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F18" w:rsidRPr="002B49F2" w:rsidP="00885E54" w14:paraId="3D53DCF6" w14:textId="77777777">
      <w:pPr>
        <w:pStyle w:val="BodyText"/>
        <w:kinsoku w:val="0"/>
        <w:overflowPunct w:val="0"/>
        <w:ind w:left="0"/>
        <w:jc w:val="center"/>
      </w:pPr>
      <w:r w:rsidRPr="002B49F2">
        <w:t>DRAFT SUPPORTING STATEMENT</w:t>
      </w:r>
    </w:p>
    <w:p w:rsidR="00CA6F18" w:rsidRPr="002B49F2" w:rsidP="00885E54" w14:paraId="3F7CF7AE" w14:textId="77777777">
      <w:pPr>
        <w:pStyle w:val="BodyText"/>
        <w:kinsoku w:val="0"/>
        <w:overflowPunct w:val="0"/>
        <w:ind w:left="0"/>
        <w:jc w:val="center"/>
      </w:pPr>
      <w:r w:rsidRPr="002B49F2">
        <w:t>FOR INFORMATION COLLECTIONS CONTAINED IN</w:t>
      </w:r>
    </w:p>
    <w:p w:rsidR="00961707" w:rsidRPr="002B49F2" w:rsidP="00885E54" w14:paraId="0BF90093" w14:textId="2E21748A">
      <w:pPr>
        <w:pStyle w:val="BodyText"/>
        <w:kinsoku w:val="0"/>
        <w:overflowPunct w:val="0"/>
        <w:ind w:left="0"/>
        <w:jc w:val="center"/>
      </w:pPr>
      <w:r w:rsidRPr="002B49F2">
        <w:t>THE</w:t>
      </w:r>
      <w:r w:rsidRPr="002B49F2" w:rsidR="00885E54">
        <w:t xml:space="preserve"> </w:t>
      </w:r>
      <w:r w:rsidRPr="002B49F2" w:rsidR="00714B53">
        <w:t>RENEWING NUCLEAR POWER PLANT OPERATING LICENSES – ENVIRONMENTAL REVIEW</w:t>
      </w:r>
      <w:r w:rsidRPr="002B49F2" w:rsidR="00885E54">
        <w:t xml:space="preserve"> </w:t>
      </w:r>
      <w:r w:rsidRPr="002B49F2" w:rsidR="002A71F7">
        <w:t>PROPOSED RULE</w:t>
      </w:r>
    </w:p>
    <w:p w:rsidR="00885E54" w:rsidRPr="002B49F2" w:rsidP="00961707" w14:paraId="01D659BC" w14:textId="77777777">
      <w:pPr>
        <w:pStyle w:val="BodyText"/>
        <w:kinsoku w:val="0"/>
        <w:overflowPunct w:val="0"/>
        <w:ind w:left="0"/>
        <w:jc w:val="center"/>
      </w:pPr>
    </w:p>
    <w:p w:rsidR="00961707" w:rsidRPr="002B49F2" w:rsidP="00961707" w14:paraId="6A97CE95" w14:textId="56CFED7B">
      <w:pPr>
        <w:pStyle w:val="BodyText"/>
        <w:kinsoku w:val="0"/>
        <w:overflowPunct w:val="0"/>
        <w:ind w:left="0"/>
        <w:jc w:val="center"/>
      </w:pPr>
      <w:r w:rsidRPr="002B49F2">
        <w:t>10 CFR PART 51</w:t>
      </w:r>
    </w:p>
    <w:p w:rsidR="00961707" w:rsidRPr="002B49F2" w:rsidP="00961707" w14:paraId="5CDD1965" w14:textId="6310202C">
      <w:pPr>
        <w:pStyle w:val="BodyText"/>
        <w:kinsoku w:val="0"/>
        <w:overflowPunct w:val="0"/>
        <w:ind w:left="0"/>
        <w:jc w:val="center"/>
      </w:pPr>
      <w:r w:rsidRPr="002B49F2">
        <w:t>ENVIRONMENTAL PROTECTION REGULATIONS FOR DOMESTIC LICENSING AND RELATED REGULATORY FUNCTIONS</w:t>
      </w:r>
    </w:p>
    <w:p w:rsidR="00961707" w:rsidRPr="002B49F2" w:rsidP="00961707" w14:paraId="7955168E" w14:textId="77777777">
      <w:pPr>
        <w:pStyle w:val="BodyText"/>
        <w:kinsoku w:val="0"/>
        <w:overflowPunct w:val="0"/>
        <w:ind w:left="0"/>
        <w:jc w:val="center"/>
      </w:pPr>
    </w:p>
    <w:p w:rsidR="00961707" w:rsidRPr="002B49F2" w:rsidP="00961707" w14:paraId="6641A96F" w14:textId="0D516D16">
      <w:pPr>
        <w:pStyle w:val="BodyText"/>
        <w:kinsoku w:val="0"/>
        <w:overflowPunct w:val="0"/>
        <w:ind w:left="0"/>
        <w:jc w:val="center"/>
      </w:pPr>
      <w:r w:rsidRPr="002B49F2">
        <w:t>(3150-0021)</w:t>
      </w:r>
    </w:p>
    <w:p w:rsidR="00CA6F18" w:rsidRPr="002B49F2" w:rsidP="00961707" w14:paraId="07D2A50F" w14:textId="57B70611">
      <w:pPr>
        <w:pStyle w:val="BodyText"/>
        <w:kinsoku w:val="0"/>
        <w:overflowPunct w:val="0"/>
        <w:ind w:left="0"/>
        <w:jc w:val="center"/>
      </w:pPr>
      <w:r w:rsidRPr="002B49F2">
        <w:t>REVISION</w:t>
      </w:r>
    </w:p>
    <w:p w:rsidR="00942941" w:rsidRPr="002B49F2" w14:paraId="5E356B6C" w14:textId="77777777">
      <w:pPr>
        <w:pStyle w:val="BodyText"/>
        <w:kinsoku w:val="0"/>
        <w:overflowPunct w:val="0"/>
        <w:spacing w:before="11"/>
        <w:ind w:left="0"/>
        <w:rPr>
          <w:sz w:val="21"/>
          <w:szCs w:val="21"/>
        </w:rPr>
      </w:pPr>
    </w:p>
    <w:p w:rsidR="00942941" w:rsidRPr="002B49F2" w:rsidP="00A61D51" w14:paraId="4266E6CD" w14:textId="77777777">
      <w:pPr>
        <w:pStyle w:val="BodyText"/>
        <w:kinsoku w:val="0"/>
        <w:overflowPunct w:val="0"/>
        <w:ind w:left="0"/>
        <w:jc w:val="center"/>
      </w:pPr>
      <w:bookmarkStart w:id="0" w:name="_Hlk30690636"/>
      <w:r w:rsidRPr="002B49F2">
        <w:rPr>
          <w:spacing w:val="-1"/>
          <w:u w:val="single"/>
        </w:rPr>
        <w:t>DESCRIPTION</w:t>
      </w:r>
      <w:r w:rsidRPr="002B49F2">
        <w:rPr>
          <w:spacing w:val="-13"/>
          <w:u w:val="single"/>
        </w:rPr>
        <w:t xml:space="preserve"> </w:t>
      </w:r>
      <w:r w:rsidRPr="002B49F2">
        <w:rPr>
          <w:u w:val="single"/>
        </w:rPr>
        <w:t>OF</w:t>
      </w:r>
      <w:r w:rsidRPr="002B49F2">
        <w:rPr>
          <w:spacing w:val="-14"/>
          <w:u w:val="single"/>
        </w:rPr>
        <w:t xml:space="preserve"> </w:t>
      </w:r>
      <w:r w:rsidRPr="002B49F2">
        <w:rPr>
          <w:u w:val="single"/>
        </w:rPr>
        <w:t>THE</w:t>
      </w:r>
      <w:r w:rsidRPr="002B49F2">
        <w:rPr>
          <w:spacing w:val="-12"/>
          <w:u w:val="single"/>
        </w:rPr>
        <w:t xml:space="preserve"> </w:t>
      </w:r>
      <w:r w:rsidRPr="002B49F2">
        <w:rPr>
          <w:spacing w:val="-1"/>
          <w:u w:val="single"/>
        </w:rPr>
        <w:t>INFORMATION</w:t>
      </w:r>
      <w:r w:rsidRPr="002B49F2">
        <w:rPr>
          <w:spacing w:val="-14"/>
          <w:u w:val="single"/>
        </w:rPr>
        <w:t xml:space="preserve"> </w:t>
      </w:r>
      <w:r w:rsidRPr="002B49F2">
        <w:rPr>
          <w:spacing w:val="-1"/>
          <w:u w:val="single"/>
        </w:rPr>
        <w:t>COLLECTION</w:t>
      </w:r>
    </w:p>
    <w:bookmarkEnd w:id="0"/>
    <w:p w:rsidR="00942941" w:rsidRPr="002B49F2" w:rsidP="00575090" w14:paraId="00B114C7" w14:textId="77777777">
      <w:pPr>
        <w:rPr>
          <w:rFonts w:ascii="Arial" w:hAnsi="Arial" w:cs="Arial"/>
          <w:sz w:val="22"/>
          <w:szCs w:val="22"/>
        </w:rPr>
      </w:pPr>
    </w:p>
    <w:p w:rsidR="00885E54" w:rsidRPr="002B49F2" w:rsidP="00885E54" w14:paraId="4E4CBA3E" w14:textId="736EE2A7">
      <w:pPr>
        <w:rPr>
          <w:rFonts w:ascii="Arial" w:hAnsi="Arial" w:cs="Arial"/>
          <w:sz w:val="22"/>
          <w:szCs w:val="22"/>
        </w:rPr>
      </w:pPr>
      <w:r w:rsidRPr="002B49F2">
        <w:rPr>
          <w:rFonts w:ascii="Arial" w:hAnsi="Arial" w:cs="Arial"/>
          <w:sz w:val="22"/>
          <w:szCs w:val="22"/>
        </w:rPr>
        <w:t xml:space="preserve">As mandated by the Atomic Energy Act (AEA) of 1954, as amended, the </w:t>
      </w:r>
      <w:r w:rsidRPr="002B49F2" w:rsidR="584D8A68">
        <w:rPr>
          <w:rFonts w:ascii="Arial" w:hAnsi="Arial" w:cs="Arial"/>
          <w:sz w:val="22"/>
          <w:szCs w:val="22"/>
        </w:rPr>
        <w:t>U.S.</w:t>
      </w:r>
      <w:r w:rsidRPr="002B49F2">
        <w:rPr>
          <w:rFonts w:ascii="Arial" w:hAnsi="Arial" w:cs="Arial"/>
          <w:sz w:val="22"/>
          <w:szCs w:val="22"/>
        </w:rPr>
        <w:t xml:space="preserve"> Nuclear Regulatory</w:t>
      </w:r>
      <w:r w:rsidRPr="002B49F2" w:rsidR="6A73D3D3">
        <w:rPr>
          <w:rFonts w:ascii="Arial" w:hAnsi="Arial" w:cs="Arial"/>
          <w:sz w:val="22"/>
          <w:szCs w:val="22"/>
        </w:rPr>
        <w:t xml:space="preserve"> </w:t>
      </w:r>
      <w:r w:rsidRPr="002B49F2">
        <w:rPr>
          <w:rFonts w:ascii="Arial" w:hAnsi="Arial" w:cs="Arial"/>
          <w:sz w:val="22"/>
          <w:szCs w:val="22"/>
        </w:rPr>
        <w:t>Commission (NRC) is responsible for protecting public health and safety in the</w:t>
      </w:r>
      <w:r w:rsidRPr="002B49F2" w:rsidR="7B3FAECC">
        <w:rPr>
          <w:rFonts w:ascii="Arial" w:hAnsi="Arial" w:cs="Arial"/>
          <w:sz w:val="22"/>
          <w:szCs w:val="22"/>
        </w:rPr>
        <w:t> </w:t>
      </w:r>
      <w:r w:rsidRPr="002B49F2">
        <w:rPr>
          <w:rFonts w:ascii="Arial" w:hAnsi="Arial" w:cs="Arial"/>
          <w:sz w:val="22"/>
          <w:szCs w:val="22"/>
        </w:rPr>
        <w:t>civilian use of</w:t>
      </w:r>
      <w:r w:rsidRPr="002B49F2" w:rsidR="6A73D3D3">
        <w:rPr>
          <w:rFonts w:ascii="Arial" w:hAnsi="Arial" w:cs="Arial"/>
          <w:sz w:val="22"/>
          <w:szCs w:val="22"/>
        </w:rPr>
        <w:t xml:space="preserve"> </w:t>
      </w:r>
      <w:r w:rsidRPr="002B49F2">
        <w:rPr>
          <w:rFonts w:ascii="Arial" w:hAnsi="Arial" w:cs="Arial"/>
          <w:sz w:val="22"/>
          <w:szCs w:val="22"/>
        </w:rPr>
        <w:t>nuclear power. The NRC</w:t>
      </w:r>
      <w:r w:rsidRPr="002B49F2" w:rsidR="302EB05B">
        <w:rPr>
          <w:rFonts w:ascii="Arial" w:hAnsi="Arial" w:cs="Arial"/>
          <w:sz w:val="22"/>
          <w:szCs w:val="22"/>
        </w:rPr>
        <w:t>’s</w:t>
      </w:r>
      <w:r w:rsidRPr="002B49F2">
        <w:rPr>
          <w:rFonts w:ascii="Arial" w:hAnsi="Arial" w:cs="Arial"/>
          <w:sz w:val="22"/>
          <w:szCs w:val="22"/>
        </w:rPr>
        <w:t xml:space="preserve"> Office of Nuclear Reactor Regulation is responsible for</w:t>
      </w:r>
      <w:r w:rsidRPr="002B49F2" w:rsidR="6A73D3D3">
        <w:rPr>
          <w:rFonts w:ascii="Arial" w:hAnsi="Arial" w:cs="Arial"/>
          <w:sz w:val="22"/>
          <w:szCs w:val="22"/>
        </w:rPr>
        <w:t xml:space="preserve"> </w:t>
      </w:r>
      <w:r w:rsidRPr="002B49F2">
        <w:rPr>
          <w:rFonts w:ascii="Arial" w:hAnsi="Arial" w:cs="Arial"/>
          <w:sz w:val="22"/>
          <w:szCs w:val="22"/>
        </w:rPr>
        <w:t>ensuring the</w:t>
      </w:r>
      <w:r w:rsidRPr="002B49F2" w:rsidR="42981C90">
        <w:rPr>
          <w:rFonts w:ascii="Arial" w:hAnsi="Arial" w:cs="Arial"/>
          <w:sz w:val="22"/>
          <w:szCs w:val="22"/>
        </w:rPr>
        <w:t> </w:t>
      </w:r>
      <w:r w:rsidRPr="002B49F2">
        <w:rPr>
          <w:rFonts w:ascii="Arial" w:hAnsi="Arial" w:cs="Arial"/>
          <w:sz w:val="22"/>
          <w:szCs w:val="22"/>
        </w:rPr>
        <w:t>public health and safety through the licensing and inspection of activities at all</w:t>
      </w:r>
      <w:r w:rsidRPr="002B49F2" w:rsidR="6A73D3D3">
        <w:rPr>
          <w:rFonts w:ascii="Arial" w:hAnsi="Arial" w:cs="Arial"/>
          <w:sz w:val="22"/>
          <w:szCs w:val="22"/>
        </w:rPr>
        <w:t xml:space="preserve"> </w:t>
      </w:r>
      <w:r w:rsidRPr="002B49F2">
        <w:rPr>
          <w:rFonts w:ascii="Arial" w:hAnsi="Arial" w:cs="Arial"/>
          <w:sz w:val="22"/>
          <w:szCs w:val="22"/>
        </w:rPr>
        <w:t xml:space="preserve">commercial nuclear power reactor facilities in the </w:t>
      </w:r>
      <w:r w:rsidRPr="002B49F2" w:rsidR="6A73D3D3">
        <w:rPr>
          <w:rFonts w:ascii="Arial" w:hAnsi="Arial" w:cs="Arial"/>
          <w:sz w:val="22"/>
          <w:szCs w:val="22"/>
        </w:rPr>
        <w:t>United States.</w:t>
      </w:r>
      <w:r w:rsidRPr="002B49F2" w:rsidR="0E536DC0">
        <w:rPr>
          <w:rFonts w:ascii="Arial" w:hAnsi="Arial" w:cs="Arial"/>
          <w:sz w:val="22"/>
          <w:szCs w:val="22"/>
        </w:rPr>
        <w:t xml:space="preserve"> The AEA allows the NRC to issue </w:t>
      </w:r>
      <w:r w:rsidRPr="002B49F2" w:rsidR="1C4339E8">
        <w:rPr>
          <w:rFonts w:ascii="Arial" w:hAnsi="Arial" w:cs="Arial"/>
          <w:sz w:val="22"/>
          <w:szCs w:val="22"/>
        </w:rPr>
        <w:t xml:space="preserve">licenses </w:t>
      </w:r>
      <w:r w:rsidRPr="002B49F2" w:rsidR="297EE888">
        <w:rPr>
          <w:rFonts w:ascii="Arial" w:hAnsi="Arial" w:cs="Arial"/>
          <w:sz w:val="22"/>
          <w:szCs w:val="22"/>
        </w:rPr>
        <w:t>to ope</w:t>
      </w:r>
      <w:r w:rsidRPr="002B49F2" w:rsidR="2F5CF15F">
        <w:rPr>
          <w:rFonts w:ascii="Arial" w:hAnsi="Arial" w:cs="Arial"/>
          <w:sz w:val="22"/>
          <w:szCs w:val="22"/>
        </w:rPr>
        <w:t xml:space="preserve">rate </w:t>
      </w:r>
      <w:r w:rsidRPr="002B49F2" w:rsidR="1C4339E8">
        <w:rPr>
          <w:rFonts w:ascii="Arial" w:hAnsi="Arial" w:cs="Arial"/>
          <w:sz w:val="22"/>
          <w:szCs w:val="22"/>
        </w:rPr>
        <w:t xml:space="preserve">commercial </w:t>
      </w:r>
      <w:r w:rsidRPr="002B49F2" w:rsidR="2F5CF15F">
        <w:rPr>
          <w:rFonts w:ascii="Arial" w:hAnsi="Arial" w:cs="Arial"/>
          <w:sz w:val="22"/>
          <w:szCs w:val="22"/>
        </w:rPr>
        <w:t>nuclear power plant</w:t>
      </w:r>
      <w:r w:rsidRPr="002B49F2" w:rsidR="36A13803">
        <w:rPr>
          <w:rFonts w:ascii="Arial" w:hAnsi="Arial" w:cs="Arial"/>
          <w:sz w:val="22"/>
          <w:szCs w:val="22"/>
        </w:rPr>
        <w:t>s</w:t>
      </w:r>
      <w:r w:rsidRPr="002B49F2" w:rsidR="1C4339E8">
        <w:rPr>
          <w:rFonts w:ascii="Arial" w:hAnsi="Arial" w:cs="Arial"/>
          <w:sz w:val="22"/>
          <w:szCs w:val="22"/>
        </w:rPr>
        <w:t xml:space="preserve"> for up to 40 years. </w:t>
      </w:r>
      <w:r w:rsidRPr="002B49F2" w:rsidR="6B12FC42">
        <w:rPr>
          <w:rFonts w:ascii="Arial" w:hAnsi="Arial" w:cs="Arial"/>
          <w:sz w:val="22"/>
          <w:szCs w:val="22"/>
        </w:rPr>
        <w:t>The</w:t>
      </w:r>
      <w:r w:rsidRPr="002B49F2" w:rsidR="7B3FAECC">
        <w:rPr>
          <w:rFonts w:ascii="Arial" w:hAnsi="Arial" w:cs="Arial"/>
          <w:sz w:val="22"/>
          <w:szCs w:val="22"/>
        </w:rPr>
        <w:t> </w:t>
      </w:r>
      <w:r w:rsidRPr="002B49F2" w:rsidR="6B12FC42">
        <w:rPr>
          <w:rFonts w:ascii="Arial" w:hAnsi="Arial" w:cs="Arial"/>
          <w:sz w:val="22"/>
          <w:szCs w:val="22"/>
        </w:rPr>
        <w:t xml:space="preserve">AEA and </w:t>
      </w:r>
      <w:r w:rsidRPr="002B49F2" w:rsidR="1C4339E8">
        <w:rPr>
          <w:rFonts w:ascii="Arial" w:hAnsi="Arial" w:cs="Arial"/>
          <w:sz w:val="22"/>
          <w:szCs w:val="22"/>
        </w:rPr>
        <w:t xml:space="preserve">NRC regulations allow for </w:t>
      </w:r>
      <w:r w:rsidRPr="002B49F2" w:rsidR="567D8942">
        <w:rPr>
          <w:rFonts w:ascii="Arial" w:hAnsi="Arial" w:cs="Arial"/>
          <w:sz w:val="22"/>
          <w:szCs w:val="22"/>
        </w:rPr>
        <w:t>renewals</w:t>
      </w:r>
      <w:r w:rsidRPr="002B49F2" w:rsidR="1C4339E8">
        <w:rPr>
          <w:rFonts w:ascii="Arial" w:hAnsi="Arial" w:cs="Arial"/>
          <w:sz w:val="22"/>
          <w:szCs w:val="22"/>
        </w:rPr>
        <w:t xml:space="preserve"> of these licenses</w:t>
      </w:r>
      <w:r w:rsidRPr="002B49F2" w:rsidR="52F9B134">
        <w:rPr>
          <w:rFonts w:ascii="Arial" w:hAnsi="Arial" w:cs="Arial"/>
          <w:sz w:val="22"/>
          <w:szCs w:val="22"/>
        </w:rPr>
        <w:t xml:space="preserve"> for up to an additional 20</w:t>
      </w:r>
      <w:r w:rsidRPr="002B49F2" w:rsidR="7B3FAECC">
        <w:rPr>
          <w:rFonts w:ascii="Arial" w:hAnsi="Arial" w:cs="Arial"/>
          <w:sz w:val="22"/>
          <w:szCs w:val="22"/>
        </w:rPr>
        <w:t> </w:t>
      </w:r>
      <w:r w:rsidRPr="002B49F2" w:rsidR="52F9B134">
        <w:rPr>
          <w:rFonts w:ascii="Arial" w:hAnsi="Arial" w:cs="Arial"/>
          <w:sz w:val="22"/>
          <w:szCs w:val="22"/>
        </w:rPr>
        <w:t xml:space="preserve">years, for each renewal term. </w:t>
      </w:r>
      <w:r w:rsidRPr="002B49F2" w:rsidR="48030500">
        <w:rPr>
          <w:rFonts w:ascii="Arial" w:hAnsi="Arial" w:cs="Arial"/>
          <w:sz w:val="22"/>
          <w:szCs w:val="22"/>
        </w:rPr>
        <w:t>The NRC terms the first renewal of the operating license to be the</w:t>
      </w:r>
      <w:r w:rsidRPr="002B49F2" w:rsidR="36C0F6B0">
        <w:rPr>
          <w:rFonts w:ascii="Arial" w:hAnsi="Arial" w:cs="Arial"/>
          <w:sz w:val="22"/>
          <w:szCs w:val="22"/>
        </w:rPr>
        <w:t xml:space="preserve"> initial </w:t>
      </w:r>
      <w:r w:rsidRPr="002B49F2" w:rsidR="0DF4CA4C">
        <w:rPr>
          <w:rFonts w:ascii="Arial" w:hAnsi="Arial" w:cs="Arial"/>
          <w:sz w:val="22"/>
          <w:szCs w:val="22"/>
        </w:rPr>
        <w:t xml:space="preserve">license </w:t>
      </w:r>
      <w:r w:rsidRPr="002B49F2" w:rsidR="48030500">
        <w:rPr>
          <w:rFonts w:ascii="Arial" w:hAnsi="Arial" w:cs="Arial"/>
          <w:sz w:val="22"/>
          <w:szCs w:val="22"/>
        </w:rPr>
        <w:t>renewal</w:t>
      </w:r>
      <w:r w:rsidRPr="002B49F2" w:rsidR="0E06464A">
        <w:rPr>
          <w:rFonts w:ascii="Arial" w:hAnsi="Arial" w:cs="Arial"/>
          <w:sz w:val="22"/>
          <w:szCs w:val="22"/>
        </w:rPr>
        <w:t xml:space="preserve"> (</w:t>
      </w:r>
      <w:r w:rsidRPr="002B49F2" w:rsidR="73961D8A">
        <w:rPr>
          <w:rFonts w:ascii="Arial" w:hAnsi="Arial" w:cs="Arial"/>
          <w:sz w:val="22"/>
          <w:szCs w:val="22"/>
        </w:rPr>
        <w:t xml:space="preserve">initial </w:t>
      </w:r>
      <w:r w:rsidRPr="002B49F2" w:rsidR="0E06464A">
        <w:rPr>
          <w:rFonts w:ascii="Arial" w:hAnsi="Arial" w:cs="Arial"/>
          <w:sz w:val="22"/>
          <w:szCs w:val="22"/>
        </w:rPr>
        <w:t>LR)</w:t>
      </w:r>
      <w:r w:rsidRPr="002B49F2" w:rsidR="48030500">
        <w:rPr>
          <w:rFonts w:ascii="Arial" w:hAnsi="Arial" w:cs="Arial"/>
          <w:sz w:val="22"/>
          <w:szCs w:val="22"/>
        </w:rPr>
        <w:t xml:space="preserve">, and any </w:t>
      </w:r>
      <w:r w:rsidRPr="002B49F2" w:rsidR="7373BF76">
        <w:rPr>
          <w:rFonts w:ascii="Arial" w:hAnsi="Arial" w:cs="Arial"/>
          <w:sz w:val="22"/>
          <w:szCs w:val="22"/>
        </w:rPr>
        <w:t>additional</w:t>
      </w:r>
      <w:r w:rsidRPr="002B49F2" w:rsidR="48030500">
        <w:rPr>
          <w:rFonts w:ascii="Arial" w:hAnsi="Arial" w:cs="Arial"/>
          <w:sz w:val="22"/>
          <w:szCs w:val="22"/>
        </w:rPr>
        <w:t xml:space="preserve"> renewals are </w:t>
      </w:r>
      <w:r w:rsidRPr="002B49F2" w:rsidR="7373BF76">
        <w:rPr>
          <w:rFonts w:ascii="Arial" w:hAnsi="Arial" w:cs="Arial"/>
          <w:sz w:val="22"/>
          <w:szCs w:val="22"/>
        </w:rPr>
        <w:t>referred to as</w:t>
      </w:r>
      <w:r w:rsidRPr="002B49F2" w:rsidR="48030500">
        <w:rPr>
          <w:rFonts w:ascii="Arial" w:hAnsi="Arial" w:cs="Arial"/>
          <w:sz w:val="22"/>
          <w:szCs w:val="22"/>
        </w:rPr>
        <w:t xml:space="preserve"> </w:t>
      </w:r>
      <w:r w:rsidRPr="002B49F2" w:rsidR="698862C3">
        <w:rPr>
          <w:rFonts w:ascii="Arial" w:hAnsi="Arial" w:cs="Arial"/>
          <w:sz w:val="22"/>
          <w:szCs w:val="22"/>
        </w:rPr>
        <w:t>a</w:t>
      </w:r>
      <w:r w:rsidRPr="002B49F2" w:rsidR="588D7F0A">
        <w:rPr>
          <w:rFonts w:ascii="Arial" w:hAnsi="Arial" w:cs="Arial"/>
          <w:sz w:val="22"/>
          <w:szCs w:val="22"/>
        </w:rPr>
        <w:t> </w:t>
      </w:r>
      <w:r w:rsidRPr="002B49F2" w:rsidR="36C0F6B0">
        <w:rPr>
          <w:rFonts w:ascii="Arial" w:hAnsi="Arial" w:cs="Arial"/>
          <w:sz w:val="22"/>
          <w:szCs w:val="22"/>
        </w:rPr>
        <w:t>subsequent</w:t>
      </w:r>
      <w:r w:rsidRPr="002B49F2" w:rsidR="48030500">
        <w:rPr>
          <w:rFonts w:ascii="Arial" w:hAnsi="Arial" w:cs="Arial"/>
          <w:sz w:val="22"/>
          <w:szCs w:val="22"/>
        </w:rPr>
        <w:t xml:space="preserve"> </w:t>
      </w:r>
      <w:r w:rsidRPr="002B49F2" w:rsidR="0351EC13">
        <w:rPr>
          <w:rFonts w:ascii="Arial" w:hAnsi="Arial" w:cs="Arial"/>
          <w:sz w:val="22"/>
          <w:szCs w:val="22"/>
        </w:rPr>
        <w:t>license</w:t>
      </w:r>
      <w:r w:rsidRPr="002B49F2" w:rsidR="0DF4CA4C">
        <w:rPr>
          <w:rFonts w:ascii="Arial" w:hAnsi="Arial" w:cs="Arial"/>
          <w:sz w:val="22"/>
          <w:szCs w:val="22"/>
        </w:rPr>
        <w:t xml:space="preserve"> </w:t>
      </w:r>
      <w:r w:rsidRPr="002B49F2" w:rsidR="48030500">
        <w:rPr>
          <w:rFonts w:ascii="Arial" w:hAnsi="Arial" w:cs="Arial"/>
          <w:sz w:val="22"/>
          <w:szCs w:val="22"/>
        </w:rPr>
        <w:t>renewal</w:t>
      </w:r>
      <w:r w:rsidRPr="002B49F2" w:rsidR="0351EC13">
        <w:rPr>
          <w:rFonts w:ascii="Arial" w:hAnsi="Arial" w:cs="Arial"/>
          <w:sz w:val="22"/>
          <w:szCs w:val="22"/>
        </w:rPr>
        <w:t xml:space="preserve"> (SLR)</w:t>
      </w:r>
      <w:r w:rsidRPr="002B49F2" w:rsidR="52F9B134">
        <w:rPr>
          <w:rFonts w:ascii="Arial" w:hAnsi="Arial" w:cs="Arial"/>
          <w:sz w:val="22"/>
          <w:szCs w:val="22"/>
        </w:rPr>
        <w:t xml:space="preserve">. </w:t>
      </w:r>
      <w:r w:rsidRPr="002B49F2" w:rsidR="0364F43E">
        <w:rPr>
          <w:rFonts w:ascii="Arial" w:hAnsi="Arial" w:cs="Arial"/>
          <w:sz w:val="22"/>
          <w:szCs w:val="22"/>
        </w:rPr>
        <w:t xml:space="preserve">The approval or disapproval </w:t>
      </w:r>
      <w:r w:rsidRPr="002B49F2" w:rsidR="0C04914D">
        <w:rPr>
          <w:rFonts w:ascii="Arial" w:hAnsi="Arial" w:cs="Arial"/>
          <w:sz w:val="22"/>
          <w:szCs w:val="22"/>
        </w:rPr>
        <w:t>of the</w:t>
      </w:r>
      <w:r w:rsidRPr="002B49F2" w:rsidR="36C0F6B0">
        <w:rPr>
          <w:rFonts w:ascii="Arial" w:hAnsi="Arial" w:cs="Arial"/>
          <w:sz w:val="22"/>
          <w:szCs w:val="22"/>
        </w:rPr>
        <w:t> </w:t>
      </w:r>
      <w:r w:rsidRPr="002B49F2" w:rsidR="0C04914D">
        <w:rPr>
          <w:rFonts w:ascii="Arial" w:hAnsi="Arial" w:cs="Arial"/>
          <w:sz w:val="22"/>
          <w:szCs w:val="22"/>
        </w:rPr>
        <w:t>license renewal application depends upon an</w:t>
      </w:r>
      <w:r w:rsidRPr="002B49F2" w:rsidR="7CD4AA28">
        <w:rPr>
          <w:rFonts w:ascii="Arial" w:hAnsi="Arial" w:cs="Arial"/>
          <w:sz w:val="22"/>
          <w:szCs w:val="22"/>
        </w:rPr>
        <w:t> </w:t>
      </w:r>
      <w:r w:rsidRPr="002B49F2" w:rsidR="0C04914D">
        <w:rPr>
          <w:rFonts w:ascii="Arial" w:hAnsi="Arial" w:cs="Arial"/>
          <w:sz w:val="22"/>
          <w:szCs w:val="22"/>
        </w:rPr>
        <w:t>NRC determination as to whether the nuclear facility can continue to operate safely during the additional 20year period of extended operation</w:t>
      </w:r>
      <w:r w:rsidRPr="002B49F2" w:rsidR="45285840">
        <w:rPr>
          <w:rFonts w:ascii="Arial" w:hAnsi="Arial" w:cs="Arial"/>
          <w:sz w:val="22"/>
          <w:szCs w:val="22"/>
        </w:rPr>
        <w:t xml:space="preserve"> and whether the</w:t>
      </w:r>
      <w:r w:rsidRPr="002B49F2" w:rsidR="7B3FAECC">
        <w:rPr>
          <w:rFonts w:ascii="Arial" w:hAnsi="Arial" w:cs="Arial"/>
          <w:sz w:val="22"/>
          <w:szCs w:val="22"/>
        </w:rPr>
        <w:t> </w:t>
      </w:r>
      <w:r w:rsidRPr="002B49F2" w:rsidR="45285840">
        <w:rPr>
          <w:rFonts w:ascii="Arial" w:hAnsi="Arial" w:cs="Arial"/>
          <w:sz w:val="22"/>
          <w:szCs w:val="22"/>
        </w:rPr>
        <w:t xml:space="preserve">adverse environmental impacts of license renewal are so great that preserving the option of license renewal for energy planning </w:t>
      </w:r>
      <w:r w:rsidRPr="002B49F2" w:rsidR="06FF5E44">
        <w:rPr>
          <w:rFonts w:ascii="Arial" w:hAnsi="Arial" w:cs="Arial"/>
          <w:sz w:val="22"/>
          <w:szCs w:val="22"/>
        </w:rPr>
        <w:t>decisionmakers</w:t>
      </w:r>
      <w:r w:rsidRPr="002B49F2" w:rsidR="45285840">
        <w:rPr>
          <w:rFonts w:ascii="Arial" w:hAnsi="Arial" w:cs="Arial"/>
          <w:sz w:val="22"/>
          <w:szCs w:val="22"/>
        </w:rPr>
        <w:t xml:space="preserve"> would be unreasonable</w:t>
      </w:r>
      <w:r w:rsidRPr="002B49F2" w:rsidR="0C04914D">
        <w:rPr>
          <w:rFonts w:ascii="Arial" w:hAnsi="Arial" w:cs="Arial"/>
          <w:sz w:val="22"/>
          <w:szCs w:val="22"/>
        </w:rPr>
        <w:t xml:space="preserve">. </w:t>
      </w:r>
      <w:r w:rsidRPr="002B49F2" w:rsidR="4E49E58E">
        <w:rPr>
          <w:rFonts w:ascii="Arial" w:hAnsi="Arial" w:cs="Arial"/>
          <w:sz w:val="22"/>
          <w:szCs w:val="22"/>
        </w:rPr>
        <w:t>No specific limitations exist in the AEA or in NRC’s regulations as to the number of times a power reactor operating license may be renewed.</w:t>
      </w:r>
    </w:p>
    <w:p w:rsidR="00885E54" w:rsidRPr="002B49F2" w:rsidP="00885E54" w14:paraId="6069284D" w14:textId="77777777">
      <w:pPr>
        <w:rPr>
          <w:rFonts w:ascii="Arial" w:hAnsi="Arial" w:cs="Arial"/>
          <w:sz w:val="22"/>
          <w:szCs w:val="22"/>
        </w:rPr>
      </w:pPr>
    </w:p>
    <w:p w:rsidR="00885E54" w:rsidRPr="002B49F2" w:rsidP="00885E54" w14:paraId="3CA5D78B" w14:textId="0164DCBA">
      <w:pPr>
        <w:rPr>
          <w:rFonts w:ascii="Arial" w:hAnsi="Arial" w:cs="Arial"/>
          <w:i/>
          <w:iCs/>
          <w:sz w:val="22"/>
          <w:szCs w:val="22"/>
        </w:rPr>
      </w:pPr>
      <w:r w:rsidRPr="002B49F2">
        <w:rPr>
          <w:rFonts w:ascii="Arial" w:hAnsi="Arial" w:cs="Arial"/>
          <w:sz w:val="22"/>
          <w:szCs w:val="22"/>
        </w:rPr>
        <w:t xml:space="preserve">As a </w:t>
      </w:r>
      <w:r w:rsidRPr="002B49F2" w:rsidR="00BD0400">
        <w:rPr>
          <w:rFonts w:ascii="Arial" w:hAnsi="Arial" w:cs="Arial"/>
          <w:sz w:val="22"/>
          <w:szCs w:val="22"/>
        </w:rPr>
        <w:t>F</w:t>
      </w:r>
      <w:r w:rsidRPr="002B49F2">
        <w:rPr>
          <w:rFonts w:ascii="Arial" w:hAnsi="Arial" w:cs="Arial"/>
          <w:sz w:val="22"/>
          <w:szCs w:val="22"/>
        </w:rPr>
        <w:t>ederal agency, the NRC is subject to the National Environmental Policy Act (NEPA) of</w:t>
      </w:r>
      <w:r w:rsidRPr="002B49F2" w:rsidR="00A761F9">
        <w:rPr>
          <w:rFonts w:ascii="Arial" w:hAnsi="Arial" w:cs="Arial"/>
          <w:sz w:val="22"/>
          <w:szCs w:val="22"/>
        </w:rPr>
        <w:t xml:space="preserve"> </w:t>
      </w:r>
      <w:r w:rsidRPr="002B49F2">
        <w:rPr>
          <w:rFonts w:ascii="Arial" w:hAnsi="Arial" w:cs="Arial"/>
          <w:sz w:val="22"/>
          <w:szCs w:val="22"/>
        </w:rPr>
        <w:t xml:space="preserve">1969, as amended. The NRC’s environmental protection regulations in Title 10 of the </w:t>
      </w:r>
      <w:r w:rsidRPr="002B49F2">
        <w:rPr>
          <w:rFonts w:ascii="Arial" w:hAnsi="Arial" w:cs="Arial"/>
          <w:i/>
          <w:iCs/>
          <w:sz w:val="22"/>
          <w:szCs w:val="22"/>
        </w:rPr>
        <w:t>Code of</w:t>
      </w:r>
      <w:r w:rsidRPr="002B49F2" w:rsidR="00A761F9">
        <w:rPr>
          <w:rFonts w:ascii="Arial" w:hAnsi="Arial" w:cs="Arial"/>
          <w:i/>
          <w:iCs/>
          <w:sz w:val="22"/>
          <w:szCs w:val="22"/>
        </w:rPr>
        <w:t xml:space="preserve"> </w:t>
      </w:r>
      <w:r w:rsidRPr="002B49F2">
        <w:rPr>
          <w:rFonts w:ascii="Arial" w:hAnsi="Arial" w:cs="Arial"/>
          <w:i/>
          <w:iCs/>
          <w:sz w:val="22"/>
          <w:szCs w:val="22"/>
        </w:rPr>
        <w:t>Federal Regulations</w:t>
      </w:r>
      <w:r w:rsidRPr="002B49F2">
        <w:rPr>
          <w:rFonts w:ascii="Arial" w:hAnsi="Arial" w:cs="Arial"/>
          <w:sz w:val="22"/>
          <w:szCs w:val="22"/>
        </w:rPr>
        <w:t xml:space="preserve"> (10 CFR) Part 51, “Environmental Protection Regulations for Domestic</w:t>
      </w:r>
      <w:r w:rsidRPr="002B49F2" w:rsidR="00A761F9">
        <w:rPr>
          <w:rFonts w:ascii="Arial" w:hAnsi="Arial" w:cs="Arial"/>
          <w:sz w:val="22"/>
          <w:szCs w:val="22"/>
        </w:rPr>
        <w:t xml:space="preserve"> </w:t>
      </w:r>
      <w:r w:rsidRPr="002B49F2">
        <w:rPr>
          <w:rFonts w:ascii="Arial" w:hAnsi="Arial" w:cs="Arial"/>
          <w:sz w:val="22"/>
          <w:szCs w:val="22"/>
        </w:rPr>
        <w:t xml:space="preserve">Licensing and Related Regulatory Functions,” </w:t>
      </w:r>
      <w:r w:rsidRPr="002B49F2" w:rsidR="00990C67">
        <w:rPr>
          <w:rFonts w:ascii="Arial" w:hAnsi="Arial" w:cs="Arial"/>
          <w:sz w:val="22"/>
          <w:szCs w:val="22"/>
        </w:rPr>
        <w:t>are the NRC</w:t>
      </w:r>
      <w:r w:rsidRPr="002B49F2" w:rsidR="00D15E23">
        <w:rPr>
          <w:rFonts w:ascii="Arial" w:hAnsi="Arial" w:cs="Arial"/>
          <w:sz w:val="22"/>
          <w:szCs w:val="22"/>
        </w:rPr>
        <w:t>’s regulations for implementing NEPA.</w:t>
      </w:r>
      <w:r>
        <w:rPr>
          <w:rStyle w:val="FootnoteReference"/>
          <w:rFonts w:ascii="Arial" w:hAnsi="Arial" w:cs="Arial"/>
          <w:sz w:val="22"/>
          <w:szCs w:val="22"/>
        </w:rPr>
        <w:footnoteReference w:id="3"/>
      </w:r>
      <w:r w:rsidRPr="002B49F2" w:rsidR="00D15E23">
        <w:rPr>
          <w:rFonts w:ascii="Arial" w:hAnsi="Arial" w:cs="Arial"/>
          <w:sz w:val="22"/>
          <w:szCs w:val="22"/>
        </w:rPr>
        <w:t xml:space="preserve"> </w:t>
      </w:r>
      <w:r w:rsidRPr="002B49F2" w:rsidR="00FB3324">
        <w:rPr>
          <w:rFonts w:ascii="Arial" w:hAnsi="Arial" w:cs="Arial"/>
          <w:sz w:val="22"/>
          <w:szCs w:val="22"/>
        </w:rPr>
        <w:t xml:space="preserve">The </w:t>
      </w:r>
      <w:r w:rsidRPr="002B49F2" w:rsidR="00920D36">
        <w:rPr>
          <w:rFonts w:ascii="Arial" w:hAnsi="Arial" w:cs="Arial"/>
          <w:sz w:val="22"/>
          <w:szCs w:val="22"/>
        </w:rPr>
        <w:t xml:space="preserve">preparation of </w:t>
      </w:r>
      <w:r w:rsidRPr="002B49F2">
        <w:rPr>
          <w:rFonts w:ascii="Arial" w:hAnsi="Arial" w:cs="Arial"/>
          <w:sz w:val="22"/>
          <w:szCs w:val="22"/>
        </w:rPr>
        <w:t>an environmental impact statement (EIS) is required for a plant</w:t>
      </w:r>
      <w:r w:rsidRPr="002B49F2" w:rsidR="008D7D8F">
        <w:rPr>
          <w:rFonts w:ascii="Arial" w:hAnsi="Arial" w:cs="Arial"/>
          <w:sz w:val="22"/>
          <w:szCs w:val="22"/>
        </w:rPr>
        <w:t>-specific</w:t>
      </w:r>
      <w:r w:rsidRPr="002B49F2">
        <w:rPr>
          <w:rFonts w:ascii="Arial" w:hAnsi="Arial" w:cs="Arial"/>
          <w:sz w:val="22"/>
          <w:szCs w:val="22"/>
        </w:rPr>
        <w:t xml:space="preserve"> license</w:t>
      </w:r>
      <w:r w:rsidRPr="002B49F2" w:rsidR="00A761F9">
        <w:rPr>
          <w:rFonts w:ascii="Arial" w:hAnsi="Arial" w:cs="Arial"/>
          <w:sz w:val="22"/>
          <w:szCs w:val="22"/>
        </w:rPr>
        <w:t xml:space="preserve"> </w:t>
      </w:r>
      <w:r w:rsidRPr="002B49F2" w:rsidR="00DD73DB">
        <w:rPr>
          <w:rFonts w:ascii="Arial" w:hAnsi="Arial" w:cs="Arial"/>
          <w:sz w:val="22"/>
          <w:szCs w:val="22"/>
        </w:rPr>
        <w:t xml:space="preserve">renewal </w:t>
      </w:r>
      <w:r w:rsidRPr="002B49F2">
        <w:rPr>
          <w:rFonts w:ascii="Arial" w:hAnsi="Arial" w:cs="Arial"/>
          <w:sz w:val="22"/>
          <w:szCs w:val="22"/>
        </w:rPr>
        <w:t xml:space="preserve">review in accordance with </w:t>
      </w:r>
      <w:r w:rsidRPr="002B49F2" w:rsidR="00920D36">
        <w:rPr>
          <w:rFonts w:ascii="Arial" w:hAnsi="Arial" w:cs="Arial"/>
          <w:sz w:val="22"/>
          <w:szCs w:val="22"/>
        </w:rPr>
        <w:t>10 CFR 51.20</w:t>
      </w:r>
      <w:r w:rsidRPr="002B49F2">
        <w:rPr>
          <w:rFonts w:ascii="Arial" w:hAnsi="Arial" w:cs="Arial"/>
          <w:sz w:val="22"/>
          <w:szCs w:val="22"/>
        </w:rPr>
        <w:t>.</w:t>
      </w:r>
      <w:r w:rsidRPr="002B49F2" w:rsidR="00590061">
        <w:rPr>
          <w:rFonts w:ascii="Arial" w:hAnsi="Arial" w:cs="Arial"/>
          <w:sz w:val="22"/>
          <w:szCs w:val="22"/>
        </w:rPr>
        <w:t xml:space="preserve"> </w:t>
      </w:r>
      <w:r w:rsidRPr="002B49F2" w:rsidR="00C2099B">
        <w:rPr>
          <w:rFonts w:ascii="Arial" w:hAnsi="Arial" w:cs="Arial"/>
          <w:sz w:val="22"/>
          <w:szCs w:val="22"/>
        </w:rPr>
        <w:t xml:space="preserve">In 1996, the NRC issued </w:t>
      </w:r>
      <w:r w:rsidRPr="002B49F2" w:rsidR="00A2362E">
        <w:rPr>
          <w:rFonts w:ascii="Arial" w:hAnsi="Arial" w:cs="Arial"/>
          <w:sz w:val="22"/>
          <w:szCs w:val="22"/>
        </w:rPr>
        <w:t>NUREG</w:t>
      </w:r>
      <w:r w:rsidRPr="002B49F2" w:rsidR="00C2099B">
        <w:rPr>
          <w:rFonts w:ascii="Arial" w:hAnsi="Arial" w:cs="Arial"/>
          <w:sz w:val="22"/>
          <w:szCs w:val="22"/>
        </w:rPr>
        <w:t>-1437, “</w:t>
      </w:r>
      <w:r w:rsidRPr="002B49F2" w:rsidR="005B063A">
        <w:rPr>
          <w:rFonts w:ascii="Arial" w:hAnsi="Arial" w:cs="Arial"/>
          <w:sz w:val="22"/>
          <w:szCs w:val="22"/>
        </w:rPr>
        <w:t>Generic Environmental Impact Statement for License Renewal of Nuclear Plants</w:t>
      </w:r>
      <w:r w:rsidRPr="002B49F2" w:rsidR="00C2099B">
        <w:rPr>
          <w:rFonts w:ascii="Arial" w:hAnsi="Arial" w:cs="Arial"/>
          <w:sz w:val="22"/>
          <w:szCs w:val="22"/>
        </w:rPr>
        <w:t>”</w:t>
      </w:r>
      <w:r w:rsidRPr="002B49F2" w:rsidR="005B063A">
        <w:rPr>
          <w:rFonts w:ascii="Arial" w:hAnsi="Arial" w:cs="Arial"/>
          <w:sz w:val="22"/>
          <w:szCs w:val="22"/>
        </w:rPr>
        <w:t xml:space="preserve"> (</w:t>
      </w:r>
      <w:r w:rsidRPr="002B49F2" w:rsidR="00375D8A">
        <w:rPr>
          <w:rFonts w:ascii="Arial" w:hAnsi="Arial" w:cs="Arial"/>
          <w:sz w:val="22"/>
          <w:szCs w:val="22"/>
        </w:rPr>
        <w:t>hereafter referred to as the “</w:t>
      </w:r>
      <w:r w:rsidRPr="002B49F2" w:rsidR="005B063A">
        <w:rPr>
          <w:rFonts w:ascii="Arial" w:hAnsi="Arial" w:cs="Arial"/>
          <w:sz w:val="22"/>
          <w:szCs w:val="22"/>
        </w:rPr>
        <w:t>LR GEIS</w:t>
      </w:r>
      <w:r w:rsidRPr="002B49F2" w:rsidR="00375D8A">
        <w:rPr>
          <w:rFonts w:ascii="Arial" w:hAnsi="Arial" w:cs="Arial"/>
          <w:sz w:val="22"/>
          <w:szCs w:val="22"/>
        </w:rPr>
        <w:t>”</w:t>
      </w:r>
      <w:r w:rsidRPr="002B49F2" w:rsidR="005B063A">
        <w:rPr>
          <w:rFonts w:ascii="Arial" w:hAnsi="Arial" w:cs="Arial"/>
          <w:sz w:val="22"/>
          <w:szCs w:val="22"/>
        </w:rPr>
        <w:t>)</w:t>
      </w:r>
      <w:r w:rsidRPr="002B49F2" w:rsidR="00C413B5">
        <w:rPr>
          <w:rFonts w:ascii="Arial" w:hAnsi="Arial" w:cs="Arial"/>
          <w:sz w:val="22"/>
          <w:szCs w:val="22"/>
        </w:rPr>
        <w:t>, to assist the NRC staff in preparing the license renewal EISs</w:t>
      </w:r>
      <w:r w:rsidRPr="002B49F2" w:rsidR="00900851">
        <w:rPr>
          <w:rFonts w:ascii="Arial" w:hAnsi="Arial" w:cs="Arial"/>
          <w:sz w:val="22"/>
          <w:szCs w:val="22"/>
        </w:rPr>
        <w:t>.</w:t>
      </w:r>
      <w:r w:rsidRPr="002B49F2">
        <w:rPr>
          <w:rFonts w:ascii="Arial" w:hAnsi="Arial" w:cs="Arial"/>
          <w:sz w:val="22"/>
          <w:szCs w:val="22"/>
        </w:rPr>
        <w:t xml:space="preserve"> </w:t>
      </w:r>
      <w:r w:rsidRPr="002B49F2" w:rsidR="005843AA">
        <w:rPr>
          <w:rFonts w:ascii="Arial" w:hAnsi="Arial" w:cs="Arial"/>
          <w:sz w:val="22"/>
          <w:szCs w:val="22"/>
        </w:rPr>
        <w:t>The LR GEIS was revised in 2013</w:t>
      </w:r>
      <w:r w:rsidRPr="002B49F2" w:rsidR="00DC1BCE">
        <w:rPr>
          <w:rFonts w:ascii="Arial" w:hAnsi="Arial" w:cs="Arial"/>
          <w:sz w:val="22"/>
          <w:szCs w:val="22"/>
        </w:rPr>
        <w:t xml:space="preserve">, to </w:t>
      </w:r>
      <w:r w:rsidRPr="002B49F2" w:rsidR="00172BB7">
        <w:rPr>
          <w:rFonts w:ascii="Arial" w:hAnsi="Arial" w:cs="Arial"/>
          <w:sz w:val="22"/>
          <w:szCs w:val="22"/>
        </w:rPr>
        <w:t xml:space="preserve">incorporate lessons learned and knowledge gained from plant-specific environmental reviews, as well as changes to Federal laws and new information and research published since the </w:t>
      </w:r>
      <w:r w:rsidRPr="002B49F2" w:rsidR="0068038C">
        <w:rPr>
          <w:rFonts w:ascii="Arial" w:hAnsi="Arial" w:cs="Arial"/>
          <w:sz w:val="22"/>
          <w:szCs w:val="22"/>
        </w:rPr>
        <w:t>1996 LR GEIS.</w:t>
      </w:r>
    </w:p>
    <w:p w:rsidR="00885E54" w:rsidRPr="002B49F2" w:rsidP="00885E54" w14:paraId="6D851520" w14:textId="77777777">
      <w:pPr>
        <w:rPr>
          <w:rFonts w:ascii="Arial" w:hAnsi="Arial" w:cs="Arial"/>
          <w:sz w:val="22"/>
          <w:szCs w:val="22"/>
        </w:rPr>
      </w:pPr>
    </w:p>
    <w:p w:rsidR="00CB7D7B" w:rsidRPr="002B49F2" w:rsidP="00CB7D7B" w14:paraId="7506BA3B" w14:textId="4A082992">
      <w:pPr>
        <w:rPr>
          <w:rFonts w:ascii="Arial" w:hAnsi="Arial" w:cs="Arial"/>
          <w:sz w:val="22"/>
          <w:szCs w:val="22"/>
        </w:rPr>
      </w:pPr>
      <w:r w:rsidRPr="002B49F2">
        <w:rPr>
          <w:rFonts w:ascii="Arial" w:hAnsi="Arial" w:cs="Arial"/>
          <w:sz w:val="22"/>
          <w:szCs w:val="22"/>
        </w:rPr>
        <w:t xml:space="preserve">The purpose of the </w:t>
      </w:r>
      <w:r w:rsidRPr="002B49F2" w:rsidR="00C3343B">
        <w:rPr>
          <w:rFonts w:ascii="Arial" w:hAnsi="Arial" w:cs="Arial"/>
          <w:sz w:val="22"/>
          <w:szCs w:val="22"/>
        </w:rPr>
        <w:t>LR GEIS is to identify and generically address issues and processes that are common to all</w:t>
      </w:r>
      <w:r w:rsidRPr="002B49F2" w:rsidR="00AA4F8C">
        <w:rPr>
          <w:rFonts w:ascii="Arial" w:hAnsi="Arial" w:cs="Arial"/>
          <w:sz w:val="22"/>
          <w:szCs w:val="22"/>
        </w:rPr>
        <w:t>, or a subset of,</w:t>
      </w:r>
      <w:r w:rsidRPr="002B49F2" w:rsidR="00C3343B">
        <w:rPr>
          <w:rFonts w:ascii="Arial" w:hAnsi="Arial" w:cs="Arial"/>
          <w:sz w:val="22"/>
          <w:szCs w:val="22"/>
        </w:rPr>
        <w:t xml:space="preserve"> nuclear power plants and have the same or similar environmental impacts</w:t>
      </w:r>
      <w:r w:rsidRPr="002B49F2">
        <w:rPr>
          <w:rFonts w:ascii="Arial" w:hAnsi="Arial" w:cs="Arial"/>
          <w:sz w:val="22"/>
          <w:szCs w:val="22"/>
        </w:rPr>
        <w:t xml:space="preserve">. </w:t>
      </w:r>
      <w:r w:rsidRPr="002B49F2" w:rsidR="00643598">
        <w:rPr>
          <w:rFonts w:ascii="Arial" w:hAnsi="Arial" w:cs="Arial"/>
          <w:sz w:val="22"/>
          <w:szCs w:val="22"/>
        </w:rPr>
        <w:t>These issues are called Category 1 issues.</w:t>
      </w:r>
      <w:r w:rsidRPr="002B49F2" w:rsidR="006B5084">
        <w:rPr>
          <w:rFonts w:ascii="Arial" w:hAnsi="Arial" w:cs="Arial"/>
          <w:sz w:val="22"/>
          <w:szCs w:val="22"/>
        </w:rPr>
        <w:t xml:space="preserve"> The LR GEIS also identifies issues and processes that are unique to each nuclear power plant, require site-specific information, or have different impacts, </w:t>
      </w:r>
      <w:r w:rsidRPr="002B49F2" w:rsidR="00590481">
        <w:rPr>
          <w:rFonts w:ascii="Arial" w:hAnsi="Arial" w:cs="Arial"/>
          <w:sz w:val="22"/>
          <w:szCs w:val="22"/>
        </w:rPr>
        <w:t xml:space="preserve">and which </w:t>
      </w:r>
      <w:r w:rsidRPr="002B49F2" w:rsidR="006B5084">
        <w:rPr>
          <w:rFonts w:ascii="Arial" w:hAnsi="Arial" w:cs="Arial"/>
          <w:sz w:val="22"/>
          <w:szCs w:val="22"/>
        </w:rPr>
        <w:t xml:space="preserve">need to be addressed separately in </w:t>
      </w:r>
      <w:r w:rsidRPr="002B49F2" w:rsidR="008068D0">
        <w:rPr>
          <w:rFonts w:ascii="Arial" w:hAnsi="Arial" w:cs="Arial"/>
          <w:sz w:val="22"/>
          <w:szCs w:val="22"/>
        </w:rPr>
        <w:t>plant</w:t>
      </w:r>
      <w:r w:rsidRPr="002B49F2" w:rsidR="006B5084">
        <w:rPr>
          <w:rFonts w:ascii="Arial" w:hAnsi="Arial" w:cs="Arial"/>
          <w:sz w:val="22"/>
          <w:szCs w:val="22"/>
        </w:rPr>
        <w:t>-</w:t>
      </w:r>
      <w:r w:rsidRPr="002B49F2" w:rsidR="006B5084">
        <w:rPr>
          <w:rFonts w:ascii="Arial" w:hAnsi="Arial" w:cs="Arial"/>
          <w:sz w:val="22"/>
          <w:szCs w:val="22"/>
        </w:rPr>
        <w:t>specific supplement</w:t>
      </w:r>
      <w:r w:rsidRPr="002B49F2" w:rsidR="0083263B">
        <w:rPr>
          <w:rFonts w:ascii="Arial" w:hAnsi="Arial" w:cs="Arial"/>
          <w:sz w:val="22"/>
          <w:szCs w:val="22"/>
        </w:rPr>
        <w:t>s</w:t>
      </w:r>
      <w:r w:rsidRPr="002B49F2" w:rsidR="006B5084">
        <w:rPr>
          <w:rFonts w:ascii="Arial" w:hAnsi="Arial" w:cs="Arial"/>
          <w:sz w:val="22"/>
          <w:szCs w:val="22"/>
        </w:rPr>
        <w:t xml:space="preserve"> to the LR GEIS. These are called Category 2 issues. The findings of the</w:t>
      </w:r>
      <w:r w:rsidRPr="002B49F2" w:rsidR="00C1670F">
        <w:rPr>
          <w:rFonts w:ascii="Arial" w:hAnsi="Arial" w:cs="Arial"/>
          <w:sz w:val="22"/>
          <w:szCs w:val="22"/>
        </w:rPr>
        <w:t> </w:t>
      </w:r>
      <w:r w:rsidRPr="002B49F2" w:rsidR="006B5084">
        <w:rPr>
          <w:rFonts w:ascii="Arial" w:hAnsi="Arial" w:cs="Arial"/>
          <w:sz w:val="22"/>
          <w:szCs w:val="22"/>
        </w:rPr>
        <w:t>LR GEIS are codified in Table B-1, “Summary of Findings on NEPA Issues for License Renewal of Nuclear Power Plants,” of Appendix B to Subpart A, “Environmental Effect of Renewing the</w:t>
      </w:r>
      <w:r w:rsidRPr="002B49F2" w:rsidR="00A41681">
        <w:rPr>
          <w:rFonts w:ascii="Arial" w:hAnsi="Arial" w:cs="Arial"/>
          <w:sz w:val="22"/>
          <w:szCs w:val="22"/>
        </w:rPr>
        <w:t> </w:t>
      </w:r>
      <w:r w:rsidRPr="002B49F2" w:rsidR="006B5084">
        <w:rPr>
          <w:rFonts w:ascii="Arial" w:hAnsi="Arial" w:cs="Arial"/>
          <w:sz w:val="22"/>
          <w:szCs w:val="22"/>
        </w:rPr>
        <w:t>Operating License of a Nuclear Power Plant, of 10 CFR Part 51</w:t>
      </w:r>
      <w:r w:rsidRPr="002B49F2" w:rsidR="00A41681">
        <w:rPr>
          <w:rFonts w:ascii="Arial" w:hAnsi="Arial" w:cs="Arial"/>
          <w:sz w:val="22"/>
          <w:szCs w:val="22"/>
        </w:rPr>
        <w:t xml:space="preserve"> (hereafter referred to as “Table B-1”).</w:t>
      </w:r>
    </w:p>
    <w:p w:rsidR="00FF1D8B" w:rsidRPr="002B49F2" w:rsidP="00CB7D7B" w14:paraId="08D56981" w14:textId="77777777">
      <w:pPr>
        <w:rPr>
          <w:rFonts w:ascii="Arial" w:hAnsi="Arial" w:cs="Arial"/>
          <w:sz w:val="22"/>
          <w:szCs w:val="22"/>
        </w:rPr>
      </w:pPr>
    </w:p>
    <w:p w:rsidR="00A41681" w:rsidRPr="002B49F2" w:rsidP="00CB7D7B" w14:paraId="64E7A766" w14:textId="464513C5">
      <w:pPr>
        <w:rPr>
          <w:rFonts w:ascii="Arial" w:hAnsi="Arial" w:cs="Arial"/>
          <w:sz w:val="22"/>
          <w:szCs w:val="22"/>
        </w:rPr>
      </w:pPr>
      <w:r w:rsidRPr="002B49F2">
        <w:rPr>
          <w:rFonts w:ascii="Arial" w:hAnsi="Arial" w:cs="Arial"/>
          <w:sz w:val="22"/>
          <w:szCs w:val="22"/>
        </w:rPr>
        <w:t>The NRC’s regulations in 10 CFR Part 51.53(c) require each applicant to prepare and submit a report entitled “Applicant’s Environmental Report – Operating License Renewal Stage,” as part of the applicant’s license renewal application. The information provided by an applicant in the environmental report helps the NRC meet its regulatory obligations under NEPA.</w:t>
      </w:r>
      <w:r w:rsidRPr="002B49F2" w:rsidR="00632AC5">
        <w:rPr>
          <w:rFonts w:ascii="Arial" w:hAnsi="Arial" w:cs="Arial"/>
          <w:sz w:val="22"/>
          <w:szCs w:val="22"/>
        </w:rPr>
        <w:t xml:space="preserve"> In the environmental report, the applicant provides information about the plant, the environment that could be affected by license renewal, and an assessment of the environmental impacts from issues identified as Category 2 issues in Table B-1. The applicant is also required to include descriptive information and any new and significant information for Category 1 issues in Table B-1.</w:t>
      </w:r>
    </w:p>
    <w:p w:rsidR="00D852D3" w:rsidRPr="002B49F2" w:rsidP="00CB7D7B" w14:paraId="4376EB41" w14:textId="442C06A3">
      <w:pPr>
        <w:rPr>
          <w:rFonts w:ascii="Arial" w:hAnsi="Arial" w:cs="Arial"/>
          <w:sz w:val="22"/>
          <w:szCs w:val="22"/>
        </w:rPr>
      </w:pPr>
    </w:p>
    <w:p w:rsidR="0089099C" w:rsidRPr="002B49F2" w:rsidP="00CC257B" w14:paraId="5965402A" w14:textId="2A71241F">
      <w:pPr>
        <w:rPr>
          <w:rFonts w:ascii="Arial" w:hAnsi="Arial" w:cs="Arial"/>
          <w:sz w:val="22"/>
          <w:szCs w:val="22"/>
        </w:rPr>
      </w:pPr>
      <w:r w:rsidRPr="002B49F2">
        <w:rPr>
          <w:rFonts w:ascii="Arial" w:hAnsi="Arial" w:cs="Arial"/>
          <w:sz w:val="22"/>
          <w:szCs w:val="22"/>
        </w:rPr>
        <w:t>In Appendix B to Subpart A of 10 CFR Part 51, the Commission indicated that it intended to review the material in Table B-1 on a 10-year basis</w:t>
      </w:r>
      <w:r w:rsidRPr="002B49F2" w:rsidR="00692A01">
        <w:rPr>
          <w:rFonts w:ascii="Arial" w:hAnsi="Arial" w:cs="Arial"/>
          <w:sz w:val="22"/>
          <w:szCs w:val="22"/>
        </w:rPr>
        <w:t xml:space="preserve"> and update it</w:t>
      </w:r>
      <w:r w:rsidRPr="002B49F2" w:rsidR="00300176">
        <w:rPr>
          <w:rFonts w:ascii="Arial" w:hAnsi="Arial" w:cs="Arial"/>
          <w:sz w:val="22"/>
          <w:szCs w:val="22"/>
        </w:rPr>
        <w:t>, if necessary</w:t>
      </w:r>
      <w:r w:rsidRPr="002B49F2">
        <w:rPr>
          <w:rFonts w:ascii="Arial" w:hAnsi="Arial" w:cs="Arial"/>
          <w:sz w:val="22"/>
          <w:szCs w:val="22"/>
        </w:rPr>
        <w:t xml:space="preserve">. </w:t>
      </w:r>
      <w:r w:rsidRPr="002B49F2" w:rsidR="00587394">
        <w:rPr>
          <w:rFonts w:ascii="Arial" w:hAnsi="Arial" w:cs="Arial"/>
          <w:sz w:val="22"/>
          <w:szCs w:val="22"/>
        </w:rPr>
        <w:t>The LR GEIS provides the technical basis for Table B-1</w:t>
      </w:r>
      <w:r w:rsidRPr="002B49F2" w:rsidR="00D57B39">
        <w:rPr>
          <w:rFonts w:ascii="Arial" w:hAnsi="Arial" w:cs="Arial"/>
          <w:sz w:val="22"/>
          <w:szCs w:val="22"/>
        </w:rPr>
        <w:t>.</w:t>
      </w:r>
      <w:r w:rsidRPr="002B49F2">
        <w:rPr>
          <w:rFonts w:ascii="Arial" w:hAnsi="Arial" w:cs="Arial"/>
          <w:sz w:val="22"/>
          <w:szCs w:val="22"/>
        </w:rPr>
        <w:t xml:space="preserve"> </w:t>
      </w:r>
      <w:r w:rsidRPr="002B49F2" w:rsidR="00CF7215">
        <w:rPr>
          <w:rFonts w:ascii="Arial" w:hAnsi="Arial" w:cs="Arial"/>
          <w:sz w:val="22"/>
          <w:szCs w:val="22"/>
        </w:rPr>
        <w:t>The previous 10-year review and update was completed in 2013, when t</w:t>
      </w:r>
      <w:r w:rsidRPr="002B49F2" w:rsidR="00D852D3">
        <w:rPr>
          <w:rFonts w:ascii="Arial" w:hAnsi="Arial" w:cs="Arial"/>
          <w:sz w:val="22"/>
          <w:szCs w:val="22"/>
        </w:rPr>
        <w:t>he findings of the last revision of the LR GEIS were published as a</w:t>
      </w:r>
      <w:r w:rsidRPr="002B49F2" w:rsidR="00983E5B">
        <w:rPr>
          <w:rFonts w:ascii="Arial" w:hAnsi="Arial" w:cs="Arial"/>
          <w:sz w:val="22"/>
          <w:szCs w:val="22"/>
        </w:rPr>
        <w:t> </w:t>
      </w:r>
      <w:r w:rsidRPr="002B49F2" w:rsidR="00D852D3">
        <w:rPr>
          <w:rFonts w:ascii="Arial" w:hAnsi="Arial" w:cs="Arial"/>
          <w:sz w:val="22"/>
          <w:szCs w:val="22"/>
        </w:rPr>
        <w:t xml:space="preserve">final rule on </w:t>
      </w:r>
      <w:r w:rsidRPr="002B49F2" w:rsidR="005401AC">
        <w:rPr>
          <w:rFonts w:ascii="Arial" w:hAnsi="Arial" w:cs="Arial"/>
          <w:sz w:val="22"/>
          <w:szCs w:val="22"/>
        </w:rPr>
        <w:t>June 20, 2013 (78 FR 37282).</w:t>
      </w:r>
      <w:r w:rsidRPr="002B49F2" w:rsidR="00D90313">
        <w:rPr>
          <w:rFonts w:ascii="Arial" w:hAnsi="Arial" w:cs="Arial"/>
          <w:sz w:val="22"/>
          <w:szCs w:val="22"/>
        </w:rPr>
        <w:t xml:space="preserve"> </w:t>
      </w:r>
      <w:r w:rsidRPr="002B49F2" w:rsidR="00361FA1">
        <w:rPr>
          <w:rFonts w:ascii="Arial" w:hAnsi="Arial" w:cs="Arial"/>
          <w:sz w:val="22"/>
          <w:szCs w:val="22"/>
        </w:rPr>
        <w:t>In 2020, t</w:t>
      </w:r>
      <w:r w:rsidRPr="002B49F2" w:rsidR="007239EA">
        <w:rPr>
          <w:rFonts w:ascii="Arial" w:hAnsi="Arial" w:cs="Arial"/>
          <w:sz w:val="22"/>
          <w:szCs w:val="22"/>
        </w:rPr>
        <w:t>he</w:t>
      </w:r>
      <w:r w:rsidRPr="002B49F2" w:rsidR="00361FA1">
        <w:rPr>
          <w:rFonts w:ascii="Arial" w:hAnsi="Arial" w:cs="Arial"/>
          <w:sz w:val="22"/>
          <w:szCs w:val="22"/>
        </w:rPr>
        <w:t xml:space="preserve"> NRC</w:t>
      </w:r>
      <w:r w:rsidRPr="002B49F2" w:rsidR="007239EA">
        <w:rPr>
          <w:rFonts w:ascii="Arial" w:hAnsi="Arial" w:cs="Arial"/>
          <w:sz w:val="22"/>
          <w:szCs w:val="22"/>
        </w:rPr>
        <w:t xml:space="preserve"> staff initiated the 10-year review and update</w:t>
      </w:r>
      <w:r w:rsidRPr="002B49F2" w:rsidR="00361FA1">
        <w:rPr>
          <w:rFonts w:ascii="Arial" w:hAnsi="Arial" w:cs="Arial"/>
          <w:sz w:val="22"/>
          <w:szCs w:val="22"/>
        </w:rPr>
        <w:t xml:space="preserve"> </w:t>
      </w:r>
      <w:r w:rsidRPr="002B49F2" w:rsidR="002B0CF4">
        <w:rPr>
          <w:rFonts w:ascii="Arial" w:hAnsi="Arial" w:cs="Arial"/>
          <w:sz w:val="22"/>
          <w:szCs w:val="22"/>
        </w:rPr>
        <w:t>with</w:t>
      </w:r>
      <w:r w:rsidRPr="002B49F2" w:rsidR="006C177A">
        <w:rPr>
          <w:rFonts w:ascii="Arial" w:hAnsi="Arial" w:cs="Arial"/>
          <w:sz w:val="22"/>
          <w:szCs w:val="22"/>
        </w:rPr>
        <w:t xml:space="preserve"> the </w:t>
      </w:r>
      <w:r w:rsidRPr="002B49F2" w:rsidR="007725BD">
        <w:rPr>
          <w:rFonts w:ascii="Arial" w:hAnsi="Arial" w:cs="Arial"/>
          <w:sz w:val="22"/>
          <w:szCs w:val="22"/>
        </w:rPr>
        <w:t>publication of</w:t>
      </w:r>
      <w:r w:rsidRPr="002B49F2" w:rsidR="006C177A">
        <w:rPr>
          <w:rFonts w:ascii="Arial" w:hAnsi="Arial" w:cs="Arial"/>
          <w:sz w:val="22"/>
          <w:szCs w:val="22"/>
        </w:rPr>
        <w:t xml:space="preserve"> a notice of intent to review and potentially update the</w:t>
      </w:r>
      <w:r w:rsidRPr="002B49F2" w:rsidR="00983E5B">
        <w:rPr>
          <w:rFonts w:ascii="Arial" w:hAnsi="Arial" w:cs="Arial"/>
          <w:sz w:val="22"/>
          <w:szCs w:val="22"/>
        </w:rPr>
        <w:t> </w:t>
      </w:r>
      <w:r w:rsidRPr="002B49F2" w:rsidR="006C177A">
        <w:rPr>
          <w:rFonts w:ascii="Arial" w:hAnsi="Arial" w:cs="Arial"/>
          <w:sz w:val="22"/>
          <w:szCs w:val="22"/>
        </w:rPr>
        <w:t xml:space="preserve">2013 </w:t>
      </w:r>
      <w:r w:rsidRPr="002B49F2" w:rsidR="00CF7215">
        <w:rPr>
          <w:rFonts w:ascii="Arial" w:hAnsi="Arial" w:cs="Arial"/>
          <w:sz w:val="22"/>
          <w:szCs w:val="22"/>
        </w:rPr>
        <w:t xml:space="preserve">LR </w:t>
      </w:r>
      <w:r w:rsidRPr="002B49F2" w:rsidR="006C177A">
        <w:rPr>
          <w:rFonts w:ascii="Arial" w:hAnsi="Arial" w:cs="Arial"/>
          <w:sz w:val="22"/>
          <w:szCs w:val="22"/>
        </w:rPr>
        <w:t xml:space="preserve">GEIS in the </w:t>
      </w:r>
      <w:r w:rsidRPr="002B49F2" w:rsidR="006C177A">
        <w:rPr>
          <w:rFonts w:ascii="Arial" w:hAnsi="Arial" w:cs="Arial"/>
          <w:i/>
          <w:iCs/>
          <w:sz w:val="22"/>
          <w:szCs w:val="22"/>
        </w:rPr>
        <w:t>Federal Register</w:t>
      </w:r>
      <w:r w:rsidRPr="002B49F2" w:rsidR="006C177A">
        <w:rPr>
          <w:rFonts w:ascii="Arial" w:hAnsi="Arial" w:cs="Arial"/>
          <w:sz w:val="22"/>
          <w:szCs w:val="22"/>
        </w:rPr>
        <w:t xml:space="preserve"> (85 FR 47252; August 4, 2020).</w:t>
      </w:r>
    </w:p>
    <w:p w:rsidR="0089099C" w:rsidRPr="002B49F2" w:rsidP="00CC257B" w14:paraId="69D84B52" w14:textId="77777777">
      <w:pPr>
        <w:rPr>
          <w:rFonts w:ascii="Arial" w:hAnsi="Arial" w:cs="Arial"/>
          <w:sz w:val="22"/>
          <w:szCs w:val="22"/>
        </w:rPr>
      </w:pPr>
    </w:p>
    <w:p w:rsidR="00B871E6" w:rsidRPr="002B49F2" w:rsidP="00CC257B" w14:paraId="1619ED82" w14:textId="1462FD73">
      <w:pPr>
        <w:rPr>
          <w:rFonts w:ascii="Arial" w:hAnsi="Arial" w:cs="Arial"/>
          <w:sz w:val="22"/>
          <w:szCs w:val="22"/>
        </w:rPr>
      </w:pPr>
      <w:r w:rsidRPr="002B49F2">
        <w:rPr>
          <w:rFonts w:ascii="Arial" w:hAnsi="Arial" w:cs="Arial"/>
          <w:sz w:val="22"/>
          <w:szCs w:val="22"/>
        </w:rPr>
        <w:t>In February 2022, the Commission issued orders</w:t>
      </w:r>
      <w:r w:rsidRPr="002B49F2" w:rsidR="009D3E01">
        <w:rPr>
          <w:rFonts w:ascii="Arial" w:hAnsi="Arial" w:cs="Arial"/>
          <w:sz w:val="22"/>
          <w:szCs w:val="22"/>
        </w:rPr>
        <w:t xml:space="preserve"> </w:t>
      </w:r>
      <w:r w:rsidRPr="002B49F2" w:rsidR="00467478">
        <w:rPr>
          <w:rFonts w:ascii="Arial" w:hAnsi="Arial" w:cs="Arial"/>
          <w:sz w:val="22"/>
          <w:szCs w:val="22"/>
        </w:rPr>
        <w:t xml:space="preserve">CLI-22-02, CLI-22-03, and CLI-22-04 </w:t>
      </w:r>
      <w:r w:rsidRPr="002B49F2" w:rsidR="009D3E01">
        <w:rPr>
          <w:rFonts w:ascii="Arial" w:hAnsi="Arial" w:cs="Arial"/>
          <w:sz w:val="22"/>
          <w:szCs w:val="22"/>
        </w:rPr>
        <w:t>that concluded that the</w:t>
      </w:r>
      <w:r w:rsidRPr="002B49F2" w:rsidR="00467478">
        <w:rPr>
          <w:rFonts w:ascii="Arial" w:hAnsi="Arial" w:cs="Arial"/>
          <w:sz w:val="22"/>
          <w:szCs w:val="22"/>
        </w:rPr>
        <w:t> </w:t>
      </w:r>
      <w:r w:rsidRPr="002B49F2" w:rsidR="009D3E01">
        <w:rPr>
          <w:rFonts w:ascii="Arial" w:hAnsi="Arial" w:cs="Arial"/>
          <w:sz w:val="22"/>
          <w:szCs w:val="22"/>
        </w:rPr>
        <w:t xml:space="preserve">staff </w:t>
      </w:r>
      <w:r w:rsidRPr="002B49F2" w:rsidR="00C01B51">
        <w:rPr>
          <w:rFonts w:ascii="Arial" w:hAnsi="Arial" w:cs="Arial"/>
          <w:sz w:val="22"/>
          <w:szCs w:val="22"/>
        </w:rPr>
        <w:t xml:space="preserve">could not rely on the LR GEIS </w:t>
      </w:r>
      <w:r w:rsidRPr="002B49F2" w:rsidR="007B517E">
        <w:rPr>
          <w:rFonts w:ascii="Arial" w:hAnsi="Arial" w:cs="Arial"/>
          <w:sz w:val="22"/>
          <w:szCs w:val="22"/>
        </w:rPr>
        <w:t xml:space="preserve">and Table B-1 </w:t>
      </w:r>
      <w:r w:rsidRPr="002B49F2" w:rsidR="00C01B51">
        <w:rPr>
          <w:rFonts w:ascii="Arial" w:hAnsi="Arial" w:cs="Arial"/>
          <w:sz w:val="22"/>
          <w:szCs w:val="22"/>
        </w:rPr>
        <w:t xml:space="preserve">for Category 1 issues </w:t>
      </w:r>
      <w:r w:rsidRPr="002B49F2" w:rsidR="004D4816">
        <w:rPr>
          <w:rFonts w:ascii="Arial" w:hAnsi="Arial" w:cs="Arial"/>
          <w:sz w:val="22"/>
          <w:szCs w:val="22"/>
        </w:rPr>
        <w:t>for</w:t>
      </w:r>
      <w:r w:rsidRPr="002B49F2" w:rsidR="00C01B51">
        <w:rPr>
          <w:rFonts w:ascii="Arial" w:hAnsi="Arial" w:cs="Arial"/>
          <w:sz w:val="22"/>
          <w:szCs w:val="22"/>
        </w:rPr>
        <w:t xml:space="preserve"> </w:t>
      </w:r>
      <w:r w:rsidRPr="002B49F2" w:rsidR="00A546B7">
        <w:rPr>
          <w:rFonts w:ascii="Arial" w:hAnsi="Arial" w:cs="Arial"/>
          <w:sz w:val="22"/>
          <w:szCs w:val="22"/>
        </w:rPr>
        <w:t>SLR</w:t>
      </w:r>
      <w:r w:rsidRPr="002B49F2" w:rsidR="00710391">
        <w:rPr>
          <w:rFonts w:ascii="Arial" w:hAnsi="Arial" w:cs="Arial"/>
          <w:sz w:val="22"/>
          <w:szCs w:val="22"/>
        </w:rPr>
        <w:t>s</w:t>
      </w:r>
      <w:r w:rsidRPr="002B49F2" w:rsidR="00467478">
        <w:rPr>
          <w:rFonts w:ascii="Arial" w:hAnsi="Arial" w:cs="Arial"/>
          <w:sz w:val="22"/>
          <w:szCs w:val="22"/>
        </w:rPr>
        <w:t xml:space="preserve">. </w:t>
      </w:r>
      <w:r w:rsidRPr="002B49F2" w:rsidR="00CC257B">
        <w:rPr>
          <w:rFonts w:ascii="Arial" w:hAnsi="Arial" w:cs="Arial"/>
          <w:sz w:val="22"/>
          <w:szCs w:val="22"/>
        </w:rPr>
        <w:t>In</w:t>
      </w:r>
      <w:r w:rsidRPr="002B49F2" w:rsidR="00946EE0">
        <w:rPr>
          <w:rFonts w:ascii="Arial" w:hAnsi="Arial" w:cs="Arial"/>
          <w:sz w:val="22"/>
          <w:szCs w:val="22"/>
        </w:rPr>
        <w:t> </w:t>
      </w:r>
      <w:r w:rsidRPr="002B49F2" w:rsidR="00CC257B">
        <w:rPr>
          <w:rFonts w:ascii="Arial" w:hAnsi="Arial" w:cs="Arial"/>
          <w:sz w:val="22"/>
          <w:szCs w:val="22"/>
        </w:rPr>
        <w:t>April 2022, the</w:t>
      </w:r>
      <w:r w:rsidRPr="002B49F2" w:rsidR="00467478">
        <w:rPr>
          <w:rFonts w:ascii="Arial" w:hAnsi="Arial" w:cs="Arial"/>
          <w:sz w:val="22"/>
          <w:szCs w:val="22"/>
        </w:rPr>
        <w:t> </w:t>
      </w:r>
      <w:r w:rsidRPr="002B49F2" w:rsidR="00CC257B">
        <w:rPr>
          <w:rFonts w:ascii="Arial" w:hAnsi="Arial" w:cs="Arial"/>
          <w:sz w:val="22"/>
          <w:szCs w:val="22"/>
        </w:rPr>
        <w:t xml:space="preserve">Commission </w:t>
      </w:r>
      <w:r w:rsidRPr="002B49F2" w:rsidR="00126A00">
        <w:rPr>
          <w:rFonts w:ascii="Arial" w:hAnsi="Arial" w:cs="Arial"/>
          <w:sz w:val="22"/>
          <w:szCs w:val="22"/>
        </w:rPr>
        <w:t>directed</w:t>
      </w:r>
      <w:r w:rsidRPr="002B49F2" w:rsidR="00F411AC">
        <w:rPr>
          <w:rFonts w:ascii="Arial" w:hAnsi="Arial" w:cs="Arial"/>
          <w:sz w:val="22"/>
          <w:szCs w:val="22"/>
        </w:rPr>
        <w:t xml:space="preserve"> </w:t>
      </w:r>
      <w:r w:rsidRPr="002B49F2" w:rsidR="00CC257B">
        <w:rPr>
          <w:rFonts w:ascii="Arial" w:hAnsi="Arial" w:cs="Arial"/>
          <w:sz w:val="22"/>
          <w:szCs w:val="22"/>
        </w:rPr>
        <w:t xml:space="preserve">the staff </w:t>
      </w:r>
      <w:r w:rsidRPr="002B49F2" w:rsidR="00C1256C">
        <w:rPr>
          <w:rFonts w:ascii="Arial" w:hAnsi="Arial" w:cs="Arial"/>
          <w:sz w:val="22"/>
          <w:szCs w:val="22"/>
        </w:rPr>
        <w:t>to initiate a</w:t>
      </w:r>
      <w:r w:rsidRPr="002B49F2" w:rsidR="009F04F2">
        <w:rPr>
          <w:rFonts w:ascii="Arial" w:hAnsi="Arial" w:cs="Arial"/>
          <w:sz w:val="22"/>
          <w:szCs w:val="22"/>
        </w:rPr>
        <w:t> </w:t>
      </w:r>
      <w:r w:rsidRPr="002B49F2" w:rsidR="00CC257B">
        <w:rPr>
          <w:rFonts w:ascii="Arial" w:hAnsi="Arial" w:cs="Arial"/>
          <w:sz w:val="22"/>
          <w:szCs w:val="22"/>
        </w:rPr>
        <w:t>rulemaking</w:t>
      </w:r>
      <w:r w:rsidRPr="002B49F2" w:rsidR="00C1256C">
        <w:rPr>
          <w:rFonts w:ascii="Arial" w:hAnsi="Arial" w:cs="Arial"/>
          <w:sz w:val="22"/>
          <w:szCs w:val="22"/>
        </w:rPr>
        <w:t xml:space="preserve"> that would align with the recent Commission orders regarding the NEPA analysis for </w:t>
      </w:r>
      <w:r w:rsidRPr="002B49F2" w:rsidR="00A546B7">
        <w:rPr>
          <w:rFonts w:ascii="Arial" w:hAnsi="Arial" w:cs="Arial"/>
          <w:sz w:val="22"/>
          <w:szCs w:val="22"/>
        </w:rPr>
        <w:t>SLR</w:t>
      </w:r>
      <w:r w:rsidRPr="002B49F2" w:rsidR="00087502">
        <w:rPr>
          <w:rFonts w:ascii="Arial" w:hAnsi="Arial" w:cs="Arial"/>
          <w:sz w:val="22"/>
          <w:szCs w:val="22"/>
        </w:rPr>
        <w:t xml:space="preserve"> applications as well as to remove the</w:t>
      </w:r>
      <w:r w:rsidRPr="002B49F2" w:rsidR="003C270A">
        <w:rPr>
          <w:rFonts w:ascii="Arial" w:hAnsi="Arial" w:cs="Arial"/>
          <w:sz w:val="22"/>
          <w:szCs w:val="22"/>
        </w:rPr>
        <w:t> </w:t>
      </w:r>
      <w:r w:rsidRPr="002B49F2" w:rsidR="00087502">
        <w:rPr>
          <w:rFonts w:ascii="Arial" w:hAnsi="Arial" w:cs="Arial"/>
          <w:sz w:val="22"/>
          <w:szCs w:val="22"/>
        </w:rPr>
        <w:t>word “initial”</w:t>
      </w:r>
      <w:r w:rsidRPr="002B49F2" w:rsidR="00762990">
        <w:rPr>
          <w:rFonts w:ascii="Arial" w:hAnsi="Arial" w:cs="Arial"/>
          <w:sz w:val="22"/>
          <w:szCs w:val="22"/>
        </w:rPr>
        <w:t xml:space="preserve"> from 10 CFR 51.53(c)(3)</w:t>
      </w:r>
      <w:r w:rsidRPr="002B49F2" w:rsidR="00426988">
        <w:rPr>
          <w:rFonts w:ascii="Arial" w:hAnsi="Arial" w:cs="Arial"/>
          <w:sz w:val="22"/>
          <w:szCs w:val="22"/>
        </w:rPr>
        <w:t xml:space="preserve">, which </w:t>
      </w:r>
      <w:r w:rsidRPr="002B49F2" w:rsidR="000A271D">
        <w:rPr>
          <w:rFonts w:ascii="Arial" w:hAnsi="Arial" w:cs="Arial"/>
          <w:sz w:val="22"/>
          <w:szCs w:val="22"/>
        </w:rPr>
        <w:t xml:space="preserve">governs </w:t>
      </w:r>
      <w:r w:rsidRPr="002B49F2" w:rsidR="00025C15">
        <w:rPr>
          <w:rFonts w:ascii="Arial" w:hAnsi="Arial" w:cs="Arial"/>
          <w:sz w:val="22"/>
          <w:szCs w:val="22"/>
        </w:rPr>
        <w:t>the content of license renewal applicants</w:t>
      </w:r>
      <w:r w:rsidRPr="002B49F2" w:rsidR="00BB03B1">
        <w:rPr>
          <w:rFonts w:ascii="Arial" w:hAnsi="Arial" w:cs="Arial"/>
          <w:sz w:val="22"/>
          <w:szCs w:val="22"/>
        </w:rPr>
        <w:t>’</w:t>
      </w:r>
      <w:r w:rsidRPr="002B49F2" w:rsidR="00025C15">
        <w:rPr>
          <w:rFonts w:ascii="Arial" w:hAnsi="Arial" w:cs="Arial"/>
          <w:sz w:val="22"/>
          <w:szCs w:val="22"/>
        </w:rPr>
        <w:t xml:space="preserve"> </w:t>
      </w:r>
      <w:r w:rsidRPr="002B49F2" w:rsidR="00FE1131">
        <w:rPr>
          <w:rFonts w:ascii="Arial" w:hAnsi="Arial" w:cs="Arial"/>
          <w:sz w:val="22"/>
          <w:szCs w:val="22"/>
        </w:rPr>
        <w:t>environmental reports</w:t>
      </w:r>
      <w:r w:rsidRPr="002B49F2" w:rsidR="00025C15">
        <w:rPr>
          <w:rFonts w:ascii="Arial" w:hAnsi="Arial" w:cs="Arial"/>
          <w:sz w:val="22"/>
          <w:szCs w:val="22"/>
        </w:rPr>
        <w:t>,</w:t>
      </w:r>
      <w:r w:rsidRPr="002B49F2" w:rsidR="00087502">
        <w:rPr>
          <w:rFonts w:ascii="Arial" w:hAnsi="Arial" w:cs="Arial"/>
          <w:sz w:val="22"/>
          <w:szCs w:val="22"/>
        </w:rPr>
        <w:t xml:space="preserve"> and to revise the LR GEIS and Table B-1 and associated guidance to affirm their applicability to </w:t>
      </w:r>
      <w:r w:rsidRPr="002B49F2" w:rsidR="00A546B7">
        <w:rPr>
          <w:rFonts w:ascii="Arial" w:hAnsi="Arial" w:cs="Arial"/>
          <w:sz w:val="22"/>
          <w:szCs w:val="22"/>
        </w:rPr>
        <w:t>SLR</w:t>
      </w:r>
      <w:r w:rsidRPr="002B49F2" w:rsidR="0037689D">
        <w:rPr>
          <w:rFonts w:ascii="Arial" w:hAnsi="Arial" w:cs="Arial"/>
          <w:sz w:val="22"/>
          <w:szCs w:val="22"/>
        </w:rPr>
        <w:t xml:space="preserve"> reviews</w:t>
      </w:r>
      <w:r w:rsidRPr="002B49F2" w:rsidR="00CC257B">
        <w:rPr>
          <w:rFonts w:ascii="Arial" w:hAnsi="Arial" w:cs="Arial"/>
          <w:sz w:val="22"/>
          <w:szCs w:val="22"/>
        </w:rPr>
        <w:t>.</w:t>
      </w:r>
    </w:p>
    <w:p w:rsidR="00450A6E" w:rsidRPr="002B49F2" w:rsidP="00CB7D7B" w14:paraId="674BDBF3" w14:textId="2543ACC9">
      <w:pPr>
        <w:rPr>
          <w:rFonts w:ascii="Arial" w:hAnsi="Arial" w:cs="Arial"/>
          <w:sz w:val="22"/>
          <w:szCs w:val="22"/>
        </w:rPr>
      </w:pPr>
    </w:p>
    <w:p w:rsidR="00AC7129" w:rsidRPr="002B49F2" w:rsidP="00CB7D7B" w14:paraId="304862BA" w14:textId="2B48B474">
      <w:pPr>
        <w:rPr>
          <w:rFonts w:ascii="Arial" w:hAnsi="Arial" w:cs="Arial"/>
          <w:sz w:val="22"/>
          <w:szCs w:val="22"/>
        </w:rPr>
      </w:pPr>
      <w:r w:rsidRPr="002B49F2">
        <w:rPr>
          <w:rFonts w:ascii="Arial" w:hAnsi="Arial" w:cs="Arial"/>
          <w:sz w:val="22"/>
          <w:szCs w:val="22"/>
        </w:rPr>
        <w:t>To support the development of the proposed rule, the NRC staff reviewed and evaluated the</w:t>
      </w:r>
      <w:r w:rsidRPr="002B49F2" w:rsidR="00E03703">
        <w:rPr>
          <w:rFonts w:ascii="Arial" w:hAnsi="Arial" w:cs="Arial"/>
          <w:sz w:val="22"/>
          <w:szCs w:val="22"/>
        </w:rPr>
        <w:t> </w:t>
      </w:r>
      <w:r w:rsidRPr="002B49F2">
        <w:rPr>
          <w:rFonts w:ascii="Arial" w:hAnsi="Arial" w:cs="Arial"/>
          <w:sz w:val="22"/>
          <w:szCs w:val="22"/>
        </w:rPr>
        <w:t xml:space="preserve">environmental issues and impact findings in the 2013 LR GEIS for both initial </w:t>
      </w:r>
      <w:r w:rsidRPr="002B49F2" w:rsidR="00C762D1">
        <w:rPr>
          <w:rFonts w:ascii="Arial" w:hAnsi="Arial" w:cs="Arial"/>
          <w:sz w:val="22"/>
          <w:szCs w:val="22"/>
        </w:rPr>
        <w:t xml:space="preserve">LR </w:t>
      </w:r>
      <w:r w:rsidRPr="002B49F2">
        <w:rPr>
          <w:rFonts w:ascii="Arial" w:hAnsi="Arial" w:cs="Arial"/>
          <w:sz w:val="22"/>
          <w:szCs w:val="22"/>
        </w:rPr>
        <w:t xml:space="preserve">and </w:t>
      </w:r>
      <w:r w:rsidRPr="002B49F2" w:rsidR="001F2CFB">
        <w:rPr>
          <w:rFonts w:ascii="Arial" w:hAnsi="Arial" w:cs="Arial"/>
          <w:sz w:val="22"/>
          <w:szCs w:val="22"/>
        </w:rPr>
        <w:t>SLR</w:t>
      </w:r>
      <w:r w:rsidRPr="002B49F2">
        <w:rPr>
          <w:rFonts w:ascii="Arial" w:hAnsi="Arial" w:cs="Arial"/>
          <w:sz w:val="22"/>
          <w:szCs w:val="22"/>
        </w:rPr>
        <w:t xml:space="preserve">. </w:t>
      </w:r>
      <w:r w:rsidRPr="002B49F2">
        <w:rPr>
          <w:rFonts w:ascii="Arial" w:hAnsi="Arial" w:cs="Arial"/>
          <w:sz w:val="22"/>
          <w:szCs w:val="22"/>
        </w:rPr>
        <w:t xml:space="preserve">Lessons learned, knowledge gained, and experience from license renewal environmental reviews performed by the NRC since 2013 provided a significant source of new information for this assessment. In addition, new scientific research, changes in environmental regulations and impact methodology, and other new information were considered in evaluating the significance of impacts associated with initial </w:t>
      </w:r>
      <w:r w:rsidRPr="002B49F2" w:rsidR="00C762D1">
        <w:rPr>
          <w:rFonts w:ascii="Arial" w:hAnsi="Arial" w:cs="Arial"/>
          <w:sz w:val="22"/>
          <w:szCs w:val="22"/>
        </w:rPr>
        <w:t xml:space="preserve">LR </w:t>
      </w:r>
      <w:r w:rsidRPr="002B49F2">
        <w:rPr>
          <w:rFonts w:ascii="Arial" w:hAnsi="Arial" w:cs="Arial"/>
          <w:sz w:val="22"/>
          <w:szCs w:val="22"/>
        </w:rPr>
        <w:t xml:space="preserve">and </w:t>
      </w:r>
      <w:r w:rsidRPr="002B49F2" w:rsidR="00C762D1">
        <w:rPr>
          <w:rFonts w:ascii="Arial" w:hAnsi="Arial" w:cs="Arial"/>
          <w:sz w:val="22"/>
          <w:szCs w:val="22"/>
        </w:rPr>
        <w:t>SLR</w:t>
      </w:r>
      <w:r w:rsidRPr="002B49F2">
        <w:rPr>
          <w:rFonts w:ascii="Arial" w:hAnsi="Arial" w:cs="Arial"/>
          <w:sz w:val="22"/>
          <w:szCs w:val="22"/>
        </w:rPr>
        <w:t>. Public comments on previous plant-specific license renewal reviews were also analyzed to assess the</w:t>
      </w:r>
      <w:r w:rsidRPr="002B49F2" w:rsidR="00AF2CAB">
        <w:rPr>
          <w:rFonts w:ascii="Arial" w:hAnsi="Arial" w:cs="Arial"/>
          <w:sz w:val="22"/>
          <w:szCs w:val="22"/>
        </w:rPr>
        <w:t> </w:t>
      </w:r>
      <w:r w:rsidRPr="002B49F2">
        <w:rPr>
          <w:rFonts w:ascii="Arial" w:hAnsi="Arial" w:cs="Arial"/>
          <w:sz w:val="22"/>
          <w:szCs w:val="22"/>
        </w:rPr>
        <w:t xml:space="preserve">existing environmental issues and identify new ones. The purpose of this evaluation was to determine if the findings presented in the 2013 LR GEIS remain valid for initial </w:t>
      </w:r>
      <w:r w:rsidRPr="002B49F2" w:rsidR="00652B1E">
        <w:rPr>
          <w:rFonts w:ascii="Arial" w:hAnsi="Arial" w:cs="Arial"/>
          <w:sz w:val="22"/>
          <w:szCs w:val="22"/>
        </w:rPr>
        <w:t xml:space="preserve">LR </w:t>
      </w:r>
      <w:r w:rsidRPr="002B49F2">
        <w:rPr>
          <w:rFonts w:ascii="Arial" w:hAnsi="Arial" w:cs="Arial"/>
          <w:sz w:val="22"/>
          <w:szCs w:val="22"/>
        </w:rPr>
        <w:t>and to ensure that the</w:t>
      </w:r>
      <w:r w:rsidRPr="002B49F2">
        <w:rPr>
          <w:rFonts w:ascii="Arial" w:hAnsi="Arial" w:cs="Arial"/>
          <w:sz w:val="22"/>
          <w:szCs w:val="22"/>
        </w:rPr>
        <w:t> </w:t>
      </w:r>
      <w:r w:rsidRPr="002B49F2">
        <w:rPr>
          <w:rFonts w:ascii="Arial" w:hAnsi="Arial" w:cs="Arial"/>
          <w:sz w:val="22"/>
          <w:szCs w:val="22"/>
        </w:rPr>
        <w:t xml:space="preserve">analysis and assumptions support </w:t>
      </w:r>
      <w:r w:rsidRPr="002B49F2" w:rsidR="002A3A57">
        <w:rPr>
          <w:rFonts w:ascii="Arial" w:hAnsi="Arial" w:cs="Arial"/>
          <w:sz w:val="22"/>
          <w:szCs w:val="22"/>
        </w:rPr>
        <w:t>SLR</w:t>
      </w:r>
      <w:r w:rsidRPr="002B49F2">
        <w:rPr>
          <w:rFonts w:ascii="Arial" w:hAnsi="Arial" w:cs="Arial"/>
          <w:sz w:val="22"/>
          <w:szCs w:val="22"/>
        </w:rPr>
        <w:t>. In doing so, the NRC considered the need to modify, add to, or delete any of the</w:t>
      </w:r>
      <w:r w:rsidRPr="002B49F2" w:rsidR="003C270A">
        <w:rPr>
          <w:rFonts w:ascii="Arial" w:hAnsi="Arial" w:cs="Arial"/>
          <w:sz w:val="22"/>
          <w:szCs w:val="22"/>
        </w:rPr>
        <w:t> </w:t>
      </w:r>
      <w:r w:rsidRPr="002B49F2">
        <w:rPr>
          <w:rFonts w:ascii="Arial" w:hAnsi="Arial" w:cs="Arial"/>
          <w:sz w:val="22"/>
          <w:szCs w:val="22"/>
        </w:rPr>
        <w:t>78 environmental issues in the 2013 LR GEIS and codified in Table B-1. As a result of the</w:t>
      </w:r>
      <w:r w:rsidRPr="002B49F2" w:rsidR="004B441B">
        <w:rPr>
          <w:rFonts w:ascii="Arial" w:hAnsi="Arial" w:cs="Arial"/>
          <w:sz w:val="22"/>
          <w:szCs w:val="22"/>
        </w:rPr>
        <w:t> </w:t>
      </w:r>
      <w:r w:rsidRPr="002B49F2">
        <w:rPr>
          <w:rFonts w:ascii="Arial" w:hAnsi="Arial" w:cs="Arial"/>
          <w:sz w:val="22"/>
          <w:szCs w:val="22"/>
        </w:rPr>
        <w:t>detailed evaluation, the</w:t>
      </w:r>
      <w:r w:rsidRPr="002B49F2" w:rsidR="008721A5">
        <w:rPr>
          <w:rFonts w:ascii="Arial" w:hAnsi="Arial" w:cs="Arial"/>
          <w:sz w:val="22"/>
          <w:szCs w:val="22"/>
        </w:rPr>
        <w:t> </w:t>
      </w:r>
      <w:r w:rsidRPr="002B49F2">
        <w:rPr>
          <w:rFonts w:ascii="Arial" w:hAnsi="Arial" w:cs="Arial"/>
          <w:sz w:val="22"/>
          <w:szCs w:val="22"/>
        </w:rPr>
        <w:t>staff identified 80</w:t>
      </w:r>
      <w:r w:rsidRPr="002B49F2" w:rsidR="008B5B63">
        <w:rPr>
          <w:rFonts w:ascii="Arial" w:hAnsi="Arial" w:cs="Arial"/>
          <w:sz w:val="22"/>
          <w:szCs w:val="22"/>
        </w:rPr>
        <w:t> </w:t>
      </w:r>
      <w:r w:rsidRPr="002B49F2">
        <w:rPr>
          <w:rFonts w:ascii="Arial" w:hAnsi="Arial" w:cs="Arial"/>
          <w:sz w:val="22"/>
          <w:szCs w:val="22"/>
        </w:rPr>
        <w:t>environmental issues, which are considered in detail in the proposed LR GEIS revision. Fifty-nine of these issues were determined to be Category 1 and would not require additional plant-specific analysis. Of the remaining 21 issues, 20 were determined to be Category 2 and one issue remained uncategorized. No</w:t>
      </w:r>
      <w:r w:rsidRPr="002B49F2" w:rsidR="004B441B">
        <w:rPr>
          <w:rFonts w:ascii="Arial" w:hAnsi="Arial" w:cs="Arial"/>
          <w:sz w:val="22"/>
          <w:szCs w:val="22"/>
        </w:rPr>
        <w:t> </w:t>
      </w:r>
      <w:r w:rsidRPr="002B49F2">
        <w:rPr>
          <w:rFonts w:ascii="Arial" w:hAnsi="Arial" w:cs="Arial"/>
          <w:sz w:val="22"/>
          <w:szCs w:val="22"/>
        </w:rPr>
        <w:t>environmental issues identified in Table B-1 and evaluated in the 2013 LR GEIS were eliminated, but certain issues were consolidated, and one issue was divided into three separate issues.</w:t>
      </w:r>
    </w:p>
    <w:p w:rsidR="00AC7129" w:rsidRPr="002B49F2" w:rsidP="00CB7D7B" w14:paraId="48B621AD" w14:textId="1824F6EE">
      <w:pPr>
        <w:rPr>
          <w:rFonts w:ascii="Arial" w:hAnsi="Arial" w:cs="Arial"/>
          <w:sz w:val="22"/>
          <w:szCs w:val="22"/>
        </w:rPr>
      </w:pPr>
    </w:p>
    <w:p w:rsidR="00762365" w:rsidRPr="002B49F2" w:rsidP="00762365" w14:paraId="013D9575" w14:textId="77777777">
      <w:pPr>
        <w:pStyle w:val="BodyText"/>
        <w:keepNext/>
        <w:widowControl/>
        <w:kinsoku w:val="0"/>
        <w:overflowPunct w:val="0"/>
        <w:ind w:left="0"/>
        <w:rPr>
          <w:i/>
          <w:iCs/>
        </w:rPr>
      </w:pPr>
      <w:r w:rsidRPr="002B49F2">
        <w:rPr>
          <w:i/>
          <w:iCs/>
        </w:rPr>
        <w:t>Number of Nuclear Power Plants</w:t>
      </w:r>
    </w:p>
    <w:p w:rsidR="00762365" w:rsidRPr="002B49F2" w:rsidP="00762365" w14:paraId="329B6227" w14:textId="77777777">
      <w:pPr>
        <w:pStyle w:val="BodyText"/>
        <w:keepNext/>
        <w:widowControl/>
        <w:kinsoku w:val="0"/>
        <w:overflowPunct w:val="0"/>
        <w:ind w:left="0"/>
      </w:pPr>
    </w:p>
    <w:p w:rsidR="00762365" w:rsidRPr="002B49F2" w:rsidP="00762365" w14:paraId="0E1131F0" w14:textId="64E001DE">
      <w:pPr>
        <w:pStyle w:val="BodyText"/>
        <w:keepNext/>
        <w:widowControl/>
        <w:kinsoku w:val="0"/>
        <w:overflowPunct w:val="0"/>
        <w:ind w:left="0"/>
      </w:pPr>
      <w:r w:rsidRPr="002B49F2">
        <w:t xml:space="preserve">This rule would apply after the effective date of the final rule </w:t>
      </w:r>
      <w:r w:rsidRPr="002B49F2" w:rsidR="004E38AA">
        <w:t>to three</w:t>
      </w:r>
      <w:r w:rsidRPr="002B49F2">
        <w:t xml:space="preserve"> groups of nuclear power plant licensees: </w:t>
      </w:r>
      <w:r w:rsidRPr="002B49F2" w:rsidR="004E38AA">
        <w:t xml:space="preserve">1) initial </w:t>
      </w:r>
      <w:r w:rsidRPr="002B49F2" w:rsidR="00A22B95">
        <w:t>LR</w:t>
      </w:r>
      <w:r w:rsidRPr="002B49F2" w:rsidR="004E38AA">
        <w:t xml:space="preserve"> applicants; 2</w:t>
      </w:r>
      <w:r w:rsidRPr="002B49F2">
        <w:t xml:space="preserve">) </w:t>
      </w:r>
      <w:r w:rsidRPr="002B49F2" w:rsidR="00D05294">
        <w:t xml:space="preserve">applicants with </w:t>
      </w:r>
      <w:r w:rsidRPr="002B49F2">
        <w:t>near-term</w:t>
      </w:r>
      <w:r w:rsidRPr="002B49F2" w:rsidR="005628AA">
        <w:t xml:space="preserve"> and</w:t>
      </w:r>
      <w:r w:rsidRPr="002B49F2">
        <w:t xml:space="preserve"> submitted</w:t>
      </w:r>
      <w:r w:rsidRPr="002B49F2" w:rsidR="005628AA">
        <w:t xml:space="preserve"> applications</w:t>
      </w:r>
      <w:r w:rsidRPr="002B49F2">
        <w:t xml:space="preserve">, </w:t>
      </w:r>
      <w:r w:rsidRPr="002B49F2" w:rsidR="005628AA">
        <w:t>and</w:t>
      </w:r>
      <w:r w:rsidRPr="002B49F2">
        <w:t xml:space="preserve"> </w:t>
      </w:r>
      <w:r w:rsidRPr="002B49F2" w:rsidR="00D05294">
        <w:t xml:space="preserve">applicants with issued </w:t>
      </w:r>
      <w:r w:rsidRPr="002B49F2" w:rsidR="00D81CE2">
        <w:t>SLR</w:t>
      </w:r>
      <w:r w:rsidRPr="002B49F2" w:rsidR="00D05294">
        <w:t>s</w:t>
      </w:r>
      <w:r w:rsidRPr="002B49F2" w:rsidR="004E38AA">
        <w:t>;</w:t>
      </w:r>
      <w:r w:rsidRPr="002B49F2">
        <w:t xml:space="preserve"> and </w:t>
      </w:r>
      <w:r w:rsidRPr="002B49F2" w:rsidR="004E38AA">
        <w:t>3</w:t>
      </w:r>
      <w:r w:rsidRPr="002B49F2">
        <w:t xml:space="preserve">) future </w:t>
      </w:r>
      <w:r w:rsidRPr="002B49F2" w:rsidR="00D81CE2">
        <w:t>SLR</w:t>
      </w:r>
      <w:r w:rsidRPr="002B49F2">
        <w:t xml:space="preserve"> applicants. </w:t>
      </w:r>
      <w:r w:rsidRPr="002B49F2" w:rsidR="009D51DF">
        <w:t xml:space="preserve">The NRC expects the final rule to be published and become effective in 2024. The NRC estimates the following number of </w:t>
      </w:r>
      <w:r w:rsidRPr="002B49F2" w:rsidR="00EC4C94">
        <w:t>nuclear power plants to apply for license renewal during the 3-year period following the effective date of the final rule:</w:t>
      </w:r>
    </w:p>
    <w:p w:rsidR="00762365" w:rsidRPr="002B49F2" w:rsidP="00762365" w14:paraId="44B572E8" w14:textId="77777777">
      <w:pPr>
        <w:pStyle w:val="BodyText"/>
        <w:kinsoku w:val="0"/>
        <w:overflowPunct w:val="0"/>
        <w:ind w:left="0"/>
      </w:pPr>
    </w:p>
    <w:p w:rsidR="00EC4C94" w:rsidRPr="002B49F2" w:rsidP="00762365" w14:paraId="0B0508D6" w14:textId="7FF58806">
      <w:pPr>
        <w:pStyle w:val="BodyText"/>
        <w:numPr>
          <w:ilvl w:val="0"/>
          <w:numId w:val="20"/>
        </w:numPr>
        <w:kinsoku w:val="0"/>
        <w:overflowPunct w:val="0"/>
      </w:pPr>
      <w:r w:rsidRPr="002B49F2">
        <w:t xml:space="preserve">Initial </w:t>
      </w:r>
      <w:r w:rsidRPr="002B49F2" w:rsidR="002545E4">
        <w:t>LR</w:t>
      </w:r>
      <w:r w:rsidRPr="002B49F2">
        <w:t xml:space="preserve"> application. The NRC staff does not expect to receive any initial </w:t>
      </w:r>
      <w:r w:rsidRPr="002B49F2" w:rsidR="00A22B95">
        <w:t>LR</w:t>
      </w:r>
      <w:r w:rsidRPr="002B49F2">
        <w:t xml:space="preserve"> applications during </w:t>
      </w:r>
      <w:r w:rsidRPr="002B49F2" w:rsidR="00900E8D">
        <w:t xml:space="preserve">June </w:t>
      </w:r>
      <w:r w:rsidRPr="002B49F2">
        <w:t>2024</w:t>
      </w:r>
      <w:r w:rsidRPr="002B49F2" w:rsidR="00900E8D">
        <w:t xml:space="preserve"> – </w:t>
      </w:r>
      <w:r w:rsidRPr="002B49F2" w:rsidR="0019098A">
        <w:t xml:space="preserve">May </w:t>
      </w:r>
      <w:r w:rsidRPr="002B49F2">
        <w:t>202</w:t>
      </w:r>
      <w:r w:rsidRPr="002B49F2" w:rsidR="0019098A">
        <w:t>7</w:t>
      </w:r>
      <w:r w:rsidRPr="002B49F2">
        <w:t>.</w:t>
      </w:r>
    </w:p>
    <w:p w:rsidR="00762365" w:rsidRPr="002B49F2" w:rsidP="001D6AA1" w14:paraId="0005FEA5" w14:textId="321384EB">
      <w:pPr>
        <w:pStyle w:val="BodyText"/>
        <w:widowControl/>
        <w:numPr>
          <w:ilvl w:val="0"/>
          <w:numId w:val="20"/>
        </w:numPr>
        <w:kinsoku w:val="0"/>
        <w:overflowPunct w:val="0"/>
      </w:pPr>
      <w:r w:rsidRPr="002B49F2">
        <w:t>Near-term</w:t>
      </w:r>
      <w:r w:rsidRPr="002B49F2" w:rsidR="00915693">
        <w:t xml:space="preserve"> and</w:t>
      </w:r>
      <w:r w:rsidRPr="002B49F2">
        <w:t xml:space="preserve"> submitted</w:t>
      </w:r>
      <w:r w:rsidRPr="002B49F2" w:rsidR="00915693">
        <w:t xml:space="preserve"> applications</w:t>
      </w:r>
      <w:r w:rsidRPr="002B49F2">
        <w:t xml:space="preserve">, </w:t>
      </w:r>
      <w:r w:rsidRPr="002B49F2" w:rsidR="00915693">
        <w:t>and</w:t>
      </w:r>
      <w:r w:rsidRPr="002B49F2">
        <w:t xml:space="preserve"> </w:t>
      </w:r>
      <w:r w:rsidRPr="002B49F2" w:rsidR="00915693">
        <w:t xml:space="preserve">issued </w:t>
      </w:r>
      <w:r w:rsidRPr="002B49F2" w:rsidR="00D81CE2">
        <w:t>SLR</w:t>
      </w:r>
      <w:r w:rsidRPr="002B49F2" w:rsidR="0063650E">
        <w:t>s</w:t>
      </w:r>
      <w:r w:rsidRPr="002B49F2">
        <w:t>. Near-term</w:t>
      </w:r>
      <w:r w:rsidRPr="002B49F2" w:rsidR="00FE7D62">
        <w:t xml:space="preserve"> and</w:t>
      </w:r>
      <w:r w:rsidRPr="002B49F2" w:rsidR="008A1E5E">
        <w:t xml:space="preserve"> submitted</w:t>
      </w:r>
      <w:r w:rsidRPr="002B49F2" w:rsidR="00FE7D62">
        <w:t xml:space="preserve"> applications</w:t>
      </w:r>
      <w:r w:rsidRPr="002B49F2" w:rsidR="008A1E5E">
        <w:t xml:space="preserve">, or </w:t>
      </w:r>
      <w:r w:rsidRPr="002B49F2" w:rsidR="00B37B3D">
        <w:t xml:space="preserve">issued </w:t>
      </w:r>
      <w:r w:rsidRPr="002B49F2" w:rsidR="0063672D">
        <w:t>SLR</w:t>
      </w:r>
      <w:r w:rsidRPr="002B49F2" w:rsidR="00B37B3D">
        <w:t>s</w:t>
      </w:r>
      <w:r w:rsidRPr="002B49F2" w:rsidR="008A1E5E">
        <w:t xml:space="preserve"> </w:t>
      </w:r>
      <w:r w:rsidRPr="002B49F2">
        <w:t xml:space="preserve">are those that would be submitted prior to </w:t>
      </w:r>
      <w:r w:rsidRPr="002B49F2" w:rsidR="0078708C">
        <w:t>the effective date of the final rule</w:t>
      </w:r>
      <w:r w:rsidRPr="002B49F2">
        <w:t xml:space="preserve">. </w:t>
      </w:r>
      <w:r w:rsidRPr="002B49F2" w:rsidR="007B517E">
        <w:t>For the purposes of this analysis, the NRC staff assumes that l</w:t>
      </w:r>
      <w:r w:rsidRPr="002B49F2">
        <w:t>icensees seeking a</w:t>
      </w:r>
      <w:r w:rsidRPr="002B49F2" w:rsidR="00401650">
        <w:t> </w:t>
      </w:r>
      <w:r w:rsidRPr="002B49F2">
        <w:t xml:space="preserve">near-term </w:t>
      </w:r>
      <w:r w:rsidRPr="002B49F2" w:rsidR="00307B5F">
        <w:t>SLR</w:t>
      </w:r>
      <w:r w:rsidRPr="002B49F2">
        <w:t xml:space="preserve"> or licensees who have submitted </w:t>
      </w:r>
      <w:r w:rsidRPr="002B49F2" w:rsidR="0063650E">
        <w:t xml:space="preserve">an application </w:t>
      </w:r>
      <w:r w:rsidRPr="002B49F2">
        <w:t>or received a</w:t>
      </w:r>
      <w:r w:rsidRPr="002B49F2" w:rsidR="00D94DEA">
        <w:t> </w:t>
      </w:r>
      <w:r w:rsidRPr="002B49F2">
        <w:t xml:space="preserve">subsequent renewal license </w:t>
      </w:r>
      <w:r w:rsidRPr="002B49F2" w:rsidR="007B517E">
        <w:t xml:space="preserve">would </w:t>
      </w:r>
      <w:r w:rsidRPr="002B49F2">
        <w:t>submit their applications using the</w:t>
      </w:r>
      <w:r w:rsidRPr="002B49F2" w:rsidR="007B517E">
        <w:t> </w:t>
      </w:r>
      <w:r w:rsidRPr="002B49F2">
        <w:t>information in the current Table B-1</w:t>
      </w:r>
      <w:r w:rsidRPr="002B49F2" w:rsidR="007B517E">
        <w:t>; these applicants</w:t>
      </w:r>
      <w:r w:rsidRPr="002B49F2">
        <w:t xml:space="preserve"> would incur incremental burden by having to supplement their applications with additional information based on the changes between the current and the proposed Table B-1 (</w:t>
      </w:r>
      <w:r w:rsidRPr="002B49F2" w:rsidR="00B74F85">
        <w:t xml:space="preserve">e.g., </w:t>
      </w:r>
      <w:r w:rsidRPr="002B49F2">
        <w:t xml:space="preserve">new Category 1 and 2 issues, changes from Category 1 to Category 2, and issue consolidations). The NRC staff estimates that </w:t>
      </w:r>
      <w:r w:rsidRPr="002B49F2" w:rsidR="00D96D75">
        <w:t xml:space="preserve">there will be </w:t>
      </w:r>
      <w:r w:rsidRPr="002B49F2" w:rsidR="009E758C">
        <w:t>10</w:t>
      </w:r>
      <w:r w:rsidRPr="002B49F2" w:rsidR="00401650">
        <w:t> </w:t>
      </w:r>
      <w:r w:rsidRPr="002B49F2" w:rsidR="009E758C">
        <w:t>supplemental</w:t>
      </w:r>
      <w:r w:rsidRPr="002B49F2" w:rsidR="00FF25CC">
        <w:t xml:space="preserve"> submissions </w:t>
      </w:r>
      <w:r w:rsidRPr="002B49F2" w:rsidR="0062616D">
        <w:t>of</w:t>
      </w:r>
      <w:r w:rsidRPr="002B49F2" w:rsidR="00D940B9">
        <w:t xml:space="preserve"> the</w:t>
      </w:r>
      <w:r w:rsidRPr="002B49F2" w:rsidR="00573650">
        <w:t xml:space="preserve"> </w:t>
      </w:r>
      <w:r w:rsidRPr="002B49F2" w:rsidR="00D96D75">
        <w:t>near-term applicat</w:t>
      </w:r>
      <w:r w:rsidRPr="002B49F2" w:rsidR="000A43BC">
        <w:t>ions</w:t>
      </w:r>
      <w:r w:rsidRPr="002B49F2" w:rsidR="00D96D75">
        <w:t xml:space="preserve"> for a</w:t>
      </w:r>
      <w:r w:rsidRPr="002B49F2" w:rsidR="002534D4">
        <w:t> </w:t>
      </w:r>
      <w:r w:rsidRPr="002B49F2" w:rsidR="00D96D75">
        <w:t xml:space="preserve">subsequent renewed license </w:t>
      </w:r>
      <w:r w:rsidRPr="002B49F2">
        <w:t>during the</w:t>
      </w:r>
      <w:r w:rsidRPr="002B49F2" w:rsidR="00BA692C">
        <w:t> </w:t>
      </w:r>
      <w:r w:rsidRPr="002B49F2">
        <w:t>3-year period following the final rule becoming effective in 2024, or 3.3</w:t>
      </w:r>
      <w:r w:rsidRPr="002B49F2" w:rsidR="008A1E5E">
        <w:t> </w:t>
      </w:r>
      <w:r w:rsidRPr="002B49F2">
        <w:t>applica</w:t>
      </w:r>
      <w:r w:rsidRPr="002B49F2" w:rsidR="000A43BC">
        <w:t xml:space="preserve">tions </w:t>
      </w:r>
      <w:r w:rsidRPr="002B49F2">
        <w:t>annually.</w:t>
      </w:r>
    </w:p>
    <w:p w:rsidR="00762365" w:rsidRPr="002B49F2" w:rsidP="001D6AA1" w14:paraId="0106BF56" w14:textId="0CD20A3D">
      <w:pPr>
        <w:pStyle w:val="BodyText"/>
        <w:widowControl/>
        <w:numPr>
          <w:ilvl w:val="0"/>
          <w:numId w:val="20"/>
        </w:numPr>
        <w:kinsoku w:val="0"/>
        <w:overflowPunct w:val="0"/>
      </w:pPr>
      <w:r w:rsidRPr="002B49F2">
        <w:t xml:space="preserve">Future </w:t>
      </w:r>
      <w:r w:rsidRPr="002B49F2" w:rsidR="00A21460">
        <w:t>SLR</w:t>
      </w:r>
      <w:r w:rsidRPr="002B49F2">
        <w:t xml:space="preserve">s. Future </w:t>
      </w:r>
      <w:r w:rsidRPr="002B49F2" w:rsidR="00A21460">
        <w:t>SLR</w:t>
      </w:r>
      <w:r w:rsidRPr="002B49F2">
        <w:t xml:space="preserve"> applications are those that would be submitted after the</w:t>
      </w:r>
      <w:r w:rsidRPr="002B49F2" w:rsidR="003C270A">
        <w:t> </w:t>
      </w:r>
      <w:r w:rsidRPr="002B49F2">
        <w:t xml:space="preserve">effective date of the final rule. </w:t>
      </w:r>
      <w:r w:rsidRPr="002B49F2" w:rsidR="00B74F85">
        <w:t xml:space="preserve">The NRC expects that all future </w:t>
      </w:r>
      <w:r w:rsidRPr="002B49F2" w:rsidR="008814F0">
        <w:t>SLR</w:t>
      </w:r>
      <w:r w:rsidRPr="002B49F2" w:rsidR="00B74F85">
        <w:t xml:space="preserve"> applications will be submitted in 2025 and later because it will take at least 1 year for the licensees to conduct evaluations and prepare applications after the publication of the final rule. </w:t>
      </w:r>
      <w:r w:rsidRPr="002B49F2">
        <w:t xml:space="preserve">Licensees seeking future </w:t>
      </w:r>
      <w:r w:rsidRPr="002B49F2" w:rsidR="008814F0">
        <w:t>SLR</w:t>
      </w:r>
      <w:r w:rsidRPr="002B49F2">
        <w:t xml:space="preserve"> will rely on the amended regulations in 10 CFR Part 51 and related guidance and will incur burden associated with evaluation of all environmental issues identified in Table B</w:t>
      </w:r>
      <w:r w:rsidRPr="002B49F2">
        <w:noBreakHyphen/>
        <w:t>1. The NRC staff estimates that during the 3</w:t>
      </w:r>
      <w:r w:rsidRPr="002B49F2" w:rsidR="00BD373D">
        <w:noBreakHyphen/>
      </w:r>
      <w:r w:rsidRPr="002B49F2">
        <w:t>year period following the effective date of the final rule, there will be 1</w:t>
      </w:r>
      <w:r w:rsidRPr="002B49F2" w:rsidR="0050030F">
        <w:t>5</w:t>
      </w:r>
      <w:r w:rsidRPr="002B49F2" w:rsidR="003C270A">
        <w:t> </w:t>
      </w:r>
      <w:r w:rsidRPr="002B49F2">
        <w:t>applica</w:t>
      </w:r>
      <w:r w:rsidRPr="002B49F2" w:rsidR="000A43BC">
        <w:t>tions</w:t>
      </w:r>
      <w:r w:rsidRPr="002B49F2">
        <w:t xml:space="preserve"> for a future subsequent renewed license, or 5 applica</w:t>
      </w:r>
      <w:r w:rsidRPr="002B49F2" w:rsidR="000A43BC">
        <w:t>tions</w:t>
      </w:r>
      <w:r w:rsidRPr="002B49F2">
        <w:t xml:space="preserve"> annually, on average.</w:t>
      </w:r>
    </w:p>
    <w:p w:rsidR="00762365" w:rsidRPr="002B49F2" w:rsidP="00CB7D7B" w14:paraId="1DC09C6C" w14:textId="77777777">
      <w:pPr>
        <w:rPr>
          <w:rFonts w:ascii="Arial" w:hAnsi="Arial" w:cs="Arial"/>
          <w:sz w:val="22"/>
          <w:szCs w:val="22"/>
        </w:rPr>
      </w:pPr>
    </w:p>
    <w:p w:rsidR="0054090F" w:rsidRPr="002B49F2" w:rsidP="00EC4C94" w14:paraId="219D1CFA" w14:textId="7DA518D5">
      <w:pPr>
        <w:keepNext/>
        <w:widowControl/>
        <w:rPr>
          <w:rFonts w:ascii="Arial" w:hAnsi="Arial" w:cs="Arial"/>
          <w:i/>
          <w:iCs/>
          <w:sz w:val="22"/>
          <w:szCs w:val="22"/>
        </w:rPr>
      </w:pPr>
      <w:r w:rsidRPr="002B49F2">
        <w:rPr>
          <w:rFonts w:ascii="Arial" w:hAnsi="Arial" w:cs="Arial"/>
          <w:i/>
          <w:iCs/>
          <w:sz w:val="22"/>
          <w:szCs w:val="22"/>
        </w:rPr>
        <w:t>Substantive Provisions in the Proposed Rule</w:t>
      </w:r>
    </w:p>
    <w:p w:rsidR="0054090F" w:rsidRPr="002B49F2" w:rsidP="00EC4C94" w14:paraId="3868A72F" w14:textId="77777777">
      <w:pPr>
        <w:keepNext/>
        <w:widowControl/>
        <w:rPr>
          <w:rFonts w:ascii="Arial" w:hAnsi="Arial" w:cs="Arial"/>
          <w:sz w:val="22"/>
          <w:szCs w:val="22"/>
        </w:rPr>
      </w:pPr>
    </w:p>
    <w:p w:rsidR="002D1B71" w:rsidRPr="002B49F2" w:rsidP="002D1B71" w14:paraId="659EBA27" w14:textId="34D0FCD0">
      <w:pPr>
        <w:pStyle w:val="BodyText"/>
        <w:kinsoku w:val="0"/>
        <w:overflowPunct w:val="0"/>
        <w:ind w:left="0" w:right="170"/>
      </w:pPr>
      <w:r w:rsidRPr="002B49F2">
        <w:t>10 CFR 51.53(c)</w:t>
      </w:r>
      <w:r w:rsidRPr="002B49F2" w:rsidR="004B2E00">
        <w:t>, “Operating License Renewal Stage,”</w:t>
      </w:r>
      <w:r w:rsidRPr="002B49F2">
        <w:t xml:space="preserve"> requires that an applicant for a renewal of an operating license submit an </w:t>
      </w:r>
      <w:r w:rsidRPr="002B49F2" w:rsidR="001E5A20">
        <w:t xml:space="preserve">environmental report </w:t>
      </w:r>
      <w:r w:rsidRPr="002B49F2">
        <w:t>with the application.</w:t>
      </w:r>
      <w:r w:rsidRPr="002B49F2" w:rsidR="001E5A20">
        <w:t xml:space="preserve"> </w:t>
      </w:r>
      <w:r w:rsidRPr="002B49F2">
        <w:t>For those applicants seeking an initial license renewal and holding an operating license,</w:t>
      </w:r>
      <w:r w:rsidRPr="002B49F2">
        <w:rPr>
          <w:w w:val="99"/>
        </w:rPr>
        <w:t xml:space="preserve"> </w:t>
      </w:r>
      <w:r w:rsidRPr="002B49F2">
        <w:t xml:space="preserve">construction permit, or combined license as of June 30, 1995, the </w:t>
      </w:r>
      <w:r w:rsidRPr="002B49F2" w:rsidR="00767364">
        <w:t>environmental report</w:t>
      </w:r>
      <w:r w:rsidRPr="002B49F2">
        <w:t xml:space="preserve"> </w:t>
      </w:r>
      <w:r w:rsidRPr="002B49F2" w:rsidR="004B040B">
        <w:t>must</w:t>
      </w:r>
      <w:r w:rsidRPr="002B49F2">
        <w:t xml:space="preserve"> include the</w:t>
      </w:r>
      <w:r w:rsidRPr="002B49F2" w:rsidR="004B040B">
        <w:rPr>
          <w:w w:val="99"/>
        </w:rPr>
        <w:t> </w:t>
      </w:r>
      <w:r w:rsidRPr="002B49F2">
        <w:t xml:space="preserve">information required in paragraph (c)(2) of Section </w:t>
      </w:r>
      <w:r w:rsidRPr="002B49F2" w:rsidR="005A2ED8">
        <w:t>51.53 but</w:t>
      </w:r>
      <w:r w:rsidRPr="002B49F2">
        <w:t xml:space="preserve"> is not required to contain analyses</w:t>
      </w:r>
      <w:r w:rsidRPr="002B49F2">
        <w:rPr>
          <w:w w:val="99"/>
        </w:rPr>
        <w:t xml:space="preserve"> </w:t>
      </w:r>
      <w:r w:rsidRPr="002B49F2">
        <w:t>of the environmental impacts of certain license renewal issues identified as Category 1</w:t>
      </w:r>
      <w:r w:rsidRPr="002B49F2">
        <w:rPr>
          <w:w w:val="99"/>
        </w:rPr>
        <w:t xml:space="preserve"> </w:t>
      </w:r>
      <w:r w:rsidRPr="002B49F2">
        <w:t>(generically analyzed) issues in Appendix B to Subpart A of Part 51</w:t>
      </w:r>
      <w:r w:rsidRPr="002B49F2" w:rsidR="00224B03">
        <w:t xml:space="preserve"> (e.g., Table B</w:t>
      </w:r>
      <w:r w:rsidRPr="002B49F2" w:rsidR="00224B03">
        <w:noBreakHyphen/>
        <w:t>1)</w:t>
      </w:r>
      <w:r w:rsidRPr="002B49F2">
        <w:t>. The</w:t>
      </w:r>
      <w:r w:rsidRPr="002B49F2" w:rsidR="00767364">
        <w:t> environmental report</w:t>
      </w:r>
      <w:r w:rsidRPr="002B49F2">
        <w:t xml:space="preserve"> must contain</w:t>
      </w:r>
      <w:r w:rsidRPr="002B49F2">
        <w:rPr>
          <w:w w:val="99"/>
        </w:rPr>
        <w:t xml:space="preserve"> </w:t>
      </w:r>
      <w:r w:rsidRPr="002B49F2">
        <w:t>analyses of the environmental impacts of the proposed action, including the impacts of</w:t>
      </w:r>
      <w:r w:rsidRPr="002B49F2">
        <w:rPr>
          <w:w w:val="99"/>
        </w:rPr>
        <w:t xml:space="preserve"> </w:t>
      </w:r>
      <w:r w:rsidRPr="002B49F2">
        <w:t>refurbishment activities, if any, associated with license renewal and the impacts of operation</w:t>
      </w:r>
      <w:r w:rsidRPr="002B49F2">
        <w:rPr>
          <w:w w:val="99"/>
        </w:rPr>
        <w:t xml:space="preserve"> </w:t>
      </w:r>
      <w:r w:rsidRPr="002B49F2">
        <w:t>during the renewal term, for those issues identified as Category 2 (plant-specific analysis</w:t>
      </w:r>
      <w:r w:rsidRPr="002B49F2">
        <w:rPr>
          <w:w w:val="99"/>
        </w:rPr>
        <w:t xml:space="preserve"> </w:t>
      </w:r>
      <w:r w:rsidRPr="002B49F2">
        <w:t>required) issues in Appendix B to Subpart A of Part 51. In addition, the</w:t>
      </w:r>
      <w:r w:rsidRPr="002B49F2" w:rsidR="009C2F02">
        <w:t> </w:t>
      </w:r>
      <w:r w:rsidRPr="002B49F2" w:rsidR="00767364">
        <w:t>environmental report</w:t>
      </w:r>
      <w:r w:rsidRPr="002B49F2">
        <w:t xml:space="preserve"> must contain any new and significant</w:t>
      </w:r>
      <w:r w:rsidRPr="002B49F2">
        <w:rPr>
          <w:w w:val="99"/>
        </w:rPr>
        <w:t xml:space="preserve"> </w:t>
      </w:r>
      <w:r w:rsidRPr="002B49F2">
        <w:t>information regarding the environmental impacts of license renewal of which the applicant is</w:t>
      </w:r>
      <w:r w:rsidRPr="002B49F2">
        <w:rPr>
          <w:w w:val="99"/>
        </w:rPr>
        <w:t xml:space="preserve"> </w:t>
      </w:r>
      <w:r w:rsidRPr="002B49F2">
        <w:t>aware.</w:t>
      </w:r>
    </w:p>
    <w:p w:rsidR="00BF6006" w:rsidRPr="002B49F2" w:rsidP="00AF7FFD" w14:paraId="7A094253" w14:textId="77777777">
      <w:pPr>
        <w:widowControl/>
        <w:rPr>
          <w:rFonts w:ascii="Arial" w:hAnsi="Arial" w:cs="Arial"/>
          <w:sz w:val="22"/>
          <w:szCs w:val="22"/>
        </w:rPr>
      </w:pPr>
    </w:p>
    <w:p w:rsidR="00E3046F" w:rsidRPr="002B49F2" w:rsidP="00AF7FFD" w14:paraId="55E92922" w14:textId="621DC913">
      <w:pPr>
        <w:widowControl/>
        <w:rPr>
          <w:rFonts w:ascii="Arial" w:hAnsi="Arial" w:cs="Arial"/>
          <w:sz w:val="22"/>
          <w:szCs w:val="22"/>
        </w:rPr>
      </w:pPr>
      <w:r w:rsidRPr="002B49F2">
        <w:rPr>
          <w:rFonts w:ascii="Arial" w:hAnsi="Arial" w:cs="Arial"/>
          <w:sz w:val="22"/>
          <w:szCs w:val="22"/>
        </w:rPr>
        <w:t xml:space="preserve">This proposed rule revises Section 51.53(c)(3) to </w:t>
      </w:r>
      <w:r w:rsidRPr="002B49F2" w:rsidR="00EB48DD">
        <w:rPr>
          <w:rFonts w:ascii="Arial" w:hAnsi="Arial" w:cs="Arial"/>
          <w:sz w:val="22"/>
          <w:szCs w:val="22"/>
        </w:rPr>
        <w:t xml:space="preserve">revise as follows: </w:t>
      </w:r>
      <w:r w:rsidRPr="002B49F2" w:rsidR="008F1B91">
        <w:rPr>
          <w:rFonts w:ascii="Arial" w:hAnsi="Arial" w:cs="Arial"/>
          <w:sz w:val="22"/>
          <w:szCs w:val="22"/>
        </w:rPr>
        <w:t>“</w:t>
      </w:r>
      <w:r w:rsidRPr="002B49F2" w:rsidR="00EB48DD">
        <w:rPr>
          <w:rFonts w:ascii="Arial" w:hAnsi="Arial" w:cs="Arial"/>
          <w:sz w:val="22"/>
          <w:szCs w:val="22"/>
        </w:rPr>
        <w:t>For those applicants seeking a license renewal covered by Table B–1 for a power plant for which an operating license, construction permit, or combined license was issued as of June 30, 1995, the environmental report shall include the information required in paragraph (c)(2) of this section subject to the following conditions and considerations.</w:t>
      </w:r>
      <w:r w:rsidRPr="002B49F2" w:rsidR="008F1B91">
        <w:rPr>
          <w:rFonts w:ascii="Arial" w:hAnsi="Arial" w:cs="Arial"/>
          <w:sz w:val="22"/>
          <w:szCs w:val="22"/>
        </w:rPr>
        <w:t>”</w:t>
      </w:r>
      <w:r w:rsidRPr="002B49F2" w:rsidR="00EB48DD">
        <w:rPr>
          <w:rFonts w:ascii="Arial" w:hAnsi="Arial" w:cs="Arial"/>
          <w:sz w:val="22"/>
          <w:szCs w:val="22"/>
        </w:rPr>
        <w:t xml:space="preserve"> </w:t>
      </w:r>
      <w:r w:rsidRPr="002B49F2" w:rsidR="008F1B91">
        <w:rPr>
          <w:rFonts w:ascii="Arial" w:hAnsi="Arial" w:cs="Arial"/>
          <w:sz w:val="22"/>
          <w:szCs w:val="22"/>
        </w:rPr>
        <w:t xml:space="preserve">These changes </w:t>
      </w:r>
      <w:r w:rsidRPr="002B49F2">
        <w:rPr>
          <w:rFonts w:ascii="Arial" w:hAnsi="Arial" w:cs="Arial"/>
          <w:sz w:val="22"/>
          <w:szCs w:val="22"/>
        </w:rPr>
        <w:t xml:space="preserve">reflect that the requirement for postconstruction environmental reports </w:t>
      </w:r>
      <w:r w:rsidRPr="002B49F2" w:rsidR="00884A63">
        <w:rPr>
          <w:rFonts w:ascii="Arial" w:hAnsi="Arial" w:cs="Arial"/>
          <w:sz w:val="22"/>
          <w:szCs w:val="22"/>
        </w:rPr>
        <w:t>w</w:t>
      </w:r>
      <w:r w:rsidRPr="002B49F2" w:rsidR="00797551">
        <w:rPr>
          <w:rFonts w:ascii="Arial" w:hAnsi="Arial" w:cs="Arial"/>
          <w:sz w:val="22"/>
          <w:szCs w:val="22"/>
        </w:rPr>
        <w:t>ould</w:t>
      </w:r>
      <w:r w:rsidRPr="002B49F2" w:rsidR="00884A63">
        <w:rPr>
          <w:rFonts w:ascii="Arial" w:hAnsi="Arial" w:cs="Arial"/>
          <w:sz w:val="22"/>
          <w:szCs w:val="22"/>
        </w:rPr>
        <w:t xml:space="preserve"> </w:t>
      </w:r>
      <w:r w:rsidRPr="002B49F2">
        <w:rPr>
          <w:rFonts w:ascii="Arial" w:hAnsi="Arial" w:cs="Arial"/>
          <w:sz w:val="22"/>
          <w:szCs w:val="22"/>
        </w:rPr>
        <w:t>appl</w:t>
      </w:r>
      <w:r w:rsidRPr="002B49F2" w:rsidR="00884A63">
        <w:rPr>
          <w:rFonts w:ascii="Arial" w:hAnsi="Arial" w:cs="Arial"/>
          <w:sz w:val="22"/>
          <w:szCs w:val="22"/>
        </w:rPr>
        <w:t>y</w:t>
      </w:r>
      <w:r w:rsidRPr="002B49F2">
        <w:rPr>
          <w:rFonts w:ascii="Arial" w:hAnsi="Arial" w:cs="Arial"/>
          <w:sz w:val="22"/>
          <w:szCs w:val="22"/>
        </w:rPr>
        <w:t xml:space="preserve"> to applicants seeking either an initial or subsequent renewed license</w:t>
      </w:r>
      <w:r w:rsidRPr="002B49F2" w:rsidR="00FE4EDB">
        <w:rPr>
          <w:rFonts w:ascii="Arial" w:hAnsi="Arial" w:cs="Arial"/>
          <w:sz w:val="22"/>
          <w:szCs w:val="22"/>
        </w:rPr>
        <w:t xml:space="preserve"> (specifically limited to one term of SLR)</w:t>
      </w:r>
      <w:r w:rsidRPr="002B49F2">
        <w:rPr>
          <w:rFonts w:ascii="Arial" w:hAnsi="Arial" w:cs="Arial"/>
          <w:sz w:val="22"/>
          <w:szCs w:val="22"/>
        </w:rPr>
        <w:t xml:space="preserve">. </w:t>
      </w:r>
      <w:r w:rsidRPr="002B49F2" w:rsidR="00544FE3">
        <w:rPr>
          <w:rFonts w:ascii="Arial" w:hAnsi="Arial" w:cs="Arial"/>
          <w:sz w:val="22"/>
          <w:szCs w:val="22"/>
        </w:rPr>
        <w:t xml:space="preserve">This change would effectively allow applicants </w:t>
      </w:r>
      <w:r w:rsidRPr="002B49F2" w:rsidR="009636F1">
        <w:rPr>
          <w:rFonts w:ascii="Arial" w:hAnsi="Arial" w:cs="Arial"/>
          <w:sz w:val="22"/>
          <w:szCs w:val="22"/>
        </w:rPr>
        <w:t>for</w:t>
      </w:r>
      <w:r w:rsidRPr="002B49F2" w:rsidR="00544FE3">
        <w:rPr>
          <w:rFonts w:ascii="Arial" w:hAnsi="Arial" w:cs="Arial"/>
          <w:sz w:val="22"/>
          <w:szCs w:val="22"/>
        </w:rPr>
        <w:t xml:space="preserve"> </w:t>
      </w:r>
      <w:r w:rsidRPr="002B49F2" w:rsidR="009636F1">
        <w:rPr>
          <w:rFonts w:ascii="Arial" w:hAnsi="Arial" w:cs="Arial"/>
          <w:sz w:val="22"/>
          <w:szCs w:val="22"/>
        </w:rPr>
        <w:t>SLR</w:t>
      </w:r>
      <w:r w:rsidRPr="002B49F2" w:rsidR="00544FE3">
        <w:rPr>
          <w:rFonts w:ascii="Arial" w:hAnsi="Arial" w:cs="Arial"/>
          <w:sz w:val="22"/>
          <w:szCs w:val="22"/>
        </w:rPr>
        <w:t xml:space="preserve"> to rely on generically </w:t>
      </w:r>
      <w:r w:rsidRPr="002B49F2" w:rsidR="00224B03">
        <w:rPr>
          <w:rFonts w:ascii="Arial" w:hAnsi="Arial" w:cs="Arial"/>
          <w:sz w:val="22"/>
          <w:szCs w:val="22"/>
        </w:rPr>
        <w:t>analyzed (Category 1) issues listed in Table B-1. The change in burden associated with this revision is fully captured in the following discussion of changes to Table B</w:t>
      </w:r>
      <w:r w:rsidRPr="002B49F2" w:rsidR="00AF7FFD">
        <w:rPr>
          <w:rFonts w:ascii="Arial" w:hAnsi="Arial" w:cs="Arial"/>
          <w:sz w:val="22"/>
          <w:szCs w:val="22"/>
        </w:rPr>
        <w:noBreakHyphen/>
      </w:r>
      <w:r w:rsidRPr="002B49F2" w:rsidR="00224B03">
        <w:rPr>
          <w:rFonts w:ascii="Arial" w:hAnsi="Arial" w:cs="Arial"/>
          <w:sz w:val="22"/>
          <w:szCs w:val="22"/>
        </w:rPr>
        <w:t>1.</w:t>
      </w:r>
    </w:p>
    <w:p w:rsidR="00E817A5" w:rsidRPr="002B49F2" w:rsidP="00AF7FFD" w14:paraId="1A519CB3" w14:textId="77777777">
      <w:pPr>
        <w:widowControl/>
        <w:rPr>
          <w:rFonts w:ascii="Arial" w:hAnsi="Arial" w:cs="Arial"/>
          <w:sz w:val="22"/>
          <w:szCs w:val="22"/>
        </w:rPr>
      </w:pPr>
    </w:p>
    <w:p w:rsidR="00555351" w:rsidRPr="002B49F2" w:rsidP="00AF7FFD" w14:paraId="7F3F2DA0" w14:textId="41FAACCE">
      <w:pPr>
        <w:widowControl/>
        <w:rPr>
          <w:rFonts w:ascii="Arial" w:hAnsi="Arial" w:cs="Arial"/>
          <w:sz w:val="22"/>
          <w:szCs w:val="22"/>
        </w:rPr>
      </w:pPr>
      <w:r w:rsidRPr="002B49F2">
        <w:rPr>
          <w:rFonts w:ascii="Arial" w:hAnsi="Arial" w:cs="Arial"/>
          <w:sz w:val="22"/>
          <w:szCs w:val="22"/>
        </w:rPr>
        <w:t xml:space="preserve">The following discussion describes the changes to the information collection burden associated with </w:t>
      </w:r>
      <w:r w:rsidRPr="002B49F2" w:rsidR="00F3238A">
        <w:rPr>
          <w:rFonts w:ascii="Arial" w:hAnsi="Arial" w:cs="Arial"/>
          <w:sz w:val="22"/>
          <w:szCs w:val="22"/>
        </w:rPr>
        <w:t xml:space="preserve">substantive changes </w:t>
      </w:r>
      <w:r w:rsidRPr="002B49F2">
        <w:rPr>
          <w:rFonts w:ascii="Arial" w:hAnsi="Arial" w:cs="Arial"/>
          <w:sz w:val="22"/>
          <w:szCs w:val="22"/>
        </w:rPr>
        <w:t>the proposed rule</w:t>
      </w:r>
      <w:r w:rsidRPr="002B49F2" w:rsidR="00A242EF">
        <w:rPr>
          <w:rFonts w:ascii="Arial" w:hAnsi="Arial" w:cs="Arial"/>
          <w:sz w:val="22"/>
          <w:szCs w:val="22"/>
        </w:rPr>
        <w:t xml:space="preserve"> as </w:t>
      </w:r>
      <w:r w:rsidRPr="002B49F2" w:rsidR="007C7A16">
        <w:rPr>
          <w:rFonts w:ascii="Arial" w:hAnsi="Arial" w:cs="Arial"/>
          <w:sz w:val="22"/>
          <w:szCs w:val="22"/>
        </w:rPr>
        <w:t>they</w:t>
      </w:r>
      <w:r w:rsidRPr="002B49F2" w:rsidR="00A242EF">
        <w:rPr>
          <w:rFonts w:ascii="Arial" w:hAnsi="Arial" w:cs="Arial"/>
          <w:sz w:val="22"/>
          <w:szCs w:val="22"/>
        </w:rPr>
        <w:t xml:space="preserve"> would apply</w:t>
      </w:r>
      <w:r w:rsidRPr="002B49F2" w:rsidR="00C2561B">
        <w:rPr>
          <w:rFonts w:ascii="Arial" w:hAnsi="Arial" w:cs="Arial"/>
          <w:sz w:val="22"/>
          <w:szCs w:val="22"/>
        </w:rPr>
        <w:t>, on a one-time basis,</w:t>
      </w:r>
      <w:r w:rsidRPr="002B49F2" w:rsidR="00A242EF">
        <w:rPr>
          <w:rFonts w:ascii="Arial" w:hAnsi="Arial" w:cs="Arial"/>
          <w:sz w:val="22"/>
          <w:szCs w:val="22"/>
        </w:rPr>
        <w:t xml:space="preserve"> to the</w:t>
      </w:r>
      <w:r w:rsidRPr="002B49F2" w:rsidR="00C2561B">
        <w:rPr>
          <w:rFonts w:ascii="Arial" w:hAnsi="Arial" w:cs="Arial"/>
          <w:sz w:val="22"/>
          <w:szCs w:val="22"/>
        </w:rPr>
        <w:t> </w:t>
      </w:r>
      <w:r w:rsidRPr="002B49F2" w:rsidR="00A242EF">
        <w:rPr>
          <w:rFonts w:ascii="Arial" w:hAnsi="Arial" w:cs="Arial"/>
          <w:sz w:val="22"/>
          <w:szCs w:val="22"/>
        </w:rPr>
        <w:t>near-term</w:t>
      </w:r>
      <w:r w:rsidRPr="002B49F2" w:rsidR="00BA692C">
        <w:rPr>
          <w:rFonts w:ascii="Arial" w:hAnsi="Arial" w:cs="Arial"/>
          <w:sz w:val="22"/>
          <w:szCs w:val="22"/>
        </w:rPr>
        <w:t xml:space="preserve"> and</w:t>
      </w:r>
      <w:r w:rsidRPr="002B49F2" w:rsidR="00A242EF">
        <w:rPr>
          <w:rFonts w:ascii="Arial" w:hAnsi="Arial" w:cs="Arial"/>
          <w:sz w:val="22"/>
          <w:szCs w:val="22"/>
        </w:rPr>
        <w:t xml:space="preserve"> submitted</w:t>
      </w:r>
      <w:r w:rsidRPr="002B49F2" w:rsidR="00BA692C">
        <w:rPr>
          <w:rFonts w:ascii="Arial" w:hAnsi="Arial" w:cs="Arial"/>
          <w:sz w:val="22"/>
          <w:szCs w:val="22"/>
        </w:rPr>
        <w:t xml:space="preserve"> applications</w:t>
      </w:r>
      <w:r w:rsidRPr="002B49F2" w:rsidR="00A242EF">
        <w:rPr>
          <w:rFonts w:ascii="Arial" w:hAnsi="Arial" w:cs="Arial"/>
          <w:sz w:val="22"/>
          <w:szCs w:val="22"/>
        </w:rPr>
        <w:t xml:space="preserve">, </w:t>
      </w:r>
      <w:r w:rsidRPr="002B49F2" w:rsidR="00BA692C">
        <w:rPr>
          <w:rFonts w:ascii="Arial" w:hAnsi="Arial" w:cs="Arial"/>
          <w:sz w:val="22"/>
          <w:szCs w:val="22"/>
        </w:rPr>
        <w:t>and</w:t>
      </w:r>
      <w:r w:rsidRPr="002B49F2" w:rsidR="00A242EF">
        <w:rPr>
          <w:rFonts w:ascii="Arial" w:hAnsi="Arial" w:cs="Arial"/>
          <w:sz w:val="22"/>
          <w:szCs w:val="22"/>
        </w:rPr>
        <w:t xml:space="preserve"> </w:t>
      </w:r>
      <w:r w:rsidRPr="002B49F2" w:rsidR="00BA692C">
        <w:rPr>
          <w:rFonts w:ascii="Arial" w:hAnsi="Arial" w:cs="Arial"/>
          <w:sz w:val="22"/>
          <w:szCs w:val="22"/>
        </w:rPr>
        <w:t xml:space="preserve">issued </w:t>
      </w:r>
      <w:r w:rsidRPr="002B49F2" w:rsidR="009636F1">
        <w:rPr>
          <w:rFonts w:ascii="Arial" w:hAnsi="Arial" w:cs="Arial"/>
          <w:sz w:val="22"/>
          <w:szCs w:val="22"/>
        </w:rPr>
        <w:t>SLR</w:t>
      </w:r>
      <w:r w:rsidRPr="002B49F2" w:rsidR="00BA692C">
        <w:rPr>
          <w:rFonts w:ascii="Arial" w:hAnsi="Arial" w:cs="Arial"/>
          <w:sz w:val="22"/>
          <w:szCs w:val="22"/>
        </w:rPr>
        <w:t>s</w:t>
      </w:r>
      <w:r w:rsidRPr="002B49F2">
        <w:rPr>
          <w:rFonts w:ascii="Arial" w:hAnsi="Arial" w:cs="Arial"/>
          <w:sz w:val="22"/>
          <w:szCs w:val="22"/>
        </w:rPr>
        <w:t>.</w:t>
      </w:r>
    </w:p>
    <w:p w:rsidR="00555351" w:rsidRPr="002B49F2" w:rsidP="00CB7D7B" w14:paraId="12979054" w14:textId="2A403F32">
      <w:pPr>
        <w:rPr>
          <w:rFonts w:ascii="Arial" w:hAnsi="Arial" w:cs="Arial"/>
          <w:sz w:val="22"/>
          <w:szCs w:val="22"/>
        </w:rPr>
      </w:pPr>
    </w:p>
    <w:p w:rsidR="00450A6E" w:rsidRPr="002B49F2" w:rsidP="00555351" w14:paraId="39CF8F06" w14:textId="2D21AAD5">
      <w:pPr>
        <w:pStyle w:val="BodyText"/>
        <w:widowControl/>
        <w:kinsoku w:val="0"/>
        <w:overflowPunct w:val="0"/>
        <w:ind w:left="0"/>
      </w:pPr>
      <w:r w:rsidRPr="002B49F2">
        <w:t xml:space="preserve">The Appendix to this OMB Supporting Statement presents the </w:t>
      </w:r>
      <w:r w:rsidRPr="002B49F2" w:rsidR="00907C79">
        <w:t>six</w:t>
      </w:r>
      <w:r w:rsidRPr="002B49F2">
        <w:t xml:space="preserve"> major types of changes that appear in Table B-1</w:t>
      </w:r>
      <w:r w:rsidRPr="002B49F2" w:rsidR="00224B03">
        <w:t>. The following four</w:t>
      </w:r>
      <w:r w:rsidRPr="002B49F2" w:rsidR="00BE7F5F">
        <w:t xml:space="preserve"> out of six</w:t>
      </w:r>
      <w:r w:rsidRPr="002B49F2" w:rsidR="00224B03">
        <w:t xml:space="preserve"> types of changes would result in an increase in burden</w:t>
      </w:r>
      <w:r w:rsidRPr="002B49F2">
        <w:t>:</w:t>
      </w:r>
    </w:p>
    <w:p w:rsidR="00450A6E" w:rsidRPr="002B49F2" w:rsidP="00450A6E" w14:paraId="6AAEAFA5" w14:textId="77777777">
      <w:pPr>
        <w:pStyle w:val="BodyText"/>
        <w:widowControl/>
        <w:kinsoku w:val="0"/>
        <w:overflowPunct w:val="0"/>
        <w:ind w:left="360"/>
      </w:pPr>
    </w:p>
    <w:p w:rsidR="00450A6E" w:rsidRPr="002B49F2" w:rsidP="00450A6E" w14:paraId="4A953E4F" w14:textId="39299CDD">
      <w:pPr>
        <w:pStyle w:val="BodyText"/>
        <w:widowControl/>
        <w:numPr>
          <w:ilvl w:val="0"/>
          <w:numId w:val="17"/>
        </w:numPr>
        <w:kinsoku w:val="0"/>
        <w:overflowPunct w:val="0"/>
      </w:pPr>
      <w:r w:rsidRPr="002B49F2">
        <w:t>New Category 1 Issue. A new Category 1 issue is an issue not previously evaluated in the 2013 LR GEIS and not</w:t>
      </w:r>
      <w:r w:rsidRPr="002B49F2" w:rsidR="001C7300">
        <w:t xml:space="preserve"> currently</w:t>
      </w:r>
      <w:r w:rsidRPr="002B49F2">
        <w:t xml:space="preserve"> listed in Table B-1. For this issue, the license renewal applicant will incur an increase in burden because it must include within its environmental report an assessment of any new and significant information regarding the environmental impacts of license renewal of which the applicant is aware (see 10 CFR 51.53(c)(3)(iv)). The NRC will incur an increase in burden to consider and evaluate this information during its plant-specific environmental review.</w:t>
      </w:r>
    </w:p>
    <w:p w:rsidR="00450A6E" w:rsidRPr="002B49F2" w:rsidP="00450A6E" w14:paraId="5A842FB8" w14:textId="77777777">
      <w:pPr>
        <w:pStyle w:val="BodyText"/>
        <w:widowControl/>
        <w:kinsoku w:val="0"/>
        <w:overflowPunct w:val="0"/>
        <w:ind w:left="720"/>
      </w:pPr>
    </w:p>
    <w:p w:rsidR="00450A6E" w:rsidRPr="002B49F2" w:rsidP="00450A6E" w14:paraId="1C278993" w14:textId="6B50017B">
      <w:pPr>
        <w:pStyle w:val="BodyText"/>
        <w:widowControl/>
        <w:numPr>
          <w:ilvl w:val="0"/>
          <w:numId w:val="17"/>
        </w:numPr>
        <w:kinsoku w:val="0"/>
        <w:overflowPunct w:val="0"/>
      </w:pPr>
      <w:r w:rsidRPr="002B49F2">
        <w:t xml:space="preserve">New Category 2 Issues. New Category 2 issues are issues not previously evaluated in the 2013 LR GEIS and not listed in Table B-1 of the current rule. For reach new Category 2 issue, the applicant will incur an increase in burden because </w:t>
      </w:r>
      <w:r w:rsidRPr="002B49F2" w:rsidR="00264FEF">
        <w:t>it</w:t>
      </w:r>
      <w:r w:rsidRPr="002B49F2">
        <w:t xml:space="preserve"> must conduct a plant-specific assessment of the potential environmental impacts related to </w:t>
      </w:r>
      <w:r w:rsidRPr="002B49F2" w:rsidR="009608A0">
        <w:t>that</w:t>
      </w:r>
      <w:r w:rsidRPr="002B49F2">
        <w:t xml:space="preserve"> issue and include it in its environmental report. In addition, for each new Category 2 issue, the</w:t>
      </w:r>
      <w:r w:rsidRPr="002B49F2" w:rsidR="009608A0">
        <w:t> </w:t>
      </w:r>
      <w:r w:rsidRPr="002B49F2">
        <w:t>applicant must include in its environmental report a discussion of possible actions to mitigate any adverse impacts associated with license renewal. Similarly, the NRC will incur an increase in burden to evaluate and assess the environmental impacts of each new Category 2 issue during its plant-specific environmental review.</w:t>
      </w:r>
    </w:p>
    <w:p w:rsidR="00BD0EEE" w:rsidRPr="002B49F2" w:rsidP="00B26703" w14:paraId="7755C3AE" w14:textId="77777777">
      <w:pPr>
        <w:pStyle w:val="BodyText"/>
        <w:widowControl/>
        <w:kinsoku w:val="0"/>
        <w:overflowPunct w:val="0"/>
        <w:ind w:left="720"/>
      </w:pPr>
    </w:p>
    <w:p w:rsidR="00450A6E" w:rsidRPr="002B49F2" w:rsidP="00450A6E" w14:paraId="21420247" w14:textId="2BB7D8A3">
      <w:pPr>
        <w:pStyle w:val="BodyText"/>
        <w:widowControl/>
        <w:numPr>
          <w:ilvl w:val="0"/>
          <w:numId w:val="17"/>
        </w:numPr>
        <w:kinsoku w:val="0"/>
        <w:overflowPunct w:val="0"/>
      </w:pPr>
      <w:r w:rsidRPr="002B49F2">
        <w:t xml:space="preserve">Consolidation of an Existing Category 1 Issue into an Existing Category 2 Issue. This is an existing issue that was determined to be Category 1 in the 2013 LR GEIS and having a similar scope as an existing Category 2 issue, has been evaluated and consolidated into the Category 2 issue. This type of change would result in </w:t>
      </w:r>
      <w:r w:rsidRPr="002B49F2" w:rsidR="00CA3F1D">
        <w:t>an increase</w:t>
      </w:r>
      <w:r w:rsidRPr="002B49F2">
        <w:t xml:space="preserve"> burden </w:t>
      </w:r>
      <w:r w:rsidRPr="002B49F2" w:rsidR="00AE3E75">
        <w:t xml:space="preserve">because </w:t>
      </w:r>
      <w:r w:rsidRPr="002B49F2" w:rsidR="004E7E17">
        <w:t>the applicant would be required to conduct a plant-specific assessment of the</w:t>
      </w:r>
      <w:r w:rsidRPr="002B49F2" w:rsidR="00AE3E75">
        <w:t> </w:t>
      </w:r>
      <w:r w:rsidRPr="002B49F2" w:rsidR="004E7E17">
        <w:t xml:space="preserve">potential environmental impacts </w:t>
      </w:r>
      <w:r w:rsidRPr="002B49F2" w:rsidR="00AE3E75">
        <w:t>within the scope previously covered by the existing</w:t>
      </w:r>
      <w:r w:rsidRPr="002B49F2" w:rsidR="004E7E17">
        <w:t xml:space="preserve"> Category 1 issue </w:t>
      </w:r>
      <w:r w:rsidRPr="002B49F2" w:rsidR="00AE3E75">
        <w:t xml:space="preserve">that is being consolidated into a Category 2 issue and provide this information in a supplemental submittal. Similarly, the NRC will incur an increase in burden to evaluate and assess the environmental impacts of the </w:t>
      </w:r>
      <w:r w:rsidRPr="002B49F2" w:rsidR="003979F6">
        <w:t>issue during its plant-specific environmental review.</w:t>
      </w:r>
    </w:p>
    <w:p w:rsidR="00450A6E" w:rsidRPr="002B49F2" w:rsidP="00450A6E" w14:paraId="6C29D1AF" w14:textId="77777777">
      <w:pPr>
        <w:pStyle w:val="BodyText"/>
        <w:widowControl/>
        <w:kinsoku w:val="0"/>
        <w:overflowPunct w:val="0"/>
        <w:ind w:left="0"/>
      </w:pPr>
    </w:p>
    <w:p w:rsidR="00450A6E" w:rsidRPr="002B49F2" w:rsidP="00450A6E" w14:paraId="1B5E16AB" w14:textId="7155AC61">
      <w:pPr>
        <w:pStyle w:val="BodyText"/>
        <w:widowControl/>
        <w:numPr>
          <w:ilvl w:val="0"/>
          <w:numId w:val="17"/>
        </w:numPr>
        <w:kinsoku w:val="0"/>
        <w:overflowPunct w:val="0"/>
      </w:pPr>
      <w:r w:rsidRPr="002B49F2">
        <w:t xml:space="preserve">Dividing an Existing Category 2 Issue into </w:t>
      </w:r>
      <w:r w:rsidRPr="002B49F2" w:rsidR="00A17A89">
        <w:t>Three</w:t>
      </w:r>
      <w:r w:rsidRPr="002B49F2">
        <w:t xml:space="preserve"> Category 2 Issues. For each separate Category 2 issue, the applicant must conduct a plant-specific assessment of </w:t>
      </w:r>
      <w:r w:rsidRPr="002B49F2">
        <w:t>the</w:t>
      </w:r>
      <w:r w:rsidRPr="002B49F2" w:rsidR="00CE6C78">
        <w:t> </w:t>
      </w:r>
      <w:r w:rsidRPr="002B49F2">
        <w:t>potential environmental impacts related to that issue and include it in its environmental report, as applicable. In</w:t>
      </w:r>
      <w:r w:rsidRPr="002B49F2" w:rsidR="00BA2237">
        <w:t> </w:t>
      </w:r>
      <w:r w:rsidRPr="002B49F2">
        <w:t xml:space="preserve">addition, for each issue, the applicant must include in its environmental report a discussion of possible actions to mitigate any adverse impacts associated with license renewal. </w:t>
      </w:r>
      <w:r w:rsidRPr="002B49F2" w:rsidR="00F2524A">
        <w:t>T</w:t>
      </w:r>
      <w:r w:rsidRPr="002B49F2" w:rsidR="003504D7">
        <w:t xml:space="preserve">his change would result </w:t>
      </w:r>
      <w:r w:rsidRPr="002B49F2" w:rsidR="00F2524A">
        <w:t>an</w:t>
      </w:r>
      <w:r w:rsidRPr="002B49F2" w:rsidR="00CE6C78">
        <w:t> </w:t>
      </w:r>
      <w:r w:rsidRPr="002B49F2" w:rsidR="003504D7">
        <w:t xml:space="preserve">increase in burden because the applicant </w:t>
      </w:r>
      <w:r w:rsidRPr="002B49F2" w:rsidR="00F2524A">
        <w:t xml:space="preserve">would be required to conduct a plant-specific assessment </w:t>
      </w:r>
      <w:r w:rsidRPr="002B49F2" w:rsidR="00462E17">
        <w:t>and describe the</w:t>
      </w:r>
      <w:r w:rsidRPr="002B49F2" w:rsidR="008B0EAD">
        <w:t> </w:t>
      </w:r>
      <w:r w:rsidRPr="002B49F2" w:rsidR="00462E17">
        <w:t xml:space="preserve">results of each assessment separately for each </w:t>
      </w:r>
      <w:r w:rsidRPr="002B49F2" w:rsidR="00927D62">
        <w:t>issue</w:t>
      </w:r>
      <w:r w:rsidRPr="002B49F2" w:rsidR="009C4119">
        <w:t>, as applicable</w:t>
      </w:r>
      <w:r w:rsidRPr="002B49F2" w:rsidR="00A17A89">
        <w:t xml:space="preserve">. </w:t>
      </w:r>
      <w:r w:rsidRPr="002B49F2" w:rsidR="00D95FBD">
        <w:t>However, because the scope of the resulting three Category 2 issues, when combined, is essentially the same as the</w:t>
      </w:r>
      <w:r w:rsidRPr="002B49F2" w:rsidR="0037067A">
        <w:t> </w:t>
      </w:r>
      <w:r w:rsidRPr="002B49F2" w:rsidR="00D95FBD">
        <w:t>scope of the existing Category 2 issue, the</w:t>
      </w:r>
      <w:r w:rsidRPr="002B49F2" w:rsidR="00C0609B">
        <w:t> </w:t>
      </w:r>
      <w:r w:rsidRPr="002B49F2" w:rsidR="00D95FBD">
        <w:t xml:space="preserve">increase in burden </w:t>
      </w:r>
      <w:r w:rsidRPr="002B49F2" w:rsidR="0037067A">
        <w:t>would be</w:t>
      </w:r>
      <w:r w:rsidRPr="002B49F2" w:rsidR="00D95FBD">
        <w:t xml:space="preserve"> approximately 50% less </w:t>
      </w:r>
      <w:r w:rsidRPr="002B49F2" w:rsidR="0037067A">
        <w:t xml:space="preserve">than that for new Category 2 issues. </w:t>
      </w:r>
      <w:r w:rsidRPr="002B49F2">
        <w:t xml:space="preserve">Similarly, the NRC will incur </w:t>
      </w:r>
      <w:r w:rsidRPr="002B49F2" w:rsidR="00F2524A">
        <w:t>an</w:t>
      </w:r>
      <w:r w:rsidRPr="002B49F2" w:rsidR="00CE6C78">
        <w:t> </w:t>
      </w:r>
      <w:r w:rsidRPr="002B49F2">
        <w:t>increase in burden to evaluate and assess the</w:t>
      </w:r>
      <w:r w:rsidRPr="002B49F2" w:rsidR="00BA2237">
        <w:t> </w:t>
      </w:r>
      <w:r w:rsidRPr="002B49F2">
        <w:t xml:space="preserve">environmental impacts of each </w:t>
      </w:r>
      <w:r w:rsidRPr="002B49F2" w:rsidR="00CE6C78">
        <w:t>separate</w:t>
      </w:r>
      <w:r w:rsidRPr="002B49F2">
        <w:t xml:space="preserve"> Category 2 issue</w:t>
      </w:r>
      <w:r w:rsidRPr="002B49F2" w:rsidR="00881769">
        <w:t>, as applicable,</w:t>
      </w:r>
      <w:r w:rsidRPr="002B49F2">
        <w:t xml:space="preserve"> during its plant-specific environmental review.</w:t>
      </w:r>
      <w:r w:rsidRPr="002B49F2" w:rsidR="0037067A">
        <w:t xml:space="preserve"> The increase in burden for the NRC is also approximately 50% less than that for new Category 2 issues.</w:t>
      </w:r>
    </w:p>
    <w:p w:rsidR="00F05311" w:rsidRPr="002B49F2" w:rsidP="00F05311" w14:paraId="76B62491" w14:textId="77777777">
      <w:pPr>
        <w:pStyle w:val="ListParagraph"/>
        <w:rPr>
          <w:rFonts w:ascii="Arial" w:hAnsi="Arial" w:cs="Arial"/>
          <w:sz w:val="22"/>
          <w:szCs w:val="22"/>
        </w:rPr>
      </w:pPr>
    </w:p>
    <w:p w:rsidR="00D1029B" w:rsidRPr="002B49F2" w:rsidP="00F05311" w14:paraId="371E59C1" w14:textId="693EFB62">
      <w:pPr>
        <w:pStyle w:val="ListParagraph"/>
        <w:rPr>
          <w:rFonts w:ascii="Arial" w:hAnsi="Arial" w:cs="Arial"/>
          <w:sz w:val="22"/>
          <w:szCs w:val="22"/>
        </w:rPr>
      </w:pPr>
      <w:r w:rsidRPr="002B49F2">
        <w:rPr>
          <w:rFonts w:ascii="Arial" w:hAnsi="Arial" w:cs="Arial"/>
          <w:sz w:val="22"/>
          <w:szCs w:val="22"/>
        </w:rPr>
        <w:t>The</w:t>
      </w:r>
      <w:r w:rsidRPr="002B49F2" w:rsidR="00BE7F5F">
        <w:rPr>
          <w:rFonts w:ascii="Arial" w:hAnsi="Arial" w:cs="Arial"/>
          <w:sz w:val="22"/>
          <w:szCs w:val="22"/>
        </w:rPr>
        <w:t xml:space="preserve"> remaining two types of changes would not result in an increase in burden for near-term</w:t>
      </w:r>
      <w:r w:rsidRPr="002B49F2" w:rsidR="00BA692C">
        <w:rPr>
          <w:rFonts w:ascii="Arial" w:hAnsi="Arial" w:cs="Arial"/>
          <w:sz w:val="22"/>
          <w:szCs w:val="22"/>
        </w:rPr>
        <w:t xml:space="preserve"> and</w:t>
      </w:r>
      <w:r w:rsidRPr="002B49F2" w:rsidR="00BE7F5F">
        <w:rPr>
          <w:rFonts w:ascii="Arial" w:hAnsi="Arial" w:cs="Arial"/>
          <w:sz w:val="22"/>
          <w:szCs w:val="22"/>
        </w:rPr>
        <w:t xml:space="preserve"> submitted</w:t>
      </w:r>
      <w:r w:rsidRPr="002B49F2" w:rsidR="00BA692C">
        <w:rPr>
          <w:rFonts w:ascii="Arial" w:hAnsi="Arial" w:cs="Arial"/>
          <w:sz w:val="22"/>
          <w:szCs w:val="22"/>
        </w:rPr>
        <w:t xml:space="preserve"> applications</w:t>
      </w:r>
      <w:r w:rsidRPr="002B49F2" w:rsidR="00BE7F5F">
        <w:rPr>
          <w:rFonts w:ascii="Arial" w:hAnsi="Arial" w:cs="Arial"/>
          <w:sz w:val="22"/>
          <w:szCs w:val="22"/>
        </w:rPr>
        <w:t xml:space="preserve">, </w:t>
      </w:r>
      <w:r w:rsidRPr="002B49F2" w:rsidR="00BA692C">
        <w:rPr>
          <w:rFonts w:ascii="Arial" w:hAnsi="Arial" w:cs="Arial"/>
          <w:sz w:val="22"/>
          <w:szCs w:val="22"/>
        </w:rPr>
        <w:t>and</w:t>
      </w:r>
      <w:r w:rsidRPr="002B49F2" w:rsidR="00BE7F5F">
        <w:rPr>
          <w:rFonts w:ascii="Arial" w:hAnsi="Arial" w:cs="Arial"/>
          <w:sz w:val="22"/>
          <w:szCs w:val="22"/>
        </w:rPr>
        <w:t xml:space="preserve"> </w:t>
      </w:r>
      <w:r w:rsidRPr="002B49F2" w:rsidR="00BA692C">
        <w:rPr>
          <w:rFonts w:ascii="Arial" w:hAnsi="Arial" w:cs="Arial"/>
          <w:sz w:val="22"/>
          <w:szCs w:val="22"/>
        </w:rPr>
        <w:t xml:space="preserve">issued </w:t>
      </w:r>
      <w:r w:rsidRPr="002B49F2" w:rsidR="007D5B6A">
        <w:rPr>
          <w:rFonts w:ascii="Arial" w:hAnsi="Arial" w:cs="Arial"/>
          <w:sz w:val="22"/>
          <w:szCs w:val="22"/>
        </w:rPr>
        <w:t>SLR</w:t>
      </w:r>
      <w:r w:rsidRPr="002B49F2" w:rsidR="00BA692C">
        <w:rPr>
          <w:rFonts w:ascii="Arial" w:hAnsi="Arial" w:cs="Arial"/>
          <w:sz w:val="22"/>
          <w:szCs w:val="22"/>
        </w:rPr>
        <w:t>s</w:t>
      </w:r>
      <w:r w:rsidRPr="002B49F2" w:rsidR="00BE7F5F">
        <w:rPr>
          <w:rFonts w:ascii="Arial" w:hAnsi="Arial" w:cs="Arial"/>
          <w:sz w:val="22"/>
          <w:szCs w:val="22"/>
        </w:rPr>
        <w:t>:</w:t>
      </w:r>
    </w:p>
    <w:p w:rsidR="00AF3CC1" w:rsidRPr="002B49F2" w:rsidP="00F05311" w14:paraId="5D6BBD2D" w14:textId="77777777">
      <w:pPr>
        <w:pStyle w:val="ListParagraph"/>
        <w:rPr>
          <w:rFonts w:ascii="Arial" w:hAnsi="Arial" w:cs="Arial"/>
          <w:sz w:val="22"/>
          <w:szCs w:val="22"/>
        </w:rPr>
      </w:pPr>
    </w:p>
    <w:p w:rsidR="00AF3CC1" w:rsidRPr="002B49F2" w:rsidP="00AF3CC1" w14:paraId="49F79805" w14:textId="46FEACEC">
      <w:pPr>
        <w:pStyle w:val="BodyText"/>
        <w:widowControl/>
        <w:numPr>
          <w:ilvl w:val="0"/>
          <w:numId w:val="17"/>
        </w:numPr>
        <w:kinsoku w:val="0"/>
        <w:overflowPunct w:val="0"/>
      </w:pPr>
      <w:r w:rsidRPr="002B49F2">
        <w:t xml:space="preserve">Existing Issue Category Change from Category 2 to Category 1. This is an issue that was determined to be Category 2 in the 2013 LR GEIS and has been evaluated and determined to be Category 1 in the revised LR GEIS. This type of change results in no change in burden because each applicant would have already </w:t>
      </w:r>
      <w:r w:rsidRPr="002B49F2">
        <w:t>conducted an assessment of</w:t>
      </w:r>
      <w:r w:rsidRPr="002B49F2">
        <w:t xml:space="preserve"> the potential environmental impacts related to that issue on a plant-specific basis, and therefore, would not be required to conduct an additional assessment. Similarly, there will be no additional burden for the NRC because the potential environmental impacts related to that issue would have already been analyzed in the LR GEIS. However, consistent with the requirements of 10 CFR 51.53(c)(3)(iv), an applicant is still required to describe in its environmental reports any “new and significant information” of which it is aware. The NRC would then consider and evaluate this information during its plant-specific environmental review.</w:t>
      </w:r>
    </w:p>
    <w:p w:rsidR="006F061A" w:rsidRPr="002B49F2" w:rsidP="00EE60B9" w14:paraId="5C1ECCD5" w14:textId="77777777">
      <w:pPr>
        <w:pStyle w:val="BodyText"/>
        <w:widowControl/>
        <w:kinsoku w:val="0"/>
        <w:overflowPunct w:val="0"/>
        <w:ind w:left="720"/>
      </w:pPr>
    </w:p>
    <w:p w:rsidR="006F061A" w:rsidRPr="002B49F2" w:rsidP="006F061A" w14:paraId="5D2959FB" w14:textId="333CAD0E">
      <w:pPr>
        <w:pStyle w:val="BodyText"/>
        <w:widowControl/>
        <w:numPr>
          <w:ilvl w:val="0"/>
          <w:numId w:val="17"/>
        </w:numPr>
        <w:kinsoku w:val="0"/>
        <w:overflowPunct w:val="0"/>
      </w:pPr>
      <w:r w:rsidRPr="002B49F2">
        <w:t xml:space="preserve">Consolidation of One or More Existing Category 1 Issues into an Existing Category 1 Issue. This is an existing issue that was determined to be Category 1 in the 2013 LR GEIS; that issue was evaluated and consolidated with similar aspects of one or more Category 1 issues which affect the same environmental resources. This type of change would result in no change in burden to each applicant and the NRC because it would not require applicants to conduct any additional assessments of the potential environmental impacts beyond what was already provided in the </w:t>
      </w:r>
      <w:r w:rsidRPr="002B49F2" w:rsidR="007D5B6A">
        <w:t>SLR</w:t>
      </w:r>
      <w:r w:rsidRPr="002B49F2">
        <w:t xml:space="preserve"> application. However, consistent with the requirements of 10 CFR 51.53(c)(3)(iv), an applicant is still required to describe in its environmental reports any “new and significant information” of which it is aware. The NRC would then consider and evaluate this information during its plant-specific environmental review.</w:t>
      </w:r>
    </w:p>
    <w:p w:rsidR="00AF3CC1" w:rsidRPr="002B49F2" w:rsidP="00F05311" w14:paraId="35FE59F5" w14:textId="77777777">
      <w:pPr>
        <w:pStyle w:val="ListParagraph"/>
        <w:rPr>
          <w:rFonts w:ascii="Arial" w:hAnsi="Arial" w:cs="Arial"/>
          <w:sz w:val="22"/>
          <w:szCs w:val="22"/>
        </w:rPr>
      </w:pPr>
    </w:p>
    <w:p w:rsidR="003D5EE2" w:rsidRPr="002B49F2" w:rsidP="003C0867" w14:paraId="322F22E7" w14:textId="0D428CAE">
      <w:pPr>
        <w:pStyle w:val="BodyText"/>
        <w:widowControl/>
        <w:kinsoku w:val="0"/>
        <w:overflowPunct w:val="0"/>
        <w:ind w:left="0"/>
      </w:pPr>
      <w:r w:rsidRPr="002B49F2">
        <w:t>In addition to the above changes, the proposed rule</w:t>
      </w:r>
      <w:r w:rsidRPr="002B49F2" w:rsidR="003F171F">
        <w:t xml:space="preserve"> </w:t>
      </w:r>
      <w:r w:rsidRPr="002B49F2">
        <w:t xml:space="preserve">makes several editorial and clarification changes in Table B-1. Several existing Category 1 </w:t>
      </w:r>
      <w:r w:rsidRPr="002B49F2" w:rsidR="0063185E">
        <w:t>and</w:t>
      </w:r>
      <w:r w:rsidRPr="002B49F2">
        <w:t xml:space="preserve"> Category 2 issues were renamed for clarity purposes; such changes did not affect the scope of the issues. In addition, the finding column of Table B-1 was revised for several existing Category 1 </w:t>
      </w:r>
      <w:r w:rsidRPr="002B49F2" w:rsidR="004B0D56">
        <w:t>and</w:t>
      </w:r>
      <w:r w:rsidRPr="002B49F2">
        <w:t xml:space="preserve"> Category 2 issues, to clarify the scope of issues and resources considered and for consistency with </w:t>
      </w:r>
      <w:r w:rsidRPr="002B49F2" w:rsidR="00C165B8">
        <w:t xml:space="preserve">similar environmental </w:t>
      </w:r>
      <w:r w:rsidRPr="002B49F2">
        <w:t>issues. Such changes did not change the recordkeeping or reporting burden because the number of issues, the issue Category, and the scope of issues remained the same.</w:t>
      </w:r>
    </w:p>
    <w:p w:rsidR="003D5EE2" w:rsidRPr="002B49F2" w:rsidP="000A3163" w14:paraId="17089E58" w14:textId="77777777">
      <w:pPr>
        <w:pStyle w:val="BodyText"/>
        <w:kinsoku w:val="0"/>
        <w:overflowPunct w:val="0"/>
        <w:ind w:left="0"/>
      </w:pPr>
    </w:p>
    <w:p w:rsidR="00942941" w:rsidRPr="002B49F2" w14:paraId="1E235722" w14:textId="2021BC91">
      <w:pPr>
        <w:pStyle w:val="BodyText"/>
        <w:kinsoku w:val="0"/>
        <w:overflowPunct w:val="0"/>
        <w:ind w:left="0"/>
      </w:pPr>
      <w:r w:rsidRPr="002B49F2">
        <w:t xml:space="preserve">The proposed rule also makes various conforming changes to the provisions of 10 CFR </w:t>
      </w:r>
      <w:r w:rsidRPr="002B49F2">
        <w:t>51.53(c)(3)</w:t>
      </w:r>
      <w:r w:rsidRPr="002B49F2" w:rsidR="00797053">
        <w:t>(ii</w:t>
      </w:r>
      <w:r w:rsidRPr="002B49F2">
        <w:t xml:space="preserve">) and amends 10 CFR 51.95, “Postconstruction Environmental Impact Statements,” to clarify the reference to the current revision of the LR GEIS. </w:t>
      </w:r>
      <w:r w:rsidRPr="002B49F2" w:rsidR="003D5EE2">
        <w:t xml:space="preserve">Furthermore, the proposed rule </w:t>
      </w:r>
      <w:r w:rsidRPr="002B49F2" w:rsidR="003F171F">
        <w:t>amends Appendix B to Subpart A to clarify the</w:t>
      </w:r>
      <w:r w:rsidRPr="002B49F2" w:rsidR="009B5C4D">
        <w:t> </w:t>
      </w:r>
      <w:r w:rsidRPr="002B49F2" w:rsidR="003F171F">
        <w:t xml:space="preserve">applicability to </w:t>
      </w:r>
      <w:r w:rsidRPr="002B49F2">
        <w:t xml:space="preserve">both </w:t>
      </w:r>
      <w:r w:rsidRPr="002B49F2" w:rsidR="003F171F">
        <w:t xml:space="preserve">initial </w:t>
      </w:r>
      <w:r w:rsidRPr="002B49F2" w:rsidR="00972318">
        <w:t xml:space="preserve">LR </w:t>
      </w:r>
      <w:r w:rsidRPr="002B49F2" w:rsidR="003F171F">
        <w:t>and</w:t>
      </w:r>
      <w:r w:rsidRPr="002B49F2" w:rsidR="00516303">
        <w:t xml:space="preserve"> one term of</w:t>
      </w:r>
      <w:r w:rsidRPr="002B49F2" w:rsidR="003F171F">
        <w:t xml:space="preserve"> </w:t>
      </w:r>
      <w:r w:rsidRPr="002B49F2" w:rsidR="007D5B6A">
        <w:t>SLR</w:t>
      </w:r>
      <w:r w:rsidRPr="002B49F2" w:rsidR="009B5C4D">
        <w:t>.</w:t>
      </w:r>
    </w:p>
    <w:p w:rsidR="005D305A" w:rsidRPr="002B49F2" w:rsidP="005D305A" w14:paraId="26BC952F" w14:textId="4CEC3712">
      <w:pPr>
        <w:pStyle w:val="BodyText"/>
        <w:kinsoku w:val="0"/>
        <w:overflowPunct w:val="0"/>
        <w:ind w:left="0"/>
      </w:pPr>
    </w:p>
    <w:p w:rsidR="00942941" w:rsidRPr="002B49F2" w:rsidP="008B5FBA" w14:paraId="4CD263D4" w14:textId="77777777">
      <w:pPr>
        <w:pStyle w:val="ListParagraph"/>
        <w:keepNext/>
        <w:widowControl/>
        <w:numPr>
          <w:ilvl w:val="0"/>
          <w:numId w:val="15"/>
        </w:numPr>
        <w:ind w:left="360"/>
        <w:rPr>
          <w:rFonts w:ascii="Arial" w:hAnsi="Arial" w:cs="Arial"/>
          <w:sz w:val="22"/>
          <w:szCs w:val="22"/>
        </w:rPr>
      </w:pPr>
      <w:r w:rsidRPr="002B49F2">
        <w:rPr>
          <w:rFonts w:ascii="Arial" w:hAnsi="Arial" w:cs="Arial"/>
          <w:sz w:val="22"/>
          <w:szCs w:val="22"/>
        </w:rPr>
        <w:t>JUSTIFICATION</w:t>
      </w:r>
    </w:p>
    <w:p w:rsidR="00942941" w:rsidRPr="002B49F2" w:rsidP="008B5FBA" w14:paraId="3E4CA9DC" w14:textId="77777777">
      <w:pPr>
        <w:pStyle w:val="BodyText"/>
        <w:keepNext/>
        <w:widowControl/>
        <w:kinsoku w:val="0"/>
        <w:overflowPunct w:val="0"/>
        <w:spacing w:before="8"/>
        <w:ind w:left="0"/>
      </w:pPr>
    </w:p>
    <w:p w:rsidR="00942941" w:rsidRPr="002B49F2" w:rsidP="008B5FBA" w14:paraId="1E1D41B4" w14:textId="77777777">
      <w:pPr>
        <w:pStyle w:val="ListParagraph"/>
        <w:keepNext/>
        <w:widowControl/>
        <w:numPr>
          <w:ilvl w:val="0"/>
          <w:numId w:val="14"/>
        </w:numPr>
        <w:rPr>
          <w:rFonts w:ascii="Arial" w:hAnsi="Arial" w:cs="Arial"/>
          <w:sz w:val="22"/>
          <w:szCs w:val="22"/>
          <w:u w:val="single"/>
        </w:rPr>
      </w:pPr>
      <w:r w:rsidRPr="002B49F2">
        <w:rPr>
          <w:rFonts w:ascii="Arial" w:hAnsi="Arial" w:cs="Arial"/>
          <w:sz w:val="22"/>
          <w:szCs w:val="22"/>
          <w:u w:val="single"/>
        </w:rPr>
        <w:t>Need for and Practical Utility of the Collection of Information</w:t>
      </w:r>
    </w:p>
    <w:p w:rsidR="00942941" w:rsidRPr="002B49F2" w:rsidP="009F7A72" w14:paraId="3ED08463" w14:textId="77777777">
      <w:pPr>
        <w:pStyle w:val="BodyText"/>
        <w:keepNext/>
        <w:kinsoku w:val="0"/>
        <w:overflowPunct w:val="0"/>
        <w:ind w:left="720"/>
      </w:pPr>
    </w:p>
    <w:p w:rsidR="00942941" w:rsidRPr="002B49F2" w:rsidP="008B5FBA" w14:paraId="67C66303" w14:textId="700E9C37">
      <w:pPr>
        <w:pStyle w:val="BodyText"/>
        <w:widowControl/>
        <w:kinsoku w:val="0"/>
        <w:overflowPunct w:val="0"/>
        <w:ind w:left="360"/>
      </w:pPr>
      <w:r w:rsidRPr="002B49F2">
        <w:t>NEPA directs that, to the fullest extent possible: (1) the policies, regulations, and public laws of the United States shall be interpreted and administered in accordance with the</w:t>
      </w:r>
      <w:r w:rsidRPr="002B49F2" w:rsidR="00D90118">
        <w:t> </w:t>
      </w:r>
      <w:r w:rsidRPr="002B49F2">
        <w:t>policies set forth in NEPA, and (2) all agencies of the Federal Government shall comply with the</w:t>
      </w:r>
      <w:r w:rsidRPr="002B49F2" w:rsidR="00E6555A">
        <w:t> </w:t>
      </w:r>
      <w:r w:rsidRPr="002B49F2">
        <w:t>procedures in Section 102(2) of NEPA except where compliance would be inconsistent with other statutory requirements. The regulations in Subpart A of 10</w:t>
      </w:r>
      <w:r w:rsidRPr="002B49F2" w:rsidR="00D90118">
        <w:t> </w:t>
      </w:r>
      <w:r w:rsidRPr="002B49F2">
        <w:t>CFR Part 51 implement Section 102(2) of NEPA in a manner that is consistent with the NRC</w:t>
      </w:r>
      <w:r w:rsidRPr="002B49F2" w:rsidR="00B82CDB">
        <w:t>’</w:t>
      </w:r>
      <w:r w:rsidRPr="002B49F2">
        <w:t>s domestic licensing and related regulatory authority under the AEA, the Energy Reorganization Act of 1974, as amended, the Uranium Mill Tailings Radiation Control Act of 1978, and the</w:t>
      </w:r>
      <w:r w:rsidRPr="002B49F2" w:rsidR="005D305A">
        <w:t> </w:t>
      </w:r>
      <w:r w:rsidRPr="002B49F2">
        <w:t>Commission</w:t>
      </w:r>
      <w:r w:rsidRPr="002B49F2" w:rsidR="005302AB">
        <w:t>’</w:t>
      </w:r>
      <w:r w:rsidRPr="002B49F2">
        <w:t>s announced policy to take account of the</w:t>
      </w:r>
      <w:r w:rsidRPr="002B49F2" w:rsidR="00D90118">
        <w:t> </w:t>
      </w:r>
      <w:r w:rsidRPr="002B49F2">
        <w:t>regulations of the Council of Environmental Quality published November</w:t>
      </w:r>
      <w:r w:rsidRPr="002B49F2" w:rsidR="00720106">
        <w:t> </w:t>
      </w:r>
      <w:r w:rsidRPr="002B49F2">
        <w:t>29, 1978 (43 FR 55978</w:t>
      </w:r>
      <w:r w:rsidRPr="002B49F2" w:rsidR="002C0E7B">
        <w:t>–</w:t>
      </w:r>
      <w:r w:rsidRPr="002B49F2">
        <w:t>56007). In order to conduct the environmental (NEPA) review of licensing actions, the NRC requires applicants to collect recent environmental information about their nuclear power plants.</w:t>
      </w:r>
    </w:p>
    <w:p w:rsidR="002B0903" w:rsidRPr="002B49F2" w:rsidP="00A465AF" w14:paraId="3CA48615" w14:textId="0EB89857">
      <w:pPr>
        <w:pStyle w:val="BodyText"/>
        <w:kinsoku w:val="0"/>
        <w:overflowPunct w:val="0"/>
        <w:ind w:left="360"/>
      </w:pPr>
    </w:p>
    <w:p w:rsidR="002B0903" w:rsidRPr="002B49F2" w:rsidP="00343BD7" w14:paraId="7857EFE1" w14:textId="005D2569">
      <w:pPr>
        <w:pStyle w:val="BodyText"/>
        <w:widowControl/>
        <w:kinsoku w:val="0"/>
        <w:overflowPunct w:val="0"/>
        <w:ind w:left="360"/>
      </w:pPr>
      <w:r w:rsidRPr="002B49F2">
        <w:t>The NRC’s regulations in 10 CFR 51.</w:t>
      </w:r>
      <w:r w:rsidRPr="002B49F2" w:rsidR="00A465AF">
        <w:t>53(c)</w:t>
      </w:r>
      <w:r w:rsidRPr="002B49F2">
        <w:t xml:space="preserve"> require each applicant to prepare and submit </w:t>
      </w:r>
      <w:r w:rsidRPr="002B49F2" w:rsidR="00A465AF">
        <w:t>a report</w:t>
      </w:r>
      <w:r w:rsidRPr="002B49F2" w:rsidR="005D64F8">
        <w:t xml:space="preserve"> entitled “Applicant’s Environmental Report – Operating License Renewal Stage,” with the applicant’s license renewal application</w:t>
      </w:r>
      <w:r w:rsidRPr="002B49F2">
        <w:t xml:space="preserve">. </w:t>
      </w:r>
      <w:r w:rsidRPr="002B49F2" w:rsidR="00343BD7">
        <w:t xml:space="preserve">The information provided by the applicant in the environmental report helps the NRC meet its regulatory obligations consistent with Section 102(2) of NEPA. In the environmental report, the applicant provides information about the </w:t>
      </w:r>
      <w:r w:rsidRPr="002B49F2" w:rsidR="00F67631">
        <w:t xml:space="preserve">nuclear power </w:t>
      </w:r>
      <w:r w:rsidRPr="002B49F2" w:rsidR="00343BD7">
        <w:t xml:space="preserve">plant, the environment that could be affected by license renewal, and an assessment of the environmental impacts from issues identified as Category 2 issues in Table B-1. The applicant is also required to </w:t>
      </w:r>
      <w:r w:rsidRPr="002B49F2" w:rsidR="00FA1D73">
        <w:t>address alternatives to the proposed action</w:t>
      </w:r>
      <w:r w:rsidRPr="002B49F2" w:rsidR="00343BD7">
        <w:t xml:space="preserve"> and </w:t>
      </w:r>
      <w:r w:rsidRPr="002B49F2" w:rsidR="00FA1D73">
        <w:t xml:space="preserve">provide </w:t>
      </w:r>
      <w:r w:rsidRPr="002B49F2" w:rsidR="00343BD7">
        <w:t>any new and significant information.</w:t>
      </w:r>
    </w:p>
    <w:p w:rsidR="00343BD7" w:rsidRPr="002B49F2" w:rsidP="00343BD7" w14:paraId="79658B24" w14:textId="358BE8FA">
      <w:pPr>
        <w:pStyle w:val="BodyText"/>
        <w:widowControl/>
        <w:kinsoku w:val="0"/>
        <w:overflowPunct w:val="0"/>
        <w:ind w:left="360"/>
      </w:pPr>
    </w:p>
    <w:p w:rsidR="00343BD7" w:rsidRPr="002B49F2" w:rsidP="00343BD7" w14:paraId="53758361" w14:textId="45BABD77">
      <w:pPr>
        <w:pStyle w:val="BodyText"/>
        <w:widowControl/>
        <w:kinsoku w:val="0"/>
        <w:overflowPunct w:val="0"/>
        <w:ind w:left="360"/>
      </w:pPr>
      <w:r w:rsidRPr="002B49F2">
        <w:t>After accepting the license renewal application</w:t>
      </w:r>
      <w:r w:rsidRPr="002B49F2" w:rsidR="00D34495">
        <w:t xml:space="preserve"> and environmental report, the NRC prepares a draft supplemental EIS (SEIS) to the LR GEIS that evaluates the environmental impact of plant-specific (Category 2) issues</w:t>
      </w:r>
      <w:r w:rsidRPr="002B49F2" w:rsidR="00487A68">
        <w:t>, alternatives to the proposed action,</w:t>
      </w:r>
      <w:r w:rsidRPr="002B49F2" w:rsidR="00D34495">
        <w:t xml:space="preserve"> along with the</w:t>
      </w:r>
      <w:r w:rsidRPr="002B49F2" w:rsidR="00C82344">
        <w:t> </w:t>
      </w:r>
      <w:r w:rsidRPr="002B49F2" w:rsidR="00D34495">
        <w:t>consideration of any new and significant information for Category 1 and/or for any newly identified issues. The draft SEISs are made available for public comment. After considering public comments, the NRC prepares and issues a final SEIS. The fina</w:t>
      </w:r>
      <w:r w:rsidRPr="002B49F2" w:rsidR="00D25BC1">
        <w:t>l SEIS and the LR GEIS (NUREG-1437), together, serve as the requisite NEPA analysis for license renewal environmental reviews.</w:t>
      </w:r>
    </w:p>
    <w:p w:rsidR="00D6049E" w:rsidRPr="002B49F2" w:rsidP="009F7A72" w14:paraId="19632153" w14:textId="77777777">
      <w:pPr>
        <w:pStyle w:val="BodyText"/>
        <w:kinsoku w:val="0"/>
        <w:overflowPunct w:val="0"/>
        <w:ind w:left="719"/>
      </w:pPr>
    </w:p>
    <w:p w:rsidR="00942941" w:rsidRPr="002B49F2" w:rsidP="00F04C52" w14:paraId="40D14CC5"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Agency Use of Information</w:t>
      </w:r>
    </w:p>
    <w:p w:rsidR="00942941" w:rsidRPr="002B49F2" w:rsidP="009F7A72" w14:paraId="387B03E0" w14:textId="77777777">
      <w:pPr>
        <w:pStyle w:val="BodyText"/>
        <w:keepNext/>
        <w:kinsoku w:val="0"/>
        <w:overflowPunct w:val="0"/>
        <w:ind w:left="720"/>
      </w:pPr>
    </w:p>
    <w:p w:rsidR="00942941" w:rsidRPr="002B49F2" w:rsidP="005D305A" w14:paraId="41AC772D" w14:textId="0701CEED">
      <w:pPr>
        <w:pStyle w:val="BodyText"/>
        <w:widowControl/>
        <w:kinsoku w:val="0"/>
        <w:overflowPunct w:val="0"/>
        <w:ind w:left="360"/>
      </w:pPr>
      <w:r w:rsidRPr="002B49F2">
        <w:t xml:space="preserve">The NRC evaluates the information provided in the </w:t>
      </w:r>
      <w:r w:rsidRPr="002B49F2" w:rsidR="00EA7E74">
        <w:t>license renewal</w:t>
      </w:r>
      <w:r w:rsidRPr="002B49F2">
        <w:t xml:space="preserve"> application and </w:t>
      </w:r>
      <w:r w:rsidRPr="002B49F2" w:rsidR="00D67DCC">
        <w:t>environmental report</w:t>
      </w:r>
      <w:r w:rsidRPr="002B49F2">
        <w:t xml:space="preserve"> and prepares a draft SEIS to analyze </w:t>
      </w:r>
      <w:r w:rsidRPr="002B49F2" w:rsidR="00EA7E74">
        <w:t>plant</w:t>
      </w:r>
      <w:r w:rsidRPr="002B49F2">
        <w:t>-specific issues (Category</w:t>
      </w:r>
      <w:r w:rsidRPr="002B49F2" w:rsidR="00EA7E74">
        <w:t> </w:t>
      </w:r>
      <w:r w:rsidRPr="002B49F2">
        <w:t xml:space="preserve">2), any new and significant information for generic issues (Category 1), and possibly, any previously unidentified issues. After considering public comments, the NRC prepares and issues a final SEIS. The final SEIS and </w:t>
      </w:r>
      <w:r w:rsidRPr="002B49F2" w:rsidR="00400E35">
        <w:t>the LR GEIS (</w:t>
      </w:r>
      <w:r w:rsidRPr="002B49F2" w:rsidR="006D3E17">
        <w:t>NUREG-1437</w:t>
      </w:r>
      <w:r w:rsidRPr="002B49F2" w:rsidR="00400E35">
        <w:t>)</w:t>
      </w:r>
      <w:r w:rsidRPr="002B49F2">
        <w:t>, together, serve as the</w:t>
      </w:r>
      <w:r w:rsidRPr="002B49F2" w:rsidR="006D3E17">
        <w:t> </w:t>
      </w:r>
      <w:r w:rsidRPr="002B49F2">
        <w:t xml:space="preserve">requisite NEPA analysis for any given </w:t>
      </w:r>
      <w:r w:rsidRPr="002B49F2" w:rsidR="006D3E17">
        <w:t>license renewal application</w:t>
      </w:r>
      <w:r w:rsidRPr="002B49F2">
        <w:t>.</w:t>
      </w:r>
    </w:p>
    <w:p w:rsidR="002B0903" w:rsidRPr="002B49F2" w:rsidP="009F7A72" w14:paraId="3F5F12FB" w14:textId="77777777">
      <w:pPr>
        <w:pStyle w:val="BodyText"/>
        <w:kinsoku w:val="0"/>
        <w:overflowPunct w:val="0"/>
        <w:spacing w:before="2"/>
        <w:ind w:left="719"/>
        <w:rPr>
          <w:sz w:val="20"/>
          <w:szCs w:val="20"/>
        </w:rPr>
      </w:pPr>
    </w:p>
    <w:p w:rsidR="00942941" w:rsidRPr="002B49F2" w:rsidP="00F04C52" w14:paraId="1064CB8C"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Reduction of Burden Through Information Technology</w:t>
      </w:r>
    </w:p>
    <w:p w:rsidR="00942941" w:rsidRPr="002B49F2" w:rsidP="00F04C52" w14:paraId="05E1774E" w14:textId="77777777">
      <w:pPr>
        <w:pStyle w:val="BodyText"/>
        <w:keepNext/>
        <w:kinsoku w:val="0"/>
        <w:overflowPunct w:val="0"/>
        <w:ind w:left="360" w:hanging="360"/>
      </w:pPr>
    </w:p>
    <w:p w:rsidR="007A714B" w:rsidRPr="002B49F2" w:rsidP="008B5FBA" w14:paraId="68C2A124" w14:textId="70DF7E81">
      <w:pPr>
        <w:widowControl/>
        <w:ind w:left="360"/>
        <w:rPr>
          <w:rFonts w:ascii="Arial" w:hAnsi="Arial" w:cs="Arial"/>
          <w:sz w:val="22"/>
          <w:szCs w:val="22"/>
        </w:rPr>
      </w:pPr>
      <w:r w:rsidRPr="002B49F2">
        <w:rPr>
          <w:rFonts w:ascii="Arial" w:hAnsi="Arial" w:cs="Arial"/>
          <w:sz w:val="22"/>
          <w:szCs w:val="22"/>
        </w:rPr>
        <w:t>The NRC has issued</w:t>
      </w:r>
      <w:r w:rsidRPr="002B49F2">
        <w:rPr>
          <w:rFonts w:ascii="Arial" w:hAnsi="Arial" w:cs="Arial"/>
          <w:sz w:val="22"/>
          <w:szCs w:val="22"/>
        </w:rPr>
        <w:t xml:space="preserve"> </w:t>
      </w:r>
      <w:hyperlink r:id="rId9" w:history="1">
        <w:r w:rsidRPr="002B49F2">
          <w:rPr>
            <w:rStyle w:val="Hyperlink"/>
            <w:rFonts w:ascii="Arial" w:hAnsi="Arial" w:cs="Arial"/>
            <w:i/>
            <w:iCs/>
            <w:sz w:val="22"/>
            <w:szCs w:val="22"/>
          </w:rPr>
          <w:t>Guidance for Electronic Submissions to the NRC</w:t>
        </w:r>
      </w:hyperlink>
      <w:r w:rsidRPr="002B49F2" w:rsidR="005302AB">
        <w:rPr>
          <w:rFonts w:ascii="Arial" w:hAnsi="Arial" w:cs="Arial"/>
          <w:sz w:val="22"/>
          <w:szCs w:val="22"/>
        </w:rPr>
        <w:t>,</w:t>
      </w:r>
      <w:r w:rsidRPr="002B49F2">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Pr="002B49F2" w:rsidR="00C54378">
        <w:rPr>
          <w:rFonts w:ascii="Arial" w:hAnsi="Arial" w:cs="Arial"/>
          <w:sz w:val="22"/>
          <w:szCs w:val="22"/>
        </w:rPr>
        <w:t>The</w:t>
      </w:r>
      <w:r w:rsidRPr="002B49F2">
        <w:rPr>
          <w:rFonts w:ascii="Arial" w:hAnsi="Arial" w:cs="Arial"/>
          <w:sz w:val="22"/>
          <w:szCs w:val="22"/>
        </w:rPr>
        <w:t xml:space="preserve"> Electronic Submittals application</w:t>
      </w:r>
      <w:r w:rsidRPr="002B49F2">
        <w:rPr>
          <w:rFonts w:ascii="Arial" w:hAnsi="Arial" w:cs="Arial"/>
          <w:sz w:val="22"/>
          <w:szCs w:val="22"/>
        </w:rPr>
        <w:t>, which is available from the NRC</w:t>
      </w:r>
      <w:r w:rsidRPr="002B49F2" w:rsidR="006A1BA7">
        <w:rPr>
          <w:rFonts w:ascii="Arial" w:hAnsi="Arial" w:cs="Arial"/>
          <w:sz w:val="22"/>
          <w:szCs w:val="22"/>
        </w:rPr>
        <w:t>’</w:t>
      </w:r>
      <w:r w:rsidRPr="002B49F2">
        <w:rPr>
          <w:rFonts w:ascii="Arial" w:hAnsi="Arial" w:cs="Arial"/>
          <w:sz w:val="22"/>
          <w:szCs w:val="22"/>
        </w:rPr>
        <w:t>s “Electronic Submittals” Web page, by Optical Storage Media (OSM) (e.g.</w:t>
      </w:r>
      <w:r w:rsidRPr="002B49F2" w:rsidR="003C0867">
        <w:rPr>
          <w:rFonts w:ascii="Arial" w:hAnsi="Arial" w:cs="Arial"/>
          <w:sz w:val="22"/>
          <w:szCs w:val="22"/>
        </w:rPr>
        <w:t>,</w:t>
      </w:r>
      <w:r w:rsidRPr="002B49F2">
        <w:rPr>
          <w:rFonts w:ascii="Arial" w:hAnsi="Arial" w:cs="Arial"/>
          <w:sz w:val="22"/>
          <w:szCs w:val="22"/>
        </w:rPr>
        <w:t xml:space="preserve"> CD-ROM, DVD), by facsimile</w:t>
      </w:r>
      <w:r w:rsidRPr="002B49F2" w:rsidR="00BD0400">
        <w:rPr>
          <w:rFonts w:ascii="Arial" w:hAnsi="Arial" w:cs="Arial"/>
          <w:sz w:val="22"/>
          <w:szCs w:val="22"/>
        </w:rPr>
        <w:t>,</w:t>
      </w:r>
      <w:r w:rsidRPr="002B49F2">
        <w:rPr>
          <w:rFonts w:ascii="Arial" w:hAnsi="Arial" w:cs="Arial"/>
          <w:sz w:val="22"/>
          <w:szCs w:val="22"/>
        </w:rPr>
        <w:t xml:space="preserve"> or by e-mail. </w:t>
      </w:r>
      <w:r w:rsidRPr="002B49F2">
        <w:rPr>
          <w:rFonts w:ascii="Arial" w:hAnsi="Arial" w:cs="Arial"/>
          <w:sz w:val="22"/>
          <w:szCs w:val="22"/>
        </w:rPr>
        <w:t>The Electronic Submittals application allows electronic transmission of information to the NRC pertaining to licensing actions, associated hearings, and other regulatory matters.</w:t>
      </w:r>
    </w:p>
    <w:p w:rsidR="007A714B" w:rsidRPr="002B49F2" w:rsidP="00F04C52" w14:paraId="39EAF2ED" w14:textId="77777777">
      <w:pPr>
        <w:pStyle w:val="BodyText"/>
        <w:kinsoku w:val="0"/>
        <w:overflowPunct w:val="0"/>
        <w:ind w:left="360" w:hanging="360"/>
      </w:pPr>
    </w:p>
    <w:p w:rsidR="00567F15" w:rsidRPr="002B49F2" w:rsidP="00385902" w14:paraId="6D4AE6DA" w14:textId="7775A570">
      <w:pPr>
        <w:pStyle w:val="BodyText"/>
        <w:keepNext/>
        <w:widowControl/>
        <w:kinsoku w:val="0"/>
        <w:overflowPunct w:val="0"/>
        <w:ind w:left="360"/>
      </w:pPr>
      <w:r w:rsidRPr="002B49F2">
        <w:t xml:space="preserve">It is estimated that 100 percent of the </w:t>
      </w:r>
      <w:r w:rsidRPr="002B49F2" w:rsidR="00CB5013">
        <w:t>license renewal</w:t>
      </w:r>
      <w:r w:rsidRPr="002B49F2">
        <w:t xml:space="preserve"> applications will be submitted to the</w:t>
      </w:r>
      <w:r w:rsidRPr="002B49F2" w:rsidR="00CB5013">
        <w:t> </w:t>
      </w:r>
      <w:r w:rsidRPr="002B49F2">
        <w:t>NRC electronically.</w:t>
      </w:r>
    </w:p>
    <w:p w:rsidR="002B0903" w:rsidRPr="002B49F2" w:rsidP="00F04C52" w14:paraId="08743E20" w14:textId="77777777">
      <w:pPr>
        <w:pStyle w:val="BodyText"/>
        <w:kinsoku w:val="0"/>
        <w:overflowPunct w:val="0"/>
        <w:ind w:left="360" w:right="173" w:hanging="360"/>
        <w:rPr>
          <w:spacing w:val="-1"/>
        </w:rPr>
      </w:pPr>
    </w:p>
    <w:p w:rsidR="00942941" w:rsidRPr="002B49F2" w:rsidP="00F04C52" w14:paraId="6D87393F"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Effort to Identify Duplication and Use Similar Information</w:t>
      </w:r>
    </w:p>
    <w:p w:rsidR="00942941" w:rsidRPr="002B49F2" w:rsidP="00F04C52" w14:paraId="77AC100F" w14:textId="77777777">
      <w:pPr>
        <w:pStyle w:val="BodyText"/>
        <w:keepNext/>
        <w:kinsoku w:val="0"/>
        <w:overflowPunct w:val="0"/>
        <w:ind w:left="360" w:hanging="360"/>
      </w:pPr>
    </w:p>
    <w:p w:rsidR="00942941" w:rsidRPr="002B49F2" w:rsidP="00F04C52" w14:paraId="1D6BB407" w14:textId="02D539AB">
      <w:pPr>
        <w:pStyle w:val="BodyText"/>
        <w:kinsoku w:val="0"/>
        <w:overflowPunct w:val="0"/>
        <w:ind w:left="360"/>
      </w:pPr>
      <w:r w:rsidRPr="002B49F2">
        <w:t>No sources of similar information are available. There is no duplication of requirements.</w:t>
      </w:r>
    </w:p>
    <w:p w:rsidR="002B0903" w:rsidRPr="002B49F2" w:rsidP="00F04C52" w14:paraId="66A8BC2E" w14:textId="77777777">
      <w:pPr>
        <w:pStyle w:val="BodyText"/>
        <w:kinsoku w:val="0"/>
        <w:overflowPunct w:val="0"/>
        <w:ind w:left="360" w:hanging="360"/>
      </w:pPr>
    </w:p>
    <w:p w:rsidR="00942941" w:rsidRPr="002B49F2" w:rsidP="00F04C52" w14:paraId="47E62032"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Effort to Reduce Small Business Burden</w:t>
      </w:r>
    </w:p>
    <w:p w:rsidR="00942941" w:rsidRPr="002B49F2" w:rsidP="00F04C52" w14:paraId="626E0C15" w14:textId="77777777">
      <w:pPr>
        <w:pStyle w:val="BodyText"/>
        <w:keepNext/>
        <w:kinsoku w:val="0"/>
        <w:overflowPunct w:val="0"/>
        <w:ind w:left="360" w:hanging="360"/>
      </w:pPr>
    </w:p>
    <w:p w:rsidR="00942941" w:rsidRPr="002B49F2" w:rsidP="00F04C52" w14:paraId="4DBADD5B" w14:textId="319462B1">
      <w:pPr>
        <w:pStyle w:val="BodyText"/>
        <w:kinsoku w:val="0"/>
        <w:overflowPunct w:val="0"/>
        <w:ind w:left="360"/>
      </w:pPr>
      <w:r w:rsidRPr="002B49F2">
        <w:t>This information collection does not affect small businesses.</w:t>
      </w:r>
    </w:p>
    <w:p w:rsidR="00CB47EC" w:rsidRPr="002B49F2" w:rsidP="00F04C52" w14:paraId="249AEFCD" w14:textId="77777777">
      <w:pPr>
        <w:pStyle w:val="BodyText"/>
        <w:kinsoku w:val="0"/>
        <w:overflowPunct w:val="0"/>
        <w:ind w:left="360" w:hanging="360"/>
      </w:pPr>
    </w:p>
    <w:p w:rsidR="00942941" w:rsidRPr="002B49F2" w:rsidP="00F04C52" w14:paraId="14CAD1F7" w14:textId="7C2E1914">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Consequences to Federal Program or Policy Activities if the Collection is Not Conducted or is Conducted Less Frequently</w:t>
      </w:r>
    </w:p>
    <w:p w:rsidR="00942941" w:rsidRPr="002B49F2" w:rsidP="00F04C52" w14:paraId="43E5A568" w14:textId="77777777">
      <w:pPr>
        <w:pStyle w:val="BodyText"/>
        <w:keepNext/>
        <w:kinsoku w:val="0"/>
        <w:overflowPunct w:val="0"/>
        <w:ind w:left="360" w:hanging="360"/>
      </w:pPr>
    </w:p>
    <w:p w:rsidR="006526C3" w:rsidRPr="002B49F2" w:rsidP="00F04C52" w14:paraId="5CC5E4A0" w14:textId="1D6FE912">
      <w:pPr>
        <w:pStyle w:val="BodyText"/>
        <w:widowControl/>
        <w:kinsoku w:val="0"/>
        <w:overflowPunct w:val="0"/>
        <w:ind w:left="360"/>
      </w:pPr>
      <w:r w:rsidRPr="002B49F2">
        <w:t xml:space="preserve">The environmental information collected by the applicant and included in the </w:t>
      </w:r>
      <w:r w:rsidRPr="002B49F2" w:rsidR="00D67DCC">
        <w:t>environmental report</w:t>
      </w:r>
      <w:r w:rsidRPr="002B49F2">
        <w:t xml:space="preserve"> is affected by the </w:t>
      </w:r>
      <w:r w:rsidRPr="002B49F2" w:rsidR="00CA6DA6">
        <w:t>proposed</w:t>
      </w:r>
      <w:r w:rsidRPr="002B49F2">
        <w:t xml:space="preserve"> rule changes </w:t>
      </w:r>
      <w:r w:rsidRPr="002B49F2" w:rsidR="00CA6DA6">
        <w:t xml:space="preserve">to </w:t>
      </w:r>
      <w:r w:rsidRPr="002B49F2" w:rsidR="008E2CBF">
        <w:t>Table B-1</w:t>
      </w:r>
      <w:r w:rsidRPr="002B49F2" w:rsidR="00CA6DA6">
        <w:t xml:space="preserve">. </w:t>
      </w:r>
      <w:r w:rsidRPr="002B49F2">
        <w:t xml:space="preserve">The information provided in the </w:t>
      </w:r>
      <w:r w:rsidRPr="002B49F2" w:rsidR="00D67DCC">
        <w:t>environmental report</w:t>
      </w:r>
      <w:r w:rsidRPr="002B49F2">
        <w:t xml:space="preserve"> is used by the NRC to </w:t>
      </w:r>
      <w:r w:rsidRPr="002B49F2">
        <w:t>conduct an assessment of</w:t>
      </w:r>
      <w:r w:rsidRPr="002B49F2">
        <w:t xml:space="preserve"> the</w:t>
      </w:r>
      <w:r w:rsidRPr="002B49F2" w:rsidR="009A2342">
        <w:t> </w:t>
      </w:r>
      <w:r w:rsidRPr="002B49F2">
        <w:t xml:space="preserve">environmental impacts that could result from the </w:t>
      </w:r>
      <w:r w:rsidRPr="002B49F2" w:rsidR="009A2342">
        <w:t>renewal of the operating license and the continued operation of the nuclear power plant</w:t>
      </w:r>
      <w:r w:rsidRPr="002B49F2">
        <w:t>. The NRC then completes the</w:t>
      </w:r>
      <w:r w:rsidRPr="002B49F2" w:rsidR="0034615D">
        <w:t> </w:t>
      </w:r>
      <w:r w:rsidRPr="002B49F2">
        <w:t xml:space="preserve">environmental review and documents the results in a </w:t>
      </w:r>
      <w:r w:rsidRPr="002B49F2" w:rsidR="00C87E73">
        <w:t>plant</w:t>
      </w:r>
      <w:r w:rsidRPr="002B49F2">
        <w:t>-</w:t>
      </w:r>
      <w:r w:rsidRPr="002B49F2">
        <w:t>specific SEIS</w:t>
      </w:r>
      <w:r w:rsidRPr="002B49F2" w:rsidR="0034615D">
        <w:t>,</w:t>
      </w:r>
      <w:r w:rsidRPr="002B49F2">
        <w:t xml:space="preserve"> in compliance with NEPA.</w:t>
      </w:r>
    </w:p>
    <w:p w:rsidR="0070584B" w:rsidRPr="002B49F2" w:rsidP="00F04C52" w14:paraId="70BB4DE1" w14:textId="77777777">
      <w:pPr>
        <w:pStyle w:val="BodyText"/>
        <w:kinsoku w:val="0"/>
        <w:overflowPunct w:val="0"/>
        <w:ind w:left="360" w:hanging="360"/>
      </w:pPr>
    </w:p>
    <w:p w:rsidR="003E12E5" w:rsidRPr="002B49F2" w:rsidP="00F04C52" w14:paraId="204F39BD" w14:textId="0B2AA448">
      <w:pPr>
        <w:pStyle w:val="BodyText"/>
        <w:kinsoku w:val="0"/>
        <w:overflowPunct w:val="0"/>
        <w:ind w:left="360"/>
        <w:rPr>
          <w:sz w:val="21"/>
          <w:szCs w:val="21"/>
        </w:rPr>
      </w:pPr>
      <w:r w:rsidRPr="002B49F2">
        <w:t xml:space="preserve">Without the information collected as a result of the </w:t>
      </w:r>
      <w:r w:rsidRPr="002B49F2" w:rsidR="00020BCB">
        <w:t>proposed</w:t>
      </w:r>
      <w:r w:rsidRPr="002B49F2">
        <w:t xml:space="preserve"> changes </w:t>
      </w:r>
      <w:r w:rsidRPr="002B49F2" w:rsidR="006526C3">
        <w:t xml:space="preserve">in </w:t>
      </w:r>
      <w:r w:rsidRPr="002B49F2" w:rsidR="0034615D">
        <w:t>Table B-1</w:t>
      </w:r>
      <w:r w:rsidRPr="002B49F2">
        <w:t xml:space="preserve">, </w:t>
      </w:r>
      <w:r w:rsidRPr="002B49F2" w:rsidR="001C13FD">
        <w:t>the NRC could not complete the environmental review in a timely manner which could delay the</w:t>
      </w:r>
      <w:r w:rsidRPr="002B49F2" w:rsidR="006F2F87">
        <w:t> </w:t>
      </w:r>
      <w:r w:rsidRPr="002B49F2" w:rsidR="001C13FD">
        <w:t>overall completion of a license renewal review</w:t>
      </w:r>
      <w:r w:rsidRPr="002B49F2" w:rsidR="006F2F87">
        <w:t>.</w:t>
      </w:r>
      <w:r w:rsidRPr="002B49F2">
        <w:t xml:space="preserve"> Delays in the environmental review process likely would increase </w:t>
      </w:r>
      <w:r w:rsidRPr="002B49F2" w:rsidR="006F2F87">
        <w:t>the cost burden to both industry and to the NRC because additional time would be required for the licensee to collect and provide missing information to the NRC and for the NRC to conduct supplemental analyses on the additional information provided</w:t>
      </w:r>
      <w:r w:rsidRPr="002B49F2">
        <w:t>.</w:t>
      </w:r>
    </w:p>
    <w:p w:rsidR="00DE12D6" w:rsidRPr="002B49F2" w:rsidP="00F04C52" w14:paraId="21B3F9B9" w14:textId="77777777">
      <w:pPr>
        <w:pStyle w:val="BodyText"/>
        <w:kinsoku w:val="0"/>
        <w:overflowPunct w:val="0"/>
        <w:ind w:left="360" w:hanging="360"/>
      </w:pPr>
    </w:p>
    <w:p w:rsidR="00942941" w:rsidRPr="002B49F2" w:rsidP="00F04C52" w14:paraId="1A66DBE2"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Circumstances That Justify Variation from OMB Guidelines</w:t>
      </w:r>
    </w:p>
    <w:p w:rsidR="00942941" w:rsidRPr="002B49F2" w:rsidP="00F04C52" w14:paraId="770E26DE" w14:textId="77777777">
      <w:pPr>
        <w:pStyle w:val="BodyText"/>
        <w:keepNext/>
        <w:kinsoku w:val="0"/>
        <w:overflowPunct w:val="0"/>
        <w:ind w:left="360" w:hanging="360"/>
      </w:pPr>
    </w:p>
    <w:p w:rsidR="00942941" w:rsidRPr="002B49F2" w:rsidP="00F04C52" w14:paraId="1F80240B" w14:textId="54B4994E">
      <w:pPr>
        <w:pStyle w:val="BodyText"/>
        <w:kinsoku w:val="0"/>
        <w:overflowPunct w:val="0"/>
        <w:ind w:left="360"/>
      </w:pPr>
      <w:r w:rsidRPr="002B49F2">
        <w:t>There is no variation from OMB guidelines.</w:t>
      </w:r>
    </w:p>
    <w:p w:rsidR="006526C3" w:rsidRPr="002B49F2" w:rsidP="00F04C52" w14:paraId="2F6A2253" w14:textId="77777777">
      <w:pPr>
        <w:pStyle w:val="BodyText"/>
        <w:kinsoku w:val="0"/>
        <w:overflowPunct w:val="0"/>
        <w:ind w:left="360" w:hanging="360"/>
      </w:pPr>
    </w:p>
    <w:p w:rsidR="00942941" w:rsidRPr="002B49F2" w:rsidP="00DE4CB0" w14:paraId="11F38F58" w14:textId="77777777">
      <w:pPr>
        <w:pStyle w:val="ListParagraph"/>
        <w:keepNext/>
        <w:widowControl/>
        <w:numPr>
          <w:ilvl w:val="0"/>
          <w:numId w:val="14"/>
        </w:numPr>
        <w:rPr>
          <w:rFonts w:ascii="Arial" w:hAnsi="Arial" w:cs="Arial"/>
          <w:sz w:val="22"/>
          <w:szCs w:val="22"/>
          <w:u w:val="single"/>
        </w:rPr>
      </w:pPr>
      <w:r w:rsidRPr="002B49F2">
        <w:rPr>
          <w:rFonts w:ascii="Arial" w:hAnsi="Arial" w:cs="Arial"/>
          <w:sz w:val="22"/>
          <w:szCs w:val="22"/>
          <w:u w:val="single"/>
        </w:rPr>
        <w:t>Consultations Outside the NRC</w:t>
      </w:r>
    </w:p>
    <w:p w:rsidR="00942941" w:rsidRPr="002B49F2" w:rsidP="00DE4CB0" w14:paraId="318CB244" w14:textId="77777777">
      <w:pPr>
        <w:pStyle w:val="BodyText"/>
        <w:keepNext/>
        <w:widowControl/>
        <w:kinsoku w:val="0"/>
        <w:overflowPunct w:val="0"/>
        <w:ind w:left="360" w:hanging="360"/>
      </w:pPr>
    </w:p>
    <w:p w:rsidR="00DE12D6" w:rsidRPr="002B49F2" w:rsidP="00DE4CB0" w14:paraId="7D9F972B" w14:textId="75D4CE32">
      <w:pPr>
        <w:pStyle w:val="BodyText"/>
        <w:keepNext/>
        <w:widowControl/>
        <w:kinsoku w:val="0"/>
        <w:overflowPunct w:val="0"/>
        <w:ind w:left="360"/>
      </w:pPr>
      <w:r w:rsidRPr="002B49F2">
        <w:t xml:space="preserve">Opportunity for public comment on the information collection requirements for this clearance package has been published in the </w:t>
      </w:r>
      <w:r w:rsidRPr="002B49F2">
        <w:rPr>
          <w:i/>
          <w:iCs/>
        </w:rPr>
        <w:t>Federal Register</w:t>
      </w:r>
      <w:r w:rsidRPr="002B49F2">
        <w:t>.</w:t>
      </w:r>
    </w:p>
    <w:p w:rsidR="00C55691" w:rsidRPr="002B49F2" w:rsidP="00F04C52" w14:paraId="7FF747A0" w14:textId="2CA9638A">
      <w:pPr>
        <w:pStyle w:val="BodyText"/>
        <w:kinsoku w:val="0"/>
        <w:overflowPunct w:val="0"/>
        <w:ind w:left="360" w:hanging="360"/>
      </w:pPr>
    </w:p>
    <w:p w:rsidR="00942941" w:rsidRPr="002B49F2" w:rsidP="00F04C52" w14:paraId="68EC2CDF"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Payment or Gift to Respondents</w:t>
      </w:r>
    </w:p>
    <w:p w:rsidR="00942941" w:rsidRPr="002B49F2" w:rsidP="00F04C52" w14:paraId="478267F7" w14:textId="77777777">
      <w:pPr>
        <w:pStyle w:val="BodyText"/>
        <w:keepNext/>
        <w:kinsoku w:val="0"/>
        <w:overflowPunct w:val="0"/>
        <w:ind w:left="360" w:hanging="360"/>
      </w:pPr>
    </w:p>
    <w:p w:rsidR="00942941" w:rsidRPr="002B49F2" w:rsidP="00F04C52" w14:paraId="70DB395B" w14:textId="77777777">
      <w:pPr>
        <w:pStyle w:val="BodyText"/>
        <w:kinsoku w:val="0"/>
        <w:overflowPunct w:val="0"/>
        <w:ind w:left="360"/>
      </w:pPr>
      <w:r w:rsidRPr="002B49F2">
        <w:t>Not applicable.</w:t>
      </w:r>
    </w:p>
    <w:p w:rsidR="00942941" w:rsidRPr="002B49F2" w:rsidP="00F04C52" w14:paraId="253454F7" w14:textId="77777777">
      <w:pPr>
        <w:pStyle w:val="BodyText"/>
        <w:kinsoku w:val="0"/>
        <w:overflowPunct w:val="0"/>
        <w:ind w:left="360" w:hanging="360"/>
      </w:pPr>
    </w:p>
    <w:p w:rsidR="00942941" w:rsidRPr="002B49F2" w:rsidP="00F04C52" w14:paraId="63AC59C6"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Confidentiality of the Information</w:t>
      </w:r>
    </w:p>
    <w:p w:rsidR="00942941" w:rsidRPr="002B49F2" w:rsidP="00F04C52" w14:paraId="65FCFD29" w14:textId="77777777">
      <w:pPr>
        <w:pStyle w:val="BodyText"/>
        <w:keepNext/>
        <w:kinsoku w:val="0"/>
        <w:overflowPunct w:val="0"/>
        <w:ind w:left="360" w:hanging="360"/>
      </w:pPr>
    </w:p>
    <w:p w:rsidR="00942941" w:rsidRPr="002B49F2" w:rsidP="005B2149" w14:paraId="3588EDE1" w14:textId="43718824">
      <w:pPr>
        <w:pStyle w:val="BodyText"/>
        <w:widowControl/>
        <w:kinsoku w:val="0"/>
        <w:overflowPunct w:val="0"/>
        <w:ind w:left="360"/>
      </w:pPr>
      <w:r w:rsidRPr="002B49F2">
        <w:t>Confidential and proprietary information is protected in accordance with NRC regulations at 10 CFR 9.17(a) and 10 CFR 2.390(b). Information considered confidential or proprietary is not normally requested.</w:t>
      </w:r>
    </w:p>
    <w:p w:rsidR="00942941" w:rsidRPr="002B49F2" w:rsidP="00F04C52" w14:paraId="611A9E5D" w14:textId="77777777">
      <w:pPr>
        <w:pStyle w:val="BodyText"/>
        <w:kinsoku w:val="0"/>
        <w:overflowPunct w:val="0"/>
        <w:ind w:left="360" w:hanging="360"/>
      </w:pPr>
    </w:p>
    <w:p w:rsidR="00942941" w:rsidRPr="002B49F2" w:rsidP="00F04C52" w14:paraId="553A3684"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Justification for Sensitive Questions</w:t>
      </w:r>
    </w:p>
    <w:p w:rsidR="00942941" w:rsidRPr="002B49F2" w:rsidP="00F04C52" w14:paraId="354A52E6" w14:textId="77777777">
      <w:pPr>
        <w:pStyle w:val="BodyText"/>
        <w:keepNext/>
        <w:kinsoku w:val="0"/>
        <w:overflowPunct w:val="0"/>
        <w:ind w:left="360" w:hanging="360"/>
      </w:pPr>
    </w:p>
    <w:p w:rsidR="00567F15" w:rsidRPr="002B49F2" w:rsidP="00927F0B" w14:paraId="7F5B1F70" w14:textId="5932762C">
      <w:pPr>
        <w:pStyle w:val="BodyText"/>
        <w:kinsoku w:val="0"/>
        <w:overflowPunct w:val="0"/>
        <w:ind w:left="360"/>
      </w:pPr>
      <w:r w:rsidRPr="002B49F2">
        <w:t>Not applicable.</w:t>
      </w:r>
    </w:p>
    <w:p w:rsidR="00E369AE" w:rsidRPr="002B49F2" w:rsidP="00F04C52" w14:paraId="65D1FC61" w14:textId="77777777">
      <w:pPr>
        <w:pStyle w:val="BodyText"/>
        <w:kinsoku w:val="0"/>
        <w:overflowPunct w:val="0"/>
        <w:ind w:left="360" w:hanging="360"/>
      </w:pPr>
    </w:p>
    <w:p w:rsidR="00942941" w:rsidRPr="002B49F2" w:rsidP="00F04C52" w14:paraId="43CBF645" w14:textId="1D0982CF">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Estimated Industry Burden and Burden Hour Cost</w:t>
      </w:r>
    </w:p>
    <w:p w:rsidR="00942941" w:rsidRPr="002B49F2" w:rsidP="00F04C52" w14:paraId="02B39787" w14:textId="79B896FE">
      <w:pPr>
        <w:pStyle w:val="BodyText"/>
        <w:keepNext/>
        <w:kinsoku w:val="0"/>
        <w:overflowPunct w:val="0"/>
        <w:ind w:left="360" w:hanging="360"/>
      </w:pPr>
    </w:p>
    <w:p w:rsidR="00E864B7" w:rsidRPr="002B49F2" w:rsidP="00E864B7" w14:paraId="39859A64" w14:textId="406419D1">
      <w:pPr>
        <w:pStyle w:val="BodyText"/>
        <w:keepNext/>
        <w:numPr>
          <w:ilvl w:val="0"/>
          <w:numId w:val="18"/>
        </w:numPr>
        <w:kinsoku w:val="0"/>
        <w:overflowPunct w:val="0"/>
        <w:rPr>
          <w:u w:val="single"/>
        </w:rPr>
      </w:pPr>
      <w:r w:rsidRPr="002B49F2">
        <w:rPr>
          <w:u w:val="single"/>
        </w:rPr>
        <w:t>Reporting Burden and Cost</w:t>
      </w:r>
    </w:p>
    <w:p w:rsidR="00E864B7" w:rsidRPr="002B49F2" w:rsidP="00E864B7" w14:paraId="5B3F3440" w14:textId="77777777">
      <w:pPr>
        <w:pStyle w:val="BodyText"/>
        <w:keepNext/>
        <w:kinsoku w:val="0"/>
        <w:overflowPunct w:val="0"/>
        <w:ind w:left="360"/>
      </w:pPr>
    </w:p>
    <w:p w:rsidR="00D0615E" w:rsidRPr="002B49F2" w:rsidP="001A5422" w14:paraId="2332319F" w14:textId="6E48A801">
      <w:pPr>
        <w:widowControl/>
        <w:ind w:left="720"/>
        <w:rPr>
          <w:rFonts w:ascii="Arial" w:hAnsi="Arial" w:cs="Arial"/>
          <w:sz w:val="22"/>
          <w:szCs w:val="22"/>
        </w:rPr>
      </w:pPr>
      <w:r w:rsidRPr="002B49F2">
        <w:rPr>
          <w:rFonts w:ascii="Arial" w:hAnsi="Arial" w:cs="Arial"/>
          <w:sz w:val="22"/>
          <w:szCs w:val="22"/>
        </w:rPr>
        <w:t xml:space="preserve">The information required by the environmental </w:t>
      </w:r>
      <w:r w:rsidRPr="002B49F2" w:rsidR="00FE7DBB">
        <w:rPr>
          <w:rFonts w:ascii="Arial" w:hAnsi="Arial" w:cs="Arial"/>
          <w:sz w:val="22"/>
          <w:szCs w:val="22"/>
        </w:rPr>
        <w:t>impact analysis</w:t>
      </w:r>
      <w:r w:rsidRPr="002B49F2">
        <w:rPr>
          <w:rFonts w:ascii="Arial" w:hAnsi="Arial" w:cs="Arial"/>
          <w:sz w:val="22"/>
          <w:szCs w:val="22"/>
        </w:rPr>
        <w:t xml:space="preserve"> for renewal of nuclear power plant operating licenses will be collected once from each applicant for either an</w:t>
      </w:r>
      <w:r w:rsidRPr="002B49F2" w:rsidR="00941C28">
        <w:rPr>
          <w:rFonts w:ascii="Arial" w:hAnsi="Arial" w:cs="Arial"/>
          <w:sz w:val="22"/>
          <w:szCs w:val="22"/>
        </w:rPr>
        <w:t> </w:t>
      </w:r>
      <w:r w:rsidRPr="002B49F2">
        <w:rPr>
          <w:rFonts w:ascii="Arial" w:hAnsi="Arial" w:cs="Arial"/>
          <w:sz w:val="22"/>
          <w:szCs w:val="22"/>
        </w:rPr>
        <w:t>initial</w:t>
      </w:r>
      <w:r w:rsidRPr="002B49F2" w:rsidR="00557074">
        <w:rPr>
          <w:rFonts w:ascii="Arial" w:hAnsi="Arial" w:cs="Arial"/>
          <w:sz w:val="22"/>
          <w:szCs w:val="22"/>
        </w:rPr>
        <w:t xml:space="preserve"> or subsequent license renewal application.</w:t>
      </w:r>
    </w:p>
    <w:p w:rsidR="00D0615E" w:rsidRPr="002B49F2" w:rsidP="001A5422" w14:paraId="092AAA26" w14:textId="77777777">
      <w:pPr>
        <w:widowControl/>
        <w:ind w:left="720"/>
        <w:rPr>
          <w:rFonts w:ascii="Arial" w:hAnsi="Arial" w:cs="Arial"/>
          <w:sz w:val="22"/>
          <w:szCs w:val="22"/>
        </w:rPr>
      </w:pPr>
    </w:p>
    <w:p w:rsidR="004D3A87" w:rsidRPr="002B49F2" w:rsidP="00C94F6A" w14:paraId="48468B6C" w14:textId="4178B8C2">
      <w:pPr>
        <w:pStyle w:val="ListParagraph"/>
        <w:widowControl/>
        <w:numPr>
          <w:ilvl w:val="0"/>
          <w:numId w:val="22"/>
        </w:numPr>
        <w:rPr>
          <w:rFonts w:ascii="Arial" w:hAnsi="Arial" w:cs="Arial"/>
          <w:sz w:val="22"/>
          <w:szCs w:val="22"/>
        </w:rPr>
      </w:pPr>
      <w:r w:rsidRPr="002B49F2">
        <w:rPr>
          <w:rFonts w:ascii="Arial" w:hAnsi="Arial" w:cs="Arial"/>
          <w:sz w:val="22"/>
          <w:szCs w:val="22"/>
        </w:rPr>
        <w:t>Fo</w:t>
      </w:r>
      <w:r w:rsidRPr="002B49F2" w:rsidR="002323FE">
        <w:rPr>
          <w:rFonts w:ascii="Arial" w:hAnsi="Arial" w:cs="Arial"/>
          <w:sz w:val="22"/>
          <w:szCs w:val="22"/>
        </w:rPr>
        <w:t xml:space="preserve">r </w:t>
      </w:r>
      <w:r w:rsidRPr="002B49F2" w:rsidR="00D92D75">
        <w:rPr>
          <w:rFonts w:ascii="Arial" w:hAnsi="Arial" w:cs="Arial"/>
          <w:sz w:val="22"/>
          <w:szCs w:val="22"/>
        </w:rPr>
        <w:t>all</w:t>
      </w:r>
      <w:r w:rsidRPr="002B49F2" w:rsidR="002323FE">
        <w:rPr>
          <w:rFonts w:ascii="Arial" w:hAnsi="Arial" w:cs="Arial"/>
          <w:sz w:val="22"/>
          <w:szCs w:val="22"/>
        </w:rPr>
        <w:t xml:space="preserve"> future </w:t>
      </w:r>
      <w:r w:rsidRPr="002B49F2" w:rsidR="00E178E7">
        <w:rPr>
          <w:rFonts w:ascii="Arial" w:hAnsi="Arial" w:cs="Arial"/>
          <w:sz w:val="22"/>
          <w:szCs w:val="22"/>
        </w:rPr>
        <w:t xml:space="preserve">initial and </w:t>
      </w:r>
      <w:r w:rsidRPr="002B49F2" w:rsidR="007B0294">
        <w:rPr>
          <w:rFonts w:ascii="Arial" w:hAnsi="Arial" w:cs="Arial"/>
          <w:sz w:val="22"/>
          <w:szCs w:val="22"/>
        </w:rPr>
        <w:t>SLR</w:t>
      </w:r>
      <w:r w:rsidRPr="002B49F2" w:rsidR="002323FE">
        <w:rPr>
          <w:rFonts w:ascii="Arial" w:hAnsi="Arial" w:cs="Arial"/>
          <w:sz w:val="22"/>
          <w:szCs w:val="22"/>
        </w:rPr>
        <w:t xml:space="preserve"> applicants</w:t>
      </w:r>
      <w:r w:rsidRPr="002B49F2" w:rsidR="00EB2166">
        <w:rPr>
          <w:rFonts w:ascii="Arial" w:hAnsi="Arial" w:cs="Arial"/>
          <w:sz w:val="22"/>
          <w:szCs w:val="22"/>
        </w:rPr>
        <w:t xml:space="preserve"> (</w:t>
      </w:r>
      <w:r w:rsidRPr="002B49F2" w:rsidR="00E178E7">
        <w:rPr>
          <w:rFonts w:ascii="Arial" w:hAnsi="Arial" w:cs="Arial"/>
          <w:sz w:val="22"/>
          <w:szCs w:val="22"/>
        </w:rPr>
        <w:t>those applications that are received after the effective date of the final rule</w:t>
      </w:r>
      <w:r w:rsidRPr="002B49F2" w:rsidR="00EB2166">
        <w:rPr>
          <w:rFonts w:ascii="Arial" w:hAnsi="Arial" w:cs="Arial"/>
          <w:sz w:val="22"/>
          <w:szCs w:val="22"/>
        </w:rPr>
        <w:t>)</w:t>
      </w:r>
      <w:r w:rsidRPr="002B49F2" w:rsidR="002323FE">
        <w:rPr>
          <w:rFonts w:ascii="Arial" w:hAnsi="Arial" w:cs="Arial"/>
          <w:sz w:val="22"/>
          <w:szCs w:val="22"/>
        </w:rPr>
        <w:t>, the estimate of burden addresses the burden associated with the submittal of the entire environmental report, including evaluation of all environmental issues described in the revised Table B-1.</w:t>
      </w:r>
      <w:r w:rsidRPr="002B49F2" w:rsidR="003B3B74">
        <w:rPr>
          <w:rFonts w:ascii="Arial" w:hAnsi="Arial" w:cs="Arial"/>
          <w:sz w:val="22"/>
          <w:szCs w:val="22"/>
        </w:rPr>
        <w:t xml:space="preserve"> Table 1 below shows the estimated </w:t>
      </w:r>
      <w:r w:rsidRPr="002B49F2" w:rsidR="00381ED4">
        <w:rPr>
          <w:rFonts w:ascii="Arial" w:hAnsi="Arial" w:cs="Arial"/>
          <w:sz w:val="22"/>
          <w:szCs w:val="22"/>
        </w:rPr>
        <w:t xml:space="preserve">annual reporting </w:t>
      </w:r>
      <w:r w:rsidRPr="002B49F2" w:rsidR="003B3B74">
        <w:rPr>
          <w:rFonts w:ascii="Arial" w:hAnsi="Arial" w:cs="Arial"/>
          <w:sz w:val="22"/>
          <w:szCs w:val="22"/>
        </w:rPr>
        <w:t xml:space="preserve">burden </w:t>
      </w:r>
      <w:r w:rsidRPr="002B49F2" w:rsidR="00381ED4">
        <w:rPr>
          <w:rFonts w:ascii="Arial" w:hAnsi="Arial" w:cs="Arial"/>
          <w:sz w:val="22"/>
          <w:szCs w:val="22"/>
        </w:rPr>
        <w:t>for</w:t>
      </w:r>
      <w:r w:rsidRPr="002B49F2" w:rsidR="003B3B74">
        <w:rPr>
          <w:rFonts w:ascii="Arial" w:hAnsi="Arial" w:cs="Arial"/>
          <w:sz w:val="22"/>
          <w:szCs w:val="22"/>
        </w:rPr>
        <w:t xml:space="preserve"> future </w:t>
      </w:r>
      <w:r w:rsidRPr="002B49F2" w:rsidR="00856738">
        <w:rPr>
          <w:rFonts w:ascii="Arial" w:hAnsi="Arial" w:cs="Arial"/>
          <w:sz w:val="22"/>
          <w:szCs w:val="22"/>
        </w:rPr>
        <w:t>SLR</w:t>
      </w:r>
      <w:r w:rsidRPr="002B49F2" w:rsidR="003B3B74">
        <w:rPr>
          <w:rFonts w:ascii="Arial" w:hAnsi="Arial" w:cs="Arial"/>
          <w:sz w:val="22"/>
          <w:szCs w:val="22"/>
        </w:rPr>
        <w:t xml:space="preserve"> applicants</w:t>
      </w:r>
      <w:r w:rsidRPr="002B49F2" w:rsidR="00B30D23">
        <w:rPr>
          <w:rFonts w:ascii="Arial" w:hAnsi="Arial" w:cs="Arial"/>
          <w:sz w:val="22"/>
          <w:szCs w:val="22"/>
        </w:rPr>
        <w:t xml:space="preserve"> (application</w:t>
      </w:r>
      <w:r w:rsidRPr="002B49F2" w:rsidR="00C26AB3">
        <w:rPr>
          <w:rFonts w:ascii="Arial" w:hAnsi="Arial" w:cs="Arial"/>
          <w:sz w:val="22"/>
          <w:szCs w:val="22"/>
        </w:rPr>
        <w:t>s</w:t>
      </w:r>
      <w:r w:rsidRPr="002B49F2" w:rsidR="00B30D23">
        <w:rPr>
          <w:rFonts w:ascii="Arial" w:hAnsi="Arial" w:cs="Arial"/>
          <w:sz w:val="22"/>
          <w:szCs w:val="22"/>
        </w:rPr>
        <w:t xml:space="preserve"> received after the effective date of the</w:t>
      </w:r>
      <w:r w:rsidRPr="002B49F2" w:rsidR="009A1E83">
        <w:rPr>
          <w:rFonts w:ascii="Arial" w:hAnsi="Arial" w:cs="Arial"/>
          <w:sz w:val="22"/>
          <w:szCs w:val="22"/>
        </w:rPr>
        <w:t> </w:t>
      </w:r>
      <w:r w:rsidRPr="002B49F2" w:rsidR="00B30D23">
        <w:rPr>
          <w:rFonts w:ascii="Arial" w:hAnsi="Arial" w:cs="Arial"/>
          <w:sz w:val="22"/>
          <w:szCs w:val="22"/>
        </w:rPr>
        <w:t>final rule)</w:t>
      </w:r>
      <w:r w:rsidRPr="002B49F2" w:rsidR="003B3B74">
        <w:rPr>
          <w:rFonts w:ascii="Arial" w:hAnsi="Arial" w:cs="Arial"/>
          <w:sz w:val="22"/>
          <w:szCs w:val="22"/>
        </w:rPr>
        <w:t xml:space="preserve"> for this information collection during the 3-year period</w:t>
      </w:r>
      <w:r w:rsidRPr="002B49F2" w:rsidR="0042611F">
        <w:rPr>
          <w:rFonts w:ascii="Arial" w:hAnsi="Arial" w:cs="Arial"/>
          <w:sz w:val="22"/>
          <w:szCs w:val="22"/>
        </w:rPr>
        <w:t xml:space="preserve"> following the effective date of the final rule</w:t>
      </w:r>
      <w:r w:rsidRPr="002B49F2" w:rsidR="003B3B74">
        <w:rPr>
          <w:rFonts w:ascii="Arial" w:hAnsi="Arial" w:cs="Arial"/>
          <w:sz w:val="22"/>
          <w:szCs w:val="22"/>
        </w:rPr>
        <w:t xml:space="preserve"> (i.e., </w:t>
      </w:r>
      <w:r w:rsidRPr="002B49F2" w:rsidR="00A06C84">
        <w:rPr>
          <w:rFonts w:ascii="Arial" w:hAnsi="Arial" w:cs="Arial"/>
          <w:sz w:val="22"/>
          <w:szCs w:val="22"/>
        </w:rPr>
        <w:t xml:space="preserve">June </w:t>
      </w:r>
      <w:r w:rsidRPr="002B49F2" w:rsidR="003B3B74">
        <w:rPr>
          <w:rFonts w:ascii="Arial" w:hAnsi="Arial" w:cs="Arial"/>
          <w:sz w:val="22"/>
          <w:szCs w:val="22"/>
        </w:rPr>
        <w:t>2024</w:t>
      </w:r>
      <w:r w:rsidRPr="002B49F2" w:rsidR="00A06C84">
        <w:rPr>
          <w:rFonts w:ascii="Arial" w:hAnsi="Arial" w:cs="Arial"/>
          <w:sz w:val="22"/>
          <w:szCs w:val="22"/>
        </w:rPr>
        <w:t xml:space="preserve"> – May </w:t>
      </w:r>
      <w:r w:rsidRPr="002B49F2" w:rsidR="003B3B74">
        <w:rPr>
          <w:rFonts w:ascii="Arial" w:hAnsi="Arial" w:cs="Arial"/>
          <w:sz w:val="22"/>
          <w:szCs w:val="22"/>
        </w:rPr>
        <w:t>202</w:t>
      </w:r>
      <w:r w:rsidRPr="002B49F2" w:rsidR="00A06C84">
        <w:rPr>
          <w:rFonts w:ascii="Arial" w:hAnsi="Arial" w:cs="Arial"/>
          <w:sz w:val="22"/>
          <w:szCs w:val="22"/>
        </w:rPr>
        <w:t>7</w:t>
      </w:r>
      <w:r w:rsidRPr="002B49F2" w:rsidR="003B3B74">
        <w:rPr>
          <w:rFonts w:ascii="Arial" w:hAnsi="Arial" w:cs="Arial"/>
          <w:sz w:val="22"/>
          <w:szCs w:val="22"/>
        </w:rPr>
        <w:t xml:space="preserve">). </w:t>
      </w:r>
      <w:r w:rsidRPr="002B49F2" w:rsidR="00EB2166">
        <w:rPr>
          <w:rFonts w:ascii="Arial" w:hAnsi="Arial" w:cs="Arial"/>
          <w:sz w:val="22"/>
          <w:szCs w:val="22"/>
        </w:rPr>
        <w:t xml:space="preserve">All anticipated applicants during </w:t>
      </w:r>
      <w:r w:rsidRPr="002B49F2" w:rsidR="00381ED4">
        <w:rPr>
          <w:rFonts w:ascii="Arial" w:hAnsi="Arial" w:cs="Arial"/>
          <w:sz w:val="22"/>
          <w:szCs w:val="22"/>
        </w:rPr>
        <w:t xml:space="preserve">this </w:t>
      </w:r>
      <w:r w:rsidRPr="002B49F2" w:rsidR="00EB2166">
        <w:rPr>
          <w:rFonts w:ascii="Arial" w:hAnsi="Arial" w:cs="Arial"/>
          <w:sz w:val="22"/>
          <w:szCs w:val="22"/>
        </w:rPr>
        <w:t xml:space="preserve">period are </w:t>
      </w:r>
      <w:r w:rsidRPr="002B49F2" w:rsidR="00277A2E">
        <w:rPr>
          <w:rFonts w:ascii="Arial" w:hAnsi="Arial" w:cs="Arial"/>
          <w:sz w:val="22"/>
          <w:szCs w:val="22"/>
        </w:rPr>
        <w:t>SLR</w:t>
      </w:r>
      <w:r w:rsidRPr="002B49F2" w:rsidR="00D57FEC">
        <w:rPr>
          <w:rFonts w:ascii="Arial" w:hAnsi="Arial" w:cs="Arial"/>
          <w:sz w:val="22"/>
          <w:szCs w:val="22"/>
        </w:rPr>
        <w:t xml:space="preserve"> applicants; the NRC estimates </w:t>
      </w:r>
      <w:r w:rsidRPr="002B49F2" w:rsidR="00BE62AE">
        <w:rPr>
          <w:rFonts w:ascii="Arial" w:hAnsi="Arial" w:cs="Arial"/>
          <w:sz w:val="22"/>
          <w:szCs w:val="22"/>
        </w:rPr>
        <w:t>to receive 15 SLR applications during 3-year period</w:t>
      </w:r>
      <w:r w:rsidRPr="002B49F2" w:rsidR="0042611F">
        <w:rPr>
          <w:rFonts w:ascii="Arial" w:hAnsi="Arial" w:cs="Arial"/>
          <w:sz w:val="22"/>
          <w:szCs w:val="22"/>
        </w:rPr>
        <w:t xml:space="preserve"> following the effective date of the final rule</w:t>
      </w:r>
      <w:r w:rsidRPr="002B49F2" w:rsidR="00BE62AE">
        <w:rPr>
          <w:rFonts w:ascii="Arial" w:hAnsi="Arial" w:cs="Arial"/>
          <w:sz w:val="22"/>
          <w:szCs w:val="22"/>
        </w:rPr>
        <w:t>, or 5 applications annually, on average</w:t>
      </w:r>
      <w:r w:rsidRPr="002B49F2" w:rsidR="00EB2166">
        <w:rPr>
          <w:rFonts w:ascii="Arial" w:hAnsi="Arial" w:cs="Arial"/>
          <w:sz w:val="22"/>
          <w:szCs w:val="22"/>
        </w:rPr>
        <w:t xml:space="preserve">. </w:t>
      </w:r>
      <w:r w:rsidRPr="002B49F2" w:rsidR="003B3B74">
        <w:rPr>
          <w:rFonts w:ascii="Arial" w:hAnsi="Arial" w:cs="Arial"/>
          <w:sz w:val="22"/>
          <w:szCs w:val="22"/>
        </w:rPr>
        <w:t xml:space="preserve">The NRC does not expect to receive any initial </w:t>
      </w:r>
      <w:r w:rsidRPr="002B49F2" w:rsidR="0077667D">
        <w:rPr>
          <w:rFonts w:ascii="Arial" w:hAnsi="Arial" w:cs="Arial"/>
          <w:sz w:val="22"/>
          <w:szCs w:val="22"/>
        </w:rPr>
        <w:t>LR</w:t>
      </w:r>
      <w:r w:rsidRPr="002B49F2" w:rsidR="003B3B74">
        <w:rPr>
          <w:rFonts w:ascii="Arial" w:hAnsi="Arial" w:cs="Arial"/>
          <w:sz w:val="22"/>
          <w:szCs w:val="22"/>
        </w:rPr>
        <w:t xml:space="preserve"> applications during </w:t>
      </w:r>
      <w:r w:rsidRPr="002B49F2" w:rsidR="0019098A">
        <w:rPr>
          <w:rFonts w:ascii="Arial" w:hAnsi="Arial" w:cs="Arial"/>
          <w:sz w:val="22"/>
          <w:szCs w:val="22"/>
        </w:rPr>
        <w:t xml:space="preserve">June </w:t>
      </w:r>
      <w:r w:rsidRPr="002B49F2" w:rsidR="003B3B74">
        <w:rPr>
          <w:rFonts w:ascii="Arial" w:hAnsi="Arial" w:cs="Arial"/>
          <w:sz w:val="22"/>
          <w:szCs w:val="22"/>
        </w:rPr>
        <w:t>2024</w:t>
      </w:r>
      <w:r w:rsidRPr="002B49F2" w:rsidR="0019098A">
        <w:rPr>
          <w:rFonts w:ascii="Arial" w:hAnsi="Arial" w:cs="Arial"/>
          <w:sz w:val="22"/>
          <w:szCs w:val="22"/>
        </w:rPr>
        <w:t xml:space="preserve"> – May </w:t>
      </w:r>
      <w:r w:rsidRPr="002B49F2" w:rsidR="003B3B74">
        <w:rPr>
          <w:rFonts w:ascii="Arial" w:hAnsi="Arial" w:cs="Arial"/>
          <w:sz w:val="22"/>
          <w:szCs w:val="22"/>
        </w:rPr>
        <w:t>202</w:t>
      </w:r>
      <w:r w:rsidRPr="002B49F2" w:rsidR="0019098A">
        <w:rPr>
          <w:rFonts w:ascii="Arial" w:hAnsi="Arial" w:cs="Arial"/>
          <w:sz w:val="22"/>
          <w:szCs w:val="22"/>
        </w:rPr>
        <w:t>7</w:t>
      </w:r>
      <w:r w:rsidRPr="002B49F2" w:rsidR="003B3B74">
        <w:rPr>
          <w:rFonts w:ascii="Arial" w:hAnsi="Arial" w:cs="Arial"/>
          <w:sz w:val="22"/>
          <w:szCs w:val="22"/>
        </w:rPr>
        <w:t>, therefore, there is no reporting burden for this group of licensees.</w:t>
      </w:r>
    </w:p>
    <w:p w:rsidR="00C94F6A" w:rsidRPr="002B49F2" w:rsidP="00C94F6A" w14:paraId="0C410115" w14:textId="2C6000E8">
      <w:pPr>
        <w:pStyle w:val="ListParagraph"/>
        <w:widowControl/>
        <w:numPr>
          <w:ilvl w:val="0"/>
          <w:numId w:val="22"/>
        </w:numPr>
        <w:rPr>
          <w:rFonts w:ascii="Arial" w:hAnsi="Arial" w:cs="Arial"/>
          <w:sz w:val="22"/>
          <w:szCs w:val="22"/>
        </w:rPr>
      </w:pPr>
      <w:r w:rsidRPr="002B49F2">
        <w:rPr>
          <w:rFonts w:ascii="Arial" w:hAnsi="Arial" w:cs="Arial"/>
          <w:sz w:val="22"/>
          <w:szCs w:val="22"/>
        </w:rPr>
        <w:t>For licensees with near-term</w:t>
      </w:r>
      <w:r w:rsidRPr="002B49F2" w:rsidR="00D706F5">
        <w:rPr>
          <w:rFonts w:ascii="Arial" w:hAnsi="Arial" w:cs="Arial"/>
          <w:sz w:val="22"/>
          <w:szCs w:val="22"/>
        </w:rPr>
        <w:t xml:space="preserve"> and</w:t>
      </w:r>
      <w:r w:rsidRPr="002B49F2">
        <w:rPr>
          <w:rFonts w:ascii="Arial" w:hAnsi="Arial" w:cs="Arial"/>
          <w:sz w:val="22"/>
          <w:szCs w:val="22"/>
        </w:rPr>
        <w:t xml:space="preserve"> submitted</w:t>
      </w:r>
      <w:r w:rsidRPr="002B49F2" w:rsidR="00D706F5">
        <w:rPr>
          <w:rFonts w:ascii="Arial" w:hAnsi="Arial" w:cs="Arial"/>
          <w:sz w:val="22"/>
          <w:szCs w:val="22"/>
        </w:rPr>
        <w:t xml:space="preserve"> applications</w:t>
      </w:r>
      <w:r w:rsidRPr="002B49F2">
        <w:rPr>
          <w:rFonts w:ascii="Arial" w:hAnsi="Arial" w:cs="Arial"/>
          <w:sz w:val="22"/>
          <w:szCs w:val="22"/>
        </w:rPr>
        <w:t xml:space="preserve">, </w:t>
      </w:r>
      <w:r w:rsidRPr="002B49F2" w:rsidR="00D706F5">
        <w:rPr>
          <w:rFonts w:ascii="Arial" w:hAnsi="Arial" w:cs="Arial"/>
          <w:sz w:val="22"/>
          <w:szCs w:val="22"/>
        </w:rPr>
        <w:t xml:space="preserve">and issued </w:t>
      </w:r>
      <w:r w:rsidRPr="002B49F2" w:rsidR="007B0294">
        <w:rPr>
          <w:rFonts w:ascii="Arial" w:hAnsi="Arial" w:cs="Arial"/>
          <w:sz w:val="22"/>
          <w:szCs w:val="22"/>
        </w:rPr>
        <w:t>SLR</w:t>
      </w:r>
      <w:r w:rsidRPr="002B49F2" w:rsidR="00D706F5">
        <w:rPr>
          <w:rFonts w:ascii="Arial" w:hAnsi="Arial" w:cs="Arial"/>
          <w:sz w:val="22"/>
          <w:szCs w:val="22"/>
        </w:rPr>
        <w:t>s</w:t>
      </w:r>
      <w:r w:rsidRPr="002B49F2">
        <w:rPr>
          <w:rFonts w:ascii="Arial" w:hAnsi="Arial" w:cs="Arial"/>
          <w:sz w:val="22"/>
          <w:szCs w:val="22"/>
        </w:rPr>
        <w:t>, the</w:t>
      </w:r>
      <w:r w:rsidRPr="002B49F2" w:rsidR="005B2149">
        <w:rPr>
          <w:rFonts w:ascii="Arial" w:hAnsi="Arial" w:cs="Arial"/>
          <w:sz w:val="22"/>
          <w:szCs w:val="22"/>
        </w:rPr>
        <w:t> </w:t>
      </w:r>
      <w:r w:rsidRPr="002B49F2">
        <w:rPr>
          <w:rFonts w:ascii="Arial" w:hAnsi="Arial" w:cs="Arial"/>
          <w:sz w:val="22"/>
          <w:szCs w:val="22"/>
        </w:rPr>
        <w:t xml:space="preserve">estimate of burden addresses only the burden associated with </w:t>
      </w:r>
      <w:r w:rsidRPr="002B49F2" w:rsidR="001209DA">
        <w:rPr>
          <w:rFonts w:ascii="Arial" w:hAnsi="Arial" w:cs="Arial"/>
          <w:sz w:val="22"/>
          <w:szCs w:val="22"/>
        </w:rPr>
        <w:t xml:space="preserve">the licensees having to prepare </w:t>
      </w:r>
      <w:r w:rsidRPr="002B49F2" w:rsidR="00596197">
        <w:rPr>
          <w:rFonts w:ascii="Arial" w:hAnsi="Arial" w:cs="Arial"/>
          <w:sz w:val="22"/>
          <w:szCs w:val="22"/>
        </w:rPr>
        <w:t>supplemental submissions to address changes</w:t>
      </w:r>
      <w:r w:rsidRPr="002B49F2">
        <w:rPr>
          <w:rFonts w:ascii="Arial" w:hAnsi="Arial" w:cs="Arial"/>
          <w:sz w:val="22"/>
          <w:szCs w:val="22"/>
        </w:rPr>
        <w:t xml:space="preserve"> to the existing rule. Table </w:t>
      </w:r>
      <w:r w:rsidRPr="002B49F2" w:rsidR="00DF3C64">
        <w:rPr>
          <w:rFonts w:ascii="Arial" w:hAnsi="Arial" w:cs="Arial"/>
          <w:sz w:val="22"/>
          <w:szCs w:val="22"/>
        </w:rPr>
        <w:t>2</w:t>
      </w:r>
      <w:r w:rsidRPr="002B49F2">
        <w:rPr>
          <w:rFonts w:ascii="Arial" w:hAnsi="Arial" w:cs="Arial"/>
          <w:sz w:val="22"/>
          <w:szCs w:val="22"/>
        </w:rPr>
        <w:t xml:space="preserve"> below shows the estimated </w:t>
      </w:r>
      <w:r w:rsidRPr="002B49F2" w:rsidR="00381ED4">
        <w:rPr>
          <w:rFonts w:ascii="Arial" w:hAnsi="Arial" w:cs="Arial"/>
          <w:sz w:val="22"/>
          <w:szCs w:val="22"/>
        </w:rPr>
        <w:t>annual reporting burden for</w:t>
      </w:r>
      <w:r w:rsidRPr="002B49F2" w:rsidR="00852ECE">
        <w:rPr>
          <w:rFonts w:ascii="Arial" w:hAnsi="Arial" w:cs="Arial"/>
          <w:sz w:val="22"/>
          <w:szCs w:val="22"/>
        </w:rPr>
        <w:t xml:space="preserve"> </w:t>
      </w:r>
      <w:r w:rsidRPr="002B49F2">
        <w:rPr>
          <w:rFonts w:ascii="Arial" w:hAnsi="Arial" w:cs="Arial"/>
          <w:sz w:val="22"/>
          <w:szCs w:val="22"/>
        </w:rPr>
        <w:t xml:space="preserve">the one-time </w:t>
      </w:r>
      <w:r w:rsidRPr="002B49F2" w:rsidR="00381ED4">
        <w:rPr>
          <w:rFonts w:ascii="Arial" w:hAnsi="Arial" w:cs="Arial"/>
          <w:sz w:val="22"/>
          <w:szCs w:val="22"/>
        </w:rPr>
        <w:t xml:space="preserve">application supplements submitted </w:t>
      </w:r>
      <w:r w:rsidRPr="002B49F2">
        <w:rPr>
          <w:rFonts w:ascii="Arial" w:hAnsi="Arial" w:cs="Arial"/>
          <w:sz w:val="22"/>
          <w:szCs w:val="22"/>
        </w:rPr>
        <w:t>by licensees with near-term</w:t>
      </w:r>
      <w:r w:rsidRPr="002B49F2" w:rsidR="00D706F5">
        <w:rPr>
          <w:rFonts w:ascii="Arial" w:hAnsi="Arial" w:cs="Arial"/>
          <w:sz w:val="22"/>
          <w:szCs w:val="22"/>
        </w:rPr>
        <w:t xml:space="preserve"> and</w:t>
      </w:r>
      <w:r w:rsidRPr="002B49F2">
        <w:rPr>
          <w:rFonts w:ascii="Arial" w:hAnsi="Arial" w:cs="Arial"/>
          <w:sz w:val="22"/>
          <w:szCs w:val="22"/>
        </w:rPr>
        <w:t xml:space="preserve"> submitted</w:t>
      </w:r>
      <w:r w:rsidRPr="002B49F2" w:rsidR="00D706F5">
        <w:rPr>
          <w:rFonts w:ascii="Arial" w:hAnsi="Arial" w:cs="Arial"/>
          <w:sz w:val="22"/>
          <w:szCs w:val="22"/>
        </w:rPr>
        <w:t xml:space="preserve"> applications,</w:t>
      </w:r>
      <w:r w:rsidRPr="002B49F2">
        <w:rPr>
          <w:rFonts w:ascii="Arial" w:hAnsi="Arial" w:cs="Arial"/>
          <w:sz w:val="22"/>
          <w:szCs w:val="22"/>
        </w:rPr>
        <w:t xml:space="preserve"> </w:t>
      </w:r>
      <w:r w:rsidRPr="002B49F2" w:rsidR="00D706F5">
        <w:rPr>
          <w:rFonts w:ascii="Arial" w:hAnsi="Arial" w:cs="Arial"/>
          <w:sz w:val="22"/>
          <w:szCs w:val="22"/>
        </w:rPr>
        <w:t>and</w:t>
      </w:r>
      <w:r w:rsidRPr="002B49F2">
        <w:rPr>
          <w:rFonts w:ascii="Arial" w:hAnsi="Arial" w:cs="Arial"/>
          <w:sz w:val="22"/>
          <w:szCs w:val="22"/>
        </w:rPr>
        <w:t xml:space="preserve"> </w:t>
      </w:r>
      <w:r w:rsidRPr="002B49F2" w:rsidR="00D706F5">
        <w:rPr>
          <w:rFonts w:ascii="Arial" w:hAnsi="Arial" w:cs="Arial"/>
          <w:sz w:val="22"/>
          <w:szCs w:val="22"/>
        </w:rPr>
        <w:t xml:space="preserve">issued </w:t>
      </w:r>
      <w:r w:rsidRPr="002B49F2" w:rsidR="007B0294">
        <w:rPr>
          <w:rFonts w:ascii="Arial" w:hAnsi="Arial" w:cs="Arial"/>
          <w:sz w:val="22"/>
          <w:szCs w:val="22"/>
        </w:rPr>
        <w:t>SLR</w:t>
      </w:r>
      <w:r w:rsidRPr="002B49F2" w:rsidR="00D706F5">
        <w:rPr>
          <w:rFonts w:ascii="Arial" w:hAnsi="Arial" w:cs="Arial"/>
          <w:sz w:val="22"/>
          <w:szCs w:val="22"/>
        </w:rPr>
        <w:t>s</w:t>
      </w:r>
      <w:r w:rsidRPr="002B49F2">
        <w:rPr>
          <w:rFonts w:ascii="Arial" w:hAnsi="Arial" w:cs="Arial"/>
          <w:sz w:val="22"/>
          <w:szCs w:val="22"/>
        </w:rPr>
        <w:t xml:space="preserve"> applications for this information collection during the 3-year period</w:t>
      </w:r>
      <w:r w:rsidRPr="002B49F2" w:rsidR="0042611F">
        <w:rPr>
          <w:rFonts w:ascii="Arial" w:hAnsi="Arial" w:cs="Arial"/>
          <w:sz w:val="22"/>
          <w:szCs w:val="22"/>
        </w:rPr>
        <w:t xml:space="preserve"> following the effective date of the final rule</w:t>
      </w:r>
      <w:r w:rsidRPr="002B49F2">
        <w:rPr>
          <w:rFonts w:ascii="Arial" w:hAnsi="Arial" w:cs="Arial"/>
          <w:sz w:val="22"/>
          <w:szCs w:val="22"/>
        </w:rPr>
        <w:t>.</w:t>
      </w:r>
      <w:r w:rsidRPr="002B49F2" w:rsidR="00D67FE3">
        <w:rPr>
          <w:rFonts w:ascii="Arial" w:hAnsi="Arial" w:cs="Arial"/>
          <w:sz w:val="22"/>
          <w:szCs w:val="22"/>
        </w:rPr>
        <w:t xml:space="preserve"> The NRC estimates to receive 10 </w:t>
      </w:r>
      <w:r w:rsidRPr="002B49F2" w:rsidR="0084697B">
        <w:rPr>
          <w:rFonts w:ascii="Arial" w:hAnsi="Arial" w:cs="Arial"/>
          <w:sz w:val="22"/>
          <w:szCs w:val="22"/>
        </w:rPr>
        <w:t xml:space="preserve">supplemental submissions to the </w:t>
      </w:r>
      <w:r w:rsidRPr="002B49F2" w:rsidR="00D67FE3">
        <w:rPr>
          <w:rFonts w:ascii="Arial" w:hAnsi="Arial" w:cs="Arial"/>
          <w:sz w:val="22"/>
          <w:szCs w:val="22"/>
        </w:rPr>
        <w:t>near-term</w:t>
      </w:r>
      <w:r w:rsidRPr="002B49F2" w:rsidR="004C04FE">
        <w:rPr>
          <w:rFonts w:ascii="Arial" w:hAnsi="Arial" w:cs="Arial"/>
          <w:sz w:val="22"/>
          <w:szCs w:val="22"/>
        </w:rPr>
        <w:t xml:space="preserve"> and</w:t>
      </w:r>
      <w:r w:rsidRPr="002B49F2" w:rsidR="00D67FE3">
        <w:rPr>
          <w:rFonts w:ascii="Arial" w:hAnsi="Arial" w:cs="Arial"/>
          <w:sz w:val="22"/>
          <w:szCs w:val="22"/>
        </w:rPr>
        <w:t xml:space="preserve"> submitted</w:t>
      </w:r>
      <w:r w:rsidRPr="002B49F2" w:rsidR="004C04FE">
        <w:rPr>
          <w:rFonts w:ascii="Arial" w:hAnsi="Arial" w:cs="Arial"/>
          <w:sz w:val="22"/>
          <w:szCs w:val="22"/>
        </w:rPr>
        <w:t xml:space="preserve"> applications</w:t>
      </w:r>
      <w:r w:rsidRPr="002B49F2" w:rsidR="00D67FE3">
        <w:rPr>
          <w:rFonts w:ascii="Arial" w:hAnsi="Arial" w:cs="Arial"/>
          <w:sz w:val="22"/>
          <w:szCs w:val="22"/>
        </w:rPr>
        <w:t xml:space="preserve">, </w:t>
      </w:r>
      <w:r w:rsidRPr="002B49F2" w:rsidR="004C04FE">
        <w:rPr>
          <w:rFonts w:ascii="Arial" w:hAnsi="Arial" w:cs="Arial"/>
          <w:sz w:val="22"/>
          <w:szCs w:val="22"/>
        </w:rPr>
        <w:t>and</w:t>
      </w:r>
      <w:r w:rsidRPr="002B49F2" w:rsidR="00D67FE3">
        <w:rPr>
          <w:rFonts w:ascii="Arial" w:hAnsi="Arial" w:cs="Arial"/>
          <w:sz w:val="22"/>
          <w:szCs w:val="22"/>
        </w:rPr>
        <w:t xml:space="preserve"> </w:t>
      </w:r>
      <w:r w:rsidRPr="002B49F2" w:rsidR="004C04FE">
        <w:rPr>
          <w:rFonts w:ascii="Arial" w:hAnsi="Arial" w:cs="Arial"/>
          <w:sz w:val="22"/>
          <w:szCs w:val="22"/>
        </w:rPr>
        <w:t>issued</w:t>
      </w:r>
      <w:r w:rsidRPr="002B49F2" w:rsidR="00D67FE3">
        <w:rPr>
          <w:rFonts w:ascii="Arial" w:hAnsi="Arial" w:cs="Arial"/>
          <w:sz w:val="22"/>
          <w:szCs w:val="22"/>
        </w:rPr>
        <w:t xml:space="preserve"> SLR</w:t>
      </w:r>
      <w:r w:rsidRPr="002B49F2" w:rsidR="004C04FE">
        <w:rPr>
          <w:rFonts w:ascii="Arial" w:hAnsi="Arial" w:cs="Arial"/>
          <w:sz w:val="22"/>
          <w:szCs w:val="22"/>
        </w:rPr>
        <w:t>s</w:t>
      </w:r>
      <w:r w:rsidRPr="002B49F2" w:rsidR="00D67FE3">
        <w:rPr>
          <w:rFonts w:ascii="Arial" w:hAnsi="Arial" w:cs="Arial"/>
          <w:sz w:val="22"/>
          <w:szCs w:val="22"/>
        </w:rPr>
        <w:t xml:space="preserve"> during the 3-year period</w:t>
      </w:r>
      <w:r w:rsidRPr="002B49F2" w:rsidR="005760B7">
        <w:rPr>
          <w:rFonts w:ascii="Arial" w:hAnsi="Arial" w:cs="Arial"/>
          <w:sz w:val="22"/>
          <w:szCs w:val="22"/>
        </w:rPr>
        <w:t xml:space="preserve"> following the </w:t>
      </w:r>
      <w:r w:rsidRPr="002B49F2" w:rsidR="006F1834">
        <w:rPr>
          <w:rFonts w:ascii="Arial" w:hAnsi="Arial" w:cs="Arial"/>
          <w:sz w:val="22"/>
          <w:szCs w:val="22"/>
        </w:rPr>
        <w:t>effective date of the final rule</w:t>
      </w:r>
      <w:r w:rsidRPr="002B49F2" w:rsidR="00D67FE3">
        <w:rPr>
          <w:rFonts w:ascii="Arial" w:hAnsi="Arial" w:cs="Arial"/>
          <w:sz w:val="22"/>
          <w:szCs w:val="22"/>
        </w:rPr>
        <w:t>, or 3.3 applications annually, on average.</w:t>
      </w:r>
    </w:p>
    <w:p w:rsidR="006C211C" w:rsidRPr="002B49F2" w:rsidP="00F04C52" w14:paraId="1D4C9B77" w14:textId="1EF4DC6E">
      <w:pPr>
        <w:widowControl/>
        <w:ind w:left="360"/>
        <w:rPr>
          <w:rFonts w:ascii="Arial" w:hAnsi="Arial" w:cs="Arial"/>
          <w:sz w:val="22"/>
          <w:szCs w:val="22"/>
        </w:rPr>
      </w:pPr>
    </w:p>
    <w:p w:rsidR="006C211C" w:rsidRPr="002B49F2" w:rsidP="001A5422" w14:paraId="32B92448" w14:textId="33FDEC6B">
      <w:pPr>
        <w:widowControl/>
        <w:ind w:left="720"/>
        <w:rPr>
          <w:rFonts w:ascii="Arial" w:hAnsi="Arial" w:cs="Arial"/>
          <w:sz w:val="22"/>
          <w:szCs w:val="22"/>
        </w:rPr>
      </w:pPr>
      <w:r w:rsidRPr="002B49F2">
        <w:rPr>
          <w:rFonts w:ascii="Arial" w:hAnsi="Arial" w:cs="Arial"/>
          <w:sz w:val="22"/>
          <w:szCs w:val="22"/>
        </w:rPr>
        <w:t xml:space="preserve">The </w:t>
      </w:r>
      <w:r w:rsidRPr="002B49F2" w:rsidR="00A660A8">
        <w:rPr>
          <w:rFonts w:ascii="Arial" w:hAnsi="Arial" w:cs="Arial"/>
          <w:sz w:val="22"/>
          <w:szCs w:val="22"/>
        </w:rPr>
        <w:t xml:space="preserve">net reporting burden (annualized) for this proposed rulemaking is </w:t>
      </w:r>
      <w:r w:rsidRPr="002B49F2" w:rsidR="00832C61">
        <w:rPr>
          <w:rFonts w:ascii="Arial" w:hAnsi="Arial" w:cs="Arial"/>
          <w:sz w:val="22"/>
          <w:szCs w:val="22"/>
        </w:rPr>
        <w:t>64,695 </w:t>
      </w:r>
      <w:r w:rsidRPr="002B49F2" w:rsidR="00A660A8">
        <w:rPr>
          <w:rFonts w:ascii="Arial" w:hAnsi="Arial" w:cs="Arial"/>
          <w:sz w:val="22"/>
          <w:szCs w:val="22"/>
        </w:rPr>
        <w:t xml:space="preserve">hours </w:t>
      </w:r>
      <w:r w:rsidRPr="002B49F2" w:rsidR="000358F6">
        <w:rPr>
          <w:rFonts w:ascii="Arial" w:hAnsi="Arial" w:cs="Arial"/>
          <w:sz w:val="22"/>
          <w:szCs w:val="22"/>
        </w:rPr>
        <w:t xml:space="preserve">and </w:t>
      </w:r>
      <w:r w:rsidRPr="002B49F2" w:rsidR="00F235DB">
        <w:rPr>
          <w:rFonts w:ascii="Arial" w:hAnsi="Arial" w:cs="Arial"/>
          <w:sz w:val="22"/>
          <w:szCs w:val="22"/>
        </w:rPr>
        <w:t>5</w:t>
      </w:r>
      <w:r w:rsidRPr="002B49F2" w:rsidR="000358F6">
        <w:rPr>
          <w:rFonts w:ascii="Arial" w:hAnsi="Arial" w:cs="Arial"/>
          <w:sz w:val="22"/>
          <w:szCs w:val="22"/>
        </w:rPr>
        <w:t xml:space="preserve"> responses </w:t>
      </w:r>
      <w:r w:rsidRPr="002B49F2" w:rsidR="007F639F">
        <w:rPr>
          <w:rFonts w:ascii="Arial" w:hAnsi="Arial" w:cs="Arial"/>
          <w:sz w:val="22"/>
          <w:szCs w:val="22"/>
        </w:rPr>
        <w:t xml:space="preserve">for future </w:t>
      </w:r>
      <w:r w:rsidRPr="002B49F2" w:rsidR="007B0294">
        <w:rPr>
          <w:rFonts w:ascii="Arial" w:hAnsi="Arial" w:cs="Arial"/>
          <w:sz w:val="22"/>
          <w:szCs w:val="22"/>
        </w:rPr>
        <w:t>SLR</w:t>
      </w:r>
      <w:r w:rsidRPr="002B49F2" w:rsidR="007F639F">
        <w:rPr>
          <w:rFonts w:ascii="Arial" w:hAnsi="Arial" w:cs="Arial"/>
          <w:sz w:val="22"/>
          <w:szCs w:val="22"/>
        </w:rPr>
        <w:t xml:space="preserve"> applicants and </w:t>
      </w:r>
      <w:r w:rsidRPr="002B49F2" w:rsidR="005B4824">
        <w:rPr>
          <w:rFonts w:ascii="Arial" w:hAnsi="Arial" w:cs="Arial"/>
          <w:sz w:val="22"/>
          <w:szCs w:val="22"/>
        </w:rPr>
        <w:t>6,372</w:t>
      </w:r>
      <w:r w:rsidRPr="002B49F2" w:rsidR="00E54D00">
        <w:rPr>
          <w:rFonts w:ascii="Arial" w:hAnsi="Arial" w:cs="Arial"/>
          <w:sz w:val="22"/>
          <w:szCs w:val="22"/>
        </w:rPr>
        <w:t xml:space="preserve"> hours </w:t>
      </w:r>
      <w:r w:rsidRPr="002B49F2" w:rsidR="000358F6">
        <w:rPr>
          <w:rFonts w:ascii="Arial" w:hAnsi="Arial" w:cs="Arial"/>
          <w:sz w:val="22"/>
          <w:szCs w:val="22"/>
        </w:rPr>
        <w:t xml:space="preserve">and </w:t>
      </w:r>
      <w:r w:rsidRPr="002B49F2" w:rsidR="00F235DB">
        <w:rPr>
          <w:rFonts w:ascii="Arial" w:hAnsi="Arial" w:cs="Arial"/>
          <w:sz w:val="22"/>
          <w:szCs w:val="22"/>
        </w:rPr>
        <w:t>3.3</w:t>
      </w:r>
      <w:r w:rsidRPr="002B49F2" w:rsidR="000358F6">
        <w:rPr>
          <w:rFonts w:ascii="Arial" w:hAnsi="Arial" w:cs="Arial"/>
          <w:sz w:val="22"/>
          <w:szCs w:val="22"/>
        </w:rPr>
        <w:t xml:space="preserve"> responses </w:t>
      </w:r>
      <w:r w:rsidRPr="002B49F2" w:rsidR="00E54D00">
        <w:rPr>
          <w:rFonts w:ascii="Arial" w:hAnsi="Arial" w:cs="Arial"/>
          <w:sz w:val="22"/>
          <w:szCs w:val="22"/>
        </w:rPr>
        <w:t>for licensees with near-term</w:t>
      </w:r>
      <w:r w:rsidRPr="002B49F2" w:rsidR="004C04FE">
        <w:rPr>
          <w:rFonts w:ascii="Arial" w:hAnsi="Arial" w:cs="Arial"/>
          <w:sz w:val="22"/>
          <w:szCs w:val="22"/>
        </w:rPr>
        <w:t xml:space="preserve"> and</w:t>
      </w:r>
      <w:r w:rsidRPr="002B49F2" w:rsidR="00E54D00">
        <w:rPr>
          <w:rFonts w:ascii="Arial" w:hAnsi="Arial" w:cs="Arial"/>
          <w:sz w:val="22"/>
          <w:szCs w:val="22"/>
        </w:rPr>
        <w:t>, submitted</w:t>
      </w:r>
      <w:r w:rsidRPr="002B49F2" w:rsidR="004C04FE">
        <w:rPr>
          <w:rFonts w:ascii="Arial" w:hAnsi="Arial" w:cs="Arial"/>
          <w:sz w:val="22"/>
          <w:szCs w:val="22"/>
        </w:rPr>
        <w:t xml:space="preserve"> applications</w:t>
      </w:r>
      <w:r w:rsidRPr="002B49F2" w:rsidR="00E54D00">
        <w:rPr>
          <w:rFonts w:ascii="Arial" w:hAnsi="Arial" w:cs="Arial"/>
          <w:sz w:val="22"/>
          <w:szCs w:val="22"/>
        </w:rPr>
        <w:t xml:space="preserve">, </w:t>
      </w:r>
      <w:r w:rsidRPr="002B49F2" w:rsidR="004C04FE">
        <w:rPr>
          <w:rFonts w:ascii="Arial" w:hAnsi="Arial" w:cs="Arial"/>
          <w:sz w:val="22"/>
          <w:szCs w:val="22"/>
        </w:rPr>
        <w:t>and</w:t>
      </w:r>
      <w:r w:rsidRPr="002B49F2" w:rsidR="00E54D00">
        <w:rPr>
          <w:rFonts w:ascii="Arial" w:hAnsi="Arial" w:cs="Arial"/>
          <w:sz w:val="22"/>
          <w:szCs w:val="22"/>
        </w:rPr>
        <w:t xml:space="preserve"> </w:t>
      </w:r>
      <w:r w:rsidRPr="002B49F2" w:rsidR="004C04FE">
        <w:rPr>
          <w:rFonts w:ascii="Arial" w:hAnsi="Arial" w:cs="Arial"/>
          <w:sz w:val="22"/>
          <w:szCs w:val="22"/>
        </w:rPr>
        <w:t>issued</w:t>
      </w:r>
      <w:r w:rsidRPr="002B49F2" w:rsidR="00E54D00">
        <w:rPr>
          <w:rFonts w:ascii="Arial" w:hAnsi="Arial" w:cs="Arial"/>
          <w:sz w:val="22"/>
          <w:szCs w:val="22"/>
        </w:rPr>
        <w:t xml:space="preserve"> </w:t>
      </w:r>
      <w:r w:rsidRPr="002B49F2" w:rsidR="004C04FE">
        <w:rPr>
          <w:rFonts w:ascii="Arial" w:hAnsi="Arial" w:cs="Arial"/>
          <w:sz w:val="22"/>
          <w:szCs w:val="22"/>
        </w:rPr>
        <w:t>SLRs</w:t>
      </w:r>
      <w:r w:rsidRPr="002B49F2" w:rsidR="00E54D00">
        <w:rPr>
          <w:rFonts w:ascii="Arial" w:hAnsi="Arial" w:cs="Arial"/>
          <w:sz w:val="22"/>
          <w:szCs w:val="22"/>
        </w:rPr>
        <w:t xml:space="preserve">, for a total of </w:t>
      </w:r>
      <w:r w:rsidRPr="002B49F2" w:rsidR="00832C61">
        <w:rPr>
          <w:rFonts w:ascii="Arial" w:hAnsi="Arial" w:cs="Arial"/>
          <w:sz w:val="22"/>
          <w:szCs w:val="22"/>
        </w:rPr>
        <w:t>71,067 </w:t>
      </w:r>
      <w:r w:rsidRPr="002B49F2" w:rsidR="001A1D5F">
        <w:rPr>
          <w:rFonts w:ascii="Arial" w:hAnsi="Arial" w:cs="Arial"/>
          <w:sz w:val="22"/>
          <w:szCs w:val="22"/>
        </w:rPr>
        <w:t>hours</w:t>
      </w:r>
      <w:r w:rsidRPr="002B49F2" w:rsidR="00273A1B">
        <w:rPr>
          <w:rFonts w:ascii="Arial" w:hAnsi="Arial" w:cs="Arial"/>
          <w:sz w:val="22"/>
          <w:szCs w:val="22"/>
        </w:rPr>
        <w:t xml:space="preserve"> and 8.3 responses</w:t>
      </w:r>
      <w:r w:rsidRPr="002B49F2" w:rsidR="001A1D5F">
        <w:rPr>
          <w:rFonts w:ascii="Arial" w:hAnsi="Arial" w:cs="Arial"/>
          <w:sz w:val="22"/>
          <w:szCs w:val="22"/>
        </w:rPr>
        <w:t>.</w:t>
      </w:r>
      <w:r w:rsidRPr="002B49F2" w:rsidR="003A50D1">
        <w:rPr>
          <w:rFonts w:ascii="Arial" w:hAnsi="Arial" w:cs="Arial"/>
          <w:sz w:val="22"/>
          <w:szCs w:val="22"/>
        </w:rPr>
        <w:t xml:space="preserve"> The cost associated with this burden is $</w:t>
      </w:r>
      <w:r w:rsidRPr="002B49F2" w:rsidR="00832C61">
        <w:rPr>
          <w:rFonts w:ascii="Arial" w:hAnsi="Arial" w:cs="Arial"/>
          <w:sz w:val="22"/>
          <w:szCs w:val="22"/>
        </w:rPr>
        <w:t>18,76</w:t>
      </w:r>
      <w:r w:rsidRPr="002B49F2" w:rsidR="004F4294">
        <w:rPr>
          <w:rFonts w:ascii="Arial" w:hAnsi="Arial" w:cs="Arial"/>
          <w:sz w:val="22"/>
          <w:szCs w:val="22"/>
        </w:rPr>
        <w:t>1,550</w:t>
      </w:r>
      <w:r w:rsidRPr="002B49F2" w:rsidR="00E516EB">
        <w:rPr>
          <w:rFonts w:ascii="Arial" w:hAnsi="Arial" w:cs="Arial"/>
          <w:sz w:val="22"/>
          <w:szCs w:val="22"/>
        </w:rPr>
        <w:t xml:space="preserve"> for future </w:t>
      </w:r>
      <w:r w:rsidRPr="002B49F2" w:rsidR="007B0294">
        <w:rPr>
          <w:rFonts w:ascii="Arial" w:hAnsi="Arial" w:cs="Arial"/>
          <w:sz w:val="22"/>
          <w:szCs w:val="22"/>
        </w:rPr>
        <w:t>SLR</w:t>
      </w:r>
      <w:r w:rsidRPr="002B49F2" w:rsidR="00E516EB">
        <w:rPr>
          <w:rFonts w:ascii="Arial" w:hAnsi="Arial" w:cs="Arial"/>
          <w:sz w:val="22"/>
          <w:szCs w:val="22"/>
        </w:rPr>
        <w:t xml:space="preserve"> </w:t>
      </w:r>
      <w:r w:rsidRPr="002B49F2" w:rsidR="00E516EB">
        <w:rPr>
          <w:rFonts w:ascii="Arial" w:hAnsi="Arial" w:cs="Arial"/>
          <w:sz w:val="22"/>
          <w:szCs w:val="22"/>
        </w:rPr>
        <w:t>applicants and $</w:t>
      </w:r>
      <w:r w:rsidRPr="002B49F2" w:rsidR="00F94E11">
        <w:rPr>
          <w:rFonts w:ascii="Arial" w:hAnsi="Arial" w:cs="Arial"/>
          <w:sz w:val="22"/>
          <w:szCs w:val="22"/>
        </w:rPr>
        <w:t>1,847,</w:t>
      </w:r>
      <w:r w:rsidRPr="002B49F2" w:rsidR="005462A5">
        <w:rPr>
          <w:rFonts w:ascii="Arial" w:hAnsi="Arial" w:cs="Arial"/>
          <w:sz w:val="22"/>
          <w:szCs w:val="22"/>
        </w:rPr>
        <w:t>880</w:t>
      </w:r>
      <w:r w:rsidRPr="002B49F2" w:rsidR="00E516EB">
        <w:rPr>
          <w:rFonts w:ascii="Arial" w:hAnsi="Arial" w:cs="Arial"/>
          <w:sz w:val="22"/>
          <w:szCs w:val="22"/>
        </w:rPr>
        <w:t xml:space="preserve"> for licensees with near-term</w:t>
      </w:r>
      <w:r w:rsidRPr="002B49F2" w:rsidR="004C04FE">
        <w:rPr>
          <w:rFonts w:ascii="Arial" w:hAnsi="Arial" w:cs="Arial"/>
          <w:sz w:val="22"/>
          <w:szCs w:val="22"/>
        </w:rPr>
        <w:t xml:space="preserve"> and</w:t>
      </w:r>
      <w:r w:rsidRPr="002B49F2" w:rsidR="00E516EB">
        <w:rPr>
          <w:rFonts w:ascii="Arial" w:hAnsi="Arial" w:cs="Arial"/>
          <w:sz w:val="22"/>
          <w:szCs w:val="22"/>
        </w:rPr>
        <w:t xml:space="preserve"> submitted</w:t>
      </w:r>
      <w:r w:rsidRPr="002B49F2" w:rsidR="004C04FE">
        <w:rPr>
          <w:rFonts w:ascii="Arial" w:hAnsi="Arial" w:cs="Arial"/>
          <w:sz w:val="22"/>
          <w:szCs w:val="22"/>
        </w:rPr>
        <w:t xml:space="preserve"> applications</w:t>
      </w:r>
      <w:r w:rsidRPr="002B49F2" w:rsidR="00E516EB">
        <w:rPr>
          <w:rFonts w:ascii="Arial" w:hAnsi="Arial" w:cs="Arial"/>
          <w:sz w:val="22"/>
          <w:szCs w:val="22"/>
        </w:rPr>
        <w:t xml:space="preserve">, </w:t>
      </w:r>
      <w:r w:rsidRPr="002B49F2" w:rsidR="004C04FE">
        <w:rPr>
          <w:rFonts w:ascii="Arial" w:hAnsi="Arial" w:cs="Arial"/>
          <w:sz w:val="22"/>
          <w:szCs w:val="22"/>
        </w:rPr>
        <w:t>and</w:t>
      </w:r>
      <w:r w:rsidRPr="002B49F2" w:rsidR="00E516EB">
        <w:rPr>
          <w:rFonts w:ascii="Arial" w:hAnsi="Arial" w:cs="Arial"/>
          <w:sz w:val="22"/>
          <w:szCs w:val="22"/>
        </w:rPr>
        <w:t xml:space="preserve"> </w:t>
      </w:r>
      <w:r w:rsidRPr="002B49F2" w:rsidR="004C04FE">
        <w:rPr>
          <w:rFonts w:ascii="Arial" w:hAnsi="Arial" w:cs="Arial"/>
          <w:sz w:val="22"/>
          <w:szCs w:val="22"/>
        </w:rPr>
        <w:t>issued</w:t>
      </w:r>
      <w:r w:rsidRPr="002B49F2" w:rsidR="00E516EB">
        <w:rPr>
          <w:rFonts w:ascii="Arial" w:hAnsi="Arial" w:cs="Arial"/>
          <w:sz w:val="22"/>
          <w:szCs w:val="22"/>
        </w:rPr>
        <w:t xml:space="preserve"> </w:t>
      </w:r>
      <w:r w:rsidRPr="002B49F2" w:rsidR="004C04FE">
        <w:rPr>
          <w:rFonts w:ascii="Arial" w:hAnsi="Arial" w:cs="Arial"/>
          <w:sz w:val="22"/>
          <w:szCs w:val="22"/>
        </w:rPr>
        <w:t>SLRs</w:t>
      </w:r>
      <w:r w:rsidRPr="002B49F2" w:rsidR="00E516EB">
        <w:rPr>
          <w:rFonts w:ascii="Arial" w:hAnsi="Arial" w:cs="Arial"/>
          <w:sz w:val="22"/>
          <w:szCs w:val="22"/>
        </w:rPr>
        <w:t>, for a total</w:t>
      </w:r>
      <w:r w:rsidRPr="002B49F2" w:rsidR="00A660A8">
        <w:rPr>
          <w:rFonts w:ascii="Arial" w:hAnsi="Arial" w:cs="Arial"/>
          <w:sz w:val="22"/>
          <w:szCs w:val="22"/>
        </w:rPr>
        <w:t xml:space="preserve"> of $</w:t>
      </w:r>
      <w:r w:rsidRPr="002B49F2" w:rsidR="00E516EB">
        <w:rPr>
          <w:rFonts w:ascii="Arial" w:hAnsi="Arial" w:cs="Arial"/>
          <w:sz w:val="22"/>
          <w:szCs w:val="22"/>
        </w:rPr>
        <w:t>2</w:t>
      </w:r>
      <w:r w:rsidRPr="002B49F2" w:rsidR="004F4294">
        <w:rPr>
          <w:rFonts w:ascii="Arial" w:hAnsi="Arial" w:cs="Arial"/>
          <w:sz w:val="22"/>
          <w:szCs w:val="22"/>
        </w:rPr>
        <w:t>0,609,</w:t>
      </w:r>
      <w:r w:rsidRPr="002B49F2" w:rsidR="005462A5">
        <w:rPr>
          <w:rFonts w:ascii="Arial" w:hAnsi="Arial" w:cs="Arial"/>
          <w:sz w:val="22"/>
          <w:szCs w:val="22"/>
        </w:rPr>
        <w:t>430</w:t>
      </w:r>
      <w:r w:rsidRPr="002B49F2" w:rsidR="00A660A8">
        <w:rPr>
          <w:rFonts w:ascii="Arial" w:hAnsi="Arial" w:cs="Arial"/>
          <w:sz w:val="22"/>
          <w:szCs w:val="22"/>
        </w:rPr>
        <w:t xml:space="preserve"> (</w:t>
      </w:r>
      <w:r w:rsidRPr="002B49F2" w:rsidR="00DD7D74">
        <w:rPr>
          <w:rFonts w:ascii="Arial" w:hAnsi="Arial" w:cs="Arial"/>
          <w:sz w:val="22"/>
          <w:szCs w:val="22"/>
        </w:rPr>
        <w:t>71,067</w:t>
      </w:r>
      <w:r w:rsidRPr="002B49F2" w:rsidR="00F71674">
        <w:rPr>
          <w:rFonts w:ascii="Arial" w:hAnsi="Arial" w:cs="Arial"/>
          <w:sz w:val="22"/>
          <w:szCs w:val="22"/>
        </w:rPr>
        <w:t xml:space="preserve"> hours x $</w:t>
      </w:r>
      <w:r w:rsidRPr="002B49F2" w:rsidR="00EB53BC">
        <w:rPr>
          <w:rFonts w:ascii="Arial" w:hAnsi="Arial" w:cs="Arial"/>
          <w:sz w:val="22"/>
          <w:szCs w:val="22"/>
        </w:rPr>
        <w:t>2</w:t>
      </w:r>
      <w:r w:rsidRPr="002B49F2" w:rsidR="00595A44">
        <w:rPr>
          <w:rFonts w:ascii="Arial" w:hAnsi="Arial" w:cs="Arial"/>
          <w:sz w:val="22"/>
          <w:szCs w:val="22"/>
        </w:rPr>
        <w:t>90</w:t>
      </w:r>
      <w:r w:rsidRPr="002B49F2" w:rsidR="00EB53BC">
        <w:rPr>
          <w:rFonts w:ascii="Arial" w:hAnsi="Arial" w:cs="Arial"/>
          <w:sz w:val="22"/>
          <w:szCs w:val="22"/>
        </w:rPr>
        <w:t>/hour).</w:t>
      </w:r>
    </w:p>
    <w:p w:rsidR="00714B88" w:rsidRPr="002B49F2" w:rsidP="00F04C52" w14:paraId="2DB9BE86" w14:textId="55CE8D11">
      <w:pPr>
        <w:pStyle w:val="BodyText"/>
        <w:kinsoku w:val="0"/>
        <w:overflowPunct w:val="0"/>
        <w:ind w:left="360"/>
      </w:pPr>
    </w:p>
    <w:p w:rsidR="001A5422" w:rsidRPr="002B49F2" w:rsidP="005B2149" w14:paraId="7006AC9D" w14:textId="0709FDF2">
      <w:pPr>
        <w:pStyle w:val="BodyText"/>
        <w:keepNext/>
        <w:widowControl/>
        <w:numPr>
          <w:ilvl w:val="0"/>
          <w:numId w:val="18"/>
        </w:numPr>
        <w:kinsoku w:val="0"/>
        <w:overflowPunct w:val="0"/>
        <w:rPr>
          <w:u w:val="single"/>
        </w:rPr>
      </w:pPr>
      <w:r w:rsidRPr="002B49F2">
        <w:rPr>
          <w:u w:val="single"/>
        </w:rPr>
        <w:t>Recordkeeping Burden and Cost</w:t>
      </w:r>
    </w:p>
    <w:p w:rsidR="001A5422" w:rsidRPr="002B49F2" w:rsidP="005B2149" w14:paraId="1556DE42" w14:textId="04B4317A">
      <w:pPr>
        <w:pStyle w:val="BodyText"/>
        <w:keepNext/>
        <w:widowControl/>
        <w:kinsoku w:val="0"/>
        <w:overflowPunct w:val="0"/>
        <w:ind w:left="360"/>
      </w:pPr>
    </w:p>
    <w:p w:rsidR="005E315A" w:rsidRPr="002B49F2" w:rsidP="005B2149" w14:paraId="0FDAD4E6" w14:textId="072827F8">
      <w:pPr>
        <w:pStyle w:val="BodyText"/>
        <w:keepNext/>
        <w:widowControl/>
        <w:kinsoku w:val="0"/>
        <w:overflowPunct w:val="0"/>
        <w:ind w:left="720"/>
      </w:pPr>
      <w:r w:rsidRPr="002B49F2">
        <w:t>Recordkeeping requirements are not specified in 10 CFR Part 51.</w:t>
      </w:r>
    </w:p>
    <w:p w:rsidR="005E315A" w:rsidRPr="002B49F2" w:rsidP="00F04C52" w14:paraId="2C7A9E64" w14:textId="77777777">
      <w:pPr>
        <w:pStyle w:val="BodyText"/>
        <w:kinsoku w:val="0"/>
        <w:overflowPunct w:val="0"/>
        <w:ind w:left="360"/>
      </w:pPr>
    </w:p>
    <w:p w:rsidR="00942941" w:rsidRPr="002B49F2" w:rsidP="00F04C52" w14:paraId="4D96858C"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Estimate of Other Additional Costs</w:t>
      </w:r>
    </w:p>
    <w:p w:rsidR="00942941" w:rsidRPr="002B49F2" w:rsidP="00F04C52" w14:paraId="228E19DD" w14:textId="77777777">
      <w:pPr>
        <w:pStyle w:val="BodyText"/>
        <w:keepNext/>
        <w:kinsoku w:val="0"/>
        <w:overflowPunct w:val="0"/>
        <w:ind w:left="360" w:hanging="360"/>
      </w:pPr>
    </w:p>
    <w:p w:rsidR="00942941" w:rsidRPr="002B49F2" w:rsidP="002323FE" w14:paraId="4082EA22" w14:textId="0394FF4F">
      <w:pPr>
        <w:pStyle w:val="BodyText"/>
        <w:keepNext/>
        <w:widowControl/>
        <w:kinsoku w:val="0"/>
        <w:overflowPunct w:val="0"/>
        <w:ind w:left="360"/>
      </w:pPr>
      <w:r w:rsidRPr="002B49F2">
        <w:t>There are no additional costs.</w:t>
      </w:r>
    </w:p>
    <w:p w:rsidR="00942941" w:rsidRPr="002B49F2" w:rsidP="00F04C52" w14:paraId="795CF2B0" w14:textId="77777777">
      <w:pPr>
        <w:pStyle w:val="BodyText"/>
        <w:kinsoku w:val="0"/>
        <w:overflowPunct w:val="0"/>
        <w:ind w:left="360" w:hanging="360"/>
      </w:pPr>
    </w:p>
    <w:p w:rsidR="00942941" w:rsidRPr="002B49F2" w:rsidP="00940310" w14:paraId="7DD7500E" w14:textId="3BA78CC7">
      <w:pPr>
        <w:pStyle w:val="ListParagraph"/>
        <w:keepNext/>
        <w:widowControl/>
        <w:numPr>
          <w:ilvl w:val="0"/>
          <w:numId w:val="14"/>
        </w:numPr>
        <w:rPr>
          <w:rFonts w:ascii="Arial" w:hAnsi="Arial" w:cs="Arial"/>
          <w:sz w:val="22"/>
          <w:szCs w:val="22"/>
          <w:u w:val="single"/>
        </w:rPr>
      </w:pPr>
      <w:r w:rsidRPr="002B49F2">
        <w:rPr>
          <w:rFonts w:ascii="Arial" w:hAnsi="Arial" w:cs="Arial"/>
          <w:sz w:val="22"/>
          <w:szCs w:val="22"/>
          <w:u w:val="single"/>
        </w:rPr>
        <w:t>Estimated Annualized Cost to the Federal Government</w:t>
      </w:r>
    </w:p>
    <w:p w:rsidR="00942941" w:rsidRPr="002B49F2" w:rsidP="00940310" w14:paraId="48272EAF" w14:textId="77777777">
      <w:pPr>
        <w:pStyle w:val="BodyText"/>
        <w:keepNext/>
        <w:widowControl/>
        <w:kinsoku w:val="0"/>
        <w:overflowPunct w:val="0"/>
        <w:ind w:left="360" w:hanging="360"/>
      </w:pPr>
    </w:p>
    <w:p w:rsidR="009A55AB" w:rsidRPr="002B49F2" w:rsidP="00940310" w14:paraId="67312D36" w14:textId="7F552D00">
      <w:pPr>
        <w:pStyle w:val="BodyText"/>
        <w:keepNext/>
        <w:widowControl/>
        <w:kinsoku w:val="0"/>
        <w:overflowPunct w:val="0"/>
        <w:ind w:left="360" w:right="247"/>
      </w:pPr>
      <w:r w:rsidRPr="002B49F2">
        <w:t>For licensees with near-term</w:t>
      </w:r>
      <w:r w:rsidRPr="002B49F2" w:rsidR="004C04FE">
        <w:t xml:space="preserve"> and</w:t>
      </w:r>
      <w:r w:rsidRPr="002B49F2">
        <w:t xml:space="preserve"> submitted</w:t>
      </w:r>
      <w:r w:rsidRPr="002B49F2" w:rsidR="004C04FE">
        <w:t xml:space="preserve"> applications</w:t>
      </w:r>
      <w:r w:rsidRPr="002B49F2">
        <w:t xml:space="preserve">, </w:t>
      </w:r>
      <w:r w:rsidRPr="002B49F2" w:rsidR="004C04FE">
        <w:t>and</w:t>
      </w:r>
      <w:r w:rsidRPr="002B49F2">
        <w:t xml:space="preserve"> </w:t>
      </w:r>
      <w:r w:rsidRPr="002B49F2" w:rsidR="004C04FE">
        <w:t>issued</w:t>
      </w:r>
      <w:r w:rsidRPr="002B49F2">
        <w:t xml:space="preserve"> </w:t>
      </w:r>
      <w:r w:rsidRPr="002B49F2" w:rsidR="00856738">
        <w:t>SL</w:t>
      </w:r>
      <w:r w:rsidRPr="002B49F2" w:rsidR="00CD1668">
        <w:t>R</w:t>
      </w:r>
      <w:r w:rsidRPr="002B49F2" w:rsidR="004C04FE">
        <w:t>s</w:t>
      </w:r>
      <w:r w:rsidRPr="002B49F2">
        <w:t xml:space="preserve">, the </w:t>
      </w:r>
      <w:r w:rsidRPr="002B49F2" w:rsidR="00F175F5">
        <w:t>estimated cost to the NRC</w:t>
      </w:r>
      <w:r w:rsidRPr="002B49F2">
        <w:t xml:space="preserve"> addresses only the </w:t>
      </w:r>
      <w:r w:rsidRPr="002B49F2" w:rsidR="00F175F5">
        <w:t>cost</w:t>
      </w:r>
      <w:r w:rsidRPr="002B49F2">
        <w:t xml:space="preserve"> associated with the</w:t>
      </w:r>
      <w:r w:rsidRPr="002B49F2" w:rsidR="00F175F5">
        <w:t> review of supplemental information provided by applicants to address the </w:t>
      </w:r>
      <w:r w:rsidRPr="002B49F2">
        <w:t xml:space="preserve">amendments to the existing rule that affect the information collection requirements. For future </w:t>
      </w:r>
      <w:r w:rsidRPr="002B49F2" w:rsidR="00D069E3">
        <w:t>SLR</w:t>
      </w:r>
      <w:r w:rsidRPr="002B49F2">
        <w:t xml:space="preserve"> applicants, the </w:t>
      </w:r>
      <w:r w:rsidRPr="002B49F2" w:rsidR="00F175F5">
        <w:t>estimated cost to the NRC</w:t>
      </w:r>
      <w:r w:rsidRPr="002B49F2">
        <w:t xml:space="preserve"> addresses the </w:t>
      </w:r>
      <w:r w:rsidRPr="002B49F2" w:rsidR="00F175F5">
        <w:t>cost</w:t>
      </w:r>
      <w:r w:rsidRPr="002B49F2">
        <w:t xml:space="preserve"> associated with </w:t>
      </w:r>
      <w:r w:rsidRPr="002B49F2" w:rsidR="00F175F5">
        <w:t xml:space="preserve">review of </w:t>
      </w:r>
      <w:r w:rsidRPr="002B49F2" w:rsidR="0019765F">
        <w:t xml:space="preserve">the </w:t>
      </w:r>
      <w:r w:rsidRPr="002B49F2">
        <w:t>entire environmental report, including evaluation of all environmental issues described in the revised Table B-1.</w:t>
      </w:r>
      <w:r w:rsidRPr="002B49F2" w:rsidR="00F175F5">
        <w:t xml:space="preserve"> The NRC does not expect to receive any initial </w:t>
      </w:r>
      <w:r w:rsidRPr="002B49F2" w:rsidR="0077667D">
        <w:t>LR</w:t>
      </w:r>
      <w:r w:rsidRPr="002B49F2" w:rsidR="00F175F5">
        <w:t xml:space="preserve"> applications during </w:t>
      </w:r>
      <w:r w:rsidRPr="002B49F2" w:rsidR="00153B40">
        <w:t xml:space="preserve">June </w:t>
      </w:r>
      <w:r w:rsidRPr="002B49F2" w:rsidR="00F175F5">
        <w:t>2024</w:t>
      </w:r>
      <w:r w:rsidRPr="002B49F2" w:rsidR="00153B40">
        <w:t xml:space="preserve"> – May </w:t>
      </w:r>
      <w:r w:rsidRPr="002B49F2" w:rsidR="00F175F5">
        <w:t>202</w:t>
      </w:r>
      <w:r w:rsidRPr="002B49F2" w:rsidR="00153B40">
        <w:t>7</w:t>
      </w:r>
      <w:r w:rsidRPr="002B49F2" w:rsidR="00F175F5">
        <w:t>, therefore, there is no cost to the NRC for this group of licensees.</w:t>
      </w:r>
    </w:p>
    <w:p w:rsidR="009A55AB" w:rsidRPr="002B49F2" w:rsidP="00F04C52" w14:paraId="764965AC" w14:textId="77777777">
      <w:pPr>
        <w:pStyle w:val="BodyText"/>
        <w:kinsoku w:val="0"/>
        <w:overflowPunct w:val="0"/>
        <w:ind w:left="360" w:right="247"/>
      </w:pPr>
    </w:p>
    <w:p w:rsidR="00F175F5" w:rsidRPr="002B49F2" w:rsidP="00F04C52" w14:paraId="7F97820C" w14:textId="39545158">
      <w:pPr>
        <w:pStyle w:val="BodyText"/>
        <w:kinsoku w:val="0"/>
        <w:overflowPunct w:val="0"/>
        <w:ind w:left="360" w:right="247"/>
      </w:pPr>
      <w:r w:rsidRPr="002B49F2">
        <w:t>)</w:t>
      </w:r>
      <w:r w:rsidRPr="002B49F2">
        <w:t xml:space="preserve">Table </w:t>
      </w:r>
      <w:r w:rsidRPr="002B49F2" w:rsidR="00A3669E">
        <w:t>3</w:t>
      </w:r>
      <w:r w:rsidRPr="002B49F2">
        <w:t xml:space="preserve"> below shows the one-time cost to the NRC associated with the review of future </w:t>
      </w:r>
      <w:r w:rsidRPr="002B49F2" w:rsidR="00D069E3">
        <w:t>SLR</w:t>
      </w:r>
      <w:r w:rsidRPr="002B49F2">
        <w:t xml:space="preserve"> applications for this information collection during the 3</w:t>
      </w:r>
      <w:r w:rsidRPr="002B49F2" w:rsidR="00A3669E">
        <w:noBreakHyphen/>
      </w:r>
      <w:r w:rsidRPr="002B49F2">
        <w:t>year period</w:t>
      </w:r>
      <w:r w:rsidRPr="002B49F2" w:rsidR="005E285B">
        <w:t xml:space="preserve"> following the</w:t>
      </w:r>
      <w:r w:rsidRPr="002B49F2" w:rsidR="00573C9E">
        <w:t> </w:t>
      </w:r>
      <w:r w:rsidRPr="002B49F2" w:rsidR="005E285B">
        <w:t>effective date of the final rule</w:t>
      </w:r>
      <w:r w:rsidRPr="002B49F2">
        <w:t xml:space="preserve"> (i.e., </w:t>
      </w:r>
      <w:r w:rsidRPr="002B49F2" w:rsidR="00153B40">
        <w:t xml:space="preserve">June </w:t>
      </w:r>
      <w:r w:rsidRPr="002B49F2">
        <w:t>2024</w:t>
      </w:r>
      <w:r w:rsidRPr="002B49F2" w:rsidR="00153B40">
        <w:t xml:space="preserve"> – May </w:t>
      </w:r>
      <w:r w:rsidRPr="002B49F2">
        <w:t>202</w:t>
      </w:r>
      <w:r w:rsidRPr="002B49F2" w:rsidR="00153B40">
        <w:t>7</w:t>
      </w:r>
      <w:r w:rsidRPr="002B49F2">
        <w:t xml:space="preserve">). Table </w:t>
      </w:r>
      <w:r w:rsidRPr="002B49F2" w:rsidR="00A3669E">
        <w:t>4</w:t>
      </w:r>
      <w:r w:rsidRPr="002B49F2">
        <w:t xml:space="preserve"> below shows the</w:t>
      </w:r>
      <w:r w:rsidRPr="002B49F2" w:rsidR="00573C9E">
        <w:t> </w:t>
      </w:r>
      <w:r w:rsidRPr="002B49F2">
        <w:t>one time-cost to the NRC associated with the review of near-term</w:t>
      </w:r>
      <w:r w:rsidRPr="002B49F2" w:rsidR="0040540C">
        <w:t xml:space="preserve"> and</w:t>
      </w:r>
      <w:r w:rsidRPr="002B49F2">
        <w:t xml:space="preserve"> submitted </w:t>
      </w:r>
      <w:r w:rsidRPr="002B49F2" w:rsidR="0040540C">
        <w:t>applications, and</w:t>
      </w:r>
      <w:r w:rsidRPr="002B49F2">
        <w:t xml:space="preserve"> </w:t>
      </w:r>
      <w:r w:rsidRPr="002B49F2" w:rsidR="0040540C">
        <w:t>issued</w:t>
      </w:r>
      <w:r w:rsidRPr="002B49F2">
        <w:t xml:space="preserve"> </w:t>
      </w:r>
      <w:r w:rsidRPr="002B49F2" w:rsidR="00D069E3">
        <w:t>SLR</w:t>
      </w:r>
      <w:r w:rsidRPr="002B49F2" w:rsidR="0040540C">
        <w:t>s</w:t>
      </w:r>
      <w:r w:rsidRPr="002B49F2">
        <w:t xml:space="preserve"> for this information collection during the 3</w:t>
      </w:r>
      <w:r w:rsidRPr="002B49F2" w:rsidR="002F34E4">
        <w:noBreakHyphen/>
      </w:r>
      <w:r w:rsidRPr="002B49F2">
        <w:t>year period</w:t>
      </w:r>
      <w:r w:rsidRPr="002B49F2" w:rsidR="005E285B">
        <w:t xml:space="preserve"> following the effective date of the final rule</w:t>
      </w:r>
      <w:r w:rsidRPr="002B49F2">
        <w:t>.</w:t>
      </w:r>
    </w:p>
    <w:p w:rsidR="008D2706" w:rsidRPr="002B49F2" w:rsidP="00F04C52" w14:paraId="15D5B138" w14:textId="41FC80FE">
      <w:pPr>
        <w:pStyle w:val="BodyText"/>
        <w:kinsoku w:val="0"/>
        <w:overflowPunct w:val="0"/>
        <w:ind w:left="360" w:right="247"/>
      </w:pPr>
    </w:p>
    <w:p w:rsidR="000137C3" w:rsidRPr="002B49F2" w:rsidP="00F175F5" w14:paraId="79D0AC8D" w14:textId="70277EB0">
      <w:pPr>
        <w:pStyle w:val="BodyText"/>
        <w:widowControl/>
        <w:kinsoku w:val="0"/>
        <w:overflowPunct w:val="0"/>
        <w:ind w:left="360" w:right="245"/>
      </w:pPr>
      <w:r w:rsidRPr="002B49F2">
        <w:t xml:space="preserve">The </w:t>
      </w:r>
      <w:r w:rsidRPr="002B49F2" w:rsidR="007B35D0">
        <w:t>cost to the Federal government</w:t>
      </w:r>
      <w:r w:rsidRPr="002B49F2">
        <w:t xml:space="preserve"> for the </w:t>
      </w:r>
      <w:r w:rsidRPr="002B49F2" w:rsidR="007B35D0">
        <w:t>information collections associated with</w:t>
      </w:r>
      <w:r w:rsidRPr="002B49F2">
        <w:t xml:space="preserve"> the</w:t>
      </w:r>
      <w:r w:rsidRPr="002B49F2" w:rsidR="00573C9E">
        <w:t> </w:t>
      </w:r>
      <w:r w:rsidRPr="002B49F2">
        <w:t xml:space="preserve">proposed </w:t>
      </w:r>
      <w:r w:rsidRPr="002B49F2" w:rsidR="00A909FF">
        <w:t xml:space="preserve">rulemaking </w:t>
      </w:r>
      <w:r w:rsidRPr="002B49F2" w:rsidR="00E26C47">
        <w:t xml:space="preserve">is </w:t>
      </w:r>
      <w:r w:rsidRPr="002B49F2" w:rsidR="00A909FF">
        <w:t>$</w:t>
      </w:r>
      <w:r w:rsidRPr="002B49F2" w:rsidR="00577922">
        <w:t>8,</w:t>
      </w:r>
      <w:r w:rsidRPr="002B49F2" w:rsidR="00FD6ACE">
        <w:t>534,700</w:t>
      </w:r>
      <w:r w:rsidRPr="002B49F2" w:rsidR="00702895">
        <w:t xml:space="preserve"> for future </w:t>
      </w:r>
      <w:r w:rsidRPr="002B49F2" w:rsidR="00D069E3">
        <w:t>SLR</w:t>
      </w:r>
      <w:r w:rsidRPr="002B49F2" w:rsidR="00702895">
        <w:t xml:space="preserve"> applicants </w:t>
      </w:r>
      <w:r w:rsidRPr="002B49F2" w:rsidR="00E315E7">
        <w:t>(</w:t>
      </w:r>
      <w:r w:rsidRPr="002B49F2" w:rsidR="00932A99">
        <w:t>29,</w:t>
      </w:r>
      <w:r w:rsidRPr="002B49F2" w:rsidR="00032C60">
        <w:t>430 hours x $290/</w:t>
      </w:r>
      <w:r w:rsidRPr="002B49F2" w:rsidR="00032C60">
        <w:t>hr</w:t>
      </w:r>
      <w:r w:rsidRPr="002B49F2" w:rsidR="00032C60">
        <w:t xml:space="preserve">) </w:t>
      </w:r>
      <w:r w:rsidRPr="002B49F2" w:rsidR="00702895">
        <w:t>and $</w:t>
      </w:r>
      <w:r w:rsidRPr="002B49F2" w:rsidR="00220534">
        <w:t>843,9</w:t>
      </w:r>
      <w:r w:rsidRPr="002B49F2" w:rsidR="00DB29D4">
        <w:t>00</w:t>
      </w:r>
      <w:r w:rsidRPr="002B49F2" w:rsidR="00702895">
        <w:t xml:space="preserve"> for licensees with near-term</w:t>
      </w:r>
      <w:r w:rsidRPr="002B49F2" w:rsidR="00D93516">
        <w:t xml:space="preserve"> and</w:t>
      </w:r>
      <w:r w:rsidRPr="002B49F2" w:rsidR="00702895">
        <w:t xml:space="preserve"> submitted</w:t>
      </w:r>
      <w:r w:rsidRPr="002B49F2" w:rsidR="00D93516">
        <w:t xml:space="preserve"> applications</w:t>
      </w:r>
      <w:r w:rsidRPr="002B49F2" w:rsidR="00702895">
        <w:t xml:space="preserve">, </w:t>
      </w:r>
      <w:r w:rsidRPr="002B49F2" w:rsidR="00D93516">
        <w:t>and</w:t>
      </w:r>
      <w:r w:rsidRPr="002B49F2" w:rsidR="00702895">
        <w:t xml:space="preserve"> </w:t>
      </w:r>
      <w:r w:rsidRPr="002B49F2" w:rsidR="00D93516">
        <w:t>issued</w:t>
      </w:r>
      <w:r w:rsidRPr="002B49F2" w:rsidR="00702895">
        <w:t xml:space="preserve"> </w:t>
      </w:r>
      <w:r w:rsidRPr="002B49F2" w:rsidR="00D93516">
        <w:t>SLRs</w:t>
      </w:r>
      <w:r w:rsidRPr="002B49F2" w:rsidR="009235B9">
        <w:t xml:space="preserve"> (</w:t>
      </w:r>
      <w:r w:rsidRPr="002B49F2" w:rsidR="00A971C1">
        <w:t>2,910</w:t>
      </w:r>
      <w:r w:rsidRPr="002B49F2" w:rsidR="0093585D">
        <w:t xml:space="preserve"> hours x $290/</w:t>
      </w:r>
      <w:r w:rsidRPr="002B49F2" w:rsidR="0093585D">
        <w:t>hr</w:t>
      </w:r>
      <w:r w:rsidRPr="002B49F2" w:rsidR="0093585D">
        <w:t>)</w:t>
      </w:r>
      <w:r w:rsidRPr="002B49F2" w:rsidR="00702895">
        <w:t xml:space="preserve">, for a total of </w:t>
      </w:r>
      <w:r w:rsidRPr="002B49F2" w:rsidR="007D4FF6">
        <w:t>$</w:t>
      </w:r>
      <w:r w:rsidRPr="002B49F2" w:rsidR="00FD6ACE">
        <w:t>9,378,6</w:t>
      </w:r>
      <w:r w:rsidRPr="002B49F2" w:rsidR="00DB29D4">
        <w:t>00</w:t>
      </w:r>
      <w:r w:rsidRPr="002B49F2" w:rsidR="007D4FF6">
        <w:t xml:space="preserve"> (</w:t>
      </w:r>
      <w:r w:rsidRPr="002B49F2" w:rsidR="00840355">
        <w:t>3</w:t>
      </w:r>
      <w:r w:rsidRPr="002B49F2" w:rsidR="00FD6ACE">
        <w:t>2,340</w:t>
      </w:r>
      <w:r w:rsidRPr="002B49F2" w:rsidR="00812D74">
        <w:t xml:space="preserve"> </w:t>
      </w:r>
      <w:r w:rsidRPr="002B49F2" w:rsidR="007D4FF6">
        <w:t>hours x $2</w:t>
      </w:r>
      <w:r w:rsidRPr="002B49F2" w:rsidR="00595A44">
        <w:t>90</w:t>
      </w:r>
      <w:r w:rsidRPr="002B49F2" w:rsidR="007D4FF6">
        <w:t>/hour).</w:t>
      </w:r>
    </w:p>
    <w:p w:rsidR="00635859" w:rsidRPr="002B49F2" w:rsidP="00F175F5" w14:paraId="2D010FD5" w14:textId="77777777">
      <w:pPr>
        <w:pStyle w:val="BodyText"/>
        <w:widowControl/>
        <w:kinsoku w:val="0"/>
        <w:overflowPunct w:val="0"/>
        <w:ind w:left="360" w:right="245"/>
      </w:pPr>
    </w:p>
    <w:p w:rsidR="00635859" w:rsidRPr="002B49F2" w:rsidP="00F175F5" w14:paraId="0D542E1A" w14:textId="2459DD9C">
      <w:pPr>
        <w:pStyle w:val="BodyText"/>
        <w:widowControl/>
        <w:kinsoku w:val="0"/>
        <w:overflowPunct w:val="0"/>
        <w:ind w:left="360" w:right="245"/>
      </w:pPr>
      <w:r w:rsidRPr="002B49F2">
        <w:t xml:space="preserve">The overall cost to the Federal government for this </w:t>
      </w:r>
      <w:r w:rsidRPr="002B49F2" w:rsidR="00253265">
        <w:t>I</w:t>
      </w:r>
      <w:r w:rsidRPr="002B49F2">
        <w:t xml:space="preserve">nformation collection </w:t>
      </w:r>
      <w:r w:rsidRPr="002B49F2" w:rsidR="00BD638D">
        <w:t xml:space="preserve">has increased from </w:t>
      </w:r>
      <w:r w:rsidRPr="002B49F2" w:rsidR="006927CB">
        <w:t xml:space="preserve">$18,789,824 </w:t>
      </w:r>
      <w:r w:rsidRPr="002B49F2" w:rsidR="00BD638D">
        <w:t xml:space="preserve"> to </w:t>
      </w:r>
      <w:r w:rsidRPr="002B49F2" w:rsidR="002843CE">
        <w:t>$28,168,424 (18,789,824 +</w:t>
      </w:r>
      <w:r w:rsidRPr="002B49F2" w:rsidR="00253265">
        <w:t xml:space="preserve"> 9,378,600)</w:t>
      </w:r>
      <w:r w:rsidRPr="002B49F2" w:rsidR="006F58AA">
        <w:t>.</w:t>
      </w:r>
    </w:p>
    <w:p w:rsidR="00714B88" w:rsidRPr="002B49F2" w:rsidP="00F04C52" w14:paraId="593AFC70" w14:textId="007FC751">
      <w:pPr>
        <w:pStyle w:val="BodyText"/>
        <w:kinsoku w:val="0"/>
        <w:overflowPunct w:val="0"/>
        <w:ind w:left="360" w:hanging="360"/>
      </w:pPr>
    </w:p>
    <w:p w:rsidR="00942941" w:rsidRPr="002B49F2" w:rsidP="00F04C52" w14:paraId="32EDD289" w14:textId="36CBC68C">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 xml:space="preserve">Reasons for Change in </w:t>
      </w:r>
      <w:r w:rsidRPr="002B49F2" w:rsidR="006526C3">
        <w:rPr>
          <w:rFonts w:ascii="Arial" w:hAnsi="Arial" w:cs="Arial"/>
          <w:sz w:val="22"/>
          <w:szCs w:val="22"/>
          <w:u w:val="single"/>
        </w:rPr>
        <w:t>Burden</w:t>
      </w:r>
    </w:p>
    <w:p w:rsidR="00CD174A" w:rsidRPr="002B49F2" w:rsidP="00F04C52" w14:paraId="5CAE2F77" w14:textId="77777777">
      <w:pPr>
        <w:pStyle w:val="BodyText"/>
        <w:keepNext/>
        <w:kinsoku w:val="0"/>
        <w:overflowPunct w:val="0"/>
        <w:ind w:left="360" w:hanging="360"/>
      </w:pPr>
    </w:p>
    <w:p w:rsidR="003269BA" w:rsidRPr="002B49F2" w:rsidP="00B67A2D" w14:paraId="696EE075" w14:textId="5244A376">
      <w:pPr>
        <w:pStyle w:val="BodyText"/>
        <w:kinsoku w:val="0"/>
        <w:overflowPunct w:val="0"/>
        <w:ind w:left="360"/>
      </w:pPr>
      <w:r w:rsidRPr="002B49F2">
        <w:t xml:space="preserve">The </w:t>
      </w:r>
      <w:r w:rsidRPr="002B49F2" w:rsidR="000235F0">
        <w:t xml:space="preserve">proposed rule would increase the burden for this information collection from </w:t>
      </w:r>
      <w:r w:rsidRPr="002B49F2" w:rsidR="00693A37">
        <w:t>68,933</w:t>
      </w:r>
      <w:r w:rsidRPr="002B49F2" w:rsidR="000235F0">
        <w:t xml:space="preserve"> to </w:t>
      </w:r>
      <w:r w:rsidRPr="002B49F2" w:rsidR="002B4910">
        <w:t>140,000</w:t>
      </w:r>
      <w:r w:rsidRPr="002B49F2" w:rsidR="000235F0">
        <w:t xml:space="preserve">, an increase of </w:t>
      </w:r>
      <w:r w:rsidRPr="002B49F2" w:rsidR="00730631">
        <w:t>71,067 hours</w:t>
      </w:r>
      <w:r w:rsidRPr="002B49F2" w:rsidR="0072093A">
        <w:t xml:space="preserve">. </w:t>
      </w:r>
      <w:r w:rsidRPr="002B49F2" w:rsidR="00737692">
        <w:t xml:space="preserve"> The number of responses to the Part 51 information collection would increase from </w:t>
      </w:r>
      <w:r w:rsidRPr="002B49F2" w:rsidR="00BC6618">
        <w:t>19</w:t>
      </w:r>
      <w:r w:rsidRPr="002B49F2" w:rsidR="00737692">
        <w:t xml:space="preserve"> to </w:t>
      </w:r>
      <w:r w:rsidRPr="002B49F2" w:rsidR="00487FDE">
        <w:t>27</w:t>
      </w:r>
      <w:r w:rsidRPr="002B49F2" w:rsidR="00273A1B">
        <w:t>.3</w:t>
      </w:r>
      <w:r w:rsidRPr="002B49F2" w:rsidR="00737692">
        <w:t xml:space="preserve">, an increase of </w:t>
      </w:r>
      <w:r w:rsidRPr="002B49F2" w:rsidR="00273A1B">
        <w:t>8.3</w:t>
      </w:r>
      <w:r w:rsidRPr="002B49F2" w:rsidR="00737692">
        <w:t xml:space="preserve"> responses. </w:t>
      </w:r>
      <w:r w:rsidRPr="002B49F2">
        <w:t>The</w:t>
      </w:r>
      <w:r w:rsidRPr="002B49F2" w:rsidR="00E26C47">
        <w:t> </w:t>
      </w:r>
      <w:r w:rsidRPr="002B49F2" w:rsidR="00417EBB">
        <w:t xml:space="preserve">information collection burden </w:t>
      </w:r>
      <w:r w:rsidRPr="002B49F2">
        <w:t xml:space="preserve">increase </w:t>
      </w:r>
      <w:r w:rsidRPr="002B49F2" w:rsidR="00417EBB">
        <w:t>for applicants for renewal of nuclear power plant operating licenses is primarily driven by the changing landscape in the industry and</w:t>
      </w:r>
      <w:r w:rsidRPr="002B49F2" w:rsidR="00740C37">
        <w:t xml:space="preserve"> the</w:t>
      </w:r>
      <w:r w:rsidRPr="002B49F2" w:rsidR="00081FC4">
        <w:t> </w:t>
      </w:r>
      <w:r w:rsidRPr="002B49F2" w:rsidR="00740C37">
        <w:t xml:space="preserve">revised estimates for the number of respondents to </w:t>
      </w:r>
      <w:r w:rsidRPr="002B49F2" w:rsidR="00AD04ED">
        <w:t>this</w:t>
      </w:r>
      <w:r w:rsidRPr="002B49F2" w:rsidR="00740C37">
        <w:t xml:space="preserve"> information </w:t>
      </w:r>
      <w:r w:rsidRPr="002B49F2" w:rsidR="00AD04ED">
        <w:t>collection</w:t>
      </w:r>
      <w:r w:rsidRPr="002B49F2" w:rsidR="00081FC4">
        <w:t xml:space="preserve">. </w:t>
      </w:r>
      <w:r w:rsidRPr="002B49F2" w:rsidR="006B6FAF">
        <w:t>T</w:t>
      </w:r>
      <w:r w:rsidRPr="002B49F2" w:rsidR="00B31F29">
        <w:t>he NRC staff expects that there w</w:t>
      </w:r>
      <w:r w:rsidRPr="002B49F2" w:rsidR="001F6F59">
        <w:t>i</w:t>
      </w:r>
      <w:r w:rsidRPr="002B49F2" w:rsidR="00B31F29">
        <w:t xml:space="preserve">ll be no applications for initial </w:t>
      </w:r>
      <w:r w:rsidRPr="002B49F2" w:rsidR="0077667D">
        <w:t>LR</w:t>
      </w:r>
      <w:r w:rsidRPr="002B49F2" w:rsidR="001F6F59">
        <w:t>s</w:t>
      </w:r>
      <w:r w:rsidRPr="002B49F2" w:rsidR="00B31F29">
        <w:t xml:space="preserve"> received during </w:t>
      </w:r>
      <w:r w:rsidRPr="002B49F2" w:rsidR="003035AE">
        <w:t>this</w:t>
      </w:r>
      <w:r w:rsidRPr="002B49F2" w:rsidR="00B31F29">
        <w:t xml:space="preserve"> period</w:t>
      </w:r>
      <w:r w:rsidRPr="002B49F2" w:rsidR="00D63345">
        <w:t xml:space="preserve">, increases to the burden imposed on these </w:t>
      </w:r>
      <w:r w:rsidRPr="002B49F2" w:rsidR="00CE2C9E">
        <w:t>applicants</w:t>
      </w:r>
      <w:r w:rsidRPr="002B49F2" w:rsidR="00D63345">
        <w:t xml:space="preserve"> </w:t>
      </w:r>
      <w:r w:rsidRPr="002B49F2" w:rsidR="00F14851">
        <w:t>will be included in the next renewal of the Part 51 clearance.</w:t>
      </w:r>
    </w:p>
    <w:p w:rsidR="003269BA" w:rsidRPr="002B49F2" w:rsidP="00B67A2D" w14:paraId="3FA107A7" w14:textId="77777777">
      <w:pPr>
        <w:pStyle w:val="BodyText"/>
        <w:kinsoku w:val="0"/>
        <w:overflowPunct w:val="0"/>
        <w:ind w:left="360"/>
      </w:pPr>
    </w:p>
    <w:p w:rsidR="007579F6" w:rsidRPr="002B49F2" w:rsidP="00C43EB2" w14:paraId="353878B3" w14:textId="6DB19CE1">
      <w:pPr>
        <w:pStyle w:val="BodyText"/>
        <w:widowControl/>
        <w:kinsoku w:val="0"/>
        <w:overflowPunct w:val="0"/>
        <w:ind w:left="360"/>
      </w:pPr>
      <w:r w:rsidRPr="002B49F2">
        <w:t xml:space="preserve">The current OMB clearance for 10 CFR Part 51 </w:t>
      </w:r>
      <w:r w:rsidRPr="002B49F2" w:rsidR="00D915AC">
        <w:t xml:space="preserve">estimates </w:t>
      </w:r>
      <w:r w:rsidRPr="002B49F2">
        <w:t xml:space="preserve">the industry burden </w:t>
      </w:r>
      <w:r w:rsidRPr="002B49F2" w:rsidR="001F4AF8">
        <w:t xml:space="preserve">for </w:t>
      </w:r>
      <w:r w:rsidRPr="002B49F2">
        <w:t xml:space="preserve">license renewal applications based </w:t>
      </w:r>
      <w:r w:rsidRPr="002B49F2" w:rsidR="00D915AC">
        <w:t>the expected submission of</w:t>
      </w:r>
      <w:r w:rsidRPr="002B49F2" w:rsidR="00A140E2">
        <w:t xml:space="preserve"> </w:t>
      </w:r>
      <w:r w:rsidRPr="002B49F2" w:rsidR="00340A9C">
        <w:t>SLR</w:t>
      </w:r>
      <w:r w:rsidRPr="002B49F2" w:rsidR="000469DC">
        <w:t xml:space="preserve"> </w:t>
      </w:r>
      <w:r w:rsidRPr="002B49F2" w:rsidR="00D915AC">
        <w:t xml:space="preserve">application </w:t>
      </w:r>
      <w:r w:rsidRPr="002B49F2" w:rsidR="000469DC">
        <w:t xml:space="preserve">during 2023-2024. Therefore, the NRC staff estimated that 3 </w:t>
      </w:r>
      <w:r w:rsidRPr="002B49F2">
        <w:t>license renewal applications</w:t>
      </w:r>
      <w:r w:rsidRPr="002B49F2" w:rsidR="000469DC">
        <w:t xml:space="preserve"> w</w:t>
      </w:r>
      <w:r w:rsidRPr="002B49F2" w:rsidR="00EC76FC">
        <w:t>ould</w:t>
      </w:r>
      <w:r w:rsidRPr="002B49F2" w:rsidR="000469DC">
        <w:t xml:space="preserve"> be received</w:t>
      </w:r>
      <w:r w:rsidRPr="002B49F2">
        <w:t xml:space="preserve"> during the </w:t>
      </w:r>
      <w:r w:rsidRPr="002B49F2" w:rsidR="005C3311">
        <w:t xml:space="preserve">current </w:t>
      </w:r>
      <w:r w:rsidRPr="002B49F2">
        <w:t xml:space="preserve">clearance period or 1 application annually, on average. </w:t>
      </w:r>
      <w:r w:rsidRPr="002B49F2" w:rsidR="00AA2002">
        <w:t xml:space="preserve">The NRC staff calculated the industry burden per response to be 12,300 hours, or $3,542,400 at a labor rate of $288/hour. </w:t>
      </w:r>
      <w:r w:rsidRPr="002B49F2">
        <w:t>This estimate was based on the</w:t>
      </w:r>
      <w:r w:rsidRPr="002B49F2" w:rsidR="00E41A34">
        <w:t> </w:t>
      </w:r>
      <w:r w:rsidRPr="002B49F2">
        <w:t>best available information at the time of the</w:t>
      </w:r>
      <w:r w:rsidRPr="002B49F2">
        <w:t> </w:t>
      </w:r>
      <w:r w:rsidRPr="002B49F2" w:rsidR="00757D8F">
        <w:t>submission of the clearance renewal in April 2022.</w:t>
      </w:r>
    </w:p>
    <w:p w:rsidR="007579F6" w:rsidRPr="002B49F2" w:rsidP="00B67A2D" w14:paraId="15A451B6" w14:textId="77777777">
      <w:pPr>
        <w:pStyle w:val="BodyText"/>
        <w:kinsoku w:val="0"/>
        <w:overflowPunct w:val="0"/>
        <w:ind w:left="360"/>
      </w:pPr>
    </w:p>
    <w:p w:rsidR="00B67A2D" w:rsidRPr="002B49F2" w:rsidP="00B67A2D" w14:paraId="28FEDADD" w14:textId="1BC6213C">
      <w:pPr>
        <w:pStyle w:val="BodyText"/>
        <w:kinsoku w:val="0"/>
        <w:overflowPunct w:val="0"/>
        <w:ind w:left="360"/>
      </w:pPr>
      <w:r w:rsidRPr="002B49F2">
        <w:t>For the proposed rule, t</w:t>
      </w:r>
      <w:r w:rsidRPr="002B49F2">
        <w:t xml:space="preserve">he NRC </w:t>
      </w:r>
      <w:r w:rsidRPr="002B49F2" w:rsidR="003151C5">
        <w:t xml:space="preserve">staff </w:t>
      </w:r>
      <w:r w:rsidRPr="002B49F2">
        <w:t xml:space="preserve">revised </w:t>
      </w:r>
      <w:r w:rsidRPr="002B49F2" w:rsidR="00E6133B">
        <w:t xml:space="preserve">the estimated number of respondents to </w:t>
      </w:r>
      <w:r w:rsidRPr="002B49F2" w:rsidR="00F757A9">
        <w:t>reflect the latest information known by the NRC on future SLR applications. The NRC now expects that</w:t>
      </w:r>
      <w:r w:rsidRPr="002B49F2" w:rsidR="00E6133B">
        <w:t xml:space="preserve"> </w:t>
      </w:r>
      <w:r w:rsidRPr="002B49F2" w:rsidR="00BE0063">
        <w:t xml:space="preserve">there will be </w:t>
      </w:r>
      <w:r w:rsidRPr="002B49F2" w:rsidR="008A0F7A">
        <w:t>1</w:t>
      </w:r>
      <w:r w:rsidRPr="002B49F2" w:rsidR="00FD6ACE">
        <w:t>5</w:t>
      </w:r>
      <w:r w:rsidRPr="002B49F2" w:rsidR="008A0F7A">
        <w:t xml:space="preserve"> future </w:t>
      </w:r>
      <w:r w:rsidRPr="002B49F2" w:rsidR="00340A9C">
        <w:t>SLR</w:t>
      </w:r>
      <w:r w:rsidRPr="002B49F2" w:rsidR="008A0F7A">
        <w:t xml:space="preserve"> applications (all submitted after the effective date of the final rule) and 10</w:t>
      </w:r>
      <w:r w:rsidRPr="002B49F2" w:rsidR="00EA5A24">
        <w:t> </w:t>
      </w:r>
      <w:r w:rsidRPr="002B49F2" w:rsidR="008A0F7A">
        <w:t>near-term</w:t>
      </w:r>
      <w:r w:rsidRPr="002B49F2" w:rsidR="007205AC">
        <w:t xml:space="preserve"> and</w:t>
      </w:r>
      <w:r w:rsidRPr="002B49F2" w:rsidR="008A0F7A">
        <w:t xml:space="preserve"> submitted </w:t>
      </w:r>
      <w:r w:rsidRPr="002B49F2" w:rsidR="00DB5F93">
        <w:t>applications</w:t>
      </w:r>
      <w:r w:rsidRPr="002B49F2" w:rsidR="002B14B1">
        <w:t>, and issued SLRs</w:t>
      </w:r>
      <w:r w:rsidRPr="002B49F2" w:rsidR="00DB5F93">
        <w:t>.</w:t>
      </w:r>
      <w:r w:rsidRPr="002B49F2" w:rsidR="008C7DAC">
        <w:t xml:space="preserve"> </w:t>
      </w:r>
      <w:r w:rsidRPr="002B49F2" w:rsidR="003151C5">
        <w:t>Therefore, the NRC staff concluded that the 1</w:t>
      </w:r>
      <w:r w:rsidRPr="002B49F2" w:rsidR="00FD6ACE">
        <w:t>5</w:t>
      </w:r>
      <w:r w:rsidRPr="002B49F2" w:rsidR="003151C5">
        <w:t xml:space="preserve"> future </w:t>
      </w:r>
      <w:r w:rsidRPr="002B49F2" w:rsidR="00340A9C">
        <w:t>SLR</w:t>
      </w:r>
      <w:r w:rsidRPr="002B49F2" w:rsidR="003151C5">
        <w:t xml:space="preserve"> applications were not previously included </w:t>
      </w:r>
      <w:r w:rsidRPr="002B49F2" w:rsidR="0007797D">
        <w:t>in the</w:t>
      </w:r>
      <w:r w:rsidRPr="002B49F2" w:rsidR="00F40C3E">
        <w:t> </w:t>
      </w:r>
      <w:r w:rsidRPr="002B49F2" w:rsidR="0007797D">
        <w:t>estimated burden associated with information collections for license renewal applications</w:t>
      </w:r>
      <w:r w:rsidRPr="002B49F2" w:rsidR="00617C55">
        <w:t xml:space="preserve">. The increase in burden is divided between the future </w:t>
      </w:r>
      <w:r w:rsidRPr="002B49F2" w:rsidR="00340A9C">
        <w:t>SLR</w:t>
      </w:r>
      <w:r w:rsidRPr="002B49F2" w:rsidR="00617C55">
        <w:t xml:space="preserve"> applicants and licensees with near-term</w:t>
      </w:r>
      <w:r w:rsidRPr="002B49F2" w:rsidR="00156703">
        <w:t xml:space="preserve"> and</w:t>
      </w:r>
      <w:r w:rsidRPr="002B49F2" w:rsidR="00617C55">
        <w:t xml:space="preserve"> submitted</w:t>
      </w:r>
      <w:r w:rsidRPr="002B49F2" w:rsidR="00156703">
        <w:t xml:space="preserve"> applications</w:t>
      </w:r>
      <w:r w:rsidRPr="002B49F2" w:rsidR="00617C55">
        <w:t xml:space="preserve">, </w:t>
      </w:r>
      <w:r w:rsidRPr="002B49F2" w:rsidR="00156703">
        <w:t>and</w:t>
      </w:r>
      <w:r w:rsidRPr="002B49F2" w:rsidR="00617C55">
        <w:t xml:space="preserve"> </w:t>
      </w:r>
      <w:r w:rsidRPr="002B49F2" w:rsidR="00156703">
        <w:t>issued</w:t>
      </w:r>
      <w:r w:rsidRPr="002B49F2" w:rsidR="00617C55">
        <w:t xml:space="preserve"> </w:t>
      </w:r>
      <w:r w:rsidRPr="002B49F2" w:rsidR="00156703">
        <w:t>SLRs</w:t>
      </w:r>
      <w:r w:rsidRPr="002B49F2" w:rsidR="00617C55">
        <w:t xml:space="preserve"> as follows:</w:t>
      </w:r>
    </w:p>
    <w:p w:rsidR="00B67A2D" w:rsidRPr="002B49F2" w:rsidP="00B67A2D" w14:paraId="59053246" w14:textId="77777777">
      <w:pPr>
        <w:pStyle w:val="BodyText"/>
        <w:kinsoku w:val="0"/>
        <w:overflowPunct w:val="0"/>
        <w:ind w:left="360"/>
      </w:pPr>
    </w:p>
    <w:p w:rsidR="00B67A2D" w:rsidRPr="002B49F2" w:rsidP="00B31F29" w14:paraId="2D764FD9" w14:textId="3FEFE917">
      <w:pPr>
        <w:pStyle w:val="BodyText"/>
        <w:widowControl/>
        <w:numPr>
          <w:ilvl w:val="0"/>
          <w:numId w:val="21"/>
        </w:numPr>
        <w:kinsoku w:val="0"/>
        <w:overflowPunct w:val="0"/>
      </w:pPr>
      <w:r w:rsidRPr="002B49F2">
        <w:t xml:space="preserve">For future </w:t>
      </w:r>
      <w:r w:rsidRPr="002B49F2" w:rsidR="00340A9C">
        <w:t>SLR</w:t>
      </w:r>
      <w:r w:rsidRPr="002B49F2">
        <w:t xml:space="preserve"> applicants, the estimated burden of </w:t>
      </w:r>
      <w:r w:rsidRPr="002B49F2" w:rsidR="00FD6ACE">
        <w:t>64,695</w:t>
      </w:r>
      <w:r w:rsidRPr="002B49F2" w:rsidR="00EA5A24">
        <w:t> </w:t>
      </w:r>
      <w:r w:rsidRPr="002B49F2">
        <w:t xml:space="preserve">hours for reporting (annualized) represents the </w:t>
      </w:r>
      <w:r w:rsidRPr="002B49F2" w:rsidR="00D167DC">
        <w:t>total burden for the</w:t>
      </w:r>
      <w:r w:rsidRPr="002B49F2" w:rsidR="00617C55">
        <w:t> </w:t>
      </w:r>
      <w:r w:rsidRPr="002B49F2" w:rsidR="00D167DC">
        <w:t xml:space="preserve">licensees to prepare and submit </w:t>
      </w:r>
      <w:r w:rsidRPr="002B49F2" w:rsidR="004D3310">
        <w:t>an</w:t>
      </w:r>
      <w:r w:rsidRPr="002B49F2" w:rsidR="0053749B">
        <w:t> </w:t>
      </w:r>
      <w:r w:rsidRPr="002B49F2" w:rsidR="004D3310">
        <w:t>environmental report as required in 10 CFR 51.53(c)</w:t>
      </w:r>
      <w:r w:rsidRPr="002B49F2" w:rsidR="00D86ACA">
        <w:t xml:space="preserve"> and evaluating all issues described in the revised Table B-1.</w:t>
      </w:r>
      <w:r w:rsidRPr="002B49F2" w:rsidR="007E797A">
        <w:t xml:space="preserve"> </w:t>
      </w:r>
      <w:r w:rsidRPr="002B49F2" w:rsidR="00B60C73">
        <w:t xml:space="preserve">When divided by </w:t>
      </w:r>
      <w:r w:rsidRPr="002B49F2" w:rsidR="005820DF">
        <w:t>5</w:t>
      </w:r>
      <w:r w:rsidRPr="002B49F2" w:rsidR="00B60C73">
        <w:t xml:space="preserve"> responses</w:t>
      </w:r>
      <w:r w:rsidRPr="002B49F2" w:rsidR="005820DF">
        <w:t xml:space="preserve"> per year on average</w:t>
      </w:r>
      <w:r w:rsidRPr="002B49F2" w:rsidR="00B60C73">
        <w:t xml:space="preserve">, this burden </w:t>
      </w:r>
      <w:r w:rsidRPr="002B49F2" w:rsidR="007E797A">
        <w:t xml:space="preserve">represents an estimated </w:t>
      </w:r>
      <w:r w:rsidRPr="002B49F2" w:rsidR="0039564A">
        <w:t>12,939</w:t>
      </w:r>
      <w:r w:rsidRPr="002B49F2" w:rsidR="005820DF">
        <w:t> </w:t>
      </w:r>
      <w:r w:rsidRPr="002B49F2" w:rsidR="0039564A">
        <w:t>hours per respondent. In the</w:t>
      </w:r>
      <w:r w:rsidRPr="002B49F2" w:rsidR="0053749B">
        <w:t> </w:t>
      </w:r>
      <w:r w:rsidRPr="002B49F2" w:rsidR="0039564A">
        <w:t xml:space="preserve">current information collections clearance for </w:t>
      </w:r>
      <w:r w:rsidRPr="002B49F2" w:rsidR="00604C0D">
        <w:t>10</w:t>
      </w:r>
      <w:r w:rsidRPr="002B49F2" w:rsidR="005820DF">
        <w:t> </w:t>
      </w:r>
      <w:r w:rsidRPr="002B49F2" w:rsidR="00604C0D">
        <w:t xml:space="preserve">CFR </w:t>
      </w:r>
      <w:r w:rsidRPr="002B49F2" w:rsidR="0039564A">
        <w:t>Part 51</w:t>
      </w:r>
      <w:r w:rsidRPr="002B49F2" w:rsidR="00604C0D">
        <w:t xml:space="preserve">, the estimated burden for </w:t>
      </w:r>
      <w:r w:rsidRPr="002B49F2" w:rsidR="00B60C73">
        <w:t>license renewal applications is</w:t>
      </w:r>
      <w:r w:rsidRPr="002B49F2" w:rsidR="00FC4E3A">
        <w:t xml:space="preserve"> </w:t>
      </w:r>
      <w:r w:rsidRPr="002B49F2" w:rsidR="00FF4CB1">
        <w:t>12,300</w:t>
      </w:r>
      <w:r w:rsidRPr="002B49F2" w:rsidR="005820DF">
        <w:t> </w:t>
      </w:r>
      <w:r w:rsidRPr="002B49F2" w:rsidR="00FF4CB1">
        <w:t>hours per response. Therefore, the</w:t>
      </w:r>
      <w:r w:rsidRPr="002B49F2" w:rsidR="00DE0D0E">
        <w:t> </w:t>
      </w:r>
      <w:r w:rsidRPr="002B49F2" w:rsidR="0020312D">
        <w:t>incremental change is burden is 639</w:t>
      </w:r>
      <w:r w:rsidRPr="002B49F2" w:rsidR="005820DF">
        <w:t> </w:t>
      </w:r>
      <w:r w:rsidRPr="002B49F2" w:rsidR="0020312D">
        <w:t xml:space="preserve">hours per application for a future </w:t>
      </w:r>
      <w:r w:rsidRPr="002B49F2" w:rsidR="00340A9C">
        <w:t>SLR</w:t>
      </w:r>
      <w:r w:rsidRPr="002B49F2" w:rsidR="0020312D">
        <w:t>.</w:t>
      </w:r>
    </w:p>
    <w:p w:rsidR="00DF01ED" w:rsidRPr="002B49F2" w:rsidP="00775A94" w14:paraId="71AB2511" w14:textId="77777777">
      <w:pPr>
        <w:pStyle w:val="BodyText"/>
        <w:kinsoku w:val="0"/>
        <w:overflowPunct w:val="0"/>
        <w:ind w:left="360"/>
      </w:pPr>
    </w:p>
    <w:p w:rsidR="00B67A2D" w:rsidRPr="002B49F2" w:rsidP="00B31F29" w14:paraId="42CEB7CE" w14:textId="29DCEEE9">
      <w:pPr>
        <w:pStyle w:val="BodyText"/>
        <w:numPr>
          <w:ilvl w:val="0"/>
          <w:numId w:val="21"/>
        </w:numPr>
        <w:kinsoku w:val="0"/>
        <w:overflowPunct w:val="0"/>
      </w:pPr>
      <w:r w:rsidRPr="002B49F2">
        <w:t>For licensees with near-term</w:t>
      </w:r>
      <w:r w:rsidRPr="002B49F2" w:rsidR="00156703">
        <w:t xml:space="preserve"> and</w:t>
      </w:r>
      <w:r w:rsidRPr="002B49F2">
        <w:t xml:space="preserve"> submitted</w:t>
      </w:r>
      <w:r w:rsidRPr="002B49F2" w:rsidR="00156703">
        <w:t xml:space="preserve"> applications</w:t>
      </w:r>
      <w:r w:rsidRPr="002B49F2">
        <w:t xml:space="preserve">, </w:t>
      </w:r>
      <w:r w:rsidRPr="002B49F2" w:rsidR="00156703">
        <w:t>and</w:t>
      </w:r>
      <w:r w:rsidRPr="002B49F2">
        <w:t xml:space="preserve"> </w:t>
      </w:r>
      <w:r w:rsidRPr="002B49F2" w:rsidR="00156703">
        <w:t>issued</w:t>
      </w:r>
      <w:r w:rsidRPr="002B49F2">
        <w:t xml:space="preserve"> </w:t>
      </w:r>
      <w:r w:rsidRPr="002B49F2" w:rsidR="00156703">
        <w:t>SLRs</w:t>
      </w:r>
      <w:r w:rsidRPr="002B49F2">
        <w:t xml:space="preserve">, the estimated </w:t>
      </w:r>
      <w:r w:rsidRPr="002B49F2" w:rsidR="007B49EE">
        <w:t xml:space="preserve">total annual </w:t>
      </w:r>
      <w:r w:rsidRPr="002B49F2">
        <w:t xml:space="preserve">burden of </w:t>
      </w:r>
      <w:r w:rsidRPr="002B49F2" w:rsidR="00912236">
        <w:t>6,372</w:t>
      </w:r>
      <w:r w:rsidRPr="002B49F2">
        <w:t xml:space="preserve"> hours for one-time reporting represents an increase in reporting requirements </w:t>
      </w:r>
      <w:r w:rsidRPr="002B49F2" w:rsidR="00164DEC">
        <w:t>to include additional information</w:t>
      </w:r>
      <w:r w:rsidRPr="002B49F2">
        <w:t xml:space="preserve"> in the</w:t>
      </w:r>
      <w:r w:rsidRPr="002B49F2" w:rsidR="00DB1E37">
        <w:t> </w:t>
      </w:r>
      <w:r w:rsidRPr="002B49F2">
        <w:t>applicant’s supplemental submittal to address changes made to Table B-1 (e.g.,</w:t>
      </w:r>
      <w:r w:rsidRPr="002B49F2" w:rsidR="00DB1E37">
        <w:t> </w:t>
      </w:r>
      <w:r w:rsidRPr="002B49F2">
        <w:t>new Category 1 and 2 issues, consolidation of Category 1 issues into Category 2 issues, and dividing an existing Category 2 issue into multiple Category 2 issues).</w:t>
      </w:r>
      <w:r w:rsidRPr="002B49F2" w:rsidR="005820DF">
        <w:t xml:space="preserve"> When divided by </w:t>
      </w:r>
      <w:r w:rsidRPr="002B49F2" w:rsidR="0062054F">
        <w:t xml:space="preserve">3.3 responses per year on average, this </w:t>
      </w:r>
      <w:r w:rsidRPr="002B49F2" w:rsidR="006A027E">
        <w:t>burden represents an</w:t>
      </w:r>
      <w:r w:rsidRPr="002B49F2" w:rsidR="00DB1E37">
        <w:t> </w:t>
      </w:r>
      <w:r w:rsidRPr="002B49F2" w:rsidR="006A027E">
        <w:t xml:space="preserve">estimated </w:t>
      </w:r>
      <w:r w:rsidRPr="002B49F2" w:rsidR="00912236">
        <w:t>1,931</w:t>
      </w:r>
      <w:r w:rsidRPr="002B49F2" w:rsidR="006A027E">
        <w:t xml:space="preserve"> hours </w:t>
      </w:r>
      <w:r w:rsidRPr="002B49F2" w:rsidR="00345826">
        <w:t>per near-term</w:t>
      </w:r>
      <w:r w:rsidRPr="002B49F2" w:rsidR="00156703">
        <w:t xml:space="preserve"> and</w:t>
      </w:r>
      <w:r w:rsidRPr="002B49F2" w:rsidR="00345826">
        <w:t xml:space="preserve"> submitted</w:t>
      </w:r>
      <w:r w:rsidRPr="002B49F2" w:rsidR="00156703">
        <w:t xml:space="preserve"> applications</w:t>
      </w:r>
      <w:r w:rsidRPr="002B49F2" w:rsidR="00345826">
        <w:t xml:space="preserve">, </w:t>
      </w:r>
      <w:r w:rsidRPr="002B49F2" w:rsidR="00156703">
        <w:t>and</w:t>
      </w:r>
      <w:r w:rsidRPr="002B49F2" w:rsidR="00345826">
        <w:t xml:space="preserve"> </w:t>
      </w:r>
      <w:r w:rsidRPr="002B49F2" w:rsidR="00156703">
        <w:t>issued SLRs</w:t>
      </w:r>
      <w:r w:rsidRPr="002B49F2" w:rsidR="00345826">
        <w:t>.</w:t>
      </w:r>
    </w:p>
    <w:p w:rsidR="00942941" w:rsidRPr="002B49F2" w:rsidP="00F04C52" w14:paraId="51D18FB5" w14:textId="77777777">
      <w:pPr>
        <w:pStyle w:val="BodyText"/>
        <w:kinsoku w:val="0"/>
        <w:overflowPunct w:val="0"/>
        <w:ind w:left="360" w:hanging="360"/>
      </w:pPr>
    </w:p>
    <w:p w:rsidR="00942941" w:rsidRPr="002B49F2" w:rsidP="00F04C52" w14:paraId="6F82F55B"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Publication for Statistical Use</w:t>
      </w:r>
    </w:p>
    <w:p w:rsidR="00942941" w:rsidRPr="002B49F2" w:rsidP="00F04C52" w14:paraId="0E0BA5C3" w14:textId="77777777">
      <w:pPr>
        <w:pStyle w:val="BodyText"/>
        <w:keepNext/>
        <w:kinsoku w:val="0"/>
        <w:overflowPunct w:val="0"/>
        <w:ind w:left="360" w:hanging="360"/>
      </w:pPr>
    </w:p>
    <w:p w:rsidR="00942941" w:rsidRPr="002B49F2" w:rsidP="00F04C52" w14:paraId="6FE2ED7F" w14:textId="04D71A64">
      <w:pPr>
        <w:pStyle w:val="BodyText"/>
        <w:kinsoku w:val="0"/>
        <w:overflowPunct w:val="0"/>
        <w:ind w:left="360"/>
      </w:pPr>
      <w:r w:rsidRPr="002B49F2">
        <w:t>None.</w:t>
      </w:r>
    </w:p>
    <w:p w:rsidR="00942941" w:rsidRPr="002B49F2" w:rsidP="00F04C52" w14:paraId="6FBE2229" w14:textId="77777777">
      <w:pPr>
        <w:pStyle w:val="BodyText"/>
        <w:kinsoku w:val="0"/>
        <w:overflowPunct w:val="0"/>
        <w:ind w:left="360" w:hanging="360"/>
      </w:pPr>
    </w:p>
    <w:p w:rsidR="00E369AE" w:rsidRPr="002B49F2" w:rsidP="00F04C52" w14:paraId="6C317701"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Reason for Not Displaying the Expiration Date</w:t>
      </w:r>
    </w:p>
    <w:p w:rsidR="00E369AE" w:rsidRPr="002B49F2" w:rsidP="00F04C52" w14:paraId="40AF41CC" w14:textId="77777777">
      <w:pPr>
        <w:pStyle w:val="BodyText"/>
        <w:keepNext/>
        <w:kinsoku w:val="0"/>
        <w:overflowPunct w:val="0"/>
        <w:ind w:left="360" w:hanging="360"/>
      </w:pPr>
    </w:p>
    <w:p w:rsidR="00123249" w:rsidRPr="002B49F2" w:rsidP="00F04C52" w14:paraId="1E7C0042" w14:textId="3F433800">
      <w:pPr>
        <w:pStyle w:val="BodyText"/>
        <w:kinsoku w:val="0"/>
        <w:overflowPunct w:val="0"/>
        <w:ind w:left="360"/>
      </w:pPr>
      <w:r w:rsidRPr="002B49F2">
        <w:t>The reporting requirements for this information collection are associated with regulations and are not submitted on instruments such as forms or surveys. For this reason, there are no data instruments on which to display an OMB expiration date. Further, amending the</w:t>
      </w:r>
      <w:r w:rsidRPr="002B49F2" w:rsidR="00F175F5">
        <w:t> </w:t>
      </w:r>
      <w:r w:rsidRPr="002B49F2">
        <w:t>regulatory text of the CFR to display information that, in an</w:t>
      </w:r>
      <w:r w:rsidRPr="002B49F2" w:rsidR="00BA7572">
        <w:t> </w:t>
      </w:r>
      <w:r w:rsidRPr="002B49F2">
        <w:t>annual publication, could become obsolete would be unduly burdensome and too difficult to keep current.</w:t>
      </w:r>
    </w:p>
    <w:p w:rsidR="00D67215" w:rsidRPr="002B49F2" w:rsidP="00F04C52" w14:paraId="1622B2F4" w14:textId="77777777">
      <w:pPr>
        <w:pStyle w:val="BodyText"/>
        <w:kinsoku w:val="0"/>
        <w:overflowPunct w:val="0"/>
        <w:ind w:left="360" w:hanging="360"/>
      </w:pPr>
    </w:p>
    <w:p w:rsidR="00942941" w:rsidRPr="002B49F2" w:rsidP="00F04C52" w14:paraId="4C37FF59" w14:textId="77777777">
      <w:pPr>
        <w:pStyle w:val="ListParagraph"/>
        <w:keepNext/>
        <w:numPr>
          <w:ilvl w:val="0"/>
          <w:numId w:val="14"/>
        </w:numPr>
        <w:rPr>
          <w:rFonts w:ascii="Arial" w:hAnsi="Arial" w:cs="Arial"/>
          <w:sz w:val="22"/>
          <w:szCs w:val="22"/>
          <w:u w:val="single"/>
        </w:rPr>
      </w:pPr>
      <w:r w:rsidRPr="002B49F2">
        <w:rPr>
          <w:rFonts w:ascii="Arial" w:hAnsi="Arial" w:cs="Arial"/>
          <w:sz w:val="22"/>
          <w:szCs w:val="22"/>
          <w:u w:val="single"/>
        </w:rPr>
        <w:t>Exceptions to the Certification Statement</w:t>
      </w:r>
    </w:p>
    <w:p w:rsidR="00942941" w:rsidRPr="002B49F2" w:rsidP="00F04C52" w14:paraId="1B4BE8D4" w14:textId="77777777">
      <w:pPr>
        <w:pStyle w:val="BodyText"/>
        <w:keepNext/>
        <w:kinsoku w:val="0"/>
        <w:overflowPunct w:val="0"/>
        <w:ind w:left="360" w:hanging="360"/>
      </w:pPr>
    </w:p>
    <w:p w:rsidR="0054677D" w:rsidRPr="002B49F2" w:rsidP="00F04C52" w14:paraId="4A2FCB48" w14:textId="6D2DABC8">
      <w:pPr>
        <w:pStyle w:val="BodyText"/>
        <w:kinsoku w:val="0"/>
        <w:overflowPunct w:val="0"/>
        <w:ind w:left="360"/>
      </w:pPr>
      <w:r w:rsidRPr="002B49F2">
        <w:t>None</w:t>
      </w:r>
    </w:p>
    <w:p w:rsidR="00942941" w:rsidRPr="002B49F2" w:rsidP="00F04C52" w14:paraId="0C23F9AA" w14:textId="77777777">
      <w:pPr>
        <w:pStyle w:val="BodyText"/>
        <w:kinsoku w:val="0"/>
        <w:overflowPunct w:val="0"/>
        <w:ind w:left="360" w:hanging="360"/>
      </w:pPr>
    </w:p>
    <w:p w:rsidR="00942941" w:rsidRPr="002B49F2" w:rsidP="00F04C52" w14:paraId="720D460E" w14:textId="77777777">
      <w:pPr>
        <w:pStyle w:val="ListParagraph"/>
        <w:keepNext/>
        <w:numPr>
          <w:ilvl w:val="0"/>
          <w:numId w:val="15"/>
        </w:numPr>
        <w:ind w:left="360"/>
        <w:rPr>
          <w:rFonts w:ascii="Arial" w:hAnsi="Arial" w:cs="Arial"/>
          <w:sz w:val="22"/>
          <w:szCs w:val="22"/>
        </w:rPr>
      </w:pPr>
      <w:r w:rsidRPr="002B49F2">
        <w:rPr>
          <w:rFonts w:ascii="Arial" w:hAnsi="Arial" w:cs="Arial"/>
          <w:sz w:val="22"/>
          <w:szCs w:val="22"/>
        </w:rPr>
        <w:t>COLLECTIONS OF INFORMATION EMPLOYING STATISTICAL METHODS</w:t>
      </w:r>
    </w:p>
    <w:p w:rsidR="00942941" w:rsidRPr="002B49F2" w:rsidP="00F04C52" w14:paraId="02458B43" w14:textId="77777777">
      <w:pPr>
        <w:pStyle w:val="BodyText"/>
        <w:keepNext/>
        <w:kinsoku w:val="0"/>
        <w:overflowPunct w:val="0"/>
        <w:ind w:left="360" w:hanging="360"/>
      </w:pPr>
    </w:p>
    <w:p w:rsidR="00942941" w:rsidRPr="002B49F2" w:rsidP="00F04C52" w14:paraId="40FC4CB3" w14:textId="77777777">
      <w:pPr>
        <w:pStyle w:val="BodyText"/>
        <w:keepNext/>
        <w:kinsoku w:val="0"/>
        <w:overflowPunct w:val="0"/>
        <w:ind w:left="360"/>
      </w:pPr>
      <w:r w:rsidRPr="002B49F2">
        <w:t>Not applicable.</w:t>
      </w:r>
    </w:p>
    <w:p w:rsidR="00C76AB5" w:rsidRPr="002B49F2" w:rsidP="00F04C52" w14:paraId="644EDF80" w14:textId="13502D3F">
      <w:pPr>
        <w:ind w:left="360" w:hanging="360"/>
        <w:rPr>
          <w:rFonts w:ascii="Arial" w:hAnsi="Arial" w:cs="Arial"/>
          <w:sz w:val="22"/>
          <w:szCs w:val="22"/>
        </w:rPr>
      </w:pPr>
    </w:p>
    <w:p w:rsidR="007B4C4E" w:rsidRPr="002B49F2" w14:paraId="779A8357" w14:textId="77777777">
      <w:pPr>
        <w:widowControl/>
        <w:autoSpaceDE/>
        <w:autoSpaceDN/>
        <w:adjustRightInd/>
        <w:spacing w:after="160" w:line="259" w:lineRule="auto"/>
        <w:rPr>
          <w:rFonts w:ascii="Arial" w:hAnsi="Arial" w:cs="Arial"/>
          <w:sz w:val="22"/>
          <w:szCs w:val="22"/>
        </w:rPr>
        <w:sectPr w:rsidSect="00F97AAC">
          <w:headerReference w:type="even" r:id="rId10"/>
          <w:headerReference w:type="default" r:id="rId11"/>
          <w:pgSz w:w="12240" w:h="15840"/>
          <w:pgMar w:top="1440" w:right="1440" w:bottom="1440" w:left="1440" w:header="0" w:footer="0" w:gutter="0"/>
          <w:cols w:space="720"/>
          <w:noEndnote/>
          <w:docGrid w:linePitch="326"/>
        </w:sectPr>
      </w:pPr>
    </w:p>
    <w:p w:rsidR="00467215" w:rsidRPr="002B49F2" w:rsidP="00467215" w14:paraId="49364AF9" w14:textId="11CAF0BB">
      <w:pPr>
        <w:ind w:left="360" w:hanging="360"/>
        <w:jc w:val="center"/>
        <w:rPr>
          <w:rFonts w:ascii="Arial" w:hAnsi="Arial" w:cs="Arial"/>
          <w:b/>
          <w:bCs/>
          <w:sz w:val="22"/>
          <w:szCs w:val="22"/>
        </w:rPr>
      </w:pPr>
      <w:r w:rsidRPr="002B49F2">
        <w:rPr>
          <w:rFonts w:ascii="Arial" w:hAnsi="Arial" w:cs="Arial"/>
          <w:b/>
          <w:bCs/>
          <w:sz w:val="22"/>
          <w:szCs w:val="22"/>
        </w:rPr>
        <w:t>Table 1</w:t>
      </w:r>
    </w:p>
    <w:p w:rsidR="00467215" w:rsidRPr="002B49F2" w:rsidP="00467215" w14:paraId="42E70C85" w14:textId="27B47BCA">
      <w:pPr>
        <w:ind w:left="360" w:hanging="360"/>
        <w:jc w:val="center"/>
        <w:rPr>
          <w:rFonts w:ascii="Arial" w:hAnsi="Arial" w:cs="Arial"/>
          <w:b/>
          <w:bCs/>
          <w:sz w:val="22"/>
          <w:szCs w:val="22"/>
        </w:rPr>
      </w:pPr>
      <w:r w:rsidRPr="002B49F2">
        <w:rPr>
          <w:rFonts w:ascii="Arial" w:hAnsi="Arial" w:cs="Arial"/>
          <w:b/>
          <w:bCs/>
          <w:sz w:val="22"/>
          <w:szCs w:val="22"/>
        </w:rPr>
        <w:t xml:space="preserve">Reporting Burden (Annualized) – Industry – </w:t>
      </w:r>
      <w:r w:rsidRPr="002B49F2" w:rsidR="001D6BEF">
        <w:rPr>
          <w:rFonts w:ascii="Arial" w:hAnsi="Arial" w:cs="Arial"/>
          <w:b/>
          <w:bCs/>
          <w:sz w:val="22"/>
          <w:szCs w:val="22"/>
        </w:rPr>
        <w:t>Future License Renewal Applicants</w:t>
      </w:r>
      <w:r>
        <w:rPr>
          <w:rStyle w:val="FootnoteReference"/>
          <w:rFonts w:ascii="Arial" w:hAnsi="Arial" w:cs="Arial"/>
          <w:b/>
          <w:bCs/>
          <w:sz w:val="22"/>
          <w:szCs w:val="22"/>
        </w:rPr>
        <w:footnoteReference w:id="4"/>
      </w:r>
      <w:r w:rsidRPr="002B49F2" w:rsidR="001D6BEF">
        <w:rPr>
          <w:rFonts w:ascii="Arial" w:hAnsi="Arial" w:cs="Arial"/>
          <w:b/>
          <w:bCs/>
          <w:sz w:val="22"/>
          <w:szCs w:val="22"/>
        </w:rPr>
        <w:t xml:space="preserve"> </w:t>
      </w:r>
      <w:r w:rsidRPr="002B49F2">
        <w:rPr>
          <w:rFonts w:ascii="Arial" w:hAnsi="Arial" w:cs="Arial"/>
          <w:b/>
          <w:bCs/>
          <w:sz w:val="22"/>
          <w:szCs w:val="22"/>
        </w:rPr>
        <w:t>(</w:t>
      </w:r>
      <w:r w:rsidRPr="002B49F2" w:rsidR="00A06C84">
        <w:rPr>
          <w:rFonts w:ascii="Arial" w:hAnsi="Arial" w:cs="Arial"/>
          <w:b/>
          <w:bCs/>
          <w:sz w:val="22"/>
          <w:szCs w:val="22"/>
        </w:rPr>
        <w:t xml:space="preserve">June </w:t>
      </w:r>
      <w:r w:rsidRPr="002B49F2">
        <w:rPr>
          <w:rFonts w:ascii="Arial" w:hAnsi="Arial" w:cs="Arial"/>
          <w:b/>
          <w:bCs/>
          <w:sz w:val="22"/>
          <w:szCs w:val="22"/>
        </w:rPr>
        <w:t xml:space="preserve">2024 – </w:t>
      </w:r>
      <w:r w:rsidRPr="002B49F2" w:rsidR="00A06C84">
        <w:rPr>
          <w:rFonts w:ascii="Arial" w:hAnsi="Arial" w:cs="Arial"/>
          <w:b/>
          <w:bCs/>
          <w:sz w:val="22"/>
          <w:szCs w:val="22"/>
        </w:rPr>
        <w:t xml:space="preserve">May </w:t>
      </w:r>
      <w:r w:rsidRPr="002B49F2">
        <w:rPr>
          <w:rFonts w:ascii="Arial" w:hAnsi="Arial" w:cs="Arial"/>
          <w:b/>
          <w:bCs/>
          <w:sz w:val="22"/>
          <w:szCs w:val="22"/>
        </w:rPr>
        <w:t>202</w:t>
      </w:r>
      <w:r w:rsidRPr="002B49F2" w:rsidR="00A06C84">
        <w:rPr>
          <w:rFonts w:ascii="Arial" w:hAnsi="Arial" w:cs="Arial"/>
          <w:b/>
          <w:bCs/>
          <w:sz w:val="22"/>
          <w:szCs w:val="22"/>
        </w:rPr>
        <w:t>7</w:t>
      </w:r>
      <w:r w:rsidRPr="002B49F2">
        <w:rPr>
          <w:rFonts w:ascii="Arial" w:hAnsi="Arial" w:cs="Arial"/>
          <w:b/>
          <w:bCs/>
          <w:sz w:val="22"/>
          <w:szCs w:val="22"/>
        </w:rPr>
        <w:t>)</w:t>
      </w:r>
      <w:r>
        <w:rPr>
          <w:rStyle w:val="FootnoteReference"/>
          <w:rFonts w:ascii="Arial" w:hAnsi="Arial" w:cs="Arial"/>
          <w:b/>
          <w:bCs/>
          <w:sz w:val="22"/>
          <w:szCs w:val="22"/>
        </w:rPr>
        <w:footnoteReference w:id="5"/>
      </w:r>
    </w:p>
    <w:p w:rsidR="00467215" w:rsidRPr="002B49F2" w:rsidP="00467215" w14:paraId="34D830E5" w14:textId="77777777">
      <w:pPr>
        <w:ind w:left="360" w:hanging="360"/>
        <w:rPr>
          <w:rFonts w:ascii="Arial" w:hAnsi="Arial" w:cs="Arial"/>
          <w:sz w:val="22"/>
          <w:szCs w:val="22"/>
        </w:rPr>
      </w:pPr>
    </w:p>
    <w:tbl>
      <w:tblPr>
        <w:tblStyle w:val="TableGrid"/>
        <w:tblW w:w="13140" w:type="dxa"/>
        <w:tblInd w:w="175" w:type="dxa"/>
        <w:tblLook w:val="04A0"/>
      </w:tblPr>
      <w:tblGrid>
        <w:gridCol w:w="3240"/>
        <w:gridCol w:w="1811"/>
        <w:gridCol w:w="1610"/>
        <w:gridCol w:w="1390"/>
        <w:gridCol w:w="1752"/>
        <w:gridCol w:w="1733"/>
        <w:gridCol w:w="1604"/>
      </w:tblGrid>
      <w:tr w14:paraId="373C519E" w14:textId="77777777" w:rsidTr="00EC06FF">
        <w:tblPrEx>
          <w:tblW w:w="13140" w:type="dxa"/>
          <w:tblInd w:w="175" w:type="dxa"/>
          <w:tblLook w:val="04A0"/>
        </w:tblPrEx>
        <w:tc>
          <w:tcPr>
            <w:tcW w:w="3240" w:type="dxa"/>
            <w:tcBorders>
              <w:bottom w:val="single" w:sz="4" w:space="0" w:color="auto"/>
            </w:tcBorders>
            <w:vAlign w:val="center"/>
          </w:tcPr>
          <w:p w:rsidR="00DA2EB8" w:rsidRPr="002B49F2" w:rsidP="00170715" w14:paraId="64D88E37" w14:textId="77777777">
            <w:pPr>
              <w:jc w:val="center"/>
              <w:rPr>
                <w:rFonts w:ascii="Arial" w:hAnsi="Arial" w:cs="Arial"/>
                <w:b/>
                <w:bCs/>
                <w:sz w:val="22"/>
                <w:szCs w:val="22"/>
              </w:rPr>
            </w:pPr>
            <w:r w:rsidRPr="002B49F2">
              <w:rPr>
                <w:rFonts w:ascii="Arial" w:hAnsi="Arial" w:cs="Arial"/>
                <w:b/>
                <w:bCs/>
                <w:sz w:val="22"/>
                <w:szCs w:val="22"/>
              </w:rPr>
              <w:t>Table B-1 Issues</w:t>
            </w:r>
          </w:p>
        </w:tc>
        <w:tc>
          <w:tcPr>
            <w:tcW w:w="1811" w:type="dxa"/>
            <w:tcBorders>
              <w:bottom w:val="single" w:sz="4" w:space="0" w:color="auto"/>
            </w:tcBorders>
            <w:vAlign w:val="center"/>
          </w:tcPr>
          <w:p w:rsidR="00DA2EB8" w:rsidRPr="002B49F2" w:rsidP="00170715" w14:paraId="62D4C9B1" w14:textId="18FB9ABF">
            <w:pPr>
              <w:jc w:val="center"/>
              <w:rPr>
                <w:rFonts w:ascii="Arial" w:hAnsi="Arial" w:cs="Arial"/>
                <w:b/>
                <w:bCs/>
                <w:sz w:val="22"/>
                <w:szCs w:val="22"/>
              </w:rPr>
            </w:pPr>
            <w:r w:rsidRPr="002B49F2">
              <w:rPr>
                <w:rFonts w:ascii="Arial" w:hAnsi="Arial" w:cs="Arial"/>
                <w:b/>
                <w:bCs/>
                <w:sz w:val="22"/>
                <w:szCs w:val="22"/>
              </w:rPr>
              <w:t xml:space="preserve">Number of </w:t>
            </w:r>
            <w:r w:rsidRPr="002B49F2">
              <w:rPr>
                <w:rFonts w:ascii="Arial" w:hAnsi="Arial" w:cs="Arial"/>
                <w:b/>
                <w:bCs/>
                <w:sz w:val="22"/>
                <w:szCs w:val="22"/>
              </w:rPr>
              <w:t>Respondent</w:t>
            </w:r>
            <w:r w:rsidRPr="002B49F2">
              <w:rPr>
                <w:rFonts w:ascii="Arial" w:hAnsi="Arial" w:cs="Arial"/>
                <w:b/>
                <w:bCs/>
                <w:sz w:val="22"/>
                <w:szCs w:val="22"/>
              </w:rPr>
              <w:t>s</w:t>
            </w:r>
          </w:p>
        </w:tc>
        <w:tc>
          <w:tcPr>
            <w:tcW w:w="1610" w:type="dxa"/>
            <w:tcBorders>
              <w:bottom w:val="single" w:sz="4" w:space="0" w:color="auto"/>
            </w:tcBorders>
            <w:vAlign w:val="center"/>
          </w:tcPr>
          <w:p w:rsidR="00DA2EB8" w:rsidRPr="002B49F2" w:rsidP="0097672E" w14:paraId="1EC6E259" w14:textId="076C4D09">
            <w:pPr>
              <w:jc w:val="center"/>
              <w:rPr>
                <w:rFonts w:ascii="Arial" w:hAnsi="Arial" w:cs="Arial"/>
                <w:b/>
                <w:bCs/>
                <w:sz w:val="22"/>
                <w:szCs w:val="22"/>
              </w:rPr>
            </w:pPr>
            <w:r w:rsidRPr="002B49F2">
              <w:rPr>
                <w:rFonts w:ascii="Arial" w:hAnsi="Arial" w:cs="Arial"/>
                <w:b/>
                <w:bCs/>
                <w:sz w:val="22"/>
                <w:szCs w:val="22"/>
              </w:rPr>
              <w:t>Number of</w:t>
            </w:r>
            <w:r w:rsidRPr="002B49F2" w:rsidR="00546243">
              <w:rPr>
                <w:rFonts w:ascii="Arial" w:hAnsi="Arial" w:cs="Arial"/>
                <w:b/>
                <w:bCs/>
                <w:sz w:val="22"/>
                <w:szCs w:val="22"/>
              </w:rPr>
              <w:t xml:space="preserve"> Issues per</w:t>
            </w:r>
            <w:r w:rsidRPr="002B49F2">
              <w:rPr>
                <w:rFonts w:ascii="Arial" w:hAnsi="Arial" w:cs="Arial"/>
                <w:b/>
                <w:bCs/>
                <w:sz w:val="22"/>
                <w:szCs w:val="22"/>
              </w:rPr>
              <w:t xml:space="preserve"> Respondent</w:t>
            </w:r>
          </w:p>
        </w:tc>
        <w:tc>
          <w:tcPr>
            <w:tcW w:w="1390" w:type="dxa"/>
            <w:tcBorders>
              <w:bottom w:val="single" w:sz="4" w:space="0" w:color="auto"/>
            </w:tcBorders>
            <w:vAlign w:val="center"/>
          </w:tcPr>
          <w:p w:rsidR="00DA2EB8" w:rsidRPr="002B49F2" w:rsidP="00170715" w14:paraId="184A72DB" w14:textId="60D3F5DC">
            <w:pPr>
              <w:jc w:val="center"/>
              <w:rPr>
                <w:rFonts w:ascii="Arial" w:hAnsi="Arial" w:cs="Arial"/>
                <w:b/>
                <w:bCs/>
                <w:sz w:val="22"/>
                <w:szCs w:val="22"/>
              </w:rPr>
            </w:pPr>
            <w:r w:rsidRPr="002B49F2">
              <w:rPr>
                <w:rFonts w:ascii="Arial" w:hAnsi="Arial" w:cs="Arial"/>
                <w:b/>
                <w:bCs/>
                <w:sz w:val="22"/>
                <w:szCs w:val="22"/>
              </w:rPr>
              <w:t xml:space="preserve">Total </w:t>
            </w:r>
            <w:r w:rsidRPr="002B49F2" w:rsidR="00502328">
              <w:rPr>
                <w:rFonts w:ascii="Arial" w:hAnsi="Arial" w:cs="Arial"/>
                <w:b/>
                <w:bCs/>
                <w:sz w:val="22"/>
                <w:szCs w:val="22"/>
              </w:rPr>
              <w:t>Number of Issues</w:t>
            </w:r>
          </w:p>
        </w:tc>
        <w:tc>
          <w:tcPr>
            <w:tcW w:w="1752" w:type="dxa"/>
            <w:tcBorders>
              <w:bottom w:val="single" w:sz="4" w:space="0" w:color="auto"/>
            </w:tcBorders>
            <w:vAlign w:val="center"/>
          </w:tcPr>
          <w:p w:rsidR="00DA2EB8" w:rsidRPr="002B49F2" w:rsidP="00170715" w14:paraId="7B24F014" w14:textId="77777777">
            <w:pPr>
              <w:jc w:val="center"/>
              <w:rPr>
                <w:rFonts w:ascii="Arial" w:hAnsi="Arial" w:cs="Arial"/>
                <w:b/>
                <w:bCs/>
                <w:sz w:val="22"/>
                <w:szCs w:val="22"/>
              </w:rPr>
            </w:pPr>
            <w:r w:rsidRPr="002B49F2">
              <w:rPr>
                <w:rFonts w:ascii="Arial" w:hAnsi="Arial" w:cs="Arial"/>
                <w:b/>
                <w:bCs/>
                <w:sz w:val="22"/>
                <w:szCs w:val="22"/>
              </w:rPr>
              <w:t>Burden Hours per Response</w:t>
            </w:r>
          </w:p>
        </w:tc>
        <w:tc>
          <w:tcPr>
            <w:tcW w:w="1733" w:type="dxa"/>
            <w:tcBorders>
              <w:bottom w:val="single" w:sz="4" w:space="0" w:color="auto"/>
            </w:tcBorders>
            <w:vAlign w:val="center"/>
          </w:tcPr>
          <w:p w:rsidR="00DA2EB8" w:rsidRPr="002B49F2" w:rsidP="00170715" w14:paraId="531B3C21" w14:textId="77777777">
            <w:pPr>
              <w:jc w:val="center"/>
              <w:rPr>
                <w:rFonts w:ascii="Arial" w:hAnsi="Arial" w:cs="Arial"/>
                <w:b/>
                <w:bCs/>
                <w:sz w:val="22"/>
                <w:szCs w:val="22"/>
              </w:rPr>
            </w:pPr>
            <w:r w:rsidRPr="002B49F2">
              <w:rPr>
                <w:rFonts w:ascii="Arial" w:hAnsi="Arial" w:cs="Arial"/>
                <w:b/>
                <w:bCs/>
                <w:sz w:val="22"/>
                <w:szCs w:val="22"/>
              </w:rPr>
              <w:t>Total Annual Burden Hours</w:t>
            </w:r>
          </w:p>
        </w:tc>
        <w:tc>
          <w:tcPr>
            <w:tcW w:w="1604" w:type="dxa"/>
            <w:tcBorders>
              <w:bottom w:val="single" w:sz="4" w:space="0" w:color="auto"/>
            </w:tcBorders>
            <w:vAlign w:val="center"/>
          </w:tcPr>
          <w:p w:rsidR="00DA2EB8" w:rsidRPr="002B49F2" w:rsidP="00170715" w14:paraId="56DEAA69" w14:textId="6C4A9410">
            <w:pPr>
              <w:jc w:val="center"/>
              <w:rPr>
                <w:rFonts w:ascii="Arial" w:hAnsi="Arial" w:cs="Arial"/>
                <w:b/>
                <w:bCs/>
                <w:sz w:val="22"/>
                <w:szCs w:val="22"/>
              </w:rPr>
            </w:pPr>
            <w:r w:rsidRPr="002B49F2">
              <w:rPr>
                <w:rFonts w:ascii="Arial" w:hAnsi="Arial" w:cs="Arial"/>
                <w:b/>
                <w:bCs/>
                <w:sz w:val="22"/>
                <w:szCs w:val="22"/>
              </w:rPr>
              <w:t xml:space="preserve">Cost @ </w:t>
            </w:r>
            <w:r w:rsidRPr="002B49F2" w:rsidR="008E079E">
              <w:rPr>
                <w:rFonts w:ascii="Arial" w:hAnsi="Arial" w:cs="Arial"/>
                <w:b/>
                <w:bCs/>
                <w:sz w:val="22"/>
                <w:szCs w:val="22"/>
              </w:rPr>
              <w:t>$</w:t>
            </w:r>
            <w:r w:rsidRPr="002B49F2">
              <w:rPr>
                <w:rFonts w:ascii="Arial" w:hAnsi="Arial" w:cs="Arial"/>
                <w:b/>
                <w:bCs/>
                <w:sz w:val="22"/>
                <w:szCs w:val="22"/>
              </w:rPr>
              <w:t>290/hour</w:t>
            </w:r>
          </w:p>
        </w:tc>
      </w:tr>
      <w:tr w14:paraId="73AC0676" w14:textId="77777777" w:rsidTr="00C33E57">
        <w:tblPrEx>
          <w:tblW w:w="13140" w:type="dxa"/>
          <w:tblInd w:w="175" w:type="dxa"/>
          <w:tblLook w:val="04A0"/>
        </w:tblPrEx>
        <w:tc>
          <w:tcPr>
            <w:tcW w:w="3240" w:type="dxa"/>
          </w:tcPr>
          <w:p w:rsidR="00DA2EB8" w:rsidRPr="002B49F2" w:rsidP="00170715" w14:paraId="4B753249" w14:textId="4EA757E4">
            <w:pPr>
              <w:rPr>
                <w:rFonts w:ascii="Arial" w:hAnsi="Arial" w:cs="Arial"/>
                <w:sz w:val="22"/>
                <w:szCs w:val="22"/>
              </w:rPr>
            </w:pPr>
            <w:r w:rsidRPr="002B49F2">
              <w:rPr>
                <w:rFonts w:ascii="Arial" w:hAnsi="Arial" w:cs="Arial"/>
                <w:sz w:val="22"/>
                <w:szCs w:val="22"/>
              </w:rPr>
              <w:t>Category 1 Issues</w:t>
            </w:r>
          </w:p>
        </w:tc>
        <w:tc>
          <w:tcPr>
            <w:tcW w:w="1811" w:type="dxa"/>
            <w:vAlign w:val="center"/>
          </w:tcPr>
          <w:p w:rsidR="00DA2EB8" w:rsidRPr="002B49F2" w:rsidP="00C33E57" w14:paraId="6A170511" w14:textId="3E8BDD7A">
            <w:pPr>
              <w:jc w:val="center"/>
              <w:rPr>
                <w:rFonts w:ascii="Arial" w:hAnsi="Arial" w:cs="Arial"/>
                <w:sz w:val="22"/>
                <w:szCs w:val="22"/>
              </w:rPr>
            </w:pPr>
            <w:r w:rsidRPr="002B49F2">
              <w:rPr>
                <w:rFonts w:ascii="Arial" w:hAnsi="Arial" w:cs="Arial"/>
                <w:sz w:val="22"/>
                <w:szCs w:val="22"/>
              </w:rPr>
              <w:t>5</w:t>
            </w:r>
          </w:p>
        </w:tc>
        <w:tc>
          <w:tcPr>
            <w:tcW w:w="1610" w:type="dxa"/>
            <w:vAlign w:val="center"/>
          </w:tcPr>
          <w:p w:rsidR="00DA2EB8" w:rsidRPr="002B49F2" w:rsidP="00C33E57" w14:paraId="3262ABEB" w14:textId="08186913">
            <w:pPr>
              <w:jc w:val="center"/>
              <w:rPr>
                <w:rFonts w:ascii="Arial" w:hAnsi="Arial" w:cs="Arial"/>
                <w:sz w:val="22"/>
                <w:szCs w:val="22"/>
              </w:rPr>
            </w:pPr>
            <w:r w:rsidRPr="002B49F2">
              <w:rPr>
                <w:rFonts w:ascii="Arial" w:hAnsi="Arial" w:cs="Arial"/>
                <w:sz w:val="22"/>
                <w:szCs w:val="22"/>
              </w:rPr>
              <w:t>5</w:t>
            </w:r>
            <w:r w:rsidRPr="002B49F2" w:rsidR="00502328">
              <w:rPr>
                <w:rFonts w:ascii="Arial" w:hAnsi="Arial" w:cs="Arial"/>
                <w:sz w:val="22"/>
                <w:szCs w:val="22"/>
              </w:rPr>
              <w:t>9</w:t>
            </w:r>
          </w:p>
        </w:tc>
        <w:tc>
          <w:tcPr>
            <w:tcW w:w="1390" w:type="dxa"/>
            <w:vAlign w:val="center"/>
          </w:tcPr>
          <w:p w:rsidR="00DA2EB8" w:rsidRPr="002B49F2" w:rsidP="00C33E57" w14:paraId="102A4242" w14:textId="047F1F09">
            <w:pPr>
              <w:jc w:val="center"/>
              <w:rPr>
                <w:rFonts w:ascii="Arial" w:hAnsi="Arial" w:cs="Arial"/>
                <w:sz w:val="22"/>
                <w:szCs w:val="22"/>
              </w:rPr>
            </w:pPr>
            <w:r w:rsidRPr="002B49F2">
              <w:rPr>
                <w:rFonts w:ascii="Arial" w:hAnsi="Arial" w:cs="Arial"/>
                <w:sz w:val="22"/>
                <w:szCs w:val="22"/>
              </w:rPr>
              <w:t>295</w:t>
            </w:r>
          </w:p>
        </w:tc>
        <w:tc>
          <w:tcPr>
            <w:tcW w:w="1752" w:type="dxa"/>
            <w:vAlign w:val="center"/>
          </w:tcPr>
          <w:p w:rsidR="00DA2EB8" w:rsidRPr="002B49F2" w:rsidP="00C33E57" w14:paraId="403C92BA" w14:textId="5D0859F1">
            <w:pPr>
              <w:jc w:val="center"/>
              <w:rPr>
                <w:rFonts w:ascii="Arial" w:hAnsi="Arial" w:cs="Arial"/>
                <w:sz w:val="22"/>
                <w:szCs w:val="22"/>
              </w:rPr>
            </w:pPr>
            <w:r w:rsidRPr="002B49F2">
              <w:rPr>
                <w:rFonts w:ascii="Arial" w:hAnsi="Arial" w:cs="Arial"/>
                <w:sz w:val="22"/>
                <w:szCs w:val="22"/>
              </w:rPr>
              <w:t>95</w:t>
            </w:r>
          </w:p>
        </w:tc>
        <w:tc>
          <w:tcPr>
            <w:tcW w:w="1733" w:type="dxa"/>
            <w:shd w:val="clear" w:color="auto" w:fill="auto"/>
            <w:vAlign w:val="center"/>
          </w:tcPr>
          <w:p w:rsidR="00DA2EB8" w:rsidRPr="002B49F2" w:rsidP="00C33E57" w14:paraId="6ED5BE9D" w14:textId="204F0D64">
            <w:pPr>
              <w:jc w:val="center"/>
              <w:rPr>
                <w:rFonts w:ascii="Arial" w:hAnsi="Arial" w:cs="Arial"/>
                <w:sz w:val="22"/>
                <w:szCs w:val="22"/>
              </w:rPr>
            </w:pPr>
            <w:r w:rsidRPr="002B49F2">
              <w:rPr>
                <w:rFonts w:ascii="Arial" w:hAnsi="Arial" w:cs="Arial"/>
                <w:sz w:val="22"/>
                <w:szCs w:val="22"/>
              </w:rPr>
              <w:t>28,025</w:t>
            </w:r>
          </w:p>
        </w:tc>
        <w:tc>
          <w:tcPr>
            <w:tcW w:w="1604" w:type="dxa"/>
            <w:shd w:val="clear" w:color="auto" w:fill="auto"/>
            <w:vAlign w:val="center"/>
          </w:tcPr>
          <w:p w:rsidR="00DA2EB8" w:rsidRPr="002B49F2" w:rsidP="00C33E57" w14:paraId="18FE6D19" w14:textId="13C18B46">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$8,127,250</w:t>
            </w:r>
          </w:p>
        </w:tc>
      </w:tr>
      <w:tr w14:paraId="3DC0D82E" w14:textId="77777777" w:rsidTr="00C33E57">
        <w:tblPrEx>
          <w:tblW w:w="13140" w:type="dxa"/>
          <w:tblInd w:w="175" w:type="dxa"/>
          <w:tblLook w:val="04A0"/>
        </w:tblPrEx>
        <w:tc>
          <w:tcPr>
            <w:tcW w:w="3240" w:type="dxa"/>
          </w:tcPr>
          <w:p w:rsidR="00DA2EB8" w:rsidRPr="002B49F2" w:rsidP="00170715" w14:paraId="2980C76B" w14:textId="57F0CDB6">
            <w:pPr>
              <w:rPr>
                <w:rFonts w:ascii="Arial" w:hAnsi="Arial" w:cs="Arial"/>
                <w:sz w:val="22"/>
                <w:szCs w:val="22"/>
              </w:rPr>
            </w:pPr>
            <w:r w:rsidRPr="002B49F2">
              <w:rPr>
                <w:rFonts w:ascii="Arial" w:hAnsi="Arial" w:cs="Arial"/>
                <w:sz w:val="22"/>
                <w:szCs w:val="22"/>
              </w:rPr>
              <w:t>Category 2 Issues</w:t>
            </w:r>
            <w:r w:rsidRPr="002B49F2" w:rsidR="007A2776">
              <w:rPr>
                <w:rFonts w:ascii="Arial" w:hAnsi="Arial" w:cs="Arial"/>
                <w:sz w:val="22"/>
                <w:szCs w:val="22"/>
              </w:rPr>
              <w:t xml:space="preserve"> (excluding issues resulting from subdividing an existing Category 2 issue into 3 separate issues)</w:t>
            </w:r>
          </w:p>
        </w:tc>
        <w:tc>
          <w:tcPr>
            <w:tcW w:w="1811" w:type="dxa"/>
            <w:vAlign w:val="center"/>
          </w:tcPr>
          <w:p w:rsidR="00DA2EB8" w:rsidRPr="002B49F2" w:rsidP="00C33E57" w14:paraId="4C6F12BC" w14:textId="16BC6205">
            <w:pPr>
              <w:jc w:val="center"/>
              <w:rPr>
                <w:rFonts w:ascii="Arial" w:hAnsi="Arial" w:cs="Arial"/>
                <w:sz w:val="22"/>
                <w:szCs w:val="22"/>
              </w:rPr>
            </w:pPr>
            <w:r w:rsidRPr="002B49F2">
              <w:rPr>
                <w:rFonts w:ascii="Arial" w:hAnsi="Arial" w:cs="Arial"/>
                <w:sz w:val="22"/>
                <w:szCs w:val="22"/>
              </w:rPr>
              <w:t>5</w:t>
            </w:r>
          </w:p>
        </w:tc>
        <w:tc>
          <w:tcPr>
            <w:tcW w:w="1610" w:type="dxa"/>
            <w:vAlign w:val="center"/>
          </w:tcPr>
          <w:p w:rsidR="00DA2EB8" w:rsidRPr="002B49F2" w:rsidP="00C33E57" w14:paraId="1A8DD960" w14:textId="54092558">
            <w:pPr>
              <w:jc w:val="center"/>
              <w:rPr>
                <w:rFonts w:ascii="Arial" w:hAnsi="Arial" w:cs="Arial"/>
                <w:sz w:val="22"/>
                <w:szCs w:val="22"/>
              </w:rPr>
            </w:pPr>
            <w:r w:rsidRPr="002B49F2">
              <w:rPr>
                <w:rFonts w:ascii="Arial" w:hAnsi="Arial" w:cs="Arial"/>
                <w:sz w:val="22"/>
                <w:szCs w:val="22"/>
              </w:rPr>
              <w:t>17</w:t>
            </w:r>
          </w:p>
        </w:tc>
        <w:tc>
          <w:tcPr>
            <w:tcW w:w="1390" w:type="dxa"/>
            <w:vAlign w:val="center"/>
          </w:tcPr>
          <w:p w:rsidR="00DA2EB8" w:rsidRPr="002B49F2" w:rsidP="00C33E57" w14:paraId="5C2E9F58" w14:textId="01483253">
            <w:pPr>
              <w:jc w:val="center"/>
              <w:rPr>
                <w:rFonts w:ascii="Arial" w:hAnsi="Arial" w:cs="Arial"/>
                <w:sz w:val="22"/>
                <w:szCs w:val="22"/>
              </w:rPr>
            </w:pPr>
            <w:r w:rsidRPr="002B49F2">
              <w:rPr>
                <w:rFonts w:ascii="Arial" w:hAnsi="Arial" w:cs="Arial"/>
                <w:sz w:val="22"/>
                <w:szCs w:val="22"/>
              </w:rPr>
              <w:t>85</w:t>
            </w:r>
          </w:p>
        </w:tc>
        <w:tc>
          <w:tcPr>
            <w:tcW w:w="1752" w:type="dxa"/>
            <w:vAlign w:val="center"/>
          </w:tcPr>
          <w:p w:rsidR="00DA2EB8" w:rsidRPr="002B49F2" w:rsidP="00C33E57" w14:paraId="03A3E623" w14:textId="05EDB6C6">
            <w:pPr>
              <w:jc w:val="center"/>
              <w:rPr>
                <w:rFonts w:ascii="Arial" w:hAnsi="Arial" w:cs="Arial"/>
                <w:sz w:val="22"/>
                <w:szCs w:val="22"/>
              </w:rPr>
            </w:pPr>
            <w:r w:rsidRPr="002B49F2">
              <w:rPr>
                <w:rFonts w:ascii="Arial" w:hAnsi="Arial" w:cs="Arial"/>
                <w:sz w:val="22"/>
                <w:szCs w:val="22"/>
              </w:rPr>
              <w:t>3</w:t>
            </w:r>
            <w:r w:rsidRPr="002B49F2" w:rsidR="0085628C">
              <w:rPr>
                <w:rFonts w:ascii="Arial" w:hAnsi="Arial" w:cs="Arial"/>
                <w:sz w:val="22"/>
                <w:szCs w:val="22"/>
              </w:rPr>
              <w:t>81</w:t>
            </w:r>
          </w:p>
        </w:tc>
        <w:tc>
          <w:tcPr>
            <w:tcW w:w="1733" w:type="dxa"/>
            <w:shd w:val="clear" w:color="auto" w:fill="auto"/>
            <w:vAlign w:val="center"/>
          </w:tcPr>
          <w:p w:rsidR="00DA2EB8" w:rsidRPr="002B49F2" w:rsidP="00C33E57" w14:paraId="41C08729" w14:textId="5597BB81">
            <w:pPr>
              <w:jc w:val="center"/>
              <w:rPr>
                <w:rFonts w:ascii="Arial" w:hAnsi="Arial" w:cs="Arial"/>
                <w:sz w:val="22"/>
                <w:szCs w:val="22"/>
              </w:rPr>
            </w:pPr>
            <w:r w:rsidRPr="002B49F2">
              <w:rPr>
                <w:rFonts w:ascii="Arial" w:hAnsi="Arial" w:cs="Arial"/>
                <w:sz w:val="22"/>
                <w:szCs w:val="22"/>
              </w:rPr>
              <w:t>32,385</w:t>
            </w:r>
          </w:p>
        </w:tc>
        <w:tc>
          <w:tcPr>
            <w:tcW w:w="1604" w:type="dxa"/>
            <w:shd w:val="clear" w:color="auto" w:fill="auto"/>
            <w:vAlign w:val="center"/>
          </w:tcPr>
          <w:p w:rsidR="00DA2EB8" w:rsidRPr="002B49F2" w:rsidP="00C33E57" w14:paraId="120DFD73" w14:textId="39012B0A">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$9</w:t>
            </w:r>
            <w:r w:rsidRPr="002B49F2" w:rsidR="00C83312">
              <w:rPr>
                <w:rFonts w:ascii="Arial" w:hAnsi="Arial" w:cs="Arial"/>
                <w:color w:val="000000"/>
                <w:sz w:val="22"/>
                <w:szCs w:val="22"/>
              </w:rPr>
              <w:t>,391,650</w:t>
            </w:r>
          </w:p>
        </w:tc>
      </w:tr>
      <w:tr w14:paraId="3818409E" w14:textId="77777777" w:rsidTr="00C33E57">
        <w:tblPrEx>
          <w:tblW w:w="13140" w:type="dxa"/>
          <w:tblInd w:w="175" w:type="dxa"/>
          <w:tblLook w:val="04A0"/>
        </w:tblPrEx>
        <w:tc>
          <w:tcPr>
            <w:tcW w:w="3240" w:type="dxa"/>
          </w:tcPr>
          <w:p w:rsidR="00D71E21" w:rsidRPr="002B49F2" w:rsidP="00170715" w14:paraId="27511AB5" w14:textId="6F275614">
            <w:pPr>
              <w:rPr>
                <w:rFonts w:ascii="Arial" w:hAnsi="Arial" w:cs="Arial"/>
                <w:sz w:val="22"/>
                <w:szCs w:val="22"/>
              </w:rPr>
            </w:pPr>
            <w:r w:rsidRPr="002B49F2">
              <w:rPr>
                <w:rFonts w:ascii="Arial" w:hAnsi="Arial" w:cs="Arial"/>
                <w:sz w:val="22"/>
                <w:szCs w:val="22"/>
              </w:rPr>
              <w:t>Subdivided Category</w:t>
            </w:r>
            <w:r w:rsidRPr="002B49F2" w:rsidR="007A2776">
              <w:rPr>
                <w:rFonts w:ascii="Arial" w:hAnsi="Arial" w:cs="Arial"/>
                <w:sz w:val="22"/>
                <w:szCs w:val="22"/>
              </w:rPr>
              <w:t> </w:t>
            </w:r>
            <w:r w:rsidRPr="002B49F2">
              <w:rPr>
                <w:rFonts w:ascii="Arial" w:hAnsi="Arial" w:cs="Arial"/>
                <w:sz w:val="22"/>
                <w:szCs w:val="22"/>
              </w:rPr>
              <w:t>2 Issues</w:t>
            </w:r>
          </w:p>
        </w:tc>
        <w:tc>
          <w:tcPr>
            <w:tcW w:w="1811" w:type="dxa"/>
            <w:vAlign w:val="center"/>
          </w:tcPr>
          <w:p w:rsidR="00D71E21" w:rsidRPr="002B49F2" w:rsidP="00C33E57" w14:paraId="6D7A46BA" w14:textId="7DEA7E67">
            <w:pPr>
              <w:jc w:val="center"/>
              <w:rPr>
                <w:rFonts w:ascii="Arial" w:hAnsi="Arial" w:cs="Arial"/>
                <w:sz w:val="22"/>
                <w:szCs w:val="22"/>
              </w:rPr>
            </w:pPr>
            <w:r w:rsidRPr="002B49F2">
              <w:rPr>
                <w:rFonts w:ascii="Arial" w:hAnsi="Arial" w:cs="Arial"/>
                <w:sz w:val="22"/>
                <w:szCs w:val="22"/>
              </w:rPr>
              <w:t>5</w:t>
            </w:r>
          </w:p>
        </w:tc>
        <w:tc>
          <w:tcPr>
            <w:tcW w:w="1610" w:type="dxa"/>
            <w:vAlign w:val="center"/>
          </w:tcPr>
          <w:p w:rsidR="00D71E21" w:rsidRPr="002B49F2" w:rsidP="00C33E57" w14:paraId="06F83786" w14:textId="280022AA">
            <w:pPr>
              <w:jc w:val="center"/>
              <w:rPr>
                <w:rFonts w:ascii="Arial" w:hAnsi="Arial" w:cs="Arial"/>
                <w:sz w:val="22"/>
                <w:szCs w:val="22"/>
              </w:rPr>
            </w:pPr>
            <w:r w:rsidRPr="002B49F2">
              <w:rPr>
                <w:rFonts w:ascii="Arial" w:hAnsi="Arial" w:cs="Arial"/>
                <w:sz w:val="22"/>
                <w:szCs w:val="22"/>
              </w:rPr>
              <w:t>3</w:t>
            </w:r>
          </w:p>
        </w:tc>
        <w:tc>
          <w:tcPr>
            <w:tcW w:w="1390" w:type="dxa"/>
            <w:vAlign w:val="center"/>
          </w:tcPr>
          <w:p w:rsidR="00D71E21" w:rsidRPr="002B49F2" w:rsidP="00C33E57" w14:paraId="7B76BD28" w14:textId="44E463BD">
            <w:pPr>
              <w:jc w:val="center"/>
              <w:rPr>
                <w:rFonts w:ascii="Arial" w:hAnsi="Arial" w:cs="Arial"/>
                <w:sz w:val="22"/>
                <w:szCs w:val="22"/>
              </w:rPr>
            </w:pPr>
            <w:r w:rsidRPr="002B49F2">
              <w:rPr>
                <w:rFonts w:ascii="Arial" w:hAnsi="Arial" w:cs="Arial"/>
                <w:sz w:val="22"/>
                <w:szCs w:val="22"/>
              </w:rPr>
              <w:t>15</w:t>
            </w:r>
          </w:p>
        </w:tc>
        <w:tc>
          <w:tcPr>
            <w:tcW w:w="1752" w:type="dxa"/>
            <w:vAlign w:val="center"/>
          </w:tcPr>
          <w:p w:rsidR="00D71E21" w:rsidRPr="002B49F2" w:rsidP="00C33E57" w14:paraId="1543B18D" w14:textId="3FCA2075">
            <w:pPr>
              <w:jc w:val="center"/>
              <w:rPr>
                <w:rFonts w:ascii="Arial" w:hAnsi="Arial" w:cs="Arial"/>
                <w:sz w:val="22"/>
                <w:szCs w:val="22"/>
              </w:rPr>
            </w:pPr>
            <w:r w:rsidRPr="002B49F2">
              <w:rPr>
                <w:rFonts w:ascii="Arial" w:hAnsi="Arial" w:cs="Arial"/>
                <w:sz w:val="22"/>
                <w:szCs w:val="22"/>
              </w:rPr>
              <w:t>254</w:t>
            </w:r>
          </w:p>
        </w:tc>
        <w:tc>
          <w:tcPr>
            <w:tcW w:w="1733" w:type="dxa"/>
            <w:shd w:val="clear" w:color="auto" w:fill="auto"/>
            <w:vAlign w:val="center"/>
          </w:tcPr>
          <w:p w:rsidR="00D71E21" w:rsidRPr="002B49F2" w:rsidP="00C33E57" w14:paraId="60FF382D" w14:textId="1B4F1A86">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3,810</w:t>
            </w:r>
          </w:p>
        </w:tc>
        <w:tc>
          <w:tcPr>
            <w:tcW w:w="1604" w:type="dxa"/>
            <w:shd w:val="clear" w:color="auto" w:fill="auto"/>
            <w:vAlign w:val="center"/>
          </w:tcPr>
          <w:p w:rsidR="00D71E21" w:rsidRPr="002B49F2" w:rsidP="00C33E57" w14:paraId="3A1AFAE7" w14:textId="44B93CDA">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$1,104,900</w:t>
            </w:r>
          </w:p>
        </w:tc>
      </w:tr>
      <w:tr w14:paraId="087B209A" w14:textId="77777777" w:rsidTr="00C33E57">
        <w:tblPrEx>
          <w:tblW w:w="13140" w:type="dxa"/>
          <w:tblInd w:w="175" w:type="dxa"/>
          <w:tblLook w:val="04A0"/>
        </w:tblPrEx>
        <w:tc>
          <w:tcPr>
            <w:tcW w:w="3240" w:type="dxa"/>
          </w:tcPr>
          <w:p w:rsidR="00DA2EB8" w:rsidRPr="002B49F2" w:rsidP="00170715" w14:paraId="2A32276B" w14:textId="7BD63BE5">
            <w:pPr>
              <w:rPr>
                <w:rFonts w:ascii="Arial" w:hAnsi="Arial" w:cs="Arial"/>
                <w:sz w:val="22"/>
                <w:szCs w:val="22"/>
              </w:rPr>
            </w:pPr>
            <w:r w:rsidRPr="002B49F2">
              <w:rPr>
                <w:rFonts w:ascii="Arial" w:hAnsi="Arial" w:cs="Arial"/>
                <w:sz w:val="22"/>
                <w:szCs w:val="22"/>
              </w:rPr>
              <w:t>Uncategorized Issue</w:t>
            </w:r>
          </w:p>
        </w:tc>
        <w:tc>
          <w:tcPr>
            <w:tcW w:w="1811" w:type="dxa"/>
            <w:vAlign w:val="center"/>
          </w:tcPr>
          <w:p w:rsidR="00DA2EB8" w:rsidRPr="002B49F2" w:rsidP="00C33E57" w14:paraId="611EEB04" w14:textId="283EA74E">
            <w:pPr>
              <w:jc w:val="center"/>
              <w:rPr>
                <w:rFonts w:ascii="Arial" w:hAnsi="Arial" w:cs="Arial"/>
                <w:sz w:val="22"/>
                <w:szCs w:val="22"/>
              </w:rPr>
            </w:pPr>
            <w:r w:rsidRPr="002B49F2">
              <w:rPr>
                <w:rFonts w:ascii="Arial" w:hAnsi="Arial" w:cs="Arial"/>
                <w:sz w:val="22"/>
                <w:szCs w:val="22"/>
              </w:rPr>
              <w:t>5</w:t>
            </w:r>
          </w:p>
        </w:tc>
        <w:tc>
          <w:tcPr>
            <w:tcW w:w="1610" w:type="dxa"/>
            <w:vAlign w:val="center"/>
          </w:tcPr>
          <w:p w:rsidR="00DA2EB8" w:rsidRPr="002B49F2" w:rsidP="00C33E57" w14:paraId="09DF434B" w14:textId="06A5231F">
            <w:pPr>
              <w:jc w:val="center"/>
              <w:rPr>
                <w:rFonts w:ascii="Arial" w:hAnsi="Arial" w:cs="Arial"/>
                <w:sz w:val="22"/>
                <w:szCs w:val="22"/>
              </w:rPr>
            </w:pPr>
            <w:r w:rsidRPr="002B49F2">
              <w:rPr>
                <w:rFonts w:ascii="Arial" w:hAnsi="Arial" w:cs="Arial"/>
                <w:sz w:val="22"/>
                <w:szCs w:val="22"/>
              </w:rPr>
              <w:t>1</w:t>
            </w:r>
          </w:p>
        </w:tc>
        <w:tc>
          <w:tcPr>
            <w:tcW w:w="1390" w:type="dxa"/>
            <w:vAlign w:val="center"/>
          </w:tcPr>
          <w:p w:rsidR="00DA2EB8" w:rsidRPr="002B49F2" w:rsidP="00C33E57" w14:paraId="7A2AECAA" w14:textId="38F1A258">
            <w:pPr>
              <w:jc w:val="center"/>
              <w:rPr>
                <w:rFonts w:ascii="Arial" w:hAnsi="Arial" w:cs="Arial"/>
                <w:sz w:val="22"/>
                <w:szCs w:val="22"/>
              </w:rPr>
            </w:pPr>
            <w:r w:rsidRPr="002B49F2">
              <w:rPr>
                <w:rFonts w:ascii="Arial" w:hAnsi="Arial" w:cs="Arial"/>
                <w:sz w:val="22"/>
                <w:szCs w:val="22"/>
              </w:rPr>
              <w:t>5</w:t>
            </w:r>
          </w:p>
        </w:tc>
        <w:tc>
          <w:tcPr>
            <w:tcW w:w="1752" w:type="dxa"/>
            <w:vAlign w:val="center"/>
          </w:tcPr>
          <w:p w:rsidR="00DA2EB8" w:rsidRPr="002B49F2" w:rsidP="00C33E57" w14:paraId="5BC62B65" w14:textId="70E71438">
            <w:pPr>
              <w:jc w:val="center"/>
              <w:rPr>
                <w:rFonts w:ascii="Arial" w:hAnsi="Arial" w:cs="Arial"/>
                <w:sz w:val="22"/>
                <w:szCs w:val="22"/>
              </w:rPr>
            </w:pPr>
            <w:r w:rsidRPr="002B49F2">
              <w:rPr>
                <w:rFonts w:ascii="Arial" w:hAnsi="Arial" w:cs="Arial"/>
                <w:sz w:val="22"/>
                <w:szCs w:val="22"/>
              </w:rPr>
              <w:t>95</w:t>
            </w:r>
          </w:p>
        </w:tc>
        <w:tc>
          <w:tcPr>
            <w:tcW w:w="1733" w:type="dxa"/>
            <w:shd w:val="clear" w:color="auto" w:fill="auto"/>
            <w:vAlign w:val="center"/>
          </w:tcPr>
          <w:p w:rsidR="00DA2EB8" w:rsidRPr="002B49F2" w:rsidP="00C33E57" w14:paraId="5C7BA26C" w14:textId="28EDE5AF">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475</w:t>
            </w:r>
          </w:p>
        </w:tc>
        <w:tc>
          <w:tcPr>
            <w:tcW w:w="1604" w:type="dxa"/>
            <w:shd w:val="clear" w:color="auto" w:fill="auto"/>
            <w:vAlign w:val="center"/>
          </w:tcPr>
          <w:p w:rsidR="00DA2EB8" w:rsidRPr="002B49F2" w:rsidP="00C33E57" w14:paraId="0E12F62F" w14:textId="6C92684D">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$137,750</w:t>
            </w:r>
          </w:p>
        </w:tc>
      </w:tr>
      <w:tr w14:paraId="070B3080" w14:textId="77777777" w:rsidTr="00EC06FF">
        <w:tblPrEx>
          <w:tblW w:w="13140" w:type="dxa"/>
          <w:tblInd w:w="175" w:type="dxa"/>
          <w:tblLook w:val="04A0"/>
        </w:tblPrEx>
        <w:tc>
          <w:tcPr>
            <w:tcW w:w="9803" w:type="dxa"/>
            <w:gridSpan w:val="5"/>
          </w:tcPr>
          <w:p w:rsidR="00DA2EB8" w:rsidRPr="002B49F2" w:rsidP="00170715" w14:paraId="6E37F161" w14:textId="08411031">
            <w:pPr>
              <w:jc w:val="right"/>
              <w:rPr>
                <w:rFonts w:ascii="Arial" w:hAnsi="Arial" w:cs="Arial"/>
                <w:sz w:val="22"/>
                <w:szCs w:val="22"/>
              </w:rPr>
            </w:pPr>
            <w:r w:rsidRPr="002B49F2">
              <w:rPr>
                <w:rFonts w:ascii="Arial" w:hAnsi="Arial" w:cs="Arial"/>
                <w:b/>
                <w:bCs/>
                <w:sz w:val="22"/>
                <w:szCs w:val="22"/>
              </w:rPr>
              <w:t xml:space="preserve">Total Industry Burden Increase for </w:t>
            </w:r>
            <w:r w:rsidRPr="002B49F2" w:rsidR="000D4B72">
              <w:rPr>
                <w:rFonts w:ascii="Arial" w:hAnsi="Arial" w:cs="Arial"/>
                <w:b/>
                <w:bCs/>
                <w:sz w:val="22"/>
                <w:szCs w:val="22"/>
              </w:rPr>
              <w:t xml:space="preserve">Future </w:t>
            </w:r>
            <w:r w:rsidRPr="002B49F2">
              <w:rPr>
                <w:rFonts w:ascii="Arial" w:hAnsi="Arial" w:cs="Arial"/>
                <w:b/>
                <w:bCs/>
                <w:sz w:val="22"/>
                <w:szCs w:val="22"/>
              </w:rPr>
              <w:t>License Renewal Applica</w:t>
            </w:r>
            <w:r w:rsidRPr="002B49F2" w:rsidR="00386345">
              <w:rPr>
                <w:rFonts w:ascii="Arial" w:hAnsi="Arial" w:cs="Arial"/>
                <w:b/>
                <w:bCs/>
                <w:sz w:val="22"/>
                <w:szCs w:val="22"/>
              </w:rPr>
              <w:t>nts</w:t>
            </w:r>
          </w:p>
        </w:tc>
        <w:tc>
          <w:tcPr>
            <w:tcW w:w="1733" w:type="dxa"/>
            <w:shd w:val="clear" w:color="auto" w:fill="auto"/>
          </w:tcPr>
          <w:p w:rsidR="00DA2EB8" w:rsidRPr="002B49F2" w:rsidP="00FE2710" w14:paraId="7333F851" w14:textId="1AB47B89">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64,695</w:t>
            </w:r>
          </w:p>
        </w:tc>
        <w:tc>
          <w:tcPr>
            <w:tcW w:w="1604" w:type="dxa"/>
            <w:shd w:val="clear" w:color="auto" w:fill="auto"/>
          </w:tcPr>
          <w:p w:rsidR="00DA2EB8" w:rsidRPr="002B49F2" w:rsidP="00A748B0" w14:paraId="2BCA32CA" w14:textId="18F4096B">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$18,761,550</w:t>
            </w:r>
          </w:p>
        </w:tc>
      </w:tr>
    </w:tbl>
    <w:p w:rsidR="00467215" w:rsidRPr="002B49F2" w:rsidP="008011AA" w14:paraId="4A829FB5" w14:textId="2C37CD89">
      <w:pPr>
        <w:ind w:left="360" w:hanging="360"/>
        <w:jc w:val="center"/>
        <w:rPr>
          <w:rFonts w:ascii="Arial" w:hAnsi="Arial" w:cs="Arial"/>
          <w:b/>
          <w:bCs/>
          <w:sz w:val="22"/>
          <w:szCs w:val="22"/>
        </w:rPr>
      </w:pPr>
    </w:p>
    <w:p w:rsidR="0084420D" w:rsidRPr="002B49F2" w14:paraId="73D4CAB9" w14:textId="4571FFC3">
      <w:pPr>
        <w:widowControl/>
        <w:autoSpaceDE/>
        <w:autoSpaceDN/>
        <w:adjustRightInd/>
        <w:spacing w:after="160" w:line="259" w:lineRule="auto"/>
        <w:rPr>
          <w:rFonts w:ascii="Arial" w:hAnsi="Arial" w:cs="Arial"/>
          <w:b/>
          <w:bCs/>
          <w:sz w:val="22"/>
          <w:szCs w:val="22"/>
        </w:rPr>
      </w:pPr>
      <w:r w:rsidRPr="002B49F2">
        <w:rPr>
          <w:rFonts w:ascii="Arial" w:hAnsi="Arial" w:cs="Arial"/>
          <w:b/>
          <w:bCs/>
          <w:sz w:val="22"/>
          <w:szCs w:val="22"/>
        </w:rPr>
        <w:br w:type="page"/>
      </w:r>
    </w:p>
    <w:p w:rsidR="00F804DE" w:rsidRPr="002B49F2" w:rsidP="008011AA" w14:paraId="77F4821A" w14:textId="3C4F1382">
      <w:pPr>
        <w:ind w:left="360" w:hanging="360"/>
        <w:jc w:val="center"/>
        <w:rPr>
          <w:rFonts w:ascii="Arial" w:hAnsi="Arial" w:cs="Arial"/>
          <w:b/>
          <w:bCs/>
          <w:sz w:val="22"/>
          <w:szCs w:val="22"/>
        </w:rPr>
      </w:pPr>
      <w:r w:rsidRPr="002B49F2">
        <w:rPr>
          <w:rFonts w:ascii="Arial" w:hAnsi="Arial" w:cs="Arial"/>
          <w:b/>
          <w:bCs/>
          <w:sz w:val="22"/>
          <w:szCs w:val="22"/>
        </w:rPr>
        <w:t xml:space="preserve">Table </w:t>
      </w:r>
      <w:r w:rsidRPr="002B49F2" w:rsidR="002E374B">
        <w:rPr>
          <w:rFonts w:ascii="Arial" w:hAnsi="Arial" w:cs="Arial"/>
          <w:b/>
          <w:bCs/>
          <w:sz w:val="22"/>
          <w:szCs w:val="22"/>
        </w:rPr>
        <w:t>2</w:t>
      </w:r>
    </w:p>
    <w:p w:rsidR="004C6CF4" w:rsidRPr="002B49F2" w:rsidP="008011AA" w14:paraId="7A903BD0" w14:textId="02766E96">
      <w:pPr>
        <w:ind w:left="360" w:hanging="360"/>
        <w:jc w:val="center"/>
        <w:rPr>
          <w:rFonts w:ascii="Arial" w:hAnsi="Arial" w:cs="Arial"/>
          <w:b/>
          <w:bCs/>
          <w:sz w:val="22"/>
          <w:szCs w:val="22"/>
        </w:rPr>
      </w:pPr>
      <w:r w:rsidRPr="002B49F2">
        <w:rPr>
          <w:rFonts w:ascii="Arial" w:hAnsi="Arial" w:cs="Arial"/>
          <w:b/>
          <w:bCs/>
          <w:sz w:val="22"/>
          <w:szCs w:val="22"/>
        </w:rPr>
        <w:t>One-Time Reporting Burden (Annualized) – Industry</w:t>
      </w:r>
      <w:r w:rsidRPr="002B49F2" w:rsidR="009947C4">
        <w:rPr>
          <w:rFonts w:ascii="Arial" w:hAnsi="Arial" w:cs="Arial"/>
          <w:b/>
          <w:bCs/>
          <w:sz w:val="22"/>
          <w:szCs w:val="22"/>
        </w:rPr>
        <w:t xml:space="preserve"> – </w:t>
      </w:r>
      <w:r w:rsidRPr="002B49F2" w:rsidR="001D6BEF">
        <w:rPr>
          <w:rFonts w:ascii="Arial" w:hAnsi="Arial" w:cs="Arial"/>
          <w:b/>
          <w:bCs/>
          <w:sz w:val="22"/>
          <w:szCs w:val="22"/>
        </w:rPr>
        <w:t>Near-Term</w:t>
      </w:r>
      <w:r w:rsidRPr="002B49F2" w:rsidR="0042180A">
        <w:rPr>
          <w:rFonts w:ascii="Arial" w:hAnsi="Arial" w:cs="Arial"/>
          <w:b/>
          <w:bCs/>
          <w:sz w:val="22"/>
          <w:szCs w:val="22"/>
        </w:rPr>
        <w:t xml:space="preserve"> and</w:t>
      </w:r>
      <w:r w:rsidRPr="002B49F2" w:rsidR="001D6BEF">
        <w:rPr>
          <w:rFonts w:ascii="Arial" w:hAnsi="Arial" w:cs="Arial"/>
          <w:b/>
          <w:bCs/>
          <w:sz w:val="22"/>
          <w:szCs w:val="22"/>
        </w:rPr>
        <w:t xml:space="preserve"> Submitted</w:t>
      </w:r>
      <w:r w:rsidRPr="002B49F2" w:rsidR="0042180A">
        <w:rPr>
          <w:rFonts w:ascii="Arial" w:hAnsi="Arial" w:cs="Arial"/>
          <w:b/>
          <w:bCs/>
          <w:sz w:val="22"/>
          <w:szCs w:val="22"/>
        </w:rPr>
        <w:t xml:space="preserve"> Applications</w:t>
      </w:r>
      <w:r w:rsidRPr="002B49F2" w:rsidR="001D6BEF">
        <w:rPr>
          <w:rFonts w:ascii="Arial" w:hAnsi="Arial" w:cs="Arial"/>
          <w:b/>
          <w:bCs/>
          <w:sz w:val="22"/>
          <w:szCs w:val="22"/>
        </w:rPr>
        <w:t xml:space="preserve">, </w:t>
      </w:r>
      <w:r w:rsidRPr="002B49F2" w:rsidR="0042180A">
        <w:rPr>
          <w:rFonts w:ascii="Arial" w:hAnsi="Arial" w:cs="Arial"/>
          <w:b/>
          <w:bCs/>
          <w:sz w:val="22"/>
          <w:szCs w:val="22"/>
        </w:rPr>
        <w:t>and Issued</w:t>
      </w:r>
      <w:r w:rsidRPr="002B49F2" w:rsidR="001D6BEF">
        <w:rPr>
          <w:rFonts w:ascii="Arial" w:hAnsi="Arial" w:cs="Arial"/>
          <w:b/>
          <w:bCs/>
          <w:sz w:val="22"/>
          <w:szCs w:val="22"/>
        </w:rPr>
        <w:t xml:space="preserve"> Received Subsequent License Renewal</w:t>
      </w:r>
      <w:r w:rsidRPr="002B49F2" w:rsidR="0042180A">
        <w:rPr>
          <w:rFonts w:ascii="Arial" w:hAnsi="Arial" w:cs="Arial"/>
          <w:b/>
          <w:bCs/>
          <w:sz w:val="22"/>
          <w:szCs w:val="22"/>
        </w:rPr>
        <w:t>s</w:t>
      </w:r>
      <w:r w:rsidRPr="002B49F2" w:rsidR="001D6BEF">
        <w:rPr>
          <w:rFonts w:ascii="Arial" w:hAnsi="Arial" w:cs="Arial"/>
          <w:b/>
          <w:bCs/>
          <w:sz w:val="22"/>
          <w:szCs w:val="22"/>
        </w:rPr>
        <w:t xml:space="preserve"> </w:t>
      </w:r>
      <w:r w:rsidRPr="002B49F2" w:rsidR="00BE0FB4">
        <w:rPr>
          <w:rFonts w:ascii="Arial" w:hAnsi="Arial" w:cs="Arial"/>
          <w:b/>
          <w:bCs/>
          <w:sz w:val="22"/>
          <w:szCs w:val="22"/>
        </w:rPr>
        <w:t>(</w:t>
      </w:r>
      <w:r w:rsidRPr="002B49F2" w:rsidR="00A06C84">
        <w:rPr>
          <w:rFonts w:ascii="Arial" w:hAnsi="Arial" w:cs="Arial"/>
          <w:b/>
          <w:bCs/>
          <w:sz w:val="22"/>
          <w:szCs w:val="22"/>
        </w:rPr>
        <w:t xml:space="preserve">June </w:t>
      </w:r>
      <w:r w:rsidRPr="002B49F2" w:rsidR="00BE0FB4">
        <w:rPr>
          <w:rFonts w:ascii="Arial" w:hAnsi="Arial" w:cs="Arial"/>
          <w:b/>
          <w:bCs/>
          <w:sz w:val="22"/>
          <w:szCs w:val="22"/>
        </w:rPr>
        <w:t>20</w:t>
      </w:r>
      <w:r w:rsidRPr="002B49F2" w:rsidR="006C092A">
        <w:rPr>
          <w:rFonts w:ascii="Arial" w:hAnsi="Arial" w:cs="Arial"/>
          <w:b/>
          <w:bCs/>
          <w:sz w:val="22"/>
          <w:szCs w:val="22"/>
        </w:rPr>
        <w:t>2</w:t>
      </w:r>
      <w:r w:rsidRPr="002B49F2" w:rsidR="004426B8">
        <w:rPr>
          <w:rFonts w:ascii="Arial" w:hAnsi="Arial" w:cs="Arial"/>
          <w:b/>
          <w:bCs/>
          <w:sz w:val="22"/>
          <w:szCs w:val="22"/>
        </w:rPr>
        <w:t xml:space="preserve">4 – </w:t>
      </w:r>
      <w:r w:rsidRPr="002B49F2" w:rsidR="00A06C84">
        <w:rPr>
          <w:rFonts w:ascii="Arial" w:hAnsi="Arial" w:cs="Arial"/>
          <w:b/>
          <w:bCs/>
          <w:sz w:val="22"/>
          <w:szCs w:val="22"/>
        </w:rPr>
        <w:t xml:space="preserve">May </w:t>
      </w:r>
      <w:r w:rsidRPr="002B49F2" w:rsidR="004426B8">
        <w:rPr>
          <w:rFonts w:ascii="Arial" w:hAnsi="Arial" w:cs="Arial"/>
          <w:b/>
          <w:bCs/>
          <w:sz w:val="22"/>
          <w:szCs w:val="22"/>
        </w:rPr>
        <w:t>202</w:t>
      </w:r>
      <w:r w:rsidRPr="002B49F2" w:rsidR="00A06C84">
        <w:rPr>
          <w:rFonts w:ascii="Arial" w:hAnsi="Arial" w:cs="Arial"/>
          <w:b/>
          <w:bCs/>
          <w:sz w:val="22"/>
          <w:szCs w:val="22"/>
        </w:rPr>
        <w:t>7</w:t>
      </w:r>
      <w:r w:rsidRPr="002B49F2" w:rsidR="006C092A">
        <w:rPr>
          <w:rFonts w:ascii="Arial" w:hAnsi="Arial" w:cs="Arial"/>
          <w:b/>
          <w:bCs/>
          <w:sz w:val="22"/>
          <w:szCs w:val="22"/>
        </w:rPr>
        <w:t>)</w:t>
      </w:r>
    </w:p>
    <w:p w:rsidR="00BE0FB4" w:rsidRPr="002B49F2" w:rsidP="00F04C52" w14:paraId="7065A655" w14:textId="06AAFF06">
      <w:pPr>
        <w:ind w:left="360" w:hanging="360"/>
        <w:rPr>
          <w:rFonts w:ascii="Arial" w:hAnsi="Arial" w:cs="Arial"/>
          <w:sz w:val="12"/>
          <w:szCs w:val="12"/>
        </w:rPr>
      </w:pPr>
    </w:p>
    <w:tbl>
      <w:tblPr>
        <w:tblStyle w:val="TableGrid"/>
        <w:tblW w:w="12870" w:type="dxa"/>
        <w:tblInd w:w="175" w:type="dxa"/>
        <w:tblLayout w:type="fixed"/>
        <w:tblLook w:val="04A0"/>
      </w:tblPr>
      <w:tblGrid>
        <w:gridCol w:w="3690"/>
        <w:gridCol w:w="1515"/>
        <w:gridCol w:w="1725"/>
        <w:gridCol w:w="1275"/>
        <w:gridCol w:w="1454"/>
        <w:gridCol w:w="1581"/>
        <w:gridCol w:w="1630"/>
      </w:tblGrid>
      <w:tr w14:paraId="0E134D3F" w14:textId="77777777" w:rsidTr="0065132F">
        <w:tblPrEx>
          <w:tblW w:w="12870" w:type="dxa"/>
          <w:tblInd w:w="175" w:type="dxa"/>
          <w:tblLayout w:type="fixed"/>
          <w:tblLook w:val="04A0"/>
        </w:tblPrEx>
        <w:tc>
          <w:tcPr>
            <w:tcW w:w="3690" w:type="dxa"/>
            <w:tcBorders>
              <w:bottom w:val="single" w:sz="4" w:space="0" w:color="auto"/>
            </w:tcBorders>
            <w:vAlign w:val="center"/>
          </w:tcPr>
          <w:p w:rsidR="008149DF" w:rsidRPr="002B49F2" w:rsidP="00F014F2" w14:paraId="68053FCD" w14:textId="26A3CEA8">
            <w:pPr>
              <w:jc w:val="center"/>
              <w:rPr>
                <w:rFonts w:ascii="Arial" w:hAnsi="Arial" w:cs="Arial"/>
                <w:b/>
                <w:sz w:val="20"/>
                <w:szCs w:val="20"/>
              </w:rPr>
            </w:pPr>
            <w:r w:rsidRPr="002B49F2">
              <w:rPr>
                <w:rFonts w:ascii="Arial" w:hAnsi="Arial" w:cs="Arial"/>
                <w:b/>
                <w:sz w:val="20"/>
                <w:szCs w:val="20"/>
              </w:rPr>
              <w:t>Table B-1 Issues</w:t>
            </w:r>
          </w:p>
        </w:tc>
        <w:tc>
          <w:tcPr>
            <w:tcW w:w="1515" w:type="dxa"/>
            <w:tcBorders>
              <w:bottom w:val="single" w:sz="4" w:space="0" w:color="auto"/>
            </w:tcBorders>
            <w:vAlign w:val="center"/>
          </w:tcPr>
          <w:p w:rsidR="008149DF" w:rsidRPr="002B49F2" w:rsidP="00F014F2" w14:paraId="2C6D8FD6" w14:textId="40AC3F36">
            <w:pPr>
              <w:jc w:val="center"/>
              <w:rPr>
                <w:rFonts w:ascii="Arial" w:hAnsi="Arial" w:cs="Arial"/>
                <w:b/>
                <w:sz w:val="20"/>
                <w:szCs w:val="20"/>
              </w:rPr>
            </w:pPr>
            <w:r w:rsidRPr="002B49F2">
              <w:rPr>
                <w:rFonts w:ascii="Arial" w:hAnsi="Arial" w:cs="Arial"/>
                <w:b/>
                <w:sz w:val="20"/>
                <w:szCs w:val="20"/>
              </w:rPr>
              <w:t>Number of</w:t>
            </w:r>
            <w:r w:rsidRPr="002B49F2">
              <w:rPr>
                <w:rFonts w:ascii="Arial" w:hAnsi="Arial" w:cs="Arial"/>
                <w:b/>
                <w:sz w:val="20"/>
                <w:szCs w:val="20"/>
              </w:rPr>
              <w:t xml:space="preserve"> Respondent</w:t>
            </w:r>
            <w:r w:rsidRPr="002B49F2">
              <w:rPr>
                <w:rFonts w:ascii="Arial" w:hAnsi="Arial" w:cs="Arial"/>
                <w:b/>
                <w:sz w:val="20"/>
                <w:szCs w:val="20"/>
              </w:rPr>
              <w:t>s</w:t>
            </w:r>
          </w:p>
        </w:tc>
        <w:tc>
          <w:tcPr>
            <w:tcW w:w="1725" w:type="dxa"/>
            <w:tcBorders>
              <w:bottom w:val="single" w:sz="4" w:space="0" w:color="auto"/>
            </w:tcBorders>
            <w:vAlign w:val="center"/>
          </w:tcPr>
          <w:p w:rsidR="008149DF" w:rsidRPr="002B49F2" w:rsidP="00F014F2" w14:paraId="22170EA1" w14:textId="2B01E46B">
            <w:pPr>
              <w:jc w:val="center"/>
              <w:rPr>
                <w:rFonts w:ascii="Arial" w:hAnsi="Arial" w:cs="Arial"/>
                <w:b/>
                <w:sz w:val="20"/>
                <w:szCs w:val="20"/>
              </w:rPr>
            </w:pPr>
            <w:r w:rsidRPr="002B49F2">
              <w:rPr>
                <w:rFonts w:ascii="Arial" w:hAnsi="Arial" w:cs="Arial"/>
                <w:b/>
                <w:sz w:val="20"/>
                <w:szCs w:val="20"/>
              </w:rPr>
              <w:t xml:space="preserve">Number of </w:t>
            </w:r>
            <w:r w:rsidRPr="002B49F2" w:rsidR="00075378">
              <w:rPr>
                <w:rFonts w:ascii="Arial" w:hAnsi="Arial" w:cs="Arial"/>
                <w:b/>
                <w:sz w:val="20"/>
                <w:szCs w:val="20"/>
              </w:rPr>
              <w:t xml:space="preserve">Issues </w:t>
            </w:r>
            <w:r w:rsidRPr="002B49F2" w:rsidR="003F6E1F">
              <w:rPr>
                <w:rFonts w:ascii="Arial" w:hAnsi="Arial" w:cs="Arial"/>
                <w:b/>
                <w:sz w:val="20"/>
                <w:szCs w:val="20"/>
              </w:rPr>
              <w:t xml:space="preserve">Responses per </w:t>
            </w:r>
            <w:r w:rsidRPr="002B49F2">
              <w:rPr>
                <w:rFonts w:ascii="Arial" w:hAnsi="Arial" w:cs="Arial"/>
                <w:b/>
                <w:sz w:val="20"/>
                <w:szCs w:val="20"/>
              </w:rPr>
              <w:t>Respondent</w:t>
            </w:r>
          </w:p>
        </w:tc>
        <w:tc>
          <w:tcPr>
            <w:tcW w:w="1275" w:type="dxa"/>
            <w:tcBorders>
              <w:bottom w:val="single" w:sz="4" w:space="0" w:color="auto"/>
            </w:tcBorders>
            <w:vAlign w:val="center"/>
          </w:tcPr>
          <w:p w:rsidR="008149DF" w:rsidRPr="002B49F2" w:rsidP="00F014F2" w14:paraId="0233E1F5" w14:textId="02A4A2A2">
            <w:pPr>
              <w:jc w:val="center"/>
              <w:rPr>
                <w:rFonts w:ascii="Arial" w:hAnsi="Arial" w:cs="Arial"/>
                <w:b/>
                <w:sz w:val="20"/>
                <w:szCs w:val="20"/>
              </w:rPr>
            </w:pPr>
            <w:r w:rsidRPr="002B49F2">
              <w:rPr>
                <w:rFonts w:ascii="Arial" w:hAnsi="Arial" w:cs="Arial"/>
                <w:b/>
                <w:sz w:val="20"/>
                <w:szCs w:val="20"/>
              </w:rPr>
              <w:t xml:space="preserve">Total </w:t>
            </w:r>
            <w:r w:rsidRPr="002B49F2" w:rsidR="00075378">
              <w:rPr>
                <w:rFonts w:ascii="Arial" w:hAnsi="Arial" w:cs="Arial"/>
                <w:b/>
                <w:sz w:val="20"/>
                <w:szCs w:val="20"/>
              </w:rPr>
              <w:t>Issues</w:t>
            </w:r>
          </w:p>
        </w:tc>
        <w:tc>
          <w:tcPr>
            <w:tcW w:w="1454" w:type="dxa"/>
            <w:tcBorders>
              <w:bottom w:val="single" w:sz="4" w:space="0" w:color="auto"/>
            </w:tcBorders>
            <w:vAlign w:val="center"/>
          </w:tcPr>
          <w:p w:rsidR="008149DF" w:rsidRPr="002B49F2" w:rsidP="00F014F2" w14:paraId="1B7025FC" w14:textId="00FFD874">
            <w:pPr>
              <w:jc w:val="center"/>
              <w:rPr>
                <w:rFonts w:ascii="Arial" w:hAnsi="Arial" w:cs="Arial"/>
                <w:b/>
                <w:sz w:val="20"/>
                <w:szCs w:val="20"/>
              </w:rPr>
            </w:pPr>
            <w:r w:rsidRPr="002B49F2">
              <w:rPr>
                <w:rFonts w:ascii="Arial" w:hAnsi="Arial" w:cs="Arial"/>
                <w:b/>
                <w:sz w:val="20"/>
                <w:szCs w:val="20"/>
              </w:rPr>
              <w:t xml:space="preserve">Burden Hours per </w:t>
            </w:r>
            <w:r w:rsidRPr="002B49F2" w:rsidR="00075378">
              <w:rPr>
                <w:rFonts w:ascii="Arial" w:hAnsi="Arial" w:cs="Arial"/>
                <w:b/>
                <w:sz w:val="20"/>
                <w:szCs w:val="20"/>
              </w:rPr>
              <w:t>Issue</w:t>
            </w:r>
          </w:p>
        </w:tc>
        <w:tc>
          <w:tcPr>
            <w:tcW w:w="1581" w:type="dxa"/>
            <w:tcBorders>
              <w:bottom w:val="single" w:sz="4" w:space="0" w:color="auto"/>
            </w:tcBorders>
            <w:vAlign w:val="center"/>
          </w:tcPr>
          <w:p w:rsidR="008149DF" w:rsidRPr="002B49F2" w:rsidP="00F014F2" w14:paraId="386DEDF2" w14:textId="214A5F01">
            <w:pPr>
              <w:jc w:val="center"/>
              <w:rPr>
                <w:rFonts w:ascii="Arial" w:hAnsi="Arial" w:cs="Arial"/>
                <w:b/>
                <w:sz w:val="20"/>
                <w:szCs w:val="20"/>
              </w:rPr>
            </w:pPr>
            <w:r w:rsidRPr="002B49F2">
              <w:rPr>
                <w:rFonts w:ascii="Arial" w:hAnsi="Arial" w:cs="Arial"/>
                <w:b/>
                <w:sz w:val="20"/>
                <w:szCs w:val="20"/>
              </w:rPr>
              <w:t>Total Annual Burden Hours</w:t>
            </w:r>
          </w:p>
        </w:tc>
        <w:tc>
          <w:tcPr>
            <w:tcW w:w="1630" w:type="dxa"/>
            <w:tcBorders>
              <w:bottom w:val="single" w:sz="4" w:space="0" w:color="auto"/>
            </w:tcBorders>
            <w:vAlign w:val="center"/>
          </w:tcPr>
          <w:p w:rsidR="008149DF" w:rsidRPr="002B49F2" w:rsidP="00F014F2" w14:paraId="6C4E2CA3" w14:textId="6092F9D0">
            <w:pPr>
              <w:jc w:val="center"/>
              <w:rPr>
                <w:rFonts w:ascii="Arial" w:hAnsi="Arial" w:cs="Arial"/>
                <w:b/>
                <w:sz w:val="20"/>
                <w:szCs w:val="20"/>
              </w:rPr>
            </w:pPr>
            <w:r w:rsidRPr="002B49F2">
              <w:rPr>
                <w:rFonts w:ascii="Arial" w:hAnsi="Arial" w:cs="Arial"/>
                <w:b/>
                <w:sz w:val="20"/>
                <w:szCs w:val="20"/>
              </w:rPr>
              <w:t xml:space="preserve">Cost @ </w:t>
            </w:r>
            <w:r w:rsidRPr="002B49F2" w:rsidR="009C2EFB">
              <w:rPr>
                <w:rFonts w:ascii="Arial" w:hAnsi="Arial" w:cs="Arial"/>
                <w:b/>
                <w:sz w:val="20"/>
                <w:szCs w:val="20"/>
              </w:rPr>
              <w:t>$</w:t>
            </w:r>
            <w:r w:rsidRPr="002B49F2">
              <w:rPr>
                <w:rFonts w:ascii="Arial" w:hAnsi="Arial" w:cs="Arial"/>
                <w:b/>
                <w:sz w:val="20"/>
                <w:szCs w:val="20"/>
              </w:rPr>
              <w:t>290/hour</w:t>
            </w:r>
          </w:p>
        </w:tc>
      </w:tr>
      <w:tr w14:paraId="66B2CD19" w14:textId="77777777" w:rsidTr="0065132F">
        <w:tblPrEx>
          <w:tblW w:w="12870" w:type="dxa"/>
          <w:tblInd w:w="175" w:type="dxa"/>
          <w:tblLayout w:type="fixed"/>
          <w:tblLook w:val="04A0"/>
        </w:tblPrEx>
        <w:tc>
          <w:tcPr>
            <w:tcW w:w="3690" w:type="dxa"/>
          </w:tcPr>
          <w:p w:rsidR="008149DF" w:rsidRPr="002B49F2" w:rsidP="00F04C52" w14:paraId="4DA45906" w14:textId="64D7B133">
            <w:pPr>
              <w:rPr>
                <w:rFonts w:ascii="Arial" w:hAnsi="Arial" w:cs="Arial"/>
                <w:sz w:val="20"/>
                <w:szCs w:val="20"/>
              </w:rPr>
            </w:pPr>
            <w:r w:rsidRPr="002B49F2">
              <w:rPr>
                <w:rFonts w:ascii="Arial" w:hAnsi="Arial" w:cs="Arial"/>
                <w:sz w:val="20"/>
                <w:szCs w:val="20"/>
              </w:rPr>
              <w:t>Groundwater quality degradation (plants with cooling ponds) (Category</w:t>
            </w:r>
            <w:r w:rsidRPr="002B49F2" w:rsidR="00904FD8">
              <w:rPr>
                <w:rFonts w:ascii="Arial" w:hAnsi="Arial" w:cs="Arial"/>
                <w:sz w:val="20"/>
                <w:szCs w:val="20"/>
              </w:rPr>
              <w:t> </w:t>
            </w:r>
            <w:r w:rsidRPr="002B49F2">
              <w:rPr>
                <w:rFonts w:ascii="Arial" w:hAnsi="Arial" w:cs="Arial"/>
                <w:sz w:val="20"/>
                <w:szCs w:val="20"/>
              </w:rPr>
              <w:t>2)</w:t>
            </w:r>
            <w:r>
              <w:rPr>
                <w:rStyle w:val="FootnoteReference"/>
                <w:rFonts w:ascii="Arial" w:hAnsi="Arial" w:cs="Arial"/>
                <w:sz w:val="20"/>
                <w:szCs w:val="20"/>
              </w:rPr>
              <w:footnoteReference w:id="6"/>
            </w:r>
          </w:p>
        </w:tc>
        <w:tc>
          <w:tcPr>
            <w:tcW w:w="1515" w:type="dxa"/>
            <w:vAlign w:val="center"/>
          </w:tcPr>
          <w:p w:rsidR="008149DF" w:rsidRPr="002B49F2" w:rsidP="00C33E57" w14:paraId="34F82BDF" w14:textId="721F8513">
            <w:pPr>
              <w:jc w:val="center"/>
              <w:rPr>
                <w:rFonts w:ascii="Arial" w:hAnsi="Arial" w:cs="Arial"/>
                <w:sz w:val="22"/>
                <w:szCs w:val="22"/>
              </w:rPr>
            </w:pPr>
            <w:r w:rsidRPr="002B49F2">
              <w:rPr>
                <w:rFonts w:ascii="Arial" w:hAnsi="Arial" w:cs="Arial"/>
                <w:sz w:val="22"/>
                <w:szCs w:val="22"/>
              </w:rPr>
              <w:t>0.3</w:t>
            </w:r>
          </w:p>
        </w:tc>
        <w:tc>
          <w:tcPr>
            <w:tcW w:w="1725" w:type="dxa"/>
            <w:vAlign w:val="center"/>
          </w:tcPr>
          <w:p w:rsidR="008149DF" w:rsidRPr="002B49F2" w:rsidP="00C33E57" w14:paraId="494DE373" w14:textId="63217B38">
            <w:pPr>
              <w:jc w:val="center"/>
              <w:rPr>
                <w:rFonts w:ascii="Arial" w:hAnsi="Arial" w:cs="Arial"/>
                <w:sz w:val="22"/>
                <w:szCs w:val="22"/>
              </w:rPr>
            </w:pPr>
            <w:r w:rsidRPr="002B49F2">
              <w:rPr>
                <w:rFonts w:ascii="Arial" w:hAnsi="Arial" w:cs="Arial"/>
                <w:sz w:val="22"/>
                <w:szCs w:val="22"/>
              </w:rPr>
              <w:t>1</w:t>
            </w:r>
          </w:p>
        </w:tc>
        <w:tc>
          <w:tcPr>
            <w:tcW w:w="1275" w:type="dxa"/>
            <w:vAlign w:val="center"/>
          </w:tcPr>
          <w:p w:rsidR="008149DF" w:rsidRPr="002B49F2" w:rsidP="00C33E57" w14:paraId="2FB7EB0C" w14:textId="5DD94FF8">
            <w:pPr>
              <w:jc w:val="center"/>
              <w:rPr>
                <w:rFonts w:ascii="Arial" w:hAnsi="Arial" w:cs="Arial"/>
                <w:sz w:val="22"/>
                <w:szCs w:val="22"/>
              </w:rPr>
            </w:pPr>
            <w:r w:rsidRPr="002B49F2">
              <w:rPr>
                <w:rFonts w:ascii="Arial" w:hAnsi="Arial" w:cs="Arial"/>
                <w:sz w:val="22"/>
                <w:szCs w:val="22"/>
              </w:rPr>
              <w:t>0</w:t>
            </w:r>
            <w:r w:rsidRPr="002B49F2" w:rsidR="002113AB">
              <w:rPr>
                <w:rFonts w:ascii="Arial" w:hAnsi="Arial" w:cs="Arial"/>
                <w:sz w:val="22"/>
                <w:szCs w:val="22"/>
              </w:rPr>
              <w:t>.3</w:t>
            </w:r>
          </w:p>
        </w:tc>
        <w:tc>
          <w:tcPr>
            <w:tcW w:w="1454" w:type="dxa"/>
            <w:vAlign w:val="center"/>
          </w:tcPr>
          <w:p w:rsidR="008149DF" w:rsidRPr="002B49F2" w:rsidP="00C33E57" w14:paraId="3DC0E774" w14:textId="36CCEA93">
            <w:pPr>
              <w:jc w:val="center"/>
              <w:rPr>
                <w:rFonts w:ascii="Arial" w:hAnsi="Arial" w:cs="Arial"/>
                <w:sz w:val="22"/>
                <w:szCs w:val="22"/>
              </w:rPr>
            </w:pPr>
            <w:r w:rsidRPr="002B49F2">
              <w:rPr>
                <w:rFonts w:ascii="Arial" w:hAnsi="Arial" w:cs="Arial"/>
                <w:sz w:val="22"/>
                <w:szCs w:val="22"/>
              </w:rPr>
              <w:t>286</w:t>
            </w:r>
          </w:p>
        </w:tc>
        <w:tc>
          <w:tcPr>
            <w:tcW w:w="1581" w:type="dxa"/>
            <w:vAlign w:val="center"/>
          </w:tcPr>
          <w:p w:rsidR="008149DF" w:rsidRPr="002B49F2" w:rsidP="00C33E57" w14:paraId="2C7C1A8B" w14:textId="74DDCB3C">
            <w:pPr>
              <w:jc w:val="center"/>
              <w:rPr>
                <w:rFonts w:ascii="Arial" w:hAnsi="Arial" w:cs="Arial"/>
                <w:sz w:val="22"/>
                <w:szCs w:val="22"/>
              </w:rPr>
            </w:pPr>
            <w:r w:rsidRPr="002B49F2">
              <w:rPr>
                <w:rFonts w:ascii="Arial" w:hAnsi="Arial" w:cs="Arial"/>
                <w:sz w:val="22"/>
                <w:szCs w:val="22"/>
              </w:rPr>
              <w:t>85</w:t>
            </w:r>
            <w:r w:rsidRPr="002B49F2" w:rsidR="007F3B9E">
              <w:rPr>
                <w:rFonts w:ascii="Arial" w:hAnsi="Arial" w:cs="Arial"/>
                <w:sz w:val="22"/>
                <w:szCs w:val="22"/>
              </w:rPr>
              <w:t>.8</w:t>
            </w:r>
          </w:p>
        </w:tc>
        <w:tc>
          <w:tcPr>
            <w:tcW w:w="1630" w:type="dxa"/>
            <w:vAlign w:val="center"/>
          </w:tcPr>
          <w:p w:rsidR="008149DF" w:rsidRPr="002B49F2" w:rsidP="00C33E57" w14:paraId="30131253" w14:textId="2BD2B9F9">
            <w:pPr>
              <w:jc w:val="center"/>
              <w:rPr>
                <w:rFonts w:ascii="Arial" w:hAnsi="Arial" w:cs="Arial"/>
                <w:sz w:val="22"/>
                <w:szCs w:val="22"/>
              </w:rPr>
            </w:pPr>
            <w:r w:rsidRPr="002B49F2">
              <w:rPr>
                <w:rFonts w:ascii="Arial" w:hAnsi="Arial" w:cs="Arial"/>
                <w:sz w:val="22"/>
                <w:szCs w:val="22"/>
              </w:rPr>
              <w:t>$24,882</w:t>
            </w:r>
          </w:p>
        </w:tc>
      </w:tr>
      <w:tr w14:paraId="3579DD0F" w14:textId="77777777" w:rsidTr="0065132F">
        <w:tblPrEx>
          <w:tblW w:w="12870" w:type="dxa"/>
          <w:tblInd w:w="175" w:type="dxa"/>
          <w:tblLayout w:type="fixed"/>
          <w:tblLook w:val="04A0"/>
        </w:tblPrEx>
        <w:tc>
          <w:tcPr>
            <w:tcW w:w="3690" w:type="dxa"/>
          </w:tcPr>
          <w:p w:rsidR="004C0A12" w:rsidRPr="002B49F2" w:rsidP="004C0A12" w14:paraId="747314D7" w14:textId="31CDF7ED">
            <w:pPr>
              <w:rPr>
                <w:rFonts w:ascii="Arial" w:hAnsi="Arial" w:cs="Arial"/>
                <w:sz w:val="20"/>
                <w:szCs w:val="20"/>
              </w:rPr>
            </w:pPr>
            <w:r w:rsidRPr="002B49F2">
              <w:rPr>
                <w:rFonts w:ascii="Arial" w:hAnsi="Arial" w:cs="Arial"/>
                <w:sz w:val="20"/>
                <w:szCs w:val="20"/>
              </w:rPr>
              <w:t>Impingement mortality and entrainment of aquatic organisms (plants with once-through cooling systems or cooling ponds) (Category 2)</w:t>
            </w:r>
          </w:p>
        </w:tc>
        <w:tc>
          <w:tcPr>
            <w:tcW w:w="1515" w:type="dxa"/>
            <w:vAlign w:val="center"/>
          </w:tcPr>
          <w:p w:rsidR="004C0A12" w:rsidRPr="002B49F2" w:rsidP="004C0A12" w14:paraId="7DF3775C" w14:textId="1680F833">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1DFCB13C" w14:textId="6CBE82BC">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0036FCFC" w14:textId="5426CE91">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58940D10" w14:textId="69954A54">
            <w:pPr>
              <w:jc w:val="center"/>
              <w:rPr>
                <w:rFonts w:ascii="Arial" w:hAnsi="Arial" w:cs="Arial"/>
                <w:sz w:val="22"/>
                <w:szCs w:val="22"/>
              </w:rPr>
            </w:pPr>
            <w:r w:rsidRPr="002B49F2">
              <w:rPr>
                <w:rFonts w:ascii="Arial" w:hAnsi="Arial" w:cs="Arial"/>
                <w:sz w:val="22"/>
                <w:szCs w:val="22"/>
              </w:rPr>
              <w:t>286</w:t>
            </w:r>
          </w:p>
        </w:tc>
        <w:tc>
          <w:tcPr>
            <w:tcW w:w="1581" w:type="dxa"/>
            <w:vAlign w:val="center"/>
          </w:tcPr>
          <w:p w:rsidR="004C0A12" w:rsidRPr="002B49F2" w:rsidP="004C0A12" w14:paraId="42C5FD86" w14:textId="1D0F315C">
            <w:pPr>
              <w:jc w:val="center"/>
              <w:rPr>
                <w:rFonts w:ascii="Arial" w:hAnsi="Arial" w:cs="Arial"/>
                <w:sz w:val="22"/>
                <w:szCs w:val="22"/>
              </w:rPr>
            </w:pPr>
            <w:r w:rsidRPr="002B49F2">
              <w:rPr>
                <w:rFonts w:ascii="Arial" w:hAnsi="Arial" w:cs="Arial"/>
                <w:sz w:val="22"/>
                <w:szCs w:val="22"/>
              </w:rPr>
              <w:t>943.8</w:t>
            </w:r>
          </w:p>
        </w:tc>
        <w:tc>
          <w:tcPr>
            <w:tcW w:w="1630" w:type="dxa"/>
            <w:vAlign w:val="center"/>
          </w:tcPr>
          <w:p w:rsidR="004C0A12" w:rsidRPr="002B49F2" w:rsidP="004C0A12" w14:paraId="409BD652" w14:textId="7A06D563">
            <w:pPr>
              <w:jc w:val="center"/>
              <w:rPr>
                <w:rFonts w:ascii="Arial" w:hAnsi="Arial" w:cs="Arial"/>
                <w:sz w:val="22"/>
                <w:szCs w:val="22"/>
              </w:rPr>
            </w:pPr>
            <w:r w:rsidRPr="002B49F2">
              <w:rPr>
                <w:rFonts w:ascii="Arial" w:hAnsi="Arial" w:cs="Arial"/>
                <w:sz w:val="22"/>
                <w:szCs w:val="22"/>
              </w:rPr>
              <w:t>$273,702</w:t>
            </w:r>
          </w:p>
        </w:tc>
      </w:tr>
      <w:tr w14:paraId="10542A4F" w14:textId="77777777" w:rsidTr="0065132F">
        <w:tblPrEx>
          <w:tblW w:w="12870" w:type="dxa"/>
          <w:tblInd w:w="175" w:type="dxa"/>
          <w:tblLayout w:type="fixed"/>
          <w:tblLook w:val="04A0"/>
        </w:tblPrEx>
        <w:tc>
          <w:tcPr>
            <w:tcW w:w="3690" w:type="dxa"/>
          </w:tcPr>
          <w:p w:rsidR="004C0A12" w:rsidRPr="002B49F2" w:rsidP="004C0A12" w14:paraId="1F22570D" w14:textId="414F1FB7">
            <w:pPr>
              <w:rPr>
                <w:rFonts w:ascii="Arial" w:hAnsi="Arial" w:cs="Arial"/>
                <w:sz w:val="20"/>
                <w:szCs w:val="20"/>
              </w:rPr>
            </w:pPr>
            <w:r w:rsidRPr="002B49F2">
              <w:rPr>
                <w:rFonts w:ascii="Arial" w:hAnsi="Arial" w:cs="Arial"/>
                <w:sz w:val="20"/>
                <w:szCs w:val="20"/>
              </w:rPr>
              <w:t>Endangered Species Act: federally listed species and critical habitats under U.S. Fish and Wildlife jurisdiction (Category 2)</w:t>
            </w:r>
          </w:p>
        </w:tc>
        <w:tc>
          <w:tcPr>
            <w:tcW w:w="1515" w:type="dxa"/>
            <w:vAlign w:val="center"/>
          </w:tcPr>
          <w:p w:rsidR="004C0A12" w:rsidRPr="002B49F2" w:rsidP="004C0A12" w14:paraId="037255F5" w14:textId="63AA47B4">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151043B0" w14:textId="168DA354">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54584F60" w14:textId="53834EDB">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5AE9F8A1" w14:textId="30E9F211">
            <w:pPr>
              <w:jc w:val="center"/>
              <w:rPr>
                <w:rFonts w:ascii="Arial" w:hAnsi="Arial" w:cs="Arial"/>
                <w:sz w:val="22"/>
                <w:szCs w:val="22"/>
              </w:rPr>
            </w:pPr>
            <w:r w:rsidRPr="002B49F2">
              <w:rPr>
                <w:rFonts w:ascii="Arial" w:hAnsi="Arial" w:cs="Arial"/>
                <w:sz w:val="22"/>
                <w:szCs w:val="22"/>
              </w:rPr>
              <w:t>254</w:t>
            </w:r>
          </w:p>
        </w:tc>
        <w:tc>
          <w:tcPr>
            <w:tcW w:w="1581" w:type="dxa"/>
            <w:vAlign w:val="center"/>
          </w:tcPr>
          <w:p w:rsidR="004C0A12" w:rsidRPr="002B49F2" w:rsidP="004C0A12" w14:paraId="5CF421C3" w14:textId="01D9CD07">
            <w:pPr>
              <w:jc w:val="center"/>
              <w:rPr>
                <w:rFonts w:ascii="Arial" w:hAnsi="Arial" w:cs="Arial"/>
                <w:sz w:val="22"/>
                <w:szCs w:val="22"/>
              </w:rPr>
            </w:pPr>
            <w:r w:rsidRPr="002B49F2">
              <w:rPr>
                <w:rFonts w:ascii="Arial" w:hAnsi="Arial" w:cs="Arial"/>
                <w:sz w:val="22"/>
                <w:szCs w:val="22"/>
              </w:rPr>
              <w:t>838.2</w:t>
            </w:r>
          </w:p>
        </w:tc>
        <w:tc>
          <w:tcPr>
            <w:tcW w:w="1630" w:type="dxa"/>
            <w:vAlign w:val="center"/>
          </w:tcPr>
          <w:p w:rsidR="004C0A12" w:rsidRPr="002B49F2" w:rsidP="004C0A12" w14:paraId="1CC0178C" w14:textId="46A1F1C1">
            <w:pPr>
              <w:jc w:val="center"/>
              <w:rPr>
                <w:rFonts w:ascii="Arial" w:hAnsi="Arial" w:cs="Arial"/>
                <w:sz w:val="22"/>
                <w:szCs w:val="22"/>
              </w:rPr>
            </w:pPr>
            <w:r w:rsidRPr="002B49F2">
              <w:rPr>
                <w:rFonts w:ascii="Arial" w:hAnsi="Arial" w:cs="Arial"/>
                <w:sz w:val="22"/>
                <w:szCs w:val="22"/>
              </w:rPr>
              <w:t>$243,078</w:t>
            </w:r>
          </w:p>
        </w:tc>
      </w:tr>
      <w:tr w14:paraId="13A7B1A1" w14:textId="77777777" w:rsidTr="0065132F">
        <w:tblPrEx>
          <w:tblW w:w="12870" w:type="dxa"/>
          <w:tblInd w:w="175" w:type="dxa"/>
          <w:tblLayout w:type="fixed"/>
          <w:tblLook w:val="04A0"/>
        </w:tblPrEx>
        <w:tc>
          <w:tcPr>
            <w:tcW w:w="3690" w:type="dxa"/>
          </w:tcPr>
          <w:p w:rsidR="004C0A12" w:rsidRPr="002B49F2" w:rsidP="004C0A12" w14:paraId="07E7C104" w14:textId="3B5664D7">
            <w:pPr>
              <w:rPr>
                <w:rFonts w:ascii="Arial" w:hAnsi="Arial" w:cs="Arial"/>
                <w:sz w:val="20"/>
                <w:szCs w:val="20"/>
              </w:rPr>
            </w:pPr>
            <w:r w:rsidRPr="002B49F2">
              <w:rPr>
                <w:rFonts w:ascii="Arial" w:hAnsi="Arial" w:cs="Arial"/>
                <w:sz w:val="20"/>
                <w:szCs w:val="20"/>
              </w:rPr>
              <w:t>Endangered Species Act: federally listed species and critical habitats under National Marine Fisheries Service jurisdiction (Category 2)</w:t>
            </w:r>
          </w:p>
        </w:tc>
        <w:tc>
          <w:tcPr>
            <w:tcW w:w="1515" w:type="dxa"/>
            <w:vAlign w:val="center"/>
          </w:tcPr>
          <w:p w:rsidR="004C0A12" w:rsidRPr="002B49F2" w:rsidP="004C0A12" w14:paraId="60E45F4A" w14:textId="52BF864F">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13ABF8D1" w14:textId="189078C4">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34287380" w14:textId="2E0F5B96">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0EE3B245" w14:textId="2E381515">
            <w:pPr>
              <w:jc w:val="center"/>
              <w:rPr>
                <w:rFonts w:ascii="Arial" w:hAnsi="Arial" w:cs="Arial"/>
                <w:sz w:val="22"/>
                <w:szCs w:val="22"/>
              </w:rPr>
            </w:pPr>
            <w:r w:rsidRPr="002B49F2">
              <w:rPr>
                <w:rFonts w:ascii="Arial" w:hAnsi="Arial" w:cs="Arial"/>
                <w:sz w:val="22"/>
                <w:szCs w:val="22"/>
              </w:rPr>
              <w:t>254</w:t>
            </w:r>
          </w:p>
        </w:tc>
        <w:tc>
          <w:tcPr>
            <w:tcW w:w="1581" w:type="dxa"/>
            <w:vAlign w:val="center"/>
          </w:tcPr>
          <w:p w:rsidR="004C0A12" w:rsidRPr="002B49F2" w:rsidP="004C0A12" w14:paraId="503AC075" w14:textId="611461F5">
            <w:pPr>
              <w:jc w:val="center"/>
              <w:rPr>
                <w:rFonts w:ascii="Arial" w:hAnsi="Arial" w:cs="Arial"/>
                <w:sz w:val="22"/>
                <w:szCs w:val="22"/>
              </w:rPr>
            </w:pPr>
            <w:r w:rsidRPr="002B49F2">
              <w:rPr>
                <w:rFonts w:ascii="Arial" w:hAnsi="Arial" w:cs="Arial"/>
                <w:sz w:val="22"/>
                <w:szCs w:val="22"/>
              </w:rPr>
              <w:t>838.2</w:t>
            </w:r>
          </w:p>
        </w:tc>
        <w:tc>
          <w:tcPr>
            <w:tcW w:w="1630" w:type="dxa"/>
            <w:vAlign w:val="center"/>
          </w:tcPr>
          <w:p w:rsidR="004C0A12" w:rsidRPr="002B49F2" w:rsidP="004C0A12" w14:paraId="78F6159A" w14:textId="1B66C0F2">
            <w:pPr>
              <w:jc w:val="center"/>
              <w:rPr>
                <w:rFonts w:ascii="Arial" w:hAnsi="Arial" w:cs="Arial"/>
                <w:sz w:val="22"/>
                <w:szCs w:val="22"/>
              </w:rPr>
            </w:pPr>
            <w:r w:rsidRPr="002B49F2">
              <w:rPr>
                <w:rFonts w:ascii="Arial" w:hAnsi="Arial" w:cs="Arial"/>
                <w:sz w:val="22"/>
                <w:szCs w:val="22"/>
              </w:rPr>
              <w:t>$243,078</w:t>
            </w:r>
          </w:p>
        </w:tc>
      </w:tr>
      <w:tr w14:paraId="18B80424" w14:textId="77777777" w:rsidTr="0065132F">
        <w:tblPrEx>
          <w:tblW w:w="12870" w:type="dxa"/>
          <w:tblInd w:w="175" w:type="dxa"/>
          <w:tblLayout w:type="fixed"/>
          <w:tblLook w:val="04A0"/>
        </w:tblPrEx>
        <w:tc>
          <w:tcPr>
            <w:tcW w:w="3690" w:type="dxa"/>
          </w:tcPr>
          <w:p w:rsidR="004C0A12" w:rsidRPr="002B49F2" w:rsidP="004C0A12" w14:paraId="23562A8F" w14:textId="24DB4321">
            <w:pPr>
              <w:rPr>
                <w:rFonts w:ascii="Arial" w:hAnsi="Arial" w:cs="Arial"/>
                <w:sz w:val="20"/>
                <w:szCs w:val="20"/>
              </w:rPr>
            </w:pPr>
            <w:r w:rsidRPr="002B49F2">
              <w:rPr>
                <w:rFonts w:ascii="Arial" w:hAnsi="Arial" w:cs="Arial"/>
                <w:sz w:val="20"/>
                <w:szCs w:val="20"/>
              </w:rPr>
              <w:t>Magnuson-Stevens Act: essential fish habitat (Category 2)</w:t>
            </w:r>
          </w:p>
        </w:tc>
        <w:tc>
          <w:tcPr>
            <w:tcW w:w="1515" w:type="dxa"/>
            <w:vAlign w:val="center"/>
          </w:tcPr>
          <w:p w:rsidR="004C0A12" w:rsidRPr="002B49F2" w:rsidP="004C0A12" w14:paraId="3BAB64D9" w14:textId="7975B88A">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707C60A3" w14:textId="34356EF5">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3948BBD0" w14:textId="742D4E01">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3659F261" w14:textId="4D093BA0">
            <w:pPr>
              <w:jc w:val="center"/>
              <w:rPr>
                <w:rFonts w:ascii="Arial" w:hAnsi="Arial" w:cs="Arial"/>
                <w:sz w:val="22"/>
                <w:szCs w:val="22"/>
              </w:rPr>
            </w:pPr>
            <w:r w:rsidRPr="002B49F2">
              <w:rPr>
                <w:rFonts w:ascii="Arial" w:hAnsi="Arial" w:cs="Arial"/>
                <w:sz w:val="22"/>
                <w:szCs w:val="22"/>
              </w:rPr>
              <w:t>254</w:t>
            </w:r>
          </w:p>
        </w:tc>
        <w:tc>
          <w:tcPr>
            <w:tcW w:w="1581" w:type="dxa"/>
            <w:vAlign w:val="center"/>
          </w:tcPr>
          <w:p w:rsidR="004C0A12" w:rsidRPr="002B49F2" w:rsidP="004C0A12" w14:paraId="33B44895" w14:textId="65FED14A">
            <w:pPr>
              <w:jc w:val="center"/>
              <w:rPr>
                <w:rFonts w:ascii="Arial" w:hAnsi="Arial" w:cs="Arial"/>
                <w:sz w:val="22"/>
                <w:szCs w:val="22"/>
              </w:rPr>
            </w:pPr>
            <w:r w:rsidRPr="002B49F2">
              <w:rPr>
                <w:rFonts w:ascii="Arial" w:hAnsi="Arial" w:cs="Arial"/>
                <w:sz w:val="22"/>
                <w:szCs w:val="22"/>
              </w:rPr>
              <w:t>838.2</w:t>
            </w:r>
          </w:p>
        </w:tc>
        <w:tc>
          <w:tcPr>
            <w:tcW w:w="1630" w:type="dxa"/>
            <w:vAlign w:val="center"/>
          </w:tcPr>
          <w:p w:rsidR="004C0A12" w:rsidRPr="002B49F2" w:rsidP="004C0A12" w14:paraId="265151B3" w14:textId="5004D5F6">
            <w:pPr>
              <w:jc w:val="center"/>
              <w:rPr>
                <w:rFonts w:ascii="Arial" w:hAnsi="Arial" w:cs="Arial"/>
                <w:sz w:val="22"/>
                <w:szCs w:val="22"/>
              </w:rPr>
            </w:pPr>
            <w:r w:rsidRPr="002B49F2">
              <w:rPr>
                <w:rFonts w:ascii="Arial" w:hAnsi="Arial" w:cs="Arial"/>
                <w:sz w:val="22"/>
                <w:szCs w:val="22"/>
              </w:rPr>
              <w:t>$243,078</w:t>
            </w:r>
          </w:p>
        </w:tc>
      </w:tr>
      <w:tr w14:paraId="2643EAEB" w14:textId="77777777" w:rsidTr="0065132F">
        <w:tblPrEx>
          <w:tblW w:w="12870" w:type="dxa"/>
          <w:tblInd w:w="175" w:type="dxa"/>
          <w:tblLayout w:type="fixed"/>
          <w:tblLook w:val="04A0"/>
        </w:tblPrEx>
        <w:tc>
          <w:tcPr>
            <w:tcW w:w="3690" w:type="dxa"/>
          </w:tcPr>
          <w:p w:rsidR="004C0A12" w:rsidRPr="002B49F2" w:rsidP="004C0A12" w14:paraId="668390D3" w14:textId="0425C9F7">
            <w:pPr>
              <w:rPr>
                <w:rFonts w:ascii="Arial" w:hAnsi="Arial" w:cs="Arial"/>
                <w:sz w:val="20"/>
                <w:szCs w:val="20"/>
              </w:rPr>
            </w:pPr>
            <w:r w:rsidRPr="002B49F2">
              <w:rPr>
                <w:rFonts w:ascii="Arial" w:hAnsi="Arial" w:cs="Arial"/>
                <w:sz w:val="20"/>
                <w:szCs w:val="20"/>
              </w:rPr>
              <w:t>National Marine Sanctuaries Act: sanctuary resources (Category 2)</w:t>
            </w:r>
          </w:p>
        </w:tc>
        <w:tc>
          <w:tcPr>
            <w:tcW w:w="1515" w:type="dxa"/>
            <w:vAlign w:val="center"/>
          </w:tcPr>
          <w:p w:rsidR="004C0A12" w:rsidRPr="002B49F2" w:rsidP="004C0A12" w14:paraId="6057CDE2" w14:textId="00EE8B58">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0D2B4759" w14:textId="5A645661">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23825223" w14:textId="772E6E72">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5995C5EE" w14:textId="7DFD56A7">
            <w:pPr>
              <w:jc w:val="center"/>
              <w:rPr>
                <w:rFonts w:ascii="Arial" w:hAnsi="Arial" w:cs="Arial"/>
                <w:sz w:val="22"/>
                <w:szCs w:val="22"/>
              </w:rPr>
            </w:pPr>
            <w:r w:rsidRPr="002B49F2">
              <w:rPr>
                <w:rFonts w:ascii="Arial" w:hAnsi="Arial" w:cs="Arial"/>
                <w:sz w:val="22"/>
                <w:szCs w:val="22"/>
              </w:rPr>
              <w:t>381</w:t>
            </w:r>
          </w:p>
        </w:tc>
        <w:tc>
          <w:tcPr>
            <w:tcW w:w="1581" w:type="dxa"/>
            <w:vAlign w:val="center"/>
          </w:tcPr>
          <w:p w:rsidR="004C0A12" w:rsidRPr="002B49F2" w:rsidP="004C0A12" w14:paraId="61D724A9" w14:textId="1DAA58B2">
            <w:pPr>
              <w:jc w:val="center"/>
              <w:rPr>
                <w:rFonts w:ascii="Arial" w:hAnsi="Arial" w:cs="Arial"/>
                <w:sz w:val="22"/>
                <w:szCs w:val="22"/>
              </w:rPr>
            </w:pPr>
            <w:r w:rsidRPr="002B49F2">
              <w:rPr>
                <w:rFonts w:ascii="Arial" w:hAnsi="Arial" w:cs="Arial"/>
                <w:sz w:val="22"/>
                <w:szCs w:val="22"/>
              </w:rPr>
              <w:t>1257.3</w:t>
            </w:r>
          </w:p>
        </w:tc>
        <w:tc>
          <w:tcPr>
            <w:tcW w:w="1630" w:type="dxa"/>
            <w:vAlign w:val="center"/>
          </w:tcPr>
          <w:p w:rsidR="004C0A12" w:rsidRPr="002B49F2" w:rsidP="004C0A12" w14:paraId="15A64223" w14:textId="4D317CDA">
            <w:pPr>
              <w:jc w:val="center"/>
              <w:rPr>
                <w:rFonts w:ascii="Arial" w:hAnsi="Arial" w:cs="Arial"/>
                <w:sz w:val="22"/>
                <w:szCs w:val="22"/>
              </w:rPr>
            </w:pPr>
            <w:r w:rsidRPr="002B49F2">
              <w:rPr>
                <w:rFonts w:ascii="Arial" w:hAnsi="Arial" w:cs="Arial"/>
                <w:sz w:val="22"/>
                <w:szCs w:val="22"/>
              </w:rPr>
              <w:t>$364,617</w:t>
            </w:r>
          </w:p>
        </w:tc>
      </w:tr>
      <w:tr w14:paraId="1FC4B9E9" w14:textId="77777777" w:rsidTr="0065132F">
        <w:tblPrEx>
          <w:tblW w:w="12870" w:type="dxa"/>
          <w:tblInd w:w="175" w:type="dxa"/>
          <w:tblLayout w:type="fixed"/>
          <w:tblLook w:val="04A0"/>
        </w:tblPrEx>
        <w:tc>
          <w:tcPr>
            <w:tcW w:w="3690" w:type="dxa"/>
          </w:tcPr>
          <w:p w:rsidR="004C0A12" w:rsidRPr="002B49F2" w:rsidP="004C0A12" w14:paraId="6267C39B" w14:textId="30271937">
            <w:pPr>
              <w:rPr>
                <w:rFonts w:ascii="Arial" w:hAnsi="Arial" w:cs="Arial"/>
                <w:sz w:val="20"/>
                <w:szCs w:val="20"/>
              </w:rPr>
            </w:pPr>
            <w:r w:rsidRPr="002B49F2">
              <w:rPr>
                <w:rFonts w:ascii="Arial" w:hAnsi="Arial" w:cs="Arial"/>
                <w:sz w:val="20"/>
                <w:szCs w:val="20"/>
              </w:rPr>
              <w:t>Greenhouse gas impacts on climate change (Category 1)</w:t>
            </w:r>
          </w:p>
        </w:tc>
        <w:tc>
          <w:tcPr>
            <w:tcW w:w="1515" w:type="dxa"/>
            <w:vAlign w:val="center"/>
          </w:tcPr>
          <w:p w:rsidR="004C0A12" w:rsidRPr="002B49F2" w:rsidP="004C0A12" w14:paraId="41C80500" w14:textId="5652B5E8">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440E86A1" w14:textId="3E197573">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317495DC" w14:textId="47E1F7B2">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60A5EFFD" w14:textId="3AB9373A">
            <w:pPr>
              <w:jc w:val="center"/>
              <w:rPr>
                <w:rFonts w:ascii="Arial" w:hAnsi="Arial" w:cs="Arial"/>
                <w:sz w:val="22"/>
                <w:szCs w:val="22"/>
              </w:rPr>
            </w:pPr>
            <w:r w:rsidRPr="002B49F2">
              <w:rPr>
                <w:rFonts w:ascii="Arial" w:hAnsi="Arial" w:cs="Arial"/>
                <w:sz w:val="22"/>
                <w:szCs w:val="22"/>
              </w:rPr>
              <w:t>95</w:t>
            </w:r>
          </w:p>
        </w:tc>
        <w:tc>
          <w:tcPr>
            <w:tcW w:w="1581" w:type="dxa"/>
            <w:vAlign w:val="center"/>
          </w:tcPr>
          <w:p w:rsidR="004C0A12" w:rsidRPr="002B49F2" w:rsidP="004C0A12" w14:paraId="58F4994C" w14:textId="2D91AFA4">
            <w:pPr>
              <w:jc w:val="center"/>
              <w:rPr>
                <w:rFonts w:ascii="Arial" w:hAnsi="Arial" w:cs="Arial"/>
                <w:sz w:val="22"/>
                <w:szCs w:val="22"/>
              </w:rPr>
            </w:pPr>
            <w:r w:rsidRPr="002B49F2">
              <w:rPr>
                <w:rFonts w:ascii="Arial" w:hAnsi="Arial" w:cs="Arial"/>
                <w:sz w:val="22"/>
                <w:szCs w:val="22"/>
              </w:rPr>
              <w:t>313.5</w:t>
            </w:r>
          </w:p>
        </w:tc>
        <w:tc>
          <w:tcPr>
            <w:tcW w:w="1630" w:type="dxa"/>
            <w:vAlign w:val="center"/>
          </w:tcPr>
          <w:p w:rsidR="004C0A12" w:rsidRPr="002B49F2" w:rsidP="004C0A12" w14:paraId="3AA9D107" w14:textId="3E5F0543">
            <w:pPr>
              <w:jc w:val="center"/>
              <w:rPr>
                <w:rFonts w:ascii="Arial" w:hAnsi="Arial" w:cs="Arial"/>
                <w:sz w:val="22"/>
                <w:szCs w:val="22"/>
              </w:rPr>
            </w:pPr>
            <w:r w:rsidRPr="002B49F2">
              <w:rPr>
                <w:rFonts w:ascii="Arial" w:hAnsi="Arial" w:cs="Arial"/>
                <w:sz w:val="22"/>
                <w:szCs w:val="22"/>
              </w:rPr>
              <w:t>$90,915</w:t>
            </w:r>
          </w:p>
        </w:tc>
      </w:tr>
      <w:tr w14:paraId="20057DDB" w14:textId="77777777" w:rsidTr="0065132F">
        <w:tblPrEx>
          <w:tblW w:w="12870" w:type="dxa"/>
          <w:tblInd w:w="175" w:type="dxa"/>
          <w:tblLayout w:type="fixed"/>
          <w:tblLook w:val="04A0"/>
        </w:tblPrEx>
        <w:tc>
          <w:tcPr>
            <w:tcW w:w="3690" w:type="dxa"/>
          </w:tcPr>
          <w:p w:rsidR="004C0A12" w:rsidRPr="002B49F2" w:rsidP="004C0A12" w14:paraId="269ABD53" w14:textId="3DD288EA">
            <w:pPr>
              <w:rPr>
                <w:rFonts w:ascii="Arial" w:hAnsi="Arial" w:cs="Arial"/>
                <w:sz w:val="20"/>
                <w:szCs w:val="20"/>
              </w:rPr>
            </w:pPr>
            <w:r w:rsidRPr="002B49F2">
              <w:rPr>
                <w:rFonts w:ascii="Arial" w:hAnsi="Arial" w:cs="Arial"/>
                <w:sz w:val="20"/>
                <w:szCs w:val="20"/>
              </w:rPr>
              <w:t>Greenhouse change impacts on environmental resources (Category 2)</w:t>
            </w:r>
          </w:p>
        </w:tc>
        <w:tc>
          <w:tcPr>
            <w:tcW w:w="1515" w:type="dxa"/>
            <w:vAlign w:val="center"/>
          </w:tcPr>
          <w:p w:rsidR="004C0A12" w:rsidRPr="002B49F2" w:rsidP="004C0A12" w14:paraId="195DF34B" w14:textId="71BB9364">
            <w:pPr>
              <w:jc w:val="center"/>
              <w:rPr>
                <w:rFonts w:ascii="Arial" w:hAnsi="Arial" w:cs="Arial"/>
                <w:sz w:val="22"/>
                <w:szCs w:val="22"/>
              </w:rPr>
            </w:pPr>
            <w:r w:rsidRPr="002B49F2">
              <w:rPr>
                <w:rFonts w:ascii="Arial" w:hAnsi="Arial" w:cs="Arial"/>
                <w:sz w:val="22"/>
                <w:szCs w:val="22"/>
              </w:rPr>
              <w:t>3.3</w:t>
            </w:r>
          </w:p>
        </w:tc>
        <w:tc>
          <w:tcPr>
            <w:tcW w:w="1725" w:type="dxa"/>
            <w:vAlign w:val="center"/>
          </w:tcPr>
          <w:p w:rsidR="004C0A12" w:rsidRPr="002B49F2" w:rsidP="004C0A12" w14:paraId="4EBA76D3" w14:textId="441262A2">
            <w:pPr>
              <w:jc w:val="center"/>
              <w:rPr>
                <w:rFonts w:ascii="Arial" w:hAnsi="Arial" w:cs="Arial"/>
                <w:sz w:val="22"/>
                <w:szCs w:val="22"/>
              </w:rPr>
            </w:pPr>
            <w:r w:rsidRPr="002B49F2">
              <w:rPr>
                <w:rFonts w:ascii="Arial" w:hAnsi="Arial" w:cs="Arial"/>
                <w:sz w:val="22"/>
                <w:szCs w:val="22"/>
              </w:rPr>
              <w:t>1</w:t>
            </w:r>
          </w:p>
        </w:tc>
        <w:tc>
          <w:tcPr>
            <w:tcW w:w="1275" w:type="dxa"/>
            <w:vAlign w:val="center"/>
          </w:tcPr>
          <w:p w:rsidR="004C0A12" w:rsidRPr="002B49F2" w:rsidP="004C0A12" w14:paraId="444B4B6E" w14:textId="3D2E90A7">
            <w:pPr>
              <w:jc w:val="center"/>
              <w:rPr>
                <w:rFonts w:ascii="Arial" w:hAnsi="Arial" w:cs="Arial"/>
                <w:sz w:val="22"/>
                <w:szCs w:val="22"/>
              </w:rPr>
            </w:pPr>
            <w:r w:rsidRPr="002B49F2">
              <w:rPr>
                <w:rFonts w:ascii="Arial" w:hAnsi="Arial" w:cs="Arial"/>
                <w:sz w:val="22"/>
                <w:szCs w:val="22"/>
              </w:rPr>
              <w:t>3.3</w:t>
            </w:r>
          </w:p>
        </w:tc>
        <w:tc>
          <w:tcPr>
            <w:tcW w:w="1454" w:type="dxa"/>
            <w:vAlign w:val="center"/>
          </w:tcPr>
          <w:p w:rsidR="004C0A12" w:rsidRPr="002B49F2" w:rsidP="004C0A12" w14:paraId="179983DE" w14:textId="135CEB67">
            <w:pPr>
              <w:jc w:val="center"/>
              <w:rPr>
                <w:rFonts w:ascii="Arial" w:hAnsi="Arial" w:cs="Arial"/>
                <w:sz w:val="22"/>
                <w:szCs w:val="22"/>
              </w:rPr>
            </w:pPr>
            <w:r w:rsidRPr="002B49F2">
              <w:rPr>
                <w:rFonts w:ascii="Arial" w:hAnsi="Arial" w:cs="Arial"/>
                <w:sz w:val="22"/>
                <w:szCs w:val="22"/>
              </w:rPr>
              <w:t>381</w:t>
            </w:r>
          </w:p>
        </w:tc>
        <w:tc>
          <w:tcPr>
            <w:tcW w:w="1581" w:type="dxa"/>
            <w:vAlign w:val="center"/>
          </w:tcPr>
          <w:p w:rsidR="004C0A12" w:rsidRPr="002B49F2" w:rsidP="004C0A12" w14:paraId="7764AB5E" w14:textId="1EE254F3">
            <w:pPr>
              <w:jc w:val="center"/>
              <w:rPr>
                <w:rFonts w:ascii="Arial" w:hAnsi="Arial" w:cs="Arial"/>
                <w:sz w:val="22"/>
                <w:szCs w:val="22"/>
              </w:rPr>
            </w:pPr>
            <w:r w:rsidRPr="002B49F2">
              <w:rPr>
                <w:rFonts w:ascii="Arial" w:hAnsi="Arial" w:cs="Arial"/>
                <w:sz w:val="22"/>
                <w:szCs w:val="22"/>
              </w:rPr>
              <w:t>1,257.3</w:t>
            </w:r>
          </w:p>
        </w:tc>
        <w:tc>
          <w:tcPr>
            <w:tcW w:w="1630" w:type="dxa"/>
            <w:vAlign w:val="center"/>
          </w:tcPr>
          <w:p w:rsidR="004C0A12" w:rsidRPr="002B49F2" w:rsidP="004C0A12" w14:paraId="6C0F3F8A" w14:textId="0FA2CEAD">
            <w:pPr>
              <w:jc w:val="center"/>
              <w:rPr>
                <w:rFonts w:ascii="Arial" w:hAnsi="Arial" w:cs="Arial"/>
                <w:sz w:val="22"/>
                <w:szCs w:val="22"/>
              </w:rPr>
            </w:pPr>
            <w:r w:rsidRPr="002B49F2">
              <w:rPr>
                <w:rFonts w:ascii="Arial" w:hAnsi="Arial" w:cs="Arial"/>
                <w:sz w:val="22"/>
                <w:szCs w:val="22"/>
              </w:rPr>
              <w:t>$364,617</w:t>
            </w:r>
          </w:p>
        </w:tc>
      </w:tr>
      <w:tr w14:paraId="013D1134" w14:textId="77777777" w:rsidTr="00EE60B9">
        <w:tblPrEx>
          <w:tblW w:w="12870" w:type="dxa"/>
          <w:tblInd w:w="175" w:type="dxa"/>
          <w:tblLayout w:type="fixed"/>
          <w:tblLook w:val="04A0"/>
        </w:tblPrEx>
        <w:tc>
          <w:tcPr>
            <w:tcW w:w="9659" w:type="dxa"/>
            <w:gridSpan w:val="5"/>
          </w:tcPr>
          <w:p w:rsidR="00E1439E" w:rsidRPr="002B49F2" w:rsidP="003C00AF" w14:paraId="72222248" w14:textId="77EAC33D">
            <w:pPr>
              <w:jc w:val="right"/>
              <w:rPr>
                <w:rFonts w:ascii="Arial" w:hAnsi="Arial" w:cs="Arial"/>
                <w:sz w:val="20"/>
                <w:szCs w:val="20"/>
              </w:rPr>
            </w:pPr>
            <w:r w:rsidRPr="002B49F2">
              <w:rPr>
                <w:rFonts w:ascii="Arial" w:hAnsi="Arial" w:cs="Arial"/>
                <w:b/>
                <w:sz w:val="20"/>
                <w:szCs w:val="20"/>
              </w:rPr>
              <w:t>Total Industry Burden Increase for Near-Term</w:t>
            </w:r>
            <w:r w:rsidRPr="002B49F2" w:rsidR="00D5235A">
              <w:rPr>
                <w:rFonts w:ascii="Arial" w:hAnsi="Arial" w:cs="Arial"/>
                <w:b/>
                <w:sz w:val="20"/>
                <w:szCs w:val="20"/>
              </w:rPr>
              <w:t xml:space="preserve"> and</w:t>
            </w:r>
            <w:r w:rsidRPr="002B49F2">
              <w:rPr>
                <w:rFonts w:ascii="Arial" w:hAnsi="Arial" w:cs="Arial"/>
                <w:b/>
                <w:sz w:val="20"/>
                <w:szCs w:val="20"/>
              </w:rPr>
              <w:t xml:space="preserve"> Submitted</w:t>
            </w:r>
            <w:r w:rsidRPr="002B49F2" w:rsidR="00D5235A">
              <w:rPr>
                <w:rFonts w:ascii="Arial" w:hAnsi="Arial" w:cs="Arial"/>
                <w:b/>
                <w:sz w:val="20"/>
                <w:szCs w:val="20"/>
              </w:rPr>
              <w:t xml:space="preserve"> Applications</w:t>
            </w:r>
            <w:r w:rsidRPr="002B49F2">
              <w:rPr>
                <w:rFonts w:ascii="Arial" w:hAnsi="Arial" w:cs="Arial"/>
                <w:b/>
                <w:sz w:val="20"/>
                <w:szCs w:val="20"/>
              </w:rPr>
              <w:t xml:space="preserve">, </w:t>
            </w:r>
            <w:r w:rsidRPr="002B49F2" w:rsidR="002332E7">
              <w:rPr>
                <w:rFonts w:ascii="Arial" w:hAnsi="Arial" w:cs="Arial"/>
                <w:b/>
                <w:sz w:val="20"/>
                <w:szCs w:val="20"/>
              </w:rPr>
              <w:t>and</w:t>
            </w:r>
            <w:r w:rsidRPr="002B49F2">
              <w:rPr>
                <w:rFonts w:ascii="Arial" w:hAnsi="Arial" w:cs="Arial"/>
                <w:b/>
                <w:sz w:val="20"/>
                <w:szCs w:val="20"/>
              </w:rPr>
              <w:t xml:space="preserve"> </w:t>
            </w:r>
            <w:r w:rsidRPr="002B49F2" w:rsidR="002332E7">
              <w:rPr>
                <w:rFonts w:ascii="Arial" w:hAnsi="Arial" w:cs="Arial"/>
                <w:b/>
                <w:sz w:val="20"/>
                <w:szCs w:val="20"/>
              </w:rPr>
              <w:t xml:space="preserve">Issued </w:t>
            </w:r>
            <w:r w:rsidRPr="002B49F2">
              <w:rPr>
                <w:rFonts w:ascii="Arial" w:hAnsi="Arial" w:cs="Arial"/>
                <w:b/>
                <w:sz w:val="20"/>
                <w:szCs w:val="20"/>
              </w:rPr>
              <w:t>Subsequent License Renewal</w:t>
            </w:r>
            <w:r w:rsidRPr="002B49F2" w:rsidR="002332E7">
              <w:rPr>
                <w:rFonts w:ascii="Arial" w:hAnsi="Arial" w:cs="Arial"/>
                <w:b/>
                <w:sz w:val="20"/>
                <w:szCs w:val="20"/>
              </w:rPr>
              <w:t>s</w:t>
            </w:r>
            <w:r w:rsidRPr="002B49F2">
              <w:rPr>
                <w:rFonts w:ascii="Arial" w:hAnsi="Arial" w:cs="Arial"/>
                <w:b/>
                <w:sz w:val="20"/>
                <w:szCs w:val="20"/>
              </w:rPr>
              <w:t xml:space="preserve"> </w:t>
            </w:r>
          </w:p>
        </w:tc>
        <w:tc>
          <w:tcPr>
            <w:tcW w:w="1581" w:type="dxa"/>
            <w:vAlign w:val="center"/>
          </w:tcPr>
          <w:p w:rsidR="00E1439E" w:rsidRPr="002B49F2" w:rsidP="004B3756" w14:paraId="228A2436" w14:textId="1AEE03D7">
            <w:pPr>
              <w:jc w:val="center"/>
              <w:rPr>
                <w:rFonts w:ascii="Arial" w:hAnsi="Arial" w:cs="Arial"/>
                <w:sz w:val="22"/>
                <w:szCs w:val="22"/>
              </w:rPr>
            </w:pPr>
            <w:r w:rsidRPr="002B49F2">
              <w:rPr>
                <w:rFonts w:ascii="Arial" w:hAnsi="Arial" w:cs="Arial"/>
                <w:sz w:val="22"/>
                <w:szCs w:val="22"/>
              </w:rPr>
              <w:t>6,372</w:t>
            </w:r>
            <w:r>
              <w:rPr>
                <w:rStyle w:val="FootnoteReference"/>
                <w:rFonts w:ascii="Arial" w:hAnsi="Arial" w:cs="Arial"/>
                <w:sz w:val="22"/>
                <w:szCs w:val="22"/>
              </w:rPr>
              <w:footnoteReference w:id="7"/>
            </w:r>
          </w:p>
        </w:tc>
        <w:tc>
          <w:tcPr>
            <w:tcW w:w="1630" w:type="dxa"/>
            <w:vAlign w:val="center"/>
          </w:tcPr>
          <w:p w:rsidR="00E1439E" w:rsidRPr="002B49F2" w:rsidP="004B3756" w14:paraId="289BEF6E" w14:textId="381614B7">
            <w:pPr>
              <w:jc w:val="center"/>
              <w:rPr>
                <w:rFonts w:ascii="Arial" w:hAnsi="Arial" w:cs="Arial"/>
                <w:sz w:val="22"/>
                <w:szCs w:val="22"/>
              </w:rPr>
            </w:pPr>
            <w:r w:rsidRPr="002B49F2">
              <w:rPr>
                <w:rFonts w:ascii="Arial" w:hAnsi="Arial" w:cs="Arial"/>
                <w:sz w:val="22"/>
                <w:szCs w:val="22"/>
              </w:rPr>
              <w:t>$</w:t>
            </w:r>
            <w:r w:rsidRPr="002B49F2" w:rsidR="00904FD8">
              <w:rPr>
                <w:rFonts w:ascii="Arial" w:hAnsi="Arial" w:cs="Arial"/>
                <w:sz w:val="22"/>
                <w:szCs w:val="22"/>
              </w:rPr>
              <w:t>1,847,</w:t>
            </w:r>
            <w:r w:rsidRPr="002B49F2" w:rsidR="005462A5">
              <w:rPr>
                <w:rFonts w:ascii="Arial" w:hAnsi="Arial" w:cs="Arial"/>
                <w:sz w:val="22"/>
                <w:szCs w:val="22"/>
              </w:rPr>
              <w:t>880</w:t>
            </w:r>
          </w:p>
        </w:tc>
      </w:tr>
    </w:tbl>
    <w:p w:rsidR="0093306B" w:rsidRPr="002B49F2" w:rsidP="00725F8D" w14:paraId="4DD10EA3" w14:textId="7DF9BE8B">
      <w:pPr>
        <w:widowControl/>
        <w:autoSpaceDE/>
        <w:autoSpaceDN/>
        <w:adjustRightInd/>
        <w:jc w:val="center"/>
        <w:rPr>
          <w:rFonts w:ascii="Arial" w:hAnsi="Arial" w:cs="Arial"/>
          <w:b/>
          <w:bCs/>
          <w:sz w:val="22"/>
          <w:szCs w:val="22"/>
        </w:rPr>
      </w:pPr>
      <w:r w:rsidRPr="002B49F2">
        <w:rPr>
          <w:rFonts w:ascii="Arial" w:hAnsi="Arial" w:cs="Arial"/>
          <w:b/>
          <w:bCs/>
          <w:sz w:val="22"/>
          <w:szCs w:val="22"/>
        </w:rPr>
        <w:t xml:space="preserve">Table </w:t>
      </w:r>
      <w:r w:rsidRPr="002B49F2" w:rsidR="00A3669E">
        <w:rPr>
          <w:rFonts w:ascii="Arial" w:hAnsi="Arial" w:cs="Arial"/>
          <w:b/>
          <w:bCs/>
          <w:sz w:val="22"/>
          <w:szCs w:val="22"/>
        </w:rPr>
        <w:t>3</w:t>
      </w:r>
    </w:p>
    <w:p w:rsidR="0093306B" w:rsidRPr="002B49F2" w:rsidP="0093306B" w14:paraId="682B728E" w14:textId="0C2BB2FD">
      <w:pPr>
        <w:ind w:left="360" w:hanging="360"/>
        <w:jc w:val="center"/>
        <w:rPr>
          <w:rFonts w:ascii="Arial" w:hAnsi="Arial" w:cs="Arial"/>
          <w:b/>
          <w:bCs/>
          <w:sz w:val="22"/>
          <w:szCs w:val="22"/>
        </w:rPr>
      </w:pPr>
      <w:r w:rsidRPr="002B49F2">
        <w:rPr>
          <w:rFonts w:ascii="Arial" w:hAnsi="Arial" w:cs="Arial"/>
          <w:b/>
          <w:bCs/>
          <w:sz w:val="22"/>
          <w:szCs w:val="22"/>
        </w:rPr>
        <w:t>NRC</w:t>
      </w:r>
      <w:r w:rsidRPr="002B49F2">
        <w:rPr>
          <w:rFonts w:ascii="Arial" w:hAnsi="Arial" w:cs="Arial"/>
          <w:b/>
          <w:bCs/>
          <w:sz w:val="22"/>
          <w:szCs w:val="22"/>
        </w:rPr>
        <w:t xml:space="preserve"> – Future License Renewal Applicants</w:t>
      </w:r>
      <w:r>
        <w:rPr>
          <w:rStyle w:val="FootnoteReference"/>
          <w:rFonts w:ascii="Arial" w:hAnsi="Arial" w:cs="Arial"/>
          <w:b/>
          <w:bCs/>
          <w:sz w:val="22"/>
          <w:szCs w:val="22"/>
        </w:rPr>
        <w:footnoteReference w:id="8"/>
      </w:r>
      <w:r w:rsidRPr="002B49F2">
        <w:rPr>
          <w:rFonts w:ascii="Arial" w:hAnsi="Arial" w:cs="Arial"/>
          <w:b/>
          <w:bCs/>
          <w:sz w:val="22"/>
          <w:szCs w:val="22"/>
        </w:rPr>
        <w:t xml:space="preserve"> (</w:t>
      </w:r>
      <w:r w:rsidRPr="002B49F2" w:rsidR="00153B40">
        <w:rPr>
          <w:rFonts w:ascii="Arial" w:hAnsi="Arial" w:cs="Arial"/>
          <w:b/>
          <w:bCs/>
          <w:sz w:val="22"/>
          <w:szCs w:val="22"/>
        </w:rPr>
        <w:t xml:space="preserve">June </w:t>
      </w:r>
      <w:r w:rsidRPr="002B49F2">
        <w:rPr>
          <w:rFonts w:ascii="Arial" w:hAnsi="Arial" w:cs="Arial"/>
          <w:b/>
          <w:bCs/>
          <w:sz w:val="22"/>
          <w:szCs w:val="22"/>
        </w:rPr>
        <w:t xml:space="preserve">2024 – </w:t>
      </w:r>
      <w:r w:rsidRPr="002B49F2" w:rsidR="00153B40">
        <w:rPr>
          <w:rFonts w:ascii="Arial" w:hAnsi="Arial" w:cs="Arial"/>
          <w:b/>
          <w:bCs/>
          <w:sz w:val="22"/>
          <w:szCs w:val="22"/>
        </w:rPr>
        <w:t xml:space="preserve">May </w:t>
      </w:r>
      <w:r w:rsidRPr="002B49F2">
        <w:rPr>
          <w:rFonts w:ascii="Arial" w:hAnsi="Arial" w:cs="Arial"/>
          <w:b/>
          <w:bCs/>
          <w:sz w:val="22"/>
          <w:szCs w:val="22"/>
        </w:rPr>
        <w:t>202</w:t>
      </w:r>
      <w:r w:rsidRPr="002B49F2" w:rsidR="00153B40">
        <w:rPr>
          <w:rFonts w:ascii="Arial" w:hAnsi="Arial" w:cs="Arial"/>
          <w:b/>
          <w:bCs/>
          <w:sz w:val="22"/>
          <w:szCs w:val="22"/>
        </w:rPr>
        <w:t>7</w:t>
      </w:r>
      <w:r w:rsidRPr="002B49F2">
        <w:rPr>
          <w:rFonts w:ascii="Arial" w:hAnsi="Arial" w:cs="Arial"/>
          <w:b/>
          <w:bCs/>
          <w:sz w:val="22"/>
          <w:szCs w:val="22"/>
        </w:rPr>
        <w:t>)</w:t>
      </w:r>
    </w:p>
    <w:p w:rsidR="0093306B" w:rsidRPr="002B49F2" w:rsidP="0093306B" w14:paraId="65D6AEA4" w14:textId="77777777">
      <w:pPr>
        <w:ind w:left="360" w:hanging="360"/>
        <w:rPr>
          <w:rFonts w:ascii="Arial" w:hAnsi="Arial" w:cs="Arial"/>
          <w:sz w:val="22"/>
          <w:szCs w:val="22"/>
        </w:rPr>
      </w:pPr>
    </w:p>
    <w:tbl>
      <w:tblPr>
        <w:tblStyle w:val="TableGrid"/>
        <w:tblW w:w="12870" w:type="dxa"/>
        <w:tblInd w:w="175" w:type="dxa"/>
        <w:tblLook w:val="04A0"/>
      </w:tblPr>
      <w:tblGrid>
        <w:gridCol w:w="4230"/>
        <w:gridCol w:w="2250"/>
        <w:gridCol w:w="2160"/>
        <w:gridCol w:w="1980"/>
        <w:gridCol w:w="2250"/>
      </w:tblGrid>
      <w:tr w14:paraId="2E7593DD" w14:textId="77777777" w:rsidTr="00EE60B9">
        <w:tblPrEx>
          <w:tblW w:w="12870" w:type="dxa"/>
          <w:tblInd w:w="175" w:type="dxa"/>
          <w:tblLook w:val="04A0"/>
        </w:tblPrEx>
        <w:tc>
          <w:tcPr>
            <w:tcW w:w="4230" w:type="dxa"/>
            <w:tcBorders>
              <w:bottom w:val="single" w:sz="4" w:space="0" w:color="auto"/>
            </w:tcBorders>
            <w:vAlign w:val="center"/>
          </w:tcPr>
          <w:p w:rsidR="0093306B" w:rsidRPr="002B49F2" w:rsidP="00170715" w14:paraId="77F6A97C" w14:textId="77777777">
            <w:pPr>
              <w:jc w:val="center"/>
              <w:rPr>
                <w:rFonts w:ascii="Arial" w:hAnsi="Arial" w:cs="Arial"/>
                <w:b/>
                <w:bCs/>
                <w:sz w:val="22"/>
                <w:szCs w:val="22"/>
              </w:rPr>
            </w:pPr>
            <w:r w:rsidRPr="002B49F2">
              <w:rPr>
                <w:rFonts w:ascii="Arial" w:hAnsi="Arial" w:cs="Arial"/>
                <w:b/>
                <w:bCs/>
                <w:sz w:val="22"/>
                <w:szCs w:val="22"/>
              </w:rPr>
              <w:t>Table B-1 Issues</w:t>
            </w:r>
          </w:p>
        </w:tc>
        <w:tc>
          <w:tcPr>
            <w:tcW w:w="2250" w:type="dxa"/>
            <w:tcBorders>
              <w:bottom w:val="single" w:sz="4" w:space="0" w:color="auto"/>
            </w:tcBorders>
            <w:vAlign w:val="center"/>
          </w:tcPr>
          <w:p w:rsidR="0093306B" w:rsidRPr="002B49F2" w:rsidP="00170715" w14:paraId="1E0344FD" w14:textId="33BFAE67">
            <w:pPr>
              <w:jc w:val="center"/>
              <w:rPr>
                <w:rFonts w:ascii="Arial" w:hAnsi="Arial" w:cs="Arial"/>
                <w:b/>
                <w:bCs/>
                <w:sz w:val="22"/>
                <w:szCs w:val="22"/>
              </w:rPr>
            </w:pPr>
            <w:r w:rsidRPr="002B49F2">
              <w:rPr>
                <w:rFonts w:ascii="Arial" w:hAnsi="Arial" w:cs="Arial"/>
                <w:b/>
                <w:bCs/>
                <w:sz w:val="22"/>
                <w:szCs w:val="22"/>
              </w:rPr>
              <w:t xml:space="preserve">Total </w:t>
            </w:r>
            <w:r w:rsidRPr="002B49F2" w:rsidR="005A63D8">
              <w:rPr>
                <w:rFonts w:ascii="Arial" w:hAnsi="Arial" w:cs="Arial"/>
                <w:b/>
                <w:bCs/>
                <w:sz w:val="22"/>
                <w:szCs w:val="22"/>
              </w:rPr>
              <w:t>Issue</w:t>
            </w:r>
            <w:r w:rsidRPr="002B49F2" w:rsidR="00764FAD">
              <w:rPr>
                <w:rFonts w:ascii="Arial" w:hAnsi="Arial" w:cs="Arial"/>
                <w:b/>
                <w:bCs/>
                <w:sz w:val="22"/>
                <w:szCs w:val="22"/>
              </w:rPr>
              <w:t>s</w:t>
            </w:r>
            <w:r w:rsidRPr="002B49F2" w:rsidR="005A63D8">
              <w:rPr>
                <w:rFonts w:ascii="Arial" w:hAnsi="Arial" w:cs="Arial"/>
                <w:b/>
                <w:bCs/>
                <w:sz w:val="22"/>
                <w:szCs w:val="22"/>
              </w:rPr>
              <w:t xml:space="preserve"> Reviewed </w:t>
            </w:r>
            <w:r w:rsidRPr="002B49F2" w:rsidR="00233F75">
              <w:rPr>
                <w:rFonts w:ascii="Arial" w:hAnsi="Arial" w:cs="Arial"/>
                <w:b/>
                <w:bCs/>
                <w:sz w:val="22"/>
                <w:szCs w:val="22"/>
              </w:rPr>
              <w:t xml:space="preserve">per </w:t>
            </w:r>
            <w:r w:rsidRPr="002B49F2" w:rsidR="00A3669E">
              <w:rPr>
                <w:rFonts w:ascii="Arial" w:hAnsi="Arial" w:cs="Arial"/>
                <w:b/>
                <w:bCs/>
                <w:sz w:val="22"/>
                <w:szCs w:val="22"/>
              </w:rPr>
              <w:t>Y</w:t>
            </w:r>
            <w:r w:rsidRPr="002B49F2" w:rsidR="00233F75">
              <w:rPr>
                <w:rFonts w:ascii="Arial" w:hAnsi="Arial" w:cs="Arial"/>
                <w:b/>
                <w:bCs/>
                <w:sz w:val="22"/>
                <w:szCs w:val="22"/>
              </w:rPr>
              <w:t>ear</w:t>
            </w:r>
          </w:p>
        </w:tc>
        <w:tc>
          <w:tcPr>
            <w:tcW w:w="2160" w:type="dxa"/>
            <w:tcBorders>
              <w:bottom w:val="single" w:sz="4" w:space="0" w:color="auto"/>
            </w:tcBorders>
            <w:vAlign w:val="center"/>
          </w:tcPr>
          <w:p w:rsidR="0093306B" w:rsidRPr="002B49F2" w:rsidP="00170715" w14:paraId="7E7A54D4" w14:textId="20743CEA">
            <w:pPr>
              <w:jc w:val="center"/>
              <w:rPr>
                <w:rFonts w:ascii="Arial" w:hAnsi="Arial" w:cs="Arial"/>
                <w:b/>
                <w:bCs/>
                <w:sz w:val="22"/>
                <w:szCs w:val="22"/>
              </w:rPr>
            </w:pPr>
            <w:r w:rsidRPr="002B49F2">
              <w:rPr>
                <w:rFonts w:ascii="Arial" w:hAnsi="Arial" w:cs="Arial"/>
                <w:b/>
                <w:bCs/>
                <w:sz w:val="22"/>
                <w:szCs w:val="22"/>
              </w:rPr>
              <w:t xml:space="preserve">NRC </w:t>
            </w:r>
            <w:r w:rsidRPr="002B49F2" w:rsidR="00A3669E">
              <w:rPr>
                <w:rFonts w:ascii="Arial" w:hAnsi="Arial" w:cs="Arial"/>
                <w:b/>
                <w:bCs/>
                <w:sz w:val="22"/>
                <w:szCs w:val="22"/>
              </w:rPr>
              <w:t>S</w:t>
            </w:r>
            <w:r w:rsidRPr="002B49F2">
              <w:rPr>
                <w:rFonts w:ascii="Arial" w:hAnsi="Arial" w:cs="Arial"/>
                <w:b/>
                <w:bCs/>
                <w:sz w:val="22"/>
                <w:szCs w:val="22"/>
              </w:rPr>
              <w:t xml:space="preserve">taff </w:t>
            </w:r>
            <w:r w:rsidRPr="002B49F2" w:rsidR="00A3669E">
              <w:rPr>
                <w:rFonts w:ascii="Arial" w:hAnsi="Arial" w:cs="Arial"/>
                <w:b/>
                <w:bCs/>
                <w:sz w:val="22"/>
                <w:szCs w:val="22"/>
              </w:rPr>
              <w:t>R</w:t>
            </w:r>
            <w:r w:rsidRPr="002B49F2">
              <w:rPr>
                <w:rFonts w:ascii="Arial" w:hAnsi="Arial" w:cs="Arial"/>
                <w:b/>
                <w:bCs/>
                <w:sz w:val="22"/>
                <w:szCs w:val="22"/>
              </w:rPr>
              <w:t xml:space="preserve">eview </w:t>
            </w:r>
            <w:r w:rsidRPr="002B49F2" w:rsidR="00A3669E">
              <w:rPr>
                <w:rFonts w:ascii="Arial" w:hAnsi="Arial" w:cs="Arial"/>
                <w:b/>
                <w:bCs/>
                <w:sz w:val="22"/>
                <w:szCs w:val="22"/>
              </w:rPr>
              <w:t>T</w:t>
            </w:r>
            <w:r w:rsidRPr="002B49F2">
              <w:rPr>
                <w:rFonts w:ascii="Arial" w:hAnsi="Arial" w:cs="Arial"/>
                <w:b/>
                <w:bCs/>
                <w:sz w:val="22"/>
                <w:szCs w:val="22"/>
              </w:rPr>
              <w:t>ime</w:t>
            </w:r>
          </w:p>
        </w:tc>
        <w:tc>
          <w:tcPr>
            <w:tcW w:w="1980" w:type="dxa"/>
            <w:tcBorders>
              <w:bottom w:val="single" w:sz="4" w:space="0" w:color="auto"/>
            </w:tcBorders>
            <w:vAlign w:val="center"/>
          </w:tcPr>
          <w:p w:rsidR="0093306B" w:rsidRPr="002B49F2" w:rsidP="00170715" w14:paraId="36154EB0" w14:textId="76E73E70">
            <w:pPr>
              <w:jc w:val="center"/>
              <w:rPr>
                <w:rFonts w:ascii="Arial" w:hAnsi="Arial" w:cs="Arial"/>
                <w:b/>
                <w:bCs/>
                <w:sz w:val="22"/>
                <w:szCs w:val="22"/>
              </w:rPr>
            </w:pPr>
            <w:r w:rsidRPr="002B49F2">
              <w:rPr>
                <w:rFonts w:ascii="Arial" w:hAnsi="Arial" w:cs="Arial"/>
                <w:b/>
                <w:bCs/>
                <w:sz w:val="22"/>
                <w:szCs w:val="22"/>
              </w:rPr>
              <w:t xml:space="preserve">Total </w:t>
            </w:r>
            <w:r w:rsidRPr="002B49F2" w:rsidR="00321D3D">
              <w:rPr>
                <w:rFonts w:ascii="Arial" w:hAnsi="Arial" w:cs="Arial"/>
                <w:b/>
                <w:bCs/>
                <w:sz w:val="22"/>
                <w:szCs w:val="22"/>
              </w:rPr>
              <w:t>Review Time</w:t>
            </w:r>
            <w:r w:rsidRPr="002B49F2" w:rsidR="001B19ED">
              <w:rPr>
                <w:rFonts w:ascii="Arial" w:hAnsi="Arial" w:cs="Arial"/>
                <w:b/>
                <w:bCs/>
                <w:sz w:val="22"/>
                <w:szCs w:val="22"/>
              </w:rPr>
              <w:t xml:space="preserve"> per </w:t>
            </w:r>
            <w:r w:rsidRPr="002B49F2" w:rsidR="00A3669E">
              <w:rPr>
                <w:rFonts w:ascii="Arial" w:hAnsi="Arial" w:cs="Arial"/>
                <w:b/>
                <w:bCs/>
                <w:sz w:val="22"/>
                <w:szCs w:val="22"/>
              </w:rPr>
              <w:t>Y</w:t>
            </w:r>
            <w:r w:rsidRPr="002B49F2" w:rsidR="001B19ED">
              <w:rPr>
                <w:rFonts w:ascii="Arial" w:hAnsi="Arial" w:cs="Arial"/>
                <w:b/>
                <w:bCs/>
                <w:sz w:val="22"/>
                <w:szCs w:val="22"/>
              </w:rPr>
              <w:t>ear</w:t>
            </w:r>
          </w:p>
        </w:tc>
        <w:tc>
          <w:tcPr>
            <w:tcW w:w="2250" w:type="dxa"/>
            <w:tcBorders>
              <w:bottom w:val="single" w:sz="4" w:space="0" w:color="auto"/>
            </w:tcBorders>
            <w:vAlign w:val="center"/>
          </w:tcPr>
          <w:p w:rsidR="0093306B" w:rsidRPr="002B49F2" w:rsidP="00170715" w14:paraId="6A789193" w14:textId="77777777">
            <w:pPr>
              <w:jc w:val="center"/>
              <w:rPr>
                <w:rFonts w:ascii="Arial" w:hAnsi="Arial" w:cs="Arial"/>
                <w:b/>
                <w:bCs/>
                <w:sz w:val="22"/>
                <w:szCs w:val="22"/>
              </w:rPr>
            </w:pPr>
            <w:r w:rsidRPr="002B49F2">
              <w:rPr>
                <w:rFonts w:ascii="Arial" w:hAnsi="Arial" w:cs="Arial"/>
                <w:b/>
                <w:bCs/>
                <w:sz w:val="22"/>
                <w:szCs w:val="22"/>
              </w:rPr>
              <w:t>Cost @ $290/hour</w:t>
            </w:r>
          </w:p>
        </w:tc>
      </w:tr>
      <w:tr w14:paraId="48543F27" w14:textId="77777777" w:rsidTr="00EE60B9">
        <w:tblPrEx>
          <w:tblW w:w="12870" w:type="dxa"/>
          <w:tblInd w:w="175" w:type="dxa"/>
          <w:tblLook w:val="04A0"/>
        </w:tblPrEx>
        <w:tc>
          <w:tcPr>
            <w:tcW w:w="4230" w:type="dxa"/>
          </w:tcPr>
          <w:p w:rsidR="00F80614" w:rsidRPr="002B49F2" w:rsidP="00F80614" w14:paraId="026779FE" w14:textId="77777777">
            <w:pPr>
              <w:rPr>
                <w:rFonts w:ascii="Arial" w:hAnsi="Arial" w:cs="Arial"/>
                <w:sz w:val="22"/>
                <w:szCs w:val="22"/>
              </w:rPr>
            </w:pPr>
            <w:r w:rsidRPr="002B49F2">
              <w:rPr>
                <w:rFonts w:ascii="Arial" w:hAnsi="Arial" w:cs="Arial"/>
                <w:sz w:val="22"/>
                <w:szCs w:val="22"/>
              </w:rPr>
              <w:t>Category 1 Issues</w:t>
            </w:r>
          </w:p>
        </w:tc>
        <w:tc>
          <w:tcPr>
            <w:tcW w:w="2250" w:type="dxa"/>
            <w:vAlign w:val="center"/>
          </w:tcPr>
          <w:p w:rsidR="00F80614" w:rsidRPr="002B49F2" w:rsidP="00C33E57" w14:paraId="7B11BAB9" w14:textId="240C135B">
            <w:pPr>
              <w:jc w:val="center"/>
              <w:rPr>
                <w:rFonts w:ascii="Arial" w:hAnsi="Arial" w:cs="Arial"/>
                <w:sz w:val="22"/>
                <w:szCs w:val="22"/>
              </w:rPr>
            </w:pPr>
            <w:r w:rsidRPr="002B49F2">
              <w:rPr>
                <w:rFonts w:ascii="Arial" w:hAnsi="Arial" w:cs="Arial"/>
                <w:sz w:val="22"/>
                <w:szCs w:val="22"/>
              </w:rPr>
              <w:t>295</w:t>
            </w:r>
          </w:p>
        </w:tc>
        <w:tc>
          <w:tcPr>
            <w:tcW w:w="2160" w:type="dxa"/>
            <w:vAlign w:val="center"/>
          </w:tcPr>
          <w:p w:rsidR="00F80614" w:rsidRPr="002B49F2" w:rsidP="00C33E57" w14:paraId="7235548C" w14:textId="7E4F6265">
            <w:pPr>
              <w:jc w:val="center"/>
              <w:rPr>
                <w:rFonts w:ascii="Arial" w:hAnsi="Arial" w:cs="Arial"/>
                <w:sz w:val="22"/>
                <w:szCs w:val="22"/>
              </w:rPr>
            </w:pPr>
            <w:r w:rsidRPr="002B49F2">
              <w:rPr>
                <w:rFonts w:ascii="Arial" w:hAnsi="Arial" w:cs="Arial"/>
                <w:sz w:val="22"/>
                <w:szCs w:val="22"/>
              </w:rPr>
              <w:t>43</w:t>
            </w:r>
          </w:p>
        </w:tc>
        <w:tc>
          <w:tcPr>
            <w:tcW w:w="1980" w:type="dxa"/>
            <w:shd w:val="clear" w:color="auto" w:fill="auto"/>
            <w:vAlign w:val="center"/>
          </w:tcPr>
          <w:p w:rsidR="00F80614" w:rsidRPr="002B49F2" w:rsidP="00C33E57" w14:paraId="02F97D1E" w14:textId="467EC2D0">
            <w:pPr>
              <w:jc w:val="center"/>
              <w:rPr>
                <w:rFonts w:ascii="Arial" w:hAnsi="Arial" w:cs="Arial"/>
                <w:sz w:val="22"/>
                <w:szCs w:val="22"/>
              </w:rPr>
            </w:pPr>
            <w:r w:rsidRPr="002B49F2">
              <w:rPr>
                <w:rFonts w:ascii="Arial" w:hAnsi="Arial" w:cs="Arial"/>
                <w:color w:val="000000"/>
                <w:sz w:val="22"/>
                <w:szCs w:val="22"/>
              </w:rPr>
              <w:t>1</w:t>
            </w:r>
            <w:r w:rsidRPr="002B49F2" w:rsidR="002A78AE">
              <w:rPr>
                <w:rFonts w:ascii="Arial" w:hAnsi="Arial" w:cs="Arial"/>
                <w:color w:val="000000"/>
                <w:sz w:val="22"/>
                <w:szCs w:val="22"/>
              </w:rPr>
              <w:t>2,685</w:t>
            </w:r>
          </w:p>
        </w:tc>
        <w:tc>
          <w:tcPr>
            <w:tcW w:w="2250" w:type="dxa"/>
            <w:shd w:val="clear" w:color="auto" w:fill="auto"/>
            <w:vAlign w:val="center"/>
          </w:tcPr>
          <w:p w:rsidR="00F80614" w:rsidRPr="002B49F2" w:rsidP="00C33E57" w14:paraId="38419DEC" w14:textId="080484CD">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w:t>
            </w:r>
            <w:r w:rsidRPr="002B49F2" w:rsidR="00B3380D">
              <w:rPr>
                <w:rFonts w:ascii="Arial" w:hAnsi="Arial" w:cs="Arial"/>
                <w:color w:val="000000"/>
                <w:sz w:val="22"/>
                <w:szCs w:val="22"/>
              </w:rPr>
              <w:t>3,678</w:t>
            </w:r>
            <w:r w:rsidRPr="002B49F2" w:rsidR="009364FD">
              <w:rPr>
                <w:rFonts w:ascii="Arial" w:hAnsi="Arial" w:cs="Arial"/>
                <w:color w:val="000000"/>
                <w:sz w:val="22"/>
                <w:szCs w:val="22"/>
              </w:rPr>
              <w:t>,650</w:t>
            </w:r>
          </w:p>
        </w:tc>
      </w:tr>
      <w:tr w14:paraId="768899FA" w14:textId="77777777" w:rsidTr="00EE60B9">
        <w:tblPrEx>
          <w:tblW w:w="12870" w:type="dxa"/>
          <w:tblInd w:w="175" w:type="dxa"/>
          <w:tblLook w:val="04A0"/>
        </w:tblPrEx>
        <w:tc>
          <w:tcPr>
            <w:tcW w:w="4230" w:type="dxa"/>
          </w:tcPr>
          <w:p w:rsidR="00F80614" w:rsidRPr="002B49F2" w:rsidP="00F80614" w14:paraId="63079288" w14:textId="77777777">
            <w:pPr>
              <w:rPr>
                <w:rFonts w:ascii="Arial" w:hAnsi="Arial" w:cs="Arial"/>
                <w:sz w:val="22"/>
                <w:szCs w:val="22"/>
              </w:rPr>
            </w:pPr>
            <w:r w:rsidRPr="002B49F2">
              <w:rPr>
                <w:rFonts w:ascii="Arial" w:hAnsi="Arial" w:cs="Arial"/>
                <w:sz w:val="22"/>
                <w:szCs w:val="22"/>
              </w:rPr>
              <w:t>Category 2 Issues (excluding issues resulting from subdividing an existing Category 2 issue into 3 separate issues)</w:t>
            </w:r>
          </w:p>
        </w:tc>
        <w:tc>
          <w:tcPr>
            <w:tcW w:w="2250" w:type="dxa"/>
            <w:vAlign w:val="center"/>
          </w:tcPr>
          <w:p w:rsidR="00F80614" w:rsidRPr="002B49F2" w:rsidP="00C33E57" w14:paraId="2D8C5DF3" w14:textId="7E20346C">
            <w:pPr>
              <w:jc w:val="center"/>
              <w:rPr>
                <w:rFonts w:ascii="Arial" w:hAnsi="Arial" w:cs="Arial"/>
                <w:sz w:val="22"/>
                <w:szCs w:val="22"/>
              </w:rPr>
            </w:pPr>
            <w:r w:rsidRPr="002B49F2">
              <w:rPr>
                <w:rFonts w:ascii="Arial" w:hAnsi="Arial" w:cs="Arial"/>
                <w:sz w:val="22"/>
                <w:szCs w:val="22"/>
              </w:rPr>
              <w:t>85</w:t>
            </w:r>
          </w:p>
        </w:tc>
        <w:tc>
          <w:tcPr>
            <w:tcW w:w="2160" w:type="dxa"/>
            <w:vAlign w:val="center"/>
          </w:tcPr>
          <w:p w:rsidR="00F80614" w:rsidRPr="002B49F2" w:rsidP="00C33E57" w14:paraId="7CFD0026" w14:textId="70449298">
            <w:pPr>
              <w:jc w:val="center"/>
              <w:rPr>
                <w:rFonts w:ascii="Arial" w:hAnsi="Arial" w:cs="Arial"/>
                <w:sz w:val="22"/>
                <w:szCs w:val="22"/>
              </w:rPr>
            </w:pPr>
            <w:r w:rsidRPr="002B49F2">
              <w:rPr>
                <w:rFonts w:ascii="Arial" w:hAnsi="Arial" w:cs="Arial"/>
                <w:sz w:val="22"/>
                <w:szCs w:val="22"/>
              </w:rPr>
              <w:t>174</w:t>
            </w:r>
          </w:p>
        </w:tc>
        <w:tc>
          <w:tcPr>
            <w:tcW w:w="1980" w:type="dxa"/>
            <w:shd w:val="clear" w:color="auto" w:fill="auto"/>
            <w:vAlign w:val="center"/>
          </w:tcPr>
          <w:p w:rsidR="00F80614" w:rsidRPr="002B49F2" w:rsidP="00C33E57" w14:paraId="10FBBFF2" w14:textId="34880C52">
            <w:pPr>
              <w:jc w:val="center"/>
              <w:rPr>
                <w:rFonts w:ascii="Arial" w:hAnsi="Arial" w:cs="Arial"/>
                <w:sz w:val="22"/>
                <w:szCs w:val="22"/>
              </w:rPr>
            </w:pPr>
            <w:r w:rsidRPr="002B49F2">
              <w:rPr>
                <w:rFonts w:ascii="Arial" w:hAnsi="Arial" w:cs="Arial"/>
                <w:color w:val="000000"/>
                <w:sz w:val="22"/>
                <w:szCs w:val="22"/>
              </w:rPr>
              <w:t>1</w:t>
            </w:r>
            <w:r w:rsidRPr="002B49F2" w:rsidR="00B3380D">
              <w:rPr>
                <w:rFonts w:ascii="Arial" w:hAnsi="Arial" w:cs="Arial"/>
                <w:color w:val="000000"/>
                <w:sz w:val="22"/>
                <w:szCs w:val="22"/>
              </w:rPr>
              <w:t>4,790</w:t>
            </w:r>
          </w:p>
        </w:tc>
        <w:tc>
          <w:tcPr>
            <w:tcW w:w="2250" w:type="dxa"/>
            <w:shd w:val="clear" w:color="auto" w:fill="auto"/>
            <w:vAlign w:val="center"/>
          </w:tcPr>
          <w:p w:rsidR="00F80614" w:rsidRPr="002B49F2" w:rsidP="00C33E57" w14:paraId="24FF706C" w14:textId="624D6DA5">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$4,</w:t>
            </w:r>
            <w:r w:rsidRPr="002B49F2" w:rsidR="009364FD">
              <w:rPr>
                <w:rFonts w:ascii="Arial" w:hAnsi="Arial" w:cs="Arial"/>
                <w:color w:val="000000"/>
                <w:sz w:val="22"/>
                <w:szCs w:val="22"/>
              </w:rPr>
              <w:t>289,100</w:t>
            </w:r>
          </w:p>
        </w:tc>
      </w:tr>
      <w:tr w14:paraId="3FACAE56" w14:textId="77777777" w:rsidTr="00EE60B9">
        <w:tblPrEx>
          <w:tblW w:w="12870" w:type="dxa"/>
          <w:tblInd w:w="175" w:type="dxa"/>
          <w:tblLook w:val="04A0"/>
        </w:tblPrEx>
        <w:tc>
          <w:tcPr>
            <w:tcW w:w="4230" w:type="dxa"/>
          </w:tcPr>
          <w:p w:rsidR="00F80614" w:rsidRPr="002B49F2" w:rsidP="00F80614" w14:paraId="7187F53E" w14:textId="77777777">
            <w:pPr>
              <w:rPr>
                <w:rFonts w:ascii="Arial" w:hAnsi="Arial" w:cs="Arial"/>
                <w:sz w:val="22"/>
                <w:szCs w:val="22"/>
              </w:rPr>
            </w:pPr>
            <w:r w:rsidRPr="002B49F2">
              <w:rPr>
                <w:rFonts w:ascii="Arial" w:hAnsi="Arial" w:cs="Arial"/>
                <w:sz w:val="22"/>
                <w:szCs w:val="22"/>
              </w:rPr>
              <w:t>Subdivided Category 2 Issues</w:t>
            </w:r>
          </w:p>
        </w:tc>
        <w:tc>
          <w:tcPr>
            <w:tcW w:w="2250" w:type="dxa"/>
            <w:vAlign w:val="center"/>
          </w:tcPr>
          <w:p w:rsidR="00F80614" w:rsidRPr="002B49F2" w:rsidP="00C33E57" w14:paraId="0BD633D7" w14:textId="38035987">
            <w:pPr>
              <w:jc w:val="center"/>
              <w:rPr>
                <w:rFonts w:ascii="Arial" w:hAnsi="Arial" w:cs="Arial"/>
                <w:sz w:val="22"/>
                <w:szCs w:val="22"/>
              </w:rPr>
            </w:pPr>
            <w:r w:rsidRPr="002B49F2">
              <w:rPr>
                <w:rFonts w:ascii="Arial" w:hAnsi="Arial" w:cs="Arial"/>
                <w:sz w:val="22"/>
                <w:szCs w:val="22"/>
              </w:rPr>
              <w:t>1</w:t>
            </w:r>
            <w:r w:rsidRPr="002B49F2" w:rsidR="00C83312">
              <w:rPr>
                <w:rFonts w:ascii="Arial" w:hAnsi="Arial" w:cs="Arial"/>
                <w:sz w:val="22"/>
                <w:szCs w:val="22"/>
              </w:rPr>
              <w:t>5</w:t>
            </w:r>
          </w:p>
        </w:tc>
        <w:tc>
          <w:tcPr>
            <w:tcW w:w="2160" w:type="dxa"/>
            <w:vAlign w:val="center"/>
          </w:tcPr>
          <w:p w:rsidR="00F80614" w:rsidRPr="002B49F2" w:rsidP="00C33E57" w14:paraId="338F8384" w14:textId="7808C426">
            <w:pPr>
              <w:jc w:val="center"/>
              <w:rPr>
                <w:rFonts w:ascii="Arial" w:hAnsi="Arial" w:cs="Arial"/>
                <w:sz w:val="22"/>
                <w:szCs w:val="22"/>
              </w:rPr>
            </w:pPr>
            <w:r w:rsidRPr="002B49F2">
              <w:rPr>
                <w:rFonts w:ascii="Arial" w:hAnsi="Arial" w:cs="Arial"/>
                <w:sz w:val="22"/>
                <w:szCs w:val="22"/>
              </w:rPr>
              <w:t>116</w:t>
            </w:r>
          </w:p>
        </w:tc>
        <w:tc>
          <w:tcPr>
            <w:tcW w:w="1980" w:type="dxa"/>
            <w:shd w:val="clear" w:color="auto" w:fill="auto"/>
            <w:vAlign w:val="center"/>
          </w:tcPr>
          <w:p w:rsidR="00F80614" w:rsidRPr="002B49F2" w:rsidP="00C33E57" w14:paraId="23B53293" w14:textId="738E5114">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1,</w:t>
            </w:r>
            <w:r w:rsidRPr="002B49F2" w:rsidR="00B3380D">
              <w:rPr>
                <w:rFonts w:ascii="Arial" w:hAnsi="Arial" w:cs="Arial"/>
                <w:color w:val="000000"/>
                <w:sz w:val="22"/>
                <w:szCs w:val="22"/>
              </w:rPr>
              <w:t>740</w:t>
            </w:r>
          </w:p>
        </w:tc>
        <w:tc>
          <w:tcPr>
            <w:tcW w:w="2250" w:type="dxa"/>
            <w:shd w:val="clear" w:color="auto" w:fill="auto"/>
            <w:vAlign w:val="center"/>
          </w:tcPr>
          <w:p w:rsidR="00F80614" w:rsidRPr="002B49F2" w:rsidP="00C33E57" w14:paraId="79620026" w14:textId="35C95F95">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$5</w:t>
            </w:r>
            <w:r w:rsidRPr="002B49F2" w:rsidR="009364FD">
              <w:rPr>
                <w:rFonts w:ascii="Arial" w:hAnsi="Arial" w:cs="Arial"/>
                <w:color w:val="000000"/>
                <w:sz w:val="22"/>
                <w:szCs w:val="22"/>
              </w:rPr>
              <w:t>04,600</w:t>
            </w:r>
          </w:p>
        </w:tc>
      </w:tr>
      <w:tr w14:paraId="3CE1C56F" w14:textId="77777777" w:rsidTr="00EE60B9">
        <w:tblPrEx>
          <w:tblW w:w="12870" w:type="dxa"/>
          <w:tblInd w:w="175" w:type="dxa"/>
          <w:tblLook w:val="04A0"/>
        </w:tblPrEx>
        <w:tc>
          <w:tcPr>
            <w:tcW w:w="4230" w:type="dxa"/>
          </w:tcPr>
          <w:p w:rsidR="00F80614" w:rsidRPr="002B49F2" w:rsidP="00F80614" w14:paraId="5EA8EEE2" w14:textId="77777777">
            <w:pPr>
              <w:rPr>
                <w:rFonts w:ascii="Arial" w:hAnsi="Arial" w:cs="Arial"/>
                <w:sz w:val="22"/>
                <w:szCs w:val="22"/>
              </w:rPr>
            </w:pPr>
            <w:r w:rsidRPr="002B49F2">
              <w:rPr>
                <w:rFonts w:ascii="Arial" w:hAnsi="Arial" w:cs="Arial"/>
                <w:sz w:val="22"/>
                <w:szCs w:val="22"/>
              </w:rPr>
              <w:t>Uncategorized Issue</w:t>
            </w:r>
          </w:p>
        </w:tc>
        <w:tc>
          <w:tcPr>
            <w:tcW w:w="2250" w:type="dxa"/>
            <w:vAlign w:val="center"/>
          </w:tcPr>
          <w:p w:rsidR="00F80614" w:rsidRPr="002B49F2" w:rsidP="00C33E57" w14:paraId="4AFFD7A8" w14:textId="13B69212">
            <w:pPr>
              <w:jc w:val="center"/>
              <w:rPr>
                <w:rFonts w:ascii="Arial" w:hAnsi="Arial" w:cs="Arial"/>
                <w:sz w:val="22"/>
                <w:szCs w:val="22"/>
              </w:rPr>
            </w:pPr>
            <w:r w:rsidRPr="002B49F2">
              <w:rPr>
                <w:rFonts w:ascii="Arial" w:hAnsi="Arial" w:cs="Arial"/>
                <w:sz w:val="22"/>
                <w:szCs w:val="22"/>
              </w:rPr>
              <w:t>5</w:t>
            </w:r>
          </w:p>
        </w:tc>
        <w:tc>
          <w:tcPr>
            <w:tcW w:w="2160" w:type="dxa"/>
            <w:vAlign w:val="center"/>
          </w:tcPr>
          <w:p w:rsidR="00F80614" w:rsidRPr="002B49F2" w:rsidP="00C33E57" w14:paraId="5401192D" w14:textId="64074802">
            <w:pPr>
              <w:jc w:val="center"/>
              <w:rPr>
                <w:rFonts w:ascii="Arial" w:hAnsi="Arial" w:cs="Arial"/>
                <w:sz w:val="22"/>
                <w:szCs w:val="22"/>
              </w:rPr>
            </w:pPr>
            <w:r w:rsidRPr="002B49F2">
              <w:rPr>
                <w:rFonts w:ascii="Arial" w:hAnsi="Arial" w:cs="Arial"/>
                <w:sz w:val="22"/>
                <w:szCs w:val="22"/>
              </w:rPr>
              <w:t>43</w:t>
            </w:r>
          </w:p>
        </w:tc>
        <w:tc>
          <w:tcPr>
            <w:tcW w:w="1980" w:type="dxa"/>
            <w:shd w:val="clear" w:color="auto" w:fill="auto"/>
            <w:vAlign w:val="center"/>
          </w:tcPr>
          <w:p w:rsidR="00F80614" w:rsidRPr="002B49F2" w:rsidP="00C33E57" w14:paraId="492FC8AF" w14:textId="1EC603A7">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2</w:t>
            </w:r>
            <w:r w:rsidRPr="002B49F2" w:rsidR="00B3380D">
              <w:rPr>
                <w:rFonts w:ascii="Arial" w:hAnsi="Arial" w:cs="Arial"/>
                <w:color w:val="000000"/>
                <w:sz w:val="22"/>
                <w:szCs w:val="22"/>
              </w:rPr>
              <w:t>15</w:t>
            </w:r>
          </w:p>
        </w:tc>
        <w:tc>
          <w:tcPr>
            <w:tcW w:w="2250" w:type="dxa"/>
            <w:shd w:val="clear" w:color="auto" w:fill="auto"/>
            <w:vAlign w:val="center"/>
          </w:tcPr>
          <w:p w:rsidR="00F80614" w:rsidRPr="002B49F2" w:rsidP="00C33E57" w14:paraId="4932CCA6" w14:textId="440090AC">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w:t>
            </w:r>
            <w:r w:rsidRPr="002B49F2" w:rsidR="009364FD">
              <w:rPr>
                <w:rFonts w:ascii="Arial" w:hAnsi="Arial" w:cs="Arial"/>
                <w:color w:val="000000"/>
                <w:sz w:val="22"/>
                <w:szCs w:val="22"/>
              </w:rPr>
              <w:t>62,350</w:t>
            </w:r>
          </w:p>
        </w:tc>
      </w:tr>
      <w:tr w14:paraId="3AE16A9F" w14:textId="77777777" w:rsidTr="00EE60B9">
        <w:tblPrEx>
          <w:tblW w:w="12870" w:type="dxa"/>
          <w:tblInd w:w="175" w:type="dxa"/>
          <w:tblLook w:val="04A0"/>
        </w:tblPrEx>
        <w:tc>
          <w:tcPr>
            <w:tcW w:w="8640" w:type="dxa"/>
            <w:gridSpan w:val="3"/>
          </w:tcPr>
          <w:p w:rsidR="000C4C75" w:rsidRPr="002B49F2" w:rsidP="000C4C75" w14:paraId="3C6017F4" w14:textId="5B928194">
            <w:pPr>
              <w:jc w:val="right"/>
              <w:rPr>
                <w:rFonts w:ascii="Arial" w:hAnsi="Arial" w:cs="Arial"/>
                <w:sz w:val="22"/>
                <w:szCs w:val="22"/>
              </w:rPr>
            </w:pPr>
            <w:r w:rsidRPr="002B49F2">
              <w:rPr>
                <w:rFonts w:ascii="Arial" w:hAnsi="Arial" w:cs="Arial"/>
                <w:b/>
                <w:bCs/>
                <w:sz w:val="22"/>
                <w:szCs w:val="22"/>
              </w:rPr>
              <w:t xml:space="preserve">Total </w:t>
            </w:r>
            <w:r w:rsidRPr="002B49F2" w:rsidR="00A3669E">
              <w:rPr>
                <w:rFonts w:ascii="Arial" w:hAnsi="Arial" w:cs="Arial"/>
                <w:b/>
                <w:bCs/>
                <w:sz w:val="22"/>
                <w:szCs w:val="22"/>
              </w:rPr>
              <w:t>NRC Review Time</w:t>
            </w:r>
            <w:r w:rsidRPr="002B49F2">
              <w:rPr>
                <w:rFonts w:ascii="Arial" w:hAnsi="Arial" w:cs="Arial"/>
                <w:b/>
                <w:bCs/>
                <w:sz w:val="22"/>
                <w:szCs w:val="22"/>
              </w:rPr>
              <w:t xml:space="preserve"> for </w:t>
            </w:r>
            <w:r w:rsidRPr="002B49F2" w:rsidR="00B700F5">
              <w:rPr>
                <w:rFonts w:ascii="Arial" w:hAnsi="Arial" w:cs="Arial"/>
                <w:b/>
                <w:bCs/>
                <w:sz w:val="22"/>
                <w:szCs w:val="22"/>
              </w:rPr>
              <w:t xml:space="preserve">Future </w:t>
            </w:r>
            <w:r w:rsidRPr="002B49F2">
              <w:rPr>
                <w:rFonts w:ascii="Arial" w:hAnsi="Arial" w:cs="Arial"/>
                <w:b/>
                <w:bCs/>
                <w:sz w:val="22"/>
                <w:szCs w:val="22"/>
              </w:rPr>
              <w:t>License Renewal Applicants</w:t>
            </w:r>
          </w:p>
        </w:tc>
        <w:tc>
          <w:tcPr>
            <w:tcW w:w="1980" w:type="dxa"/>
            <w:shd w:val="clear" w:color="auto" w:fill="auto"/>
          </w:tcPr>
          <w:p w:rsidR="000C4C75" w:rsidRPr="002B49F2" w:rsidP="000C4C75" w14:paraId="4D83C34E" w14:textId="4A70B7DE">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29,430</w:t>
            </w:r>
          </w:p>
        </w:tc>
        <w:tc>
          <w:tcPr>
            <w:tcW w:w="2250" w:type="dxa"/>
            <w:shd w:val="clear" w:color="auto" w:fill="auto"/>
          </w:tcPr>
          <w:p w:rsidR="000C4C75" w:rsidRPr="002B49F2" w:rsidP="00F80614" w14:paraId="52E8751B" w14:textId="614A9AFC">
            <w:pPr>
              <w:widowControl/>
              <w:autoSpaceDE/>
              <w:autoSpaceDN/>
              <w:adjustRightInd/>
              <w:jc w:val="center"/>
              <w:rPr>
                <w:rFonts w:ascii="Arial" w:hAnsi="Arial" w:cs="Arial"/>
                <w:color w:val="000000"/>
                <w:sz w:val="22"/>
                <w:szCs w:val="22"/>
              </w:rPr>
            </w:pPr>
            <w:r w:rsidRPr="002B49F2">
              <w:rPr>
                <w:rFonts w:ascii="Arial" w:hAnsi="Arial" w:cs="Arial"/>
                <w:color w:val="000000"/>
                <w:sz w:val="22"/>
                <w:szCs w:val="22"/>
              </w:rPr>
              <w:t>$</w:t>
            </w:r>
            <w:r w:rsidRPr="002B49F2" w:rsidR="009364FD">
              <w:rPr>
                <w:rFonts w:ascii="Arial" w:hAnsi="Arial" w:cs="Arial"/>
                <w:color w:val="000000"/>
                <w:sz w:val="22"/>
                <w:szCs w:val="22"/>
              </w:rPr>
              <w:t>8,534</w:t>
            </w:r>
            <w:r w:rsidRPr="002B49F2" w:rsidR="00520FF8">
              <w:rPr>
                <w:rFonts w:ascii="Arial" w:hAnsi="Arial" w:cs="Arial"/>
                <w:color w:val="000000"/>
                <w:sz w:val="22"/>
                <w:szCs w:val="22"/>
              </w:rPr>
              <w:t>,700</w:t>
            </w:r>
          </w:p>
        </w:tc>
      </w:tr>
    </w:tbl>
    <w:p w:rsidR="001C2C4C" w:rsidRPr="002B49F2" w:rsidP="008011AA" w14:paraId="2BFA6B10" w14:textId="77777777">
      <w:pPr>
        <w:ind w:left="360" w:hanging="360"/>
        <w:jc w:val="center"/>
        <w:rPr>
          <w:rFonts w:ascii="Arial" w:hAnsi="Arial" w:cs="Arial"/>
          <w:b/>
          <w:bCs/>
          <w:sz w:val="22"/>
          <w:szCs w:val="22"/>
        </w:rPr>
      </w:pPr>
    </w:p>
    <w:p w:rsidR="003400B7" w:rsidRPr="002B49F2" w14:paraId="1AFFA761" w14:textId="5CC504B6">
      <w:pPr>
        <w:widowControl/>
        <w:autoSpaceDE/>
        <w:autoSpaceDN/>
        <w:adjustRightInd/>
        <w:spacing w:after="160" w:line="259" w:lineRule="auto"/>
        <w:rPr>
          <w:rFonts w:ascii="Arial" w:hAnsi="Arial" w:cs="Arial"/>
          <w:b/>
          <w:bCs/>
          <w:sz w:val="22"/>
          <w:szCs w:val="22"/>
        </w:rPr>
      </w:pPr>
      <w:r w:rsidRPr="002B49F2">
        <w:rPr>
          <w:rFonts w:ascii="Arial" w:hAnsi="Arial" w:cs="Arial"/>
          <w:b/>
          <w:bCs/>
          <w:sz w:val="22"/>
          <w:szCs w:val="22"/>
        </w:rPr>
        <w:br w:type="page"/>
      </w:r>
    </w:p>
    <w:p w:rsidR="003400B7" w:rsidRPr="002B49F2" w:rsidP="003400B7" w14:paraId="21E84BEA" w14:textId="1E81F4A4">
      <w:pPr>
        <w:ind w:left="360" w:hanging="360"/>
        <w:jc w:val="center"/>
        <w:rPr>
          <w:rFonts w:ascii="Arial" w:hAnsi="Arial" w:cs="Arial"/>
          <w:b/>
          <w:bCs/>
          <w:sz w:val="22"/>
          <w:szCs w:val="22"/>
        </w:rPr>
      </w:pPr>
      <w:r w:rsidRPr="002B49F2">
        <w:rPr>
          <w:rFonts w:ascii="Arial" w:hAnsi="Arial" w:cs="Arial"/>
          <w:b/>
          <w:bCs/>
          <w:sz w:val="22"/>
          <w:szCs w:val="22"/>
        </w:rPr>
        <w:t xml:space="preserve">Table </w:t>
      </w:r>
      <w:r w:rsidRPr="002B49F2" w:rsidR="00A3669E">
        <w:rPr>
          <w:rFonts w:ascii="Arial" w:hAnsi="Arial" w:cs="Arial"/>
          <w:b/>
          <w:bCs/>
          <w:sz w:val="22"/>
          <w:szCs w:val="22"/>
        </w:rPr>
        <w:t>4</w:t>
      </w:r>
    </w:p>
    <w:p w:rsidR="003400B7" w:rsidRPr="002B49F2" w:rsidP="003400B7" w14:paraId="67B50282" w14:textId="72CDA6D9">
      <w:pPr>
        <w:ind w:left="360" w:hanging="360"/>
        <w:jc w:val="center"/>
        <w:rPr>
          <w:rFonts w:ascii="Arial" w:hAnsi="Arial" w:cs="Arial"/>
          <w:b/>
          <w:bCs/>
          <w:sz w:val="22"/>
          <w:szCs w:val="22"/>
        </w:rPr>
      </w:pPr>
      <w:r w:rsidRPr="002B49F2">
        <w:rPr>
          <w:rFonts w:ascii="Arial" w:hAnsi="Arial" w:cs="Arial"/>
          <w:b/>
          <w:bCs/>
          <w:sz w:val="22"/>
          <w:szCs w:val="22"/>
        </w:rPr>
        <w:t>One-Time Reporting Burden (Annualized) – NRC – Near-Term</w:t>
      </w:r>
      <w:r w:rsidRPr="002B49F2" w:rsidR="002332E7">
        <w:rPr>
          <w:rFonts w:ascii="Arial" w:hAnsi="Arial" w:cs="Arial"/>
          <w:b/>
          <w:bCs/>
          <w:sz w:val="22"/>
          <w:szCs w:val="22"/>
        </w:rPr>
        <w:t xml:space="preserve"> and</w:t>
      </w:r>
      <w:r w:rsidRPr="002B49F2">
        <w:rPr>
          <w:rFonts w:ascii="Arial" w:hAnsi="Arial" w:cs="Arial"/>
          <w:b/>
          <w:bCs/>
          <w:sz w:val="22"/>
          <w:szCs w:val="22"/>
        </w:rPr>
        <w:t xml:space="preserve"> Submitted</w:t>
      </w:r>
      <w:r w:rsidRPr="002B49F2" w:rsidR="002332E7">
        <w:rPr>
          <w:rFonts w:ascii="Arial" w:hAnsi="Arial" w:cs="Arial"/>
          <w:b/>
          <w:bCs/>
          <w:sz w:val="22"/>
          <w:szCs w:val="22"/>
        </w:rPr>
        <w:t xml:space="preserve"> Applications</w:t>
      </w:r>
      <w:r w:rsidRPr="002B49F2">
        <w:rPr>
          <w:rFonts w:ascii="Arial" w:hAnsi="Arial" w:cs="Arial"/>
          <w:b/>
          <w:bCs/>
          <w:sz w:val="22"/>
          <w:szCs w:val="22"/>
        </w:rPr>
        <w:t xml:space="preserve">, </w:t>
      </w:r>
      <w:r w:rsidRPr="002B49F2" w:rsidR="002332E7">
        <w:rPr>
          <w:rFonts w:ascii="Arial" w:hAnsi="Arial" w:cs="Arial"/>
          <w:b/>
          <w:bCs/>
          <w:sz w:val="22"/>
          <w:szCs w:val="22"/>
        </w:rPr>
        <w:t>and</w:t>
      </w:r>
      <w:r w:rsidRPr="002B49F2">
        <w:rPr>
          <w:rFonts w:ascii="Arial" w:hAnsi="Arial" w:cs="Arial"/>
          <w:b/>
          <w:bCs/>
          <w:sz w:val="22"/>
          <w:szCs w:val="22"/>
        </w:rPr>
        <w:t xml:space="preserve"> </w:t>
      </w:r>
      <w:r w:rsidRPr="002B49F2" w:rsidR="002332E7">
        <w:rPr>
          <w:rFonts w:ascii="Arial" w:hAnsi="Arial" w:cs="Arial"/>
          <w:b/>
          <w:bCs/>
          <w:sz w:val="22"/>
          <w:szCs w:val="22"/>
        </w:rPr>
        <w:t>Issued</w:t>
      </w:r>
      <w:r w:rsidRPr="002B49F2">
        <w:rPr>
          <w:rFonts w:ascii="Arial" w:hAnsi="Arial" w:cs="Arial"/>
          <w:b/>
          <w:bCs/>
          <w:sz w:val="22"/>
          <w:szCs w:val="22"/>
        </w:rPr>
        <w:t xml:space="preserve"> Subsequent License Renewal</w:t>
      </w:r>
      <w:r w:rsidRPr="002B49F2" w:rsidR="002332E7">
        <w:rPr>
          <w:rFonts w:ascii="Arial" w:hAnsi="Arial" w:cs="Arial"/>
          <w:b/>
          <w:bCs/>
          <w:sz w:val="22"/>
          <w:szCs w:val="22"/>
        </w:rPr>
        <w:t>s</w:t>
      </w:r>
      <w:r w:rsidRPr="002B49F2">
        <w:rPr>
          <w:rFonts w:ascii="Arial" w:hAnsi="Arial" w:cs="Arial"/>
          <w:b/>
          <w:bCs/>
          <w:sz w:val="22"/>
          <w:szCs w:val="22"/>
        </w:rPr>
        <w:t xml:space="preserve"> (</w:t>
      </w:r>
      <w:r w:rsidRPr="002B49F2" w:rsidR="0019098A">
        <w:rPr>
          <w:rFonts w:ascii="Arial" w:hAnsi="Arial" w:cs="Arial"/>
          <w:b/>
          <w:bCs/>
          <w:sz w:val="22"/>
          <w:szCs w:val="22"/>
        </w:rPr>
        <w:t xml:space="preserve">June </w:t>
      </w:r>
      <w:r w:rsidRPr="002B49F2">
        <w:rPr>
          <w:rFonts w:ascii="Arial" w:hAnsi="Arial" w:cs="Arial"/>
          <w:b/>
          <w:bCs/>
          <w:sz w:val="22"/>
          <w:szCs w:val="22"/>
        </w:rPr>
        <w:t xml:space="preserve">2024 – </w:t>
      </w:r>
      <w:r w:rsidRPr="002B49F2" w:rsidR="0019098A">
        <w:rPr>
          <w:rFonts w:ascii="Arial" w:hAnsi="Arial" w:cs="Arial"/>
          <w:b/>
          <w:bCs/>
          <w:sz w:val="22"/>
          <w:szCs w:val="22"/>
        </w:rPr>
        <w:t xml:space="preserve">May </w:t>
      </w:r>
      <w:r w:rsidRPr="002B49F2">
        <w:rPr>
          <w:rFonts w:ascii="Arial" w:hAnsi="Arial" w:cs="Arial"/>
          <w:b/>
          <w:bCs/>
          <w:sz w:val="22"/>
          <w:szCs w:val="22"/>
        </w:rPr>
        <w:t>202</w:t>
      </w:r>
      <w:r w:rsidRPr="002B49F2" w:rsidR="0019098A">
        <w:rPr>
          <w:rFonts w:ascii="Arial" w:hAnsi="Arial" w:cs="Arial"/>
          <w:b/>
          <w:bCs/>
          <w:sz w:val="22"/>
          <w:szCs w:val="22"/>
        </w:rPr>
        <w:t>7</w:t>
      </w:r>
      <w:r w:rsidRPr="002B49F2">
        <w:rPr>
          <w:rFonts w:ascii="Arial" w:hAnsi="Arial" w:cs="Arial"/>
          <w:b/>
          <w:bCs/>
          <w:sz w:val="22"/>
          <w:szCs w:val="22"/>
        </w:rPr>
        <w:t>)</w:t>
      </w:r>
    </w:p>
    <w:p w:rsidR="003400B7" w:rsidRPr="002B49F2" w:rsidP="003400B7" w14:paraId="262E1F67" w14:textId="77777777">
      <w:pPr>
        <w:ind w:left="360" w:hanging="360"/>
        <w:rPr>
          <w:rFonts w:ascii="Arial" w:hAnsi="Arial" w:cs="Arial"/>
          <w:sz w:val="22"/>
          <w:szCs w:val="22"/>
        </w:rPr>
      </w:pPr>
    </w:p>
    <w:tbl>
      <w:tblPr>
        <w:tblStyle w:val="TableGrid"/>
        <w:tblW w:w="13140" w:type="dxa"/>
        <w:tblInd w:w="175" w:type="dxa"/>
        <w:tblLayout w:type="fixed"/>
        <w:tblLook w:val="04A0"/>
      </w:tblPr>
      <w:tblGrid>
        <w:gridCol w:w="4860"/>
        <w:gridCol w:w="2160"/>
        <w:gridCol w:w="2070"/>
        <w:gridCol w:w="2070"/>
        <w:gridCol w:w="1980"/>
      </w:tblGrid>
      <w:tr w14:paraId="58BD460B" w14:textId="77777777" w:rsidTr="00EE60B9">
        <w:tblPrEx>
          <w:tblW w:w="13140" w:type="dxa"/>
          <w:tblInd w:w="175" w:type="dxa"/>
          <w:tblLayout w:type="fixed"/>
          <w:tblLook w:val="04A0"/>
        </w:tblPrEx>
        <w:tc>
          <w:tcPr>
            <w:tcW w:w="4860" w:type="dxa"/>
            <w:tcBorders>
              <w:bottom w:val="single" w:sz="4" w:space="0" w:color="auto"/>
            </w:tcBorders>
            <w:vAlign w:val="center"/>
          </w:tcPr>
          <w:p w:rsidR="008B4DAB" w:rsidRPr="002B49F2" w:rsidP="00170715" w14:paraId="527774A7" w14:textId="77777777">
            <w:pPr>
              <w:jc w:val="center"/>
              <w:rPr>
                <w:rFonts w:ascii="Arial" w:hAnsi="Arial" w:cs="Arial"/>
                <w:b/>
                <w:bCs/>
                <w:sz w:val="22"/>
                <w:szCs w:val="22"/>
              </w:rPr>
            </w:pPr>
            <w:r w:rsidRPr="002B49F2">
              <w:rPr>
                <w:rFonts w:ascii="Arial" w:hAnsi="Arial" w:cs="Arial"/>
                <w:b/>
                <w:bCs/>
                <w:sz w:val="22"/>
                <w:szCs w:val="22"/>
              </w:rPr>
              <w:t>Table B-1 Issues</w:t>
            </w:r>
          </w:p>
        </w:tc>
        <w:tc>
          <w:tcPr>
            <w:tcW w:w="2160" w:type="dxa"/>
            <w:tcBorders>
              <w:bottom w:val="single" w:sz="4" w:space="0" w:color="auto"/>
            </w:tcBorders>
            <w:vAlign w:val="center"/>
          </w:tcPr>
          <w:p w:rsidR="008B4DAB" w:rsidRPr="002B49F2" w:rsidP="00170715" w14:paraId="7B95D904" w14:textId="7A93044D">
            <w:pPr>
              <w:jc w:val="center"/>
              <w:rPr>
                <w:rFonts w:ascii="Arial" w:hAnsi="Arial" w:cs="Arial"/>
                <w:b/>
                <w:bCs/>
                <w:sz w:val="22"/>
                <w:szCs w:val="22"/>
              </w:rPr>
            </w:pPr>
            <w:r w:rsidRPr="002B49F2">
              <w:rPr>
                <w:rFonts w:ascii="Arial" w:hAnsi="Arial" w:cs="Arial"/>
                <w:b/>
                <w:bCs/>
                <w:sz w:val="22"/>
                <w:szCs w:val="22"/>
              </w:rPr>
              <w:t xml:space="preserve">Total </w:t>
            </w:r>
            <w:r w:rsidRPr="002B49F2">
              <w:rPr>
                <w:rFonts w:ascii="Arial" w:hAnsi="Arial" w:cs="Arial"/>
                <w:b/>
                <w:sz w:val="22"/>
                <w:szCs w:val="22"/>
              </w:rPr>
              <w:t>Issues Reviewed</w:t>
            </w:r>
          </w:p>
        </w:tc>
        <w:tc>
          <w:tcPr>
            <w:tcW w:w="2070" w:type="dxa"/>
            <w:tcBorders>
              <w:bottom w:val="single" w:sz="4" w:space="0" w:color="auto"/>
            </w:tcBorders>
            <w:vAlign w:val="center"/>
          </w:tcPr>
          <w:p w:rsidR="008B4DAB" w:rsidRPr="002B49F2" w:rsidP="00170715" w14:paraId="3EB35D59" w14:textId="77777777">
            <w:pPr>
              <w:jc w:val="center"/>
              <w:rPr>
                <w:rFonts w:ascii="Arial" w:hAnsi="Arial" w:cs="Arial"/>
                <w:b/>
                <w:bCs/>
                <w:sz w:val="22"/>
                <w:szCs w:val="22"/>
              </w:rPr>
            </w:pPr>
            <w:r w:rsidRPr="002B49F2">
              <w:rPr>
                <w:rFonts w:ascii="Arial" w:hAnsi="Arial" w:cs="Arial"/>
                <w:b/>
                <w:bCs/>
                <w:sz w:val="22"/>
                <w:szCs w:val="22"/>
              </w:rPr>
              <w:t>Burden Hours per Response</w:t>
            </w:r>
          </w:p>
        </w:tc>
        <w:tc>
          <w:tcPr>
            <w:tcW w:w="2070" w:type="dxa"/>
            <w:tcBorders>
              <w:bottom w:val="single" w:sz="4" w:space="0" w:color="auto"/>
            </w:tcBorders>
            <w:vAlign w:val="center"/>
          </w:tcPr>
          <w:p w:rsidR="008B4DAB" w:rsidRPr="002B49F2" w:rsidP="00170715" w14:paraId="0210F295" w14:textId="77777777">
            <w:pPr>
              <w:jc w:val="center"/>
              <w:rPr>
                <w:rFonts w:ascii="Arial" w:hAnsi="Arial" w:cs="Arial"/>
                <w:b/>
                <w:bCs/>
                <w:sz w:val="22"/>
                <w:szCs w:val="22"/>
              </w:rPr>
            </w:pPr>
            <w:r w:rsidRPr="002B49F2">
              <w:rPr>
                <w:rFonts w:ascii="Arial" w:hAnsi="Arial" w:cs="Arial"/>
                <w:b/>
                <w:bCs/>
                <w:sz w:val="22"/>
                <w:szCs w:val="22"/>
              </w:rPr>
              <w:t>Total Annual Burden Hours</w:t>
            </w:r>
          </w:p>
        </w:tc>
        <w:tc>
          <w:tcPr>
            <w:tcW w:w="1980" w:type="dxa"/>
            <w:tcBorders>
              <w:bottom w:val="single" w:sz="4" w:space="0" w:color="auto"/>
            </w:tcBorders>
            <w:vAlign w:val="center"/>
          </w:tcPr>
          <w:p w:rsidR="008B4DAB" w:rsidRPr="002B49F2" w:rsidP="00170715" w14:paraId="5F36EA09" w14:textId="77777777">
            <w:pPr>
              <w:jc w:val="center"/>
              <w:rPr>
                <w:rFonts w:ascii="Arial" w:hAnsi="Arial" w:cs="Arial"/>
                <w:b/>
                <w:bCs/>
                <w:sz w:val="22"/>
                <w:szCs w:val="22"/>
              </w:rPr>
            </w:pPr>
            <w:r w:rsidRPr="002B49F2">
              <w:rPr>
                <w:rFonts w:ascii="Arial" w:hAnsi="Arial" w:cs="Arial"/>
                <w:b/>
                <w:bCs/>
                <w:sz w:val="22"/>
                <w:szCs w:val="22"/>
              </w:rPr>
              <w:t>Cost @ $290/hour</w:t>
            </w:r>
          </w:p>
        </w:tc>
      </w:tr>
      <w:tr w14:paraId="53308E9F" w14:textId="77777777" w:rsidTr="00EE60B9">
        <w:tblPrEx>
          <w:tblW w:w="13140" w:type="dxa"/>
          <w:tblInd w:w="175" w:type="dxa"/>
          <w:tblLayout w:type="fixed"/>
          <w:tblLook w:val="04A0"/>
        </w:tblPrEx>
        <w:tc>
          <w:tcPr>
            <w:tcW w:w="4860" w:type="dxa"/>
          </w:tcPr>
          <w:p w:rsidR="008B4DAB" w:rsidRPr="002B49F2" w:rsidP="00833005" w14:paraId="7034FE9E" w14:textId="60CA68E2">
            <w:pPr>
              <w:rPr>
                <w:rFonts w:ascii="Arial" w:hAnsi="Arial" w:cs="Arial"/>
                <w:sz w:val="20"/>
                <w:szCs w:val="20"/>
              </w:rPr>
            </w:pPr>
            <w:r w:rsidRPr="002B49F2">
              <w:rPr>
                <w:rFonts w:ascii="Arial" w:hAnsi="Arial" w:cs="Arial"/>
                <w:sz w:val="20"/>
                <w:szCs w:val="20"/>
              </w:rPr>
              <w:t>Groundwater quality degradation (plants with cooling ponds) (Category 2)</w:t>
            </w:r>
            <w:r>
              <w:rPr>
                <w:rStyle w:val="FootnoteReference"/>
                <w:rFonts w:ascii="Arial" w:hAnsi="Arial" w:cs="Arial"/>
                <w:sz w:val="20"/>
                <w:szCs w:val="20"/>
              </w:rPr>
              <w:footnoteReference w:id="9"/>
            </w:r>
          </w:p>
        </w:tc>
        <w:tc>
          <w:tcPr>
            <w:tcW w:w="2160" w:type="dxa"/>
            <w:vAlign w:val="center"/>
          </w:tcPr>
          <w:p w:rsidR="008B4DAB" w:rsidRPr="002B49F2" w:rsidP="00C33E57" w14:paraId="5332FDF1" w14:textId="5445FE4D">
            <w:pPr>
              <w:jc w:val="center"/>
              <w:rPr>
                <w:rFonts w:ascii="Arial" w:hAnsi="Arial" w:cs="Arial"/>
                <w:sz w:val="22"/>
                <w:szCs w:val="22"/>
              </w:rPr>
            </w:pPr>
            <w:r w:rsidRPr="002B49F2">
              <w:rPr>
                <w:rFonts w:ascii="Arial" w:hAnsi="Arial" w:cs="Arial"/>
                <w:sz w:val="22"/>
                <w:szCs w:val="22"/>
              </w:rPr>
              <w:t>0.3</w:t>
            </w:r>
          </w:p>
        </w:tc>
        <w:tc>
          <w:tcPr>
            <w:tcW w:w="2070" w:type="dxa"/>
            <w:vAlign w:val="center"/>
          </w:tcPr>
          <w:p w:rsidR="008B4DAB" w:rsidRPr="002B49F2" w:rsidP="00C33E57" w14:paraId="6644DAD8" w14:textId="2AE03123">
            <w:pPr>
              <w:jc w:val="center"/>
              <w:rPr>
                <w:rFonts w:ascii="Arial" w:hAnsi="Arial" w:cs="Arial"/>
                <w:sz w:val="22"/>
                <w:szCs w:val="22"/>
              </w:rPr>
            </w:pPr>
            <w:r w:rsidRPr="002B49F2">
              <w:rPr>
                <w:rFonts w:ascii="Arial" w:hAnsi="Arial" w:cs="Arial"/>
                <w:sz w:val="22"/>
                <w:szCs w:val="22"/>
              </w:rPr>
              <w:t>131</w:t>
            </w:r>
          </w:p>
        </w:tc>
        <w:tc>
          <w:tcPr>
            <w:tcW w:w="2070" w:type="dxa"/>
            <w:vAlign w:val="center"/>
          </w:tcPr>
          <w:p w:rsidR="008B4DAB" w:rsidRPr="002B49F2" w:rsidP="00C33E57" w14:paraId="7A8C7791" w14:textId="1C39A3D2">
            <w:pPr>
              <w:jc w:val="center"/>
              <w:rPr>
                <w:rFonts w:ascii="Arial" w:hAnsi="Arial" w:cs="Arial"/>
                <w:sz w:val="22"/>
                <w:szCs w:val="22"/>
              </w:rPr>
            </w:pPr>
            <w:r w:rsidRPr="002B49F2">
              <w:rPr>
                <w:rFonts w:ascii="Arial" w:hAnsi="Arial" w:cs="Arial"/>
                <w:color w:val="000000"/>
                <w:sz w:val="22"/>
                <w:szCs w:val="22"/>
              </w:rPr>
              <w:t>39.3</w:t>
            </w:r>
          </w:p>
        </w:tc>
        <w:tc>
          <w:tcPr>
            <w:tcW w:w="1980" w:type="dxa"/>
            <w:vAlign w:val="center"/>
          </w:tcPr>
          <w:p w:rsidR="008B4DAB" w:rsidRPr="002B49F2" w:rsidP="00C33E57" w14:paraId="79D3F37A" w14:textId="6A4E6C94">
            <w:pPr>
              <w:jc w:val="center"/>
              <w:rPr>
                <w:rFonts w:ascii="Arial" w:hAnsi="Arial" w:cs="Arial"/>
                <w:sz w:val="22"/>
                <w:szCs w:val="22"/>
              </w:rPr>
            </w:pPr>
            <w:r w:rsidRPr="002B49F2">
              <w:rPr>
                <w:rFonts w:ascii="Arial" w:hAnsi="Arial" w:cs="Arial"/>
                <w:color w:val="000000"/>
                <w:sz w:val="22"/>
                <w:szCs w:val="22"/>
              </w:rPr>
              <w:t>$11,397</w:t>
            </w:r>
          </w:p>
        </w:tc>
      </w:tr>
      <w:tr w14:paraId="7EF8FF0B" w14:textId="77777777" w:rsidTr="00EE60B9">
        <w:tblPrEx>
          <w:tblW w:w="13140" w:type="dxa"/>
          <w:tblInd w:w="175" w:type="dxa"/>
          <w:tblLayout w:type="fixed"/>
          <w:tblLook w:val="04A0"/>
        </w:tblPrEx>
        <w:tc>
          <w:tcPr>
            <w:tcW w:w="4860" w:type="dxa"/>
          </w:tcPr>
          <w:p w:rsidR="008B4DAB" w:rsidRPr="002B49F2" w:rsidP="00833005" w14:paraId="08DC5AFB" w14:textId="77777777">
            <w:pPr>
              <w:rPr>
                <w:rFonts w:ascii="Arial" w:hAnsi="Arial" w:cs="Arial"/>
                <w:sz w:val="20"/>
                <w:szCs w:val="20"/>
              </w:rPr>
            </w:pPr>
            <w:r w:rsidRPr="002B49F2">
              <w:rPr>
                <w:rFonts w:ascii="Arial" w:hAnsi="Arial" w:cs="Arial"/>
                <w:sz w:val="20"/>
                <w:szCs w:val="20"/>
              </w:rPr>
              <w:t>Impingement mortality and entrainment of aquatic organisms (plants with once-through cooling systems or cooling ponds) (Category 2)</w:t>
            </w:r>
          </w:p>
        </w:tc>
        <w:tc>
          <w:tcPr>
            <w:tcW w:w="2160" w:type="dxa"/>
            <w:vAlign w:val="center"/>
          </w:tcPr>
          <w:p w:rsidR="008B4DAB" w:rsidRPr="002B49F2" w:rsidP="00C33E57" w14:paraId="0C3A9CE0"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3FA0F08D" w14:textId="6104F0D5">
            <w:pPr>
              <w:jc w:val="center"/>
              <w:rPr>
                <w:rFonts w:ascii="Arial" w:hAnsi="Arial" w:cs="Arial"/>
                <w:sz w:val="22"/>
                <w:szCs w:val="22"/>
              </w:rPr>
            </w:pPr>
            <w:r w:rsidRPr="002B49F2">
              <w:rPr>
                <w:rFonts w:ascii="Arial" w:hAnsi="Arial" w:cs="Arial"/>
                <w:sz w:val="22"/>
                <w:szCs w:val="22"/>
              </w:rPr>
              <w:t>131</w:t>
            </w:r>
          </w:p>
        </w:tc>
        <w:tc>
          <w:tcPr>
            <w:tcW w:w="2070" w:type="dxa"/>
            <w:vAlign w:val="center"/>
          </w:tcPr>
          <w:p w:rsidR="008B4DAB" w:rsidRPr="002B49F2" w:rsidP="00C33E57" w14:paraId="1C392D63" w14:textId="05850C8A">
            <w:pPr>
              <w:jc w:val="center"/>
              <w:rPr>
                <w:rFonts w:ascii="Arial" w:hAnsi="Arial" w:cs="Arial"/>
                <w:sz w:val="22"/>
                <w:szCs w:val="22"/>
              </w:rPr>
            </w:pPr>
            <w:r w:rsidRPr="002B49F2">
              <w:rPr>
                <w:rFonts w:ascii="Arial" w:hAnsi="Arial" w:cs="Arial"/>
                <w:color w:val="000000"/>
                <w:sz w:val="22"/>
                <w:szCs w:val="22"/>
              </w:rPr>
              <w:t>432.3</w:t>
            </w:r>
          </w:p>
        </w:tc>
        <w:tc>
          <w:tcPr>
            <w:tcW w:w="1980" w:type="dxa"/>
            <w:vAlign w:val="center"/>
          </w:tcPr>
          <w:p w:rsidR="008B4DAB" w:rsidRPr="002B49F2" w:rsidP="00C33E57" w14:paraId="588EF279" w14:textId="0D16C9BA">
            <w:pPr>
              <w:jc w:val="center"/>
              <w:rPr>
                <w:rFonts w:ascii="Arial" w:hAnsi="Arial" w:cs="Arial"/>
                <w:sz w:val="22"/>
                <w:szCs w:val="22"/>
              </w:rPr>
            </w:pPr>
            <w:r w:rsidRPr="002B49F2">
              <w:rPr>
                <w:rFonts w:ascii="Arial" w:hAnsi="Arial" w:cs="Arial"/>
                <w:color w:val="000000"/>
                <w:sz w:val="22"/>
                <w:szCs w:val="22"/>
              </w:rPr>
              <w:t>$125,367</w:t>
            </w:r>
          </w:p>
        </w:tc>
      </w:tr>
      <w:tr w14:paraId="6FC2B735" w14:textId="77777777" w:rsidTr="00EE60B9">
        <w:tblPrEx>
          <w:tblW w:w="13140" w:type="dxa"/>
          <w:tblInd w:w="175" w:type="dxa"/>
          <w:tblLayout w:type="fixed"/>
          <w:tblLook w:val="04A0"/>
        </w:tblPrEx>
        <w:tc>
          <w:tcPr>
            <w:tcW w:w="4860" w:type="dxa"/>
          </w:tcPr>
          <w:p w:rsidR="008B4DAB" w:rsidRPr="002B49F2" w:rsidP="00833005" w14:paraId="315D4933" w14:textId="77777777">
            <w:pPr>
              <w:rPr>
                <w:rFonts w:ascii="Arial" w:hAnsi="Arial" w:cs="Arial"/>
                <w:sz w:val="20"/>
                <w:szCs w:val="20"/>
              </w:rPr>
            </w:pPr>
            <w:r w:rsidRPr="002B49F2">
              <w:rPr>
                <w:rFonts w:ascii="Arial" w:hAnsi="Arial" w:cs="Arial"/>
                <w:sz w:val="20"/>
                <w:szCs w:val="20"/>
              </w:rPr>
              <w:t>Endangered Species Act: federally listed species and critical habitats under U.S. Fish and Wildlife jurisdiction (Category 2)</w:t>
            </w:r>
          </w:p>
        </w:tc>
        <w:tc>
          <w:tcPr>
            <w:tcW w:w="2160" w:type="dxa"/>
            <w:vAlign w:val="center"/>
          </w:tcPr>
          <w:p w:rsidR="008B4DAB" w:rsidRPr="002B49F2" w:rsidP="00C33E57" w14:paraId="557EEB7C"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011CE68B" w14:textId="1E64B025">
            <w:pPr>
              <w:jc w:val="center"/>
              <w:rPr>
                <w:rFonts w:ascii="Arial" w:hAnsi="Arial" w:cs="Arial"/>
                <w:sz w:val="22"/>
                <w:szCs w:val="22"/>
              </w:rPr>
            </w:pPr>
            <w:r w:rsidRPr="002B49F2">
              <w:rPr>
                <w:rFonts w:ascii="Arial" w:hAnsi="Arial" w:cs="Arial"/>
                <w:sz w:val="22"/>
                <w:szCs w:val="22"/>
              </w:rPr>
              <w:t>116</w:t>
            </w:r>
          </w:p>
        </w:tc>
        <w:tc>
          <w:tcPr>
            <w:tcW w:w="2070" w:type="dxa"/>
            <w:vAlign w:val="center"/>
          </w:tcPr>
          <w:p w:rsidR="008B4DAB" w:rsidRPr="002B49F2" w:rsidP="00C33E57" w14:paraId="4CC50497" w14:textId="6DBD9E30">
            <w:pPr>
              <w:jc w:val="center"/>
              <w:rPr>
                <w:rFonts w:ascii="Arial" w:hAnsi="Arial" w:cs="Arial"/>
                <w:sz w:val="22"/>
                <w:szCs w:val="22"/>
              </w:rPr>
            </w:pPr>
            <w:r w:rsidRPr="002B49F2">
              <w:rPr>
                <w:rFonts w:ascii="Arial" w:hAnsi="Arial" w:cs="Arial"/>
                <w:color w:val="000000"/>
                <w:sz w:val="22"/>
                <w:szCs w:val="22"/>
              </w:rPr>
              <w:t>382.8</w:t>
            </w:r>
          </w:p>
        </w:tc>
        <w:tc>
          <w:tcPr>
            <w:tcW w:w="1980" w:type="dxa"/>
            <w:vAlign w:val="center"/>
          </w:tcPr>
          <w:p w:rsidR="008B4DAB" w:rsidRPr="002B49F2" w:rsidP="00C33E57" w14:paraId="3D4DE122" w14:textId="6781C8D4">
            <w:pPr>
              <w:jc w:val="center"/>
              <w:rPr>
                <w:rFonts w:ascii="Arial" w:hAnsi="Arial" w:cs="Arial"/>
                <w:sz w:val="22"/>
                <w:szCs w:val="22"/>
              </w:rPr>
            </w:pPr>
            <w:r w:rsidRPr="002B49F2">
              <w:rPr>
                <w:rFonts w:ascii="Arial" w:hAnsi="Arial" w:cs="Arial"/>
                <w:color w:val="000000"/>
                <w:sz w:val="22"/>
                <w:szCs w:val="22"/>
              </w:rPr>
              <w:t>$111,012</w:t>
            </w:r>
          </w:p>
        </w:tc>
      </w:tr>
      <w:tr w14:paraId="58CAEA8B" w14:textId="77777777" w:rsidTr="00EE60B9">
        <w:tblPrEx>
          <w:tblW w:w="13140" w:type="dxa"/>
          <w:tblInd w:w="175" w:type="dxa"/>
          <w:tblLayout w:type="fixed"/>
          <w:tblLook w:val="04A0"/>
        </w:tblPrEx>
        <w:tc>
          <w:tcPr>
            <w:tcW w:w="4860" w:type="dxa"/>
          </w:tcPr>
          <w:p w:rsidR="008B4DAB" w:rsidRPr="002B49F2" w:rsidP="00833005" w14:paraId="1BFB4EA3" w14:textId="77777777">
            <w:pPr>
              <w:rPr>
                <w:rFonts w:ascii="Arial" w:hAnsi="Arial" w:cs="Arial"/>
                <w:sz w:val="20"/>
                <w:szCs w:val="20"/>
              </w:rPr>
            </w:pPr>
            <w:r w:rsidRPr="002B49F2">
              <w:rPr>
                <w:rFonts w:ascii="Arial" w:hAnsi="Arial" w:cs="Arial"/>
                <w:sz w:val="20"/>
                <w:szCs w:val="20"/>
              </w:rPr>
              <w:t>Endangered Species Act: federally listed species and critical habitats under National Marine Fisheries Service jurisdiction (Category 2)</w:t>
            </w:r>
          </w:p>
        </w:tc>
        <w:tc>
          <w:tcPr>
            <w:tcW w:w="2160" w:type="dxa"/>
            <w:vAlign w:val="center"/>
          </w:tcPr>
          <w:p w:rsidR="008B4DAB" w:rsidRPr="002B49F2" w:rsidP="00C33E57" w14:paraId="7CE27B12"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17986890" w14:textId="1D5F8923">
            <w:pPr>
              <w:jc w:val="center"/>
              <w:rPr>
                <w:rFonts w:ascii="Arial" w:hAnsi="Arial" w:cs="Arial"/>
                <w:sz w:val="22"/>
                <w:szCs w:val="22"/>
              </w:rPr>
            </w:pPr>
            <w:r w:rsidRPr="002B49F2">
              <w:rPr>
                <w:rFonts w:ascii="Arial" w:hAnsi="Arial" w:cs="Arial"/>
                <w:sz w:val="22"/>
                <w:szCs w:val="22"/>
              </w:rPr>
              <w:t>116</w:t>
            </w:r>
          </w:p>
        </w:tc>
        <w:tc>
          <w:tcPr>
            <w:tcW w:w="2070" w:type="dxa"/>
            <w:vAlign w:val="center"/>
          </w:tcPr>
          <w:p w:rsidR="008B4DAB" w:rsidRPr="002B49F2" w:rsidP="00C33E57" w14:paraId="4CF01C13" w14:textId="768DEB42">
            <w:pPr>
              <w:jc w:val="center"/>
              <w:rPr>
                <w:rFonts w:ascii="Arial" w:hAnsi="Arial" w:cs="Arial"/>
                <w:sz w:val="22"/>
                <w:szCs w:val="22"/>
              </w:rPr>
            </w:pPr>
            <w:r w:rsidRPr="002B49F2">
              <w:rPr>
                <w:rFonts w:ascii="Arial" w:hAnsi="Arial" w:cs="Arial"/>
                <w:color w:val="000000"/>
                <w:sz w:val="22"/>
                <w:szCs w:val="22"/>
              </w:rPr>
              <w:t>382.8</w:t>
            </w:r>
          </w:p>
        </w:tc>
        <w:tc>
          <w:tcPr>
            <w:tcW w:w="1980" w:type="dxa"/>
            <w:vAlign w:val="center"/>
          </w:tcPr>
          <w:p w:rsidR="008B4DAB" w:rsidRPr="002B49F2" w:rsidP="00C33E57" w14:paraId="3271F4D9" w14:textId="40939560">
            <w:pPr>
              <w:jc w:val="center"/>
              <w:rPr>
                <w:rFonts w:ascii="Arial" w:hAnsi="Arial" w:cs="Arial"/>
                <w:sz w:val="22"/>
                <w:szCs w:val="22"/>
              </w:rPr>
            </w:pPr>
            <w:r w:rsidRPr="002B49F2">
              <w:rPr>
                <w:rFonts w:ascii="Arial" w:hAnsi="Arial" w:cs="Arial"/>
                <w:color w:val="000000"/>
                <w:sz w:val="22"/>
                <w:szCs w:val="22"/>
              </w:rPr>
              <w:t>$111,012</w:t>
            </w:r>
          </w:p>
        </w:tc>
      </w:tr>
      <w:tr w14:paraId="7551E19A" w14:textId="77777777" w:rsidTr="00EE60B9">
        <w:tblPrEx>
          <w:tblW w:w="13140" w:type="dxa"/>
          <w:tblInd w:w="175" w:type="dxa"/>
          <w:tblLayout w:type="fixed"/>
          <w:tblLook w:val="04A0"/>
        </w:tblPrEx>
        <w:tc>
          <w:tcPr>
            <w:tcW w:w="4860" w:type="dxa"/>
          </w:tcPr>
          <w:p w:rsidR="008B4DAB" w:rsidRPr="002B49F2" w:rsidP="00833005" w14:paraId="7B94BBCC" w14:textId="77777777">
            <w:pPr>
              <w:rPr>
                <w:rFonts w:ascii="Arial" w:hAnsi="Arial" w:cs="Arial"/>
                <w:sz w:val="20"/>
                <w:szCs w:val="20"/>
              </w:rPr>
            </w:pPr>
            <w:r w:rsidRPr="002B49F2">
              <w:rPr>
                <w:rFonts w:ascii="Arial" w:hAnsi="Arial" w:cs="Arial"/>
                <w:sz w:val="20"/>
                <w:szCs w:val="20"/>
              </w:rPr>
              <w:t>Magnuson-Stevens Act: essential fish habitat (Category 2)</w:t>
            </w:r>
          </w:p>
        </w:tc>
        <w:tc>
          <w:tcPr>
            <w:tcW w:w="2160" w:type="dxa"/>
            <w:vAlign w:val="center"/>
          </w:tcPr>
          <w:p w:rsidR="008B4DAB" w:rsidRPr="002B49F2" w:rsidP="00C33E57" w14:paraId="4158AC2D"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01D20043" w14:textId="63B18F71">
            <w:pPr>
              <w:jc w:val="center"/>
              <w:rPr>
                <w:rFonts w:ascii="Arial" w:hAnsi="Arial" w:cs="Arial"/>
                <w:sz w:val="22"/>
                <w:szCs w:val="22"/>
              </w:rPr>
            </w:pPr>
            <w:r w:rsidRPr="002B49F2">
              <w:rPr>
                <w:rFonts w:ascii="Arial" w:hAnsi="Arial" w:cs="Arial"/>
                <w:sz w:val="22"/>
                <w:szCs w:val="22"/>
              </w:rPr>
              <w:t>116</w:t>
            </w:r>
          </w:p>
        </w:tc>
        <w:tc>
          <w:tcPr>
            <w:tcW w:w="2070" w:type="dxa"/>
            <w:vAlign w:val="center"/>
          </w:tcPr>
          <w:p w:rsidR="008B4DAB" w:rsidRPr="002B49F2" w:rsidP="00C33E57" w14:paraId="7060A982" w14:textId="0834B887">
            <w:pPr>
              <w:jc w:val="center"/>
              <w:rPr>
                <w:rFonts w:ascii="Arial" w:hAnsi="Arial" w:cs="Arial"/>
                <w:sz w:val="22"/>
                <w:szCs w:val="22"/>
              </w:rPr>
            </w:pPr>
            <w:r w:rsidRPr="002B49F2">
              <w:rPr>
                <w:rFonts w:ascii="Arial" w:hAnsi="Arial" w:cs="Arial"/>
                <w:color w:val="000000"/>
                <w:sz w:val="22"/>
                <w:szCs w:val="22"/>
              </w:rPr>
              <w:t>382.8</w:t>
            </w:r>
          </w:p>
        </w:tc>
        <w:tc>
          <w:tcPr>
            <w:tcW w:w="1980" w:type="dxa"/>
            <w:vAlign w:val="center"/>
          </w:tcPr>
          <w:p w:rsidR="008B4DAB" w:rsidRPr="002B49F2" w:rsidP="00C33E57" w14:paraId="4753CFA6" w14:textId="0E48494B">
            <w:pPr>
              <w:jc w:val="center"/>
              <w:rPr>
                <w:rFonts w:ascii="Arial" w:hAnsi="Arial" w:cs="Arial"/>
                <w:sz w:val="22"/>
                <w:szCs w:val="22"/>
              </w:rPr>
            </w:pPr>
            <w:r w:rsidRPr="002B49F2">
              <w:rPr>
                <w:rFonts w:ascii="Arial" w:hAnsi="Arial" w:cs="Arial"/>
                <w:color w:val="000000"/>
                <w:sz w:val="22"/>
                <w:szCs w:val="22"/>
              </w:rPr>
              <w:t>$111,012</w:t>
            </w:r>
          </w:p>
        </w:tc>
      </w:tr>
      <w:tr w14:paraId="1BA2E3D5" w14:textId="77777777" w:rsidTr="00EE60B9">
        <w:tblPrEx>
          <w:tblW w:w="13140" w:type="dxa"/>
          <w:tblInd w:w="175" w:type="dxa"/>
          <w:tblLayout w:type="fixed"/>
          <w:tblLook w:val="04A0"/>
        </w:tblPrEx>
        <w:tc>
          <w:tcPr>
            <w:tcW w:w="4860" w:type="dxa"/>
          </w:tcPr>
          <w:p w:rsidR="008B4DAB" w:rsidRPr="002B49F2" w:rsidP="00833005" w14:paraId="6148CA07" w14:textId="77777777">
            <w:pPr>
              <w:rPr>
                <w:rFonts w:ascii="Arial" w:hAnsi="Arial" w:cs="Arial"/>
                <w:sz w:val="20"/>
                <w:szCs w:val="20"/>
              </w:rPr>
            </w:pPr>
            <w:r w:rsidRPr="002B49F2">
              <w:rPr>
                <w:rFonts w:ascii="Arial" w:hAnsi="Arial" w:cs="Arial"/>
                <w:sz w:val="20"/>
                <w:szCs w:val="20"/>
              </w:rPr>
              <w:t>National Marine Sanctuaries Act: sanctuary resources (Category 2)</w:t>
            </w:r>
          </w:p>
        </w:tc>
        <w:tc>
          <w:tcPr>
            <w:tcW w:w="2160" w:type="dxa"/>
            <w:vAlign w:val="center"/>
          </w:tcPr>
          <w:p w:rsidR="008B4DAB" w:rsidRPr="002B49F2" w:rsidP="00C33E57" w14:paraId="10FF3E15"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2AFD6CAB" w14:textId="00881316">
            <w:pPr>
              <w:jc w:val="center"/>
              <w:rPr>
                <w:rFonts w:ascii="Arial" w:hAnsi="Arial" w:cs="Arial"/>
                <w:sz w:val="22"/>
                <w:szCs w:val="22"/>
              </w:rPr>
            </w:pPr>
            <w:r w:rsidRPr="002B49F2">
              <w:rPr>
                <w:rFonts w:ascii="Arial" w:hAnsi="Arial" w:cs="Arial"/>
                <w:sz w:val="22"/>
                <w:szCs w:val="22"/>
              </w:rPr>
              <w:t>174</w:t>
            </w:r>
          </w:p>
        </w:tc>
        <w:tc>
          <w:tcPr>
            <w:tcW w:w="2070" w:type="dxa"/>
            <w:vAlign w:val="center"/>
          </w:tcPr>
          <w:p w:rsidR="008B4DAB" w:rsidRPr="002B49F2" w:rsidP="00C33E57" w14:paraId="573EA912" w14:textId="016DAE0D">
            <w:pPr>
              <w:jc w:val="center"/>
              <w:rPr>
                <w:rFonts w:ascii="Arial" w:hAnsi="Arial" w:cs="Arial"/>
                <w:sz w:val="22"/>
                <w:szCs w:val="22"/>
              </w:rPr>
            </w:pPr>
            <w:r w:rsidRPr="002B49F2">
              <w:rPr>
                <w:rFonts w:ascii="Arial" w:hAnsi="Arial" w:cs="Arial"/>
                <w:color w:val="000000"/>
                <w:sz w:val="22"/>
                <w:szCs w:val="22"/>
              </w:rPr>
              <w:t>574.2</w:t>
            </w:r>
          </w:p>
        </w:tc>
        <w:tc>
          <w:tcPr>
            <w:tcW w:w="1980" w:type="dxa"/>
            <w:vAlign w:val="center"/>
          </w:tcPr>
          <w:p w:rsidR="008B4DAB" w:rsidRPr="002B49F2" w:rsidP="00C33E57" w14:paraId="19E90649" w14:textId="558044AC">
            <w:pPr>
              <w:jc w:val="center"/>
              <w:rPr>
                <w:rFonts w:ascii="Arial" w:hAnsi="Arial" w:cs="Arial"/>
                <w:sz w:val="22"/>
                <w:szCs w:val="22"/>
              </w:rPr>
            </w:pPr>
            <w:r w:rsidRPr="002B49F2">
              <w:rPr>
                <w:rFonts w:ascii="Arial" w:hAnsi="Arial" w:cs="Arial"/>
                <w:color w:val="000000"/>
                <w:sz w:val="22"/>
                <w:szCs w:val="22"/>
              </w:rPr>
              <w:t>$166,518</w:t>
            </w:r>
          </w:p>
        </w:tc>
      </w:tr>
      <w:tr w14:paraId="46E6506B" w14:textId="77777777" w:rsidTr="00EE60B9">
        <w:tblPrEx>
          <w:tblW w:w="13140" w:type="dxa"/>
          <w:tblInd w:w="175" w:type="dxa"/>
          <w:tblLayout w:type="fixed"/>
          <w:tblLook w:val="04A0"/>
        </w:tblPrEx>
        <w:tc>
          <w:tcPr>
            <w:tcW w:w="4860" w:type="dxa"/>
          </w:tcPr>
          <w:p w:rsidR="008B4DAB" w:rsidRPr="002B49F2" w:rsidP="00833005" w14:paraId="530B1687" w14:textId="77777777">
            <w:pPr>
              <w:rPr>
                <w:rFonts w:ascii="Arial" w:hAnsi="Arial" w:cs="Arial"/>
                <w:sz w:val="20"/>
                <w:szCs w:val="20"/>
              </w:rPr>
            </w:pPr>
            <w:r w:rsidRPr="002B49F2">
              <w:rPr>
                <w:rFonts w:ascii="Arial" w:hAnsi="Arial" w:cs="Arial"/>
                <w:sz w:val="20"/>
                <w:szCs w:val="20"/>
              </w:rPr>
              <w:t>Greenhouse gas impacts on climate change (Category 1)</w:t>
            </w:r>
          </w:p>
        </w:tc>
        <w:tc>
          <w:tcPr>
            <w:tcW w:w="2160" w:type="dxa"/>
            <w:vAlign w:val="center"/>
          </w:tcPr>
          <w:p w:rsidR="008B4DAB" w:rsidRPr="002B49F2" w:rsidP="00C33E57" w14:paraId="03A792DB"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4EB9958D" w14:textId="5F509E07">
            <w:pPr>
              <w:jc w:val="center"/>
              <w:rPr>
                <w:rFonts w:ascii="Arial" w:hAnsi="Arial" w:cs="Arial"/>
                <w:sz w:val="22"/>
                <w:szCs w:val="22"/>
              </w:rPr>
            </w:pPr>
            <w:r w:rsidRPr="002B49F2">
              <w:rPr>
                <w:rFonts w:ascii="Arial" w:hAnsi="Arial" w:cs="Arial"/>
                <w:sz w:val="22"/>
                <w:szCs w:val="22"/>
              </w:rPr>
              <w:t>43</w:t>
            </w:r>
          </w:p>
        </w:tc>
        <w:tc>
          <w:tcPr>
            <w:tcW w:w="2070" w:type="dxa"/>
            <w:vAlign w:val="center"/>
          </w:tcPr>
          <w:p w:rsidR="008B4DAB" w:rsidRPr="002B49F2" w:rsidP="00C33E57" w14:paraId="40AB32B1" w14:textId="037C6649">
            <w:pPr>
              <w:jc w:val="center"/>
              <w:rPr>
                <w:rFonts w:ascii="Arial" w:hAnsi="Arial" w:cs="Arial"/>
                <w:sz w:val="22"/>
                <w:szCs w:val="22"/>
              </w:rPr>
            </w:pPr>
            <w:r w:rsidRPr="002B49F2">
              <w:rPr>
                <w:rFonts w:ascii="Arial" w:hAnsi="Arial" w:cs="Arial"/>
                <w:color w:val="000000"/>
                <w:sz w:val="22"/>
                <w:szCs w:val="22"/>
              </w:rPr>
              <w:t>141.9</w:t>
            </w:r>
          </w:p>
        </w:tc>
        <w:tc>
          <w:tcPr>
            <w:tcW w:w="1980" w:type="dxa"/>
            <w:vAlign w:val="center"/>
          </w:tcPr>
          <w:p w:rsidR="008B4DAB" w:rsidRPr="002B49F2" w:rsidP="00C33E57" w14:paraId="02C47C6F" w14:textId="0BCD75D7">
            <w:pPr>
              <w:jc w:val="center"/>
              <w:rPr>
                <w:rFonts w:ascii="Arial" w:hAnsi="Arial" w:cs="Arial"/>
                <w:sz w:val="22"/>
                <w:szCs w:val="22"/>
              </w:rPr>
            </w:pPr>
            <w:r w:rsidRPr="002B49F2">
              <w:rPr>
                <w:rFonts w:ascii="Arial" w:hAnsi="Arial" w:cs="Arial"/>
                <w:color w:val="000000"/>
                <w:sz w:val="22"/>
                <w:szCs w:val="22"/>
              </w:rPr>
              <w:t>$41,151</w:t>
            </w:r>
          </w:p>
        </w:tc>
      </w:tr>
      <w:tr w14:paraId="47030D14" w14:textId="77777777" w:rsidTr="00EE60B9">
        <w:tblPrEx>
          <w:tblW w:w="13140" w:type="dxa"/>
          <w:tblInd w:w="175" w:type="dxa"/>
          <w:tblLayout w:type="fixed"/>
          <w:tblLook w:val="04A0"/>
        </w:tblPrEx>
        <w:tc>
          <w:tcPr>
            <w:tcW w:w="4860" w:type="dxa"/>
          </w:tcPr>
          <w:p w:rsidR="008B4DAB" w:rsidRPr="002B49F2" w:rsidP="00833005" w14:paraId="0CA7E527" w14:textId="77777777">
            <w:pPr>
              <w:rPr>
                <w:rFonts w:ascii="Arial" w:hAnsi="Arial" w:cs="Arial"/>
                <w:sz w:val="20"/>
                <w:szCs w:val="20"/>
              </w:rPr>
            </w:pPr>
            <w:r w:rsidRPr="002B49F2">
              <w:rPr>
                <w:rFonts w:ascii="Arial" w:hAnsi="Arial" w:cs="Arial"/>
                <w:sz w:val="20"/>
                <w:szCs w:val="20"/>
              </w:rPr>
              <w:t>Greenhouse change impacts on environmental resources (Category 2)</w:t>
            </w:r>
          </w:p>
        </w:tc>
        <w:tc>
          <w:tcPr>
            <w:tcW w:w="2160" w:type="dxa"/>
            <w:vAlign w:val="center"/>
          </w:tcPr>
          <w:p w:rsidR="008B4DAB" w:rsidRPr="002B49F2" w:rsidP="00C33E57" w14:paraId="489170E3" w14:textId="77777777">
            <w:pPr>
              <w:jc w:val="center"/>
              <w:rPr>
                <w:rFonts w:ascii="Arial" w:hAnsi="Arial" w:cs="Arial"/>
                <w:sz w:val="22"/>
                <w:szCs w:val="22"/>
              </w:rPr>
            </w:pPr>
            <w:r w:rsidRPr="002B49F2">
              <w:rPr>
                <w:rFonts w:ascii="Arial" w:hAnsi="Arial" w:cs="Arial"/>
                <w:sz w:val="22"/>
                <w:szCs w:val="22"/>
              </w:rPr>
              <w:t>3.3</w:t>
            </w:r>
          </w:p>
        </w:tc>
        <w:tc>
          <w:tcPr>
            <w:tcW w:w="2070" w:type="dxa"/>
            <w:vAlign w:val="center"/>
          </w:tcPr>
          <w:p w:rsidR="008B4DAB" w:rsidRPr="002B49F2" w:rsidP="00C33E57" w14:paraId="0EA497E6" w14:textId="142B5D74">
            <w:pPr>
              <w:jc w:val="center"/>
              <w:rPr>
                <w:rFonts w:ascii="Arial" w:hAnsi="Arial" w:cs="Arial"/>
                <w:sz w:val="22"/>
                <w:szCs w:val="22"/>
              </w:rPr>
            </w:pPr>
            <w:r w:rsidRPr="002B49F2">
              <w:rPr>
                <w:rFonts w:ascii="Arial" w:hAnsi="Arial" w:cs="Arial"/>
                <w:sz w:val="22"/>
                <w:szCs w:val="22"/>
              </w:rPr>
              <w:t>174</w:t>
            </w:r>
          </w:p>
        </w:tc>
        <w:tc>
          <w:tcPr>
            <w:tcW w:w="2070" w:type="dxa"/>
            <w:vAlign w:val="center"/>
          </w:tcPr>
          <w:p w:rsidR="008B4DAB" w:rsidRPr="002B49F2" w:rsidP="00C33E57" w14:paraId="5B640774" w14:textId="2470C43D">
            <w:pPr>
              <w:jc w:val="center"/>
              <w:rPr>
                <w:rFonts w:ascii="Arial" w:hAnsi="Arial" w:cs="Arial"/>
                <w:sz w:val="22"/>
                <w:szCs w:val="22"/>
              </w:rPr>
            </w:pPr>
            <w:r w:rsidRPr="002B49F2">
              <w:rPr>
                <w:rFonts w:ascii="Arial" w:hAnsi="Arial" w:cs="Arial"/>
                <w:color w:val="000000"/>
                <w:sz w:val="22"/>
                <w:szCs w:val="22"/>
              </w:rPr>
              <w:t>574.2</w:t>
            </w:r>
          </w:p>
        </w:tc>
        <w:tc>
          <w:tcPr>
            <w:tcW w:w="1980" w:type="dxa"/>
            <w:vAlign w:val="center"/>
          </w:tcPr>
          <w:p w:rsidR="008B4DAB" w:rsidRPr="002B49F2" w:rsidP="00C33E57" w14:paraId="277ED01F" w14:textId="4B94B2B5">
            <w:pPr>
              <w:jc w:val="center"/>
              <w:rPr>
                <w:rFonts w:ascii="Arial" w:hAnsi="Arial" w:cs="Arial"/>
                <w:sz w:val="22"/>
                <w:szCs w:val="22"/>
              </w:rPr>
            </w:pPr>
            <w:r w:rsidRPr="002B49F2">
              <w:rPr>
                <w:rFonts w:ascii="Arial" w:hAnsi="Arial" w:cs="Arial"/>
                <w:color w:val="000000"/>
                <w:sz w:val="22"/>
                <w:szCs w:val="22"/>
              </w:rPr>
              <w:t>$166,518</w:t>
            </w:r>
          </w:p>
        </w:tc>
      </w:tr>
      <w:tr w14:paraId="0230620A" w14:textId="77777777" w:rsidTr="00EE60B9">
        <w:tblPrEx>
          <w:tblW w:w="13140" w:type="dxa"/>
          <w:tblInd w:w="175" w:type="dxa"/>
          <w:tblLayout w:type="fixed"/>
          <w:tblLook w:val="04A0"/>
        </w:tblPrEx>
        <w:tc>
          <w:tcPr>
            <w:tcW w:w="9090" w:type="dxa"/>
            <w:gridSpan w:val="3"/>
            <w:vAlign w:val="center"/>
          </w:tcPr>
          <w:p w:rsidR="00B700F5" w:rsidRPr="002B49F2" w:rsidP="009161B6" w14:paraId="6A8353BC" w14:textId="59608BA6">
            <w:pPr>
              <w:jc w:val="right"/>
              <w:rPr>
                <w:rFonts w:ascii="Arial" w:hAnsi="Arial" w:cs="Arial"/>
                <w:b/>
                <w:sz w:val="22"/>
                <w:szCs w:val="22"/>
              </w:rPr>
            </w:pPr>
            <w:r w:rsidRPr="002B49F2">
              <w:rPr>
                <w:rFonts w:ascii="Arial" w:hAnsi="Arial" w:cs="Arial"/>
                <w:b/>
                <w:bCs/>
                <w:sz w:val="22"/>
                <w:szCs w:val="22"/>
              </w:rPr>
              <w:t>Total NRC Review Time for Near-Term</w:t>
            </w:r>
            <w:r w:rsidRPr="002B49F2" w:rsidR="002332E7">
              <w:rPr>
                <w:rFonts w:ascii="Arial" w:hAnsi="Arial" w:cs="Arial"/>
                <w:b/>
                <w:bCs/>
                <w:sz w:val="22"/>
                <w:szCs w:val="22"/>
              </w:rPr>
              <w:t xml:space="preserve"> and</w:t>
            </w:r>
            <w:r w:rsidRPr="002B49F2">
              <w:rPr>
                <w:rFonts w:ascii="Arial" w:hAnsi="Arial" w:cs="Arial"/>
                <w:b/>
                <w:bCs/>
                <w:sz w:val="22"/>
                <w:szCs w:val="22"/>
              </w:rPr>
              <w:t xml:space="preserve"> Submitted</w:t>
            </w:r>
            <w:r w:rsidRPr="002B49F2" w:rsidR="002332E7">
              <w:rPr>
                <w:rFonts w:ascii="Arial" w:hAnsi="Arial" w:cs="Arial"/>
                <w:b/>
                <w:bCs/>
                <w:sz w:val="22"/>
                <w:szCs w:val="22"/>
              </w:rPr>
              <w:t xml:space="preserve"> Applications</w:t>
            </w:r>
            <w:r w:rsidRPr="002B49F2">
              <w:rPr>
                <w:rFonts w:ascii="Arial" w:hAnsi="Arial" w:cs="Arial"/>
                <w:b/>
                <w:bCs/>
                <w:sz w:val="22"/>
                <w:szCs w:val="22"/>
              </w:rPr>
              <w:t xml:space="preserve">, </w:t>
            </w:r>
            <w:r w:rsidRPr="002B49F2" w:rsidR="006F648C">
              <w:rPr>
                <w:rFonts w:ascii="Arial" w:hAnsi="Arial" w:cs="Arial"/>
                <w:b/>
                <w:bCs/>
                <w:sz w:val="22"/>
                <w:szCs w:val="22"/>
              </w:rPr>
              <w:t>and</w:t>
            </w:r>
            <w:r w:rsidRPr="002B49F2">
              <w:rPr>
                <w:rFonts w:ascii="Arial" w:hAnsi="Arial" w:cs="Arial"/>
                <w:b/>
                <w:bCs/>
                <w:sz w:val="22"/>
                <w:szCs w:val="22"/>
              </w:rPr>
              <w:t xml:space="preserve"> </w:t>
            </w:r>
            <w:r w:rsidRPr="002B49F2" w:rsidR="006F648C">
              <w:rPr>
                <w:rFonts w:ascii="Arial" w:hAnsi="Arial" w:cs="Arial"/>
                <w:b/>
                <w:bCs/>
                <w:sz w:val="22"/>
                <w:szCs w:val="22"/>
              </w:rPr>
              <w:t>Issued</w:t>
            </w:r>
            <w:r w:rsidRPr="002B49F2">
              <w:rPr>
                <w:rFonts w:ascii="Arial" w:hAnsi="Arial" w:cs="Arial"/>
                <w:b/>
                <w:bCs/>
                <w:sz w:val="22"/>
                <w:szCs w:val="22"/>
              </w:rPr>
              <w:t xml:space="preserve"> Subsequent License Renewal</w:t>
            </w:r>
            <w:r w:rsidRPr="002B49F2" w:rsidR="006F648C">
              <w:rPr>
                <w:rFonts w:ascii="Arial" w:hAnsi="Arial" w:cs="Arial"/>
                <w:b/>
                <w:bCs/>
                <w:sz w:val="22"/>
                <w:szCs w:val="22"/>
              </w:rPr>
              <w:t>s</w:t>
            </w:r>
          </w:p>
        </w:tc>
        <w:tc>
          <w:tcPr>
            <w:tcW w:w="2070" w:type="dxa"/>
            <w:vAlign w:val="center"/>
          </w:tcPr>
          <w:p w:rsidR="00B700F5" w:rsidRPr="002B49F2" w:rsidP="00170715" w14:paraId="7E5A6F3D" w14:textId="54E319FA">
            <w:pPr>
              <w:jc w:val="center"/>
              <w:rPr>
                <w:rFonts w:ascii="Arial" w:hAnsi="Arial" w:cs="Arial"/>
                <w:sz w:val="22"/>
                <w:szCs w:val="22"/>
              </w:rPr>
            </w:pPr>
            <w:r w:rsidRPr="002B49F2">
              <w:rPr>
                <w:rFonts w:ascii="Arial" w:hAnsi="Arial" w:cs="Arial"/>
                <w:sz w:val="22"/>
                <w:szCs w:val="22"/>
              </w:rPr>
              <w:t>2,910</w:t>
            </w:r>
            <w:r>
              <w:rPr>
                <w:rStyle w:val="FootnoteReference"/>
                <w:rFonts w:ascii="Arial" w:hAnsi="Arial" w:cs="Arial"/>
                <w:sz w:val="22"/>
                <w:szCs w:val="22"/>
              </w:rPr>
              <w:footnoteReference w:id="10"/>
            </w:r>
          </w:p>
        </w:tc>
        <w:tc>
          <w:tcPr>
            <w:tcW w:w="1980" w:type="dxa"/>
            <w:vAlign w:val="center"/>
          </w:tcPr>
          <w:p w:rsidR="00B700F5" w:rsidRPr="002B49F2" w:rsidP="00170715" w14:paraId="6E6A61A1" w14:textId="3EB13727">
            <w:pPr>
              <w:jc w:val="center"/>
              <w:rPr>
                <w:rFonts w:ascii="Arial" w:hAnsi="Arial" w:cs="Arial"/>
                <w:sz w:val="22"/>
                <w:szCs w:val="22"/>
              </w:rPr>
            </w:pPr>
            <w:r w:rsidRPr="002B49F2">
              <w:rPr>
                <w:rFonts w:ascii="Arial" w:hAnsi="Arial" w:cs="Arial"/>
                <w:sz w:val="22"/>
                <w:szCs w:val="22"/>
              </w:rPr>
              <w:t>$843,900</w:t>
            </w:r>
          </w:p>
        </w:tc>
      </w:tr>
    </w:tbl>
    <w:p w:rsidR="00100FC4" w:rsidRPr="002B49F2" w14:paraId="58B0C8C5" w14:textId="77777777">
      <w:pPr>
        <w:widowControl/>
        <w:autoSpaceDE/>
        <w:autoSpaceDN/>
        <w:adjustRightInd/>
        <w:spacing w:after="160" w:line="259" w:lineRule="auto"/>
        <w:rPr>
          <w:rFonts w:ascii="Arial" w:hAnsi="Arial" w:cs="Arial"/>
          <w:sz w:val="22"/>
          <w:szCs w:val="22"/>
        </w:rPr>
      </w:pPr>
      <w:r w:rsidRPr="002B49F2">
        <w:rPr>
          <w:rFonts w:ascii="Arial" w:hAnsi="Arial" w:cs="Arial"/>
          <w:sz w:val="22"/>
          <w:szCs w:val="22"/>
        </w:rPr>
        <w:br w:type="page"/>
      </w:r>
    </w:p>
    <w:p w:rsidR="008011AA" w:rsidRPr="002B49F2" w:rsidP="00010EC5" w14:paraId="5BCA0BE1" w14:textId="2657336F">
      <w:pPr>
        <w:ind w:left="360" w:hanging="360"/>
        <w:jc w:val="center"/>
        <w:rPr>
          <w:rFonts w:ascii="Arial" w:hAnsi="Arial" w:cs="Arial"/>
          <w:b/>
          <w:bCs/>
          <w:sz w:val="22"/>
          <w:szCs w:val="22"/>
        </w:rPr>
      </w:pPr>
      <w:r w:rsidRPr="002B49F2">
        <w:rPr>
          <w:rFonts w:ascii="Arial" w:hAnsi="Arial" w:cs="Arial"/>
          <w:b/>
          <w:bCs/>
          <w:sz w:val="22"/>
          <w:szCs w:val="22"/>
        </w:rPr>
        <w:t>Appendix</w:t>
      </w:r>
    </w:p>
    <w:p w:rsidR="00BC2DEC" w:rsidRPr="002B49F2" w:rsidP="00F04C52" w14:paraId="7A5CE916" w14:textId="7CC64F80">
      <w:pPr>
        <w:ind w:left="360" w:hanging="360"/>
        <w:rPr>
          <w:rFonts w:ascii="Arial" w:hAnsi="Arial" w:cs="Arial"/>
          <w:sz w:val="22"/>
          <w:szCs w:val="22"/>
        </w:rPr>
      </w:pPr>
    </w:p>
    <w:p w:rsidR="00BC2DEC" w:rsidRPr="002B49F2" w:rsidP="00010EC5" w14:paraId="5EE4E705" w14:textId="670D0EB8">
      <w:pPr>
        <w:ind w:left="360" w:hanging="360"/>
        <w:jc w:val="center"/>
        <w:rPr>
          <w:rFonts w:ascii="Arial" w:hAnsi="Arial" w:cs="Arial"/>
          <w:b/>
          <w:bCs/>
          <w:sz w:val="22"/>
          <w:szCs w:val="22"/>
        </w:rPr>
      </w:pPr>
      <w:r w:rsidRPr="002B49F2">
        <w:rPr>
          <w:rFonts w:ascii="Arial" w:hAnsi="Arial" w:cs="Arial"/>
          <w:b/>
          <w:bCs/>
          <w:sz w:val="22"/>
          <w:szCs w:val="22"/>
        </w:rPr>
        <w:t>Proposed Substantive Revisions to Table B-1 in Appendix B to Subpart A to 10 CFR Part</w:t>
      </w:r>
      <w:r w:rsidRPr="002B49F2" w:rsidR="00010EC5">
        <w:rPr>
          <w:rFonts w:ascii="Arial" w:hAnsi="Arial" w:cs="Arial"/>
          <w:b/>
          <w:bCs/>
          <w:sz w:val="22"/>
          <w:szCs w:val="22"/>
        </w:rPr>
        <w:t> </w:t>
      </w:r>
      <w:r w:rsidRPr="002B49F2">
        <w:rPr>
          <w:rFonts w:ascii="Arial" w:hAnsi="Arial" w:cs="Arial"/>
          <w:b/>
          <w:bCs/>
          <w:sz w:val="22"/>
          <w:szCs w:val="22"/>
        </w:rPr>
        <w:t>51</w:t>
      </w:r>
    </w:p>
    <w:p w:rsidR="00B9628B" w:rsidRPr="002B49F2" w:rsidP="00F04C52" w14:paraId="1799364D" w14:textId="6BC4E3C3">
      <w:pPr>
        <w:ind w:left="360" w:hanging="360"/>
        <w:rPr>
          <w:rFonts w:ascii="Arial" w:hAnsi="Arial" w:cs="Arial"/>
          <w:sz w:val="22"/>
          <w:szCs w:val="22"/>
        </w:rPr>
      </w:pPr>
    </w:p>
    <w:tbl>
      <w:tblPr>
        <w:tblStyle w:val="TableGrid"/>
        <w:tblW w:w="13140" w:type="dxa"/>
        <w:tblInd w:w="-95" w:type="dxa"/>
        <w:tblLayout w:type="fixed"/>
        <w:tblLook w:val="04A0"/>
      </w:tblPr>
      <w:tblGrid>
        <w:gridCol w:w="742"/>
        <w:gridCol w:w="1598"/>
        <w:gridCol w:w="1620"/>
        <w:gridCol w:w="9180"/>
      </w:tblGrid>
      <w:tr w14:paraId="18DA3798" w14:textId="77777777" w:rsidTr="00A737B9">
        <w:tblPrEx>
          <w:tblW w:w="13140" w:type="dxa"/>
          <w:tblInd w:w="-95" w:type="dxa"/>
          <w:tblLayout w:type="fixed"/>
          <w:tblLook w:val="04A0"/>
        </w:tblPrEx>
        <w:trPr>
          <w:cantSplit/>
          <w:tblHeader/>
        </w:trPr>
        <w:tc>
          <w:tcPr>
            <w:tcW w:w="742" w:type="dxa"/>
          </w:tcPr>
          <w:p w:rsidR="00010EC5" w:rsidRPr="002B49F2" w:rsidP="00F04C52" w14:paraId="538EBBF9" w14:textId="7778F0E5">
            <w:pPr>
              <w:rPr>
                <w:rFonts w:ascii="Arial" w:hAnsi="Arial" w:cs="Arial"/>
                <w:sz w:val="22"/>
                <w:szCs w:val="22"/>
              </w:rPr>
            </w:pPr>
            <w:r w:rsidRPr="002B49F2">
              <w:rPr>
                <w:rFonts w:ascii="Arial" w:hAnsi="Arial" w:cs="Arial"/>
                <w:sz w:val="22"/>
                <w:szCs w:val="22"/>
              </w:rPr>
              <w:t>Issue #</w:t>
            </w:r>
          </w:p>
        </w:tc>
        <w:tc>
          <w:tcPr>
            <w:tcW w:w="1598" w:type="dxa"/>
          </w:tcPr>
          <w:p w:rsidR="00010EC5" w:rsidRPr="002B49F2" w:rsidP="00F04C52" w14:paraId="25CE1687" w14:textId="68BDEF55">
            <w:pPr>
              <w:rPr>
                <w:rFonts w:ascii="Arial" w:hAnsi="Arial" w:cs="Arial"/>
                <w:sz w:val="22"/>
                <w:szCs w:val="22"/>
              </w:rPr>
            </w:pPr>
            <w:r w:rsidRPr="002B49F2">
              <w:rPr>
                <w:rFonts w:ascii="Arial" w:hAnsi="Arial" w:cs="Arial"/>
                <w:sz w:val="22"/>
                <w:szCs w:val="22"/>
              </w:rPr>
              <w:t>Issue</w:t>
            </w:r>
          </w:p>
        </w:tc>
        <w:tc>
          <w:tcPr>
            <w:tcW w:w="1620" w:type="dxa"/>
          </w:tcPr>
          <w:p w:rsidR="00010EC5" w:rsidRPr="002B49F2" w:rsidP="00F04C52" w14:paraId="7FD37992" w14:textId="14185E4B">
            <w:pPr>
              <w:rPr>
                <w:rFonts w:ascii="Arial" w:hAnsi="Arial" w:cs="Arial"/>
                <w:sz w:val="22"/>
                <w:szCs w:val="22"/>
              </w:rPr>
            </w:pPr>
            <w:r w:rsidRPr="002B49F2">
              <w:rPr>
                <w:rFonts w:ascii="Arial" w:hAnsi="Arial" w:cs="Arial"/>
                <w:sz w:val="22"/>
                <w:szCs w:val="22"/>
              </w:rPr>
              <w:t>Type of Change</w:t>
            </w:r>
          </w:p>
        </w:tc>
        <w:tc>
          <w:tcPr>
            <w:tcW w:w="9180" w:type="dxa"/>
          </w:tcPr>
          <w:p w:rsidR="00010EC5" w:rsidRPr="002B49F2" w:rsidP="00F04C52" w14:paraId="6E42EF10" w14:textId="1A8873E9">
            <w:pPr>
              <w:rPr>
                <w:rFonts w:ascii="Arial" w:hAnsi="Arial" w:cs="Arial"/>
                <w:sz w:val="22"/>
                <w:szCs w:val="22"/>
              </w:rPr>
            </w:pPr>
            <w:r w:rsidRPr="002B49F2">
              <w:rPr>
                <w:rFonts w:ascii="Arial" w:hAnsi="Arial" w:cs="Arial"/>
                <w:sz w:val="22"/>
                <w:szCs w:val="22"/>
              </w:rPr>
              <w:t>Proposed Revision</w:t>
            </w:r>
          </w:p>
        </w:tc>
      </w:tr>
      <w:tr w14:paraId="3BFD7AF4" w14:textId="77777777" w:rsidTr="00A737B9">
        <w:tblPrEx>
          <w:tblW w:w="13140" w:type="dxa"/>
          <w:tblInd w:w="-95" w:type="dxa"/>
          <w:tblLayout w:type="fixed"/>
          <w:tblLook w:val="04A0"/>
        </w:tblPrEx>
        <w:trPr>
          <w:cantSplit/>
        </w:trPr>
        <w:tc>
          <w:tcPr>
            <w:tcW w:w="742" w:type="dxa"/>
          </w:tcPr>
          <w:p w:rsidR="00010EC5" w:rsidRPr="002B49F2" w:rsidP="00F04C52" w14:paraId="06938296" w14:textId="1B1E8BF3">
            <w:pPr>
              <w:rPr>
                <w:rFonts w:ascii="Arial" w:hAnsi="Arial" w:cs="Arial"/>
                <w:sz w:val="22"/>
                <w:szCs w:val="22"/>
              </w:rPr>
            </w:pPr>
            <w:r w:rsidRPr="002B49F2">
              <w:rPr>
                <w:rFonts w:ascii="Arial" w:hAnsi="Arial" w:cs="Arial"/>
                <w:sz w:val="22"/>
                <w:szCs w:val="22"/>
              </w:rPr>
              <w:t>25</w:t>
            </w:r>
          </w:p>
        </w:tc>
        <w:tc>
          <w:tcPr>
            <w:tcW w:w="1598" w:type="dxa"/>
          </w:tcPr>
          <w:p w:rsidR="00010EC5" w:rsidRPr="002B49F2" w:rsidP="00F04C52" w14:paraId="64056917" w14:textId="1369005F">
            <w:pPr>
              <w:rPr>
                <w:rFonts w:ascii="Arial" w:hAnsi="Arial" w:cs="Arial"/>
                <w:sz w:val="22"/>
                <w:szCs w:val="22"/>
              </w:rPr>
            </w:pPr>
            <w:r w:rsidRPr="002B49F2">
              <w:rPr>
                <w:rFonts w:ascii="Arial" w:hAnsi="Arial" w:cs="Arial"/>
                <w:sz w:val="22"/>
                <w:szCs w:val="22"/>
              </w:rPr>
              <w:t>Groundwater quality degradation (plants with cooling ponds) (Category 2)</w:t>
            </w:r>
          </w:p>
        </w:tc>
        <w:tc>
          <w:tcPr>
            <w:tcW w:w="1620" w:type="dxa"/>
          </w:tcPr>
          <w:p w:rsidR="00010EC5" w:rsidRPr="002B49F2" w:rsidP="00F04C52" w14:paraId="24C84B81" w14:textId="76CF6C6A">
            <w:pPr>
              <w:rPr>
                <w:rFonts w:ascii="Arial" w:hAnsi="Arial" w:cs="Arial"/>
                <w:sz w:val="22"/>
                <w:szCs w:val="22"/>
              </w:rPr>
            </w:pPr>
            <w:r w:rsidRPr="002B49F2">
              <w:rPr>
                <w:rFonts w:ascii="Arial" w:hAnsi="Arial" w:cs="Arial"/>
                <w:sz w:val="22"/>
                <w:szCs w:val="22"/>
              </w:rPr>
              <w:t>Consolidation of an Existing Category 1 Issue into an</w:t>
            </w:r>
            <w:r w:rsidRPr="002B49F2" w:rsidR="00E74D0C">
              <w:rPr>
                <w:rFonts w:ascii="Arial" w:hAnsi="Arial" w:cs="Arial"/>
                <w:sz w:val="22"/>
                <w:szCs w:val="22"/>
              </w:rPr>
              <w:t> </w:t>
            </w:r>
            <w:r w:rsidRPr="002B49F2">
              <w:rPr>
                <w:rFonts w:ascii="Arial" w:hAnsi="Arial" w:cs="Arial"/>
                <w:sz w:val="22"/>
                <w:szCs w:val="22"/>
              </w:rPr>
              <w:t>Existing Category 2 Issue</w:t>
            </w:r>
          </w:p>
        </w:tc>
        <w:tc>
          <w:tcPr>
            <w:tcW w:w="9180" w:type="dxa"/>
          </w:tcPr>
          <w:p w:rsidR="00010EC5" w:rsidRPr="002B49F2" w:rsidP="00F04C52" w14:paraId="3E9D84D3" w14:textId="5B1B7C6D">
            <w:pPr>
              <w:rPr>
                <w:rFonts w:ascii="Arial" w:hAnsi="Arial" w:cs="Arial"/>
                <w:sz w:val="22"/>
                <w:szCs w:val="22"/>
              </w:rPr>
            </w:pPr>
            <w:r w:rsidRPr="002B49F2">
              <w:rPr>
                <w:rFonts w:ascii="Arial" w:hAnsi="Arial" w:cs="Arial"/>
                <w:sz w:val="22"/>
                <w:szCs w:val="22"/>
              </w:rPr>
              <w:t>This is a consolidated issue which combines an existing Category 1 issue, “Groundwater quality degradation (cooling ponds in salt marshes)” with an existing Category 2 issue, “Groundwater quality degradation (cooling ponds at inland sites).” The salt marshes issue only affected two nuclear power plants, but the consolidated issue reflects lessons learned and knowledge gained and new and significant information from a recent subsequent license renewal review that showed that cooling ponds can impact groundwater and surface water in ways not previously considered. This consolidated issue considers the</w:t>
            </w:r>
            <w:r w:rsidRPr="002B49F2" w:rsidR="003B3B77">
              <w:rPr>
                <w:rFonts w:ascii="Arial" w:hAnsi="Arial" w:cs="Arial"/>
                <w:sz w:val="22"/>
                <w:szCs w:val="22"/>
              </w:rPr>
              <w:t> </w:t>
            </w:r>
            <w:r w:rsidRPr="002B49F2">
              <w:rPr>
                <w:rFonts w:ascii="Arial" w:hAnsi="Arial" w:cs="Arial"/>
                <w:sz w:val="22"/>
                <w:szCs w:val="22"/>
              </w:rPr>
              <w:t>environmental effects of saltwater intrusion and encroachment on adjacent surface water and groundwater quality.</w:t>
            </w:r>
          </w:p>
        </w:tc>
      </w:tr>
      <w:tr w14:paraId="2EE2F1C8" w14:textId="77777777" w:rsidTr="00A737B9">
        <w:tblPrEx>
          <w:tblW w:w="13140" w:type="dxa"/>
          <w:tblInd w:w="-95" w:type="dxa"/>
          <w:tblLayout w:type="fixed"/>
          <w:tblLook w:val="04A0"/>
        </w:tblPrEx>
        <w:trPr>
          <w:cantSplit/>
        </w:trPr>
        <w:tc>
          <w:tcPr>
            <w:tcW w:w="742" w:type="dxa"/>
          </w:tcPr>
          <w:p w:rsidR="00010EC5" w:rsidRPr="002B49F2" w:rsidP="00F04C52" w14:paraId="0662B67D" w14:textId="0BF170B9">
            <w:pPr>
              <w:rPr>
                <w:rFonts w:ascii="Arial" w:hAnsi="Arial" w:cs="Arial"/>
                <w:sz w:val="22"/>
                <w:szCs w:val="22"/>
              </w:rPr>
            </w:pPr>
            <w:r w:rsidRPr="002B49F2">
              <w:rPr>
                <w:rFonts w:ascii="Arial" w:hAnsi="Arial" w:cs="Arial"/>
                <w:sz w:val="22"/>
                <w:szCs w:val="22"/>
              </w:rPr>
              <w:t>35</w:t>
            </w:r>
          </w:p>
        </w:tc>
        <w:tc>
          <w:tcPr>
            <w:tcW w:w="1598" w:type="dxa"/>
          </w:tcPr>
          <w:p w:rsidR="00010EC5" w:rsidRPr="002B49F2" w:rsidP="00F04C52" w14:paraId="13FF96B4" w14:textId="63D9E130">
            <w:pPr>
              <w:rPr>
                <w:rFonts w:ascii="Arial" w:hAnsi="Arial" w:cs="Arial"/>
                <w:sz w:val="22"/>
                <w:szCs w:val="22"/>
              </w:rPr>
            </w:pPr>
            <w:r w:rsidRPr="002B49F2">
              <w:rPr>
                <w:rFonts w:ascii="Arial" w:hAnsi="Arial" w:cs="Arial"/>
                <w:sz w:val="22"/>
                <w:szCs w:val="22"/>
              </w:rPr>
              <w:t>Impingement mortality and entrainment of aquatic organisms (plants with once-through cooling systems or cooling ponds) (Category 2)</w:t>
            </w:r>
          </w:p>
        </w:tc>
        <w:tc>
          <w:tcPr>
            <w:tcW w:w="1620" w:type="dxa"/>
          </w:tcPr>
          <w:p w:rsidR="00010EC5" w:rsidRPr="002B49F2" w:rsidP="00F04C52" w14:paraId="56A296DD" w14:textId="39F2EA18">
            <w:pPr>
              <w:rPr>
                <w:rFonts w:ascii="Arial" w:hAnsi="Arial" w:cs="Arial"/>
                <w:sz w:val="22"/>
                <w:szCs w:val="22"/>
              </w:rPr>
            </w:pPr>
            <w:r w:rsidRPr="002B49F2">
              <w:rPr>
                <w:rFonts w:ascii="Arial" w:hAnsi="Arial" w:cs="Arial"/>
                <w:sz w:val="22"/>
                <w:szCs w:val="22"/>
              </w:rPr>
              <w:t>Consolidation of an Existing Category 1 Issue into an</w:t>
            </w:r>
            <w:r w:rsidRPr="002B49F2" w:rsidR="00E74D0C">
              <w:rPr>
                <w:rFonts w:ascii="Arial" w:hAnsi="Arial" w:cs="Arial"/>
                <w:sz w:val="22"/>
                <w:szCs w:val="22"/>
              </w:rPr>
              <w:t> </w:t>
            </w:r>
            <w:r w:rsidRPr="002B49F2">
              <w:rPr>
                <w:rFonts w:ascii="Arial" w:hAnsi="Arial" w:cs="Arial"/>
                <w:sz w:val="22"/>
                <w:szCs w:val="22"/>
              </w:rPr>
              <w:t>Existing Category 2 Issue</w:t>
            </w:r>
          </w:p>
        </w:tc>
        <w:tc>
          <w:tcPr>
            <w:tcW w:w="9180" w:type="dxa"/>
          </w:tcPr>
          <w:p w:rsidR="00010EC5" w:rsidRPr="002B49F2" w:rsidP="00F04C52" w14:paraId="4F454132" w14:textId="52582CDF">
            <w:pPr>
              <w:rPr>
                <w:rFonts w:ascii="Arial" w:hAnsi="Arial" w:cs="Arial"/>
                <w:sz w:val="22"/>
                <w:szCs w:val="22"/>
              </w:rPr>
            </w:pPr>
            <w:r w:rsidRPr="002B49F2">
              <w:rPr>
                <w:rFonts w:ascii="Arial" w:hAnsi="Arial" w:cs="Arial"/>
                <w:sz w:val="22"/>
                <w:szCs w:val="22"/>
              </w:rPr>
              <w:t xml:space="preserve">This is a consolidated issue which </w:t>
            </w:r>
            <w:r w:rsidRPr="002B49F2" w:rsidR="00FF7D58">
              <w:rPr>
                <w:rFonts w:ascii="Arial" w:hAnsi="Arial" w:cs="Arial"/>
                <w:sz w:val="22"/>
                <w:szCs w:val="22"/>
              </w:rPr>
              <w:t>combines an existing Category 2 issue, “Impingement and entrainment of aquatic organisms (plants with once-through cooling systems or cooling ponds)” with the impingement component of the Category 1 issue, “Losses from predation, parasitism, and disease among organisms exposed to sublethal stresses.”</w:t>
            </w:r>
          </w:p>
        </w:tc>
      </w:tr>
      <w:tr w14:paraId="53CD8EB9" w14:textId="77777777" w:rsidTr="00A737B9">
        <w:tblPrEx>
          <w:tblW w:w="13140" w:type="dxa"/>
          <w:tblInd w:w="-95" w:type="dxa"/>
          <w:tblLayout w:type="fixed"/>
          <w:tblLook w:val="04A0"/>
        </w:tblPrEx>
        <w:trPr>
          <w:cantSplit/>
        </w:trPr>
        <w:tc>
          <w:tcPr>
            <w:tcW w:w="742" w:type="dxa"/>
          </w:tcPr>
          <w:p w:rsidR="00010EC5" w:rsidRPr="002B49F2" w:rsidP="00F04C52" w14:paraId="53625E98" w14:textId="27676B09">
            <w:pPr>
              <w:rPr>
                <w:rFonts w:ascii="Arial" w:hAnsi="Arial" w:cs="Arial"/>
                <w:sz w:val="22"/>
                <w:szCs w:val="22"/>
              </w:rPr>
            </w:pPr>
            <w:r w:rsidRPr="002B49F2">
              <w:rPr>
                <w:rFonts w:ascii="Arial" w:hAnsi="Arial" w:cs="Arial"/>
                <w:sz w:val="22"/>
                <w:szCs w:val="22"/>
              </w:rPr>
              <w:t>36</w:t>
            </w:r>
          </w:p>
        </w:tc>
        <w:tc>
          <w:tcPr>
            <w:tcW w:w="1598" w:type="dxa"/>
          </w:tcPr>
          <w:p w:rsidR="00010EC5" w:rsidRPr="002B49F2" w:rsidP="00F04C52" w14:paraId="7FD3DE5B" w14:textId="70D91B96">
            <w:pPr>
              <w:rPr>
                <w:rFonts w:ascii="Arial" w:hAnsi="Arial" w:cs="Arial"/>
                <w:sz w:val="22"/>
                <w:szCs w:val="22"/>
              </w:rPr>
            </w:pPr>
            <w:r w:rsidRPr="002B49F2">
              <w:rPr>
                <w:rFonts w:ascii="Arial" w:hAnsi="Arial" w:cs="Arial"/>
                <w:sz w:val="22"/>
                <w:szCs w:val="22"/>
              </w:rPr>
              <w:t>Impingement mortality and entrainment of aquatic organisms (plants with cooling towers) (Category 1)</w:t>
            </w:r>
          </w:p>
        </w:tc>
        <w:tc>
          <w:tcPr>
            <w:tcW w:w="1620" w:type="dxa"/>
          </w:tcPr>
          <w:p w:rsidR="00010EC5" w:rsidRPr="002B49F2" w:rsidP="00F04C52" w14:paraId="7158CE47" w14:textId="07643860">
            <w:pPr>
              <w:rPr>
                <w:rFonts w:ascii="Arial" w:hAnsi="Arial" w:cs="Arial"/>
                <w:sz w:val="22"/>
                <w:szCs w:val="22"/>
              </w:rPr>
            </w:pPr>
            <w:r w:rsidRPr="002B49F2">
              <w:rPr>
                <w:rFonts w:ascii="Arial" w:hAnsi="Arial" w:cs="Arial"/>
                <w:sz w:val="22"/>
                <w:szCs w:val="22"/>
              </w:rPr>
              <w:t>Consolidation of One or More Existing Category 1 Issues into an Existing Category 1 Issue</w:t>
            </w:r>
          </w:p>
        </w:tc>
        <w:tc>
          <w:tcPr>
            <w:tcW w:w="9180" w:type="dxa"/>
          </w:tcPr>
          <w:p w:rsidR="00010EC5" w:rsidRPr="002B49F2" w:rsidP="00F04C52" w14:paraId="7E0653E6" w14:textId="052D4ACD">
            <w:pPr>
              <w:rPr>
                <w:rFonts w:ascii="Arial" w:hAnsi="Arial" w:cs="Arial"/>
                <w:sz w:val="22"/>
                <w:szCs w:val="22"/>
              </w:rPr>
            </w:pPr>
            <w:r w:rsidRPr="002B49F2">
              <w:rPr>
                <w:rFonts w:ascii="Arial" w:hAnsi="Arial" w:cs="Arial"/>
                <w:sz w:val="22"/>
                <w:szCs w:val="22"/>
              </w:rPr>
              <w:t xml:space="preserve">This is a consolidated issue which combines an existing Category </w:t>
            </w:r>
            <w:r w:rsidRPr="002B49F2" w:rsidR="00F65D70">
              <w:rPr>
                <w:rFonts w:ascii="Arial" w:hAnsi="Arial" w:cs="Arial"/>
                <w:sz w:val="22"/>
                <w:szCs w:val="22"/>
              </w:rPr>
              <w:t>1</w:t>
            </w:r>
            <w:r w:rsidRPr="002B49F2">
              <w:rPr>
                <w:rFonts w:ascii="Arial" w:hAnsi="Arial" w:cs="Arial"/>
                <w:sz w:val="22"/>
                <w:szCs w:val="22"/>
              </w:rPr>
              <w:t xml:space="preserve"> issue, “Impingement and entrainment of aquatic organisms (plants with cooling towers”) with the</w:t>
            </w:r>
            <w:r w:rsidRPr="002B49F2" w:rsidR="00E71405">
              <w:rPr>
                <w:rFonts w:ascii="Arial" w:hAnsi="Arial" w:cs="Arial"/>
                <w:sz w:val="22"/>
                <w:szCs w:val="22"/>
              </w:rPr>
              <w:t> </w:t>
            </w:r>
            <w:r w:rsidRPr="002B49F2" w:rsidR="00AF4F0A">
              <w:rPr>
                <w:rFonts w:ascii="Arial" w:hAnsi="Arial" w:cs="Arial"/>
                <w:sz w:val="22"/>
                <w:szCs w:val="22"/>
              </w:rPr>
              <w:t>impingement component of the Category 1 issue, “Losses from predation, parasitism, and disease among organisms exposed to sublethal stresses.”</w:t>
            </w:r>
          </w:p>
        </w:tc>
      </w:tr>
      <w:tr w14:paraId="282B4065" w14:textId="77777777" w:rsidTr="00A737B9">
        <w:tblPrEx>
          <w:tblW w:w="13140" w:type="dxa"/>
          <w:tblInd w:w="-95" w:type="dxa"/>
          <w:tblLayout w:type="fixed"/>
          <w:tblLook w:val="04A0"/>
        </w:tblPrEx>
        <w:trPr>
          <w:cantSplit/>
        </w:trPr>
        <w:tc>
          <w:tcPr>
            <w:tcW w:w="742" w:type="dxa"/>
          </w:tcPr>
          <w:p w:rsidR="00010EC5" w:rsidRPr="002B49F2" w:rsidP="00F04C52" w14:paraId="0FE925E7" w14:textId="26AD93FF">
            <w:pPr>
              <w:rPr>
                <w:rFonts w:ascii="Arial" w:hAnsi="Arial" w:cs="Arial"/>
                <w:sz w:val="22"/>
                <w:szCs w:val="22"/>
              </w:rPr>
            </w:pPr>
            <w:r w:rsidRPr="002B49F2">
              <w:rPr>
                <w:rFonts w:ascii="Arial" w:hAnsi="Arial" w:cs="Arial"/>
                <w:sz w:val="22"/>
                <w:szCs w:val="22"/>
              </w:rPr>
              <w:t>40</w:t>
            </w:r>
          </w:p>
        </w:tc>
        <w:tc>
          <w:tcPr>
            <w:tcW w:w="1598" w:type="dxa"/>
          </w:tcPr>
          <w:p w:rsidR="00010EC5" w:rsidRPr="002B49F2" w:rsidP="00F04C52" w14:paraId="7E5FC876" w14:textId="7AB94675">
            <w:pPr>
              <w:rPr>
                <w:rFonts w:ascii="Arial" w:hAnsi="Arial" w:cs="Arial"/>
                <w:sz w:val="22"/>
                <w:szCs w:val="22"/>
              </w:rPr>
            </w:pPr>
            <w:r w:rsidRPr="002B49F2">
              <w:rPr>
                <w:rFonts w:ascii="Arial" w:hAnsi="Arial" w:cs="Arial"/>
                <w:sz w:val="22"/>
                <w:szCs w:val="22"/>
              </w:rPr>
              <w:t>Infrequently reported effects of thermal effluents (Category 1)</w:t>
            </w:r>
          </w:p>
        </w:tc>
        <w:tc>
          <w:tcPr>
            <w:tcW w:w="1620" w:type="dxa"/>
          </w:tcPr>
          <w:p w:rsidR="00010EC5" w:rsidRPr="002B49F2" w:rsidP="00F04C52" w14:paraId="109A8A42" w14:textId="5AC40150">
            <w:pPr>
              <w:rPr>
                <w:rFonts w:ascii="Arial" w:hAnsi="Arial" w:cs="Arial"/>
                <w:sz w:val="22"/>
                <w:szCs w:val="22"/>
              </w:rPr>
            </w:pPr>
            <w:r w:rsidRPr="002B49F2">
              <w:rPr>
                <w:rFonts w:ascii="Arial" w:hAnsi="Arial" w:cs="Arial"/>
                <w:sz w:val="22"/>
                <w:szCs w:val="22"/>
              </w:rPr>
              <w:t>Consolidation of One or More Existing Category 1 Issues into an Existing Category 1 Issue</w:t>
            </w:r>
          </w:p>
        </w:tc>
        <w:tc>
          <w:tcPr>
            <w:tcW w:w="9180" w:type="dxa"/>
          </w:tcPr>
          <w:p w:rsidR="00010EC5" w:rsidRPr="002B49F2" w:rsidP="00F04C52" w14:paraId="3B9A43E3" w14:textId="3422D0FC">
            <w:pPr>
              <w:rPr>
                <w:rFonts w:ascii="Arial" w:hAnsi="Arial" w:cs="Arial"/>
                <w:sz w:val="22"/>
                <w:szCs w:val="22"/>
              </w:rPr>
            </w:pPr>
            <w:r w:rsidRPr="002B49F2">
              <w:rPr>
                <w:rFonts w:ascii="Arial" w:hAnsi="Arial" w:cs="Arial"/>
                <w:sz w:val="22"/>
                <w:szCs w:val="22"/>
              </w:rPr>
              <w:t>This is a consolidated issue which combines an existing Category 1 issue,</w:t>
            </w:r>
            <w:r w:rsidRPr="002B49F2" w:rsidR="00E51405">
              <w:rPr>
                <w:rFonts w:ascii="Arial" w:hAnsi="Arial" w:cs="Arial"/>
                <w:sz w:val="22"/>
                <w:szCs w:val="22"/>
              </w:rPr>
              <w:t xml:space="preserve"> “Infrequently reported thermal impacts (all plants)” with </w:t>
            </w:r>
            <w:r w:rsidRPr="002B49F2" w:rsidR="007858B4">
              <w:rPr>
                <w:rFonts w:ascii="Arial" w:hAnsi="Arial" w:cs="Arial"/>
                <w:sz w:val="22"/>
                <w:szCs w:val="22"/>
              </w:rPr>
              <w:t>another Category 1 issue,</w:t>
            </w:r>
            <w:r w:rsidRPr="002B49F2">
              <w:rPr>
                <w:rFonts w:ascii="Arial" w:hAnsi="Arial" w:cs="Arial"/>
                <w:sz w:val="22"/>
                <w:szCs w:val="22"/>
              </w:rPr>
              <w:t xml:space="preserve"> “Effects of cooling water discharge on dissolved oxygen, gas supersaturation, and eutrophication</w:t>
            </w:r>
            <w:r w:rsidRPr="002B49F2" w:rsidR="007858B4">
              <w:rPr>
                <w:rFonts w:ascii="Arial" w:hAnsi="Arial" w:cs="Arial"/>
                <w:sz w:val="22"/>
                <w:szCs w:val="22"/>
              </w:rPr>
              <w:t>,</w:t>
            </w:r>
            <w:r w:rsidRPr="002B49F2">
              <w:rPr>
                <w:rFonts w:ascii="Arial" w:hAnsi="Arial" w:cs="Arial"/>
                <w:sz w:val="22"/>
                <w:szCs w:val="22"/>
              </w:rPr>
              <w:t xml:space="preserve">” </w:t>
            </w:r>
            <w:r w:rsidRPr="002B49F2" w:rsidR="007858B4">
              <w:rPr>
                <w:rFonts w:ascii="Arial" w:hAnsi="Arial" w:cs="Arial"/>
                <w:sz w:val="22"/>
                <w:szCs w:val="22"/>
              </w:rPr>
              <w:t>and</w:t>
            </w:r>
            <w:r w:rsidRPr="002B49F2">
              <w:rPr>
                <w:rFonts w:ascii="Arial" w:hAnsi="Arial" w:cs="Arial"/>
                <w:sz w:val="22"/>
                <w:szCs w:val="22"/>
              </w:rPr>
              <w:t xml:space="preserve"> the thermal effluent component of the Category 1 issue, “Losses from predation</w:t>
            </w:r>
            <w:r w:rsidRPr="002B49F2" w:rsidR="007858B4">
              <w:rPr>
                <w:rFonts w:ascii="Arial" w:hAnsi="Arial" w:cs="Arial"/>
                <w:sz w:val="22"/>
                <w:szCs w:val="22"/>
              </w:rPr>
              <w:t>, parasitism, and disease among organisms exposed to sublethal stresses.”</w:t>
            </w:r>
          </w:p>
        </w:tc>
      </w:tr>
      <w:tr w14:paraId="43C9B7FD" w14:textId="77777777" w:rsidTr="00A737B9">
        <w:tblPrEx>
          <w:tblW w:w="13140" w:type="dxa"/>
          <w:tblInd w:w="-95" w:type="dxa"/>
          <w:tblLayout w:type="fixed"/>
          <w:tblLook w:val="04A0"/>
        </w:tblPrEx>
        <w:trPr>
          <w:cantSplit/>
        </w:trPr>
        <w:tc>
          <w:tcPr>
            <w:tcW w:w="742" w:type="dxa"/>
          </w:tcPr>
          <w:p w:rsidR="00010EC5" w:rsidRPr="002B49F2" w:rsidP="00F04C52" w14:paraId="1E522FDF" w14:textId="333D2C6A">
            <w:pPr>
              <w:rPr>
                <w:rFonts w:ascii="Arial" w:hAnsi="Arial" w:cs="Arial"/>
                <w:sz w:val="22"/>
                <w:szCs w:val="22"/>
              </w:rPr>
            </w:pPr>
            <w:r w:rsidRPr="002B49F2">
              <w:rPr>
                <w:rFonts w:ascii="Arial" w:hAnsi="Arial" w:cs="Arial"/>
                <w:sz w:val="22"/>
                <w:szCs w:val="22"/>
              </w:rPr>
              <w:t>47</w:t>
            </w:r>
          </w:p>
        </w:tc>
        <w:tc>
          <w:tcPr>
            <w:tcW w:w="1598" w:type="dxa"/>
          </w:tcPr>
          <w:p w:rsidR="00010EC5" w:rsidRPr="002B49F2" w:rsidP="00F04C52" w14:paraId="520334EF" w14:textId="10837CC5">
            <w:pPr>
              <w:rPr>
                <w:rFonts w:ascii="Arial" w:hAnsi="Arial" w:cs="Arial"/>
                <w:sz w:val="22"/>
                <w:szCs w:val="22"/>
              </w:rPr>
            </w:pPr>
            <w:r w:rsidRPr="002B49F2">
              <w:rPr>
                <w:rFonts w:ascii="Arial" w:hAnsi="Arial" w:cs="Arial"/>
                <w:sz w:val="22"/>
                <w:szCs w:val="22"/>
              </w:rPr>
              <w:t>Endangered Species Act: federally listed species and critical habitats under U.S. Fish and Wildlife jurisdiction (Category 2)</w:t>
            </w:r>
          </w:p>
        </w:tc>
        <w:tc>
          <w:tcPr>
            <w:tcW w:w="1620" w:type="dxa"/>
          </w:tcPr>
          <w:p w:rsidR="00010EC5" w:rsidRPr="002B49F2" w:rsidP="00F04C52" w14:paraId="555B43C9" w14:textId="3182EB0C">
            <w:pPr>
              <w:rPr>
                <w:rFonts w:ascii="Arial" w:hAnsi="Arial" w:cs="Arial"/>
                <w:sz w:val="22"/>
                <w:szCs w:val="22"/>
              </w:rPr>
            </w:pPr>
            <w:r w:rsidRPr="002B49F2">
              <w:rPr>
                <w:rFonts w:ascii="Arial" w:hAnsi="Arial" w:cs="Arial"/>
                <w:sz w:val="22"/>
                <w:szCs w:val="22"/>
              </w:rPr>
              <w:t>Dividing an Existing Category 2 Issue into Multiple Category 2 Issues</w:t>
            </w:r>
          </w:p>
        </w:tc>
        <w:tc>
          <w:tcPr>
            <w:tcW w:w="9180" w:type="dxa"/>
          </w:tcPr>
          <w:p w:rsidR="00010EC5" w:rsidRPr="002B49F2" w:rsidP="00F04C52" w14:paraId="60129422" w14:textId="153C5DB4">
            <w:pPr>
              <w:rPr>
                <w:rFonts w:ascii="Arial" w:hAnsi="Arial" w:cs="Arial"/>
                <w:sz w:val="22"/>
                <w:szCs w:val="22"/>
              </w:rPr>
            </w:pPr>
            <w:r w:rsidRPr="002B49F2">
              <w:rPr>
                <w:rFonts w:ascii="Arial" w:hAnsi="Arial" w:cs="Arial"/>
                <w:sz w:val="22"/>
                <w:szCs w:val="22"/>
              </w:rPr>
              <w:t>An existing Category 2 issue, “Threatened, endangered, and protected species and essential fish habitat” was divided into three separate issues</w:t>
            </w:r>
            <w:r w:rsidRPr="002B49F2" w:rsidR="004709B4">
              <w:rPr>
                <w:rFonts w:ascii="Arial" w:hAnsi="Arial" w:cs="Arial"/>
                <w:sz w:val="22"/>
                <w:szCs w:val="22"/>
              </w:rPr>
              <w:t xml:space="preserve">, for clarity and consistency with the separate Federal statues and interagency consultation requirements that the NRC must consider with respect to Federally protected ecological resources. </w:t>
            </w:r>
            <w:r w:rsidRPr="002B49F2" w:rsidR="004410AF">
              <w:rPr>
                <w:rFonts w:ascii="Arial" w:hAnsi="Arial" w:cs="Arial"/>
                <w:sz w:val="22"/>
                <w:szCs w:val="22"/>
              </w:rPr>
              <w:t xml:space="preserve">This issue aligns with the existing requirements in 10 CFR 51.53(c)(3)(ii)(E). </w:t>
            </w:r>
            <w:r w:rsidRPr="002B49F2" w:rsidR="0013376D">
              <w:rPr>
                <w:rFonts w:ascii="Arial" w:hAnsi="Arial" w:cs="Arial"/>
                <w:sz w:val="22"/>
                <w:szCs w:val="22"/>
              </w:rPr>
              <w:t>This is the first of the three issues resulting from this change.</w:t>
            </w:r>
          </w:p>
        </w:tc>
      </w:tr>
      <w:tr w14:paraId="3603F48F" w14:textId="77777777" w:rsidTr="00A737B9">
        <w:tblPrEx>
          <w:tblW w:w="13140" w:type="dxa"/>
          <w:tblInd w:w="-95" w:type="dxa"/>
          <w:tblLayout w:type="fixed"/>
          <w:tblLook w:val="04A0"/>
        </w:tblPrEx>
        <w:trPr>
          <w:cantSplit/>
        </w:trPr>
        <w:tc>
          <w:tcPr>
            <w:tcW w:w="742" w:type="dxa"/>
          </w:tcPr>
          <w:p w:rsidR="00010EC5" w:rsidRPr="002B49F2" w:rsidP="00F04C52" w14:paraId="2CA4445F" w14:textId="6EB15A20">
            <w:pPr>
              <w:rPr>
                <w:rFonts w:ascii="Arial" w:hAnsi="Arial" w:cs="Arial"/>
                <w:sz w:val="22"/>
                <w:szCs w:val="22"/>
              </w:rPr>
            </w:pPr>
            <w:r w:rsidRPr="002B49F2">
              <w:rPr>
                <w:rFonts w:ascii="Arial" w:hAnsi="Arial" w:cs="Arial"/>
                <w:sz w:val="22"/>
                <w:szCs w:val="22"/>
              </w:rPr>
              <w:t>48</w:t>
            </w:r>
          </w:p>
        </w:tc>
        <w:tc>
          <w:tcPr>
            <w:tcW w:w="1598" w:type="dxa"/>
          </w:tcPr>
          <w:p w:rsidR="00010EC5" w:rsidRPr="002B49F2" w:rsidP="00F04C52" w14:paraId="34DFB3B9" w14:textId="67D16DB6">
            <w:pPr>
              <w:rPr>
                <w:rFonts w:ascii="Arial" w:hAnsi="Arial" w:cs="Arial"/>
                <w:sz w:val="22"/>
                <w:szCs w:val="22"/>
              </w:rPr>
            </w:pPr>
            <w:r w:rsidRPr="002B49F2">
              <w:rPr>
                <w:rFonts w:ascii="Arial" w:hAnsi="Arial" w:cs="Arial"/>
                <w:sz w:val="22"/>
                <w:szCs w:val="22"/>
              </w:rPr>
              <w:t>Endangered Species Act: federally listed species and critical habitats under National Marine Fisheries Service jurisdiction (Category 2)</w:t>
            </w:r>
          </w:p>
        </w:tc>
        <w:tc>
          <w:tcPr>
            <w:tcW w:w="1620" w:type="dxa"/>
          </w:tcPr>
          <w:p w:rsidR="00010EC5" w:rsidRPr="002B49F2" w:rsidP="00F04C52" w14:paraId="0FD9E88B" w14:textId="73B3FC7B">
            <w:pPr>
              <w:rPr>
                <w:rFonts w:ascii="Arial" w:hAnsi="Arial" w:cs="Arial"/>
                <w:sz w:val="22"/>
                <w:szCs w:val="22"/>
              </w:rPr>
            </w:pPr>
            <w:r w:rsidRPr="002B49F2">
              <w:rPr>
                <w:rFonts w:ascii="Arial" w:hAnsi="Arial" w:cs="Arial"/>
                <w:sz w:val="22"/>
                <w:szCs w:val="22"/>
              </w:rPr>
              <w:t>Dividing an Existing Category 2 Issue into Multiple Category 2 Issues</w:t>
            </w:r>
          </w:p>
        </w:tc>
        <w:tc>
          <w:tcPr>
            <w:tcW w:w="9180" w:type="dxa"/>
          </w:tcPr>
          <w:p w:rsidR="00010EC5" w:rsidRPr="002B49F2" w:rsidP="00F04C52" w14:paraId="04FE976D" w14:textId="06B3FB9E">
            <w:pPr>
              <w:rPr>
                <w:rFonts w:ascii="Arial" w:hAnsi="Arial" w:cs="Arial"/>
                <w:sz w:val="22"/>
                <w:szCs w:val="22"/>
              </w:rPr>
            </w:pPr>
            <w:r w:rsidRPr="002B49F2">
              <w:rPr>
                <w:rFonts w:ascii="Arial" w:hAnsi="Arial" w:cs="Arial"/>
                <w:sz w:val="22"/>
                <w:szCs w:val="22"/>
              </w:rPr>
              <w:t>An existing Category 2 issue, “Threatened, endangered, and protected species and essential fish habitat” was divided into three separate issues, for clarity and consistency with the separate Federal statues and interagency consultation requirements that the</w:t>
            </w:r>
            <w:r w:rsidRPr="002B49F2" w:rsidR="00170EF8">
              <w:rPr>
                <w:rFonts w:ascii="Arial" w:hAnsi="Arial" w:cs="Arial"/>
                <w:sz w:val="22"/>
                <w:szCs w:val="22"/>
              </w:rPr>
              <w:t> </w:t>
            </w:r>
            <w:r w:rsidRPr="002B49F2">
              <w:rPr>
                <w:rFonts w:ascii="Arial" w:hAnsi="Arial" w:cs="Arial"/>
                <w:sz w:val="22"/>
                <w:szCs w:val="22"/>
              </w:rPr>
              <w:t>NRC must consider with respect to Federally protected ecological resources. This issue aligns with the existing requirements in 10 CFR 51.53(c)(3)(ii)(E). This is the second of the three issues resulting from this change.</w:t>
            </w:r>
          </w:p>
        </w:tc>
      </w:tr>
      <w:tr w14:paraId="505E3C63" w14:textId="77777777" w:rsidTr="00A737B9">
        <w:tblPrEx>
          <w:tblW w:w="13140" w:type="dxa"/>
          <w:tblInd w:w="-95" w:type="dxa"/>
          <w:tblLayout w:type="fixed"/>
          <w:tblLook w:val="04A0"/>
        </w:tblPrEx>
        <w:trPr>
          <w:cantSplit/>
        </w:trPr>
        <w:tc>
          <w:tcPr>
            <w:tcW w:w="742" w:type="dxa"/>
          </w:tcPr>
          <w:p w:rsidR="00010EC5" w:rsidRPr="002B49F2" w:rsidP="00F04C52" w14:paraId="50C9E21F" w14:textId="11AB1475">
            <w:pPr>
              <w:rPr>
                <w:rFonts w:ascii="Arial" w:hAnsi="Arial" w:cs="Arial"/>
                <w:sz w:val="22"/>
                <w:szCs w:val="22"/>
              </w:rPr>
            </w:pPr>
            <w:r w:rsidRPr="002B49F2">
              <w:rPr>
                <w:rFonts w:ascii="Arial" w:hAnsi="Arial" w:cs="Arial"/>
                <w:sz w:val="22"/>
                <w:szCs w:val="22"/>
              </w:rPr>
              <w:t>49</w:t>
            </w:r>
          </w:p>
        </w:tc>
        <w:tc>
          <w:tcPr>
            <w:tcW w:w="1598" w:type="dxa"/>
          </w:tcPr>
          <w:p w:rsidR="00010EC5" w:rsidRPr="002B49F2" w:rsidP="00F04C52" w14:paraId="6BF4A6BC" w14:textId="7006DB8B">
            <w:pPr>
              <w:rPr>
                <w:rFonts w:ascii="Arial" w:hAnsi="Arial" w:cs="Arial"/>
                <w:sz w:val="22"/>
                <w:szCs w:val="22"/>
              </w:rPr>
            </w:pPr>
            <w:r w:rsidRPr="002B49F2">
              <w:rPr>
                <w:rFonts w:ascii="Arial" w:hAnsi="Arial" w:cs="Arial"/>
                <w:sz w:val="22"/>
                <w:szCs w:val="22"/>
              </w:rPr>
              <w:t>Magnuson-Stevens Act: essential fish habitat (Category</w:t>
            </w:r>
            <w:r w:rsidRPr="002B49F2" w:rsidR="001D29D0">
              <w:rPr>
                <w:rFonts w:ascii="Arial" w:hAnsi="Arial" w:cs="Arial"/>
                <w:sz w:val="22"/>
                <w:szCs w:val="22"/>
              </w:rPr>
              <w:t> </w:t>
            </w:r>
            <w:r w:rsidRPr="002B49F2">
              <w:rPr>
                <w:rFonts w:ascii="Arial" w:hAnsi="Arial" w:cs="Arial"/>
                <w:sz w:val="22"/>
                <w:szCs w:val="22"/>
              </w:rPr>
              <w:t>2)</w:t>
            </w:r>
          </w:p>
        </w:tc>
        <w:tc>
          <w:tcPr>
            <w:tcW w:w="1620" w:type="dxa"/>
          </w:tcPr>
          <w:p w:rsidR="00010EC5" w:rsidRPr="002B49F2" w:rsidP="00F04C52" w14:paraId="370B7F94" w14:textId="58F51A21">
            <w:pPr>
              <w:rPr>
                <w:rFonts w:ascii="Arial" w:hAnsi="Arial" w:cs="Arial"/>
                <w:sz w:val="22"/>
                <w:szCs w:val="22"/>
              </w:rPr>
            </w:pPr>
            <w:r w:rsidRPr="002B49F2">
              <w:rPr>
                <w:rFonts w:ascii="Arial" w:hAnsi="Arial" w:cs="Arial"/>
                <w:sz w:val="22"/>
                <w:szCs w:val="22"/>
              </w:rPr>
              <w:t>Dividing an Existing Category 2 Issue into Multiple Category 2 Issues</w:t>
            </w:r>
          </w:p>
        </w:tc>
        <w:tc>
          <w:tcPr>
            <w:tcW w:w="9180" w:type="dxa"/>
          </w:tcPr>
          <w:p w:rsidR="00010EC5" w:rsidRPr="002B49F2" w:rsidP="00F04C52" w14:paraId="23AD7495" w14:textId="6416D20C">
            <w:pPr>
              <w:rPr>
                <w:rFonts w:ascii="Arial" w:hAnsi="Arial" w:cs="Arial"/>
                <w:sz w:val="22"/>
                <w:szCs w:val="22"/>
              </w:rPr>
            </w:pPr>
            <w:r w:rsidRPr="002B49F2">
              <w:rPr>
                <w:rFonts w:ascii="Arial" w:hAnsi="Arial" w:cs="Arial"/>
                <w:sz w:val="22"/>
                <w:szCs w:val="22"/>
              </w:rPr>
              <w:t>An existing Category 2 issue, “Threatened, endangered, and protected species and essential fish habitat” was divided into three separate issues, for clarity and consistency with the separate Federal statues and interagency consultation requirements that the</w:t>
            </w:r>
            <w:r w:rsidRPr="002B49F2" w:rsidR="00170EF8">
              <w:rPr>
                <w:rFonts w:ascii="Arial" w:hAnsi="Arial" w:cs="Arial"/>
                <w:sz w:val="22"/>
                <w:szCs w:val="22"/>
              </w:rPr>
              <w:t> </w:t>
            </w:r>
            <w:r w:rsidRPr="002B49F2">
              <w:rPr>
                <w:rFonts w:ascii="Arial" w:hAnsi="Arial" w:cs="Arial"/>
                <w:sz w:val="22"/>
                <w:szCs w:val="22"/>
              </w:rPr>
              <w:t>NRC must consider with respect to Federally protected ecological resources. This issue aligns with the</w:t>
            </w:r>
            <w:r w:rsidRPr="002B49F2" w:rsidR="00A737B9">
              <w:rPr>
                <w:rFonts w:ascii="Arial" w:hAnsi="Arial" w:cs="Arial"/>
                <w:sz w:val="22"/>
                <w:szCs w:val="22"/>
              </w:rPr>
              <w:t> </w:t>
            </w:r>
            <w:r w:rsidRPr="002B49F2">
              <w:rPr>
                <w:rFonts w:ascii="Arial" w:hAnsi="Arial" w:cs="Arial"/>
                <w:sz w:val="22"/>
                <w:szCs w:val="22"/>
              </w:rPr>
              <w:t>existing requirements in 10 CFR 51.53(c)(3)(ii)(E). This is third of the three issues resulting from this change.</w:t>
            </w:r>
          </w:p>
        </w:tc>
      </w:tr>
      <w:tr w14:paraId="09819511" w14:textId="77777777" w:rsidTr="00A737B9">
        <w:tblPrEx>
          <w:tblW w:w="13140" w:type="dxa"/>
          <w:tblInd w:w="-95" w:type="dxa"/>
          <w:tblLayout w:type="fixed"/>
          <w:tblLook w:val="04A0"/>
        </w:tblPrEx>
        <w:trPr>
          <w:cantSplit/>
        </w:trPr>
        <w:tc>
          <w:tcPr>
            <w:tcW w:w="742" w:type="dxa"/>
          </w:tcPr>
          <w:p w:rsidR="00010EC5" w:rsidRPr="002B49F2" w:rsidP="00F04C52" w14:paraId="1E2A8EC5" w14:textId="0D149A31">
            <w:pPr>
              <w:rPr>
                <w:rFonts w:ascii="Arial" w:hAnsi="Arial" w:cs="Arial"/>
                <w:sz w:val="22"/>
                <w:szCs w:val="22"/>
              </w:rPr>
            </w:pPr>
            <w:r w:rsidRPr="002B49F2">
              <w:rPr>
                <w:rFonts w:ascii="Arial" w:hAnsi="Arial" w:cs="Arial"/>
                <w:sz w:val="22"/>
                <w:szCs w:val="22"/>
              </w:rPr>
              <w:t>50</w:t>
            </w:r>
          </w:p>
        </w:tc>
        <w:tc>
          <w:tcPr>
            <w:tcW w:w="1598" w:type="dxa"/>
          </w:tcPr>
          <w:p w:rsidR="00010EC5" w:rsidRPr="002B49F2" w:rsidP="00F04C52" w14:paraId="61B3DD0D" w14:textId="4D27025C">
            <w:pPr>
              <w:rPr>
                <w:rFonts w:ascii="Arial" w:hAnsi="Arial" w:cs="Arial"/>
                <w:sz w:val="22"/>
                <w:szCs w:val="22"/>
              </w:rPr>
            </w:pPr>
            <w:r w:rsidRPr="002B49F2">
              <w:rPr>
                <w:rFonts w:ascii="Arial" w:hAnsi="Arial" w:cs="Arial"/>
                <w:sz w:val="22"/>
                <w:szCs w:val="22"/>
              </w:rPr>
              <w:t>National Marine Sanctuaries Act: sanctuary resources (Category 2)</w:t>
            </w:r>
          </w:p>
        </w:tc>
        <w:tc>
          <w:tcPr>
            <w:tcW w:w="1620" w:type="dxa"/>
          </w:tcPr>
          <w:p w:rsidR="00010EC5" w:rsidRPr="002B49F2" w:rsidP="00F04C52" w14:paraId="3C4300F1" w14:textId="0D0E1A7B">
            <w:pPr>
              <w:rPr>
                <w:rFonts w:ascii="Arial" w:hAnsi="Arial" w:cs="Arial"/>
                <w:sz w:val="22"/>
                <w:szCs w:val="22"/>
              </w:rPr>
            </w:pPr>
            <w:r w:rsidRPr="002B49F2">
              <w:rPr>
                <w:rFonts w:ascii="Arial" w:hAnsi="Arial" w:cs="Arial"/>
                <w:sz w:val="22"/>
                <w:szCs w:val="22"/>
              </w:rPr>
              <w:t>New Category 2 Issue</w:t>
            </w:r>
          </w:p>
        </w:tc>
        <w:tc>
          <w:tcPr>
            <w:tcW w:w="9180" w:type="dxa"/>
          </w:tcPr>
          <w:p w:rsidR="00010EC5" w:rsidRPr="002B49F2" w:rsidP="00F04C52" w14:paraId="4C34327C" w14:textId="12E44064">
            <w:pPr>
              <w:rPr>
                <w:rFonts w:ascii="Arial" w:hAnsi="Arial" w:cs="Arial"/>
                <w:sz w:val="22"/>
                <w:szCs w:val="22"/>
              </w:rPr>
            </w:pPr>
            <w:r w:rsidRPr="002B49F2">
              <w:rPr>
                <w:rFonts w:ascii="Arial" w:hAnsi="Arial" w:cs="Arial"/>
                <w:sz w:val="22"/>
                <w:szCs w:val="22"/>
              </w:rPr>
              <w:t>This is a new issue added to address NRC consultation requirements under the</w:t>
            </w:r>
            <w:r w:rsidRPr="002B49F2" w:rsidR="00170EF8">
              <w:rPr>
                <w:rFonts w:ascii="Arial" w:hAnsi="Arial" w:cs="Arial"/>
                <w:sz w:val="22"/>
                <w:szCs w:val="22"/>
              </w:rPr>
              <w:t> </w:t>
            </w:r>
            <w:r w:rsidRPr="002B49F2">
              <w:rPr>
                <w:rFonts w:ascii="Arial" w:hAnsi="Arial" w:cs="Arial"/>
                <w:sz w:val="22"/>
                <w:szCs w:val="22"/>
              </w:rPr>
              <w:t>National Marine Sanctuaries Act. Its applicability is limited to only those plants located near or otherwise likely to affect national marine sanctuaries.</w:t>
            </w:r>
          </w:p>
        </w:tc>
      </w:tr>
      <w:tr w14:paraId="5C370D3E" w14:textId="77777777" w:rsidTr="00A737B9">
        <w:tblPrEx>
          <w:tblW w:w="13140" w:type="dxa"/>
          <w:tblInd w:w="-95" w:type="dxa"/>
          <w:tblLayout w:type="fixed"/>
          <w:tblLook w:val="04A0"/>
        </w:tblPrEx>
        <w:trPr>
          <w:cantSplit/>
        </w:trPr>
        <w:tc>
          <w:tcPr>
            <w:tcW w:w="742" w:type="dxa"/>
          </w:tcPr>
          <w:p w:rsidR="00010EC5" w:rsidRPr="002B49F2" w:rsidP="00F04C52" w14:paraId="63FE2694" w14:textId="6F539DC1">
            <w:pPr>
              <w:rPr>
                <w:rFonts w:ascii="Arial" w:hAnsi="Arial" w:cs="Arial"/>
                <w:sz w:val="22"/>
                <w:szCs w:val="22"/>
              </w:rPr>
            </w:pPr>
            <w:r w:rsidRPr="002B49F2">
              <w:rPr>
                <w:rFonts w:ascii="Arial" w:hAnsi="Arial" w:cs="Arial"/>
                <w:sz w:val="22"/>
                <w:szCs w:val="22"/>
              </w:rPr>
              <w:t>66</w:t>
            </w:r>
          </w:p>
        </w:tc>
        <w:tc>
          <w:tcPr>
            <w:tcW w:w="1598" w:type="dxa"/>
          </w:tcPr>
          <w:p w:rsidR="00010EC5" w:rsidRPr="002B49F2" w:rsidP="00F04C52" w14:paraId="281AF1EE" w14:textId="6DD8D727">
            <w:pPr>
              <w:rPr>
                <w:rFonts w:ascii="Arial" w:hAnsi="Arial" w:cs="Arial"/>
                <w:sz w:val="22"/>
                <w:szCs w:val="22"/>
              </w:rPr>
            </w:pPr>
            <w:r w:rsidRPr="002B49F2">
              <w:rPr>
                <w:rFonts w:ascii="Arial" w:hAnsi="Arial" w:cs="Arial"/>
                <w:sz w:val="22"/>
                <w:szCs w:val="22"/>
              </w:rPr>
              <w:t>Severe accidents (Category 1)</w:t>
            </w:r>
          </w:p>
        </w:tc>
        <w:tc>
          <w:tcPr>
            <w:tcW w:w="1620" w:type="dxa"/>
          </w:tcPr>
          <w:p w:rsidR="00010EC5" w:rsidRPr="002B49F2" w:rsidP="00F04C52" w14:paraId="019112D8" w14:textId="09C0D6F7">
            <w:pPr>
              <w:rPr>
                <w:rFonts w:ascii="Arial" w:hAnsi="Arial" w:cs="Arial"/>
                <w:sz w:val="22"/>
                <w:szCs w:val="22"/>
              </w:rPr>
            </w:pPr>
            <w:r w:rsidRPr="002B49F2">
              <w:rPr>
                <w:rFonts w:ascii="Arial" w:hAnsi="Arial" w:cs="Arial"/>
                <w:sz w:val="22"/>
                <w:szCs w:val="22"/>
              </w:rPr>
              <w:t>Existing Issue Category Change from Category 2 to Category 1</w:t>
            </w:r>
          </w:p>
        </w:tc>
        <w:tc>
          <w:tcPr>
            <w:tcW w:w="9180" w:type="dxa"/>
          </w:tcPr>
          <w:p w:rsidR="00010EC5" w:rsidRPr="002B49F2" w:rsidP="00F04C52" w14:paraId="2CBFFC19" w14:textId="27100479">
            <w:pPr>
              <w:rPr>
                <w:rFonts w:ascii="Arial" w:hAnsi="Arial" w:cs="Arial"/>
                <w:sz w:val="22"/>
                <w:szCs w:val="22"/>
              </w:rPr>
            </w:pPr>
            <w:r w:rsidRPr="002B49F2">
              <w:rPr>
                <w:rFonts w:ascii="Arial" w:hAnsi="Arial" w:cs="Arial"/>
                <w:sz w:val="22"/>
                <w:szCs w:val="22"/>
              </w:rPr>
              <w:t xml:space="preserve">This issue has been revised from Category 2 to Category 1 and the finding revised accordingly, to reflect the fact that the probability-weighted consequences of severe accidents remain small and to reflect the knowledge gained that </w:t>
            </w:r>
            <w:r w:rsidRPr="002B49F2" w:rsidR="00775CE3">
              <w:rPr>
                <w:rFonts w:ascii="Arial" w:hAnsi="Arial" w:cs="Arial"/>
                <w:sz w:val="22"/>
                <w:szCs w:val="22"/>
              </w:rPr>
              <w:t>severe accident mitigation alternatives do not warrant further plant-specific analysis because the demonstrated reductions in population dose risk and continued severe accident regulatory improvements substantially reduce the likelihood of finding cost-effective significant plant improvements.</w:t>
            </w:r>
            <w:r w:rsidRPr="002B49F2" w:rsidR="00AF4368">
              <w:rPr>
                <w:rFonts w:ascii="Arial" w:hAnsi="Arial" w:cs="Arial"/>
                <w:sz w:val="22"/>
                <w:szCs w:val="22"/>
              </w:rPr>
              <w:t xml:space="preserve"> Although the NRC does not anticipate any license renewal applications for nuclear power plants for which a previous severe accident mitigation design alternative or SAMA analysis has not been performed, alternatives to mitigate severe accidents must be considered for all plants that have not considered such alternatives and would be the functional equivalent of a Category 2 issue requiring site-specific analysis.</w:t>
            </w:r>
          </w:p>
        </w:tc>
      </w:tr>
      <w:tr w14:paraId="163F1EAA" w14:textId="77777777" w:rsidTr="00A737B9">
        <w:tblPrEx>
          <w:tblW w:w="13140" w:type="dxa"/>
          <w:tblInd w:w="-95" w:type="dxa"/>
          <w:tblLayout w:type="fixed"/>
          <w:tblLook w:val="04A0"/>
        </w:tblPrEx>
        <w:trPr>
          <w:cantSplit/>
        </w:trPr>
        <w:tc>
          <w:tcPr>
            <w:tcW w:w="742" w:type="dxa"/>
          </w:tcPr>
          <w:p w:rsidR="00010EC5" w:rsidRPr="002B49F2" w:rsidP="00F04C52" w14:paraId="476D46A3" w14:textId="2370F210">
            <w:pPr>
              <w:rPr>
                <w:rFonts w:ascii="Arial" w:hAnsi="Arial" w:cs="Arial"/>
                <w:sz w:val="22"/>
                <w:szCs w:val="22"/>
              </w:rPr>
            </w:pPr>
            <w:r w:rsidRPr="002B49F2">
              <w:rPr>
                <w:rFonts w:ascii="Arial" w:hAnsi="Arial" w:cs="Arial"/>
                <w:sz w:val="22"/>
                <w:szCs w:val="22"/>
              </w:rPr>
              <w:t>73</w:t>
            </w:r>
          </w:p>
        </w:tc>
        <w:tc>
          <w:tcPr>
            <w:tcW w:w="1598" w:type="dxa"/>
          </w:tcPr>
          <w:p w:rsidR="00010EC5" w:rsidRPr="002B49F2" w:rsidP="00F04C52" w14:paraId="463BB115" w14:textId="32BDACA4">
            <w:pPr>
              <w:rPr>
                <w:rFonts w:ascii="Arial" w:hAnsi="Arial" w:cs="Arial"/>
                <w:sz w:val="22"/>
                <w:szCs w:val="22"/>
              </w:rPr>
            </w:pPr>
            <w:r w:rsidRPr="002B49F2">
              <w:rPr>
                <w:rFonts w:ascii="Arial" w:hAnsi="Arial" w:cs="Arial"/>
                <w:sz w:val="22"/>
                <w:szCs w:val="22"/>
              </w:rPr>
              <w:t>Greenhouse gas impacts on climate change (Category 1)</w:t>
            </w:r>
          </w:p>
        </w:tc>
        <w:tc>
          <w:tcPr>
            <w:tcW w:w="1620" w:type="dxa"/>
          </w:tcPr>
          <w:p w:rsidR="00010EC5" w:rsidRPr="002B49F2" w:rsidP="00F04C52" w14:paraId="69BFADB5" w14:textId="5DD55076">
            <w:pPr>
              <w:rPr>
                <w:rFonts w:ascii="Arial" w:hAnsi="Arial" w:cs="Arial"/>
                <w:sz w:val="22"/>
                <w:szCs w:val="22"/>
              </w:rPr>
            </w:pPr>
            <w:r w:rsidRPr="002B49F2">
              <w:rPr>
                <w:rFonts w:ascii="Arial" w:hAnsi="Arial" w:cs="Arial"/>
                <w:sz w:val="22"/>
                <w:szCs w:val="22"/>
              </w:rPr>
              <w:t>New Category 1 Issue</w:t>
            </w:r>
          </w:p>
        </w:tc>
        <w:tc>
          <w:tcPr>
            <w:tcW w:w="9180" w:type="dxa"/>
          </w:tcPr>
          <w:p w:rsidR="00010EC5" w:rsidRPr="002B49F2" w:rsidP="00F04C52" w14:paraId="7B05529C" w14:textId="468A5A47">
            <w:pPr>
              <w:rPr>
                <w:rFonts w:ascii="Arial" w:hAnsi="Arial" w:cs="Arial"/>
                <w:sz w:val="22"/>
                <w:szCs w:val="22"/>
              </w:rPr>
            </w:pPr>
            <w:r w:rsidRPr="002B49F2">
              <w:rPr>
                <w:rFonts w:ascii="Arial" w:hAnsi="Arial" w:cs="Arial"/>
                <w:sz w:val="22"/>
                <w:szCs w:val="22"/>
              </w:rPr>
              <w:t xml:space="preserve">This is a new Category 1 issue </w:t>
            </w:r>
            <w:r w:rsidRPr="002B49F2" w:rsidR="00C3633A">
              <w:rPr>
                <w:rFonts w:ascii="Arial" w:hAnsi="Arial" w:cs="Arial"/>
                <w:sz w:val="22"/>
                <w:szCs w:val="22"/>
              </w:rPr>
              <w:t>that evaluates the</w:t>
            </w:r>
            <w:r w:rsidRPr="002B49F2" w:rsidR="00E71405">
              <w:rPr>
                <w:rFonts w:ascii="Arial" w:hAnsi="Arial" w:cs="Arial"/>
                <w:sz w:val="22"/>
                <w:szCs w:val="22"/>
              </w:rPr>
              <w:t> </w:t>
            </w:r>
            <w:r w:rsidRPr="002B49F2" w:rsidR="00C3633A">
              <w:rPr>
                <w:rFonts w:ascii="Arial" w:hAnsi="Arial" w:cs="Arial"/>
                <w:sz w:val="22"/>
                <w:szCs w:val="22"/>
              </w:rPr>
              <w:t>greenhouse gas impacts on climate change associated with continued operation</w:t>
            </w:r>
            <w:r w:rsidRPr="002B49F2" w:rsidR="00704C82">
              <w:rPr>
                <w:rFonts w:ascii="Arial" w:hAnsi="Arial" w:cs="Arial"/>
                <w:sz w:val="22"/>
                <w:szCs w:val="22"/>
              </w:rPr>
              <w:t>s</w:t>
            </w:r>
            <w:r w:rsidRPr="002B49F2" w:rsidR="00C3633A">
              <w:rPr>
                <w:rFonts w:ascii="Arial" w:hAnsi="Arial" w:cs="Arial"/>
                <w:sz w:val="22"/>
                <w:szCs w:val="22"/>
              </w:rPr>
              <w:t xml:space="preserve"> and refurbishment. The issue of greenhouse gas emissions was not considered in the 2013 LR GEIS and is not listed in the current Table B-1.</w:t>
            </w:r>
            <w:r w:rsidRPr="002B49F2" w:rsidR="006F015B">
              <w:rPr>
                <w:rFonts w:ascii="Arial" w:hAnsi="Arial" w:cs="Arial"/>
                <w:sz w:val="22"/>
                <w:szCs w:val="22"/>
              </w:rPr>
              <w:t xml:space="preserve"> </w:t>
            </w:r>
            <w:r w:rsidRPr="002B49F2" w:rsidR="006502B1">
              <w:rPr>
                <w:rFonts w:ascii="Arial" w:hAnsi="Arial" w:cs="Arial"/>
                <w:sz w:val="22"/>
                <w:szCs w:val="22"/>
              </w:rPr>
              <w:t>This issue is identified to improve the efficiency of reviews and to reflect analyses already being performed by the NRC staff in environmental reviews consistent with the</w:t>
            </w:r>
            <w:r w:rsidRPr="002B49F2" w:rsidR="00E71405">
              <w:rPr>
                <w:rFonts w:ascii="Arial" w:hAnsi="Arial" w:cs="Arial"/>
                <w:sz w:val="22"/>
                <w:szCs w:val="22"/>
              </w:rPr>
              <w:t> </w:t>
            </w:r>
            <w:r w:rsidRPr="002B49F2" w:rsidR="006502B1">
              <w:rPr>
                <w:rFonts w:ascii="Arial" w:hAnsi="Arial" w:cs="Arial"/>
                <w:sz w:val="22"/>
                <w:szCs w:val="22"/>
              </w:rPr>
              <w:t>Commission direction in CLI-09-21 dated November</w:t>
            </w:r>
            <w:r w:rsidRPr="002B49F2" w:rsidR="00E71405">
              <w:rPr>
                <w:rFonts w:ascii="Arial" w:hAnsi="Arial" w:cs="Arial"/>
                <w:sz w:val="22"/>
                <w:szCs w:val="22"/>
              </w:rPr>
              <w:t> </w:t>
            </w:r>
            <w:r w:rsidRPr="002B49F2" w:rsidR="006502B1">
              <w:rPr>
                <w:rFonts w:ascii="Arial" w:hAnsi="Arial" w:cs="Arial"/>
                <w:sz w:val="22"/>
                <w:szCs w:val="22"/>
              </w:rPr>
              <w:t xml:space="preserve">3, 2009. </w:t>
            </w:r>
            <w:r w:rsidRPr="002B49F2" w:rsidR="006F015B">
              <w:rPr>
                <w:rFonts w:ascii="Arial" w:hAnsi="Arial" w:cs="Arial"/>
                <w:sz w:val="22"/>
                <w:szCs w:val="22"/>
              </w:rPr>
              <w:t>The</w:t>
            </w:r>
            <w:r w:rsidRPr="002B49F2" w:rsidR="006502B1">
              <w:rPr>
                <w:rFonts w:ascii="Arial" w:hAnsi="Arial" w:cs="Arial"/>
                <w:sz w:val="22"/>
                <w:szCs w:val="22"/>
              </w:rPr>
              <w:t> </w:t>
            </w:r>
            <w:r w:rsidRPr="002B49F2" w:rsidR="006F015B">
              <w:rPr>
                <w:rFonts w:ascii="Arial" w:hAnsi="Arial" w:cs="Arial"/>
                <w:sz w:val="22"/>
                <w:szCs w:val="22"/>
              </w:rPr>
              <w:t>NRC staff evaluated the impacts of greenhouse gas emissions on climate change from continued operation</w:t>
            </w:r>
            <w:r w:rsidRPr="002B49F2" w:rsidR="00383FA4">
              <w:rPr>
                <w:rFonts w:ascii="Arial" w:hAnsi="Arial" w:cs="Arial"/>
                <w:sz w:val="22"/>
                <w:szCs w:val="22"/>
              </w:rPr>
              <w:t>s</w:t>
            </w:r>
            <w:r w:rsidRPr="002B49F2" w:rsidR="006F015B">
              <w:rPr>
                <w:rFonts w:ascii="Arial" w:hAnsi="Arial" w:cs="Arial"/>
                <w:sz w:val="22"/>
                <w:szCs w:val="22"/>
              </w:rPr>
              <w:t xml:space="preserve"> during the license renewal term (initial or subsequent) and any refurbishment activities and concluded that it would be small for all nuclear power plants. Therefore, this is a new Category 1 issue.</w:t>
            </w:r>
          </w:p>
        </w:tc>
      </w:tr>
      <w:tr w14:paraId="2C4D3FDF" w14:textId="77777777" w:rsidTr="00A737B9">
        <w:tblPrEx>
          <w:tblW w:w="13140" w:type="dxa"/>
          <w:tblInd w:w="-95" w:type="dxa"/>
          <w:tblLayout w:type="fixed"/>
          <w:tblLook w:val="04A0"/>
        </w:tblPrEx>
        <w:trPr>
          <w:cantSplit/>
        </w:trPr>
        <w:tc>
          <w:tcPr>
            <w:tcW w:w="742" w:type="dxa"/>
          </w:tcPr>
          <w:p w:rsidR="00010EC5" w:rsidRPr="002B49F2" w:rsidP="00F04C52" w14:paraId="3E093EDB" w14:textId="28D8E181">
            <w:pPr>
              <w:rPr>
                <w:rFonts w:ascii="Arial" w:hAnsi="Arial" w:cs="Arial"/>
                <w:sz w:val="22"/>
                <w:szCs w:val="22"/>
              </w:rPr>
            </w:pPr>
            <w:r w:rsidRPr="002B49F2">
              <w:rPr>
                <w:rFonts w:ascii="Arial" w:hAnsi="Arial" w:cs="Arial"/>
                <w:sz w:val="22"/>
                <w:szCs w:val="22"/>
              </w:rPr>
              <w:t>74</w:t>
            </w:r>
          </w:p>
        </w:tc>
        <w:tc>
          <w:tcPr>
            <w:tcW w:w="1598" w:type="dxa"/>
          </w:tcPr>
          <w:p w:rsidR="00010EC5" w:rsidRPr="002B49F2" w:rsidP="00F04C52" w14:paraId="03BD36F2" w14:textId="1C4112E5">
            <w:pPr>
              <w:rPr>
                <w:rFonts w:ascii="Arial" w:hAnsi="Arial" w:cs="Arial"/>
                <w:sz w:val="22"/>
                <w:szCs w:val="22"/>
              </w:rPr>
            </w:pPr>
            <w:r w:rsidRPr="002B49F2">
              <w:rPr>
                <w:rFonts w:ascii="Arial" w:hAnsi="Arial" w:cs="Arial"/>
                <w:sz w:val="22"/>
                <w:szCs w:val="22"/>
              </w:rPr>
              <w:t xml:space="preserve">Climate change </w:t>
            </w:r>
            <w:r w:rsidRPr="002B49F2">
              <w:rPr>
                <w:rFonts w:ascii="Arial" w:hAnsi="Arial" w:cs="Arial"/>
                <w:sz w:val="22"/>
                <w:szCs w:val="22"/>
              </w:rPr>
              <w:t>impacts on environmental resources (Category 2)</w:t>
            </w:r>
          </w:p>
        </w:tc>
        <w:tc>
          <w:tcPr>
            <w:tcW w:w="1620" w:type="dxa"/>
          </w:tcPr>
          <w:p w:rsidR="00010EC5" w:rsidRPr="002B49F2" w:rsidP="00F04C52" w14:paraId="26F15261" w14:textId="6932A08B">
            <w:pPr>
              <w:rPr>
                <w:rFonts w:ascii="Arial" w:hAnsi="Arial" w:cs="Arial"/>
                <w:sz w:val="22"/>
                <w:szCs w:val="22"/>
              </w:rPr>
            </w:pPr>
            <w:r w:rsidRPr="002B49F2">
              <w:rPr>
                <w:rFonts w:ascii="Arial" w:hAnsi="Arial" w:cs="Arial"/>
                <w:sz w:val="22"/>
                <w:szCs w:val="22"/>
              </w:rPr>
              <w:t>New Category 2 Issue</w:t>
            </w:r>
          </w:p>
        </w:tc>
        <w:tc>
          <w:tcPr>
            <w:tcW w:w="9180" w:type="dxa"/>
          </w:tcPr>
          <w:p w:rsidR="00010EC5" w:rsidRPr="002B49F2" w:rsidP="00F04C52" w14:paraId="0CF19E29" w14:textId="22E45E52">
            <w:pPr>
              <w:rPr>
                <w:rFonts w:ascii="Arial" w:hAnsi="Arial" w:cs="Arial"/>
                <w:sz w:val="22"/>
                <w:szCs w:val="22"/>
              </w:rPr>
            </w:pPr>
            <w:r w:rsidRPr="002B49F2">
              <w:rPr>
                <w:rFonts w:ascii="Arial" w:hAnsi="Arial" w:cs="Arial"/>
                <w:sz w:val="22"/>
                <w:szCs w:val="22"/>
              </w:rPr>
              <w:t>This is a new Category 2 issue that evaluates the</w:t>
            </w:r>
            <w:r w:rsidRPr="002B49F2" w:rsidR="0091141B">
              <w:rPr>
                <w:rFonts w:ascii="Arial" w:hAnsi="Arial" w:cs="Arial"/>
                <w:sz w:val="22"/>
                <w:szCs w:val="22"/>
              </w:rPr>
              <w:t> </w:t>
            </w:r>
            <w:r w:rsidRPr="002B49F2">
              <w:rPr>
                <w:rFonts w:ascii="Arial" w:hAnsi="Arial" w:cs="Arial"/>
                <w:sz w:val="22"/>
                <w:szCs w:val="22"/>
              </w:rPr>
              <w:t xml:space="preserve">impacts of climate change on environmental resources that are </w:t>
            </w:r>
            <w:r w:rsidRPr="002B49F2" w:rsidR="003B4F7E">
              <w:rPr>
                <w:rFonts w:ascii="Arial" w:hAnsi="Arial" w:cs="Arial"/>
                <w:sz w:val="22"/>
                <w:szCs w:val="22"/>
              </w:rPr>
              <w:t xml:space="preserve">also </w:t>
            </w:r>
            <w:r w:rsidRPr="002B49F2">
              <w:rPr>
                <w:rFonts w:ascii="Arial" w:hAnsi="Arial" w:cs="Arial"/>
                <w:sz w:val="22"/>
                <w:szCs w:val="22"/>
              </w:rPr>
              <w:t>affected by continued nuclear power plant operation</w:t>
            </w:r>
            <w:r w:rsidRPr="002B49F2" w:rsidR="00B07136">
              <w:rPr>
                <w:rFonts w:ascii="Arial" w:hAnsi="Arial" w:cs="Arial"/>
                <w:sz w:val="22"/>
                <w:szCs w:val="22"/>
              </w:rPr>
              <w:t>s</w:t>
            </w:r>
            <w:r w:rsidRPr="002B49F2">
              <w:rPr>
                <w:rFonts w:ascii="Arial" w:hAnsi="Arial" w:cs="Arial"/>
                <w:sz w:val="22"/>
                <w:szCs w:val="22"/>
              </w:rPr>
              <w:t xml:space="preserve"> and any refurbishment during the</w:t>
            </w:r>
            <w:r w:rsidRPr="002B49F2" w:rsidR="00E71405">
              <w:rPr>
                <w:rFonts w:ascii="Arial" w:hAnsi="Arial" w:cs="Arial"/>
                <w:sz w:val="22"/>
                <w:szCs w:val="22"/>
              </w:rPr>
              <w:t> </w:t>
            </w:r>
            <w:r w:rsidRPr="002B49F2">
              <w:rPr>
                <w:rFonts w:ascii="Arial" w:hAnsi="Arial" w:cs="Arial"/>
                <w:sz w:val="22"/>
                <w:szCs w:val="22"/>
              </w:rPr>
              <w:t>license renewal term. The issue of climate change impacts was not identified as either a generic or site-specific issue in the 2013 LR GEIS. The</w:t>
            </w:r>
            <w:r w:rsidRPr="002B49F2" w:rsidR="00A737B9">
              <w:rPr>
                <w:rFonts w:ascii="Arial" w:hAnsi="Arial" w:cs="Arial"/>
                <w:sz w:val="22"/>
                <w:szCs w:val="22"/>
              </w:rPr>
              <w:t> </w:t>
            </w:r>
            <w:r w:rsidRPr="002B49F2">
              <w:rPr>
                <w:rFonts w:ascii="Arial" w:hAnsi="Arial" w:cs="Arial"/>
                <w:sz w:val="22"/>
                <w:szCs w:val="22"/>
              </w:rPr>
              <w:t xml:space="preserve">impacts of climate </w:t>
            </w:r>
            <w:r w:rsidRPr="002B49F2" w:rsidR="00B07136">
              <w:rPr>
                <w:rFonts w:ascii="Arial" w:hAnsi="Arial" w:cs="Arial"/>
                <w:sz w:val="22"/>
                <w:szCs w:val="22"/>
              </w:rPr>
              <w:t>change on environmental resource that are affected by continued nuclear power plant operations and refurbishment during the license renewal term (initial or subsequent) are location-specific and cannot be evaluated generically.</w:t>
            </w:r>
            <w:r w:rsidRPr="002B49F2" w:rsidR="0091141B">
              <w:rPr>
                <w:rFonts w:ascii="Arial" w:hAnsi="Arial" w:cs="Arial"/>
                <w:sz w:val="22"/>
                <w:szCs w:val="22"/>
              </w:rPr>
              <w:t xml:space="preserve"> The effects of climate change can vary regionally and climate change information at the regional and local scale is necessary to assess </w:t>
            </w:r>
            <w:r w:rsidRPr="002B49F2" w:rsidR="00467E2C">
              <w:rPr>
                <w:rFonts w:ascii="Arial" w:hAnsi="Arial" w:cs="Arial"/>
                <w:sz w:val="22"/>
                <w:szCs w:val="22"/>
              </w:rPr>
              <w:t xml:space="preserve">trends </w:t>
            </w:r>
            <w:r w:rsidRPr="002B49F2" w:rsidR="00884AA9">
              <w:rPr>
                <w:rFonts w:ascii="Arial" w:hAnsi="Arial" w:cs="Arial"/>
                <w:sz w:val="22"/>
                <w:szCs w:val="22"/>
              </w:rPr>
              <w:t xml:space="preserve">and </w:t>
            </w:r>
            <w:r w:rsidRPr="002B49F2" w:rsidR="0091141B">
              <w:rPr>
                <w:rFonts w:ascii="Arial" w:hAnsi="Arial" w:cs="Arial"/>
                <w:sz w:val="22"/>
                <w:szCs w:val="22"/>
              </w:rPr>
              <w:t xml:space="preserve">the impacts on the human environment for a specific location. </w:t>
            </w:r>
            <w:r w:rsidRPr="002B49F2" w:rsidR="0083705F">
              <w:rPr>
                <w:rFonts w:ascii="Arial" w:hAnsi="Arial" w:cs="Arial"/>
                <w:sz w:val="22"/>
                <w:szCs w:val="22"/>
              </w:rPr>
              <w:t>This issue is identified to improve the efficiency of reviews, lessons learned from plant-specific revie</w:t>
            </w:r>
            <w:r w:rsidRPr="002B49F2" w:rsidR="00A25BF2">
              <w:rPr>
                <w:rFonts w:ascii="Arial" w:hAnsi="Arial" w:cs="Arial"/>
                <w:sz w:val="22"/>
                <w:szCs w:val="22"/>
              </w:rPr>
              <w:t>w</w:t>
            </w:r>
            <w:r w:rsidRPr="002B49F2" w:rsidR="0083705F">
              <w:rPr>
                <w:rFonts w:ascii="Arial" w:hAnsi="Arial" w:cs="Arial"/>
                <w:sz w:val="22"/>
                <w:szCs w:val="22"/>
              </w:rPr>
              <w:t>s, public comments, and to reflect analyses already being performed by NRC staff in environmental revie</w:t>
            </w:r>
            <w:r w:rsidRPr="002B49F2" w:rsidR="00492475">
              <w:rPr>
                <w:rFonts w:ascii="Arial" w:hAnsi="Arial" w:cs="Arial"/>
                <w:sz w:val="22"/>
                <w:szCs w:val="22"/>
              </w:rPr>
              <w:t>w</w:t>
            </w:r>
            <w:r w:rsidRPr="002B49F2" w:rsidR="0083705F">
              <w:rPr>
                <w:rFonts w:ascii="Arial" w:hAnsi="Arial" w:cs="Arial"/>
                <w:sz w:val="22"/>
                <w:szCs w:val="22"/>
              </w:rPr>
              <w:t>s consistent with Commission direction in CLI-09-21 dated November 3</w:t>
            </w:r>
            <w:r w:rsidRPr="002B49F2" w:rsidR="00A737B9">
              <w:rPr>
                <w:rFonts w:ascii="Arial" w:hAnsi="Arial" w:cs="Arial"/>
                <w:sz w:val="22"/>
                <w:szCs w:val="22"/>
              </w:rPr>
              <w:t>,</w:t>
            </w:r>
            <w:r w:rsidRPr="002B49F2" w:rsidR="0083705F">
              <w:rPr>
                <w:rFonts w:ascii="Arial" w:hAnsi="Arial" w:cs="Arial"/>
                <w:sz w:val="22"/>
                <w:szCs w:val="22"/>
              </w:rPr>
              <w:t xml:space="preserve"> 2009. </w:t>
            </w:r>
            <w:r w:rsidRPr="002B49F2" w:rsidR="0091141B">
              <w:rPr>
                <w:rFonts w:ascii="Arial" w:hAnsi="Arial" w:cs="Arial"/>
                <w:sz w:val="22"/>
                <w:szCs w:val="22"/>
              </w:rPr>
              <w:t>The</w:t>
            </w:r>
            <w:r w:rsidRPr="002B49F2" w:rsidR="0083705F">
              <w:rPr>
                <w:rFonts w:ascii="Arial" w:hAnsi="Arial" w:cs="Arial"/>
                <w:sz w:val="22"/>
                <w:szCs w:val="22"/>
              </w:rPr>
              <w:t> </w:t>
            </w:r>
            <w:r w:rsidRPr="002B49F2" w:rsidR="0091141B">
              <w:rPr>
                <w:rFonts w:ascii="Arial" w:hAnsi="Arial" w:cs="Arial"/>
                <w:sz w:val="22"/>
                <w:szCs w:val="22"/>
              </w:rPr>
              <w:t>NRC would need to perform a site-specific impact assessment as part of each license renewal environmental review. Therefore, this is a</w:t>
            </w:r>
            <w:r w:rsidRPr="002B49F2" w:rsidR="002C5A88">
              <w:rPr>
                <w:rFonts w:ascii="Arial" w:hAnsi="Arial" w:cs="Arial"/>
                <w:sz w:val="22"/>
                <w:szCs w:val="22"/>
              </w:rPr>
              <w:t> </w:t>
            </w:r>
            <w:r w:rsidRPr="002B49F2" w:rsidR="0091141B">
              <w:rPr>
                <w:rFonts w:ascii="Arial" w:hAnsi="Arial" w:cs="Arial"/>
                <w:sz w:val="22"/>
                <w:szCs w:val="22"/>
              </w:rPr>
              <w:t>Category 2 issue.</w:t>
            </w:r>
          </w:p>
        </w:tc>
      </w:tr>
    </w:tbl>
    <w:p w:rsidR="00244D20" w:rsidRPr="002B49F2" w:rsidP="00F04C52" w14:paraId="7B62AE17" w14:textId="63E3B2F1">
      <w:pPr>
        <w:ind w:left="360" w:hanging="360"/>
        <w:rPr>
          <w:rFonts w:ascii="Arial" w:hAnsi="Arial" w:cs="Arial"/>
          <w:sz w:val="22"/>
          <w:szCs w:val="22"/>
        </w:rPr>
      </w:pPr>
    </w:p>
    <w:p w:rsidR="00244D20" w:rsidRPr="002B49F2" w14:paraId="3154BEB0" w14:textId="77777777">
      <w:pPr>
        <w:widowControl/>
        <w:autoSpaceDE/>
        <w:autoSpaceDN/>
        <w:adjustRightInd/>
        <w:spacing w:after="160" w:line="259" w:lineRule="auto"/>
        <w:rPr>
          <w:rFonts w:ascii="Arial" w:hAnsi="Arial" w:cs="Arial"/>
          <w:sz w:val="22"/>
          <w:szCs w:val="22"/>
        </w:rPr>
      </w:pPr>
      <w:r w:rsidRPr="002B49F2">
        <w:rPr>
          <w:rFonts w:ascii="Arial" w:hAnsi="Arial" w:cs="Arial"/>
          <w:sz w:val="22"/>
          <w:szCs w:val="22"/>
        </w:rPr>
        <w:br w:type="page"/>
      </w:r>
    </w:p>
    <w:p w:rsidR="009B1E02" w:rsidRPr="002B49F2" w:rsidP="009B1E02" w14:paraId="3A1A6743" w14:textId="3A619D37">
      <w:pPr>
        <w:jc w:val="center"/>
        <w:rPr>
          <w:rFonts w:ascii="Arial" w:hAnsi="Arial" w:cs="Arial"/>
          <w:sz w:val="22"/>
          <w:szCs w:val="22"/>
        </w:rPr>
      </w:pPr>
      <w:r w:rsidRPr="002B49F2">
        <w:rPr>
          <w:rFonts w:ascii="Arial" w:hAnsi="Arial" w:cs="Arial"/>
          <w:sz w:val="22"/>
          <w:szCs w:val="22"/>
        </w:rPr>
        <w:t xml:space="preserve">10 CFR </w:t>
      </w:r>
      <w:r w:rsidRPr="002B49F2">
        <w:rPr>
          <w:rFonts w:ascii="Arial" w:hAnsi="Arial" w:cs="Arial"/>
          <w:sz w:val="22"/>
          <w:szCs w:val="22"/>
        </w:rPr>
        <w:t>PART 51 GUIDANCE DOCUMENTS</w:t>
      </w:r>
    </w:p>
    <w:p w:rsidR="009B1E02" w:rsidRPr="002B49F2" w:rsidP="009B1E02" w14:paraId="21F849B6" w14:textId="77777777">
      <w:pPr>
        <w:rPr>
          <w:rFonts w:ascii="Arial" w:hAnsi="Arial" w:cs="Arial"/>
          <w:sz w:val="22"/>
          <w:szCs w:val="22"/>
        </w:rPr>
      </w:pPr>
    </w:p>
    <w:tbl>
      <w:tblPr>
        <w:tblStyle w:val="TableGrid"/>
        <w:tblpPr w:leftFromText="180" w:rightFromText="180" w:vertAnchor="text" w:tblpY="104"/>
        <w:tblW w:w="13135" w:type="dxa"/>
        <w:tblLook w:val="04A0"/>
      </w:tblPr>
      <w:tblGrid>
        <w:gridCol w:w="9625"/>
        <w:gridCol w:w="3510"/>
      </w:tblGrid>
      <w:tr w14:paraId="7809D8B2" w14:textId="77777777" w:rsidTr="00EE60B9">
        <w:tblPrEx>
          <w:tblW w:w="13135" w:type="dxa"/>
          <w:tblLook w:val="04A0"/>
        </w:tblPrEx>
        <w:tc>
          <w:tcPr>
            <w:tcW w:w="9625" w:type="dxa"/>
            <w:vAlign w:val="center"/>
          </w:tcPr>
          <w:p w:rsidR="009B1E02" w:rsidRPr="002B49F2" w:rsidP="00910429" w14:paraId="4D3092D3"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2B49F2">
              <w:rPr>
                <w:rFonts w:ascii="Arial" w:hAnsi="Arial" w:cs="Arial"/>
                <w:sz w:val="22"/>
                <w:szCs w:val="22"/>
              </w:rPr>
              <w:t>Title</w:t>
            </w:r>
          </w:p>
        </w:tc>
        <w:tc>
          <w:tcPr>
            <w:tcW w:w="3510" w:type="dxa"/>
            <w:vAlign w:val="center"/>
          </w:tcPr>
          <w:p w:rsidR="009B1E02" w:rsidRPr="002B49F2" w:rsidP="00910429" w14:paraId="5B7D7BF9" w14:textId="4DB2A68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2B49F2">
              <w:rPr>
                <w:rFonts w:ascii="Arial" w:hAnsi="Arial" w:cs="Arial"/>
                <w:sz w:val="22"/>
                <w:szCs w:val="22"/>
              </w:rPr>
              <w:t>Agencywide Documents Access</w:t>
            </w:r>
            <w:r w:rsidRPr="002B49F2" w:rsidR="002C237A">
              <w:rPr>
                <w:rFonts w:ascii="Arial" w:hAnsi="Arial" w:cs="Arial"/>
                <w:sz w:val="22"/>
                <w:szCs w:val="22"/>
              </w:rPr>
              <w:t xml:space="preserve"> and</w:t>
            </w:r>
            <w:r w:rsidRPr="002B49F2">
              <w:rPr>
                <w:rFonts w:ascii="Arial" w:hAnsi="Arial" w:cs="Arial"/>
                <w:sz w:val="22"/>
                <w:szCs w:val="22"/>
              </w:rPr>
              <w:t xml:space="preserve"> Management System </w:t>
            </w:r>
            <w:r w:rsidRPr="002B49F2">
              <w:rPr>
                <w:rFonts w:ascii="Arial" w:hAnsi="Arial" w:cs="Arial"/>
                <w:sz w:val="22"/>
                <w:szCs w:val="22"/>
              </w:rPr>
              <w:t xml:space="preserve">Accession </w:t>
            </w:r>
            <w:r w:rsidRPr="002B49F2">
              <w:rPr>
                <w:rFonts w:ascii="Arial" w:hAnsi="Arial" w:cs="Arial"/>
                <w:sz w:val="22"/>
                <w:szCs w:val="22"/>
              </w:rPr>
              <w:t>N</w:t>
            </w:r>
            <w:r w:rsidRPr="002B49F2">
              <w:rPr>
                <w:rFonts w:ascii="Arial" w:hAnsi="Arial" w:cs="Arial"/>
                <w:sz w:val="22"/>
                <w:szCs w:val="22"/>
              </w:rPr>
              <w:t>umber</w:t>
            </w:r>
          </w:p>
        </w:tc>
      </w:tr>
      <w:tr w14:paraId="7705D142" w14:textId="77777777" w:rsidTr="00EE60B9">
        <w:tblPrEx>
          <w:tblW w:w="13135" w:type="dxa"/>
          <w:tblLook w:val="04A0"/>
        </w:tblPrEx>
        <w:tc>
          <w:tcPr>
            <w:tcW w:w="9625" w:type="dxa"/>
          </w:tcPr>
          <w:p w:rsidR="00521580" w:rsidRPr="002B49F2" w:rsidP="00EE60B9" w14:paraId="0AC54946" w14:textId="68FFEC4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2B49F2">
              <w:rPr>
                <w:rFonts w:ascii="Arial" w:hAnsi="Arial" w:cs="Arial"/>
                <w:sz w:val="22"/>
                <w:szCs w:val="22"/>
              </w:rPr>
              <w:t>Draft Regulatory Guide DG-4027, “Preparation of Environmental Reports for Nuclear Power Plant License Renewal Applications”</w:t>
            </w:r>
          </w:p>
        </w:tc>
        <w:tc>
          <w:tcPr>
            <w:tcW w:w="3510" w:type="dxa"/>
          </w:tcPr>
          <w:p w:rsidR="00521580" w:rsidRPr="002B49F2" w:rsidP="00041448" w14:paraId="4D98B934" w14:textId="45EBA34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2B49F2">
              <w:rPr>
                <w:rFonts w:ascii="Arial" w:hAnsi="Arial" w:cs="Arial"/>
                <w:sz w:val="22"/>
                <w:szCs w:val="22"/>
              </w:rPr>
              <w:t>ML22165A072</w:t>
            </w:r>
          </w:p>
        </w:tc>
      </w:tr>
      <w:tr w14:paraId="35E7EBF7" w14:textId="77777777" w:rsidTr="00EE60B9">
        <w:tblPrEx>
          <w:tblW w:w="13135" w:type="dxa"/>
          <w:tblLook w:val="04A0"/>
        </w:tblPrEx>
        <w:tc>
          <w:tcPr>
            <w:tcW w:w="9625" w:type="dxa"/>
          </w:tcPr>
          <w:p w:rsidR="00521580" w:rsidRPr="002B49F2" w:rsidP="00EE60B9" w14:paraId="0C8A2A78" w14:textId="53A5715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2B49F2">
              <w:rPr>
                <w:rFonts w:ascii="Arial" w:hAnsi="Arial" w:cs="Arial"/>
                <w:sz w:val="22"/>
                <w:szCs w:val="22"/>
              </w:rPr>
              <w:t>Draft NUREG-1555, Supplement 1, Revision 2, “Standard Review Plants for Environmental Reviews for Nuclear Power Plants, Supplement 1: Operating License Renewal”</w:t>
            </w:r>
          </w:p>
        </w:tc>
        <w:tc>
          <w:tcPr>
            <w:tcW w:w="3510" w:type="dxa"/>
          </w:tcPr>
          <w:p w:rsidR="00521580" w:rsidRPr="000B39D2" w:rsidP="00041448" w14:paraId="2B8C06A7" w14:textId="777CE32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2B49F2">
              <w:rPr>
                <w:rFonts w:ascii="Arial" w:hAnsi="Arial" w:cs="Arial"/>
                <w:sz w:val="22"/>
                <w:szCs w:val="22"/>
              </w:rPr>
              <w:t>ML22165A070</w:t>
            </w:r>
          </w:p>
        </w:tc>
      </w:tr>
    </w:tbl>
    <w:p w:rsidR="00B9628B" w:rsidRPr="00002E50" w:rsidP="00F04C52" w14:paraId="1ACDCAA4" w14:textId="77777777">
      <w:pPr>
        <w:ind w:left="360" w:hanging="360"/>
        <w:rPr>
          <w:rFonts w:ascii="Arial" w:hAnsi="Arial" w:cs="Arial"/>
          <w:sz w:val="22"/>
          <w:szCs w:val="22"/>
        </w:rPr>
      </w:pPr>
    </w:p>
    <w:sectPr w:rsidSect="007B4C4E">
      <w:pgSz w:w="15840" w:h="12240" w:orient="landscape"/>
      <w:pgMar w:top="1440" w:right="1440" w:bottom="1440" w:left="144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142D" w14:paraId="59C68501" w14:textId="77777777">
      <w:r>
        <w:separator/>
      </w:r>
    </w:p>
  </w:footnote>
  <w:footnote w:type="continuationSeparator" w:id="1">
    <w:p w:rsidR="0038142D" w14:paraId="241C723B" w14:textId="77777777">
      <w:r>
        <w:continuationSeparator/>
      </w:r>
    </w:p>
  </w:footnote>
  <w:footnote w:type="continuationNotice" w:id="2">
    <w:p w:rsidR="0038142D" w14:paraId="0E0F7409" w14:textId="77777777"/>
  </w:footnote>
  <w:footnote w:id="3">
    <w:p w:rsidR="009603B8" w:rsidRPr="00037F3A" w14:paraId="691909D5" w14:textId="4699BDEF">
      <w:pPr>
        <w:pStyle w:val="FootnoteText"/>
        <w:rPr>
          <w:rFonts w:ascii="Arial" w:hAnsi="Arial" w:cs="Arial"/>
        </w:rPr>
      </w:pPr>
      <w:r w:rsidRPr="00037F3A">
        <w:rPr>
          <w:rStyle w:val="FootnoteReference"/>
          <w:rFonts w:ascii="Arial" w:hAnsi="Arial" w:cs="Arial"/>
        </w:rPr>
        <w:footnoteRef/>
      </w:r>
      <w:r w:rsidRPr="00037F3A">
        <w:rPr>
          <w:rFonts w:ascii="Arial" w:hAnsi="Arial" w:cs="Arial"/>
        </w:rPr>
        <w:t xml:space="preserve"> </w:t>
      </w:r>
      <w:r w:rsidRPr="00037F3A" w:rsidR="005A5B87">
        <w:rPr>
          <w:rFonts w:ascii="Arial" w:hAnsi="Arial" w:cs="Arial"/>
        </w:rPr>
        <w:t xml:space="preserve">The NRC’s regulations for the license renewal safety review are set forth in 10 CFR Part 54 (OMB clearance 3150-0155). The NRC’s environmental protection regulations are set forth in 10 CFR </w:t>
      </w:r>
      <w:r w:rsidR="0064222F">
        <w:rPr>
          <w:rFonts w:ascii="Arial" w:hAnsi="Arial" w:cs="Arial"/>
        </w:rPr>
        <w:t>P</w:t>
      </w:r>
      <w:r w:rsidRPr="00037F3A" w:rsidR="005A5B87">
        <w:rPr>
          <w:rFonts w:ascii="Arial" w:hAnsi="Arial" w:cs="Arial"/>
        </w:rPr>
        <w:t>art 51.</w:t>
      </w:r>
    </w:p>
  </w:footnote>
  <w:footnote w:id="4">
    <w:p w:rsidR="00D0574B" w:rsidRPr="009D7F05" w14:paraId="1C67A811" w14:textId="7AE86E71">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w:t>
      </w:r>
      <w:r w:rsidRPr="009D7F05" w:rsidR="001D5485">
        <w:rPr>
          <w:rFonts w:ascii="Arial" w:hAnsi="Arial" w:cs="Arial"/>
        </w:rPr>
        <w:t>Future license renewal applicants are those applicants for either an initial or subsequent renewed license that submit their applications after the effective date of the final rule.</w:t>
      </w:r>
    </w:p>
  </w:footnote>
  <w:footnote w:id="5">
    <w:p w:rsidR="00B43C38" w14:paraId="534936BF" w14:textId="7CBB67A0">
      <w:pPr>
        <w:pStyle w:val="FootnoteText"/>
      </w:pPr>
      <w:r w:rsidRPr="009D7F05">
        <w:rPr>
          <w:rStyle w:val="FootnoteReference"/>
          <w:rFonts w:ascii="Arial" w:hAnsi="Arial" w:cs="Arial"/>
        </w:rPr>
        <w:footnoteRef/>
      </w:r>
      <w:r w:rsidRPr="009D7F05">
        <w:rPr>
          <w:rFonts w:ascii="Arial" w:hAnsi="Arial" w:cs="Arial"/>
        </w:rPr>
        <w:t xml:space="preserve"> The new estimated burden for an environmental review </w:t>
      </w:r>
      <w:r w:rsidRPr="009D7F05" w:rsidR="004D7E08">
        <w:rPr>
          <w:rFonts w:ascii="Arial" w:hAnsi="Arial" w:cs="Arial"/>
        </w:rPr>
        <w:t>an operating nuclear power plant license renewal application under 10 CFR Part 51 is 12,</w:t>
      </w:r>
      <w:r w:rsidRPr="009D7F05" w:rsidR="00D315E3">
        <w:rPr>
          <w:rFonts w:ascii="Arial" w:hAnsi="Arial" w:cs="Arial"/>
        </w:rPr>
        <w:t>939 hours.</w:t>
      </w:r>
    </w:p>
  </w:footnote>
  <w:footnote w:id="6">
    <w:p w:rsidR="007111AF" w:rsidRPr="009D7F05" w14:paraId="79FA9B78" w14:textId="59C5C249">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w:t>
      </w:r>
      <w:r w:rsidRPr="009D7F05" w:rsidR="00C705BB">
        <w:rPr>
          <w:rFonts w:ascii="Arial" w:hAnsi="Arial" w:cs="Arial"/>
        </w:rPr>
        <w:t>This is a consolidated issue</w:t>
      </w:r>
      <w:r w:rsidRPr="009D7F05" w:rsidR="00AC4A33">
        <w:rPr>
          <w:rFonts w:ascii="Arial" w:hAnsi="Arial" w:cs="Arial"/>
        </w:rPr>
        <w:t xml:space="preserve"> </w:t>
      </w:r>
      <w:r w:rsidRPr="009D7F05" w:rsidR="00411945">
        <w:rPr>
          <w:rFonts w:ascii="Arial" w:hAnsi="Arial" w:cs="Arial"/>
        </w:rPr>
        <w:t xml:space="preserve">that combines a Category 1 issue, “Groundwater quality degradation (cooling ponds in salt marshes),” with a Category 2 issue, “Groundwater quality degradation (cooling ponds at inland sites).” The salt marshes issue would affect only one applicant for a near-term subsequent license renewal. All other applicants not affected by the salt marshes issue would not be required to provide supplemental information </w:t>
      </w:r>
      <w:r w:rsidRPr="009D7F05" w:rsidR="002065A5">
        <w:rPr>
          <w:rFonts w:ascii="Arial" w:hAnsi="Arial" w:cs="Arial"/>
        </w:rPr>
        <w:t>in response to this consolidated Table B-1 issue.</w:t>
      </w:r>
    </w:p>
  </w:footnote>
  <w:footnote w:id="7">
    <w:p w:rsidR="004636C3" w:rsidRPr="009D7F05" w14:paraId="0BE99090" w14:textId="3B5E7B0C">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w:t>
      </w:r>
      <w:r w:rsidRPr="009D7F05" w:rsidR="00887BBF">
        <w:rPr>
          <w:rFonts w:ascii="Arial" w:hAnsi="Arial" w:cs="Arial"/>
        </w:rPr>
        <w:t xml:space="preserve">Total industry burden is rounded to the nearest </w:t>
      </w:r>
      <w:r w:rsidRPr="009D7F05" w:rsidR="00A13C31">
        <w:rPr>
          <w:rFonts w:ascii="Arial" w:hAnsi="Arial" w:cs="Arial"/>
        </w:rPr>
        <w:t>whole number.</w:t>
      </w:r>
    </w:p>
    <w:p w:rsidR="00C755AE" w14:paraId="32A351FA" w14:textId="77777777">
      <w:pPr>
        <w:pStyle w:val="FootnoteText"/>
      </w:pPr>
    </w:p>
  </w:footnote>
  <w:footnote w:id="8">
    <w:p w:rsidR="0010470E" w:rsidRPr="009D7F05" w14:paraId="14033B96" w14:textId="696730EC">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Future license renewal applicants are those applicants for either an initial or subsequent renewed license that submit their applications after the effective date of the final rule.</w:t>
      </w:r>
    </w:p>
  </w:footnote>
  <w:footnote w:id="9">
    <w:p w:rsidR="008B4DAB" w:rsidRPr="009D7F05" w14:paraId="0A2990C2" w14:textId="56D776C5">
      <w:pPr>
        <w:pStyle w:val="FootnoteText"/>
        <w:rPr>
          <w:rFonts w:ascii="Arial" w:hAnsi="Arial" w:cs="Arial"/>
        </w:rPr>
      </w:pPr>
      <w:r w:rsidRPr="009D7F05">
        <w:rPr>
          <w:rStyle w:val="FootnoteReference"/>
          <w:rFonts w:ascii="Arial" w:hAnsi="Arial" w:cs="Arial"/>
        </w:rPr>
        <w:footnoteRef/>
      </w:r>
      <w:r w:rsidRPr="009D7F05">
        <w:rPr>
          <w:rFonts w:ascii="Arial" w:hAnsi="Arial" w:cs="Arial"/>
        </w:rPr>
        <w:t xml:space="preserve"> This is a consolidated issue that combines a Category 1 issue, “Groundwater quality degradation (cooling ponds in salt marshes),” with a Category 2 issue, “Groundwater quality degradation (cooling ponds at inland sites).” The salt marshes issue would affect only one applicant for a near-term subsequent license renewal. The NRC would be required to evaluate supplemental information provided by only one applicant for a near-term subsequent license renewal in response to this consolidated Table B-1 issue.</w:t>
      </w:r>
    </w:p>
  </w:footnote>
  <w:footnote w:id="10">
    <w:p w:rsidR="00B700F5" w:rsidP="00B700F5" w14:paraId="27687565" w14:textId="77777777">
      <w:pPr>
        <w:pStyle w:val="FootnoteText"/>
      </w:pPr>
      <w:r w:rsidRPr="009D7F05">
        <w:rPr>
          <w:rStyle w:val="FootnoteReference"/>
          <w:rFonts w:ascii="Arial" w:hAnsi="Arial" w:cs="Arial"/>
        </w:rPr>
        <w:footnoteRef/>
      </w:r>
      <w:r w:rsidRPr="009D7F05">
        <w:rPr>
          <w:rFonts w:ascii="Arial" w:hAnsi="Arial" w:cs="Arial"/>
        </w:rPr>
        <w:t xml:space="preserve"> Total NRC review time is rounded to the nearest whole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310" w14:paraId="7CF94C51" w14:textId="77777777">
    <w:pPr>
      <w:pStyle w:val="BodyText"/>
      <w:kinsoku w:val="0"/>
      <w:overflowPunct w:val="0"/>
      <w:spacing w:line="14" w:lineRule="auto"/>
      <w:ind w:left="0"/>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310" w14:paraId="0E8AFE3D" w14:textId="77777777">
    <w:pPr>
      <w:pStyle w:val="BodyText"/>
      <w:kinsoku w:val="0"/>
      <w:overflowPunct w:val="0"/>
      <w:spacing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F4CF6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start w:val="0"/>
      <w:numFmt w:val="bullet"/>
      <w:lvlText w:val="•"/>
      <w:lvlJc w:val="left"/>
      <w:pPr>
        <w:ind w:left="1066" w:hanging="331"/>
      </w:pPr>
    </w:lvl>
    <w:lvl w:ilvl="2">
      <w:start w:val="0"/>
      <w:numFmt w:val="bullet"/>
      <w:lvlText w:val="•"/>
      <w:lvlJc w:val="left"/>
      <w:pPr>
        <w:ind w:left="2012" w:hanging="331"/>
      </w:pPr>
    </w:lvl>
    <w:lvl w:ilvl="3">
      <w:start w:val="0"/>
      <w:numFmt w:val="bullet"/>
      <w:lvlText w:val="•"/>
      <w:lvlJc w:val="left"/>
      <w:pPr>
        <w:ind w:left="2958" w:hanging="331"/>
      </w:pPr>
    </w:lvl>
    <w:lvl w:ilvl="4">
      <w:start w:val="0"/>
      <w:numFmt w:val="bullet"/>
      <w:lvlText w:val="•"/>
      <w:lvlJc w:val="left"/>
      <w:pPr>
        <w:ind w:left="3904" w:hanging="331"/>
      </w:pPr>
    </w:lvl>
    <w:lvl w:ilvl="5">
      <w:start w:val="0"/>
      <w:numFmt w:val="bullet"/>
      <w:lvlText w:val="•"/>
      <w:lvlJc w:val="left"/>
      <w:pPr>
        <w:ind w:left="4850" w:hanging="331"/>
      </w:pPr>
    </w:lvl>
    <w:lvl w:ilvl="6">
      <w:start w:val="0"/>
      <w:numFmt w:val="bullet"/>
      <w:lvlText w:val="•"/>
      <w:lvlJc w:val="left"/>
      <w:pPr>
        <w:ind w:left="5796" w:hanging="331"/>
      </w:pPr>
    </w:lvl>
    <w:lvl w:ilvl="7">
      <w:start w:val="0"/>
      <w:numFmt w:val="bullet"/>
      <w:lvlText w:val="•"/>
      <w:lvlJc w:val="left"/>
      <w:pPr>
        <w:ind w:left="6742" w:hanging="331"/>
      </w:pPr>
    </w:lvl>
    <w:lvl w:ilvl="8">
      <w:start w:val="0"/>
      <w:numFmt w:val="bullet"/>
      <w:lvlText w:val="•"/>
      <w:lvlJc w:val="left"/>
      <w:pPr>
        <w:ind w:left="7688" w:hanging="331"/>
      </w:pPr>
    </w:lvl>
  </w:abstractNum>
  <w:abstractNum w:abstractNumId="2">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start w:val="0"/>
      <w:numFmt w:val="bullet"/>
      <w:lvlText w:val="•"/>
      <w:lvlJc w:val="left"/>
      <w:pPr>
        <w:ind w:left="1680" w:hanging="841"/>
      </w:pPr>
    </w:lvl>
    <w:lvl w:ilvl="3">
      <w:start w:val="0"/>
      <w:numFmt w:val="bullet"/>
      <w:lvlText w:val="•"/>
      <w:lvlJc w:val="left"/>
      <w:pPr>
        <w:ind w:left="2665" w:hanging="841"/>
      </w:pPr>
    </w:lvl>
    <w:lvl w:ilvl="4">
      <w:start w:val="0"/>
      <w:numFmt w:val="bullet"/>
      <w:lvlText w:val="•"/>
      <w:lvlJc w:val="left"/>
      <w:pPr>
        <w:ind w:left="3650" w:hanging="841"/>
      </w:pPr>
    </w:lvl>
    <w:lvl w:ilvl="5">
      <w:start w:val="0"/>
      <w:numFmt w:val="bullet"/>
      <w:lvlText w:val="•"/>
      <w:lvlJc w:val="left"/>
      <w:pPr>
        <w:ind w:left="4635" w:hanging="841"/>
      </w:pPr>
    </w:lvl>
    <w:lvl w:ilvl="6">
      <w:start w:val="0"/>
      <w:numFmt w:val="bullet"/>
      <w:lvlText w:val="•"/>
      <w:lvlJc w:val="left"/>
      <w:pPr>
        <w:ind w:left="5620" w:hanging="841"/>
      </w:pPr>
    </w:lvl>
    <w:lvl w:ilvl="7">
      <w:start w:val="0"/>
      <w:numFmt w:val="bullet"/>
      <w:lvlText w:val="•"/>
      <w:lvlJc w:val="left"/>
      <w:pPr>
        <w:ind w:left="6605" w:hanging="841"/>
      </w:pPr>
    </w:lvl>
    <w:lvl w:ilvl="8">
      <w:start w:val="0"/>
      <w:numFmt w:val="bullet"/>
      <w:lvlText w:val="•"/>
      <w:lvlJc w:val="left"/>
      <w:pPr>
        <w:ind w:left="7590" w:hanging="841"/>
      </w:pPr>
    </w:lvl>
  </w:abstractNum>
  <w:abstractNum w:abstractNumId="3">
    <w:nsid w:val="00000404"/>
    <w:multiLevelType w:val="multilevel"/>
    <w:tmpl w:val="84369C86"/>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100"/>
        <w:sz w:val="22"/>
        <w:szCs w:val="22"/>
      </w:rPr>
    </w:lvl>
    <w:lvl w:ilvl="2">
      <w:start w:val="1"/>
      <w:numFmt w:val="lowerLetter"/>
      <w:lvlText w:val="%3."/>
      <w:lvlJc w:val="left"/>
      <w:pPr>
        <w:ind w:left="1160" w:hanging="481"/>
      </w:pPr>
      <w:rPr>
        <w:rFonts w:ascii="Arial" w:hAnsi="Arial" w:cs="Arial"/>
        <w:b w:val="0"/>
        <w:bCs w:val="0"/>
        <w:w w:val="99"/>
        <w:sz w:val="22"/>
        <w:szCs w:val="22"/>
      </w:rPr>
    </w:lvl>
    <w:lvl w:ilvl="3">
      <w:start w:val="0"/>
      <w:numFmt w:val="bullet"/>
      <w:lvlText w:val="•"/>
      <w:lvlJc w:val="left"/>
      <w:pPr>
        <w:ind w:left="2160" w:hanging="481"/>
      </w:pPr>
    </w:lvl>
    <w:lvl w:ilvl="4">
      <w:start w:val="0"/>
      <w:numFmt w:val="bullet"/>
      <w:lvlText w:val="•"/>
      <w:lvlJc w:val="left"/>
      <w:pPr>
        <w:ind w:left="3160" w:hanging="481"/>
      </w:pPr>
    </w:lvl>
    <w:lvl w:ilvl="5">
      <w:start w:val="0"/>
      <w:numFmt w:val="bullet"/>
      <w:lvlText w:val="•"/>
      <w:lvlJc w:val="left"/>
      <w:pPr>
        <w:ind w:left="4160" w:hanging="481"/>
      </w:pPr>
    </w:lvl>
    <w:lvl w:ilvl="6">
      <w:start w:val="0"/>
      <w:numFmt w:val="bullet"/>
      <w:lvlText w:val="•"/>
      <w:lvlJc w:val="left"/>
      <w:pPr>
        <w:ind w:left="5160" w:hanging="481"/>
      </w:pPr>
    </w:lvl>
    <w:lvl w:ilvl="7">
      <w:start w:val="0"/>
      <w:numFmt w:val="bullet"/>
      <w:lvlText w:val="•"/>
      <w:lvlJc w:val="left"/>
      <w:pPr>
        <w:ind w:left="6160" w:hanging="481"/>
      </w:pPr>
    </w:lvl>
    <w:lvl w:ilvl="8">
      <w:start w:val="0"/>
      <w:numFmt w:val="bullet"/>
      <w:lvlText w:val="•"/>
      <w:lvlJc w:val="left"/>
      <w:pPr>
        <w:ind w:left="7160" w:hanging="481"/>
      </w:pPr>
    </w:lvl>
  </w:abstractNum>
  <w:abstractNum w:abstractNumId="4">
    <w:nsid w:val="00000405"/>
    <w:multiLevelType w:val="multilevel"/>
    <w:tmpl w:val="00000888"/>
    <w:lvl w:ilvl="0">
      <w:start w:val="0"/>
      <w:numFmt w:val="bullet"/>
      <w:lvlText w:val=""/>
      <w:lvlJc w:val="left"/>
      <w:pPr>
        <w:ind w:left="1399" w:hanging="241"/>
      </w:pPr>
      <w:rPr>
        <w:rFonts w:ascii="Symbol" w:hAnsi="Symbol"/>
        <w:b w:val="0"/>
        <w:w w:val="99"/>
        <w:sz w:val="22"/>
      </w:rPr>
    </w:lvl>
    <w:lvl w:ilvl="1">
      <w:start w:val="0"/>
      <w:numFmt w:val="bullet"/>
      <w:lvlText w:val="•"/>
      <w:lvlJc w:val="left"/>
      <w:pPr>
        <w:ind w:left="2173" w:hanging="241"/>
      </w:pPr>
    </w:lvl>
    <w:lvl w:ilvl="2">
      <w:start w:val="0"/>
      <w:numFmt w:val="bullet"/>
      <w:lvlText w:val="•"/>
      <w:lvlJc w:val="left"/>
      <w:pPr>
        <w:ind w:left="2948" w:hanging="241"/>
      </w:pPr>
    </w:lvl>
    <w:lvl w:ilvl="3">
      <w:start w:val="0"/>
      <w:numFmt w:val="bullet"/>
      <w:lvlText w:val="•"/>
      <w:lvlJc w:val="left"/>
      <w:pPr>
        <w:ind w:left="3722" w:hanging="241"/>
      </w:pPr>
    </w:lvl>
    <w:lvl w:ilvl="4">
      <w:start w:val="0"/>
      <w:numFmt w:val="bullet"/>
      <w:lvlText w:val="•"/>
      <w:lvlJc w:val="left"/>
      <w:pPr>
        <w:ind w:left="4496" w:hanging="241"/>
      </w:pPr>
    </w:lvl>
    <w:lvl w:ilvl="5">
      <w:start w:val="0"/>
      <w:numFmt w:val="bullet"/>
      <w:lvlText w:val="•"/>
      <w:lvlJc w:val="left"/>
      <w:pPr>
        <w:ind w:left="5270" w:hanging="241"/>
      </w:pPr>
    </w:lvl>
    <w:lvl w:ilvl="6">
      <w:start w:val="0"/>
      <w:numFmt w:val="bullet"/>
      <w:lvlText w:val="•"/>
      <w:lvlJc w:val="left"/>
      <w:pPr>
        <w:ind w:left="6044" w:hanging="241"/>
      </w:pPr>
    </w:lvl>
    <w:lvl w:ilvl="7">
      <w:start w:val="0"/>
      <w:numFmt w:val="bullet"/>
      <w:lvlText w:val="•"/>
      <w:lvlJc w:val="left"/>
      <w:pPr>
        <w:ind w:left="6818" w:hanging="241"/>
      </w:pPr>
    </w:lvl>
    <w:lvl w:ilvl="8">
      <w:start w:val="0"/>
      <w:numFmt w:val="bullet"/>
      <w:lvlText w:val="•"/>
      <w:lvlJc w:val="left"/>
      <w:pPr>
        <w:ind w:left="7592" w:hanging="241"/>
      </w:pPr>
    </w:lvl>
  </w:abstractNum>
  <w:abstractNum w:abstractNumId="5">
    <w:nsid w:val="00000406"/>
    <w:multiLevelType w:val="multilevel"/>
    <w:tmpl w:val="00000889"/>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6">
    <w:nsid w:val="00000407"/>
    <w:multiLevelType w:val="multilevel"/>
    <w:tmpl w:val="0000088A"/>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7">
    <w:nsid w:val="00000408"/>
    <w:multiLevelType w:val="multilevel"/>
    <w:tmpl w:val="0000088B"/>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8">
    <w:nsid w:val="03E224A6"/>
    <w:multiLevelType w:val="hybridMultilevel"/>
    <w:tmpl w:val="58763B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90606"/>
    <w:multiLevelType w:val="hybridMultilevel"/>
    <w:tmpl w:val="A9025F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A4296B"/>
    <w:multiLevelType w:val="hybridMultilevel"/>
    <w:tmpl w:val="8A962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CD1784"/>
    <w:multiLevelType w:val="hybridMultilevel"/>
    <w:tmpl w:val="B4103D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116D45"/>
    <w:multiLevelType w:val="hybridMultilevel"/>
    <w:tmpl w:val="78024AD2"/>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13">
    <w:nsid w:val="2F353054"/>
    <w:multiLevelType w:val="hybridMultilevel"/>
    <w:tmpl w:val="43DA7A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3F2DF8"/>
    <w:multiLevelType w:val="hybridMultilevel"/>
    <w:tmpl w:val="64C074B4"/>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15">
    <w:nsid w:val="4CD55CD6"/>
    <w:multiLevelType w:val="hybridMultilevel"/>
    <w:tmpl w:val="AC5AA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892879"/>
    <w:multiLevelType w:val="hybridMultilevel"/>
    <w:tmpl w:val="E814E3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004A79"/>
    <w:multiLevelType w:val="hybridMultilevel"/>
    <w:tmpl w:val="74009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E45926"/>
    <w:multiLevelType w:val="hybridMultilevel"/>
    <w:tmpl w:val="C1DC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6951BF"/>
    <w:multiLevelType w:val="hybridMultilevel"/>
    <w:tmpl w:val="6B923D0E"/>
    <w:lvl w:ilvl="0">
      <w:start w:val="1"/>
      <w:numFmt w:val="decimal"/>
      <w:lvlText w:val="%1."/>
      <w:lvlJc w:val="left"/>
      <w:pPr>
        <w:ind w:left="360" w:hanging="360"/>
      </w:pPr>
      <w:rPr>
        <w:rFonts w:ascii="Arial" w:hAnsi="Arial"/>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F476D21"/>
    <w:multiLevelType w:val="hybridMultilevel"/>
    <w:tmpl w:val="A71E9E32"/>
    <w:lvl w:ilvl="0">
      <w:start w:val="1"/>
      <w:numFmt w:val="decimal"/>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2D63C2"/>
    <w:multiLevelType w:val="hybridMultilevel"/>
    <w:tmpl w:val="9EA01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11C001D"/>
    <w:multiLevelType w:val="hybridMultilevel"/>
    <w:tmpl w:val="7FFEB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7055101">
    <w:abstractNumId w:val="7"/>
  </w:num>
  <w:num w:numId="2" w16cid:durableId="416251345">
    <w:abstractNumId w:val="6"/>
  </w:num>
  <w:num w:numId="3" w16cid:durableId="1278485494">
    <w:abstractNumId w:val="5"/>
  </w:num>
  <w:num w:numId="4" w16cid:durableId="1776440508">
    <w:abstractNumId w:val="4"/>
  </w:num>
  <w:num w:numId="5" w16cid:durableId="1400057649">
    <w:abstractNumId w:val="3"/>
  </w:num>
  <w:num w:numId="6" w16cid:durableId="1879927993">
    <w:abstractNumId w:val="2"/>
  </w:num>
  <w:num w:numId="7" w16cid:durableId="1132400916">
    <w:abstractNumId w:val="1"/>
  </w:num>
  <w:num w:numId="8" w16cid:durableId="914169543">
    <w:abstractNumId w:val="0"/>
  </w:num>
  <w:num w:numId="9" w16cid:durableId="1537813423">
    <w:abstractNumId w:val="12"/>
  </w:num>
  <w:num w:numId="10" w16cid:durableId="1332290982">
    <w:abstractNumId w:val="14"/>
  </w:num>
  <w:num w:numId="11" w16cid:durableId="1510749374">
    <w:abstractNumId w:val="18"/>
  </w:num>
  <w:num w:numId="12" w16cid:durableId="937254353">
    <w:abstractNumId w:val="20"/>
  </w:num>
  <w:num w:numId="13" w16cid:durableId="2098398439">
    <w:abstractNumId w:val="9"/>
  </w:num>
  <w:num w:numId="14" w16cid:durableId="1296718010">
    <w:abstractNumId w:val="19"/>
  </w:num>
  <w:num w:numId="15" w16cid:durableId="803280207">
    <w:abstractNumId w:val="11"/>
  </w:num>
  <w:num w:numId="16" w16cid:durableId="555897718">
    <w:abstractNumId w:val="10"/>
  </w:num>
  <w:num w:numId="17" w16cid:durableId="1713267848">
    <w:abstractNumId w:val="15"/>
  </w:num>
  <w:num w:numId="18" w16cid:durableId="1232040052">
    <w:abstractNumId w:val="13"/>
  </w:num>
  <w:num w:numId="19" w16cid:durableId="740907206">
    <w:abstractNumId w:val="8"/>
  </w:num>
  <w:num w:numId="20" w16cid:durableId="39862097">
    <w:abstractNumId w:val="17"/>
  </w:num>
  <w:num w:numId="21" w16cid:durableId="31853191">
    <w:abstractNumId w:val="21"/>
  </w:num>
  <w:num w:numId="22" w16cid:durableId="1670870129">
    <w:abstractNumId w:val="16"/>
  </w:num>
  <w:num w:numId="23" w16cid:durableId="84591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66"/>
    <w:rsid w:val="000022D1"/>
    <w:rsid w:val="00002E50"/>
    <w:rsid w:val="000030A9"/>
    <w:rsid w:val="00006075"/>
    <w:rsid w:val="0000696F"/>
    <w:rsid w:val="00007C34"/>
    <w:rsid w:val="00010950"/>
    <w:rsid w:val="00010EC5"/>
    <w:rsid w:val="00011FAB"/>
    <w:rsid w:val="00012B79"/>
    <w:rsid w:val="00012F30"/>
    <w:rsid w:val="00013252"/>
    <w:rsid w:val="00013362"/>
    <w:rsid w:val="000137C3"/>
    <w:rsid w:val="000165BC"/>
    <w:rsid w:val="00016DEF"/>
    <w:rsid w:val="00020BCB"/>
    <w:rsid w:val="000215C2"/>
    <w:rsid w:val="00021A62"/>
    <w:rsid w:val="00021AD7"/>
    <w:rsid w:val="000235F0"/>
    <w:rsid w:val="00024467"/>
    <w:rsid w:val="00024B02"/>
    <w:rsid w:val="00025C15"/>
    <w:rsid w:val="00026482"/>
    <w:rsid w:val="0002775E"/>
    <w:rsid w:val="000320EB"/>
    <w:rsid w:val="00032C60"/>
    <w:rsid w:val="00032E74"/>
    <w:rsid w:val="00032FB6"/>
    <w:rsid w:val="0003450A"/>
    <w:rsid w:val="00035139"/>
    <w:rsid w:val="000358F6"/>
    <w:rsid w:val="00036A5B"/>
    <w:rsid w:val="00037F3A"/>
    <w:rsid w:val="000403FA"/>
    <w:rsid w:val="00040AED"/>
    <w:rsid w:val="00041448"/>
    <w:rsid w:val="00041EB8"/>
    <w:rsid w:val="00044105"/>
    <w:rsid w:val="00046586"/>
    <w:rsid w:val="000469DC"/>
    <w:rsid w:val="00047DDA"/>
    <w:rsid w:val="00051291"/>
    <w:rsid w:val="000512B2"/>
    <w:rsid w:val="00051AF8"/>
    <w:rsid w:val="00051D80"/>
    <w:rsid w:val="00052505"/>
    <w:rsid w:val="000527CB"/>
    <w:rsid w:val="00053F80"/>
    <w:rsid w:val="0005403F"/>
    <w:rsid w:val="00054621"/>
    <w:rsid w:val="000567DF"/>
    <w:rsid w:val="00057930"/>
    <w:rsid w:val="00057A3D"/>
    <w:rsid w:val="00057CE0"/>
    <w:rsid w:val="00057FFA"/>
    <w:rsid w:val="00060688"/>
    <w:rsid w:val="0006100B"/>
    <w:rsid w:val="00062BB5"/>
    <w:rsid w:val="00063DAA"/>
    <w:rsid w:val="0006423B"/>
    <w:rsid w:val="00064339"/>
    <w:rsid w:val="0006529B"/>
    <w:rsid w:val="000653FB"/>
    <w:rsid w:val="00065F66"/>
    <w:rsid w:val="00066DAF"/>
    <w:rsid w:val="00066EB3"/>
    <w:rsid w:val="0006749E"/>
    <w:rsid w:val="000675B2"/>
    <w:rsid w:val="000676D4"/>
    <w:rsid w:val="00071310"/>
    <w:rsid w:val="00072CE1"/>
    <w:rsid w:val="0007363D"/>
    <w:rsid w:val="00074716"/>
    <w:rsid w:val="000751D2"/>
    <w:rsid w:val="00075378"/>
    <w:rsid w:val="000761BC"/>
    <w:rsid w:val="00076BBF"/>
    <w:rsid w:val="00076E44"/>
    <w:rsid w:val="000770EE"/>
    <w:rsid w:val="000772F3"/>
    <w:rsid w:val="00077912"/>
    <w:rsid w:val="0007797D"/>
    <w:rsid w:val="00080EEE"/>
    <w:rsid w:val="00081FC4"/>
    <w:rsid w:val="00082293"/>
    <w:rsid w:val="0008263D"/>
    <w:rsid w:val="0008266E"/>
    <w:rsid w:val="0008347E"/>
    <w:rsid w:val="0008446F"/>
    <w:rsid w:val="00084CE4"/>
    <w:rsid w:val="000864B8"/>
    <w:rsid w:val="00086CB9"/>
    <w:rsid w:val="00087502"/>
    <w:rsid w:val="000909CE"/>
    <w:rsid w:val="000925CC"/>
    <w:rsid w:val="00092776"/>
    <w:rsid w:val="00092EDD"/>
    <w:rsid w:val="00093615"/>
    <w:rsid w:val="00093744"/>
    <w:rsid w:val="00094DF9"/>
    <w:rsid w:val="000957F5"/>
    <w:rsid w:val="000959AF"/>
    <w:rsid w:val="0009774B"/>
    <w:rsid w:val="0009776D"/>
    <w:rsid w:val="000A014F"/>
    <w:rsid w:val="000A1177"/>
    <w:rsid w:val="000A1DCD"/>
    <w:rsid w:val="000A249F"/>
    <w:rsid w:val="000A271D"/>
    <w:rsid w:val="000A2B41"/>
    <w:rsid w:val="000A3163"/>
    <w:rsid w:val="000A35FD"/>
    <w:rsid w:val="000A43BC"/>
    <w:rsid w:val="000A54D4"/>
    <w:rsid w:val="000A567A"/>
    <w:rsid w:val="000A6894"/>
    <w:rsid w:val="000A6DA0"/>
    <w:rsid w:val="000A7FA0"/>
    <w:rsid w:val="000B067C"/>
    <w:rsid w:val="000B0AF3"/>
    <w:rsid w:val="000B16CB"/>
    <w:rsid w:val="000B2589"/>
    <w:rsid w:val="000B2594"/>
    <w:rsid w:val="000B2842"/>
    <w:rsid w:val="000B2E08"/>
    <w:rsid w:val="000B39D2"/>
    <w:rsid w:val="000B47E0"/>
    <w:rsid w:val="000B58F6"/>
    <w:rsid w:val="000B6070"/>
    <w:rsid w:val="000B7895"/>
    <w:rsid w:val="000B7AE8"/>
    <w:rsid w:val="000C0C14"/>
    <w:rsid w:val="000C1308"/>
    <w:rsid w:val="000C1BFC"/>
    <w:rsid w:val="000C1F2F"/>
    <w:rsid w:val="000C39AA"/>
    <w:rsid w:val="000C4439"/>
    <w:rsid w:val="000C4C75"/>
    <w:rsid w:val="000C60AD"/>
    <w:rsid w:val="000C64F6"/>
    <w:rsid w:val="000C7112"/>
    <w:rsid w:val="000C7D09"/>
    <w:rsid w:val="000D0B38"/>
    <w:rsid w:val="000D0EE3"/>
    <w:rsid w:val="000D1AFF"/>
    <w:rsid w:val="000D2255"/>
    <w:rsid w:val="000D4B72"/>
    <w:rsid w:val="000D5C6C"/>
    <w:rsid w:val="000D70B3"/>
    <w:rsid w:val="000E1D3F"/>
    <w:rsid w:val="000E21F0"/>
    <w:rsid w:val="000E2478"/>
    <w:rsid w:val="000E2537"/>
    <w:rsid w:val="000E2EA8"/>
    <w:rsid w:val="000E7086"/>
    <w:rsid w:val="000E7F2C"/>
    <w:rsid w:val="000F0CD3"/>
    <w:rsid w:val="000F341B"/>
    <w:rsid w:val="000F49E6"/>
    <w:rsid w:val="000F5DF9"/>
    <w:rsid w:val="000F6E31"/>
    <w:rsid w:val="000F7209"/>
    <w:rsid w:val="000F7E84"/>
    <w:rsid w:val="00100351"/>
    <w:rsid w:val="00100CEE"/>
    <w:rsid w:val="00100FC4"/>
    <w:rsid w:val="00101229"/>
    <w:rsid w:val="001014ED"/>
    <w:rsid w:val="0010257C"/>
    <w:rsid w:val="00103972"/>
    <w:rsid w:val="001040DC"/>
    <w:rsid w:val="001042F4"/>
    <w:rsid w:val="0010470E"/>
    <w:rsid w:val="00104843"/>
    <w:rsid w:val="00104C5D"/>
    <w:rsid w:val="00105E55"/>
    <w:rsid w:val="001063B3"/>
    <w:rsid w:val="00106A85"/>
    <w:rsid w:val="0010714E"/>
    <w:rsid w:val="00107ED8"/>
    <w:rsid w:val="001129FB"/>
    <w:rsid w:val="00114D2D"/>
    <w:rsid w:val="001169B9"/>
    <w:rsid w:val="001172DF"/>
    <w:rsid w:val="001209DA"/>
    <w:rsid w:val="00121AC8"/>
    <w:rsid w:val="00122E0F"/>
    <w:rsid w:val="00123249"/>
    <w:rsid w:val="00123438"/>
    <w:rsid w:val="001255A7"/>
    <w:rsid w:val="001263AD"/>
    <w:rsid w:val="00126A00"/>
    <w:rsid w:val="001304CF"/>
    <w:rsid w:val="00131339"/>
    <w:rsid w:val="0013376D"/>
    <w:rsid w:val="00133828"/>
    <w:rsid w:val="00133CB5"/>
    <w:rsid w:val="0013485A"/>
    <w:rsid w:val="00134EB7"/>
    <w:rsid w:val="00135298"/>
    <w:rsid w:val="00135EDA"/>
    <w:rsid w:val="001361FE"/>
    <w:rsid w:val="00137914"/>
    <w:rsid w:val="00140110"/>
    <w:rsid w:val="00140767"/>
    <w:rsid w:val="001425D8"/>
    <w:rsid w:val="001429CA"/>
    <w:rsid w:val="00144276"/>
    <w:rsid w:val="00144850"/>
    <w:rsid w:val="00146200"/>
    <w:rsid w:val="001474A7"/>
    <w:rsid w:val="00147B91"/>
    <w:rsid w:val="0015079E"/>
    <w:rsid w:val="00153781"/>
    <w:rsid w:val="00153B40"/>
    <w:rsid w:val="00153C6C"/>
    <w:rsid w:val="0015562D"/>
    <w:rsid w:val="00156703"/>
    <w:rsid w:val="0015673B"/>
    <w:rsid w:val="001577D8"/>
    <w:rsid w:val="0016010D"/>
    <w:rsid w:val="00161039"/>
    <w:rsid w:val="001617E9"/>
    <w:rsid w:val="0016223E"/>
    <w:rsid w:val="00162B28"/>
    <w:rsid w:val="00162F04"/>
    <w:rsid w:val="00163AFC"/>
    <w:rsid w:val="00164298"/>
    <w:rsid w:val="00164DEC"/>
    <w:rsid w:val="0016621B"/>
    <w:rsid w:val="00166E89"/>
    <w:rsid w:val="0016770E"/>
    <w:rsid w:val="00170251"/>
    <w:rsid w:val="00170715"/>
    <w:rsid w:val="00170A13"/>
    <w:rsid w:val="00170EF8"/>
    <w:rsid w:val="00172BB7"/>
    <w:rsid w:val="00174288"/>
    <w:rsid w:val="00175D16"/>
    <w:rsid w:val="00175FF7"/>
    <w:rsid w:val="00176357"/>
    <w:rsid w:val="0017714F"/>
    <w:rsid w:val="0017787F"/>
    <w:rsid w:val="00181EF5"/>
    <w:rsid w:val="00182555"/>
    <w:rsid w:val="00183182"/>
    <w:rsid w:val="00183FE7"/>
    <w:rsid w:val="00185590"/>
    <w:rsid w:val="00186E8F"/>
    <w:rsid w:val="00187B10"/>
    <w:rsid w:val="00187DC2"/>
    <w:rsid w:val="0019098A"/>
    <w:rsid w:val="0019280E"/>
    <w:rsid w:val="00192BEC"/>
    <w:rsid w:val="001930A3"/>
    <w:rsid w:val="001932DD"/>
    <w:rsid w:val="00193BA8"/>
    <w:rsid w:val="0019539E"/>
    <w:rsid w:val="0019640D"/>
    <w:rsid w:val="00196E4A"/>
    <w:rsid w:val="00197092"/>
    <w:rsid w:val="0019765F"/>
    <w:rsid w:val="001A1D5F"/>
    <w:rsid w:val="001A1DEB"/>
    <w:rsid w:val="001A1FE5"/>
    <w:rsid w:val="001A21AE"/>
    <w:rsid w:val="001A2547"/>
    <w:rsid w:val="001A315C"/>
    <w:rsid w:val="001A45F5"/>
    <w:rsid w:val="001A4E91"/>
    <w:rsid w:val="001A519E"/>
    <w:rsid w:val="001A5422"/>
    <w:rsid w:val="001A5DCD"/>
    <w:rsid w:val="001A6C62"/>
    <w:rsid w:val="001B0A0F"/>
    <w:rsid w:val="001B19ED"/>
    <w:rsid w:val="001B1D36"/>
    <w:rsid w:val="001B247B"/>
    <w:rsid w:val="001B247D"/>
    <w:rsid w:val="001B4BFB"/>
    <w:rsid w:val="001B51DA"/>
    <w:rsid w:val="001C13FD"/>
    <w:rsid w:val="001C1F44"/>
    <w:rsid w:val="001C297B"/>
    <w:rsid w:val="001C2C4C"/>
    <w:rsid w:val="001C2C68"/>
    <w:rsid w:val="001C4022"/>
    <w:rsid w:val="001C4BCD"/>
    <w:rsid w:val="001C4C81"/>
    <w:rsid w:val="001C553C"/>
    <w:rsid w:val="001C58A7"/>
    <w:rsid w:val="001C6D94"/>
    <w:rsid w:val="001C7300"/>
    <w:rsid w:val="001C73A8"/>
    <w:rsid w:val="001D1CB9"/>
    <w:rsid w:val="001D1ECA"/>
    <w:rsid w:val="001D28F7"/>
    <w:rsid w:val="001D29D0"/>
    <w:rsid w:val="001D3199"/>
    <w:rsid w:val="001D4028"/>
    <w:rsid w:val="001D40B1"/>
    <w:rsid w:val="001D4BF6"/>
    <w:rsid w:val="001D5485"/>
    <w:rsid w:val="001D6AA1"/>
    <w:rsid w:val="001D6BEF"/>
    <w:rsid w:val="001E1EDD"/>
    <w:rsid w:val="001E2B85"/>
    <w:rsid w:val="001E33FE"/>
    <w:rsid w:val="001E5972"/>
    <w:rsid w:val="001E5A20"/>
    <w:rsid w:val="001E6A74"/>
    <w:rsid w:val="001E7EE2"/>
    <w:rsid w:val="001F0BC0"/>
    <w:rsid w:val="001F1AF1"/>
    <w:rsid w:val="001F1E06"/>
    <w:rsid w:val="001F2CFB"/>
    <w:rsid w:val="001F3843"/>
    <w:rsid w:val="001F3F57"/>
    <w:rsid w:val="001F483D"/>
    <w:rsid w:val="001F4AF8"/>
    <w:rsid w:val="001F521E"/>
    <w:rsid w:val="001F60FE"/>
    <w:rsid w:val="001F6D94"/>
    <w:rsid w:val="001F6F59"/>
    <w:rsid w:val="001F7C4B"/>
    <w:rsid w:val="00200216"/>
    <w:rsid w:val="002002C8"/>
    <w:rsid w:val="002016CA"/>
    <w:rsid w:val="00201D79"/>
    <w:rsid w:val="0020312D"/>
    <w:rsid w:val="0020411D"/>
    <w:rsid w:val="002043CE"/>
    <w:rsid w:val="00204B18"/>
    <w:rsid w:val="00204F17"/>
    <w:rsid w:val="0020528A"/>
    <w:rsid w:val="002057CA"/>
    <w:rsid w:val="00206432"/>
    <w:rsid w:val="002065A5"/>
    <w:rsid w:val="00206A50"/>
    <w:rsid w:val="0020702F"/>
    <w:rsid w:val="002106C7"/>
    <w:rsid w:val="00210C09"/>
    <w:rsid w:val="00210D74"/>
    <w:rsid w:val="002113AB"/>
    <w:rsid w:val="00211400"/>
    <w:rsid w:val="002120EB"/>
    <w:rsid w:val="0021325F"/>
    <w:rsid w:val="002161B3"/>
    <w:rsid w:val="002169D0"/>
    <w:rsid w:val="00217A1F"/>
    <w:rsid w:val="00217B70"/>
    <w:rsid w:val="002201BE"/>
    <w:rsid w:val="00220534"/>
    <w:rsid w:val="00221E4D"/>
    <w:rsid w:val="002221F2"/>
    <w:rsid w:val="002225AA"/>
    <w:rsid w:val="002229EE"/>
    <w:rsid w:val="00224B03"/>
    <w:rsid w:val="00225AD3"/>
    <w:rsid w:val="00227013"/>
    <w:rsid w:val="00230CD0"/>
    <w:rsid w:val="002314E5"/>
    <w:rsid w:val="00231ADE"/>
    <w:rsid w:val="00231C41"/>
    <w:rsid w:val="002323FE"/>
    <w:rsid w:val="00232694"/>
    <w:rsid w:val="0023289B"/>
    <w:rsid w:val="00232992"/>
    <w:rsid w:val="002332E7"/>
    <w:rsid w:val="002339FF"/>
    <w:rsid w:val="00233F75"/>
    <w:rsid w:val="00235468"/>
    <w:rsid w:val="00235B25"/>
    <w:rsid w:val="00237132"/>
    <w:rsid w:val="00241614"/>
    <w:rsid w:val="0024199E"/>
    <w:rsid w:val="00242C24"/>
    <w:rsid w:val="00243E51"/>
    <w:rsid w:val="002449E5"/>
    <w:rsid w:val="00244D20"/>
    <w:rsid w:val="0024577F"/>
    <w:rsid w:val="002466BA"/>
    <w:rsid w:val="002469F9"/>
    <w:rsid w:val="0024715F"/>
    <w:rsid w:val="00251328"/>
    <w:rsid w:val="00251617"/>
    <w:rsid w:val="00251E32"/>
    <w:rsid w:val="002523AF"/>
    <w:rsid w:val="00252592"/>
    <w:rsid w:val="00253265"/>
    <w:rsid w:val="002534D4"/>
    <w:rsid w:val="00254208"/>
    <w:rsid w:val="002545E4"/>
    <w:rsid w:val="0025490B"/>
    <w:rsid w:val="00255D12"/>
    <w:rsid w:val="00262727"/>
    <w:rsid w:val="00264FEF"/>
    <w:rsid w:val="002661F9"/>
    <w:rsid w:val="0026681B"/>
    <w:rsid w:val="00266A00"/>
    <w:rsid w:val="00267774"/>
    <w:rsid w:val="002701D1"/>
    <w:rsid w:val="0027106D"/>
    <w:rsid w:val="00273222"/>
    <w:rsid w:val="0027377B"/>
    <w:rsid w:val="00273A1B"/>
    <w:rsid w:val="002742D2"/>
    <w:rsid w:val="00274DA8"/>
    <w:rsid w:val="00275622"/>
    <w:rsid w:val="00275AA5"/>
    <w:rsid w:val="00276FCF"/>
    <w:rsid w:val="0027738A"/>
    <w:rsid w:val="00277A2E"/>
    <w:rsid w:val="00277B23"/>
    <w:rsid w:val="00277F23"/>
    <w:rsid w:val="00281394"/>
    <w:rsid w:val="0028423B"/>
    <w:rsid w:val="002843CE"/>
    <w:rsid w:val="0028583D"/>
    <w:rsid w:val="00285C11"/>
    <w:rsid w:val="002872BC"/>
    <w:rsid w:val="002906BD"/>
    <w:rsid w:val="00293695"/>
    <w:rsid w:val="002937B8"/>
    <w:rsid w:val="00294350"/>
    <w:rsid w:val="0029475F"/>
    <w:rsid w:val="00295350"/>
    <w:rsid w:val="00295456"/>
    <w:rsid w:val="00296ED7"/>
    <w:rsid w:val="00297247"/>
    <w:rsid w:val="002A0782"/>
    <w:rsid w:val="002A0D9F"/>
    <w:rsid w:val="002A1BC5"/>
    <w:rsid w:val="002A276A"/>
    <w:rsid w:val="002A37B2"/>
    <w:rsid w:val="002A3A57"/>
    <w:rsid w:val="002A6F07"/>
    <w:rsid w:val="002A71F7"/>
    <w:rsid w:val="002A78AE"/>
    <w:rsid w:val="002A7931"/>
    <w:rsid w:val="002B049C"/>
    <w:rsid w:val="002B0903"/>
    <w:rsid w:val="002B0A16"/>
    <w:rsid w:val="002B0CF4"/>
    <w:rsid w:val="002B14B1"/>
    <w:rsid w:val="002B23D0"/>
    <w:rsid w:val="002B27F3"/>
    <w:rsid w:val="002B3221"/>
    <w:rsid w:val="002B33AE"/>
    <w:rsid w:val="002B3E3D"/>
    <w:rsid w:val="002B4910"/>
    <w:rsid w:val="002B49F2"/>
    <w:rsid w:val="002B61BF"/>
    <w:rsid w:val="002B63B2"/>
    <w:rsid w:val="002B6482"/>
    <w:rsid w:val="002B6B51"/>
    <w:rsid w:val="002B6C9E"/>
    <w:rsid w:val="002B6D15"/>
    <w:rsid w:val="002C01BC"/>
    <w:rsid w:val="002C0D8F"/>
    <w:rsid w:val="002C0E7B"/>
    <w:rsid w:val="002C237A"/>
    <w:rsid w:val="002C2932"/>
    <w:rsid w:val="002C3182"/>
    <w:rsid w:val="002C334F"/>
    <w:rsid w:val="002C5653"/>
    <w:rsid w:val="002C5A60"/>
    <w:rsid w:val="002C5A88"/>
    <w:rsid w:val="002C5C5E"/>
    <w:rsid w:val="002C659A"/>
    <w:rsid w:val="002D0857"/>
    <w:rsid w:val="002D0FAC"/>
    <w:rsid w:val="002D1B71"/>
    <w:rsid w:val="002D2715"/>
    <w:rsid w:val="002D2C37"/>
    <w:rsid w:val="002D2DDE"/>
    <w:rsid w:val="002D2F72"/>
    <w:rsid w:val="002D3366"/>
    <w:rsid w:val="002D3C5A"/>
    <w:rsid w:val="002D4C91"/>
    <w:rsid w:val="002D6D55"/>
    <w:rsid w:val="002D7CDE"/>
    <w:rsid w:val="002D7E90"/>
    <w:rsid w:val="002E084F"/>
    <w:rsid w:val="002E0E8D"/>
    <w:rsid w:val="002E2492"/>
    <w:rsid w:val="002E3178"/>
    <w:rsid w:val="002E374B"/>
    <w:rsid w:val="002E386E"/>
    <w:rsid w:val="002E4C07"/>
    <w:rsid w:val="002E4D20"/>
    <w:rsid w:val="002E4E0A"/>
    <w:rsid w:val="002E6ED4"/>
    <w:rsid w:val="002F0438"/>
    <w:rsid w:val="002F0E2A"/>
    <w:rsid w:val="002F13CC"/>
    <w:rsid w:val="002F27E1"/>
    <w:rsid w:val="002F29D9"/>
    <w:rsid w:val="002F2CBA"/>
    <w:rsid w:val="002F34E4"/>
    <w:rsid w:val="002F47C1"/>
    <w:rsid w:val="002F4C90"/>
    <w:rsid w:val="002F5AEA"/>
    <w:rsid w:val="002F64CE"/>
    <w:rsid w:val="002F6720"/>
    <w:rsid w:val="002F76FE"/>
    <w:rsid w:val="002F793C"/>
    <w:rsid w:val="002F7CAC"/>
    <w:rsid w:val="00300176"/>
    <w:rsid w:val="0030189C"/>
    <w:rsid w:val="003018AF"/>
    <w:rsid w:val="00302D51"/>
    <w:rsid w:val="003035AE"/>
    <w:rsid w:val="003037B2"/>
    <w:rsid w:val="0030414E"/>
    <w:rsid w:val="00307B5F"/>
    <w:rsid w:val="003104E8"/>
    <w:rsid w:val="003112ED"/>
    <w:rsid w:val="003151C5"/>
    <w:rsid w:val="003168F2"/>
    <w:rsid w:val="0031702F"/>
    <w:rsid w:val="00317D76"/>
    <w:rsid w:val="003206EF"/>
    <w:rsid w:val="003216B0"/>
    <w:rsid w:val="00321D3D"/>
    <w:rsid w:val="00323195"/>
    <w:rsid w:val="0032365D"/>
    <w:rsid w:val="003239E8"/>
    <w:rsid w:val="00324A92"/>
    <w:rsid w:val="00324FAF"/>
    <w:rsid w:val="00325D55"/>
    <w:rsid w:val="00325D65"/>
    <w:rsid w:val="00326136"/>
    <w:rsid w:val="003269BA"/>
    <w:rsid w:val="00326DC0"/>
    <w:rsid w:val="0032717C"/>
    <w:rsid w:val="0033040D"/>
    <w:rsid w:val="003309BA"/>
    <w:rsid w:val="00330B75"/>
    <w:rsid w:val="00330E13"/>
    <w:rsid w:val="003310B6"/>
    <w:rsid w:val="00331857"/>
    <w:rsid w:val="00331A5A"/>
    <w:rsid w:val="00332ABF"/>
    <w:rsid w:val="003367DB"/>
    <w:rsid w:val="003373ED"/>
    <w:rsid w:val="003400B7"/>
    <w:rsid w:val="00340697"/>
    <w:rsid w:val="00340A9C"/>
    <w:rsid w:val="003425F1"/>
    <w:rsid w:val="00343BD7"/>
    <w:rsid w:val="00344A18"/>
    <w:rsid w:val="00345270"/>
    <w:rsid w:val="00345826"/>
    <w:rsid w:val="00345952"/>
    <w:rsid w:val="0034615D"/>
    <w:rsid w:val="00347B4B"/>
    <w:rsid w:val="003502AE"/>
    <w:rsid w:val="003504D7"/>
    <w:rsid w:val="0035141F"/>
    <w:rsid w:val="00353A8B"/>
    <w:rsid w:val="003556E9"/>
    <w:rsid w:val="003559C2"/>
    <w:rsid w:val="00356FF9"/>
    <w:rsid w:val="00357490"/>
    <w:rsid w:val="00360994"/>
    <w:rsid w:val="003613D8"/>
    <w:rsid w:val="0036142D"/>
    <w:rsid w:val="00361FA1"/>
    <w:rsid w:val="00362636"/>
    <w:rsid w:val="00362A50"/>
    <w:rsid w:val="0036302C"/>
    <w:rsid w:val="00365E03"/>
    <w:rsid w:val="00365FB9"/>
    <w:rsid w:val="003702F7"/>
    <w:rsid w:val="0037067A"/>
    <w:rsid w:val="00371991"/>
    <w:rsid w:val="003725B1"/>
    <w:rsid w:val="00372E78"/>
    <w:rsid w:val="00373DEA"/>
    <w:rsid w:val="00373EA0"/>
    <w:rsid w:val="00374665"/>
    <w:rsid w:val="00375D8A"/>
    <w:rsid w:val="003760C5"/>
    <w:rsid w:val="0037689D"/>
    <w:rsid w:val="00376EA8"/>
    <w:rsid w:val="0037743C"/>
    <w:rsid w:val="0037757F"/>
    <w:rsid w:val="00380AE3"/>
    <w:rsid w:val="00381114"/>
    <w:rsid w:val="0038142D"/>
    <w:rsid w:val="00381B18"/>
    <w:rsid w:val="00381ED4"/>
    <w:rsid w:val="00382448"/>
    <w:rsid w:val="00382932"/>
    <w:rsid w:val="003832BB"/>
    <w:rsid w:val="0038338E"/>
    <w:rsid w:val="00383FA4"/>
    <w:rsid w:val="00384F0B"/>
    <w:rsid w:val="00385301"/>
    <w:rsid w:val="003853CD"/>
    <w:rsid w:val="00385902"/>
    <w:rsid w:val="00385F5A"/>
    <w:rsid w:val="00386345"/>
    <w:rsid w:val="0038750D"/>
    <w:rsid w:val="00387666"/>
    <w:rsid w:val="0039287C"/>
    <w:rsid w:val="003928DB"/>
    <w:rsid w:val="00393175"/>
    <w:rsid w:val="00394E8D"/>
    <w:rsid w:val="00395097"/>
    <w:rsid w:val="0039564A"/>
    <w:rsid w:val="00396788"/>
    <w:rsid w:val="003969D1"/>
    <w:rsid w:val="0039724B"/>
    <w:rsid w:val="003979F6"/>
    <w:rsid w:val="00397F73"/>
    <w:rsid w:val="003A0560"/>
    <w:rsid w:val="003A1A03"/>
    <w:rsid w:val="003A1C90"/>
    <w:rsid w:val="003A299F"/>
    <w:rsid w:val="003A3125"/>
    <w:rsid w:val="003A36CF"/>
    <w:rsid w:val="003A4566"/>
    <w:rsid w:val="003A4EBB"/>
    <w:rsid w:val="003A50D1"/>
    <w:rsid w:val="003A534F"/>
    <w:rsid w:val="003B02D8"/>
    <w:rsid w:val="003B1D55"/>
    <w:rsid w:val="003B3B74"/>
    <w:rsid w:val="003B3B77"/>
    <w:rsid w:val="003B4F7E"/>
    <w:rsid w:val="003B540B"/>
    <w:rsid w:val="003B5C22"/>
    <w:rsid w:val="003B643F"/>
    <w:rsid w:val="003B76AE"/>
    <w:rsid w:val="003C00AF"/>
    <w:rsid w:val="003C0867"/>
    <w:rsid w:val="003C270A"/>
    <w:rsid w:val="003C3C94"/>
    <w:rsid w:val="003C40F1"/>
    <w:rsid w:val="003C4911"/>
    <w:rsid w:val="003C58CE"/>
    <w:rsid w:val="003C5EE4"/>
    <w:rsid w:val="003C6214"/>
    <w:rsid w:val="003C6739"/>
    <w:rsid w:val="003C74C9"/>
    <w:rsid w:val="003C7A38"/>
    <w:rsid w:val="003D034D"/>
    <w:rsid w:val="003D0983"/>
    <w:rsid w:val="003D0FAC"/>
    <w:rsid w:val="003D213B"/>
    <w:rsid w:val="003D2D40"/>
    <w:rsid w:val="003D5EE2"/>
    <w:rsid w:val="003D71A2"/>
    <w:rsid w:val="003E0092"/>
    <w:rsid w:val="003E12E5"/>
    <w:rsid w:val="003E1EAF"/>
    <w:rsid w:val="003E21AE"/>
    <w:rsid w:val="003E30B0"/>
    <w:rsid w:val="003E32CE"/>
    <w:rsid w:val="003E3D29"/>
    <w:rsid w:val="003E4846"/>
    <w:rsid w:val="003E52AD"/>
    <w:rsid w:val="003E7B27"/>
    <w:rsid w:val="003F03D9"/>
    <w:rsid w:val="003F0550"/>
    <w:rsid w:val="003F11B0"/>
    <w:rsid w:val="003F171F"/>
    <w:rsid w:val="003F323D"/>
    <w:rsid w:val="003F3400"/>
    <w:rsid w:val="003F574F"/>
    <w:rsid w:val="003F6362"/>
    <w:rsid w:val="003F6E1F"/>
    <w:rsid w:val="00400E35"/>
    <w:rsid w:val="00401650"/>
    <w:rsid w:val="004018F0"/>
    <w:rsid w:val="004051B9"/>
    <w:rsid w:val="004051C1"/>
    <w:rsid w:val="0040540C"/>
    <w:rsid w:val="004063DB"/>
    <w:rsid w:val="00407357"/>
    <w:rsid w:val="0041002E"/>
    <w:rsid w:val="00411945"/>
    <w:rsid w:val="0041389B"/>
    <w:rsid w:val="00414368"/>
    <w:rsid w:val="0041458F"/>
    <w:rsid w:val="0041620E"/>
    <w:rsid w:val="0041685F"/>
    <w:rsid w:val="00417EBB"/>
    <w:rsid w:val="00417F36"/>
    <w:rsid w:val="0042180A"/>
    <w:rsid w:val="0042227E"/>
    <w:rsid w:val="00423D57"/>
    <w:rsid w:val="00424406"/>
    <w:rsid w:val="0042611F"/>
    <w:rsid w:val="004265BD"/>
    <w:rsid w:val="00426988"/>
    <w:rsid w:val="00430C09"/>
    <w:rsid w:val="00431161"/>
    <w:rsid w:val="00432EE4"/>
    <w:rsid w:val="004338AF"/>
    <w:rsid w:val="00433F3C"/>
    <w:rsid w:val="0043535C"/>
    <w:rsid w:val="00437658"/>
    <w:rsid w:val="004410AF"/>
    <w:rsid w:val="004426B8"/>
    <w:rsid w:val="00442BAB"/>
    <w:rsid w:val="00443139"/>
    <w:rsid w:val="0044385B"/>
    <w:rsid w:val="004457EF"/>
    <w:rsid w:val="00445A47"/>
    <w:rsid w:val="00447199"/>
    <w:rsid w:val="00450A6E"/>
    <w:rsid w:val="0045474D"/>
    <w:rsid w:val="00456244"/>
    <w:rsid w:val="004612BA"/>
    <w:rsid w:val="00462927"/>
    <w:rsid w:val="00462999"/>
    <w:rsid w:val="00462E17"/>
    <w:rsid w:val="00463564"/>
    <w:rsid w:val="004636C3"/>
    <w:rsid w:val="004638D9"/>
    <w:rsid w:val="00464314"/>
    <w:rsid w:val="00464F59"/>
    <w:rsid w:val="00466931"/>
    <w:rsid w:val="00467215"/>
    <w:rsid w:val="00467478"/>
    <w:rsid w:val="00467D33"/>
    <w:rsid w:val="00467E2C"/>
    <w:rsid w:val="004709B4"/>
    <w:rsid w:val="00471428"/>
    <w:rsid w:val="004718A0"/>
    <w:rsid w:val="00472036"/>
    <w:rsid w:val="00472ACC"/>
    <w:rsid w:val="00473219"/>
    <w:rsid w:val="0047444F"/>
    <w:rsid w:val="004752AD"/>
    <w:rsid w:val="00475BEA"/>
    <w:rsid w:val="0047699E"/>
    <w:rsid w:val="00481C06"/>
    <w:rsid w:val="00481DEA"/>
    <w:rsid w:val="00482119"/>
    <w:rsid w:val="0048265B"/>
    <w:rsid w:val="00483F7A"/>
    <w:rsid w:val="00485740"/>
    <w:rsid w:val="00487A68"/>
    <w:rsid w:val="00487FDE"/>
    <w:rsid w:val="00490F98"/>
    <w:rsid w:val="00491FDB"/>
    <w:rsid w:val="00492475"/>
    <w:rsid w:val="0049347B"/>
    <w:rsid w:val="0049440F"/>
    <w:rsid w:val="0049505E"/>
    <w:rsid w:val="0049699C"/>
    <w:rsid w:val="00497A62"/>
    <w:rsid w:val="004A1D12"/>
    <w:rsid w:val="004A1E81"/>
    <w:rsid w:val="004A26A2"/>
    <w:rsid w:val="004A2AE5"/>
    <w:rsid w:val="004A3C19"/>
    <w:rsid w:val="004A4246"/>
    <w:rsid w:val="004A4674"/>
    <w:rsid w:val="004A5FE9"/>
    <w:rsid w:val="004A6629"/>
    <w:rsid w:val="004A7520"/>
    <w:rsid w:val="004A7EBB"/>
    <w:rsid w:val="004B040B"/>
    <w:rsid w:val="004B0D56"/>
    <w:rsid w:val="004B0E5B"/>
    <w:rsid w:val="004B2E00"/>
    <w:rsid w:val="004B30D8"/>
    <w:rsid w:val="004B34ED"/>
    <w:rsid w:val="004B3756"/>
    <w:rsid w:val="004B4245"/>
    <w:rsid w:val="004B441B"/>
    <w:rsid w:val="004B6344"/>
    <w:rsid w:val="004B7665"/>
    <w:rsid w:val="004C031C"/>
    <w:rsid w:val="004C04FE"/>
    <w:rsid w:val="004C06CC"/>
    <w:rsid w:val="004C0A12"/>
    <w:rsid w:val="004C0E35"/>
    <w:rsid w:val="004C22A6"/>
    <w:rsid w:val="004C3621"/>
    <w:rsid w:val="004C5216"/>
    <w:rsid w:val="004C52C9"/>
    <w:rsid w:val="004C582C"/>
    <w:rsid w:val="004C6786"/>
    <w:rsid w:val="004C683E"/>
    <w:rsid w:val="004C6CF4"/>
    <w:rsid w:val="004C6D39"/>
    <w:rsid w:val="004C7994"/>
    <w:rsid w:val="004D0BB4"/>
    <w:rsid w:val="004D1447"/>
    <w:rsid w:val="004D2C23"/>
    <w:rsid w:val="004D3310"/>
    <w:rsid w:val="004D3A87"/>
    <w:rsid w:val="004D4816"/>
    <w:rsid w:val="004D558F"/>
    <w:rsid w:val="004D5835"/>
    <w:rsid w:val="004D7C9F"/>
    <w:rsid w:val="004D7E08"/>
    <w:rsid w:val="004E01D5"/>
    <w:rsid w:val="004E0381"/>
    <w:rsid w:val="004E0FC0"/>
    <w:rsid w:val="004E11C4"/>
    <w:rsid w:val="004E1C25"/>
    <w:rsid w:val="004E25CC"/>
    <w:rsid w:val="004E2D3C"/>
    <w:rsid w:val="004E38AA"/>
    <w:rsid w:val="004E3E11"/>
    <w:rsid w:val="004E5286"/>
    <w:rsid w:val="004E5C95"/>
    <w:rsid w:val="004E6142"/>
    <w:rsid w:val="004E64DF"/>
    <w:rsid w:val="004E79D7"/>
    <w:rsid w:val="004E7CEB"/>
    <w:rsid w:val="004E7E17"/>
    <w:rsid w:val="004F0AE1"/>
    <w:rsid w:val="004F0E9A"/>
    <w:rsid w:val="004F16F8"/>
    <w:rsid w:val="004F1A5B"/>
    <w:rsid w:val="004F2DB6"/>
    <w:rsid w:val="004F2F4F"/>
    <w:rsid w:val="004F4294"/>
    <w:rsid w:val="004F48B6"/>
    <w:rsid w:val="004F57A9"/>
    <w:rsid w:val="004F72D2"/>
    <w:rsid w:val="0050030F"/>
    <w:rsid w:val="00501F7C"/>
    <w:rsid w:val="00502328"/>
    <w:rsid w:val="00502DFE"/>
    <w:rsid w:val="00503185"/>
    <w:rsid w:val="00503438"/>
    <w:rsid w:val="00503BC1"/>
    <w:rsid w:val="00503F59"/>
    <w:rsid w:val="00507C46"/>
    <w:rsid w:val="00511236"/>
    <w:rsid w:val="00512994"/>
    <w:rsid w:val="00512D7A"/>
    <w:rsid w:val="00512E4B"/>
    <w:rsid w:val="00512ED4"/>
    <w:rsid w:val="00516303"/>
    <w:rsid w:val="00516808"/>
    <w:rsid w:val="00520469"/>
    <w:rsid w:val="00520FF8"/>
    <w:rsid w:val="005212D5"/>
    <w:rsid w:val="00521580"/>
    <w:rsid w:val="00521D80"/>
    <w:rsid w:val="0052277A"/>
    <w:rsid w:val="005229BF"/>
    <w:rsid w:val="0052548D"/>
    <w:rsid w:val="00526CF0"/>
    <w:rsid w:val="00527806"/>
    <w:rsid w:val="00530193"/>
    <w:rsid w:val="005302AB"/>
    <w:rsid w:val="005306AA"/>
    <w:rsid w:val="00530F1B"/>
    <w:rsid w:val="00531118"/>
    <w:rsid w:val="00532A72"/>
    <w:rsid w:val="00533C5B"/>
    <w:rsid w:val="005340A2"/>
    <w:rsid w:val="0053717C"/>
    <w:rsid w:val="0053749B"/>
    <w:rsid w:val="005401AC"/>
    <w:rsid w:val="005404B6"/>
    <w:rsid w:val="0054090F"/>
    <w:rsid w:val="005433BD"/>
    <w:rsid w:val="005434D8"/>
    <w:rsid w:val="00544177"/>
    <w:rsid w:val="005448E4"/>
    <w:rsid w:val="00544FE3"/>
    <w:rsid w:val="00545076"/>
    <w:rsid w:val="00545ADC"/>
    <w:rsid w:val="00546243"/>
    <w:rsid w:val="005462A5"/>
    <w:rsid w:val="0054677D"/>
    <w:rsid w:val="00546D0C"/>
    <w:rsid w:val="0055051F"/>
    <w:rsid w:val="00553D38"/>
    <w:rsid w:val="0055476E"/>
    <w:rsid w:val="005548D7"/>
    <w:rsid w:val="00555351"/>
    <w:rsid w:val="00556CC4"/>
    <w:rsid w:val="00557074"/>
    <w:rsid w:val="005628AA"/>
    <w:rsid w:val="0056330A"/>
    <w:rsid w:val="0056412E"/>
    <w:rsid w:val="00565289"/>
    <w:rsid w:val="00567F15"/>
    <w:rsid w:val="00567F3B"/>
    <w:rsid w:val="00572657"/>
    <w:rsid w:val="00573114"/>
    <w:rsid w:val="005731C3"/>
    <w:rsid w:val="00573650"/>
    <w:rsid w:val="00573C9E"/>
    <w:rsid w:val="005741E9"/>
    <w:rsid w:val="00574389"/>
    <w:rsid w:val="0057466B"/>
    <w:rsid w:val="00575090"/>
    <w:rsid w:val="005760B7"/>
    <w:rsid w:val="005761FD"/>
    <w:rsid w:val="00577790"/>
    <w:rsid w:val="00577922"/>
    <w:rsid w:val="0058058F"/>
    <w:rsid w:val="00581110"/>
    <w:rsid w:val="005820DF"/>
    <w:rsid w:val="0058276B"/>
    <w:rsid w:val="00582F97"/>
    <w:rsid w:val="005843AA"/>
    <w:rsid w:val="00584D40"/>
    <w:rsid w:val="005864A0"/>
    <w:rsid w:val="00586A7A"/>
    <w:rsid w:val="00587394"/>
    <w:rsid w:val="00587F94"/>
    <w:rsid w:val="00590061"/>
    <w:rsid w:val="00590481"/>
    <w:rsid w:val="00590A08"/>
    <w:rsid w:val="00590BA2"/>
    <w:rsid w:val="00591396"/>
    <w:rsid w:val="00591811"/>
    <w:rsid w:val="0059276A"/>
    <w:rsid w:val="00592A41"/>
    <w:rsid w:val="005930C0"/>
    <w:rsid w:val="005931CE"/>
    <w:rsid w:val="005935AE"/>
    <w:rsid w:val="00593CFE"/>
    <w:rsid w:val="00595A44"/>
    <w:rsid w:val="00595D0E"/>
    <w:rsid w:val="00596197"/>
    <w:rsid w:val="00597001"/>
    <w:rsid w:val="00597A78"/>
    <w:rsid w:val="005A1B1C"/>
    <w:rsid w:val="005A2780"/>
    <w:rsid w:val="005A2ED8"/>
    <w:rsid w:val="005A3604"/>
    <w:rsid w:val="005A4096"/>
    <w:rsid w:val="005A441F"/>
    <w:rsid w:val="005A4F8A"/>
    <w:rsid w:val="005A5B87"/>
    <w:rsid w:val="005A63D8"/>
    <w:rsid w:val="005A7327"/>
    <w:rsid w:val="005A7EC3"/>
    <w:rsid w:val="005B0289"/>
    <w:rsid w:val="005B063A"/>
    <w:rsid w:val="005B0984"/>
    <w:rsid w:val="005B1F2D"/>
    <w:rsid w:val="005B2149"/>
    <w:rsid w:val="005B2E8E"/>
    <w:rsid w:val="005B34BC"/>
    <w:rsid w:val="005B36C4"/>
    <w:rsid w:val="005B385A"/>
    <w:rsid w:val="005B4824"/>
    <w:rsid w:val="005B5BCA"/>
    <w:rsid w:val="005B7BEC"/>
    <w:rsid w:val="005C1E38"/>
    <w:rsid w:val="005C2799"/>
    <w:rsid w:val="005C2C31"/>
    <w:rsid w:val="005C3311"/>
    <w:rsid w:val="005C4558"/>
    <w:rsid w:val="005D0721"/>
    <w:rsid w:val="005D0B38"/>
    <w:rsid w:val="005D1223"/>
    <w:rsid w:val="005D1BE7"/>
    <w:rsid w:val="005D2461"/>
    <w:rsid w:val="005D305A"/>
    <w:rsid w:val="005D51B6"/>
    <w:rsid w:val="005D64F8"/>
    <w:rsid w:val="005D73DC"/>
    <w:rsid w:val="005E09DE"/>
    <w:rsid w:val="005E09FC"/>
    <w:rsid w:val="005E1989"/>
    <w:rsid w:val="005E235E"/>
    <w:rsid w:val="005E285B"/>
    <w:rsid w:val="005E315A"/>
    <w:rsid w:val="005E4004"/>
    <w:rsid w:val="005E44AB"/>
    <w:rsid w:val="005E4FB3"/>
    <w:rsid w:val="005E58A6"/>
    <w:rsid w:val="005E5AE6"/>
    <w:rsid w:val="005E5F3C"/>
    <w:rsid w:val="005E7B07"/>
    <w:rsid w:val="005F019E"/>
    <w:rsid w:val="005F0FC6"/>
    <w:rsid w:val="005F0FE6"/>
    <w:rsid w:val="005F1215"/>
    <w:rsid w:val="005F1F0F"/>
    <w:rsid w:val="005F2BE4"/>
    <w:rsid w:val="005F307C"/>
    <w:rsid w:val="005F68E6"/>
    <w:rsid w:val="005F6F97"/>
    <w:rsid w:val="005F719D"/>
    <w:rsid w:val="005F743E"/>
    <w:rsid w:val="005F7DFA"/>
    <w:rsid w:val="00600B8D"/>
    <w:rsid w:val="00601B94"/>
    <w:rsid w:val="00604C0D"/>
    <w:rsid w:val="00604C63"/>
    <w:rsid w:val="00604DEC"/>
    <w:rsid w:val="00605CC7"/>
    <w:rsid w:val="00605DDD"/>
    <w:rsid w:val="006066B9"/>
    <w:rsid w:val="00606922"/>
    <w:rsid w:val="0060726E"/>
    <w:rsid w:val="00610C27"/>
    <w:rsid w:val="006125C9"/>
    <w:rsid w:val="006129A7"/>
    <w:rsid w:val="00613060"/>
    <w:rsid w:val="00614ED6"/>
    <w:rsid w:val="006161F3"/>
    <w:rsid w:val="00616A48"/>
    <w:rsid w:val="00616BBC"/>
    <w:rsid w:val="00617C55"/>
    <w:rsid w:val="00620090"/>
    <w:rsid w:val="0062054F"/>
    <w:rsid w:val="0062196C"/>
    <w:rsid w:val="00622DF6"/>
    <w:rsid w:val="00623450"/>
    <w:rsid w:val="00624054"/>
    <w:rsid w:val="00625409"/>
    <w:rsid w:val="00625AE7"/>
    <w:rsid w:val="0062616D"/>
    <w:rsid w:val="00631061"/>
    <w:rsid w:val="00631194"/>
    <w:rsid w:val="0063160B"/>
    <w:rsid w:val="0063185E"/>
    <w:rsid w:val="00632631"/>
    <w:rsid w:val="00632AC5"/>
    <w:rsid w:val="00634250"/>
    <w:rsid w:val="006348B1"/>
    <w:rsid w:val="00635437"/>
    <w:rsid w:val="00635859"/>
    <w:rsid w:val="00635F97"/>
    <w:rsid w:val="00636126"/>
    <w:rsid w:val="00636151"/>
    <w:rsid w:val="0063650E"/>
    <w:rsid w:val="0063672D"/>
    <w:rsid w:val="00637EFA"/>
    <w:rsid w:val="0064222F"/>
    <w:rsid w:val="00643202"/>
    <w:rsid w:val="00643264"/>
    <w:rsid w:val="006433A9"/>
    <w:rsid w:val="00643598"/>
    <w:rsid w:val="006437D3"/>
    <w:rsid w:val="00644226"/>
    <w:rsid w:val="0064504E"/>
    <w:rsid w:val="006456C4"/>
    <w:rsid w:val="006502B1"/>
    <w:rsid w:val="00650521"/>
    <w:rsid w:val="0065132F"/>
    <w:rsid w:val="006513B1"/>
    <w:rsid w:val="006517D5"/>
    <w:rsid w:val="006526C3"/>
    <w:rsid w:val="00652A1B"/>
    <w:rsid w:val="00652B1E"/>
    <w:rsid w:val="00654BE5"/>
    <w:rsid w:val="00656368"/>
    <w:rsid w:val="00657336"/>
    <w:rsid w:val="00660366"/>
    <w:rsid w:val="00660399"/>
    <w:rsid w:val="00661AD3"/>
    <w:rsid w:val="00662060"/>
    <w:rsid w:val="00662CE0"/>
    <w:rsid w:val="00663264"/>
    <w:rsid w:val="00665B46"/>
    <w:rsid w:val="0066733B"/>
    <w:rsid w:val="0067038D"/>
    <w:rsid w:val="00671520"/>
    <w:rsid w:val="00671683"/>
    <w:rsid w:val="00671AB1"/>
    <w:rsid w:val="00671EBC"/>
    <w:rsid w:val="006730A3"/>
    <w:rsid w:val="006743EE"/>
    <w:rsid w:val="0067628A"/>
    <w:rsid w:val="006764A8"/>
    <w:rsid w:val="00676520"/>
    <w:rsid w:val="00676764"/>
    <w:rsid w:val="00676E2C"/>
    <w:rsid w:val="0068038C"/>
    <w:rsid w:val="00681094"/>
    <w:rsid w:val="0068131D"/>
    <w:rsid w:val="00681F5A"/>
    <w:rsid w:val="00683301"/>
    <w:rsid w:val="00685802"/>
    <w:rsid w:val="006866C5"/>
    <w:rsid w:val="00686E36"/>
    <w:rsid w:val="00691683"/>
    <w:rsid w:val="00692196"/>
    <w:rsid w:val="006922F8"/>
    <w:rsid w:val="006927CB"/>
    <w:rsid w:val="00692A01"/>
    <w:rsid w:val="00692D19"/>
    <w:rsid w:val="00693A37"/>
    <w:rsid w:val="006953C9"/>
    <w:rsid w:val="0069675B"/>
    <w:rsid w:val="00697EE2"/>
    <w:rsid w:val="006A027E"/>
    <w:rsid w:val="006A0430"/>
    <w:rsid w:val="006A1BA7"/>
    <w:rsid w:val="006A3862"/>
    <w:rsid w:val="006A4181"/>
    <w:rsid w:val="006A457E"/>
    <w:rsid w:val="006A56E1"/>
    <w:rsid w:val="006A6B59"/>
    <w:rsid w:val="006A7A7B"/>
    <w:rsid w:val="006A7FCB"/>
    <w:rsid w:val="006B091B"/>
    <w:rsid w:val="006B0ED0"/>
    <w:rsid w:val="006B1D1F"/>
    <w:rsid w:val="006B277B"/>
    <w:rsid w:val="006B2D30"/>
    <w:rsid w:val="006B3EC7"/>
    <w:rsid w:val="006B3F10"/>
    <w:rsid w:val="006B5084"/>
    <w:rsid w:val="006B5FE5"/>
    <w:rsid w:val="006B6FAF"/>
    <w:rsid w:val="006C07C8"/>
    <w:rsid w:val="006C092A"/>
    <w:rsid w:val="006C0958"/>
    <w:rsid w:val="006C0A52"/>
    <w:rsid w:val="006C177A"/>
    <w:rsid w:val="006C211C"/>
    <w:rsid w:val="006C2BC0"/>
    <w:rsid w:val="006C3974"/>
    <w:rsid w:val="006C733B"/>
    <w:rsid w:val="006C78BE"/>
    <w:rsid w:val="006D0C3A"/>
    <w:rsid w:val="006D291C"/>
    <w:rsid w:val="006D2EF0"/>
    <w:rsid w:val="006D3E17"/>
    <w:rsid w:val="006D4794"/>
    <w:rsid w:val="006D49D4"/>
    <w:rsid w:val="006D74D2"/>
    <w:rsid w:val="006D7866"/>
    <w:rsid w:val="006E11E2"/>
    <w:rsid w:val="006E1A69"/>
    <w:rsid w:val="006E1E86"/>
    <w:rsid w:val="006E3213"/>
    <w:rsid w:val="006E74CB"/>
    <w:rsid w:val="006E78D7"/>
    <w:rsid w:val="006E7D38"/>
    <w:rsid w:val="006F015B"/>
    <w:rsid w:val="006F061A"/>
    <w:rsid w:val="006F1195"/>
    <w:rsid w:val="006F1834"/>
    <w:rsid w:val="006F1E4B"/>
    <w:rsid w:val="006F232A"/>
    <w:rsid w:val="006F2A91"/>
    <w:rsid w:val="006F2EC1"/>
    <w:rsid w:val="006F2F87"/>
    <w:rsid w:val="006F321C"/>
    <w:rsid w:val="006F4759"/>
    <w:rsid w:val="006F49D8"/>
    <w:rsid w:val="006F4B17"/>
    <w:rsid w:val="006F4F34"/>
    <w:rsid w:val="006F510B"/>
    <w:rsid w:val="006F58AA"/>
    <w:rsid w:val="006F648C"/>
    <w:rsid w:val="006F66A6"/>
    <w:rsid w:val="006F6EAB"/>
    <w:rsid w:val="00700527"/>
    <w:rsid w:val="00700F8C"/>
    <w:rsid w:val="007014A0"/>
    <w:rsid w:val="00702895"/>
    <w:rsid w:val="00702F74"/>
    <w:rsid w:val="00704C82"/>
    <w:rsid w:val="0070584B"/>
    <w:rsid w:val="00706965"/>
    <w:rsid w:val="007069F1"/>
    <w:rsid w:val="007077C6"/>
    <w:rsid w:val="00707C6D"/>
    <w:rsid w:val="00710391"/>
    <w:rsid w:val="00710B89"/>
    <w:rsid w:val="00710E17"/>
    <w:rsid w:val="007111AF"/>
    <w:rsid w:val="007112C3"/>
    <w:rsid w:val="00712B96"/>
    <w:rsid w:val="00714B53"/>
    <w:rsid w:val="00714B88"/>
    <w:rsid w:val="00715574"/>
    <w:rsid w:val="00716514"/>
    <w:rsid w:val="00717CA0"/>
    <w:rsid w:val="00720106"/>
    <w:rsid w:val="007205AC"/>
    <w:rsid w:val="007206D0"/>
    <w:rsid w:val="0072093A"/>
    <w:rsid w:val="00721A77"/>
    <w:rsid w:val="0072389B"/>
    <w:rsid w:val="007239EA"/>
    <w:rsid w:val="00724A43"/>
    <w:rsid w:val="00724E54"/>
    <w:rsid w:val="00725244"/>
    <w:rsid w:val="00725A91"/>
    <w:rsid w:val="00725F8D"/>
    <w:rsid w:val="0072615A"/>
    <w:rsid w:val="00726DB2"/>
    <w:rsid w:val="00727ED4"/>
    <w:rsid w:val="00730218"/>
    <w:rsid w:val="00730631"/>
    <w:rsid w:val="0073140B"/>
    <w:rsid w:val="00732ABC"/>
    <w:rsid w:val="00733C37"/>
    <w:rsid w:val="00734FB7"/>
    <w:rsid w:val="00737692"/>
    <w:rsid w:val="0074098F"/>
    <w:rsid w:val="00740C37"/>
    <w:rsid w:val="00742A24"/>
    <w:rsid w:val="00742CC3"/>
    <w:rsid w:val="00743317"/>
    <w:rsid w:val="00746D83"/>
    <w:rsid w:val="00747407"/>
    <w:rsid w:val="007476B1"/>
    <w:rsid w:val="00747D31"/>
    <w:rsid w:val="00751191"/>
    <w:rsid w:val="007511C1"/>
    <w:rsid w:val="00752119"/>
    <w:rsid w:val="00752265"/>
    <w:rsid w:val="00753798"/>
    <w:rsid w:val="00753A6A"/>
    <w:rsid w:val="00754D4D"/>
    <w:rsid w:val="00755241"/>
    <w:rsid w:val="007556D7"/>
    <w:rsid w:val="00755EA0"/>
    <w:rsid w:val="00756EF4"/>
    <w:rsid w:val="007579F6"/>
    <w:rsid w:val="00757D8F"/>
    <w:rsid w:val="00761268"/>
    <w:rsid w:val="007617D8"/>
    <w:rsid w:val="00762365"/>
    <w:rsid w:val="00762990"/>
    <w:rsid w:val="00764FAD"/>
    <w:rsid w:val="00765F54"/>
    <w:rsid w:val="0076690A"/>
    <w:rsid w:val="00767364"/>
    <w:rsid w:val="0077012E"/>
    <w:rsid w:val="0077048E"/>
    <w:rsid w:val="00770B0A"/>
    <w:rsid w:val="00771EED"/>
    <w:rsid w:val="0077214C"/>
    <w:rsid w:val="007725BD"/>
    <w:rsid w:val="00773A69"/>
    <w:rsid w:val="00774736"/>
    <w:rsid w:val="00774B87"/>
    <w:rsid w:val="00775A94"/>
    <w:rsid w:val="00775CE3"/>
    <w:rsid w:val="00775F2C"/>
    <w:rsid w:val="0077667D"/>
    <w:rsid w:val="00776EF4"/>
    <w:rsid w:val="00776F6C"/>
    <w:rsid w:val="00777939"/>
    <w:rsid w:val="007806B2"/>
    <w:rsid w:val="00782089"/>
    <w:rsid w:val="00782147"/>
    <w:rsid w:val="0078248F"/>
    <w:rsid w:val="00784B9F"/>
    <w:rsid w:val="00784EF4"/>
    <w:rsid w:val="007858B4"/>
    <w:rsid w:val="00786325"/>
    <w:rsid w:val="0078656D"/>
    <w:rsid w:val="00786754"/>
    <w:rsid w:val="00786A89"/>
    <w:rsid w:val="00786DCE"/>
    <w:rsid w:val="0078708C"/>
    <w:rsid w:val="007873FA"/>
    <w:rsid w:val="00787618"/>
    <w:rsid w:val="007911EE"/>
    <w:rsid w:val="00791C15"/>
    <w:rsid w:val="0079238D"/>
    <w:rsid w:val="007969C0"/>
    <w:rsid w:val="00796E9E"/>
    <w:rsid w:val="00797053"/>
    <w:rsid w:val="00797551"/>
    <w:rsid w:val="00797809"/>
    <w:rsid w:val="00797E83"/>
    <w:rsid w:val="007A08C9"/>
    <w:rsid w:val="007A1415"/>
    <w:rsid w:val="007A2202"/>
    <w:rsid w:val="007A2633"/>
    <w:rsid w:val="007A2776"/>
    <w:rsid w:val="007A3C8E"/>
    <w:rsid w:val="007A3EC6"/>
    <w:rsid w:val="007A48FC"/>
    <w:rsid w:val="007A5466"/>
    <w:rsid w:val="007A58F3"/>
    <w:rsid w:val="007A608E"/>
    <w:rsid w:val="007A664A"/>
    <w:rsid w:val="007A714B"/>
    <w:rsid w:val="007A7739"/>
    <w:rsid w:val="007B0294"/>
    <w:rsid w:val="007B0CDD"/>
    <w:rsid w:val="007B0E5B"/>
    <w:rsid w:val="007B28DC"/>
    <w:rsid w:val="007B35D0"/>
    <w:rsid w:val="007B3BB5"/>
    <w:rsid w:val="007B49EE"/>
    <w:rsid w:val="007B4C4E"/>
    <w:rsid w:val="007B517E"/>
    <w:rsid w:val="007B569D"/>
    <w:rsid w:val="007B58D2"/>
    <w:rsid w:val="007B58DF"/>
    <w:rsid w:val="007B5CD3"/>
    <w:rsid w:val="007B6246"/>
    <w:rsid w:val="007B7754"/>
    <w:rsid w:val="007B7983"/>
    <w:rsid w:val="007B79E6"/>
    <w:rsid w:val="007C1628"/>
    <w:rsid w:val="007C22FE"/>
    <w:rsid w:val="007C23B7"/>
    <w:rsid w:val="007C2F01"/>
    <w:rsid w:val="007C5BA6"/>
    <w:rsid w:val="007C7749"/>
    <w:rsid w:val="007C7A16"/>
    <w:rsid w:val="007C7AEE"/>
    <w:rsid w:val="007D0E93"/>
    <w:rsid w:val="007D1D80"/>
    <w:rsid w:val="007D2F3F"/>
    <w:rsid w:val="007D3665"/>
    <w:rsid w:val="007D393A"/>
    <w:rsid w:val="007D41C9"/>
    <w:rsid w:val="007D47B8"/>
    <w:rsid w:val="007D4FF6"/>
    <w:rsid w:val="007D5B6A"/>
    <w:rsid w:val="007D63F7"/>
    <w:rsid w:val="007E0E04"/>
    <w:rsid w:val="007E2300"/>
    <w:rsid w:val="007E2DE7"/>
    <w:rsid w:val="007E2E4F"/>
    <w:rsid w:val="007E33DC"/>
    <w:rsid w:val="007E3AE0"/>
    <w:rsid w:val="007E4626"/>
    <w:rsid w:val="007E4871"/>
    <w:rsid w:val="007E4FA0"/>
    <w:rsid w:val="007E554B"/>
    <w:rsid w:val="007E63EE"/>
    <w:rsid w:val="007E7527"/>
    <w:rsid w:val="007E766B"/>
    <w:rsid w:val="007E797A"/>
    <w:rsid w:val="007F1617"/>
    <w:rsid w:val="007F17DD"/>
    <w:rsid w:val="007F1BFF"/>
    <w:rsid w:val="007F1DED"/>
    <w:rsid w:val="007F1E5E"/>
    <w:rsid w:val="007F37C8"/>
    <w:rsid w:val="007F3B9E"/>
    <w:rsid w:val="007F4D7D"/>
    <w:rsid w:val="007F5D9F"/>
    <w:rsid w:val="007F639F"/>
    <w:rsid w:val="008011AA"/>
    <w:rsid w:val="00801FE8"/>
    <w:rsid w:val="00802AA3"/>
    <w:rsid w:val="0080396E"/>
    <w:rsid w:val="00804378"/>
    <w:rsid w:val="008044E4"/>
    <w:rsid w:val="00804B11"/>
    <w:rsid w:val="00805524"/>
    <w:rsid w:val="008068D0"/>
    <w:rsid w:val="00807051"/>
    <w:rsid w:val="008113D3"/>
    <w:rsid w:val="00811B74"/>
    <w:rsid w:val="00811EAC"/>
    <w:rsid w:val="00811ED4"/>
    <w:rsid w:val="0081253D"/>
    <w:rsid w:val="00812D74"/>
    <w:rsid w:val="00814701"/>
    <w:rsid w:val="008149DF"/>
    <w:rsid w:val="00814A4A"/>
    <w:rsid w:val="0081564D"/>
    <w:rsid w:val="00815E94"/>
    <w:rsid w:val="00815FB7"/>
    <w:rsid w:val="00816D28"/>
    <w:rsid w:val="0082210D"/>
    <w:rsid w:val="00822954"/>
    <w:rsid w:val="00823923"/>
    <w:rsid w:val="00823A0D"/>
    <w:rsid w:val="00824DAB"/>
    <w:rsid w:val="0082593C"/>
    <w:rsid w:val="00825D5B"/>
    <w:rsid w:val="00826DBE"/>
    <w:rsid w:val="00827F47"/>
    <w:rsid w:val="00831798"/>
    <w:rsid w:val="00831AEB"/>
    <w:rsid w:val="0083263B"/>
    <w:rsid w:val="008327E6"/>
    <w:rsid w:val="00832992"/>
    <w:rsid w:val="00832C61"/>
    <w:rsid w:val="00833005"/>
    <w:rsid w:val="0083408E"/>
    <w:rsid w:val="0083705F"/>
    <w:rsid w:val="00840355"/>
    <w:rsid w:val="00840DA9"/>
    <w:rsid w:val="00841595"/>
    <w:rsid w:val="00841BB7"/>
    <w:rsid w:val="00841D4A"/>
    <w:rsid w:val="00841DE0"/>
    <w:rsid w:val="0084220E"/>
    <w:rsid w:val="00843647"/>
    <w:rsid w:val="0084390E"/>
    <w:rsid w:val="00843CE9"/>
    <w:rsid w:val="0084420D"/>
    <w:rsid w:val="00844F4B"/>
    <w:rsid w:val="00845B0A"/>
    <w:rsid w:val="0084697B"/>
    <w:rsid w:val="008469CC"/>
    <w:rsid w:val="0085024A"/>
    <w:rsid w:val="00852ECE"/>
    <w:rsid w:val="008537B8"/>
    <w:rsid w:val="00854223"/>
    <w:rsid w:val="008556AB"/>
    <w:rsid w:val="0085592E"/>
    <w:rsid w:val="0085628C"/>
    <w:rsid w:val="00856527"/>
    <w:rsid w:val="00856738"/>
    <w:rsid w:val="008569AB"/>
    <w:rsid w:val="0086414B"/>
    <w:rsid w:val="00864FC4"/>
    <w:rsid w:val="0086703F"/>
    <w:rsid w:val="00867AB5"/>
    <w:rsid w:val="008720D0"/>
    <w:rsid w:val="008721A5"/>
    <w:rsid w:val="0087293C"/>
    <w:rsid w:val="0087341D"/>
    <w:rsid w:val="00873BAA"/>
    <w:rsid w:val="00873C2F"/>
    <w:rsid w:val="00875F5A"/>
    <w:rsid w:val="00880083"/>
    <w:rsid w:val="008806A7"/>
    <w:rsid w:val="00880C86"/>
    <w:rsid w:val="008814F0"/>
    <w:rsid w:val="00881769"/>
    <w:rsid w:val="008817FA"/>
    <w:rsid w:val="00882B8B"/>
    <w:rsid w:val="00883748"/>
    <w:rsid w:val="00884140"/>
    <w:rsid w:val="008844E2"/>
    <w:rsid w:val="008845A4"/>
    <w:rsid w:val="00884760"/>
    <w:rsid w:val="00884A63"/>
    <w:rsid w:val="00884AA9"/>
    <w:rsid w:val="0088579F"/>
    <w:rsid w:val="00885E54"/>
    <w:rsid w:val="00885FDC"/>
    <w:rsid w:val="0088610C"/>
    <w:rsid w:val="00887BBF"/>
    <w:rsid w:val="00890334"/>
    <w:rsid w:val="0089099C"/>
    <w:rsid w:val="0089206B"/>
    <w:rsid w:val="008922E3"/>
    <w:rsid w:val="00892421"/>
    <w:rsid w:val="00892DEE"/>
    <w:rsid w:val="00892FA4"/>
    <w:rsid w:val="008931EA"/>
    <w:rsid w:val="00893FFC"/>
    <w:rsid w:val="008947E7"/>
    <w:rsid w:val="00894FA8"/>
    <w:rsid w:val="00895302"/>
    <w:rsid w:val="00896097"/>
    <w:rsid w:val="008961B4"/>
    <w:rsid w:val="008A07D4"/>
    <w:rsid w:val="008A0F7A"/>
    <w:rsid w:val="008A10EF"/>
    <w:rsid w:val="008A1E5E"/>
    <w:rsid w:val="008A2B1F"/>
    <w:rsid w:val="008A3877"/>
    <w:rsid w:val="008A3CAD"/>
    <w:rsid w:val="008A462A"/>
    <w:rsid w:val="008A5DE6"/>
    <w:rsid w:val="008A6A99"/>
    <w:rsid w:val="008B0EAD"/>
    <w:rsid w:val="008B1A67"/>
    <w:rsid w:val="008B30B1"/>
    <w:rsid w:val="008B3CB0"/>
    <w:rsid w:val="008B48EA"/>
    <w:rsid w:val="008B4DAB"/>
    <w:rsid w:val="008B534D"/>
    <w:rsid w:val="008B560B"/>
    <w:rsid w:val="008B5666"/>
    <w:rsid w:val="008B5B63"/>
    <w:rsid w:val="008B5FBA"/>
    <w:rsid w:val="008B649C"/>
    <w:rsid w:val="008B65B6"/>
    <w:rsid w:val="008B6CA2"/>
    <w:rsid w:val="008B7229"/>
    <w:rsid w:val="008C111B"/>
    <w:rsid w:val="008C13B2"/>
    <w:rsid w:val="008C26D8"/>
    <w:rsid w:val="008C3562"/>
    <w:rsid w:val="008C3D97"/>
    <w:rsid w:val="008C5C02"/>
    <w:rsid w:val="008C650F"/>
    <w:rsid w:val="008C66FF"/>
    <w:rsid w:val="008C7DAC"/>
    <w:rsid w:val="008D0639"/>
    <w:rsid w:val="008D1F9D"/>
    <w:rsid w:val="008D2706"/>
    <w:rsid w:val="008D4653"/>
    <w:rsid w:val="008D52F2"/>
    <w:rsid w:val="008D568B"/>
    <w:rsid w:val="008D7866"/>
    <w:rsid w:val="008D7D8F"/>
    <w:rsid w:val="008E0308"/>
    <w:rsid w:val="008E079E"/>
    <w:rsid w:val="008E0B03"/>
    <w:rsid w:val="008E0E4A"/>
    <w:rsid w:val="008E1155"/>
    <w:rsid w:val="008E2202"/>
    <w:rsid w:val="008E2822"/>
    <w:rsid w:val="008E2A97"/>
    <w:rsid w:val="008E2CBF"/>
    <w:rsid w:val="008E395E"/>
    <w:rsid w:val="008E3E0B"/>
    <w:rsid w:val="008E451C"/>
    <w:rsid w:val="008E5CAF"/>
    <w:rsid w:val="008E6159"/>
    <w:rsid w:val="008E7FC6"/>
    <w:rsid w:val="008F0759"/>
    <w:rsid w:val="008F1B91"/>
    <w:rsid w:val="008F21E2"/>
    <w:rsid w:val="008F53F4"/>
    <w:rsid w:val="008F5503"/>
    <w:rsid w:val="008F632F"/>
    <w:rsid w:val="008F7F19"/>
    <w:rsid w:val="00900450"/>
    <w:rsid w:val="00900554"/>
    <w:rsid w:val="00900851"/>
    <w:rsid w:val="00900E8D"/>
    <w:rsid w:val="0090114A"/>
    <w:rsid w:val="00902222"/>
    <w:rsid w:val="00902719"/>
    <w:rsid w:val="009030CE"/>
    <w:rsid w:val="0090473D"/>
    <w:rsid w:val="00904FD8"/>
    <w:rsid w:val="009057DD"/>
    <w:rsid w:val="00905EFD"/>
    <w:rsid w:val="00906AEF"/>
    <w:rsid w:val="00907C79"/>
    <w:rsid w:val="00910429"/>
    <w:rsid w:val="00910501"/>
    <w:rsid w:val="009110D8"/>
    <w:rsid w:val="0091141B"/>
    <w:rsid w:val="00911445"/>
    <w:rsid w:val="00912236"/>
    <w:rsid w:val="00912CE1"/>
    <w:rsid w:val="00915354"/>
    <w:rsid w:val="00915693"/>
    <w:rsid w:val="009161B6"/>
    <w:rsid w:val="00920D36"/>
    <w:rsid w:val="00920EA3"/>
    <w:rsid w:val="009218CE"/>
    <w:rsid w:val="00921D95"/>
    <w:rsid w:val="0092208B"/>
    <w:rsid w:val="009231A7"/>
    <w:rsid w:val="009235B9"/>
    <w:rsid w:val="00925B08"/>
    <w:rsid w:val="00926152"/>
    <w:rsid w:val="00926E95"/>
    <w:rsid w:val="00927293"/>
    <w:rsid w:val="00927742"/>
    <w:rsid w:val="00927D62"/>
    <w:rsid w:val="00927F0B"/>
    <w:rsid w:val="0093042E"/>
    <w:rsid w:val="00930B98"/>
    <w:rsid w:val="00932A99"/>
    <w:rsid w:val="0093306B"/>
    <w:rsid w:val="009331A9"/>
    <w:rsid w:val="009333E1"/>
    <w:rsid w:val="00933E0C"/>
    <w:rsid w:val="009344B5"/>
    <w:rsid w:val="009355F1"/>
    <w:rsid w:val="0093585D"/>
    <w:rsid w:val="009364FD"/>
    <w:rsid w:val="00936C3E"/>
    <w:rsid w:val="0093786E"/>
    <w:rsid w:val="00940310"/>
    <w:rsid w:val="00941C28"/>
    <w:rsid w:val="00942941"/>
    <w:rsid w:val="009449CF"/>
    <w:rsid w:val="00946D51"/>
    <w:rsid w:val="00946EE0"/>
    <w:rsid w:val="009477E0"/>
    <w:rsid w:val="00950A8C"/>
    <w:rsid w:val="00950CB6"/>
    <w:rsid w:val="0095107B"/>
    <w:rsid w:val="00952C81"/>
    <w:rsid w:val="0095309E"/>
    <w:rsid w:val="00953C1F"/>
    <w:rsid w:val="00955332"/>
    <w:rsid w:val="0095589D"/>
    <w:rsid w:val="00956E82"/>
    <w:rsid w:val="00957A2E"/>
    <w:rsid w:val="009603B8"/>
    <w:rsid w:val="009608A0"/>
    <w:rsid w:val="00960A38"/>
    <w:rsid w:val="00961707"/>
    <w:rsid w:val="0096175F"/>
    <w:rsid w:val="00961D40"/>
    <w:rsid w:val="00962876"/>
    <w:rsid w:val="009636F1"/>
    <w:rsid w:val="009638FB"/>
    <w:rsid w:val="00963A7E"/>
    <w:rsid w:val="009645C4"/>
    <w:rsid w:val="00964A09"/>
    <w:rsid w:val="00964AD7"/>
    <w:rsid w:val="00964E06"/>
    <w:rsid w:val="00966451"/>
    <w:rsid w:val="00967D47"/>
    <w:rsid w:val="00972318"/>
    <w:rsid w:val="0097299F"/>
    <w:rsid w:val="0097318A"/>
    <w:rsid w:val="00973BD5"/>
    <w:rsid w:val="009742BF"/>
    <w:rsid w:val="0097672E"/>
    <w:rsid w:val="0098006D"/>
    <w:rsid w:val="00980843"/>
    <w:rsid w:val="0098149E"/>
    <w:rsid w:val="00981E09"/>
    <w:rsid w:val="00982A8A"/>
    <w:rsid w:val="009838EB"/>
    <w:rsid w:val="00983E5B"/>
    <w:rsid w:val="00984344"/>
    <w:rsid w:val="009844F0"/>
    <w:rsid w:val="009845F4"/>
    <w:rsid w:val="0098482E"/>
    <w:rsid w:val="009854B1"/>
    <w:rsid w:val="00986569"/>
    <w:rsid w:val="00986F47"/>
    <w:rsid w:val="00987990"/>
    <w:rsid w:val="009906FD"/>
    <w:rsid w:val="00990C67"/>
    <w:rsid w:val="009913CD"/>
    <w:rsid w:val="00992D64"/>
    <w:rsid w:val="0099415E"/>
    <w:rsid w:val="009942D0"/>
    <w:rsid w:val="009947C4"/>
    <w:rsid w:val="00994B1F"/>
    <w:rsid w:val="00994EC3"/>
    <w:rsid w:val="00995DC8"/>
    <w:rsid w:val="009971BC"/>
    <w:rsid w:val="009A0AC5"/>
    <w:rsid w:val="009A1250"/>
    <w:rsid w:val="009A1E83"/>
    <w:rsid w:val="009A2342"/>
    <w:rsid w:val="009A28B0"/>
    <w:rsid w:val="009A2BD4"/>
    <w:rsid w:val="009A2F7A"/>
    <w:rsid w:val="009A39F7"/>
    <w:rsid w:val="009A5080"/>
    <w:rsid w:val="009A55AB"/>
    <w:rsid w:val="009A58C5"/>
    <w:rsid w:val="009A5B90"/>
    <w:rsid w:val="009A5CF9"/>
    <w:rsid w:val="009A5E4A"/>
    <w:rsid w:val="009A60D8"/>
    <w:rsid w:val="009A645F"/>
    <w:rsid w:val="009A70F7"/>
    <w:rsid w:val="009A7A22"/>
    <w:rsid w:val="009B00B0"/>
    <w:rsid w:val="009B0791"/>
    <w:rsid w:val="009B1D76"/>
    <w:rsid w:val="009B1E02"/>
    <w:rsid w:val="009B34CC"/>
    <w:rsid w:val="009B3EBC"/>
    <w:rsid w:val="009B4248"/>
    <w:rsid w:val="009B445F"/>
    <w:rsid w:val="009B4F60"/>
    <w:rsid w:val="009B5C4D"/>
    <w:rsid w:val="009B627A"/>
    <w:rsid w:val="009B659E"/>
    <w:rsid w:val="009B6DD3"/>
    <w:rsid w:val="009B72E2"/>
    <w:rsid w:val="009B74D4"/>
    <w:rsid w:val="009C1778"/>
    <w:rsid w:val="009C1B14"/>
    <w:rsid w:val="009C253E"/>
    <w:rsid w:val="009C255A"/>
    <w:rsid w:val="009C2EFB"/>
    <w:rsid w:val="009C2F02"/>
    <w:rsid w:val="009C39B7"/>
    <w:rsid w:val="009C4119"/>
    <w:rsid w:val="009C414C"/>
    <w:rsid w:val="009D10C7"/>
    <w:rsid w:val="009D1A66"/>
    <w:rsid w:val="009D1D38"/>
    <w:rsid w:val="009D2FAF"/>
    <w:rsid w:val="009D30EC"/>
    <w:rsid w:val="009D3905"/>
    <w:rsid w:val="009D3E01"/>
    <w:rsid w:val="009D41E7"/>
    <w:rsid w:val="009D4715"/>
    <w:rsid w:val="009D51DF"/>
    <w:rsid w:val="009D5660"/>
    <w:rsid w:val="009D5A1F"/>
    <w:rsid w:val="009D681C"/>
    <w:rsid w:val="009D6C63"/>
    <w:rsid w:val="009D6F76"/>
    <w:rsid w:val="009D7907"/>
    <w:rsid w:val="009D7F05"/>
    <w:rsid w:val="009E1166"/>
    <w:rsid w:val="009E140F"/>
    <w:rsid w:val="009E2B98"/>
    <w:rsid w:val="009E2F99"/>
    <w:rsid w:val="009E321C"/>
    <w:rsid w:val="009E3C6B"/>
    <w:rsid w:val="009E3CC0"/>
    <w:rsid w:val="009E4AE4"/>
    <w:rsid w:val="009E4B16"/>
    <w:rsid w:val="009E5359"/>
    <w:rsid w:val="009E5C42"/>
    <w:rsid w:val="009E644F"/>
    <w:rsid w:val="009E6A9F"/>
    <w:rsid w:val="009E758C"/>
    <w:rsid w:val="009F04F2"/>
    <w:rsid w:val="009F2833"/>
    <w:rsid w:val="009F2DD0"/>
    <w:rsid w:val="009F2F5B"/>
    <w:rsid w:val="009F3435"/>
    <w:rsid w:val="009F4133"/>
    <w:rsid w:val="009F4521"/>
    <w:rsid w:val="009F4DA1"/>
    <w:rsid w:val="009F51B5"/>
    <w:rsid w:val="009F58EF"/>
    <w:rsid w:val="009F6902"/>
    <w:rsid w:val="009F7A72"/>
    <w:rsid w:val="00A000D0"/>
    <w:rsid w:val="00A032F6"/>
    <w:rsid w:val="00A0418F"/>
    <w:rsid w:val="00A047AC"/>
    <w:rsid w:val="00A062E3"/>
    <w:rsid w:val="00A0698E"/>
    <w:rsid w:val="00A06A9F"/>
    <w:rsid w:val="00A06C84"/>
    <w:rsid w:val="00A07791"/>
    <w:rsid w:val="00A10F69"/>
    <w:rsid w:val="00A11A0D"/>
    <w:rsid w:val="00A1224A"/>
    <w:rsid w:val="00A12B94"/>
    <w:rsid w:val="00A13C31"/>
    <w:rsid w:val="00A13E49"/>
    <w:rsid w:val="00A140E2"/>
    <w:rsid w:val="00A154DA"/>
    <w:rsid w:val="00A15BF8"/>
    <w:rsid w:val="00A15C5D"/>
    <w:rsid w:val="00A15D80"/>
    <w:rsid w:val="00A1648E"/>
    <w:rsid w:val="00A17A89"/>
    <w:rsid w:val="00A20E41"/>
    <w:rsid w:val="00A21460"/>
    <w:rsid w:val="00A21655"/>
    <w:rsid w:val="00A2165B"/>
    <w:rsid w:val="00A21755"/>
    <w:rsid w:val="00A21C5F"/>
    <w:rsid w:val="00A21CFC"/>
    <w:rsid w:val="00A22838"/>
    <w:rsid w:val="00A22B95"/>
    <w:rsid w:val="00A2362E"/>
    <w:rsid w:val="00A242EF"/>
    <w:rsid w:val="00A24C32"/>
    <w:rsid w:val="00A25413"/>
    <w:rsid w:val="00A25840"/>
    <w:rsid w:val="00A25BF2"/>
    <w:rsid w:val="00A262A9"/>
    <w:rsid w:val="00A266D6"/>
    <w:rsid w:val="00A26D65"/>
    <w:rsid w:val="00A27E35"/>
    <w:rsid w:val="00A302D9"/>
    <w:rsid w:val="00A304B4"/>
    <w:rsid w:val="00A3082B"/>
    <w:rsid w:val="00A30FA1"/>
    <w:rsid w:val="00A31AEB"/>
    <w:rsid w:val="00A31CA7"/>
    <w:rsid w:val="00A33277"/>
    <w:rsid w:val="00A333DA"/>
    <w:rsid w:val="00A3371D"/>
    <w:rsid w:val="00A339D5"/>
    <w:rsid w:val="00A34595"/>
    <w:rsid w:val="00A34793"/>
    <w:rsid w:val="00A34F4B"/>
    <w:rsid w:val="00A35458"/>
    <w:rsid w:val="00A3669E"/>
    <w:rsid w:val="00A3768C"/>
    <w:rsid w:val="00A40653"/>
    <w:rsid w:val="00A40750"/>
    <w:rsid w:val="00A40D21"/>
    <w:rsid w:val="00A41681"/>
    <w:rsid w:val="00A4204A"/>
    <w:rsid w:val="00A431A0"/>
    <w:rsid w:val="00A43797"/>
    <w:rsid w:val="00A446C3"/>
    <w:rsid w:val="00A455DA"/>
    <w:rsid w:val="00A465AF"/>
    <w:rsid w:val="00A470CF"/>
    <w:rsid w:val="00A47354"/>
    <w:rsid w:val="00A47FB0"/>
    <w:rsid w:val="00A521E9"/>
    <w:rsid w:val="00A52B4C"/>
    <w:rsid w:val="00A52D90"/>
    <w:rsid w:val="00A53EEB"/>
    <w:rsid w:val="00A540AC"/>
    <w:rsid w:val="00A546B7"/>
    <w:rsid w:val="00A54A6A"/>
    <w:rsid w:val="00A55119"/>
    <w:rsid w:val="00A5524F"/>
    <w:rsid w:val="00A55E9A"/>
    <w:rsid w:val="00A56481"/>
    <w:rsid w:val="00A60342"/>
    <w:rsid w:val="00A60347"/>
    <w:rsid w:val="00A61550"/>
    <w:rsid w:val="00A61D51"/>
    <w:rsid w:val="00A658FB"/>
    <w:rsid w:val="00A65E7D"/>
    <w:rsid w:val="00A660A8"/>
    <w:rsid w:val="00A6628B"/>
    <w:rsid w:val="00A675F8"/>
    <w:rsid w:val="00A70026"/>
    <w:rsid w:val="00A700E7"/>
    <w:rsid w:val="00A70A54"/>
    <w:rsid w:val="00A716E7"/>
    <w:rsid w:val="00A737B9"/>
    <w:rsid w:val="00A739ED"/>
    <w:rsid w:val="00A73CC9"/>
    <w:rsid w:val="00A746A8"/>
    <w:rsid w:val="00A748B0"/>
    <w:rsid w:val="00A74B84"/>
    <w:rsid w:val="00A74C36"/>
    <w:rsid w:val="00A75F94"/>
    <w:rsid w:val="00A761F1"/>
    <w:rsid w:val="00A761F9"/>
    <w:rsid w:val="00A77D5F"/>
    <w:rsid w:val="00A77EDB"/>
    <w:rsid w:val="00A800B0"/>
    <w:rsid w:val="00A80F43"/>
    <w:rsid w:val="00A820C5"/>
    <w:rsid w:val="00A82AE8"/>
    <w:rsid w:val="00A82CD7"/>
    <w:rsid w:val="00A83CCC"/>
    <w:rsid w:val="00A84CF7"/>
    <w:rsid w:val="00A850F0"/>
    <w:rsid w:val="00A875A3"/>
    <w:rsid w:val="00A909FF"/>
    <w:rsid w:val="00A91644"/>
    <w:rsid w:val="00A9198F"/>
    <w:rsid w:val="00A922DE"/>
    <w:rsid w:val="00A924A9"/>
    <w:rsid w:val="00A933E1"/>
    <w:rsid w:val="00A93457"/>
    <w:rsid w:val="00A94FF1"/>
    <w:rsid w:val="00A971C1"/>
    <w:rsid w:val="00AA140E"/>
    <w:rsid w:val="00AA165E"/>
    <w:rsid w:val="00AA1D2B"/>
    <w:rsid w:val="00AA2002"/>
    <w:rsid w:val="00AA35BC"/>
    <w:rsid w:val="00AA3FB3"/>
    <w:rsid w:val="00AA4F8C"/>
    <w:rsid w:val="00AA5FDA"/>
    <w:rsid w:val="00AA6180"/>
    <w:rsid w:val="00AA7246"/>
    <w:rsid w:val="00AA72FF"/>
    <w:rsid w:val="00AB002D"/>
    <w:rsid w:val="00AB242F"/>
    <w:rsid w:val="00AB33E4"/>
    <w:rsid w:val="00AB3E20"/>
    <w:rsid w:val="00AB4AAE"/>
    <w:rsid w:val="00AB503A"/>
    <w:rsid w:val="00AB6831"/>
    <w:rsid w:val="00AB7CE1"/>
    <w:rsid w:val="00AC004E"/>
    <w:rsid w:val="00AC00ED"/>
    <w:rsid w:val="00AC01E5"/>
    <w:rsid w:val="00AC07A2"/>
    <w:rsid w:val="00AC0C1A"/>
    <w:rsid w:val="00AC1B11"/>
    <w:rsid w:val="00AC228A"/>
    <w:rsid w:val="00AC44BC"/>
    <w:rsid w:val="00AC4A33"/>
    <w:rsid w:val="00AC5F4D"/>
    <w:rsid w:val="00AC621E"/>
    <w:rsid w:val="00AC7129"/>
    <w:rsid w:val="00AC7A6B"/>
    <w:rsid w:val="00AC7D0F"/>
    <w:rsid w:val="00AC7D41"/>
    <w:rsid w:val="00AD04ED"/>
    <w:rsid w:val="00AD23E6"/>
    <w:rsid w:val="00AD2423"/>
    <w:rsid w:val="00AD28E5"/>
    <w:rsid w:val="00AD3B41"/>
    <w:rsid w:val="00AD3D9D"/>
    <w:rsid w:val="00AD422E"/>
    <w:rsid w:val="00AD51D3"/>
    <w:rsid w:val="00AD727D"/>
    <w:rsid w:val="00AD7DA8"/>
    <w:rsid w:val="00AE1CF7"/>
    <w:rsid w:val="00AE233F"/>
    <w:rsid w:val="00AE3E75"/>
    <w:rsid w:val="00AE7830"/>
    <w:rsid w:val="00AF09F4"/>
    <w:rsid w:val="00AF0C0D"/>
    <w:rsid w:val="00AF0E72"/>
    <w:rsid w:val="00AF1176"/>
    <w:rsid w:val="00AF12E4"/>
    <w:rsid w:val="00AF1D4C"/>
    <w:rsid w:val="00AF2CAB"/>
    <w:rsid w:val="00AF3038"/>
    <w:rsid w:val="00AF3CC1"/>
    <w:rsid w:val="00AF4368"/>
    <w:rsid w:val="00AF4F0A"/>
    <w:rsid w:val="00AF5F20"/>
    <w:rsid w:val="00AF7FFD"/>
    <w:rsid w:val="00B007BC"/>
    <w:rsid w:val="00B01951"/>
    <w:rsid w:val="00B02BE7"/>
    <w:rsid w:val="00B02EFB"/>
    <w:rsid w:val="00B041C3"/>
    <w:rsid w:val="00B041C9"/>
    <w:rsid w:val="00B056C7"/>
    <w:rsid w:val="00B06A49"/>
    <w:rsid w:val="00B07136"/>
    <w:rsid w:val="00B10E28"/>
    <w:rsid w:val="00B11F07"/>
    <w:rsid w:val="00B1272C"/>
    <w:rsid w:val="00B130BB"/>
    <w:rsid w:val="00B13822"/>
    <w:rsid w:val="00B13AA1"/>
    <w:rsid w:val="00B153F0"/>
    <w:rsid w:val="00B1598F"/>
    <w:rsid w:val="00B15E03"/>
    <w:rsid w:val="00B1635C"/>
    <w:rsid w:val="00B16627"/>
    <w:rsid w:val="00B17288"/>
    <w:rsid w:val="00B21E09"/>
    <w:rsid w:val="00B22088"/>
    <w:rsid w:val="00B22138"/>
    <w:rsid w:val="00B22723"/>
    <w:rsid w:val="00B22ED8"/>
    <w:rsid w:val="00B233AF"/>
    <w:rsid w:val="00B233D7"/>
    <w:rsid w:val="00B26703"/>
    <w:rsid w:val="00B268D9"/>
    <w:rsid w:val="00B27634"/>
    <w:rsid w:val="00B30D23"/>
    <w:rsid w:val="00B31A22"/>
    <w:rsid w:val="00B31F29"/>
    <w:rsid w:val="00B32AAE"/>
    <w:rsid w:val="00B335F7"/>
    <w:rsid w:val="00B3380D"/>
    <w:rsid w:val="00B343DA"/>
    <w:rsid w:val="00B369C7"/>
    <w:rsid w:val="00B36B46"/>
    <w:rsid w:val="00B37B3D"/>
    <w:rsid w:val="00B43C38"/>
    <w:rsid w:val="00B44797"/>
    <w:rsid w:val="00B447D5"/>
    <w:rsid w:val="00B44EDB"/>
    <w:rsid w:val="00B44F7E"/>
    <w:rsid w:val="00B44F8A"/>
    <w:rsid w:val="00B45BDB"/>
    <w:rsid w:val="00B468D0"/>
    <w:rsid w:val="00B46944"/>
    <w:rsid w:val="00B50BD5"/>
    <w:rsid w:val="00B511FB"/>
    <w:rsid w:val="00B52414"/>
    <w:rsid w:val="00B52CDD"/>
    <w:rsid w:val="00B541BC"/>
    <w:rsid w:val="00B54EF0"/>
    <w:rsid w:val="00B5675B"/>
    <w:rsid w:val="00B569F7"/>
    <w:rsid w:val="00B5720B"/>
    <w:rsid w:val="00B60C73"/>
    <w:rsid w:val="00B612AC"/>
    <w:rsid w:val="00B61894"/>
    <w:rsid w:val="00B62D21"/>
    <w:rsid w:val="00B63449"/>
    <w:rsid w:val="00B63500"/>
    <w:rsid w:val="00B6641C"/>
    <w:rsid w:val="00B66DDD"/>
    <w:rsid w:val="00B672C8"/>
    <w:rsid w:val="00B6746B"/>
    <w:rsid w:val="00B676D9"/>
    <w:rsid w:val="00B67A2D"/>
    <w:rsid w:val="00B700F5"/>
    <w:rsid w:val="00B709F7"/>
    <w:rsid w:val="00B7126C"/>
    <w:rsid w:val="00B74F85"/>
    <w:rsid w:val="00B75366"/>
    <w:rsid w:val="00B75C8B"/>
    <w:rsid w:val="00B760BE"/>
    <w:rsid w:val="00B76264"/>
    <w:rsid w:val="00B7735C"/>
    <w:rsid w:val="00B77D14"/>
    <w:rsid w:val="00B77E05"/>
    <w:rsid w:val="00B77F22"/>
    <w:rsid w:val="00B8135D"/>
    <w:rsid w:val="00B81A4E"/>
    <w:rsid w:val="00B81CA8"/>
    <w:rsid w:val="00B81F6B"/>
    <w:rsid w:val="00B82CDB"/>
    <w:rsid w:val="00B85D0A"/>
    <w:rsid w:val="00B87042"/>
    <w:rsid w:val="00B871E6"/>
    <w:rsid w:val="00B87287"/>
    <w:rsid w:val="00B872FA"/>
    <w:rsid w:val="00B90A08"/>
    <w:rsid w:val="00B91CEA"/>
    <w:rsid w:val="00B9255C"/>
    <w:rsid w:val="00B93E42"/>
    <w:rsid w:val="00B94584"/>
    <w:rsid w:val="00B9579E"/>
    <w:rsid w:val="00B9628B"/>
    <w:rsid w:val="00B979B1"/>
    <w:rsid w:val="00BA20E5"/>
    <w:rsid w:val="00BA2237"/>
    <w:rsid w:val="00BA2E3A"/>
    <w:rsid w:val="00BA692C"/>
    <w:rsid w:val="00BA7572"/>
    <w:rsid w:val="00BA763A"/>
    <w:rsid w:val="00BA7FE1"/>
    <w:rsid w:val="00BB03B1"/>
    <w:rsid w:val="00BB26BE"/>
    <w:rsid w:val="00BB278B"/>
    <w:rsid w:val="00BB3A5B"/>
    <w:rsid w:val="00BB431D"/>
    <w:rsid w:val="00BB4C2D"/>
    <w:rsid w:val="00BB5394"/>
    <w:rsid w:val="00BB5AD3"/>
    <w:rsid w:val="00BB5B8A"/>
    <w:rsid w:val="00BB6932"/>
    <w:rsid w:val="00BC0280"/>
    <w:rsid w:val="00BC02AD"/>
    <w:rsid w:val="00BC130B"/>
    <w:rsid w:val="00BC2DEC"/>
    <w:rsid w:val="00BC5A72"/>
    <w:rsid w:val="00BC5B3D"/>
    <w:rsid w:val="00BC6618"/>
    <w:rsid w:val="00BC6A59"/>
    <w:rsid w:val="00BC72FD"/>
    <w:rsid w:val="00BC7A91"/>
    <w:rsid w:val="00BC7BAC"/>
    <w:rsid w:val="00BD0400"/>
    <w:rsid w:val="00BD0D48"/>
    <w:rsid w:val="00BD0EEE"/>
    <w:rsid w:val="00BD1640"/>
    <w:rsid w:val="00BD25CC"/>
    <w:rsid w:val="00BD3375"/>
    <w:rsid w:val="00BD373D"/>
    <w:rsid w:val="00BD3B22"/>
    <w:rsid w:val="00BD638D"/>
    <w:rsid w:val="00BD7177"/>
    <w:rsid w:val="00BD7930"/>
    <w:rsid w:val="00BD7C67"/>
    <w:rsid w:val="00BD7EDE"/>
    <w:rsid w:val="00BE0063"/>
    <w:rsid w:val="00BE0FB4"/>
    <w:rsid w:val="00BE13F6"/>
    <w:rsid w:val="00BE194A"/>
    <w:rsid w:val="00BE1CD5"/>
    <w:rsid w:val="00BE2399"/>
    <w:rsid w:val="00BE2A60"/>
    <w:rsid w:val="00BE37B6"/>
    <w:rsid w:val="00BE4966"/>
    <w:rsid w:val="00BE5677"/>
    <w:rsid w:val="00BE5ED0"/>
    <w:rsid w:val="00BE62AE"/>
    <w:rsid w:val="00BE6B02"/>
    <w:rsid w:val="00BE6D8F"/>
    <w:rsid w:val="00BE6FDF"/>
    <w:rsid w:val="00BE7720"/>
    <w:rsid w:val="00BE7F5F"/>
    <w:rsid w:val="00BF0AB7"/>
    <w:rsid w:val="00BF0AEC"/>
    <w:rsid w:val="00BF2F78"/>
    <w:rsid w:val="00BF2FF5"/>
    <w:rsid w:val="00BF4052"/>
    <w:rsid w:val="00BF4653"/>
    <w:rsid w:val="00BF4D28"/>
    <w:rsid w:val="00BF5321"/>
    <w:rsid w:val="00BF535C"/>
    <w:rsid w:val="00BF6006"/>
    <w:rsid w:val="00BF62EC"/>
    <w:rsid w:val="00BF6AF8"/>
    <w:rsid w:val="00BF7F7F"/>
    <w:rsid w:val="00C00625"/>
    <w:rsid w:val="00C008F4"/>
    <w:rsid w:val="00C01AF9"/>
    <w:rsid w:val="00C01B51"/>
    <w:rsid w:val="00C0316C"/>
    <w:rsid w:val="00C036C6"/>
    <w:rsid w:val="00C03869"/>
    <w:rsid w:val="00C03A6C"/>
    <w:rsid w:val="00C04D24"/>
    <w:rsid w:val="00C04E2D"/>
    <w:rsid w:val="00C0609B"/>
    <w:rsid w:val="00C0629B"/>
    <w:rsid w:val="00C11998"/>
    <w:rsid w:val="00C11B11"/>
    <w:rsid w:val="00C11E4E"/>
    <w:rsid w:val="00C1256C"/>
    <w:rsid w:val="00C13495"/>
    <w:rsid w:val="00C13F6D"/>
    <w:rsid w:val="00C14AFF"/>
    <w:rsid w:val="00C15D58"/>
    <w:rsid w:val="00C16146"/>
    <w:rsid w:val="00C165B8"/>
    <w:rsid w:val="00C1670F"/>
    <w:rsid w:val="00C1713C"/>
    <w:rsid w:val="00C17EB7"/>
    <w:rsid w:val="00C2099B"/>
    <w:rsid w:val="00C255B5"/>
    <w:rsid w:val="00C2561B"/>
    <w:rsid w:val="00C26AB3"/>
    <w:rsid w:val="00C30049"/>
    <w:rsid w:val="00C303C5"/>
    <w:rsid w:val="00C30E2F"/>
    <w:rsid w:val="00C31386"/>
    <w:rsid w:val="00C31D0A"/>
    <w:rsid w:val="00C32195"/>
    <w:rsid w:val="00C3256B"/>
    <w:rsid w:val="00C329E7"/>
    <w:rsid w:val="00C3343B"/>
    <w:rsid w:val="00C33E57"/>
    <w:rsid w:val="00C3569F"/>
    <w:rsid w:val="00C36275"/>
    <w:rsid w:val="00C3633A"/>
    <w:rsid w:val="00C36A48"/>
    <w:rsid w:val="00C370AB"/>
    <w:rsid w:val="00C37D57"/>
    <w:rsid w:val="00C40767"/>
    <w:rsid w:val="00C413B5"/>
    <w:rsid w:val="00C424F1"/>
    <w:rsid w:val="00C42718"/>
    <w:rsid w:val="00C4290A"/>
    <w:rsid w:val="00C4383A"/>
    <w:rsid w:val="00C43EB2"/>
    <w:rsid w:val="00C44AD6"/>
    <w:rsid w:val="00C44D6D"/>
    <w:rsid w:val="00C45122"/>
    <w:rsid w:val="00C4773C"/>
    <w:rsid w:val="00C505B5"/>
    <w:rsid w:val="00C518CD"/>
    <w:rsid w:val="00C51BB0"/>
    <w:rsid w:val="00C539B6"/>
    <w:rsid w:val="00C54378"/>
    <w:rsid w:val="00C54F46"/>
    <w:rsid w:val="00C55691"/>
    <w:rsid w:val="00C565B8"/>
    <w:rsid w:val="00C5684A"/>
    <w:rsid w:val="00C57498"/>
    <w:rsid w:val="00C57FE6"/>
    <w:rsid w:val="00C61D99"/>
    <w:rsid w:val="00C637A2"/>
    <w:rsid w:val="00C64C55"/>
    <w:rsid w:val="00C66E2E"/>
    <w:rsid w:val="00C672BD"/>
    <w:rsid w:val="00C6795A"/>
    <w:rsid w:val="00C679FA"/>
    <w:rsid w:val="00C705BB"/>
    <w:rsid w:val="00C717F9"/>
    <w:rsid w:val="00C724F5"/>
    <w:rsid w:val="00C72AD3"/>
    <w:rsid w:val="00C72E2E"/>
    <w:rsid w:val="00C7357F"/>
    <w:rsid w:val="00C73FFC"/>
    <w:rsid w:val="00C74DC0"/>
    <w:rsid w:val="00C74E7B"/>
    <w:rsid w:val="00C751C6"/>
    <w:rsid w:val="00C753BD"/>
    <w:rsid w:val="00C755AE"/>
    <w:rsid w:val="00C75E85"/>
    <w:rsid w:val="00C762D1"/>
    <w:rsid w:val="00C76AB5"/>
    <w:rsid w:val="00C76CC9"/>
    <w:rsid w:val="00C815FF"/>
    <w:rsid w:val="00C82227"/>
    <w:rsid w:val="00C82344"/>
    <w:rsid w:val="00C82BE8"/>
    <w:rsid w:val="00C83032"/>
    <w:rsid w:val="00C83312"/>
    <w:rsid w:val="00C85852"/>
    <w:rsid w:val="00C860C2"/>
    <w:rsid w:val="00C86405"/>
    <w:rsid w:val="00C873BD"/>
    <w:rsid w:val="00C87E73"/>
    <w:rsid w:val="00C909A6"/>
    <w:rsid w:val="00C915F6"/>
    <w:rsid w:val="00C91A7A"/>
    <w:rsid w:val="00C93BF0"/>
    <w:rsid w:val="00C93CAE"/>
    <w:rsid w:val="00C94705"/>
    <w:rsid w:val="00C94A6C"/>
    <w:rsid w:val="00C94F6A"/>
    <w:rsid w:val="00C94FED"/>
    <w:rsid w:val="00C96676"/>
    <w:rsid w:val="00CA0029"/>
    <w:rsid w:val="00CA155D"/>
    <w:rsid w:val="00CA248E"/>
    <w:rsid w:val="00CA27FA"/>
    <w:rsid w:val="00CA29FF"/>
    <w:rsid w:val="00CA3F1D"/>
    <w:rsid w:val="00CA4AD4"/>
    <w:rsid w:val="00CA500F"/>
    <w:rsid w:val="00CA5609"/>
    <w:rsid w:val="00CA5679"/>
    <w:rsid w:val="00CA5AA8"/>
    <w:rsid w:val="00CA6DA6"/>
    <w:rsid w:val="00CA6F18"/>
    <w:rsid w:val="00CA7195"/>
    <w:rsid w:val="00CB12C8"/>
    <w:rsid w:val="00CB19BC"/>
    <w:rsid w:val="00CB1A83"/>
    <w:rsid w:val="00CB1BBD"/>
    <w:rsid w:val="00CB2CBD"/>
    <w:rsid w:val="00CB404A"/>
    <w:rsid w:val="00CB47EC"/>
    <w:rsid w:val="00CB4BAD"/>
    <w:rsid w:val="00CB5013"/>
    <w:rsid w:val="00CB7637"/>
    <w:rsid w:val="00CB7D7B"/>
    <w:rsid w:val="00CC0695"/>
    <w:rsid w:val="00CC1451"/>
    <w:rsid w:val="00CC1590"/>
    <w:rsid w:val="00CC257B"/>
    <w:rsid w:val="00CC3902"/>
    <w:rsid w:val="00CC45A0"/>
    <w:rsid w:val="00CC4BCA"/>
    <w:rsid w:val="00CC68F7"/>
    <w:rsid w:val="00CC6F38"/>
    <w:rsid w:val="00CC749F"/>
    <w:rsid w:val="00CD0500"/>
    <w:rsid w:val="00CD07C6"/>
    <w:rsid w:val="00CD14BB"/>
    <w:rsid w:val="00CD1668"/>
    <w:rsid w:val="00CD174A"/>
    <w:rsid w:val="00CD2758"/>
    <w:rsid w:val="00CD2FAF"/>
    <w:rsid w:val="00CD3046"/>
    <w:rsid w:val="00CD3306"/>
    <w:rsid w:val="00CD4488"/>
    <w:rsid w:val="00CD4BA0"/>
    <w:rsid w:val="00CD51C1"/>
    <w:rsid w:val="00CD69A3"/>
    <w:rsid w:val="00CD7145"/>
    <w:rsid w:val="00CD79C4"/>
    <w:rsid w:val="00CE0CD6"/>
    <w:rsid w:val="00CE139E"/>
    <w:rsid w:val="00CE1801"/>
    <w:rsid w:val="00CE1BF2"/>
    <w:rsid w:val="00CE2B7B"/>
    <w:rsid w:val="00CE2C9E"/>
    <w:rsid w:val="00CE3103"/>
    <w:rsid w:val="00CE36BB"/>
    <w:rsid w:val="00CE5AE4"/>
    <w:rsid w:val="00CE6401"/>
    <w:rsid w:val="00CE6C78"/>
    <w:rsid w:val="00CE6D0E"/>
    <w:rsid w:val="00CE6FD1"/>
    <w:rsid w:val="00CF07E7"/>
    <w:rsid w:val="00CF27F8"/>
    <w:rsid w:val="00CF3CFD"/>
    <w:rsid w:val="00CF47D9"/>
    <w:rsid w:val="00CF585C"/>
    <w:rsid w:val="00CF5B14"/>
    <w:rsid w:val="00CF7215"/>
    <w:rsid w:val="00CF7ABB"/>
    <w:rsid w:val="00D0029F"/>
    <w:rsid w:val="00D009C2"/>
    <w:rsid w:val="00D010BE"/>
    <w:rsid w:val="00D02090"/>
    <w:rsid w:val="00D02858"/>
    <w:rsid w:val="00D03602"/>
    <w:rsid w:val="00D039EE"/>
    <w:rsid w:val="00D045F7"/>
    <w:rsid w:val="00D04CF3"/>
    <w:rsid w:val="00D05294"/>
    <w:rsid w:val="00D0574B"/>
    <w:rsid w:val="00D0615E"/>
    <w:rsid w:val="00D069E3"/>
    <w:rsid w:val="00D1029B"/>
    <w:rsid w:val="00D10377"/>
    <w:rsid w:val="00D10EF5"/>
    <w:rsid w:val="00D13115"/>
    <w:rsid w:val="00D14169"/>
    <w:rsid w:val="00D1581D"/>
    <w:rsid w:val="00D15D43"/>
    <w:rsid w:val="00D15E23"/>
    <w:rsid w:val="00D167DC"/>
    <w:rsid w:val="00D17C95"/>
    <w:rsid w:val="00D20B76"/>
    <w:rsid w:val="00D20D15"/>
    <w:rsid w:val="00D2246B"/>
    <w:rsid w:val="00D241FF"/>
    <w:rsid w:val="00D24D76"/>
    <w:rsid w:val="00D255F3"/>
    <w:rsid w:val="00D2562D"/>
    <w:rsid w:val="00D25BC1"/>
    <w:rsid w:val="00D25BEF"/>
    <w:rsid w:val="00D2660F"/>
    <w:rsid w:val="00D26645"/>
    <w:rsid w:val="00D266AC"/>
    <w:rsid w:val="00D301AB"/>
    <w:rsid w:val="00D30570"/>
    <w:rsid w:val="00D30A02"/>
    <w:rsid w:val="00D315E3"/>
    <w:rsid w:val="00D32C99"/>
    <w:rsid w:val="00D332E4"/>
    <w:rsid w:val="00D335ED"/>
    <w:rsid w:val="00D33966"/>
    <w:rsid w:val="00D33AA6"/>
    <w:rsid w:val="00D34495"/>
    <w:rsid w:val="00D357EF"/>
    <w:rsid w:val="00D35D93"/>
    <w:rsid w:val="00D35F48"/>
    <w:rsid w:val="00D35FF2"/>
    <w:rsid w:val="00D42B09"/>
    <w:rsid w:val="00D50344"/>
    <w:rsid w:val="00D51203"/>
    <w:rsid w:val="00D5167E"/>
    <w:rsid w:val="00D5235A"/>
    <w:rsid w:val="00D530EE"/>
    <w:rsid w:val="00D540EF"/>
    <w:rsid w:val="00D541F7"/>
    <w:rsid w:val="00D54639"/>
    <w:rsid w:val="00D5473D"/>
    <w:rsid w:val="00D54E48"/>
    <w:rsid w:val="00D57B39"/>
    <w:rsid w:val="00D57E44"/>
    <w:rsid w:val="00D57FEC"/>
    <w:rsid w:val="00D60031"/>
    <w:rsid w:val="00D6049E"/>
    <w:rsid w:val="00D6082E"/>
    <w:rsid w:val="00D60DC9"/>
    <w:rsid w:val="00D61B94"/>
    <w:rsid w:val="00D63345"/>
    <w:rsid w:val="00D63BE9"/>
    <w:rsid w:val="00D6613B"/>
    <w:rsid w:val="00D67143"/>
    <w:rsid w:val="00D67215"/>
    <w:rsid w:val="00D67471"/>
    <w:rsid w:val="00D67C82"/>
    <w:rsid w:val="00D67DCC"/>
    <w:rsid w:val="00D67FE3"/>
    <w:rsid w:val="00D706AD"/>
    <w:rsid w:val="00D706F5"/>
    <w:rsid w:val="00D70C2D"/>
    <w:rsid w:val="00D7107C"/>
    <w:rsid w:val="00D711EC"/>
    <w:rsid w:val="00D71E21"/>
    <w:rsid w:val="00D72533"/>
    <w:rsid w:val="00D73620"/>
    <w:rsid w:val="00D73844"/>
    <w:rsid w:val="00D73CCF"/>
    <w:rsid w:val="00D73F4C"/>
    <w:rsid w:val="00D74495"/>
    <w:rsid w:val="00D74C4B"/>
    <w:rsid w:val="00D752C2"/>
    <w:rsid w:val="00D7561E"/>
    <w:rsid w:val="00D77939"/>
    <w:rsid w:val="00D77E48"/>
    <w:rsid w:val="00D811EE"/>
    <w:rsid w:val="00D81CE2"/>
    <w:rsid w:val="00D82BF4"/>
    <w:rsid w:val="00D83C47"/>
    <w:rsid w:val="00D83F10"/>
    <w:rsid w:val="00D852D3"/>
    <w:rsid w:val="00D855EE"/>
    <w:rsid w:val="00D8615C"/>
    <w:rsid w:val="00D8652E"/>
    <w:rsid w:val="00D86ACA"/>
    <w:rsid w:val="00D87EAD"/>
    <w:rsid w:val="00D90118"/>
    <w:rsid w:val="00D90313"/>
    <w:rsid w:val="00D904A0"/>
    <w:rsid w:val="00D90F41"/>
    <w:rsid w:val="00D9132E"/>
    <w:rsid w:val="00D915AC"/>
    <w:rsid w:val="00D923A6"/>
    <w:rsid w:val="00D92A4B"/>
    <w:rsid w:val="00D92D75"/>
    <w:rsid w:val="00D93516"/>
    <w:rsid w:val="00D94013"/>
    <w:rsid w:val="00D940B9"/>
    <w:rsid w:val="00D949DB"/>
    <w:rsid w:val="00D94DAB"/>
    <w:rsid w:val="00D94DEA"/>
    <w:rsid w:val="00D94F34"/>
    <w:rsid w:val="00D953AA"/>
    <w:rsid w:val="00D95FBD"/>
    <w:rsid w:val="00D96D75"/>
    <w:rsid w:val="00D9724B"/>
    <w:rsid w:val="00DA0105"/>
    <w:rsid w:val="00DA1376"/>
    <w:rsid w:val="00DA2EB8"/>
    <w:rsid w:val="00DA344C"/>
    <w:rsid w:val="00DA48C2"/>
    <w:rsid w:val="00DA4F98"/>
    <w:rsid w:val="00DA743E"/>
    <w:rsid w:val="00DB0591"/>
    <w:rsid w:val="00DB07D5"/>
    <w:rsid w:val="00DB104E"/>
    <w:rsid w:val="00DB1303"/>
    <w:rsid w:val="00DB1BE9"/>
    <w:rsid w:val="00DB1E37"/>
    <w:rsid w:val="00DB29D4"/>
    <w:rsid w:val="00DB2BB6"/>
    <w:rsid w:val="00DB51E2"/>
    <w:rsid w:val="00DB52C4"/>
    <w:rsid w:val="00DB5E71"/>
    <w:rsid w:val="00DB5F93"/>
    <w:rsid w:val="00DB785B"/>
    <w:rsid w:val="00DB794A"/>
    <w:rsid w:val="00DC1782"/>
    <w:rsid w:val="00DC1A6B"/>
    <w:rsid w:val="00DC1AFB"/>
    <w:rsid w:val="00DC1BCE"/>
    <w:rsid w:val="00DC2DDD"/>
    <w:rsid w:val="00DC2F47"/>
    <w:rsid w:val="00DC395B"/>
    <w:rsid w:val="00DC5573"/>
    <w:rsid w:val="00DC5703"/>
    <w:rsid w:val="00DC5A44"/>
    <w:rsid w:val="00DC60F6"/>
    <w:rsid w:val="00DC634B"/>
    <w:rsid w:val="00DC6F70"/>
    <w:rsid w:val="00DD2D6C"/>
    <w:rsid w:val="00DD4CBC"/>
    <w:rsid w:val="00DD5C39"/>
    <w:rsid w:val="00DD6B5A"/>
    <w:rsid w:val="00DD6F28"/>
    <w:rsid w:val="00DD73DB"/>
    <w:rsid w:val="00DD7D74"/>
    <w:rsid w:val="00DE0671"/>
    <w:rsid w:val="00DE0D0E"/>
    <w:rsid w:val="00DE12D6"/>
    <w:rsid w:val="00DE2A1F"/>
    <w:rsid w:val="00DE49C8"/>
    <w:rsid w:val="00DE4CB0"/>
    <w:rsid w:val="00DE573C"/>
    <w:rsid w:val="00DE646D"/>
    <w:rsid w:val="00DF01ED"/>
    <w:rsid w:val="00DF1158"/>
    <w:rsid w:val="00DF1806"/>
    <w:rsid w:val="00DF1FC9"/>
    <w:rsid w:val="00DF2063"/>
    <w:rsid w:val="00DF21E5"/>
    <w:rsid w:val="00DF27E2"/>
    <w:rsid w:val="00DF2F0E"/>
    <w:rsid w:val="00DF37F3"/>
    <w:rsid w:val="00DF3C64"/>
    <w:rsid w:val="00DF5133"/>
    <w:rsid w:val="00DF513F"/>
    <w:rsid w:val="00DF5838"/>
    <w:rsid w:val="00DF5859"/>
    <w:rsid w:val="00DF5887"/>
    <w:rsid w:val="00E02148"/>
    <w:rsid w:val="00E022E0"/>
    <w:rsid w:val="00E02A90"/>
    <w:rsid w:val="00E03528"/>
    <w:rsid w:val="00E03703"/>
    <w:rsid w:val="00E03E30"/>
    <w:rsid w:val="00E0487D"/>
    <w:rsid w:val="00E04F1A"/>
    <w:rsid w:val="00E058A7"/>
    <w:rsid w:val="00E06796"/>
    <w:rsid w:val="00E07423"/>
    <w:rsid w:val="00E10D27"/>
    <w:rsid w:val="00E13A4D"/>
    <w:rsid w:val="00E1439E"/>
    <w:rsid w:val="00E1461B"/>
    <w:rsid w:val="00E14DB4"/>
    <w:rsid w:val="00E155FA"/>
    <w:rsid w:val="00E15656"/>
    <w:rsid w:val="00E168A5"/>
    <w:rsid w:val="00E178E7"/>
    <w:rsid w:val="00E20879"/>
    <w:rsid w:val="00E223BA"/>
    <w:rsid w:val="00E2284F"/>
    <w:rsid w:val="00E22A9C"/>
    <w:rsid w:val="00E22E2A"/>
    <w:rsid w:val="00E232AC"/>
    <w:rsid w:val="00E23DF1"/>
    <w:rsid w:val="00E26C47"/>
    <w:rsid w:val="00E272AB"/>
    <w:rsid w:val="00E27ED3"/>
    <w:rsid w:val="00E30159"/>
    <w:rsid w:val="00E30395"/>
    <w:rsid w:val="00E30408"/>
    <w:rsid w:val="00E3046F"/>
    <w:rsid w:val="00E30A13"/>
    <w:rsid w:val="00E30D9F"/>
    <w:rsid w:val="00E315E7"/>
    <w:rsid w:val="00E31864"/>
    <w:rsid w:val="00E32948"/>
    <w:rsid w:val="00E32BE2"/>
    <w:rsid w:val="00E342A9"/>
    <w:rsid w:val="00E347A0"/>
    <w:rsid w:val="00E34EBB"/>
    <w:rsid w:val="00E35AB5"/>
    <w:rsid w:val="00E35D15"/>
    <w:rsid w:val="00E369AE"/>
    <w:rsid w:val="00E37693"/>
    <w:rsid w:val="00E40079"/>
    <w:rsid w:val="00E412B7"/>
    <w:rsid w:val="00E41A34"/>
    <w:rsid w:val="00E436EA"/>
    <w:rsid w:val="00E440A5"/>
    <w:rsid w:val="00E44F82"/>
    <w:rsid w:val="00E44F93"/>
    <w:rsid w:val="00E45545"/>
    <w:rsid w:val="00E463AA"/>
    <w:rsid w:val="00E474DC"/>
    <w:rsid w:val="00E5069D"/>
    <w:rsid w:val="00E50CEB"/>
    <w:rsid w:val="00E51405"/>
    <w:rsid w:val="00E516EB"/>
    <w:rsid w:val="00E5244A"/>
    <w:rsid w:val="00E53DD3"/>
    <w:rsid w:val="00E54D00"/>
    <w:rsid w:val="00E56924"/>
    <w:rsid w:val="00E57B47"/>
    <w:rsid w:val="00E57FED"/>
    <w:rsid w:val="00E60020"/>
    <w:rsid w:val="00E6025F"/>
    <w:rsid w:val="00E6057B"/>
    <w:rsid w:val="00E60812"/>
    <w:rsid w:val="00E60936"/>
    <w:rsid w:val="00E610EF"/>
    <w:rsid w:val="00E6133B"/>
    <w:rsid w:val="00E6163B"/>
    <w:rsid w:val="00E6244C"/>
    <w:rsid w:val="00E62DEA"/>
    <w:rsid w:val="00E63851"/>
    <w:rsid w:val="00E6433C"/>
    <w:rsid w:val="00E64D3A"/>
    <w:rsid w:val="00E6555A"/>
    <w:rsid w:val="00E665E9"/>
    <w:rsid w:val="00E67456"/>
    <w:rsid w:val="00E71405"/>
    <w:rsid w:val="00E71574"/>
    <w:rsid w:val="00E71EEC"/>
    <w:rsid w:val="00E724D7"/>
    <w:rsid w:val="00E748C4"/>
    <w:rsid w:val="00E74D0C"/>
    <w:rsid w:val="00E76B1A"/>
    <w:rsid w:val="00E774CF"/>
    <w:rsid w:val="00E80BD1"/>
    <w:rsid w:val="00E81260"/>
    <w:rsid w:val="00E8127C"/>
    <w:rsid w:val="00E817A5"/>
    <w:rsid w:val="00E81D99"/>
    <w:rsid w:val="00E82860"/>
    <w:rsid w:val="00E83386"/>
    <w:rsid w:val="00E838D7"/>
    <w:rsid w:val="00E839BC"/>
    <w:rsid w:val="00E84C9C"/>
    <w:rsid w:val="00E85FAA"/>
    <w:rsid w:val="00E864B7"/>
    <w:rsid w:val="00E865C3"/>
    <w:rsid w:val="00E87EB0"/>
    <w:rsid w:val="00E914D5"/>
    <w:rsid w:val="00E91607"/>
    <w:rsid w:val="00E91F36"/>
    <w:rsid w:val="00E93A8D"/>
    <w:rsid w:val="00E944A9"/>
    <w:rsid w:val="00E9529D"/>
    <w:rsid w:val="00E95411"/>
    <w:rsid w:val="00E96141"/>
    <w:rsid w:val="00E96915"/>
    <w:rsid w:val="00E96C8E"/>
    <w:rsid w:val="00EA1A25"/>
    <w:rsid w:val="00EA1B5A"/>
    <w:rsid w:val="00EA28F6"/>
    <w:rsid w:val="00EA51E4"/>
    <w:rsid w:val="00EA5459"/>
    <w:rsid w:val="00EA5A24"/>
    <w:rsid w:val="00EA617C"/>
    <w:rsid w:val="00EA7058"/>
    <w:rsid w:val="00EA7E74"/>
    <w:rsid w:val="00EB0D75"/>
    <w:rsid w:val="00EB10B9"/>
    <w:rsid w:val="00EB2166"/>
    <w:rsid w:val="00EB2DEB"/>
    <w:rsid w:val="00EB30F6"/>
    <w:rsid w:val="00EB3308"/>
    <w:rsid w:val="00EB4186"/>
    <w:rsid w:val="00EB48DD"/>
    <w:rsid w:val="00EB4D04"/>
    <w:rsid w:val="00EB53BC"/>
    <w:rsid w:val="00EB606F"/>
    <w:rsid w:val="00EB65F1"/>
    <w:rsid w:val="00EB66BC"/>
    <w:rsid w:val="00EC06FF"/>
    <w:rsid w:val="00EC0956"/>
    <w:rsid w:val="00EC1058"/>
    <w:rsid w:val="00EC29C4"/>
    <w:rsid w:val="00EC2B37"/>
    <w:rsid w:val="00EC427B"/>
    <w:rsid w:val="00EC4334"/>
    <w:rsid w:val="00EC4C94"/>
    <w:rsid w:val="00EC511D"/>
    <w:rsid w:val="00EC51A2"/>
    <w:rsid w:val="00EC5986"/>
    <w:rsid w:val="00EC696E"/>
    <w:rsid w:val="00EC6E65"/>
    <w:rsid w:val="00EC6FD1"/>
    <w:rsid w:val="00EC76FC"/>
    <w:rsid w:val="00EC7E76"/>
    <w:rsid w:val="00ED0357"/>
    <w:rsid w:val="00ED2F7E"/>
    <w:rsid w:val="00ED47B3"/>
    <w:rsid w:val="00ED4FCC"/>
    <w:rsid w:val="00ED5119"/>
    <w:rsid w:val="00ED54F2"/>
    <w:rsid w:val="00ED559A"/>
    <w:rsid w:val="00ED6CD9"/>
    <w:rsid w:val="00ED7E0D"/>
    <w:rsid w:val="00EE0F20"/>
    <w:rsid w:val="00EE1AE6"/>
    <w:rsid w:val="00EE29A8"/>
    <w:rsid w:val="00EE2C4B"/>
    <w:rsid w:val="00EE395C"/>
    <w:rsid w:val="00EE3E9A"/>
    <w:rsid w:val="00EE5879"/>
    <w:rsid w:val="00EE5927"/>
    <w:rsid w:val="00EE59E3"/>
    <w:rsid w:val="00EE60B9"/>
    <w:rsid w:val="00EE61A2"/>
    <w:rsid w:val="00EF06B6"/>
    <w:rsid w:val="00EF0A5A"/>
    <w:rsid w:val="00EF2148"/>
    <w:rsid w:val="00EF2327"/>
    <w:rsid w:val="00EF2A47"/>
    <w:rsid w:val="00EF30F7"/>
    <w:rsid w:val="00EF362D"/>
    <w:rsid w:val="00EF3E02"/>
    <w:rsid w:val="00EF4E04"/>
    <w:rsid w:val="00EF5D90"/>
    <w:rsid w:val="00EF5F01"/>
    <w:rsid w:val="00EF7E96"/>
    <w:rsid w:val="00F01431"/>
    <w:rsid w:val="00F014F2"/>
    <w:rsid w:val="00F0161A"/>
    <w:rsid w:val="00F0243D"/>
    <w:rsid w:val="00F02F12"/>
    <w:rsid w:val="00F037CD"/>
    <w:rsid w:val="00F040C8"/>
    <w:rsid w:val="00F044F3"/>
    <w:rsid w:val="00F04BFB"/>
    <w:rsid w:val="00F04C52"/>
    <w:rsid w:val="00F05311"/>
    <w:rsid w:val="00F05AEB"/>
    <w:rsid w:val="00F0674F"/>
    <w:rsid w:val="00F06A79"/>
    <w:rsid w:val="00F070EA"/>
    <w:rsid w:val="00F07C8D"/>
    <w:rsid w:val="00F10BF9"/>
    <w:rsid w:val="00F1108A"/>
    <w:rsid w:val="00F11FA9"/>
    <w:rsid w:val="00F12826"/>
    <w:rsid w:val="00F13D8C"/>
    <w:rsid w:val="00F14851"/>
    <w:rsid w:val="00F15799"/>
    <w:rsid w:val="00F175F5"/>
    <w:rsid w:val="00F209FD"/>
    <w:rsid w:val="00F20B42"/>
    <w:rsid w:val="00F235DB"/>
    <w:rsid w:val="00F23714"/>
    <w:rsid w:val="00F24DD7"/>
    <w:rsid w:val="00F250B4"/>
    <w:rsid w:val="00F2524A"/>
    <w:rsid w:val="00F26358"/>
    <w:rsid w:val="00F26D2C"/>
    <w:rsid w:val="00F2749A"/>
    <w:rsid w:val="00F27590"/>
    <w:rsid w:val="00F2770D"/>
    <w:rsid w:val="00F27B67"/>
    <w:rsid w:val="00F3238A"/>
    <w:rsid w:val="00F345C6"/>
    <w:rsid w:val="00F36100"/>
    <w:rsid w:val="00F36883"/>
    <w:rsid w:val="00F3719E"/>
    <w:rsid w:val="00F37F33"/>
    <w:rsid w:val="00F40C3E"/>
    <w:rsid w:val="00F411AC"/>
    <w:rsid w:val="00F41F3D"/>
    <w:rsid w:val="00F428FC"/>
    <w:rsid w:val="00F431F5"/>
    <w:rsid w:val="00F4385B"/>
    <w:rsid w:val="00F45091"/>
    <w:rsid w:val="00F45F0B"/>
    <w:rsid w:val="00F45F9A"/>
    <w:rsid w:val="00F4624E"/>
    <w:rsid w:val="00F46515"/>
    <w:rsid w:val="00F47011"/>
    <w:rsid w:val="00F50D3A"/>
    <w:rsid w:val="00F50F25"/>
    <w:rsid w:val="00F5210E"/>
    <w:rsid w:val="00F53BCB"/>
    <w:rsid w:val="00F53ED6"/>
    <w:rsid w:val="00F5491B"/>
    <w:rsid w:val="00F5526F"/>
    <w:rsid w:val="00F55A80"/>
    <w:rsid w:val="00F61267"/>
    <w:rsid w:val="00F61898"/>
    <w:rsid w:val="00F622C7"/>
    <w:rsid w:val="00F64A09"/>
    <w:rsid w:val="00F655E1"/>
    <w:rsid w:val="00F65BFC"/>
    <w:rsid w:val="00F65D70"/>
    <w:rsid w:val="00F67273"/>
    <w:rsid w:val="00F67631"/>
    <w:rsid w:val="00F67D9F"/>
    <w:rsid w:val="00F701EF"/>
    <w:rsid w:val="00F71674"/>
    <w:rsid w:val="00F71836"/>
    <w:rsid w:val="00F7215D"/>
    <w:rsid w:val="00F72781"/>
    <w:rsid w:val="00F72C5E"/>
    <w:rsid w:val="00F72E66"/>
    <w:rsid w:val="00F72F97"/>
    <w:rsid w:val="00F73A35"/>
    <w:rsid w:val="00F7424B"/>
    <w:rsid w:val="00F74EA6"/>
    <w:rsid w:val="00F757A9"/>
    <w:rsid w:val="00F769E3"/>
    <w:rsid w:val="00F77DFF"/>
    <w:rsid w:val="00F804DE"/>
    <w:rsid w:val="00F805C2"/>
    <w:rsid w:val="00F80614"/>
    <w:rsid w:val="00F82037"/>
    <w:rsid w:val="00F8213D"/>
    <w:rsid w:val="00F831F2"/>
    <w:rsid w:val="00F836E5"/>
    <w:rsid w:val="00F8486F"/>
    <w:rsid w:val="00F84871"/>
    <w:rsid w:val="00F852D6"/>
    <w:rsid w:val="00F87BAC"/>
    <w:rsid w:val="00F90102"/>
    <w:rsid w:val="00F90EC8"/>
    <w:rsid w:val="00F91C38"/>
    <w:rsid w:val="00F929CC"/>
    <w:rsid w:val="00F93454"/>
    <w:rsid w:val="00F94E11"/>
    <w:rsid w:val="00F94F2E"/>
    <w:rsid w:val="00F95498"/>
    <w:rsid w:val="00F955DE"/>
    <w:rsid w:val="00F95CB9"/>
    <w:rsid w:val="00F97AAC"/>
    <w:rsid w:val="00FA00E2"/>
    <w:rsid w:val="00FA152A"/>
    <w:rsid w:val="00FA1D73"/>
    <w:rsid w:val="00FA1F57"/>
    <w:rsid w:val="00FA3E71"/>
    <w:rsid w:val="00FA55C5"/>
    <w:rsid w:val="00FA5A2F"/>
    <w:rsid w:val="00FA6B46"/>
    <w:rsid w:val="00FA6C2A"/>
    <w:rsid w:val="00FA7654"/>
    <w:rsid w:val="00FB0A71"/>
    <w:rsid w:val="00FB161C"/>
    <w:rsid w:val="00FB2608"/>
    <w:rsid w:val="00FB32C1"/>
    <w:rsid w:val="00FB3324"/>
    <w:rsid w:val="00FB3926"/>
    <w:rsid w:val="00FB399F"/>
    <w:rsid w:val="00FB3F55"/>
    <w:rsid w:val="00FB5886"/>
    <w:rsid w:val="00FB5D21"/>
    <w:rsid w:val="00FB6018"/>
    <w:rsid w:val="00FB6DD8"/>
    <w:rsid w:val="00FB7AC0"/>
    <w:rsid w:val="00FC1523"/>
    <w:rsid w:val="00FC2729"/>
    <w:rsid w:val="00FC3954"/>
    <w:rsid w:val="00FC4E3A"/>
    <w:rsid w:val="00FC51F2"/>
    <w:rsid w:val="00FC5BB3"/>
    <w:rsid w:val="00FC76C0"/>
    <w:rsid w:val="00FD000C"/>
    <w:rsid w:val="00FD01F5"/>
    <w:rsid w:val="00FD0B62"/>
    <w:rsid w:val="00FD2BC0"/>
    <w:rsid w:val="00FD455F"/>
    <w:rsid w:val="00FD48A3"/>
    <w:rsid w:val="00FD4C87"/>
    <w:rsid w:val="00FD4E77"/>
    <w:rsid w:val="00FD6A64"/>
    <w:rsid w:val="00FD6ACE"/>
    <w:rsid w:val="00FD6FA6"/>
    <w:rsid w:val="00FD78FD"/>
    <w:rsid w:val="00FE090C"/>
    <w:rsid w:val="00FE1078"/>
    <w:rsid w:val="00FE1131"/>
    <w:rsid w:val="00FE2710"/>
    <w:rsid w:val="00FE2DC3"/>
    <w:rsid w:val="00FE3875"/>
    <w:rsid w:val="00FE4EDB"/>
    <w:rsid w:val="00FE777E"/>
    <w:rsid w:val="00FE7D62"/>
    <w:rsid w:val="00FE7DBB"/>
    <w:rsid w:val="00FF11A9"/>
    <w:rsid w:val="00FF1D8B"/>
    <w:rsid w:val="00FF25CC"/>
    <w:rsid w:val="00FF318F"/>
    <w:rsid w:val="00FF37A5"/>
    <w:rsid w:val="00FF384B"/>
    <w:rsid w:val="00FF40B9"/>
    <w:rsid w:val="00FF4833"/>
    <w:rsid w:val="00FF4959"/>
    <w:rsid w:val="00FF4CB1"/>
    <w:rsid w:val="00FF4F83"/>
    <w:rsid w:val="00FF5EE5"/>
    <w:rsid w:val="00FF6973"/>
    <w:rsid w:val="00FF6C0C"/>
    <w:rsid w:val="00FF71B8"/>
    <w:rsid w:val="00FF73FC"/>
    <w:rsid w:val="00FF7A07"/>
    <w:rsid w:val="00FF7A3D"/>
    <w:rsid w:val="00FF7D58"/>
    <w:rsid w:val="02C4E3C5"/>
    <w:rsid w:val="0351EC13"/>
    <w:rsid w:val="0364F43E"/>
    <w:rsid w:val="03D0F843"/>
    <w:rsid w:val="06FF5E44"/>
    <w:rsid w:val="0C04914D"/>
    <w:rsid w:val="0DF4CA4C"/>
    <w:rsid w:val="0E06464A"/>
    <w:rsid w:val="0E536DC0"/>
    <w:rsid w:val="1A7C26AF"/>
    <w:rsid w:val="1C4339E8"/>
    <w:rsid w:val="297EE888"/>
    <w:rsid w:val="2F5CF15F"/>
    <w:rsid w:val="302EB05B"/>
    <w:rsid w:val="36A13803"/>
    <w:rsid w:val="36C0F6B0"/>
    <w:rsid w:val="42981C90"/>
    <w:rsid w:val="45285840"/>
    <w:rsid w:val="48030500"/>
    <w:rsid w:val="48A5F498"/>
    <w:rsid w:val="4E00CADF"/>
    <w:rsid w:val="4E49E58E"/>
    <w:rsid w:val="4E9B78A1"/>
    <w:rsid w:val="52F9B134"/>
    <w:rsid w:val="55753522"/>
    <w:rsid w:val="563F9B19"/>
    <w:rsid w:val="567D8942"/>
    <w:rsid w:val="584D8A68"/>
    <w:rsid w:val="588D7F0A"/>
    <w:rsid w:val="698862C3"/>
    <w:rsid w:val="6A73D3D3"/>
    <w:rsid w:val="6B12FC42"/>
    <w:rsid w:val="7373BF76"/>
    <w:rsid w:val="73961D8A"/>
    <w:rsid w:val="76E45A20"/>
    <w:rsid w:val="7B3FAECC"/>
    <w:rsid w:val="7CD4AA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FE5AAE3"/>
  <w15:docId w15:val="{5E1E2E16-83B2-4C41-938F-A3E50D87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2">
    <w:name w:val="heading 2"/>
    <w:basedOn w:val="Normal"/>
    <w:link w:val="Heading2Char"/>
    <w:uiPriority w:val="9"/>
    <w:qFormat/>
    <w:rsid w:val="0006529B"/>
    <w:pPr>
      <w:widowControl/>
      <w:autoSpaceDE/>
      <w:autoSpaceDN/>
      <w:adjustRightInd/>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9"/>
    </w:pPr>
    <w:rPr>
      <w:rFonts w:ascii="Arial" w:hAnsi="Arial" w:cs="Arial"/>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820C5"/>
    <w:rPr>
      <w:sz w:val="16"/>
      <w:szCs w:val="16"/>
    </w:rPr>
  </w:style>
  <w:style w:type="paragraph" w:styleId="CommentText">
    <w:name w:val="annotation text"/>
    <w:basedOn w:val="Normal"/>
    <w:link w:val="CommentTextChar"/>
    <w:uiPriority w:val="99"/>
    <w:unhideWhenUsed/>
    <w:rsid w:val="00A820C5"/>
    <w:rPr>
      <w:sz w:val="20"/>
      <w:szCs w:val="20"/>
    </w:rPr>
  </w:style>
  <w:style w:type="character" w:customStyle="1" w:styleId="CommentTextChar">
    <w:name w:val="Comment Text Char"/>
    <w:basedOn w:val="DefaultParagraphFont"/>
    <w:link w:val="CommentText"/>
    <w:uiPriority w:val="99"/>
    <w:rsid w:val="00A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20C5"/>
    <w:rPr>
      <w:b/>
      <w:bCs/>
    </w:rPr>
  </w:style>
  <w:style w:type="character" w:customStyle="1" w:styleId="CommentSubjectChar">
    <w:name w:val="Comment Subject Char"/>
    <w:basedOn w:val="CommentTextChar"/>
    <w:link w:val="CommentSubject"/>
    <w:uiPriority w:val="99"/>
    <w:semiHidden/>
    <w:rsid w:val="00A820C5"/>
    <w:rPr>
      <w:rFonts w:ascii="Times New Roman" w:hAnsi="Times New Roman"/>
      <w:b/>
      <w:bCs/>
      <w:sz w:val="20"/>
      <w:szCs w:val="20"/>
    </w:rPr>
  </w:style>
  <w:style w:type="paragraph" w:styleId="BalloonText">
    <w:name w:val="Balloon Text"/>
    <w:basedOn w:val="Normal"/>
    <w:link w:val="BalloonTextChar"/>
    <w:uiPriority w:val="99"/>
    <w:semiHidden/>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C5"/>
    <w:rPr>
      <w:rFonts w:ascii="Segoe UI" w:hAnsi="Segoe UI" w:cs="Segoe UI"/>
      <w:sz w:val="18"/>
      <w:szCs w:val="18"/>
    </w:rPr>
  </w:style>
  <w:style w:type="paragraph" w:styleId="Header">
    <w:name w:val="header"/>
    <w:basedOn w:val="Normal"/>
    <w:link w:val="HeaderChar"/>
    <w:uiPriority w:val="99"/>
    <w:unhideWhenUsed/>
    <w:rsid w:val="008C26D8"/>
    <w:pPr>
      <w:tabs>
        <w:tab w:val="center" w:pos="4680"/>
        <w:tab w:val="right" w:pos="9360"/>
      </w:tabs>
    </w:pPr>
  </w:style>
  <w:style w:type="character" w:customStyle="1" w:styleId="HeaderChar">
    <w:name w:val="Header Char"/>
    <w:basedOn w:val="DefaultParagraphFont"/>
    <w:link w:val="Header"/>
    <w:uiPriority w:val="99"/>
    <w:rsid w:val="008C26D8"/>
    <w:rPr>
      <w:rFonts w:ascii="Times New Roman" w:hAnsi="Times New Roman"/>
      <w:sz w:val="24"/>
      <w:szCs w:val="24"/>
    </w:rPr>
  </w:style>
  <w:style w:type="paragraph" w:styleId="Footer">
    <w:name w:val="footer"/>
    <w:basedOn w:val="Normal"/>
    <w:link w:val="FooterChar"/>
    <w:uiPriority w:val="99"/>
    <w:unhideWhenUsed/>
    <w:rsid w:val="008C26D8"/>
    <w:pPr>
      <w:tabs>
        <w:tab w:val="center" w:pos="4680"/>
        <w:tab w:val="right" w:pos="9360"/>
      </w:tabs>
    </w:pPr>
  </w:style>
  <w:style w:type="character" w:customStyle="1" w:styleId="FooterChar">
    <w:name w:val="Footer Char"/>
    <w:basedOn w:val="DefaultParagraphFont"/>
    <w:link w:val="Footer"/>
    <w:uiPriority w:val="99"/>
    <w:rsid w:val="008C26D8"/>
    <w:rPr>
      <w:rFonts w:ascii="Times New Roman" w:hAnsi="Times New Roman"/>
      <w:sz w:val="24"/>
      <w:szCs w:val="24"/>
    </w:rPr>
  </w:style>
  <w:style w:type="paragraph" w:styleId="Revision">
    <w:name w:val="Revision"/>
    <w:hidden/>
    <w:uiPriority w:val="99"/>
    <w:semiHidden/>
    <w:rsid w:val="008C26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9F4133"/>
    <w:rPr>
      <w:color w:val="0563C1" w:themeColor="hyperlink"/>
      <w:u w:val="single"/>
    </w:rPr>
  </w:style>
  <w:style w:type="paragraph" w:styleId="ListBullet">
    <w:name w:val="List Bullet"/>
    <w:basedOn w:val="Normal"/>
    <w:uiPriority w:val="99"/>
    <w:unhideWhenUsed/>
    <w:rsid w:val="000B7895"/>
    <w:pPr>
      <w:numPr>
        <w:numId w:val="8"/>
      </w:numPr>
      <w:contextualSpacing/>
    </w:pPr>
  </w:style>
  <w:style w:type="table" w:styleId="TableGrid">
    <w:name w:val="Table Grid"/>
    <w:basedOn w:val="TableNormal"/>
    <w:rsid w:val="000A1DC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81F5A"/>
    <w:pPr>
      <w:autoSpaceDE/>
      <w:autoSpaceDN/>
      <w:adjustRightInd/>
    </w:pPr>
    <w:rPr>
      <w:rFonts w:eastAsia="Times New Roman"/>
      <w:szCs w:val="20"/>
    </w:rPr>
  </w:style>
  <w:style w:type="paragraph" w:styleId="FootnoteText">
    <w:name w:val="footnote text"/>
    <w:basedOn w:val="Normal"/>
    <w:link w:val="FootnoteTextChar"/>
    <w:uiPriority w:val="99"/>
    <w:semiHidden/>
    <w:unhideWhenUsed/>
    <w:rsid w:val="009A70F7"/>
    <w:rPr>
      <w:sz w:val="20"/>
      <w:szCs w:val="20"/>
    </w:rPr>
  </w:style>
  <w:style w:type="character" w:customStyle="1" w:styleId="FootnoteTextChar">
    <w:name w:val="Footnote Text Char"/>
    <w:basedOn w:val="DefaultParagraphFont"/>
    <w:link w:val="FootnoteText"/>
    <w:uiPriority w:val="99"/>
    <w:semiHidden/>
    <w:rsid w:val="009A70F7"/>
    <w:rPr>
      <w:rFonts w:ascii="Times New Roman" w:hAnsi="Times New Roman"/>
      <w:sz w:val="20"/>
      <w:szCs w:val="20"/>
    </w:rPr>
  </w:style>
  <w:style w:type="character" w:styleId="FootnoteReference">
    <w:name w:val="footnote reference"/>
    <w:basedOn w:val="DefaultParagraphFont"/>
    <w:uiPriority w:val="99"/>
    <w:semiHidden/>
    <w:unhideWhenUsed/>
    <w:rsid w:val="009A70F7"/>
    <w:rPr>
      <w:vertAlign w:val="superscript"/>
    </w:rPr>
  </w:style>
  <w:style w:type="paragraph" w:customStyle="1" w:styleId="Default">
    <w:name w:val="Default"/>
    <w:rsid w:val="003C5EE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FD48A3"/>
    <w:rPr>
      <w:color w:val="605E5C"/>
      <w:shd w:val="clear" w:color="auto" w:fill="E1DFDD"/>
    </w:rPr>
  </w:style>
  <w:style w:type="character" w:styleId="FollowedHyperlink">
    <w:name w:val="FollowedHyperlink"/>
    <w:basedOn w:val="DefaultParagraphFont"/>
    <w:uiPriority w:val="99"/>
    <w:semiHidden/>
    <w:unhideWhenUsed/>
    <w:rsid w:val="003C7A38"/>
    <w:rPr>
      <w:color w:val="954F72" w:themeColor="followedHyperlink"/>
      <w:u w:val="single"/>
    </w:rPr>
  </w:style>
  <w:style w:type="paragraph" w:customStyle="1" w:styleId="text">
    <w:name w:val="text"/>
    <w:basedOn w:val="Normal"/>
    <w:rsid w:val="00074716"/>
    <w:pPr>
      <w:widowControl/>
      <w:autoSpaceDE/>
      <w:autoSpaceDN/>
      <w:adjustRightInd/>
      <w:spacing w:after="240"/>
    </w:pPr>
    <w:rPr>
      <w:rFonts w:ascii="Arial" w:eastAsia="Times New Roman" w:hAnsi="Arial" w:cs="Arial"/>
      <w:sz w:val="22"/>
      <w:szCs w:val="20"/>
    </w:rPr>
  </w:style>
  <w:style w:type="paragraph" w:styleId="Caption">
    <w:name w:val="caption"/>
    <w:basedOn w:val="Normal"/>
    <w:next w:val="Normal"/>
    <w:uiPriority w:val="35"/>
    <w:unhideWhenUsed/>
    <w:qFormat/>
    <w:rsid w:val="00D02858"/>
    <w:pPr>
      <w:spacing w:after="200"/>
    </w:pPr>
    <w:rPr>
      <w:i/>
      <w:iCs/>
      <w:color w:val="44546A" w:themeColor="text2"/>
      <w:sz w:val="18"/>
      <w:szCs w:val="18"/>
    </w:rPr>
  </w:style>
  <w:style w:type="character" w:styleId="Mention">
    <w:name w:val="Mention"/>
    <w:basedOn w:val="DefaultParagraphFont"/>
    <w:uiPriority w:val="99"/>
    <w:unhideWhenUsed/>
    <w:rsid w:val="00831798"/>
    <w:rPr>
      <w:color w:val="2B579A"/>
      <w:shd w:val="clear" w:color="auto" w:fill="E1DFDD"/>
    </w:rPr>
  </w:style>
  <w:style w:type="character" w:customStyle="1" w:styleId="Heading2Char">
    <w:name w:val="Heading 2 Char"/>
    <w:basedOn w:val="DefaultParagraphFont"/>
    <w:link w:val="Heading2"/>
    <w:uiPriority w:val="9"/>
    <w:rsid w:val="0006529B"/>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D04316257B8244A2AD9454DAFE6BD2" ma:contentTypeVersion="4" ma:contentTypeDescription="Create a new document." ma:contentTypeScope="" ma:versionID="d62e2faac375a9b7e4e9955af5a35bc0">
  <xsd:schema xmlns:xsd="http://www.w3.org/2001/XMLSchema" xmlns:xs="http://www.w3.org/2001/XMLSchema" xmlns:p="http://schemas.microsoft.com/office/2006/metadata/properties" xmlns:ns2="9a4e6bee-3585-4a62-ae82-bdd4e55e6d10" xmlns:ns3="05654417-e33f-4c0c-beee-5b6e6d0b1052" targetNamespace="http://schemas.microsoft.com/office/2006/metadata/properties" ma:root="true" ma:fieldsID="f20f4424e8f69d05c13d6719b2531465" ns2:_="" ns3:_="">
    <xsd:import namespace="9a4e6bee-3585-4a62-ae82-bdd4e55e6d10"/>
    <xsd:import namespace="05654417-e33f-4c0c-beee-5b6e6d0b10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6bee-3585-4a62-ae82-bdd4e55e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4417-e33f-4c0c-beee-5b6e6d0b1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5654417-e33f-4c0c-beee-5b6e6d0b1052">
      <UserInfo>
        <DisplayName>Lynn Ronewicz</DisplayName>
        <AccountId>85</AccountId>
        <AccountType/>
      </UserInfo>
      <UserInfo>
        <DisplayName>Wesley Brunson</DisplayName>
        <AccountId>14</AccountId>
        <AccountType/>
      </UserInfo>
      <UserInfo>
        <DisplayName>Jennifer Davis</DisplayName>
        <AccountId>251</AccountId>
        <AccountType/>
      </UserInfo>
      <UserInfo>
        <DisplayName>Kevin Folk</DisplayName>
        <AccountId>1905</AccountId>
        <AccountType/>
      </UserInfo>
      <UserInfo>
        <DisplayName>Munira Ghneim</DisplayName>
        <AccountId>10</AccountId>
        <AccountType/>
      </UserInfo>
      <UserInfo>
        <DisplayName>Manjula Gunasekera</DisplayName>
        <AccountId>21</AccountId>
        <AccountType/>
      </UserInfo>
      <UserInfo>
        <DisplayName>Marcia Henley</DisplayName>
        <AccountId>369</AccountId>
        <AccountType/>
      </UserInfo>
      <UserInfo>
        <DisplayName>Victoria Huckabay (She)</DisplayName>
        <AccountId>241</AccountId>
        <AccountType/>
      </UserInfo>
      <UserInfo>
        <DisplayName>Glenna Lappert-Jones</DisplayName>
        <AccountId>242</AccountId>
        <AccountType/>
      </UserInfo>
      <UserInfo>
        <DisplayName>Yanely Malave-Velez</DisplayName>
        <AccountId>257</AccountId>
        <AccountType/>
      </UserInfo>
      <UserInfo>
        <DisplayName>Kristopher Thieneman</DisplayName>
        <AccountId>13</AccountId>
        <AccountType/>
      </UserInfo>
      <UserInfo>
        <DisplayName>Patricia Holahan</DisplayName>
        <AccountId>72</AccountId>
        <AccountType/>
      </UserInfo>
      <UserInfo>
        <DisplayName>Sherri Miotla (She/Her)</DisplayName>
        <AccountId>389</AccountId>
        <AccountType/>
      </UserInfo>
      <UserInfo>
        <DisplayName>John Moses</DisplayName>
        <AccountId>318</AccountId>
        <AccountType/>
      </UserInfo>
      <UserInfo>
        <DisplayName>Louise Lund</DisplayName>
        <AccountId>316</AccountId>
        <AccountType/>
      </UserInfo>
      <UserInfo>
        <DisplayName>John McKirgan</DisplayName>
        <AccountId>104</AccountId>
        <AccountType/>
      </UserInfo>
      <UserInfo>
        <DisplayName>Kimberly Webber</DisplayName>
        <AccountId>229</AccountId>
        <AccountType/>
      </UserInfo>
      <UserInfo>
        <DisplayName>Teri Lalain</DisplayName>
        <AccountId>484</AccountId>
        <AccountType/>
      </UserInfo>
      <UserInfo>
        <DisplayName>Russell Allwein</DisplayName>
        <AccountId>66</AccountId>
        <AccountType/>
      </UserInfo>
      <UserInfo>
        <DisplayName>Sherry Titherington</DisplayName>
        <AccountId>286</AccountId>
        <AccountType/>
      </UserInfo>
      <UserInfo>
        <DisplayName>David Cullison</DisplayName>
        <AccountId>68</AccountId>
        <AccountType/>
      </UserInfo>
      <UserInfo>
        <DisplayName>John Lubinski</DisplayName>
        <AccountId>73</AccountId>
        <AccountType/>
      </UserInfo>
      <UserInfo>
        <DisplayName>Robert Lewis</DisplayName>
        <AccountId>253</AccountId>
        <AccountType/>
      </UserInfo>
      <UserInfo>
        <DisplayName>Helen Chang</DisplayName>
        <AccountId>203</AccountId>
        <AccountType/>
      </UserInfo>
      <UserInfo>
        <DisplayName>Cindy Bladey</DisplayName>
        <AccountId>67</AccountId>
        <AccountType/>
      </UserInfo>
      <UserInfo>
        <DisplayName>Fred Schofer</DisplayName>
        <AccountId>77</AccountId>
        <AccountType/>
      </UserInfo>
      <UserInfo>
        <DisplayName>Brian Smith - NRR</DisplayName>
        <AccountId>319</AccountId>
        <AccountType/>
      </UserInfo>
      <UserInfo>
        <DisplayName>Maxwell Smith</DisplayName>
        <AccountId>321</AccountId>
        <AccountType/>
      </UserInfo>
      <UserInfo>
        <DisplayName>Adam Gendelman</DisplayName>
        <AccountId>198</AccountId>
        <AccountType/>
      </UserInfo>
      <UserInfo>
        <DisplayName>Mike Franovich</DisplayName>
        <AccountId>148</AccountId>
        <AccountType/>
      </UserInfo>
      <UserInfo>
        <DisplayName>Recasha Mitchell</DisplayName>
        <AccountId>214</AccountId>
        <AccountType/>
      </UserInfo>
      <UserInfo>
        <DisplayName>Sharon Bennett</DisplayName>
        <AccountId>324</AccountId>
        <AccountType/>
      </UserInfo>
      <UserInfo>
        <DisplayName>Samantha Lav</DisplayName>
        <AccountId>1928</AccountId>
        <AccountType/>
      </UserInfo>
      <UserInfo>
        <DisplayName>Jennie Rankin</DisplayName>
        <AccountId>671</AccountId>
        <AccountType/>
      </UserInfo>
      <UserInfo>
        <DisplayName>Stephanie Devlin-Gill (She/Her)</DisplayName>
        <AccountId>648</AccountId>
        <AccountType/>
      </UserInfo>
      <UserInfo>
        <DisplayName>Yessie Correa</DisplayName>
        <AccountId>218</AccountId>
        <AccountType/>
      </UserInfo>
      <UserInfo>
        <DisplayName>Kate Suh</DisplayName>
        <AccountId>32</AccountId>
        <AccountType/>
      </UserInfo>
      <UserInfo>
        <DisplayName>Andrea Veil</DisplayName>
        <AccountId>132</AccountId>
        <AccountType/>
      </UserInfo>
      <UserInfo>
        <DisplayName>Robert Taylor</DisplayName>
        <AccountId>410</AccountId>
        <AccountType/>
      </UserInfo>
      <UserInfo>
        <DisplayName>Sylvia Woods</DisplayName>
        <AccountId>57</AccountId>
        <AccountType/>
      </UserInfo>
      <UserInfo>
        <DisplayName>Sandra Rodriguez</DisplayName>
        <AccountId>24</AccountId>
        <AccountType/>
      </UserInfo>
      <UserInfo>
        <DisplayName>Brian Harris</DisplayName>
        <AccountId>885</AccountId>
        <AccountType/>
      </UserInfo>
      <UserInfo>
        <DisplayName>Joseph Azeizat</DisplayName>
        <AccountId>3315</AccountId>
        <AccountType/>
      </UserInfo>
      <UserInfo>
        <DisplayName>Alyssa Valentine</DisplayName>
        <AccountId>3380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431D72B-4BA7-4865-B87E-E12C2A32FCEE}">
  <ds:schemaRefs>
    <ds:schemaRef ds:uri="http://schemas.microsoft.com/sharepoint/v3/contenttype/forms"/>
  </ds:schemaRefs>
</ds:datastoreItem>
</file>

<file path=customXml/itemProps2.xml><?xml version="1.0" encoding="utf-8"?>
<ds:datastoreItem xmlns:ds="http://schemas.openxmlformats.org/officeDocument/2006/customXml" ds:itemID="{57FB885D-C6E0-4246-8136-A4D676E6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e6bee-3585-4a62-ae82-bdd4e55e6d10"/>
    <ds:schemaRef ds:uri="05654417-e33f-4c0c-beee-5b6e6d0b1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0458C-0E02-4687-B185-9E691413274B}">
  <ds:schemaRefs>
    <ds:schemaRef ds:uri="http://schemas.microsoft.com/office/infopath/2007/PartnerControls"/>
    <ds:schemaRef ds:uri="05654417-e33f-4c0c-beee-5b6e6d0b105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a4e6bee-3585-4a62-ae82-bdd4e55e6d10"/>
    <ds:schemaRef ds:uri="http://www.w3.org/XML/1998/namespace"/>
  </ds:schemaRefs>
</ds:datastoreItem>
</file>

<file path=customXml/itemProps4.xml><?xml version="1.0" encoding="utf-8"?>
<ds:datastoreItem xmlns:ds="http://schemas.openxmlformats.org/officeDocument/2006/customXml" ds:itemID="{76DD43ED-B79C-4C25-9B7F-C96716467FC1}">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Privilege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6896</Words>
  <Characters>38526</Characters>
  <Application>Microsoft Office Word</Application>
  <DocSecurity>0</DocSecurity>
  <Lines>321</Lines>
  <Paragraphs>90</Paragraphs>
  <ScaleCrop>false</ScaleCrop>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Dan</dc:creator>
  <cp:lastModifiedBy>Kristen Benney</cp:lastModifiedBy>
  <cp:revision>2</cp:revision>
  <dcterms:created xsi:type="dcterms:W3CDTF">2023-02-23T18:54:00Z</dcterms:created>
  <dcterms:modified xsi:type="dcterms:W3CDTF">2023-02-23T18:54:00Z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0x01010075D04316257B8244A2AD9454DAFE6BD2</vt:lpwstr>
  </property>
  <property fmtid="{D5CDD505-2E9C-101B-9397-08002B2CF9AE}" pid="3" name="MediaServiceImageTags">
    <vt:lpwstr/>
  </property>
  <property fmtid="{D5CDD505-2E9C-101B-9397-08002B2CF9AE}" pid="4" name="MSIP_Label_fb74f9b6-60a9-4243-a26a-1dfd9303d70f_ActionId">
    <vt:lpwstr>3bf9c213-a995-42b4-98f1-4b4f0a9a8054</vt:lpwstr>
  </property>
  <property fmtid="{D5CDD505-2E9C-101B-9397-08002B2CF9AE}" pid="5" name="MSIP_Label_fb74f9b6-60a9-4243-a26a-1dfd9303d70f_ContentBits">
    <vt:lpwstr>0</vt:lpwstr>
  </property>
  <property fmtid="{D5CDD505-2E9C-101B-9397-08002B2CF9AE}" pid="6" name="MSIP_Label_fb74f9b6-60a9-4243-a26a-1dfd9303d70f_Enabled">
    <vt:lpwstr>true</vt:lpwstr>
  </property>
  <property fmtid="{D5CDD505-2E9C-101B-9397-08002B2CF9AE}" pid="7" name="MSIP_Label_fb74f9b6-60a9-4243-a26a-1dfd9303d70f_Method">
    <vt:lpwstr>Privileged</vt:lpwstr>
  </property>
  <property fmtid="{D5CDD505-2E9C-101B-9397-08002B2CF9AE}" pid="8" name="MSIP_Label_fb74f9b6-60a9-4243-a26a-1dfd9303d70f_Name">
    <vt:lpwstr>fb74f9b6-60a9-4243-a26a-1dfd9303d70f</vt:lpwstr>
  </property>
  <property fmtid="{D5CDD505-2E9C-101B-9397-08002B2CF9AE}" pid="9" name="MSIP_Label_fb74f9b6-60a9-4243-a26a-1dfd9303d70f_SetDate">
    <vt:lpwstr>2022-04-29T20:44:46Z</vt:lpwstr>
  </property>
  <property fmtid="{D5CDD505-2E9C-101B-9397-08002B2CF9AE}" pid="10" name="MSIP_Label_fb74f9b6-60a9-4243-a26a-1dfd9303d70f_SiteId">
    <vt:lpwstr>e8d01475-c3b5-436a-a065-5def4c64f52e</vt:lpwstr>
  </property>
  <property fmtid="{D5CDD505-2E9C-101B-9397-08002B2CF9AE}" pid="11" name="_dlc_DocIdItemGuid">
    <vt:lpwstr>e758bf36-a522-4f83-894d-30f8f3ed0f2c</vt:lpwstr>
  </property>
</Properties>
</file>