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1FDA" w:rsidRPr="008A169B" w:rsidP="008A169B" w14:paraId="6784D6BA" w14:textId="77777777">
      <w:pPr>
        <w:pStyle w:val="NoSpacing"/>
        <w:jc w:val="center"/>
        <w:rPr>
          <w:b/>
        </w:rPr>
      </w:pPr>
      <w:r w:rsidRPr="008A169B">
        <w:rPr>
          <w:b/>
        </w:rPr>
        <w:t>Justification of Change Worksheet</w:t>
      </w:r>
    </w:p>
    <w:p w:rsidR="005E4F66" w:rsidRPr="008A169B" w:rsidP="008A169B" w14:paraId="6E2E874B" w14:textId="5351C168">
      <w:pPr>
        <w:pStyle w:val="NoSpacing"/>
        <w:jc w:val="center"/>
        <w:rPr>
          <w:b/>
        </w:rPr>
      </w:pPr>
      <w:r>
        <w:rPr>
          <w:b/>
        </w:rPr>
        <w:t>Tart Cherry Information Collection</w:t>
      </w:r>
      <w:r w:rsidR="00382EC6">
        <w:rPr>
          <w:b/>
        </w:rPr>
        <w:t xml:space="preserve"> (OMB No.</w:t>
      </w:r>
      <w:r>
        <w:rPr>
          <w:b/>
        </w:rPr>
        <w:t xml:space="preserve"> </w:t>
      </w:r>
      <w:r w:rsidR="00926CAB">
        <w:rPr>
          <w:b/>
        </w:rPr>
        <w:t>0581</w:t>
      </w:r>
      <w:r>
        <w:rPr>
          <w:b/>
        </w:rPr>
        <w:t>-0177</w:t>
      </w:r>
      <w:r w:rsidR="00382EC6">
        <w:rPr>
          <w:b/>
        </w:rPr>
        <w:t>)</w:t>
      </w:r>
    </w:p>
    <w:p w:rsidR="00341FDA" w:rsidRPr="008A169B" w:rsidP="008A169B" w14:paraId="0A092D67" w14:textId="6C596D29">
      <w:pPr>
        <w:pStyle w:val="NoSpacing"/>
        <w:jc w:val="center"/>
        <w:rPr>
          <w:b/>
        </w:rPr>
      </w:pPr>
      <w:r>
        <w:rPr>
          <w:b/>
        </w:rPr>
        <w:t xml:space="preserve">Modification to </w:t>
      </w:r>
      <w:r w:rsidRPr="008A169B" w:rsidR="004C444F">
        <w:rPr>
          <w:b/>
        </w:rPr>
        <w:t>Background Nomination Form</w:t>
      </w:r>
    </w:p>
    <w:p w:rsidR="005F54E9" w:rsidRPr="005F54E9" w:rsidP="008A169B" w14:paraId="526A6808" w14:textId="77777777">
      <w:pPr>
        <w:pStyle w:val="NoSpacing"/>
        <w:rPr>
          <w:bCs/>
        </w:rPr>
      </w:pPr>
    </w:p>
    <w:p w:rsidR="00341FDA" w:rsidRPr="008A169B" w:rsidP="008A169B" w14:paraId="5D22C361" w14:textId="6F35B1BE">
      <w:pPr>
        <w:pStyle w:val="NoSpacing"/>
        <w:rPr>
          <w:b/>
        </w:rPr>
      </w:pPr>
      <w:r>
        <w:rPr>
          <w:b/>
        </w:rPr>
        <w:t>June</w:t>
      </w:r>
      <w:r w:rsidR="007B10F1">
        <w:rPr>
          <w:b/>
        </w:rPr>
        <w:t xml:space="preserve"> 2022</w:t>
      </w:r>
    </w:p>
    <w:p w:rsidR="00341FDA" w:rsidP="008A169B" w14:paraId="19AE386E" w14:textId="40BE2CFD">
      <w:pPr>
        <w:pStyle w:val="NoSpacing"/>
      </w:pPr>
    </w:p>
    <w:p w:rsidR="007B10F1" w:rsidP="008A169B" w14:paraId="4E95E2BF" w14:textId="79F0B870">
      <w:pPr>
        <w:pStyle w:val="NoSpacing"/>
      </w:pPr>
      <w:r>
        <w:t xml:space="preserve">The Agricultural Marketing Service </w:t>
      </w:r>
      <w:r w:rsidR="00823649">
        <w:t xml:space="preserve">(AMS) </w:t>
      </w:r>
      <w:r>
        <w:t xml:space="preserve">maintains the “Background Form – Industry (SC-9)” </w:t>
      </w:r>
      <w:r w:rsidR="00382EC6">
        <w:t xml:space="preserve">in OMB No. 0581-0177 </w:t>
      </w:r>
      <w:r>
        <w:t xml:space="preserve">for use by multiple marketing order committees when collecting information from producers and handlers seeking nomination to serve on the respective committee.  To determine whether </w:t>
      </w:r>
      <w:r w:rsidR="004C5E6C">
        <w:t>a</w:t>
      </w:r>
      <w:r>
        <w:t xml:space="preserve"> nominee </w:t>
      </w:r>
      <w:r w:rsidR="004C5E6C">
        <w:t xml:space="preserve">meets the qualifications </w:t>
      </w:r>
      <w:r>
        <w:t xml:space="preserve">of </w:t>
      </w:r>
      <w:r w:rsidR="004C5E6C">
        <w:t xml:space="preserve">a </w:t>
      </w:r>
      <w:r>
        <w:t xml:space="preserve">small business, </w:t>
      </w:r>
      <w:r w:rsidR="00823649">
        <w:t xml:space="preserve">the SC-9 </w:t>
      </w:r>
      <w:r>
        <w:t xml:space="preserve">form </w:t>
      </w:r>
      <w:r w:rsidR="00823649">
        <w:t>include</w:t>
      </w:r>
      <w:r>
        <w:t xml:space="preserve">s a </w:t>
      </w:r>
      <w:r w:rsidR="00823649">
        <w:t xml:space="preserve">yes-no </w:t>
      </w:r>
      <w:r>
        <w:t xml:space="preserve">question on </w:t>
      </w:r>
      <w:r w:rsidR="00823649">
        <w:t xml:space="preserve">if the </w:t>
      </w:r>
      <w:r w:rsidR="00C030B5">
        <w:t xml:space="preserve">individual’s </w:t>
      </w:r>
      <w:r w:rsidR="00823649">
        <w:t>c</w:t>
      </w:r>
      <w:r>
        <w:t>ompany</w:t>
      </w:r>
      <w:r w:rsidR="00823649">
        <w:t xml:space="preserve"> is a small business</w:t>
      </w:r>
      <w:r>
        <w:t xml:space="preserve"> and indicates the Small Business Administration’s </w:t>
      </w:r>
      <w:r w:rsidR="000E1675">
        <w:t xml:space="preserve">(SBA) </w:t>
      </w:r>
      <w:r>
        <w:t xml:space="preserve">$1,000,000 threshold for producers and $30,000,000 for handlers.  </w:t>
      </w:r>
      <w:r w:rsidR="000E1675">
        <w:t xml:space="preserve">The </w:t>
      </w:r>
      <w:r w:rsidR="00823649">
        <w:t xml:space="preserve">SBA’s 2022 finalized amendment to 13 CFR 121.201 necessitates the need for AMS to modify the producer threshold </w:t>
      </w:r>
      <w:r w:rsidR="00EE3EE0">
        <w:t>according to</w:t>
      </w:r>
      <w:r w:rsidR="00420DB0">
        <w:t xml:space="preserve"> </w:t>
      </w:r>
      <w:r w:rsidR="00903CC5">
        <w:t xml:space="preserve">the producer’s </w:t>
      </w:r>
      <w:r w:rsidR="00420DB0">
        <w:t>product shown in the table below</w:t>
      </w:r>
      <w:r w:rsidR="00823649">
        <w:t xml:space="preserve">.  </w:t>
      </w:r>
      <w:r w:rsidR="000D028D">
        <w:t xml:space="preserve">In addition, this will </w:t>
      </w:r>
      <w:r w:rsidR="002F0AB1">
        <w:t xml:space="preserve">also </w:t>
      </w:r>
      <w:r w:rsidR="000D028D">
        <w:t xml:space="preserve">update the SBA threshold for handlers from 7,500,000 to 30,000,000.  </w:t>
      </w:r>
      <w:r w:rsidR="00823649">
        <w:t>Making the change will allow AMS to accurate</w:t>
      </w:r>
      <w:r w:rsidR="00F8646A">
        <w:t>ly</w:t>
      </w:r>
      <w:r w:rsidR="00823649">
        <w:t xml:space="preserve"> capture each nominees’ status as a small business.</w:t>
      </w:r>
    </w:p>
    <w:p w:rsidR="001F44F7" w:rsidP="008A169B" w14:paraId="1BFC3678" w14:textId="77777777">
      <w:pPr>
        <w:pStyle w:val="NoSpacing"/>
      </w:pPr>
    </w:p>
    <w:p w:rsidR="00605ED5" w:rsidP="008A169B" w14:paraId="180252BF" w14:textId="210F12E5">
      <w:pPr>
        <w:pStyle w:val="NoSpacing"/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1"/>
        <w:tblW w:w="4675" w:type="dxa"/>
        <w:tblLook w:val="04A0"/>
      </w:tblPr>
      <w:tblGrid>
        <w:gridCol w:w="2245"/>
        <w:gridCol w:w="2340"/>
        <w:gridCol w:w="90"/>
      </w:tblGrid>
      <w:tr w14:paraId="2852FBA3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09584A" w:rsidP="0073278F" w14:paraId="1CBAACFB" w14:textId="777777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bookmarkStart w:id="0" w:name="_Hlk105285507"/>
            <w:bookmarkStart w:id="1" w:name="_Hlk105285544"/>
            <w:r w:rsidRPr="00FA4F81">
              <w:rPr>
                <w:b/>
                <w:bCs/>
                <w:sz w:val="22"/>
                <w:szCs w:val="22"/>
              </w:rPr>
              <w:t>Fruits, Vegetables. Nuts and Specialty Crops</w:t>
            </w:r>
          </w:p>
        </w:tc>
        <w:tc>
          <w:tcPr>
            <w:tcW w:w="2430" w:type="dxa"/>
            <w:gridSpan w:val="2"/>
          </w:tcPr>
          <w:p w:rsidR="0073278F" w:rsidRPr="0009584A" w:rsidP="0073278F" w14:paraId="408ACFCE" w14:textId="777777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4F81">
              <w:rPr>
                <w:b/>
                <w:bCs/>
                <w:sz w:val="22"/>
                <w:szCs w:val="22"/>
              </w:rPr>
              <w:t>Small Business Administration Size Standards (in millions) for Small Farms</w:t>
            </w:r>
          </w:p>
        </w:tc>
      </w:tr>
      <w:tr w14:paraId="0200B92C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128C61FA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Apricots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2E976B6B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$ 3.0</w:t>
            </w:r>
          </w:p>
        </w:tc>
      </w:tr>
      <w:tr w14:paraId="308D940B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70CC8388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Avocados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70DEDB3D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$ 3.0</w:t>
            </w:r>
          </w:p>
        </w:tc>
      </w:tr>
      <w:tr w14:paraId="3A64D98D" w14:textId="77777777" w:rsidTr="00FA4F81">
        <w:tblPrEx>
          <w:tblW w:w="4675" w:type="dxa"/>
          <w:tblLook w:val="04A0"/>
        </w:tblPrEx>
        <w:trPr>
          <w:trHeight w:val="261"/>
        </w:trPr>
        <w:tc>
          <w:tcPr>
            <w:tcW w:w="2245" w:type="dxa"/>
          </w:tcPr>
          <w:p w:rsidR="0073278F" w:rsidRPr="00FA4F81" w:rsidP="0073278F" w14:paraId="42753E97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Cranberries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26EF0378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$ 3.25</w:t>
            </w:r>
          </w:p>
        </w:tc>
      </w:tr>
      <w:tr w14:paraId="273A9EAC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49FAD096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Orange Groves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3620E694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$ 3.5</w:t>
            </w:r>
          </w:p>
        </w:tc>
      </w:tr>
      <w:tr w14:paraId="0106282B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0EE5FD56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Citrus (except Orange) Groves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28347F58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$ 3.75</w:t>
            </w:r>
          </w:p>
        </w:tc>
      </w:tr>
      <w:tr w14:paraId="046F728A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643F9AE3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Grape Vineyards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7725E92E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$3.5</w:t>
            </w:r>
          </w:p>
        </w:tc>
      </w:tr>
      <w:tr w14:paraId="1D3C67CD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4289D01B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Kiwifruit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3C016996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$3.0</w:t>
            </w:r>
          </w:p>
        </w:tc>
      </w:tr>
      <w:tr w14:paraId="2073B2D1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3166E1D0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Pears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52F1C732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$3.0</w:t>
            </w:r>
          </w:p>
        </w:tc>
      </w:tr>
      <w:tr w14:paraId="6D814D67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119FB3C0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Sweet Cherries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36BF8C97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$3.0</w:t>
            </w:r>
          </w:p>
        </w:tc>
      </w:tr>
      <w:tr w14:paraId="3933E3AD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14834C60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Tart Cherries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0C15BE58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$3.0</w:t>
            </w:r>
          </w:p>
        </w:tc>
      </w:tr>
      <w:tr w14:paraId="4593BB37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16B2360C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Pecans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4DD027CD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$3.25</w:t>
            </w:r>
          </w:p>
        </w:tc>
      </w:tr>
      <w:tr w14:paraId="0A8DA87D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4F81FB5B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Spearmint Oil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4894ABBF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$2.25</w:t>
            </w:r>
          </w:p>
        </w:tc>
      </w:tr>
      <w:tr w14:paraId="255C80E3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77857EAD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Potato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5759A6B0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$3.75</w:t>
            </w:r>
          </w:p>
        </w:tc>
      </w:tr>
      <w:tr w14:paraId="68A787D5" w14:textId="77777777" w:rsidTr="00FA4F81">
        <w:tblPrEx>
          <w:tblW w:w="4675" w:type="dxa"/>
          <w:tblLook w:val="04A0"/>
        </w:tblPrEx>
        <w:trPr>
          <w:trHeight w:val="245"/>
        </w:trPr>
        <w:tc>
          <w:tcPr>
            <w:tcW w:w="2245" w:type="dxa"/>
          </w:tcPr>
          <w:p w:rsidR="0073278F" w:rsidRPr="00FA4F81" w:rsidP="0073278F" w14:paraId="68C93ADC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Onions</w:t>
            </w:r>
          </w:p>
        </w:tc>
        <w:tc>
          <w:tcPr>
            <w:tcW w:w="2430" w:type="dxa"/>
            <w:gridSpan w:val="2"/>
          </w:tcPr>
          <w:p w:rsidR="0073278F" w:rsidRPr="00FA4F81" w:rsidP="0073278F" w14:paraId="0AE4052F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$3.25</w:t>
            </w:r>
          </w:p>
        </w:tc>
      </w:tr>
      <w:tr w14:paraId="68254EF5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605ED5" w:rsidP="0073278F" w14:paraId="631BEC9E" w14:textId="777777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4F81">
              <w:rPr>
                <w:b/>
                <w:bCs/>
                <w:sz w:val="22"/>
                <w:szCs w:val="22"/>
              </w:rPr>
              <w:t>Fruits, Vegetables. Nuts and Specialty Crops</w:t>
            </w:r>
          </w:p>
        </w:tc>
        <w:tc>
          <w:tcPr>
            <w:tcW w:w="2340" w:type="dxa"/>
          </w:tcPr>
          <w:p w:rsidR="0073278F" w:rsidRPr="00605ED5" w:rsidP="0073278F" w14:paraId="4151548C" w14:textId="7777777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4F81">
              <w:rPr>
                <w:b/>
                <w:bCs/>
                <w:sz w:val="22"/>
                <w:szCs w:val="22"/>
              </w:rPr>
              <w:t>Small Business Administration Size Standards (in millions) for Small Farms</w:t>
            </w:r>
          </w:p>
        </w:tc>
      </w:tr>
      <w:tr w14:paraId="5EFC14CF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FA4F81" w:rsidP="0073278F" w14:paraId="7A52ED82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Olives</w:t>
            </w:r>
          </w:p>
        </w:tc>
        <w:tc>
          <w:tcPr>
            <w:tcW w:w="2340" w:type="dxa"/>
          </w:tcPr>
          <w:p w:rsidR="0073278F" w:rsidRPr="00FA4F81" w:rsidP="0073278F" w14:paraId="5A6E92A1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$3.0</w:t>
            </w:r>
          </w:p>
        </w:tc>
      </w:tr>
      <w:tr w14:paraId="6B4BDDD9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FA4F81" w:rsidP="0073278F" w14:paraId="07B73FBD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Tomato farming (except under cover), field, bedding plant and seed production</w:t>
            </w:r>
          </w:p>
        </w:tc>
        <w:tc>
          <w:tcPr>
            <w:tcW w:w="2340" w:type="dxa"/>
          </w:tcPr>
          <w:p w:rsidR="0073278F" w:rsidRPr="00FA4F81" w:rsidP="0073278F" w14:paraId="1C14F6C6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$3.25</w:t>
            </w:r>
          </w:p>
        </w:tc>
      </w:tr>
      <w:tr w14:paraId="2B6FB64D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FA4F81" w:rsidP="0073278F" w14:paraId="588AB874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Tomato farming grown under cover</w:t>
            </w:r>
          </w:p>
        </w:tc>
        <w:tc>
          <w:tcPr>
            <w:tcW w:w="2340" w:type="dxa"/>
          </w:tcPr>
          <w:p w:rsidR="0073278F" w:rsidRPr="00FA4F81" w:rsidP="0073278F" w14:paraId="5CD32643" w14:textId="777777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F81">
              <w:rPr>
                <w:sz w:val="22"/>
                <w:szCs w:val="22"/>
              </w:rPr>
              <w:t>$4.0</w:t>
            </w:r>
          </w:p>
        </w:tc>
      </w:tr>
      <w:tr w14:paraId="2BDEE1A7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605ED5" w:rsidP="0073278F" w14:paraId="77B17944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Dates</w:t>
            </w:r>
          </w:p>
        </w:tc>
        <w:tc>
          <w:tcPr>
            <w:tcW w:w="2340" w:type="dxa"/>
          </w:tcPr>
          <w:p w:rsidR="0073278F" w:rsidRPr="00605ED5" w:rsidP="0073278F" w14:paraId="6E8628FA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$3.0</w:t>
            </w:r>
          </w:p>
        </w:tc>
      </w:tr>
      <w:tr w14:paraId="44228120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61"/>
        </w:trPr>
        <w:tc>
          <w:tcPr>
            <w:tcW w:w="2245" w:type="dxa"/>
          </w:tcPr>
          <w:p w:rsidR="0073278F" w:rsidRPr="00605ED5" w:rsidP="0073278F" w14:paraId="20838DA0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Prunes</w:t>
            </w:r>
          </w:p>
        </w:tc>
        <w:tc>
          <w:tcPr>
            <w:tcW w:w="2340" w:type="dxa"/>
          </w:tcPr>
          <w:p w:rsidR="0073278F" w:rsidRPr="00605ED5" w:rsidP="0073278F" w14:paraId="71DCF150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$3.0</w:t>
            </w:r>
          </w:p>
        </w:tc>
      </w:tr>
      <w:tr w14:paraId="28D34015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605ED5" w:rsidP="0073278F" w14:paraId="7AC07439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Almonds</w:t>
            </w:r>
          </w:p>
        </w:tc>
        <w:tc>
          <w:tcPr>
            <w:tcW w:w="2340" w:type="dxa"/>
          </w:tcPr>
          <w:p w:rsidR="0073278F" w:rsidRPr="00605ED5" w:rsidP="0073278F" w14:paraId="4437B979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$3.25</w:t>
            </w:r>
          </w:p>
        </w:tc>
      </w:tr>
      <w:tr w14:paraId="096078F4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605ED5" w:rsidP="0073278F" w14:paraId="4B4E3966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Raisins</w:t>
            </w:r>
          </w:p>
        </w:tc>
        <w:tc>
          <w:tcPr>
            <w:tcW w:w="2340" w:type="dxa"/>
          </w:tcPr>
          <w:p w:rsidR="0073278F" w:rsidRPr="00605ED5" w:rsidP="0073278F" w14:paraId="12FCDABE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$3.5</w:t>
            </w:r>
          </w:p>
        </w:tc>
      </w:tr>
      <w:tr w14:paraId="3E9DABAD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605ED5" w:rsidP="0073278F" w14:paraId="550CD885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Walnuts</w:t>
            </w:r>
          </w:p>
        </w:tc>
        <w:tc>
          <w:tcPr>
            <w:tcW w:w="2340" w:type="dxa"/>
          </w:tcPr>
          <w:p w:rsidR="0073278F" w:rsidRPr="00605ED5" w:rsidP="0073278F" w14:paraId="68DB42C7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$3.25</w:t>
            </w:r>
          </w:p>
        </w:tc>
      </w:tr>
      <w:tr w14:paraId="33213945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605ED5" w:rsidP="0073278F" w14:paraId="41CFEE74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Pistachios</w:t>
            </w:r>
          </w:p>
        </w:tc>
        <w:tc>
          <w:tcPr>
            <w:tcW w:w="2340" w:type="dxa"/>
          </w:tcPr>
          <w:p w:rsidR="0073278F" w:rsidRPr="00605ED5" w:rsidP="0073278F" w14:paraId="60FBB37A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$3.25</w:t>
            </w:r>
          </w:p>
        </w:tc>
      </w:tr>
      <w:tr w14:paraId="5BDD6CFF" w14:textId="77777777" w:rsidTr="00FA4F81">
        <w:tblPrEx>
          <w:tblW w:w="4675" w:type="dxa"/>
          <w:tblLook w:val="04A0"/>
        </w:tblPrEx>
        <w:trPr>
          <w:gridAfter w:val="1"/>
          <w:wAfter w:w="90" w:type="dxa"/>
          <w:trHeight w:val="245"/>
        </w:trPr>
        <w:tc>
          <w:tcPr>
            <w:tcW w:w="2245" w:type="dxa"/>
          </w:tcPr>
          <w:p w:rsidR="0073278F" w:rsidRPr="00605ED5" w:rsidP="0073278F" w14:paraId="1C9EDFC4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Hazelnuts</w:t>
            </w:r>
          </w:p>
        </w:tc>
        <w:tc>
          <w:tcPr>
            <w:tcW w:w="2340" w:type="dxa"/>
          </w:tcPr>
          <w:p w:rsidR="0073278F" w:rsidRPr="00605ED5" w:rsidP="0073278F" w14:paraId="15FB1190" w14:textId="7777777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F81">
              <w:rPr>
                <w:sz w:val="22"/>
                <w:szCs w:val="22"/>
              </w:rPr>
              <w:t>$3.25</w:t>
            </w:r>
          </w:p>
        </w:tc>
      </w:tr>
      <w:bookmarkEnd w:id="0"/>
      <w:bookmarkEnd w:id="1"/>
    </w:tbl>
    <w:p w:rsidR="0073278F" w:rsidP="008A169B" w14:paraId="5B73C80A" w14:textId="2EB68503">
      <w:pPr>
        <w:pStyle w:val="NoSpacing"/>
        <w:sectPr w:rsidSect="002F0A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05ED5" w:rsidRPr="00605ED5" w:rsidP="008A169B" w14:paraId="09D9E5B0" w14:textId="77777777">
      <w:pPr>
        <w:pStyle w:val="NoSpacing"/>
      </w:pPr>
    </w:p>
    <w:p w:rsidR="00F8646A" w:rsidRPr="00605ED5" w:rsidP="008A169B" w14:paraId="35A800C5" w14:textId="15FBFE83">
      <w:pPr>
        <w:pStyle w:val="NoSpacing"/>
      </w:pPr>
      <w:r w:rsidRPr="00605ED5">
        <w:t xml:space="preserve">In addition, the Raisin Administrative Committee </w:t>
      </w:r>
      <w:r w:rsidRPr="00605ED5" w:rsidR="00D14F78">
        <w:t xml:space="preserve">(RAC) </w:t>
      </w:r>
      <w:r w:rsidRPr="00605ED5">
        <w:t xml:space="preserve">is one of </w:t>
      </w:r>
      <w:r w:rsidRPr="00605ED5" w:rsidR="0073278F">
        <w:t>27</w:t>
      </w:r>
      <w:r w:rsidR="00AF25FD">
        <w:t xml:space="preserve"> </w:t>
      </w:r>
      <w:r w:rsidRPr="00605ED5">
        <w:t>marketing order committees that now use the form that AMS standardized during the previous three-year renewal.</w:t>
      </w:r>
      <w:r w:rsidRPr="00605ED5" w:rsidR="004C5E6C">
        <w:t xml:space="preserve">  </w:t>
      </w:r>
      <w:r w:rsidRPr="00605ED5" w:rsidR="00D14F78">
        <w:t xml:space="preserve">RAC staff, which locally manages the form and provides it to raisin industry </w:t>
      </w:r>
      <w:r w:rsidRPr="00605ED5" w:rsidR="00F7572A">
        <w:t>respondent</w:t>
      </w:r>
      <w:r w:rsidRPr="00605ED5" w:rsidR="00D14F78">
        <w:t>s on AMS’s behalf, seeks to insert content that enable</w:t>
      </w:r>
      <w:r w:rsidRPr="00605ED5" w:rsidR="0073278F">
        <w:t>s</w:t>
      </w:r>
      <w:r w:rsidRPr="00605ED5" w:rsidR="00D14F78">
        <w:t xml:space="preserve"> it to ensure </w:t>
      </w:r>
      <w:r w:rsidRPr="00605ED5" w:rsidR="00C030B5">
        <w:t xml:space="preserve">the individual’s </w:t>
      </w:r>
      <w:r w:rsidRPr="00605ED5" w:rsidR="00F7572A">
        <w:t>eligibility in representing industry interests.  The raisin-specific content will be deleted by AMS staff when providing the standardized form to other marketing committees for distribution to their industry members.</w:t>
      </w:r>
    </w:p>
    <w:p w:rsidR="00823649" w:rsidRPr="00605ED5" w:rsidP="008A169B" w14:paraId="7F636C6E" w14:textId="510EEECF">
      <w:pPr>
        <w:pStyle w:val="NoSpacing"/>
      </w:pPr>
    </w:p>
    <w:p w:rsidR="00F7572A" w:rsidRPr="00FA4F81" w:rsidP="008A169B" w14:paraId="44EC56C3" w14:textId="3E5559CB">
      <w:pPr>
        <w:pStyle w:val="NoSpacing"/>
        <w:rPr>
          <w:rFonts w:asciiTheme="minorHAnsi" w:hAnsiTheme="minorHAnsi" w:cstheme="minorHAnsi"/>
        </w:rPr>
      </w:pPr>
      <w:r w:rsidRPr="00605ED5">
        <w:t>As indicated in Track Changes, AMS request</w:t>
      </w:r>
      <w:r w:rsidRPr="00605ED5" w:rsidR="00C030B5">
        <w:t>s</w:t>
      </w:r>
      <w:r w:rsidRPr="00605ED5">
        <w:t xml:space="preserve"> other editorial changes that provide </w:t>
      </w:r>
      <w:r w:rsidRPr="00605ED5" w:rsidR="00587C8C">
        <w:t>clarity</w:t>
      </w:r>
      <w:r w:rsidRPr="00605ED5">
        <w:t>, foster responses</w:t>
      </w:r>
      <w:r w:rsidRPr="00605ED5" w:rsidR="00C030B5">
        <w:t>,</w:t>
      </w:r>
      <w:r w:rsidRPr="00605ED5">
        <w:t xml:space="preserve"> and fix a misspelling.  Neither of the changes increase nor decrease the estimated length of time for completing the forms, which remains at 5 minutes</w:t>
      </w:r>
      <w:r w:rsidRPr="00FA4F81">
        <w:rPr>
          <w:rFonts w:asciiTheme="minorHAnsi" w:hAnsiTheme="minorHAnsi" w:cstheme="minorHAnsi"/>
        </w:rPr>
        <w:t>.</w:t>
      </w:r>
    </w:p>
    <w:sectPr w:rsidSect="007327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E91E91"/>
    <w:multiLevelType w:val="multilevel"/>
    <w:tmpl w:val="F1D65D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0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88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DA"/>
    <w:rsid w:val="00014F51"/>
    <w:rsid w:val="00084E9A"/>
    <w:rsid w:val="0009584A"/>
    <w:rsid w:val="000D028D"/>
    <w:rsid w:val="000E1675"/>
    <w:rsid w:val="00147B30"/>
    <w:rsid w:val="001F44F7"/>
    <w:rsid w:val="00212F06"/>
    <w:rsid w:val="002C7F0C"/>
    <w:rsid w:val="002F0AB1"/>
    <w:rsid w:val="00341FDA"/>
    <w:rsid w:val="00347EAE"/>
    <w:rsid w:val="00382EC6"/>
    <w:rsid w:val="00413F6A"/>
    <w:rsid w:val="00420DB0"/>
    <w:rsid w:val="0046509F"/>
    <w:rsid w:val="00467569"/>
    <w:rsid w:val="004A2BB3"/>
    <w:rsid w:val="004C444F"/>
    <w:rsid w:val="004C5E6C"/>
    <w:rsid w:val="00506AA6"/>
    <w:rsid w:val="00587C8C"/>
    <w:rsid w:val="005C300F"/>
    <w:rsid w:val="005E4F66"/>
    <w:rsid w:val="005F27C5"/>
    <w:rsid w:val="005F54E9"/>
    <w:rsid w:val="00605ED5"/>
    <w:rsid w:val="00691EB1"/>
    <w:rsid w:val="006C664C"/>
    <w:rsid w:val="006D4842"/>
    <w:rsid w:val="0073278F"/>
    <w:rsid w:val="00737F32"/>
    <w:rsid w:val="00743573"/>
    <w:rsid w:val="0075787C"/>
    <w:rsid w:val="007B10F1"/>
    <w:rsid w:val="007C3B76"/>
    <w:rsid w:val="007C71EA"/>
    <w:rsid w:val="00823649"/>
    <w:rsid w:val="00847658"/>
    <w:rsid w:val="008A169B"/>
    <w:rsid w:val="008F2BFF"/>
    <w:rsid w:val="00903CC5"/>
    <w:rsid w:val="00914419"/>
    <w:rsid w:val="00926CAB"/>
    <w:rsid w:val="0094120A"/>
    <w:rsid w:val="00AF25FD"/>
    <w:rsid w:val="00B005FF"/>
    <w:rsid w:val="00B14B63"/>
    <w:rsid w:val="00C030B5"/>
    <w:rsid w:val="00C32415"/>
    <w:rsid w:val="00CB2CC6"/>
    <w:rsid w:val="00D14F78"/>
    <w:rsid w:val="00D47591"/>
    <w:rsid w:val="00DB7975"/>
    <w:rsid w:val="00DD6313"/>
    <w:rsid w:val="00DE03D5"/>
    <w:rsid w:val="00E3614C"/>
    <w:rsid w:val="00EE3EE0"/>
    <w:rsid w:val="00EE7893"/>
    <w:rsid w:val="00F13F2A"/>
    <w:rsid w:val="00F73E3C"/>
    <w:rsid w:val="00F7572A"/>
    <w:rsid w:val="00F8646A"/>
    <w:rsid w:val="00F93544"/>
    <w:rsid w:val="00FA4F81"/>
    <w:rsid w:val="00FD6D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10DD4"/>
  <w15:chartTrackingRefBased/>
  <w15:docId w15:val="{F06FE9E5-B440-4850-8425-096D8E10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120A"/>
    <w:pPr>
      <w:widowControl w:val="0"/>
      <w:autoSpaceDE w:val="0"/>
      <w:autoSpaceDN w:val="0"/>
      <w:adjustRightInd w:val="0"/>
      <w:ind w:left="720"/>
      <w:contextualSpacing/>
    </w:pPr>
  </w:style>
  <w:style w:type="table" w:styleId="TableGrid">
    <w:name w:val="Table Grid"/>
    <w:basedOn w:val="TableNormal"/>
    <w:uiPriority w:val="39"/>
    <w:rsid w:val="0074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6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C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C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AB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3278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FA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Pexton, Fiona - AMS</dc:creator>
  <cp:lastModifiedBy>Gilham, Norma - MRP-AMS</cp:lastModifiedBy>
  <cp:revision>6</cp:revision>
  <dcterms:created xsi:type="dcterms:W3CDTF">2022-06-08T19:33:00Z</dcterms:created>
  <dcterms:modified xsi:type="dcterms:W3CDTF">2023-03-01T18:23:00Z</dcterms:modified>
</cp:coreProperties>
</file>