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E33AB" w14:paraId="2F4F70AF" w14:textId="77777777">
      <w:pPr>
        <w:pStyle w:val="Heading1"/>
        <w:ind w:left="0"/>
        <w:jc w:val="center"/>
      </w:pPr>
      <w:bookmarkStart w:id="0" w:name="_GoBack"/>
      <w:bookmarkEnd w:id="0"/>
      <w:r>
        <w:t>SUPPORTING STATEMENT</w:t>
      </w:r>
    </w:p>
    <w:p w:rsidR="00BE33AB" w14:paraId="15A2B089" w14:textId="77777777">
      <w:pPr>
        <w:spacing w:before="22" w:line="259" w:lineRule="auto"/>
        <w:ind w:firstLine="14"/>
        <w:jc w:val="center"/>
        <w:rPr>
          <w:b/>
        </w:rPr>
      </w:pPr>
      <w:r>
        <w:rPr>
          <w:b/>
        </w:rPr>
        <w:t>U.S. Department of Commerce</w:t>
      </w:r>
    </w:p>
    <w:p w:rsidR="00BE33AB" w14:paraId="1D5B2BC6" w14:textId="77777777">
      <w:pPr>
        <w:spacing w:before="22" w:line="259" w:lineRule="auto"/>
        <w:ind w:firstLine="14"/>
        <w:jc w:val="center"/>
        <w:rPr>
          <w:b/>
        </w:rPr>
      </w:pPr>
      <w:r>
        <w:rPr>
          <w:b/>
        </w:rPr>
        <w:t>National Oceanic &amp; Atmospheric Administration</w:t>
      </w:r>
    </w:p>
    <w:p w:rsidR="00D501F7" w:rsidP="00D501F7" w14:paraId="4DAB00A7" w14:textId="77777777">
      <w:pPr>
        <w:jc w:val="center"/>
        <w:rPr>
          <w:b/>
        </w:rPr>
      </w:pPr>
      <w:r>
        <w:rPr>
          <w:b/>
        </w:rPr>
        <w:t>Wage Mariner Hiring Portal (WMHP)</w:t>
      </w:r>
    </w:p>
    <w:p w:rsidR="00BE33AB" w14:paraId="3444E993" w14:textId="77777777">
      <w:pPr>
        <w:spacing w:line="259" w:lineRule="auto"/>
        <w:ind w:hanging="6"/>
        <w:jc w:val="center"/>
        <w:rPr>
          <w:b/>
        </w:rPr>
      </w:pPr>
      <w:r>
        <w:rPr>
          <w:b/>
        </w:rPr>
        <w:t>OMB Control No. 0648-</w:t>
      </w:r>
      <w:r w:rsidR="00D501F7">
        <w:rPr>
          <w:b/>
        </w:rPr>
        <w:t>0790</w:t>
      </w:r>
    </w:p>
    <w:p w:rsidR="00BE33AB" w14:paraId="52C17D40" w14:textId="77777777">
      <w:pPr>
        <w:pBdr>
          <w:top w:val="nil"/>
          <w:left w:val="nil"/>
          <w:bottom w:val="nil"/>
          <w:right w:val="nil"/>
          <w:between w:val="nil"/>
        </w:pBdr>
        <w:spacing w:before="1"/>
        <w:jc w:val="center"/>
        <w:rPr>
          <w:b/>
          <w:color w:val="000000"/>
        </w:rPr>
      </w:pPr>
    </w:p>
    <w:p w:rsidR="00BE33AB" w:rsidP="00EC2054" w14:paraId="63EED9B6" w14:textId="77777777">
      <w:pPr>
        <w:pStyle w:val="Heading1"/>
        <w:spacing w:before="120"/>
        <w:ind w:left="0"/>
      </w:pPr>
      <w:r>
        <w:t>Abstract</w:t>
      </w:r>
    </w:p>
    <w:p w:rsidR="00512F00" w:rsidRPr="00512F00" w:rsidP="0050675B" w14:paraId="5D2316AC" w14:textId="77777777">
      <w:r w:rsidRPr="00512F00">
        <w:t xml:space="preserve">This is a request for extension of an existing information collection.  There are </w:t>
      </w:r>
      <w:r w:rsidR="0050675B">
        <w:t xml:space="preserve">no changes to this collection.  </w:t>
      </w:r>
      <w:r w:rsidRPr="00DC6117" w:rsidR="0050675B">
        <w:rPr>
          <w:spacing w:val="3"/>
          <w:shd w:val="clear" w:color="auto" w:fill="FFFFFF"/>
        </w:rPr>
        <w:t>NOAA is home to the nation’s largest fleet of oceanographic research ships. With 15 ships in our fleet, OMAO operates worldwide to support diverse information programs, environmental stewardship services, and applied scientific research.</w:t>
      </w:r>
      <w:r w:rsidR="0050675B">
        <w:rPr>
          <w:spacing w:val="3"/>
          <w:shd w:val="clear" w:color="auto" w:fill="FFFFFF"/>
        </w:rPr>
        <w:t xml:space="preserve">  </w:t>
      </w:r>
      <w:r w:rsidRPr="00512F00">
        <w:t>The Wage Mariner Hiring Portal (WMHP) is an internet-based system (web site) that is designed to allow an applicant to apply for a “wage mariner” position within the NOAA fleet of maritime vessels. The WMHP system collects basic user information, wage mariner licensing, certifications, and relevant current and or past work history. The regulations allow OMAO to hire wage mariners into excepted service positions within the NOAA fleet of ocean going vessels in order to maintain adequate operations, maintenance, and safe staffing of the maritime ships.</w:t>
      </w:r>
    </w:p>
    <w:p w:rsidR="00BE33AB" w:rsidP="00EC2054" w14:paraId="2629B27B" w14:textId="77777777">
      <w:pPr>
        <w:spacing w:before="120"/>
        <w:rPr>
          <w:b/>
        </w:rPr>
      </w:pPr>
    </w:p>
    <w:p w:rsidR="00BE33AB" w:rsidP="00EC2054" w14:paraId="28B0E50A" w14:textId="77777777">
      <w:pPr>
        <w:pStyle w:val="Heading1"/>
        <w:spacing w:before="120"/>
        <w:ind w:left="0"/>
      </w:pPr>
      <w:r>
        <w:t>Justification</w:t>
      </w:r>
    </w:p>
    <w:p w:rsidR="00BE33AB" w:rsidP="00EC2054" w14:paraId="254F67A2" w14:textId="77777777">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73C5A" w:rsidP="00EC2054" w14:paraId="724771C3" w14:textId="77777777">
      <w:pPr>
        <w:pStyle w:val="ListParagraph"/>
        <w:spacing w:before="120"/>
        <w:ind w:left="0" w:firstLine="0"/>
      </w:pPr>
      <w:r>
        <w:t xml:space="preserve">The Department of Commerce (DOC), through the </w:t>
      </w:r>
      <w:r w:rsidRPr="00AB6C98">
        <w:t>National Oceanic and Atmospheric Administration</w:t>
      </w:r>
      <w:r>
        <w:t xml:space="preserve"> (NOAA) Office of Marine and Aviation Operations (OMAO) has special hiring authority under Code of Federal Regulations (CFR), Title 5, Chapter 1, Subchapter A, Part 3, §3.2 and under the DOC Department Administrative Order (DAO) 202-302 Section 2, Subsection .02a. specific to the hiring of federal wage mariner employees in order to ensure a core of federal wage mariners to operate and maintain NOAA’s fleet of ocean going scientific platforms.</w:t>
      </w:r>
    </w:p>
    <w:p w:rsidR="00E73C5A" w:rsidRPr="00AB6C98" w:rsidP="00EC2054" w14:paraId="39E443B8" w14:textId="77777777">
      <w:pPr>
        <w:pStyle w:val="ListParagraph"/>
        <w:spacing w:before="120"/>
        <w:ind w:left="0" w:firstLine="0"/>
      </w:pPr>
      <w:r w:rsidRPr="00AB6C98">
        <w:t>The Wage Mariner Hiring Portal (WMHP) is an internet</w:t>
      </w:r>
      <w:r>
        <w:t>-</w:t>
      </w:r>
      <w:r w:rsidRPr="00AB6C98">
        <w:t xml:space="preserve">based system (web site) that is designed to allow an applicant to apply for a “wage mariner” position within the </w:t>
      </w:r>
      <w:r>
        <w:t>NOAA</w:t>
      </w:r>
      <w:r w:rsidRPr="00AB6C98">
        <w:t xml:space="preserve"> fleet of maritime vessels. The WMHP system collects basic user information, wage mariner licensing, certifications, and relevant current and or past work history. The regulations allow OMAO to hire wage mariners into excepted service positions within the NOAA fleet of ocean going vessels in order to maintain adequate operations, maintenance, and safe staffing of the maritime ships.</w:t>
      </w:r>
    </w:p>
    <w:p w:rsidR="00E73C5A" w:rsidP="00EC2054" w14:paraId="0506C9AE" w14:textId="77777777">
      <w:pPr>
        <w:pStyle w:val="ListParagraph"/>
        <w:spacing w:before="120"/>
        <w:ind w:left="0" w:firstLine="0"/>
      </w:pPr>
    </w:p>
    <w:p w:rsidR="00BE33AB" w:rsidP="00EC2054" w14:paraId="7073D7E6" w14:textId="77777777">
      <w:pPr>
        <w:pStyle w:val="Heading1"/>
        <w:numPr>
          <w:ilvl w:val="0"/>
          <w:numId w:val="3"/>
        </w:numPr>
        <w:tabs>
          <w:tab w:val="left" w:pos="360"/>
        </w:tabs>
        <w:spacing w:before="120"/>
        <w:ind w:left="0" w:firstLine="0"/>
      </w:pPr>
      <w:r>
        <w:t>Indicate how, by whom, and for what purpose the information is to be used. Except for a new collection, indicate the actual use the agency has made of the information received from the current collection.</w:t>
      </w:r>
    </w:p>
    <w:p w:rsidR="0050675B" w:rsidRPr="00271BFA" w:rsidP="0050675B" w14:paraId="272E7B88" w14:textId="77777777">
      <w:pPr>
        <w:pStyle w:val="NormalWeb"/>
        <w:shd w:val="clear" w:color="auto" w:fill="FFFFFF"/>
        <w:spacing w:before="120" w:beforeAutospacing="0" w:after="0" w:afterAutospacing="0"/>
        <w:rPr>
          <w:color w:val="222222"/>
          <w:spacing w:val="2"/>
        </w:rPr>
      </w:pPr>
      <w:r w:rsidRPr="00271BFA">
        <w:rPr>
          <w:color w:val="222222"/>
          <w:spacing w:val="2"/>
        </w:rPr>
        <w:t>NOAA's fleet of 15 research </w:t>
      </w:r>
      <w:hyperlink r:id="rId5" w:history="1">
        <w:r w:rsidRPr="00271BFA">
          <w:rPr>
            <w:rStyle w:val="Hyperlink"/>
            <w:color w:val="993333"/>
            <w:spacing w:val="2"/>
          </w:rPr>
          <w:t>ships</w:t>
        </w:r>
      </w:hyperlink>
      <w:r w:rsidRPr="00271BFA">
        <w:rPr>
          <w:color w:val="222222"/>
          <w:spacing w:val="2"/>
        </w:rPr>
        <w:t> operate world-wide in direct support of NOAA's diverse environmental information collection programs, environmental stewardship services and applied scientific research. NOAA ships are operated by a combination of </w:t>
      </w:r>
      <w:hyperlink r:id="rId6" w:history="1">
        <w:r w:rsidRPr="00271BFA">
          <w:rPr>
            <w:rStyle w:val="Hyperlink"/>
            <w:color w:val="993333"/>
            <w:spacing w:val="2"/>
          </w:rPr>
          <w:t>NOAA commissioned officers</w:t>
        </w:r>
      </w:hyperlink>
      <w:r w:rsidRPr="00271BFA">
        <w:rPr>
          <w:color w:val="222222"/>
          <w:spacing w:val="2"/>
        </w:rPr>
        <w:t> and civilian professional mariners (wage marine job series). The ships' officers and crew provide mission support and assistance to embarked scientists from NOAA laboratories and the academic community.</w:t>
      </w:r>
    </w:p>
    <w:p w:rsidR="0050675B" w:rsidRPr="00271BFA" w:rsidP="0050675B" w14:paraId="3D45D651" w14:textId="77777777">
      <w:pPr>
        <w:pStyle w:val="NormalWeb"/>
        <w:shd w:val="clear" w:color="auto" w:fill="FFFFFF"/>
        <w:spacing w:before="120" w:beforeAutospacing="0" w:after="0" w:afterAutospacing="0"/>
        <w:rPr>
          <w:color w:val="222222"/>
          <w:spacing w:val="2"/>
        </w:rPr>
      </w:pPr>
      <w:r w:rsidRPr="00271BFA">
        <w:rPr>
          <w:color w:val="222222"/>
          <w:spacing w:val="2"/>
        </w:rPr>
        <w:t xml:space="preserve">NOAA regularly has openings for civilian mariners aboard NOAA research and survey ships. Professional mariner personnel include licensed masters, mates, and engineers, and unlicensed </w:t>
      </w:r>
      <w:r w:rsidRPr="00271BFA">
        <w:rPr>
          <w:color w:val="222222"/>
          <w:spacing w:val="2"/>
        </w:rPr>
        <w:t>members of the engine, stewards, and deck department. Survey and electronic technicians operate and/or maintain the ship's mission, communication and navigation equipment.</w:t>
      </w:r>
    </w:p>
    <w:p w:rsidR="0050675B" w:rsidRPr="00271BFA" w:rsidP="0050675B" w14:paraId="3B3BA6F6" w14:textId="77777777">
      <w:pPr>
        <w:pStyle w:val="NormalWeb"/>
        <w:shd w:val="clear" w:color="auto" w:fill="FFFFFF"/>
        <w:spacing w:before="120" w:beforeAutospacing="0" w:after="0" w:afterAutospacing="0"/>
        <w:rPr>
          <w:color w:val="222222"/>
          <w:spacing w:val="2"/>
        </w:rPr>
      </w:pPr>
      <w:r w:rsidRPr="00271BFA">
        <w:rPr>
          <w:color w:val="222222"/>
          <w:spacing w:val="2"/>
        </w:rPr>
        <w:t xml:space="preserve">Professional mariners are the backbone of the fleet, an integral part of achieving NOAA’s mission to understand the condition of the ocean and atmosphere. NOAA ships typically spend from 180 to 240 days at sea per year in support of NOAA’s objectives, which include nautical charting, bathymetric mapping, fisheries research, ecosystem assessments, marine environment baseline assessments, coastal-ocean circulation studies, and oceanic and atmospheric research.  </w:t>
      </w:r>
      <w:r>
        <w:rPr>
          <w:color w:val="222222"/>
          <w:spacing w:val="2"/>
        </w:rPr>
        <w:t>Professional mariners</w:t>
      </w:r>
      <w:r w:rsidRPr="00271BFA">
        <w:rPr>
          <w:color w:val="222222"/>
          <w:spacing w:val="2"/>
        </w:rPr>
        <w:t xml:space="preserve"> provide the specialized skills and technical expertise to make these projects successful, whether it is deploying scientific equipment, operating the propulsion plant, or prepping the food line.</w:t>
      </w:r>
    </w:p>
    <w:p w:rsidR="0050675B" w:rsidRPr="00AB6C98" w:rsidP="0050675B" w14:paraId="7A80F46B" w14:textId="77777777">
      <w:pPr>
        <w:pStyle w:val="ListParagraph"/>
        <w:spacing w:before="120"/>
        <w:ind w:left="0" w:firstLine="0"/>
      </w:pPr>
      <w:r w:rsidRPr="00AB6C98">
        <w:t>No physical forms are used in this collection, it is all online</w:t>
      </w:r>
      <w:r>
        <w:t xml:space="preserve"> and is available to prospective applicants 24 hours a day, 7 days a week, 365 days a year</w:t>
      </w:r>
      <w:r w:rsidRPr="00AB6C98">
        <w:t>.</w:t>
      </w:r>
      <w:r>
        <w:t xml:space="preserve"> </w:t>
      </w:r>
      <w:r w:rsidRPr="00AB6C98">
        <w:t xml:space="preserve"> Applicants fill out basic personal, licensure, and work history information into a profile resume. Once their basic profile is complete, applicants can submit this resume </w:t>
      </w:r>
      <w:r>
        <w:t>for</w:t>
      </w:r>
      <w:r w:rsidRPr="00AB6C98">
        <w:t xml:space="preserve"> available wage mariner positions as shown on the </w:t>
      </w:r>
      <w:hyperlink r:id="rId7" w:history="1">
        <w:r w:rsidRPr="00517EFE">
          <w:rPr>
            <w:rStyle w:val="Hyperlink"/>
          </w:rPr>
          <w:t>WMHP web site</w:t>
        </w:r>
      </w:hyperlink>
      <w:r w:rsidRPr="00AB6C98">
        <w:t xml:space="preserve">. The application information received is used to determine if the applicant meets the basic job qualification. </w:t>
      </w:r>
      <w:r>
        <w:t>If the basic job qualifications are met, t</w:t>
      </w:r>
      <w:r w:rsidRPr="00AB6C98">
        <w:t xml:space="preserve">he applicant's information is passed on to the hiring official or placed in a pool of prospective candidates for future openings. Application information includes: first and last name, contact number and email address, wage mariner licenses and certifications, </w:t>
      </w:r>
      <w:r>
        <w:t xml:space="preserve">and </w:t>
      </w:r>
      <w:r w:rsidRPr="00AB6C98">
        <w:t>relevant work history.</w:t>
      </w:r>
      <w:r>
        <w:t xml:space="preserve">  OMAO administrative staff use this information for evaluation and hiring purposes.</w:t>
      </w:r>
    </w:p>
    <w:p w:rsidR="003725CD" w:rsidP="00EC2054" w14:paraId="402DB0E5" w14:textId="77777777">
      <w:pPr>
        <w:pStyle w:val="ListParagraph"/>
        <w:spacing w:before="120"/>
        <w:ind w:left="0" w:firstLine="0"/>
      </w:pPr>
    </w:p>
    <w:p w:rsidR="00BE33AB" w:rsidP="00EC2054" w14:paraId="33E81D21" w14:textId="77777777">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725CD" w:rsidP="00EC2054" w14:paraId="6AB24FF4" w14:textId="77777777">
      <w:pPr>
        <w:pStyle w:val="ListParagraph"/>
        <w:spacing w:before="120"/>
        <w:ind w:left="0" w:firstLine="0"/>
      </w:pPr>
      <w:r>
        <w:t>Information will be collected electronically (Internet) through an online web-based interactive system.</w:t>
      </w:r>
    </w:p>
    <w:p w:rsidR="003725CD" w:rsidP="00EC2054" w14:paraId="55B24318" w14:textId="77777777">
      <w:pPr>
        <w:pStyle w:val="ListParagraph"/>
        <w:spacing w:before="120"/>
        <w:ind w:left="0" w:firstLine="0"/>
      </w:pPr>
    </w:p>
    <w:p w:rsidR="00BE33AB" w:rsidP="00EC2054" w14:paraId="32C4C86F" w14:textId="77777777">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3725CD" w:rsidP="00EC2054" w14:paraId="424A2690" w14:textId="77777777">
      <w:pPr>
        <w:pStyle w:val="ListParagraph"/>
        <w:spacing w:before="120"/>
        <w:ind w:left="0" w:firstLine="0"/>
      </w:pPr>
      <w:r>
        <w:t xml:space="preserve">This is unique information that is not captured by any other means.  </w:t>
      </w:r>
      <w:r w:rsidR="00517EFE">
        <w:t>No other federal or state agency</w:t>
      </w:r>
      <w:r w:rsidR="00F56ED4">
        <w:t xml:space="preserve"> collects this information or</w:t>
      </w:r>
      <w:r>
        <w:t xml:space="preserve"> has a hiring system that is specific for federal wage mariners in excepted positions.  </w:t>
      </w:r>
    </w:p>
    <w:p w:rsidR="003725CD" w:rsidP="00EC2054" w14:paraId="31B62CCB" w14:textId="77777777">
      <w:pPr>
        <w:pStyle w:val="ListParagraph"/>
        <w:spacing w:before="120"/>
        <w:ind w:left="0" w:firstLine="0"/>
      </w:pPr>
    </w:p>
    <w:p w:rsidR="00BE33AB" w:rsidP="00EC2054" w14:paraId="34E1305A" w14:textId="77777777">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If the collection of information impacts small businesses or other small entities, describe any methods used to minimize burden.</w:t>
      </w:r>
    </w:p>
    <w:p w:rsidR="003725CD" w:rsidP="00EC2054" w14:paraId="3E08C6E9" w14:textId="77777777">
      <w:pPr>
        <w:pStyle w:val="ListParagraph"/>
        <w:spacing w:before="120"/>
        <w:ind w:left="0" w:firstLine="0"/>
      </w:pPr>
      <w:r>
        <w:t>This collection of information applies to individuals and does not involve small businesses or other small entities.  Only the information required to ascertain the individual’s basic qualifications is collected.</w:t>
      </w:r>
    </w:p>
    <w:p w:rsidR="003725CD" w:rsidP="00EC2054" w14:paraId="71C3A6CB" w14:textId="77777777">
      <w:pPr>
        <w:pStyle w:val="ListParagraph"/>
        <w:spacing w:before="120"/>
        <w:ind w:left="0" w:firstLine="0"/>
      </w:pPr>
    </w:p>
    <w:p w:rsidR="00BE33AB" w:rsidP="00EC2054" w14:paraId="79E2A4E4" w14:textId="77777777">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3725CD" w:rsidP="00EC2054" w14:paraId="06DCB572" w14:textId="77777777">
      <w:pPr>
        <w:pStyle w:val="ListParagraph"/>
        <w:spacing w:before="120"/>
        <w:ind w:left="0" w:firstLine="0"/>
      </w:pPr>
      <w:r>
        <w:t xml:space="preserve">If the collection is not </w:t>
      </w:r>
      <w:r w:rsidR="0050675B">
        <w:t>collected</w:t>
      </w:r>
      <w:r>
        <w:t xml:space="preserve"> or is collected less frequently, it will </w:t>
      </w:r>
      <w:r w:rsidR="00CF3F41">
        <w:t>affect</w:t>
      </w:r>
      <w:r>
        <w:t xml:space="preserve"> NOAA’s ability to hire wage mariners within the NOAA fleet. The NOAA fleet requires a regulated minimum number of crew to safely operate a NOAA vessel, maintain adequate operations, and maintenance. Without a steady core of </w:t>
      </w:r>
      <w:r>
        <w:t xml:space="preserve">wage mariners, the NOAA fleet will not be able to continue its primary mission of collecting environmental intelligence. </w:t>
      </w:r>
    </w:p>
    <w:p w:rsidR="003725CD" w:rsidP="00EC2054" w14:paraId="5C297835" w14:textId="77777777">
      <w:pPr>
        <w:pStyle w:val="ListParagraph"/>
        <w:spacing w:before="120"/>
        <w:ind w:left="0" w:firstLine="0"/>
      </w:pPr>
    </w:p>
    <w:p w:rsidR="00BE33AB" w:rsidP="00EC2054" w14:paraId="3DF56005" w14:textId="77777777">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Explain any special circumstances that would cause an information collection to be conducted in a manner inconsistent with OMB guidelines.</w:t>
      </w:r>
    </w:p>
    <w:p w:rsidR="003725CD" w:rsidP="00EC2054" w14:paraId="097186B2" w14:textId="77777777">
      <w:pPr>
        <w:pStyle w:val="Default"/>
        <w:spacing w:before="120"/>
      </w:pPr>
      <w:r>
        <w:t xml:space="preserve">This information collection will be conducted in a manner consistent with OMB guidelines. </w:t>
      </w:r>
    </w:p>
    <w:p w:rsidR="003725CD" w:rsidP="00EC2054" w14:paraId="63491D33" w14:textId="77777777">
      <w:pPr>
        <w:pStyle w:val="Default"/>
        <w:spacing w:before="120"/>
      </w:pPr>
    </w:p>
    <w:p w:rsidR="00BE33AB" w:rsidP="00EC2054" w14:paraId="06F212C2" w14:textId="77777777">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C2054" w:rsidP="00EC2054" w14:paraId="0FC65F2A" w14:textId="77777777">
      <w:pPr>
        <w:pBdr>
          <w:top w:val="nil"/>
          <w:left w:val="nil"/>
          <w:bottom w:val="nil"/>
          <w:right w:val="nil"/>
          <w:between w:val="nil"/>
        </w:pBdr>
        <w:spacing w:before="120"/>
      </w:pPr>
      <w:r>
        <w:t xml:space="preserve">A </w:t>
      </w:r>
      <w:r w:rsidRPr="00E6675F">
        <w:rPr>
          <w:u w:val="single"/>
        </w:rPr>
        <w:t>Federal Register</w:t>
      </w:r>
      <w:r w:rsidRPr="00495E39">
        <w:t xml:space="preserve"> </w:t>
      </w:r>
      <w:r>
        <w:t xml:space="preserve">Notice published on Monday, December 19, 2022 (87 FR 77553) solicited public comments. </w:t>
      </w:r>
      <w:r w:rsidRPr="00B365ED">
        <w:t>No comments were received.</w:t>
      </w:r>
    </w:p>
    <w:p w:rsidR="00504CD5" w:rsidRPr="00504CD5" w:rsidP="00EC2054" w14:paraId="483D9B0F" w14:textId="23E5EF1D">
      <w:pPr>
        <w:pBdr>
          <w:top w:val="nil"/>
          <w:left w:val="nil"/>
          <w:bottom w:val="nil"/>
          <w:right w:val="nil"/>
          <w:between w:val="nil"/>
        </w:pBdr>
        <w:spacing w:before="120"/>
      </w:pPr>
      <w:r w:rsidRPr="00504CD5">
        <w:t>OMAO reach</w:t>
      </w:r>
      <w:r>
        <w:t>ed</w:t>
      </w:r>
      <w:r w:rsidRPr="00504CD5">
        <w:t xml:space="preserve"> out to </w:t>
      </w:r>
      <w:r w:rsidR="00B365ED">
        <w:t>several</w:t>
      </w:r>
      <w:r w:rsidRPr="00504CD5">
        <w:t xml:space="preserve"> stakeholders to obtain their views on the availability of data, frequency of collection, the clarity of instructions and recordkeeping, disclosure, or reporting format (if any), and on the data elements to be recorded, disclosed, or reported.</w:t>
      </w:r>
      <w:r w:rsidR="00B365ED">
        <w:t xml:space="preserve"> </w:t>
      </w:r>
      <w:r w:rsidRPr="00B365ED" w:rsidR="00B365ED">
        <w:t>No comments were received.</w:t>
      </w:r>
    </w:p>
    <w:p w:rsidR="00EC2054" w:rsidP="00EC2054" w14:paraId="58A5E051" w14:textId="44A8EFB8">
      <w:pPr>
        <w:pBdr>
          <w:top w:val="nil"/>
          <w:left w:val="nil"/>
          <w:bottom w:val="nil"/>
          <w:right w:val="nil"/>
          <w:between w:val="nil"/>
        </w:pBdr>
        <w:spacing w:before="120"/>
        <w:rPr>
          <w:color w:val="000000"/>
        </w:rPr>
      </w:pPr>
    </w:p>
    <w:p w:rsidR="00BE33AB" w:rsidP="00EC2054" w14:paraId="6E9B7803" w14:textId="77777777">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Explain any decision to provide any payment or gift to respondents, other than remuneration of contractors or grantees.</w:t>
      </w:r>
    </w:p>
    <w:p w:rsidR="00E0146B" w:rsidP="00E0146B" w14:paraId="5D57FD34" w14:textId="77777777">
      <w:pPr>
        <w:pStyle w:val="Default"/>
        <w:spacing w:before="120"/>
      </w:pPr>
      <w:r>
        <w:t xml:space="preserve">No payments or gifts are provided to respondents. </w:t>
      </w:r>
    </w:p>
    <w:p w:rsidR="00E0146B" w:rsidP="00E0146B" w14:paraId="1399A64F" w14:textId="77777777">
      <w:pPr>
        <w:pStyle w:val="Default"/>
      </w:pPr>
    </w:p>
    <w:p w:rsidR="00BE33AB" w:rsidP="00EC2054" w14:paraId="088DE631" w14:textId="77777777">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0146B" w:rsidP="00E0146B" w14:paraId="46C48FD6" w14:textId="29F6BF3F">
      <w:pPr>
        <w:pStyle w:val="ListParagraph"/>
        <w:ind w:left="0" w:firstLine="0"/>
      </w:pPr>
      <w:r>
        <w:t xml:space="preserve">Disclosure of this information is permitted under the Privacy Act of 1974 (5 U.S.C. Section 552a) to be shared among OMAO Administrative staff for evaluation and hiring purposes.  Disclosure of this information is also subject to all of the published routine uses as identified in the Privacy Act System of Records Notice </w:t>
      </w:r>
      <w:hyperlink r:id="rId8" w:history="1">
        <w:r w:rsidRPr="00D12089">
          <w:rPr>
            <w:rStyle w:val="Hyperlink"/>
          </w:rPr>
          <w:t>COMMERCE/DEPT-18</w:t>
        </w:r>
      </w:hyperlink>
      <w:r>
        <w:t>, Employees Personnel Files Not Covered by Notices of Other Agencies.</w:t>
      </w:r>
      <w:r w:rsidR="00D12089">
        <w:t xml:space="preserve">  An approved Privacy Impact Assessment is on file for the system (</w:t>
      </w:r>
      <w:hyperlink r:id="rId9" w:history="1">
        <w:r w:rsidRPr="00D12089" w:rsidR="00D12089">
          <w:rPr>
            <w:rStyle w:val="Hyperlink"/>
          </w:rPr>
          <w:t>NOAA2220</w:t>
        </w:r>
      </w:hyperlink>
      <w:r w:rsidR="00D12089">
        <w:t>) where this information is stored.</w:t>
      </w:r>
    </w:p>
    <w:p w:rsidR="00E0146B" w:rsidP="00E0146B" w14:paraId="7DCEDAC2" w14:textId="77777777">
      <w:pPr>
        <w:pStyle w:val="ListParagraph"/>
        <w:ind w:left="0" w:firstLine="0"/>
      </w:pPr>
    </w:p>
    <w:p w:rsidR="00BE33AB" w:rsidP="00EC2054" w14:paraId="03AB3266" w14:textId="77777777">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0146B" w:rsidP="00D12089" w14:paraId="31B9E20B" w14:textId="77777777">
      <w:pPr>
        <w:pStyle w:val="Default"/>
        <w:spacing w:before="120"/>
      </w:pPr>
      <w:r>
        <w:t xml:space="preserve">There are no questions of a sensitive nature. </w:t>
      </w:r>
    </w:p>
    <w:p w:rsidR="00BE33AB" w:rsidP="00EC2054" w14:paraId="43217B6A" w14:textId="77777777">
      <w:pPr>
        <w:spacing w:before="120"/>
        <w:rPr>
          <w:color w:val="2F5496"/>
        </w:rPr>
        <w:sectPr w:rsidSect="000E3DC8">
          <w:footerReference w:type="default" r:id="rId10"/>
          <w:pgSz w:w="12240" w:h="15840"/>
          <w:pgMar w:top="900" w:right="1080" w:bottom="1200" w:left="1080" w:header="0" w:footer="1014" w:gutter="0"/>
          <w:cols w:space="720"/>
        </w:sectPr>
      </w:pPr>
      <w:r>
        <w:rPr>
          <w:color w:val="2F5496"/>
        </w:rPr>
        <w:t>.</w:t>
      </w:r>
    </w:p>
    <w:p w:rsidR="00BE33AB" w:rsidP="00EC2054" w14:paraId="76886CEB" w14:textId="77777777">
      <w:pPr>
        <w:spacing w:before="120"/>
      </w:pPr>
    </w:p>
    <w:p w:rsidR="00BE33AB" w:rsidP="00EC2054" w14:paraId="6AC76449" w14:textId="77777777">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Provide estimates of the hour burden of the collection of information.</w:t>
      </w:r>
    </w:p>
    <w:p w:rsidR="00BE33AB" w:rsidP="00EC2054" w14:paraId="7E5F3A87" w14:textId="77777777">
      <w:pPr>
        <w:spacing w:before="120"/>
        <w:ind w:hanging="43"/>
        <w:jc w:val="center"/>
        <w:rPr>
          <w:b/>
          <w:color w:val="FF0000"/>
        </w:rPr>
      </w:pPr>
    </w:p>
    <w:tbl>
      <w:tblPr>
        <w:tblStyle w:val="a0"/>
        <w:tblW w:w="13515" w:type="dxa"/>
        <w:tblInd w:w="-25" w:type="dxa"/>
        <w:tblLayout w:type="fixed"/>
        <w:tblLook w:val="0400"/>
      </w:tblPr>
      <w:tblGrid>
        <w:gridCol w:w="1725"/>
        <w:gridCol w:w="1890"/>
        <w:gridCol w:w="1530"/>
        <w:gridCol w:w="1260"/>
        <w:gridCol w:w="1340"/>
        <w:gridCol w:w="1050"/>
        <w:gridCol w:w="1120"/>
        <w:gridCol w:w="1350"/>
        <w:gridCol w:w="2250"/>
      </w:tblGrid>
      <w:tr w14:paraId="724B32CD" w14:textId="77777777" w:rsidTr="00F84A5B">
        <w:tblPrEx>
          <w:tblW w:w="13515" w:type="dxa"/>
          <w:tblInd w:w="-25" w:type="dxa"/>
          <w:tblLayout w:type="fixed"/>
          <w:tblLook w:val="0400"/>
        </w:tblPrEx>
        <w:trPr>
          <w:trHeight w:val="1365"/>
        </w:trPr>
        <w:tc>
          <w:tcPr>
            <w:tcW w:w="172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E33AB" w:rsidP="00EC2054" w14:paraId="2655508B" w14:textId="77777777">
            <w:pPr>
              <w:widowControl/>
              <w:spacing w:before="120"/>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890" w:type="dxa"/>
            <w:tcBorders>
              <w:top w:val="single" w:sz="8" w:space="0" w:color="000000"/>
              <w:left w:val="nil"/>
              <w:bottom w:val="single" w:sz="8" w:space="0" w:color="000000"/>
              <w:right w:val="single" w:sz="8" w:space="0" w:color="000000"/>
            </w:tcBorders>
            <w:shd w:val="clear" w:color="auto" w:fill="BDD7EE"/>
            <w:vAlign w:val="center"/>
          </w:tcPr>
          <w:p w:rsidR="00BE33AB" w:rsidP="00EC2054" w14:paraId="31FFB5F2" w14:textId="77777777">
            <w:pPr>
              <w:widowControl/>
              <w:spacing w:before="120"/>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530" w:type="dxa"/>
            <w:tcBorders>
              <w:top w:val="single" w:sz="8" w:space="0" w:color="000000"/>
              <w:left w:val="nil"/>
              <w:bottom w:val="single" w:sz="8" w:space="0" w:color="000000"/>
              <w:right w:val="single" w:sz="8" w:space="0" w:color="000000"/>
            </w:tcBorders>
            <w:shd w:val="clear" w:color="auto" w:fill="BDD7EE"/>
            <w:vAlign w:val="center"/>
          </w:tcPr>
          <w:p w:rsidR="00BE33AB" w:rsidP="00EC2054" w14:paraId="39F3C966" w14:textId="77777777">
            <w:pPr>
              <w:widowControl/>
              <w:spacing w:before="120"/>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BE33AB" w:rsidP="00EC2054" w14:paraId="588228A4" w14:textId="77777777">
            <w:pPr>
              <w:widowControl/>
              <w:spacing w:before="120"/>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340" w:type="dxa"/>
            <w:tcBorders>
              <w:top w:val="single" w:sz="8" w:space="0" w:color="000000"/>
              <w:left w:val="nil"/>
              <w:bottom w:val="single" w:sz="8" w:space="0" w:color="000000"/>
              <w:right w:val="single" w:sz="8" w:space="0" w:color="000000"/>
            </w:tcBorders>
            <w:shd w:val="clear" w:color="auto" w:fill="BDD7EE"/>
            <w:vAlign w:val="center"/>
          </w:tcPr>
          <w:p w:rsidR="00BE33AB" w:rsidP="00EC2054" w14:paraId="145E0C93" w14:textId="77777777">
            <w:pPr>
              <w:widowControl/>
              <w:spacing w:before="120"/>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50" w:type="dxa"/>
            <w:tcBorders>
              <w:top w:val="single" w:sz="8" w:space="0" w:color="000000"/>
              <w:left w:val="nil"/>
              <w:bottom w:val="single" w:sz="8" w:space="0" w:color="000000"/>
              <w:right w:val="single" w:sz="8" w:space="0" w:color="000000"/>
            </w:tcBorders>
            <w:shd w:val="clear" w:color="auto" w:fill="BDD7EE"/>
            <w:vAlign w:val="center"/>
          </w:tcPr>
          <w:p w:rsidR="00BE33AB" w:rsidP="00EC2054" w14:paraId="77151394" w14:textId="77777777">
            <w:pPr>
              <w:widowControl/>
              <w:spacing w:before="120"/>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120" w:type="dxa"/>
            <w:tcBorders>
              <w:top w:val="single" w:sz="8" w:space="0" w:color="000000"/>
              <w:left w:val="nil"/>
              <w:bottom w:val="single" w:sz="8" w:space="0" w:color="000000"/>
              <w:right w:val="single" w:sz="8" w:space="0" w:color="000000"/>
            </w:tcBorders>
            <w:shd w:val="clear" w:color="auto" w:fill="BDD7EE"/>
            <w:vAlign w:val="center"/>
          </w:tcPr>
          <w:p w:rsidR="00BE33AB" w:rsidP="00EC2054" w14:paraId="7E9D0D19" w14:textId="77777777">
            <w:pPr>
              <w:widowControl/>
              <w:spacing w:before="120"/>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1350" w:type="dxa"/>
            <w:tcBorders>
              <w:top w:val="single" w:sz="8" w:space="0" w:color="000000"/>
              <w:left w:val="nil"/>
              <w:bottom w:val="single" w:sz="8" w:space="0" w:color="000000"/>
              <w:right w:val="single" w:sz="8" w:space="0" w:color="000000"/>
            </w:tcBorders>
            <w:shd w:val="clear" w:color="auto" w:fill="BDD7EE"/>
            <w:vAlign w:val="center"/>
          </w:tcPr>
          <w:p w:rsidR="00BE33AB" w:rsidP="00EC2054" w14:paraId="6A0C6D7E" w14:textId="77777777">
            <w:pPr>
              <w:widowControl/>
              <w:spacing w:before="120"/>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2250" w:type="dxa"/>
            <w:tcBorders>
              <w:top w:val="single" w:sz="8" w:space="0" w:color="000000"/>
              <w:left w:val="nil"/>
              <w:bottom w:val="single" w:sz="8" w:space="0" w:color="000000"/>
              <w:right w:val="single" w:sz="8" w:space="0" w:color="000000"/>
            </w:tcBorders>
            <w:shd w:val="clear" w:color="auto" w:fill="BDD7EE"/>
            <w:vAlign w:val="center"/>
          </w:tcPr>
          <w:p w:rsidR="00BE33AB" w:rsidP="00F84A5B" w14:paraId="79D16CE3" w14:textId="77777777">
            <w:pPr>
              <w:widowControl/>
              <w:spacing w:before="120"/>
              <w:ind w:right="151"/>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36F12285" w14:textId="77777777" w:rsidTr="00F84A5B">
        <w:tblPrEx>
          <w:tblW w:w="13515" w:type="dxa"/>
          <w:tblInd w:w="-25" w:type="dxa"/>
          <w:tblLayout w:type="fixed"/>
          <w:tblLook w:val="0400"/>
        </w:tblPrEx>
        <w:trPr>
          <w:trHeight w:val="300"/>
        </w:trPr>
        <w:tc>
          <w:tcPr>
            <w:tcW w:w="1725" w:type="dxa"/>
            <w:tcBorders>
              <w:top w:val="nil"/>
              <w:left w:val="single" w:sz="8" w:space="0" w:color="000000"/>
              <w:bottom w:val="single" w:sz="4" w:space="0" w:color="000000"/>
              <w:right w:val="single" w:sz="4" w:space="0" w:color="000000"/>
            </w:tcBorders>
            <w:shd w:val="clear" w:color="auto" w:fill="auto"/>
            <w:vAlign w:val="bottom"/>
          </w:tcPr>
          <w:p w:rsidR="00BE33AB" w:rsidP="00EC2054" w14:paraId="49E8E9DE"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Wage Mariner Hiring Portal</w:t>
            </w:r>
          </w:p>
        </w:tc>
        <w:tc>
          <w:tcPr>
            <w:tcW w:w="1890" w:type="dxa"/>
            <w:tcBorders>
              <w:top w:val="nil"/>
              <w:left w:val="nil"/>
              <w:bottom w:val="single" w:sz="4" w:space="0" w:color="000000"/>
              <w:right w:val="single" w:sz="4" w:space="0" w:color="000000"/>
            </w:tcBorders>
            <w:shd w:val="clear" w:color="auto" w:fill="auto"/>
            <w:vAlign w:val="bottom"/>
          </w:tcPr>
          <w:p w:rsidR="00BE33AB" w:rsidP="00EC2054" w14:paraId="0760CC2F" w14:textId="77777777">
            <w:pPr>
              <w:widowControl/>
              <w:spacing w:before="120"/>
              <w:jc w:val="center"/>
              <w:rPr>
                <w:rFonts w:ascii="Calibri" w:eastAsia="Calibri" w:hAnsi="Calibri" w:cs="Calibri"/>
                <w:color w:val="000000"/>
                <w:sz w:val="16"/>
                <w:szCs w:val="16"/>
              </w:rPr>
            </w:pPr>
            <w:r>
              <w:rPr>
                <w:rFonts w:ascii="Calibri" w:eastAsia="Calibri" w:hAnsi="Calibri" w:cs="Calibri"/>
                <w:color w:val="000000"/>
                <w:sz w:val="16"/>
                <w:szCs w:val="16"/>
              </w:rPr>
              <w:t>Sailors &amp; Marine Oilers</w:t>
            </w:r>
          </w:p>
        </w:tc>
        <w:tc>
          <w:tcPr>
            <w:tcW w:w="1530" w:type="dxa"/>
            <w:tcBorders>
              <w:top w:val="nil"/>
              <w:left w:val="nil"/>
              <w:bottom w:val="single" w:sz="4" w:space="0" w:color="000000"/>
              <w:right w:val="single" w:sz="4" w:space="0" w:color="000000"/>
            </w:tcBorders>
            <w:shd w:val="clear" w:color="auto" w:fill="auto"/>
            <w:vAlign w:val="bottom"/>
          </w:tcPr>
          <w:p w:rsidR="00BE33AB" w:rsidP="00F84A5B" w14:paraId="2785D515" w14:textId="77777777">
            <w:pPr>
              <w:widowControl/>
              <w:spacing w:before="120"/>
              <w:jc w:val="center"/>
              <w:rPr>
                <w:rFonts w:ascii="Calibri" w:eastAsia="Calibri" w:hAnsi="Calibri" w:cs="Calibri"/>
                <w:color w:val="000000"/>
                <w:sz w:val="16"/>
                <w:szCs w:val="16"/>
              </w:rPr>
            </w:pPr>
            <w:r>
              <w:rPr>
                <w:rFonts w:ascii="Calibri" w:eastAsia="Calibri" w:hAnsi="Calibri" w:cs="Calibri"/>
                <w:color w:val="000000"/>
                <w:sz w:val="16"/>
                <w:szCs w:val="16"/>
              </w:rPr>
              <w:t>1000</w:t>
            </w:r>
          </w:p>
        </w:tc>
        <w:tc>
          <w:tcPr>
            <w:tcW w:w="1260" w:type="dxa"/>
            <w:tcBorders>
              <w:top w:val="nil"/>
              <w:left w:val="nil"/>
              <w:bottom w:val="single" w:sz="4" w:space="0" w:color="000000"/>
              <w:right w:val="single" w:sz="4" w:space="0" w:color="000000"/>
            </w:tcBorders>
            <w:shd w:val="clear" w:color="auto" w:fill="auto"/>
            <w:vAlign w:val="bottom"/>
          </w:tcPr>
          <w:p w:rsidR="00BE33AB" w:rsidP="00F84A5B" w14:paraId="544C4E56" w14:textId="77777777">
            <w:pPr>
              <w:widowControl/>
              <w:spacing w:before="120"/>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340" w:type="dxa"/>
            <w:tcBorders>
              <w:top w:val="nil"/>
              <w:left w:val="nil"/>
              <w:bottom w:val="single" w:sz="4" w:space="0" w:color="000000"/>
              <w:right w:val="single" w:sz="4" w:space="0" w:color="000000"/>
            </w:tcBorders>
            <w:shd w:val="clear" w:color="auto" w:fill="auto"/>
            <w:vAlign w:val="bottom"/>
          </w:tcPr>
          <w:p w:rsidR="00BE33AB" w:rsidP="00F84A5B" w14:paraId="0E660C91" w14:textId="77777777">
            <w:pPr>
              <w:widowControl/>
              <w:spacing w:before="120"/>
              <w:jc w:val="center"/>
              <w:rPr>
                <w:rFonts w:ascii="Calibri" w:eastAsia="Calibri" w:hAnsi="Calibri" w:cs="Calibri"/>
                <w:color w:val="000000"/>
                <w:sz w:val="16"/>
                <w:szCs w:val="16"/>
              </w:rPr>
            </w:pPr>
            <w:r>
              <w:rPr>
                <w:rFonts w:ascii="Calibri" w:eastAsia="Calibri" w:hAnsi="Calibri" w:cs="Calibri"/>
                <w:color w:val="000000"/>
                <w:sz w:val="16"/>
                <w:szCs w:val="16"/>
              </w:rPr>
              <w:t>1000</w:t>
            </w:r>
          </w:p>
        </w:tc>
        <w:tc>
          <w:tcPr>
            <w:tcW w:w="1050" w:type="dxa"/>
            <w:tcBorders>
              <w:top w:val="nil"/>
              <w:left w:val="nil"/>
              <w:bottom w:val="single" w:sz="4" w:space="0" w:color="000000"/>
              <w:right w:val="single" w:sz="4" w:space="0" w:color="000000"/>
            </w:tcBorders>
            <w:shd w:val="clear" w:color="auto" w:fill="auto"/>
            <w:vAlign w:val="bottom"/>
          </w:tcPr>
          <w:p w:rsidR="00BE33AB" w:rsidP="00EC2054" w14:paraId="7BFCC98C" w14:textId="77777777">
            <w:pPr>
              <w:widowControl/>
              <w:spacing w:before="120"/>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120" w:type="dxa"/>
            <w:tcBorders>
              <w:top w:val="nil"/>
              <w:left w:val="nil"/>
              <w:bottom w:val="single" w:sz="4" w:space="0" w:color="000000"/>
              <w:right w:val="single" w:sz="4" w:space="0" w:color="000000"/>
            </w:tcBorders>
            <w:shd w:val="clear" w:color="auto" w:fill="auto"/>
            <w:vAlign w:val="bottom"/>
          </w:tcPr>
          <w:p w:rsidR="00BE33AB" w:rsidP="00EC2054" w14:paraId="2BCD0CE0" w14:textId="77777777">
            <w:pPr>
              <w:widowControl/>
              <w:spacing w:before="120"/>
              <w:jc w:val="right"/>
              <w:rPr>
                <w:rFonts w:ascii="Calibri" w:eastAsia="Calibri" w:hAnsi="Calibri" w:cs="Calibri"/>
                <w:color w:val="000000"/>
                <w:sz w:val="16"/>
                <w:szCs w:val="16"/>
              </w:rPr>
            </w:pPr>
            <w:r>
              <w:rPr>
                <w:rFonts w:ascii="Calibri" w:eastAsia="Calibri" w:hAnsi="Calibri" w:cs="Calibri"/>
                <w:color w:val="000000"/>
                <w:sz w:val="16"/>
                <w:szCs w:val="16"/>
              </w:rPr>
              <w:t>1000</w:t>
            </w:r>
          </w:p>
        </w:tc>
        <w:tc>
          <w:tcPr>
            <w:tcW w:w="1350" w:type="dxa"/>
            <w:tcBorders>
              <w:top w:val="nil"/>
              <w:left w:val="nil"/>
              <w:bottom w:val="single" w:sz="4" w:space="0" w:color="000000"/>
              <w:right w:val="single" w:sz="4" w:space="0" w:color="000000"/>
            </w:tcBorders>
            <w:shd w:val="clear" w:color="auto" w:fill="auto"/>
            <w:vAlign w:val="bottom"/>
          </w:tcPr>
          <w:p w:rsidR="00BE33AB" w:rsidP="00EC2054" w14:paraId="7473C184" w14:textId="77777777">
            <w:pPr>
              <w:widowControl/>
              <w:spacing w:before="120"/>
              <w:jc w:val="right"/>
              <w:rPr>
                <w:rFonts w:ascii="Calibri" w:eastAsia="Calibri" w:hAnsi="Calibri" w:cs="Calibri"/>
                <w:color w:val="000000"/>
                <w:sz w:val="16"/>
                <w:szCs w:val="16"/>
              </w:rPr>
            </w:pPr>
            <w:r>
              <w:rPr>
                <w:rFonts w:ascii="Calibri" w:eastAsia="Calibri" w:hAnsi="Calibri" w:cs="Calibri"/>
                <w:color w:val="000000"/>
                <w:sz w:val="16"/>
                <w:szCs w:val="16"/>
              </w:rPr>
              <w:t>$27.79</w:t>
            </w:r>
            <w:r w:rsidR="00E84530">
              <w:rPr>
                <w:rFonts w:ascii="Calibri" w:eastAsia="Calibri" w:hAnsi="Calibri" w:cs="Calibri"/>
                <w:color w:val="000000"/>
                <w:sz w:val="16"/>
                <w:szCs w:val="16"/>
              </w:rPr>
              <w:t> </w:t>
            </w:r>
          </w:p>
        </w:tc>
        <w:tc>
          <w:tcPr>
            <w:tcW w:w="2250" w:type="dxa"/>
            <w:tcBorders>
              <w:top w:val="nil"/>
              <w:left w:val="nil"/>
              <w:bottom w:val="single" w:sz="4" w:space="0" w:color="000000"/>
              <w:right w:val="single" w:sz="8" w:space="0" w:color="000000"/>
            </w:tcBorders>
            <w:shd w:val="clear" w:color="auto" w:fill="auto"/>
            <w:vAlign w:val="bottom"/>
          </w:tcPr>
          <w:p w:rsidR="00BE33AB" w:rsidP="00EC2054" w14:paraId="17D3E47C" w14:textId="77777777">
            <w:pPr>
              <w:widowControl/>
              <w:spacing w:before="120"/>
              <w:jc w:val="right"/>
              <w:rPr>
                <w:rFonts w:ascii="Calibri" w:eastAsia="Calibri" w:hAnsi="Calibri" w:cs="Calibri"/>
                <w:color w:val="000000"/>
                <w:sz w:val="16"/>
                <w:szCs w:val="16"/>
              </w:rPr>
            </w:pPr>
            <w:r>
              <w:rPr>
                <w:rFonts w:ascii="Calibri" w:eastAsia="Calibri" w:hAnsi="Calibri" w:cs="Calibri"/>
                <w:color w:val="000000"/>
                <w:sz w:val="16"/>
                <w:szCs w:val="16"/>
              </w:rPr>
              <w:t>$27,790</w:t>
            </w:r>
          </w:p>
        </w:tc>
      </w:tr>
      <w:tr w14:paraId="4C363AFB" w14:textId="77777777" w:rsidTr="00F84A5B">
        <w:tblPrEx>
          <w:tblW w:w="13515" w:type="dxa"/>
          <w:tblInd w:w="-25" w:type="dxa"/>
          <w:tblLayout w:type="fixed"/>
          <w:tblLook w:val="0400"/>
        </w:tblPrEx>
        <w:trPr>
          <w:trHeight w:val="615"/>
        </w:trPr>
        <w:tc>
          <w:tcPr>
            <w:tcW w:w="1725" w:type="dxa"/>
            <w:tcBorders>
              <w:top w:val="nil"/>
              <w:left w:val="single" w:sz="8" w:space="0" w:color="000000"/>
              <w:bottom w:val="single" w:sz="8" w:space="0" w:color="000000"/>
              <w:right w:val="single" w:sz="8" w:space="0" w:color="000000"/>
            </w:tcBorders>
            <w:shd w:val="clear" w:color="auto" w:fill="DDEBF7"/>
            <w:vAlign w:val="bottom"/>
          </w:tcPr>
          <w:p w:rsidR="003E16A7" w:rsidP="003E16A7" w14:paraId="5BC60801" w14:textId="77777777">
            <w:pPr>
              <w:widowControl/>
              <w:spacing w:before="120"/>
              <w:rPr>
                <w:rFonts w:ascii="Calibri" w:eastAsia="Calibri" w:hAnsi="Calibri" w:cs="Calibri"/>
                <w:b/>
                <w:color w:val="000000"/>
              </w:rPr>
            </w:pPr>
            <w:r>
              <w:rPr>
                <w:rFonts w:ascii="Calibri" w:eastAsia="Calibri" w:hAnsi="Calibri" w:cs="Calibri"/>
                <w:b/>
                <w:color w:val="000000"/>
              </w:rPr>
              <w:t>Totals</w:t>
            </w:r>
          </w:p>
        </w:tc>
        <w:tc>
          <w:tcPr>
            <w:tcW w:w="1890" w:type="dxa"/>
            <w:tcBorders>
              <w:top w:val="nil"/>
              <w:left w:val="nil"/>
              <w:bottom w:val="single" w:sz="8" w:space="0" w:color="000000"/>
              <w:right w:val="single" w:sz="8" w:space="0" w:color="000000"/>
            </w:tcBorders>
            <w:shd w:val="clear" w:color="auto" w:fill="000000"/>
            <w:vAlign w:val="bottom"/>
          </w:tcPr>
          <w:p w:rsidR="003E16A7" w:rsidP="003E16A7" w14:paraId="572DF756" w14:textId="77777777">
            <w:pPr>
              <w:widowControl/>
              <w:spacing w:before="120"/>
              <w:rPr>
                <w:rFonts w:ascii="Calibri" w:eastAsia="Calibri" w:hAnsi="Calibri" w:cs="Calibri"/>
                <w:b/>
                <w:color w:val="000000"/>
              </w:rPr>
            </w:pPr>
            <w:r>
              <w:rPr>
                <w:rFonts w:ascii="Calibri" w:eastAsia="Calibri" w:hAnsi="Calibri" w:cs="Calibri"/>
                <w:b/>
                <w:color w:val="000000"/>
              </w:rPr>
              <w:t> </w:t>
            </w:r>
          </w:p>
        </w:tc>
        <w:tc>
          <w:tcPr>
            <w:tcW w:w="1530" w:type="dxa"/>
            <w:tcBorders>
              <w:top w:val="nil"/>
              <w:left w:val="nil"/>
              <w:bottom w:val="single" w:sz="8" w:space="0" w:color="000000"/>
              <w:right w:val="single" w:sz="8" w:space="0" w:color="000000"/>
            </w:tcBorders>
            <w:shd w:val="clear" w:color="auto" w:fill="000000"/>
            <w:vAlign w:val="bottom"/>
          </w:tcPr>
          <w:p w:rsidR="003E16A7" w:rsidP="003E16A7" w14:paraId="19768A71" w14:textId="77777777">
            <w:pPr>
              <w:widowControl/>
              <w:spacing w:before="120"/>
              <w:rPr>
                <w:rFonts w:ascii="Calibri" w:eastAsia="Calibri" w:hAnsi="Calibri" w:cs="Calibri"/>
                <w:b/>
                <w:color w:val="000000"/>
              </w:rPr>
            </w:pPr>
            <w:r>
              <w:rPr>
                <w:rFonts w:ascii="Calibri" w:eastAsia="Calibri" w:hAnsi="Calibri" w:cs="Calibri"/>
                <w:b/>
                <w:color w:val="000000"/>
              </w:rPr>
              <w:t> </w:t>
            </w:r>
          </w:p>
        </w:tc>
        <w:tc>
          <w:tcPr>
            <w:tcW w:w="1260" w:type="dxa"/>
            <w:tcBorders>
              <w:top w:val="nil"/>
              <w:left w:val="nil"/>
              <w:bottom w:val="single" w:sz="8" w:space="0" w:color="000000"/>
              <w:right w:val="single" w:sz="8" w:space="0" w:color="000000"/>
            </w:tcBorders>
            <w:shd w:val="clear" w:color="auto" w:fill="000000"/>
            <w:vAlign w:val="bottom"/>
          </w:tcPr>
          <w:p w:rsidR="003E16A7" w:rsidP="003E16A7" w14:paraId="73A9CF9D" w14:textId="77777777">
            <w:pPr>
              <w:widowControl/>
              <w:spacing w:before="120"/>
              <w:rPr>
                <w:rFonts w:ascii="Calibri" w:eastAsia="Calibri" w:hAnsi="Calibri" w:cs="Calibri"/>
                <w:b/>
                <w:color w:val="000000"/>
              </w:rPr>
            </w:pPr>
            <w:r>
              <w:rPr>
                <w:rFonts w:ascii="Calibri" w:eastAsia="Calibri" w:hAnsi="Calibri" w:cs="Calibri"/>
                <w:b/>
                <w:color w:val="000000"/>
              </w:rPr>
              <w:t> </w:t>
            </w:r>
          </w:p>
        </w:tc>
        <w:tc>
          <w:tcPr>
            <w:tcW w:w="1340" w:type="dxa"/>
            <w:tcBorders>
              <w:top w:val="nil"/>
              <w:left w:val="nil"/>
              <w:bottom w:val="single" w:sz="8" w:space="0" w:color="000000"/>
              <w:right w:val="single" w:sz="8" w:space="0" w:color="000000"/>
            </w:tcBorders>
            <w:shd w:val="clear" w:color="auto" w:fill="DDEBF7"/>
            <w:vAlign w:val="bottom"/>
          </w:tcPr>
          <w:p w:rsidR="003E16A7" w:rsidP="003E16A7" w14:paraId="548EAD93" w14:textId="77777777">
            <w:pPr>
              <w:widowControl/>
              <w:spacing w:before="120"/>
              <w:rPr>
                <w:rFonts w:ascii="Calibri" w:eastAsia="Calibri" w:hAnsi="Calibri" w:cs="Calibri"/>
                <w:b/>
                <w:color w:val="000000"/>
              </w:rPr>
            </w:pPr>
            <w:r>
              <w:rPr>
                <w:rFonts w:ascii="Calibri" w:eastAsia="Calibri" w:hAnsi="Calibri" w:cs="Calibri"/>
                <w:b/>
                <w:color w:val="000000"/>
              </w:rPr>
              <w:t>1000</w:t>
            </w:r>
          </w:p>
        </w:tc>
        <w:tc>
          <w:tcPr>
            <w:tcW w:w="1050" w:type="dxa"/>
            <w:tcBorders>
              <w:top w:val="nil"/>
              <w:left w:val="nil"/>
              <w:bottom w:val="single" w:sz="8" w:space="0" w:color="000000"/>
              <w:right w:val="single" w:sz="8" w:space="0" w:color="000000"/>
            </w:tcBorders>
            <w:shd w:val="clear" w:color="auto" w:fill="000000"/>
            <w:vAlign w:val="bottom"/>
          </w:tcPr>
          <w:p w:rsidR="003E16A7" w:rsidP="003E16A7" w14:paraId="00A5BDD8" w14:textId="77777777">
            <w:pPr>
              <w:widowControl/>
              <w:spacing w:before="120"/>
              <w:rPr>
                <w:rFonts w:ascii="Calibri" w:eastAsia="Calibri" w:hAnsi="Calibri" w:cs="Calibri"/>
                <w:b/>
                <w:color w:val="000000"/>
              </w:rPr>
            </w:pPr>
            <w:r>
              <w:rPr>
                <w:rFonts w:ascii="Calibri" w:eastAsia="Calibri" w:hAnsi="Calibri" w:cs="Calibri"/>
                <w:b/>
                <w:color w:val="000000"/>
              </w:rPr>
              <w:t> </w:t>
            </w:r>
          </w:p>
        </w:tc>
        <w:tc>
          <w:tcPr>
            <w:tcW w:w="1120" w:type="dxa"/>
            <w:tcBorders>
              <w:top w:val="nil"/>
              <w:left w:val="nil"/>
              <w:bottom w:val="single" w:sz="8" w:space="0" w:color="000000"/>
              <w:right w:val="single" w:sz="8" w:space="0" w:color="000000"/>
            </w:tcBorders>
            <w:shd w:val="clear" w:color="auto" w:fill="DDEBF7"/>
            <w:vAlign w:val="bottom"/>
          </w:tcPr>
          <w:p w:rsidR="003E16A7" w:rsidP="003E16A7" w14:paraId="7170A7FC" w14:textId="77777777">
            <w:pPr>
              <w:widowControl/>
              <w:spacing w:before="120"/>
              <w:rPr>
                <w:rFonts w:ascii="Calibri" w:eastAsia="Calibri" w:hAnsi="Calibri" w:cs="Calibri"/>
                <w:b/>
                <w:color w:val="000000"/>
              </w:rPr>
            </w:pPr>
            <w:r>
              <w:rPr>
                <w:rFonts w:ascii="Calibri" w:eastAsia="Calibri" w:hAnsi="Calibri" w:cs="Calibri"/>
                <w:b/>
                <w:color w:val="000000"/>
              </w:rPr>
              <w:t>1000</w:t>
            </w:r>
          </w:p>
        </w:tc>
        <w:tc>
          <w:tcPr>
            <w:tcW w:w="1350" w:type="dxa"/>
            <w:tcBorders>
              <w:top w:val="nil"/>
              <w:left w:val="nil"/>
              <w:bottom w:val="single" w:sz="8" w:space="0" w:color="000000"/>
              <w:right w:val="single" w:sz="8" w:space="0" w:color="000000"/>
            </w:tcBorders>
            <w:shd w:val="clear" w:color="auto" w:fill="000000"/>
            <w:vAlign w:val="bottom"/>
          </w:tcPr>
          <w:p w:rsidR="003E16A7" w:rsidP="003E16A7" w14:paraId="09E9684F" w14:textId="77777777">
            <w:pPr>
              <w:widowControl/>
              <w:spacing w:before="120"/>
              <w:rPr>
                <w:rFonts w:ascii="Calibri" w:eastAsia="Calibri" w:hAnsi="Calibri" w:cs="Calibri"/>
                <w:b/>
                <w:color w:val="000000"/>
              </w:rPr>
            </w:pPr>
            <w:r>
              <w:rPr>
                <w:rFonts w:ascii="Calibri" w:eastAsia="Calibri" w:hAnsi="Calibri" w:cs="Calibri"/>
                <w:b/>
                <w:color w:val="000000"/>
              </w:rPr>
              <w:t> </w:t>
            </w:r>
          </w:p>
        </w:tc>
        <w:tc>
          <w:tcPr>
            <w:tcW w:w="2250" w:type="dxa"/>
            <w:tcBorders>
              <w:top w:val="nil"/>
              <w:left w:val="nil"/>
              <w:bottom w:val="single" w:sz="8" w:space="0" w:color="000000"/>
              <w:right w:val="single" w:sz="8" w:space="0" w:color="000000"/>
            </w:tcBorders>
            <w:shd w:val="clear" w:color="auto" w:fill="DDEBF7"/>
            <w:vAlign w:val="bottom"/>
          </w:tcPr>
          <w:p w:rsidR="003E16A7" w:rsidRPr="003E16A7" w:rsidP="003E16A7" w14:paraId="5A536428" w14:textId="77777777">
            <w:pPr>
              <w:widowControl/>
              <w:spacing w:before="120"/>
              <w:jc w:val="right"/>
              <w:rPr>
                <w:rFonts w:ascii="Calibri" w:eastAsia="Calibri" w:hAnsi="Calibri" w:cs="Calibri"/>
                <w:b/>
                <w:color w:val="000000"/>
                <w:sz w:val="18"/>
                <w:szCs w:val="18"/>
              </w:rPr>
            </w:pPr>
            <w:r w:rsidRPr="003E16A7">
              <w:rPr>
                <w:rFonts w:ascii="Calibri" w:eastAsia="Calibri" w:hAnsi="Calibri" w:cs="Calibri"/>
                <w:b/>
                <w:color w:val="000000"/>
                <w:sz w:val="18"/>
                <w:szCs w:val="18"/>
              </w:rPr>
              <w:t>$27,790</w:t>
            </w:r>
          </w:p>
        </w:tc>
      </w:tr>
    </w:tbl>
    <w:p w:rsidR="00BE33AB" w:rsidP="00EC2054" w14:paraId="578190F7" w14:textId="77777777">
      <w:pPr>
        <w:spacing w:before="120"/>
        <w:rPr>
          <w:b/>
          <w:color w:val="FF0000"/>
        </w:rPr>
      </w:pPr>
    </w:p>
    <w:p w:rsidR="00BE33AB" w:rsidRPr="008D1D9C" w:rsidP="008D1D9C" w14:paraId="20A32F25" w14:textId="77777777">
      <w:pPr>
        <w:spacing w:before="120"/>
        <w:ind w:hanging="43"/>
      </w:pPr>
      <w:r w:rsidRPr="008D1D9C">
        <w:t>*</w:t>
      </w:r>
      <w:r w:rsidRPr="008D1D9C" w:rsidR="008D1D9C">
        <w:t>The wage rate for Sailors &amp; Marine Oilers (53-5011) from the BLS Occupational Employment and Wage Statistics page (</w:t>
      </w:r>
      <w:hyperlink r:id="rId11" w:anchor="53-0000" w:history="1">
        <w:r w:rsidRPr="008D1D9C" w:rsidR="008D1D9C">
          <w:rPr>
            <w:rStyle w:val="Hyperlink"/>
            <w:color w:val="0070C0"/>
          </w:rPr>
          <w:t>https://www.bls.gov/oes/current/oes_nat.htm#53-0000</w:t>
        </w:r>
      </w:hyperlink>
      <w:r w:rsidRPr="008D1D9C" w:rsidR="008D1D9C">
        <w:t xml:space="preserve">) was used to determine the hourly wage rate. </w:t>
      </w:r>
    </w:p>
    <w:p w:rsidR="00BE33AB" w:rsidRPr="008D1D9C" w:rsidP="008D1D9C" w14:paraId="2F5468FF" w14:textId="77777777">
      <w:pPr>
        <w:spacing w:before="120"/>
        <w:sectPr w:rsidSect="00F84A5B">
          <w:pgSz w:w="15840" w:h="12240" w:orient="landscape"/>
          <w:pgMar w:top="640" w:right="1080" w:bottom="1200" w:left="1080" w:header="0" w:footer="1014" w:gutter="0"/>
          <w:cols w:space="720"/>
          <w:docGrid w:linePitch="326"/>
        </w:sectPr>
      </w:pPr>
    </w:p>
    <w:p w:rsidR="00BE33AB" w:rsidP="00EC2054" w14:paraId="544CCE36" w14:textId="77777777">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BE33AB" w:rsidRPr="001B42AD" w:rsidP="00EC2054" w14:paraId="218FC3B6" w14:textId="77777777">
      <w:pPr>
        <w:spacing w:before="120"/>
      </w:pPr>
      <w:r w:rsidRPr="001B42AD">
        <w:t>There are no capital costs or operating and maintenance costs associated with this information collection.</w:t>
      </w:r>
      <w:r w:rsidRPr="001B42AD" w:rsidR="001B42AD">
        <w:t xml:space="preserve">  All information is submitted electronically.</w:t>
      </w:r>
    </w:p>
    <w:p w:rsidR="00BE33AB" w:rsidP="00EC2054" w14:paraId="2353EBA5" w14:textId="77777777">
      <w:pPr>
        <w:pBdr>
          <w:top w:val="nil"/>
          <w:left w:val="nil"/>
          <w:bottom w:val="nil"/>
          <w:right w:val="nil"/>
          <w:between w:val="nil"/>
        </w:pBdr>
        <w:spacing w:before="120"/>
        <w:rPr>
          <w:b/>
          <w:color w:val="000000"/>
        </w:rPr>
      </w:pPr>
    </w:p>
    <w:p w:rsidR="00BE33AB" w:rsidP="00EC2054" w14:paraId="6583DA34" w14:textId="77777777">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E33AB" w:rsidP="00EC2054" w14:paraId="0E56DEC0" w14:textId="77777777">
      <w:pPr>
        <w:pBdr>
          <w:top w:val="nil"/>
          <w:left w:val="nil"/>
          <w:bottom w:val="nil"/>
          <w:right w:val="nil"/>
          <w:between w:val="nil"/>
        </w:pBdr>
        <w:spacing w:before="120"/>
        <w:rPr>
          <w:b/>
          <w:color w:val="000000"/>
        </w:rPr>
      </w:pPr>
    </w:p>
    <w:tbl>
      <w:tblPr>
        <w:tblStyle w:val="a2"/>
        <w:tblW w:w="8240" w:type="dxa"/>
        <w:tblInd w:w="-25" w:type="dxa"/>
        <w:tblLayout w:type="fixed"/>
        <w:tblLook w:val="0400"/>
      </w:tblPr>
      <w:tblGrid>
        <w:gridCol w:w="2280"/>
        <w:gridCol w:w="1120"/>
        <w:gridCol w:w="1140"/>
        <w:gridCol w:w="1120"/>
        <w:gridCol w:w="1280"/>
        <w:gridCol w:w="1300"/>
      </w:tblGrid>
      <w:tr w14:paraId="0360C686" w14:textId="77777777">
        <w:tblPrEx>
          <w:tblW w:w="824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BE33AB" w:rsidP="00EC2054" w14:paraId="35AC27C5" w14:textId="77777777">
            <w:pPr>
              <w:widowControl/>
              <w:spacing w:before="120"/>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BE33AB" w:rsidP="00EC2054" w14:paraId="287E7700" w14:textId="77777777">
            <w:pPr>
              <w:widowControl/>
              <w:spacing w:before="120"/>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BE33AB" w:rsidP="00EC2054" w14:paraId="16A80AF4" w14:textId="77777777">
            <w:pPr>
              <w:widowControl/>
              <w:spacing w:before="120"/>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BE33AB" w:rsidP="00EC2054" w14:paraId="47B8DED9" w14:textId="77777777">
            <w:pPr>
              <w:widowControl/>
              <w:spacing w:before="120"/>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BE33AB" w:rsidP="00EC2054" w14:paraId="1A4A0B1E" w14:textId="77777777">
            <w:pPr>
              <w:widowControl/>
              <w:spacing w:before="120"/>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BE33AB" w:rsidP="00EC2054" w14:paraId="25994109" w14:textId="77777777">
            <w:pPr>
              <w:widowControl/>
              <w:spacing w:before="120"/>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03436DA0" w14:textId="77777777">
        <w:tblPrEx>
          <w:tblW w:w="824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BE33AB" w:rsidP="00EC2054" w14:paraId="32ACA466" w14:textId="77777777">
            <w:pPr>
              <w:widowControl/>
              <w:spacing w:before="120"/>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BE33AB" w:rsidP="00EC2054" w14:paraId="242BACDB"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r w:rsidR="001B42AD">
              <w:rPr>
                <w:rFonts w:ascii="Calibri" w:eastAsia="Calibri" w:hAnsi="Calibri" w:cs="Calibri"/>
                <w:color w:val="000000"/>
                <w:sz w:val="16"/>
                <w:szCs w:val="16"/>
              </w:rPr>
              <w:t>ZP-4/2</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BE33AB" w:rsidP="00EC2054" w14:paraId="3A931232"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$200,597</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BE33AB" w:rsidP="00EC2054" w14:paraId="372DCA54"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25%</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BE33AB" w:rsidP="00EC2054" w14:paraId="72B7BAE6"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BE33AB" w:rsidP="00EC2054" w14:paraId="0D8A0736"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$50,149</w:t>
            </w:r>
          </w:p>
        </w:tc>
      </w:tr>
      <w:tr w14:paraId="4E2405A9" w14:textId="77777777">
        <w:tblPrEx>
          <w:tblW w:w="8240" w:type="dxa"/>
          <w:tblInd w:w="-25"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BE33AB" w:rsidP="00EC2054" w14:paraId="4CD13FC8" w14:textId="77777777">
            <w:pPr>
              <w:widowControl/>
              <w:spacing w:before="120"/>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BE33AB" w:rsidP="00EC2054" w14:paraId="1288BF64"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BE33AB" w:rsidP="00EC2054" w14:paraId="232320BE"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BE33AB" w:rsidP="00EC2054" w14:paraId="15ABE275"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BE33AB" w:rsidP="00EC2054" w14:paraId="7E1B5647"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BE33AB" w:rsidP="00EC2054" w14:paraId="79C9CF56"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r>
      <w:tr w14:paraId="2E30A423" w14:textId="77777777">
        <w:tblPrEx>
          <w:tblW w:w="8240"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BE33AB" w:rsidP="00EC2054" w14:paraId="56FA0221" w14:textId="77777777">
            <w:pPr>
              <w:widowControl/>
              <w:spacing w:before="120"/>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BE33AB" w:rsidP="00EC2054" w14:paraId="50308EBE"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BE33AB" w:rsidP="00EC2054" w14:paraId="71E0F84C"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BE33AB" w:rsidP="00EC2054" w14:paraId="5EA25D50"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BE33AB" w:rsidP="00EC2054" w14:paraId="15E2C0DF"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BE33AB" w:rsidP="00EC2054" w14:paraId="370DF9B0"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r>
      <w:tr w14:paraId="49AC01A6" w14:textId="77777777">
        <w:tblPrEx>
          <w:tblW w:w="8240" w:type="dxa"/>
          <w:tblInd w:w="-25" w:type="dxa"/>
          <w:tblLayout w:type="fixed"/>
          <w:tblLook w:val="0400"/>
        </w:tblPrEx>
        <w:trPr>
          <w:trHeight w:val="525"/>
        </w:trPr>
        <w:tc>
          <w:tcPr>
            <w:tcW w:w="2280" w:type="dxa"/>
            <w:tcBorders>
              <w:top w:val="nil"/>
              <w:left w:val="single" w:sz="8" w:space="0" w:color="000000"/>
              <w:bottom w:val="nil"/>
              <w:right w:val="single" w:sz="8" w:space="0" w:color="000000"/>
            </w:tcBorders>
            <w:shd w:val="clear" w:color="auto" w:fill="auto"/>
            <w:vAlign w:val="center"/>
          </w:tcPr>
          <w:p w:rsidR="00BE33AB" w:rsidP="00EC2054" w14:paraId="1B15AC55" w14:textId="77777777">
            <w:pPr>
              <w:widowControl/>
              <w:spacing w:before="120"/>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BE33AB" w:rsidP="00EC2054" w14:paraId="2980F5A6"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BE33AB" w:rsidP="00EC2054" w14:paraId="535CA0B1"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BE33AB" w:rsidP="00EC2054" w14:paraId="238D99C4"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BE33AB" w:rsidP="00EC2054" w14:paraId="0A50CA86"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BE33AB" w:rsidP="00EC2054" w14:paraId="587633BF"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r>
      <w:tr w14:paraId="7247EDB3" w14:textId="77777777">
        <w:tblPrEx>
          <w:tblW w:w="8240"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BE33AB" w:rsidP="00EC2054" w14:paraId="66C82048" w14:textId="77777777">
            <w:pPr>
              <w:widowControl/>
              <w:spacing w:before="120"/>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BE33AB" w:rsidP="00EC2054" w14:paraId="268B6856"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BE33AB" w:rsidP="00EC2054" w14:paraId="4D2E8096"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BE33AB" w:rsidP="00EC2054" w14:paraId="0C07D010"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BE33AB" w:rsidP="00EC2054" w14:paraId="22C5B9ED" w14:textId="77777777">
            <w:pPr>
              <w:widowControl/>
              <w:spacing w:before="120"/>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BE33AB" w:rsidRPr="001B42AD" w:rsidP="00EC2054" w14:paraId="167A70D9" w14:textId="77777777">
            <w:pPr>
              <w:widowControl/>
              <w:spacing w:before="120"/>
              <w:rPr>
                <w:rFonts w:ascii="Calibri" w:eastAsia="Calibri" w:hAnsi="Calibri" w:cs="Calibri"/>
                <w:b/>
                <w:color w:val="000000"/>
                <w:sz w:val="16"/>
                <w:szCs w:val="16"/>
              </w:rPr>
            </w:pPr>
            <w:r w:rsidRPr="001B42AD">
              <w:rPr>
                <w:rFonts w:ascii="Calibri" w:eastAsia="Calibri" w:hAnsi="Calibri" w:cs="Calibri"/>
                <w:b/>
                <w:color w:val="000000"/>
                <w:sz w:val="16"/>
                <w:szCs w:val="16"/>
              </w:rPr>
              <w:t>$50,149</w:t>
            </w:r>
          </w:p>
        </w:tc>
      </w:tr>
    </w:tbl>
    <w:p w:rsidR="00BE33AB" w:rsidP="00EC2054" w14:paraId="4C76E70F" w14:textId="77777777">
      <w:pPr>
        <w:pBdr>
          <w:top w:val="nil"/>
          <w:left w:val="nil"/>
          <w:bottom w:val="nil"/>
          <w:right w:val="nil"/>
          <w:between w:val="nil"/>
        </w:pBdr>
        <w:spacing w:before="120"/>
        <w:rPr>
          <w:b/>
          <w:color w:val="000000"/>
        </w:rPr>
      </w:pPr>
    </w:p>
    <w:p w:rsidR="00BE33AB" w:rsidP="00EC2054" w14:paraId="088B0E2F" w14:textId="77777777">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Explain the reasons for any program changes or adjustments reported in ROCIS.</w:t>
      </w:r>
    </w:p>
    <w:p w:rsidR="00BE33AB" w:rsidRPr="00D61083" w:rsidP="00EC2054" w14:paraId="59ABCB7B" w14:textId="77777777">
      <w:pPr>
        <w:spacing w:before="120"/>
      </w:pPr>
      <w:r w:rsidRPr="00D61083">
        <w:t>There are no changes to the information collection since the last OMB approval.</w:t>
      </w:r>
    </w:p>
    <w:p w:rsidR="00BE33AB" w:rsidP="00EC2054" w14:paraId="2EAA268B" w14:textId="77777777">
      <w:pPr>
        <w:pBdr>
          <w:top w:val="nil"/>
          <w:left w:val="nil"/>
          <w:bottom w:val="nil"/>
          <w:right w:val="nil"/>
          <w:between w:val="nil"/>
        </w:pBdr>
        <w:spacing w:before="120"/>
        <w:rPr>
          <w:b/>
          <w:color w:val="000000"/>
        </w:rPr>
      </w:pPr>
    </w:p>
    <w:p w:rsidR="00BE33AB" w:rsidP="00EC2054" w14:paraId="50957BCF" w14:textId="77777777">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61083" w:rsidP="00D61083" w14:paraId="11BBA1D3" w14:textId="77777777">
      <w:pPr>
        <w:pStyle w:val="ListParagraph"/>
        <w:ind w:left="0" w:firstLine="0"/>
      </w:pPr>
      <w:r>
        <w:t>The information in this collection will not be published.</w:t>
      </w:r>
    </w:p>
    <w:p w:rsidR="00D61083" w:rsidP="00D61083" w14:paraId="663BC529" w14:textId="77777777">
      <w:pPr>
        <w:pStyle w:val="ListParagraph"/>
        <w:ind w:left="0" w:firstLine="0"/>
      </w:pPr>
    </w:p>
    <w:p w:rsidR="00BE33AB" w:rsidP="00EC2054" w14:paraId="1E07A7DD" w14:textId="77777777">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If seeking approval to not display the expiration date for OMB approval of the information collection, explain the reasons that display would be inappropriate.</w:t>
      </w:r>
    </w:p>
    <w:p w:rsidR="00D61083" w:rsidP="00D61083" w14:paraId="26BF8754" w14:textId="77777777">
      <w:pPr>
        <w:pStyle w:val="ListParagraph"/>
        <w:ind w:left="0" w:firstLine="0"/>
      </w:pPr>
      <w:r>
        <w:t>The OMB Control Number and collection expiration date will be displayed on the Wage Mariner Hiring Portal.</w:t>
      </w:r>
    </w:p>
    <w:p w:rsidR="00BE33AB" w:rsidP="00EC2054" w14:paraId="1CB76447" w14:textId="77777777">
      <w:pPr>
        <w:spacing w:before="120"/>
        <w:rPr>
          <w:i/>
        </w:rPr>
      </w:pPr>
    </w:p>
    <w:p w:rsidR="00BE33AB" w:rsidP="00EC2054" w14:paraId="428ECB90" w14:textId="77777777">
      <w:pPr>
        <w:numPr>
          <w:ilvl w:val="0"/>
          <w:numId w:val="3"/>
        </w:numPr>
        <w:pBdr>
          <w:top w:val="nil"/>
          <w:left w:val="nil"/>
          <w:bottom w:val="nil"/>
          <w:right w:val="nil"/>
          <w:between w:val="nil"/>
        </w:pBdr>
        <w:tabs>
          <w:tab w:val="left" w:pos="360"/>
        </w:tabs>
        <w:spacing w:before="120"/>
        <w:ind w:left="0" w:firstLine="0"/>
        <w:rPr>
          <w:b/>
          <w:color w:val="000000"/>
        </w:rPr>
      </w:pPr>
      <w:r>
        <w:rPr>
          <w:b/>
          <w:color w:val="000000"/>
        </w:rPr>
        <w:t>Explain each exception to the certification statement identified in “Certification for Paperwork Reduction Act Submissions."</w:t>
      </w:r>
    </w:p>
    <w:p w:rsidR="00BE33AB" w:rsidP="00EC2054" w14:paraId="7B242FFF" w14:textId="77777777">
      <w:pPr>
        <w:spacing w:before="120"/>
        <w:jc w:val="both"/>
      </w:pPr>
      <w:r>
        <w:t xml:space="preserve">The agency certifies compliance with </w:t>
      </w:r>
      <w:hyperlink r:id="rId12">
        <w:r>
          <w:rPr>
            <w:color w:val="0563C1"/>
            <w:u w:val="single"/>
          </w:rPr>
          <w:t>5 CFR 1320.9</w:t>
        </w:r>
      </w:hyperlink>
      <w:hyperlink r:id="rId12">
        <w:r>
          <w:rPr>
            <w:color w:val="0563C1"/>
          </w:rPr>
          <w:t xml:space="preserve"> </w:t>
        </w:r>
      </w:hyperlink>
      <w:r>
        <w:t xml:space="preserve">and the related provisions of </w:t>
      </w:r>
      <w:hyperlink r:id="rId13">
        <w:r>
          <w:rPr>
            <w:color w:val="0563C1"/>
            <w:u w:val="single"/>
          </w:rPr>
          <w:t>5 CFR</w:t>
        </w:r>
      </w:hyperlink>
      <w:r>
        <w:rPr>
          <w:color w:val="0563C1"/>
        </w:rPr>
        <w:t xml:space="preserve"> </w:t>
      </w:r>
      <w:hyperlink r:id="rId13">
        <w:r>
          <w:rPr>
            <w:color w:val="0563C1"/>
            <w:u w:val="single"/>
          </w:rPr>
          <w:t>1320.8(b)(3)</w:t>
        </w:r>
      </w:hyperlink>
      <w:r>
        <w:t>.</w:t>
      </w:r>
    </w:p>
    <w:p w:rsidR="00BE33AB" w:rsidP="00EC2054" w14:paraId="36523DED" w14:textId="77777777">
      <w:pPr>
        <w:spacing w:before="120"/>
        <w:jc w:val="both"/>
      </w:pPr>
    </w:p>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ヒラギノ角ゴ Pro W3">
    <w:altName w:val="Yu Gothic UI"/>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15118785"/>
      <w:docPartObj>
        <w:docPartGallery w:val="Page Numbers (Bottom of Page)"/>
        <w:docPartUnique/>
      </w:docPartObj>
    </w:sdtPr>
    <w:sdtEndPr>
      <w:rPr>
        <w:noProof/>
      </w:rPr>
    </w:sdtEndPr>
    <w:sdtContent>
      <w:p w:rsidR="00E73C5A" w14:paraId="1037DC0E" w14:textId="6F11DA23">
        <w:pPr>
          <w:pStyle w:val="Footer"/>
        </w:pPr>
        <w:r>
          <w:t xml:space="preserve">Page | </w:t>
        </w:r>
        <w:r>
          <w:fldChar w:fldCharType="begin"/>
        </w:r>
        <w:r>
          <w:instrText xml:space="preserve"> PAGE   \* MERGEFORMAT </w:instrText>
        </w:r>
        <w:r>
          <w:fldChar w:fldCharType="separate"/>
        </w:r>
        <w:r w:rsidR="000E3DC8">
          <w:rPr>
            <w:noProof/>
          </w:rPr>
          <w:t>5</w:t>
        </w:r>
        <w:r>
          <w:rPr>
            <w:noProof/>
          </w:rPr>
          <w:fldChar w:fldCharType="end"/>
        </w:r>
      </w:p>
    </w:sdtContent>
  </w:sdt>
  <w:p w:rsidR="00BE33AB" w14:paraId="4A01B51D"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F7A05"/>
    <w:multiLevelType w:val="multilevel"/>
    <w:tmpl w:val="DE5E449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010C46DB"/>
    <w:multiLevelType w:val="multilevel"/>
    <w:tmpl w:val="23CA5AF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nsid w:val="182F0256"/>
    <w:multiLevelType w:val="multilevel"/>
    <w:tmpl w:val="9FA6141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nsid w:val="2B742A03"/>
    <w:multiLevelType w:val="multilevel"/>
    <w:tmpl w:val="F77CF5B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nsid w:val="2E356149"/>
    <w:multiLevelType w:val="multilevel"/>
    <w:tmpl w:val="D1D0BB2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5">
    <w:nsid w:val="323A1929"/>
    <w:multiLevelType w:val="multilevel"/>
    <w:tmpl w:val="D5B412D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nsid w:val="3C4E4B64"/>
    <w:multiLevelType w:val="multilevel"/>
    <w:tmpl w:val="E0B2ADB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7">
    <w:nsid w:val="46D634D5"/>
    <w:multiLevelType w:val="multilevel"/>
    <w:tmpl w:val="335E202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8">
    <w:nsid w:val="565A0874"/>
    <w:multiLevelType w:val="multilevel"/>
    <w:tmpl w:val="FEC6B14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9">
    <w:nsid w:val="5ABA67A0"/>
    <w:multiLevelType w:val="multilevel"/>
    <w:tmpl w:val="52865FF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nsid w:val="5F6F025B"/>
    <w:multiLevelType w:val="multilevel"/>
    <w:tmpl w:val="10C24FBC"/>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num w:numId="1">
    <w:abstractNumId w:val="7"/>
  </w:num>
  <w:num w:numId="2">
    <w:abstractNumId w:val="8"/>
  </w:num>
  <w:num w:numId="3">
    <w:abstractNumId w:val="3"/>
  </w:num>
  <w:num w:numId="4">
    <w:abstractNumId w:val="0"/>
  </w:num>
  <w:num w:numId="5">
    <w:abstractNumId w:val="9"/>
  </w:num>
  <w:num w:numId="6">
    <w:abstractNumId w:val="1"/>
  </w:num>
  <w:num w:numId="7">
    <w:abstractNumId w:val="5"/>
  </w:num>
  <w:num w:numId="8">
    <w:abstractNumId w:val="6"/>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AB"/>
    <w:rsid w:val="000E3DC8"/>
    <w:rsid w:val="001B42AD"/>
    <w:rsid w:val="002600FF"/>
    <w:rsid w:val="00271BFA"/>
    <w:rsid w:val="003725CD"/>
    <w:rsid w:val="003E16A7"/>
    <w:rsid w:val="00495E39"/>
    <w:rsid w:val="00504CD5"/>
    <w:rsid w:val="0050675B"/>
    <w:rsid w:val="00512F00"/>
    <w:rsid w:val="00517EFE"/>
    <w:rsid w:val="008D1D9C"/>
    <w:rsid w:val="00AB6C98"/>
    <w:rsid w:val="00B303AC"/>
    <w:rsid w:val="00B31973"/>
    <w:rsid w:val="00B365ED"/>
    <w:rsid w:val="00BE33AB"/>
    <w:rsid w:val="00CF3F41"/>
    <w:rsid w:val="00D12089"/>
    <w:rsid w:val="00D501F7"/>
    <w:rsid w:val="00D61083"/>
    <w:rsid w:val="00DC6117"/>
    <w:rsid w:val="00E0146B"/>
    <w:rsid w:val="00E6675F"/>
    <w:rsid w:val="00E73C5A"/>
    <w:rsid w:val="00E84530"/>
    <w:rsid w:val="00EC2054"/>
    <w:rsid w:val="00F56ED4"/>
    <w:rsid w:val="00F81167"/>
    <w:rsid w:val="00F84A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46241A"/>
  <w15:docId w15:val="{A2D3BE43-EF9B-4F87-95BA-046DD998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customStyle="1" w:styleId="Default">
    <w:name w:val="Default"/>
    <w:rsid w:val="003725CD"/>
    <w:rPr>
      <w:rFonts w:eastAsia="ヒラギノ角ゴ Pro W3"/>
      <w:color w:val="000000"/>
      <w:szCs w:val="20"/>
    </w:rPr>
  </w:style>
  <w:style w:type="paragraph" w:styleId="NormalWeb">
    <w:name w:val="Normal (Web)"/>
    <w:basedOn w:val="Normal"/>
    <w:uiPriority w:val="99"/>
    <w:semiHidden/>
    <w:unhideWhenUsed/>
    <w:rsid w:val="0050675B"/>
    <w:pPr>
      <w:widowControl/>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504CD5"/>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504CD5"/>
    <w:rPr>
      <w:rFonts w:ascii="Arial" w:eastAsia="Arial" w:hAnsi="Arial" w:cs="Arial"/>
      <w:b/>
      <w:bCs/>
      <w:color w:val="2E53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bls.gov/oes/current/oes_nat.htm" TargetMode="Externa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mao.noaa.gov/learn/marine-operations/ships" TargetMode="External" /><Relationship Id="rId6" Type="http://schemas.openxmlformats.org/officeDocument/2006/relationships/hyperlink" Target="https://www.omao.noaa.gov/learn/noaa-commissioned-officer-corps" TargetMode="External" /><Relationship Id="rId7" Type="http://schemas.openxmlformats.org/officeDocument/2006/relationships/hyperlink" Target="https://marinerhiring.noaa.gov/Jobs/Openings" TargetMode="External" /><Relationship Id="rId8" Type="http://schemas.openxmlformats.org/officeDocument/2006/relationships/hyperlink" Target="https://www.osec.doc.gov/opog/PrivacyAct/SORNs/DEPT-18.html" TargetMode="External" /><Relationship Id="rId9" Type="http://schemas.openxmlformats.org/officeDocument/2006/relationships/hyperlink" Target="https://www.osec.doc.gov/opog/privacy/NOAA%20PIAs/NOAA2220_PIA_SAOP_Approved_FY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2</cp:revision>
  <dcterms:created xsi:type="dcterms:W3CDTF">2023-03-08T14:34:00Z</dcterms:created>
  <dcterms:modified xsi:type="dcterms:W3CDTF">2023-03-08T14:34:00Z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