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55A6D" w:rsidP="002079CB" w14:paraId="21EEB524" w14:textId="77777777">
      <w:pPr>
        <w:pStyle w:val="NoSpacing"/>
        <w:jc w:val="center"/>
      </w:pPr>
      <w:r>
        <w:rPr>
          <w:b/>
        </w:rPr>
        <w:t>JUSTIFICATION FOR NONMATERIAL/NONSUBSTATNIVE CHANGE</w:t>
      </w:r>
    </w:p>
    <w:p w:rsidR="002079CB" w:rsidP="002079CB" w14:paraId="21EEB525" w14:textId="77777777">
      <w:pPr>
        <w:pStyle w:val="NoSpacing"/>
        <w:jc w:val="center"/>
        <w:rPr>
          <w:b/>
        </w:rPr>
      </w:pPr>
      <w:r>
        <w:rPr>
          <w:b/>
        </w:rPr>
        <w:t>Patent Term Extension</w:t>
      </w:r>
    </w:p>
    <w:p w:rsidR="002079CB" w:rsidP="002079CB" w14:paraId="21EEB526" w14:textId="77777777">
      <w:pPr>
        <w:pStyle w:val="NoSpacing"/>
        <w:jc w:val="center"/>
      </w:pPr>
      <w:r>
        <w:rPr>
          <w:b/>
        </w:rPr>
        <w:t>OMB Control Number 0651-0020</w:t>
      </w:r>
    </w:p>
    <w:p w:rsidR="002079CB" w:rsidP="002079CB" w14:paraId="21EEB527" w14:textId="77777777">
      <w:pPr>
        <w:pStyle w:val="NoSpacing"/>
      </w:pPr>
    </w:p>
    <w:p w:rsidR="002079CB" w:rsidRPr="000E42BC" w:rsidP="002079CB" w14:paraId="21EEB528" w14:textId="77777777">
      <w:pPr>
        <w:pStyle w:val="NoSpacing"/>
        <w:jc w:val="both"/>
        <w:rPr>
          <w:rFonts w:cs="Arial"/>
        </w:rPr>
      </w:pPr>
      <w:r w:rsidRPr="000E42BC">
        <w:rPr>
          <w:rFonts w:cs="Arial"/>
          <w:u w:val="single"/>
        </w:rPr>
        <w:t>Background</w:t>
      </w:r>
    </w:p>
    <w:p w:rsidR="008A100B" w:rsidP="002079CB" w14:paraId="7E905213" w14:textId="77777777">
      <w:pPr>
        <w:pStyle w:val="NoSpacing"/>
        <w:jc w:val="both"/>
      </w:pPr>
    </w:p>
    <w:p w:rsidR="002079CB" w:rsidRPr="000E42BC" w:rsidP="002079CB" w14:paraId="21EEB52A" w14:textId="51A4BC32">
      <w:pPr>
        <w:pStyle w:val="NoSpacing"/>
        <w:jc w:val="both"/>
        <w:rPr>
          <w:rFonts w:cs="Arial"/>
        </w:rPr>
      </w:pPr>
      <w:r>
        <w:t xml:space="preserve">This information collection covers information collected when the USPTO reduces the amount of a granted patent term adjustment if delays </w:t>
      </w:r>
      <w:r>
        <w:t xml:space="preserve">were caused by an applicant’s failure to make a reasonable effort to respond to a communication from the USPTO within three months of the communication’s mailing date. Applicants may petition for reinstatement of a reduction in patent term adjustment with </w:t>
      </w:r>
      <w:r>
        <w:t>a showing that, in spite of all due care, the applicant was unable to respond to a communication from the USPTO within the three-month period.</w:t>
      </w:r>
    </w:p>
    <w:p w:rsidR="002079CB" w:rsidP="002079CB" w14:paraId="21EEB52B" w14:textId="37D49F22">
      <w:pPr>
        <w:pStyle w:val="NoSpacing"/>
        <w:jc w:val="both"/>
        <w:rPr>
          <w:rFonts w:cs="Arial"/>
        </w:rPr>
      </w:pPr>
    </w:p>
    <w:p w:rsidR="008A100B" w:rsidP="002079CB" w14:paraId="72E9B470" w14:textId="2CA61DDE">
      <w:pPr>
        <w:pStyle w:val="NoSpacing"/>
        <w:jc w:val="both"/>
      </w:pPr>
      <w:r>
        <w:t>To further advance the United States Patent and Trademark Office’s (USPTO or Office) information technology stra</w:t>
      </w:r>
      <w:r>
        <w:t xml:space="preserve">tegy of achieving complete beginning-to-end electronic processing of patent-related submissions, the USPTO </w:t>
      </w:r>
      <w:r w:rsidR="008A4C96">
        <w:t>revised</w:t>
      </w:r>
      <w:r>
        <w:t xml:space="preserve"> the Rules of Practice in Patent Cases to require that patent term extension (PTE) applications, interim PTE applications, and any related sub</w:t>
      </w:r>
      <w:r>
        <w:t>missions to the USPTO be submitted electronically via the USPTO patent electronic filing system (Patent Center or EFS-Web). The rule changes (0651-AD59) reduce the administrative burden on PTE applicants and improve administrative efficiency by facilitatin</w:t>
      </w:r>
      <w:r>
        <w:t>g electronic file management, optimizing workflow processes, and reducing processing errors.</w:t>
      </w:r>
    </w:p>
    <w:p w:rsidR="008A100B" w:rsidRPr="000E42BC" w:rsidP="002079CB" w14:paraId="4EE26EBC" w14:textId="77777777">
      <w:pPr>
        <w:pStyle w:val="NoSpacing"/>
        <w:jc w:val="both"/>
        <w:rPr>
          <w:rFonts w:cs="Arial"/>
        </w:rPr>
      </w:pPr>
    </w:p>
    <w:p w:rsidR="002079CB" w:rsidP="002079CB" w14:paraId="21EEB52D" w14:textId="43CDE1DF">
      <w:pPr>
        <w:pStyle w:val="NoSpacing"/>
        <w:jc w:val="both"/>
        <w:rPr>
          <w:rFonts w:cs="Arial"/>
        </w:rPr>
      </w:pPr>
      <w:r w:rsidRPr="00511994">
        <w:rPr>
          <w:rFonts w:cs="Arial"/>
        </w:rPr>
        <w:t xml:space="preserve">This request is to update </w:t>
      </w:r>
      <w:r w:rsidRPr="00511994" w:rsidR="008A100B">
        <w:rPr>
          <w:rFonts w:cs="Arial"/>
        </w:rPr>
        <w:t>one of the items</w:t>
      </w:r>
      <w:r w:rsidRPr="00511994">
        <w:rPr>
          <w:rFonts w:cs="Arial"/>
        </w:rPr>
        <w:t xml:space="preserve"> attached to collection 0651-0020 (Patent Term Extension) that are affected by the </w:t>
      </w:r>
      <w:r w:rsidR="00BB0C5F">
        <w:rPr>
          <w:rFonts w:cs="Arial"/>
        </w:rPr>
        <w:t xml:space="preserve">Final Rule </w:t>
      </w:r>
      <w:r w:rsidRPr="00511994" w:rsidR="00414E45">
        <w:t>RIN 0651–AD</w:t>
      </w:r>
      <w:r w:rsidR="00511994">
        <w:t>59</w:t>
      </w:r>
      <w:r w:rsidRPr="00511994">
        <w:rPr>
          <w:rFonts w:cs="Arial"/>
        </w:rPr>
        <w:t xml:space="preserve">. </w:t>
      </w:r>
      <w:r w:rsidR="00511994">
        <w:t xml:space="preserve">The rule removes the requirement to file PTE applications in paper in triplicate and the additional requirements of newly added 37 CFR 1.790(c)(1) and (d)(1). </w:t>
      </w:r>
      <w:r w:rsidR="006D7FC9">
        <w:t xml:space="preserve"> The USPTO estimates that this change will result in 30 minutes less work for each respondent </w:t>
      </w:r>
      <w:r w:rsidR="000314F4">
        <w:t>filing</w:t>
      </w:r>
      <w:r w:rsidR="006D7FC9">
        <w:t xml:space="preserve"> an application to extend patent terms.  As a result, the overall burden reduction is 7</w:t>
      </w:r>
      <w:r w:rsidR="00A4047F">
        <w:t>5</w:t>
      </w:r>
      <w:r w:rsidR="006D7FC9">
        <w:t xml:space="preserve"> hours (0.5 hours x </w:t>
      </w:r>
      <w:r w:rsidR="00A4047F">
        <w:t>150</w:t>
      </w:r>
      <w:r>
        <w:t xml:space="preserve"> respondents</w:t>
      </w:r>
      <w:r w:rsidR="006D7FC9">
        <w:t xml:space="preserve">). </w:t>
      </w:r>
      <w:r w:rsidR="00A4047F">
        <w:t xml:space="preserve"> </w:t>
      </w:r>
      <w:r>
        <w:t xml:space="preserve">(The Final Rule 0651-AD59 lists this burden reduction 72 hours, but that estimate didn’t include the burden associated with individual and household respondents.  When applied to all the respondents, the burden hour reduction is 75 hours.) </w:t>
      </w:r>
    </w:p>
    <w:p w:rsidR="002079CB" w:rsidP="002079CB" w14:paraId="21EEB583" w14:textId="77777777">
      <w:pPr>
        <w:pStyle w:val="NoSpacing"/>
        <w:jc w:val="both"/>
      </w:pPr>
    </w:p>
    <w:p w:rsidR="00BD2005" w:rsidP="002079CB" w14:paraId="21EEB584" w14:textId="27397FCE">
      <w:pPr>
        <w:pStyle w:val="NoSpacing"/>
        <w:jc w:val="both"/>
      </w:pPr>
      <w:r>
        <w:rPr>
          <w:b/>
        </w:rPr>
        <w:t xml:space="preserve">Table </w:t>
      </w:r>
      <w:r w:rsidR="00BB0C5F">
        <w:rPr>
          <w:b/>
        </w:rPr>
        <w:t>1</w:t>
      </w:r>
      <w:r>
        <w:rPr>
          <w:b/>
        </w:rPr>
        <w:t xml:space="preserve">: Change in </w:t>
      </w:r>
      <w:r w:rsidR="00BB0C5F">
        <w:rPr>
          <w:b/>
        </w:rPr>
        <w:t xml:space="preserve">Non-hour </w:t>
      </w:r>
      <w:r>
        <w:rPr>
          <w:b/>
        </w:rPr>
        <w:t>Burden</w:t>
      </w:r>
    </w:p>
    <w:tbl>
      <w:tblPr>
        <w:tblStyle w:val="TableGrid"/>
        <w:tblW w:w="0" w:type="auto"/>
        <w:tblLook w:val="04A0"/>
      </w:tblPr>
      <w:tblGrid>
        <w:gridCol w:w="538"/>
        <w:gridCol w:w="4823"/>
        <w:gridCol w:w="1329"/>
        <w:gridCol w:w="1336"/>
        <w:gridCol w:w="1324"/>
      </w:tblGrid>
      <w:tr w14:paraId="21EEB58C" w14:textId="77777777" w:rsidTr="00BB0C5F">
        <w:tblPrEx>
          <w:tblW w:w="0" w:type="auto"/>
          <w:tblLook w:val="04A0"/>
        </w:tblPrEx>
        <w:tc>
          <w:tcPr>
            <w:tcW w:w="538" w:type="dxa"/>
            <w:shd w:val="clear" w:color="auto" w:fill="B4C6E7" w:themeFill="accent5" w:themeFillTint="66"/>
            <w:vAlign w:val="center"/>
          </w:tcPr>
          <w:p w:rsidR="00BD2005" w:rsidRPr="00BD2005" w:rsidP="00BD2005" w14:paraId="21EEB585" w14:textId="77777777">
            <w:pPr>
              <w:pStyle w:val="NoSpacing"/>
              <w:jc w:val="center"/>
              <w:rPr>
                <w:b/>
              </w:rPr>
            </w:pPr>
          </w:p>
          <w:p w:rsidR="00BD2005" w:rsidRPr="00BD2005" w:rsidP="00BD2005" w14:paraId="21EEB586" w14:textId="6FB7D001">
            <w:pPr>
              <w:pStyle w:val="NoSpacing"/>
              <w:jc w:val="center"/>
              <w:rPr>
                <w:b/>
              </w:rPr>
            </w:pPr>
            <w:r>
              <w:rPr>
                <w:b/>
              </w:rPr>
              <w:t xml:space="preserve">IC </w:t>
            </w:r>
            <w:r w:rsidR="00BB0C5F">
              <w:rPr>
                <w:b/>
              </w:rPr>
              <w:t>No.</w:t>
            </w:r>
          </w:p>
          <w:p w:rsidR="00BD2005" w:rsidRPr="00BD2005" w:rsidP="00BD2005" w14:paraId="21EEB587" w14:textId="77777777">
            <w:pPr>
              <w:pStyle w:val="NoSpacing"/>
              <w:jc w:val="center"/>
              <w:rPr>
                <w:b/>
              </w:rPr>
            </w:pPr>
          </w:p>
        </w:tc>
        <w:tc>
          <w:tcPr>
            <w:tcW w:w="4823" w:type="dxa"/>
            <w:shd w:val="clear" w:color="auto" w:fill="B4C6E7" w:themeFill="accent5" w:themeFillTint="66"/>
            <w:vAlign w:val="center"/>
          </w:tcPr>
          <w:p w:rsidR="00BD2005" w:rsidRPr="00BD2005" w:rsidP="00BD2005" w14:paraId="21EEB588" w14:textId="77777777">
            <w:pPr>
              <w:pStyle w:val="NoSpacing"/>
              <w:jc w:val="center"/>
              <w:rPr>
                <w:b/>
              </w:rPr>
            </w:pPr>
            <w:r>
              <w:rPr>
                <w:b/>
              </w:rPr>
              <w:t>Item</w:t>
            </w:r>
          </w:p>
        </w:tc>
        <w:tc>
          <w:tcPr>
            <w:tcW w:w="1329" w:type="dxa"/>
            <w:shd w:val="clear" w:color="auto" w:fill="B4C6E7" w:themeFill="accent5" w:themeFillTint="66"/>
            <w:vAlign w:val="center"/>
          </w:tcPr>
          <w:p w:rsidR="00BD2005" w:rsidRPr="00BD2005" w:rsidP="00BD2005" w14:paraId="21EEB589" w14:textId="7E5C9FE1">
            <w:pPr>
              <w:pStyle w:val="NoSpacing"/>
              <w:jc w:val="center"/>
              <w:rPr>
                <w:b/>
              </w:rPr>
            </w:pPr>
            <w:r>
              <w:rPr>
                <w:b/>
              </w:rPr>
              <w:t xml:space="preserve">Current </w:t>
            </w:r>
            <w:r w:rsidR="00BB0C5F">
              <w:rPr>
                <w:b/>
              </w:rPr>
              <w:t>Burden</w:t>
            </w:r>
            <w:r>
              <w:rPr>
                <w:b/>
              </w:rPr>
              <w:t xml:space="preserve"> Amount</w:t>
            </w:r>
          </w:p>
        </w:tc>
        <w:tc>
          <w:tcPr>
            <w:tcW w:w="1336" w:type="dxa"/>
            <w:shd w:val="clear" w:color="auto" w:fill="B4C6E7" w:themeFill="accent5" w:themeFillTint="66"/>
            <w:vAlign w:val="center"/>
          </w:tcPr>
          <w:p w:rsidR="00BD2005" w:rsidRPr="00BD2005" w:rsidP="00BD2005" w14:paraId="21EEB58A" w14:textId="49BC10EC">
            <w:pPr>
              <w:pStyle w:val="NoSpacing"/>
              <w:jc w:val="center"/>
              <w:rPr>
                <w:b/>
              </w:rPr>
            </w:pPr>
            <w:r>
              <w:rPr>
                <w:b/>
              </w:rPr>
              <w:t xml:space="preserve">Proposed </w:t>
            </w:r>
            <w:r w:rsidR="00BB0C5F">
              <w:rPr>
                <w:b/>
              </w:rPr>
              <w:t>Burden</w:t>
            </w:r>
            <w:r>
              <w:rPr>
                <w:b/>
              </w:rPr>
              <w:t xml:space="preserve"> Amount</w:t>
            </w:r>
          </w:p>
        </w:tc>
        <w:tc>
          <w:tcPr>
            <w:tcW w:w="1324" w:type="dxa"/>
            <w:shd w:val="clear" w:color="auto" w:fill="B4C6E7" w:themeFill="accent5" w:themeFillTint="66"/>
            <w:vAlign w:val="center"/>
          </w:tcPr>
          <w:p w:rsidR="00BD2005" w:rsidRPr="00BD2005" w:rsidP="00BD2005" w14:paraId="21EEB58B" w14:textId="3B1275C6">
            <w:pPr>
              <w:pStyle w:val="NoSpacing"/>
              <w:jc w:val="center"/>
              <w:rPr>
                <w:b/>
              </w:rPr>
            </w:pPr>
            <w:r>
              <w:rPr>
                <w:b/>
              </w:rPr>
              <w:t xml:space="preserve">Changes in </w:t>
            </w:r>
            <w:r w:rsidR="00BB0C5F">
              <w:rPr>
                <w:b/>
              </w:rPr>
              <w:t xml:space="preserve">Burden </w:t>
            </w:r>
            <w:r>
              <w:rPr>
                <w:b/>
              </w:rPr>
              <w:t>Amount</w:t>
            </w:r>
          </w:p>
        </w:tc>
      </w:tr>
      <w:tr w14:paraId="21EEB592" w14:textId="77777777" w:rsidTr="00F768BC">
        <w:tblPrEx>
          <w:tblW w:w="0" w:type="auto"/>
          <w:tblLook w:val="04A0"/>
        </w:tblPrEx>
        <w:tc>
          <w:tcPr>
            <w:tcW w:w="538" w:type="dxa"/>
            <w:vAlign w:val="center"/>
          </w:tcPr>
          <w:p w:rsidR="006B2569" w:rsidP="006B2569" w14:paraId="21EEB58D" w14:textId="77777777">
            <w:pPr>
              <w:pStyle w:val="NoSpacing"/>
              <w:jc w:val="center"/>
            </w:pPr>
            <w:r>
              <w:t>1</w:t>
            </w:r>
          </w:p>
        </w:tc>
        <w:tc>
          <w:tcPr>
            <w:tcW w:w="4823" w:type="dxa"/>
            <w:vAlign w:val="center"/>
          </w:tcPr>
          <w:p w:rsidR="006B2569" w:rsidP="006B2569" w14:paraId="21EEB58E" w14:textId="24726915">
            <w:pPr>
              <w:pStyle w:val="NoSpacing"/>
            </w:pPr>
            <w:r w:rsidRPr="006B2569">
              <w:t>Application to Extend Patent Term Under 35 U.S.C. 156</w:t>
            </w:r>
            <w:r w:rsidR="00B74766">
              <w:t xml:space="preserve"> </w:t>
            </w:r>
          </w:p>
        </w:tc>
        <w:tc>
          <w:tcPr>
            <w:tcW w:w="1329" w:type="dxa"/>
            <w:vAlign w:val="center"/>
          </w:tcPr>
          <w:p w:rsidR="006B2569" w:rsidP="006B2569" w14:paraId="21EEB58F" w14:textId="76213F7B">
            <w:pPr>
              <w:jc w:val="right"/>
              <w:rPr>
                <w:rFonts w:ascii="Calibri" w:hAnsi="Calibri"/>
                <w:color w:val="000000"/>
              </w:rPr>
            </w:pPr>
            <w:r>
              <w:rPr>
                <w:rFonts w:ascii="Calibri" w:hAnsi="Calibri"/>
                <w:color w:val="000000"/>
              </w:rPr>
              <w:t>3,7</w:t>
            </w:r>
            <w:r>
              <w:rPr>
                <w:rFonts w:ascii="Calibri" w:hAnsi="Calibri"/>
                <w:color w:val="000000"/>
              </w:rPr>
              <w:t>50</w:t>
            </w:r>
          </w:p>
        </w:tc>
        <w:tc>
          <w:tcPr>
            <w:tcW w:w="1336" w:type="dxa"/>
            <w:vAlign w:val="center"/>
          </w:tcPr>
          <w:p w:rsidR="006B2569" w:rsidP="006B2569" w14:paraId="21EEB590" w14:textId="3FD560F5">
            <w:pPr>
              <w:jc w:val="right"/>
              <w:rPr>
                <w:rFonts w:ascii="Calibri" w:hAnsi="Calibri"/>
                <w:color w:val="000000"/>
              </w:rPr>
            </w:pPr>
            <w:r>
              <w:rPr>
                <w:rFonts w:ascii="Calibri" w:hAnsi="Calibri"/>
                <w:color w:val="000000"/>
              </w:rPr>
              <w:t>-7</w:t>
            </w:r>
            <w:r w:rsidR="00A4047F">
              <w:rPr>
                <w:rFonts w:ascii="Calibri" w:hAnsi="Calibri"/>
                <w:color w:val="000000"/>
              </w:rPr>
              <w:t>5</w:t>
            </w:r>
          </w:p>
        </w:tc>
        <w:tc>
          <w:tcPr>
            <w:tcW w:w="1324" w:type="dxa"/>
            <w:vAlign w:val="center"/>
          </w:tcPr>
          <w:p w:rsidR="006B2569" w:rsidP="006B2569" w14:paraId="21EEB591" w14:textId="245D036F">
            <w:pPr>
              <w:jc w:val="right"/>
              <w:rPr>
                <w:rFonts w:ascii="Calibri" w:hAnsi="Calibri"/>
                <w:color w:val="000000"/>
              </w:rPr>
            </w:pPr>
            <w:r>
              <w:rPr>
                <w:rFonts w:ascii="Calibri" w:hAnsi="Calibri"/>
                <w:color w:val="000000"/>
              </w:rPr>
              <w:t>3,675</w:t>
            </w:r>
          </w:p>
        </w:tc>
      </w:tr>
      <w:tr w14:paraId="21EEB5B0" w14:textId="77777777" w:rsidTr="00AE5D09">
        <w:tblPrEx>
          <w:tblW w:w="0" w:type="auto"/>
          <w:tblLook w:val="04A0"/>
        </w:tblPrEx>
        <w:tc>
          <w:tcPr>
            <w:tcW w:w="538" w:type="dxa"/>
            <w:vAlign w:val="center"/>
          </w:tcPr>
          <w:p w:rsidR="006B2569" w:rsidRPr="00BD2005" w:rsidP="006B2569" w14:paraId="21EEB5AB" w14:textId="77777777">
            <w:pPr>
              <w:pStyle w:val="NoSpacing"/>
              <w:jc w:val="center"/>
              <w:rPr>
                <w:b/>
              </w:rPr>
            </w:pPr>
          </w:p>
        </w:tc>
        <w:tc>
          <w:tcPr>
            <w:tcW w:w="4823" w:type="dxa"/>
            <w:vAlign w:val="center"/>
          </w:tcPr>
          <w:p w:rsidR="006B2569" w:rsidRPr="00BD2005" w:rsidP="006B2569" w14:paraId="21EEB5AC" w14:textId="77777777">
            <w:pPr>
              <w:pStyle w:val="NoSpacing"/>
              <w:rPr>
                <w:b/>
              </w:rPr>
            </w:pPr>
            <w:r>
              <w:rPr>
                <w:b/>
              </w:rPr>
              <w:t>Totals</w:t>
            </w:r>
          </w:p>
        </w:tc>
        <w:tc>
          <w:tcPr>
            <w:tcW w:w="1329" w:type="dxa"/>
            <w:vAlign w:val="center"/>
          </w:tcPr>
          <w:p w:rsidR="006B2569" w:rsidRPr="00B42958" w:rsidP="006B2569" w14:paraId="21EEB5AD" w14:textId="6CF87E4B">
            <w:pPr>
              <w:pStyle w:val="NoSpacing"/>
              <w:jc w:val="right"/>
              <w:rPr>
                <w:b/>
              </w:rPr>
            </w:pPr>
            <w:r w:rsidRPr="00B42958">
              <w:rPr>
                <w:rFonts w:ascii="Calibri" w:hAnsi="Calibri"/>
                <w:b/>
                <w:color w:val="000000"/>
              </w:rPr>
              <w:t>3,</w:t>
            </w:r>
            <w:r>
              <w:rPr>
                <w:rFonts w:ascii="Calibri" w:hAnsi="Calibri"/>
                <w:b/>
                <w:color w:val="000000"/>
              </w:rPr>
              <w:t>7</w:t>
            </w:r>
            <w:r w:rsidRPr="00B42958">
              <w:rPr>
                <w:rFonts w:ascii="Calibri" w:hAnsi="Calibri"/>
                <w:b/>
                <w:color w:val="000000"/>
              </w:rPr>
              <w:t>50</w:t>
            </w:r>
          </w:p>
        </w:tc>
        <w:tc>
          <w:tcPr>
            <w:tcW w:w="1336" w:type="dxa"/>
            <w:vAlign w:val="center"/>
          </w:tcPr>
          <w:p w:rsidR="006B2569" w:rsidRPr="006B2569" w:rsidP="006B2569" w14:paraId="21EEB5AE" w14:textId="1BCEF8F9">
            <w:pPr>
              <w:pStyle w:val="NoSpacing"/>
              <w:jc w:val="right"/>
              <w:rPr>
                <w:b/>
              </w:rPr>
            </w:pPr>
            <w:r w:rsidRPr="006B2569">
              <w:rPr>
                <w:rFonts w:ascii="Calibri" w:hAnsi="Calibri"/>
                <w:b/>
                <w:color w:val="000000"/>
              </w:rPr>
              <w:t>-7</w:t>
            </w:r>
            <w:r w:rsidR="00A4047F">
              <w:rPr>
                <w:rFonts w:ascii="Calibri" w:hAnsi="Calibri"/>
                <w:b/>
                <w:color w:val="000000"/>
              </w:rPr>
              <w:t>5</w:t>
            </w:r>
          </w:p>
        </w:tc>
        <w:tc>
          <w:tcPr>
            <w:tcW w:w="1324" w:type="dxa"/>
            <w:vAlign w:val="center"/>
          </w:tcPr>
          <w:p w:rsidR="006B2569" w:rsidRPr="00B42958" w:rsidP="006B2569" w14:paraId="21EEB5AF" w14:textId="0A1B61A7">
            <w:pPr>
              <w:pStyle w:val="NoSpacing"/>
              <w:jc w:val="right"/>
              <w:rPr>
                <w:b/>
              </w:rPr>
            </w:pPr>
            <w:r w:rsidRPr="00B42958">
              <w:rPr>
                <w:rFonts w:ascii="Calibri" w:hAnsi="Calibri"/>
                <w:b/>
                <w:color w:val="000000"/>
              </w:rPr>
              <w:t>3,</w:t>
            </w:r>
            <w:r>
              <w:rPr>
                <w:rFonts w:ascii="Calibri" w:hAnsi="Calibri"/>
                <w:b/>
                <w:color w:val="000000"/>
              </w:rPr>
              <w:t>675</w:t>
            </w:r>
          </w:p>
        </w:tc>
      </w:tr>
    </w:tbl>
    <w:p w:rsidR="00BD2005" w:rsidP="002079CB" w14:paraId="21EEB5B1" w14:textId="77777777">
      <w:pPr>
        <w:pStyle w:val="NoSpacing"/>
        <w:jc w:val="both"/>
      </w:pPr>
    </w:p>
    <w:p w:rsidR="00BD2005" w:rsidP="002079CB" w14:paraId="21EEB5B2" w14:textId="77777777">
      <w:pPr>
        <w:pStyle w:val="NoSpacing"/>
        <w:jc w:val="both"/>
        <w:rPr>
          <w:u w:val="single"/>
        </w:rPr>
      </w:pPr>
      <w:r>
        <w:rPr>
          <w:u w:val="single"/>
        </w:rPr>
        <w:t>Summary of Changes</w:t>
      </w:r>
    </w:p>
    <w:p w:rsidR="00BD2005" w:rsidP="002079CB" w14:paraId="21EEB5B3" w14:textId="77777777">
      <w:pPr>
        <w:pStyle w:val="NoSpacing"/>
        <w:jc w:val="both"/>
      </w:pPr>
      <w:bookmarkStart w:id="0" w:name="_GoBack"/>
      <w:bookmarkEnd w:id="0"/>
    </w:p>
    <w:p w:rsidR="00BD2005" w:rsidP="002079CB" w14:paraId="21EEB5B4" w14:textId="16F2C8A2">
      <w:pPr>
        <w:pStyle w:val="NoSpacing"/>
        <w:jc w:val="both"/>
      </w:pPr>
      <w:r>
        <w:t xml:space="preserve">The </w:t>
      </w:r>
      <w:r w:rsidR="00156728">
        <w:t>Final R</w:t>
      </w:r>
      <w:r>
        <w:t>ule 0651-0059 results</w:t>
      </w:r>
      <w:r w:rsidR="00BB0C5F">
        <w:t xml:space="preserve"> in</w:t>
      </w:r>
      <w:r w:rsidR="003D5CB9">
        <w:t xml:space="preserve"> a </w:t>
      </w:r>
      <w:r>
        <w:t>decrease</w:t>
      </w:r>
      <w:r w:rsidR="003D5CB9">
        <w:t xml:space="preserve"> of </w:t>
      </w:r>
      <w:r>
        <w:t>7</w:t>
      </w:r>
      <w:r w:rsidR="00A4047F">
        <w:t>5</w:t>
      </w:r>
      <w:r>
        <w:t xml:space="preserve"> hours in annual hourly burden to collection 0651-0020.</w:t>
      </w:r>
    </w:p>
    <w:p w:rsidR="00BD2005" w:rsidP="002079CB" w14:paraId="21EEB5B5" w14:textId="77777777">
      <w:pPr>
        <w:pStyle w:val="NoSpacing"/>
        <w:jc w:val="both"/>
      </w:pPr>
    </w:p>
    <w:p w:rsidR="00BD2005" w:rsidP="002079CB" w14:paraId="21EEB5B6" w14:textId="77777777">
      <w:pPr>
        <w:pStyle w:val="NoSpacing"/>
        <w:jc w:val="both"/>
      </w:pPr>
      <w:r>
        <w:rPr>
          <w:u w:val="single"/>
        </w:rPr>
        <w:t xml:space="preserve">Changes in </w:t>
      </w:r>
      <w:r>
        <w:rPr>
          <w:u w:val="single"/>
        </w:rPr>
        <w:t>Burden</w:t>
      </w:r>
    </w:p>
    <w:p w:rsidR="00BD2005" w:rsidP="002079CB" w14:paraId="21EEB5B7" w14:textId="77777777">
      <w:pPr>
        <w:pStyle w:val="NoSpacing"/>
        <w:jc w:val="both"/>
      </w:pPr>
    </w:p>
    <w:tbl>
      <w:tblPr>
        <w:tblStyle w:val="TableGrid"/>
        <w:tblW w:w="0" w:type="auto"/>
        <w:tblLook w:val="04A0"/>
      </w:tblPr>
      <w:tblGrid>
        <w:gridCol w:w="2337"/>
        <w:gridCol w:w="2337"/>
        <w:gridCol w:w="2338"/>
        <w:gridCol w:w="2338"/>
      </w:tblGrid>
      <w:tr w14:paraId="21EEB5BC" w14:textId="77777777" w:rsidTr="00F000B2">
        <w:tblPrEx>
          <w:tblW w:w="0" w:type="auto"/>
          <w:tblLook w:val="04A0"/>
        </w:tblPrEx>
        <w:tc>
          <w:tcPr>
            <w:tcW w:w="2337" w:type="dxa"/>
            <w:vAlign w:val="center"/>
          </w:tcPr>
          <w:p w:rsidR="00BD2005" w:rsidRPr="00F31A6B" w:rsidP="00F000B2" w14:paraId="21EEB5B8" w14:textId="77777777">
            <w:pPr>
              <w:pStyle w:val="NoSpacing"/>
              <w:jc w:val="center"/>
              <w:rPr>
                <w:b/>
              </w:rPr>
            </w:pPr>
            <w:r>
              <w:rPr>
                <w:b/>
              </w:rPr>
              <w:t>Burden Type</w:t>
            </w:r>
          </w:p>
        </w:tc>
        <w:tc>
          <w:tcPr>
            <w:tcW w:w="2337" w:type="dxa"/>
            <w:vAlign w:val="center"/>
          </w:tcPr>
          <w:p w:rsidR="00BD2005" w:rsidRPr="00F31A6B" w:rsidP="00F000B2" w14:paraId="21EEB5B9" w14:textId="77777777">
            <w:pPr>
              <w:pStyle w:val="NoSpacing"/>
              <w:jc w:val="center"/>
              <w:rPr>
                <w:b/>
              </w:rPr>
            </w:pPr>
            <w:r>
              <w:rPr>
                <w:b/>
              </w:rPr>
              <w:t>Current Amount</w:t>
            </w:r>
          </w:p>
        </w:tc>
        <w:tc>
          <w:tcPr>
            <w:tcW w:w="2338" w:type="dxa"/>
            <w:vAlign w:val="center"/>
          </w:tcPr>
          <w:p w:rsidR="00BD2005" w:rsidRPr="00F31A6B" w:rsidP="00F000B2" w14:paraId="21EEB5BA" w14:textId="46C4BEDB">
            <w:pPr>
              <w:pStyle w:val="NoSpacing"/>
              <w:jc w:val="center"/>
              <w:rPr>
                <w:b/>
              </w:rPr>
            </w:pPr>
            <w:r>
              <w:rPr>
                <w:b/>
              </w:rPr>
              <w:t>Proposed Change</w:t>
            </w:r>
          </w:p>
        </w:tc>
        <w:tc>
          <w:tcPr>
            <w:tcW w:w="2338" w:type="dxa"/>
            <w:vAlign w:val="center"/>
          </w:tcPr>
          <w:p w:rsidR="00BD2005" w:rsidRPr="00F31A6B" w:rsidP="00F000B2" w14:paraId="21EEB5BB" w14:textId="54C91378">
            <w:pPr>
              <w:pStyle w:val="NoSpacing"/>
              <w:jc w:val="center"/>
              <w:rPr>
                <w:b/>
              </w:rPr>
            </w:pPr>
            <w:r>
              <w:rPr>
                <w:b/>
              </w:rPr>
              <w:t>New Estimate</w:t>
            </w:r>
          </w:p>
        </w:tc>
      </w:tr>
      <w:tr w14:paraId="21EEB5C1" w14:textId="77777777" w:rsidTr="00F000B2">
        <w:tblPrEx>
          <w:tblW w:w="0" w:type="auto"/>
          <w:tblLook w:val="04A0"/>
        </w:tblPrEx>
        <w:tc>
          <w:tcPr>
            <w:tcW w:w="2337" w:type="dxa"/>
            <w:vAlign w:val="center"/>
          </w:tcPr>
          <w:p w:rsidR="00BD2005" w:rsidP="00F000B2" w14:paraId="21EEB5BD" w14:textId="6745521E">
            <w:pPr>
              <w:pStyle w:val="NoSpacing"/>
            </w:pPr>
            <w:r>
              <w:t>Annual Hourly Burden</w:t>
            </w:r>
          </w:p>
        </w:tc>
        <w:tc>
          <w:tcPr>
            <w:tcW w:w="2337" w:type="dxa"/>
            <w:vAlign w:val="center"/>
          </w:tcPr>
          <w:p w:rsidR="00BD2005" w:rsidP="005C4C59" w14:paraId="21EEB5BE" w14:textId="26C35CC8">
            <w:pPr>
              <w:pStyle w:val="NoSpacing"/>
              <w:jc w:val="right"/>
            </w:pPr>
            <w:r>
              <w:t>6,113</w:t>
            </w:r>
          </w:p>
        </w:tc>
        <w:tc>
          <w:tcPr>
            <w:tcW w:w="2338" w:type="dxa"/>
            <w:vAlign w:val="center"/>
          </w:tcPr>
          <w:p w:rsidR="00BD2005" w:rsidP="00376F19" w14:paraId="21EEB5BF" w14:textId="6F303F15">
            <w:pPr>
              <w:pStyle w:val="NoSpacing"/>
              <w:jc w:val="right"/>
            </w:pPr>
            <w:r>
              <w:t>-7</w:t>
            </w:r>
            <w:r w:rsidR="00A4047F">
              <w:t>5</w:t>
            </w:r>
          </w:p>
        </w:tc>
        <w:tc>
          <w:tcPr>
            <w:tcW w:w="2338" w:type="dxa"/>
            <w:vAlign w:val="center"/>
          </w:tcPr>
          <w:p w:rsidR="00BD2005" w:rsidP="00BD2005" w14:paraId="21EEB5C0" w14:textId="06FC1003">
            <w:pPr>
              <w:pStyle w:val="NoSpacing"/>
              <w:jc w:val="right"/>
            </w:pPr>
            <w:r w:rsidRPr="006B2569">
              <w:t>6,0</w:t>
            </w:r>
            <w:r>
              <w:t>38</w:t>
            </w:r>
          </w:p>
        </w:tc>
      </w:tr>
    </w:tbl>
    <w:p w:rsidR="00BD2005" w:rsidP="002079CB" w14:paraId="21EEB5C2" w14:textId="77777777">
      <w:pPr>
        <w:pStyle w:val="NoSpacing"/>
        <w:jc w:val="both"/>
      </w:pPr>
    </w:p>
    <w:p w:rsidR="00BD2005" w:rsidP="002079CB" w14:paraId="21EEB5C3" w14:textId="77777777">
      <w:pPr>
        <w:pStyle w:val="NoSpacing"/>
        <w:jc w:val="both"/>
      </w:pPr>
      <w:r>
        <w:t>0651-0020’s revised total burden is as follows:</w:t>
      </w:r>
    </w:p>
    <w:p w:rsidR="00BD2005" w:rsidP="002079CB" w14:paraId="21EEB5C4" w14:textId="77777777">
      <w:pPr>
        <w:pStyle w:val="NoSpacing"/>
        <w:jc w:val="both"/>
      </w:pPr>
    </w:p>
    <w:p w:rsidR="00B26AF6" w:rsidP="00B26AF6" w14:paraId="30EDD8DC" w14:textId="758177A5">
      <w:pPr>
        <w:pStyle w:val="NoSpacing"/>
        <w:numPr>
          <w:ilvl w:val="0"/>
          <w:numId w:val="1"/>
        </w:numPr>
        <w:jc w:val="both"/>
        <w:rPr>
          <w:rFonts w:cstheme="minorHAnsi"/>
        </w:rPr>
      </w:pPr>
      <w:r>
        <w:rPr>
          <w:rFonts w:cstheme="minorHAnsi"/>
        </w:rPr>
        <w:t>915 in annual responses (unchanged)</w:t>
      </w:r>
    </w:p>
    <w:p w:rsidR="00B26AF6" w:rsidRPr="00B26AF6" w:rsidP="00B26AF6" w14:paraId="276D399F" w14:textId="40BC7789">
      <w:pPr>
        <w:pStyle w:val="NoSpacing"/>
        <w:numPr>
          <w:ilvl w:val="0"/>
          <w:numId w:val="1"/>
        </w:numPr>
        <w:jc w:val="both"/>
      </w:pPr>
      <w:r w:rsidRPr="006B2569">
        <w:rPr>
          <w:rFonts w:cstheme="minorHAnsi"/>
        </w:rPr>
        <w:t>6,0</w:t>
      </w:r>
      <w:r>
        <w:rPr>
          <w:rFonts w:cstheme="minorHAnsi"/>
        </w:rPr>
        <w:t>38</w:t>
      </w:r>
      <w:r>
        <w:rPr>
          <w:rFonts w:cstheme="minorHAnsi"/>
        </w:rPr>
        <w:t xml:space="preserve"> in annual hourly burden </w:t>
      </w:r>
    </w:p>
    <w:p w:rsidR="00BD2005" w:rsidRPr="00BD2005" w:rsidP="00B26AF6" w14:paraId="21EEB5C5" w14:textId="0685576D">
      <w:pPr>
        <w:pStyle w:val="NoSpacing"/>
        <w:numPr>
          <w:ilvl w:val="0"/>
          <w:numId w:val="1"/>
        </w:numPr>
        <w:jc w:val="both"/>
      </w:pPr>
      <w:r>
        <w:t>$</w:t>
      </w:r>
      <w:r w:rsidRPr="006B2569" w:rsidR="006B2569">
        <w:t>327</w:t>
      </w:r>
      <w:r w:rsidR="006B2569">
        <w:t>,</w:t>
      </w:r>
      <w:r w:rsidRPr="006B2569" w:rsidR="006B2569">
        <w:t>003</w:t>
      </w:r>
      <w:r w:rsidR="00B26AF6">
        <w:t xml:space="preserve"> </w:t>
      </w:r>
      <w:r>
        <w:t xml:space="preserve">in annual (non-hourly) </w:t>
      </w:r>
      <w:r>
        <w:t>costs</w:t>
      </w:r>
      <w:r w:rsidR="00B26AF6">
        <w:t xml:space="preserve"> (unchanged)</w:t>
      </w:r>
    </w:p>
    <w:sectPr w:rsidSect="00227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0E2BC6"/>
    <w:multiLevelType w:val="hybridMultilevel"/>
    <w:tmpl w:val="0DF01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CB"/>
    <w:rsid w:val="000314F4"/>
    <w:rsid w:val="000E42BC"/>
    <w:rsid w:val="000F21B7"/>
    <w:rsid w:val="00156728"/>
    <w:rsid w:val="001C57CD"/>
    <w:rsid w:val="002079CB"/>
    <w:rsid w:val="00227FCC"/>
    <w:rsid w:val="002469B9"/>
    <w:rsid w:val="00376F19"/>
    <w:rsid w:val="003D5CB9"/>
    <w:rsid w:val="003E4347"/>
    <w:rsid w:val="00414E45"/>
    <w:rsid w:val="00473D04"/>
    <w:rsid w:val="00481927"/>
    <w:rsid w:val="004E4B94"/>
    <w:rsid w:val="004F6B2B"/>
    <w:rsid w:val="00511994"/>
    <w:rsid w:val="00521675"/>
    <w:rsid w:val="005C4C59"/>
    <w:rsid w:val="00620EBD"/>
    <w:rsid w:val="00652386"/>
    <w:rsid w:val="006B2569"/>
    <w:rsid w:val="006D3F1C"/>
    <w:rsid w:val="006D7FC9"/>
    <w:rsid w:val="0085001B"/>
    <w:rsid w:val="008A100B"/>
    <w:rsid w:val="008A4C96"/>
    <w:rsid w:val="008C5EA8"/>
    <w:rsid w:val="00955A6D"/>
    <w:rsid w:val="009B4755"/>
    <w:rsid w:val="00A4047F"/>
    <w:rsid w:val="00B26AF6"/>
    <w:rsid w:val="00B42958"/>
    <w:rsid w:val="00B74766"/>
    <w:rsid w:val="00BB0C5F"/>
    <w:rsid w:val="00BD2005"/>
    <w:rsid w:val="00D87C80"/>
    <w:rsid w:val="00F000B2"/>
    <w:rsid w:val="00F31A6B"/>
    <w:rsid w:val="75376D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EEB524"/>
  <w15:docId w15:val="{01415B92-D5EE-405B-AA13-A4E5C122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79CB"/>
    <w:pPr>
      <w:spacing w:after="0" w:line="240" w:lineRule="auto"/>
    </w:pPr>
  </w:style>
  <w:style w:type="table" w:styleId="TableGrid">
    <w:name w:val="Table Grid"/>
    <w:basedOn w:val="TableNormal"/>
    <w:uiPriority w:val="39"/>
    <w:rsid w:val="00207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47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7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E6BF8-EADC-419D-A5B5-5AD0CBEE6935}">
  <ds:schemaRefs>
    <ds:schemaRef ds:uri="http://purl.org/dc/elements/1.1/"/>
    <ds:schemaRef ds:uri="http://schemas.microsoft.com/office/2006/metadata/properties"/>
    <ds:schemaRef ds:uri="e85de8a9-5cd3-41fe-a1a0-70bc17107555"/>
    <ds:schemaRef ds:uri="E85DE8A9-5CD3-41FE-A1A0-70BC17107555"/>
    <ds:schemaRef ds:uri="5DFC53CF-7C17-4489-98AB-5F87C96333B9"/>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5dfc53cf-7c17-4489-98ab-5f87c96333b9"/>
    <ds:schemaRef ds:uri="http://www.w3.org/XML/1998/namespace"/>
    <ds:schemaRef ds:uri="http://purl.org/dc/dcmitype/"/>
  </ds:schemaRefs>
</ds:datastoreItem>
</file>

<file path=customXml/itemProps2.xml><?xml version="1.0" encoding="utf-8"?>
<ds:datastoreItem xmlns:ds="http://schemas.openxmlformats.org/officeDocument/2006/customXml" ds:itemID="{BA9E16DB-8756-4A70-8DBF-D2DC8DF59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2BB86-72E9-4743-B09E-D914C1F87176}">
  <ds:schemaRefs>
    <ds:schemaRef ds:uri="http://schemas.microsoft.com/sharepoint/v3/contenttype/forms"/>
  </ds:schemaRefs>
</ds:datastoreItem>
</file>

<file path=customXml/itemProps4.xml><?xml version="1.0" encoding="utf-8"?>
<ds:datastoreItem xmlns:ds="http://schemas.openxmlformats.org/officeDocument/2006/customXml" ds:itemID="{FD22DCA8-16DC-4E8B-82E0-E9A117ED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2355</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Isaac, Justin</cp:lastModifiedBy>
  <cp:revision>2</cp:revision>
  <dcterms:created xsi:type="dcterms:W3CDTF">2023-03-16T19:50:00Z</dcterms:created>
  <dcterms:modified xsi:type="dcterms:W3CDTF">2023-03-16T19:50:00Z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