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340CED" w:rsidP="00067D62" w14:paraId="1BDF448B" w14:textId="77777777">
      <w:pPr>
        <w:pStyle w:val="NoSpacing"/>
        <w:jc w:val="center"/>
        <w:rPr>
          <w:rFonts w:cstheme="minorHAnsi"/>
          <w:b/>
        </w:rPr>
      </w:pPr>
      <w:r w:rsidRPr="00340CED">
        <w:rPr>
          <w:rFonts w:cstheme="minorHAnsi"/>
          <w:b/>
        </w:rPr>
        <w:t>JUSTIFICATION FOR NONMATERIAL/NONSUBSTANTIVE CHANGE</w:t>
      </w:r>
    </w:p>
    <w:p w:rsidR="00067D62" w:rsidRPr="00340CED" w:rsidP="00067D62" w14:paraId="1BDF448C" w14:textId="41A94DCD">
      <w:pPr>
        <w:pStyle w:val="NoSpacing"/>
        <w:jc w:val="center"/>
        <w:rPr>
          <w:rFonts w:cstheme="minorHAnsi"/>
          <w:b/>
        </w:rPr>
      </w:pPr>
      <w:r>
        <w:rPr>
          <w:rFonts w:cstheme="minorHAnsi"/>
          <w:b/>
        </w:rPr>
        <w:t>Rules for Patent Maintenance Fees</w:t>
      </w:r>
    </w:p>
    <w:p w:rsidR="00067D62" w:rsidRPr="00340CED" w:rsidP="00067D62" w14:paraId="1BDF448D" w14:textId="6605C42A">
      <w:pPr>
        <w:pStyle w:val="NoSpacing"/>
        <w:jc w:val="center"/>
        <w:rPr>
          <w:rFonts w:cstheme="minorHAnsi"/>
        </w:rPr>
      </w:pPr>
      <w:r w:rsidRPr="00340CED">
        <w:rPr>
          <w:rFonts w:cstheme="minorHAnsi"/>
          <w:b/>
        </w:rPr>
        <w:t>OMB Control Number 0651-00</w:t>
      </w:r>
      <w:r w:rsidR="000408F0">
        <w:rPr>
          <w:rFonts w:cstheme="minorHAnsi"/>
          <w:b/>
        </w:rPr>
        <w:t>16</w:t>
      </w:r>
    </w:p>
    <w:p w:rsidR="00067D62" w:rsidRPr="00340CED" w:rsidP="00067D62" w14:paraId="1BDF448E" w14:textId="77777777">
      <w:pPr>
        <w:pStyle w:val="NoSpacing"/>
        <w:jc w:val="both"/>
        <w:rPr>
          <w:rFonts w:cstheme="minorHAnsi"/>
        </w:rPr>
      </w:pPr>
    </w:p>
    <w:p w:rsidR="00067D62" w:rsidRPr="00340CED" w:rsidP="00067D62" w14:paraId="1BDF448F" w14:textId="77777777">
      <w:pPr>
        <w:pStyle w:val="NoSpacing"/>
        <w:jc w:val="both"/>
        <w:rPr>
          <w:rFonts w:cstheme="minorHAnsi"/>
        </w:rPr>
      </w:pPr>
      <w:r w:rsidRPr="00340CED">
        <w:rPr>
          <w:rFonts w:cstheme="minorHAnsi"/>
          <w:u w:val="single"/>
        </w:rPr>
        <w:t>Background</w:t>
      </w:r>
    </w:p>
    <w:p w:rsidR="00067D62" w:rsidRPr="00340CED" w:rsidP="00067D62" w14:paraId="1BDF4490" w14:textId="77777777">
      <w:pPr>
        <w:pStyle w:val="NoSpacing"/>
        <w:jc w:val="both"/>
        <w:rPr>
          <w:rFonts w:cstheme="minorHAnsi"/>
        </w:rPr>
      </w:pPr>
    </w:p>
    <w:p w:rsidR="00067D62" w:rsidRPr="00340CED" w:rsidP="00067D62" w14:paraId="1BDF4491" w14:textId="6FA5EF4B">
      <w:pPr>
        <w:pStyle w:val="NoSpacing"/>
        <w:jc w:val="both"/>
        <w:rPr>
          <w:rFonts w:cstheme="minorHAnsi"/>
          <w:color w:val="000000" w:themeColor="text1"/>
        </w:rPr>
      </w:pPr>
      <w:r w:rsidRPr="00340CED">
        <w:rPr>
          <w:rFonts w:cstheme="minorHAnsi"/>
          <w:color w:val="000000" w:themeColor="text1"/>
        </w:rPr>
        <w:t xml:space="preserve">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w:t>
      </w:r>
      <w:r w:rsidRPr="00340CED" w:rsidR="00A1093A">
        <w:rPr>
          <w:rFonts w:cstheme="minorHAnsi"/>
          <w:color w:val="000000" w:themeColor="text1"/>
        </w:rPr>
        <w:t>factoring in</w:t>
      </w:r>
      <w:r w:rsidRPr="00340CED">
        <w:rPr>
          <w:rFonts w:cstheme="minorHAnsi"/>
          <w:color w:val="000000" w:themeColor="text1"/>
        </w:rPr>
        <w:t xml:space="preserve"> the cost of the respective services.</w:t>
      </w:r>
    </w:p>
    <w:p w:rsidR="00067D62" w:rsidRPr="00340CED" w:rsidP="00067D62" w14:paraId="1BDF4492" w14:textId="77777777">
      <w:pPr>
        <w:pStyle w:val="NoSpacing"/>
        <w:jc w:val="both"/>
        <w:rPr>
          <w:rFonts w:cstheme="minorHAnsi"/>
          <w:color w:val="FF0000"/>
        </w:rPr>
      </w:pPr>
    </w:p>
    <w:p w:rsidR="00067D62" w:rsidRPr="00340CED" w:rsidP="00067D62" w14:paraId="1BDF4493" w14:textId="7F0D7EA7">
      <w:pPr>
        <w:pStyle w:val="NoSpacing"/>
        <w:jc w:val="both"/>
        <w:rPr>
          <w:rFonts w:cstheme="minorHAnsi"/>
          <w:color w:val="000000" w:themeColor="text1"/>
        </w:rPr>
      </w:pPr>
      <w:r w:rsidRPr="00340CED">
        <w:rPr>
          <w:rFonts w:cstheme="minorHAnsi"/>
          <w:color w:val="000000" w:themeColor="text1"/>
        </w:rPr>
        <w:t>This request is to update the fees</w:t>
      </w:r>
      <w:r w:rsidRPr="00340CED" w:rsidR="00916C85">
        <w:rPr>
          <w:rFonts w:cstheme="minorHAnsi"/>
          <w:color w:val="000000" w:themeColor="text1"/>
        </w:rPr>
        <w:t xml:space="preserve"> for small and micro entities</w:t>
      </w:r>
      <w:r w:rsidRPr="00340CED">
        <w:rPr>
          <w:rFonts w:cstheme="minorHAnsi"/>
          <w:color w:val="000000" w:themeColor="text1"/>
        </w:rPr>
        <w:t xml:space="preserve"> attached to collection 0651-00</w:t>
      </w:r>
      <w:r w:rsidR="00D052F0">
        <w:rPr>
          <w:rFonts w:cstheme="minorHAnsi"/>
          <w:color w:val="000000" w:themeColor="text1"/>
        </w:rPr>
        <w:t>16</w:t>
      </w:r>
      <w:r w:rsidRPr="00340CED">
        <w:rPr>
          <w:rFonts w:cstheme="minorHAnsi"/>
          <w:color w:val="000000" w:themeColor="text1"/>
        </w:rPr>
        <w:t xml:space="preserve"> (</w:t>
      </w:r>
      <w:r w:rsidRPr="00D052F0" w:rsidR="00D052F0">
        <w:rPr>
          <w:rFonts w:cstheme="minorHAnsi"/>
          <w:color w:val="000000" w:themeColor="text1"/>
        </w:rPr>
        <w:t>Rules for Patent Maintenance Fees</w:t>
      </w:r>
      <w:r w:rsidRPr="00340CED">
        <w:rPr>
          <w:rFonts w:cstheme="minorHAnsi"/>
          <w:color w:val="000000" w:themeColor="text1"/>
        </w:rPr>
        <w:t xml:space="preserve">) that are affected by the </w:t>
      </w:r>
      <w:r w:rsidRPr="00EB256E">
        <w:rPr>
          <w:rFonts w:cstheme="minorHAnsi"/>
          <w:color w:val="000000" w:themeColor="text1"/>
        </w:rPr>
        <w:t xml:space="preserve">rulemaking </w:t>
      </w:r>
      <w:r w:rsidRPr="00EB256E" w:rsidR="00E64D33">
        <w:rPr>
          <w:rFonts w:cstheme="minorHAnsi"/>
          <w:color w:val="000000" w:themeColor="text1"/>
        </w:rPr>
        <w:t>RIN 0651-AD</w:t>
      </w:r>
      <w:r w:rsidRPr="00EB256E" w:rsidR="000259D2">
        <w:rPr>
          <w:rFonts w:cstheme="minorHAnsi"/>
          <w:color w:val="000000" w:themeColor="text1"/>
        </w:rPr>
        <w:t>66</w:t>
      </w:r>
      <w:r w:rsidRPr="00340CED">
        <w:rPr>
          <w:rFonts w:cstheme="minorHAnsi"/>
          <w:color w:val="000000" w:themeColor="text1"/>
        </w:rPr>
        <w:t xml:space="preserve">. There are </w:t>
      </w:r>
      <w:r w:rsidR="0004233B">
        <w:rPr>
          <w:rFonts w:cstheme="minorHAnsi"/>
          <w:color w:val="000000" w:themeColor="text1"/>
        </w:rPr>
        <w:t>two</w:t>
      </w:r>
      <w:r w:rsidRPr="00340CED">
        <w:rPr>
          <w:rFonts w:cstheme="minorHAnsi"/>
          <w:color w:val="000000" w:themeColor="text1"/>
        </w:rPr>
        <w:t xml:space="preserve"> fees</w:t>
      </w:r>
      <w:r w:rsidR="00147D45">
        <w:rPr>
          <w:rFonts w:cstheme="minorHAnsi"/>
          <w:color w:val="000000" w:themeColor="text1"/>
        </w:rPr>
        <w:t xml:space="preserve"> in this collection</w:t>
      </w:r>
      <w:r w:rsidRPr="00340CED">
        <w:rPr>
          <w:rFonts w:cstheme="minorHAnsi"/>
          <w:color w:val="000000" w:themeColor="text1"/>
        </w:rPr>
        <w:t xml:space="preserve"> being </w:t>
      </w:r>
      <w:r w:rsidR="000A2064">
        <w:rPr>
          <w:rFonts w:cstheme="minorHAnsi"/>
          <w:color w:val="000000" w:themeColor="text1"/>
        </w:rPr>
        <w:t>reduced</w:t>
      </w:r>
      <w:r w:rsidRPr="00340CED">
        <w:rPr>
          <w:rFonts w:cstheme="minorHAnsi"/>
          <w:color w:val="000000" w:themeColor="text1"/>
        </w:rPr>
        <w:t xml:space="preserve"> as a result of the </w:t>
      </w:r>
      <w:r w:rsidR="009B0845">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sidR="00B2315A">
        <w:rPr>
          <w:rFonts w:cstheme="minorHAnsi"/>
          <w:color w:val="000000" w:themeColor="text1"/>
        </w:rPr>
        <w:t xml:space="preserve"> </w:t>
      </w:r>
    </w:p>
    <w:p w:rsidR="00067D62" w:rsidRPr="00340CED" w:rsidP="00067D62" w14:paraId="1BDF4494" w14:textId="77777777">
      <w:pPr>
        <w:pStyle w:val="NoSpacing"/>
        <w:jc w:val="both"/>
        <w:rPr>
          <w:rFonts w:cstheme="minorHAnsi"/>
        </w:rPr>
      </w:pPr>
    </w:p>
    <w:p w:rsidR="00067D62" w:rsidRPr="00340CED" w:rsidP="00067D62" w14:paraId="1BDF4495"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1BDF449D" w14:textId="77777777" w:rsidTr="009F0C4F">
        <w:tblPrEx>
          <w:tblW w:w="0" w:type="auto"/>
          <w:tblLook w:val="04A0"/>
        </w:tblPrEx>
        <w:tc>
          <w:tcPr>
            <w:tcW w:w="539" w:type="dxa"/>
            <w:shd w:val="clear" w:color="auto" w:fill="BDD6EE" w:themeFill="accent1" w:themeFillTint="66"/>
            <w:vAlign w:val="center"/>
          </w:tcPr>
          <w:p w:rsidR="00067D62" w:rsidRPr="009F0C4F" w:rsidP="00067D62" w14:paraId="1BDF4496" w14:textId="77777777">
            <w:pPr>
              <w:pStyle w:val="NoSpacing"/>
              <w:jc w:val="center"/>
              <w:rPr>
                <w:rFonts w:cstheme="minorHAnsi"/>
                <w:b/>
                <w:sz w:val="20"/>
                <w:szCs w:val="20"/>
              </w:rPr>
            </w:pPr>
          </w:p>
          <w:p w:rsidR="00067D62" w:rsidRPr="009F0C4F" w:rsidP="00067D62" w14:paraId="1BDF4497" w14:textId="7AF975CA">
            <w:pPr>
              <w:pStyle w:val="NoSpacing"/>
              <w:jc w:val="center"/>
              <w:rPr>
                <w:rFonts w:cstheme="minorHAnsi"/>
                <w:b/>
                <w:sz w:val="20"/>
                <w:szCs w:val="20"/>
              </w:rPr>
            </w:pPr>
            <w:r w:rsidRPr="009F0C4F">
              <w:rPr>
                <w:rFonts w:cstheme="minorHAnsi"/>
                <w:b/>
                <w:sz w:val="20"/>
                <w:szCs w:val="20"/>
              </w:rPr>
              <w:t xml:space="preserve">IC </w:t>
            </w:r>
            <w:r w:rsidRPr="009F0C4F" w:rsidR="008B6905">
              <w:rPr>
                <w:rFonts w:cstheme="minorHAnsi"/>
                <w:b/>
                <w:sz w:val="20"/>
                <w:szCs w:val="20"/>
              </w:rPr>
              <w:t>No.</w:t>
            </w:r>
          </w:p>
          <w:p w:rsidR="00067D62" w:rsidRPr="009F0C4F" w:rsidP="00067D62" w14:paraId="1BDF4498" w14:textId="77777777">
            <w:pPr>
              <w:pStyle w:val="NoSpacing"/>
              <w:jc w:val="center"/>
              <w:rPr>
                <w:rFonts w:cstheme="minorHAnsi"/>
                <w:b/>
                <w:sz w:val="20"/>
                <w:szCs w:val="20"/>
              </w:rPr>
            </w:pPr>
          </w:p>
        </w:tc>
        <w:tc>
          <w:tcPr>
            <w:tcW w:w="2789" w:type="dxa"/>
            <w:shd w:val="clear" w:color="auto" w:fill="BDD6EE" w:themeFill="accent1" w:themeFillTint="66"/>
            <w:vAlign w:val="center"/>
          </w:tcPr>
          <w:p w:rsidR="00067D62" w:rsidRPr="009F0C4F" w:rsidP="00067D62" w14:paraId="1BDF4499"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DD6EE" w:themeFill="accent1" w:themeFillTint="66"/>
            <w:vAlign w:val="center"/>
          </w:tcPr>
          <w:p w:rsidR="00067D62" w:rsidRPr="009F0C4F" w:rsidP="00067D62" w14:paraId="1BDF449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DD6EE" w:themeFill="accent1" w:themeFillTint="66"/>
            <w:vAlign w:val="center"/>
          </w:tcPr>
          <w:p w:rsidR="00067D62" w:rsidRPr="009F0C4F" w:rsidP="00067D62" w14:paraId="1BDF449B" w14:textId="6BE79741">
            <w:pPr>
              <w:pStyle w:val="NoSpacing"/>
              <w:jc w:val="center"/>
              <w:rPr>
                <w:rFonts w:cstheme="minorHAnsi"/>
                <w:b/>
                <w:sz w:val="20"/>
                <w:szCs w:val="20"/>
              </w:rPr>
            </w:pPr>
            <w:r w:rsidRPr="009F0C4F">
              <w:rPr>
                <w:rFonts w:cstheme="minorHAnsi"/>
                <w:b/>
                <w:sz w:val="20"/>
                <w:szCs w:val="20"/>
              </w:rPr>
              <w:t>New</w:t>
            </w:r>
            <w:r w:rsidRPr="009F0C4F" w:rsidR="008C76FD">
              <w:rPr>
                <w:rFonts w:cstheme="minorHAnsi"/>
                <w:b/>
                <w:sz w:val="20"/>
                <w:szCs w:val="20"/>
              </w:rPr>
              <w:t xml:space="preserve"> Fee</w:t>
            </w:r>
          </w:p>
        </w:tc>
        <w:tc>
          <w:tcPr>
            <w:tcW w:w="2064" w:type="dxa"/>
            <w:shd w:val="clear" w:color="auto" w:fill="BDD6EE" w:themeFill="accent1" w:themeFillTint="66"/>
            <w:vAlign w:val="center"/>
          </w:tcPr>
          <w:p w:rsidR="00067D62" w:rsidRPr="009F0C4F" w:rsidP="00067D62" w14:paraId="1BDF449C"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1BDF44A9" w14:textId="77777777" w:rsidTr="009F0C4F">
        <w:tblPrEx>
          <w:tblW w:w="0" w:type="auto"/>
          <w:tblLook w:val="04A0"/>
        </w:tblPrEx>
        <w:tc>
          <w:tcPr>
            <w:tcW w:w="539" w:type="dxa"/>
            <w:vAlign w:val="center"/>
          </w:tcPr>
          <w:p w:rsidR="008C76FD" w:rsidRPr="00DA77EF" w:rsidP="008C76FD" w14:paraId="1BDF449E" w14:textId="56088220">
            <w:pPr>
              <w:jc w:val="center"/>
              <w:rPr>
                <w:rFonts w:cstheme="minorHAnsi"/>
                <w:color w:val="000000"/>
                <w:sz w:val="20"/>
                <w:szCs w:val="20"/>
              </w:rPr>
            </w:pPr>
            <w:r>
              <w:rPr>
                <w:rFonts w:cstheme="minorHAnsi"/>
                <w:color w:val="000000"/>
                <w:sz w:val="20"/>
                <w:szCs w:val="20"/>
              </w:rPr>
              <w:t>3</w:t>
            </w:r>
          </w:p>
        </w:tc>
        <w:tc>
          <w:tcPr>
            <w:tcW w:w="2789" w:type="dxa"/>
            <w:vAlign w:val="center"/>
          </w:tcPr>
          <w:p w:rsidR="008C76FD" w:rsidRPr="00DA77EF" w:rsidP="008C76FD" w14:paraId="1BDF449F" w14:textId="6D860AC5">
            <w:pPr>
              <w:rPr>
                <w:rFonts w:cstheme="minorHAnsi"/>
                <w:color w:val="000000"/>
                <w:sz w:val="20"/>
                <w:szCs w:val="20"/>
              </w:rPr>
            </w:pPr>
            <w:r w:rsidRPr="0004233B">
              <w:rPr>
                <w:rFonts w:cstheme="minorHAnsi"/>
                <w:color w:val="000000"/>
                <w:sz w:val="20"/>
                <w:szCs w:val="20"/>
              </w:rPr>
              <w:t>Petition to Accept Unintentionally Delayed Payment of Maintenance Fee in an Expired Patent (37 CFR 1.378(b))</w:t>
            </w:r>
          </w:p>
        </w:tc>
        <w:tc>
          <w:tcPr>
            <w:tcW w:w="1979" w:type="dxa"/>
            <w:vAlign w:val="center"/>
          </w:tcPr>
          <w:p w:rsidR="008C76FD" w:rsidRPr="00DA77EF" w:rsidP="00340CED" w14:paraId="1BDF44A1" w14:textId="42BD8556">
            <w:pPr>
              <w:pStyle w:val="NoSpacing"/>
              <w:jc w:val="center"/>
              <w:rPr>
                <w:rFonts w:cstheme="minorHAnsi"/>
                <w:sz w:val="20"/>
                <w:szCs w:val="20"/>
              </w:rPr>
            </w:pPr>
            <w:r w:rsidRPr="00DA77EF">
              <w:rPr>
                <w:rFonts w:cstheme="minorHAnsi"/>
                <w:sz w:val="20"/>
                <w:szCs w:val="20"/>
              </w:rPr>
              <w:t>$</w:t>
            </w:r>
            <w:r w:rsidRPr="00DA77EF" w:rsidR="00340CED">
              <w:rPr>
                <w:rFonts w:cstheme="minorHAnsi"/>
                <w:sz w:val="20"/>
                <w:szCs w:val="20"/>
              </w:rPr>
              <w:t>1</w:t>
            </w:r>
            <w:r w:rsidR="00F45C7E">
              <w:rPr>
                <w:rFonts w:cstheme="minorHAnsi"/>
                <w:sz w:val="20"/>
                <w:szCs w:val="20"/>
              </w:rPr>
              <w:t>,05</w:t>
            </w:r>
            <w:r w:rsidRPr="00DA77EF">
              <w:rPr>
                <w:rFonts w:cstheme="minorHAnsi"/>
                <w:sz w:val="20"/>
                <w:szCs w:val="20"/>
              </w:rPr>
              <w:t>0 (small entity)</w:t>
            </w:r>
          </w:p>
          <w:p w:rsidR="008C76FD" w:rsidRPr="00DA77EF" w:rsidP="008C76FD" w14:paraId="1BDF44A2" w14:textId="78207162">
            <w:pPr>
              <w:pStyle w:val="NoSpacing"/>
              <w:jc w:val="center"/>
              <w:rPr>
                <w:rFonts w:cstheme="minorHAnsi"/>
                <w:sz w:val="20"/>
                <w:szCs w:val="20"/>
              </w:rPr>
            </w:pPr>
            <w:r w:rsidRPr="00DA77EF">
              <w:rPr>
                <w:rFonts w:cstheme="minorHAnsi"/>
                <w:sz w:val="20"/>
                <w:szCs w:val="20"/>
              </w:rPr>
              <w:t>$</w:t>
            </w:r>
            <w:r w:rsidR="00F45C7E">
              <w:rPr>
                <w:rFonts w:cstheme="minorHAnsi"/>
                <w:sz w:val="20"/>
                <w:szCs w:val="20"/>
              </w:rPr>
              <w:t>525</w:t>
            </w:r>
            <w:r w:rsidRPr="00DA77EF">
              <w:rPr>
                <w:rFonts w:cstheme="minorHAnsi"/>
                <w:sz w:val="20"/>
                <w:szCs w:val="20"/>
              </w:rPr>
              <w:t xml:space="preserve"> (micro entity)</w:t>
            </w:r>
          </w:p>
        </w:tc>
        <w:tc>
          <w:tcPr>
            <w:tcW w:w="1979" w:type="dxa"/>
            <w:vAlign w:val="center"/>
          </w:tcPr>
          <w:p w:rsidR="008C76FD" w:rsidRPr="00DA77EF" w:rsidP="00340CED" w14:paraId="1BDF44A4" w14:textId="7E52164E">
            <w:pPr>
              <w:pStyle w:val="NoSpacing"/>
              <w:jc w:val="center"/>
              <w:rPr>
                <w:rFonts w:cstheme="minorHAnsi"/>
                <w:sz w:val="20"/>
                <w:szCs w:val="20"/>
              </w:rPr>
            </w:pPr>
            <w:r w:rsidRPr="00DA77EF">
              <w:rPr>
                <w:rFonts w:cstheme="minorHAnsi"/>
                <w:sz w:val="20"/>
                <w:szCs w:val="20"/>
              </w:rPr>
              <w:t>$</w:t>
            </w:r>
            <w:r w:rsidR="00F45C7E">
              <w:rPr>
                <w:rFonts w:cstheme="minorHAnsi"/>
                <w:sz w:val="20"/>
                <w:szCs w:val="20"/>
              </w:rPr>
              <w:t>840</w:t>
            </w:r>
            <w:r w:rsidRPr="00DA77EF">
              <w:rPr>
                <w:rFonts w:cstheme="minorHAnsi"/>
                <w:sz w:val="20"/>
                <w:szCs w:val="20"/>
              </w:rPr>
              <w:t xml:space="preserve"> (small entity)</w:t>
            </w:r>
          </w:p>
          <w:p w:rsidR="008C76FD" w:rsidRPr="00DA77EF" w:rsidP="008C76FD" w14:paraId="1BDF44A5" w14:textId="718A9E05">
            <w:pPr>
              <w:pStyle w:val="NoSpacing"/>
              <w:jc w:val="center"/>
              <w:rPr>
                <w:rFonts w:cstheme="minorHAnsi"/>
                <w:sz w:val="20"/>
                <w:szCs w:val="20"/>
              </w:rPr>
            </w:pPr>
            <w:r w:rsidRPr="00DA77EF">
              <w:rPr>
                <w:rFonts w:cstheme="minorHAnsi"/>
                <w:sz w:val="20"/>
                <w:szCs w:val="20"/>
              </w:rPr>
              <w:t>$</w:t>
            </w:r>
            <w:r w:rsidR="00F45C7E">
              <w:rPr>
                <w:rFonts w:cstheme="minorHAnsi"/>
                <w:sz w:val="20"/>
                <w:szCs w:val="20"/>
              </w:rPr>
              <w:t>4</w:t>
            </w:r>
            <w:r w:rsidRPr="00DA77EF" w:rsidR="00340CED">
              <w:rPr>
                <w:rFonts w:cstheme="minorHAnsi"/>
                <w:sz w:val="20"/>
                <w:szCs w:val="20"/>
              </w:rPr>
              <w:t>2</w:t>
            </w:r>
            <w:r w:rsidR="00F45C7E">
              <w:rPr>
                <w:rFonts w:cstheme="minorHAnsi"/>
                <w:sz w:val="20"/>
                <w:szCs w:val="20"/>
              </w:rPr>
              <w:t>0</w:t>
            </w:r>
            <w:r w:rsidRPr="00DA77EF">
              <w:rPr>
                <w:rFonts w:cstheme="minorHAnsi"/>
                <w:sz w:val="20"/>
                <w:szCs w:val="20"/>
              </w:rPr>
              <w:t xml:space="preserve"> (micro entity)</w:t>
            </w:r>
          </w:p>
        </w:tc>
        <w:tc>
          <w:tcPr>
            <w:tcW w:w="2064" w:type="dxa"/>
            <w:vAlign w:val="center"/>
          </w:tcPr>
          <w:p w:rsidR="008C76FD" w:rsidRPr="00DA77EF" w:rsidP="00340CED" w14:paraId="1BDF44A7" w14:textId="46F35C0C">
            <w:pPr>
              <w:pStyle w:val="NoSpacing"/>
              <w:jc w:val="center"/>
              <w:rPr>
                <w:rFonts w:cstheme="minorHAnsi"/>
                <w:sz w:val="20"/>
                <w:szCs w:val="20"/>
              </w:rPr>
            </w:pPr>
            <w:r w:rsidRPr="00DA77EF">
              <w:rPr>
                <w:rFonts w:cstheme="minorHAnsi"/>
                <w:sz w:val="20"/>
                <w:szCs w:val="20"/>
              </w:rPr>
              <w:t>-</w:t>
            </w:r>
            <w:r w:rsidRPr="00DA77EF">
              <w:rPr>
                <w:rFonts w:cstheme="minorHAnsi"/>
                <w:sz w:val="20"/>
                <w:szCs w:val="20"/>
              </w:rPr>
              <w:t>$</w:t>
            </w:r>
            <w:r w:rsidRPr="00DA77EF">
              <w:rPr>
                <w:rFonts w:cstheme="minorHAnsi"/>
                <w:sz w:val="20"/>
                <w:szCs w:val="20"/>
              </w:rPr>
              <w:t>2</w:t>
            </w:r>
            <w:r w:rsidR="00F45C7E">
              <w:rPr>
                <w:rFonts w:cstheme="minorHAnsi"/>
                <w:sz w:val="20"/>
                <w:szCs w:val="20"/>
              </w:rPr>
              <w:t>10</w:t>
            </w:r>
            <w:r w:rsidRPr="00DA77EF">
              <w:rPr>
                <w:rFonts w:cstheme="minorHAnsi"/>
                <w:sz w:val="20"/>
                <w:szCs w:val="20"/>
              </w:rPr>
              <w:t xml:space="preserve"> (small entity)</w:t>
            </w:r>
          </w:p>
          <w:p w:rsidR="008C76FD" w:rsidRPr="00DA77EF" w:rsidP="008C76FD" w14:paraId="1BDF44A8" w14:textId="16C6DD46">
            <w:pPr>
              <w:pStyle w:val="NoSpacing"/>
              <w:jc w:val="center"/>
              <w:rPr>
                <w:rFonts w:cstheme="minorHAnsi"/>
                <w:sz w:val="20"/>
                <w:szCs w:val="20"/>
              </w:rPr>
            </w:pPr>
            <w:r w:rsidRPr="00DA77EF">
              <w:rPr>
                <w:rFonts w:cstheme="minorHAnsi"/>
                <w:sz w:val="20"/>
                <w:szCs w:val="20"/>
              </w:rPr>
              <w:t>-</w:t>
            </w:r>
            <w:r w:rsidRPr="00DA77EF">
              <w:rPr>
                <w:rFonts w:cstheme="minorHAnsi"/>
                <w:sz w:val="20"/>
                <w:szCs w:val="20"/>
              </w:rPr>
              <w:t>$</w:t>
            </w:r>
            <w:r w:rsidRPr="00DA77EF">
              <w:rPr>
                <w:rFonts w:cstheme="minorHAnsi"/>
                <w:sz w:val="20"/>
                <w:szCs w:val="20"/>
              </w:rPr>
              <w:t>1</w:t>
            </w:r>
            <w:r w:rsidR="00F45C7E">
              <w:rPr>
                <w:rFonts w:cstheme="minorHAnsi"/>
                <w:sz w:val="20"/>
                <w:szCs w:val="20"/>
              </w:rPr>
              <w:t>05</w:t>
            </w:r>
            <w:r w:rsidRPr="00DA77EF">
              <w:rPr>
                <w:rFonts w:cstheme="minorHAnsi"/>
                <w:sz w:val="20"/>
                <w:szCs w:val="20"/>
              </w:rPr>
              <w:t xml:space="preserve"> (micro entity)</w:t>
            </w:r>
          </w:p>
        </w:tc>
      </w:tr>
    </w:tbl>
    <w:p w:rsidR="008B6905" w:rsidRPr="00340CED" w:rsidP="00067D62" w14:paraId="29DFCDD9" w14:textId="77777777">
      <w:pPr>
        <w:pStyle w:val="NoSpacing"/>
        <w:jc w:val="both"/>
        <w:rPr>
          <w:rFonts w:cstheme="minorHAnsi"/>
          <w:b/>
        </w:rPr>
      </w:pPr>
    </w:p>
    <w:p w:rsidR="00556D8F" w:rsidRPr="00340CED" w:rsidP="00067D62" w14:paraId="1BDF457F" w14:textId="5EB6E799">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14:paraId="1BDF4587" w14:textId="77777777" w:rsidTr="002415D8">
        <w:tblPrEx>
          <w:tblW w:w="11065" w:type="dxa"/>
          <w:tblInd w:w="-635" w:type="dxa"/>
          <w:tblLook w:val="04A0"/>
        </w:tblPrEx>
        <w:trPr>
          <w:cantSplit/>
        </w:trPr>
        <w:tc>
          <w:tcPr>
            <w:tcW w:w="538" w:type="dxa"/>
            <w:shd w:val="clear" w:color="auto" w:fill="BDD6EE" w:themeFill="accent1" w:themeFillTint="66"/>
            <w:vAlign w:val="center"/>
          </w:tcPr>
          <w:p w:rsidR="00F21BA8" w:rsidRPr="00340CED" w:rsidP="00F21BA8" w14:paraId="1BDF4580" w14:textId="77777777">
            <w:pPr>
              <w:pStyle w:val="NoSpacing"/>
              <w:jc w:val="center"/>
              <w:rPr>
                <w:rFonts w:cstheme="minorHAnsi"/>
                <w:b/>
              </w:rPr>
            </w:pPr>
          </w:p>
          <w:p w:rsidR="00F21BA8" w:rsidRPr="00340CED" w:rsidP="00F21BA8" w14:paraId="1BDF4581" w14:textId="06EAEEA4">
            <w:pPr>
              <w:pStyle w:val="NoSpacing"/>
              <w:jc w:val="center"/>
              <w:rPr>
                <w:rFonts w:cstheme="minorHAnsi"/>
                <w:b/>
              </w:rPr>
            </w:pPr>
            <w:r w:rsidRPr="00340CED">
              <w:rPr>
                <w:rFonts w:cstheme="minorHAnsi"/>
                <w:b/>
              </w:rPr>
              <w:t xml:space="preserve">IC </w:t>
            </w:r>
            <w:r w:rsidRPr="00340CED" w:rsidR="008B6905">
              <w:rPr>
                <w:rFonts w:cstheme="minorHAnsi"/>
                <w:b/>
              </w:rPr>
              <w:t>No.</w:t>
            </w:r>
          </w:p>
          <w:p w:rsidR="00F21BA8" w:rsidRPr="00340CED" w:rsidP="00F21BA8" w14:paraId="1BDF4582" w14:textId="77777777">
            <w:pPr>
              <w:pStyle w:val="NoSpacing"/>
              <w:jc w:val="center"/>
              <w:rPr>
                <w:rFonts w:cstheme="minorHAnsi"/>
                <w:b/>
              </w:rPr>
            </w:pPr>
          </w:p>
        </w:tc>
        <w:tc>
          <w:tcPr>
            <w:tcW w:w="3147" w:type="dxa"/>
            <w:shd w:val="clear" w:color="auto" w:fill="BDD6EE" w:themeFill="accent1" w:themeFillTint="66"/>
            <w:vAlign w:val="center"/>
          </w:tcPr>
          <w:p w:rsidR="00F21BA8" w:rsidRPr="00340CED" w:rsidP="00F21BA8" w14:paraId="1BDF4583" w14:textId="77777777">
            <w:pPr>
              <w:pStyle w:val="NoSpacing"/>
              <w:jc w:val="center"/>
              <w:rPr>
                <w:rFonts w:cstheme="minorHAnsi"/>
                <w:b/>
              </w:rPr>
            </w:pPr>
            <w:r w:rsidRPr="00340CED">
              <w:rPr>
                <w:rFonts w:cstheme="minorHAnsi"/>
                <w:b/>
              </w:rPr>
              <w:t>Item</w:t>
            </w:r>
          </w:p>
        </w:tc>
        <w:tc>
          <w:tcPr>
            <w:tcW w:w="2255" w:type="dxa"/>
            <w:shd w:val="clear" w:color="auto" w:fill="BDD6EE" w:themeFill="accent1" w:themeFillTint="66"/>
            <w:vAlign w:val="center"/>
          </w:tcPr>
          <w:p w:rsidR="00F21BA8" w:rsidP="00F21BA8" w14:paraId="2FA38E4B" w14:textId="77777777">
            <w:pPr>
              <w:pStyle w:val="NoSpacing"/>
              <w:jc w:val="center"/>
              <w:rPr>
                <w:rFonts w:cstheme="minorHAnsi"/>
                <w:b/>
              </w:rPr>
            </w:pPr>
            <w:r w:rsidRPr="00340CED">
              <w:rPr>
                <w:rFonts w:cstheme="minorHAnsi"/>
                <w:b/>
              </w:rPr>
              <w:t>Responses</w:t>
            </w:r>
          </w:p>
          <w:p w:rsidR="008001F7" w:rsidRPr="00340CED" w:rsidP="00F21BA8" w14:paraId="1BDF4584" w14:textId="7E9B8F68">
            <w:pPr>
              <w:pStyle w:val="NoSpacing"/>
              <w:jc w:val="center"/>
              <w:rPr>
                <w:rFonts w:cstheme="minorHAnsi"/>
                <w:b/>
              </w:rPr>
            </w:pPr>
            <w:r>
              <w:rPr>
                <w:rFonts w:cstheme="minorHAnsi"/>
                <w:b/>
              </w:rPr>
              <w:t>(a)</w:t>
            </w:r>
          </w:p>
        </w:tc>
        <w:tc>
          <w:tcPr>
            <w:tcW w:w="2610" w:type="dxa"/>
            <w:shd w:val="clear" w:color="auto" w:fill="BDD6EE" w:themeFill="accent1" w:themeFillTint="66"/>
            <w:vAlign w:val="center"/>
          </w:tcPr>
          <w:p w:rsidR="00F21BA8" w:rsidP="00F21BA8" w14:paraId="263AA858" w14:textId="77777777">
            <w:pPr>
              <w:pStyle w:val="NoSpacing"/>
              <w:jc w:val="center"/>
              <w:rPr>
                <w:rFonts w:cstheme="minorHAnsi"/>
                <w:b/>
              </w:rPr>
            </w:pPr>
            <w:r w:rsidRPr="00340CED">
              <w:rPr>
                <w:rFonts w:cstheme="minorHAnsi"/>
                <w:b/>
              </w:rPr>
              <w:t>Proposed Fee</w:t>
            </w:r>
          </w:p>
          <w:p w:rsidR="008001F7" w:rsidRPr="00340CED" w:rsidP="00F21BA8" w14:paraId="1BDF4585" w14:textId="7A9F2269">
            <w:pPr>
              <w:pStyle w:val="NoSpacing"/>
              <w:jc w:val="center"/>
              <w:rPr>
                <w:rFonts w:cstheme="minorHAnsi"/>
                <w:b/>
              </w:rPr>
            </w:pPr>
            <w:r>
              <w:rPr>
                <w:rFonts w:cstheme="minorHAnsi"/>
                <w:b/>
              </w:rPr>
              <w:t>(b)</w:t>
            </w:r>
          </w:p>
        </w:tc>
        <w:tc>
          <w:tcPr>
            <w:tcW w:w="2515" w:type="dxa"/>
            <w:shd w:val="clear" w:color="auto" w:fill="BDD6EE" w:themeFill="accent1" w:themeFillTint="66"/>
            <w:vAlign w:val="center"/>
          </w:tcPr>
          <w:p w:rsidR="008001F7" w:rsidP="00F21BA8" w14:paraId="03F11390" w14:textId="77777777">
            <w:pPr>
              <w:pStyle w:val="NoSpacing"/>
              <w:jc w:val="center"/>
              <w:rPr>
                <w:rFonts w:cstheme="minorHAnsi"/>
                <w:b/>
              </w:rPr>
            </w:pPr>
          </w:p>
          <w:p w:rsidR="00F21BA8" w:rsidP="00F21BA8" w14:paraId="27206927" w14:textId="0D0B4209">
            <w:pPr>
              <w:pStyle w:val="NoSpacing"/>
              <w:jc w:val="center"/>
              <w:rPr>
                <w:rFonts w:cstheme="minorHAnsi"/>
                <w:b/>
              </w:rPr>
            </w:pPr>
            <w:r w:rsidRPr="00340CED">
              <w:rPr>
                <w:rFonts w:cstheme="minorHAnsi"/>
                <w:b/>
              </w:rPr>
              <w:t>Proposed Cost</w:t>
            </w:r>
          </w:p>
          <w:p w:rsidR="008001F7" w:rsidP="00F21BA8" w14:paraId="56D7C499" w14:textId="245C8948">
            <w:pPr>
              <w:pStyle w:val="NoSpacing"/>
              <w:jc w:val="center"/>
              <w:rPr>
                <w:rFonts w:cstheme="minorHAnsi"/>
                <w:b/>
              </w:rPr>
            </w:pPr>
            <w:r>
              <w:rPr>
                <w:rFonts w:cstheme="minorHAnsi"/>
                <w:b/>
              </w:rPr>
              <w:t>(a) x (b) = (c)</w:t>
            </w:r>
          </w:p>
          <w:p w:rsidR="008001F7" w:rsidRPr="00340CED" w:rsidP="00F21BA8" w14:paraId="1BDF4586" w14:textId="2199DF83">
            <w:pPr>
              <w:pStyle w:val="NoSpacing"/>
              <w:jc w:val="center"/>
              <w:rPr>
                <w:rFonts w:cstheme="minorHAnsi"/>
                <w:b/>
              </w:rPr>
            </w:pPr>
          </w:p>
        </w:tc>
      </w:tr>
      <w:tr w14:paraId="1BDF458D" w14:textId="77777777" w:rsidTr="002415D8">
        <w:tblPrEx>
          <w:tblW w:w="11065" w:type="dxa"/>
          <w:tblInd w:w="-635" w:type="dxa"/>
          <w:tblLook w:val="04A0"/>
        </w:tblPrEx>
        <w:tc>
          <w:tcPr>
            <w:tcW w:w="538" w:type="dxa"/>
            <w:vAlign w:val="center"/>
          </w:tcPr>
          <w:p w:rsidR="0004233B" w:rsidRPr="00E86712" w:rsidP="0004233B" w14:paraId="1BDF4588" w14:textId="4FF23833">
            <w:pPr>
              <w:jc w:val="center"/>
              <w:rPr>
                <w:rFonts w:cstheme="minorHAnsi"/>
                <w:color w:val="000000"/>
              </w:rPr>
            </w:pPr>
            <w:r>
              <w:rPr>
                <w:rFonts w:cstheme="minorHAnsi"/>
                <w:color w:val="000000"/>
                <w:sz w:val="20"/>
                <w:szCs w:val="20"/>
              </w:rPr>
              <w:t>3</w:t>
            </w:r>
          </w:p>
        </w:tc>
        <w:tc>
          <w:tcPr>
            <w:tcW w:w="3147" w:type="dxa"/>
            <w:vAlign w:val="center"/>
          </w:tcPr>
          <w:p w:rsidR="0004233B" w:rsidRPr="00E86712" w:rsidP="0004233B" w14:paraId="1BDF4589" w14:textId="5D4ADFDF">
            <w:pPr>
              <w:rPr>
                <w:rFonts w:cstheme="minorHAnsi"/>
                <w:color w:val="000000"/>
              </w:rPr>
            </w:pPr>
            <w:r w:rsidRPr="0004233B">
              <w:rPr>
                <w:rFonts w:cstheme="minorHAnsi"/>
                <w:color w:val="000000"/>
                <w:sz w:val="20"/>
                <w:szCs w:val="20"/>
              </w:rPr>
              <w:t>Petition to Accept Unintentionally Delayed Payment of Maintenance Fee in an Expired Patent (37 CFR 1.378(b))</w:t>
            </w:r>
          </w:p>
        </w:tc>
        <w:tc>
          <w:tcPr>
            <w:tcW w:w="2255" w:type="dxa"/>
            <w:vAlign w:val="center"/>
          </w:tcPr>
          <w:p w:rsidR="0004233B" w:rsidRPr="00E86712" w:rsidP="0004233B" w14:paraId="606DA4E3" w14:textId="7B5322EF">
            <w:pPr>
              <w:pStyle w:val="NoSpacing"/>
              <w:jc w:val="center"/>
              <w:rPr>
                <w:rFonts w:cstheme="minorHAnsi"/>
                <w:sz w:val="20"/>
                <w:szCs w:val="20"/>
              </w:rPr>
            </w:pPr>
            <w:r>
              <w:rPr>
                <w:rFonts w:cstheme="minorHAnsi"/>
                <w:sz w:val="20"/>
                <w:szCs w:val="20"/>
              </w:rPr>
              <w:t>1,500</w:t>
            </w:r>
            <w:r w:rsidRPr="00E86712">
              <w:rPr>
                <w:rFonts w:cstheme="minorHAnsi"/>
                <w:sz w:val="20"/>
                <w:szCs w:val="20"/>
              </w:rPr>
              <w:t xml:space="preserve"> (small entity)</w:t>
            </w:r>
          </w:p>
          <w:p w:rsidR="0004233B" w:rsidRPr="00E86712" w:rsidP="0004233B" w14:paraId="1BDF458A" w14:textId="091F0F23">
            <w:pPr>
              <w:jc w:val="center"/>
              <w:rPr>
                <w:rFonts w:cstheme="minorHAnsi"/>
                <w:color w:val="000000"/>
              </w:rPr>
            </w:pPr>
            <w:r>
              <w:rPr>
                <w:rFonts w:cstheme="minorHAnsi"/>
                <w:sz w:val="20"/>
                <w:szCs w:val="20"/>
              </w:rPr>
              <w:t>300</w:t>
            </w:r>
            <w:r w:rsidRPr="00E86712">
              <w:rPr>
                <w:rFonts w:cstheme="minorHAnsi"/>
                <w:sz w:val="20"/>
                <w:szCs w:val="20"/>
              </w:rPr>
              <w:t xml:space="preserve"> (micro entity)</w:t>
            </w:r>
          </w:p>
        </w:tc>
        <w:tc>
          <w:tcPr>
            <w:tcW w:w="2610" w:type="dxa"/>
            <w:vAlign w:val="center"/>
          </w:tcPr>
          <w:p w:rsidR="00F45C7E" w:rsidRPr="00DA77EF" w:rsidP="00F45C7E" w14:paraId="50A46EE7"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840</w:t>
            </w:r>
            <w:r w:rsidRPr="00DA77EF">
              <w:rPr>
                <w:rFonts w:cstheme="minorHAnsi"/>
                <w:sz w:val="20"/>
                <w:szCs w:val="20"/>
              </w:rPr>
              <w:t xml:space="preserve"> (small entity)</w:t>
            </w:r>
          </w:p>
          <w:p w:rsidR="0004233B" w:rsidRPr="008001F7" w:rsidP="00F45C7E" w14:paraId="1BDF458B" w14:textId="4F3F7A45">
            <w:pPr>
              <w:jc w:val="center"/>
              <w:rPr>
                <w:rFonts w:cstheme="minorHAnsi"/>
                <w:color w:val="000000"/>
              </w:rPr>
            </w:pPr>
            <w:r w:rsidRPr="00DA77EF">
              <w:rPr>
                <w:rFonts w:cstheme="minorHAnsi"/>
                <w:sz w:val="20"/>
                <w:szCs w:val="20"/>
              </w:rPr>
              <w:t>$</w:t>
            </w:r>
            <w:r>
              <w:rPr>
                <w:rFonts w:cstheme="minorHAnsi"/>
                <w:sz w:val="20"/>
                <w:szCs w:val="20"/>
              </w:rPr>
              <w:t>4</w:t>
            </w:r>
            <w:r w:rsidRPr="00DA77EF">
              <w:rPr>
                <w:rFonts w:cstheme="minorHAnsi"/>
                <w:sz w:val="20"/>
                <w:szCs w:val="20"/>
              </w:rPr>
              <w:t>2</w:t>
            </w:r>
            <w:r>
              <w:rPr>
                <w:rFonts w:cstheme="minorHAnsi"/>
                <w:sz w:val="20"/>
                <w:szCs w:val="20"/>
              </w:rPr>
              <w:t>0</w:t>
            </w:r>
            <w:r w:rsidRPr="00DA77EF">
              <w:rPr>
                <w:rFonts w:cstheme="minorHAnsi"/>
                <w:sz w:val="20"/>
                <w:szCs w:val="20"/>
              </w:rPr>
              <w:t xml:space="preserve"> (micro entity)</w:t>
            </w:r>
          </w:p>
        </w:tc>
        <w:tc>
          <w:tcPr>
            <w:tcW w:w="2515" w:type="dxa"/>
            <w:vAlign w:val="center"/>
          </w:tcPr>
          <w:p w:rsidR="0004233B" w:rsidRPr="00E86712" w:rsidP="0004233B" w14:paraId="22A42DA2" w14:textId="65401FD7">
            <w:pPr>
              <w:pStyle w:val="NoSpacing"/>
              <w:jc w:val="center"/>
              <w:rPr>
                <w:rFonts w:cstheme="minorHAnsi"/>
                <w:sz w:val="20"/>
                <w:szCs w:val="20"/>
              </w:rPr>
            </w:pPr>
            <w:r>
              <w:rPr>
                <w:rFonts w:cstheme="minorHAnsi"/>
                <w:sz w:val="20"/>
                <w:szCs w:val="20"/>
              </w:rPr>
              <w:t>$</w:t>
            </w:r>
            <w:r w:rsidRPr="00F45C7E" w:rsidR="00F45C7E">
              <w:rPr>
                <w:rFonts w:cstheme="minorHAnsi"/>
                <w:sz w:val="20"/>
                <w:szCs w:val="20"/>
              </w:rPr>
              <w:t xml:space="preserve">1,260,000 </w:t>
            </w:r>
            <w:r w:rsidRPr="00E86712">
              <w:rPr>
                <w:rFonts w:cstheme="minorHAnsi"/>
                <w:sz w:val="20"/>
                <w:szCs w:val="20"/>
              </w:rPr>
              <w:t>(small entity)</w:t>
            </w:r>
          </w:p>
          <w:p w:rsidR="0004233B" w:rsidRPr="00E86712" w:rsidP="0004233B" w14:paraId="1BDF458C" w14:textId="165A4D4B">
            <w:pPr>
              <w:jc w:val="center"/>
              <w:rPr>
                <w:rFonts w:cstheme="minorHAnsi"/>
                <w:color w:val="000000"/>
              </w:rPr>
            </w:pPr>
            <w:r w:rsidRPr="00E86712">
              <w:rPr>
                <w:rFonts w:cstheme="minorHAnsi"/>
                <w:sz w:val="20"/>
                <w:szCs w:val="20"/>
              </w:rPr>
              <w:t>$</w:t>
            </w:r>
            <w:r w:rsidRPr="00F45C7E" w:rsidR="00F45C7E">
              <w:rPr>
                <w:rFonts w:cstheme="minorHAnsi"/>
                <w:sz w:val="20"/>
                <w:szCs w:val="20"/>
              </w:rPr>
              <w:t xml:space="preserve">126,000 </w:t>
            </w:r>
            <w:r w:rsidRPr="00E86712">
              <w:rPr>
                <w:rFonts w:cstheme="minorHAnsi"/>
                <w:sz w:val="20"/>
                <w:szCs w:val="20"/>
              </w:rPr>
              <w:t>(micro entity)</w:t>
            </w:r>
          </w:p>
        </w:tc>
      </w:tr>
      <w:tr w14:paraId="1BDF46AD" w14:textId="77777777" w:rsidTr="002415D8">
        <w:tblPrEx>
          <w:tblW w:w="11065" w:type="dxa"/>
          <w:tblInd w:w="-635" w:type="dxa"/>
          <w:tblLook w:val="04A0"/>
        </w:tblPrEx>
        <w:tc>
          <w:tcPr>
            <w:tcW w:w="538" w:type="dxa"/>
            <w:vAlign w:val="center"/>
          </w:tcPr>
          <w:p w:rsidR="00F21BA8" w:rsidRPr="00340CED" w:rsidP="00F21BA8" w14:paraId="1BDF46A8" w14:textId="77777777">
            <w:pPr>
              <w:pStyle w:val="NoSpacing"/>
              <w:jc w:val="center"/>
              <w:rPr>
                <w:rFonts w:cstheme="minorHAnsi"/>
                <w:b/>
              </w:rPr>
            </w:pPr>
          </w:p>
        </w:tc>
        <w:tc>
          <w:tcPr>
            <w:tcW w:w="3147" w:type="dxa"/>
            <w:vAlign w:val="center"/>
          </w:tcPr>
          <w:p w:rsidR="00F21BA8" w:rsidRPr="00340CED" w:rsidP="00F21BA8" w14:paraId="1BDF46A9" w14:textId="77777777">
            <w:pPr>
              <w:pStyle w:val="NoSpacing"/>
              <w:rPr>
                <w:rFonts w:cstheme="minorHAnsi"/>
                <w:b/>
              </w:rPr>
            </w:pPr>
            <w:r w:rsidRPr="00340CED">
              <w:rPr>
                <w:rFonts w:cstheme="minorHAnsi"/>
                <w:b/>
              </w:rPr>
              <w:t>Totals</w:t>
            </w:r>
          </w:p>
        </w:tc>
        <w:tc>
          <w:tcPr>
            <w:tcW w:w="2255" w:type="dxa"/>
            <w:vAlign w:val="center"/>
          </w:tcPr>
          <w:p w:rsidR="00F21BA8" w:rsidRPr="00340CED" w:rsidP="00486FC9" w14:paraId="1BDF46AA" w14:textId="1C5C8E0D">
            <w:pPr>
              <w:pStyle w:val="NoSpacing"/>
              <w:jc w:val="right"/>
              <w:rPr>
                <w:rFonts w:cstheme="minorHAnsi"/>
                <w:b/>
              </w:rPr>
            </w:pPr>
            <w:r>
              <w:rPr>
                <w:rFonts w:cstheme="minorHAnsi"/>
                <w:b/>
              </w:rPr>
              <w:t>1,800</w:t>
            </w:r>
          </w:p>
        </w:tc>
        <w:tc>
          <w:tcPr>
            <w:tcW w:w="2610" w:type="dxa"/>
            <w:vAlign w:val="center"/>
          </w:tcPr>
          <w:p w:rsidR="00F21BA8" w:rsidRPr="00340CED" w:rsidP="00E86712" w14:paraId="1BDF46AB" w14:textId="320E8EFD">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F21BA8" w:rsidRPr="00340CED" w:rsidP="00486FC9" w14:paraId="1BDF46AC" w14:textId="1C98250F">
            <w:pPr>
              <w:pStyle w:val="NoSpacing"/>
              <w:jc w:val="right"/>
              <w:rPr>
                <w:rFonts w:cstheme="minorHAnsi"/>
                <w:b/>
              </w:rPr>
            </w:pPr>
            <w:r>
              <w:rPr>
                <w:rFonts w:cstheme="minorHAnsi"/>
                <w:b/>
              </w:rPr>
              <w:t>$</w:t>
            </w:r>
            <w:r w:rsidRPr="00F45C7E" w:rsidR="00F45C7E">
              <w:rPr>
                <w:rFonts w:cstheme="minorHAnsi"/>
                <w:b/>
              </w:rPr>
              <w:t>1,386,000</w:t>
            </w:r>
          </w:p>
        </w:tc>
      </w:tr>
    </w:tbl>
    <w:p w:rsidR="00F21BA8" w:rsidRPr="00340CED" w:rsidP="00067D62" w14:paraId="1BDF46AE" w14:textId="77777777">
      <w:pPr>
        <w:pStyle w:val="NoSpacing"/>
        <w:jc w:val="both"/>
        <w:rPr>
          <w:rFonts w:cstheme="minorHAnsi"/>
        </w:rPr>
      </w:pPr>
    </w:p>
    <w:p w:rsidR="00F21BA8" w:rsidRPr="00340CED" w:rsidP="00067D62" w14:paraId="1BDF46AF" w14:textId="77777777">
      <w:pPr>
        <w:pStyle w:val="NoSpacing"/>
        <w:jc w:val="both"/>
        <w:rPr>
          <w:rFonts w:cstheme="minorHAnsi"/>
        </w:rPr>
      </w:pPr>
      <w:r w:rsidRPr="00340CED">
        <w:rPr>
          <w:rFonts w:cstheme="minorHAnsi"/>
          <w:b/>
        </w:rPr>
        <w:t>Table 3: Changes in Cost</w:t>
      </w:r>
    </w:p>
    <w:tbl>
      <w:tblPr>
        <w:tblStyle w:val="TableGrid"/>
        <w:tblW w:w="11430" w:type="dxa"/>
        <w:tblInd w:w="-905" w:type="dxa"/>
        <w:tblLook w:val="04A0"/>
      </w:tblPr>
      <w:tblGrid>
        <w:gridCol w:w="540"/>
        <w:gridCol w:w="2931"/>
        <w:gridCol w:w="2482"/>
        <w:gridCol w:w="2880"/>
        <w:gridCol w:w="2597"/>
      </w:tblGrid>
      <w:tr w14:paraId="1BDF46B7" w14:textId="77777777" w:rsidTr="00FE2A12">
        <w:tblPrEx>
          <w:tblW w:w="11430" w:type="dxa"/>
          <w:tblInd w:w="-905" w:type="dxa"/>
          <w:tblLook w:val="04A0"/>
        </w:tblPrEx>
        <w:tc>
          <w:tcPr>
            <w:tcW w:w="540" w:type="dxa"/>
            <w:shd w:val="clear" w:color="auto" w:fill="BDD6EE" w:themeFill="accent1" w:themeFillTint="66"/>
            <w:vAlign w:val="center"/>
          </w:tcPr>
          <w:p w:rsidR="00F21BA8" w:rsidRPr="00340CED" w:rsidP="00F21BA8" w14:paraId="1BDF46B0" w14:textId="77777777">
            <w:pPr>
              <w:pStyle w:val="NoSpacing"/>
              <w:jc w:val="center"/>
              <w:rPr>
                <w:rFonts w:cstheme="minorHAnsi"/>
                <w:b/>
              </w:rPr>
            </w:pPr>
          </w:p>
          <w:p w:rsidR="00F21BA8" w:rsidRPr="00340CED" w:rsidP="0091356C" w14:paraId="1BDF46B1" w14:textId="6E3255EB">
            <w:pPr>
              <w:pStyle w:val="NoSpacing"/>
              <w:ind w:right="-35"/>
              <w:jc w:val="center"/>
              <w:rPr>
                <w:rFonts w:cstheme="minorHAnsi"/>
                <w:b/>
              </w:rPr>
            </w:pPr>
            <w:r w:rsidRPr="00340CED">
              <w:rPr>
                <w:rFonts w:cstheme="minorHAnsi"/>
                <w:b/>
              </w:rPr>
              <w:t xml:space="preserve">IC </w:t>
            </w:r>
            <w:r w:rsidRPr="00340CED" w:rsidR="008B6905">
              <w:rPr>
                <w:rFonts w:cstheme="minorHAnsi"/>
                <w:b/>
              </w:rPr>
              <w:t>No.</w:t>
            </w:r>
          </w:p>
          <w:p w:rsidR="00F21BA8" w:rsidRPr="00340CED" w:rsidP="00F21BA8" w14:paraId="1BDF46B2" w14:textId="77777777">
            <w:pPr>
              <w:pStyle w:val="NoSpacing"/>
              <w:jc w:val="center"/>
              <w:rPr>
                <w:rFonts w:cstheme="minorHAnsi"/>
                <w:b/>
              </w:rPr>
            </w:pPr>
          </w:p>
        </w:tc>
        <w:tc>
          <w:tcPr>
            <w:tcW w:w="2931" w:type="dxa"/>
            <w:shd w:val="clear" w:color="auto" w:fill="BDD6EE" w:themeFill="accent1" w:themeFillTint="66"/>
            <w:vAlign w:val="center"/>
          </w:tcPr>
          <w:p w:rsidR="00F21BA8" w:rsidRPr="00340CED" w:rsidP="00F21BA8" w14:paraId="1BDF46B3" w14:textId="77777777">
            <w:pPr>
              <w:pStyle w:val="NoSpacing"/>
              <w:jc w:val="center"/>
              <w:rPr>
                <w:rFonts w:cstheme="minorHAnsi"/>
                <w:b/>
              </w:rPr>
            </w:pPr>
            <w:r w:rsidRPr="00340CED">
              <w:rPr>
                <w:rFonts w:cstheme="minorHAnsi"/>
                <w:b/>
              </w:rPr>
              <w:t xml:space="preserve">Items </w:t>
            </w:r>
          </w:p>
        </w:tc>
        <w:tc>
          <w:tcPr>
            <w:tcW w:w="2482" w:type="dxa"/>
            <w:shd w:val="clear" w:color="auto" w:fill="BDD6EE" w:themeFill="accent1" w:themeFillTint="66"/>
            <w:vAlign w:val="center"/>
          </w:tcPr>
          <w:p w:rsidR="00F21BA8" w:rsidRPr="00340CED" w:rsidP="00F21BA8" w14:paraId="1BDF46B4" w14:textId="77777777">
            <w:pPr>
              <w:pStyle w:val="NoSpacing"/>
              <w:jc w:val="center"/>
              <w:rPr>
                <w:rFonts w:cstheme="minorHAnsi"/>
                <w:b/>
              </w:rPr>
            </w:pPr>
            <w:r w:rsidRPr="00340CED">
              <w:rPr>
                <w:rFonts w:cstheme="minorHAnsi"/>
                <w:b/>
              </w:rPr>
              <w:t>Current Cost</w:t>
            </w:r>
          </w:p>
        </w:tc>
        <w:tc>
          <w:tcPr>
            <w:tcW w:w="2880" w:type="dxa"/>
            <w:shd w:val="clear" w:color="auto" w:fill="BDD6EE" w:themeFill="accent1" w:themeFillTint="66"/>
            <w:vAlign w:val="center"/>
          </w:tcPr>
          <w:p w:rsidR="00F21BA8" w:rsidRPr="00340CED" w:rsidP="00F21BA8" w14:paraId="1BDF46B5" w14:textId="77777777">
            <w:pPr>
              <w:pStyle w:val="NoSpacing"/>
              <w:jc w:val="center"/>
              <w:rPr>
                <w:rFonts w:cstheme="minorHAnsi"/>
                <w:b/>
              </w:rPr>
            </w:pPr>
            <w:r w:rsidRPr="00340CED">
              <w:rPr>
                <w:rFonts w:cstheme="minorHAnsi"/>
                <w:b/>
              </w:rPr>
              <w:t>Proposed Cost</w:t>
            </w:r>
          </w:p>
        </w:tc>
        <w:tc>
          <w:tcPr>
            <w:tcW w:w="2597" w:type="dxa"/>
            <w:shd w:val="clear" w:color="auto" w:fill="BDD6EE" w:themeFill="accent1" w:themeFillTint="66"/>
            <w:vAlign w:val="center"/>
          </w:tcPr>
          <w:p w:rsidR="00F21BA8" w:rsidRPr="00340CED" w:rsidP="00F21BA8" w14:paraId="1BDF46B6" w14:textId="77777777">
            <w:pPr>
              <w:pStyle w:val="NoSpacing"/>
              <w:jc w:val="center"/>
              <w:rPr>
                <w:rFonts w:cstheme="minorHAnsi"/>
                <w:b/>
              </w:rPr>
            </w:pPr>
            <w:r w:rsidRPr="00340CED">
              <w:rPr>
                <w:rFonts w:cstheme="minorHAnsi"/>
                <w:b/>
              </w:rPr>
              <w:t>Change in Cost</w:t>
            </w:r>
          </w:p>
        </w:tc>
      </w:tr>
      <w:tr w14:paraId="1BDF46BD" w14:textId="77777777" w:rsidTr="00FE2A12">
        <w:tblPrEx>
          <w:tblW w:w="11430" w:type="dxa"/>
          <w:tblInd w:w="-905" w:type="dxa"/>
          <w:tblLook w:val="04A0"/>
        </w:tblPrEx>
        <w:tc>
          <w:tcPr>
            <w:tcW w:w="540" w:type="dxa"/>
            <w:vAlign w:val="center"/>
          </w:tcPr>
          <w:p w:rsidR="00E92DFE" w:rsidRPr="00340CED" w:rsidP="00E92DFE" w14:paraId="1BDF46B8" w14:textId="3E03D7A8">
            <w:pPr>
              <w:jc w:val="center"/>
              <w:rPr>
                <w:rFonts w:cstheme="minorHAnsi"/>
                <w:color w:val="000000"/>
              </w:rPr>
            </w:pPr>
            <w:r>
              <w:rPr>
                <w:rFonts w:cstheme="minorHAnsi"/>
                <w:color w:val="000000"/>
                <w:sz w:val="20"/>
                <w:szCs w:val="20"/>
              </w:rPr>
              <w:t>3</w:t>
            </w:r>
          </w:p>
        </w:tc>
        <w:tc>
          <w:tcPr>
            <w:tcW w:w="2931" w:type="dxa"/>
            <w:vAlign w:val="center"/>
          </w:tcPr>
          <w:p w:rsidR="00E92DFE" w:rsidRPr="00340CED" w:rsidP="00E92DFE" w14:paraId="1BDF46B9" w14:textId="09FAD835">
            <w:pPr>
              <w:rPr>
                <w:rFonts w:cstheme="minorHAnsi"/>
                <w:color w:val="000000"/>
              </w:rPr>
            </w:pPr>
            <w:r w:rsidRPr="0004233B">
              <w:rPr>
                <w:rFonts w:cstheme="minorHAnsi"/>
                <w:color w:val="000000"/>
                <w:sz w:val="20"/>
                <w:szCs w:val="20"/>
              </w:rPr>
              <w:t>Petition to Accept Unintentionally Delayed Payment of Maintenance Fee in an Expired Patent (37 CFR 1.378(b))</w:t>
            </w:r>
          </w:p>
        </w:tc>
        <w:tc>
          <w:tcPr>
            <w:tcW w:w="2482" w:type="dxa"/>
            <w:vAlign w:val="center"/>
          </w:tcPr>
          <w:p w:rsidR="00E92DFE" w:rsidRPr="00E86712" w:rsidP="00E92DFE" w14:paraId="3ED58C88" w14:textId="7FC33799">
            <w:pPr>
              <w:pStyle w:val="NoSpacing"/>
              <w:jc w:val="center"/>
              <w:rPr>
                <w:rFonts w:cstheme="minorHAnsi"/>
                <w:sz w:val="20"/>
                <w:szCs w:val="20"/>
              </w:rPr>
            </w:pPr>
            <w:r w:rsidRPr="00BC1D1C">
              <w:rPr>
                <w:rFonts w:cstheme="minorHAnsi"/>
                <w:sz w:val="20"/>
                <w:szCs w:val="20"/>
              </w:rPr>
              <w:t>$</w:t>
            </w:r>
            <w:r w:rsidRPr="00F45C7E">
              <w:rPr>
                <w:rFonts w:cstheme="minorHAnsi"/>
                <w:sz w:val="20"/>
                <w:szCs w:val="20"/>
              </w:rPr>
              <w:t xml:space="preserve">1,575,000 </w:t>
            </w:r>
            <w:r w:rsidRPr="00E86712">
              <w:rPr>
                <w:rFonts w:cstheme="minorHAnsi"/>
                <w:sz w:val="20"/>
                <w:szCs w:val="20"/>
              </w:rPr>
              <w:t>(small entity)</w:t>
            </w:r>
          </w:p>
          <w:p w:rsidR="00E92DFE" w:rsidRPr="00340CED" w:rsidP="00E92DFE" w14:paraId="1BDF46BA" w14:textId="2CB5FA3A">
            <w:pPr>
              <w:jc w:val="center"/>
              <w:rPr>
                <w:rFonts w:cstheme="minorHAnsi"/>
                <w:color w:val="000000"/>
              </w:rPr>
            </w:pPr>
            <w:r w:rsidRPr="00BC1D1C">
              <w:rPr>
                <w:rFonts w:cstheme="minorHAnsi"/>
                <w:sz w:val="20"/>
                <w:szCs w:val="20"/>
              </w:rPr>
              <w:t>$</w:t>
            </w:r>
            <w:r w:rsidRPr="00F45C7E">
              <w:rPr>
                <w:rFonts w:cstheme="minorHAnsi"/>
                <w:sz w:val="20"/>
                <w:szCs w:val="20"/>
              </w:rPr>
              <w:t xml:space="preserve">157,500 </w:t>
            </w:r>
            <w:r w:rsidRPr="00E86712">
              <w:rPr>
                <w:rFonts w:cstheme="minorHAnsi"/>
                <w:sz w:val="20"/>
                <w:szCs w:val="20"/>
              </w:rPr>
              <w:t>(micro entity)</w:t>
            </w:r>
          </w:p>
        </w:tc>
        <w:tc>
          <w:tcPr>
            <w:tcW w:w="2880" w:type="dxa"/>
            <w:vAlign w:val="center"/>
          </w:tcPr>
          <w:p w:rsidR="00E92DFE" w:rsidRPr="00E86712" w:rsidP="00E92DFE" w14:paraId="242975D2" w14:textId="77777777">
            <w:pPr>
              <w:pStyle w:val="NoSpacing"/>
              <w:jc w:val="center"/>
              <w:rPr>
                <w:rFonts w:cstheme="minorHAnsi"/>
                <w:sz w:val="20"/>
                <w:szCs w:val="20"/>
              </w:rPr>
            </w:pPr>
            <w:r>
              <w:rPr>
                <w:rFonts w:cstheme="minorHAnsi"/>
                <w:sz w:val="20"/>
                <w:szCs w:val="20"/>
              </w:rPr>
              <w:t>$</w:t>
            </w:r>
            <w:r w:rsidRPr="00F45C7E">
              <w:rPr>
                <w:rFonts w:cstheme="minorHAnsi"/>
                <w:sz w:val="20"/>
                <w:szCs w:val="20"/>
              </w:rPr>
              <w:t xml:space="preserve">1,260,000 </w:t>
            </w:r>
            <w:r w:rsidRPr="00E86712">
              <w:rPr>
                <w:rFonts w:cstheme="minorHAnsi"/>
                <w:sz w:val="20"/>
                <w:szCs w:val="20"/>
              </w:rPr>
              <w:t>(small entity)</w:t>
            </w:r>
          </w:p>
          <w:p w:rsidR="00E92DFE" w:rsidRPr="00340CED" w:rsidP="00E92DFE" w14:paraId="1BDF46BB" w14:textId="6599BF0C">
            <w:pPr>
              <w:jc w:val="center"/>
              <w:rPr>
                <w:rFonts w:cstheme="minorHAnsi"/>
                <w:color w:val="000000"/>
              </w:rPr>
            </w:pPr>
            <w:r w:rsidRPr="00E86712">
              <w:rPr>
                <w:rFonts w:cstheme="minorHAnsi"/>
                <w:sz w:val="20"/>
                <w:szCs w:val="20"/>
              </w:rPr>
              <w:t>$</w:t>
            </w:r>
            <w:r w:rsidRPr="00F45C7E">
              <w:rPr>
                <w:rFonts w:cstheme="minorHAnsi"/>
                <w:sz w:val="20"/>
                <w:szCs w:val="20"/>
              </w:rPr>
              <w:t xml:space="preserve">126,000 </w:t>
            </w:r>
            <w:r w:rsidRPr="00E86712">
              <w:rPr>
                <w:rFonts w:cstheme="minorHAnsi"/>
                <w:sz w:val="20"/>
                <w:szCs w:val="20"/>
              </w:rPr>
              <w:t>(micro entity)</w:t>
            </w:r>
          </w:p>
        </w:tc>
        <w:tc>
          <w:tcPr>
            <w:tcW w:w="2597" w:type="dxa"/>
            <w:vAlign w:val="center"/>
          </w:tcPr>
          <w:p w:rsidR="00E92DFE" w:rsidRPr="00E86712" w:rsidP="00E92DFE" w14:paraId="2F583E73" w14:textId="1B6F2CE8">
            <w:pPr>
              <w:pStyle w:val="NoSpacing"/>
              <w:jc w:val="center"/>
              <w:rPr>
                <w:rFonts w:cstheme="minorHAnsi"/>
                <w:sz w:val="20"/>
                <w:szCs w:val="20"/>
              </w:rPr>
            </w:pPr>
            <w:r>
              <w:rPr>
                <w:rFonts w:cstheme="minorHAnsi"/>
                <w:sz w:val="20"/>
                <w:szCs w:val="20"/>
              </w:rPr>
              <w:t>-$</w:t>
            </w:r>
            <w:r w:rsidRPr="00E92DFE">
              <w:rPr>
                <w:rFonts w:cstheme="minorHAnsi"/>
                <w:sz w:val="20"/>
                <w:szCs w:val="20"/>
              </w:rPr>
              <w:t>315,000</w:t>
            </w:r>
            <w:r w:rsidRPr="00E86712">
              <w:rPr>
                <w:rFonts w:cstheme="minorHAnsi"/>
                <w:sz w:val="20"/>
                <w:szCs w:val="20"/>
              </w:rPr>
              <w:t xml:space="preserve"> (small entity)</w:t>
            </w:r>
          </w:p>
          <w:p w:rsidR="00E92DFE" w:rsidRPr="00340CED" w:rsidP="00E92DFE" w14:paraId="1BDF46BC" w14:textId="6CCCA6CB">
            <w:pPr>
              <w:jc w:val="center"/>
              <w:rPr>
                <w:rFonts w:cstheme="minorHAnsi"/>
                <w:color w:val="000000"/>
              </w:rPr>
            </w:pPr>
            <w:r>
              <w:rPr>
                <w:rFonts w:cstheme="minorHAnsi"/>
                <w:sz w:val="20"/>
                <w:szCs w:val="20"/>
              </w:rPr>
              <w:t>-</w:t>
            </w:r>
            <w:r w:rsidRPr="00E86712">
              <w:rPr>
                <w:rFonts w:cstheme="minorHAnsi"/>
                <w:sz w:val="20"/>
                <w:szCs w:val="20"/>
              </w:rPr>
              <w:t>$</w:t>
            </w:r>
            <w:r w:rsidRPr="00E92DFE">
              <w:rPr>
                <w:rFonts w:cstheme="minorHAnsi"/>
                <w:sz w:val="20"/>
                <w:szCs w:val="20"/>
              </w:rPr>
              <w:t>31,500</w:t>
            </w:r>
            <w:r>
              <w:rPr>
                <w:rFonts w:cstheme="minorHAnsi"/>
                <w:sz w:val="20"/>
                <w:szCs w:val="20"/>
              </w:rPr>
              <w:t xml:space="preserve"> </w:t>
            </w:r>
            <w:r w:rsidRPr="00E86712">
              <w:rPr>
                <w:rFonts w:cstheme="minorHAnsi"/>
                <w:sz w:val="20"/>
                <w:szCs w:val="20"/>
              </w:rPr>
              <w:t>(micro entity)</w:t>
            </w:r>
          </w:p>
        </w:tc>
      </w:tr>
      <w:tr w14:paraId="1BDF47DD" w14:textId="77777777" w:rsidTr="00FE2A12">
        <w:tblPrEx>
          <w:tblW w:w="11430" w:type="dxa"/>
          <w:tblInd w:w="-905" w:type="dxa"/>
          <w:tblLook w:val="04A0"/>
        </w:tblPrEx>
        <w:tc>
          <w:tcPr>
            <w:tcW w:w="540" w:type="dxa"/>
            <w:vAlign w:val="center"/>
          </w:tcPr>
          <w:p w:rsidR="00E92DFE" w:rsidRPr="00340CED" w:rsidP="00E92DFE" w14:paraId="1BDF47D8" w14:textId="77777777">
            <w:pPr>
              <w:pStyle w:val="NoSpacing"/>
              <w:jc w:val="center"/>
              <w:rPr>
                <w:rFonts w:cstheme="minorHAnsi"/>
                <w:b/>
              </w:rPr>
            </w:pPr>
          </w:p>
        </w:tc>
        <w:tc>
          <w:tcPr>
            <w:tcW w:w="2931" w:type="dxa"/>
            <w:vAlign w:val="center"/>
          </w:tcPr>
          <w:p w:rsidR="00E92DFE" w:rsidRPr="00340CED" w:rsidP="00E92DFE" w14:paraId="1BDF47D9" w14:textId="77777777">
            <w:pPr>
              <w:pStyle w:val="NoSpacing"/>
              <w:rPr>
                <w:rFonts w:cstheme="minorHAnsi"/>
                <w:b/>
              </w:rPr>
            </w:pPr>
            <w:r w:rsidRPr="00340CED">
              <w:rPr>
                <w:rFonts w:cstheme="minorHAnsi"/>
                <w:b/>
              </w:rPr>
              <w:t>Totals</w:t>
            </w:r>
          </w:p>
        </w:tc>
        <w:tc>
          <w:tcPr>
            <w:tcW w:w="2482" w:type="dxa"/>
            <w:vAlign w:val="center"/>
          </w:tcPr>
          <w:p w:rsidR="00E92DFE" w:rsidRPr="00340CED" w:rsidP="00E92DFE" w14:paraId="1BDF47DA" w14:textId="64384973">
            <w:pPr>
              <w:pStyle w:val="NoSpacing"/>
              <w:jc w:val="right"/>
              <w:rPr>
                <w:rFonts w:cstheme="minorHAnsi"/>
                <w:b/>
              </w:rPr>
            </w:pPr>
            <w:r w:rsidRPr="00340CED">
              <w:rPr>
                <w:rFonts w:cstheme="minorHAnsi"/>
                <w:b/>
              </w:rPr>
              <w:t>$</w:t>
            </w:r>
            <w:r w:rsidRPr="004E53B1">
              <w:rPr>
                <w:rFonts w:cstheme="minorHAnsi"/>
                <w:b/>
              </w:rPr>
              <w:t>1,732,500</w:t>
            </w:r>
          </w:p>
        </w:tc>
        <w:tc>
          <w:tcPr>
            <w:tcW w:w="2880" w:type="dxa"/>
            <w:vAlign w:val="center"/>
          </w:tcPr>
          <w:p w:rsidR="00E92DFE" w:rsidRPr="00340CED" w:rsidP="00E92DFE" w14:paraId="1BDF47DB" w14:textId="7BA6BC11">
            <w:pPr>
              <w:pStyle w:val="NoSpacing"/>
              <w:jc w:val="right"/>
              <w:rPr>
                <w:rFonts w:cstheme="minorHAnsi"/>
                <w:b/>
              </w:rPr>
            </w:pPr>
            <w:r w:rsidRPr="00340CED">
              <w:rPr>
                <w:rFonts w:cstheme="minorHAnsi"/>
                <w:b/>
              </w:rPr>
              <w:t>$</w:t>
            </w:r>
            <w:r w:rsidRPr="00F45C7E">
              <w:rPr>
                <w:rFonts w:cstheme="minorHAnsi"/>
                <w:b/>
              </w:rPr>
              <w:t>1,386,000</w:t>
            </w:r>
          </w:p>
        </w:tc>
        <w:tc>
          <w:tcPr>
            <w:tcW w:w="2597" w:type="dxa"/>
            <w:vAlign w:val="center"/>
          </w:tcPr>
          <w:p w:rsidR="00E92DFE" w:rsidRPr="00340CED" w:rsidP="00E92DFE" w14:paraId="1BDF47DC" w14:textId="23E3179A">
            <w:pPr>
              <w:pStyle w:val="NoSpacing"/>
              <w:jc w:val="right"/>
              <w:rPr>
                <w:rFonts w:cstheme="minorHAnsi"/>
                <w:b/>
              </w:rPr>
            </w:pPr>
            <w:r>
              <w:rPr>
                <w:rFonts w:cstheme="minorHAnsi"/>
                <w:b/>
              </w:rPr>
              <w:t>-</w:t>
            </w:r>
            <w:r w:rsidRPr="00340CED">
              <w:rPr>
                <w:rFonts w:cstheme="minorHAnsi"/>
                <w:b/>
              </w:rPr>
              <w:t>$</w:t>
            </w:r>
            <w:r w:rsidRPr="004E53B1">
              <w:rPr>
                <w:rFonts w:cstheme="minorHAnsi"/>
                <w:b/>
              </w:rPr>
              <w:t>346,500</w:t>
            </w:r>
          </w:p>
        </w:tc>
      </w:tr>
    </w:tbl>
    <w:p w:rsidR="00F21BA8" w:rsidRPr="00340CED" w:rsidP="00067D62" w14:paraId="1BDF47DE" w14:textId="77777777">
      <w:pPr>
        <w:pStyle w:val="NoSpacing"/>
        <w:jc w:val="both"/>
        <w:rPr>
          <w:rFonts w:cstheme="minorHAnsi"/>
        </w:rPr>
      </w:pPr>
    </w:p>
    <w:p w:rsidR="00486FC9" w:rsidRPr="00340CED" w:rsidP="00067D62" w14:paraId="1BDF47DF" w14:textId="77777777">
      <w:pPr>
        <w:pStyle w:val="NoSpacing"/>
        <w:jc w:val="both"/>
        <w:rPr>
          <w:rFonts w:cstheme="minorHAnsi"/>
        </w:rPr>
      </w:pPr>
      <w:r w:rsidRPr="00340CED">
        <w:rPr>
          <w:rFonts w:cstheme="minorHAnsi"/>
          <w:u w:val="single"/>
        </w:rPr>
        <w:t>Summary of Changes</w:t>
      </w:r>
    </w:p>
    <w:p w:rsidR="00486FC9" w:rsidRPr="00340CED" w:rsidP="00067D62" w14:paraId="1BDF47E0" w14:textId="77777777">
      <w:pPr>
        <w:pStyle w:val="NoSpacing"/>
        <w:jc w:val="both"/>
        <w:rPr>
          <w:rFonts w:cstheme="minorHAnsi"/>
        </w:rPr>
      </w:pPr>
    </w:p>
    <w:p w:rsidR="00486FC9" w:rsidRPr="00340CED" w:rsidP="00067D62" w14:paraId="1BDF47E1" w14:textId="41942AB6">
      <w:pPr>
        <w:pStyle w:val="NoSpacing"/>
        <w:jc w:val="both"/>
        <w:rPr>
          <w:rFonts w:cstheme="minorHAnsi"/>
        </w:rPr>
      </w:pPr>
      <w:r w:rsidRPr="00340CED">
        <w:rPr>
          <w:rFonts w:cstheme="minorHAnsi"/>
        </w:rPr>
        <w:t xml:space="preserve">The Patent Fee Reviews results in the revision of </w:t>
      </w:r>
      <w:r w:rsidR="0004233B">
        <w:rPr>
          <w:rFonts w:cstheme="minorHAnsi"/>
        </w:rPr>
        <w:t>two</w:t>
      </w:r>
      <w:r w:rsidRPr="00340CED">
        <w:rPr>
          <w:rFonts w:cstheme="minorHAnsi"/>
        </w:rPr>
        <w:t xml:space="preserve"> </w:t>
      </w:r>
      <w:r w:rsidR="00EA323B">
        <w:rPr>
          <w:rFonts w:cstheme="minorHAnsi"/>
        </w:rPr>
        <w:t>fees</w:t>
      </w:r>
      <w:r w:rsidRPr="00340CED">
        <w:rPr>
          <w:rFonts w:cstheme="minorHAnsi"/>
        </w:rPr>
        <w:t xml:space="preserve"> and a</w:t>
      </w:r>
      <w:r w:rsidR="008C4AAC">
        <w:rPr>
          <w:rFonts w:cstheme="minorHAnsi"/>
        </w:rPr>
        <w:t xml:space="preserve"> decrease </w:t>
      </w:r>
      <w:r w:rsidRPr="00340CED">
        <w:rPr>
          <w:rFonts w:cstheme="minorHAnsi"/>
        </w:rPr>
        <w:t>of $</w:t>
      </w:r>
      <w:r w:rsidRPr="008C4AAC" w:rsidR="008C4AAC">
        <w:rPr>
          <w:rFonts w:cstheme="minorHAnsi"/>
        </w:rPr>
        <w:t>346,500</w:t>
      </w:r>
      <w:r w:rsidRPr="00340CED">
        <w:rPr>
          <w:rFonts w:cstheme="minorHAnsi"/>
        </w:rPr>
        <w:t xml:space="preserve"> in annual (non-hourly) costs to collection 0651-00</w:t>
      </w:r>
      <w:r w:rsidR="00D052F0">
        <w:rPr>
          <w:rFonts w:cstheme="minorHAnsi"/>
        </w:rPr>
        <w:t>16</w:t>
      </w:r>
      <w:r w:rsidRPr="00340CED">
        <w:rPr>
          <w:rFonts w:cstheme="minorHAnsi"/>
        </w:rPr>
        <w:t>.</w:t>
      </w:r>
    </w:p>
    <w:p w:rsidR="00486FC9" w:rsidRPr="00340CED" w:rsidP="00067D62" w14:paraId="1BDF47E2" w14:textId="77777777">
      <w:pPr>
        <w:pStyle w:val="NoSpacing"/>
        <w:jc w:val="both"/>
        <w:rPr>
          <w:rFonts w:cstheme="minorHAnsi"/>
        </w:rPr>
      </w:pPr>
    </w:p>
    <w:p w:rsidR="00486FC9" w:rsidRPr="00340CED" w:rsidP="00067D62" w14:paraId="1BDF47E3" w14:textId="77777777">
      <w:pPr>
        <w:pStyle w:val="NoSpacing"/>
        <w:jc w:val="both"/>
        <w:rPr>
          <w:rFonts w:cstheme="minorHAnsi"/>
        </w:rPr>
      </w:pPr>
      <w:r w:rsidRPr="00340CED">
        <w:rPr>
          <w:rFonts w:cstheme="minorHAnsi"/>
          <w:u w:val="single"/>
        </w:rPr>
        <w:t>Changes in Burden</w:t>
      </w:r>
    </w:p>
    <w:p w:rsidR="00486FC9" w:rsidRPr="00340CED" w:rsidP="00067D62" w14:paraId="1BDF47E4"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1BDF47E9" w14:textId="77777777" w:rsidTr="008B6905">
        <w:tblPrEx>
          <w:tblW w:w="0" w:type="auto"/>
          <w:tblLook w:val="04A0"/>
        </w:tblPrEx>
        <w:tc>
          <w:tcPr>
            <w:tcW w:w="2425" w:type="dxa"/>
            <w:shd w:val="clear" w:color="auto" w:fill="BDD6EE" w:themeFill="accent1" w:themeFillTint="66"/>
            <w:vAlign w:val="center"/>
          </w:tcPr>
          <w:p w:rsidR="00486FC9" w:rsidRPr="00340CED" w:rsidP="00486FC9" w14:paraId="1BDF47E5" w14:textId="77777777">
            <w:pPr>
              <w:pStyle w:val="NoSpacing"/>
              <w:jc w:val="center"/>
              <w:rPr>
                <w:rFonts w:cstheme="minorHAnsi"/>
                <w:b/>
              </w:rPr>
            </w:pPr>
            <w:r w:rsidRPr="00340CED">
              <w:rPr>
                <w:rFonts w:cstheme="minorHAnsi"/>
                <w:b/>
              </w:rPr>
              <w:t>Burden Type</w:t>
            </w:r>
          </w:p>
        </w:tc>
        <w:tc>
          <w:tcPr>
            <w:tcW w:w="2249" w:type="dxa"/>
            <w:shd w:val="clear" w:color="auto" w:fill="BDD6EE" w:themeFill="accent1" w:themeFillTint="66"/>
            <w:vAlign w:val="center"/>
          </w:tcPr>
          <w:p w:rsidR="00486FC9" w:rsidRPr="00340CED" w:rsidP="00486FC9" w14:paraId="1BDF47E6" w14:textId="04C32A11">
            <w:pPr>
              <w:pStyle w:val="NoSpacing"/>
              <w:jc w:val="center"/>
              <w:rPr>
                <w:rFonts w:cstheme="minorHAnsi"/>
                <w:b/>
              </w:rPr>
            </w:pPr>
            <w:r w:rsidRPr="00340CED">
              <w:rPr>
                <w:rFonts w:cstheme="minorHAnsi"/>
                <w:b/>
              </w:rPr>
              <w:t>Currently Approved</w:t>
            </w:r>
          </w:p>
        </w:tc>
        <w:tc>
          <w:tcPr>
            <w:tcW w:w="2338" w:type="dxa"/>
            <w:shd w:val="clear" w:color="auto" w:fill="BDD6EE" w:themeFill="accent1" w:themeFillTint="66"/>
            <w:vAlign w:val="center"/>
          </w:tcPr>
          <w:p w:rsidR="00486FC9" w:rsidRPr="00340CED" w:rsidP="00486FC9" w14:paraId="1BDF47E7" w14:textId="55F14DBE">
            <w:pPr>
              <w:pStyle w:val="NoSpacing"/>
              <w:jc w:val="center"/>
              <w:rPr>
                <w:rFonts w:cstheme="minorHAnsi"/>
                <w:b/>
              </w:rPr>
            </w:pPr>
            <w:r w:rsidRPr="00340CED">
              <w:rPr>
                <w:rFonts w:cstheme="minorHAnsi"/>
                <w:b/>
              </w:rPr>
              <w:t>Proposed Change</w:t>
            </w:r>
          </w:p>
        </w:tc>
        <w:tc>
          <w:tcPr>
            <w:tcW w:w="2338" w:type="dxa"/>
            <w:shd w:val="clear" w:color="auto" w:fill="BDD6EE" w:themeFill="accent1" w:themeFillTint="66"/>
            <w:vAlign w:val="center"/>
          </w:tcPr>
          <w:p w:rsidR="00486FC9" w:rsidRPr="00340CED" w:rsidP="00486FC9" w14:paraId="1BDF47E8" w14:textId="2E327464">
            <w:pPr>
              <w:pStyle w:val="NoSpacing"/>
              <w:jc w:val="center"/>
              <w:rPr>
                <w:rFonts w:cstheme="minorHAnsi"/>
                <w:b/>
              </w:rPr>
            </w:pPr>
            <w:r w:rsidRPr="00340CED">
              <w:rPr>
                <w:rFonts w:cstheme="minorHAnsi"/>
                <w:b/>
              </w:rPr>
              <w:t>New Estimate</w:t>
            </w:r>
          </w:p>
        </w:tc>
      </w:tr>
      <w:tr w14:paraId="1BDF47EE" w14:textId="77777777" w:rsidTr="00C7456A">
        <w:tblPrEx>
          <w:tblW w:w="0" w:type="auto"/>
          <w:tblLook w:val="04A0"/>
        </w:tblPrEx>
        <w:tc>
          <w:tcPr>
            <w:tcW w:w="2425" w:type="dxa"/>
            <w:vAlign w:val="center"/>
          </w:tcPr>
          <w:p w:rsidR="00486FC9" w:rsidRPr="00340CED" w:rsidP="00486FC9" w14:paraId="1BDF47EA" w14:textId="77777777">
            <w:pPr>
              <w:pStyle w:val="NoSpacing"/>
              <w:rPr>
                <w:rFonts w:cstheme="minorHAnsi"/>
              </w:rPr>
            </w:pPr>
            <w:r w:rsidRPr="00340CED">
              <w:rPr>
                <w:rFonts w:cstheme="minorHAnsi"/>
              </w:rPr>
              <w:t>Non-hourly Cost Burden</w:t>
            </w:r>
          </w:p>
        </w:tc>
        <w:tc>
          <w:tcPr>
            <w:tcW w:w="2249" w:type="dxa"/>
            <w:vAlign w:val="center"/>
          </w:tcPr>
          <w:p w:rsidR="00486FC9" w:rsidRPr="00340CED" w:rsidP="00486FC9" w14:paraId="1BDF47EB" w14:textId="5D463D94">
            <w:pPr>
              <w:pStyle w:val="NoSpacing"/>
              <w:jc w:val="right"/>
              <w:rPr>
                <w:rFonts w:cstheme="minorHAnsi"/>
              </w:rPr>
            </w:pPr>
            <w:r w:rsidRPr="00340CED">
              <w:rPr>
                <w:rFonts w:cstheme="minorHAnsi"/>
              </w:rPr>
              <w:t>$</w:t>
            </w:r>
            <w:r w:rsidRPr="0004233B" w:rsidR="0004233B">
              <w:rPr>
                <w:rFonts w:cstheme="minorHAnsi"/>
              </w:rPr>
              <w:t>3,098,564</w:t>
            </w:r>
          </w:p>
        </w:tc>
        <w:tc>
          <w:tcPr>
            <w:tcW w:w="2338" w:type="dxa"/>
            <w:vAlign w:val="center"/>
          </w:tcPr>
          <w:p w:rsidR="00486FC9" w:rsidRPr="00340CED" w:rsidP="00486FC9" w14:paraId="1BDF47EC" w14:textId="355D4469">
            <w:pPr>
              <w:pStyle w:val="NoSpacing"/>
              <w:jc w:val="right"/>
              <w:rPr>
                <w:rFonts w:cstheme="minorHAnsi"/>
              </w:rPr>
            </w:pPr>
            <w:r>
              <w:rPr>
                <w:rFonts w:cstheme="minorHAnsi"/>
              </w:rPr>
              <w:t>-</w:t>
            </w:r>
            <w:r w:rsidRPr="00340CED" w:rsidR="00C7456A">
              <w:rPr>
                <w:rFonts w:cstheme="minorHAnsi"/>
              </w:rPr>
              <w:t>$</w:t>
            </w:r>
            <w:r w:rsidRPr="008C4AAC">
              <w:rPr>
                <w:rFonts w:cstheme="minorHAnsi"/>
              </w:rPr>
              <w:t>346,500</w:t>
            </w:r>
          </w:p>
        </w:tc>
        <w:tc>
          <w:tcPr>
            <w:tcW w:w="2338" w:type="dxa"/>
            <w:vAlign w:val="center"/>
          </w:tcPr>
          <w:p w:rsidR="00486FC9" w:rsidRPr="00340CED" w:rsidP="00486FC9" w14:paraId="1BDF47ED" w14:textId="49868F00">
            <w:pPr>
              <w:pStyle w:val="NoSpacing"/>
              <w:jc w:val="right"/>
              <w:rPr>
                <w:rFonts w:cstheme="minorHAnsi"/>
              </w:rPr>
            </w:pPr>
            <w:r w:rsidRPr="00340CED">
              <w:rPr>
                <w:rFonts w:cstheme="minorHAnsi"/>
              </w:rPr>
              <w:t>$</w:t>
            </w:r>
            <w:r w:rsidRPr="00817EE9" w:rsidR="00817EE9">
              <w:rPr>
                <w:rFonts w:cstheme="minorHAnsi"/>
              </w:rPr>
              <w:t>2,752,064</w:t>
            </w:r>
          </w:p>
        </w:tc>
      </w:tr>
    </w:tbl>
    <w:p w:rsidR="00486FC9" w:rsidRPr="00340CED" w:rsidP="00067D62" w14:paraId="1BDF47EF" w14:textId="77777777">
      <w:pPr>
        <w:pStyle w:val="NoSpacing"/>
        <w:jc w:val="both"/>
        <w:rPr>
          <w:rFonts w:cstheme="minorHAnsi"/>
        </w:rPr>
      </w:pPr>
    </w:p>
    <w:p w:rsidR="00486FC9" w:rsidRPr="00340CED" w:rsidP="00067D62" w14:paraId="1BDF47F0" w14:textId="4950DC72">
      <w:pPr>
        <w:pStyle w:val="NoSpacing"/>
        <w:jc w:val="both"/>
        <w:rPr>
          <w:rFonts w:cstheme="minorHAnsi"/>
        </w:rPr>
      </w:pPr>
      <w:r w:rsidRPr="00340CED">
        <w:rPr>
          <w:rFonts w:cstheme="minorHAnsi"/>
        </w:rPr>
        <w:t>0651-00</w:t>
      </w:r>
      <w:r w:rsidR="00D052F0">
        <w:rPr>
          <w:rFonts w:cstheme="minorHAnsi"/>
        </w:rPr>
        <w:t>16</w:t>
      </w:r>
      <w:r w:rsidRPr="00340CED">
        <w:rPr>
          <w:rFonts w:cstheme="minorHAnsi"/>
        </w:rPr>
        <w:t>’s revised burden is as follows:</w:t>
      </w:r>
    </w:p>
    <w:p w:rsidR="00486FC9" w:rsidRPr="00340CED" w:rsidP="00067D62" w14:paraId="1BDF47F1" w14:textId="77777777">
      <w:pPr>
        <w:pStyle w:val="NoSpacing"/>
        <w:jc w:val="both"/>
        <w:rPr>
          <w:rFonts w:cstheme="minorHAnsi"/>
        </w:rPr>
      </w:pPr>
    </w:p>
    <w:p w:rsidR="00D254B1" w:rsidP="00486FC9" w14:paraId="67B0D289" w14:textId="5EE19EEA">
      <w:pPr>
        <w:pStyle w:val="NoSpacing"/>
        <w:numPr>
          <w:ilvl w:val="0"/>
          <w:numId w:val="1"/>
        </w:numPr>
        <w:jc w:val="both"/>
        <w:rPr>
          <w:rFonts w:cstheme="minorHAnsi"/>
        </w:rPr>
      </w:pPr>
      <w:r>
        <w:rPr>
          <w:rFonts w:cstheme="minorHAnsi"/>
        </w:rPr>
        <w:t>44,542 in annual responses</w:t>
      </w:r>
      <w:r w:rsidR="008436AD">
        <w:rPr>
          <w:rFonts w:cstheme="minorHAnsi"/>
        </w:rPr>
        <w:t xml:space="preserve"> (unchanged)</w:t>
      </w:r>
    </w:p>
    <w:p w:rsidR="00D254B1" w:rsidP="00486FC9" w14:paraId="4BCC95B0" w14:textId="2F7BE288">
      <w:pPr>
        <w:pStyle w:val="NoSpacing"/>
        <w:numPr>
          <w:ilvl w:val="0"/>
          <w:numId w:val="1"/>
        </w:numPr>
        <w:jc w:val="both"/>
        <w:rPr>
          <w:rFonts w:cstheme="minorHAnsi"/>
        </w:rPr>
      </w:pPr>
      <w:r>
        <w:rPr>
          <w:rFonts w:cstheme="minorHAnsi"/>
        </w:rPr>
        <w:t>6,864 in annual hourly burden</w:t>
      </w:r>
      <w:r w:rsidR="008436AD">
        <w:rPr>
          <w:rFonts w:cstheme="minorHAnsi"/>
        </w:rPr>
        <w:t xml:space="preserve"> (unchanged)</w:t>
      </w:r>
      <w:bookmarkStart w:id="0" w:name="_GoBack"/>
      <w:bookmarkEnd w:id="0"/>
    </w:p>
    <w:p w:rsidR="00486FC9" w:rsidRPr="00340CED" w:rsidP="00486FC9" w14:paraId="1BDF47F2" w14:textId="40064688">
      <w:pPr>
        <w:pStyle w:val="NoSpacing"/>
        <w:numPr>
          <w:ilvl w:val="0"/>
          <w:numId w:val="1"/>
        </w:numPr>
        <w:jc w:val="both"/>
        <w:rPr>
          <w:rFonts w:cstheme="minorHAnsi"/>
        </w:rPr>
      </w:pPr>
      <w:r w:rsidRPr="00340CED">
        <w:rPr>
          <w:rFonts w:cstheme="minorHAnsi"/>
        </w:rPr>
        <w:t>$</w:t>
      </w:r>
      <w:r w:rsidRPr="00817EE9" w:rsidR="008D2677">
        <w:rPr>
          <w:rFonts w:cstheme="minorHAnsi"/>
        </w:rPr>
        <w:t>2,752,064</w:t>
      </w:r>
      <w:r w:rsidR="008D2677">
        <w:rPr>
          <w:rFonts w:cstheme="minorHAnsi"/>
        </w:rPr>
        <w:t xml:space="preserve"> </w:t>
      </w:r>
      <w:r w:rsidRPr="00340CED">
        <w:rPr>
          <w:rFonts w:cstheme="minorHAnsi"/>
        </w:rPr>
        <w:t>in annual (non-hourly) costs</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B37B8"/>
    <w:multiLevelType w:val="hybridMultilevel"/>
    <w:tmpl w:val="49386FF0"/>
    <w:lvl w:ilvl="0">
      <w:start w:val="246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99130ED"/>
    <w:multiLevelType w:val="hybridMultilevel"/>
    <w:tmpl w:val="4CF49F8C"/>
    <w:lvl w:ilvl="0">
      <w:start w:val="79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62"/>
    <w:rsid w:val="000259D2"/>
    <w:rsid w:val="000408F0"/>
    <w:rsid w:val="0004233B"/>
    <w:rsid w:val="00054E97"/>
    <w:rsid w:val="00067D62"/>
    <w:rsid w:val="00076AA3"/>
    <w:rsid w:val="000A2064"/>
    <w:rsid w:val="00100C3B"/>
    <w:rsid w:val="00106CC6"/>
    <w:rsid w:val="001233C1"/>
    <w:rsid w:val="00147D45"/>
    <w:rsid w:val="00152DE5"/>
    <w:rsid w:val="00161D44"/>
    <w:rsid w:val="001637A4"/>
    <w:rsid w:val="0017765F"/>
    <w:rsid w:val="00215087"/>
    <w:rsid w:val="00225BD8"/>
    <w:rsid w:val="00237481"/>
    <w:rsid w:val="002415D8"/>
    <w:rsid w:val="00251AD3"/>
    <w:rsid w:val="00256D17"/>
    <w:rsid w:val="002740BE"/>
    <w:rsid w:val="0027723F"/>
    <w:rsid w:val="00285E50"/>
    <w:rsid w:val="00291BF0"/>
    <w:rsid w:val="002D2FF2"/>
    <w:rsid w:val="002D302E"/>
    <w:rsid w:val="002D5278"/>
    <w:rsid w:val="00340CED"/>
    <w:rsid w:val="00346A25"/>
    <w:rsid w:val="003950EC"/>
    <w:rsid w:val="003A5D8C"/>
    <w:rsid w:val="0040704C"/>
    <w:rsid w:val="004158A1"/>
    <w:rsid w:val="00433BD0"/>
    <w:rsid w:val="00453B6C"/>
    <w:rsid w:val="00454AB9"/>
    <w:rsid w:val="00460FEE"/>
    <w:rsid w:val="00464478"/>
    <w:rsid w:val="00486FC9"/>
    <w:rsid w:val="004A5928"/>
    <w:rsid w:val="004E53B1"/>
    <w:rsid w:val="00545289"/>
    <w:rsid w:val="005461B5"/>
    <w:rsid w:val="00555372"/>
    <w:rsid w:val="00556D8F"/>
    <w:rsid w:val="00587262"/>
    <w:rsid w:val="005E7B04"/>
    <w:rsid w:val="005F6B75"/>
    <w:rsid w:val="00611645"/>
    <w:rsid w:val="006351D1"/>
    <w:rsid w:val="0064254E"/>
    <w:rsid w:val="00643DD7"/>
    <w:rsid w:val="006677A3"/>
    <w:rsid w:val="006A4DD1"/>
    <w:rsid w:val="00747C87"/>
    <w:rsid w:val="00773D73"/>
    <w:rsid w:val="007E4694"/>
    <w:rsid w:val="008001F7"/>
    <w:rsid w:val="00814460"/>
    <w:rsid w:val="00817EE9"/>
    <w:rsid w:val="008263BA"/>
    <w:rsid w:val="0083348B"/>
    <w:rsid w:val="00833BED"/>
    <w:rsid w:val="008436AD"/>
    <w:rsid w:val="00895B65"/>
    <w:rsid w:val="008A6999"/>
    <w:rsid w:val="008B6905"/>
    <w:rsid w:val="008C4AAC"/>
    <w:rsid w:val="008C76FD"/>
    <w:rsid w:val="008D2677"/>
    <w:rsid w:val="0091356C"/>
    <w:rsid w:val="00916C85"/>
    <w:rsid w:val="00947C8F"/>
    <w:rsid w:val="009673BE"/>
    <w:rsid w:val="009A5F3B"/>
    <w:rsid w:val="009B0845"/>
    <w:rsid w:val="009E5993"/>
    <w:rsid w:val="009F0C4F"/>
    <w:rsid w:val="00A0648E"/>
    <w:rsid w:val="00A1093A"/>
    <w:rsid w:val="00A34A77"/>
    <w:rsid w:val="00A673D4"/>
    <w:rsid w:val="00A84722"/>
    <w:rsid w:val="00AB0621"/>
    <w:rsid w:val="00AB6EB1"/>
    <w:rsid w:val="00AF3A1E"/>
    <w:rsid w:val="00B2315A"/>
    <w:rsid w:val="00B643A0"/>
    <w:rsid w:val="00B76B99"/>
    <w:rsid w:val="00B8034D"/>
    <w:rsid w:val="00B95965"/>
    <w:rsid w:val="00BA2EA1"/>
    <w:rsid w:val="00BC1D1C"/>
    <w:rsid w:val="00BD10A3"/>
    <w:rsid w:val="00C708A7"/>
    <w:rsid w:val="00C7456A"/>
    <w:rsid w:val="00C76379"/>
    <w:rsid w:val="00CA555B"/>
    <w:rsid w:val="00D052F0"/>
    <w:rsid w:val="00D15DD9"/>
    <w:rsid w:val="00D23EA7"/>
    <w:rsid w:val="00D254B1"/>
    <w:rsid w:val="00DA77EF"/>
    <w:rsid w:val="00DF704C"/>
    <w:rsid w:val="00E14014"/>
    <w:rsid w:val="00E64D33"/>
    <w:rsid w:val="00E86712"/>
    <w:rsid w:val="00E92DFE"/>
    <w:rsid w:val="00E9716D"/>
    <w:rsid w:val="00EA323B"/>
    <w:rsid w:val="00EB256E"/>
    <w:rsid w:val="00EC24C0"/>
    <w:rsid w:val="00F008B4"/>
    <w:rsid w:val="00F0504F"/>
    <w:rsid w:val="00F21BA8"/>
    <w:rsid w:val="00F23418"/>
    <w:rsid w:val="00F24196"/>
    <w:rsid w:val="00F45C7E"/>
    <w:rsid w:val="00F5352B"/>
    <w:rsid w:val="00FE2A12"/>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EFE2D994-5C9A-4777-BE76-27BF74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character" w:styleId="Emphasis">
    <w:name w:val="Emphasis"/>
    <w:basedOn w:val="DefaultParagraphFont"/>
    <w:uiPriority w:val="20"/>
    <w:qFormat/>
    <w:rsid w:val="009B0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14</cp:revision>
  <cp:lastPrinted>2019-09-30T20:33:00Z</cp:lastPrinted>
  <dcterms:created xsi:type="dcterms:W3CDTF">2023-02-10T13:06:00Z</dcterms:created>
  <dcterms:modified xsi:type="dcterms:W3CDTF">2023-03-01T19:43:00Z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