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6EDA" w:rsidRPr="00B75D93" w:rsidP="00636EDA" w14:paraId="79D4A065" w14:textId="77777777">
      <w:pPr>
        <w:widowControl/>
        <w:jc w:val="center"/>
        <w:rPr>
          <w:rFonts w:ascii="Arial" w:hAnsi="Arial" w:cs="Arial"/>
          <w:b/>
          <w:bCs/>
        </w:rPr>
      </w:pPr>
      <w:r w:rsidRPr="00B75D93">
        <w:rPr>
          <w:rFonts w:ascii="Arial" w:hAnsi="Arial" w:cs="Arial"/>
          <w:b/>
          <w:bCs/>
        </w:rPr>
        <w:t>SUPPORTING STATEMENT</w:t>
      </w:r>
    </w:p>
    <w:p w:rsidR="00636EDA" w:rsidRPr="00B75D93" w:rsidP="00636EDA" w14:paraId="79D4A066" w14:textId="77777777">
      <w:pPr>
        <w:widowControl/>
        <w:jc w:val="center"/>
        <w:rPr>
          <w:rFonts w:ascii="Arial" w:hAnsi="Arial" w:cs="Arial"/>
          <w:b/>
          <w:bCs/>
        </w:rPr>
      </w:pPr>
      <w:smartTag w:uri="urn:schemas-microsoft-com:office:smarttags" w:element="place">
        <w:smartTag w:uri="urn:schemas-microsoft-com:office:smarttags" w:element="country-region">
          <w:r w:rsidRPr="00B75D93">
            <w:rPr>
              <w:rFonts w:ascii="Arial" w:hAnsi="Arial" w:cs="Arial"/>
              <w:b/>
              <w:bCs/>
            </w:rPr>
            <w:t>United States</w:t>
          </w:r>
        </w:smartTag>
      </w:smartTag>
      <w:r w:rsidRPr="00B75D93">
        <w:rPr>
          <w:rFonts w:ascii="Arial" w:hAnsi="Arial" w:cs="Arial"/>
          <w:b/>
          <w:bCs/>
        </w:rPr>
        <w:t xml:space="preserve"> Patent and Trademark Office</w:t>
      </w:r>
    </w:p>
    <w:p w:rsidR="00636EDA" w:rsidRPr="00B75D93" w:rsidP="00636EDA" w14:paraId="79D4A067" w14:textId="13C17E5B">
      <w:pPr>
        <w:widowControl/>
        <w:jc w:val="center"/>
        <w:rPr>
          <w:rFonts w:ascii="Arial" w:hAnsi="Arial" w:cs="Arial"/>
        </w:rPr>
      </w:pPr>
      <w:r>
        <w:rPr>
          <w:rFonts w:ascii="Arial" w:hAnsi="Arial" w:cs="Arial"/>
          <w:b/>
          <w:bCs/>
        </w:rPr>
        <w:t>(</w:t>
      </w:r>
      <w:r w:rsidRPr="005A0F32" w:rsidR="005A0F32">
        <w:rPr>
          <w:rFonts w:ascii="Arial" w:hAnsi="Arial" w:cs="Arial"/>
          <w:b/>
          <w:bCs/>
        </w:rPr>
        <w:t>Requirements for Patent Applications Containing Nucleotide Sequence and/or Amino Acid Sequence Disclosures</w:t>
      </w:r>
      <w:r>
        <w:rPr>
          <w:rFonts w:ascii="Arial" w:hAnsi="Arial" w:cs="Arial"/>
          <w:b/>
          <w:bCs/>
        </w:rPr>
        <w:t>)</w:t>
      </w:r>
    </w:p>
    <w:p w:rsidR="00636EDA" w:rsidP="00636EDA" w14:paraId="79D4A068" w14:textId="01192262">
      <w:pPr>
        <w:widowControl/>
        <w:jc w:val="center"/>
        <w:rPr>
          <w:rFonts w:ascii="Arial" w:hAnsi="Arial" w:cs="Arial"/>
          <w:b/>
          <w:bCs/>
        </w:rPr>
      </w:pPr>
      <w:r w:rsidRPr="00B75D93">
        <w:rPr>
          <w:rFonts w:ascii="Arial" w:hAnsi="Arial" w:cs="Arial"/>
          <w:b/>
          <w:bCs/>
        </w:rPr>
        <w:t>OMB CONTROL NUMBER 0651-00</w:t>
      </w:r>
      <w:r w:rsidR="005A0F32">
        <w:rPr>
          <w:rFonts w:ascii="Arial" w:hAnsi="Arial" w:cs="Arial"/>
          <w:b/>
          <w:bCs/>
        </w:rPr>
        <w:t>24</w:t>
      </w:r>
    </w:p>
    <w:p w:rsidR="00636EDA" w:rsidRPr="00431AC1" w:rsidP="00636EDA" w14:paraId="79D4A069" w14:textId="1CD7BEC4">
      <w:pPr>
        <w:widowControl/>
        <w:jc w:val="center"/>
        <w:rPr>
          <w:rFonts w:ascii="Arial" w:hAnsi="Arial" w:cs="Arial"/>
          <w:b/>
          <w:bCs/>
          <w:color w:val="FF0000"/>
        </w:rPr>
      </w:pPr>
      <w:r>
        <w:rPr>
          <w:rFonts w:ascii="Arial" w:hAnsi="Arial" w:cs="Arial"/>
          <w:b/>
          <w:bCs/>
        </w:rPr>
        <w:t xml:space="preserve"> 2022</w:t>
      </w:r>
    </w:p>
    <w:p w:rsidR="00636EDA" w:rsidRPr="00476F66" w:rsidP="00636EDA" w14:paraId="79D4A06A" w14:textId="77777777">
      <w:pPr>
        <w:widowControl/>
        <w:ind w:firstLine="1440"/>
        <w:rPr>
          <w:rFonts w:ascii="Arial" w:hAnsi="Arial" w:cs="Arial"/>
          <w:color w:val="0000FF"/>
        </w:rPr>
      </w:pPr>
    </w:p>
    <w:p w:rsidR="00636EDA" w:rsidRPr="00476F66" w:rsidP="00636EDA" w14:paraId="79D4A06B" w14:textId="77777777">
      <w:pPr>
        <w:widowControl/>
        <w:rPr>
          <w:rFonts w:ascii="Arial" w:hAnsi="Arial" w:cs="Arial"/>
          <w:color w:val="0000FF"/>
        </w:rPr>
      </w:pPr>
    </w:p>
    <w:p w:rsidR="00636EDA" w:rsidRPr="00476F66" w:rsidP="00636EDA" w14:paraId="79D4A06C" w14:textId="77777777">
      <w:pPr>
        <w:widowControl/>
        <w:jc w:val="both"/>
        <w:rPr>
          <w:rFonts w:ascii="Arial" w:hAnsi="Arial" w:cs="Arial"/>
        </w:rPr>
      </w:pPr>
      <w:r w:rsidRPr="00476F66">
        <w:rPr>
          <w:rFonts w:ascii="Arial" w:hAnsi="Arial" w:cs="Arial"/>
          <w:b/>
          <w:bCs/>
        </w:rPr>
        <w:t>A.</w:t>
      </w:r>
      <w:r w:rsidRPr="00476F66">
        <w:rPr>
          <w:rFonts w:ascii="Arial" w:hAnsi="Arial" w:cs="Arial"/>
          <w:b/>
          <w:bCs/>
        </w:rPr>
        <w:tab/>
        <w:t>JUSTIFICATION</w:t>
      </w:r>
    </w:p>
    <w:p w:rsidR="00636EDA" w:rsidRPr="00476F66" w:rsidP="00636EDA" w14:paraId="79D4A06D" w14:textId="77777777">
      <w:pPr>
        <w:widowControl/>
        <w:jc w:val="both"/>
        <w:rPr>
          <w:rFonts w:ascii="Arial" w:hAnsi="Arial" w:cs="Arial"/>
        </w:rPr>
      </w:pPr>
    </w:p>
    <w:p w:rsidR="00567B74" w:rsidRPr="00004988" w:rsidP="00EE404D" w14:paraId="3C6E5BB5" w14:textId="63222F45">
      <w:pPr>
        <w:pStyle w:val="ListParagraph"/>
        <w:widowControl/>
        <w:numPr>
          <w:ilvl w:val="0"/>
          <w:numId w:val="13"/>
        </w:numPr>
        <w:ind w:hanging="450"/>
        <w:jc w:val="both"/>
        <w:rPr>
          <w:rFonts w:ascii="Arial" w:hAnsi="Arial" w:cs="Arial"/>
          <w:b/>
        </w:rPr>
      </w:pPr>
      <w:r w:rsidRPr="00004988">
        <w:rPr>
          <w:rFonts w:ascii="Arial" w:hAnsi="Arial" w:cs="Arial"/>
          <w:b/>
        </w:rPr>
        <w:t>Explain the circumstances that make the collection of information necessary. Identify any</w:t>
      </w:r>
      <w:bookmarkStart w:id="0" w:name="_GoBack"/>
      <w:bookmarkEnd w:id="0"/>
      <w:r w:rsidRPr="00004988">
        <w:rPr>
          <w:rFonts w:ascii="Arial" w:hAnsi="Arial" w:cs="Arial"/>
          <w:b/>
        </w:rPr>
        <w:t xml:space="preserve"> legal or administrative requirements that necessitate the collection. Attach a copy of the appropriate section of each statute and regulation mandating or authorizing the collection of information.</w:t>
      </w:r>
    </w:p>
    <w:p w:rsidR="00567B74" w:rsidP="00636EDA" w14:paraId="4E9C2F03" w14:textId="77777777">
      <w:pPr>
        <w:widowControl/>
        <w:jc w:val="both"/>
        <w:rPr>
          <w:rFonts w:ascii="Arial" w:hAnsi="Arial" w:cs="Arial"/>
        </w:rPr>
      </w:pPr>
    </w:p>
    <w:p w:rsidR="00AD165A" w:rsidRPr="00B0428B" w:rsidP="00AD165A" w14:paraId="608F3E0C" w14:textId="41529177">
      <w:pPr>
        <w:widowControl/>
        <w:jc w:val="both"/>
        <w:rPr>
          <w:rFonts w:ascii="Arial" w:hAnsi="Arial" w:cs="Arial"/>
        </w:rPr>
      </w:pPr>
      <w:r w:rsidRPr="00B0428B">
        <w:rPr>
          <w:rFonts w:ascii="Arial" w:hAnsi="Arial" w:cs="Arial"/>
        </w:rPr>
        <w:t xml:space="preserve">Patent applications that contain nucleotide and/or amino acid sequence disclosures </w:t>
      </w:r>
      <w:r w:rsidR="00ED4F7D">
        <w:rPr>
          <w:rFonts w:ascii="Arial" w:hAnsi="Arial" w:cs="Arial"/>
        </w:rPr>
        <w:t>falling</w:t>
      </w:r>
      <w:r>
        <w:rPr>
          <w:rFonts w:ascii="Arial" w:hAnsi="Arial" w:cs="Arial"/>
        </w:rPr>
        <w:t xml:space="preserve"> within the definitions of 37 CFR 1.821(a) </w:t>
      </w:r>
      <w:r w:rsidR="00ED4F7D">
        <w:rPr>
          <w:rFonts w:ascii="Arial" w:hAnsi="Arial" w:cs="Arial"/>
        </w:rPr>
        <w:t>(for applications filed on or before June 30, 2022) or 37 CFR 1.</w:t>
      </w:r>
      <w:r w:rsidR="009171F1">
        <w:rPr>
          <w:rFonts w:ascii="Arial" w:hAnsi="Arial" w:cs="Arial"/>
        </w:rPr>
        <w:t xml:space="preserve">831 (for applications filed on or after July 1, 2022) </w:t>
      </w:r>
      <w:r w:rsidRPr="00B0428B">
        <w:rPr>
          <w:rFonts w:ascii="Arial" w:hAnsi="Arial" w:cs="Arial"/>
        </w:rPr>
        <w:t>must include</w:t>
      </w:r>
      <w:r>
        <w:rPr>
          <w:rFonts w:ascii="Arial" w:hAnsi="Arial" w:cs="Arial"/>
        </w:rPr>
        <w:t>, as a separate part of the application disclosure,</w:t>
      </w:r>
      <w:r w:rsidRPr="00B0428B">
        <w:rPr>
          <w:rFonts w:ascii="Arial" w:hAnsi="Arial" w:cs="Arial"/>
        </w:rPr>
        <w:t xml:space="preserve"> a copy of the sequence listing in accordance with the requ</w:t>
      </w:r>
      <w:r>
        <w:rPr>
          <w:rFonts w:ascii="Arial" w:hAnsi="Arial" w:cs="Arial"/>
        </w:rPr>
        <w:t>irements in 37 CFR 1.821-1.825</w:t>
      </w:r>
      <w:r w:rsidR="009171F1">
        <w:rPr>
          <w:rFonts w:ascii="Arial" w:hAnsi="Arial" w:cs="Arial"/>
        </w:rPr>
        <w:t xml:space="preserve"> or 37 CFR 1.831-1.835, respectively</w:t>
      </w:r>
      <w:r>
        <w:rPr>
          <w:rFonts w:ascii="Arial" w:hAnsi="Arial" w:cs="Arial"/>
        </w:rPr>
        <w:t>.</w:t>
      </w:r>
      <w:r w:rsidRPr="00B0428B">
        <w:rPr>
          <w:rFonts w:ascii="Arial" w:hAnsi="Arial" w:cs="Arial"/>
        </w:rPr>
        <w:t xml:space="preserve"> Applicants may submit sequence listings for both U.S. and int</w:t>
      </w:r>
      <w:r>
        <w:rPr>
          <w:rFonts w:ascii="Arial" w:hAnsi="Arial" w:cs="Arial"/>
        </w:rPr>
        <w:t>ernational patent applications.</w:t>
      </w:r>
      <w:r w:rsidRPr="00B0428B">
        <w:rPr>
          <w:rFonts w:ascii="Arial" w:hAnsi="Arial" w:cs="Arial"/>
        </w:rPr>
        <w:t xml:space="preserve"> Submissions of sequence listings in international applications are </w:t>
      </w:r>
      <w:r w:rsidR="00A96106">
        <w:rPr>
          <w:rFonts w:ascii="Arial" w:hAnsi="Arial" w:cs="Arial"/>
        </w:rPr>
        <w:t>governed by</w:t>
      </w:r>
      <w:r w:rsidRPr="00B0428B">
        <w:rPr>
          <w:rFonts w:ascii="Arial" w:hAnsi="Arial" w:cs="Arial"/>
        </w:rPr>
        <w:t xml:space="preserve"> Patent Cooperation Treaty (PCT) Rule</w:t>
      </w:r>
      <w:r>
        <w:rPr>
          <w:rFonts w:ascii="Arial" w:hAnsi="Arial" w:cs="Arial"/>
        </w:rPr>
        <w:t>s</w:t>
      </w:r>
      <w:r w:rsidRPr="00B0428B">
        <w:rPr>
          <w:rFonts w:ascii="Arial" w:hAnsi="Arial" w:cs="Arial"/>
        </w:rPr>
        <w:t xml:space="preserve"> </w:t>
      </w:r>
      <w:r>
        <w:rPr>
          <w:rFonts w:ascii="Arial" w:hAnsi="Arial" w:cs="Arial"/>
        </w:rPr>
        <w:t xml:space="preserve">5.2 and </w:t>
      </w:r>
      <w:r w:rsidRPr="00B0428B">
        <w:rPr>
          <w:rFonts w:ascii="Arial" w:hAnsi="Arial" w:cs="Arial"/>
        </w:rPr>
        <w:t>13</w:t>
      </w:r>
      <w:r w:rsidRPr="009E5083">
        <w:rPr>
          <w:rFonts w:ascii="Arial" w:hAnsi="Arial" w:cs="Arial"/>
          <w:i/>
        </w:rPr>
        <w:t>ter</w:t>
      </w:r>
      <w:r>
        <w:rPr>
          <w:rFonts w:ascii="Arial" w:hAnsi="Arial" w:cs="Arial"/>
        </w:rPr>
        <w:t>, as well as the PCT Administrative Instructions, Annex C.</w:t>
      </w:r>
    </w:p>
    <w:p w:rsidR="00AD165A" w:rsidRPr="00B0428B" w:rsidP="00AD165A" w14:paraId="724C2AC6" w14:textId="77777777">
      <w:pPr>
        <w:widowControl/>
        <w:jc w:val="both"/>
        <w:rPr>
          <w:rFonts w:ascii="Arial" w:hAnsi="Arial" w:cs="Arial"/>
        </w:rPr>
      </w:pPr>
    </w:p>
    <w:p w:rsidR="00AD165A" w:rsidP="00AD165A" w14:paraId="6F11D4A7" w14:textId="71B98894">
      <w:pPr>
        <w:widowControl/>
        <w:jc w:val="both"/>
        <w:rPr>
          <w:rFonts w:ascii="Arial" w:hAnsi="Arial" w:cs="Arial"/>
        </w:rPr>
      </w:pPr>
      <w:r w:rsidRPr="00B0428B">
        <w:rPr>
          <w:rFonts w:ascii="Arial" w:hAnsi="Arial" w:cs="Arial"/>
        </w:rPr>
        <w:t xml:space="preserve">This information collection </w:t>
      </w:r>
      <w:r>
        <w:rPr>
          <w:rFonts w:ascii="Arial" w:hAnsi="Arial" w:cs="Arial"/>
        </w:rPr>
        <w:t xml:space="preserve">covers the submission of </w:t>
      </w:r>
      <w:r w:rsidRPr="00B0428B">
        <w:rPr>
          <w:rFonts w:ascii="Arial" w:hAnsi="Arial" w:cs="Arial"/>
        </w:rPr>
        <w:t>the sequence listing</w:t>
      </w:r>
      <w:r>
        <w:rPr>
          <w:rFonts w:ascii="Arial" w:hAnsi="Arial" w:cs="Arial"/>
        </w:rPr>
        <w:t xml:space="preserve"> information itself. </w:t>
      </w:r>
      <w:r w:rsidRPr="00B0428B">
        <w:rPr>
          <w:rFonts w:ascii="Arial" w:hAnsi="Arial" w:cs="Arial"/>
        </w:rPr>
        <w:t xml:space="preserve">Information pertaining to the </w:t>
      </w:r>
      <w:r w:rsidR="00A96106">
        <w:rPr>
          <w:rFonts w:ascii="Arial" w:hAnsi="Arial" w:cs="Arial"/>
        </w:rPr>
        <w:t xml:space="preserve">initial </w:t>
      </w:r>
      <w:r w:rsidRPr="00B0428B">
        <w:rPr>
          <w:rFonts w:ascii="Arial" w:hAnsi="Arial" w:cs="Arial"/>
        </w:rPr>
        <w:t xml:space="preserve">filing of </w:t>
      </w:r>
      <w:r>
        <w:rPr>
          <w:rFonts w:ascii="Arial" w:hAnsi="Arial" w:cs="Arial"/>
        </w:rPr>
        <w:t xml:space="preserve">U.S. </w:t>
      </w:r>
      <w:r w:rsidRPr="00B0428B">
        <w:rPr>
          <w:rFonts w:ascii="Arial" w:hAnsi="Arial" w:cs="Arial"/>
        </w:rPr>
        <w:t>patent application</w:t>
      </w:r>
      <w:r w:rsidR="00A96106">
        <w:rPr>
          <w:rFonts w:ascii="Arial" w:hAnsi="Arial" w:cs="Arial"/>
        </w:rPr>
        <w:t>s</w:t>
      </w:r>
      <w:r w:rsidRPr="00B0428B">
        <w:rPr>
          <w:rFonts w:ascii="Arial" w:hAnsi="Arial" w:cs="Arial"/>
        </w:rPr>
        <w:t xml:space="preserve"> is collected under OMB Control Number 0651-0032, and </w:t>
      </w:r>
      <w:r>
        <w:rPr>
          <w:rFonts w:ascii="Arial" w:hAnsi="Arial" w:cs="Arial"/>
        </w:rPr>
        <w:t xml:space="preserve">information pertaining to the </w:t>
      </w:r>
      <w:r w:rsidR="00A96106">
        <w:rPr>
          <w:rFonts w:ascii="Arial" w:hAnsi="Arial" w:cs="Arial"/>
        </w:rPr>
        <w:t xml:space="preserve">initial </w:t>
      </w:r>
      <w:r>
        <w:rPr>
          <w:rFonts w:ascii="Arial" w:hAnsi="Arial" w:cs="Arial"/>
        </w:rPr>
        <w:t xml:space="preserve">filing of </w:t>
      </w:r>
      <w:r w:rsidRPr="00B0428B">
        <w:rPr>
          <w:rFonts w:ascii="Arial" w:hAnsi="Arial" w:cs="Arial"/>
        </w:rPr>
        <w:t>international application</w:t>
      </w:r>
      <w:r w:rsidR="00A96106">
        <w:rPr>
          <w:rFonts w:ascii="Arial" w:hAnsi="Arial" w:cs="Arial"/>
        </w:rPr>
        <w:t>s</w:t>
      </w:r>
      <w:r>
        <w:rPr>
          <w:rFonts w:ascii="Arial" w:hAnsi="Arial" w:cs="Arial"/>
        </w:rPr>
        <w:t xml:space="preserve"> is collected </w:t>
      </w:r>
      <w:r w:rsidRPr="00B0428B">
        <w:rPr>
          <w:rFonts w:ascii="Arial" w:hAnsi="Arial" w:cs="Arial"/>
        </w:rPr>
        <w:t>under OMB Control Number 0651-0021.</w:t>
      </w:r>
    </w:p>
    <w:p w:rsidR="00AD165A" w:rsidP="00AD165A" w14:paraId="1A180C12" w14:textId="77777777">
      <w:pPr>
        <w:widowControl/>
        <w:jc w:val="both"/>
        <w:rPr>
          <w:rFonts w:ascii="Arial" w:hAnsi="Arial" w:cs="Arial"/>
        </w:rPr>
      </w:pPr>
    </w:p>
    <w:p w:rsidR="005B67BA" w:rsidP="00AD165A" w14:paraId="34E1A7AD" w14:textId="11704D95">
      <w:pPr>
        <w:widowControl/>
        <w:jc w:val="both"/>
        <w:rPr>
          <w:rFonts w:ascii="Arial" w:hAnsi="Arial" w:cs="Arial"/>
        </w:rPr>
      </w:pPr>
      <w:r w:rsidRPr="009E4E09">
        <w:rPr>
          <w:rFonts w:ascii="Arial" w:hAnsi="Arial" w:cs="Arial"/>
        </w:rPr>
        <w:t>Sequence listings</w:t>
      </w:r>
      <w:r>
        <w:rPr>
          <w:rFonts w:ascii="Arial" w:hAnsi="Arial" w:cs="Arial"/>
        </w:rPr>
        <w:t xml:space="preserve"> </w:t>
      </w:r>
      <w:bookmarkStart w:id="1" w:name="_Hlk113008223"/>
      <w:r w:rsidR="00ED4F7D">
        <w:rPr>
          <w:rFonts w:ascii="Arial" w:hAnsi="Arial" w:cs="Arial"/>
        </w:rPr>
        <w:t xml:space="preserve">in applications filed on or before June </w:t>
      </w:r>
      <w:r w:rsidR="004E74D0">
        <w:rPr>
          <w:rFonts w:ascii="Arial" w:hAnsi="Arial" w:cs="Arial"/>
        </w:rPr>
        <w:t>3</w:t>
      </w:r>
      <w:r w:rsidR="00ED4F7D">
        <w:rPr>
          <w:rFonts w:ascii="Arial" w:hAnsi="Arial" w:cs="Arial"/>
        </w:rPr>
        <w:t xml:space="preserve">0, 2022 </w:t>
      </w:r>
      <w:bookmarkEnd w:id="1"/>
      <w:r w:rsidRPr="009E4E09">
        <w:rPr>
          <w:rFonts w:ascii="Arial" w:hAnsi="Arial" w:cs="Arial"/>
        </w:rPr>
        <w:t xml:space="preserve">may be submitted via </w:t>
      </w:r>
      <w:r w:rsidR="00A96106">
        <w:rPr>
          <w:rFonts w:ascii="Arial" w:hAnsi="Arial" w:cs="Arial"/>
        </w:rPr>
        <w:t xml:space="preserve">the </w:t>
      </w:r>
      <w:r w:rsidR="000D1209">
        <w:rPr>
          <w:rFonts w:ascii="Arial" w:hAnsi="Arial" w:cs="Arial"/>
        </w:rPr>
        <w:t>USPTO patent electronic filing system</w:t>
      </w:r>
      <w:r w:rsidRPr="009E4E09">
        <w:rPr>
          <w:rFonts w:ascii="Arial" w:hAnsi="Arial" w:cs="Arial"/>
        </w:rPr>
        <w:t xml:space="preserve"> as an</w:t>
      </w:r>
      <w:r>
        <w:rPr>
          <w:rFonts w:ascii="Arial" w:hAnsi="Arial" w:cs="Arial"/>
        </w:rPr>
        <w:t xml:space="preserve"> </w:t>
      </w:r>
      <w:r w:rsidRPr="009E4E09">
        <w:rPr>
          <w:rFonts w:ascii="Arial" w:hAnsi="Arial" w:cs="Arial"/>
        </w:rPr>
        <w:t xml:space="preserve">ASCII text file or </w:t>
      </w:r>
      <w:r w:rsidR="00A96106">
        <w:rPr>
          <w:rFonts w:ascii="Arial" w:hAnsi="Arial" w:cs="Arial"/>
        </w:rPr>
        <w:t>as a</w:t>
      </w:r>
      <w:r w:rsidRPr="009E4E09" w:rsidR="00A96106">
        <w:rPr>
          <w:rFonts w:ascii="Arial" w:hAnsi="Arial" w:cs="Arial"/>
        </w:rPr>
        <w:t xml:space="preserve"> </w:t>
      </w:r>
      <w:r w:rsidRPr="009E4E09">
        <w:rPr>
          <w:rFonts w:ascii="Arial" w:hAnsi="Arial" w:cs="Arial"/>
        </w:rPr>
        <w:t>Portable Document</w:t>
      </w:r>
      <w:r>
        <w:rPr>
          <w:rFonts w:ascii="Arial" w:hAnsi="Arial" w:cs="Arial"/>
        </w:rPr>
        <w:t xml:space="preserve"> </w:t>
      </w:r>
      <w:r w:rsidRPr="009E4E09">
        <w:rPr>
          <w:rFonts w:ascii="Arial" w:hAnsi="Arial" w:cs="Arial"/>
        </w:rPr>
        <w:t>Format (PDF)</w:t>
      </w:r>
      <w:r w:rsidR="00A96106">
        <w:rPr>
          <w:rFonts w:ascii="Arial" w:hAnsi="Arial" w:cs="Arial"/>
        </w:rPr>
        <w:t xml:space="preserve"> file</w:t>
      </w:r>
      <w:r w:rsidRPr="009E4E09">
        <w:rPr>
          <w:rFonts w:ascii="Arial" w:hAnsi="Arial" w:cs="Arial"/>
        </w:rPr>
        <w:t>. For U.S. applications</w:t>
      </w:r>
      <w:r w:rsidR="009171F1">
        <w:rPr>
          <w:rFonts w:ascii="Arial" w:hAnsi="Arial" w:cs="Arial"/>
        </w:rPr>
        <w:t xml:space="preserve"> filed on or before June 30, 2022</w:t>
      </w:r>
      <w:r w:rsidRPr="009E4E09">
        <w:rPr>
          <w:rFonts w:ascii="Arial" w:hAnsi="Arial" w:cs="Arial"/>
        </w:rPr>
        <w:t>,</w:t>
      </w:r>
      <w:r>
        <w:rPr>
          <w:rFonts w:ascii="Arial" w:hAnsi="Arial" w:cs="Arial"/>
        </w:rPr>
        <w:t xml:space="preserve"> </w:t>
      </w:r>
      <w:r w:rsidR="00A96106">
        <w:rPr>
          <w:rFonts w:ascii="Arial" w:hAnsi="Arial" w:cs="Arial"/>
        </w:rPr>
        <w:t>37 CFR</w:t>
      </w:r>
      <w:r w:rsidRPr="009E4E09" w:rsidR="00A96106">
        <w:rPr>
          <w:rFonts w:ascii="Arial" w:hAnsi="Arial" w:cs="Arial"/>
        </w:rPr>
        <w:t xml:space="preserve"> </w:t>
      </w:r>
      <w:r w:rsidRPr="009E4E09">
        <w:rPr>
          <w:rFonts w:ascii="Arial" w:hAnsi="Arial" w:cs="Arial"/>
        </w:rPr>
        <w:t>1.821(c) permits all modes of</w:t>
      </w:r>
      <w:r>
        <w:rPr>
          <w:rFonts w:ascii="Arial" w:hAnsi="Arial" w:cs="Arial"/>
        </w:rPr>
        <w:t xml:space="preserve"> </w:t>
      </w:r>
      <w:r w:rsidRPr="009E4E09">
        <w:rPr>
          <w:rFonts w:ascii="Arial" w:hAnsi="Arial" w:cs="Arial"/>
        </w:rPr>
        <w:t xml:space="preserve">submission: </w:t>
      </w:r>
      <w:r>
        <w:rPr>
          <w:rFonts w:ascii="Arial" w:hAnsi="Arial" w:cs="Arial"/>
        </w:rPr>
        <w:t xml:space="preserve"> p</w:t>
      </w:r>
      <w:r w:rsidRPr="009E4E09">
        <w:rPr>
          <w:rFonts w:ascii="Arial" w:hAnsi="Arial" w:cs="Arial"/>
        </w:rPr>
        <w:t xml:space="preserve">aper, </w:t>
      </w:r>
      <w:r w:rsidR="00A96106">
        <w:rPr>
          <w:rFonts w:ascii="Arial" w:hAnsi="Arial" w:cs="Arial"/>
        </w:rPr>
        <w:t>read-only optical disc</w:t>
      </w:r>
      <w:r w:rsidRPr="009E4E09">
        <w:rPr>
          <w:rFonts w:ascii="Arial" w:hAnsi="Arial" w:cs="Arial"/>
        </w:rPr>
        <w:t xml:space="preserve">, or </w:t>
      </w:r>
      <w:r w:rsidR="00A96106">
        <w:rPr>
          <w:rFonts w:ascii="Arial" w:hAnsi="Arial" w:cs="Arial"/>
        </w:rPr>
        <w:t xml:space="preserve">electronic filing via the </w:t>
      </w:r>
      <w:r w:rsidR="000D1209">
        <w:rPr>
          <w:rFonts w:ascii="Arial" w:hAnsi="Arial" w:cs="Arial"/>
        </w:rPr>
        <w:t>USPTO patent electronic filing system</w:t>
      </w:r>
      <w:r w:rsidRPr="009E4E09">
        <w:rPr>
          <w:rFonts w:ascii="Arial" w:hAnsi="Arial" w:cs="Arial"/>
        </w:rPr>
        <w:t>.</w:t>
      </w:r>
      <w:r>
        <w:rPr>
          <w:rFonts w:ascii="Arial" w:hAnsi="Arial" w:cs="Arial"/>
        </w:rPr>
        <w:t xml:space="preserve"> </w:t>
      </w:r>
      <w:r w:rsidRPr="009E4E09">
        <w:rPr>
          <w:rFonts w:ascii="Arial" w:hAnsi="Arial" w:cs="Arial"/>
        </w:rPr>
        <w:t>Sequence listings for international</w:t>
      </w:r>
      <w:r>
        <w:rPr>
          <w:rFonts w:ascii="Arial" w:hAnsi="Arial" w:cs="Arial"/>
        </w:rPr>
        <w:t xml:space="preserve"> </w:t>
      </w:r>
      <w:r w:rsidRPr="009E4E09">
        <w:rPr>
          <w:rFonts w:ascii="Arial" w:hAnsi="Arial" w:cs="Arial"/>
        </w:rPr>
        <w:t xml:space="preserve">applications may </w:t>
      </w:r>
      <w:r w:rsidR="00A96106">
        <w:rPr>
          <w:rFonts w:ascii="Arial" w:hAnsi="Arial" w:cs="Arial"/>
        </w:rPr>
        <w:t xml:space="preserve">only </w:t>
      </w:r>
      <w:r w:rsidRPr="009E4E09">
        <w:rPr>
          <w:rFonts w:ascii="Arial" w:hAnsi="Arial" w:cs="Arial"/>
        </w:rPr>
        <w:t>be submitted on paper</w:t>
      </w:r>
      <w:r>
        <w:rPr>
          <w:rFonts w:ascii="Arial" w:hAnsi="Arial" w:cs="Arial"/>
        </w:rPr>
        <w:t xml:space="preserve"> </w:t>
      </w:r>
      <w:r w:rsidRPr="009E4E09">
        <w:rPr>
          <w:rFonts w:ascii="Arial" w:hAnsi="Arial" w:cs="Arial"/>
        </w:rPr>
        <w:t xml:space="preserve">or through </w:t>
      </w:r>
      <w:r w:rsidR="00A96106">
        <w:rPr>
          <w:rFonts w:ascii="Arial" w:hAnsi="Arial" w:cs="Arial"/>
        </w:rPr>
        <w:t xml:space="preserve">the </w:t>
      </w:r>
      <w:r w:rsidR="000D1209">
        <w:rPr>
          <w:rFonts w:ascii="Arial" w:hAnsi="Arial" w:cs="Arial"/>
        </w:rPr>
        <w:t>USPTO patent electronic filing system</w:t>
      </w:r>
      <w:r w:rsidR="00A96106">
        <w:rPr>
          <w:rFonts w:ascii="Arial" w:hAnsi="Arial" w:cs="Arial"/>
        </w:rPr>
        <w:t>.</w:t>
      </w:r>
      <w:r w:rsidRPr="009E4E09">
        <w:rPr>
          <w:rFonts w:ascii="Arial" w:hAnsi="Arial" w:cs="Arial"/>
        </w:rPr>
        <w:t xml:space="preserve"> </w:t>
      </w:r>
      <w:r w:rsidR="00A96106">
        <w:rPr>
          <w:rFonts w:ascii="Arial" w:hAnsi="Arial" w:cs="Arial"/>
        </w:rPr>
        <w:t>S</w:t>
      </w:r>
      <w:r w:rsidRPr="009E4E09">
        <w:rPr>
          <w:rFonts w:ascii="Arial" w:hAnsi="Arial" w:cs="Arial"/>
        </w:rPr>
        <w:t>equence listings that are too large to be</w:t>
      </w:r>
      <w:r>
        <w:rPr>
          <w:rFonts w:ascii="Arial" w:hAnsi="Arial" w:cs="Arial"/>
        </w:rPr>
        <w:t xml:space="preserve"> </w:t>
      </w:r>
      <w:r w:rsidRPr="009E4E09">
        <w:rPr>
          <w:rFonts w:ascii="Arial" w:hAnsi="Arial" w:cs="Arial"/>
        </w:rPr>
        <w:t xml:space="preserve">filed electronically though </w:t>
      </w:r>
      <w:r w:rsidR="00A96106">
        <w:rPr>
          <w:rFonts w:ascii="Arial" w:hAnsi="Arial" w:cs="Arial"/>
        </w:rPr>
        <w:t xml:space="preserve">the </w:t>
      </w:r>
      <w:r w:rsidR="000D1209">
        <w:rPr>
          <w:rFonts w:ascii="Arial" w:hAnsi="Arial" w:cs="Arial"/>
        </w:rPr>
        <w:t xml:space="preserve">USPTO patent electronic filing </w:t>
      </w:r>
      <w:r w:rsidR="000D1209">
        <w:rPr>
          <w:rFonts w:ascii="Arial" w:hAnsi="Arial" w:cs="Arial"/>
        </w:rPr>
        <w:t>system</w:t>
      </w:r>
      <w:r w:rsidRPr="009E4E09">
        <w:rPr>
          <w:rFonts w:ascii="Arial" w:hAnsi="Arial" w:cs="Arial"/>
        </w:rPr>
        <w:t>may</w:t>
      </w:r>
      <w:r w:rsidRPr="009E4E09">
        <w:rPr>
          <w:rFonts w:ascii="Arial" w:hAnsi="Arial" w:cs="Arial"/>
        </w:rPr>
        <w:t xml:space="preserve"> be submitted on </w:t>
      </w:r>
      <w:r w:rsidR="00A96106">
        <w:rPr>
          <w:rFonts w:ascii="Arial" w:hAnsi="Arial" w:cs="Arial"/>
        </w:rPr>
        <w:t>read-only optical disc</w:t>
      </w:r>
      <w:r w:rsidRPr="009E4E09">
        <w:rPr>
          <w:rFonts w:ascii="Arial" w:hAnsi="Arial" w:cs="Arial"/>
        </w:rPr>
        <w:t>.</w:t>
      </w:r>
    </w:p>
    <w:p w:rsidR="005B67BA" w:rsidP="00AD165A" w14:paraId="6E9CCFAE" w14:textId="77777777">
      <w:pPr>
        <w:widowControl/>
        <w:jc w:val="both"/>
        <w:rPr>
          <w:rFonts w:ascii="Arial" w:hAnsi="Arial" w:cs="Arial"/>
        </w:rPr>
      </w:pPr>
    </w:p>
    <w:p w:rsidR="00AD165A" w:rsidP="00AD165A" w14:paraId="2DFC1718" w14:textId="0605101D">
      <w:pPr>
        <w:widowControl/>
        <w:jc w:val="both"/>
        <w:rPr>
          <w:rFonts w:ascii="Arial" w:hAnsi="Arial" w:cs="Arial"/>
        </w:rPr>
      </w:pPr>
      <w:r w:rsidRPr="009E4E09">
        <w:rPr>
          <w:rFonts w:ascii="Arial" w:hAnsi="Arial" w:cs="Arial"/>
        </w:rPr>
        <w:t>This information collection also</w:t>
      </w:r>
      <w:r>
        <w:rPr>
          <w:rFonts w:ascii="Arial" w:hAnsi="Arial" w:cs="Arial"/>
        </w:rPr>
        <w:t xml:space="preserve"> </w:t>
      </w:r>
      <w:r w:rsidRPr="009E4E09">
        <w:rPr>
          <w:rFonts w:ascii="Arial" w:hAnsi="Arial" w:cs="Arial"/>
        </w:rPr>
        <w:t>accounts for the requirement under</w:t>
      </w:r>
      <w:r>
        <w:rPr>
          <w:rFonts w:ascii="Arial" w:hAnsi="Arial" w:cs="Arial"/>
        </w:rPr>
        <w:t xml:space="preserve"> </w:t>
      </w:r>
      <w:r w:rsidR="00A96106">
        <w:rPr>
          <w:rFonts w:ascii="Arial" w:hAnsi="Arial" w:cs="Arial"/>
        </w:rPr>
        <w:t>37 CFR </w:t>
      </w:r>
      <w:r w:rsidRPr="009E4E09">
        <w:rPr>
          <w:rFonts w:ascii="Arial" w:hAnsi="Arial" w:cs="Arial"/>
        </w:rPr>
        <w:t>1.821(e)</w:t>
      </w:r>
      <w:r w:rsidR="00D76133">
        <w:rPr>
          <w:rFonts w:ascii="Arial" w:hAnsi="Arial" w:cs="Arial"/>
        </w:rPr>
        <w:t>(1) or 1.821(e)(2)</w:t>
      </w:r>
      <w:r w:rsidRPr="009E4E09">
        <w:rPr>
          <w:rFonts w:ascii="Arial" w:hAnsi="Arial" w:cs="Arial"/>
        </w:rPr>
        <w:t xml:space="preserve"> that a copy of the sequence</w:t>
      </w:r>
      <w:r>
        <w:rPr>
          <w:rFonts w:ascii="Arial" w:hAnsi="Arial" w:cs="Arial"/>
        </w:rPr>
        <w:t xml:space="preserve"> </w:t>
      </w:r>
      <w:r w:rsidRPr="009E4E09">
        <w:rPr>
          <w:rFonts w:ascii="Arial" w:hAnsi="Arial" w:cs="Arial"/>
        </w:rPr>
        <w:t xml:space="preserve">listing </w:t>
      </w:r>
      <w:r w:rsidR="00D76133">
        <w:rPr>
          <w:rFonts w:ascii="Arial" w:hAnsi="Arial" w:cs="Arial"/>
        </w:rPr>
        <w:t>submitted pursuant to</w:t>
      </w:r>
      <w:r w:rsidRPr="009E4E09">
        <w:rPr>
          <w:rFonts w:ascii="Arial" w:hAnsi="Arial" w:cs="Arial"/>
        </w:rPr>
        <w:t xml:space="preserve"> </w:t>
      </w:r>
      <w:r w:rsidR="00A96106">
        <w:rPr>
          <w:rFonts w:ascii="Arial" w:hAnsi="Arial" w:cs="Arial"/>
        </w:rPr>
        <w:t>37 CFR </w:t>
      </w:r>
      <w:r w:rsidRPr="009E4E09">
        <w:rPr>
          <w:rFonts w:ascii="Arial" w:hAnsi="Arial" w:cs="Arial"/>
        </w:rPr>
        <w:t>1.821(c)</w:t>
      </w:r>
      <w:r w:rsidR="00D76133">
        <w:rPr>
          <w:rFonts w:ascii="Arial" w:hAnsi="Arial" w:cs="Arial"/>
        </w:rPr>
        <w:t>(2) or (c)(3) must also</w:t>
      </w:r>
      <w:r w:rsidRPr="009E4E09">
        <w:rPr>
          <w:rFonts w:ascii="Arial" w:hAnsi="Arial" w:cs="Arial"/>
        </w:rPr>
        <w:t xml:space="preserve"> be</w:t>
      </w:r>
      <w:r>
        <w:rPr>
          <w:rFonts w:ascii="Arial" w:hAnsi="Arial" w:cs="Arial"/>
        </w:rPr>
        <w:t xml:space="preserve"> </w:t>
      </w:r>
      <w:r w:rsidRPr="009E4E09">
        <w:rPr>
          <w:rFonts w:ascii="Arial" w:hAnsi="Arial" w:cs="Arial"/>
        </w:rPr>
        <w:t>submitted in computer readable form</w:t>
      </w:r>
      <w:r>
        <w:rPr>
          <w:rFonts w:ascii="Arial" w:hAnsi="Arial" w:cs="Arial"/>
        </w:rPr>
        <w:t xml:space="preserve"> </w:t>
      </w:r>
      <w:r w:rsidRPr="009E4E09">
        <w:rPr>
          <w:rFonts w:ascii="Arial" w:hAnsi="Arial" w:cs="Arial"/>
        </w:rPr>
        <w:t>(CRF) in accordance with the</w:t>
      </w:r>
      <w:r>
        <w:rPr>
          <w:rFonts w:ascii="Arial" w:hAnsi="Arial" w:cs="Arial"/>
        </w:rPr>
        <w:t xml:space="preserve"> </w:t>
      </w:r>
      <w:r w:rsidRPr="009E4E09">
        <w:rPr>
          <w:rFonts w:ascii="Arial" w:hAnsi="Arial" w:cs="Arial"/>
        </w:rPr>
        <w:t xml:space="preserve">requirements of </w:t>
      </w:r>
      <w:r w:rsidR="00A96106">
        <w:rPr>
          <w:rFonts w:ascii="Arial" w:hAnsi="Arial" w:cs="Arial"/>
        </w:rPr>
        <w:t>37 CFR</w:t>
      </w:r>
      <w:r w:rsidRPr="009E4E09" w:rsidR="00A96106">
        <w:rPr>
          <w:rFonts w:ascii="Arial" w:hAnsi="Arial" w:cs="Arial"/>
        </w:rPr>
        <w:t xml:space="preserve"> </w:t>
      </w:r>
      <w:r w:rsidRPr="009E4E09">
        <w:rPr>
          <w:rFonts w:ascii="Arial" w:hAnsi="Arial" w:cs="Arial"/>
        </w:rPr>
        <w:t>1.824. Under</w:t>
      </w:r>
      <w:r>
        <w:rPr>
          <w:rFonts w:ascii="Arial" w:hAnsi="Arial" w:cs="Arial"/>
        </w:rPr>
        <w:t xml:space="preserve"> </w:t>
      </w:r>
      <w:r w:rsidR="00A96106">
        <w:rPr>
          <w:rFonts w:ascii="Arial" w:hAnsi="Arial" w:cs="Arial"/>
        </w:rPr>
        <w:t>37 CFR </w:t>
      </w:r>
      <w:r w:rsidRPr="009E4E09">
        <w:rPr>
          <w:rFonts w:ascii="Arial" w:hAnsi="Arial" w:cs="Arial"/>
        </w:rPr>
        <w:t>1.821(e)</w:t>
      </w:r>
      <w:r w:rsidR="00D76133">
        <w:rPr>
          <w:rFonts w:ascii="Arial" w:hAnsi="Arial" w:cs="Arial"/>
        </w:rPr>
        <w:t>(1) or 1.821(e)(2)</w:t>
      </w:r>
      <w:r w:rsidRPr="009E4E09">
        <w:rPr>
          <w:rFonts w:ascii="Arial" w:hAnsi="Arial" w:cs="Arial"/>
        </w:rPr>
        <w:t>, applicants who submit</w:t>
      </w:r>
      <w:r>
        <w:rPr>
          <w:rFonts w:ascii="Arial" w:hAnsi="Arial" w:cs="Arial"/>
        </w:rPr>
        <w:t xml:space="preserve"> </w:t>
      </w:r>
      <w:r w:rsidRPr="009E4E09">
        <w:rPr>
          <w:rFonts w:ascii="Arial" w:hAnsi="Arial" w:cs="Arial"/>
        </w:rPr>
        <w:t>their sequence listings on paper or</w:t>
      </w:r>
      <w:r>
        <w:rPr>
          <w:rFonts w:ascii="Arial" w:hAnsi="Arial" w:cs="Arial"/>
        </w:rPr>
        <w:t xml:space="preserve"> </w:t>
      </w:r>
      <w:r w:rsidRPr="009E4E09">
        <w:rPr>
          <w:rFonts w:ascii="Arial" w:hAnsi="Arial" w:cs="Arial"/>
        </w:rPr>
        <w:t xml:space="preserve">as a PDF via </w:t>
      </w:r>
      <w:r w:rsidR="00A96106">
        <w:rPr>
          <w:rFonts w:ascii="Arial" w:hAnsi="Arial" w:cs="Arial"/>
        </w:rPr>
        <w:t xml:space="preserve">the </w:t>
      </w:r>
      <w:r w:rsidR="000D1209">
        <w:rPr>
          <w:rFonts w:ascii="Arial" w:hAnsi="Arial" w:cs="Arial"/>
        </w:rPr>
        <w:t xml:space="preserve">USPTO patent electronic filing </w:t>
      </w:r>
      <w:r w:rsidR="000D1209">
        <w:rPr>
          <w:rFonts w:ascii="Arial" w:hAnsi="Arial" w:cs="Arial"/>
        </w:rPr>
        <w:t>system</w:t>
      </w:r>
      <w:r w:rsidRPr="009E4E09">
        <w:rPr>
          <w:rFonts w:ascii="Arial" w:hAnsi="Arial" w:cs="Arial"/>
        </w:rPr>
        <w:t>must</w:t>
      </w:r>
      <w:r w:rsidRPr="009E4E09">
        <w:rPr>
          <w:rFonts w:ascii="Arial" w:hAnsi="Arial" w:cs="Arial"/>
        </w:rPr>
        <w:t xml:space="preserve"> submit a</w:t>
      </w:r>
      <w:r>
        <w:rPr>
          <w:rFonts w:ascii="Arial" w:hAnsi="Arial" w:cs="Arial"/>
        </w:rPr>
        <w:t xml:space="preserve"> </w:t>
      </w:r>
      <w:r w:rsidRPr="009E4E09">
        <w:rPr>
          <w:rFonts w:ascii="Arial" w:hAnsi="Arial" w:cs="Arial"/>
        </w:rPr>
        <w:t xml:space="preserve">copy of the sequence listing in CRF </w:t>
      </w:r>
      <w:r w:rsidRPr="009E4E09">
        <w:rPr>
          <w:rFonts w:ascii="Arial" w:hAnsi="Arial" w:cs="Arial"/>
        </w:rPr>
        <w:t>with</w:t>
      </w:r>
      <w:r>
        <w:rPr>
          <w:rFonts w:ascii="Arial" w:hAnsi="Arial" w:cs="Arial"/>
        </w:rPr>
        <w:t xml:space="preserve"> </w:t>
      </w:r>
      <w:r w:rsidRPr="009E4E09">
        <w:rPr>
          <w:rFonts w:ascii="Arial" w:hAnsi="Arial" w:cs="Arial"/>
        </w:rPr>
        <w:t>a statement indicating that the CRF copy</w:t>
      </w:r>
      <w:r>
        <w:rPr>
          <w:rFonts w:ascii="Arial" w:hAnsi="Arial" w:cs="Arial"/>
        </w:rPr>
        <w:t xml:space="preserve"> </w:t>
      </w:r>
      <w:r w:rsidRPr="009E4E09">
        <w:rPr>
          <w:rFonts w:ascii="Arial" w:hAnsi="Arial" w:cs="Arial"/>
        </w:rPr>
        <w:t>of the sequence listing is identical to the</w:t>
      </w:r>
      <w:r>
        <w:rPr>
          <w:rFonts w:ascii="Arial" w:hAnsi="Arial" w:cs="Arial"/>
        </w:rPr>
        <w:t xml:space="preserve"> </w:t>
      </w:r>
      <w:r w:rsidRPr="009E4E09">
        <w:rPr>
          <w:rFonts w:ascii="Arial" w:hAnsi="Arial" w:cs="Arial"/>
        </w:rPr>
        <w:t>paper or PDF copy provided under</w:t>
      </w:r>
      <w:r>
        <w:rPr>
          <w:rFonts w:ascii="Arial" w:hAnsi="Arial" w:cs="Arial"/>
        </w:rPr>
        <w:t xml:space="preserve"> </w:t>
      </w:r>
      <w:r w:rsidR="00A96106">
        <w:rPr>
          <w:rFonts w:ascii="Arial" w:hAnsi="Arial" w:cs="Arial"/>
        </w:rPr>
        <w:t>37 CFR </w:t>
      </w:r>
      <w:r w:rsidRPr="009E4E09">
        <w:rPr>
          <w:rFonts w:ascii="Arial" w:hAnsi="Arial" w:cs="Arial"/>
        </w:rPr>
        <w:t>1.821(c</w:t>
      </w:r>
      <w:bookmarkStart w:id="2" w:name="_Hlk113008439"/>
      <w:r w:rsidRPr="009E4E09">
        <w:rPr>
          <w:rFonts w:ascii="Arial" w:hAnsi="Arial" w:cs="Arial"/>
        </w:rPr>
        <w:t>)</w:t>
      </w:r>
      <w:r w:rsidR="00D76133">
        <w:rPr>
          <w:rFonts w:ascii="Arial" w:hAnsi="Arial" w:cs="Arial"/>
        </w:rPr>
        <w:t>(3) or 1.821(c)(2), respectively</w:t>
      </w:r>
      <w:bookmarkEnd w:id="2"/>
      <w:r w:rsidRPr="009E4E09">
        <w:rPr>
          <w:rFonts w:ascii="Arial" w:hAnsi="Arial" w:cs="Arial"/>
        </w:rPr>
        <w:t>. Applicants may submit the</w:t>
      </w:r>
      <w:r>
        <w:rPr>
          <w:rFonts w:ascii="Arial" w:hAnsi="Arial" w:cs="Arial"/>
        </w:rPr>
        <w:t xml:space="preserve"> </w:t>
      </w:r>
      <w:r w:rsidRPr="009E4E09">
        <w:rPr>
          <w:rFonts w:ascii="Arial" w:hAnsi="Arial" w:cs="Arial"/>
        </w:rPr>
        <w:t>CRF copy of the sequence listing to the</w:t>
      </w:r>
      <w:r>
        <w:rPr>
          <w:rFonts w:ascii="Arial" w:hAnsi="Arial" w:cs="Arial"/>
        </w:rPr>
        <w:t xml:space="preserve"> </w:t>
      </w:r>
      <w:r w:rsidRPr="009E4E09">
        <w:rPr>
          <w:rFonts w:ascii="Arial" w:hAnsi="Arial" w:cs="Arial"/>
        </w:rPr>
        <w:t xml:space="preserve">USPTO </w:t>
      </w:r>
      <w:bookmarkStart w:id="3" w:name="_Hlk113374043"/>
      <w:r w:rsidR="00C75189">
        <w:rPr>
          <w:rFonts w:ascii="Arial" w:hAnsi="Arial" w:cs="Arial"/>
        </w:rPr>
        <w:t xml:space="preserve">via the USPTO patent electronic filing system, or </w:t>
      </w:r>
      <w:bookmarkEnd w:id="3"/>
      <w:r w:rsidRPr="009E4E09">
        <w:rPr>
          <w:rFonts w:ascii="Arial" w:hAnsi="Arial" w:cs="Arial"/>
        </w:rPr>
        <w:t xml:space="preserve">on </w:t>
      </w:r>
      <w:r w:rsidR="00A96106">
        <w:rPr>
          <w:rFonts w:ascii="Arial" w:hAnsi="Arial" w:cs="Arial"/>
        </w:rPr>
        <w:t>read-only optical disc</w:t>
      </w:r>
      <w:r w:rsidRPr="009E4E09">
        <w:rPr>
          <w:rFonts w:ascii="Arial" w:hAnsi="Arial" w:cs="Arial"/>
        </w:rPr>
        <w:t xml:space="preserve"> or other acceptable media</w:t>
      </w:r>
      <w:r>
        <w:rPr>
          <w:rFonts w:ascii="Arial" w:hAnsi="Arial" w:cs="Arial"/>
        </w:rPr>
        <w:t xml:space="preserve"> </w:t>
      </w:r>
      <w:r w:rsidRPr="009E4E09">
        <w:rPr>
          <w:rFonts w:ascii="Arial" w:hAnsi="Arial" w:cs="Arial"/>
        </w:rPr>
        <w:t xml:space="preserve">as provided in </w:t>
      </w:r>
      <w:r w:rsidR="00A96106">
        <w:rPr>
          <w:rFonts w:ascii="Arial" w:hAnsi="Arial" w:cs="Arial"/>
        </w:rPr>
        <w:t>37 CFR </w:t>
      </w:r>
      <w:r w:rsidRPr="009E4E09">
        <w:rPr>
          <w:rFonts w:ascii="Arial" w:hAnsi="Arial" w:cs="Arial"/>
        </w:rPr>
        <w:t>1.824. If a new</w:t>
      </w:r>
      <w:r>
        <w:rPr>
          <w:rFonts w:ascii="Arial" w:hAnsi="Arial" w:cs="Arial"/>
        </w:rPr>
        <w:t xml:space="preserve"> </w:t>
      </w:r>
      <w:r w:rsidRPr="00C7434B">
        <w:rPr>
          <w:rFonts w:ascii="Arial" w:hAnsi="Arial" w:cs="Arial"/>
        </w:rPr>
        <w:t xml:space="preserve">application is filed via </w:t>
      </w:r>
      <w:r w:rsidR="00A96106">
        <w:rPr>
          <w:rFonts w:ascii="Arial" w:hAnsi="Arial" w:cs="Arial"/>
        </w:rPr>
        <w:t xml:space="preserve">the </w:t>
      </w:r>
      <w:r w:rsidR="000D1209">
        <w:rPr>
          <w:rFonts w:ascii="Arial" w:hAnsi="Arial" w:cs="Arial"/>
        </w:rPr>
        <w:t xml:space="preserve">USPTO patent electronic filing </w:t>
      </w:r>
      <w:r w:rsidR="000D1209">
        <w:rPr>
          <w:rFonts w:ascii="Arial" w:hAnsi="Arial" w:cs="Arial"/>
        </w:rPr>
        <w:t>system</w:t>
      </w:r>
      <w:r w:rsidRPr="00C7434B">
        <w:rPr>
          <w:rFonts w:ascii="Arial" w:hAnsi="Arial" w:cs="Arial"/>
        </w:rPr>
        <w:t>with</w:t>
      </w:r>
      <w:r w:rsidRPr="00C7434B">
        <w:rPr>
          <w:rFonts w:ascii="Arial" w:hAnsi="Arial" w:cs="Arial"/>
        </w:rPr>
        <w:t xml:space="preserve"> an</w:t>
      </w:r>
      <w:r>
        <w:rPr>
          <w:rFonts w:ascii="Arial" w:hAnsi="Arial" w:cs="Arial"/>
        </w:rPr>
        <w:t xml:space="preserve"> </w:t>
      </w:r>
      <w:r w:rsidRPr="00C7434B">
        <w:rPr>
          <w:rFonts w:ascii="Arial" w:hAnsi="Arial" w:cs="Arial"/>
        </w:rPr>
        <w:t>ASCII text file sequence listing that</w:t>
      </w:r>
      <w:r>
        <w:rPr>
          <w:rFonts w:ascii="Arial" w:hAnsi="Arial" w:cs="Arial"/>
        </w:rPr>
        <w:t xml:space="preserve"> </w:t>
      </w:r>
      <w:r w:rsidRPr="00C7434B">
        <w:rPr>
          <w:rFonts w:ascii="Arial" w:hAnsi="Arial" w:cs="Arial"/>
        </w:rPr>
        <w:t>complies with the requirements of</w:t>
      </w:r>
      <w:r>
        <w:rPr>
          <w:rFonts w:ascii="Arial" w:hAnsi="Arial" w:cs="Arial"/>
        </w:rPr>
        <w:t xml:space="preserve"> </w:t>
      </w:r>
      <w:r w:rsidR="00A96106">
        <w:rPr>
          <w:rFonts w:ascii="Arial" w:hAnsi="Arial" w:cs="Arial"/>
        </w:rPr>
        <w:t>37 CFR </w:t>
      </w:r>
      <w:r w:rsidRPr="00C7434B">
        <w:rPr>
          <w:rFonts w:ascii="Arial" w:hAnsi="Arial" w:cs="Arial"/>
        </w:rPr>
        <w:t>1.824(a)(</w:t>
      </w:r>
      <w:r w:rsidR="00D76133">
        <w:rPr>
          <w:rFonts w:ascii="Arial" w:hAnsi="Arial" w:cs="Arial"/>
        </w:rPr>
        <w:t>1</w:t>
      </w:r>
      <w:r w:rsidRPr="00C7434B">
        <w:rPr>
          <w:rFonts w:ascii="Arial" w:hAnsi="Arial" w:cs="Arial"/>
        </w:rPr>
        <w:t>)</w:t>
      </w:r>
      <w:r w:rsidRPr="00C7434B">
        <w:rPr>
          <w:rFonts w:ascii="Arial" w:hAnsi="Arial" w:cs="Arial"/>
        </w:rPr>
        <w:t>–(</w:t>
      </w:r>
      <w:r w:rsidR="00D76133">
        <w:rPr>
          <w:rFonts w:ascii="Arial" w:hAnsi="Arial" w:cs="Arial"/>
        </w:rPr>
        <w:t>5</w:t>
      </w:r>
      <w:r w:rsidRPr="00C7434B">
        <w:rPr>
          <w:rFonts w:ascii="Arial" w:hAnsi="Arial" w:cs="Arial"/>
        </w:rPr>
        <w:t xml:space="preserve">) and (b), and </w:t>
      </w:r>
      <w:r w:rsidR="00A96106">
        <w:rPr>
          <w:rFonts w:ascii="Arial" w:hAnsi="Arial" w:cs="Arial"/>
        </w:rPr>
        <w:t xml:space="preserve">the </w:t>
      </w:r>
      <w:r w:rsidRPr="00C7434B">
        <w:rPr>
          <w:rFonts w:ascii="Arial" w:hAnsi="Arial" w:cs="Arial"/>
        </w:rPr>
        <w:t>applicant</w:t>
      </w:r>
      <w:r>
        <w:rPr>
          <w:rFonts w:ascii="Arial" w:hAnsi="Arial" w:cs="Arial"/>
        </w:rPr>
        <w:t xml:space="preserve"> </w:t>
      </w:r>
      <w:r w:rsidRPr="00C7434B">
        <w:rPr>
          <w:rFonts w:ascii="Arial" w:hAnsi="Arial" w:cs="Arial"/>
        </w:rPr>
        <w:t>has not filed a sequence listing on</w:t>
      </w:r>
      <w:r>
        <w:rPr>
          <w:rFonts w:ascii="Arial" w:hAnsi="Arial" w:cs="Arial"/>
        </w:rPr>
        <w:t xml:space="preserve"> </w:t>
      </w:r>
      <w:r w:rsidRPr="00C7434B">
        <w:rPr>
          <w:rFonts w:ascii="Arial" w:hAnsi="Arial" w:cs="Arial"/>
        </w:rPr>
        <w:t xml:space="preserve">paper or as a PDF file, </w:t>
      </w:r>
      <w:r w:rsidR="00D76133">
        <w:rPr>
          <w:rFonts w:ascii="Arial" w:hAnsi="Arial" w:cs="Arial"/>
        </w:rPr>
        <w:t>no separate</w:t>
      </w:r>
      <w:r w:rsidRPr="00C7434B" w:rsidR="00D76133">
        <w:rPr>
          <w:rFonts w:ascii="Arial" w:hAnsi="Arial" w:cs="Arial"/>
        </w:rPr>
        <w:t xml:space="preserve"> </w:t>
      </w:r>
      <w:r w:rsidRPr="00C7434B">
        <w:rPr>
          <w:rFonts w:ascii="Arial" w:hAnsi="Arial" w:cs="Arial"/>
        </w:rPr>
        <w:t>text file</w:t>
      </w:r>
      <w:r>
        <w:rPr>
          <w:rFonts w:ascii="Arial" w:hAnsi="Arial" w:cs="Arial"/>
        </w:rPr>
        <w:t xml:space="preserve"> </w:t>
      </w:r>
      <w:r w:rsidR="00D76133">
        <w:rPr>
          <w:rFonts w:ascii="Arial" w:hAnsi="Arial" w:cs="Arial"/>
        </w:rPr>
        <w:t xml:space="preserve">is </w:t>
      </w:r>
      <w:r w:rsidR="00D76133">
        <w:rPr>
          <w:rFonts w:ascii="Arial" w:hAnsi="Arial" w:cs="Arial"/>
        </w:rPr>
        <w:t>required.Therefore</w:t>
      </w:r>
      <w:r w:rsidRPr="00C7434B">
        <w:rPr>
          <w:rFonts w:ascii="Arial" w:hAnsi="Arial" w:cs="Arial"/>
        </w:rPr>
        <w:t xml:space="preserve">, </w:t>
      </w:r>
      <w:r w:rsidR="00D76133">
        <w:rPr>
          <w:rFonts w:ascii="Arial" w:hAnsi="Arial" w:cs="Arial"/>
        </w:rPr>
        <w:t>no</w:t>
      </w:r>
      <w:r w:rsidRPr="00C7434B" w:rsidR="00D76133">
        <w:rPr>
          <w:rFonts w:ascii="Arial" w:hAnsi="Arial" w:cs="Arial"/>
        </w:rPr>
        <w:t xml:space="preserve"> </w:t>
      </w:r>
      <w:r w:rsidRPr="00C7434B">
        <w:rPr>
          <w:rFonts w:ascii="Arial" w:hAnsi="Arial" w:cs="Arial"/>
        </w:rPr>
        <w:t>associated</w:t>
      </w:r>
      <w:r>
        <w:rPr>
          <w:rFonts w:ascii="Arial" w:hAnsi="Arial" w:cs="Arial"/>
        </w:rPr>
        <w:t xml:space="preserve"> </w:t>
      </w:r>
      <w:r w:rsidRPr="00C7434B">
        <w:rPr>
          <w:rFonts w:ascii="Arial" w:hAnsi="Arial" w:cs="Arial"/>
        </w:rPr>
        <w:t xml:space="preserve">statement </w:t>
      </w:r>
      <w:r w:rsidR="00A96106">
        <w:rPr>
          <w:rFonts w:ascii="Arial" w:hAnsi="Arial" w:cs="Arial"/>
        </w:rPr>
        <w:t xml:space="preserve">regarding both copies being identical </w:t>
      </w:r>
      <w:r w:rsidRPr="00C7434B">
        <w:rPr>
          <w:rFonts w:ascii="Arial" w:hAnsi="Arial" w:cs="Arial"/>
        </w:rPr>
        <w:t>would be</w:t>
      </w:r>
      <w:r>
        <w:rPr>
          <w:rFonts w:ascii="Arial" w:hAnsi="Arial" w:cs="Arial"/>
        </w:rPr>
        <w:t xml:space="preserve"> </w:t>
      </w:r>
      <w:r w:rsidRPr="00C7434B">
        <w:rPr>
          <w:rFonts w:ascii="Arial" w:hAnsi="Arial" w:cs="Arial"/>
        </w:rPr>
        <w:t>required.</w:t>
      </w:r>
      <w:r w:rsidR="00D76133">
        <w:rPr>
          <w:rFonts w:ascii="Arial" w:hAnsi="Arial" w:cs="Arial"/>
        </w:rPr>
        <w:t xml:space="preserve"> </w:t>
      </w:r>
      <w:bookmarkStart w:id="4" w:name="_Hlk113008565"/>
      <w:r w:rsidR="00D76133">
        <w:rPr>
          <w:rFonts w:ascii="Arial" w:hAnsi="Arial" w:cs="Arial"/>
        </w:rPr>
        <w:t>Similarly, if a new application is filed with an ASCII text file sequence listing on read-only optical that complies with the requirements of 37 CFR 1.824(a)(1)</w:t>
      </w:r>
      <w:r w:rsidR="00D76133">
        <w:rPr>
          <w:rFonts w:ascii="Arial" w:hAnsi="Arial" w:cs="Arial"/>
        </w:rPr>
        <w:t>–(</w:t>
      </w:r>
      <w:r w:rsidR="00D76133">
        <w:rPr>
          <w:rFonts w:ascii="Arial" w:hAnsi="Arial" w:cs="Arial"/>
        </w:rPr>
        <w:t xml:space="preserve">5) and 37 CFR 1.52(e), the single read-only optical disc is the CRF, </w:t>
      </w:r>
      <w:r w:rsidR="005B67BA">
        <w:rPr>
          <w:rFonts w:ascii="Arial" w:hAnsi="Arial" w:cs="Arial"/>
        </w:rPr>
        <w:t xml:space="preserve">and </w:t>
      </w:r>
      <w:r w:rsidR="00D76133">
        <w:rPr>
          <w:rFonts w:ascii="Arial" w:hAnsi="Arial" w:cs="Arial"/>
        </w:rPr>
        <w:t>no additional submission is required.</w:t>
      </w:r>
      <w:bookmarkEnd w:id="4"/>
    </w:p>
    <w:p w:rsidR="009171F1" w:rsidP="00AD165A" w14:paraId="3B20EE78" w14:textId="796938D9">
      <w:pPr>
        <w:widowControl/>
        <w:jc w:val="both"/>
        <w:rPr>
          <w:rFonts w:ascii="Arial" w:hAnsi="Arial" w:cs="Arial"/>
        </w:rPr>
      </w:pPr>
    </w:p>
    <w:p w:rsidR="009171F1" w:rsidP="00AD165A" w14:paraId="54B6D311" w14:textId="17F72527">
      <w:pPr>
        <w:widowControl/>
        <w:jc w:val="both"/>
        <w:rPr>
          <w:rFonts w:ascii="Arial" w:hAnsi="Arial" w:cs="Arial"/>
        </w:rPr>
      </w:pPr>
      <w:bookmarkStart w:id="5" w:name="_Hlk113008585"/>
      <w:r w:rsidRPr="00D76133">
        <w:rPr>
          <w:rFonts w:ascii="Arial" w:hAnsi="Arial" w:cs="Arial"/>
        </w:rPr>
        <w:t xml:space="preserve">Sequence listings in applications filed on or after July 1, 2022 must be submitted in XML format per 37 CFR 1.831, which was </w:t>
      </w:r>
      <w:r w:rsidR="00413B56">
        <w:rPr>
          <w:rFonts w:ascii="Arial" w:hAnsi="Arial" w:cs="Arial"/>
        </w:rPr>
        <w:t xml:space="preserve">recently </w:t>
      </w:r>
      <w:r w:rsidRPr="00D76133">
        <w:rPr>
          <w:rFonts w:ascii="Arial" w:hAnsi="Arial" w:cs="Arial"/>
        </w:rPr>
        <w:t xml:space="preserve">implemented to achieve alignment with </w:t>
      </w:r>
      <w:r w:rsidRPr="00D76133" w:rsidR="006E7CAA">
        <w:rPr>
          <w:rFonts w:ascii="Arial" w:hAnsi="Arial" w:cs="Arial"/>
        </w:rPr>
        <w:t>World Intellectual Property Office Standard ST.26 (</w:t>
      </w:r>
      <w:r w:rsidRPr="00D76133">
        <w:rPr>
          <w:rFonts w:ascii="Arial" w:hAnsi="Arial" w:cs="Arial"/>
        </w:rPr>
        <w:t>WIPO</w:t>
      </w:r>
      <w:r w:rsidRPr="00D76133" w:rsidR="00D215E4">
        <w:rPr>
          <w:rFonts w:ascii="Arial" w:hAnsi="Arial" w:cs="Arial"/>
        </w:rPr>
        <w:t xml:space="preserve"> Standard</w:t>
      </w:r>
      <w:r w:rsidRPr="00D76133">
        <w:rPr>
          <w:rFonts w:ascii="Arial" w:hAnsi="Arial" w:cs="Arial"/>
        </w:rPr>
        <w:t xml:space="preserve"> ST.26</w:t>
      </w:r>
      <w:r w:rsidRPr="00D76133" w:rsidR="006E7CAA">
        <w:rPr>
          <w:rFonts w:ascii="Arial" w:hAnsi="Arial" w:cs="Arial"/>
        </w:rPr>
        <w:t>)</w:t>
      </w:r>
      <w:r w:rsidRPr="00D76133">
        <w:rPr>
          <w:rFonts w:ascii="Arial" w:hAnsi="Arial" w:cs="Arial"/>
        </w:rPr>
        <w:t xml:space="preserve"> (</w:t>
      </w:r>
      <w:r w:rsidRPr="00980261" w:rsidR="00980261">
        <w:rPr>
          <w:rFonts w:ascii="Arial" w:hAnsi="Arial" w:cs="Arial"/>
        </w:rPr>
        <w:t xml:space="preserve">Standard for Presentation of Nucleotide and Amino Acid Sequence Listings Using </w:t>
      </w:r>
      <w:r w:rsidRPr="00980261" w:rsidR="00980261">
        <w:rPr>
          <w:rFonts w:ascii="Arial" w:hAnsi="Arial" w:cs="Arial"/>
        </w:rPr>
        <w:t>eXtensible</w:t>
      </w:r>
      <w:r w:rsidRPr="00980261" w:rsidR="00980261">
        <w:rPr>
          <w:rFonts w:ascii="Arial" w:hAnsi="Arial" w:cs="Arial"/>
        </w:rPr>
        <w:t xml:space="preserve"> Markup Language (XML) in Patent Applications To Implement WIPO Standard ST.26; Incorporation by Reference, 87 FR 30806, 5/20/22, effective July 1, 2022</w:t>
      </w:r>
      <w:r w:rsidRPr="00D76133">
        <w:rPr>
          <w:rFonts w:ascii="Arial" w:hAnsi="Arial" w:cs="Arial"/>
        </w:rPr>
        <w:t xml:space="preserve">). These submissions may be made electronically via the </w:t>
      </w:r>
      <w:r w:rsidR="000D1209">
        <w:rPr>
          <w:rFonts w:ascii="Arial" w:hAnsi="Arial" w:cs="Arial"/>
        </w:rPr>
        <w:t>USPTO patent electronic filing system</w:t>
      </w:r>
      <w:r w:rsidRPr="009E4E09" w:rsidR="000D1209">
        <w:rPr>
          <w:rFonts w:ascii="Arial" w:hAnsi="Arial" w:cs="Arial"/>
        </w:rPr>
        <w:t xml:space="preserve"> </w:t>
      </w:r>
      <w:r w:rsidRPr="00D76133">
        <w:rPr>
          <w:rFonts w:ascii="Arial" w:hAnsi="Arial" w:cs="Arial"/>
        </w:rPr>
        <w:t>as an XML file not exceeding 100MB without file compression, or as an XML file on a read-only optical disc in accordance with 37 CFR 1.834(b)-(c).</w:t>
      </w:r>
      <w:r>
        <w:rPr>
          <w:rFonts w:ascii="Arial" w:hAnsi="Arial" w:cs="Arial"/>
        </w:rPr>
        <w:t xml:space="preserve"> </w:t>
      </w:r>
    </w:p>
    <w:bookmarkEnd w:id="5"/>
    <w:p w:rsidR="00AD165A" w:rsidP="00AD165A" w14:paraId="02D4F74C" w14:textId="391E1493">
      <w:pPr>
        <w:widowControl/>
        <w:rPr>
          <w:rFonts w:ascii="Arial" w:hAnsi="Arial" w:cs="Arial"/>
        </w:rPr>
      </w:pPr>
    </w:p>
    <w:p w:rsidR="00A96106" w:rsidP="00AD165A" w14:paraId="52081D4C" w14:textId="65D43CC4">
      <w:pPr>
        <w:widowControl/>
        <w:rPr>
          <w:rFonts w:ascii="Arial" w:hAnsi="Arial" w:cs="Arial"/>
        </w:rPr>
      </w:pPr>
      <w:r w:rsidRPr="00A96106">
        <w:rPr>
          <w:rFonts w:ascii="Arial" w:hAnsi="Arial" w:cs="Arial"/>
        </w:rPr>
        <w:t>One item, Request for Transfer of a Computer Readable Form under 37 CFR 1.821(e), has been removed from this information collection. This item is no longer part of this collection’s process per a recent rulemaking (Electronic Submission of a Sequence Listing, a Large Table, or a Computer Program Listing Appendix in Patent Applications; 86 FR 57035, 10/14/2021</w:t>
      </w:r>
      <w:r w:rsidR="00D76133">
        <w:rPr>
          <w:rFonts w:ascii="Arial" w:hAnsi="Arial" w:cs="Arial"/>
        </w:rPr>
        <w:t>, effective Nove</w:t>
      </w:r>
      <w:r w:rsidR="00C6266D">
        <w:rPr>
          <w:rFonts w:ascii="Arial" w:hAnsi="Arial" w:cs="Arial"/>
        </w:rPr>
        <w:t>m</w:t>
      </w:r>
      <w:r w:rsidR="00D76133">
        <w:rPr>
          <w:rFonts w:ascii="Arial" w:hAnsi="Arial" w:cs="Arial"/>
        </w:rPr>
        <w:t>ber 15, 2021</w:t>
      </w:r>
      <w:r w:rsidRPr="00A96106">
        <w:rPr>
          <w:rFonts w:ascii="Arial" w:hAnsi="Arial" w:cs="Arial"/>
        </w:rPr>
        <w:t>).</w:t>
      </w:r>
    </w:p>
    <w:p w:rsidR="00A96106" w:rsidRPr="00B0428B" w:rsidP="00AD165A" w14:paraId="719F7948" w14:textId="77777777">
      <w:pPr>
        <w:widowControl/>
        <w:rPr>
          <w:rFonts w:ascii="Arial" w:hAnsi="Arial" w:cs="Arial"/>
        </w:rPr>
      </w:pPr>
    </w:p>
    <w:p w:rsidR="00AD165A" w:rsidRPr="00B0428B" w:rsidP="00AD165A" w14:paraId="3F1FC1D3" w14:textId="77777777">
      <w:pPr>
        <w:widowControl/>
        <w:jc w:val="both"/>
        <w:rPr>
          <w:rFonts w:ascii="Arial" w:hAnsi="Arial" w:cs="Arial"/>
        </w:rPr>
      </w:pPr>
      <w:r w:rsidRPr="00B0428B">
        <w:rPr>
          <w:rFonts w:ascii="Arial" w:hAnsi="Arial" w:cs="Arial"/>
        </w:rPr>
        <w:t>Table 1 provides the specific statute and regulations authorizing the USPTO to collect the information discussed above:</w:t>
      </w:r>
    </w:p>
    <w:p w:rsidR="00636EDA" w:rsidRPr="00476F66" w:rsidP="00636EDA" w14:paraId="79D4A07B" w14:textId="77777777">
      <w:pPr>
        <w:widowControl/>
        <w:jc w:val="both"/>
        <w:rPr>
          <w:rFonts w:ascii="Arial" w:hAnsi="Arial" w:cs="Arial"/>
          <w:color w:val="0000FF"/>
        </w:rPr>
      </w:pPr>
    </w:p>
    <w:p w:rsidR="00636EDA" w:rsidRPr="00DB6FA7" w:rsidP="00636EDA" w14:paraId="79D4A07C" w14:textId="77777777">
      <w:pPr>
        <w:widowControl/>
        <w:jc w:val="both"/>
        <w:rPr>
          <w:rFonts w:ascii="Arial" w:hAnsi="Arial" w:cs="Arial"/>
          <w:sz w:val="20"/>
          <w:szCs w:val="20"/>
        </w:rPr>
      </w:pPr>
      <w:r w:rsidRPr="00DB6FA7">
        <w:rPr>
          <w:rFonts w:ascii="Arial" w:hAnsi="Arial" w:cs="Arial"/>
          <w:b/>
          <w:bCs/>
          <w:sz w:val="20"/>
          <w:szCs w:val="20"/>
        </w:rPr>
        <w:t>Table 1:  Information Requirements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3690"/>
        <w:gridCol w:w="2700"/>
        <w:gridCol w:w="2070"/>
      </w:tblGrid>
      <w:tr w14:paraId="449DAC3A" w14:textId="77777777" w:rsidTr="00907BD7">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7"/>
        </w:trPr>
        <w:tc>
          <w:tcPr>
            <w:tcW w:w="900" w:type="dxa"/>
            <w:shd w:val="clear" w:color="auto" w:fill="8DB3E2" w:themeFill="text2" w:themeFillTint="66"/>
          </w:tcPr>
          <w:p w:rsidR="00C5290A" w:rsidRPr="00C5290A" w:rsidP="00907BD7" w14:paraId="046759AC" w14:textId="42ED3FA0">
            <w:pPr>
              <w:widowControl/>
              <w:tabs>
                <w:tab w:val="left" w:pos="720"/>
              </w:tabs>
              <w:autoSpaceDE/>
              <w:autoSpaceDN/>
              <w:adjustRightInd/>
              <w:jc w:val="center"/>
              <w:rPr>
                <w:rFonts w:ascii="Arial" w:hAnsi="Arial"/>
                <w:b/>
                <w:sz w:val="16"/>
                <w:szCs w:val="20"/>
              </w:rPr>
            </w:pPr>
            <w:r>
              <w:rPr>
                <w:rFonts w:ascii="Arial" w:hAnsi="Arial"/>
                <w:b/>
                <w:sz w:val="16"/>
                <w:szCs w:val="20"/>
              </w:rPr>
              <w:t xml:space="preserve">Item </w:t>
            </w:r>
            <w:r w:rsidR="00870FC7">
              <w:rPr>
                <w:rFonts w:ascii="Arial" w:hAnsi="Arial"/>
                <w:b/>
                <w:sz w:val="16"/>
                <w:szCs w:val="20"/>
              </w:rPr>
              <w:t>No.</w:t>
            </w:r>
          </w:p>
          <w:p w:rsidR="00C5290A" w:rsidRPr="00C5290A" w:rsidP="00907BD7" w14:paraId="0BE7BB68" w14:textId="77777777">
            <w:pPr>
              <w:widowControl/>
              <w:tabs>
                <w:tab w:val="left" w:pos="720"/>
              </w:tabs>
              <w:autoSpaceDE/>
              <w:autoSpaceDN/>
              <w:adjustRightInd/>
              <w:jc w:val="center"/>
              <w:rPr>
                <w:rFonts w:ascii="Arial" w:hAnsi="Arial"/>
                <w:b/>
                <w:sz w:val="16"/>
                <w:szCs w:val="20"/>
              </w:rPr>
            </w:pPr>
          </w:p>
        </w:tc>
        <w:tc>
          <w:tcPr>
            <w:tcW w:w="3690" w:type="dxa"/>
            <w:shd w:val="clear" w:color="auto" w:fill="8DB3E2" w:themeFill="text2" w:themeFillTint="66"/>
          </w:tcPr>
          <w:p w:rsidR="00C5290A" w:rsidRPr="00C5290A" w:rsidP="00907BD7" w14:paraId="540D46CB" w14:textId="77777777">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700" w:type="dxa"/>
            <w:shd w:val="clear" w:color="auto" w:fill="8DB3E2" w:themeFill="text2" w:themeFillTint="66"/>
          </w:tcPr>
          <w:p w:rsidR="00C5290A" w:rsidRPr="00C5290A" w:rsidP="00907BD7" w14:paraId="1C61B490" w14:textId="77777777">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070" w:type="dxa"/>
            <w:shd w:val="clear" w:color="auto" w:fill="8DB3E2" w:themeFill="text2" w:themeFillTint="66"/>
          </w:tcPr>
          <w:p w:rsidR="00C5290A" w:rsidRPr="00C5290A" w:rsidP="00907BD7" w14:paraId="6B58B17B" w14:textId="647A6A74">
            <w:pPr>
              <w:widowControl/>
              <w:autoSpaceDE/>
              <w:autoSpaceDN/>
              <w:adjustRightInd/>
              <w:jc w:val="center"/>
              <w:rPr>
                <w:rFonts w:ascii="Arial" w:hAnsi="Arial"/>
                <w:b/>
                <w:sz w:val="16"/>
                <w:szCs w:val="20"/>
              </w:rPr>
            </w:pPr>
            <w:r w:rsidRPr="00C5290A">
              <w:rPr>
                <w:rFonts w:ascii="Arial" w:hAnsi="Arial"/>
                <w:b/>
                <w:sz w:val="16"/>
                <w:szCs w:val="20"/>
              </w:rPr>
              <w:t>R</w:t>
            </w:r>
            <w:r w:rsidR="00A31737">
              <w:rPr>
                <w:rFonts w:ascii="Arial" w:hAnsi="Arial"/>
                <w:b/>
                <w:sz w:val="16"/>
                <w:szCs w:val="20"/>
              </w:rPr>
              <w:t>egulation</w:t>
            </w:r>
          </w:p>
        </w:tc>
      </w:tr>
      <w:tr w14:paraId="5EF97D3B" w14:textId="77777777" w:rsidTr="00AD165A">
        <w:tblPrEx>
          <w:tblW w:w="9360" w:type="dxa"/>
          <w:tblInd w:w="108" w:type="dxa"/>
          <w:tblLayout w:type="fixed"/>
          <w:tblLook w:val="0000"/>
        </w:tblPrEx>
        <w:trPr>
          <w:cantSplit/>
        </w:trPr>
        <w:tc>
          <w:tcPr>
            <w:tcW w:w="900" w:type="dxa"/>
            <w:vAlign w:val="center"/>
          </w:tcPr>
          <w:p w:rsidR="00AD165A" w:rsidRPr="00C5290A" w:rsidP="00AD165A" w14:paraId="6FE50050" w14:textId="08A2149B">
            <w:pPr>
              <w:widowControl/>
              <w:autoSpaceDE/>
              <w:autoSpaceDN/>
              <w:adjustRightInd/>
              <w:jc w:val="center"/>
              <w:rPr>
                <w:rFonts w:ascii="Arial" w:hAnsi="Arial"/>
                <w:b/>
                <w:sz w:val="16"/>
              </w:rPr>
            </w:pPr>
            <w:r w:rsidRPr="00C5290A">
              <w:rPr>
                <w:rFonts w:ascii="Arial" w:hAnsi="Arial"/>
                <w:b/>
                <w:sz w:val="16"/>
              </w:rPr>
              <w:t>1</w:t>
            </w:r>
          </w:p>
        </w:tc>
        <w:tc>
          <w:tcPr>
            <w:tcW w:w="3690" w:type="dxa"/>
          </w:tcPr>
          <w:p w:rsidR="00AD165A" w:rsidRPr="00B0428B" w:rsidP="00AD165A" w14:paraId="76CE4697" w14:textId="77777777">
            <w:pPr>
              <w:spacing w:line="120" w:lineRule="exact"/>
              <w:rPr>
                <w:rFonts w:ascii="Arial" w:hAnsi="Arial" w:cs="Arial"/>
                <w:sz w:val="16"/>
                <w:szCs w:val="16"/>
              </w:rPr>
            </w:pPr>
          </w:p>
          <w:p w:rsidR="00AD165A" w:rsidP="00AD165A" w14:paraId="2F79C929" w14:textId="77777777">
            <w:pPr>
              <w:widowControl/>
              <w:autoSpaceDE/>
              <w:autoSpaceDN/>
              <w:adjustRightInd/>
              <w:rPr>
                <w:rFonts w:ascii="Arial" w:hAnsi="Arial" w:cs="Arial"/>
                <w:sz w:val="16"/>
                <w:szCs w:val="16"/>
              </w:rPr>
            </w:pPr>
            <w:r w:rsidRPr="00B0428B">
              <w:rPr>
                <w:rFonts w:ascii="Arial" w:hAnsi="Arial" w:cs="Arial"/>
                <w:sz w:val="16"/>
                <w:szCs w:val="16"/>
              </w:rPr>
              <w:t>Sequence Listing in Application</w:t>
            </w:r>
          </w:p>
          <w:p w:rsidR="0094159D" w:rsidRPr="00C5290A" w:rsidP="00AD165A" w14:paraId="3F49F5B3" w14:textId="11D83BC6">
            <w:pPr>
              <w:widowControl/>
              <w:autoSpaceDE/>
              <w:autoSpaceDN/>
              <w:adjustRightInd/>
              <w:rPr>
                <w:rFonts w:ascii="Arial" w:hAnsi="Arial"/>
                <w:sz w:val="16"/>
              </w:rPr>
            </w:pPr>
          </w:p>
        </w:tc>
        <w:tc>
          <w:tcPr>
            <w:tcW w:w="2700" w:type="dxa"/>
          </w:tcPr>
          <w:p w:rsidR="00AD165A" w:rsidRPr="00B0428B" w:rsidP="00AD165A" w14:paraId="09536930" w14:textId="77777777">
            <w:pPr>
              <w:spacing w:line="120" w:lineRule="exact"/>
              <w:rPr>
                <w:rFonts w:ascii="Arial" w:hAnsi="Arial" w:cs="Arial"/>
                <w:sz w:val="16"/>
                <w:szCs w:val="16"/>
              </w:rPr>
            </w:pPr>
          </w:p>
          <w:p w:rsidR="00AD165A" w:rsidRPr="00C5290A" w:rsidP="00AD165A" w14:paraId="13639897" w14:textId="5FF705CA">
            <w:pPr>
              <w:widowControl/>
              <w:autoSpaceDE/>
              <w:autoSpaceDN/>
              <w:adjustRightInd/>
              <w:jc w:val="center"/>
              <w:rPr>
                <w:rFonts w:ascii="Arial" w:hAnsi="Arial"/>
                <w:sz w:val="16"/>
                <w:szCs w:val="20"/>
              </w:rPr>
            </w:pPr>
            <w:r w:rsidRPr="00B0428B">
              <w:rPr>
                <w:rFonts w:ascii="Arial" w:hAnsi="Arial" w:cs="Arial"/>
                <w:sz w:val="16"/>
                <w:szCs w:val="16"/>
              </w:rPr>
              <w:t>35 U.S.C. § 22</w:t>
            </w:r>
          </w:p>
        </w:tc>
        <w:tc>
          <w:tcPr>
            <w:tcW w:w="2070" w:type="dxa"/>
          </w:tcPr>
          <w:p w:rsidR="00AD165A" w:rsidRPr="00B0428B" w:rsidP="00AD165A" w14:paraId="22A60ECB" w14:textId="77777777">
            <w:pPr>
              <w:spacing w:line="120" w:lineRule="exact"/>
              <w:rPr>
                <w:rFonts w:ascii="Arial" w:hAnsi="Arial" w:cs="Arial"/>
                <w:sz w:val="16"/>
                <w:szCs w:val="16"/>
              </w:rPr>
            </w:pPr>
          </w:p>
          <w:p w:rsidR="00AD165A" w:rsidRPr="00C5290A" w:rsidP="00AD165A" w14:paraId="6EE1940C" w14:textId="33E0B50E">
            <w:pPr>
              <w:widowControl/>
              <w:autoSpaceDE/>
              <w:autoSpaceDN/>
              <w:adjustRightInd/>
              <w:jc w:val="center"/>
              <w:rPr>
                <w:rFonts w:ascii="Arial" w:hAnsi="Arial"/>
                <w:sz w:val="16"/>
                <w:szCs w:val="20"/>
              </w:rPr>
            </w:pPr>
            <w:r w:rsidRPr="00B0428B">
              <w:rPr>
                <w:rFonts w:ascii="Arial" w:hAnsi="Arial" w:cs="Arial"/>
                <w:sz w:val="16"/>
                <w:szCs w:val="16"/>
              </w:rPr>
              <w:t>37 CFR 1.821-1.825</w:t>
            </w:r>
            <w:r w:rsidR="00ED4F7D">
              <w:rPr>
                <w:rFonts w:ascii="Arial" w:hAnsi="Arial" w:cs="Arial"/>
                <w:sz w:val="16"/>
                <w:szCs w:val="16"/>
              </w:rPr>
              <w:t xml:space="preserve"> (applications filed on or before June 30, 2022), 37 CFR 1.831-1.83</w:t>
            </w:r>
            <w:r w:rsidR="00D76133">
              <w:rPr>
                <w:rFonts w:ascii="Arial" w:hAnsi="Arial" w:cs="Arial"/>
                <w:sz w:val="16"/>
                <w:szCs w:val="16"/>
              </w:rPr>
              <w:t>5</w:t>
            </w:r>
            <w:r w:rsidR="00ED4F7D">
              <w:rPr>
                <w:rFonts w:ascii="Arial" w:hAnsi="Arial" w:cs="Arial"/>
                <w:sz w:val="16"/>
                <w:szCs w:val="16"/>
              </w:rPr>
              <w:t xml:space="preserve"> (applications filed on or after July 1, 2022)</w:t>
            </w:r>
          </w:p>
        </w:tc>
      </w:tr>
    </w:tbl>
    <w:p w:rsidR="00636EDA" w:rsidRPr="00004988" w:rsidP="00636EDA" w14:paraId="79D4A094" w14:textId="77777777">
      <w:pPr>
        <w:widowControl/>
        <w:jc w:val="both"/>
        <w:rPr>
          <w:rFonts w:ascii="Arial" w:hAnsi="Arial" w:cs="Arial"/>
          <w:b/>
          <w:color w:val="0000FF"/>
        </w:rPr>
      </w:pPr>
    </w:p>
    <w:p w:rsidR="00026BDE" w:rsidRPr="00004988" w:rsidP="00EE404D" w14:paraId="34EAB95C" w14:textId="46FC717B">
      <w:pPr>
        <w:pStyle w:val="ListParagraph"/>
        <w:widowControl/>
        <w:numPr>
          <w:ilvl w:val="0"/>
          <w:numId w:val="13"/>
        </w:numPr>
        <w:ind w:hanging="450"/>
        <w:jc w:val="both"/>
        <w:rPr>
          <w:rFonts w:ascii="Arial" w:hAnsi="Arial" w:cs="Arial"/>
          <w:b/>
          <w:sz w:val="32"/>
        </w:rPr>
      </w:pPr>
      <w:r w:rsidRPr="00004988">
        <w:rPr>
          <w:rFonts w:ascii="Arial" w:hAnsi="Arial" w:cs="Arial"/>
          <w:b/>
          <w:szCs w:val="20"/>
        </w:rPr>
        <w:t xml:space="preserve">Indicate how, by whom, and for what purpose the information is to be used. Except for a new collection, indicate the actual use the agency has made of the information received from the current collection. </w:t>
      </w:r>
    </w:p>
    <w:p w:rsidR="00026BDE" w:rsidP="00636EDA" w14:paraId="5366D60C" w14:textId="78B8DA09">
      <w:pPr>
        <w:widowControl/>
        <w:jc w:val="both"/>
        <w:rPr>
          <w:rFonts w:ascii="Arial" w:hAnsi="Arial" w:cs="Arial"/>
          <w:color w:val="0000FF"/>
        </w:rPr>
      </w:pPr>
    </w:p>
    <w:p w:rsidR="00AD165A" w:rsidRPr="00B0428B" w:rsidP="00AD165A" w14:paraId="3A84E850" w14:textId="32C0513E">
      <w:pPr>
        <w:widowControl/>
        <w:jc w:val="both"/>
        <w:rPr>
          <w:rFonts w:ascii="Arial" w:hAnsi="Arial" w:cs="Arial"/>
        </w:rPr>
      </w:pPr>
      <w:r w:rsidRPr="00B0428B">
        <w:rPr>
          <w:rFonts w:ascii="Arial" w:hAnsi="Arial" w:cs="Arial"/>
        </w:rPr>
        <w:t xml:space="preserve">The USPTO uses </w:t>
      </w:r>
      <w:r>
        <w:rPr>
          <w:rFonts w:ascii="Arial" w:hAnsi="Arial" w:cs="Arial"/>
        </w:rPr>
        <w:t xml:space="preserve">the </w:t>
      </w:r>
      <w:r w:rsidRPr="00B0428B">
        <w:rPr>
          <w:rFonts w:ascii="Arial" w:hAnsi="Arial" w:cs="Arial"/>
        </w:rPr>
        <w:t>sequence listing</w:t>
      </w:r>
      <w:r>
        <w:rPr>
          <w:rFonts w:ascii="Arial" w:hAnsi="Arial" w:cs="Arial"/>
        </w:rPr>
        <w:t>s</w:t>
      </w:r>
      <w:r w:rsidRPr="00B0428B">
        <w:rPr>
          <w:rFonts w:ascii="Arial" w:hAnsi="Arial" w:cs="Arial"/>
        </w:rPr>
        <w:t xml:space="preserve"> </w:t>
      </w:r>
      <w:r>
        <w:rPr>
          <w:rFonts w:ascii="Arial" w:hAnsi="Arial" w:cs="Arial"/>
        </w:rPr>
        <w:t xml:space="preserve">during the examination process </w:t>
      </w:r>
      <w:r w:rsidRPr="00B0428B">
        <w:rPr>
          <w:rFonts w:ascii="Arial" w:hAnsi="Arial" w:cs="Arial"/>
        </w:rPr>
        <w:t xml:space="preserve">to determine the patentability of </w:t>
      </w:r>
      <w:r>
        <w:rPr>
          <w:rFonts w:ascii="Arial" w:hAnsi="Arial" w:cs="Arial"/>
        </w:rPr>
        <w:t xml:space="preserve">the </w:t>
      </w:r>
      <w:r w:rsidR="00A96106">
        <w:rPr>
          <w:rFonts w:ascii="Arial" w:hAnsi="Arial" w:cs="Arial"/>
        </w:rPr>
        <w:t>invention claimed in the application</w:t>
      </w:r>
      <w:r>
        <w:rPr>
          <w:rFonts w:ascii="Arial" w:hAnsi="Arial" w:cs="Arial"/>
        </w:rPr>
        <w:t xml:space="preserve">. The USPTO also uses the sequence listings </w:t>
      </w:r>
      <w:r w:rsidR="00A96106">
        <w:rPr>
          <w:rFonts w:ascii="Arial" w:hAnsi="Arial" w:cs="Arial"/>
        </w:rPr>
        <w:t>for</w:t>
      </w:r>
      <w:r w:rsidRPr="00B0428B">
        <w:rPr>
          <w:rFonts w:ascii="Arial" w:hAnsi="Arial" w:cs="Arial"/>
        </w:rPr>
        <w:t xml:space="preserve"> </w:t>
      </w:r>
      <w:r w:rsidR="00D76133">
        <w:rPr>
          <w:rFonts w:ascii="Arial" w:hAnsi="Arial" w:cs="Arial"/>
        </w:rPr>
        <w:t xml:space="preserve">pre-grant </w:t>
      </w:r>
      <w:r w:rsidRPr="00B0428B">
        <w:rPr>
          <w:rFonts w:ascii="Arial" w:hAnsi="Arial" w:cs="Arial"/>
        </w:rPr>
        <w:t xml:space="preserve">publication of </w:t>
      </w:r>
      <w:r>
        <w:rPr>
          <w:rFonts w:ascii="Arial" w:hAnsi="Arial" w:cs="Arial"/>
        </w:rPr>
        <w:t xml:space="preserve">applications and </w:t>
      </w:r>
      <w:r w:rsidRPr="00B0428B">
        <w:rPr>
          <w:rFonts w:ascii="Arial" w:hAnsi="Arial" w:cs="Arial"/>
        </w:rPr>
        <w:t xml:space="preserve">issued patents. </w:t>
      </w:r>
      <w:r>
        <w:rPr>
          <w:rFonts w:ascii="Arial" w:hAnsi="Arial" w:cs="Arial"/>
        </w:rPr>
        <w:t>The USPTO enters the information in the CRF into the USPTO’s database for searching and printing nucleotide and amino acid sequences.</w:t>
      </w:r>
      <w:r w:rsidRPr="00B0428B">
        <w:rPr>
          <w:rFonts w:ascii="Arial" w:hAnsi="Arial" w:cs="Arial"/>
        </w:rPr>
        <w:t xml:space="preserve"> </w:t>
      </w:r>
      <w:r w:rsidRPr="00A96106" w:rsidR="00A96106">
        <w:rPr>
          <w:rFonts w:ascii="Arial" w:hAnsi="Arial" w:cs="Arial"/>
        </w:rPr>
        <w:t xml:space="preserve">Sequence listings are publicly searchable </w:t>
      </w:r>
      <w:r w:rsidR="00A96106">
        <w:rPr>
          <w:rFonts w:ascii="Arial" w:hAnsi="Arial" w:cs="Arial"/>
        </w:rPr>
        <w:t>on the USPTO’s website upon</w:t>
      </w:r>
      <w:r w:rsidRPr="00A96106" w:rsidR="00A96106">
        <w:rPr>
          <w:rFonts w:ascii="Arial" w:hAnsi="Arial" w:cs="Arial"/>
        </w:rPr>
        <w:t xml:space="preserve"> </w:t>
      </w:r>
      <w:r w:rsidR="00A96106">
        <w:rPr>
          <w:rFonts w:ascii="Arial" w:hAnsi="Arial" w:cs="Arial"/>
        </w:rPr>
        <w:t xml:space="preserve">application </w:t>
      </w:r>
      <w:r w:rsidRPr="00A96106" w:rsidR="00A96106">
        <w:rPr>
          <w:rFonts w:ascii="Arial" w:hAnsi="Arial" w:cs="Arial"/>
        </w:rPr>
        <w:t xml:space="preserve">publication and/or issuance. </w:t>
      </w:r>
      <w:r w:rsidRPr="00B0428B">
        <w:rPr>
          <w:rFonts w:ascii="Arial" w:hAnsi="Arial" w:cs="Arial"/>
        </w:rPr>
        <w:t xml:space="preserve">Copies of sequence listings </w:t>
      </w:r>
      <w:r>
        <w:rPr>
          <w:rFonts w:ascii="Arial" w:hAnsi="Arial" w:cs="Arial"/>
        </w:rPr>
        <w:t xml:space="preserve">from issued patents </w:t>
      </w:r>
      <w:r w:rsidR="00D76133">
        <w:rPr>
          <w:rFonts w:ascii="Arial" w:hAnsi="Arial" w:cs="Arial"/>
        </w:rPr>
        <w:t>and pre-grant patent application publications are</w:t>
      </w:r>
      <w:r>
        <w:rPr>
          <w:rFonts w:ascii="Arial" w:hAnsi="Arial" w:cs="Arial"/>
        </w:rPr>
        <w:t xml:space="preserve"> </w:t>
      </w:r>
      <w:r w:rsidRPr="00B0428B">
        <w:rPr>
          <w:rFonts w:ascii="Arial" w:hAnsi="Arial" w:cs="Arial"/>
        </w:rPr>
        <w:t>forwarded to the National Center for Biotechnology Information</w:t>
      </w:r>
      <w:r>
        <w:rPr>
          <w:rFonts w:ascii="Arial" w:hAnsi="Arial" w:cs="Arial"/>
        </w:rPr>
        <w:t xml:space="preserve"> for inclusion in their sequence database</w:t>
      </w:r>
      <w:r w:rsidRPr="00B0428B">
        <w:rPr>
          <w:rFonts w:ascii="Arial" w:hAnsi="Arial" w:cs="Arial"/>
        </w:rPr>
        <w:t xml:space="preserve">. Applicants use sequence </w:t>
      </w:r>
      <w:r>
        <w:rPr>
          <w:rFonts w:ascii="Arial" w:hAnsi="Arial" w:cs="Arial"/>
        </w:rPr>
        <w:t xml:space="preserve">listings </w:t>
      </w:r>
      <w:r w:rsidRPr="00B0428B">
        <w:rPr>
          <w:rFonts w:ascii="Arial" w:hAnsi="Arial" w:cs="Arial"/>
        </w:rPr>
        <w:t xml:space="preserve">when preparing both national and international patent applications </w:t>
      </w:r>
      <w:r w:rsidR="00D76133">
        <w:rPr>
          <w:rFonts w:ascii="Arial" w:hAnsi="Arial" w:cs="Arial"/>
        </w:rPr>
        <w:t>that disclose</w:t>
      </w:r>
      <w:r w:rsidRPr="00B0428B" w:rsidR="00D76133">
        <w:rPr>
          <w:rFonts w:ascii="Arial" w:hAnsi="Arial" w:cs="Arial"/>
        </w:rPr>
        <w:t xml:space="preserve"> </w:t>
      </w:r>
      <w:r w:rsidRPr="00B0428B">
        <w:rPr>
          <w:rFonts w:ascii="Arial" w:hAnsi="Arial" w:cs="Arial"/>
        </w:rPr>
        <w:t xml:space="preserve">nucleotide </w:t>
      </w:r>
      <w:r w:rsidR="00D76133">
        <w:rPr>
          <w:rFonts w:ascii="Arial" w:hAnsi="Arial" w:cs="Arial"/>
        </w:rPr>
        <w:t>and/</w:t>
      </w:r>
      <w:r w:rsidRPr="00B0428B">
        <w:rPr>
          <w:rFonts w:ascii="Arial" w:hAnsi="Arial" w:cs="Arial"/>
        </w:rPr>
        <w:t>or amino acid sequences</w:t>
      </w:r>
      <w:r>
        <w:rPr>
          <w:rFonts w:ascii="Arial" w:hAnsi="Arial" w:cs="Arial"/>
        </w:rPr>
        <w:t xml:space="preserve"> to provide a written description of the invention and to distinguish the claimed subject matter from the prior art</w:t>
      </w:r>
      <w:r w:rsidRPr="00B0428B">
        <w:rPr>
          <w:rFonts w:ascii="Arial" w:hAnsi="Arial" w:cs="Arial"/>
        </w:rPr>
        <w:t>.</w:t>
      </w:r>
    </w:p>
    <w:p w:rsidR="00AD165A" w:rsidRPr="00B0428B" w:rsidP="00AD165A" w14:paraId="17D127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rsidR="00AD165A" w:rsidRPr="00B0428B" w:rsidP="00AD165A" w14:paraId="4DF1663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B0428B">
        <w:rPr>
          <w:rFonts w:ascii="Arial" w:hAnsi="Arial" w:cs="Arial"/>
        </w:rPr>
        <w:t xml:space="preserve">The information </w:t>
      </w:r>
      <w:r>
        <w:rPr>
          <w:rFonts w:ascii="Arial" w:hAnsi="Arial" w:cs="Arial"/>
        </w:rPr>
        <w:t xml:space="preserve">collected, maintained, and used in this collection is based on OMB and USPTO guidelines. This includes the basic information quality standards established in the Paperwork Reduction Act (44 U.S.C. Chapter 35), in OMB Circular A-130, and in the USPTO information quality guidelines. </w:t>
      </w:r>
    </w:p>
    <w:p w:rsidR="00AD165A" w:rsidRPr="00B0428B" w:rsidP="00AD165A" w14:paraId="40EA943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rsidR="00BF425F" w:rsidP="005A55BD" w14:paraId="19EB0D0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B0428B">
        <w:rPr>
          <w:rFonts w:ascii="Arial" w:hAnsi="Arial" w:cs="Arial"/>
        </w:rPr>
        <w:t>Table 2 outlines how this collection of information is used by the public and the USPTO:</w:t>
      </w:r>
    </w:p>
    <w:p w:rsidR="00E52433" w:rsidP="005A55BD" w14:paraId="5DA402D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rPr>
      </w:pPr>
    </w:p>
    <w:p w:rsidR="00636EDA" w:rsidRPr="00CD7C5E" w:rsidP="005A55BD" w14:paraId="79D4A09F" w14:textId="4608E0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D7C5E">
        <w:rPr>
          <w:rFonts w:ascii="Arial" w:hAnsi="Arial" w:cs="Arial"/>
          <w:b/>
          <w:bCs/>
          <w:sz w:val="20"/>
          <w:szCs w:val="20"/>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2340"/>
        <w:gridCol w:w="1620"/>
        <w:gridCol w:w="4230"/>
      </w:tblGrid>
      <w:tr w14:paraId="56771B1B" w14:textId="77777777" w:rsidTr="00907BD7">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78"/>
        </w:trPr>
        <w:tc>
          <w:tcPr>
            <w:tcW w:w="1170" w:type="dxa"/>
            <w:shd w:val="clear" w:color="auto" w:fill="8DB3E2" w:themeFill="text2" w:themeFillTint="66"/>
          </w:tcPr>
          <w:p w:rsidR="00C5290A" w:rsidRPr="00C5290A" w:rsidP="00C5290A" w14:paraId="25F03DAA" w14:textId="77777777">
            <w:pPr>
              <w:widowControl/>
              <w:tabs>
                <w:tab w:val="left" w:pos="720"/>
              </w:tabs>
              <w:autoSpaceDE/>
              <w:autoSpaceDN/>
              <w:adjustRightInd/>
              <w:jc w:val="center"/>
              <w:rPr>
                <w:rFonts w:ascii="Arial" w:hAnsi="Arial"/>
                <w:b/>
                <w:sz w:val="16"/>
                <w:szCs w:val="20"/>
              </w:rPr>
            </w:pPr>
          </w:p>
          <w:p w:rsidR="00C5290A" w:rsidRPr="00C5290A" w:rsidP="00C5290A" w14:paraId="0C7A6FCA" w14:textId="3327840A">
            <w:pPr>
              <w:widowControl/>
              <w:tabs>
                <w:tab w:val="left" w:pos="720"/>
              </w:tabs>
              <w:autoSpaceDE/>
              <w:autoSpaceDN/>
              <w:adjustRightInd/>
              <w:jc w:val="center"/>
              <w:rPr>
                <w:rFonts w:ascii="Arial" w:hAnsi="Arial"/>
                <w:b/>
                <w:sz w:val="16"/>
                <w:szCs w:val="20"/>
              </w:rPr>
            </w:pPr>
            <w:r>
              <w:rPr>
                <w:rFonts w:ascii="Arial" w:hAnsi="Arial"/>
                <w:b/>
                <w:sz w:val="16"/>
                <w:szCs w:val="20"/>
              </w:rPr>
              <w:t>Item No.</w:t>
            </w:r>
          </w:p>
        </w:tc>
        <w:tc>
          <w:tcPr>
            <w:tcW w:w="2340" w:type="dxa"/>
            <w:shd w:val="clear" w:color="auto" w:fill="8DB3E2" w:themeFill="text2" w:themeFillTint="66"/>
          </w:tcPr>
          <w:p w:rsidR="00C5290A" w:rsidRPr="00C5290A" w:rsidP="00C5290A" w14:paraId="501F415E" w14:textId="77777777">
            <w:pPr>
              <w:widowControl/>
              <w:tabs>
                <w:tab w:val="left" w:pos="720"/>
              </w:tabs>
              <w:autoSpaceDE/>
              <w:autoSpaceDN/>
              <w:adjustRightInd/>
              <w:jc w:val="center"/>
              <w:rPr>
                <w:rFonts w:ascii="Arial" w:hAnsi="Arial"/>
                <w:b/>
                <w:sz w:val="16"/>
                <w:szCs w:val="20"/>
              </w:rPr>
            </w:pPr>
          </w:p>
          <w:p w:rsidR="00C5290A" w:rsidRPr="00C5290A" w:rsidP="00D92CEB" w14:paraId="5A1B9AB3" w14:textId="1EE1EBBB">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w:t>
            </w:r>
            <w:r w:rsidR="00D92CEB">
              <w:rPr>
                <w:rFonts w:ascii="Arial" w:hAnsi="Arial"/>
                <w:b/>
                <w:sz w:val="16"/>
                <w:szCs w:val="20"/>
              </w:rPr>
              <w:t>/</w:t>
            </w:r>
            <w:r w:rsidRPr="00C5290A">
              <w:rPr>
                <w:rFonts w:ascii="Arial" w:hAnsi="Arial"/>
                <w:b/>
                <w:sz w:val="16"/>
                <w:szCs w:val="20"/>
              </w:rPr>
              <w:t xml:space="preserve"> Function</w:t>
            </w:r>
          </w:p>
        </w:tc>
        <w:tc>
          <w:tcPr>
            <w:tcW w:w="1620" w:type="dxa"/>
            <w:shd w:val="clear" w:color="auto" w:fill="8DB3E2" w:themeFill="text2" w:themeFillTint="66"/>
          </w:tcPr>
          <w:p w:rsidR="00C5290A" w:rsidRPr="00C5290A" w:rsidP="00C5290A" w14:paraId="700A9FEA" w14:textId="77777777">
            <w:pPr>
              <w:widowControl/>
              <w:tabs>
                <w:tab w:val="left" w:pos="720"/>
              </w:tabs>
              <w:autoSpaceDE/>
              <w:autoSpaceDN/>
              <w:adjustRightInd/>
              <w:jc w:val="center"/>
              <w:rPr>
                <w:rFonts w:ascii="Arial" w:hAnsi="Arial"/>
                <w:b/>
                <w:sz w:val="16"/>
                <w:szCs w:val="20"/>
              </w:rPr>
            </w:pPr>
          </w:p>
          <w:p w:rsidR="00C5290A" w:rsidRPr="00C5290A" w:rsidP="00C5290A" w14:paraId="62A5BA82" w14:textId="77777777">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Form #</w:t>
            </w:r>
          </w:p>
        </w:tc>
        <w:tc>
          <w:tcPr>
            <w:tcW w:w="4230" w:type="dxa"/>
            <w:shd w:val="clear" w:color="auto" w:fill="8DB3E2" w:themeFill="text2" w:themeFillTint="66"/>
          </w:tcPr>
          <w:p w:rsidR="00C5290A" w:rsidRPr="00C5290A" w:rsidP="00C5290A" w14:paraId="0AF0F9A7" w14:textId="77777777">
            <w:pPr>
              <w:widowControl/>
              <w:tabs>
                <w:tab w:val="left" w:pos="720"/>
              </w:tabs>
              <w:autoSpaceDE/>
              <w:autoSpaceDN/>
              <w:adjustRightInd/>
              <w:jc w:val="center"/>
              <w:rPr>
                <w:rFonts w:ascii="Arial" w:hAnsi="Arial"/>
                <w:b/>
                <w:sz w:val="16"/>
                <w:szCs w:val="20"/>
              </w:rPr>
            </w:pPr>
          </w:p>
          <w:p w:rsidR="00C5290A" w:rsidRPr="00C5290A" w:rsidP="00C5290A" w14:paraId="59A628C6" w14:textId="77777777">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14:paraId="4684C2C1" w14:textId="77777777" w:rsidTr="00F9783F">
        <w:tblPrEx>
          <w:tblW w:w="9360" w:type="dxa"/>
          <w:tblInd w:w="108" w:type="dxa"/>
          <w:tblLayout w:type="fixed"/>
          <w:tblLook w:val="0000"/>
        </w:tblPrEx>
        <w:trPr>
          <w:cantSplit/>
        </w:trPr>
        <w:tc>
          <w:tcPr>
            <w:tcW w:w="1170" w:type="dxa"/>
          </w:tcPr>
          <w:p w:rsidR="00AD165A" w:rsidRPr="00C5290A" w:rsidP="00AD165A" w14:paraId="3257B938" w14:textId="77777777">
            <w:pPr>
              <w:widowControl/>
              <w:tabs>
                <w:tab w:val="left" w:pos="720"/>
              </w:tabs>
              <w:autoSpaceDE/>
              <w:autoSpaceDN/>
              <w:adjustRightInd/>
              <w:jc w:val="center"/>
              <w:rPr>
                <w:rFonts w:ascii="Arial" w:hAnsi="Arial"/>
                <w:b/>
                <w:sz w:val="16"/>
              </w:rPr>
            </w:pPr>
          </w:p>
          <w:p w:rsidR="00AD165A" w:rsidRPr="00C5290A" w:rsidP="00AD165A" w14:paraId="6A696E16" w14:textId="2C9026AB">
            <w:pPr>
              <w:widowControl/>
              <w:tabs>
                <w:tab w:val="left" w:pos="720"/>
              </w:tabs>
              <w:autoSpaceDE/>
              <w:autoSpaceDN/>
              <w:adjustRightInd/>
              <w:jc w:val="center"/>
              <w:rPr>
                <w:rFonts w:ascii="Arial" w:hAnsi="Arial"/>
                <w:b/>
                <w:sz w:val="16"/>
              </w:rPr>
            </w:pPr>
            <w:r w:rsidRPr="00C5290A">
              <w:rPr>
                <w:rFonts w:ascii="Arial" w:hAnsi="Arial"/>
                <w:b/>
                <w:sz w:val="16"/>
              </w:rPr>
              <w:t>1</w:t>
            </w:r>
          </w:p>
        </w:tc>
        <w:tc>
          <w:tcPr>
            <w:tcW w:w="2340" w:type="dxa"/>
          </w:tcPr>
          <w:p w:rsidR="00AD165A" w:rsidRPr="00B0428B" w:rsidP="00AD165A" w14:paraId="6D7E4479" w14:textId="77777777">
            <w:pPr>
              <w:spacing w:line="120" w:lineRule="exact"/>
              <w:rPr>
                <w:rFonts w:ascii="Arial" w:hAnsi="Arial" w:cs="Arial"/>
                <w:sz w:val="16"/>
                <w:szCs w:val="16"/>
              </w:rPr>
            </w:pPr>
          </w:p>
          <w:p w:rsidR="00AD165A" w:rsidRPr="00C5290A" w:rsidP="00AD165A" w14:paraId="42E56C92" w14:textId="4160026F">
            <w:pPr>
              <w:widowControl/>
              <w:tabs>
                <w:tab w:val="left" w:pos="720"/>
              </w:tabs>
              <w:autoSpaceDE/>
              <w:autoSpaceDN/>
              <w:adjustRightInd/>
              <w:rPr>
                <w:rFonts w:ascii="Arial" w:hAnsi="Arial" w:cs="Arial"/>
                <w:sz w:val="16"/>
              </w:rPr>
            </w:pPr>
            <w:r w:rsidRPr="00B0428B">
              <w:rPr>
                <w:rFonts w:ascii="Arial" w:hAnsi="Arial" w:cs="Arial"/>
                <w:sz w:val="16"/>
                <w:szCs w:val="16"/>
              </w:rPr>
              <w:t>Sequence Listing in Application</w:t>
            </w:r>
          </w:p>
        </w:tc>
        <w:tc>
          <w:tcPr>
            <w:tcW w:w="1620" w:type="dxa"/>
          </w:tcPr>
          <w:p w:rsidR="00AD165A" w:rsidRPr="00B0428B" w:rsidP="00AD165A" w14:paraId="7D3F1D3F" w14:textId="77777777">
            <w:pPr>
              <w:spacing w:line="120" w:lineRule="exact"/>
              <w:rPr>
                <w:rFonts w:ascii="Arial" w:hAnsi="Arial" w:cs="Arial"/>
                <w:sz w:val="16"/>
                <w:szCs w:val="16"/>
              </w:rPr>
            </w:pPr>
          </w:p>
          <w:p w:rsidR="00AD165A" w:rsidRPr="00C5290A" w:rsidP="00AD165A" w14:paraId="17ECF6EF" w14:textId="7951F644">
            <w:pPr>
              <w:widowControl/>
              <w:tabs>
                <w:tab w:val="left" w:pos="720"/>
              </w:tabs>
              <w:autoSpaceDE/>
              <w:autoSpaceDN/>
              <w:adjustRightInd/>
              <w:jc w:val="center"/>
              <w:rPr>
                <w:rFonts w:ascii="Arial" w:hAnsi="Arial"/>
                <w:sz w:val="16"/>
                <w:szCs w:val="20"/>
              </w:rPr>
            </w:pPr>
            <w:r w:rsidRPr="00B0428B">
              <w:rPr>
                <w:rFonts w:ascii="Arial" w:hAnsi="Arial" w:cs="Arial"/>
                <w:sz w:val="16"/>
                <w:szCs w:val="16"/>
              </w:rPr>
              <w:t>No Form Associated</w:t>
            </w:r>
          </w:p>
        </w:tc>
        <w:tc>
          <w:tcPr>
            <w:tcW w:w="4230" w:type="dxa"/>
          </w:tcPr>
          <w:p w:rsidR="00AD165A" w:rsidRPr="00B0428B" w:rsidP="00AD165A" w14:paraId="2EF6CB96" w14:textId="77777777">
            <w:pPr>
              <w:spacing w:line="120" w:lineRule="exact"/>
              <w:rPr>
                <w:rFonts w:ascii="Arial" w:hAnsi="Arial" w:cs="Arial"/>
                <w:sz w:val="16"/>
                <w:szCs w:val="16"/>
              </w:rPr>
            </w:pPr>
          </w:p>
          <w:p w:rsidR="00AD165A" w:rsidRPr="00B0428B" w:rsidP="00AD165A" w14:paraId="4CECFB94" w14:textId="77777777">
            <w:pPr>
              <w:pStyle w:val="a0"/>
              <w:widowControl/>
              <w:numPr>
                <w:ilvl w:val="0"/>
                <w:numId w:val="16"/>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Used by the public when preparing a U.S. or international patent application containing nucleotide and/or amino acid sequence information.</w:t>
            </w:r>
          </w:p>
          <w:p w:rsidR="00AD165A" w:rsidP="00AD165A" w14:paraId="3A7C3E8C" w14:textId="16F987ED">
            <w:pPr>
              <w:pStyle w:val="a0"/>
              <w:widowControl/>
              <w:numPr>
                <w:ilvl w:val="0"/>
                <w:numId w:val="16"/>
              </w:numPr>
              <w:tabs>
                <w:tab w:val="left" w:pos="-1440"/>
                <w:tab w:val="left" w:pos="-720"/>
                <w:tab w:val="left" w:pos="0"/>
                <w:tab w:val="left" w:pos="324"/>
                <w:tab w:val="left" w:pos="1440"/>
              </w:tabs>
              <w:ind w:left="324" w:hanging="324"/>
              <w:rPr>
                <w:rFonts w:ascii="Arial" w:hAnsi="Arial" w:cs="Arial"/>
                <w:sz w:val="16"/>
                <w:szCs w:val="16"/>
              </w:rPr>
            </w:pPr>
            <w:r w:rsidRPr="00B0428B">
              <w:rPr>
                <w:rFonts w:ascii="Arial" w:hAnsi="Arial" w:cs="Arial"/>
                <w:sz w:val="16"/>
                <w:szCs w:val="16"/>
              </w:rPr>
              <w:t xml:space="preserve">Used by the USPTO to determine the patentability of </w:t>
            </w:r>
            <w:r w:rsidR="00A20D65">
              <w:rPr>
                <w:rFonts w:ascii="Arial" w:hAnsi="Arial" w:cs="Arial"/>
                <w:sz w:val="16"/>
                <w:szCs w:val="16"/>
              </w:rPr>
              <w:t>the invention claimed in an</w:t>
            </w:r>
            <w:r w:rsidRPr="00B0428B" w:rsidR="00A20D65">
              <w:rPr>
                <w:rFonts w:ascii="Arial" w:hAnsi="Arial" w:cs="Arial"/>
                <w:sz w:val="16"/>
                <w:szCs w:val="16"/>
              </w:rPr>
              <w:t xml:space="preserve"> </w:t>
            </w:r>
            <w:r w:rsidRPr="00B0428B">
              <w:rPr>
                <w:rFonts w:ascii="Arial" w:hAnsi="Arial" w:cs="Arial"/>
                <w:sz w:val="16"/>
                <w:szCs w:val="16"/>
              </w:rPr>
              <w:t>application.</w:t>
            </w:r>
          </w:p>
          <w:p w:rsidR="00AD165A" w:rsidRPr="002629A7" w:rsidP="002629A7" w14:paraId="385C430B" w14:textId="12A32C5B">
            <w:pPr>
              <w:pStyle w:val="a0"/>
              <w:widowControl/>
              <w:numPr>
                <w:ilvl w:val="0"/>
                <w:numId w:val="16"/>
              </w:numPr>
              <w:tabs>
                <w:tab w:val="left" w:pos="-1440"/>
                <w:tab w:val="left" w:pos="-720"/>
                <w:tab w:val="left" w:pos="0"/>
                <w:tab w:val="left" w:pos="324"/>
                <w:tab w:val="left" w:pos="1440"/>
              </w:tabs>
              <w:ind w:left="324" w:hanging="324"/>
              <w:rPr>
                <w:rFonts w:ascii="Arial" w:hAnsi="Arial" w:cs="Arial"/>
                <w:sz w:val="16"/>
                <w:szCs w:val="16"/>
              </w:rPr>
            </w:pPr>
            <w:r>
              <w:rPr>
                <w:rFonts w:ascii="Arial" w:hAnsi="Arial" w:cs="Arial"/>
                <w:sz w:val="16"/>
                <w:szCs w:val="16"/>
              </w:rPr>
              <w:t xml:space="preserve">Used by the USPTO to support publication of </w:t>
            </w:r>
            <w:r w:rsidR="00A20D65">
              <w:rPr>
                <w:rFonts w:ascii="Arial" w:hAnsi="Arial" w:cs="Arial"/>
                <w:sz w:val="16"/>
                <w:szCs w:val="16"/>
              </w:rPr>
              <w:t xml:space="preserve">patent </w:t>
            </w:r>
            <w:r>
              <w:rPr>
                <w:rFonts w:ascii="Arial" w:hAnsi="Arial" w:cs="Arial"/>
                <w:sz w:val="16"/>
                <w:szCs w:val="16"/>
              </w:rPr>
              <w:t>applications and issued patents.</w:t>
            </w:r>
          </w:p>
        </w:tc>
      </w:tr>
    </w:tbl>
    <w:p w:rsidR="00636EDA" w:rsidRPr="00476F66" w:rsidP="00636EDA" w14:paraId="79D4A0B7" w14:textId="77777777">
      <w:pPr>
        <w:widowControl/>
        <w:jc w:val="both"/>
        <w:rPr>
          <w:rFonts w:ascii="Arial" w:hAnsi="Arial" w:cs="Arial"/>
          <w:color w:val="0000FF"/>
        </w:rPr>
      </w:pPr>
    </w:p>
    <w:p w:rsidR="00567B74" w:rsidRPr="00004988" w:rsidP="00EE404D" w14:paraId="6F5A8D53" w14:textId="08111934">
      <w:pPr>
        <w:pStyle w:val="ListParagraph"/>
        <w:widowControl/>
        <w:numPr>
          <w:ilvl w:val="0"/>
          <w:numId w:val="13"/>
        </w:numPr>
        <w:tabs>
          <w:tab w:val="left" w:pos="-984"/>
          <w:tab w:val="left" w:pos="-720"/>
          <w:tab w:val="left" w:pos="720"/>
        </w:tabs>
        <w:ind w:hanging="450"/>
        <w:jc w:val="both"/>
        <w:rPr>
          <w:rFonts w:ascii="Arial" w:hAnsi="Arial" w:cs="Arial"/>
          <w:b/>
          <w:bCs/>
          <w:sz w:val="32"/>
        </w:rPr>
      </w:pPr>
      <w:r w:rsidRPr="00004988">
        <w:rPr>
          <w:rFonts w:ascii="Arial" w:hAnsi="Arial" w:cs="Arial"/>
          <w:b/>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67B74" w:rsidRPr="00432944" w:rsidP="00636EDA" w14:paraId="22746287" w14:textId="77777777">
      <w:pPr>
        <w:widowControl/>
        <w:tabs>
          <w:tab w:val="left" w:pos="-984"/>
          <w:tab w:val="left" w:pos="-720"/>
          <w:tab w:val="left" w:pos="720"/>
        </w:tabs>
        <w:jc w:val="both"/>
        <w:rPr>
          <w:rFonts w:ascii="Arial" w:hAnsi="Arial" w:cs="Arial"/>
        </w:rPr>
      </w:pPr>
    </w:p>
    <w:p w:rsidR="00AD165A" w:rsidRPr="00B0428B" w:rsidP="00AD165A" w14:paraId="28C1860B" w14:textId="0AA7D04C">
      <w:pPr>
        <w:widowControl/>
        <w:tabs>
          <w:tab w:val="left" w:pos="-1176"/>
        </w:tabs>
        <w:jc w:val="both"/>
        <w:rPr>
          <w:rFonts w:ascii="Arial" w:hAnsi="Arial" w:cs="Arial"/>
        </w:rPr>
      </w:pPr>
      <w:r>
        <w:rPr>
          <w:rFonts w:ascii="Arial" w:hAnsi="Arial" w:cs="Arial"/>
        </w:rPr>
        <w:t>For U.S. applications</w:t>
      </w:r>
      <w:r w:rsidR="009171F1">
        <w:rPr>
          <w:rFonts w:ascii="Arial" w:hAnsi="Arial" w:cs="Arial"/>
        </w:rPr>
        <w:t xml:space="preserve"> filed on or before June </w:t>
      </w:r>
      <w:r w:rsidR="00D76133">
        <w:rPr>
          <w:rFonts w:ascii="Arial" w:hAnsi="Arial" w:cs="Arial"/>
        </w:rPr>
        <w:t>3</w:t>
      </w:r>
      <w:r w:rsidR="009171F1">
        <w:rPr>
          <w:rFonts w:ascii="Arial" w:hAnsi="Arial" w:cs="Arial"/>
        </w:rPr>
        <w:t>0, 2022</w:t>
      </w:r>
      <w:r>
        <w:rPr>
          <w:rFonts w:ascii="Arial" w:hAnsi="Arial" w:cs="Arial"/>
        </w:rPr>
        <w:t>, a</w:t>
      </w:r>
      <w:r w:rsidRPr="00B0428B">
        <w:rPr>
          <w:rFonts w:ascii="Arial" w:hAnsi="Arial" w:cs="Arial"/>
        </w:rPr>
        <w:t xml:space="preserve">pplicants may submit sequence listings on paper, </w:t>
      </w:r>
      <w:r w:rsidR="00A20D65">
        <w:rPr>
          <w:rFonts w:ascii="Arial" w:hAnsi="Arial" w:cs="Arial"/>
        </w:rPr>
        <w:t>read-only optical disc</w:t>
      </w:r>
      <w:r w:rsidRPr="00B0428B">
        <w:rPr>
          <w:rFonts w:ascii="Arial" w:hAnsi="Arial" w:cs="Arial"/>
        </w:rPr>
        <w:t>, or ele</w:t>
      </w:r>
      <w:r>
        <w:rPr>
          <w:rFonts w:ascii="Arial" w:hAnsi="Arial" w:cs="Arial"/>
        </w:rPr>
        <w:t xml:space="preserve">ctronically through </w:t>
      </w:r>
      <w:r w:rsidR="00A20D65">
        <w:rPr>
          <w:rFonts w:ascii="Arial" w:hAnsi="Arial" w:cs="Arial"/>
        </w:rPr>
        <w:t xml:space="preserve">the </w:t>
      </w:r>
      <w:r w:rsidR="00C75189">
        <w:rPr>
          <w:rFonts w:ascii="Arial" w:hAnsi="Arial" w:cs="Arial"/>
        </w:rPr>
        <w:t>USPTO patent electronic filing system</w:t>
      </w:r>
      <w:r w:rsidR="00D76133">
        <w:rPr>
          <w:rFonts w:ascii="Arial" w:hAnsi="Arial" w:cs="Arial"/>
        </w:rPr>
        <w:t xml:space="preserve"> as a text file or PDF</w:t>
      </w:r>
      <w:r>
        <w:rPr>
          <w:rFonts w:ascii="Arial" w:hAnsi="Arial" w:cs="Arial"/>
        </w:rPr>
        <w:t xml:space="preserve">. </w:t>
      </w:r>
      <w:r w:rsidRPr="00B0428B">
        <w:rPr>
          <w:rFonts w:ascii="Arial" w:hAnsi="Arial" w:cs="Arial"/>
        </w:rPr>
        <w:t xml:space="preserve">Due to PCT guidelines, sequence listings for international applications may not be submitted on </w:t>
      </w:r>
      <w:r w:rsidR="00A20D65">
        <w:rPr>
          <w:rFonts w:ascii="Arial" w:hAnsi="Arial" w:cs="Arial"/>
        </w:rPr>
        <w:t>read-only optical disc</w:t>
      </w:r>
      <w:r w:rsidRPr="00B0428B">
        <w:rPr>
          <w:rFonts w:ascii="Arial" w:hAnsi="Arial" w:cs="Arial"/>
        </w:rPr>
        <w:t xml:space="preserve">, except for oversized listings that are too large to submit online </w:t>
      </w:r>
      <w:r>
        <w:rPr>
          <w:rFonts w:ascii="Arial" w:hAnsi="Arial" w:cs="Arial"/>
        </w:rPr>
        <w:t xml:space="preserve">(more </w:t>
      </w:r>
      <w:r w:rsidRPr="00B0428B">
        <w:rPr>
          <w:rFonts w:ascii="Arial" w:hAnsi="Arial" w:cs="Arial"/>
        </w:rPr>
        <w:t>detail below</w:t>
      </w:r>
      <w:r>
        <w:rPr>
          <w:rFonts w:ascii="Arial" w:hAnsi="Arial" w:cs="Arial"/>
        </w:rPr>
        <w:t>)</w:t>
      </w:r>
      <w:r w:rsidRPr="00B0428B">
        <w:rPr>
          <w:rFonts w:ascii="Arial" w:hAnsi="Arial" w:cs="Arial"/>
        </w:rPr>
        <w:t>.</w:t>
      </w:r>
      <w:r>
        <w:rPr>
          <w:rFonts w:ascii="Arial" w:hAnsi="Arial" w:cs="Arial"/>
        </w:rPr>
        <w:t xml:space="preserve"> </w:t>
      </w:r>
      <w:r w:rsidRPr="00B0428B">
        <w:rPr>
          <w:rFonts w:ascii="Arial" w:hAnsi="Arial" w:cs="Arial"/>
        </w:rPr>
        <w:t xml:space="preserve">Submissions on </w:t>
      </w:r>
      <w:r w:rsidR="00A20D65">
        <w:rPr>
          <w:rFonts w:ascii="Arial" w:hAnsi="Arial" w:cs="Arial"/>
        </w:rPr>
        <w:t>read-only optical disc</w:t>
      </w:r>
      <w:r w:rsidRPr="00B0428B">
        <w:rPr>
          <w:rFonts w:ascii="Arial" w:hAnsi="Arial" w:cs="Arial"/>
        </w:rPr>
        <w:t xml:space="preserve"> must follow the guidelines specified in 37 CFR 1.52(e)</w:t>
      </w:r>
      <w:r>
        <w:rPr>
          <w:rFonts w:ascii="Arial" w:hAnsi="Arial" w:cs="Arial"/>
        </w:rPr>
        <w:t>.</w:t>
      </w:r>
      <w:r w:rsidRPr="00B0428B">
        <w:rPr>
          <w:rFonts w:ascii="Arial" w:hAnsi="Arial" w:cs="Arial"/>
        </w:rPr>
        <w:t xml:space="preserve"> Applicants who submit </w:t>
      </w:r>
      <w:r>
        <w:rPr>
          <w:rFonts w:ascii="Arial" w:hAnsi="Arial" w:cs="Arial"/>
        </w:rPr>
        <w:t xml:space="preserve">their sequence listings on </w:t>
      </w:r>
      <w:r w:rsidRPr="00B0428B">
        <w:rPr>
          <w:rFonts w:ascii="Arial" w:hAnsi="Arial" w:cs="Arial"/>
        </w:rPr>
        <w:t>paper</w:t>
      </w:r>
      <w:r>
        <w:rPr>
          <w:rFonts w:ascii="Arial" w:hAnsi="Arial" w:cs="Arial"/>
        </w:rPr>
        <w:t xml:space="preserve"> or as a PDF via </w:t>
      </w:r>
      <w:r w:rsidR="00A20D65">
        <w:rPr>
          <w:rFonts w:ascii="Arial" w:hAnsi="Arial" w:cs="Arial"/>
        </w:rPr>
        <w:t xml:space="preserve">the </w:t>
      </w:r>
      <w:r w:rsidR="00C75189">
        <w:rPr>
          <w:rFonts w:ascii="Arial" w:hAnsi="Arial" w:cs="Arial"/>
        </w:rPr>
        <w:t>USPTO patent electronic filing system</w:t>
      </w:r>
      <w:r>
        <w:rPr>
          <w:rFonts w:ascii="Arial" w:hAnsi="Arial" w:cs="Arial"/>
        </w:rPr>
        <w:t xml:space="preserve"> also </w:t>
      </w:r>
      <w:r w:rsidRPr="00B0428B">
        <w:rPr>
          <w:rFonts w:ascii="Arial" w:hAnsi="Arial" w:cs="Arial"/>
        </w:rPr>
        <w:t xml:space="preserve">are required to submit a CRF copy of the listing, which facilitates the </w:t>
      </w:r>
      <w:r w:rsidRPr="00B0428B">
        <w:rPr>
          <w:rFonts w:ascii="Arial" w:hAnsi="Arial" w:cs="Arial"/>
        </w:rPr>
        <w:t>ability of examiners to search sequences and improves the accuracy and efficie</w:t>
      </w:r>
      <w:r>
        <w:rPr>
          <w:rFonts w:ascii="Arial" w:hAnsi="Arial" w:cs="Arial"/>
        </w:rPr>
        <w:t>ncy of the publishing process.</w:t>
      </w:r>
    </w:p>
    <w:p w:rsidR="00AD165A" w:rsidRPr="00B0428B" w:rsidP="00AD165A" w14:paraId="23402419" w14:textId="77777777">
      <w:pPr>
        <w:widowControl/>
        <w:jc w:val="both"/>
        <w:rPr>
          <w:rFonts w:ascii="Arial" w:hAnsi="Arial" w:cs="Arial"/>
        </w:rPr>
      </w:pPr>
    </w:p>
    <w:p w:rsidR="009171F1" w:rsidP="00AD165A" w14:paraId="10E4EB69" w14:textId="4B517AD9">
      <w:pPr>
        <w:widowControl/>
        <w:tabs>
          <w:tab w:val="left" w:pos="-1176"/>
        </w:tabs>
        <w:jc w:val="both"/>
        <w:rPr>
          <w:rFonts w:ascii="Arial" w:hAnsi="Arial" w:cs="Arial"/>
        </w:rPr>
      </w:pPr>
      <w:r w:rsidRPr="00D76133">
        <w:rPr>
          <w:rFonts w:ascii="Arial" w:hAnsi="Arial" w:cs="Arial"/>
        </w:rPr>
        <w:t>For U.S. applications filed on or after July 1, 2022, applicants may submit sequence listings as XML files</w:t>
      </w:r>
      <w:r w:rsidRPr="00D76133" w:rsidR="006E7CAA">
        <w:rPr>
          <w:rFonts w:ascii="Arial" w:hAnsi="Arial" w:cs="Arial"/>
        </w:rPr>
        <w:t xml:space="preserve"> transmitted</w:t>
      </w:r>
      <w:r w:rsidRPr="00D76133">
        <w:rPr>
          <w:rFonts w:ascii="Arial" w:hAnsi="Arial" w:cs="Arial"/>
        </w:rPr>
        <w:t xml:space="preserve"> electronically through the </w:t>
      </w:r>
      <w:r w:rsidR="00C75189">
        <w:rPr>
          <w:rFonts w:ascii="Arial" w:hAnsi="Arial" w:cs="Arial"/>
        </w:rPr>
        <w:t>USPTO patent electronic filing system</w:t>
      </w:r>
      <w:r w:rsidRPr="00D76133" w:rsidR="006E7CAA">
        <w:rPr>
          <w:rFonts w:ascii="Arial" w:hAnsi="Arial" w:cs="Arial"/>
        </w:rPr>
        <w:t xml:space="preserve"> where the file does not exceed 100MB without compression, or as larger XML files submitted on read-only optical disc.</w:t>
      </w:r>
    </w:p>
    <w:p w:rsidR="006E7CAA" w:rsidP="00AD165A" w14:paraId="4DA32733" w14:textId="77777777">
      <w:pPr>
        <w:widowControl/>
        <w:tabs>
          <w:tab w:val="left" w:pos="-1176"/>
        </w:tabs>
        <w:jc w:val="both"/>
        <w:rPr>
          <w:rFonts w:ascii="Arial" w:hAnsi="Arial" w:cs="Arial"/>
        </w:rPr>
      </w:pPr>
    </w:p>
    <w:p w:rsidR="00AD165A" w:rsidRPr="00B0428B" w:rsidP="00AD165A" w14:paraId="6EB58D39" w14:textId="519A04F7">
      <w:pPr>
        <w:widowControl/>
        <w:tabs>
          <w:tab w:val="left" w:pos="-1176"/>
        </w:tabs>
        <w:jc w:val="both"/>
        <w:rPr>
          <w:rFonts w:ascii="Arial" w:hAnsi="Arial" w:cs="Arial"/>
        </w:rPr>
      </w:pPr>
      <w:r>
        <w:rPr>
          <w:rFonts w:ascii="Arial" w:hAnsi="Arial" w:cs="Arial"/>
        </w:rPr>
        <w:t xml:space="preserve">Filers </w:t>
      </w:r>
      <w:r w:rsidRPr="00B0428B">
        <w:rPr>
          <w:rFonts w:ascii="Arial" w:hAnsi="Arial" w:cs="Arial"/>
        </w:rPr>
        <w:t>submit</w:t>
      </w:r>
      <w:r>
        <w:rPr>
          <w:rFonts w:ascii="Arial" w:hAnsi="Arial" w:cs="Arial"/>
        </w:rPr>
        <w:t>ting</w:t>
      </w:r>
      <w:r w:rsidRPr="00B0428B">
        <w:rPr>
          <w:rFonts w:ascii="Arial" w:hAnsi="Arial" w:cs="Arial"/>
        </w:rPr>
        <w:t xml:space="preserve"> sequence listings to the USPTO electronically through </w:t>
      </w:r>
      <w:r w:rsidR="00A20D65">
        <w:rPr>
          <w:rFonts w:ascii="Arial" w:hAnsi="Arial" w:cs="Arial"/>
        </w:rPr>
        <w:t xml:space="preserve">the </w:t>
      </w:r>
      <w:r w:rsidR="00C75189">
        <w:rPr>
          <w:rFonts w:ascii="Arial" w:hAnsi="Arial" w:cs="Arial"/>
        </w:rPr>
        <w:t>USPTO patent electronic filing system</w:t>
      </w:r>
      <w:r w:rsidRPr="00B0428B">
        <w:rPr>
          <w:rFonts w:ascii="Arial" w:hAnsi="Arial" w:cs="Arial"/>
        </w:rPr>
        <w:t xml:space="preserve"> upload </w:t>
      </w:r>
      <w:r>
        <w:rPr>
          <w:rFonts w:ascii="Arial" w:hAnsi="Arial" w:cs="Arial"/>
        </w:rPr>
        <w:t xml:space="preserve">the listings </w:t>
      </w:r>
      <w:r w:rsidRPr="00B0428B">
        <w:rPr>
          <w:rFonts w:ascii="Arial" w:hAnsi="Arial" w:cs="Arial"/>
        </w:rPr>
        <w:t>usin</w:t>
      </w:r>
      <w:r>
        <w:rPr>
          <w:rFonts w:ascii="Arial" w:hAnsi="Arial" w:cs="Arial"/>
        </w:rPr>
        <w:t xml:space="preserve">g the secure </w:t>
      </w:r>
      <w:r w:rsidR="00A20D65">
        <w:rPr>
          <w:rFonts w:ascii="Arial" w:hAnsi="Arial" w:cs="Arial"/>
        </w:rPr>
        <w:t xml:space="preserve">the </w:t>
      </w:r>
      <w:r w:rsidR="00C75189">
        <w:rPr>
          <w:rFonts w:ascii="Arial" w:hAnsi="Arial" w:cs="Arial"/>
        </w:rPr>
        <w:t>USPTO patent electronic filing system</w:t>
      </w:r>
      <w:r>
        <w:rPr>
          <w:rFonts w:ascii="Arial" w:hAnsi="Arial" w:cs="Arial"/>
        </w:rPr>
        <w:t xml:space="preserve"> interface.</w:t>
      </w:r>
      <w:r w:rsidRPr="00B0428B">
        <w:rPr>
          <w:rFonts w:ascii="Arial" w:hAnsi="Arial" w:cs="Arial"/>
        </w:rPr>
        <w:t xml:space="preserve"> </w:t>
      </w:r>
    </w:p>
    <w:p w:rsidR="00AD165A" w:rsidRPr="00B0428B" w:rsidP="00AD165A" w14:paraId="45F7C21C" w14:textId="77777777">
      <w:pPr>
        <w:widowControl/>
        <w:tabs>
          <w:tab w:val="left" w:pos="-1176"/>
        </w:tabs>
        <w:jc w:val="both"/>
        <w:rPr>
          <w:rFonts w:ascii="Arial" w:hAnsi="Arial" w:cs="Arial"/>
        </w:rPr>
      </w:pPr>
    </w:p>
    <w:p w:rsidR="00AD165A" w:rsidRPr="00B0428B" w:rsidP="00AD165A" w14:paraId="4CDE967F" w14:textId="1CBD6115">
      <w:pPr>
        <w:widowControl/>
        <w:tabs>
          <w:tab w:val="left" w:pos="-1176"/>
        </w:tabs>
        <w:jc w:val="both"/>
        <w:rPr>
          <w:rFonts w:ascii="Arial" w:hAnsi="Arial" w:cs="Arial"/>
        </w:rPr>
      </w:pPr>
      <w:r>
        <w:rPr>
          <w:rFonts w:ascii="Arial" w:hAnsi="Arial" w:cs="Arial"/>
        </w:rPr>
        <w:t xml:space="preserve">The </w:t>
      </w:r>
      <w:r w:rsidR="00C75189">
        <w:rPr>
          <w:rFonts w:ascii="Arial" w:hAnsi="Arial" w:cs="Arial"/>
        </w:rPr>
        <w:t>USPTO patent electronic filing system</w:t>
      </w:r>
      <w:r w:rsidRPr="00B0428B">
        <w:rPr>
          <w:rFonts w:ascii="Arial" w:hAnsi="Arial" w:cs="Arial"/>
        </w:rPr>
        <w:t xml:space="preserve"> offers man</w:t>
      </w:r>
      <w:r>
        <w:rPr>
          <w:rFonts w:ascii="Arial" w:hAnsi="Arial" w:cs="Arial"/>
        </w:rPr>
        <w:t>y potential benefits to filers.</w:t>
      </w:r>
      <w:r w:rsidRPr="00B0428B">
        <w:rPr>
          <w:rFonts w:ascii="Arial" w:hAnsi="Arial" w:cs="Arial"/>
        </w:rPr>
        <w:t xml:space="preserve"> The system immediately sends customers an electronic receipt and ensures that electronic sequence listings are tra</w:t>
      </w:r>
      <w:r>
        <w:rPr>
          <w:rFonts w:ascii="Arial" w:hAnsi="Arial" w:cs="Arial"/>
        </w:rPr>
        <w:t>nsmitted securely to the USPTO.</w:t>
      </w:r>
      <w:r w:rsidRPr="00B0428B">
        <w:rPr>
          <w:rFonts w:ascii="Arial" w:hAnsi="Arial" w:cs="Arial"/>
        </w:rPr>
        <w:t xml:space="preserve"> The electronic filing of sequence listings also eliminates the inefficiencies of physically mailing, handling, routing, and storing sequence listings on paper or portable electronic</w:t>
      </w:r>
      <w:r>
        <w:rPr>
          <w:rFonts w:ascii="Arial" w:hAnsi="Arial" w:cs="Arial"/>
        </w:rPr>
        <w:t xml:space="preserve"> media.</w:t>
      </w:r>
    </w:p>
    <w:p w:rsidR="00AD165A" w:rsidRPr="00B0428B" w:rsidP="00AD165A" w14:paraId="12405650" w14:textId="77777777">
      <w:pPr>
        <w:widowControl/>
        <w:tabs>
          <w:tab w:val="left" w:pos="-1176"/>
        </w:tabs>
        <w:jc w:val="both"/>
        <w:rPr>
          <w:rFonts w:ascii="Arial" w:hAnsi="Arial" w:cs="Arial"/>
        </w:rPr>
      </w:pPr>
    </w:p>
    <w:p w:rsidR="00AD165A" w:rsidRPr="00B0428B" w:rsidP="00AD165A" w14:paraId="493BFC2D" w14:textId="004DC55F">
      <w:pPr>
        <w:widowControl/>
        <w:tabs>
          <w:tab w:val="left" w:pos="-1176"/>
        </w:tabs>
        <w:jc w:val="both"/>
        <w:rPr>
          <w:rFonts w:ascii="Arial" w:hAnsi="Arial" w:cs="Arial"/>
        </w:rPr>
      </w:pPr>
      <w:r w:rsidRPr="00B0428B">
        <w:rPr>
          <w:rFonts w:ascii="Arial" w:hAnsi="Arial" w:cs="Arial"/>
        </w:rPr>
        <w:t xml:space="preserve">Sequence listing files that exceed 100 megabytes may not be submitted online via </w:t>
      </w:r>
      <w:r w:rsidR="00A20D65">
        <w:rPr>
          <w:rFonts w:ascii="Arial" w:hAnsi="Arial" w:cs="Arial"/>
        </w:rPr>
        <w:t xml:space="preserve">the </w:t>
      </w:r>
      <w:r w:rsidR="00C75189">
        <w:rPr>
          <w:rFonts w:ascii="Arial" w:hAnsi="Arial" w:cs="Arial"/>
        </w:rPr>
        <w:t>USPTO patent electronic filing system</w:t>
      </w:r>
      <w:r>
        <w:rPr>
          <w:rFonts w:ascii="Arial" w:hAnsi="Arial" w:cs="Arial"/>
        </w:rPr>
        <w:t>.</w:t>
      </w:r>
      <w:r w:rsidRPr="00B0428B">
        <w:rPr>
          <w:rFonts w:ascii="Arial" w:hAnsi="Arial" w:cs="Arial"/>
        </w:rPr>
        <w:t xml:space="preserve"> These oversized sequence listings should be copied onto </w:t>
      </w:r>
      <w:r w:rsidR="00A20D65">
        <w:rPr>
          <w:rFonts w:ascii="Arial" w:hAnsi="Arial" w:cs="Arial"/>
        </w:rPr>
        <w:t>read-only optical disc</w:t>
      </w:r>
      <w:r w:rsidRPr="00B0428B">
        <w:rPr>
          <w:rFonts w:ascii="Arial" w:hAnsi="Arial" w:cs="Arial"/>
        </w:rPr>
        <w:t xml:space="preserve"> for s</w:t>
      </w:r>
      <w:r>
        <w:rPr>
          <w:rFonts w:ascii="Arial" w:hAnsi="Arial" w:cs="Arial"/>
        </w:rPr>
        <w:t>ubmission to the USPTO by mail.</w:t>
      </w:r>
      <w:r w:rsidRPr="00B0428B">
        <w:rPr>
          <w:rFonts w:ascii="Arial" w:hAnsi="Arial" w:cs="Arial"/>
        </w:rPr>
        <w:t xml:space="preserve"> Customers are advised to keep a back-up copy of the </w:t>
      </w:r>
      <w:r w:rsidR="00A20D65">
        <w:rPr>
          <w:rFonts w:ascii="Arial" w:hAnsi="Arial" w:cs="Arial"/>
        </w:rPr>
        <w:t>read-only optical disc</w:t>
      </w:r>
      <w:r w:rsidRPr="00B0428B">
        <w:rPr>
          <w:rFonts w:ascii="Arial" w:hAnsi="Arial" w:cs="Arial"/>
        </w:rPr>
        <w:t xml:space="preserve"> and transmittal information for their own records</w:t>
      </w:r>
      <w:r w:rsidR="00D76133">
        <w:rPr>
          <w:rFonts w:ascii="Arial" w:hAnsi="Arial" w:cs="Arial"/>
        </w:rPr>
        <w:t xml:space="preserve">. </w:t>
      </w:r>
      <w:r w:rsidRPr="00B0428B">
        <w:rPr>
          <w:rFonts w:ascii="Arial" w:hAnsi="Arial" w:cs="Arial"/>
        </w:rPr>
        <w:t xml:space="preserve">The acceptance of </w:t>
      </w:r>
      <w:r w:rsidR="00A20D65">
        <w:rPr>
          <w:rFonts w:ascii="Arial" w:hAnsi="Arial" w:cs="Arial"/>
        </w:rPr>
        <w:t>read-only optical disc</w:t>
      </w:r>
      <w:r w:rsidRPr="00B0428B">
        <w:rPr>
          <w:rFonts w:ascii="Arial" w:hAnsi="Arial" w:cs="Arial"/>
        </w:rPr>
        <w:t>s and electronic submissions is permitted by 35 U.S.C. § 22, which provides that the USPTO “may require papers filed in the Patent and Trademark Office to be printed, typewritten, or on an electronic medium.”</w:t>
      </w:r>
    </w:p>
    <w:p w:rsidR="00AD165A" w:rsidRPr="00B0428B" w:rsidP="00AD165A" w14:paraId="1D461E45" w14:textId="77777777">
      <w:pPr>
        <w:widowControl/>
        <w:tabs>
          <w:tab w:val="left" w:pos="-1176"/>
        </w:tabs>
        <w:jc w:val="both"/>
        <w:rPr>
          <w:rFonts w:ascii="Arial" w:hAnsi="Arial" w:cs="Arial"/>
        </w:rPr>
      </w:pPr>
    </w:p>
    <w:p w:rsidR="00AD165A" w:rsidRPr="00B0428B" w:rsidP="00AD165A" w14:paraId="26040154" w14:textId="42998C74">
      <w:pPr>
        <w:widowControl/>
        <w:tabs>
          <w:tab w:val="left" w:pos="-1176"/>
        </w:tabs>
        <w:jc w:val="both"/>
        <w:rPr>
          <w:rFonts w:ascii="Arial" w:hAnsi="Arial" w:cs="Arial"/>
        </w:rPr>
      </w:pPr>
      <w:r>
        <w:rPr>
          <w:rFonts w:ascii="Arial" w:hAnsi="Arial" w:cs="Arial"/>
        </w:rPr>
        <w:t>For applications filed on or before June 30, 2022, t</w:t>
      </w:r>
      <w:r w:rsidRPr="00B0428B">
        <w:rPr>
          <w:rFonts w:ascii="Arial" w:hAnsi="Arial" w:cs="Arial"/>
        </w:rPr>
        <w:t xml:space="preserve">he USPTO provides free </w:t>
      </w:r>
      <w:r w:rsidRPr="00B0428B">
        <w:rPr>
          <w:rFonts w:ascii="Arial" w:hAnsi="Arial" w:cs="Arial"/>
        </w:rPr>
        <w:t>PatentIn</w:t>
      </w:r>
      <w:r w:rsidRPr="00B0428B">
        <w:rPr>
          <w:rFonts w:ascii="Arial" w:hAnsi="Arial" w:cs="Arial"/>
        </w:rPr>
        <w:t xml:space="preserve"> authoring software that may be used by applicants to create sequence listings that comply with U.S. and international filing standards</w:t>
      </w:r>
      <w:r>
        <w:rPr>
          <w:rFonts w:ascii="Arial" w:hAnsi="Arial" w:cs="Arial"/>
        </w:rPr>
        <w:t xml:space="preserve">. </w:t>
      </w:r>
      <w:r w:rsidRPr="00B0428B">
        <w:rPr>
          <w:rFonts w:ascii="Arial" w:hAnsi="Arial" w:cs="Arial"/>
        </w:rPr>
        <w:t xml:space="preserve">The </w:t>
      </w:r>
      <w:r w:rsidRPr="00B0428B">
        <w:rPr>
          <w:rFonts w:ascii="Arial" w:hAnsi="Arial" w:cs="Arial"/>
        </w:rPr>
        <w:t>PatentIn</w:t>
      </w:r>
      <w:r w:rsidRPr="00B0428B">
        <w:rPr>
          <w:rFonts w:ascii="Arial" w:hAnsi="Arial" w:cs="Arial"/>
        </w:rPr>
        <w:t xml:space="preserve"> software may be downloaded from the USPTO </w:t>
      </w:r>
      <w:r>
        <w:rPr>
          <w:rFonts w:ascii="Arial" w:hAnsi="Arial" w:cs="Arial"/>
        </w:rPr>
        <w:t>w</w:t>
      </w:r>
      <w:r w:rsidRPr="00B0428B">
        <w:rPr>
          <w:rFonts w:ascii="Arial" w:hAnsi="Arial" w:cs="Arial"/>
        </w:rPr>
        <w:t>eb</w:t>
      </w:r>
      <w:r>
        <w:rPr>
          <w:rFonts w:ascii="Arial" w:hAnsi="Arial" w:cs="Arial"/>
        </w:rPr>
        <w:t>s</w:t>
      </w:r>
      <w:r w:rsidRPr="00B0428B">
        <w:rPr>
          <w:rFonts w:ascii="Arial" w:hAnsi="Arial" w:cs="Arial"/>
        </w:rPr>
        <w:t>ite, and the USPTO offers in-person and online training on how to use the software. In addition, the USPTO provides a CRF Checker software tool that allows applicants to test sequence listings for compliance with format and content rules before</w:t>
      </w:r>
      <w:r>
        <w:rPr>
          <w:rFonts w:ascii="Arial" w:hAnsi="Arial" w:cs="Arial"/>
        </w:rPr>
        <w:t xml:space="preserve"> submitting them to the USPTO. </w:t>
      </w:r>
      <w:r w:rsidRPr="00B0428B">
        <w:rPr>
          <w:rFonts w:ascii="Arial" w:hAnsi="Arial" w:cs="Arial"/>
        </w:rPr>
        <w:t>Use of the Checker utility reduces the number of sequence listings that the USPTO must return to customers for correction of errors.</w:t>
      </w:r>
      <w:r>
        <w:rPr>
          <w:rFonts w:ascii="Arial" w:hAnsi="Arial" w:cs="Arial"/>
        </w:rPr>
        <w:t xml:space="preserve"> For applications filed on or after July 1 2022, applicants may use WIPO Sequence, provided by WIPO, to author and validate sequence listings in XML format.</w:t>
      </w:r>
    </w:p>
    <w:p w:rsidR="00AD165A" w:rsidRPr="00B0428B" w:rsidP="00AD165A" w14:paraId="02B3B934" w14:textId="77777777">
      <w:pPr>
        <w:widowControl/>
        <w:tabs>
          <w:tab w:val="left" w:pos="-1176"/>
        </w:tabs>
        <w:jc w:val="both"/>
        <w:rPr>
          <w:rFonts w:ascii="Arial" w:hAnsi="Arial" w:cs="Arial"/>
        </w:rPr>
      </w:pPr>
    </w:p>
    <w:p w:rsidR="00AD165A" w:rsidRPr="00B0428B" w:rsidP="00AD165A" w14:paraId="43D4B085" w14:textId="05862AB1">
      <w:pPr>
        <w:widowControl/>
        <w:tabs>
          <w:tab w:val="left" w:pos="-1176"/>
        </w:tabs>
        <w:jc w:val="both"/>
        <w:rPr>
          <w:rFonts w:ascii="Arial" w:hAnsi="Arial" w:cs="Arial"/>
        </w:rPr>
      </w:pPr>
      <w:r>
        <w:rPr>
          <w:rFonts w:ascii="Arial" w:hAnsi="Arial" w:cs="Arial"/>
        </w:rPr>
        <w:t xml:space="preserve">For CRF copies submitted to </w:t>
      </w:r>
      <w:r w:rsidRPr="00B0428B">
        <w:rPr>
          <w:rFonts w:ascii="Arial" w:hAnsi="Arial" w:cs="Arial"/>
        </w:rPr>
        <w:t xml:space="preserve">the USPTO, the data format is checked for compliance </w:t>
      </w:r>
      <w:r w:rsidR="00D76133">
        <w:rPr>
          <w:rFonts w:ascii="Arial" w:hAnsi="Arial" w:cs="Arial"/>
        </w:rPr>
        <w:t xml:space="preserve">with the applicable regulations </w:t>
      </w:r>
      <w:r w:rsidRPr="00B0428B">
        <w:rPr>
          <w:rFonts w:ascii="Arial" w:hAnsi="Arial" w:cs="Arial"/>
        </w:rPr>
        <w:t>by the CRF receipt system and then uploaded to the Automated Biotechnology Sequence</w:t>
      </w:r>
      <w:r>
        <w:rPr>
          <w:rFonts w:ascii="Arial" w:hAnsi="Arial" w:cs="Arial"/>
        </w:rPr>
        <w:t xml:space="preserve"> Search (ABSS) System database.</w:t>
      </w:r>
      <w:r w:rsidRPr="00B0428B">
        <w:rPr>
          <w:rFonts w:ascii="Arial" w:hAnsi="Arial" w:cs="Arial"/>
        </w:rPr>
        <w:t xml:space="preserve"> ABSS stores electronic sequence listings submitted by applicants and supports searching of </w:t>
      </w:r>
      <w:r w:rsidRPr="00B0428B">
        <w:rPr>
          <w:rFonts w:ascii="Arial" w:hAnsi="Arial" w:cs="Arial"/>
        </w:rPr>
        <w:t>biosequences</w:t>
      </w:r>
      <w:r w:rsidRPr="00B0428B">
        <w:rPr>
          <w:rFonts w:ascii="Arial" w:hAnsi="Arial" w:cs="Arial"/>
        </w:rPr>
        <w:t xml:space="preserve"> from patent submissions as well as public and commercial databases</w:t>
      </w:r>
      <w:r>
        <w:rPr>
          <w:rFonts w:ascii="Arial" w:hAnsi="Arial" w:cs="Arial"/>
        </w:rPr>
        <w:t xml:space="preserve"> of published </w:t>
      </w:r>
      <w:r>
        <w:rPr>
          <w:rFonts w:ascii="Arial" w:hAnsi="Arial" w:cs="Arial"/>
        </w:rPr>
        <w:t>biosequence</w:t>
      </w:r>
      <w:r>
        <w:rPr>
          <w:rFonts w:ascii="Arial" w:hAnsi="Arial" w:cs="Arial"/>
        </w:rPr>
        <w:t xml:space="preserve"> data.</w:t>
      </w:r>
      <w:r w:rsidRPr="00B0428B">
        <w:rPr>
          <w:rFonts w:ascii="Arial" w:hAnsi="Arial" w:cs="Arial"/>
        </w:rPr>
        <w:t xml:space="preserve"> ABSS also supports the publication and dissemination of sequence listings following publication of the associated application or issuance of the patent.</w:t>
      </w:r>
    </w:p>
    <w:p w:rsidR="00AD165A" w:rsidRPr="00B0428B" w:rsidP="00AD165A" w14:paraId="5184B3BC" w14:textId="77777777">
      <w:pPr>
        <w:widowControl/>
        <w:tabs>
          <w:tab w:val="left" w:pos="-1176"/>
        </w:tabs>
        <w:jc w:val="both"/>
        <w:rPr>
          <w:rFonts w:ascii="Arial" w:hAnsi="Arial" w:cs="Arial"/>
        </w:rPr>
      </w:pPr>
    </w:p>
    <w:p w:rsidR="00AD165A" w:rsidRPr="00B0428B" w:rsidP="00AD165A" w14:paraId="6AF026D6" w14:textId="68DCACA3">
      <w:pPr>
        <w:widowControl/>
        <w:tabs>
          <w:tab w:val="left" w:pos="-1176"/>
        </w:tabs>
        <w:jc w:val="both"/>
        <w:rPr>
          <w:rFonts w:ascii="Arial" w:hAnsi="Arial" w:cs="Arial"/>
        </w:rPr>
      </w:pPr>
      <w:r w:rsidRPr="00B0428B">
        <w:rPr>
          <w:rFonts w:ascii="Arial" w:hAnsi="Arial" w:cs="Arial"/>
        </w:rPr>
        <w:t>Upon publication of the application or issued patent, the associated nucleotide or amino acid sequence listin</w:t>
      </w:r>
      <w:r>
        <w:rPr>
          <w:rFonts w:ascii="Arial" w:hAnsi="Arial" w:cs="Arial"/>
        </w:rPr>
        <w:t>gs are disclosed to the public.</w:t>
      </w:r>
      <w:r w:rsidRPr="00B0428B">
        <w:rPr>
          <w:rFonts w:ascii="Arial" w:hAnsi="Arial" w:cs="Arial"/>
        </w:rPr>
        <w:t xml:space="preserve"> Sequence listings that are extremely long (</w:t>
      </w:r>
      <w:r w:rsidR="00A20D65">
        <w:rPr>
          <w:rFonts w:ascii="Arial" w:hAnsi="Arial" w:cs="Arial"/>
        </w:rPr>
        <w:t xml:space="preserve">that is, </w:t>
      </w:r>
      <w:r w:rsidRPr="00B0428B">
        <w:rPr>
          <w:rFonts w:ascii="Arial" w:hAnsi="Arial" w:cs="Arial"/>
        </w:rPr>
        <w:t xml:space="preserve">files larger than 600K or approximately 300 printed pages) are published only in electronic form and are available for public viewing or download through the Publication Site for Issued and Published Sequences (PSIPS) on the USPTO </w:t>
      </w:r>
      <w:r>
        <w:rPr>
          <w:rFonts w:ascii="Arial" w:hAnsi="Arial" w:cs="Arial"/>
        </w:rPr>
        <w:t>w</w:t>
      </w:r>
      <w:r w:rsidRPr="00B0428B">
        <w:rPr>
          <w:rFonts w:ascii="Arial" w:hAnsi="Arial" w:cs="Arial"/>
        </w:rPr>
        <w:t xml:space="preserve">ebsite </w:t>
      </w:r>
      <w:r>
        <w:rPr>
          <w:rFonts w:ascii="Arial" w:hAnsi="Arial" w:cs="Arial"/>
        </w:rPr>
        <w:t>(</w:t>
      </w:r>
      <w:hyperlink r:id="rId9" w:history="1">
        <w:r w:rsidRPr="00825B51">
          <w:rPr>
            <w:rStyle w:val="Hyperlink"/>
            <w:rFonts w:ascii="Arial" w:hAnsi="Arial" w:cs="Arial"/>
          </w:rPr>
          <w:t>http://seqdata.uspto.gov</w:t>
        </w:r>
      </w:hyperlink>
      <w:r>
        <w:rPr>
          <w:rFonts w:ascii="Arial" w:hAnsi="Arial" w:cs="Arial"/>
        </w:rPr>
        <w:t>).</w:t>
      </w:r>
      <w:r w:rsidRPr="00B0428B">
        <w:rPr>
          <w:rFonts w:ascii="Arial" w:hAnsi="Arial" w:cs="Arial"/>
        </w:rPr>
        <w:t xml:space="preserve"> Shorter sequence listings are available through the standard patent and application search systems on the USPTO </w:t>
      </w:r>
      <w:r>
        <w:rPr>
          <w:rFonts w:ascii="Arial" w:hAnsi="Arial" w:cs="Arial"/>
        </w:rPr>
        <w:t>w</w:t>
      </w:r>
      <w:r w:rsidRPr="00B0428B">
        <w:rPr>
          <w:rFonts w:ascii="Arial" w:hAnsi="Arial" w:cs="Arial"/>
        </w:rPr>
        <w:t>ebsite.</w:t>
      </w:r>
    </w:p>
    <w:p w:rsidR="00860C84" w:rsidRPr="00476F66" w:rsidP="00F301D5" w14:paraId="6CC6DDD1" w14:textId="77777777">
      <w:pPr>
        <w:widowControl/>
        <w:tabs>
          <w:tab w:val="left" w:pos="-984"/>
          <w:tab w:val="left" w:pos="-720"/>
          <w:tab w:val="left" w:pos="720"/>
        </w:tabs>
        <w:jc w:val="both"/>
        <w:rPr>
          <w:rFonts w:ascii="Arial" w:hAnsi="Arial" w:cs="Arial"/>
          <w:color w:val="0000FF"/>
        </w:rPr>
      </w:pPr>
    </w:p>
    <w:p w:rsidR="00567B74" w:rsidRPr="00004988" w:rsidP="00EE404D" w14:paraId="0C4A149D" w14:textId="2CD8B59D">
      <w:pPr>
        <w:pStyle w:val="ListParagraph"/>
        <w:widowControl/>
        <w:numPr>
          <w:ilvl w:val="0"/>
          <w:numId w:val="13"/>
        </w:numPr>
        <w:tabs>
          <w:tab w:val="left" w:pos="-984"/>
          <w:tab w:val="left" w:pos="-720"/>
          <w:tab w:val="left" w:pos="720"/>
        </w:tabs>
        <w:ind w:hanging="450"/>
        <w:jc w:val="both"/>
        <w:rPr>
          <w:rFonts w:ascii="Arial" w:hAnsi="Arial" w:cs="Arial"/>
          <w:b/>
          <w:sz w:val="32"/>
        </w:rPr>
      </w:pPr>
      <w:r w:rsidRPr="00004988">
        <w:rPr>
          <w:rFonts w:ascii="Arial" w:hAnsi="Arial" w:cs="Arial"/>
          <w:b/>
          <w:szCs w:val="20"/>
        </w:rPr>
        <w:t>Describe efforts to identify duplication. Show specifically why any similar information already available cannot be used or modified for use for the purposes described in Item 2 above.</w:t>
      </w:r>
    </w:p>
    <w:p w:rsidR="00567B74" w:rsidP="00636EDA" w14:paraId="10336CF2" w14:textId="77777777">
      <w:pPr>
        <w:widowControl/>
        <w:tabs>
          <w:tab w:val="left" w:pos="-984"/>
          <w:tab w:val="left" w:pos="-720"/>
          <w:tab w:val="left" w:pos="720"/>
        </w:tabs>
        <w:jc w:val="both"/>
        <w:rPr>
          <w:rFonts w:ascii="Arial" w:hAnsi="Arial" w:cs="Arial"/>
        </w:rPr>
      </w:pPr>
    </w:p>
    <w:p w:rsidR="00AD165A" w:rsidRPr="00B0428B" w:rsidP="00AD165A" w14:paraId="34652E55" w14:textId="77777777">
      <w:pPr>
        <w:widowControl/>
        <w:tabs>
          <w:tab w:val="left" w:pos="-1176"/>
        </w:tabs>
        <w:jc w:val="both"/>
        <w:rPr>
          <w:rFonts w:ascii="Arial" w:hAnsi="Arial" w:cs="Arial"/>
        </w:rPr>
      </w:pPr>
      <w:r w:rsidRPr="00B0428B">
        <w:rPr>
          <w:rFonts w:ascii="Arial" w:hAnsi="Arial" w:cs="Arial"/>
        </w:rPr>
        <w:t xml:space="preserve">This collection requires the duplication of a limited amount of identifying information (such as the applicant’s name, address, and phone number), which is also provided on the patent application.  However, the duplication of identification information is the most efficient way of accurately associating the sequence listing with the appropriate application case file.  </w:t>
      </w:r>
    </w:p>
    <w:p w:rsidR="00AD165A" w:rsidRPr="00B0428B" w:rsidP="00AD165A" w14:paraId="28AF399D" w14:textId="77777777">
      <w:pPr>
        <w:widowControl/>
        <w:tabs>
          <w:tab w:val="left" w:pos="-1176"/>
        </w:tabs>
        <w:jc w:val="both"/>
        <w:rPr>
          <w:rFonts w:ascii="Arial" w:hAnsi="Arial" w:cs="Arial"/>
        </w:rPr>
      </w:pPr>
    </w:p>
    <w:p w:rsidR="00AD165A" w:rsidRPr="00AD165A" w:rsidP="00AD165A" w14:paraId="00FC5F5A" w14:textId="77777777">
      <w:pPr>
        <w:widowControl/>
        <w:tabs>
          <w:tab w:val="left" w:pos="-984"/>
          <w:tab w:val="left" w:pos="-720"/>
          <w:tab w:val="left" w:pos="720"/>
        </w:tabs>
        <w:jc w:val="both"/>
        <w:rPr>
          <w:rFonts w:ascii="Arial" w:hAnsi="Arial" w:cs="Arial"/>
        </w:rPr>
      </w:pPr>
    </w:p>
    <w:p w:rsidR="00567B74" w:rsidRPr="00004988" w:rsidP="00EE404D" w14:paraId="0796867C" w14:textId="3CE8F2B9">
      <w:pPr>
        <w:pStyle w:val="ListParagraph"/>
        <w:keepNext/>
        <w:widowControl/>
        <w:numPr>
          <w:ilvl w:val="0"/>
          <w:numId w:val="13"/>
        </w:numPr>
        <w:tabs>
          <w:tab w:val="left" w:pos="-984"/>
          <w:tab w:val="left" w:pos="-720"/>
          <w:tab w:val="left" w:pos="720"/>
        </w:tabs>
        <w:ind w:hanging="450"/>
        <w:jc w:val="both"/>
        <w:rPr>
          <w:rFonts w:ascii="Arial" w:hAnsi="Arial" w:cs="Arial"/>
        </w:rPr>
      </w:pPr>
      <w:r w:rsidRPr="00004988">
        <w:rPr>
          <w:rFonts w:ascii="Arial" w:hAnsi="Arial" w:cs="Arial"/>
          <w:b/>
          <w:szCs w:val="20"/>
        </w:rPr>
        <w:t>If the collection of information impacts small businesses or other small entities, describe any methods used to minimize burden</w:t>
      </w:r>
      <w:r w:rsidRPr="00004988">
        <w:rPr>
          <w:sz w:val="20"/>
          <w:szCs w:val="20"/>
        </w:rPr>
        <w:t xml:space="preserve">. </w:t>
      </w:r>
    </w:p>
    <w:p w:rsidR="00567B74" w:rsidRPr="005301EC" w:rsidP="00636EDA" w14:paraId="51799489" w14:textId="77777777">
      <w:pPr>
        <w:keepNext/>
        <w:widowControl/>
        <w:tabs>
          <w:tab w:val="left" w:pos="-984"/>
          <w:tab w:val="left" w:pos="-720"/>
          <w:tab w:val="left" w:pos="720"/>
        </w:tabs>
        <w:jc w:val="both"/>
        <w:rPr>
          <w:rFonts w:ascii="Arial" w:hAnsi="Arial" w:cs="Arial"/>
        </w:rPr>
      </w:pPr>
    </w:p>
    <w:p w:rsidR="00AD165A" w:rsidRPr="00B0428B" w:rsidP="00AD165A" w14:paraId="7BEC418F" w14:textId="77777777">
      <w:pPr>
        <w:widowControl/>
        <w:tabs>
          <w:tab w:val="left" w:pos="-1176"/>
        </w:tabs>
        <w:jc w:val="both"/>
        <w:rPr>
          <w:rFonts w:ascii="Arial" w:hAnsi="Arial" w:cs="Arial"/>
        </w:rPr>
      </w:pPr>
      <w:r w:rsidRPr="00B0428B">
        <w:rPr>
          <w:rFonts w:ascii="Arial" w:hAnsi="Arial" w:cs="Arial"/>
        </w:rPr>
        <w:t>Although the collection may involve small businesses or other small entities, most applications involving sequence listings are filed by entities other than small entities.  This collection does not impose a significant economic impact on small busi</w:t>
      </w:r>
      <w:r>
        <w:rPr>
          <w:rFonts w:ascii="Arial" w:hAnsi="Arial" w:cs="Arial"/>
        </w:rPr>
        <w:t>nesses or other small entities.</w:t>
      </w:r>
      <w:r w:rsidRPr="00B0428B">
        <w:rPr>
          <w:rFonts w:ascii="Arial" w:hAnsi="Arial" w:cs="Arial"/>
        </w:rPr>
        <w:t xml:space="preserve"> The same information is required from every applicant and is not available from any other source.</w:t>
      </w:r>
    </w:p>
    <w:p w:rsidR="00AD165A" w:rsidRPr="00B0428B" w:rsidP="00AD165A" w14:paraId="319C15DE" w14:textId="77777777">
      <w:pPr>
        <w:widowControl/>
        <w:tabs>
          <w:tab w:val="left" w:pos="-1176"/>
        </w:tabs>
        <w:jc w:val="both"/>
        <w:rPr>
          <w:rFonts w:ascii="Arial" w:hAnsi="Arial" w:cs="Arial"/>
        </w:rPr>
      </w:pPr>
    </w:p>
    <w:p w:rsidR="00AD165A" w:rsidRPr="00B0428B" w:rsidP="00AD165A" w14:paraId="4BFFB67F" w14:textId="77777777">
      <w:pPr>
        <w:widowControl/>
        <w:tabs>
          <w:tab w:val="left" w:pos="-1176"/>
        </w:tabs>
        <w:jc w:val="both"/>
        <w:rPr>
          <w:rFonts w:ascii="Arial" w:hAnsi="Arial" w:cs="Arial"/>
        </w:rPr>
      </w:pPr>
      <w:r w:rsidRPr="00B0428B">
        <w:rPr>
          <w:rFonts w:ascii="Arial" w:hAnsi="Arial" w:cs="Arial"/>
        </w:rPr>
        <w:t>The information collection involve</w:t>
      </w:r>
      <w:r>
        <w:rPr>
          <w:rFonts w:ascii="Arial" w:hAnsi="Arial" w:cs="Arial"/>
        </w:rPr>
        <w:t>s</w:t>
      </w:r>
      <w:r w:rsidRPr="00B0428B">
        <w:rPr>
          <w:rFonts w:ascii="Arial" w:hAnsi="Arial" w:cs="Arial"/>
        </w:rPr>
        <w:t xml:space="preserve"> payment of fees by customers who</w:t>
      </w:r>
      <w:r>
        <w:rPr>
          <w:rFonts w:ascii="Arial" w:hAnsi="Arial" w:cs="Arial"/>
        </w:rPr>
        <w:t xml:space="preserve"> may qualify as small entities.</w:t>
      </w:r>
      <w:r w:rsidRPr="00B0428B">
        <w:rPr>
          <w:rFonts w:ascii="Arial" w:hAnsi="Arial" w:cs="Arial"/>
        </w:rPr>
        <w:t xml:space="preserve"> To reduce this cost burden for small entities, the USPTO offers reduced application size fees for persons, small business concerns, or nonprofit organizations that qualify as sm</w:t>
      </w:r>
      <w:r>
        <w:rPr>
          <w:rFonts w:ascii="Arial" w:hAnsi="Arial" w:cs="Arial"/>
        </w:rPr>
        <w:t>all entities (including micro entities) under 37 CFR 1.27 (see 37 CFR 1.29 for micro entity status).</w:t>
      </w:r>
      <w:r w:rsidRPr="00B0428B">
        <w:rPr>
          <w:rFonts w:ascii="Arial" w:hAnsi="Arial" w:cs="Arial"/>
        </w:rPr>
        <w:t xml:space="preserve"> No significant burden is placed on small entities, in that small entities are simply required to identify themselves as such in </w:t>
      </w:r>
      <w:r>
        <w:rPr>
          <w:rFonts w:ascii="Arial" w:hAnsi="Arial" w:cs="Arial"/>
        </w:rPr>
        <w:t>order to obtain these benefits.</w:t>
      </w:r>
      <w:r w:rsidRPr="00B0428B">
        <w:rPr>
          <w:rFonts w:ascii="Arial" w:hAnsi="Arial" w:cs="Arial"/>
        </w:rPr>
        <w:t xml:space="preserve"> An assertion of small entity status</w:t>
      </w:r>
      <w:r>
        <w:rPr>
          <w:rFonts w:ascii="Arial" w:hAnsi="Arial" w:cs="Arial"/>
        </w:rPr>
        <w:t xml:space="preserve"> (or a certification of entitlement to micro entity status)</w:t>
      </w:r>
      <w:r w:rsidRPr="00B0428B">
        <w:rPr>
          <w:rFonts w:ascii="Arial" w:hAnsi="Arial" w:cs="Arial"/>
        </w:rPr>
        <w:t xml:space="preserve"> only needs to be filed once in an application or patent.</w:t>
      </w:r>
    </w:p>
    <w:p w:rsidR="00636EDA" w:rsidRPr="00476F66" w:rsidP="00636EDA" w14:paraId="79D4A0C7" w14:textId="3971BA72">
      <w:pPr>
        <w:widowControl/>
        <w:tabs>
          <w:tab w:val="left" w:pos="-984"/>
          <w:tab w:val="left" w:pos="-720"/>
          <w:tab w:val="left" w:pos="720"/>
        </w:tabs>
        <w:jc w:val="both"/>
        <w:rPr>
          <w:rFonts w:ascii="Arial" w:hAnsi="Arial" w:cs="Arial"/>
          <w:color w:val="0000FF"/>
        </w:rPr>
      </w:pPr>
    </w:p>
    <w:p w:rsidR="00567B74" w:rsidRPr="00004988" w:rsidP="00EE404D" w14:paraId="74658122" w14:textId="47E078AA">
      <w:pPr>
        <w:pStyle w:val="ListParagraph"/>
        <w:keepNext/>
        <w:keepLines/>
        <w:widowControl/>
        <w:numPr>
          <w:ilvl w:val="0"/>
          <w:numId w:val="13"/>
        </w:numPr>
        <w:tabs>
          <w:tab w:val="left" w:pos="-984"/>
          <w:tab w:val="left" w:pos="-720"/>
          <w:tab w:val="left" w:pos="720"/>
        </w:tabs>
        <w:ind w:hanging="450"/>
        <w:jc w:val="both"/>
        <w:rPr>
          <w:rFonts w:ascii="Arial" w:hAnsi="Arial" w:cs="Arial"/>
          <w:b/>
          <w:bCs/>
          <w:sz w:val="32"/>
        </w:rPr>
      </w:pPr>
      <w:r w:rsidRPr="00004988">
        <w:rPr>
          <w:rFonts w:ascii="Arial" w:hAnsi="Arial" w:cs="Arial"/>
          <w:b/>
          <w:szCs w:val="20"/>
        </w:rPr>
        <w:t xml:space="preserve">Describe the consequence to Federal program or policy activities if the collection is not conducted or is conducted less frequently, as well as any technical or legal obstacles to reducing burden. </w:t>
      </w:r>
    </w:p>
    <w:p w:rsidR="00567B74" w:rsidP="00636EDA" w14:paraId="53CFE4DC" w14:textId="77777777">
      <w:pPr>
        <w:keepNext/>
        <w:keepLines/>
        <w:widowControl/>
        <w:tabs>
          <w:tab w:val="left" w:pos="-984"/>
          <w:tab w:val="left" w:pos="-720"/>
          <w:tab w:val="left" w:pos="720"/>
        </w:tabs>
        <w:jc w:val="both"/>
        <w:rPr>
          <w:rFonts w:ascii="Arial" w:hAnsi="Arial" w:cs="Arial"/>
          <w:b/>
          <w:bCs/>
        </w:rPr>
      </w:pPr>
    </w:p>
    <w:p w:rsidR="0080067D" w:rsidRPr="00AD165A" w:rsidP="00AD165A" w14:paraId="5FBAB71A" w14:textId="7DCF6C07">
      <w:pPr>
        <w:widowControl/>
        <w:tabs>
          <w:tab w:val="left" w:pos="-1176"/>
        </w:tabs>
        <w:jc w:val="both"/>
        <w:rPr>
          <w:rFonts w:ascii="Arial" w:hAnsi="Arial" w:cs="Arial"/>
        </w:rPr>
      </w:pPr>
      <w:r w:rsidRPr="00B0428B">
        <w:rPr>
          <w:rFonts w:ascii="Arial" w:hAnsi="Arial" w:cs="Arial"/>
        </w:rPr>
        <w:t>This collection of information is required for the processing and examination of the respondent's patent application involving a nucleotide o</w:t>
      </w:r>
      <w:r>
        <w:rPr>
          <w:rFonts w:ascii="Arial" w:hAnsi="Arial" w:cs="Arial"/>
        </w:rPr>
        <w:t xml:space="preserve">r amino acid sequence listing. </w:t>
      </w:r>
      <w:r w:rsidRPr="00B0428B">
        <w:rPr>
          <w:rFonts w:ascii="Arial" w:hAnsi="Arial" w:cs="Arial"/>
        </w:rPr>
        <w:t>This information could no</w:t>
      </w:r>
      <w:r>
        <w:rPr>
          <w:rFonts w:ascii="Arial" w:hAnsi="Arial" w:cs="Arial"/>
        </w:rPr>
        <w:t>t be collected less frequently.</w:t>
      </w:r>
      <w:r w:rsidRPr="00B0428B">
        <w:rPr>
          <w:rFonts w:ascii="Arial" w:hAnsi="Arial" w:cs="Arial"/>
        </w:rPr>
        <w:t xml:space="preserve"> If the information were not </w:t>
      </w:r>
      <w:r w:rsidRPr="00B0428B">
        <w:rPr>
          <w:rFonts w:ascii="Arial" w:hAnsi="Arial" w:cs="Arial"/>
        </w:rPr>
        <w:t>collected, the USPTO could not properly examine the associated application as required by 35 U.S.C. § 131. Further, the collection of this information is necessary in order to publish the sequence listings accurately as part of the application or patent.</w:t>
      </w:r>
    </w:p>
    <w:p w:rsidR="0080067D" w:rsidRPr="00476F66" w:rsidP="00636EDA" w14:paraId="190F58A2" w14:textId="77777777">
      <w:pPr>
        <w:widowControl/>
        <w:tabs>
          <w:tab w:val="left" w:pos="-984"/>
          <w:tab w:val="left" w:pos="-720"/>
          <w:tab w:val="left" w:pos="720"/>
        </w:tabs>
        <w:jc w:val="both"/>
        <w:rPr>
          <w:rFonts w:ascii="Arial" w:hAnsi="Arial" w:cs="Arial"/>
          <w:color w:val="0000FF"/>
        </w:rPr>
      </w:pPr>
    </w:p>
    <w:p w:rsidR="00567B74" w:rsidRPr="00004988" w:rsidP="00EE404D" w14:paraId="4F7FFAF0" w14:textId="0C507262">
      <w:pPr>
        <w:pStyle w:val="ListParagraph"/>
        <w:keepNext/>
        <w:keepLines/>
        <w:widowControl/>
        <w:numPr>
          <w:ilvl w:val="0"/>
          <w:numId w:val="13"/>
        </w:numPr>
        <w:tabs>
          <w:tab w:val="left" w:pos="-984"/>
          <w:tab w:val="left" w:pos="-720"/>
          <w:tab w:val="left" w:pos="720"/>
        </w:tabs>
        <w:ind w:hanging="450"/>
        <w:jc w:val="both"/>
        <w:rPr>
          <w:rFonts w:ascii="Arial" w:hAnsi="Arial" w:cs="Arial"/>
          <w:b/>
        </w:rPr>
      </w:pPr>
      <w:r w:rsidRPr="00004988">
        <w:rPr>
          <w:rFonts w:ascii="Arial" w:hAnsi="Arial" w:cs="Arial"/>
          <w:b/>
        </w:rPr>
        <w:t xml:space="preserve">Explain any special circumstances that would cause an information collection to be conducted in a manner: </w:t>
      </w:r>
    </w:p>
    <w:p w:rsidR="00EE404D" w:rsidRPr="00152ADE" w:rsidP="00EE404D" w14:paraId="7E1469A6" w14:textId="20D03834">
      <w:pPr>
        <w:pStyle w:val="NoSpacing"/>
        <w:ind w:left="360" w:hanging="360"/>
        <w:contextualSpacing/>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requiring respondents to report information to the agency more often than quarterly;</w:t>
      </w:r>
    </w:p>
    <w:p w:rsidR="00EE404D" w:rsidRPr="00152ADE" w:rsidP="00EE404D" w14:paraId="7025F35F" w14:textId="77777777">
      <w:pPr>
        <w:pStyle w:val="NoSpacing"/>
        <w:ind w:left="360" w:hanging="360"/>
        <w:contextualSpacing/>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requiring respondents to prepare a written response to a collection of information in fewer than 30 days after receipt of it;</w:t>
      </w:r>
    </w:p>
    <w:p w:rsidR="00EE404D" w:rsidRPr="00152ADE" w:rsidP="00EE404D" w14:paraId="7AF67D44" w14:textId="77777777">
      <w:pPr>
        <w:pStyle w:val="NoSpacing"/>
        <w:ind w:left="360" w:hanging="360"/>
        <w:contextualSpacing/>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requiring respondents to submit more than an original and two copies of any document;</w:t>
      </w:r>
    </w:p>
    <w:p w:rsidR="00EE404D" w:rsidRPr="00152ADE" w:rsidP="00EE404D" w14:paraId="5D30A059" w14:textId="77777777">
      <w:pPr>
        <w:pStyle w:val="NoSpacing"/>
        <w:ind w:left="360" w:hanging="360"/>
        <w:contextualSpacing/>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requiring respondents to retain records, other than health, medical, government contract, grant-in-aid, or tax records, for more than three years;</w:t>
      </w:r>
    </w:p>
    <w:p w:rsidR="00EE404D" w:rsidRPr="00152ADE" w:rsidP="00EE404D" w14:paraId="2D845FE8" w14:textId="77777777">
      <w:pPr>
        <w:pStyle w:val="NoSpacing"/>
        <w:ind w:left="360" w:hanging="360"/>
        <w:contextualSpacing/>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in connection with a statistical survey, that is not designed to produce valid and reliable results that can be generalized to the universe of study;</w:t>
      </w:r>
    </w:p>
    <w:p w:rsidR="00EE404D" w:rsidRPr="00152ADE" w:rsidP="00EE404D" w14:paraId="4A601E7F" w14:textId="77777777">
      <w:pPr>
        <w:pStyle w:val="NoSpacing"/>
        <w:ind w:left="360" w:hanging="360"/>
        <w:contextualSpacing/>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requiring the use of a statistical data classification that has not been reviewed and approved by OMB;</w:t>
      </w:r>
    </w:p>
    <w:p w:rsidR="00EE404D" w:rsidP="00EE404D" w14:paraId="5E6905E7" w14:textId="647ED875">
      <w:pPr>
        <w:pStyle w:val="NoSpacing"/>
        <w:ind w:left="360" w:hanging="360"/>
        <w:contextualSpacing/>
        <w:jc w:val="both"/>
        <w:rPr>
          <w:rFonts w:ascii="Arial" w:hAnsi="Arial" w:cs="Arial"/>
          <w:sz w:val="24"/>
          <w:szCs w:val="24"/>
        </w:rPr>
      </w:pPr>
      <w:r w:rsidRPr="00152ADE">
        <w:rPr>
          <w:rFonts w:ascii="Arial" w:hAnsi="Arial" w:cs="Arial"/>
          <w:b/>
          <w:sz w:val="24"/>
          <w:szCs w:val="24"/>
        </w:rPr>
        <w:t>•</w:t>
      </w:r>
      <w:r w:rsidRPr="00152ADE">
        <w:rPr>
          <w:rFonts w:ascii="Arial" w:hAnsi="Arial" w:cs="Arial"/>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rsidR="00567B74" w:rsidRPr="0056760B" w:rsidP="00EE404D" w14:paraId="517760A3" w14:textId="77777777">
      <w:pPr>
        <w:widowControl/>
        <w:autoSpaceDE/>
        <w:autoSpaceDN/>
        <w:adjustRightInd/>
        <w:ind w:left="810" w:hanging="360"/>
        <w:rPr>
          <w:rFonts w:ascii="Arial" w:hAnsi="Arial" w:cs="Arial"/>
        </w:rPr>
      </w:pPr>
    </w:p>
    <w:p w:rsidR="00636EDA" w:rsidRPr="00C93EDD" w:rsidP="00636EDA" w14:paraId="79D4A0CE" w14:textId="77777777">
      <w:pPr>
        <w:widowControl/>
        <w:tabs>
          <w:tab w:val="left" w:pos="-984"/>
          <w:tab w:val="left" w:pos="-720"/>
          <w:tab w:val="left" w:pos="720"/>
        </w:tabs>
        <w:jc w:val="both"/>
        <w:rPr>
          <w:rFonts w:ascii="Arial" w:hAnsi="Arial" w:cs="Arial"/>
        </w:rPr>
      </w:pPr>
      <w:r w:rsidRPr="00C93EDD">
        <w:rPr>
          <w:rFonts w:ascii="Arial" w:hAnsi="Arial" w:cs="Arial"/>
        </w:rPr>
        <w:t>There are no special circumstances associated with this collection of information.</w:t>
      </w:r>
    </w:p>
    <w:p w:rsidR="00636EDA" w:rsidRPr="00C93EDD" w:rsidP="00636EDA" w14:paraId="79D4A0CF" w14:textId="77777777">
      <w:pPr>
        <w:widowControl/>
        <w:tabs>
          <w:tab w:val="left" w:pos="-984"/>
          <w:tab w:val="left" w:pos="-720"/>
          <w:tab w:val="left" w:pos="720"/>
        </w:tabs>
        <w:jc w:val="both"/>
        <w:rPr>
          <w:rFonts w:ascii="Arial" w:hAnsi="Arial" w:cs="Arial"/>
        </w:rPr>
      </w:pPr>
    </w:p>
    <w:p w:rsidR="00567B74" w:rsidRPr="00004988" w:rsidP="00EE404D" w14:paraId="4F6EA99D" w14:textId="561A73E4">
      <w:pPr>
        <w:pStyle w:val="ListParagraph"/>
        <w:keepNext/>
        <w:keepLines/>
        <w:widowControl/>
        <w:numPr>
          <w:ilvl w:val="0"/>
          <w:numId w:val="13"/>
        </w:numPr>
        <w:tabs>
          <w:tab w:val="left" w:pos="-984"/>
          <w:tab w:val="left" w:pos="-720"/>
          <w:tab w:val="left" w:pos="720"/>
        </w:tabs>
        <w:ind w:hanging="450"/>
        <w:jc w:val="both"/>
        <w:rPr>
          <w:rFonts w:ascii="Arial" w:hAnsi="Arial" w:cs="Arial"/>
          <w:b/>
          <w:bCs/>
          <w:sz w:val="32"/>
        </w:rPr>
      </w:pPr>
      <w:r w:rsidRPr="00004988">
        <w:rPr>
          <w:rFonts w:ascii="Arial" w:hAnsi="Arial" w:cs="Arial"/>
          <w:b/>
          <w:szCs w:val="20"/>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636EDA" w:rsidRPr="00476F66" w:rsidP="00636EDA" w14:paraId="79D4A0D1" w14:textId="77777777">
      <w:pPr>
        <w:keepNext/>
        <w:keepLines/>
        <w:widowControl/>
        <w:tabs>
          <w:tab w:val="left" w:pos="-984"/>
          <w:tab w:val="left" w:pos="-720"/>
          <w:tab w:val="left" w:pos="720"/>
        </w:tabs>
        <w:jc w:val="both"/>
        <w:rPr>
          <w:rFonts w:ascii="Arial" w:hAnsi="Arial" w:cs="Arial"/>
          <w:color w:val="0000FF"/>
        </w:rPr>
      </w:pPr>
    </w:p>
    <w:p w:rsidR="00BC4A76" w:rsidRPr="00335066" w:rsidP="003D53B9" w14:paraId="381A3160" w14:textId="17AE07CD">
      <w:pPr>
        <w:widowControl/>
        <w:tabs>
          <w:tab w:val="left" w:pos="-984"/>
          <w:tab w:val="left" w:pos="-720"/>
          <w:tab w:val="left" w:pos="720"/>
        </w:tabs>
        <w:jc w:val="both"/>
        <w:rPr>
          <w:rFonts w:ascii="Arial" w:hAnsi="Arial" w:cs="Arial"/>
        </w:rPr>
      </w:pPr>
      <w:r w:rsidRPr="00C93EDD">
        <w:rPr>
          <w:rFonts w:ascii="Arial" w:hAnsi="Arial" w:cs="Arial"/>
        </w:rPr>
        <w:t xml:space="preserve">The 60-Day Notice was published in the </w:t>
      </w:r>
      <w:r w:rsidRPr="000B4FB8">
        <w:rPr>
          <w:rFonts w:ascii="Arial" w:hAnsi="Arial" w:cs="Arial"/>
          <w:i/>
        </w:rPr>
        <w:t>Federal Register</w:t>
      </w:r>
      <w:r w:rsidRPr="00C93EDD">
        <w:rPr>
          <w:rFonts w:ascii="Arial" w:hAnsi="Arial" w:cs="Arial"/>
        </w:rPr>
        <w:t xml:space="preserve"> on </w:t>
      </w:r>
      <w:r w:rsidR="00AC25E3">
        <w:rPr>
          <w:rFonts w:ascii="Arial" w:hAnsi="Arial" w:cs="Arial"/>
        </w:rPr>
        <w:t xml:space="preserve">June </w:t>
      </w:r>
      <w:r w:rsidR="00D76133">
        <w:rPr>
          <w:rFonts w:ascii="Arial" w:hAnsi="Arial" w:cs="Arial"/>
        </w:rPr>
        <w:t>7</w:t>
      </w:r>
      <w:r w:rsidR="00AC25E3">
        <w:rPr>
          <w:rFonts w:ascii="Arial" w:hAnsi="Arial" w:cs="Arial"/>
        </w:rPr>
        <w:t>, 2022 (</w:t>
      </w:r>
      <w:hyperlink r:id="rId10" w:history="1">
        <w:r w:rsidRPr="00AC25E3" w:rsidR="00AC25E3">
          <w:rPr>
            <w:rStyle w:val="Hyperlink"/>
            <w:rFonts w:ascii="Arial" w:hAnsi="Arial" w:cs="Arial"/>
          </w:rPr>
          <w:t>87 FR 34667</w:t>
        </w:r>
      </w:hyperlink>
      <w:r w:rsidR="00AC25E3">
        <w:rPr>
          <w:rFonts w:ascii="Arial" w:hAnsi="Arial" w:cs="Arial"/>
        </w:rPr>
        <w:t>)</w:t>
      </w:r>
      <w:r w:rsidRPr="00C93EDD">
        <w:rPr>
          <w:rFonts w:ascii="Arial" w:hAnsi="Arial" w:cs="Arial"/>
        </w:rPr>
        <w:t>.</w:t>
      </w:r>
      <w:r>
        <w:rPr>
          <w:rFonts w:ascii="Arial" w:hAnsi="Arial" w:cs="Arial"/>
        </w:rPr>
        <w:t xml:space="preserve"> </w:t>
      </w:r>
      <w:r w:rsidRPr="00C93EDD">
        <w:rPr>
          <w:rFonts w:ascii="Arial" w:hAnsi="Arial" w:cs="Arial"/>
        </w:rPr>
        <w:t xml:space="preserve"> The comment period </w:t>
      </w:r>
      <w:r w:rsidRPr="007F0B6F">
        <w:rPr>
          <w:rFonts w:ascii="Arial" w:hAnsi="Arial" w:cs="Arial"/>
        </w:rPr>
        <w:t xml:space="preserve">ended on </w:t>
      </w:r>
      <w:r w:rsidR="00AC25E3">
        <w:rPr>
          <w:rFonts w:ascii="Arial" w:hAnsi="Arial" w:cs="Arial"/>
        </w:rPr>
        <w:t>August 8</w:t>
      </w:r>
      <w:r>
        <w:rPr>
          <w:rFonts w:ascii="Arial" w:hAnsi="Arial" w:cs="Arial"/>
        </w:rPr>
        <w:t>, 20</w:t>
      </w:r>
      <w:r w:rsidR="000B4FB8">
        <w:rPr>
          <w:rFonts w:ascii="Arial" w:hAnsi="Arial" w:cs="Arial"/>
        </w:rPr>
        <w:t>22</w:t>
      </w:r>
      <w:r w:rsidRPr="007F0B6F">
        <w:rPr>
          <w:rFonts w:ascii="Arial" w:hAnsi="Arial" w:cs="Arial"/>
        </w:rPr>
        <w:t>.</w:t>
      </w:r>
      <w:r>
        <w:rPr>
          <w:rFonts w:ascii="Arial" w:hAnsi="Arial" w:cs="Arial"/>
        </w:rPr>
        <w:t xml:space="preserve"> </w:t>
      </w:r>
      <w:r w:rsidRPr="007F0B6F">
        <w:rPr>
          <w:rFonts w:ascii="Arial" w:hAnsi="Arial" w:cs="Arial"/>
        </w:rPr>
        <w:t xml:space="preserve"> </w:t>
      </w:r>
      <w:r w:rsidR="00353C22">
        <w:rPr>
          <w:rFonts w:ascii="Arial" w:hAnsi="Arial" w:cs="Arial"/>
        </w:rPr>
        <w:t>No comments were received</w:t>
      </w:r>
      <w:r w:rsidRPr="007F0B6F">
        <w:rPr>
          <w:rFonts w:ascii="Arial" w:hAnsi="Arial" w:cs="Arial"/>
        </w:rPr>
        <w:t>.</w:t>
      </w:r>
      <w:r w:rsidR="00821A93">
        <w:rPr>
          <w:rFonts w:ascii="Arial" w:hAnsi="Arial" w:cs="Arial"/>
        </w:rPr>
        <w:t xml:space="preserve">  </w:t>
      </w:r>
    </w:p>
    <w:p w:rsidR="00AD7FC4" w:rsidP="00AD7FC4" w14:paraId="617C083B" w14:textId="77777777">
      <w:pPr>
        <w:widowControl/>
        <w:tabs>
          <w:tab w:val="left" w:pos="-984"/>
          <w:tab w:val="left" w:pos="-720"/>
          <w:tab w:val="left" w:pos="720"/>
        </w:tabs>
        <w:jc w:val="both"/>
        <w:rPr>
          <w:rFonts w:ascii="Arial" w:hAnsi="Arial" w:cs="Arial"/>
        </w:rPr>
      </w:pPr>
    </w:p>
    <w:p w:rsidR="00AD7FC4" w:rsidP="00AD7FC4" w14:paraId="417A0238" w14:textId="4CF13DA9">
      <w:pPr>
        <w:widowControl/>
        <w:tabs>
          <w:tab w:val="left" w:pos="-984"/>
          <w:tab w:val="left" w:pos="-720"/>
          <w:tab w:val="left" w:pos="720"/>
        </w:tabs>
        <w:jc w:val="both"/>
        <w:rPr>
          <w:rFonts w:ascii="Arial" w:hAnsi="Arial" w:cs="Arial"/>
        </w:rPr>
      </w:pPr>
      <w:r w:rsidRPr="00AD7FC4">
        <w:rPr>
          <w:rFonts w:ascii="Arial" w:hAnsi="Arial" w:cs="Arial"/>
        </w:rPr>
        <w:t xml:space="preserve">The USPTO has long-standing relationships with groups who frequently communicate their views on information collections, including the American Bar Association (ABA), American Intellectual Property Law Association (AIPLA), inventor associations, </w:t>
      </w:r>
      <w:r w:rsidRPr="00AD7FC4" w:rsidR="000B4FB8">
        <w:rPr>
          <w:rFonts w:ascii="Arial" w:hAnsi="Arial" w:cs="Arial"/>
        </w:rPr>
        <w:t>patent bar associations, independent inventor groups, and users of our public search facilities.  Their views are expressed in regularly scheduled meetings and considered in developing proposals for information collection requirements.  There have been no comments or concerns expressed by these or similar organizations concerning the time to provide the information required under this program</w:t>
      </w:r>
      <w:r w:rsidRPr="00AD7FC4">
        <w:rPr>
          <w:rFonts w:ascii="Arial" w:hAnsi="Arial" w:cs="Arial"/>
        </w:rPr>
        <w:t xml:space="preserve"> </w:t>
      </w:r>
    </w:p>
    <w:p w:rsidR="00AD7FC4" w:rsidP="00AD7FC4" w14:paraId="125EFF18" w14:textId="77777777">
      <w:pPr>
        <w:widowControl/>
        <w:tabs>
          <w:tab w:val="left" w:pos="-984"/>
          <w:tab w:val="left" w:pos="-720"/>
          <w:tab w:val="left" w:pos="720"/>
        </w:tabs>
        <w:jc w:val="both"/>
        <w:rPr>
          <w:rFonts w:ascii="Arial" w:hAnsi="Arial" w:cs="Arial"/>
          <w:b/>
          <w:szCs w:val="20"/>
        </w:rPr>
      </w:pPr>
    </w:p>
    <w:p w:rsidR="00567B74" w:rsidRPr="00AD7FC4" w:rsidP="00091630" w14:paraId="6767514E" w14:textId="4C6F6248">
      <w:pPr>
        <w:pStyle w:val="ListParagraph"/>
        <w:widowControl/>
        <w:numPr>
          <w:ilvl w:val="0"/>
          <w:numId w:val="13"/>
        </w:numPr>
        <w:tabs>
          <w:tab w:val="left" w:pos="-984"/>
          <w:tab w:val="left" w:pos="-720"/>
          <w:tab w:val="left" w:pos="720"/>
        </w:tabs>
        <w:ind w:hanging="450"/>
        <w:jc w:val="both"/>
        <w:rPr>
          <w:rFonts w:ascii="Arial" w:hAnsi="Arial" w:cs="Arial"/>
          <w:b/>
          <w:sz w:val="32"/>
        </w:rPr>
      </w:pPr>
      <w:r w:rsidRPr="00AD7FC4">
        <w:rPr>
          <w:rFonts w:ascii="Arial" w:hAnsi="Arial" w:cs="Arial"/>
          <w:b/>
          <w:szCs w:val="20"/>
        </w:rPr>
        <w:t>Explain any decision to provide any payment or gift to respondents, other than remuneration of contractors or grantees.</w:t>
      </w:r>
    </w:p>
    <w:p w:rsidR="00567B74" w:rsidRPr="0056760B" w:rsidP="00636EDA" w14:paraId="65FB1871" w14:textId="77777777">
      <w:pPr>
        <w:widowControl/>
        <w:tabs>
          <w:tab w:val="left" w:pos="-984"/>
          <w:tab w:val="left" w:pos="-720"/>
          <w:tab w:val="left" w:pos="720"/>
        </w:tabs>
        <w:jc w:val="both"/>
        <w:rPr>
          <w:rFonts w:ascii="Arial" w:hAnsi="Arial" w:cs="Arial"/>
        </w:rPr>
      </w:pPr>
    </w:p>
    <w:p w:rsidR="00636EDA" w:rsidRPr="00F462AC" w:rsidP="00636EDA" w14:paraId="79D4A0D8" w14:textId="77777777">
      <w:pPr>
        <w:widowControl/>
        <w:tabs>
          <w:tab w:val="left" w:pos="-984"/>
          <w:tab w:val="left" w:pos="-720"/>
          <w:tab w:val="left" w:pos="720"/>
        </w:tabs>
        <w:jc w:val="both"/>
        <w:rPr>
          <w:rFonts w:ascii="Arial" w:hAnsi="Arial" w:cs="Arial"/>
        </w:rPr>
      </w:pPr>
      <w:r w:rsidRPr="00F462AC">
        <w:rPr>
          <w:rFonts w:ascii="Arial" w:hAnsi="Arial" w:cs="Arial"/>
        </w:rPr>
        <w:t xml:space="preserve">This information collection does not involve a payment or gift to any respondent. </w:t>
      </w:r>
    </w:p>
    <w:p w:rsidR="00636EDA" w:rsidRPr="00476F66" w:rsidP="00636EDA" w14:paraId="79D4A0D9" w14:textId="77777777">
      <w:pPr>
        <w:widowControl/>
        <w:tabs>
          <w:tab w:val="left" w:pos="-984"/>
          <w:tab w:val="left" w:pos="-720"/>
          <w:tab w:val="left" w:pos="720"/>
        </w:tabs>
        <w:jc w:val="both"/>
        <w:rPr>
          <w:rFonts w:ascii="Arial" w:hAnsi="Arial" w:cs="Arial"/>
          <w:color w:val="0000FF"/>
        </w:rPr>
      </w:pPr>
    </w:p>
    <w:p w:rsidR="00567B74" w:rsidRPr="00004988" w:rsidP="00091630" w14:paraId="6B4947CF" w14:textId="793BA789">
      <w:pPr>
        <w:pStyle w:val="ListParagraph"/>
        <w:keepNext/>
        <w:widowControl/>
        <w:numPr>
          <w:ilvl w:val="0"/>
          <w:numId w:val="13"/>
        </w:numPr>
        <w:tabs>
          <w:tab w:val="left" w:pos="-984"/>
          <w:tab w:val="left" w:pos="-720"/>
          <w:tab w:val="left" w:pos="720"/>
        </w:tabs>
        <w:ind w:hanging="450"/>
        <w:jc w:val="both"/>
        <w:rPr>
          <w:rFonts w:ascii="Arial" w:hAnsi="Arial" w:cs="Arial"/>
          <w:b/>
          <w:sz w:val="32"/>
        </w:rPr>
      </w:pPr>
      <w:r w:rsidRPr="00004988">
        <w:rPr>
          <w:rFonts w:ascii="Arial" w:hAnsi="Arial" w:cs="Arial"/>
          <w:b/>
          <w:szCs w:val="20"/>
        </w:rPr>
        <w:t xml:space="preserve">Describe any assurance of confidentiality provided to respondents and the basis for the assurance in statute, regulation, or agency policy. If the collection requires a systems of records notice (SORN) or privacy impact assessment (PIA), those should be cited and described here. </w:t>
      </w:r>
    </w:p>
    <w:p w:rsidR="00567B74" w:rsidRPr="001F0D09" w:rsidP="00636EDA" w14:paraId="4602C3BF" w14:textId="77777777">
      <w:pPr>
        <w:keepNext/>
        <w:widowControl/>
        <w:tabs>
          <w:tab w:val="left" w:pos="-984"/>
          <w:tab w:val="left" w:pos="-720"/>
          <w:tab w:val="left" w:pos="720"/>
        </w:tabs>
        <w:jc w:val="both"/>
        <w:rPr>
          <w:rFonts w:ascii="Arial" w:hAnsi="Arial" w:cs="Arial"/>
        </w:rPr>
      </w:pPr>
    </w:p>
    <w:p w:rsidR="00730AF4" w:rsidRPr="00973826" w:rsidP="00730AF4" w14:paraId="398E100B" w14:textId="77777777">
      <w:pPr>
        <w:pStyle w:val="BodyText"/>
        <w:tabs>
          <w:tab w:val="left" w:pos="-1176"/>
        </w:tabs>
        <w:rPr>
          <w:rFonts w:cs="Arial"/>
          <w:szCs w:val="24"/>
        </w:rPr>
      </w:pPr>
      <w:r w:rsidRPr="00730AF4">
        <w:rPr>
          <w:rFonts w:cs="Arial"/>
          <w:szCs w:val="24"/>
        </w:rPr>
        <w:t xml:space="preserve">Confidentiality of patent applications is governed by statute (35 U.S.C. § 122) and regulation (37 CFR 1.11 and 1.14). Upon publication of an application or issuance of a patent, the </w:t>
      </w:r>
      <w:r w:rsidRPr="00870FC7">
        <w:rPr>
          <w:rFonts w:cs="Arial"/>
          <w:szCs w:val="24"/>
        </w:rPr>
        <w:t>entire patent application file is made available to the public (subject to provisions for providing only a redacted copy of the file contents). Therefore, the information collected by this information collection will necessarily be available to the public when it is either filed in a published application or issued patent, or when it is filed in an application that is later published or issued as a patent.</w:t>
      </w:r>
    </w:p>
    <w:p w:rsidR="00730AF4" w:rsidRPr="00973826" w:rsidP="00730AF4" w14:paraId="1A0A5B3A" w14:textId="77777777">
      <w:pPr>
        <w:pStyle w:val="BodyText"/>
        <w:tabs>
          <w:tab w:val="left" w:pos="-1176"/>
        </w:tabs>
        <w:rPr>
          <w:rFonts w:cs="Arial"/>
          <w:szCs w:val="24"/>
        </w:rPr>
      </w:pPr>
    </w:p>
    <w:p w:rsidR="00730AF4" w:rsidRPr="00453228" w:rsidP="00730AF4" w14:paraId="1A5A82C2" w14:textId="77777777">
      <w:pPr>
        <w:pStyle w:val="NoSpacing"/>
        <w:jc w:val="both"/>
        <w:rPr>
          <w:rFonts w:ascii="Arial" w:hAnsi="Arial" w:cs="Arial"/>
          <w:sz w:val="24"/>
          <w:szCs w:val="24"/>
        </w:rPr>
      </w:pPr>
      <w:r w:rsidRPr="00453228">
        <w:rPr>
          <w:rFonts w:ascii="Arial" w:hAnsi="Arial" w:cs="Arial"/>
          <w:sz w:val="24"/>
          <w:szCs w:val="24"/>
        </w:rPr>
        <w:t xml:space="preserve">The Privacy Act of 1974 (P.L. 93-579) requires that individuals submitting these items to USPTO be given certain information in connection with that submission.  The USPTO collects this information under authority of 37 CFR 1.28 and 1.29. The purpose of the system is to carry out the duties of the USPTO to grant and issue patents.  </w:t>
      </w:r>
    </w:p>
    <w:p w:rsidR="00730AF4" w:rsidRPr="00453228" w:rsidP="00730AF4" w14:paraId="1D571948" w14:textId="77777777">
      <w:pPr>
        <w:pStyle w:val="NoSpacing"/>
        <w:jc w:val="both"/>
        <w:rPr>
          <w:rFonts w:ascii="Arial" w:hAnsi="Arial" w:cs="Arial"/>
          <w:sz w:val="24"/>
          <w:szCs w:val="24"/>
        </w:rPr>
      </w:pPr>
    </w:p>
    <w:p w:rsidR="00730AF4" w:rsidRPr="00453228" w:rsidP="00730AF4" w14:paraId="3171999A" w14:textId="77777777">
      <w:pPr>
        <w:pStyle w:val="NoSpacing"/>
        <w:jc w:val="both"/>
        <w:rPr>
          <w:rFonts w:ascii="Arial" w:hAnsi="Arial" w:cs="Arial"/>
          <w:sz w:val="24"/>
          <w:szCs w:val="24"/>
        </w:rPr>
      </w:pPr>
      <w:r w:rsidRPr="00453228">
        <w:rPr>
          <w:rFonts w:ascii="Arial" w:hAnsi="Arial" w:cs="Arial"/>
          <w:sz w:val="24"/>
          <w:szCs w:val="24"/>
        </w:rPr>
        <w:t xml:space="preserve">Categories of individuals covered by the system include applicants for patent, including inventors, legal representatives for deceased or incapacitated inventors, and other persons authorized by law to make applications for patent.  The information in this system of records is used to manage all applicant records including name, citizenship, residence, post office address, and other information pertaining to the applicant's activities in connection with the invention for which a patent is sought. </w:t>
      </w:r>
    </w:p>
    <w:p w:rsidR="00730AF4" w:rsidRPr="00453228" w:rsidP="00730AF4" w14:paraId="6E1E767E" w14:textId="77777777">
      <w:pPr>
        <w:pStyle w:val="NoSpacing"/>
        <w:jc w:val="both"/>
        <w:rPr>
          <w:rFonts w:ascii="Arial" w:hAnsi="Arial" w:cs="Arial"/>
          <w:sz w:val="24"/>
          <w:szCs w:val="24"/>
        </w:rPr>
      </w:pPr>
    </w:p>
    <w:p w:rsidR="00730AF4" w:rsidRPr="00453228" w:rsidP="00730AF4" w14:paraId="21B4BFE7" w14:textId="77777777">
      <w:pPr>
        <w:pStyle w:val="NoSpacing"/>
        <w:jc w:val="both"/>
        <w:rPr>
          <w:rFonts w:ascii="Arial" w:hAnsi="Arial" w:cs="Arial"/>
          <w:sz w:val="24"/>
          <w:szCs w:val="24"/>
        </w:rPr>
      </w:pPr>
      <w:r w:rsidRPr="00453228">
        <w:rPr>
          <w:rFonts w:ascii="Arial" w:hAnsi="Arial" w:cs="Arial"/>
          <w:sz w:val="24"/>
          <w:szCs w:val="24"/>
        </w:rPr>
        <w:t xml:space="preserve">The information is protected from disclosure to third 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assistance; to members of congress working on behalf of an individual; to the Office of Personnel Management for personnel research purposes; to National Archives and Records Administration for records management activities; and to the Office of Management and Budget for legislative coordination and clearance. Failure to provide any part of the requested information may result in an inability to process submissions. </w:t>
      </w:r>
    </w:p>
    <w:p w:rsidR="00730AF4" w:rsidRPr="00453228" w:rsidP="00730AF4" w14:paraId="2E32CBC6" w14:textId="77777777">
      <w:pPr>
        <w:pStyle w:val="NoSpacing"/>
        <w:jc w:val="both"/>
        <w:rPr>
          <w:rFonts w:ascii="Arial" w:hAnsi="Arial" w:cs="Arial"/>
          <w:sz w:val="24"/>
          <w:szCs w:val="24"/>
        </w:rPr>
      </w:pPr>
    </w:p>
    <w:p w:rsidR="00730AF4" w:rsidRPr="00453228" w:rsidP="00730AF4" w14:paraId="6DC03003" w14:textId="77777777">
      <w:pPr>
        <w:pStyle w:val="NoSpacing"/>
        <w:jc w:val="both"/>
        <w:rPr>
          <w:rFonts w:ascii="Arial" w:hAnsi="Arial" w:cs="Arial"/>
          <w:sz w:val="24"/>
          <w:szCs w:val="24"/>
        </w:rPr>
      </w:pPr>
      <w:r w:rsidRPr="00453228">
        <w:rPr>
          <w:rFonts w:ascii="Arial" w:hAnsi="Arial" w:cs="Arial"/>
          <w:sz w:val="24"/>
          <w:szCs w:val="24"/>
        </w:rPr>
        <w:t xml:space="preserve">The applicable Privacy Act System of Records Notice for this information is COMMERCE/PAT-TM-7 Patent Application Files, available at Federal Register /Vol. 78, No. 61 / Friday, March 29, 2013 /Notices 19243. </w:t>
      </w:r>
      <w:hyperlink r:id="rId11" w:history="1">
        <w:r w:rsidRPr="00453228">
          <w:rPr>
            <w:rStyle w:val="Hyperlink"/>
            <w:rFonts w:ascii="Arial" w:hAnsi="Arial" w:cs="Arial"/>
            <w:sz w:val="24"/>
            <w:szCs w:val="24"/>
          </w:rPr>
          <w:t>https://www.govinfo.gov/content/pkg/FR-2013-03-29/pdf/2013-07341.pdf</w:t>
        </w:r>
      </w:hyperlink>
    </w:p>
    <w:p w:rsidR="00636EDA" w:rsidRPr="00476F66" w:rsidP="00636EDA" w14:paraId="79D4A0E0" w14:textId="70169B2B">
      <w:pPr>
        <w:widowControl/>
        <w:tabs>
          <w:tab w:val="left" w:pos="-984"/>
          <w:tab w:val="left" w:pos="-720"/>
          <w:tab w:val="left" w:pos="720"/>
        </w:tabs>
        <w:jc w:val="both"/>
        <w:rPr>
          <w:rFonts w:ascii="Arial" w:hAnsi="Arial" w:cs="Arial"/>
          <w:color w:val="0000FF"/>
        </w:rPr>
      </w:pPr>
      <w:r w:rsidRPr="00730AF4">
        <w:rPr>
          <w:rFonts w:ascii="Arial" w:hAnsi="Arial" w:cs="Arial"/>
        </w:rPr>
        <w:t xml:space="preserve"> </w:t>
      </w:r>
    </w:p>
    <w:p w:rsidR="00567B74" w:rsidRPr="00004988" w:rsidP="00091630" w14:paraId="7284DF31" w14:textId="7D4AA389">
      <w:pPr>
        <w:pStyle w:val="ListParagraph"/>
        <w:widowControl/>
        <w:numPr>
          <w:ilvl w:val="0"/>
          <w:numId w:val="13"/>
        </w:numPr>
        <w:tabs>
          <w:tab w:val="left" w:pos="-984"/>
          <w:tab w:val="left" w:pos="-720"/>
          <w:tab w:val="left" w:pos="720"/>
        </w:tabs>
        <w:ind w:hanging="450"/>
        <w:jc w:val="both"/>
        <w:rPr>
          <w:rFonts w:ascii="Arial" w:hAnsi="Arial" w:cs="Arial"/>
          <w:b/>
          <w:sz w:val="32"/>
        </w:rPr>
      </w:pPr>
      <w:r w:rsidRPr="00004988">
        <w:rPr>
          <w:rFonts w:ascii="Arial" w:hAnsi="Arial" w:cs="Arial"/>
          <w:b/>
          <w:szCs w:val="20"/>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67B74" w:rsidP="00636EDA" w14:paraId="1435F90C" w14:textId="084ECA28">
      <w:pPr>
        <w:widowControl/>
        <w:tabs>
          <w:tab w:val="left" w:pos="-984"/>
          <w:tab w:val="left" w:pos="-720"/>
          <w:tab w:val="left" w:pos="720"/>
        </w:tabs>
        <w:jc w:val="both"/>
        <w:rPr>
          <w:rFonts w:ascii="Arial" w:hAnsi="Arial" w:cs="Arial"/>
        </w:rPr>
      </w:pPr>
    </w:p>
    <w:p w:rsidR="009A6572" w:rsidRPr="00B62DF4" w:rsidP="00636EDA" w14:paraId="12D02EBD" w14:textId="269B5596">
      <w:pPr>
        <w:widowControl/>
        <w:tabs>
          <w:tab w:val="left" w:pos="-984"/>
          <w:tab w:val="left" w:pos="-720"/>
          <w:tab w:val="left" w:pos="720"/>
        </w:tabs>
        <w:jc w:val="both"/>
        <w:rPr>
          <w:rFonts w:ascii="Arial" w:hAnsi="Arial" w:cs="Arial"/>
        </w:rPr>
      </w:pPr>
      <w:r w:rsidRPr="00B62DF4">
        <w:rPr>
          <w:rFonts w:ascii="Arial" w:hAnsi="Arial" w:cs="Arial"/>
        </w:rPr>
        <w:t>None of the required information in this collection is considered to be sensitive.</w:t>
      </w:r>
    </w:p>
    <w:p w:rsidR="00636EDA" w:rsidRPr="00476F66" w:rsidP="00636EDA" w14:paraId="79D4A0E4" w14:textId="77777777">
      <w:pPr>
        <w:widowControl/>
        <w:tabs>
          <w:tab w:val="left" w:pos="-984"/>
          <w:tab w:val="left" w:pos="-720"/>
          <w:tab w:val="left" w:pos="720"/>
        </w:tabs>
        <w:jc w:val="both"/>
        <w:rPr>
          <w:rFonts w:ascii="Arial" w:hAnsi="Arial" w:cs="Arial"/>
          <w:color w:val="0000FF"/>
        </w:rPr>
      </w:pPr>
    </w:p>
    <w:p w:rsidR="00567B74" w:rsidRPr="002E7B48" w:rsidP="00091630" w14:paraId="40DA344C" w14:textId="53F42733">
      <w:pPr>
        <w:pStyle w:val="ListParagraph"/>
        <w:keepNext/>
        <w:keepLines/>
        <w:widowControl/>
        <w:numPr>
          <w:ilvl w:val="0"/>
          <w:numId w:val="13"/>
        </w:numPr>
        <w:tabs>
          <w:tab w:val="left" w:pos="-984"/>
          <w:tab w:val="left" w:pos="-720"/>
          <w:tab w:val="left" w:pos="720"/>
        </w:tabs>
        <w:ind w:hanging="450"/>
        <w:jc w:val="both"/>
        <w:rPr>
          <w:rFonts w:ascii="Arial" w:hAnsi="Arial" w:cs="Arial"/>
          <w:b/>
        </w:rPr>
      </w:pPr>
      <w:r w:rsidRPr="002E7B48">
        <w:rPr>
          <w:rFonts w:ascii="Arial" w:hAnsi="Arial" w:cs="Arial"/>
          <w:b/>
        </w:rPr>
        <w:t xml:space="preserve">Provide estimates of the hour burden of the collection of information. The statement should: </w:t>
      </w:r>
    </w:p>
    <w:p w:rsidR="00567B74" w:rsidRPr="002E7B48" w:rsidP="00091630" w14:paraId="0E15219A" w14:textId="77777777">
      <w:pPr>
        <w:widowControl/>
        <w:numPr>
          <w:ilvl w:val="0"/>
          <w:numId w:val="12"/>
        </w:numPr>
        <w:tabs>
          <w:tab w:val="clear" w:pos="1080"/>
        </w:tabs>
        <w:autoSpaceDE/>
        <w:autoSpaceDN/>
        <w:adjustRightInd/>
        <w:ind w:left="450" w:hanging="450"/>
        <w:rPr>
          <w:rFonts w:ascii="Arial" w:hAnsi="Arial" w:cs="Arial"/>
          <w:b/>
        </w:rPr>
      </w:pPr>
      <w:r w:rsidRPr="002E7B48">
        <w:rPr>
          <w:rFonts w:ascii="Arial" w:hAnsi="Arial" w:cs="Arial"/>
          <w:b/>
        </w:rPr>
        <w:t xml:space="preserve">Indicate the number of respondents, frequency of response, annual hour burden, and an explanation of how the burden was estimated. Unless directed </w:t>
      </w:r>
      <w:r w:rsidRPr="002E7B48">
        <w:rPr>
          <w:rFonts w:ascii="Arial" w:hAnsi="Arial" w:cs="Arial"/>
          <w:b/>
        </w:rPr>
        <w:t xml:space="preserve">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567B74" w:rsidRPr="002E7B48" w:rsidP="00091630" w14:paraId="5BB6CA30" w14:textId="77777777">
      <w:pPr>
        <w:widowControl/>
        <w:numPr>
          <w:ilvl w:val="0"/>
          <w:numId w:val="12"/>
        </w:numPr>
        <w:tabs>
          <w:tab w:val="num" w:pos="450"/>
          <w:tab w:val="clear" w:pos="1080"/>
        </w:tabs>
        <w:autoSpaceDE/>
        <w:autoSpaceDN/>
        <w:adjustRightInd/>
        <w:ind w:left="450" w:hanging="450"/>
        <w:rPr>
          <w:rFonts w:ascii="Arial" w:hAnsi="Arial" w:cs="Arial"/>
          <w:b/>
        </w:rPr>
      </w:pPr>
      <w:r w:rsidRPr="002E7B48">
        <w:rPr>
          <w:rFonts w:ascii="Arial" w:hAnsi="Arial" w:cs="Arial"/>
          <w:b/>
        </w:rPr>
        <w:t xml:space="preserve">If this request for approval covers more than one form, provide separate hour burden estimates for each form and aggregate the hour burdens. </w:t>
      </w:r>
    </w:p>
    <w:p w:rsidR="00567B74" w:rsidRPr="002E7B48" w:rsidP="00091630" w14:paraId="0E778AF4" w14:textId="77777777">
      <w:pPr>
        <w:widowControl/>
        <w:numPr>
          <w:ilvl w:val="0"/>
          <w:numId w:val="12"/>
        </w:numPr>
        <w:tabs>
          <w:tab w:val="num" w:pos="450"/>
          <w:tab w:val="clear" w:pos="1080"/>
        </w:tabs>
        <w:autoSpaceDE/>
        <w:autoSpaceDN/>
        <w:adjustRightInd/>
        <w:ind w:left="450" w:hanging="450"/>
        <w:rPr>
          <w:rFonts w:ascii="Arial" w:hAnsi="Arial" w:cs="Arial"/>
          <w:b/>
        </w:rPr>
      </w:pPr>
      <w:r w:rsidRPr="002E7B48">
        <w:rPr>
          <w:rFonts w:ascii="Arial" w:hAnsi="Arial" w:cs="Arial"/>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567B74" w:rsidRPr="002E7B48" w:rsidP="00091630" w14:paraId="1B1A5B41" w14:textId="77777777">
      <w:pPr>
        <w:widowControl/>
        <w:numPr>
          <w:ilvl w:val="0"/>
          <w:numId w:val="12"/>
        </w:numPr>
        <w:tabs>
          <w:tab w:val="num" w:pos="450"/>
          <w:tab w:val="clear" w:pos="1080"/>
        </w:tabs>
        <w:autoSpaceDE/>
        <w:autoSpaceDN/>
        <w:adjustRightInd/>
        <w:ind w:left="450" w:hanging="450"/>
        <w:rPr>
          <w:rFonts w:ascii="Arial" w:hAnsi="Arial" w:cs="Arial"/>
          <w:b/>
        </w:rPr>
      </w:pPr>
      <w:r w:rsidRPr="002E7B48">
        <w:rPr>
          <w:rFonts w:ascii="Arial" w:hAnsi="Arial" w:cs="Arial"/>
          <w:b/>
        </w:rPr>
        <w:t xml:space="preserve">Provide an estimate for the total annual cost burden to respondents or record keepers resulting from the collection of information. </w:t>
      </w:r>
    </w:p>
    <w:p w:rsidR="00567B74" w:rsidRPr="00B62DF4" w:rsidP="00636EDA" w14:paraId="16EFC019" w14:textId="77777777">
      <w:pPr>
        <w:keepNext/>
        <w:keepLines/>
        <w:widowControl/>
        <w:tabs>
          <w:tab w:val="left" w:pos="-984"/>
          <w:tab w:val="left" w:pos="-720"/>
          <w:tab w:val="left" w:pos="720"/>
        </w:tabs>
        <w:jc w:val="both"/>
        <w:rPr>
          <w:rFonts w:ascii="Arial" w:hAnsi="Arial" w:cs="Arial"/>
        </w:rPr>
      </w:pPr>
    </w:p>
    <w:p w:rsidR="00636EDA" w:rsidRPr="00B62DF4" w:rsidP="00636EDA" w14:paraId="79D4A0E7" w14:textId="77777777">
      <w:pPr>
        <w:keepLines/>
        <w:widowControl/>
        <w:tabs>
          <w:tab w:val="left" w:pos="-984"/>
          <w:tab w:val="left" w:pos="-720"/>
          <w:tab w:val="left" w:pos="720"/>
        </w:tabs>
        <w:jc w:val="both"/>
        <w:rPr>
          <w:rFonts w:ascii="Arial" w:hAnsi="Arial" w:cs="Arial"/>
        </w:rPr>
      </w:pPr>
      <w:r w:rsidRPr="00B62DF4">
        <w:rPr>
          <w:rFonts w:ascii="Arial" w:hAnsi="Arial" w:cs="Arial"/>
        </w:rPr>
        <w:t>Table 3 calculates the burden hours and costs of this information collection to the public, based on the following factors:</w:t>
      </w:r>
    </w:p>
    <w:p w:rsidR="00636EDA" w:rsidRPr="00B62DF4" w:rsidP="00636EDA" w14:paraId="79D4A0E8" w14:textId="77777777">
      <w:pPr>
        <w:widowControl/>
        <w:tabs>
          <w:tab w:val="left" w:pos="-984"/>
          <w:tab w:val="left" w:pos="-720"/>
          <w:tab w:val="left" w:pos="720"/>
        </w:tabs>
        <w:jc w:val="both"/>
        <w:rPr>
          <w:rFonts w:ascii="Arial" w:hAnsi="Arial" w:cs="Arial"/>
        </w:rPr>
      </w:pPr>
    </w:p>
    <w:p w:rsidR="00636EDA" w:rsidRPr="00B62DF4" w:rsidP="00E52433" w14:paraId="79D4A0E9" w14:textId="77777777">
      <w:pPr>
        <w:pStyle w:val="Style"/>
        <w:widowControl/>
        <w:numPr>
          <w:ilvl w:val="0"/>
          <w:numId w:val="1"/>
        </w:numPr>
        <w:tabs>
          <w:tab w:val="left" w:pos="-984"/>
          <w:tab w:val="left" w:pos="-720"/>
          <w:tab w:val="num" w:pos="450"/>
          <w:tab w:val="clear" w:pos="720"/>
        </w:tabs>
        <w:ind w:left="450" w:hanging="450"/>
        <w:jc w:val="both"/>
        <w:rPr>
          <w:rFonts w:ascii="Arial" w:hAnsi="Arial" w:cs="Arial"/>
        </w:rPr>
      </w:pPr>
      <w:r w:rsidRPr="00B62DF4">
        <w:rPr>
          <w:rFonts w:ascii="Arial" w:hAnsi="Arial" w:cs="Arial"/>
          <w:b/>
          <w:bCs/>
        </w:rPr>
        <w:t>Respondent Calculation Factors</w:t>
      </w:r>
    </w:p>
    <w:p w:rsidR="00240A35" w:rsidRPr="00EE404D" w:rsidP="00E52433" w14:paraId="244E0DC8" w14:textId="5000BFCF">
      <w:pPr>
        <w:pStyle w:val="NoSpacing"/>
        <w:tabs>
          <w:tab w:val="num" w:pos="450"/>
        </w:tabs>
        <w:ind w:left="450"/>
        <w:jc w:val="both"/>
        <w:rPr>
          <w:rFonts w:ascii="Arial" w:hAnsi="Arial" w:cs="Arial"/>
          <w:sz w:val="24"/>
        </w:rPr>
      </w:pPr>
      <w:r>
        <w:rPr>
          <w:rFonts w:ascii="Arial" w:hAnsi="Arial" w:cs="Arial"/>
          <w:sz w:val="24"/>
        </w:rPr>
        <w:t xml:space="preserve">The USPTO estimates that it will receive approximately </w:t>
      </w:r>
      <w:r w:rsidR="00AC25E3">
        <w:rPr>
          <w:rFonts w:ascii="Arial" w:hAnsi="Arial" w:cs="Arial"/>
          <w:bCs/>
          <w:sz w:val="24"/>
        </w:rPr>
        <w:t>28,550</w:t>
      </w:r>
      <w:r>
        <w:rPr>
          <w:rFonts w:ascii="Arial" w:hAnsi="Arial" w:cs="Arial"/>
          <w:bCs/>
          <w:sz w:val="24"/>
        </w:rPr>
        <w:t xml:space="preserve"> </w:t>
      </w:r>
      <w:r>
        <w:rPr>
          <w:rFonts w:ascii="Arial" w:hAnsi="Arial" w:cs="Arial"/>
          <w:sz w:val="24"/>
        </w:rPr>
        <w:t xml:space="preserve">responses per year from </w:t>
      </w:r>
      <w:r w:rsidR="00AC25E3">
        <w:rPr>
          <w:rFonts w:ascii="Arial" w:hAnsi="Arial" w:cs="Arial"/>
          <w:sz w:val="24"/>
        </w:rPr>
        <w:t>9,550</w:t>
      </w:r>
      <w:r>
        <w:rPr>
          <w:rFonts w:ascii="Arial" w:hAnsi="Arial" w:cs="Arial"/>
          <w:sz w:val="24"/>
        </w:rPr>
        <w:t xml:space="preserve"> respondents for this information c</w:t>
      </w:r>
      <w:r w:rsidR="003D53B9">
        <w:rPr>
          <w:rFonts w:ascii="Arial" w:hAnsi="Arial" w:cs="Arial"/>
          <w:sz w:val="24"/>
        </w:rPr>
        <w:t>ollection, with approximately 25</w:t>
      </w:r>
      <w:r>
        <w:rPr>
          <w:rFonts w:ascii="Arial" w:hAnsi="Arial" w:cs="Arial"/>
          <w:sz w:val="24"/>
        </w:rPr>
        <w:t xml:space="preserve">% of these responses submitted by small entities. </w:t>
      </w:r>
    </w:p>
    <w:p w:rsidR="00636EDA" w:rsidRPr="00B62DF4" w:rsidP="00E52433" w14:paraId="79D4A0EB" w14:textId="77777777">
      <w:pPr>
        <w:widowControl/>
        <w:tabs>
          <w:tab w:val="left" w:pos="-984"/>
          <w:tab w:val="left" w:pos="-720"/>
          <w:tab w:val="num" w:pos="450"/>
          <w:tab w:val="left" w:pos="720"/>
        </w:tabs>
        <w:ind w:left="450"/>
        <w:jc w:val="both"/>
        <w:rPr>
          <w:rFonts w:ascii="Arial" w:hAnsi="Arial" w:cs="Arial"/>
        </w:rPr>
      </w:pPr>
    </w:p>
    <w:p w:rsidR="00636EDA" w:rsidRPr="001C077C" w:rsidP="00E52433" w14:paraId="79D4A0EC" w14:textId="67824ED7">
      <w:pPr>
        <w:widowControl/>
        <w:tabs>
          <w:tab w:val="left" w:pos="-984"/>
          <w:tab w:val="left" w:pos="-720"/>
          <w:tab w:val="num" w:pos="450"/>
          <w:tab w:val="left" w:pos="720"/>
        </w:tabs>
        <w:ind w:left="450"/>
        <w:jc w:val="both"/>
        <w:rPr>
          <w:rFonts w:ascii="Arial" w:hAnsi="Arial" w:cs="Arial"/>
        </w:rPr>
      </w:pPr>
      <w:r w:rsidRPr="00B62DF4">
        <w:rPr>
          <w:rFonts w:ascii="Arial" w:hAnsi="Arial" w:cs="Arial"/>
        </w:rPr>
        <w:t xml:space="preserve">The USPTO estimates that </w:t>
      </w:r>
      <w:r w:rsidRPr="00DF1D69">
        <w:rPr>
          <w:rFonts w:ascii="Arial" w:hAnsi="Arial" w:cs="Arial"/>
        </w:rPr>
        <w:t xml:space="preserve">approximately </w:t>
      </w:r>
      <w:r w:rsidR="00D9084E">
        <w:rPr>
          <w:rFonts w:ascii="Arial" w:hAnsi="Arial" w:cs="Arial"/>
        </w:rPr>
        <w:t>99</w:t>
      </w:r>
      <w:r w:rsidRPr="00DF1D69">
        <w:rPr>
          <w:rFonts w:ascii="Arial" w:hAnsi="Arial" w:cs="Arial"/>
        </w:rPr>
        <w:t>% of the</w:t>
      </w:r>
      <w:r w:rsidRPr="00B62DF4">
        <w:rPr>
          <w:rFonts w:ascii="Arial" w:hAnsi="Arial" w:cs="Arial"/>
        </w:rPr>
        <w:t xml:space="preserve"> annual responses for this collection will be submitted electronically via </w:t>
      </w:r>
      <w:r w:rsidR="00A20D65">
        <w:rPr>
          <w:rFonts w:ascii="Arial" w:hAnsi="Arial" w:cs="Arial"/>
        </w:rPr>
        <w:t xml:space="preserve">the </w:t>
      </w:r>
      <w:r w:rsidR="00C75189">
        <w:rPr>
          <w:rFonts w:ascii="Arial" w:hAnsi="Arial" w:cs="Arial"/>
        </w:rPr>
        <w:t>USPTO patent electronic filing system</w:t>
      </w:r>
      <w:r w:rsidR="00A20D65">
        <w:rPr>
          <w:rFonts w:ascii="Arial" w:hAnsi="Arial" w:cs="Arial"/>
        </w:rPr>
        <w:t>,</w:t>
      </w:r>
      <w:r w:rsidRPr="00B62DF4">
        <w:rPr>
          <w:rFonts w:ascii="Arial" w:hAnsi="Arial" w:cs="Arial"/>
        </w:rPr>
        <w:t xml:space="preserve"> which customers may </w:t>
      </w:r>
      <w:r w:rsidRPr="001C077C">
        <w:rPr>
          <w:rFonts w:ascii="Arial" w:hAnsi="Arial" w:cs="Arial"/>
        </w:rPr>
        <w:t xml:space="preserve">access through the USPTO </w:t>
      </w:r>
      <w:r w:rsidR="00A20D65">
        <w:rPr>
          <w:rFonts w:ascii="Arial" w:hAnsi="Arial" w:cs="Arial"/>
        </w:rPr>
        <w:t>w</w:t>
      </w:r>
      <w:r>
        <w:rPr>
          <w:rFonts w:ascii="Arial" w:hAnsi="Arial" w:cs="Arial"/>
        </w:rPr>
        <w:t>ebsite</w:t>
      </w:r>
      <w:r w:rsidRPr="001C077C">
        <w:rPr>
          <w:rFonts w:ascii="Arial" w:hAnsi="Arial" w:cs="Arial"/>
        </w:rPr>
        <w:t>.</w:t>
      </w:r>
    </w:p>
    <w:p w:rsidR="00636EDA" w:rsidRPr="001C077C" w:rsidP="00636EDA" w14:paraId="79D4A0ED" w14:textId="77777777">
      <w:pPr>
        <w:widowControl/>
        <w:tabs>
          <w:tab w:val="left" w:pos="-984"/>
          <w:tab w:val="left" w:pos="-720"/>
          <w:tab w:val="left" w:pos="720"/>
        </w:tabs>
        <w:ind w:left="720"/>
        <w:jc w:val="both"/>
        <w:rPr>
          <w:rFonts w:ascii="Arial" w:hAnsi="Arial" w:cs="Arial"/>
        </w:rPr>
      </w:pPr>
    </w:p>
    <w:p w:rsidR="00636EDA" w:rsidRPr="001C077C" w:rsidP="00E52433" w14:paraId="79D4A0EE" w14:textId="77777777">
      <w:pPr>
        <w:pStyle w:val="Style"/>
        <w:widowControl/>
        <w:numPr>
          <w:ilvl w:val="0"/>
          <w:numId w:val="1"/>
        </w:numPr>
        <w:tabs>
          <w:tab w:val="left" w:pos="-984"/>
          <w:tab w:val="left" w:pos="-720"/>
          <w:tab w:val="num" w:pos="450"/>
          <w:tab w:val="clear" w:pos="720"/>
        </w:tabs>
        <w:ind w:left="450" w:hanging="450"/>
        <w:jc w:val="both"/>
        <w:rPr>
          <w:rFonts w:ascii="Arial" w:hAnsi="Arial" w:cs="Arial"/>
          <w:b/>
          <w:bCs/>
        </w:rPr>
      </w:pPr>
      <w:r w:rsidRPr="001C077C">
        <w:rPr>
          <w:rFonts w:ascii="Arial" w:hAnsi="Arial" w:cs="Arial"/>
          <w:b/>
          <w:bCs/>
        </w:rPr>
        <w:t>Burden Hour Calculation Factors</w:t>
      </w:r>
    </w:p>
    <w:p w:rsidR="00240A35" w:rsidRPr="00240A35" w:rsidP="00E52433" w14:paraId="176ABB08" w14:textId="1D8E4013">
      <w:pPr>
        <w:pStyle w:val="ListParagraph"/>
        <w:tabs>
          <w:tab w:val="num" w:pos="450"/>
        </w:tabs>
        <w:ind w:left="450" w:hanging="450"/>
        <w:jc w:val="both"/>
        <w:rPr>
          <w:rFonts w:ascii="Arial" w:hAnsi="Arial"/>
        </w:rPr>
      </w:pPr>
      <w:r>
        <w:rPr>
          <w:rFonts w:ascii="Arial" w:hAnsi="Arial" w:cs="Arial"/>
        </w:rPr>
        <w:tab/>
      </w:r>
      <w:r w:rsidRPr="00240A35">
        <w:rPr>
          <w:rFonts w:ascii="Arial" w:hAnsi="Arial" w:cs="Arial"/>
        </w:rPr>
        <w:t xml:space="preserve">The USPTO estimates that it takes the public </w:t>
      </w:r>
      <w:r w:rsidRPr="00240A35">
        <w:rPr>
          <w:rFonts w:ascii="Arial" w:hAnsi="Arial" w:cs="Arial"/>
        </w:rPr>
        <w:t xml:space="preserve">approximately  </w:t>
      </w:r>
      <w:r w:rsidR="00431317">
        <w:rPr>
          <w:rFonts w:ascii="Arial" w:hAnsi="Arial" w:cs="Arial"/>
        </w:rPr>
        <w:t>6</w:t>
      </w:r>
      <w:r w:rsidRPr="00240A35">
        <w:rPr>
          <w:rFonts w:ascii="Arial" w:hAnsi="Arial" w:cs="Arial"/>
        </w:rPr>
        <w:t xml:space="preserve"> hours, depending on the complexity of the situation and item, to gather the necessary information, prepare the appropriate document, and submit the information to the USPTO.  </w:t>
      </w:r>
      <w:r w:rsidRPr="00240A35">
        <w:rPr>
          <w:rFonts w:ascii="Arial" w:hAnsi="Arial"/>
        </w:rPr>
        <w:t xml:space="preserve">Using these burden factors, USPTO estimates that the total respondent hourly burden for this information collection is </w:t>
      </w:r>
      <w:r w:rsidR="00D9084E">
        <w:rPr>
          <w:rFonts w:ascii="Arial" w:hAnsi="Arial"/>
        </w:rPr>
        <w:t>171,600</w:t>
      </w:r>
      <w:r w:rsidRPr="00240A35">
        <w:rPr>
          <w:rFonts w:ascii="Arial" w:hAnsi="Arial"/>
        </w:rPr>
        <w:t xml:space="preserve"> hours per year.</w:t>
      </w:r>
    </w:p>
    <w:p w:rsidR="00636EDA" w:rsidRPr="001C077C" w:rsidP="00636EDA" w14:paraId="79D4A0F0" w14:textId="77777777">
      <w:pPr>
        <w:widowControl/>
        <w:tabs>
          <w:tab w:val="left" w:pos="-984"/>
          <w:tab w:val="left" w:pos="-720"/>
          <w:tab w:val="left" w:pos="720"/>
        </w:tabs>
        <w:jc w:val="both"/>
        <w:rPr>
          <w:rFonts w:ascii="Arial" w:hAnsi="Arial" w:cs="Arial"/>
        </w:rPr>
      </w:pPr>
    </w:p>
    <w:p w:rsidR="00636EDA" w:rsidRPr="001C077C" w:rsidP="00E52433" w14:paraId="79D4A0F1" w14:textId="77777777">
      <w:pPr>
        <w:pStyle w:val="Style"/>
        <w:widowControl/>
        <w:numPr>
          <w:ilvl w:val="0"/>
          <w:numId w:val="1"/>
        </w:numPr>
        <w:tabs>
          <w:tab w:val="left" w:pos="-984"/>
          <w:tab w:val="left" w:pos="-720"/>
          <w:tab w:val="num" w:pos="450"/>
          <w:tab w:val="clear" w:pos="720"/>
        </w:tabs>
        <w:ind w:left="450" w:hanging="450"/>
        <w:jc w:val="both"/>
        <w:rPr>
          <w:rFonts w:ascii="Arial" w:hAnsi="Arial" w:cs="Arial"/>
          <w:b/>
          <w:bCs/>
        </w:rPr>
      </w:pPr>
      <w:r w:rsidRPr="001C077C">
        <w:rPr>
          <w:rFonts w:ascii="Arial" w:hAnsi="Arial" w:cs="Arial"/>
          <w:b/>
          <w:bCs/>
        </w:rPr>
        <w:t>Cost Burden Calculation Factors</w:t>
      </w:r>
    </w:p>
    <w:p w:rsidR="00636EDA" w:rsidRPr="00627CC7" w:rsidP="00636EDA" w14:paraId="79D4A0F2" w14:textId="77777777">
      <w:pPr>
        <w:pStyle w:val="Style"/>
        <w:widowControl/>
        <w:tabs>
          <w:tab w:val="left" w:pos="-984"/>
          <w:tab w:val="left" w:pos="-720"/>
          <w:tab w:val="left" w:pos="720"/>
        </w:tabs>
        <w:jc w:val="both"/>
        <w:rPr>
          <w:rFonts w:ascii="Arial" w:hAnsi="Arial" w:cs="Arial"/>
          <w:color w:val="0000FF"/>
        </w:rPr>
        <w:sectPr>
          <w:footerReference w:type="even" r:id="rId12"/>
          <w:footerReference w:type="default" r:id="rId13"/>
          <w:type w:val="continuous"/>
          <w:pgSz w:w="12240" w:h="15840"/>
          <w:pgMar w:top="1440" w:right="1440" w:bottom="1440" w:left="1440" w:header="1440" w:footer="1440" w:gutter="0"/>
          <w:cols w:space="720"/>
          <w:noEndnote/>
        </w:sectPr>
      </w:pPr>
    </w:p>
    <w:p w:rsidR="00431317" w:rsidRPr="00431317" w:rsidP="00E52433" w14:paraId="17C25289" w14:textId="33358EEC">
      <w:pPr>
        <w:widowControl/>
        <w:tabs>
          <w:tab w:val="left" w:pos="-1176"/>
        </w:tabs>
        <w:ind w:left="450"/>
        <w:jc w:val="both"/>
        <w:rPr>
          <w:rFonts w:ascii="Arial" w:hAnsi="Arial" w:cs="Arial"/>
          <w:lang w:val="en-CA"/>
        </w:rPr>
      </w:pPr>
      <w:r w:rsidRPr="00B0428B">
        <w:rPr>
          <w:rFonts w:ascii="Arial" w:hAnsi="Arial" w:cs="Arial"/>
          <w:lang w:val="en-CA"/>
        </w:rPr>
        <w:t>The USPTO uses a professional rate of $</w:t>
      </w:r>
      <w:r w:rsidR="00C8292D">
        <w:rPr>
          <w:rFonts w:ascii="Arial" w:hAnsi="Arial" w:cs="Arial"/>
          <w:lang w:val="en-CA"/>
        </w:rPr>
        <w:t>435</w:t>
      </w:r>
      <w:r w:rsidRPr="00B0428B">
        <w:rPr>
          <w:rFonts w:ascii="Arial" w:hAnsi="Arial" w:cs="Arial"/>
          <w:lang w:val="en-CA"/>
        </w:rPr>
        <w:t xml:space="preserve"> per hour for respondent cost burden calculations, which is the mean rate for attorneys in private firms as shown in the 2</w:t>
      </w:r>
      <w:r>
        <w:rPr>
          <w:rFonts w:ascii="Arial" w:hAnsi="Arial" w:cs="Arial"/>
          <w:lang w:val="en-CA"/>
        </w:rPr>
        <w:t>021</w:t>
      </w:r>
      <w:r w:rsidRPr="00B0428B">
        <w:rPr>
          <w:rFonts w:ascii="Arial" w:hAnsi="Arial" w:cs="Arial"/>
          <w:lang w:val="en-CA"/>
        </w:rPr>
        <w:t xml:space="preserve"> </w:t>
      </w:r>
      <w:r w:rsidRPr="00806C98">
        <w:rPr>
          <w:rFonts w:ascii="Arial" w:hAnsi="Arial" w:cs="Arial"/>
          <w:i/>
          <w:lang w:val="en-CA"/>
        </w:rPr>
        <w:t>Report of the Economic Survey</w:t>
      </w:r>
      <w:r w:rsidRPr="00B0428B">
        <w:rPr>
          <w:rFonts w:ascii="Arial" w:hAnsi="Arial" w:cs="Arial"/>
          <w:lang w:val="en-CA"/>
        </w:rPr>
        <w:t xml:space="preserve">, published by the Committee on Economics of Legal Practice of the American Intellectual Property Law Association (AIPLA).  </w:t>
      </w:r>
    </w:p>
    <w:p w:rsidR="00431317" w:rsidRPr="00B0428B" w:rsidP="00E52433" w14:paraId="3A8A50BE" w14:textId="77777777">
      <w:pPr>
        <w:widowControl/>
        <w:tabs>
          <w:tab w:val="left" w:pos="-1176"/>
        </w:tabs>
        <w:ind w:left="450"/>
        <w:jc w:val="both"/>
        <w:rPr>
          <w:rFonts w:ascii="Arial" w:hAnsi="Arial" w:cs="Arial"/>
          <w:lang w:val="en-CA"/>
        </w:rPr>
      </w:pPr>
    </w:p>
    <w:p w:rsidR="00431317" w:rsidP="00E52433" w14:paraId="422E3CD5" w14:textId="77777777">
      <w:pPr>
        <w:widowControl/>
        <w:tabs>
          <w:tab w:val="left" w:pos="-1080"/>
          <w:tab w:val="left" w:pos="-720"/>
          <w:tab w:val="left" w:pos="150"/>
          <w:tab w:val="left" w:pos="720"/>
          <w:tab w:val="left" w:pos="1440"/>
          <w:tab w:val="left" w:pos="1800"/>
          <w:tab w:val="left" w:pos="3930"/>
          <w:tab w:val="left" w:pos="4290"/>
          <w:tab w:val="left" w:pos="5760"/>
        </w:tabs>
        <w:ind w:left="450"/>
        <w:jc w:val="both"/>
        <w:rPr>
          <w:rFonts w:ascii="Arial" w:hAnsi="Arial" w:cs="Arial"/>
        </w:rPr>
      </w:pPr>
    </w:p>
    <w:p w:rsidR="00636EDA" w:rsidP="00E52433" w14:paraId="79D4A0F8" w14:textId="65049EF6">
      <w:pPr>
        <w:widowControl/>
        <w:tabs>
          <w:tab w:val="left" w:pos="-984"/>
          <w:tab w:val="left" w:pos="-720"/>
          <w:tab w:val="left" w:pos="720"/>
        </w:tabs>
        <w:ind w:left="450"/>
        <w:jc w:val="both"/>
        <w:rPr>
          <w:rFonts w:ascii="Arial" w:hAnsi="Arial" w:cs="Arial"/>
          <w:color w:val="0000FF"/>
        </w:rPr>
      </w:pPr>
      <w:r>
        <w:rPr>
          <w:rFonts w:ascii="Arial" w:hAnsi="Arial" w:cs="Arial"/>
        </w:rPr>
        <w:t>Using these</w:t>
      </w:r>
      <w:r w:rsidRPr="00624AF0">
        <w:rPr>
          <w:rFonts w:ascii="Arial" w:hAnsi="Arial" w:cs="Arial"/>
        </w:rPr>
        <w:t xml:space="preserve"> hourly rate</w:t>
      </w:r>
      <w:r>
        <w:rPr>
          <w:rFonts w:ascii="Arial" w:hAnsi="Arial" w:cs="Arial"/>
        </w:rPr>
        <w:t>s</w:t>
      </w:r>
      <w:r w:rsidRPr="00624AF0">
        <w:rPr>
          <w:rFonts w:ascii="Arial" w:hAnsi="Arial" w:cs="Arial"/>
        </w:rPr>
        <w:t>, the USPTO estimates that the total respondent cost burden for this information collection is $</w:t>
      </w:r>
      <w:r w:rsidR="0094159D">
        <w:rPr>
          <w:rFonts w:ascii="Arial" w:hAnsi="Arial" w:cs="Arial"/>
        </w:rPr>
        <w:t>74,589,885</w:t>
      </w:r>
      <w:r w:rsidRPr="00624AF0">
        <w:rPr>
          <w:rFonts w:ascii="Arial" w:hAnsi="Arial" w:cs="Arial"/>
        </w:rPr>
        <w:t xml:space="preserve"> per year</w:t>
      </w:r>
      <w:r w:rsidR="0094159D">
        <w:rPr>
          <w:rFonts w:ascii="Arial" w:hAnsi="Arial" w:cs="Arial"/>
        </w:rPr>
        <w:t>.</w:t>
      </w:r>
    </w:p>
    <w:p w:rsidR="00E53E10" w:rsidP="00636EDA" w14:paraId="3FBC9DCD" w14:textId="77777777">
      <w:pPr>
        <w:keepNext/>
        <w:keepLines/>
        <w:widowControl/>
        <w:tabs>
          <w:tab w:val="left" w:pos="-984"/>
          <w:tab w:val="left" w:pos="-720"/>
          <w:tab w:val="left" w:pos="720"/>
        </w:tabs>
        <w:jc w:val="both"/>
        <w:rPr>
          <w:rFonts w:ascii="Arial" w:hAnsi="Arial" w:cs="Arial"/>
          <w:b/>
          <w:bCs/>
          <w:sz w:val="20"/>
          <w:szCs w:val="20"/>
        </w:rPr>
      </w:pPr>
    </w:p>
    <w:p w:rsidR="003D53B9" w:rsidRPr="003A7798" w:rsidP="00E52433" w14:paraId="214ECAD3" w14:textId="0DC7A3CB">
      <w:pPr>
        <w:keepNext/>
        <w:keepLines/>
        <w:widowControl/>
        <w:tabs>
          <w:tab w:val="left" w:pos="-984"/>
          <w:tab w:val="left" w:pos="-720"/>
          <w:tab w:val="left" w:pos="0"/>
          <w:tab w:val="left" w:pos="720"/>
        </w:tabs>
        <w:jc w:val="both"/>
        <w:rPr>
          <w:rFonts w:ascii="Arial" w:hAnsi="Arial" w:cs="Arial"/>
          <w:b/>
          <w:bCs/>
          <w:szCs w:val="20"/>
        </w:rPr>
      </w:pPr>
      <w:r w:rsidRPr="003A7798">
        <w:rPr>
          <w:rFonts w:ascii="Arial" w:hAnsi="Arial" w:cs="Arial"/>
          <w:b/>
          <w:bCs/>
          <w:sz w:val="20"/>
          <w:szCs w:val="16"/>
        </w:rPr>
        <w:t xml:space="preserve">Table 3: </w:t>
      </w:r>
      <w:r w:rsidRPr="003A7798" w:rsidR="00E53E10">
        <w:rPr>
          <w:rFonts w:ascii="Arial" w:hAnsi="Arial" w:cs="Arial"/>
          <w:b/>
          <w:bCs/>
          <w:sz w:val="20"/>
          <w:szCs w:val="16"/>
        </w:rPr>
        <w:t>Total Burden Hours and Hourly Costs to Private Sector Respondents</w:t>
      </w:r>
    </w:p>
    <w:tbl>
      <w:tblPr>
        <w:tblW w:w="11307" w:type="dxa"/>
        <w:tblInd w:w="-999" w:type="dxa"/>
        <w:tblLayout w:type="fixed"/>
        <w:tblCellMar>
          <w:left w:w="120" w:type="dxa"/>
          <w:right w:w="120" w:type="dxa"/>
        </w:tblCellMar>
        <w:tblLook w:val="0000"/>
      </w:tblPr>
      <w:tblGrid>
        <w:gridCol w:w="684"/>
        <w:gridCol w:w="2376"/>
        <w:gridCol w:w="1260"/>
        <w:gridCol w:w="1224"/>
        <w:gridCol w:w="1170"/>
        <w:gridCol w:w="1083"/>
        <w:gridCol w:w="1260"/>
        <w:gridCol w:w="1080"/>
        <w:gridCol w:w="1170"/>
      </w:tblGrid>
      <w:tr w14:paraId="76F8FAC4" w14:textId="77777777" w:rsidTr="00EE404D">
        <w:tblPrEx>
          <w:tblW w:w="11307" w:type="dxa"/>
          <w:tblInd w:w="-999" w:type="dxa"/>
          <w:tblLayout w:type="fixed"/>
          <w:tblCellMar>
            <w:left w:w="120" w:type="dxa"/>
            <w:right w:w="120" w:type="dxa"/>
          </w:tblCellMar>
          <w:tblLook w:val="0000"/>
        </w:tblPrEx>
        <w:trPr>
          <w:cantSplit/>
        </w:trPr>
        <w:tc>
          <w:tcPr>
            <w:tcW w:w="684" w:type="dxa"/>
            <w:tcBorders>
              <w:top w:val="single" w:sz="7" w:space="0" w:color="000000"/>
              <w:left w:val="single" w:sz="7" w:space="0" w:color="000000"/>
              <w:bottom w:val="single" w:sz="7" w:space="0" w:color="000000"/>
              <w:right w:val="single" w:sz="7" w:space="0" w:color="000000"/>
            </w:tcBorders>
            <w:shd w:val="clear" w:color="auto" w:fill="BDD6EE"/>
          </w:tcPr>
          <w:p w:rsidR="00EE404D" w:rsidRPr="00EE404D" w:rsidP="00EE404D" w14:paraId="414E031F" w14:textId="77777777">
            <w:pPr>
              <w:widowControl/>
              <w:autoSpaceDE/>
              <w:autoSpaceDN/>
              <w:adjustRightInd/>
              <w:jc w:val="center"/>
              <w:rPr>
                <w:rFonts w:ascii="Arial" w:hAnsi="Arial" w:cs="Arial"/>
                <w:b/>
                <w:bCs/>
                <w:sz w:val="16"/>
                <w:szCs w:val="16"/>
              </w:rPr>
            </w:pPr>
            <w:bookmarkStart w:id="6" w:name="_Hlk95395331"/>
            <w:r w:rsidRPr="00EE404D">
              <w:rPr>
                <w:rFonts w:ascii="Arial" w:hAnsi="Arial" w:cs="Arial"/>
                <w:b/>
                <w:bCs/>
                <w:sz w:val="16"/>
                <w:szCs w:val="16"/>
              </w:rPr>
              <w:t>Item No.</w:t>
            </w:r>
          </w:p>
        </w:tc>
        <w:tc>
          <w:tcPr>
            <w:tcW w:w="2376" w:type="dxa"/>
            <w:tcBorders>
              <w:top w:val="single" w:sz="7" w:space="0" w:color="000000"/>
              <w:left w:val="single" w:sz="7" w:space="0" w:color="000000"/>
              <w:bottom w:val="single" w:sz="7" w:space="0" w:color="000000"/>
              <w:right w:val="single" w:sz="7" w:space="0" w:color="000000"/>
            </w:tcBorders>
            <w:shd w:val="clear" w:color="auto" w:fill="BDD6EE"/>
          </w:tcPr>
          <w:p w:rsidR="00EE404D" w:rsidRPr="00EE404D" w:rsidP="00EE404D" w14:paraId="68DA8E62" w14:textId="77777777">
            <w:pPr>
              <w:keepNext/>
              <w:keepLines/>
              <w:widowControl/>
              <w:tabs>
                <w:tab w:val="left" w:pos="-1176"/>
              </w:tabs>
              <w:autoSpaceDE/>
              <w:autoSpaceDN/>
              <w:adjustRightInd/>
              <w:spacing w:after="120"/>
              <w:jc w:val="center"/>
              <w:rPr>
                <w:rFonts w:ascii="Arial" w:hAnsi="Arial" w:cs="Arial"/>
                <w:b/>
                <w:sz w:val="16"/>
                <w:szCs w:val="16"/>
              </w:rPr>
            </w:pPr>
            <w:r w:rsidRPr="00EE404D">
              <w:rPr>
                <w:rFonts w:ascii="Arial" w:hAnsi="Arial" w:cs="Arial"/>
                <w:b/>
                <w:bCs/>
                <w:sz w:val="16"/>
                <w:szCs w:val="16"/>
              </w:rPr>
              <w:t>Item</w:t>
            </w:r>
          </w:p>
        </w:tc>
        <w:tc>
          <w:tcPr>
            <w:tcW w:w="1260" w:type="dxa"/>
            <w:tcBorders>
              <w:top w:val="single" w:sz="7" w:space="0" w:color="000000"/>
              <w:left w:val="single" w:sz="7" w:space="0" w:color="000000"/>
              <w:bottom w:val="single" w:sz="7" w:space="0" w:color="000000"/>
              <w:right w:val="single" w:sz="7" w:space="0" w:color="000000"/>
            </w:tcBorders>
            <w:shd w:val="clear" w:color="auto" w:fill="BDD6EE"/>
          </w:tcPr>
          <w:p w:rsidR="00EE404D" w:rsidRPr="00EE404D" w:rsidP="00EE404D" w14:paraId="23952271" w14:textId="77777777">
            <w:pPr>
              <w:widowControl/>
              <w:autoSpaceDE/>
              <w:autoSpaceDN/>
              <w:adjustRightInd/>
              <w:jc w:val="center"/>
              <w:rPr>
                <w:rFonts w:ascii="Arial" w:hAnsi="Arial" w:cs="Arial"/>
                <w:b/>
                <w:bCs/>
                <w:sz w:val="16"/>
                <w:szCs w:val="16"/>
              </w:rPr>
            </w:pPr>
            <w:r w:rsidRPr="00EE404D">
              <w:rPr>
                <w:rFonts w:ascii="Arial" w:hAnsi="Arial" w:cs="Arial"/>
                <w:b/>
                <w:bCs/>
                <w:sz w:val="16"/>
                <w:szCs w:val="16"/>
              </w:rPr>
              <w:t>Estimated Annual Respondents</w:t>
            </w:r>
          </w:p>
          <w:p w:rsidR="00EE404D" w:rsidRPr="00EE404D" w:rsidP="00EE404D" w14:paraId="2B56FE8D" w14:textId="77777777">
            <w:pPr>
              <w:widowControl/>
              <w:autoSpaceDE/>
              <w:autoSpaceDN/>
              <w:adjustRightInd/>
              <w:jc w:val="center"/>
              <w:rPr>
                <w:rFonts w:ascii="Arial" w:hAnsi="Arial" w:cs="Arial"/>
                <w:b/>
                <w:bCs/>
                <w:sz w:val="16"/>
                <w:szCs w:val="16"/>
              </w:rPr>
            </w:pPr>
          </w:p>
          <w:p w:rsidR="00EE404D" w:rsidRPr="00EE404D" w:rsidP="00EE404D" w14:paraId="43703539" w14:textId="77777777">
            <w:pPr>
              <w:keepNext/>
              <w:keepLines/>
              <w:widowControl/>
              <w:tabs>
                <w:tab w:val="left" w:pos="-1176"/>
              </w:tabs>
              <w:autoSpaceDE/>
              <w:autoSpaceDN/>
              <w:adjustRightInd/>
              <w:jc w:val="center"/>
              <w:rPr>
                <w:rFonts w:ascii="Arial" w:hAnsi="Arial" w:cs="Arial"/>
                <w:b/>
                <w:bCs/>
                <w:sz w:val="14"/>
                <w:szCs w:val="16"/>
              </w:rPr>
            </w:pPr>
          </w:p>
          <w:p w:rsidR="00EE404D" w:rsidRPr="00EE404D" w:rsidP="00EE404D" w14:paraId="42B6A8EB" w14:textId="77777777">
            <w:pPr>
              <w:keepNext/>
              <w:keepLines/>
              <w:widowControl/>
              <w:tabs>
                <w:tab w:val="left" w:pos="-1176"/>
              </w:tabs>
              <w:autoSpaceDE/>
              <w:autoSpaceDN/>
              <w:adjustRightInd/>
              <w:jc w:val="center"/>
              <w:rPr>
                <w:rFonts w:ascii="Arial" w:hAnsi="Arial" w:cs="Arial"/>
                <w:b/>
                <w:bCs/>
                <w:sz w:val="14"/>
                <w:szCs w:val="16"/>
              </w:rPr>
            </w:pPr>
          </w:p>
          <w:p w:rsidR="00EE404D" w:rsidRPr="00EE404D" w:rsidP="00EE404D" w14:paraId="747B17B5" w14:textId="77777777">
            <w:pPr>
              <w:keepNext/>
              <w:keepLines/>
              <w:widowControl/>
              <w:tabs>
                <w:tab w:val="left" w:pos="-1176"/>
              </w:tabs>
              <w:autoSpaceDE/>
              <w:autoSpaceDN/>
              <w:adjustRightInd/>
              <w:jc w:val="center"/>
              <w:rPr>
                <w:rFonts w:ascii="Arial" w:hAnsi="Arial" w:cs="Arial"/>
                <w:b/>
                <w:sz w:val="16"/>
                <w:szCs w:val="16"/>
              </w:rPr>
            </w:pPr>
            <w:r w:rsidRPr="00EE404D">
              <w:rPr>
                <w:rFonts w:ascii="Arial" w:hAnsi="Arial" w:cs="Arial"/>
                <w:b/>
                <w:bCs/>
                <w:sz w:val="14"/>
                <w:szCs w:val="16"/>
              </w:rPr>
              <w:t>(a)</w:t>
            </w:r>
          </w:p>
        </w:tc>
        <w:tc>
          <w:tcPr>
            <w:tcW w:w="1224" w:type="dxa"/>
            <w:tcBorders>
              <w:top w:val="single" w:sz="7" w:space="0" w:color="000000"/>
              <w:left w:val="single" w:sz="7" w:space="0" w:color="000000"/>
              <w:bottom w:val="single" w:sz="7" w:space="0" w:color="000000"/>
              <w:right w:val="single" w:sz="7" w:space="0" w:color="000000"/>
            </w:tcBorders>
            <w:shd w:val="clear" w:color="auto" w:fill="BDD6EE"/>
          </w:tcPr>
          <w:p w:rsidR="00EE404D" w:rsidRPr="00EE404D" w:rsidP="00EE404D" w14:paraId="314980E0" w14:textId="77777777">
            <w:pPr>
              <w:widowControl/>
              <w:autoSpaceDE/>
              <w:autoSpaceDN/>
              <w:adjustRightInd/>
              <w:jc w:val="center"/>
              <w:rPr>
                <w:rFonts w:ascii="Arial" w:hAnsi="Arial" w:cs="Arial"/>
                <w:b/>
                <w:bCs/>
                <w:sz w:val="16"/>
                <w:szCs w:val="16"/>
              </w:rPr>
            </w:pPr>
            <w:r w:rsidRPr="00EE404D">
              <w:rPr>
                <w:rFonts w:ascii="Arial" w:hAnsi="Arial" w:cs="Arial"/>
                <w:b/>
                <w:bCs/>
                <w:sz w:val="16"/>
                <w:szCs w:val="16"/>
              </w:rPr>
              <w:t>Responses per Respondent</w:t>
            </w:r>
          </w:p>
          <w:p w:rsidR="00EE404D" w:rsidRPr="00EE404D" w:rsidP="00EE404D" w14:paraId="6BE1F09B" w14:textId="77777777">
            <w:pPr>
              <w:widowControl/>
              <w:autoSpaceDE/>
              <w:autoSpaceDN/>
              <w:adjustRightInd/>
              <w:jc w:val="center"/>
              <w:rPr>
                <w:rFonts w:ascii="Arial" w:hAnsi="Arial" w:cs="Arial"/>
                <w:b/>
                <w:bCs/>
                <w:sz w:val="16"/>
                <w:szCs w:val="16"/>
              </w:rPr>
            </w:pPr>
          </w:p>
          <w:p w:rsidR="00EE404D" w:rsidRPr="00EE404D" w:rsidP="00EE404D" w14:paraId="55D86557" w14:textId="77777777">
            <w:pPr>
              <w:widowControl/>
              <w:autoSpaceDE/>
              <w:autoSpaceDN/>
              <w:adjustRightInd/>
              <w:jc w:val="center"/>
              <w:rPr>
                <w:rFonts w:ascii="Arial" w:hAnsi="Arial" w:cs="Arial"/>
                <w:b/>
                <w:bCs/>
                <w:sz w:val="16"/>
                <w:szCs w:val="16"/>
              </w:rPr>
            </w:pPr>
          </w:p>
          <w:p w:rsidR="00EE404D" w:rsidRPr="00EE404D" w:rsidP="00EE404D" w14:paraId="69B49E55" w14:textId="77777777">
            <w:pPr>
              <w:keepNext/>
              <w:keepLines/>
              <w:widowControl/>
              <w:tabs>
                <w:tab w:val="left" w:pos="-1176"/>
              </w:tabs>
              <w:autoSpaceDE/>
              <w:autoSpaceDN/>
              <w:adjustRightInd/>
              <w:jc w:val="center"/>
              <w:rPr>
                <w:rFonts w:ascii="Arial" w:hAnsi="Arial" w:cs="Arial"/>
                <w:b/>
                <w:bCs/>
                <w:sz w:val="16"/>
                <w:szCs w:val="16"/>
              </w:rPr>
            </w:pPr>
            <w:r w:rsidRPr="00EE404D">
              <w:rPr>
                <w:rFonts w:ascii="Arial" w:hAnsi="Arial" w:cs="Arial"/>
                <w:b/>
                <w:bCs/>
                <w:sz w:val="14"/>
                <w:szCs w:val="16"/>
              </w:rPr>
              <w:t>(b)</w:t>
            </w:r>
          </w:p>
        </w:tc>
        <w:tc>
          <w:tcPr>
            <w:tcW w:w="1170" w:type="dxa"/>
            <w:tcBorders>
              <w:top w:val="single" w:sz="7" w:space="0" w:color="000000"/>
              <w:left w:val="single" w:sz="7" w:space="0" w:color="000000"/>
              <w:bottom w:val="single" w:sz="7" w:space="0" w:color="000000"/>
              <w:right w:val="single" w:sz="7" w:space="0" w:color="000000"/>
            </w:tcBorders>
            <w:shd w:val="clear" w:color="auto" w:fill="BDD6EE"/>
          </w:tcPr>
          <w:p w:rsidR="00EE404D" w:rsidRPr="00EE404D" w:rsidP="00EE404D" w14:paraId="512B1A04" w14:textId="77777777">
            <w:pPr>
              <w:widowControl/>
              <w:autoSpaceDE/>
              <w:autoSpaceDN/>
              <w:adjustRightInd/>
              <w:jc w:val="center"/>
              <w:rPr>
                <w:rFonts w:ascii="Arial" w:hAnsi="Arial" w:cs="Arial"/>
                <w:b/>
                <w:bCs/>
                <w:sz w:val="16"/>
                <w:szCs w:val="16"/>
              </w:rPr>
            </w:pPr>
            <w:r w:rsidRPr="00EE404D">
              <w:rPr>
                <w:rFonts w:ascii="Arial" w:hAnsi="Arial" w:cs="Arial"/>
                <w:b/>
                <w:bCs/>
                <w:sz w:val="16"/>
                <w:szCs w:val="16"/>
              </w:rPr>
              <w:t>Estimated Annual Responses</w:t>
            </w:r>
          </w:p>
          <w:p w:rsidR="00EE404D" w:rsidRPr="00EE404D" w:rsidP="00EE404D" w14:paraId="7D91DDF2" w14:textId="77777777">
            <w:pPr>
              <w:widowControl/>
              <w:autoSpaceDE/>
              <w:autoSpaceDN/>
              <w:adjustRightInd/>
              <w:jc w:val="center"/>
              <w:rPr>
                <w:rFonts w:ascii="Arial" w:hAnsi="Arial" w:cs="Arial"/>
                <w:b/>
                <w:bCs/>
                <w:sz w:val="16"/>
                <w:szCs w:val="16"/>
              </w:rPr>
            </w:pPr>
          </w:p>
          <w:p w:rsidR="00EE404D" w:rsidRPr="00EE404D" w:rsidP="00EE404D" w14:paraId="5FFC8C97" w14:textId="77777777">
            <w:pPr>
              <w:widowControl/>
              <w:autoSpaceDE/>
              <w:autoSpaceDN/>
              <w:adjustRightInd/>
              <w:jc w:val="center"/>
              <w:rPr>
                <w:rFonts w:ascii="Arial" w:hAnsi="Arial" w:cs="Arial"/>
                <w:b/>
                <w:bCs/>
                <w:sz w:val="16"/>
                <w:szCs w:val="16"/>
              </w:rPr>
            </w:pPr>
          </w:p>
          <w:p w:rsidR="00EE404D" w:rsidRPr="00EE404D" w:rsidP="00EE404D" w14:paraId="76AA6A79" w14:textId="77777777">
            <w:pPr>
              <w:widowControl/>
              <w:autoSpaceDE/>
              <w:autoSpaceDN/>
              <w:adjustRightInd/>
              <w:jc w:val="center"/>
              <w:rPr>
                <w:rFonts w:ascii="Arial" w:hAnsi="Arial" w:cs="Arial"/>
                <w:b/>
                <w:bCs/>
                <w:sz w:val="16"/>
                <w:szCs w:val="16"/>
              </w:rPr>
            </w:pPr>
          </w:p>
          <w:p w:rsidR="00EE404D" w:rsidRPr="00EE404D" w:rsidP="00EE404D" w14:paraId="02C39A33" w14:textId="77777777">
            <w:pPr>
              <w:keepNext/>
              <w:keepLines/>
              <w:widowControl/>
              <w:tabs>
                <w:tab w:val="left" w:pos="-1176"/>
              </w:tabs>
              <w:autoSpaceDE/>
              <w:autoSpaceDN/>
              <w:adjustRightInd/>
              <w:jc w:val="center"/>
              <w:rPr>
                <w:rFonts w:ascii="Arial" w:hAnsi="Arial" w:cs="Arial"/>
                <w:b/>
                <w:sz w:val="16"/>
                <w:szCs w:val="16"/>
                <w:highlight w:val="yellow"/>
              </w:rPr>
            </w:pPr>
            <w:r w:rsidRPr="00EE404D">
              <w:rPr>
                <w:rFonts w:ascii="Arial" w:hAnsi="Arial" w:cs="Arial"/>
                <w:b/>
                <w:bCs/>
                <w:sz w:val="14"/>
                <w:szCs w:val="16"/>
              </w:rPr>
              <w:t>(a) x (b) = (c)</w:t>
            </w:r>
          </w:p>
        </w:tc>
        <w:tc>
          <w:tcPr>
            <w:tcW w:w="1083" w:type="dxa"/>
            <w:tcBorders>
              <w:top w:val="single" w:sz="7" w:space="0" w:color="000000"/>
              <w:left w:val="single" w:sz="7" w:space="0" w:color="000000"/>
              <w:bottom w:val="single" w:sz="7" w:space="0" w:color="000000"/>
              <w:right w:val="single" w:sz="7" w:space="0" w:color="000000"/>
            </w:tcBorders>
            <w:shd w:val="clear" w:color="auto" w:fill="BDD6EE"/>
          </w:tcPr>
          <w:p w:rsidR="00EE404D" w:rsidRPr="00EE404D" w:rsidP="00EE404D" w14:paraId="24FF3BEB" w14:textId="77777777">
            <w:pPr>
              <w:widowControl/>
              <w:tabs>
                <w:tab w:val="left" w:pos="-1176"/>
              </w:tabs>
              <w:autoSpaceDE/>
              <w:autoSpaceDN/>
              <w:adjustRightInd/>
              <w:jc w:val="center"/>
              <w:rPr>
                <w:rFonts w:ascii="Arial" w:hAnsi="Arial" w:cs="Arial"/>
                <w:b/>
                <w:bCs/>
                <w:sz w:val="16"/>
                <w:szCs w:val="16"/>
              </w:rPr>
            </w:pPr>
            <w:r w:rsidRPr="00EE404D">
              <w:rPr>
                <w:rFonts w:ascii="Arial" w:hAnsi="Arial" w:cs="Arial"/>
                <w:b/>
                <w:bCs/>
                <w:sz w:val="16"/>
                <w:szCs w:val="16"/>
              </w:rPr>
              <w:t>Estimated Time per Response (hours)</w:t>
            </w:r>
          </w:p>
          <w:p w:rsidR="00EE404D" w:rsidRPr="00EE404D" w:rsidP="00EE404D" w14:paraId="6EAA7259" w14:textId="77777777">
            <w:pPr>
              <w:widowControl/>
              <w:tabs>
                <w:tab w:val="left" w:pos="-1176"/>
              </w:tabs>
              <w:autoSpaceDE/>
              <w:autoSpaceDN/>
              <w:adjustRightInd/>
              <w:jc w:val="center"/>
              <w:rPr>
                <w:rFonts w:ascii="Arial" w:hAnsi="Arial" w:cs="Arial"/>
                <w:b/>
                <w:bCs/>
                <w:sz w:val="16"/>
                <w:szCs w:val="16"/>
              </w:rPr>
            </w:pPr>
          </w:p>
          <w:p w:rsidR="00EE404D" w:rsidRPr="00EE404D" w:rsidP="00EE404D" w14:paraId="1BF1B838" w14:textId="77777777">
            <w:pPr>
              <w:widowControl/>
              <w:tabs>
                <w:tab w:val="left" w:pos="-1176"/>
              </w:tabs>
              <w:autoSpaceDE/>
              <w:autoSpaceDN/>
              <w:adjustRightInd/>
              <w:jc w:val="center"/>
              <w:rPr>
                <w:rFonts w:ascii="Arial" w:hAnsi="Arial" w:cs="Arial"/>
                <w:b/>
                <w:bCs/>
                <w:sz w:val="16"/>
                <w:szCs w:val="16"/>
              </w:rPr>
            </w:pPr>
          </w:p>
          <w:p w:rsidR="00EE404D" w:rsidRPr="00EE404D" w:rsidP="00EE404D" w14:paraId="233507CC" w14:textId="77777777">
            <w:pPr>
              <w:widowControl/>
              <w:tabs>
                <w:tab w:val="left" w:pos="-1176"/>
              </w:tabs>
              <w:autoSpaceDE/>
              <w:autoSpaceDN/>
              <w:adjustRightInd/>
              <w:jc w:val="center"/>
              <w:rPr>
                <w:rFonts w:ascii="Arial" w:hAnsi="Arial" w:cs="Arial"/>
                <w:b/>
                <w:bCs/>
                <w:sz w:val="16"/>
                <w:szCs w:val="16"/>
              </w:rPr>
            </w:pPr>
            <w:r w:rsidRPr="00EE404D">
              <w:rPr>
                <w:rFonts w:ascii="Arial" w:hAnsi="Arial" w:cs="Arial"/>
                <w:b/>
                <w:bCs/>
                <w:sz w:val="16"/>
                <w:szCs w:val="16"/>
              </w:rPr>
              <w:t>(d)</w:t>
            </w:r>
          </w:p>
        </w:tc>
        <w:tc>
          <w:tcPr>
            <w:tcW w:w="1260" w:type="dxa"/>
            <w:tcBorders>
              <w:top w:val="single" w:sz="7" w:space="0" w:color="000000"/>
              <w:left w:val="single" w:sz="7" w:space="0" w:color="000000"/>
              <w:bottom w:val="single" w:sz="7" w:space="0" w:color="000000"/>
              <w:right w:val="single" w:sz="7" w:space="0" w:color="000000"/>
            </w:tcBorders>
            <w:shd w:val="clear" w:color="auto" w:fill="BDD6EE"/>
          </w:tcPr>
          <w:p w:rsidR="00EE404D" w:rsidRPr="00EE404D" w:rsidP="00EE404D" w14:paraId="4478F394" w14:textId="77777777">
            <w:pPr>
              <w:widowControl/>
              <w:tabs>
                <w:tab w:val="left" w:pos="-1176"/>
              </w:tabs>
              <w:autoSpaceDE/>
              <w:autoSpaceDN/>
              <w:adjustRightInd/>
              <w:jc w:val="center"/>
              <w:rPr>
                <w:rFonts w:ascii="Arial" w:hAnsi="Arial" w:cs="Arial"/>
                <w:b/>
                <w:bCs/>
                <w:sz w:val="16"/>
                <w:szCs w:val="16"/>
              </w:rPr>
            </w:pPr>
            <w:r w:rsidRPr="00EE404D">
              <w:rPr>
                <w:rFonts w:ascii="Arial" w:hAnsi="Arial" w:cs="Arial"/>
                <w:b/>
                <w:bCs/>
                <w:sz w:val="16"/>
                <w:szCs w:val="16"/>
              </w:rPr>
              <w:t>Estimated Burden</w:t>
            </w:r>
          </w:p>
          <w:p w:rsidR="00EE404D" w:rsidRPr="00EE404D" w:rsidP="00EE404D" w14:paraId="6F253FC4" w14:textId="77777777">
            <w:pPr>
              <w:widowControl/>
              <w:tabs>
                <w:tab w:val="left" w:pos="-1176"/>
              </w:tabs>
              <w:autoSpaceDE/>
              <w:autoSpaceDN/>
              <w:adjustRightInd/>
              <w:jc w:val="center"/>
              <w:rPr>
                <w:rFonts w:ascii="Arial" w:hAnsi="Arial" w:cs="Arial"/>
                <w:b/>
                <w:bCs/>
                <w:sz w:val="16"/>
                <w:szCs w:val="16"/>
              </w:rPr>
            </w:pPr>
            <w:r w:rsidRPr="00EE404D">
              <w:rPr>
                <w:rFonts w:ascii="Arial" w:hAnsi="Arial" w:cs="Arial"/>
                <w:b/>
                <w:bCs/>
                <w:sz w:val="16"/>
                <w:szCs w:val="16"/>
              </w:rPr>
              <w:t>(hour/year)</w:t>
            </w:r>
          </w:p>
          <w:p w:rsidR="00EE404D" w:rsidRPr="00EE404D" w:rsidP="00EE404D" w14:paraId="030C3B97" w14:textId="77777777">
            <w:pPr>
              <w:widowControl/>
              <w:tabs>
                <w:tab w:val="left" w:pos="-1176"/>
              </w:tabs>
              <w:autoSpaceDE/>
              <w:autoSpaceDN/>
              <w:adjustRightInd/>
              <w:rPr>
                <w:rFonts w:ascii="Arial" w:hAnsi="Arial" w:cs="Arial"/>
                <w:b/>
                <w:bCs/>
                <w:sz w:val="16"/>
                <w:szCs w:val="16"/>
              </w:rPr>
            </w:pPr>
          </w:p>
          <w:p w:rsidR="00EE404D" w:rsidRPr="00EE404D" w:rsidP="00EE404D" w14:paraId="0756CD3A" w14:textId="77777777">
            <w:pPr>
              <w:widowControl/>
              <w:tabs>
                <w:tab w:val="left" w:pos="-1176"/>
              </w:tabs>
              <w:autoSpaceDE/>
              <w:autoSpaceDN/>
              <w:adjustRightInd/>
              <w:rPr>
                <w:rFonts w:ascii="Arial" w:hAnsi="Arial" w:cs="Arial"/>
                <w:b/>
                <w:bCs/>
                <w:sz w:val="16"/>
                <w:szCs w:val="16"/>
              </w:rPr>
            </w:pPr>
          </w:p>
          <w:p w:rsidR="00EE404D" w:rsidRPr="00EE404D" w:rsidP="00EE404D" w14:paraId="280BD47C" w14:textId="77777777">
            <w:pPr>
              <w:widowControl/>
              <w:tabs>
                <w:tab w:val="left" w:pos="-1176"/>
              </w:tabs>
              <w:autoSpaceDE/>
              <w:autoSpaceDN/>
              <w:adjustRightInd/>
              <w:rPr>
                <w:rFonts w:ascii="Arial" w:hAnsi="Arial" w:cs="Arial"/>
                <w:b/>
                <w:bCs/>
                <w:sz w:val="16"/>
                <w:szCs w:val="16"/>
              </w:rPr>
            </w:pPr>
          </w:p>
          <w:p w:rsidR="00EE404D" w:rsidRPr="00EE404D" w:rsidP="00EE404D" w14:paraId="68E35C2C" w14:textId="77777777">
            <w:pPr>
              <w:keepNext/>
              <w:keepLines/>
              <w:widowControl/>
              <w:tabs>
                <w:tab w:val="left" w:pos="-1176"/>
              </w:tabs>
              <w:autoSpaceDE/>
              <w:autoSpaceDN/>
              <w:adjustRightInd/>
              <w:jc w:val="center"/>
              <w:rPr>
                <w:rFonts w:ascii="Arial" w:hAnsi="Arial" w:cs="Arial"/>
                <w:b/>
                <w:sz w:val="16"/>
                <w:szCs w:val="16"/>
                <w:highlight w:val="yellow"/>
              </w:rPr>
            </w:pPr>
            <w:r w:rsidRPr="00EE404D">
              <w:rPr>
                <w:rFonts w:ascii="Arial" w:hAnsi="Arial" w:cs="Arial"/>
                <w:b/>
                <w:bCs/>
                <w:sz w:val="14"/>
                <w:szCs w:val="16"/>
              </w:rPr>
              <w:t>(c) x (d) = (e)</w:t>
            </w:r>
          </w:p>
        </w:tc>
        <w:tc>
          <w:tcPr>
            <w:tcW w:w="1080" w:type="dxa"/>
            <w:tcBorders>
              <w:top w:val="single" w:sz="7" w:space="0" w:color="000000"/>
              <w:left w:val="single" w:sz="7" w:space="0" w:color="000000"/>
              <w:bottom w:val="single" w:sz="7" w:space="0" w:color="000000"/>
              <w:right w:val="single" w:sz="7" w:space="0" w:color="000000"/>
            </w:tcBorders>
            <w:shd w:val="clear" w:color="auto" w:fill="BDD6EE"/>
          </w:tcPr>
          <w:p w:rsidR="00EE404D" w:rsidRPr="00EE404D" w:rsidP="00EE404D" w14:paraId="7553EB58" w14:textId="77777777">
            <w:pPr>
              <w:widowControl/>
              <w:tabs>
                <w:tab w:val="left" w:pos="-1176"/>
              </w:tabs>
              <w:autoSpaceDE/>
              <w:autoSpaceDN/>
              <w:adjustRightInd/>
              <w:jc w:val="center"/>
              <w:rPr>
                <w:rFonts w:ascii="Arial" w:hAnsi="Arial" w:cs="Arial"/>
                <w:b/>
                <w:bCs/>
                <w:sz w:val="16"/>
                <w:szCs w:val="16"/>
              </w:rPr>
            </w:pPr>
            <w:r w:rsidRPr="00EE404D">
              <w:rPr>
                <w:rFonts w:ascii="Arial" w:hAnsi="Arial" w:cs="Arial"/>
                <w:b/>
                <w:bCs/>
                <w:sz w:val="16"/>
                <w:szCs w:val="16"/>
              </w:rPr>
              <w:t>Rate</w:t>
            </w:r>
            <w:r>
              <w:rPr>
                <w:rFonts w:ascii="Arial" w:hAnsi="Arial" w:cs="Arial"/>
                <w:b/>
                <w:bCs/>
                <w:sz w:val="16"/>
                <w:szCs w:val="16"/>
                <w:vertAlign w:val="superscript"/>
              </w:rPr>
              <w:footnoteReference w:id="2"/>
            </w:r>
          </w:p>
          <w:p w:rsidR="00EE404D" w:rsidRPr="00EE404D" w:rsidP="00EE404D" w14:paraId="2F7891F2" w14:textId="77777777">
            <w:pPr>
              <w:widowControl/>
              <w:tabs>
                <w:tab w:val="left" w:pos="-1176"/>
              </w:tabs>
              <w:autoSpaceDE/>
              <w:autoSpaceDN/>
              <w:adjustRightInd/>
              <w:jc w:val="center"/>
              <w:rPr>
                <w:rFonts w:ascii="Arial" w:hAnsi="Arial" w:cs="Arial"/>
                <w:b/>
                <w:bCs/>
                <w:sz w:val="16"/>
                <w:szCs w:val="16"/>
              </w:rPr>
            </w:pPr>
            <w:r w:rsidRPr="00EE404D">
              <w:rPr>
                <w:rFonts w:ascii="Arial" w:hAnsi="Arial" w:cs="Arial"/>
                <w:b/>
                <w:bCs/>
                <w:sz w:val="16"/>
                <w:szCs w:val="16"/>
              </w:rPr>
              <w:t>($/hour)</w:t>
            </w:r>
          </w:p>
          <w:p w:rsidR="00EE404D" w:rsidRPr="00EE404D" w:rsidP="00EE404D" w14:paraId="3F83B7DF" w14:textId="77777777">
            <w:pPr>
              <w:widowControl/>
              <w:tabs>
                <w:tab w:val="left" w:pos="-1176"/>
              </w:tabs>
              <w:autoSpaceDE/>
              <w:autoSpaceDN/>
              <w:adjustRightInd/>
              <w:jc w:val="center"/>
              <w:rPr>
                <w:rFonts w:ascii="Arial" w:hAnsi="Arial" w:cs="Arial"/>
                <w:b/>
                <w:bCs/>
                <w:sz w:val="16"/>
                <w:szCs w:val="16"/>
              </w:rPr>
            </w:pPr>
          </w:p>
          <w:p w:rsidR="00EE404D" w:rsidRPr="00EE404D" w:rsidP="00EE404D" w14:paraId="3B31C060" w14:textId="77777777">
            <w:pPr>
              <w:widowControl/>
              <w:tabs>
                <w:tab w:val="left" w:pos="-1176"/>
              </w:tabs>
              <w:autoSpaceDE/>
              <w:autoSpaceDN/>
              <w:adjustRightInd/>
              <w:jc w:val="center"/>
              <w:rPr>
                <w:rFonts w:ascii="Arial" w:hAnsi="Arial" w:cs="Arial"/>
                <w:b/>
                <w:bCs/>
                <w:sz w:val="16"/>
                <w:szCs w:val="16"/>
              </w:rPr>
            </w:pPr>
          </w:p>
          <w:p w:rsidR="00EE404D" w:rsidRPr="00EE404D" w:rsidP="00EE404D" w14:paraId="7EADFEF5" w14:textId="77777777">
            <w:pPr>
              <w:widowControl/>
              <w:tabs>
                <w:tab w:val="left" w:pos="-1176"/>
              </w:tabs>
              <w:autoSpaceDE/>
              <w:autoSpaceDN/>
              <w:adjustRightInd/>
              <w:jc w:val="center"/>
              <w:rPr>
                <w:rFonts w:ascii="Arial" w:hAnsi="Arial" w:cs="Arial"/>
                <w:b/>
                <w:bCs/>
                <w:sz w:val="16"/>
                <w:szCs w:val="16"/>
              </w:rPr>
            </w:pPr>
          </w:p>
          <w:p w:rsidR="00EE404D" w:rsidRPr="00EE404D" w:rsidP="00EE404D" w14:paraId="741B0645" w14:textId="77777777">
            <w:pPr>
              <w:widowControl/>
              <w:tabs>
                <w:tab w:val="left" w:pos="-1176"/>
              </w:tabs>
              <w:autoSpaceDE/>
              <w:autoSpaceDN/>
              <w:adjustRightInd/>
              <w:jc w:val="center"/>
              <w:rPr>
                <w:rFonts w:ascii="Arial" w:hAnsi="Arial" w:cs="Arial"/>
                <w:b/>
                <w:bCs/>
                <w:sz w:val="16"/>
                <w:szCs w:val="16"/>
              </w:rPr>
            </w:pPr>
          </w:p>
          <w:p w:rsidR="00EE404D" w:rsidRPr="00EE404D" w:rsidP="00EE404D" w14:paraId="4BCC7C47" w14:textId="77777777">
            <w:pPr>
              <w:keepNext/>
              <w:keepLines/>
              <w:widowControl/>
              <w:tabs>
                <w:tab w:val="left" w:pos="-1176"/>
              </w:tabs>
              <w:autoSpaceDE/>
              <w:autoSpaceDN/>
              <w:adjustRightInd/>
              <w:jc w:val="center"/>
              <w:rPr>
                <w:rFonts w:ascii="Arial" w:hAnsi="Arial" w:cs="Arial"/>
                <w:b/>
                <w:sz w:val="16"/>
                <w:szCs w:val="16"/>
              </w:rPr>
            </w:pPr>
            <w:r w:rsidRPr="00EE404D">
              <w:rPr>
                <w:rFonts w:ascii="Arial" w:hAnsi="Arial" w:cs="Arial"/>
                <w:b/>
                <w:bCs/>
                <w:sz w:val="14"/>
                <w:szCs w:val="16"/>
              </w:rPr>
              <w:t>(f)</w:t>
            </w:r>
          </w:p>
        </w:tc>
        <w:tc>
          <w:tcPr>
            <w:tcW w:w="1170" w:type="dxa"/>
            <w:tcBorders>
              <w:top w:val="single" w:sz="7" w:space="0" w:color="000000"/>
              <w:left w:val="single" w:sz="7" w:space="0" w:color="000000"/>
              <w:bottom w:val="single" w:sz="7" w:space="0" w:color="000000"/>
              <w:right w:val="single" w:sz="7" w:space="0" w:color="000000"/>
            </w:tcBorders>
            <w:shd w:val="clear" w:color="auto" w:fill="BDD6EE"/>
          </w:tcPr>
          <w:p w:rsidR="00EE404D" w:rsidRPr="00EE404D" w:rsidP="00EE404D" w14:paraId="7EC88954" w14:textId="77777777">
            <w:pPr>
              <w:tabs>
                <w:tab w:val="left" w:pos="-1176"/>
              </w:tabs>
              <w:jc w:val="center"/>
              <w:rPr>
                <w:rFonts w:ascii="Arial" w:hAnsi="Arial" w:cs="Arial"/>
                <w:b/>
                <w:sz w:val="16"/>
                <w:szCs w:val="16"/>
              </w:rPr>
            </w:pPr>
            <w:r w:rsidRPr="00EE404D">
              <w:rPr>
                <w:rFonts w:ascii="Arial" w:hAnsi="Arial" w:cs="Arial"/>
                <w:b/>
                <w:sz w:val="16"/>
                <w:szCs w:val="16"/>
              </w:rPr>
              <w:t>Estimated Annual Respondent Cost Burden</w:t>
            </w:r>
          </w:p>
          <w:p w:rsidR="00EE404D" w:rsidRPr="00EE404D" w:rsidP="00EE404D" w14:paraId="6E495E0A" w14:textId="77777777">
            <w:pPr>
              <w:tabs>
                <w:tab w:val="left" w:pos="-1176"/>
              </w:tabs>
              <w:jc w:val="center"/>
              <w:rPr>
                <w:rFonts w:ascii="Arial" w:hAnsi="Arial" w:cs="Arial"/>
                <w:b/>
                <w:sz w:val="16"/>
                <w:szCs w:val="16"/>
              </w:rPr>
            </w:pPr>
          </w:p>
          <w:p w:rsidR="00EE404D" w:rsidRPr="00EE404D" w:rsidP="00EE404D" w14:paraId="0FA98FA9" w14:textId="77777777">
            <w:pPr>
              <w:keepNext/>
              <w:keepLines/>
              <w:widowControl/>
              <w:tabs>
                <w:tab w:val="left" w:pos="-1176"/>
              </w:tabs>
              <w:autoSpaceDE/>
              <w:autoSpaceDN/>
              <w:adjustRightInd/>
              <w:jc w:val="center"/>
              <w:rPr>
                <w:rFonts w:ascii="Arial" w:hAnsi="Arial" w:cs="Arial"/>
                <w:b/>
                <w:sz w:val="16"/>
                <w:szCs w:val="16"/>
              </w:rPr>
            </w:pPr>
            <w:r w:rsidRPr="00EE404D">
              <w:rPr>
                <w:rFonts w:ascii="Arial" w:hAnsi="Arial" w:cs="Arial"/>
                <w:b/>
                <w:sz w:val="16"/>
                <w:szCs w:val="16"/>
              </w:rPr>
              <w:t>(e) x (f) = (g)</w:t>
            </w:r>
          </w:p>
        </w:tc>
      </w:tr>
      <w:tr w14:paraId="5C2596BE" w14:textId="77777777" w:rsidTr="00256ACE">
        <w:tblPrEx>
          <w:tblW w:w="11307" w:type="dxa"/>
          <w:tblInd w:w="-999" w:type="dxa"/>
          <w:tblLayout w:type="fixed"/>
          <w:tblCellMar>
            <w:left w:w="120" w:type="dxa"/>
            <w:right w:w="120" w:type="dxa"/>
          </w:tblCellMar>
          <w:tblLook w:val="0000"/>
        </w:tblPrEx>
        <w:tc>
          <w:tcPr>
            <w:tcW w:w="684" w:type="dxa"/>
            <w:tcBorders>
              <w:top w:val="single" w:sz="7" w:space="0" w:color="000000"/>
              <w:left w:val="single" w:sz="7" w:space="0" w:color="000000"/>
              <w:bottom w:val="single" w:sz="7" w:space="0" w:color="000000"/>
              <w:right w:val="single" w:sz="7" w:space="0" w:color="000000"/>
            </w:tcBorders>
            <w:vAlign w:val="center"/>
          </w:tcPr>
          <w:p w:rsidR="00EE404D" w:rsidRPr="00EE404D" w:rsidP="00EE404D" w14:paraId="037856CE" w14:textId="64F20FB3">
            <w:pPr>
              <w:keepNext/>
              <w:keepLines/>
              <w:widowControl/>
              <w:tabs>
                <w:tab w:val="left" w:pos="-1176"/>
              </w:tabs>
              <w:autoSpaceDE/>
              <w:autoSpaceDN/>
              <w:adjustRightInd/>
              <w:spacing w:after="58"/>
              <w:jc w:val="center"/>
              <w:rPr>
                <w:rFonts w:ascii="Arial" w:hAnsi="Arial" w:cs="Arial"/>
                <w:b/>
                <w:sz w:val="16"/>
                <w:szCs w:val="16"/>
              </w:rPr>
            </w:pPr>
            <w:r w:rsidRPr="00EE404D">
              <w:rPr>
                <w:rFonts w:ascii="Arial" w:hAnsi="Arial" w:cs="Arial"/>
                <w:b/>
                <w:bCs/>
                <w:sz w:val="16"/>
                <w:szCs w:val="16"/>
              </w:rPr>
              <w:t>1</w:t>
            </w:r>
          </w:p>
        </w:tc>
        <w:tc>
          <w:tcPr>
            <w:tcW w:w="2376" w:type="dxa"/>
            <w:tcBorders>
              <w:top w:val="single" w:sz="7" w:space="0" w:color="000000"/>
              <w:left w:val="single" w:sz="7" w:space="0" w:color="000000"/>
              <w:bottom w:val="single" w:sz="7" w:space="0" w:color="000000"/>
              <w:right w:val="single" w:sz="7" w:space="0" w:color="000000"/>
            </w:tcBorders>
            <w:vAlign w:val="center"/>
          </w:tcPr>
          <w:p w:rsidR="00EE404D" w:rsidRPr="00EE404D" w:rsidP="00EE404D" w14:paraId="3AA6D721" w14:textId="77777777">
            <w:pPr>
              <w:keepNext/>
              <w:keepLines/>
              <w:widowControl/>
              <w:tabs>
                <w:tab w:val="left" w:pos="-1176"/>
              </w:tabs>
              <w:autoSpaceDE/>
              <w:autoSpaceDN/>
              <w:adjustRightInd/>
              <w:spacing w:after="58"/>
              <w:rPr>
                <w:rFonts w:ascii="Arial" w:hAnsi="Arial" w:cs="Arial"/>
                <w:bCs/>
                <w:sz w:val="16"/>
                <w:szCs w:val="16"/>
              </w:rPr>
            </w:pPr>
            <w:r w:rsidRPr="00EE404D">
              <w:rPr>
                <w:rFonts w:ascii="Arial" w:hAnsi="Arial" w:cs="Arial"/>
                <w:bCs/>
                <w:sz w:val="16"/>
                <w:szCs w:val="16"/>
              </w:rPr>
              <w:t>Sequence Listing in Application</w:t>
            </w:r>
          </w:p>
        </w:tc>
        <w:tc>
          <w:tcPr>
            <w:tcW w:w="1260" w:type="dxa"/>
            <w:tcBorders>
              <w:top w:val="single" w:sz="7" w:space="0" w:color="000000"/>
              <w:left w:val="single" w:sz="7" w:space="0" w:color="000000"/>
              <w:bottom w:val="single" w:sz="7" w:space="0" w:color="000000"/>
              <w:right w:val="single" w:sz="7" w:space="0" w:color="000000"/>
            </w:tcBorders>
            <w:vAlign w:val="center"/>
          </w:tcPr>
          <w:p w:rsidR="00EE404D" w:rsidRPr="00EE404D" w:rsidP="00EE404D" w14:paraId="2D97F2F8" w14:textId="77777777">
            <w:pPr>
              <w:keepNext/>
              <w:keepLines/>
              <w:widowControl/>
              <w:tabs>
                <w:tab w:val="left" w:pos="-1176"/>
              </w:tabs>
              <w:autoSpaceDE/>
              <w:autoSpaceDN/>
              <w:adjustRightInd/>
              <w:spacing w:after="58"/>
              <w:jc w:val="center"/>
              <w:rPr>
                <w:rFonts w:ascii="Arial" w:hAnsi="Arial" w:cs="Arial"/>
                <w:bCs/>
                <w:sz w:val="16"/>
                <w:szCs w:val="16"/>
              </w:rPr>
            </w:pPr>
            <w:r w:rsidRPr="00EE404D">
              <w:rPr>
                <w:rFonts w:ascii="Arial" w:hAnsi="Arial" w:cs="Arial"/>
                <w:bCs/>
                <w:sz w:val="16"/>
                <w:szCs w:val="16"/>
              </w:rPr>
              <w:t>9,500</w:t>
            </w:r>
          </w:p>
        </w:tc>
        <w:tc>
          <w:tcPr>
            <w:tcW w:w="1224" w:type="dxa"/>
            <w:tcBorders>
              <w:top w:val="single" w:sz="7" w:space="0" w:color="000000"/>
              <w:left w:val="single" w:sz="7" w:space="0" w:color="000000"/>
              <w:bottom w:val="single" w:sz="7" w:space="0" w:color="000000"/>
              <w:right w:val="single" w:sz="7" w:space="0" w:color="000000"/>
            </w:tcBorders>
            <w:vAlign w:val="center"/>
          </w:tcPr>
          <w:p w:rsidR="00EE404D" w:rsidRPr="00EE404D" w:rsidP="00EE404D" w14:paraId="3950CFBD" w14:textId="77777777">
            <w:pPr>
              <w:keepNext/>
              <w:keepLines/>
              <w:widowControl/>
              <w:tabs>
                <w:tab w:val="left" w:pos="-1176"/>
              </w:tabs>
              <w:autoSpaceDE/>
              <w:autoSpaceDN/>
              <w:adjustRightInd/>
              <w:spacing w:after="58"/>
              <w:jc w:val="center"/>
              <w:rPr>
                <w:rFonts w:ascii="Arial" w:hAnsi="Arial" w:cs="Arial"/>
                <w:bCs/>
                <w:sz w:val="16"/>
                <w:szCs w:val="16"/>
              </w:rPr>
            </w:pPr>
            <w:r w:rsidRPr="00EE404D">
              <w:rPr>
                <w:rFonts w:ascii="Arial" w:hAnsi="Arial" w:cs="Arial"/>
                <w:bCs/>
                <w:sz w:val="16"/>
                <w:szCs w:val="16"/>
              </w:rPr>
              <w:t>3</w:t>
            </w:r>
          </w:p>
        </w:tc>
        <w:tc>
          <w:tcPr>
            <w:tcW w:w="1170" w:type="dxa"/>
            <w:tcBorders>
              <w:top w:val="single" w:sz="7" w:space="0" w:color="000000"/>
              <w:left w:val="single" w:sz="7" w:space="0" w:color="000000"/>
              <w:bottom w:val="single" w:sz="7" w:space="0" w:color="000000"/>
              <w:right w:val="single" w:sz="7" w:space="0" w:color="000000"/>
            </w:tcBorders>
            <w:vAlign w:val="center"/>
          </w:tcPr>
          <w:p w:rsidR="00EE404D" w:rsidRPr="00EE404D" w:rsidP="00EE404D" w14:paraId="6C3E4F9D" w14:textId="77777777">
            <w:pPr>
              <w:keepNext/>
              <w:keepLines/>
              <w:widowControl/>
              <w:tabs>
                <w:tab w:val="left" w:pos="-1176"/>
              </w:tabs>
              <w:autoSpaceDE/>
              <w:autoSpaceDN/>
              <w:adjustRightInd/>
              <w:spacing w:after="58"/>
              <w:jc w:val="center"/>
              <w:rPr>
                <w:rFonts w:ascii="Arial" w:hAnsi="Arial" w:cs="Arial"/>
                <w:bCs/>
                <w:sz w:val="16"/>
                <w:szCs w:val="16"/>
              </w:rPr>
            </w:pPr>
            <w:r w:rsidRPr="00EE404D">
              <w:rPr>
                <w:rFonts w:ascii="Arial" w:hAnsi="Arial" w:cs="Arial"/>
                <w:bCs/>
                <w:sz w:val="16"/>
                <w:szCs w:val="16"/>
              </w:rPr>
              <w:t>28,500</w:t>
            </w:r>
          </w:p>
        </w:tc>
        <w:tc>
          <w:tcPr>
            <w:tcW w:w="1083" w:type="dxa"/>
            <w:tcBorders>
              <w:top w:val="single" w:sz="7" w:space="0" w:color="000000"/>
              <w:left w:val="single" w:sz="7" w:space="0" w:color="000000"/>
              <w:bottom w:val="single" w:sz="7" w:space="0" w:color="000000"/>
              <w:right w:val="single" w:sz="7" w:space="0" w:color="000000"/>
            </w:tcBorders>
            <w:vAlign w:val="center"/>
          </w:tcPr>
          <w:p w:rsidR="00EE404D" w:rsidRPr="00EE404D" w:rsidP="00EE404D" w14:paraId="2D811E97" w14:textId="77777777">
            <w:pPr>
              <w:keepNext/>
              <w:keepLines/>
              <w:widowControl/>
              <w:tabs>
                <w:tab w:val="left" w:pos="-1176"/>
              </w:tabs>
              <w:autoSpaceDE/>
              <w:autoSpaceDN/>
              <w:adjustRightInd/>
              <w:spacing w:after="58"/>
              <w:jc w:val="center"/>
              <w:rPr>
                <w:rFonts w:ascii="Arial" w:hAnsi="Arial" w:cs="Arial"/>
                <w:bCs/>
                <w:sz w:val="16"/>
                <w:szCs w:val="16"/>
              </w:rPr>
            </w:pPr>
            <w:r w:rsidRPr="00EE404D">
              <w:rPr>
                <w:rFonts w:ascii="Arial" w:hAnsi="Arial" w:cs="Arial"/>
                <w:bCs/>
                <w:sz w:val="16"/>
                <w:szCs w:val="16"/>
              </w:rPr>
              <w:t>6</w:t>
            </w:r>
          </w:p>
        </w:tc>
        <w:tc>
          <w:tcPr>
            <w:tcW w:w="1260" w:type="dxa"/>
            <w:tcBorders>
              <w:top w:val="single" w:sz="7" w:space="0" w:color="000000"/>
              <w:left w:val="single" w:sz="7" w:space="0" w:color="000000"/>
              <w:bottom w:val="single" w:sz="7" w:space="0" w:color="000000"/>
              <w:right w:val="single" w:sz="7" w:space="0" w:color="000000"/>
            </w:tcBorders>
            <w:vAlign w:val="center"/>
          </w:tcPr>
          <w:p w:rsidR="00EE404D" w:rsidRPr="00EE404D" w:rsidP="00EE404D" w14:paraId="4D7F57B4" w14:textId="77777777">
            <w:pPr>
              <w:keepNext/>
              <w:keepLines/>
              <w:widowControl/>
              <w:tabs>
                <w:tab w:val="left" w:pos="-1176"/>
              </w:tabs>
              <w:autoSpaceDE/>
              <w:autoSpaceDN/>
              <w:adjustRightInd/>
              <w:spacing w:after="58"/>
              <w:jc w:val="center"/>
              <w:rPr>
                <w:rFonts w:ascii="Arial" w:hAnsi="Arial" w:cs="Arial"/>
                <w:bCs/>
                <w:sz w:val="16"/>
                <w:szCs w:val="16"/>
              </w:rPr>
            </w:pPr>
            <w:r w:rsidRPr="00EE404D">
              <w:rPr>
                <w:rFonts w:ascii="Arial" w:hAnsi="Arial" w:cs="Arial"/>
                <w:bCs/>
                <w:sz w:val="16"/>
                <w:szCs w:val="16"/>
              </w:rPr>
              <w:t>171,000</w:t>
            </w:r>
          </w:p>
        </w:tc>
        <w:tc>
          <w:tcPr>
            <w:tcW w:w="1080" w:type="dxa"/>
            <w:tcBorders>
              <w:top w:val="single" w:sz="7" w:space="0" w:color="000000"/>
              <w:left w:val="single" w:sz="7" w:space="0" w:color="000000"/>
              <w:bottom w:val="single" w:sz="7" w:space="0" w:color="000000"/>
              <w:right w:val="single" w:sz="7" w:space="0" w:color="000000"/>
            </w:tcBorders>
            <w:vAlign w:val="center"/>
          </w:tcPr>
          <w:p w:rsidR="00EE404D" w:rsidRPr="00EE404D" w:rsidP="00EE404D" w14:paraId="29546DDB" w14:textId="77777777">
            <w:pPr>
              <w:keepNext/>
              <w:keepLines/>
              <w:widowControl/>
              <w:tabs>
                <w:tab w:val="left" w:pos="-1176"/>
              </w:tabs>
              <w:autoSpaceDE/>
              <w:autoSpaceDN/>
              <w:adjustRightInd/>
              <w:spacing w:after="58"/>
              <w:jc w:val="center"/>
              <w:rPr>
                <w:rFonts w:ascii="Arial" w:hAnsi="Arial" w:cs="Arial"/>
                <w:bCs/>
                <w:sz w:val="16"/>
                <w:szCs w:val="16"/>
              </w:rPr>
            </w:pPr>
            <w:r w:rsidRPr="00EE404D">
              <w:rPr>
                <w:rFonts w:ascii="Arial" w:hAnsi="Arial" w:cs="Arial"/>
                <w:bCs/>
                <w:sz w:val="16"/>
                <w:szCs w:val="16"/>
              </w:rPr>
              <w:t>$435</w:t>
            </w:r>
          </w:p>
        </w:tc>
        <w:tc>
          <w:tcPr>
            <w:tcW w:w="1170" w:type="dxa"/>
            <w:tcBorders>
              <w:top w:val="single" w:sz="7" w:space="0" w:color="000000"/>
              <w:left w:val="single" w:sz="7" w:space="0" w:color="000000"/>
              <w:bottom w:val="single" w:sz="7" w:space="0" w:color="000000"/>
              <w:right w:val="single" w:sz="7" w:space="0" w:color="000000"/>
            </w:tcBorders>
            <w:vAlign w:val="center"/>
          </w:tcPr>
          <w:p w:rsidR="00EE404D" w:rsidRPr="00EE404D" w:rsidP="00EE404D" w14:paraId="27073FC1" w14:textId="77777777">
            <w:pPr>
              <w:keepNext/>
              <w:keepLines/>
              <w:widowControl/>
              <w:tabs>
                <w:tab w:val="left" w:pos="-1176"/>
              </w:tabs>
              <w:autoSpaceDE/>
              <w:autoSpaceDN/>
              <w:adjustRightInd/>
              <w:spacing w:after="58"/>
              <w:jc w:val="center"/>
              <w:rPr>
                <w:rFonts w:ascii="Arial" w:hAnsi="Arial" w:cs="Arial"/>
                <w:bCs/>
                <w:sz w:val="16"/>
                <w:szCs w:val="16"/>
              </w:rPr>
            </w:pPr>
            <w:r w:rsidRPr="00EE404D">
              <w:rPr>
                <w:rFonts w:ascii="Arial" w:hAnsi="Arial" w:cs="Arial"/>
                <w:bCs/>
                <w:sz w:val="16"/>
                <w:szCs w:val="16"/>
              </w:rPr>
              <w:t>$74,385,000</w:t>
            </w:r>
          </w:p>
        </w:tc>
      </w:tr>
      <w:bookmarkEnd w:id="6"/>
    </w:tbl>
    <w:p w:rsidR="00240A35" w:rsidP="00636EDA" w14:paraId="530A3D08" w14:textId="3A7AD02F">
      <w:pPr>
        <w:widowControl/>
        <w:tabs>
          <w:tab w:val="left" w:pos="-984"/>
          <w:tab w:val="left" w:pos="-720"/>
          <w:tab w:val="left" w:pos="720"/>
        </w:tabs>
        <w:jc w:val="both"/>
        <w:rPr>
          <w:rFonts w:ascii="Arial" w:hAnsi="Arial" w:cs="Arial"/>
          <w:color w:val="0000FF"/>
        </w:rPr>
      </w:pPr>
    </w:p>
    <w:p w:rsidR="00EE404D" w:rsidRPr="00EE404D" w:rsidP="00027D26" w14:paraId="29A848F2" w14:textId="5C79B27A">
      <w:pPr>
        <w:pStyle w:val="NoSpacing"/>
        <w:jc w:val="both"/>
        <w:rPr>
          <w:rFonts w:ascii="Arial" w:hAnsi="Arial" w:cs="Arial"/>
          <w:b/>
          <w:sz w:val="20"/>
        </w:rPr>
      </w:pPr>
      <w:r w:rsidRPr="00EE404D">
        <w:rPr>
          <w:rFonts w:ascii="Arial" w:hAnsi="Arial" w:cs="Arial"/>
          <w:b/>
          <w:sz w:val="20"/>
        </w:rPr>
        <w:t xml:space="preserve">Table </w:t>
      </w:r>
      <w:r w:rsidR="00027D26">
        <w:rPr>
          <w:rFonts w:ascii="Arial" w:hAnsi="Arial" w:cs="Arial"/>
          <w:b/>
          <w:sz w:val="20"/>
        </w:rPr>
        <w:t>4:</w:t>
      </w:r>
      <w:r w:rsidRPr="00EE404D">
        <w:rPr>
          <w:rFonts w:ascii="Arial" w:hAnsi="Arial" w:cs="Arial"/>
          <w:b/>
          <w:sz w:val="20"/>
        </w:rPr>
        <w:t xml:space="preserve"> Total Burden Hours and Hourly Costs to Individuals or Households Respondents</w:t>
      </w:r>
    </w:p>
    <w:tbl>
      <w:tblPr>
        <w:tblW w:w="11307" w:type="dxa"/>
        <w:tblInd w:w="-999" w:type="dxa"/>
        <w:tblLayout w:type="fixed"/>
        <w:tblCellMar>
          <w:left w:w="120" w:type="dxa"/>
          <w:right w:w="120" w:type="dxa"/>
        </w:tblCellMar>
        <w:tblLook w:val="0000"/>
      </w:tblPr>
      <w:tblGrid>
        <w:gridCol w:w="684"/>
        <w:gridCol w:w="2376"/>
        <w:gridCol w:w="1260"/>
        <w:gridCol w:w="1224"/>
        <w:gridCol w:w="1170"/>
        <w:gridCol w:w="1083"/>
        <w:gridCol w:w="1260"/>
        <w:gridCol w:w="1080"/>
        <w:gridCol w:w="1170"/>
      </w:tblGrid>
      <w:tr w14:paraId="31377861" w14:textId="77777777" w:rsidTr="00256ACE">
        <w:tblPrEx>
          <w:tblW w:w="11307" w:type="dxa"/>
          <w:tblInd w:w="-999" w:type="dxa"/>
          <w:tblLayout w:type="fixed"/>
          <w:tblCellMar>
            <w:left w:w="120" w:type="dxa"/>
            <w:right w:w="120" w:type="dxa"/>
          </w:tblCellMar>
          <w:tblLook w:val="0000"/>
        </w:tblPrEx>
        <w:trPr>
          <w:cantSplit/>
        </w:trPr>
        <w:tc>
          <w:tcPr>
            <w:tcW w:w="684" w:type="dxa"/>
            <w:tcBorders>
              <w:top w:val="single" w:sz="7" w:space="0" w:color="000000"/>
              <w:left w:val="single" w:sz="7" w:space="0" w:color="000000"/>
              <w:bottom w:val="single" w:sz="7" w:space="0" w:color="000000"/>
              <w:right w:val="single" w:sz="7" w:space="0" w:color="000000"/>
            </w:tcBorders>
            <w:shd w:val="clear" w:color="auto" w:fill="B8CCE4" w:themeFill="accent1" w:themeFillTint="66"/>
          </w:tcPr>
          <w:p w:rsidR="00EE404D" w:rsidRPr="00BF7E15" w:rsidP="00256ACE" w14:paraId="38032323" w14:textId="77777777">
            <w:pPr>
              <w:jc w:val="center"/>
              <w:rPr>
                <w:rFonts w:ascii="Arial" w:hAnsi="Arial" w:cs="Arial"/>
                <w:b/>
                <w:sz w:val="16"/>
                <w:szCs w:val="20"/>
              </w:rPr>
            </w:pPr>
            <w:r w:rsidRPr="00BF7E15">
              <w:rPr>
                <w:rFonts w:ascii="Arial" w:hAnsi="Arial" w:cs="Arial"/>
                <w:b/>
                <w:sz w:val="16"/>
                <w:szCs w:val="20"/>
              </w:rPr>
              <w:t>Item No.</w:t>
            </w:r>
          </w:p>
        </w:tc>
        <w:tc>
          <w:tcPr>
            <w:tcW w:w="2376" w:type="dxa"/>
            <w:tcBorders>
              <w:top w:val="single" w:sz="7" w:space="0" w:color="000000"/>
              <w:left w:val="single" w:sz="7" w:space="0" w:color="000000"/>
              <w:bottom w:val="single" w:sz="7" w:space="0" w:color="000000"/>
              <w:right w:val="single" w:sz="7" w:space="0" w:color="000000"/>
            </w:tcBorders>
            <w:shd w:val="clear" w:color="auto" w:fill="B8CCE4" w:themeFill="accent1" w:themeFillTint="66"/>
          </w:tcPr>
          <w:p w:rsidR="00EE404D" w:rsidRPr="00BF7E15" w:rsidP="00256ACE" w14:paraId="6B67CA88" w14:textId="77777777">
            <w:pPr>
              <w:keepNext/>
              <w:keepLines/>
              <w:tabs>
                <w:tab w:val="left" w:pos="-1176"/>
              </w:tabs>
              <w:jc w:val="center"/>
              <w:rPr>
                <w:rFonts w:ascii="Arial" w:hAnsi="Arial" w:cs="Arial"/>
                <w:b/>
                <w:bCs/>
                <w:sz w:val="16"/>
                <w:szCs w:val="20"/>
              </w:rPr>
            </w:pPr>
            <w:r w:rsidRPr="00BF7E15">
              <w:rPr>
                <w:rFonts w:ascii="Arial" w:hAnsi="Arial" w:cs="Arial"/>
                <w:b/>
                <w:sz w:val="16"/>
                <w:szCs w:val="20"/>
              </w:rPr>
              <w:t>Item</w:t>
            </w:r>
          </w:p>
        </w:tc>
        <w:tc>
          <w:tcPr>
            <w:tcW w:w="1260" w:type="dxa"/>
            <w:tcBorders>
              <w:top w:val="single" w:sz="7" w:space="0" w:color="000000"/>
              <w:left w:val="single" w:sz="7" w:space="0" w:color="000000"/>
              <w:bottom w:val="single" w:sz="7" w:space="0" w:color="000000"/>
              <w:right w:val="single" w:sz="7" w:space="0" w:color="000000"/>
            </w:tcBorders>
            <w:shd w:val="clear" w:color="auto" w:fill="B8CCE4" w:themeFill="accent1" w:themeFillTint="66"/>
          </w:tcPr>
          <w:p w:rsidR="00EE404D" w:rsidRPr="00BF7E15" w:rsidP="00256ACE" w14:paraId="07D1B4ED" w14:textId="77777777">
            <w:pPr>
              <w:jc w:val="center"/>
              <w:rPr>
                <w:rFonts w:ascii="Arial" w:hAnsi="Arial" w:cs="Arial"/>
                <w:b/>
                <w:sz w:val="16"/>
                <w:szCs w:val="20"/>
              </w:rPr>
            </w:pPr>
            <w:r w:rsidRPr="00BF7E15">
              <w:rPr>
                <w:rFonts w:ascii="Arial" w:hAnsi="Arial" w:cs="Arial"/>
                <w:b/>
                <w:sz w:val="16"/>
                <w:szCs w:val="20"/>
              </w:rPr>
              <w:t>Estimated Annual Respondents</w:t>
            </w:r>
          </w:p>
          <w:p w:rsidR="00EE404D" w:rsidRPr="00BF7E15" w:rsidP="00256ACE" w14:paraId="1316A2C5" w14:textId="77777777">
            <w:pPr>
              <w:jc w:val="center"/>
              <w:rPr>
                <w:rFonts w:ascii="Arial" w:hAnsi="Arial" w:cs="Arial"/>
                <w:b/>
                <w:sz w:val="16"/>
                <w:szCs w:val="20"/>
              </w:rPr>
            </w:pPr>
          </w:p>
          <w:p w:rsidR="00EE404D" w:rsidRPr="00BF7E15" w:rsidP="00256ACE" w14:paraId="666F1BA8" w14:textId="77777777">
            <w:pPr>
              <w:keepNext/>
              <w:keepLines/>
              <w:tabs>
                <w:tab w:val="left" w:pos="-1176"/>
              </w:tabs>
              <w:jc w:val="center"/>
              <w:rPr>
                <w:rFonts w:ascii="Arial" w:hAnsi="Arial" w:cs="Arial"/>
                <w:b/>
                <w:sz w:val="16"/>
                <w:szCs w:val="20"/>
              </w:rPr>
            </w:pPr>
          </w:p>
          <w:p w:rsidR="00EE404D" w:rsidRPr="00BF7E15" w:rsidP="00256ACE" w14:paraId="4F84EFCB" w14:textId="77777777">
            <w:pPr>
              <w:keepNext/>
              <w:keepLines/>
              <w:tabs>
                <w:tab w:val="left" w:pos="-1176"/>
              </w:tabs>
              <w:jc w:val="center"/>
              <w:rPr>
                <w:rFonts w:ascii="Arial" w:hAnsi="Arial" w:cs="Arial"/>
                <w:b/>
                <w:sz w:val="16"/>
                <w:szCs w:val="20"/>
              </w:rPr>
            </w:pPr>
          </w:p>
          <w:p w:rsidR="00EE404D" w:rsidRPr="00BF7E15" w:rsidP="00256ACE" w14:paraId="39F030F0" w14:textId="77777777">
            <w:pPr>
              <w:keepNext/>
              <w:keepLines/>
              <w:tabs>
                <w:tab w:val="left" w:pos="-1176"/>
              </w:tabs>
              <w:jc w:val="center"/>
              <w:rPr>
                <w:rFonts w:ascii="Arial" w:hAnsi="Arial" w:cs="Arial"/>
                <w:b/>
                <w:bCs/>
                <w:sz w:val="16"/>
                <w:szCs w:val="20"/>
              </w:rPr>
            </w:pPr>
            <w:r w:rsidRPr="00BF7E15">
              <w:rPr>
                <w:rFonts w:ascii="Arial" w:hAnsi="Arial" w:cs="Arial"/>
                <w:b/>
                <w:sz w:val="16"/>
                <w:szCs w:val="20"/>
              </w:rPr>
              <w:t>(a)</w:t>
            </w:r>
          </w:p>
        </w:tc>
        <w:tc>
          <w:tcPr>
            <w:tcW w:w="1224" w:type="dxa"/>
            <w:tcBorders>
              <w:top w:val="single" w:sz="7" w:space="0" w:color="000000"/>
              <w:left w:val="single" w:sz="7" w:space="0" w:color="000000"/>
              <w:bottom w:val="single" w:sz="7" w:space="0" w:color="000000"/>
              <w:right w:val="single" w:sz="7" w:space="0" w:color="000000"/>
            </w:tcBorders>
            <w:shd w:val="clear" w:color="auto" w:fill="B8CCE4" w:themeFill="accent1" w:themeFillTint="66"/>
          </w:tcPr>
          <w:p w:rsidR="00EE404D" w:rsidRPr="00BF7E15" w:rsidP="00256ACE" w14:paraId="4E923A22" w14:textId="77777777">
            <w:pPr>
              <w:jc w:val="center"/>
              <w:rPr>
                <w:rFonts w:ascii="Arial" w:hAnsi="Arial" w:cs="Arial"/>
                <w:b/>
                <w:sz w:val="16"/>
                <w:szCs w:val="20"/>
              </w:rPr>
            </w:pPr>
            <w:r w:rsidRPr="00BF7E15">
              <w:rPr>
                <w:rFonts w:ascii="Arial" w:hAnsi="Arial" w:cs="Arial"/>
                <w:b/>
                <w:sz w:val="16"/>
                <w:szCs w:val="20"/>
              </w:rPr>
              <w:t>Responses per Respondent</w:t>
            </w:r>
          </w:p>
          <w:p w:rsidR="00EE404D" w:rsidRPr="00BF7E15" w:rsidP="00256ACE" w14:paraId="5ACD071D" w14:textId="77777777">
            <w:pPr>
              <w:jc w:val="center"/>
              <w:rPr>
                <w:rFonts w:ascii="Arial" w:hAnsi="Arial" w:cs="Arial"/>
                <w:b/>
                <w:sz w:val="16"/>
                <w:szCs w:val="20"/>
              </w:rPr>
            </w:pPr>
          </w:p>
          <w:p w:rsidR="00EE404D" w:rsidRPr="00BF7E15" w:rsidP="00256ACE" w14:paraId="0696B86F" w14:textId="77777777">
            <w:pPr>
              <w:jc w:val="center"/>
              <w:rPr>
                <w:rFonts w:ascii="Arial" w:hAnsi="Arial" w:cs="Arial"/>
                <w:b/>
                <w:sz w:val="16"/>
                <w:szCs w:val="20"/>
              </w:rPr>
            </w:pPr>
          </w:p>
          <w:p w:rsidR="00EE404D" w:rsidRPr="00BF7E15" w:rsidP="00256ACE" w14:paraId="5F2E2615" w14:textId="77777777">
            <w:pPr>
              <w:keepNext/>
              <w:keepLines/>
              <w:tabs>
                <w:tab w:val="left" w:pos="-1176"/>
              </w:tabs>
              <w:jc w:val="center"/>
              <w:rPr>
                <w:rFonts w:ascii="Arial" w:hAnsi="Arial" w:cs="Arial"/>
                <w:b/>
                <w:sz w:val="16"/>
                <w:szCs w:val="20"/>
              </w:rPr>
            </w:pPr>
            <w:r w:rsidRPr="00BF7E15">
              <w:rPr>
                <w:rFonts w:ascii="Arial" w:hAnsi="Arial" w:cs="Arial"/>
                <w:b/>
                <w:sz w:val="16"/>
                <w:szCs w:val="20"/>
              </w:rPr>
              <w:t>(b)</w:t>
            </w:r>
          </w:p>
        </w:tc>
        <w:tc>
          <w:tcPr>
            <w:tcW w:w="1170" w:type="dxa"/>
            <w:tcBorders>
              <w:top w:val="single" w:sz="7" w:space="0" w:color="000000"/>
              <w:left w:val="single" w:sz="7" w:space="0" w:color="000000"/>
              <w:bottom w:val="single" w:sz="7" w:space="0" w:color="000000"/>
              <w:right w:val="single" w:sz="7" w:space="0" w:color="000000"/>
            </w:tcBorders>
            <w:shd w:val="clear" w:color="auto" w:fill="B8CCE4" w:themeFill="accent1" w:themeFillTint="66"/>
          </w:tcPr>
          <w:p w:rsidR="00EE404D" w:rsidRPr="00BF7E15" w:rsidP="00256ACE" w14:paraId="0877D078" w14:textId="77777777">
            <w:pPr>
              <w:jc w:val="center"/>
              <w:rPr>
                <w:rFonts w:ascii="Arial" w:hAnsi="Arial" w:cs="Arial"/>
                <w:b/>
                <w:sz w:val="16"/>
                <w:szCs w:val="20"/>
              </w:rPr>
            </w:pPr>
            <w:r w:rsidRPr="00BF7E15">
              <w:rPr>
                <w:rFonts w:ascii="Arial" w:hAnsi="Arial" w:cs="Arial"/>
                <w:b/>
                <w:sz w:val="16"/>
                <w:szCs w:val="20"/>
              </w:rPr>
              <w:t>Estimated Annual Responses</w:t>
            </w:r>
          </w:p>
          <w:p w:rsidR="00EE404D" w:rsidRPr="00BF7E15" w:rsidP="00256ACE" w14:paraId="77854117" w14:textId="77777777">
            <w:pPr>
              <w:jc w:val="center"/>
              <w:rPr>
                <w:rFonts w:ascii="Arial" w:hAnsi="Arial" w:cs="Arial"/>
                <w:b/>
                <w:sz w:val="16"/>
                <w:szCs w:val="20"/>
              </w:rPr>
            </w:pPr>
          </w:p>
          <w:p w:rsidR="00EE404D" w:rsidRPr="00BF7E15" w:rsidP="00256ACE" w14:paraId="4E1F03B8" w14:textId="77777777">
            <w:pPr>
              <w:jc w:val="center"/>
              <w:rPr>
                <w:rFonts w:ascii="Arial" w:hAnsi="Arial" w:cs="Arial"/>
                <w:b/>
                <w:sz w:val="16"/>
                <w:szCs w:val="20"/>
              </w:rPr>
            </w:pPr>
          </w:p>
          <w:p w:rsidR="00EE404D" w:rsidRPr="00BF7E15" w:rsidP="00256ACE" w14:paraId="16DE8722" w14:textId="77777777">
            <w:pPr>
              <w:jc w:val="center"/>
              <w:rPr>
                <w:rFonts w:ascii="Arial" w:hAnsi="Arial" w:cs="Arial"/>
                <w:b/>
                <w:sz w:val="16"/>
                <w:szCs w:val="20"/>
              </w:rPr>
            </w:pPr>
          </w:p>
          <w:p w:rsidR="00EE404D" w:rsidRPr="00BF7E15" w:rsidP="00256ACE" w14:paraId="71F2DC4B" w14:textId="77777777">
            <w:pPr>
              <w:keepNext/>
              <w:keepLines/>
              <w:tabs>
                <w:tab w:val="left" w:pos="-1176"/>
              </w:tabs>
              <w:jc w:val="center"/>
              <w:rPr>
                <w:rFonts w:ascii="Arial" w:hAnsi="Arial" w:cs="Arial"/>
                <w:b/>
                <w:bCs/>
                <w:sz w:val="16"/>
                <w:szCs w:val="20"/>
                <w:highlight w:val="yellow"/>
              </w:rPr>
            </w:pPr>
            <w:r w:rsidRPr="00BF7E15">
              <w:rPr>
                <w:rFonts w:ascii="Arial" w:hAnsi="Arial" w:cs="Arial"/>
                <w:b/>
                <w:sz w:val="16"/>
                <w:szCs w:val="20"/>
              </w:rPr>
              <w:t>(a) x (b) = (c)</w:t>
            </w:r>
          </w:p>
        </w:tc>
        <w:tc>
          <w:tcPr>
            <w:tcW w:w="1083" w:type="dxa"/>
            <w:tcBorders>
              <w:top w:val="single" w:sz="7" w:space="0" w:color="000000"/>
              <w:left w:val="single" w:sz="7" w:space="0" w:color="000000"/>
              <w:bottom w:val="single" w:sz="7" w:space="0" w:color="000000"/>
              <w:right w:val="single" w:sz="7" w:space="0" w:color="000000"/>
            </w:tcBorders>
            <w:shd w:val="clear" w:color="auto" w:fill="B8CCE4" w:themeFill="accent1" w:themeFillTint="66"/>
          </w:tcPr>
          <w:p w:rsidR="00EE404D" w:rsidRPr="00BF7E15" w:rsidP="00256ACE" w14:paraId="0CFA2B40" w14:textId="77777777">
            <w:pPr>
              <w:tabs>
                <w:tab w:val="left" w:pos="-1176"/>
              </w:tabs>
              <w:jc w:val="center"/>
              <w:rPr>
                <w:rFonts w:ascii="Arial" w:hAnsi="Arial" w:cs="Arial"/>
                <w:b/>
                <w:sz w:val="16"/>
                <w:szCs w:val="20"/>
              </w:rPr>
            </w:pPr>
            <w:r w:rsidRPr="00BF7E15">
              <w:rPr>
                <w:rFonts w:ascii="Arial" w:hAnsi="Arial" w:cs="Arial"/>
                <w:b/>
                <w:sz w:val="16"/>
                <w:szCs w:val="20"/>
              </w:rPr>
              <w:t>Estimated Time per Response (hours)</w:t>
            </w:r>
          </w:p>
          <w:p w:rsidR="00EE404D" w:rsidRPr="00BF7E15" w:rsidP="00256ACE" w14:paraId="7459EF6B" w14:textId="77777777">
            <w:pPr>
              <w:tabs>
                <w:tab w:val="left" w:pos="-1176"/>
              </w:tabs>
              <w:jc w:val="center"/>
              <w:rPr>
                <w:rFonts w:ascii="Arial" w:hAnsi="Arial" w:cs="Arial"/>
                <w:b/>
                <w:sz w:val="16"/>
                <w:szCs w:val="20"/>
              </w:rPr>
            </w:pPr>
          </w:p>
          <w:p w:rsidR="00EE404D" w:rsidRPr="00BF7E15" w:rsidP="00256ACE" w14:paraId="3942CC6A" w14:textId="77777777">
            <w:pPr>
              <w:tabs>
                <w:tab w:val="left" w:pos="-1176"/>
              </w:tabs>
              <w:jc w:val="center"/>
              <w:rPr>
                <w:rFonts w:ascii="Arial" w:hAnsi="Arial" w:cs="Arial"/>
                <w:b/>
                <w:sz w:val="16"/>
                <w:szCs w:val="20"/>
              </w:rPr>
            </w:pPr>
          </w:p>
          <w:p w:rsidR="00EE404D" w:rsidRPr="00BF7E15" w:rsidP="00256ACE" w14:paraId="52A8D1C1" w14:textId="77777777">
            <w:pPr>
              <w:tabs>
                <w:tab w:val="left" w:pos="-1176"/>
              </w:tabs>
              <w:jc w:val="center"/>
              <w:rPr>
                <w:rFonts w:ascii="Arial" w:hAnsi="Arial" w:cs="Arial"/>
                <w:b/>
                <w:sz w:val="16"/>
                <w:szCs w:val="20"/>
              </w:rPr>
            </w:pPr>
            <w:r w:rsidRPr="00BF7E15">
              <w:rPr>
                <w:rFonts w:ascii="Arial" w:hAnsi="Arial" w:cs="Arial"/>
                <w:b/>
                <w:sz w:val="16"/>
                <w:szCs w:val="20"/>
              </w:rPr>
              <w:t>(d)</w:t>
            </w:r>
          </w:p>
        </w:tc>
        <w:tc>
          <w:tcPr>
            <w:tcW w:w="1260" w:type="dxa"/>
            <w:tcBorders>
              <w:top w:val="single" w:sz="7" w:space="0" w:color="000000"/>
              <w:left w:val="single" w:sz="7" w:space="0" w:color="000000"/>
              <w:bottom w:val="single" w:sz="7" w:space="0" w:color="000000"/>
              <w:right w:val="single" w:sz="7" w:space="0" w:color="000000"/>
            </w:tcBorders>
            <w:shd w:val="clear" w:color="auto" w:fill="B8CCE4" w:themeFill="accent1" w:themeFillTint="66"/>
          </w:tcPr>
          <w:p w:rsidR="00EE404D" w:rsidRPr="00BF7E15" w:rsidP="00256ACE" w14:paraId="3183AB63" w14:textId="77777777">
            <w:pPr>
              <w:tabs>
                <w:tab w:val="left" w:pos="-1176"/>
              </w:tabs>
              <w:jc w:val="center"/>
              <w:rPr>
                <w:rFonts w:ascii="Arial" w:hAnsi="Arial" w:cs="Arial"/>
                <w:b/>
                <w:sz w:val="16"/>
                <w:szCs w:val="20"/>
              </w:rPr>
            </w:pPr>
            <w:r w:rsidRPr="00BF7E15">
              <w:rPr>
                <w:rFonts w:ascii="Arial" w:hAnsi="Arial" w:cs="Arial"/>
                <w:b/>
                <w:sz w:val="16"/>
                <w:szCs w:val="20"/>
              </w:rPr>
              <w:t>Estimated Burden</w:t>
            </w:r>
          </w:p>
          <w:p w:rsidR="00EE404D" w:rsidRPr="00BF7E15" w:rsidP="00256ACE" w14:paraId="2352B960" w14:textId="77777777">
            <w:pPr>
              <w:tabs>
                <w:tab w:val="left" w:pos="-1176"/>
              </w:tabs>
              <w:jc w:val="center"/>
              <w:rPr>
                <w:rFonts w:ascii="Arial" w:hAnsi="Arial" w:cs="Arial"/>
                <w:b/>
                <w:sz w:val="16"/>
                <w:szCs w:val="20"/>
              </w:rPr>
            </w:pPr>
            <w:r w:rsidRPr="00BF7E15">
              <w:rPr>
                <w:rFonts w:ascii="Arial" w:hAnsi="Arial" w:cs="Arial"/>
                <w:b/>
                <w:sz w:val="16"/>
                <w:szCs w:val="20"/>
              </w:rPr>
              <w:t>(hour/year)</w:t>
            </w:r>
          </w:p>
          <w:p w:rsidR="00EE404D" w:rsidRPr="00BF7E15" w:rsidP="00256ACE" w14:paraId="379E6B7F" w14:textId="77777777">
            <w:pPr>
              <w:tabs>
                <w:tab w:val="left" w:pos="-1176"/>
              </w:tabs>
              <w:rPr>
                <w:rFonts w:ascii="Arial" w:hAnsi="Arial" w:cs="Arial"/>
                <w:b/>
                <w:sz w:val="16"/>
                <w:szCs w:val="20"/>
              </w:rPr>
            </w:pPr>
          </w:p>
          <w:p w:rsidR="00EE404D" w:rsidRPr="00BF7E15" w:rsidP="00256ACE" w14:paraId="538EB5E3" w14:textId="77777777">
            <w:pPr>
              <w:tabs>
                <w:tab w:val="left" w:pos="-1176"/>
              </w:tabs>
              <w:rPr>
                <w:rFonts w:ascii="Arial" w:hAnsi="Arial" w:cs="Arial"/>
                <w:b/>
                <w:sz w:val="16"/>
                <w:szCs w:val="20"/>
              </w:rPr>
            </w:pPr>
          </w:p>
          <w:p w:rsidR="00EE404D" w:rsidRPr="00BF7E15" w:rsidP="00256ACE" w14:paraId="24E49BA2" w14:textId="77777777">
            <w:pPr>
              <w:tabs>
                <w:tab w:val="left" w:pos="-1176"/>
              </w:tabs>
              <w:rPr>
                <w:rFonts w:ascii="Arial" w:hAnsi="Arial" w:cs="Arial"/>
                <w:b/>
                <w:sz w:val="16"/>
                <w:szCs w:val="20"/>
              </w:rPr>
            </w:pPr>
          </w:p>
          <w:p w:rsidR="00EE404D" w:rsidRPr="00BF7E15" w:rsidP="00256ACE" w14:paraId="71336B58" w14:textId="77777777">
            <w:pPr>
              <w:keepNext/>
              <w:keepLines/>
              <w:tabs>
                <w:tab w:val="left" w:pos="-1176"/>
              </w:tabs>
              <w:jc w:val="center"/>
              <w:rPr>
                <w:rFonts w:ascii="Arial" w:hAnsi="Arial" w:cs="Arial"/>
                <w:b/>
                <w:bCs/>
                <w:sz w:val="16"/>
                <w:szCs w:val="20"/>
                <w:highlight w:val="yellow"/>
              </w:rPr>
            </w:pPr>
            <w:r w:rsidRPr="00BF7E15">
              <w:rPr>
                <w:rFonts w:ascii="Arial" w:hAnsi="Arial" w:cs="Arial"/>
                <w:b/>
                <w:sz w:val="16"/>
                <w:szCs w:val="20"/>
              </w:rPr>
              <w:t>(c) x (d) = (e)</w:t>
            </w:r>
          </w:p>
        </w:tc>
        <w:tc>
          <w:tcPr>
            <w:tcW w:w="1080" w:type="dxa"/>
            <w:tcBorders>
              <w:top w:val="single" w:sz="7" w:space="0" w:color="000000"/>
              <w:left w:val="single" w:sz="7" w:space="0" w:color="000000"/>
              <w:bottom w:val="single" w:sz="7" w:space="0" w:color="000000"/>
              <w:right w:val="single" w:sz="7" w:space="0" w:color="000000"/>
            </w:tcBorders>
            <w:shd w:val="clear" w:color="auto" w:fill="B8CCE4" w:themeFill="accent1" w:themeFillTint="66"/>
          </w:tcPr>
          <w:p w:rsidR="00EE404D" w:rsidRPr="00BF7E15" w:rsidP="00256ACE" w14:paraId="5CA9F279" w14:textId="77777777">
            <w:pPr>
              <w:tabs>
                <w:tab w:val="left" w:pos="-1176"/>
              </w:tabs>
              <w:jc w:val="center"/>
              <w:rPr>
                <w:rFonts w:ascii="Arial" w:hAnsi="Arial" w:cs="Arial"/>
                <w:b/>
                <w:sz w:val="16"/>
                <w:szCs w:val="20"/>
              </w:rPr>
            </w:pPr>
            <w:r w:rsidRPr="00BF7E15">
              <w:rPr>
                <w:rFonts w:ascii="Arial" w:hAnsi="Arial" w:cs="Arial"/>
                <w:b/>
                <w:sz w:val="16"/>
                <w:szCs w:val="20"/>
              </w:rPr>
              <w:t>Rate</w:t>
            </w:r>
            <w:r>
              <w:rPr>
                <w:rFonts w:ascii="Arial" w:hAnsi="Arial" w:cs="Arial"/>
                <w:b/>
                <w:sz w:val="16"/>
                <w:szCs w:val="20"/>
                <w:vertAlign w:val="superscript"/>
              </w:rPr>
              <w:footnoteReference w:id="3"/>
            </w:r>
          </w:p>
          <w:p w:rsidR="00EE404D" w:rsidRPr="00BF7E15" w:rsidP="00256ACE" w14:paraId="7EC7EE2F" w14:textId="77777777">
            <w:pPr>
              <w:tabs>
                <w:tab w:val="left" w:pos="-1176"/>
              </w:tabs>
              <w:jc w:val="center"/>
              <w:rPr>
                <w:rFonts w:ascii="Arial" w:hAnsi="Arial" w:cs="Arial"/>
                <w:b/>
                <w:sz w:val="16"/>
                <w:szCs w:val="20"/>
              </w:rPr>
            </w:pPr>
            <w:r w:rsidRPr="00BF7E15">
              <w:rPr>
                <w:rFonts w:ascii="Arial" w:hAnsi="Arial" w:cs="Arial"/>
                <w:b/>
                <w:sz w:val="16"/>
                <w:szCs w:val="20"/>
              </w:rPr>
              <w:t>($/hour)</w:t>
            </w:r>
          </w:p>
          <w:p w:rsidR="00EE404D" w:rsidRPr="00BF7E15" w:rsidP="00256ACE" w14:paraId="5709864C" w14:textId="77777777">
            <w:pPr>
              <w:tabs>
                <w:tab w:val="left" w:pos="-1176"/>
              </w:tabs>
              <w:jc w:val="center"/>
              <w:rPr>
                <w:rFonts w:ascii="Arial" w:hAnsi="Arial" w:cs="Arial"/>
                <w:b/>
                <w:sz w:val="16"/>
                <w:szCs w:val="20"/>
              </w:rPr>
            </w:pPr>
          </w:p>
          <w:p w:rsidR="00EE404D" w:rsidRPr="00BF7E15" w:rsidP="00256ACE" w14:paraId="2371E9F4" w14:textId="77777777">
            <w:pPr>
              <w:tabs>
                <w:tab w:val="left" w:pos="-1176"/>
              </w:tabs>
              <w:jc w:val="center"/>
              <w:rPr>
                <w:rFonts w:ascii="Arial" w:hAnsi="Arial" w:cs="Arial"/>
                <w:b/>
                <w:sz w:val="16"/>
                <w:szCs w:val="20"/>
              </w:rPr>
            </w:pPr>
          </w:p>
          <w:p w:rsidR="00EE404D" w:rsidRPr="00BF7E15" w:rsidP="00256ACE" w14:paraId="6428EF09" w14:textId="77777777">
            <w:pPr>
              <w:tabs>
                <w:tab w:val="left" w:pos="-1176"/>
              </w:tabs>
              <w:jc w:val="center"/>
              <w:rPr>
                <w:rFonts w:ascii="Arial" w:hAnsi="Arial" w:cs="Arial"/>
                <w:b/>
                <w:sz w:val="16"/>
                <w:szCs w:val="20"/>
              </w:rPr>
            </w:pPr>
          </w:p>
          <w:p w:rsidR="00EE404D" w:rsidRPr="00BF7E15" w:rsidP="00256ACE" w14:paraId="11670B5B" w14:textId="77777777">
            <w:pPr>
              <w:tabs>
                <w:tab w:val="left" w:pos="-1176"/>
              </w:tabs>
              <w:jc w:val="center"/>
              <w:rPr>
                <w:rFonts w:ascii="Arial" w:hAnsi="Arial" w:cs="Arial"/>
                <w:b/>
                <w:sz w:val="16"/>
                <w:szCs w:val="20"/>
              </w:rPr>
            </w:pPr>
          </w:p>
          <w:p w:rsidR="00EE404D" w:rsidRPr="00BF7E15" w:rsidP="00256ACE" w14:paraId="392B68CB" w14:textId="77777777">
            <w:pPr>
              <w:keepNext/>
              <w:keepLines/>
              <w:tabs>
                <w:tab w:val="left" w:pos="-1176"/>
              </w:tabs>
              <w:jc w:val="center"/>
              <w:rPr>
                <w:rFonts w:ascii="Arial" w:hAnsi="Arial" w:cs="Arial"/>
                <w:b/>
                <w:bCs/>
                <w:sz w:val="16"/>
                <w:szCs w:val="20"/>
              </w:rPr>
            </w:pPr>
            <w:r w:rsidRPr="00BF7E15">
              <w:rPr>
                <w:rFonts w:ascii="Arial" w:hAnsi="Arial" w:cs="Arial"/>
                <w:b/>
                <w:sz w:val="16"/>
                <w:szCs w:val="20"/>
              </w:rPr>
              <w:t>(f)</w:t>
            </w:r>
          </w:p>
        </w:tc>
        <w:tc>
          <w:tcPr>
            <w:tcW w:w="1170" w:type="dxa"/>
            <w:tcBorders>
              <w:top w:val="single" w:sz="7" w:space="0" w:color="000000"/>
              <w:left w:val="single" w:sz="7" w:space="0" w:color="000000"/>
              <w:bottom w:val="single" w:sz="7" w:space="0" w:color="000000"/>
              <w:right w:val="single" w:sz="7" w:space="0" w:color="000000"/>
            </w:tcBorders>
            <w:shd w:val="clear" w:color="auto" w:fill="B8CCE4" w:themeFill="accent1" w:themeFillTint="66"/>
          </w:tcPr>
          <w:p w:rsidR="00EE404D" w:rsidRPr="00BF7E15" w:rsidP="00256ACE" w14:paraId="515FF934" w14:textId="77777777">
            <w:pPr>
              <w:tabs>
                <w:tab w:val="left" w:pos="-1176"/>
              </w:tabs>
              <w:jc w:val="center"/>
              <w:rPr>
                <w:rFonts w:ascii="Arial" w:hAnsi="Arial" w:cs="Arial"/>
                <w:b/>
                <w:bCs/>
                <w:sz w:val="16"/>
                <w:szCs w:val="20"/>
              </w:rPr>
            </w:pPr>
            <w:r w:rsidRPr="00BF7E15">
              <w:rPr>
                <w:rFonts w:ascii="Arial" w:hAnsi="Arial" w:cs="Arial"/>
                <w:b/>
                <w:sz w:val="16"/>
                <w:szCs w:val="20"/>
              </w:rPr>
              <w:t>Estimated Annual Respondent Cost Burden</w:t>
            </w:r>
          </w:p>
          <w:p w:rsidR="00EE404D" w:rsidRPr="00BF7E15" w:rsidP="00256ACE" w14:paraId="69E82857" w14:textId="77777777">
            <w:pPr>
              <w:tabs>
                <w:tab w:val="left" w:pos="-1176"/>
              </w:tabs>
              <w:jc w:val="center"/>
              <w:rPr>
                <w:rFonts w:ascii="Arial" w:hAnsi="Arial" w:cs="Arial"/>
                <w:b/>
                <w:bCs/>
                <w:sz w:val="16"/>
                <w:szCs w:val="20"/>
              </w:rPr>
            </w:pPr>
          </w:p>
          <w:p w:rsidR="00EE404D" w:rsidRPr="00BF7E15" w:rsidP="00256ACE" w14:paraId="0A607364" w14:textId="77777777">
            <w:pPr>
              <w:keepNext/>
              <w:keepLines/>
              <w:tabs>
                <w:tab w:val="left" w:pos="-1176"/>
              </w:tabs>
              <w:jc w:val="center"/>
              <w:rPr>
                <w:rFonts w:ascii="Arial" w:hAnsi="Arial" w:cs="Arial"/>
                <w:b/>
                <w:bCs/>
                <w:sz w:val="16"/>
                <w:szCs w:val="20"/>
              </w:rPr>
            </w:pPr>
            <w:r w:rsidRPr="00BF7E15">
              <w:rPr>
                <w:rFonts w:ascii="Arial" w:hAnsi="Arial" w:cs="Arial"/>
                <w:b/>
                <w:sz w:val="16"/>
                <w:szCs w:val="20"/>
              </w:rPr>
              <w:t>(e) x (f) = (g)</w:t>
            </w:r>
          </w:p>
        </w:tc>
      </w:tr>
      <w:tr w14:paraId="104F34A9" w14:textId="77777777" w:rsidTr="00256ACE">
        <w:tblPrEx>
          <w:tblW w:w="11307" w:type="dxa"/>
          <w:tblInd w:w="-999" w:type="dxa"/>
          <w:tblLayout w:type="fixed"/>
          <w:tblCellMar>
            <w:left w:w="120" w:type="dxa"/>
            <w:right w:w="120" w:type="dxa"/>
          </w:tblCellMar>
          <w:tblLook w:val="0000"/>
        </w:tblPrEx>
        <w:tc>
          <w:tcPr>
            <w:tcW w:w="684" w:type="dxa"/>
            <w:tcBorders>
              <w:top w:val="single" w:sz="7" w:space="0" w:color="000000"/>
              <w:left w:val="single" w:sz="7" w:space="0" w:color="000000"/>
              <w:bottom w:val="single" w:sz="7" w:space="0" w:color="000000"/>
              <w:right w:val="single" w:sz="7" w:space="0" w:color="000000"/>
            </w:tcBorders>
          </w:tcPr>
          <w:p w:rsidR="00EE404D" w:rsidRPr="00BF7E15" w:rsidP="00256ACE" w14:paraId="3811EBCB" w14:textId="77777777">
            <w:pPr>
              <w:spacing w:line="120" w:lineRule="exact"/>
              <w:jc w:val="center"/>
              <w:rPr>
                <w:rFonts w:ascii="Arial" w:hAnsi="Arial" w:cs="Arial"/>
                <w:b/>
                <w:bCs/>
                <w:sz w:val="16"/>
                <w:szCs w:val="20"/>
              </w:rPr>
            </w:pPr>
          </w:p>
          <w:p w:rsidR="00EE404D" w:rsidRPr="00BF7E15" w:rsidP="00256ACE" w14:paraId="228F9A52" w14:textId="77777777">
            <w:pPr>
              <w:keepNext/>
              <w:keepLines/>
              <w:tabs>
                <w:tab w:val="left" w:pos="-1176"/>
              </w:tabs>
              <w:spacing w:after="58"/>
              <w:jc w:val="center"/>
              <w:rPr>
                <w:rFonts w:ascii="Arial" w:hAnsi="Arial" w:cs="Arial"/>
                <w:b/>
                <w:bCs/>
                <w:sz w:val="16"/>
                <w:szCs w:val="20"/>
              </w:rPr>
            </w:pPr>
            <w:r w:rsidRPr="00BF7E15">
              <w:rPr>
                <w:rFonts w:ascii="Arial" w:hAnsi="Arial" w:cs="Arial"/>
                <w:b/>
                <w:sz w:val="16"/>
                <w:szCs w:val="20"/>
              </w:rPr>
              <w:t>1</w:t>
            </w:r>
          </w:p>
        </w:tc>
        <w:tc>
          <w:tcPr>
            <w:tcW w:w="2376" w:type="dxa"/>
            <w:tcBorders>
              <w:top w:val="single" w:sz="7" w:space="0" w:color="000000"/>
              <w:left w:val="single" w:sz="7" w:space="0" w:color="000000"/>
              <w:bottom w:val="single" w:sz="7" w:space="0" w:color="000000"/>
              <w:right w:val="single" w:sz="7" w:space="0" w:color="000000"/>
            </w:tcBorders>
            <w:vAlign w:val="center"/>
          </w:tcPr>
          <w:p w:rsidR="00EE404D" w:rsidRPr="00BF7E15" w:rsidP="00256ACE" w14:paraId="7A2011E1" w14:textId="77777777">
            <w:pPr>
              <w:keepNext/>
              <w:keepLines/>
              <w:tabs>
                <w:tab w:val="left" w:pos="-1176"/>
              </w:tabs>
              <w:spacing w:after="58"/>
              <w:rPr>
                <w:rFonts w:ascii="Arial" w:hAnsi="Arial" w:cs="Arial"/>
                <w:sz w:val="16"/>
                <w:szCs w:val="20"/>
              </w:rPr>
            </w:pPr>
            <w:r w:rsidRPr="00BF7E15">
              <w:rPr>
                <w:rFonts w:ascii="Arial" w:hAnsi="Arial" w:cs="Arial"/>
                <w:sz w:val="16"/>
                <w:szCs w:val="20"/>
              </w:rPr>
              <w:t>Sequence Listing in Application</w:t>
            </w:r>
          </w:p>
        </w:tc>
        <w:tc>
          <w:tcPr>
            <w:tcW w:w="1260" w:type="dxa"/>
            <w:tcBorders>
              <w:top w:val="single" w:sz="7" w:space="0" w:color="000000"/>
              <w:left w:val="single" w:sz="7" w:space="0" w:color="000000"/>
              <w:bottom w:val="single" w:sz="7" w:space="0" w:color="000000"/>
              <w:right w:val="single" w:sz="7" w:space="0" w:color="000000"/>
            </w:tcBorders>
            <w:vAlign w:val="center"/>
          </w:tcPr>
          <w:p w:rsidR="00EE404D" w:rsidRPr="00BF7E15" w:rsidP="00256ACE" w14:paraId="3B5AD9A1" w14:textId="77777777">
            <w:pPr>
              <w:keepNext/>
              <w:keepLines/>
              <w:tabs>
                <w:tab w:val="left" w:pos="-1176"/>
              </w:tabs>
              <w:spacing w:after="58"/>
              <w:jc w:val="center"/>
              <w:rPr>
                <w:rFonts w:ascii="Arial" w:hAnsi="Arial" w:cs="Arial"/>
                <w:sz w:val="16"/>
                <w:szCs w:val="20"/>
              </w:rPr>
            </w:pPr>
            <w:r w:rsidRPr="00BF7E15">
              <w:rPr>
                <w:rFonts w:ascii="Arial" w:hAnsi="Arial" w:cs="Arial"/>
                <w:sz w:val="16"/>
                <w:szCs w:val="20"/>
              </w:rPr>
              <w:t>50</w:t>
            </w:r>
          </w:p>
        </w:tc>
        <w:tc>
          <w:tcPr>
            <w:tcW w:w="1224" w:type="dxa"/>
            <w:tcBorders>
              <w:top w:val="single" w:sz="7" w:space="0" w:color="000000"/>
              <w:left w:val="single" w:sz="7" w:space="0" w:color="000000"/>
              <w:bottom w:val="single" w:sz="7" w:space="0" w:color="000000"/>
              <w:right w:val="single" w:sz="7" w:space="0" w:color="000000"/>
            </w:tcBorders>
            <w:vAlign w:val="center"/>
          </w:tcPr>
          <w:p w:rsidR="00EE404D" w:rsidRPr="00BF7E15" w:rsidP="00256ACE" w14:paraId="275BB6C1" w14:textId="77777777">
            <w:pPr>
              <w:keepNext/>
              <w:keepLines/>
              <w:tabs>
                <w:tab w:val="left" w:pos="-1176"/>
              </w:tabs>
              <w:spacing w:after="58"/>
              <w:jc w:val="center"/>
              <w:rPr>
                <w:rFonts w:ascii="Arial" w:hAnsi="Arial" w:cs="Arial"/>
                <w:sz w:val="16"/>
                <w:szCs w:val="20"/>
              </w:rPr>
            </w:pPr>
            <w:r w:rsidRPr="00BF7E15">
              <w:rPr>
                <w:rFonts w:ascii="Arial" w:hAnsi="Arial" w:cs="Arial"/>
                <w:sz w:val="16"/>
                <w:szCs w:val="20"/>
              </w:rPr>
              <w:t>1</w:t>
            </w:r>
          </w:p>
        </w:tc>
        <w:tc>
          <w:tcPr>
            <w:tcW w:w="1170" w:type="dxa"/>
            <w:tcBorders>
              <w:top w:val="single" w:sz="7" w:space="0" w:color="000000"/>
              <w:left w:val="single" w:sz="7" w:space="0" w:color="000000"/>
              <w:bottom w:val="single" w:sz="7" w:space="0" w:color="000000"/>
              <w:right w:val="single" w:sz="7" w:space="0" w:color="000000"/>
            </w:tcBorders>
            <w:vAlign w:val="center"/>
          </w:tcPr>
          <w:p w:rsidR="00EE404D" w:rsidRPr="00BF7E15" w:rsidP="00256ACE" w14:paraId="047EC59C" w14:textId="77777777">
            <w:pPr>
              <w:keepNext/>
              <w:keepLines/>
              <w:tabs>
                <w:tab w:val="left" w:pos="-1176"/>
              </w:tabs>
              <w:spacing w:after="58"/>
              <w:jc w:val="center"/>
              <w:rPr>
                <w:rFonts w:ascii="Arial" w:hAnsi="Arial" w:cs="Arial"/>
                <w:sz w:val="16"/>
                <w:szCs w:val="20"/>
              </w:rPr>
            </w:pPr>
            <w:r w:rsidRPr="00BF7E15">
              <w:rPr>
                <w:rFonts w:ascii="Arial" w:hAnsi="Arial" w:cs="Arial"/>
                <w:sz w:val="16"/>
                <w:szCs w:val="20"/>
              </w:rPr>
              <w:t>50</w:t>
            </w:r>
          </w:p>
        </w:tc>
        <w:tc>
          <w:tcPr>
            <w:tcW w:w="1083" w:type="dxa"/>
            <w:tcBorders>
              <w:top w:val="single" w:sz="7" w:space="0" w:color="000000"/>
              <w:left w:val="single" w:sz="7" w:space="0" w:color="000000"/>
              <w:bottom w:val="single" w:sz="7" w:space="0" w:color="000000"/>
              <w:right w:val="single" w:sz="7" w:space="0" w:color="000000"/>
            </w:tcBorders>
            <w:vAlign w:val="center"/>
          </w:tcPr>
          <w:p w:rsidR="00EE404D" w:rsidRPr="00BF7E15" w:rsidP="00256ACE" w14:paraId="0E6FADB1" w14:textId="77777777">
            <w:pPr>
              <w:keepNext/>
              <w:keepLines/>
              <w:tabs>
                <w:tab w:val="left" w:pos="-1176"/>
              </w:tabs>
              <w:spacing w:after="58"/>
              <w:jc w:val="center"/>
              <w:rPr>
                <w:rFonts w:ascii="Arial" w:hAnsi="Arial" w:cs="Arial"/>
                <w:sz w:val="16"/>
                <w:szCs w:val="20"/>
              </w:rPr>
            </w:pPr>
            <w:r w:rsidRPr="00BF7E15">
              <w:rPr>
                <w:rFonts w:ascii="Arial" w:hAnsi="Arial" w:cs="Arial"/>
                <w:sz w:val="16"/>
                <w:szCs w:val="20"/>
              </w:rPr>
              <w:t>6</w:t>
            </w:r>
          </w:p>
        </w:tc>
        <w:tc>
          <w:tcPr>
            <w:tcW w:w="1260" w:type="dxa"/>
            <w:tcBorders>
              <w:top w:val="single" w:sz="7" w:space="0" w:color="000000"/>
              <w:left w:val="single" w:sz="7" w:space="0" w:color="000000"/>
              <w:bottom w:val="single" w:sz="7" w:space="0" w:color="000000"/>
              <w:right w:val="single" w:sz="7" w:space="0" w:color="000000"/>
            </w:tcBorders>
            <w:vAlign w:val="center"/>
          </w:tcPr>
          <w:p w:rsidR="00EE404D" w:rsidRPr="00BF7E15" w:rsidP="00256ACE" w14:paraId="6D6725BB" w14:textId="77777777">
            <w:pPr>
              <w:keepNext/>
              <w:keepLines/>
              <w:tabs>
                <w:tab w:val="left" w:pos="-1176"/>
              </w:tabs>
              <w:spacing w:after="58"/>
              <w:jc w:val="center"/>
              <w:rPr>
                <w:rFonts w:ascii="Arial" w:hAnsi="Arial" w:cs="Arial"/>
                <w:sz w:val="16"/>
                <w:szCs w:val="20"/>
              </w:rPr>
            </w:pPr>
            <w:r w:rsidRPr="00BF7E15">
              <w:rPr>
                <w:rFonts w:ascii="Arial" w:hAnsi="Arial" w:cs="Arial"/>
                <w:sz w:val="16"/>
                <w:szCs w:val="20"/>
              </w:rPr>
              <w:t>300</w:t>
            </w:r>
          </w:p>
        </w:tc>
        <w:tc>
          <w:tcPr>
            <w:tcW w:w="1080" w:type="dxa"/>
            <w:tcBorders>
              <w:top w:val="single" w:sz="7" w:space="0" w:color="000000"/>
              <w:left w:val="single" w:sz="7" w:space="0" w:color="000000"/>
              <w:bottom w:val="single" w:sz="7" w:space="0" w:color="000000"/>
              <w:right w:val="single" w:sz="7" w:space="0" w:color="000000"/>
            </w:tcBorders>
            <w:vAlign w:val="center"/>
          </w:tcPr>
          <w:p w:rsidR="00EE404D" w:rsidRPr="00BF7E15" w:rsidP="00256ACE" w14:paraId="291F6D3F" w14:textId="77777777">
            <w:pPr>
              <w:keepNext/>
              <w:keepLines/>
              <w:tabs>
                <w:tab w:val="left" w:pos="-1176"/>
              </w:tabs>
              <w:spacing w:after="58"/>
              <w:jc w:val="center"/>
              <w:rPr>
                <w:rFonts w:ascii="Arial" w:hAnsi="Arial" w:cs="Arial"/>
                <w:sz w:val="16"/>
                <w:szCs w:val="20"/>
              </w:rPr>
            </w:pPr>
            <w:r w:rsidRPr="00BF7E15">
              <w:rPr>
                <w:rFonts w:ascii="Arial" w:hAnsi="Arial" w:cs="Arial"/>
                <w:sz w:val="16"/>
                <w:szCs w:val="20"/>
              </w:rPr>
              <w:t>$435</w:t>
            </w:r>
          </w:p>
        </w:tc>
        <w:tc>
          <w:tcPr>
            <w:tcW w:w="1170" w:type="dxa"/>
            <w:tcBorders>
              <w:top w:val="single" w:sz="7" w:space="0" w:color="000000"/>
              <w:left w:val="single" w:sz="7" w:space="0" w:color="000000"/>
              <w:bottom w:val="single" w:sz="7" w:space="0" w:color="000000"/>
              <w:right w:val="single" w:sz="7" w:space="0" w:color="000000"/>
            </w:tcBorders>
            <w:vAlign w:val="center"/>
          </w:tcPr>
          <w:p w:rsidR="00EE404D" w:rsidRPr="00BF7E15" w:rsidP="00256ACE" w14:paraId="35AEDC89" w14:textId="77777777">
            <w:pPr>
              <w:keepNext/>
              <w:keepLines/>
              <w:tabs>
                <w:tab w:val="left" w:pos="-1176"/>
              </w:tabs>
              <w:spacing w:after="58"/>
              <w:jc w:val="center"/>
              <w:rPr>
                <w:rFonts w:ascii="Arial" w:hAnsi="Arial" w:cs="Arial"/>
                <w:sz w:val="16"/>
                <w:szCs w:val="20"/>
              </w:rPr>
            </w:pPr>
            <w:r w:rsidRPr="00BF7E15">
              <w:rPr>
                <w:rFonts w:ascii="Arial" w:hAnsi="Arial" w:cs="Arial"/>
                <w:sz w:val="16"/>
                <w:szCs w:val="20"/>
              </w:rPr>
              <w:t>$130,500</w:t>
            </w:r>
          </w:p>
        </w:tc>
      </w:tr>
    </w:tbl>
    <w:p w:rsidR="00EE404D" w:rsidRPr="00476F66" w:rsidP="00636EDA" w14:paraId="14916A50" w14:textId="77777777">
      <w:pPr>
        <w:widowControl/>
        <w:tabs>
          <w:tab w:val="left" w:pos="-984"/>
          <w:tab w:val="left" w:pos="-720"/>
          <w:tab w:val="left" w:pos="720"/>
        </w:tabs>
        <w:jc w:val="both"/>
        <w:rPr>
          <w:rFonts w:ascii="Arial" w:hAnsi="Arial" w:cs="Arial"/>
          <w:color w:val="0000FF"/>
        </w:rPr>
      </w:pPr>
    </w:p>
    <w:p w:rsidR="00567B74" w:rsidRPr="002E7B48" w:rsidP="00BF7E15" w14:paraId="2D01BEF9" w14:textId="5D77E62B">
      <w:pPr>
        <w:pStyle w:val="ListParagraph"/>
        <w:widowControl/>
        <w:numPr>
          <w:ilvl w:val="0"/>
          <w:numId w:val="13"/>
        </w:numPr>
        <w:tabs>
          <w:tab w:val="left" w:pos="-984"/>
          <w:tab w:val="left" w:pos="-720"/>
          <w:tab w:val="left" w:pos="720"/>
        </w:tabs>
        <w:ind w:hanging="450"/>
        <w:jc w:val="both"/>
        <w:rPr>
          <w:rFonts w:ascii="Arial" w:hAnsi="Arial" w:cs="Arial"/>
          <w:b/>
          <w:sz w:val="32"/>
        </w:rPr>
      </w:pPr>
      <w:r w:rsidRPr="002E7B48">
        <w:rPr>
          <w:rFonts w:ascii="Arial" w:hAnsi="Arial" w:cs="Arial"/>
          <w:b/>
          <w:szCs w:val="20"/>
        </w:rPr>
        <w:t xml:space="preserve">Provide an estimate for the total annual cost burden to respondents or record keepers resulting from the collection of information. (Do not include the cost of any hour burden already reflected on the burden worksheet). </w:t>
      </w:r>
    </w:p>
    <w:p w:rsidR="00567B74" w:rsidRPr="002E7B48" w:rsidP="00BF7E15" w14:paraId="37083086" w14:textId="77777777">
      <w:pPr>
        <w:widowControl/>
        <w:numPr>
          <w:ilvl w:val="0"/>
          <w:numId w:val="7"/>
        </w:numPr>
        <w:autoSpaceDE/>
        <w:autoSpaceDN/>
        <w:adjustRightInd/>
        <w:ind w:left="450" w:hanging="450"/>
        <w:rPr>
          <w:rFonts w:ascii="Arial" w:hAnsi="Arial" w:cs="Arial"/>
          <w:b/>
          <w:szCs w:val="20"/>
        </w:rPr>
      </w:pPr>
      <w:r w:rsidRPr="002E7B48">
        <w:rPr>
          <w:rFonts w:ascii="Arial" w:hAnsi="Arial" w:cs="Arial"/>
          <w:b/>
          <w:szCs w:val="20"/>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567B74" w:rsidRPr="002E7B48" w:rsidP="00BF7E15" w14:paraId="503A44E4" w14:textId="77777777">
      <w:pPr>
        <w:widowControl/>
        <w:numPr>
          <w:ilvl w:val="0"/>
          <w:numId w:val="7"/>
        </w:numPr>
        <w:autoSpaceDE/>
        <w:autoSpaceDN/>
        <w:adjustRightInd/>
        <w:ind w:left="450" w:hanging="450"/>
        <w:rPr>
          <w:rFonts w:ascii="Arial" w:hAnsi="Arial" w:cs="Arial"/>
          <w:b/>
          <w:szCs w:val="20"/>
        </w:rPr>
      </w:pPr>
      <w:r w:rsidRPr="002E7B48">
        <w:rPr>
          <w:rFonts w:ascii="Arial" w:hAnsi="Arial" w:cs="Arial"/>
          <w:b/>
          <w:szCs w:val="20"/>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w:t>
      </w:r>
      <w:r w:rsidRPr="002E7B48">
        <w:rPr>
          <w:rFonts w:ascii="Arial" w:hAnsi="Arial" w:cs="Arial"/>
          <w:b/>
          <w:szCs w:val="20"/>
        </w:rPr>
        <w:t>economic or regulatory impact analysis associated with the rulemaking containing the information collection, as appropriate.</w:t>
      </w:r>
    </w:p>
    <w:p w:rsidR="00567B74" w:rsidP="00636EDA" w14:paraId="7D28C1DF"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p>
    <w:p w:rsidR="00C95EBA" w:rsidP="00F4529D" w14:paraId="1BB4F419" w14:textId="5C26AE88">
      <w:pPr>
        <w:widowControl/>
        <w:tabs>
          <w:tab w:val="left" w:pos="-1176"/>
        </w:tabs>
        <w:jc w:val="both"/>
        <w:rPr>
          <w:rFonts w:ascii="Arial" w:hAnsi="Arial" w:cs="Arial"/>
          <w:u w:val="single"/>
        </w:rPr>
      </w:pPr>
      <w:r w:rsidRPr="00B0428B">
        <w:rPr>
          <w:rFonts w:ascii="Arial" w:hAnsi="Arial" w:cs="Arial"/>
        </w:rPr>
        <w:t>With fee costs totaling $</w:t>
      </w:r>
      <w:r w:rsidRPr="00BF7E15" w:rsidR="00BF7E15">
        <w:rPr>
          <w:rFonts w:ascii="Arial" w:hAnsi="Arial" w:cs="Arial"/>
        </w:rPr>
        <w:t>1,481,290</w:t>
      </w:r>
      <w:r w:rsidRPr="00B0428B">
        <w:rPr>
          <w:rFonts w:ascii="Arial" w:hAnsi="Arial" w:cs="Arial"/>
        </w:rPr>
        <w:t xml:space="preserve"> and postage costs totaling $</w:t>
      </w:r>
      <w:r w:rsidR="00BF7E15">
        <w:rPr>
          <w:rFonts w:ascii="Arial" w:hAnsi="Arial" w:cs="Arial"/>
        </w:rPr>
        <w:t>2,646</w:t>
      </w:r>
      <w:r w:rsidRPr="00B0428B">
        <w:rPr>
          <w:rFonts w:ascii="Arial" w:hAnsi="Arial" w:cs="Arial"/>
        </w:rPr>
        <w:t>, the USPTO estimates that the total annual non-hourly cost burden for this collection will amount to $</w:t>
      </w:r>
      <w:r w:rsidRPr="00BF7E15" w:rsidR="00BF7E15">
        <w:rPr>
          <w:rFonts w:ascii="Arial" w:hAnsi="Arial" w:cs="Arial"/>
        </w:rPr>
        <w:t>1,483,936</w:t>
      </w:r>
      <w:r w:rsidRPr="00B0428B">
        <w:rPr>
          <w:rFonts w:ascii="Arial" w:hAnsi="Arial" w:cs="Arial"/>
        </w:rPr>
        <w:t>.</w:t>
      </w:r>
    </w:p>
    <w:p w:rsidR="00C95EBA" w:rsidP="00F4529D" w14:paraId="22A727BE" w14:textId="77777777">
      <w:pPr>
        <w:widowControl/>
        <w:tabs>
          <w:tab w:val="left" w:pos="-1176"/>
        </w:tabs>
        <w:jc w:val="both"/>
        <w:rPr>
          <w:rFonts w:ascii="Arial" w:hAnsi="Arial" w:cs="Arial"/>
          <w:u w:val="single"/>
        </w:rPr>
      </w:pPr>
    </w:p>
    <w:p w:rsidR="00F4529D" w:rsidRPr="00B0428B" w:rsidP="00F4529D" w14:paraId="4B3430F7" w14:textId="68691713">
      <w:pPr>
        <w:widowControl/>
        <w:tabs>
          <w:tab w:val="left" w:pos="-1176"/>
        </w:tabs>
        <w:jc w:val="both"/>
        <w:rPr>
          <w:rFonts w:ascii="Arial" w:hAnsi="Arial" w:cs="Arial"/>
        </w:rPr>
      </w:pPr>
      <w:r>
        <w:rPr>
          <w:rFonts w:ascii="Arial" w:hAnsi="Arial" w:cs="Arial"/>
          <w:u w:val="single"/>
        </w:rPr>
        <w:t xml:space="preserve">Filing </w:t>
      </w:r>
      <w:r w:rsidRPr="00B0428B">
        <w:rPr>
          <w:rFonts w:ascii="Arial" w:hAnsi="Arial" w:cs="Arial"/>
          <w:u w:val="single"/>
        </w:rPr>
        <w:t>Fees</w:t>
      </w:r>
    </w:p>
    <w:p w:rsidR="00F4529D" w:rsidRPr="00B0428B" w:rsidP="00F4529D" w14:paraId="2C47487A" w14:textId="77777777">
      <w:pPr>
        <w:widowControl/>
        <w:tabs>
          <w:tab w:val="left" w:pos="-1176"/>
        </w:tabs>
        <w:jc w:val="both"/>
        <w:rPr>
          <w:rFonts w:ascii="Arial" w:hAnsi="Arial" w:cs="Arial"/>
          <w:u w:val="single"/>
        </w:rPr>
      </w:pPr>
    </w:p>
    <w:p w:rsidR="00256ACE" w:rsidP="00256ACE" w14:paraId="628A4E89" w14:textId="0D178F6F">
      <w:pPr>
        <w:widowControl/>
        <w:tabs>
          <w:tab w:val="left" w:pos="-1176"/>
        </w:tabs>
        <w:jc w:val="both"/>
        <w:rPr>
          <w:rFonts w:ascii="Arial" w:hAnsi="Arial" w:cs="Arial"/>
          <w:bCs/>
        </w:rPr>
      </w:pPr>
      <w:r w:rsidRPr="00256ACE">
        <w:rPr>
          <w:rFonts w:ascii="Arial" w:hAnsi="Arial" w:cs="Arial"/>
          <w:bCs/>
        </w:rPr>
        <w:t xml:space="preserve">In accordance with 35 U.S.C. 41(a)(1)(G), the USPTO charges a fee for submitting a sequence listing as part of a U.S. patent application or as part of an international patent application entering the U.S. national stage if the sequence listing (i) is not filed via the </w:t>
      </w:r>
      <w:r w:rsidR="00C75189">
        <w:rPr>
          <w:rFonts w:ascii="Arial" w:hAnsi="Arial" w:cs="Arial"/>
          <w:bCs/>
        </w:rPr>
        <w:t>USPTO patent electronic filing system</w:t>
      </w:r>
      <w:r w:rsidRPr="00256ACE">
        <w:rPr>
          <w:rFonts w:ascii="Arial" w:hAnsi="Arial" w:cs="Arial"/>
          <w:bCs/>
        </w:rPr>
        <w:t xml:space="preserve"> or on an electronic medium in compliance with 37 CFR 1.52(e) and 1.821(c) or (e), and (ii) causes the application to exceed 100 pages. See 37 CFR 1.52(f). </w:t>
      </w:r>
    </w:p>
    <w:p w:rsidR="00256ACE" w:rsidRPr="00256ACE" w:rsidP="00256ACE" w14:paraId="23FEEB46" w14:textId="77777777">
      <w:pPr>
        <w:widowControl/>
        <w:tabs>
          <w:tab w:val="left" w:pos="-1176"/>
        </w:tabs>
        <w:jc w:val="both"/>
        <w:rPr>
          <w:rFonts w:ascii="Arial" w:hAnsi="Arial" w:cs="Arial"/>
          <w:bCs/>
        </w:rPr>
      </w:pPr>
    </w:p>
    <w:p w:rsidR="00256ACE" w:rsidP="00256ACE" w14:paraId="6EF3DB32" w14:textId="2F666E30">
      <w:pPr>
        <w:widowControl/>
        <w:tabs>
          <w:tab w:val="left" w:pos="-1176"/>
        </w:tabs>
        <w:jc w:val="both"/>
        <w:rPr>
          <w:rFonts w:ascii="Arial" w:hAnsi="Arial" w:cs="Arial"/>
          <w:bCs/>
        </w:rPr>
      </w:pPr>
      <w:r w:rsidRPr="00256ACE">
        <w:rPr>
          <w:rFonts w:ascii="Arial" w:hAnsi="Arial" w:cs="Arial"/>
          <w:bCs/>
        </w:rPr>
        <w:t>Under 37 CFR 1.16(s) for U.S. patent applications and 1.492(j) for international patent applications entering the national stage, if the patent application inclusive of sequence listings filed on paper or on a non-compliant electronic medium exceeds 100 pages, the application size fee is $420 ($210 for small entities</w:t>
      </w:r>
      <w:r w:rsidR="00F40182">
        <w:rPr>
          <w:rFonts w:ascii="Arial" w:hAnsi="Arial" w:cs="Arial"/>
          <w:bCs/>
        </w:rPr>
        <w:t>,</w:t>
      </w:r>
      <w:r w:rsidR="00C6266D">
        <w:rPr>
          <w:rFonts w:ascii="Arial" w:hAnsi="Arial" w:cs="Arial"/>
          <w:bCs/>
        </w:rPr>
        <w:t xml:space="preserve"> </w:t>
      </w:r>
      <w:r w:rsidRPr="00256ACE">
        <w:rPr>
          <w:rFonts w:ascii="Arial" w:hAnsi="Arial" w:cs="Arial"/>
          <w:bCs/>
        </w:rPr>
        <w:t xml:space="preserve">$105 for micro entities) for each additional 50 pages or fraction thereof. The average length of a sequence listing filed on paper or in PDF format is 150 pages, which results in an average total size fee of $1260 ($630 for small entities, $315 for micro entities) for applications that are 100 pages long prior to adding the sequence listing. </w:t>
      </w:r>
    </w:p>
    <w:p w:rsidR="00256ACE" w:rsidRPr="00256ACE" w:rsidP="00256ACE" w14:paraId="0C76B9D8" w14:textId="77777777">
      <w:pPr>
        <w:widowControl/>
        <w:tabs>
          <w:tab w:val="left" w:pos="-1176"/>
        </w:tabs>
        <w:jc w:val="both"/>
        <w:rPr>
          <w:rFonts w:ascii="Arial" w:hAnsi="Arial" w:cs="Arial"/>
          <w:bCs/>
        </w:rPr>
      </w:pPr>
    </w:p>
    <w:p w:rsidR="00256ACE" w:rsidP="00256ACE" w14:paraId="1C2D0FEB" w14:textId="38BBAE98">
      <w:pPr>
        <w:widowControl/>
        <w:tabs>
          <w:tab w:val="left" w:pos="-1176"/>
        </w:tabs>
        <w:jc w:val="both"/>
        <w:rPr>
          <w:rFonts w:ascii="Arial" w:hAnsi="Arial" w:cs="Arial"/>
          <w:bCs/>
        </w:rPr>
      </w:pPr>
      <w:r w:rsidRPr="00256ACE">
        <w:rPr>
          <w:rFonts w:ascii="Arial" w:hAnsi="Arial" w:cs="Arial"/>
          <w:bCs/>
        </w:rPr>
        <w:t xml:space="preserve">As a Receiving Office under the Patent Cooperation Treaty, the USPTO collects a basic international filing fee for each international application it receives. The basic international filing fee only covers the first 30 pages of the international application. For each additional application page in excess of 30, a size fee of $16 is added to the basic international filing fee. The average length of a sequence listing in an international application filed on paper or in PDF format is 150 pages. As a result, a paper- or PDF-filed international application including a sequence listing incurs an estimated $2,400 size fee when the application already includes 30 pages prior to adding the sequence listing. </w:t>
      </w:r>
    </w:p>
    <w:p w:rsidR="00256ACE" w:rsidRPr="00256ACE" w:rsidP="00256ACE" w14:paraId="1325D08B" w14:textId="77777777">
      <w:pPr>
        <w:widowControl/>
        <w:tabs>
          <w:tab w:val="left" w:pos="-1176"/>
        </w:tabs>
        <w:jc w:val="both"/>
        <w:rPr>
          <w:rFonts w:ascii="Arial" w:hAnsi="Arial" w:cs="Arial"/>
          <w:bCs/>
        </w:rPr>
      </w:pPr>
    </w:p>
    <w:p w:rsidR="00256ACE" w:rsidP="00256ACE" w14:paraId="13937E2B" w14:textId="4F5CA3BD">
      <w:pPr>
        <w:widowControl/>
        <w:tabs>
          <w:tab w:val="left" w:pos="-1176"/>
        </w:tabs>
        <w:jc w:val="both"/>
        <w:rPr>
          <w:rFonts w:ascii="Arial" w:hAnsi="Arial" w:cs="Arial"/>
          <w:bCs/>
        </w:rPr>
      </w:pPr>
      <w:r w:rsidRPr="00256ACE">
        <w:rPr>
          <w:rFonts w:ascii="Arial" w:hAnsi="Arial" w:cs="Arial"/>
          <w:bCs/>
        </w:rPr>
        <w:t>The USPTO charges a fee for the handling of mega sequence listings.  There are two tiers of fees related to different sequence listing sizes</w:t>
      </w:r>
      <w:r w:rsidR="00F40182">
        <w:rPr>
          <w:rFonts w:ascii="Arial" w:hAnsi="Arial" w:cs="Arial"/>
          <w:bCs/>
        </w:rPr>
        <w:t>:</w:t>
      </w:r>
      <w:r w:rsidRPr="00256ACE" w:rsidR="00F40182">
        <w:rPr>
          <w:rFonts w:ascii="Arial" w:hAnsi="Arial" w:cs="Arial"/>
          <w:bCs/>
        </w:rPr>
        <w:t xml:space="preserve"> </w:t>
      </w:r>
      <w:r w:rsidRPr="00256ACE">
        <w:rPr>
          <w:rFonts w:ascii="Arial" w:hAnsi="Arial" w:cs="Arial"/>
          <w:bCs/>
        </w:rPr>
        <w:t>one tier for file sizes between 300 MB and 800 MB</w:t>
      </w:r>
      <w:r w:rsidR="00F40182">
        <w:rPr>
          <w:rFonts w:ascii="Arial" w:hAnsi="Arial" w:cs="Arial"/>
          <w:bCs/>
        </w:rPr>
        <w:t>,</w:t>
      </w:r>
      <w:r w:rsidRPr="00256ACE">
        <w:rPr>
          <w:rFonts w:ascii="Arial" w:hAnsi="Arial" w:cs="Arial"/>
          <w:bCs/>
        </w:rPr>
        <w:t xml:space="preserve"> and one tier for file sizes greater than 800 MB. </w:t>
      </w:r>
    </w:p>
    <w:p w:rsidR="00256ACE" w:rsidRPr="00256ACE" w:rsidP="00256ACE" w14:paraId="07C85C80" w14:textId="2CBE1760">
      <w:pPr>
        <w:widowControl/>
        <w:tabs>
          <w:tab w:val="left" w:pos="-1176"/>
        </w:tabs>
        <w:jc w:val="both"/>
        <w:rPr>
          <w:rFonts w:ascii="Arial" w:hAnsi="Arial" w:cs="Arial"/>
          <w:bCs/>
        </w:rPr>
      </w:pPr>
      <w:r w:rsidRPr="00256ACE">
        <w:rPr>
          <w:rFonts w:ascii="Arial" w:hAnsi="Arial" w:cs="Arial"/>
          <w:bCs/>
        </w:rPr>
        <w:t xml:space="preserve"> </w:t>
      </w:r>
    </w:p>
    <w:p w:rsidR="00256ACE" w:rsidRPr="00256ACE" w:rsidP="00256ACE" w14:paraId="2C9161D5" w14:textId="77777777">
      <w:pPr>
        <w:widowControl/>
        <w:tabs>
          <w:tab w:val="left" w:pos="-1176"/>
        </w:tabs>
        <w:jc w:val="both"/>
        <w:rPr>
          <w:rFonts w:ascii="Arial" w:hAnsi="Arial" w:cs="Arial"/>
          <w:bCs/>
        </w:rPr>
      </w:pPr>
      <w:r w:rsidRPr="00256ACE">
        <w:rPr>
          <w:rFonts w:ascii="Arial" w:hAnsi="Arial" w:cs="Arial"/>
          <w:bCs/>
        </w:rPr>
        <w:t>The USPTO also charges a Late Furnishing Fee for Providing a Sequence Listing in Response to an Invitation Under PCT Rule 13</w:t>
      </w:r>
      <w:r w:rsidRPr="00256ACE">
        <w:rPr>
          <w:rFonts w:ascii="Arial" w:hAnsi="Arial" w:cs="Arial"/>
          <w:bCs/>
          <w:i/>
        </w:rPr>
        <w:t>ter</w:t>
      </w:r>
      <w:r w:rsidRPr="00256ACE">
        <w:rPr>
          <w:rFonts w:ascii="Arial" w:hAnsi="Arial" w:cs="Arial"/>
          <w:bCs/>
        </w:rPr>
        <w:t xml:space="preserve"> to encourage timely filing of sequence listings in international applications and to facilitate the effective administration of the patent system. </w:t>
      </w:r>
    </w:p>
    <w:p w:rsidR="00F4529D" w:rsidRPr="00B0428B" w:rsidP="00F4529D" w14:paraId="61273100" w14:textId="77777777">
      <w:pPr>
        <w:widowControl/>
        <w:tabs>
          <w:tab w:val="left" w:pos="-1176"/>
        </w:tabs>
        <w:jc w:val="both"/>
        <w:rPr>
          <w:rFonts w:ascii="Arial" w:hAnsi="Arial" w:cs="Arial"/>
        </w:rPr>
      </w:pPr>
    </w:p>
    <w:p w:rsidR="00F4529D" w:rsidRPr="003A7798" w:rsidP="00F4529D" w14:paraId="378FA99D" w14:textId="55F54C00">
      <w:pPr>
        <w:widowControl/>
        <w:tabs>
          <w:tab w:val="left" w:pos="-1176"/>
        </w:tabs>
        <w:jc w:val="both"/>
        <w:rPr>
          <w:rFonts w:ascii="Arial" w:hAnsi="Arial" w:cs="Arial"/>
          <w:b/>
          <w:bCs/>
          <w:sz w:val="20"/>
          <w:szCs w:val="16"/>
        </w:rPr>
      </w:pPr>
      <w:r w:rsidRPr="003A7798">
        <w:rPr>
          <w:rFonts w:ascii="Arial" w:hAnsi="Arial" w:cs="Arial"/>
          <w:b/>
          <w:bCs/>
          <w:sz w:val="20"/>
          <w:szCs w:val="16"/>
        </w:rPr>
        <w:t xml:space="preserve">Table </w:t>
      </w:r>
      <w:r w:rsidRPr="003A7798" w:rsidR="00256ACE">
        <w:rPr>
          <w:rFonts w:ascii="Arial" w:hAnsi="Arial" w:cs="Arial"/>
          <w:b/>
          <w:bCs/>
          <w:sz w:val="20"/>
          <w:szCs w:val="16"/>
        </w:rPr>
        <w:t>5</w:t>
      </w:r>
      <w:r w:rsidRPr="003A7798">
        <w:rPr>
          <w:rFonts w:ascii="Arial" w:hAnsi="Arial" w:cs="Arial"/>
          <w:b/>
          <w:bCs/>
          <w:sz w:val="20"/>
          <w:szCs w:val="16"/>
        </w:rPr>
        <w:t>:  Filing Fee Costs</w:t>
      </w:r>
    </w:p>
    <w:tbl>
      <w:tblPr>
        <w:tblStyle w:val="TableGrid11"/>
        <w:tblW w:w="0" w:type="auto"/>
        <w:tblInd w:w="311" w:type="dxa"/>
        <w:tblLook w:val="04A0"/>
      </w:tblPr>
      <w:tblGrid>
        <w:gridCol w:w="667"/>
        <w:gridCol w:w="4431"/>
        <w:gridCol w:w="1246"/>
        <w:gridCol w:w="1251"/>
        <w:gridCol w:w="1444"/>
      </w:tblGrid>
      <w:tr w14:paraId="0EE18965" w14:textId="77777777" w:rsidTr="00256ACE">
        <w:tblPrEx>
          <w:tblW w:w="0" w:type="auto"/>
          <w:tblInd w:w="311" w:type="dxa"/>
          <w:tblLook w:val="04A0"/>
        </w:tblPrEx>
        <w:tc>
          <w:tcPr>
            <w:tcW w:w="0" w:type="auto"/>
            <w:shd w:val="clear" w:color="auto" w:fill="BDD6EE"/>
          </w:tcPr>
          <w:p w:rsidR="00256ACE" w:rsidRPr="00256ACE" w:rsidP="00256ACE" w14:paraId="2CBA2725" w14:textId="77777777">
            <w:pPr>
              <w:widowControl/>
              <w:tabs>
                <w:tab w:val="left" w:pos="-1176"/>
              </w:tabs>
              <w:autoSpaceDE/>
              <w:autoSpaceDN/>
              <w:adjustRightInd/>
              <w:spacing w:after="120"/>
              <w:jc w:val="center"/>
              <w:rPr>
                <w:rFonts w:ascii="Arial" w:hAnsi="Arial" w:cs="Arial"/>
                <w:b/>
                <w:sz w:val="16"/>
                <w:szCs w:val="16"/>
              </w:rPr>
            </w:pPr>
            <w:r w:rsidRPr="00256ACE">
              <w:rPr>
                <w:rFonts w:ascii="Arial" w:hAnsi="Arial" w:cs="Arial"/>
                <w:b/>
                <w:bCs/>
                <w:sz w:val="16"/>
                <w:szCs w:val="16"/>
              </w:rPr>
              <w:t>Item No.</w:t>
            </w:r>
          </w:p>
        </w:tc>
        <w:tc>
          <w:tcPr>
            <w:tcW w:w="0" w:type="auto"/>
            <w:shd w:val="clear" w:color="auto" w:fill="BDD6EE"/>
          </w:tcPr>
          <w:p w:rsidR="00256ACE" w:rsidRPr="00256ACE" w:rsidP="00256ACE" w14:paraId="7C7C8902" w14:textId="77777777">
            <w:pPr>
              <w:widowControl/>
              <w:tabs>
                <w:tab w:val="left" w:pos="-1176"/>
              </w:tabs>
              <w:autoSpaceDE/>
              <w:autoSpaceDN/>
              <w:adjustRightInd/>
              <w:spacing w:after="120"/>
              <w:jc w:val="center"/>
              <w:rPr>
                <w:rFonts w:ascii="Arial" w:hAnsi="Arial" w:cs="Arial"/>
                <w:b/>
                <w:sz w:val="16"/>
                <w:szCs w:val="16"/>
              </w:rPr>
            </w:pPr>
            <w:r w:rsidRPr="00256ACE">
              <w:rPr>
                <w:rFonts w:ascii="Arial" w:hAnsi="Arial" w:cs="Arial"/>
                <w:b/>
                <w:bCs/>
                <w:sz w:val="16"/>
                <w:szCs w:val="16"/>
              </w:rPr>
              <w:t>Item</w:t>
            </w:r>
          </w:p>
        </w:tc>
        <w:tc>
          <w:tcPr>
            <w:tcW w:w="1246" w:type="dxa"/>
            <w:shd w:val="clear" w:color="auto" w:fill="BDD6EE"/>
          </w:tcPr>
          <w:p w:rsidR="00256ACE" w:rsidRPr="00256ACE" w:rsidP="00256ACE" w14:paraId="50A1185F" w14:textId="77777777">
            <w:pPr>
              <w:widowControl/>
              <w:autoSpaceDE/>
              <w:autoSpaceDN/>
              <w:adjustRightInd/>
              <w:jc w:val="center"/>
              <w:rPr>
                <w:rFonts w:ascii="Arial" w:eastAsia="Calibri" w:hAnsi="Arial" w:cs="Arial"/>
                <w:b/>
                <w:sz w:val="16"/>
                <w:szCs w:val="16"/>
              </w:rPr>
            </w:pPr>
            <w:r w:rsidRPr="00256ACE">
              <w:rPr>
                <w:rFonts w:ascii="Arial" w:eastAsia="Calibri" w:hAnsi="Arial" w:cs="Arial"/>
                <w:b/>
                <w:sz w:val="16"/>
                <w:szCs w:val="16"/>
              </w:rPr>
              <w:t>Estimated Annual Responses</w:t>
            </w:r>
          </w:p>
          <w:p w:rsidR="00256ACE" w:rsidRPr="00256ACE" w:rsidP="00256ACE" w14:paraId="4F30DE16" w14:textId="77777777">
            <w:pPr>
              <w:widowControl/>
              <w:autoSpaceDE/>
              <w:autoSpaceDN/>
              <w:adjustRightInd/>
              <w:jc w:val="center"/>
              <w:rPr>
                <w:rFonts w:ascii="Arial" w:eastAsia="Calibri" w:hAnsi="Arial" w:cs="Arial"/>
                <w:b/>
                <w:sz w:val="16"/>
                <w:szCs w:val="16"/>
              </w:rPr>
            </w:pPr>
          </w:p>
          <w:p w:rsidR="00256ACE" w:rsidRPr="00256ACE" w:rsidP="00256ACE" w14:paraId="20C4C936" w14:textId="77777777">
            <w:pPr>
              <w:widowControl/>
              <w:tabs>
                <w:tab w:val="left" w:pos="-1176"/>
              </w:tabs>
              <w:autoSpaceDE/>
              <w:autoSpaceDN/>
              <w:adjustRightInd/>
              <w:jc w:val="center"/>
              <w:rPr>
                <w:rFonts w:ascii="Arial" w:hAnsi="Arial" w:cs="Arial"/>
                <w:b/>
                <w:sz w:val="16"/>
                <w:szCs w:val="16"/>
              </w:rPr>
            </w:pPr>
            <w:r w:rsidRPr="00256ACE">
              <w:rPr>
                <w:rFonts w:ascii="Arial" w:hAnsi="Arial" w:cs="Arial"/>
                <w:b/>
                <w:bCs/>
                <w:sz w:val="16"/>
                <w:szCs w:val="16"/>
              </w:rPr>
              <w:t>(a)</w:t>
            </w:r>
          </w:p>
        </w:tc>
        <w:tc>
          <w:tcPr>
            <w:tcW w:w="1251" w:type="dxa"/>
            <w:shd w:val="clear" w:color="auto" w:fill="BDD6EE"/>
          </w:tcPr>
          <w:p w:rsidR="00256ACE" w:rsidRPr="00256ACE" w:rsidP="00256ACE" w14:paraId="3867E094" w14:textId="77777777">
            <w:pPr>
              <w:widowControl/>
              <w:autoSpaceDE/>
              <w:autoSpaceDN/>
              <w:adjustRightInd/>
              <w:jc w:val="center"/>
              <w:rPr>
                <w:rFonts w:ascii="Arial" w:eastAsia="Calibri" w:hAnsi="Arial" w:cs="Arial"/>
                <w:b/>
                <w:sz w:val="16"/>
                <w:szCs w:val="16"/>
              </w:rPr>
            </w:pPr>
            <w:r w:rsidRPr="00256ACE">
              <w:rPr>
                <w:rFonts w:ascii="Arial" w:eastAsia="Calibri" w:hAnsi="Arial" w:cs="Arial"/>
                <w:b/>
                <w:sz w:val="16"/>
                <w:szCs w:val="16"/>
              </w:rPr>
              <w:t>Filing Fee</w:t>
            </w:r>
          </w:p>
          <w:p w:rsidR="00256ACE" w:rsidRPr="00256ACE" w:rsidP="00256ACE" w14:paraId="041F5DF1" w14:textId="77777777">
            <w:pPr>
              <w:widowControl/>
              <w:autoSpaceDE/>
              <w:autoSpaceDN/>
              <w:adjustRightInd/>
              <w:jc w:val="center"/>
              <w:rPr>
                <w:rFonts w:ascii="Arial" w:eastAsia="Calibri" w:hAnsi="Arial" w:cs="Arial"/>
                <w:b/>
                <w:sz w:val="16"/>
                <w:szCs w:val="16"/>
              </w:rPr>
            </w:pPr>
            <w:r w:rsidRPr="00256ACE">
              <w:rPr>
                <w:rFonts w:ascii="Arial" w:eastAsia="Calibri" w:hAnsi="Arial" w:cs="Arial"/>
                <w:b/>
                <w:sz w:val="16"/>
                <w:szCs w:val="16"/>
              </w:rPr>
              <w:t>($)</w:t>
            </w:r>
          </w:p>
          <w:p w:rsidR="00256ACE" w:rsidRPr="00256ACE" w:rsidP="00256ACE" w14:paraId="4263A7AA" w14:textId="77777777">
            <w:pPr>
              <w:widowControl/>
              <w:autoSpaceDE/>
              <w:autoSpaceDN/>
              <w:adjustRightInd/>
              <w:jc w:val="center"/>
              <w:rPr>
                <w:rFonts w:ascii="Arial" w:eastAsia="Calibri" w:hAnsi="Arial" w:cs="Arial"/>
                <w:b/>
                <w:sz w:val="16"/>
                <w:szCs w:val="16"/>
              </w:rPr>
            </w:pPr>
          </w:p>
          <w:p w:rsidR="00256ACE" w:rsidRPr="00256ACE" w:rsidP="00256ACE" w14:paraId="0423F8AE" w14:textId="77777777">
            <w:pPr>
              <w:widowControl/>
              <w:autoSpaceDE/>
              <w:autoSpaceDN/>
              <w:adjustRightInd/>
              <w:jc w:val="center"/>
              <w:rPr>
                <w:rFonts w:ascii="Arial" w:eastAsia="Calibri" w:hAnsi="Arial" w:cs="Arial"/>
                <w:b/>
                <w:sz w:val="16"/>
                <w:szCs w:val="16"/>
              </w:rPr>
            </w:pPr>
          </w:p>
          <w:p w:rsidR="00256ACE" w:rsidRPr="00256ACE" w:rsidP="00256ACE" w14:paraId="7307EF78" w14:textId="77777777">
            <w:pPr>
              <w:widowControl/>
              <w:tabs>
                <w:tab w:val="left" w:pos="-1176"/>
              </w:tabs>
              <w:autoSpaceDE/>
              <w:autoSpaceDN/>
              <w:adjustRightInd/>
              <w:jc w:val="center"/>
              <w:rPr>
                <w:rFonts w:ascii="Arial" w:hAnsi="Arial" w:cs="Arial"/>
                <w:b/>
                <w:sz w:val="16"/>
                <w:szCs w:val="16"/>
              </w:rPr>
            </w:pPr>
            <w:r w:rsidRPr="00256ACE">
              <w:rPr>
                <w:rFonts w:ascii="Arial" w:hAnsi="Arial" w:cs="Arial"/>
                <w:b/>
                <w:bCs/>
                <w:sz w:val="16"/>
                <w:szCs w:val="16"/>
              </w:rPr>
              <w:t>(b)</w:t>
            </w:r>
          </w:p>
        </w:tc>
        <w:tc>
          <w:tcPr>
            <w:tcW w:w="0" w:type="auto"/>
            <w:shd w:val="clear" w:color="auto" w:fill="BDD6EE"/>
          </w:tcPr>
          <w:p w:rsidR="00256ACE" w:rsidRPr="00256ACE" w:rsidP="00256ACE" w14:paraId="127ABAA5" w14:textId="77777777">
            <w:pPr>
              <w:widowControl/>
              <w:autoSpaceDE/>
              <w:autoSpaceDN/>
              <w:adjustRightInd/>
              <w:jc w:val="center"/>
              <w:rPr>
                <w:rFonts w:ascii="Arial" w:eastAsia="Calibri" w:hAnsi="Arial" w:cs="Arial"/>
                <w:b/>
                <w:sz w:val="16"/>
                <w:szCs w:val="16"/>
              </w:rPr>
            </w:pPr>
            <w:r w:rsidRPr="00256ACE">
              <w:rPr>
                <w:rFonts w:ascii="Arial" w:eastAsia="Calibri" w:hAnsi="Arial" w:cs="Arial"/>
                <w:b/>
                <w:sz w:val="16"/>
                <w:szCs w:val="16"/>
              </w:rPr>
              <w:t>Non-hourly Cost Burden</w:t>
            </w:r>
          </w:p>
          <w:p w:rsidR="00256ACE" w:rsidRPr="00256ACE" w:rsidP="00256ACE" w14:paraId="0956FCB9" w14:textId="77777777">
            <w:pPr>
              <w:widowControl/>
              <w:autoSpaceDE/>
              <w:autoSpaceDN/>
              <w:adjustRightInd/>
              <w:jc w:val="center"/>
              <w:rPr>
                <w:rFonts w:ascii="Arial" w:eastAsia="Calibri" w:hAnsi="Arial" w:cs="Arial"/>
                <w:b/>
                <w:sz w:val="16"/>
                <w:szCs w:val="16"/>
              </w:rPr>
            </w:pPr>
          </w:p>
          <w:p w:rsidR="00256ACE" w:rsidRPr="00256ACE" w:rsidP="00256ACE" w14:paraId="692A0232" w14:textId="77777777">
            <w:pPr>
              <w:widowControl/>
              <w:autoSpaceDE/>
              <w:autoSpaceDN/>
              <w:adjustRightInd/>
              <w:jc w:val="center"/>
              <w:rPr>
                <w:rFonts w:ascii="Arial" w:eastAsia="Calibri" w:hAnsi="Arial" w:cs="Arial"/>
                <w:b/>
                <w:sz w:val="16"/>
                <w:szCs w:val="16"/>
              </w:rPr>
            </w:pPr>
          </w:p>
          <w:p w:rsidR="00256ACE" w:rsidRPr="00256ACE" w:rsidP="00256ACE" w14:paraId="0BA332D3" w14:textId="77777777">
            <w:pPr>
              <w:widowControl/>
              <w:tabs>
                <w:tab w:val="left" w:pos="-1176"/>
              </w:tabs>
              <w:autoSpaceDE/>
              <w:autoSpaceDN/>
              <w:adjustRightInd/>
              <w:jc w:val="center"/>
              <w:rPr>
                <w:rFonts w:ascii="Arial" w:hAnsi="Arial" w:cs="Arial"/>
                <w:b/>
                <w:sz w:val="16"/>
                <w:szCs w:val="16"/>
              </w:rPr>
            </w:pPr>
            <w:r w:rsidRPr="00256ACE">
              <w:rPr>
                <w:rFonts w:ascii="Arial" w:hAnsi="Arial" w:cs="Arial"/>
                <w:b/>
                <w:bCs/>
                <w:sz w:val="16"/>
                <w:szCs w:val="16"/>
              </w:rPr>
              <w:t>(a) x (b) = (c)</w:t>
            </w:r>
          </w:p>
        </w:tc>
      </w:tr>
      <w:tr w14:paraId="2C12BCFA" w14:textId="77777777" w:rsidTr="00256ACE">
        <w:tblPrEx>
          <w:tblW w:w="0" w:type="auto"/>
          <w:tblInd w:w="311" w:type="dxa"/>
          <w:tblLook w:val="04A0"/>
        </w:tblPrEx>
        <w:tc>
          <w:tcPr>
            <w:tcW w:w="0" w:type="auto"/>
            <w:vAlign w:val="center"/>
          </w:tcPr>
          <w:p w:rsidR="00256ACE" w:rsidRPr="00256ACE" w:rsidP="00256ACE" w14:paraId="7D6098C4" w14:textId="77777777">
            <w:pPr>
              <w:widowControl/>
              <w:tabs>
                <w:tab w:val="left" w:pos="-1176"/>
              </w:tabs>
              <w:autoSpaceDE/>
              <w:autoSpaceDN/>
              <w:adjustRightInd/>
              <w:spacing w:before="120" w:after="120"/>
              <w:jc w:val="center"/>
              <w:rPr>
                <w:rFonts w:ascii="Arial" w:hAnsi="Arial" w:cs="Arial"/>
                <w:b/>
                <w:sz w:val="16"/>
                <w:szCs w:val="16"/>
              </w:rPr>
            </w:pPr>
            <w:r w:rsidRPr="00256ACE">
              <w:rPr>
                <w:rFonts w:ascii="Arial" w:hAnsi="Arial" w:cs="Arial"/>
                <w:b/>
                <w:bCs/>
                <w:sz w:val="16"/>
                <w:szCs w:val="16"/>
              </w:rPr>
              <w:t>1</w:t>
            </w:r>
          </w:p>
        </w:tc>
        <w:tc>
          <w:tcPr>
            <w:tcW w:w="0" w:type="auto"/>
            <w:vAlign w:val="center"/>
          </w:tcPr>
          <w:p w:rsidR="00256ACE" w:rsidRPr="00256ACE" w:rsidP="00256ACE" w14:paraId="7DD1966E" w14:textId="77777777">
            <w:pPr>
              <w:widowControl/>
              <w:tabs>
                <w:tab w:val="left" w:pos="-1176"/>
              </w:tabs>
              <w:autoSpaceDE/>
              <w:autoSpaceDN/>
              <w:adjustRightInd/>
              <w:spacing w:before="120" w:after="120"/>
              <w:jc w:val="both"/>
              <w:rPr>
                <w:rFonts w:ascii="Arial" w:hAnsi="Arial" w:cs="Arial"/>
                <w:bCs/>
                <w:sz w:val="16"/>
                <w:szCs w:val="16"/>
              </w:rPr>
            </w:pPr>
            <w:r w:rsidRPr="00256ACE">
              <w:rPr>
                <w:rFonts w:ascii="Arial" w:hAnsi="Arial" w:cs="Arial"/>
                <w:bCs/>
                <w:sz w:val="16"/>
                <w:szCs w:val="16"/>
              </w:rPr>
              <w:t>Size fees under 37 CFR 1.16(s) and 1.492(j), undiscounted entity</w:t>
            </w:r>
          </w:p>
        </w:tc>
        <w:tc>
          <w:tcPr>
            <w:tcW w:w="1246" w:type="dxa"/>
            <w:vAlign w:val="center"/>
          </w:tcPr>
          <w:p w:rsidR="00256ACE" w:rsidRPr="00256ACE" w:rsidP="00256ACE" w14:paraId="6C84E448" w14:textId="77777777">
            <w:pPr>
              <w:widowControl/>
              <w:tabs>
                <w:tab w:val="left" w:pos="-1176"/>
              </w:tabs>
              <w:autoSpaceDE/>
              <w:autoSpaceDN/>
              <w:adjustRightInd/>
              <w:spacing w:before="120" w:after="120"/>
              <w:jc w:val="right"/>
              <w:rPr>
                <w:rFonts w:ascii="Arial" w:hAnsi="Arial" w:cs="Arial"/>
                <w:sz w:val="16"/>
                <w:szCs w:val="16"/>
              </w:rPr>
            </w:pPr>
            <w:r w:rsidRPr="00256ACE">
              <w:rPr>
                <w:rFonts w:ascii="Arial" w:hAnsi="Arial" w:cs="Arial"/>
                <w:bCs/>
                <w:sz w:val="16"/>
                <w:szCs w:val="16"/>
              </w:rPr>
              <w:t>130</w:t>
            </w:r>
          </w:p>
        </w:tc>
        <w:tc>
          <w:tcPr>
            <w:tcW w:w="1251" w:type="dxa"/>
            <w:vAlign w:val="center"/>
          </w:tcPr>
          <w:p w:rsidR="00256ACE" w:rsidRPr="00256ACE" w:rsidP="00256ACE" w14:paraId="413694C5" w14:textId="77777777">
            <w:pPr>
              <w:widowControl/>
              <w:tabs>
                <w:tab w:val="left" w:pos="-1176"/>
              </w:tabs>
              <w:autoSpaceDE/>
              <w:autoSpaceDN/>
              <w:adjustRightInd/>
              <w:spacing w:before="120" w:after="120"/>
              <w:jc w:val="right"/>
              <w:rPr>
                <w:rFonts w:ascii="Arial" w:hAnsi="Arial" w:cs="Arial"/>
                <w:sz w:val="16"/>
                <w:szCs w:val="16"/>
              </w:rPr>
            </w:pPr>
            <w:r w:rsidRPr="00256ACE">
              <w:rPr>
                <w:rFonts w:ascii="Arial" w:hAnsi="Arial" w:cs="Arial"/>
                <w:bCs/>
                <w:sz w:val="16"/>
                <w:szCs w:val="16"/>
              </w:rPr>
              <w:t>$1,260</w:t>
            </w:r>
          </w:p>
        </w:tc>
        <w:tc>
          <w:tcPr>
            <w:tcW w:w="0" w:type="auto"/>
            <w:vAlign w:val="center"/>
          </w:tcPr>
          <w:p w:rsidR="00256ACE" w:rsidRPr="00256ACE" w:rsidP="00256ACE" w14:paraId="65F611B8" w14:textId="77777777">
            <w:pPr>
              <w:widowControl/>
              <w:tabs>
                <w:tab w:val="left" w:pos="-1176"/>
              </w:tabs>
              <w:autoSpaceDE/>
              <w:autoSpaceDN/>
              <w:adjustRightInd/>
              <w:spacing w:before="120" w:after="120"/>
              <w:jc w:val="right"/>
              <w:rPr>
                <w:rFonts w:ascii="Arial" w:hAnsi="Arial" w:cs="Arial"/>
                <w:sz w:val="16"/>
                <w:szCs w:val="16"/>
              </w:rPr>
            </w:pPr>
            <w:r w:rsidRPr="00256ACE">
              <w:rPr>
                <w:rFonts w:ascii="Arial" w:hAnsi="Arial" w:cs="Arial"/>
                <w:sz w:val="16"/>
                <w:szCs w:val="16"/>
              </w:rPr>
              <w:t>$163,800</w:t>
            </w:r>
          </w:p>
        </w:tc>
      </w:tr>
      <w:tr w14:paraId="559AC315" w14:textId="77777777" w:rsidTr="00256ACE">
        <w:tblPrEx>
          <w:tblW w:w="0" w:type="auto"/>
          <w:tblInd w:w="311" w:type="dxa"/>
          <w:tblLook w:val="04A0"/>
        </w:tblPrEx>
        <w:tc>
          <w:tcPr>
            <w:tcW w:w="0" w:type="auto"/>
            <w:vAlign w:val="center"/>
          </w:tcPr>
          <w:p w:rsidR="00256ACE" w:rsidRPr="00256ACE" w:rsidP="00256ACE" w14:paraId="65E88355" w14:textId="77777777">
            <w:pPr>
              <w:widowControl/>
              <w:tabs>
                <w:tab w:val="left" w:pos="-1176"/>
              </w:tabs>
              <w:autoSpaceDE/>
              <w:autoSpaceDN/>
              <w:adjustRightInd/>
              <w:spacing w:before="120" w:after="120"/>
              <w:jc w:val="center"/>
              <w:rPr>
                <w:rFonts w:ascii="Arial" w:hAnsi="Arial" w:cs="Arial"/>
                <w:b/>
                <w:sz w:val="16"/>
                <w:szCs w:val="16"/>
              </w:rPr>
            </w:pPr>
            <w:r w:rsidRPr="00256ACE">
              <w:rPr>
                <w:rFonts w:ascii="Arial" w:hAnsi="Arial" w:cs="Arial"/>
                <w:b/>
                <w:bCs/>
                <w:sz w:val="16"/>
                <w:szCs w:val="16"/>
              </w:rPr>
              <w:t>1</w:t>
            </w:r>
          </w:p>
        </w:tc>
        <w:tc>
          <w:tcPr>
            <w:tcW w:w="0" w:type="auto"/>
            <w:vAlign w:val="center"/>
          </w:tcPr>
          <w:p w:rsidR="00256ACE" w:rsidRPr="00256ACE" w:rsidP="00256ACE" w14:paraId="24033CC8" w14:textId="77777777">
            <w:pPr>
              <w:widowControl/>
              <w:tabs>
                <w:tab w:val="left" w:pos="-1176"/>
              </w:tabs>
              <w:autoSpaceDE/>
              <w:autoSpaceDN/>
              <w:adjustRightInd/>
              <w:spacing w:before="120" w:after="120"/>
              <w:jc w:val="both"/>
              <w:rPr>
                <w:rFonts w:ascii="Arial" w:hAnsi="Arial" w:cs="Arial"/>
                <w:bCs/>
                <w:sz w:val="16"/>
                <w:szCs w:val="16"/>
              </w:rPr>
            </w:pPr>
            <w:r w:rsidRPr="00256ACE">
              <w:rPr>
                <w:rFonts w:ascii="Arial" w:hAnsi="Arial" w:cs="Arial"/>
                <w:bCs/>
                <w:sz w:val="16"/>
                <w:szCs w:val="16"/>
              </w:rPr>
              <w:t>Size fees under 37 CFR 1.16(s) and 1.492(j), small entity</w:t>
            </w:r>
          </w:p>
        </w:tc>
        <w:tc>
          <w:tcPr>
            <w:tcW w:w="1246" w:type="dxa"/>
            <w:vAlign w:val="center"/>
          </w:tcPr>
          <w:p w:rsidR="00256ACE" w:rsidRPr="00256ACE" w:rsidP="00256ACE" w14:paraId="2B3F8386" w14:textId="77777777">
            <w:pPr>
              <w:widowControl/>
              <w:tabs>
                <w:tab w:val="left" w:pos="-1176"/>
              </w:tabs>
              <w:autoSpaceDE/>
              <w:autoSpaceDN/>
              <w:adjustRightInd/>
              <w:spacing w:before="120" w:after="120"/>
              <w:jc w:val="right"/>
              <w:rPr>
                <w:rFonts w:ascii="Arial" w:hAnsi="Arial" w:cs="Arial"/>
                <w:sz w:val="16"/>
                <w:szCs w:val="16"/>
              </w:rPr>
            </w:pPr>
            <w:r w:rsidRPr="00256ACE">
              <w:rPr>
                <w:rFonts w:ascii="Arial" w:hAnsi="Arial" w:cs="Arial"/>
                <w:bCs/>
                <w:sz w:val="16"/>
                <w:szCs w:val="16"/>
              </w:rPr>
              <w:t>65</w:t>
            </w:r>
          </w:p>
        </w:tc>
        <w:tc>
          <w:tcPr>
            <w:tcW w:w="1251" w:type="dxa"/>
            <w:vAlign w:val="center"/>
          </w:tcPr>
          <w:p w:rsidR="00256ACE" w:rsidRPr="00256ACE" w:rsidP="00256ACE" w14:paraId="3EA56E5E" w14:textId="77777777">
            <w:pPr>
              <w:widowControl/>
              <w:tabs>
                <w:tab w:val="left" w:pos="-1176"/>
              </w:tabs>
              <w:autoSpaceDE/>
              <w:autoSpaceDN/>
              <w:adjustRightInd/>
              <w:spacing w:before="120" w:after="120"/>
              <w:jc w:val="right"/>
              <w:rPr>
                <w:rFonts w:ascii="Arial" w:hAnsi="Arial" w:cs="Arial"/>
                <w:sz w:val="16"/>
                <w:szCs w:val="16"/>
              </w:rPr>
            </w:pPr>
            <w:r w:rsidRPr="00256ACE">
              <w:rPr>
                <w:rFonts w:ascii="Arial" w:hAnsi="Arial" w:cs="Arial"/>
                <w:bCs/>
                <w:sz w:val="16"/>
                <w:szCs w:val="16"/>
              </w:rPr>
              <w:t>$630</w:t>
            </w:r>
          </w:p>
        </w:tc>
        <w:tc>
          <w:tcPr>
            <w:tcW w:w="0" w:type="auto"/>
            <w:vAlign w:val="center"/>
          </w:tcPr>
          <w:p w:rsidR="00256ACE" w:rsidRPr="00256ACE" w:rsidP="00256ACE" w14:paraId="6B87D8F3" w14:textId="77777777">
            <w:pPr>
              <w:widowControl/>
              <w:tabs>
                <w:tab w:val="left" w:pos="-1176"/>
              </w:tabs>
              <w:autoSpaceDE/>
              <w:autoSpaceDN/>
              <w:adjustRightInd/>
              <w:spacing w:before="120" w:after="120"/>
              <w:jc w:val="right"/>
              <w:rPr>
                <w:rFonts w:ascii="Arial" w:hAnsi="Arial" w:cs="Arial"/>
                <w:sz w:val="16"/>
                <w:szCs w:val="16"/>
              </w:rPr>
            </w:pPr>
            <w:r w:rsidRPr="00256ACE">
              <w:rPr>
                <w:rFonts w:ascii="Arial" w:hAnsi="Arial" w:cs="Arial"/>
                <w:sz w:val="16"/>
                <w:szCs w:val="16"/>
              </w:rPr>
              <w:t>$440,950</w:t>
            </w:r>
          </w:p>
        </w:tc>
      </w:tr>
      <w:tr w14:paraId="1AE7958B" w14:textId="77777777" w:rsidTr="00256ACE">
        <w:tblPrEx>
          <w:tblW w:w="0" w:type="auto"/>
          <w:tblInd w:w="311" w:type="dxa"/>
          <w:tblLook w:val="04A0"/>
        </w:tblPrEx>
        <w:tc>
          <w:tcPr>
            <w:tcW w:w="0" w:type="auto"/>
            <w:vAlign w:val="center"/>
          </w:tcPr>
          <w:p w:rsidR="00256ACE" w:rsidRPr="00256ACE" w:rsidP="00256ACE" w14:paraId="2D3AF08B" w14:textId="77777777">
            <w:pPr>
              <w:widowControl/>
              <w:tabs>
                <w:tab w:val="left" w:pos="-1176"/>
              </w:tabs>
              <w:autoSpaceDE/>
              <w:autoSpaceDN/>
              <w:adjustRightInd/>
              <w:spacing w:before="120" w:after="120"/>
              <w:jc w:val="center"/>
              <w:rPr>
                <w:rFonts w:ascii="Arial" w:hAnsi="Arial" w:cs="Arial"/>
                <w:b/>
                <w:sz w:val="16"/>
                <w:szCs w:val="16"/>
              </w:rPr>
            </w:pPr>
            <w:r w:rsidRPr="00256ACE">
              <w:rPr>
                <w:rFonts w:ascii="Arial" w:hAnsi="Arial" w:cs="Arial"/>
                <w:b/>
                <w:bCs/>
                <w:sz w:val="16"/>
                <w:szCs w:val="16"/>
              </w:rPr>
              <w:t>1</w:t>
            </w:r>
          </w:p>
        </w:tc>
        <w:tc>
          <w:tcPr>
            <w:tcW w:w="0" w:type="auto"/>
            <w:vAlign w:val="center"/>
          </w:tcPr>
          <w:p w:rsidR="00256ACE" w:rsidRPr="00256ACE" w:rsidP="00256ACE" w14:paraId="492ADE43" w14:textId="77777777">
            <w:pPr>
              <w:widowControl/>
              <w:tabs>
                <w:tab w:val="left" w:pos="-1176"/>
              </w:tabs>
              <w:autoSpaceDE/>
              <w:autoSpaceDN/>
              <w:adjustRightInd/>
              <w:spacing w:before="120" w:after="120"/>
              <w:jc w:val="both"/>
              <w:rPr>
                <w:rFonts w:ascii="Arial" w:hAnsi="Arial" w:cs="Arial"/>
                <w:bCs/>
                <w:sz w:val="16"/>
                <w:szCs w:val="16"/>
              </w:rPr>
            </w:pPr>
            <w:r w:rsidRPr="00256ACE">
              <w:rPr>
                <w:rFonts w:ascii="Arial" w:hAnsi="Arial" w:cs="Arial"/>
                <w:bCs/>
                <w:sz w:val="16"/>
                <w:szCs w:val="16"/>
              </w:rPr>
              <w:t>Size fees under 37 CFR 1.16(s) and 1.492(j), micro entity</w:t>
            </w:r>
          </w:p>
        </w:tc>
        <w:tc>
          <w:tcPr>
            <w:tcW w:w="1246" w:type="dxa"/>
            <w:vAlign w:val="center"/>
          </w:tcPr>
          <w:p w:rsidR="00256ACE" w:rsidRPr="00256ACE" w:rsidP="00256ACE" w14:paraId="0C9D7B0C" w14:textId="77777777">
            <w:pPr>
              <w:widowControl/>
              <w:tabs>
                <w:tab w:val="left" w:pos="-1176"/>
              </w:tabs>
              <w:autoSpaceDE/>
              <w:autoSpaceDN/>
              <w:adjustRightInd/>
              <w:spacing w:before="120" w:after="120"/>
              <w:jc w:val="right"/>
              <w:rPr>
                <w:rFonts w:ascii="Arial" w:hAnsi="Arial" w:cs="Arial"/>
                <w:sz w:val="16"/>
                <w:szCs w:val="16"/>
              </w:rPr>
            </w:pPr>
            <w:r w:rsidRPr="00256ACE">
              <w:rPr>
                <w:rFonts w:ascii="Arial" w:hAnsi="Arial" w:cs="Arial"/>
                <w:bCs/>
                <w:sz w:val="16"/>
                <w:szCs w:val="16"/>
              </w:rPr>
              <w:t>25</w:t>
            </w:r>
          </w:p>
        </w:tc>
        <w:tc>
          <w:tcPr>
            <w:tcW w:w="1251" w:type="dxa"/>
            <w:vAlign w:val="center"/>
          </w:tcPr>
          <w:p w:rsidR="00256ACE" w:rsidRPr="00256ACE" w:rsidP="00256ACE" w14:paraId="10863283" w14:textId="77777777">
            <w:pPr>
              <w:widowControl/>
              <w:tabs>
                <w:tab w:val="left" w:pos="-1176"/>
              </w:tabs>
              <w:autoSpaceDE/>
              <w:autoSpaceDN/>
              <w:adjustRightInd/>
              <w:spacing w:before="120" w:after="120"/>
              <w:jc w:val="right"/>
              <w:rPr>
                <w:rFonts w:ascii="Arial" w:hAnsi="Arial" w:cs="Arial"/>
                <w:sz w:val="16"/>
                <w:szCs w:val="16"/>
              </w:rPr>
            </w:pPr>
            <w:r w:rsidRPr="00256ACE">
              <w:rPr>
                <w:rFonts w:ascii="Arial" w:hAnsi="Arial" w:cs="Arial"/>
                <w:bCs/>
                <w:sz w:val="16"/>
                <w:szCs w:val="16"/>
              </w:rPr>
              <w:t>$315</w:t>
            </w:r>
          </w:p>
        </w:tc>
        <w:tc>
          <w:tcPr>
            <w:tcW w:w="0" w:type="auto"/>
            <w:vAlign w:val="bottom"/>
          </w:tcPr>
          <w:p w:rsidR="00256ACE" w:rsidRPr="00256ACE" w:rsidP="00256ACE" w14:paraId="074C7315" w14:textId="77777777">
            <w:pPr>
              <w:widowControl/>
              <w:tabs>
                <w:tab w:val="left" w:pos="-1176"/>
              </w:tabs>
              <w:autoSpaceDE/>
              <w:autoSpaceDN/>
              <w:adjustRightInd/>
              <w:spacing w:before="120" w:after="120"/>
              <w:jc w:val="right"/>
              <w:rPr>
                <w:rFonts w:ascii="Arial" w:hAnsi="Arial" w:cs="Arial"/>
                <w:sz w:val="16"/>
                <w:szCs w:val="16"/>
              </w:rPr>
            </w:pPr>
            <w:r w:rsidRPr="00256ACE">
              <w:rPr>
                <w:rFonts w:ascii="Arial" w:hAnsi="Arial" w:cs="Arial"/>
                <w:bCs/>
                <w:color w:val="000000"/>
                <w:sz w:val="16"/>
                <w:szCs w:val="16"/>
              </w:rPr>
              <w:t xml:space="preserve">$7,875 </w:t>
            </w:r>
          </w:p>
        </w:tc>
      </w:tr>
      <w:tr w14:paraId="6620C51A" w14:textId="77777777" w:rsidTr="00256ACE">
        <w:tblPrEx>
          <w:tblW w:w="0" w:type="auto"/>
          <w:tblInd w:w="311" w:type="dxa"/>
          <w:tblLook w:val="04A0"/>
        </w:tblPrEx>
        <w:tc>
          <w:tcPr>
            <w:tcW w:w="0" w:type="auto"/>
            <w:vAlign w:val="center"/>
          </w:tcPr>
          <w:p w:rsidR="00256ACE" w:rsidRPr="00256ACE" w:rsidP="00256ACE" w14:paraId="4160AFB7" w14:textId="77777777">
            <w:pPr>
              <w:widowControl/>
              <w:tabs>
                <w:tab w:val="left" w:pos="-1176"/>
              </w:tabs>
              <w:autoSpaceDE/>
              <w:autoSpaceDN/>
              <w:adjustRightInd/>
              <w:spacing w:before="120" w:after="120"/>
              <w:jc w:val="center"/>
              <w:rPr>
                <w:rFonts w:ascii="Arial" w:hAnsi="Arial" w:cs="Arial"/>
                <w:b/>
                <w:sz w:val="16"/>
                <w:szCs w:val="16"/>
              </w:rPr>
            </w:pPr>
            <w:r w:rsidRPr="00256ACE">
              <w:rPr>
                <w:rFonts w:ascii="Arial" w:hAnsi="Arial" w:cs="Arial"/>
                <w:b/>
                <w:bCs/>
                <w:sz w:val="16"/>
                <w:szCs w:val="16"/>
              </w:rPr>
              <w:t>1</w:t>
            </w:r>
          </w:p>
        </w:tc>
        <w:tc>
          <w:tcPr>
            <w:tcW w:w="0" w:type="auto"/>
            <w:vAlign w:val="center"/>
          </w:tcPr>
          <w:p w:rsidR="00256ACE" w:rsidRPr="00256ACE" w:rsidP="00256ACE" w14:paraId="3541DE7E" w14:textId="77777777">
            <w:pPr>
              <w:widowControl/>
              <w:tabs>
                <w:tab w:val="left" w:pos="-1176"/>
              </w:tabs>
              <w:autoSpaceDE/>
              <w:autoSpaceDN/>
              <w:adjustRightInd/>
              <w:spacing w:before="120" w:after="120"/>
              <w:jc w:val="both"/>
              <w:rPr>
                <w:rFonts w:ascii="Arial" w:hAnsi="Arial" w:cs="Arial"/>
                <w:bCs/>
                <w:sz w:val="16"/>
                <w:szCs w:val="16"/>
              </w:rPr>
            </w:pPr>
            <w:r w:rsidRPr="00256ACE">
              <w:rPr>
                <w:rFonts w:ascii="Arial" w:hAnsi="Arial" w:cs="Arial"/>
                <w:bCs/>
                <w:sz w:val="16"/>
                <w:szCs w:val="16"/>
              </w:rPr>
              <w:t>Size fees for international applications</w:t>
            </w:r>
          </w:p>
        </w:tc>
        <w:tc>
          <w:tcPr>
            <w:tcW w:w="1246" w:type="dxa"/>
            <w:vAlign w:val="center"/>
          </w:tcPr>
          <w:p w:rsidR="00256ACE" w:rsidRPr="00256ACE" w:rsidP="00256ACE" w14:paraId="3B01478A" w14:textId="77777777">
            <w:pPr>
              <w:widowControl/>
              <w:tabs>
                <w:tab w:val="left" w:pos="-1176"/>
              </w:tabs>
              <w:autoSpaceDE/>
              <w:autoSpaceDN/>
              <w:adjustRightInd/>
              <w:spacing w:before="120" w:after="120"/>
              <w:jc w:val="right"/>
              <w:rPr>
                <w:rFonts w:ascii="Arial" w:hAnsi="Arial" w:cs="Arial"/>
                <w:sz w:val="16"/>
                <w:szCs w:val="16"/>
              </w:rPr>
            </w:pPr>
            <w:r w:rsidRPr="00256ACE">
              <w:rPr>
                <w:rFonts w:ascii="Arial" w:hAnsi="Arial" w:cs="Arial"/>
                <w:bCs/>
                <w:sz w:val="16"/>
                <w:szCs w:val="16"/>
              </w:rPr>
              <w:t>420</w:t>
            </w:r>
          </w:p>
        </w:tc>
        <w:tc>
          <w:tcPr>
            <w:tcW w:w="1251" w:type="dxa"/>
            <w:vAlign w:val="center"/>
          </w:tcPr>
          <w:p w:rsidR="00256ACE" w:rsidRPr="00256ACE" w:rsidP="00256ACE" w14:paraId="3B2242B7" w14:textId="77777777">
            <w:pPr>
              <w:widowControl/>
              <w:tabs>
                <w:tab w:val="left" w:pos="-1176"/>
              </w:tabs>
              <w:autoSpaceDE/>
              <w:autoSpaceDN/>
              <w:adjustRightInd/>
              <w:spacing w:before="120" w:after="120"/>
              <w:jc w:val="right"/>
              <w:rPr>
                <w:rFonts w:ascii="Arial" w:hAnsi="Arial" w:cs="Arial"/>
                <w:sz w:val="16"/>
                <w:szCs w:val="16"/>
              </w:rPr>
            </w:pPr>
            <w:r w:rsidRPr="00256ACE">
              <w:rPr>
                <w:rFonts w:ascii="Arial" w:hAnsi="Arial" w:cs="Arial"/>
                <w:bCs/>
                <w:sz w:val="16"/>
                <w:szCs w:val="16"/>
              </w:rPr>
              <w:t>$2,400</w:t>
            </w:r>
          </w:p>
        </w:tc>
        <w:tc>
          <w:tcPr>
            <w:tcW w:w="0" w:type="auto"/>
            <w:vAlign w:val="bottom"/>
          </w:tcPr>
          <w:p w:rsidR="00256ACE" w:rsidRPr="00256ACE" w:rsidP="00256ACE" w14:paraId="2C662832" w14:textId="77777777">
            <w:pPr>
              <w:widowControl/>
              <w:tabs>
                <w:tab w:val="left" w:pos="-1176"/>
              </w:tabs>
              <w:autoSpaceDE/>
              <w:autoSpaceDN/>
              <w:adjustRightInd/>
              <w:spacing w:before="120" w:after="120"/>
              <w:jc w:val="right"/>
              <w:rPr>
                <w:rFonts w:ascii="Arial" w:hAnsi="Arial" w:cs="Arial"/>
                <w:sz w:val="16"/>
                <w:szCs w:val="16"/>
              </w:rPr>
            </w:pPr>
            <w:r w:rsidRPr="00256ACE">
              <w:rPr>
                <w:rFonts w:ascii="Arial" w:hAnsi="Arial" w:cs="Arial"/>
                <w:bCs/>
                <w:color w:val="000000"/>
                <w:sz w:val="16"/>
                <w:szCs w:val="16"/>
              </w:rPr>
              <w:t xml:space="preserve">$1,008,000 </w:t>
            </w:r>
          </w:p>
        </w:tc>
      </w:tr>
      <w:tr w14:paraId="6D7540E4" w14:textId="77777777" w:rsidTr="00256ACE">
        <w:tblPrEx>
          <w:tblW w:w="0" w:type="auto"/>
          <w:tblInd w:w="311" w:type="dxa"/>
          <w:tblLook w:val="04A0"/>
        </w:tblPrEx>
        <w:tc>
          <w:tcPr>
            <w:tcW w:w="0" w:type="auto"/>
            <w:vAlign w:val="center"/>
          </w:tcPr>
          <w:p w:rsidR="00256ACE" w:rsidRPr="00256ACE" w:rsidP="00256ACE" w14:paraId="12366677" w14:textId="77777777">
            <w:pPr>
              <w:widowControl/>
              <w:tabs>
                <w:tab w:val="left" w:pos="-1176"/>
              </w:tabs>
              <w:autoSpaceDE/>
              <w:autoSpaceDN/>
              <w:adjustRightInd/>
              <w:spacing w:before="120" w:after="120"/>
              <w:jc w:val="center"/>
              <w:rPr>
                <w:rFonts w:ascii="Arial" w:hAnsi="Arial" w:cs="Arial"/>
                <w:b/>
                <w:sz w:val="16"/>
                <w:szCs w:val="16"/>
              </w:rPr>
            </w:pPr>
            <w:r w:rsidRPr="00256ACE">
              <w:rPr>
                <w:rFonts w:ascii="Arial" w:hAnsi="Arial" w:cs="Arial"/>
                <w:b/>
                <w:bCs/>
                <w:sz w:val="16"/>
                <w:szCs w:val="16"/>
              </w:rPr>
              <w:t>1</w:t>
            </w:r>
          </w:p>
        </w:tc>
        <w:tc>
          <w:tcPr>
            <w:tcW w:w="0" w:type="auto"/>
            <w:vAlign w:val="center"/>
          </w:tcPr>
          <w:p w:rsidR="00256ACE" w:rsidRPr="00256ACE" w:rsidP="00256ACE" w14:paraId="4C05ABE9" w14:textId="77777777">
            <w:pPr>
              <w:widowControl/>
              <w:tabs>
                <w:tab w:val="left" w:pos="-1176"/>
              </w:tabs>
              <w:autoSpaceDE/>
              <w:autoSpaceDN/>
              <w:adjustRightInd/>
              <w:spacing w:before="120" w:after="120"/>
              <w:jc w:val="both"/>
              <w:rPr>
                <w:rFonts w:ascii="Arial" w:hAnsi="Arial" w:cs="Arial"/>
                <w:bCs/>
                <w:sz w:val="16"/>
                <w:szCs w:val="16"/>
              </w:rPr>
            </w:pPr>
            <w:r w:rsidRPr="00256ACE">
              <w:rPr>
                <w:rFonts w:ascii="Arial" w:hAnsi="Arial" w:cs="Arial"/>
                <w:bCs/>
                <w:sz w:val="16"/>
                <w:szCs w:val="16"/>
              </w:rPr>
              <w:t>Submission of sequence listings of 300MB to 800MB (undiscounted entity)</w:t>
            </w:r>
          </w:p>
        </w:tc>
        <w:tc>
          <w:tcPr>
            <w:tcW w:w="1246" w:type="dxa"/>
            <w:vAlign w:val="center"/>
          </w:tcPr>
          <w:p w:rsidR="00256ACE" w:rsidRPr="00256ACE" w:rsidP="00256ACE" w14:paraId="10A0EAD4" w14:textId="77777777">
            <w:pPr>
              <w:widowControl/>
              <w:tabs>
                <w:tab w:val="left" w:pos="-1176"/>
              </w:tabs>
              <w:autoSpaceDE/>
              <w:autoSpaceDN/>
              <w:adjustRightInd/>
              <w:spacing w:before="120" w:after="120"/>
              <w:jc w:val="right"/>
              <w:rPr>
                <w:rFonts w:ascii="Arial" w:hAnsi="Arial" w:cs="Arial"/>
                <w:sz w:val="16"/>
                <w:szCs w:val="16"/>
              </w:rPr>
            </w:pPr>
            <w:r w:rsidRPr="00256ACE">
              <w:rPr>
                <w:rFonts w:ascii="Arial" w:hAnsi="Arial" w:cs="Arial"/>
                <w:bCs/>
                <w:sz w:val="16"/>
                <w:szCs w:val="16"/>
              </w:rPr>
              <w:t>30</w:t>
            </w:r>
          </w:p>
        </w:tc>
        <w:tc>
          <w:tcPr>
            <w:tcW w:w="1251" w:type="dxa"/>
            <w:vAlign w:val="center"/>
          </w:tcPr>
          <w:p w:rsidR="00256ACE" w:rsidRPr="00256ACE" w:rsidP="00256ACE" w14:paraId="085D910C" w14:textId="77777777">
            <w:pPr>
              <w:widowControl/>
              <w:tabs>
                <w:tab w:val="left" w:pos="-1176"/>
              </w:tabs>
              <w:autoSpaceDE/>
              <w:autoSpaceDN/>
              <w:adjustRightInd/>
              <w:spacing w:before="120" w:after="120"/>
              <w:jc w:val="right"/>
              <w:rPr>
                <w:rFonts w:ascii="Arial" w:hAnsi="Arial" w:cs="Arial"/>
                <w:sz w:val="16"/>
                <w:szCs w:val="16"/>
              </w:rPr>
            </w:pPr>
            <w:r w:rsidRPr="00256ACE">
              <w:rPr>
                <w:rFonts w:ascii="Arial" w:hAnsi="Arial" w:cs="Arial"/>
                <w:bCs/>
                <w:sz w:val="16"/>
                <w:szCs w:val="16"/>
              </w:rPr>
              <w:t>$1,060</w:t>
            </w:r>
          </w:p>
        </w:tc>
        <w:tc>
          <w:tcPr>
            <w:tcW w:w="0" w:type="auto"/>
            <w:vAlign w:val="bottom"/>
          </w:tcPr>
          <w:p w:rsidR="00256ACE" w:rsidRPr="00256ACE" w:rsidP="00256ACE" w14:paraId="08923E86" w14:textId="77777777">
            <w:pPr>
              <w:widowControl/>
              <w:tabs>
                <w:tab w:val="left" w:pos="-1176"/>
              </w:tabs>
              <w:autoSpaceDE/>
              <w:autoSpaceDN/>
              <w:adjustRightInd/>
              <w:spacing w:before="120" w:after="120"/>
              <w:jc w:val="right"/>
              <w:rPr>
                <w:rFonts w:ascii="Arial" w:hAnsi="Arial" w:cs="Arial"/>
                <w:sz w:val="16"/>
                <w:szCs w:val="16"/>
              </w:rPr>
            </w:pPr>
            <w:r w:rsidRPr="00256ACE">
              <w:rPr>
                <w:rFonts w:ascii="Arial" w:hAnsi="Arial" w:cs="Arial"/>
                <w:bCs/>
                <w:color w:val="000000"/>
                <w:sz w:val="16"/>
                <w:szCs w:val="16"/>
              </w:rPr>
              <w:t xml:space="preserve">$31,800 </w:t>
            </w:r>
          </w:p>
        </w:tc>
      </w:tr>
      <w:tr w14:paraId="13D8262F" w14:textId="77777777" w:rsidTr="00256ACE">
        <w:tblPrEx>
          <w:tblW w:w="0" w:type="auto"/>
          <w:tblInd w:w="311" w:type="dxa"/>
          <w:tblLook w:val="04A0"/>
        </w:tblPrEx>
        <w:tc>
          <w:tcPr>
            <w:tcW w:w="0" w:type="auto"/>
            <w:vAlign w:val="center"/>
          </w:tcPr>
          <w:p w:rsidR="00256ACE" w:rsidRPr="00256ACE" w:rsidP="00256ACE" w14:paraId="46475D18" w14:textId="77777777">
            <w:pPr>
              <w:widowControl/>
              <w:tabs>
                <w:tab w:val="left" w:pos="-1176"/>
              </w:tabs>
              <w:autoSpaceDE/>
              <w:autoSpaceDN/>
              <w:adjustRightInd/>
              <w:spacing w:before="120" w:after="120"/>
              <w:jc w:val="center"/>
              <w:rPr>
                <w:rFonts w:ascii="Arial" w:hAnsi="Arial" w:cs="Arial"/>
                <w:b/>
                <w:sz w:val="16"/>
                <w:szCs w:val="16"/>
              </w:rPr>
            </w:pPr>
            <w:r w:rsidRPr="00256ACE">
              <w:rPr>
                <w:rFonts w:ascii="Arial" w:hAnsi="Arial" w:cs="Arial"/>
                <w:b/>
                <w:bCs/>
                <w:sz w:val="16"/>
                <w:szCs w:val="16"/>
              </w:rPr>
              <w:t>1</w:t>
            </w:r>
          </w:p>
        </w:tc>
        <w:tc>
          <w:tcPr>
            <w:tcW w:w="0" w:type="auto"/>
            <w:vAlign w:val="center"/>
          </w:tcPr>
          <w:p w:rsidR="00256ACE" w:rsidRPr="00256ACE" w:rsidP="00256ACE" w14:paraId="3ACB3BB5" w14:textId="77777777">
            <w:pPr>
              <w:widowControl/>
              <w:tabs>
                <w:tab w:val="left" w:pos="-1176"/>
              </w:tabs>
              <w:autoSpaceDE/>
              <w:autoSpaceDN/>
              <w:adjustRightInd/>
              <w:spacing w:before="120" w:after="120"/>
              <w:jc w:val="both"/>
              <w:rPr>
                <w:rFonts w:ascii="Arial" w:hAnsi="Arial" w:cs="Arial"/>
                <w:bCs/>
                <w:sz w:val="16"/>
                <w:szCs w:val="16"/>
              </w:rPr>
            </w:pPr>
            <w:r w:rsidRPr="00256ACE">
              <w:rPr>
                <w:rFonts w:ascii="Arial" w:hAnsi="Arial" w:cs="Arial"/>
                <w:bCs/>
                <w:sz w:val="16"/>
                <w:szCs w:val="16"/>
              </w:rPr>
              <w:t>Submission of sequence listings of 300MB to 800MB (small entity)</w:t>
            </w:r>
          </w:p>
        </w:tc>
        <w:tc>
          <w:tcPr>
            <w:tcW w:w="1246" w:type="dxa"/>
            <w:vAlign w:val="center"/>
          </w:tcPr>
          <w:p w:rsidR="00256ACE" w:rsidRPr="00256ACE" w:rsidP="00256ACE" w14:paraId="21BE6E5D" w14:textId="77777777">
            <w:pPr>
              <w:widowControl/>
              <w:tabs>
                <w:tab w:val="left" w:pos="-1176"/>
              </w:tabs>
              <w:autoSpaceDE/>
              <w:autoSpaceDN/>
              <w:adjustRightInd/>
              <w:spacing w:before="120" w:after="120"/>
              <w:jc w:val="right"/>
              <w:rPr>
                <w:rFonts w:ascii="Arial" w:hAnsi="Arial" w:cs="Arial"/>
                <w:sz w:val="16"/>
                <w:szCs w:val="16"/>
              </w:rPr>
            </w:pPr>
            <w:r w:rsidRPr="00256ACE">
              <w:rPr>
                <w:rFonts w:ascii="Arial" w:hAnsi="Arial" w:cs="Arial"/>
                <w:bCs/>
                <w:sz w:val="16"/>
                <w:szCs w:val="16"/>
              </w:rPr>
              <w:t>30</w:t>
            </w:r>
          </w:p>
        </w:tc>
        <w:tc>
          <w:tcPr>
            <w:tcW w:w="1251" w:type="dxa"/>
            <w:vAlign w:val="center"/>
          </w:tcPr>
          <w:p w:rsidR="00256ACE" w:rsidRPr="00256ACE" w:rsidP="00256ACE" w14:paraId="219CB6EF" w14:textId="77777777">
            <w:pPr>
              <w:widowControl/>
              <w:tabs>
                <w:tab w:val="left" w:pos="-1176"/>
              </w:tabs>
              <w:autoSpaceDE/>
              <w:autoSpaceDN/>
              <w:adjustRightInd/>
              <w:spacing w:before="120" w:after="120"/>
              <w:jc w:val="right"/>
              <w:rPr>
                <w:rFonts w:ascii="Arial" w:hAnsi="Arial" w:cs="Arial"/>
                <w:sz w:val="16"/>
                <w:szCs w:val="16"/>
              </w:rPr>
            </w:pPr>
            <w:r w:rsidRPr="00256ACE">
              <w:rPr>
                <w:rFonts w:ascii="Arial" w:hAnsi="Arial" w:cs="Arial"/>
                <w:bCs/>
                <w:sz w:val="16"/>
                <w:szCs w:val="16"/>
              </w:rPr>
              <w:t>$530</w:t>
            </w:r>
          </w:p>
        </w:tc>
        <w:tc>
          <w:tcPr>
            <w:tcW w:w="0" w:type="auto"/>
            <w:vAlign w:val="bottom"/>
          </w:tcPr>
          <w:p w:rsidR="00256ACE" w:rsidRPr="00256ACE" w:rsidP="00256ACE" w14:paraId="1422BDCD" w14:textId="77777777">
            <w:pPr>
              <w:widowControl/>
              <w:tabs>
                <w:tab w:val="left" w:pos="-1176"/>
              </w:tabs>
              <w:autoSpaceDE/>
              <w:autoSpaceDN/>
              <w:adjustRightInd/>
              <w:spacing w:before="120" w:after="120"/>
              <w:jc w:val="right"/>
              <w:rPr>
                <w:rFonts w:ascii="Arial" w:hAnsi="Arial" w:cs="Arial"/>
                <w:sz w:val="16"/>
                <w:szCs w:val="16"/>
              </w:rPr>
            </w:pPr>
            <w:r w:rsidRPr="00256ACE">
              <w:rPr>
                <w:rFonts w:ascii="Arial" w:hAnsi="Arial" w:cs="Arial"/>
                <w:bCs/>
                <w:color w:val="000000"/>
                <w:sz w:val="16"/>
                <w:szCs w:val="16"/>
              </w:rPr>
              <w:t xml:space="preserve">$15,900 </w:t>
            </w:r>
          </w:p>
        </w:tc>
      </w:tr>
      <w:tr w14:paraId="47D62780" w14:textId="77777777" w:rsidTr="00256ACE">
        <w:tblPrEx>
          <w:tblW w:w="0" w:type="auto"/>
          <w:tblInd w:w="311" w:type="dxa"/>
          <w:tblLook w:val="04A0"/>
        </w:tblPrEx>
        <w:tc>
          <w:tcPr>
            <w:tcW w:w="0" w:type="auto"/>
            <w:vAlign w:val="center"/>
          </w:tcPr>
          <w:p w:rsidR="00256ACE" w:rsidRPr="00256ACE" w:rsidP="00256ACE" w14:paraId="663DA234" w14:textId="77777777">
            <w:pPr>
              <w:widowControl/>
              <w:tabs>
                <w:tab w:val="left" w:pos="-1176"/>
              </w:tabs>
              <w:autoSpaceDE/>
              <w:autoSpaceDN/>
              <w:adjustRightInd/>
              <w:spacing w:before="120" w:after="120"/>
              <w:jc w:val="center"/>
              <w:rPr>
                <w:rFonts w:ascii="Arial" w:hAnsi="Arial" w:cs="Arial"/>
                <w:b/>
                <w:sz w:val="16"/>
                <w:szCs w:val="16"/>
              </w:rPr>
            </w:pPr>
            <w:r w:rsidRPr="00256ACE">
              <w:rPr>
                <w:rFonts w:ascii="Arial" w:hAnsi="Arial" w:cs="Arial"/>
                <w:b/>
                <w:bCs/>
                <w:sz w:val="16"/>
                <w:szCs w:val="16"/>
              </w:rPr>
              <w:t>1</w:t>
            </w:r>
          </w:p>
        </w:tc>
        <w:tc>
          <w:tcPr>
            <w:tcW w:w="0" w:type="auto"/>
            <w:vAlign w:val="center"/>
          </w:tcPr>
          <w:p w:rsidR="00256ACE" w:rsidRPr="00256ACE" w:rsidP="00256ACE" w14:paraId="65848984" w14:textId="77777777">
            <w:pPr>
              <w:widowControl/>
              <w:tabs>
                <w:tab w:val="left" w:pos="-1176"/>
              </w:tabs>
              <w:autoSpaceDE/>
              <w:autoSpaceDN/>
              <w:adjustRightInd/>
              <w:spacing w:before="120" w:after="120"/>
              <w:jc w:val="both"/>
              <w:rPr>
                <w:rFonts w:ascii="Arial" w:hAnsi="Arial" w:cs="Arial"/>
                <w:bCs/>
                <w:sz w:val="16"/>
                <w:szCs w:val="16"/>
              </w:rPr>
            </w:pPr>
            <w:r w:rsidRPr="00256ACE">
              <w:rPr>
                <w:rFonts w:ascii="Arial" w:hAnsi="Arial" w:cs="Arial"/>
                <w:bCs/>
                <w:sz w:val="16"/>
                <w:szCs w:val="16"/>
              </w:rPr>
              <w:t>Submission of sequence listings of 300MB to 800MB (micro entity)</w:t>
            </w:r>
          </w:p>
        </w:tc>
        <w:tc>
          <w:tcPr>
            <w:tcW w:w="1246" w:type="dxa"/>
            <w:vAlign w:val="center"/>
          </w:tcPr>
          <w:p w:rsidR="00256ACE" w:rsidRPr="00256ACE" w:rsidP="00256ACE" w14:paraId="289C8AFC" w14:textId="77777777">
            <w:pPr>
              <w:widowControl/>
              <w:tabs>
                <w:tab w:val="left" w:pos="-1176"/>
              </w:tabs>
              <w:autoSpaceDE/>
              <w:autoSpaceDN/>
              <w:adjustRightInd/>
              <w:spacing w:before="120" w:after="120"/>
              <w:jc w:val="right"/>
              <w:rPr>
                <w:rFonts w:ascii="Arial" w:hAnsi="Arial" w:cs="Arial"/>
                <w:sz w:val="16"/>
                <w:szCs w:val="16"/>
              </w:rPr>
            </w:pPr>
            <w:r w:rsidRPr="00256ACE">
              <w:rPr>
                <w:rFonts w:ascii="Arial" w:hAnsi="Arial" w:cs="Arial"/>
                <w:bCs/>
                <w:sz w:val="16"/>
                <w:szCs w:val="16"/>
              </w:rPr>
              <w:t>10</w:t>
            </w:r>
          </w:p>
        </w:tc>
        <w:tc>
          <w:tcPr>
            <w:tcW w:w="1251" w:type="dxa"/>
            <w:vAlign w:val="center"/>
          </w:tcPr>
          <w:p w:rsidR="00256ACE" w:rsidRPr="00256ACE" w:rsidP="00256ACE" w14:paraId="188CACF5" w14:textId="77777777">
            <w:pPr>
              <w:widowControl/>
              <w:tabs>
                <w:tab w:val="left" w:pos="-1176"/>
              </w:tabs>
              <w:autoSpaceDE/>
              <w:autoSpaceDN/>
              <w:adjustRightInd/>
              <w:spacing w:before="120" w:after="120"/>
              <w:jc w:val="right"/>
              <w:rPr>
                <w:rFonts w:ascii="Arial" w:hAnsi="Arial" w:cs="Arial"/>
                <w:sz w:val="16"/>
                <w:szCs w:val="16"/>
              </w:rPr>
            </w:pPr>
            <w:r w:rsidRPr="00256ACE">
              <w:rPr>
                <w:rFonts w:ascii="Arial" w:hAnsi="Arial" w:cs="Arial"/>
                <w:bCs/>
                <w:sz w:val="16"/>
                <w:szCs w:val="16"/>
              </w:rPr>
              <w:t>$265</w:t>
            </w:r>
          </w:p>
        </w:tc>
        <w:tc>
          <w:tcPr>
            <w:tcW w:w="0" w:type="auto"/>
            <w:vAlign w:val="bottom"/>
          </w:tcPr>
          <w:p w:rsidR="00256ACE" w:rsidRPr="00256ACE" w:rsidP="00256ACE" w14:paraId="67D3EA73" w14:textId="77777777">
            <w:pPr>
              <w:widowControl/>
              <w:tabs>
                <w:tab w:val="left" w:pos="-1176"/>
              </w:tabs>
              <w:autoSpaceDE/>
              <w:autoSpaceDN/>
              <w:adjustRightInd/>
              <w:spacing w:before="120" w:after="120"/>
              <w:jc w:val="right"/>
              <w:rPr>
                <w:rFonts w:ascii="Arial" w:hAnsi="Arial" w:cs="Arial"/>
                <w:sz w:val="16"/>
                <w:szCs w:val="16"/>
              </w:rPr>
            </w:pPr>
            <w:r w:rsidRPr="00256ACE">
              <w:rPr>
                <w:rFonts w:ascii="Arial" w:hAnsi="Arial" w:cs="Arial"/>
                <w:bCs/>
                <w:color w:val="000000"/>
                <w:sz w:val="16"/>
                <w:szCs w:val="16"/>
              </w:rPr>
              <w:t xml:space="preserve">$2,650 </w:t>
            </w:r>
          </w:p>
        </w:tc>
      </w:tr>
      <w:tr w14:paraId="407D27B3" w14:textId="77777777" w:rsidTr="00256ACE">
        <w:tblPrEx>
          <w:tblW w:w="0" w:type="auto"/>
          <w:tblInd w:w="311" w:type="dxa"/>
          <w:tblLook w:val="04A0"/>
        </w:tblPrEx>
        <w:tc>
          <w:tcPr>
            <w:tcW w:w="0" w:type="auto"/>
            <w:vAlign w:val="center"/>
          </w:tcPr>
          <w:p w:rsidR="00256ACE" w:rsidRPr="00256ACE" w:rsidP="00256ACE" w14:paraId="7DB63EA6" w14:textId="77777777">
            <w:pPr>
              <w:widowControl/>
              <w:tabs>
                <w:tab w:val="left" w:pos="-1176"/>
              </w:tabs>
              <w:autoSpaceDE/>
              <w:autoSpaceDN/>
              <w:adjustRightInd/>
              <w:spacing w:before="120" w:after="120"/>
              <w:jc w:val="center"/>
              <w:rPr>
                <w:rFonts w:ascii="Arial" w:hAnsi="Arial" w:cs="Arial"/>
                <w:b/>
                <w:sz w:val="16"/>
                <w:szCs w:val="16"/>
              </w:rPr>
            </w:pPr>
            <w:r w:rsidRPr="00256ACE">
              <w:rPr>
                <w:rFonts w:ascii="Arial" w:hAnsi="Arial" w:cs="Arial"/>
                <w:b/>
                <w:bCs/>
                <w:sz w:val="16"/>
                <w:szCs w:val="16"/>
              </w:rPr>
              <w:t>1</w:t>
            </w:r>
          </w:p>
        </w:tc>
        <w:tc>
          <w:tcPr>
            <w:tcW w:w="0" w:type="auto"/>
            <w:vAlign w:val="center"/>
          </w:tcPr>
          <w:p w:rsidR="00256ACE" w:rsidRPr="00256ACE" w:rsidP="00256ACE" w14:paraId="538E6EC0" w14:textId="77777777">
            <w:pPr>
              <w:widowControl/>
              <w:tabs>
                <w:tab w:val="left" w:pos="-1176"/>
              </w:tabs>
              <w:autoSpaceDE/>
              <w:autoSpaceDN/>
              <w:adjustRightInd/>
              <w:spacing w:before="120" w:after="120"/>
              <w:jc w:val="both"/>
              <w:rPr>
                <w:rFonts w:ascii="Arial" w:hAnsi="Arial" w:cs="Arial"/>
                <w:bCs/>
                <w:sz w:val="16"/>
                <w:szCs w:val="16"/>
              </w:rPr>
            </w:pPr>
            <w:r w:rsidRPr="00256ACE">
              <w:rPr>
                <w:rFonts w:ascii="Arial" w:hAnsi="Arial" w:cs="Arial"/>
                <w:bCs/>
                <w:sz w:val="16"/>
                <w:szCs w:val="16"/>
              </w:rPr>
              <w:t>Submission of sequence listings of more than 800MB (undiscounted entity)</w:t>
            </w:r>
          </w:p>
        </w:tc>
        <w:tc>
          <w:tcPr>
            <w:tcW w:w="1246" w:type="dxa"/>
            <w:vAlign w:val="center"/>
          </w:tcPr>
          <w:p w:rsidR="00256ACE" w:rsidRPr="00256ACE" w:rsidP="00256ACE" w14:paraId="1A3B8CC0" w14:textId="77777777">
            <w:pPr>
              <w:widowControl/>
              <w:tabs>
                <w:tab w:val="left" w:pos="-1176"/>
              </w:tabs>
              <w:autoSpaceDE/>
              <w:autoSpaceDN/>
              <w:adjustRightInd/>
              <w:spacing w:before="120" w:after="120"/>
              <w:jc w:val="right"/>
              <w:rPr>
                <w:rFonts w:ascii="Arial" w:hAnsi="Arial" w:cs="Arial"/>
                <w:sz w:val="16"/>
                <w:szCs w:val="16"/>
              </w:rPr>
            </w:pPr>
            <w:r w:rsidRPr="00256ACE">
              <w:rPr>
                <w:rFonts w:ascii="Arial" w:hAnsi="Arial" w:cs="Arial"/>
                <w:bCs/>
                <w:sz w:val="16"/>
                <w:szCs w:val="16"/>
              </w:rPr>
              <w:t>2</w:t>
            </w:r>
          </w:p>
        </w:tc>
        <w:tc>
          <w:tcPr>
            <w:tcW w:w="1251" w:type="dxa"/>
            <w:vAlign w:val="center"/>
          </w:tcPr>
          <w:p w:rsidR="00256ACE" w:rsidRPr="00256ACE" w:rsidP="00256ACE" w14:paraId="799362C9" w14:textId="77777777">
            <w:pPr>
              <w:widowControl/>
              <w:tabs>
                <w:tab w:val="left" w:pos="-1176"/>
              </w:tabs>
              <w:autoSpaceDE/>
              <w:autoSpaceDN/>
              <w:adjustRightInd/>
              <w:spacing w:before="120" w:after="120"/>
              <w:jc w:val="right"/>
              <w:rPr>
                <w:rFonts w:ascii="Arial" w:hAnsi="Arial" w:cs="Arial"/>
                <w:sz w:val="16"/>
                <w:szCs w:val="16"/>
              </w:rPr>
            </w:pPr>
            <w:r w:rsidRPr="00256ACE">
              <w:rPr>
                <w:rFonts w:ascii="Arial" w:hAnsi="Arial" w:cs="Arial"/>
                <w:bCs/>
                <w:sz w:val="16"/>
                <w:szCs w:val="16"/>
              </w:rPr>
              <w:t>$10,500</w:t>
            </w:r>
          </w:p>
        </w:tc>
        <w:tc>
          <w:tcPr>
            <w:tcW w:w="0" w:type="auto"/>
            <w:vAlign w:val="bottom"/>
          </w:tcPr>
          <w:p w:rsidR="00256ACE" w:rsidRPr="00256ACE" w:rsidP="00256ACE" w14:paraId="2641AC56" w14:textId="77777777">
            <w:pPr>
              <w:widowControl/>
              <w:tabs>
                <w:tab w:val="left" w:pos="-1176"/>
              </w:tabs>
              <w:autoSpaceDE/>
              <w:autoSpaceDN/>
              <w:adjustRightInd/>
              <w:spacing w:before="120" w:after="120"/>
              <w:jc w:val="right"/>
              <w:rPr>
                <w:rFonts w:ascii="Arial" w:hAnsi="Arial" w:cs="Arial"/>
                <w:sz w:val="16"/>
                <w:szCs w:val="16"/>
              </w:rPr>
            </w:pPr>
            <w:r w:rsidRPr="00256ACE">
              <w:rPr>
                <w:rFonts w:ascii="Arial" w:hAnsi="Arial" w:cs="Arial"/>
                <w:bCs/>
                <w:color w:val="000000"/>
                <w:sz w:val="16"/>
                <w:szCs w:val="16"/>
              </w:rPr>
              <w:t xml:space="preserve">$21,000 </w:t>
            </w:r>
          </w:p>
        </w:tc>
      </w:tr>
      <w:tr w14:paraId="0F8C6756" w14:textId="77777777" w:rsidTr="00256ACE">
        <w:tblPrEx>
          <w:tblW w:w="0" w:type="auto"/>
          <w:tblInd w:w="311" w:type="dxa"/>
          <w:tblLook w:val="04A0"/>
        </w:tblPrEx>
        <w:tc>
          <w:tcPr>
            <w:tcW w:w="0" w:type="auto"/>
            <w:vAlign w:val="center"/>
          </w:tcPr>
          <w:p w:rsidR="00256ACE" w:rsidRPr="00256ACE" w:rsidP="00256ACE" w14:paraId="1C68CA4F" w14:textId="77777777">
            <w:pPr>
              <w:widowControl/>
              <w:tabs>
                <w:tab w:val="left" w:pos="-1176"/>
              </w:tabs>
              <w:autoSpaceDE/>
              <w:autoSpaceDN/>
              <w:adjustRightInd/>
              <w:spacing w:before="120" w:after="120"/>
              <w:jc w:val="center"/>
              <w:rPr>
                <w:rFonts w:ascii="Arial" w:hAnsi="Arial" w:cs="Arial"/>
                <w:b/>
                <w:sz w:val="16"/>
                <w:szCs w:val="16"/>
              </w:rPr>
            </w:pPr>
            <w:r w:rsidRPr="00256ACE">
              <w:rPr>
                <w:rFonts w:ascii="Arial" w:hAnsi="Arial" w:cs="Arial"/>
                <w:b/>
                <w:bCs/>
                <w:sz w:val="16"/>
                <w:szCs w:val="16"/>
              </w:rPr>
              <w:t>1</w:t>
            </w:r>
          </w:p>
        </w:tc>
        <w:tc>
          <w:tcPr>
            <w:tcW w:w="0" w:type="auto"/>
            <w:vAlign w:val="center"/>
          </w:tcPr>
          <w:p w:rsidR="00256ACE" w:rsidRPr="00256ACE" w:rsidP="00256ACE" w14:paraId="7B25E8BA" w14:textId="77777777">
            <w:pPr>
              <w:widowControl/>
              <w:tabs>
                <w:tab w:val="left" w:pos="-1176"/>
              </w:tabs>
              <w:autoSpaceDE/>
              <w:autoSpaceDN/>
              <w:adjustRightInd/>
              <w:spacing w:before="120" w:after="120"/>
              <w:jc w:val="both"/>
              <w:rPr>
                <w:rFonts w:ascii="Arial" w:hAnsi="Arial" w:cs="Arial"/>
                <w:bCs/>
                <w:sz w:val="16"/>
                <w:szCs w:val="16"/>
              </w:rPr>
            </w:pPr>
            <w:r w:rsidRPr="00256ACE">
              <w:rPr>
                <w:rFonts w:ascii="Arial" w:hAnsi="Arial" w:cs="Arial"/>
                <w:bCs/>
                <w:sz w:val="16"/>
                <w:szCs w:val="16"/>
              </w:rPr>
              <w:t>Submission of sequence listings of more than 800MB (small entity)</w:t>
            </w:r>
          </w:p>
        </w:tc>
        <w:tc>
          <w:tcPr>
            <w:tcW w:w="1246" w:type="dxa"/>
            <w:vAlign w:val="center"/>
          </w:tcPr>
          <w:p w:rsidR="00256ACE" w:rsidRPr="00256ACE" w:rsidP="00256ACE" w14:paraId="785E11F7" w14:textId="77777777">
            <w:pPr>
              <w:widowControl/>
              <w:tabs>
                <w:tab w:val="left" w:pos="-1176"/>
              </w:tabs>
              <w:autoSpaceDE/>
              <w:autoSpaceDN/>
              <w:adjustRightInd/>
              <w:spacing w:before="120" w:after="120"/>
              <w:jc w:val="right"/>
              <w:rPr>
                <w:rFonts w:ascii="Arial" w:hAnsi="Arial" w:cs="Arial"/>
                <w:sz w:val="16"/>
                <w:szCs w:val="16"/>
              </w:rPr>
            </w:pPr>
            <w:r w:rsidRPr="00256ACE">
              <w:rPr>
                <w:rFonts w:ascii="Arial" w:hAnsi="Arial" w:cs="Arial"/>
                <w:bCs/>
                <w:sz w:val="16"/>
                <w:szCs w:val="16"/>
              </w:rPr>
              <w:t>1</w:t>
            </w:r>
          </w:p>
        </w:tc>
        <w:tc>
          <w:tcPr>
            <w:tcW w:w="1251" w:type="dxa"/>
            <w:vAlign w:val="center"/>
          </w:tcPr>
          <w:p w:rsidR="00256ACE" w:rsidRPr="00256ACE" w:rsidP="00256ACE" w14:paraId="4BE42E3C" w14:textId="77777777">
            <w:pPr>
              <w:widowControl/>
              <w:tabs>
                <w:tab w:val="left" w:pos="-1176"/>
              </w:tabs>
              <w:autoSpaceDE/>
              <w:autoSpaceDN/>
              <w:adjustRightInd/>
              <w:spacing w:before="120" w:after="120"/>
              <w:jc w:val="right"/>
              <w:rPr>
                <w:rFonts w:ascii="Arial" w:hAnsi="Arial" w:cs="Arial"/>
                <w:sz w:val="16"/>
                <w:szCs w:val="16"/>
              </w:rPr>
            </w:pPr>
            <w:r w:rsidRPr="00256ACE">
              <w:rPr>
                <w:rFonts w:ascii="Arial" w:hAnsi="Arial" w:cs="Arial"/>
                <w:bCs/>
                <w:sz w:val="16"/>
                <w:szCs w:val="16"/>
              </w:rPr>
              <w:t>$5,250</w:t>
            </w:r>
          </w:p>
        </w:tc>
        <w:tc>
          <w:tcPr>
            <w:tcW w:w="0" w:type="auto"/>
            <w:vAlign w:val="bottom"/>
          </w:tcPr>
          <w:p w:rsidR="00256ACE" w:rsidRPr="00256ACE" w:rsidP="00256ACE" w14:paraId="0BCE973B" w14:textId="77777777">
            <w:pPr>
              <w:widowControl/>
              <w:tabs>
                <w:tab w:val="left" w:pos="-1176"/>
              </w:tabs>
              <w:autoSpaceDE/>
              <w:autoSpaceDN/>
              <w:adjustRightInd/>
              <w:spacing w:before="120" w:after="120"/>
              <w:jc w:val="right"/>
              <w:rPr>
                <w:rFonts w:ascii="Arial" w:hAnsi="Arial" w:cs="Arial"/>
                <w:sz w:val="16"/>
                <w:szCs w:val="16"/>
              </w:rPr>
            </w:pPr>
            <w:r w:rsidRPr="00256ACE">
              <w:rPr>
                <w:rFonts w:ascii="Arial" w:hAnsi="Arial" w:cs="Arial"/>
                <w:bCs/>
                <w:color w:val="000000"/>
                <w:sz w:val="16"/>
                <w:szCs w:val="16"/>
              </w:rPr>
              <w:t xml:space="preserve">$5,250 </w:t>
            </w:r>
          </w:p>
        </w:tc>
      </w:tr>
      <w:tr w14:paraId="7236D8B1" w14:textId="77777777" w:rsidTr="00256ACE">
        <w:tblPrEx>
          <w:tblW w:w="0" w:type="auto"/>
          <w:tblInd w:w="311" w:type="dxa"/>
          <w:tblLook w:val="04A0"/>
        </w:tblPrEx>
        <w:tc>
          <w:tcPr>
            <w:tcW w:w="0" w:type="auto"/>
            <w:vAlign w:val="center"/>
          </w:tcPr>
          <w:p w:rsidR="00256ACE" w:rsidRPr="00256ACE" w:rsidP="00256ACE" w14:paraId="18650ADD" w14:textId="77777777">
            <w:pPr>
              <w:widowControl/>
              <w:tabs>
                <w:tab w:val="left" w:pos="-1176"/>
              </w:tabs>
              <w:autoSpaceDE/>
              <w:autoSpaceDN/>
              <w:adjustRightInd/>
              <w:spacing w:before="120" w:after="120"/>
              <w:jc w:val="center"/>
              <w:rPr>
                <w:rFonts w:ascii="Arial" w:hAnsi="Arial" w:cs="Arial"/>
                <w:b/>
                <w:sz w:val="16"/>
                <w:szCs w:val="16"/>
              </w:rPr>
            </w:pPr>
            <w:r w:rsidRPr="00256ACE">
              <w:rPr>
                <w:rFonts w:ascii="Arial" w:hAnsi="Arial" w:cs="Arial"/>
                <w:b/>
                <w:bCs/>
                <w:sz w:val="16"/>
                <w:szCs w:val="16"/>
              </w:rPr>
              <w:t>1</w:t>
            </w:r>
          </w:p>
        </w:tc>
        <w:tc>
          <w:tcPr>
            <w:tcW w:w="0" w:type="auto"/>
            <w:vAlign w:val="center"/>
          </w:tcPr>
          <w:p w:rsidR="00256ACE" w:rsidRPr="00256ACE" w:rsidP="00256ACE" w14:paraId="775E71BC" w14:textId="77777777">
            <w:pPr>
              <w:widowControl/>
              <w:tabs>
                <w:tab w:val="left" w:pos="-1176"/>
              </w:tabs>
              <w:autoSpaceDE/>
              <w:autoSpaceDN/>
              <w:adjustRightInd/>
              <w:spacing w:before="120" w:after="120"/>
              <w:jc w:val="both"/>
              <w:rPr>
                <w:rFonts w:ascii="Arial" w:hAnsi="Arial" w:cs="Arial"/>
                <w:bCs/>
                <w:sz w:val="16"/>
                <w:szCs w:val="16"/>
              </w:rPr>
            </w:pPr>
            <w:r w:rsidRPr="00256ACE">
              <w:rPr>
                <w:rFonts w:ascii="Arial" w:hAnsi="Arial" w:cs="Arial"/>
                <w:bCs/>
                <w:sz w:val="16"/>
                <w:szCs w:val="16"/>
              </w:rPr>
              <w:t>Submission of sequence listings of more than 800MB (micro entity)</w:t>
            </w:r>
          </w:p>
        </w:tc>
        <w:tc>
          <w:tcPr>
            <w:tcW w:w="1246" w:type="dxa"/>
            <w:vAlign w:val="center"/>
          </w:tcPr>
          <w:p w:rsidR="00256ACE" w:rsidRPr="00256ACE" w:rsidP="00256ACE" w14:paraId="7D3E3500" w14:textId="77777777">
            <w:pPr>
              <w:widowControl/>
              <w:tabs>
                <w:tab w:val="left" w:pos="-1176"/>
              </w:tabs>
              <w:autoSpaceDE/>
              <w:autoSpaceDN/>
              <w:adjustRightInd/>
              <w:spacing w:before="120" w:after="120"/>
              <w:jc w:val="right"/>
              <w:rPr>
                <w:rFonts w:ascii="Arial" w:hAnsi="Arial" w:cs="Arial"/>
                <w:sz w:val="16"/>
                <w:szCs w:val="16"/>
              </w:rPr>
            </w:pPr>
            <w:r w:rsidRPr="00256ACE">
              <w:rPr>
                <w:rFonts w:ascii="Arial" w:hAnsi="Arial" w:cs="Arial"/>
                <w:bCs/>
                <w:sz w:val="16"/>
                <w:szCs w:val="16"/>
              </w:rPr>
              <w:t>1</w:t>
            </w:r>
          </w:p>
        </w:tc>
        <w:tc>
          <w:tcPr>
            <w:tcW w:w="1251" w:type="dxa"/>
            <w:vAlign w:val="center"/>
          </w:tcPr>
          <w:p w:rsidR="00256ACE" w:rsidRPr="00256ACE" w:rsidP="00256ACE" w14:paraId="56843D01" w14:textId="77777777">
            <w:pPr>
              <w:widowControl/>
              <w:tabs>
                <w:tab w:val="left" w:pos="-1176"/>
              </w:tabs>
              <w:autoSpaceDE/>
              <w:autoSpaceDN/>
              <w:adjustRightInd/>
              <w:spacing w:before="120" w:after="120"/>
              <w:jc w:val="right"/>
              <w:rPr>
                <w:rFonts w:ascii="Arial" w:hAnsi="Arial" w:cs="Arial"/>
                <w:sz w:val="16"/>
                <w:szCs w:val="16"/>
              </w:rPr>
            </w:pPr>
            <w:r w:rsidRPr="00256ACE">
              <w:rPr>
                <w:rFonts w:ascii="Arial" w:hAnsi="Arial" w:cs="Arial"/>
                <w:bCs/>
                <w:sz w:val="16"/>
                <w:szCs w:val="16"/>
              </w:rPr>
              <w:t>$2,625</w:t>
            </w:r>
          </w:p>
        </w:tc>
        <w:tc>
          <w:tcPr>
            <w:tcW w:w="0" w:type="auto"/>
            <w:vAlign w:val="bottom"/>
          </w:tcPr>
          <w:p w:rsidR="00256ACE" w:rsidRPr="00256ACE" w:rsidP="00256ACE" w14:paraId="2A2540E2" w14:textId="77777777">
            <w:pPr>
              <w:widowControl/>
              <w:tabs>
                <w:tab w:val="left" w:pos="-1176"/>
              </w:tabs>
              <w:autoSpaceDE/>
              <w:autoSpaceDN/>
              <w:adjustRightInd/>
              <w:spacing w:before="120" w:after="120"/>
              <w:jc w:val="right"/>
              <w:rPr>
                <w:rFonts w:ascii="Arial" w:hAnsi="Arial" w:cs="Arial"/>
                <w:sz w:val="16"/>
                <w:szCs w:val="16"/>
              </w:rPr>
            </w:pPr>
            <w:r w:rsidRPr="00256ACE">
              <w:rPr>
                <w:rFonts w:ascii="Arial" w:hAnsi="Arial" w:cs="Arial"/>
                <w:bCs/>
                <w:color w:val="000000"/>
                <w:sz w:val="16"/>
                <w:szCs w:val="16"/>
              </w:rPr>
              <w:t xml:space="preserve">$2,625 </w:t>
            </w:r>
          </w:p>
        </w:tc>
      </w:tr>
      <w:tr w14:paraId="62ADE5BD" w14:textId="77777777" w:rsidTr="00256ACE">
        <w:tblPrEx>
          <w:tblW w:w="0" w:type="auto"/>
          <w:tblInd w:w="311" w:type="dxa"/>
          <w:tblLook w:val="04A0"/>
        </w:tblPrEx>
        <w:tc>
          <w:tcPr>
            <w:tcW w:w="0" w:type="auto"/>
            <w:vAlign w:val="center"/>
          </w:tcPr>
          <w:p w:rsidR="00256ACE" w:rsidRPr="00256ACE" w:rsidP="00256ACE" w14:paraId="3D240027" w14:textId="77777777">
            <w:pPr>
              <w:widowControl/>
              <w:tabs>
                <w:tab w:val="left" w:pos="-1176"/>
              </w:tabs>
              <w:autoSpaceDE/>
              <w:autoSpaceDN/>
              <w:adjustRightInd/>
              <w:spacing w:before="120" w:after="120"/>
              <w:jc w:val="center"/>
              <w:rPr>
                <w:rFonts w:ascii="Arial" w:hAnsi="Arial" w:cs="Arial"/>
                <w:b/>
                <w:sz w:val="16"/>
                <w:szCs w:val="16"/>
              </w:rPr>
            </w:pPr>
            <w:r w:rsidRPr="00256ACE">
              <w:rPr>
                <w:rFonts w:ascii="Arial" w:hAnsi="Arial" w:cs="Arial"/>
                <w:b/>
                <w:bCs/>
                <w:sz w:val="16"/>
                <w:szCs w:val="16"/>
              </w:rPr>
              <w:t>1</w:t>
            </w:r>
          </w:p>
        </w:tc>
        <w:tc>
          <w:tcPr>
            <w:tcW w:w="0" w:type="auto"/>
            <w:vAlign w:val="center"/>
          </w:tcPr>
          <w:p w:rsidR="00256ACE" w:rsidRPr="00256ACE" w:rsidP="00256ACE" w14:paraId="2926A9C4" w14:textId="77777777">
            <w:pPr>
              <w:widowControl/>
              <w:tabs>
                <w:tab w:val="left" w:pos="-1176"/>
              </w:tabs>
              <w:autoSpaceDE/>
              <w:autoSpaceDN/>
              <w:adjustRightInd/>
              <w:spacing w:before="120" w:after="120"/>
              <w:rPr>
                <w:rFonts w:ascii="Arial" w:hAnsi="Arial" w:cs="Arial"/>
                <w:bCs/>
                <w:sz w:val="16"/>
                <w:szCs w:val="16"/>
              </w:rPr>
            </w:pPr>
            <w:r w:rsidRPr="00256ACE">
              <w:rPr>
                <w:rFonts w:ascii="Arial" w:hAnsi="Arial" w:cs="Arial"/>
                <w:bCs/>
                <w:sz w:val="16"/>
                <w:szCs w:val="16"/>
              </w:rPr>
              <w:t>Late Furnishing Fee for Providing a Sequence Listing in Response to an Invitation Under PCT Rule 13</w:t>
            </w:r>
            <w:r w:rsidRPr="00256ACE">
              <w:rPr>
                <w:rFonts w:ascii="Arial" w:hAnsi="Arial" w:cs="Arial"/>
                <w:bCs/>
                <w:i/>
                <w:sz w:val="16"/>
                <w:szCs w:val="16"/>
              </w:rPr>
              <w:t>ter</w:t>
            </w:r>
            <w:r w:rsidRPr="00256ACE">
              <w:rPr>
                <w:rFonts w:ascii="Arial" w:hAnsi="Arial" w:cs="Arial"/>
                <w:bCs/>
                <w:sz w:val="16"/>
                <w:szCs w:val="16"/>
              </w:rPr>
              <w:t xml:space="preserve"> (undiscounted entity)</w:t>
            </w:r>
          </w:p>
        </w:tc>
        <w:tc>
          <w:tcPr>
            <w:tcW w:w="1246" w:type="dxa"/>
            <w:vAlign w:val="center"/>
          </w:tcPr>
          <w:p w:rsidR="00256ACE" w:rsidRPr="00256ACE" w:rsidP="00256ACE" w14:paraId="4B4B96A0" w14:textId="77777777">
            <w:pPr>
              <w:widowControl/>
              <w:tabs>
                <w:tab w:val="left" w:pos="-1176"/>
              </w:tabs>
              <w:autoSpaceDE/>
              <w:autoSpaceDN/>
              <w:adjustRightInd/>
              <w:spacing w:before="120" w:after="120"/>
              <w:jc w:val="right"/>
              <w:rPr>
                <w:rFonts w:ascii="Arial" w:hAnsi="Arial" w:cs="Arial"/>
                <w:sz w:val="16"/>
                <w:szCs w:val="16"/>
              </w:rPr>
            </w:pPr>
            <w:r w:rsidRPr="00256ACE">
              <w:rPr>
                <w:rFonts w:ascii="Arial" w:hAnsi="Arial" w:cs="Arial"/>
                <w:bCs/>
                <w:sz w:val="16"/>
                <w:szCs w:val="16"/>
              </w:rPr>
              <w:t>215</w:t>
            </w:r>
          </w:p>
        </w:tc>
        <w:tc>
          <w:tcPr>
            <w:tcW w:w="1251" w:type="dxa"/>
            <w:vAlign w:val="center"/>
          </w:tcPr>
          <w:p w:rsidR="00256ACE" w:rsidRPr="00256ACE" w:rsidP="00256ACE" w14:paraId="2DDE4A79" w14:textId="77777777">
            <w:pPr>
              <w:widowControl/>
              <w:tabs>
                <w:tab w:val="left" w:pos="-1176"/>
              </w:tabs>
              <w:autoSpaceDE/>
              <w:autoSpaceDN/>
              <w:adjustRightInd/>
              <w:spacing w:before="120" w:after="120"/>
              <w:jc w:val="right"/>
              <w:rPr>
                <w:rFonts w:ascii="Arial" w:hAnsi="Arial" w:cs="Arial"/>
                <w:sz w:val="16"/>
                <w:szCs w:val="16"/>
              </w:rPr>
            </w:pPr>
            <w:r w:rsidRPr="00256ACE">
              <w:rPr>
                <w:rFonts w:ascii="Arial" w:hAnsi="Arial" w:cs="Arial"/>
                <w:bCs/>
                <w:sz w:val="16"/>
                <w:szCs w:val="16"/>
              </w:rPr>
              <w:t>$320</w:t>
            </w:r>
          </w:p>
        </w:tc>
        <w:tc>
          <w:tcPr>
            <w:tcW w:w="0" w:type="auto"/>
            <w:vAlign w:val="bottom"/>
          </w:tcPr>
          <w:p w:rsidR="00256ACE" w:rsidRPr="00256ACE" w:rsidP="00256ACE" w14:paraId="43DBCF56" w14:textId="77777777">
            <w:pPr>
              <w:widowControl/>
              <w:tabs>
                <w:tab w:val="left" w:pos="-1176"/>
              </w:tabs>
              <w:autoSpaceDE/>
              <w:autoSpaceDN/>
              <w:adjustRightInd/>
              <w:spacing w:before="120" w:after="120"/>
              <w:jc w:val="right"/>
              <w:rPr>
                <w:rFonts w:ascii="Arial" w:hAnsi="Arial" w:cs="Arial"/>
                <w:sz w:val="16"/>
                <w:szCs w:val="16"/>
              </w:rPr>
            </w:pPr>
            <w:r w:rsidRPr="00256ACE">
              <w:rPr>
                <w:rFonts w:ascii="Arial" w:hAnsi="Arial" w:cs="Arial"/>
                <w:bCs/>
                <w:color w:val="000000"/>
                <w:sz w:val="16"/>
                <w:szCs w:val="16"/>
              </w:rPr>
              <w:t xml:space="preserve">$68,800 </w:t>
            </w:r>
          </w:p>
        </w:tc>
      </w:tr>
      <w:tr w14:paraId="3F99F4FB" w14:textId="77777777" w:rsidTr="00256ACE">
        <w:tblPrEx>
          <w:tblW w:w="0" w:type="auto"/>
          <w:tblInd w:w="311" w:type="dxa"/>
          <w:tblLook w:val="04A0"/>
        </w:tblPrEx>
        <w:tc>
          <w:tcPr>
            <w:tcW w:w="0" w:type="auto"/>
            <w:vAlign w:val="center"/>
          </w:tcPr>
          <w:p w:rsidR="00256ACE" w:rsidRPr="00256ACE" w:rsidP="00256ACE" w14:paraId="44537926" w14:textId="77777777">
            <w:pPr>
              <w:widowControl/>
              <w:tabs>
                <w:tab w:val="left" w:pos="-1176"/>
              </w:tabs>
              <w:autoSpaceDE/>
              <w:autoSpaceDN/>
              <w:adjustRightInd/>
              <w:spacing w:before="120" w:after="120"/>
              <w:jc w:val="center"/>
              <w:rPr>
                <w:rFonts w:ascii="Arial" w:hAnsi="Arial" w:cs="Arial"/>
                <w:b/>
                <w:sz w:val="16"/>
                <w:szCs w:val="16"/>
              </w:rPr>
            </w:pPr>
            <w:r w:rsidRPr="00256ACE">
              <w:rPr>
                <w:rFonts w:ascii="Arial" w:hAnsi="Arial" w:cs="Arial"/>
                <w:b/>
                <w:bCs/>
                <w:sz w:val="16"/>
                <w:szCs w:val="16"/>
              </w:rPr>
              <w:t>1</w:t>
            </w:r>
          </w:p>
        </w:tc>
        <w:tc>
          <w:tcPr>
            <w:tcW w:w="0" w:type="auto"/>
            <w:vAlign w:val="center"/>
          </w:tcPr>
          <w:p w:rsidR="00256ACE" w:rsidRPr="00256ACE" w:rsidP="00256ACE" w14:paraId="515B7973" w14:textId="77777777">
            <w:pPr>
              <w:widowControl/>
              <w:tabs>
                <w:tab w:val="left" w:pos="-1176"/>
              </w:tabs>
              <w:autoSpaceDE/>
              <w:autoSpaceDN/>
              <w:adjustRightInd/>
              <w:spacing w:before="120" w:after="120"/>
              <w:jc w:val="both"/>
              <w:rPr>
                <w:rFonts w:ascii="Arial" w:hAnsi="Arial" w:cs="Arial"/>
                <w:bCs/>
                <w:sz w:val="16"/>
                <w:szCs w:val="16"/>
              </w:rPr>
            </w:pPr>
            <w:r w:rsidRPr="00256ACE">
              <w:rPr>
                <w:rFonts w:ascii="Arial" w:hAnsi="Arial" w:cs="Arial"/>
                <w:bCs/>
                <w:sz w:val="16"/>
                <w:szCs w:val="16"/>
              </w:rPr>
              <w:t>Late Furnishing Fee for Providing a Sequence Listing in Response to an Invitation Under PCT Rule 13</w:t>
            </w:r>
            <w:r w:rsidRPr="00256ACE">
              <w:rPr>
                <w:rFonts w:ascii="Arial" w:hAnsi="Arial" w:cs="Arial"/>
                <w:bCs/>
                <w:i/>
                <w:sz w:val="16"/>
                <w:szCs w:val="16"/>
              </w:rPr>
              <w:t>ter</w:t>
            </w:r>
            <w:r w:rsidRPr="00256ACE">
              <w:rPr>
                <w:rFonts w:ascii="Arial" w:hAnsi="Arial" w:cs="Arial"/>
                <w:bCs/>
                <w:sz w:val="16"/>
                <w:szCs w:val="16"/>
              </w:rPr>
              <w:t xml:space="preserve"> (small entity)</w:t>
            </w:r>
          </w:p>
        </w:tc>
        <w:tc>
          <w:tcPr>
            <w:tcW w:w="1246" w:type="dxa"/>
            <w:vAlign w:val="center"/>
          </w:tcPr>
          <w:p w:rsidR="00256ACE" w:rsidRPr="00256ACE" w:rsidP="00256ACE" w14:paraId="3D4F1807" w14:textId="77777777">
            <w:pPr>
              <w:widowControl/>
              <w:tabs>
                <w:tab w:val="left" w:pos="-1176"/>
              </w:tabs>
              <w:autoSpaceDE/>
              <w:autoSpaceDN/>
              <w:adjustRightInd/>
              <w:spacing w:before="120" w:after="120"/>
              <w:jc w:val="right"/>
              <w:rPr>
                <w:rFonts w:ascii="Arial" w:hAnsi="Arial" w:cs="Arial"/>
                <w:sz w:val="16"/>
                <w:szCs w:val="16"/>
              </w:rPr>
            </w:pPr>
            <w:r w:rsidRPr="00256ACE">
              <w:rPr>
                <w:rFonts w:ascii="Arial" w:hAnsi="Arial" w:cs="Arial"/>
                <w:bCs/>
                <w:sz w:val="16"/>
                <w:szCs w:val="16"/>
              </w:rPr>
              <w:t>700</w:t>
            </w:r>
          </w:p>
        </w:tc>
        <w:tc>
          <w:tcPr>
            <w:tcW w:w="1251" w:type="dxa"/>
            <w:vAlign w:val="center"/>
          </w:tcPr>
          <w:p w:rsidR="00256ACE" w:rsidRPr="00256ACE" w:rsidP="00256ACE" w14:paraId="1E59A9EC" w14:textId="77777777">
            <w:pPr>
              <w:widowControl/>
              <w:tabs>
                <w:tab w:val="left" w:pos="-1176"/>
              </w:tabs>
              <w:autoSpaceDE/>
              <w:autoSpaceDN/>
              <w:adjustRightInd/>
              <w:spacing w:before="120" w:after="120"/>
              <w:jc w:val="right"/>
              <w:rPr>
                <w:rFonts w:ascii="Arial" w:hAnsi="Arial" w:cs="Arial"/>
                <w:sz w:val="16"/>
                <w:szCs w:val="16"/>
              </w:rPr>
            </w:pPr>
            <w:r w:rsidRPr="00256ACE">
              <w:rPr>
                <w:rFonts w:ascii="Arial" w:hAnsi="Arial" w:cs="Arial"/>
                <w:bCs/>
                <w:sz w:val="16"/>
                <w:szCs w:val="16"/>
              </w:rPr>
              <w:t>$160</w:t>
            </w:r>
          </w:p>
        </w:tc>
        <w:tc>
          <w:tcPr>
            <w:tcW w:w="0" w:type="auto"/>
            <w:vAlign w:val="bottom"/>
          </w:tcPr>
          <w:p w:rsidR="00256ACE" w:rsidRPr="00256ACE" w:rsidP="00256ACE" w14:paraId="70D8935B" w14:textId="77777777">
            <w:pPr>
              <w:widowControl/>
              <w:tabs>
                <w:tab w:val="left" w:pos="-1176"/>
              </w:tabs>
              <w:autoSpaceDE/>
              <w:autoSpaceDN/>
              <w:adjustRightInd/>
              <w:spacing w:before="120" w:after="120"/>
              <w:jc w:val="right"/>
              <w:rPr>
                <w:rFonts w:ascii="Arial" w:hAnsi="Arial" w:cs="Arial"/>
                <w:sz w:val="16"/>
                <w:szCs w:val="16"/>
              </w:rPr>
            </w:pPr>
            <w:r w:rsidRPr="00256ACE">
              <w:rPr>
                <w:rFonts w:ascii="Arial" w:hAnsi="Arial" w:cs="Arial"/>
                <w:bCs/>
                <w:color w:val="000000"/>
                <w:sz w:val="16"/>
                <w:szCs w:val="16"/>
              </w:rPr>
              <w:t xml:space="preserve">$112,000 </w:t>
            </w:r>
          </w:p>
        </w:tc>
      </w:tr>
      <w:tr w14:paraId="00648FD5" w14:textId="77777777" w:rsidTr="00256ACE">
        <w:tblPrEx>
          <w:tblW w:w="0" w:type="auto"/>
          <w:tblInd w:w="311" w:type="dxa"/>
          <w:tblLook w:val="04A0"/>
        </w:tblPrEx>
        <w:tc>
          <w:tcPr>
            <w:tcW w:w="0" w:type="auto"/>
            <w:vAlign w:val="center"/>
          </w:tcPr>
          <w:p w:rsidR="00256ACE" w:rsidRPr="00256ACE" w:rsidP="00256ACE" w14:paraId="105822D2" w14:textId="77777777">
            <w:pPr>
              <w:widowControl/>
              <w:tabs>
                <w:tab w:val="left" w:pos="-1176"/>
              </w:tabs>
              <w:autoSpaceDE/>
              <w:autoSpaceDN/>
              <w:adjustRightInd/>
              <w:spacing w:before="120" w:after="120"/>
              <w:jc w:val="center"/>
              <w:rPr>
                <w:rFonts w:ascii="Arial" w:hAnsi="Arial" w:cs="Arial"/>
                <w:b/>
                <w:sz w:val="16"/>
                <w:szCs w:val="16"/>
              </w:rPr>
            </w:pPr>
            <w:r w:rsidRPr="00256ACE">
              <w:rPr>
                <w:rFonts w:ascii="Arial" w:hAnsi="Arial" w:cs="Arial"/>
                <w:b/>
                <w:bCs/>
                <w:sz w:val="16"/>
                <w:szCs w:val="16"/>
              </w:rPr>
              <w:t>1</w:t>
            </w:r>
          </w:p>
        </w:tc>
        <w:tc>
          <w:tcPr>
            <w:tcW w:w="0" w:type="auto"/>
            <w:vAlign w:val="center"/>
          </w:tcPr>
          <w:p w:rsidR="00256ACE" w:rsidRPr="00256ACE" w:rsidP="00256ACE" w14:paraId="203C7967" w14:textId="77777777">
            <w:pPr>
              <w:widowControl/>
              <w:tabs>
                <w:tab w:val="left" w:pos="-1176"/>
              </w:tabs>
              <w:autoSpaceDE/>
              <w:autoSpaceDN/>
              <w:adjustRightInd/>
              <w:spacing w:before="120" w:after="120"/>
              <w:jc w:val="both"/>
              <w:rPr>
                <w:rFonts w:ascii="Arial" w:hAnsi="Arial" w:cs="Arial"/>
                <w:bCs/>
                <w:sz w:val="16"/>
                <w:szCs w:val="16"/>
              </w:rPr>
            </w:pPr>
            <w:r w:rsidRPr="00256ACE">
              <w:rPr>
                <w:rFonts w:ascii="Arial" w:hAnsi="Arial" w:cs="Arial"/>
                <w:bCs/>
                <w:sz w:val="16"/>
                <w:szCs w:val="16"/>
              </w:rPr>
              <w:t>Late Furnishing Fee for Providing a Sequence Listing in Response to an Invitation Under PCT Rule 13</w:t>
            </w:r>
            <w:r w:rsidRPr="00256ACE">
              <w:rPr>
                <w:rFonts w:ascii="Arial" w:hAnsi="Arial" w:cs="Arial"/>
                <w:bCs/>
                <w:i/>
                <w:sz w:val="16"/>
                <w:szCs w:val="16"/>
              </w:rPr>
              <w:t>ter</w:t>
            </w:r>
            <w:r w:rsidRPr="00256ACE">
              <w:rPr>
                <w:rFonts w:ascii="Arial" w:hAnsi="Arial" w:cs="Arial"/>
                <w:bCs/>
                <w:sz w:val="16"/>
                <w:szCs w:val="16"/>
              </w:rPr>
              <w:t xml:space="preserve"> (micro entity)</w:t>
            </w:r>
          </w:p>
        </w:tc>
        <w:tc>
          <w:tcPr>
            <w:tcW w:w="1246" w:type="dxa"/>
            <w:vAlign w:val="center"/>
          </w:tcPr>
          <w:p w:rsidR="00256ACE" w:rsidRPr="00256ACE" w:rsidP="00256ACE" w14:paraId="4B0A3737" w14:textId="77777777">
            <w:pPr>
              <w:widowControl/>
              <w:tabs>
                <w:tab w:val="left" w:pos="-1176"/>
              </w:tabs>
              <w:autoSpaceDE/>
              <w:autoSpaceDN/>
              <w:adjustRightInd/>
              <w:spacing w:before="120" w:after="120"/>
              <w:jc w:val="right"/>
              <w:rPr>
                <w:rFonts w:ascii="Arial" w:hAnsi="Arial" w:cs="Arial"/>
                <w:bCs/>
                <w:sz w:val="16"/>
                <w:szCs w:val="16"/>
              </w:rPr>
            </w:pPr>
            <w:r w:rsidRPr="00256ACE">
              <w:rPr>
                <w:rFonts w:ascii="Arial" w:hAnsi="Arial" w:cs="Arial"/>
                <w:bCs/>
                <w:sz w:val="16"/>
                <w:szCs w:val="16"/>
              </w:rPr>
              <w:t>8</w:t>
            </w:r>
          </w:p>
        </w:tc>
        <w:tc>
          <w:tcPr>
            <w:tcW w:w="1251" w:type="dxa"/>
            <w:vAlign w:val="center"/>
          </w:tcPr>
          <w:p w:rsidR="00256ACE" w:rsidRPr="00256ACE" w:rsidP="00256ACE" w14:paraId="61F507CE" w14:textId="77777777">
            <w:pPr>
              <w:widowControl/>
              <w:tabs>
                <w:tab w:val="left" w:pos="-1176"/>
              </w:tabs>
              <w:autoSpaceDE/>
              <w:autoSpaceDN/>
              <w:adjustRightInd/>
              <w:spacing w:before="120" w:after="120"/>
              <w:jc w:val="right"/>
              <w:rPr>
                <w:rFonts w:ascii="Arial" w:hAnsi="Arial" w:cs="Arial"/>
                <w:sz w:val="16"/>
                <w:szCs w:val="16"/>
              </w:rPr>
            </w:pPr>
            <w:r w:rsidRPr="00256ACE">
              <w:rPr>
                <w:rFonts w:ascii="Arial" w:hAnsi="Arial" w:cs="Arial"/>
                <w:bCs/>
                <w:sz w:val="16"/>
                <w:szCs w:val="16"/>
              </w:rPr>
              <w:t>$80</w:t>
            </w:r>
          </w:p>
        </w:tc>
        <w:tc>
          <w:tcPr>
            <w:tcW w:w="0" w:type="auto"/>
            <w:vAlign w:val="bottom"/>
          </w:tcPr>
          <w:p w:rsidR="00256ACE" w:rsidRPr="00256ACE" w:rsidP="00256ACE" w14:paraId="103946FA" w14:textId="77777777">
            <w:pPr>
              <w:widowControl/>
              <w:tabs>
                <w:tab w:val="left" w:pos="-1176"/>
              </w:tabs>
              <w:autoSpaceDE/>
              <w:autoSpaceDN/>
              <w:adjustRightInd/>
              <w:spacing w:before="120" w:after="120"/>
              <w:jc w:val="right"/>
              <w:rPr>
                <w:rFonts w:ascii="Arial" w:hAnsi="Arial" w:cs="Arial"/>
                <w:sz w:val="16"/>
                <w:szCs w:val="16"/>
              </w:rPr>
            </w:pPr>
            <w:r w:rsidRPr="00256ACE">
              <w:rPr>
                <w:rFonts w:ascii="Arial" w:hAnsi="Arial" w:cs="Arial"/>
                <w:bCs/>
                <w:color w:val="000000"/>
                <w:sz w:val="16"/>
                <w:szCs w:val="16"/>
              </w:rPr>
              <w:t xml:space="preserve">$640 </w:t>
            </w:r>
          </w:p>
        </w:tc>
      </w:tr>
      <w:tr w14:paraId="45F2FD25" w14:textId="77777777" w:rsidTr="00256ACE">
        <w:tblPrEx>
          <w:tblW w:w="0" w:type="auto"/>
          <w:tblInd w:w="311" w:type="dxa"/>
          <w:tblLook w:val="04A0"/>
        </w:tblPrEx>
        <w:tc>
          <w:tcPr>
            <w:tcW w:w="0" w:type="auto"/>
            <w:vAlign w:val="center"/>
          </w:tcPr>
          <w:p w:rsidR="00256ACE" w:rsidRPr="00256ACE" w:rsidP="00256ACE" w14:paraId="2CEE9BE6" w14:textId="77777777">
            <w:pPr>
              <w:widowControl/>
              <w:tabs>
                <w:tab w:val="left" w:pos="-1176"/>
              </w:tabs>
              <w:autoSpaceDE/>
              <w:autoSpaceDN/>
              <w:adjustRightInd/>
              <w:spacing w:before="120" w:after="120"/>
              <w:jc w:val="center"/>
              <w:rPr>
                <w:rFonts w:ascii="Arial" w:hAnsi="Arial" w:cs="Arial"/>
                <w:b/>
                <w:sz w:val="16"/>
                <w:szCs w:val="16"/>
              </w:rPr>
            </w:pPr>
          </w:p>
        </w:tc>
        <w:tc>
          <w:tcPr>
            <w:tcW w:w="0" w:type="auto"/>
            <w:vAlign w:val="center"/>
          </w:tcPr>
          <w:p w:rsidR="00256ACE" w:rsidRPr="00256ACE" w:rsidP="00256ACE" w14:paraId="58DF7EE7" w14:textId="77777777">
            <w:pPr>
              <w:widowControl/>
              <w:tabs>
                <w:tab w:val="left" w:pos="-1176"/>
              </w:tabs>
              <w:autoSpaceDE/>
              <w:autoSpaceDN/>
              <w:adjustRightInd/>
              <w:spacing w:before="120" w:after="120"/>
              <w:jc w:val="both"/>
              <w:rPr>
                <w:rFonts w:ascii="Arial" w:hAnsi="Arial" w:cs="Arial"/>
                <w:b/>
                <w:bCs/>
                <w:sz w:val="16"/>
                <w:szCs w:val="16"/>
              </w:rPr>
            </w:pPr>
            <w:r w:rsidRPr="00256ACE">
              <w:rPr>
                <w:rFonts w:ascii="Arial" w:hAnsi="Arial" w:cs="Arial"/>
                <w:b/>
                <w:bCs/>
                <w:sz w:val="16"/>
                <w:szCs w:val="16"/>
              </w:rPr>
              <w:t>Totals</w:t>
            </w:r>
          </w:p>
        </w:tc>
        <w:tc>
          <w:tcPr>
            <w:tcW w:w="1246" w:type="dxa"/>
            <w:vAlign w:val="center"/>
          </w:tcPr>
          <w:p w:rsidR="00256ACE" w:rsidRPr="00256ACE" w:rsidP="00256ACE" w14:paraId="11143C90" w14:textId="77777777">
            <w:pPr>
              <w:widowControl/>
              <w:tabs>
                <w:tab w:val="left" w:pos="-1176"/>
              </w:tabs>
              <w:autoSpaceDE/>
              <w:autoSpaceDN/>
              <w:adjustRightInd/>
              <w:spacing w:before="120" w:after="120"/>
              <w:jc w:val="right"/>
              <w:rPr>
                <w:rFonts w:ascii="Arial" w:hAnsi="Arial" w:cs="Arial"/>
                <w:b/>
                <w:sz w:val="16"/>
                <w:szCs w:val="16"/>
              </w:rPr>
            </w:pPr>
            <w:r w:rsidRPr="00256ACE">
              <w:rPr>
                <w:rFonts w:ascii="Arial" w:hAnsi="Arial" w:cs="Arial"/>
                <w:b/>
                <w:bCs/>
                <w:sz w:val="16"/>
                <w:szCs w:val="16"/>
              </w:rPr>
              <w:t xml:space="preserve">- - - </w:t>
            </w:r>
          </w:p>
        </w:tc>
        <w:tc>
          <w:tcPr>
            <w:tcW w:w="1251" w:type="dxa"/>
            <w:vAlign w:val="center"/>
          </w:tcPr>
          <w:p w:rsidR="00256ACE" w:rsidRPr="00256ACE" w:rsidP="00256ACE" w14:paraId="50640F38" w14:textId="77777777">
            <w:pPr>
              <w:widowControl/>
              <w:tabs>
                <w:tab w:val="left" w:pos="-1176"/>
              </w:tabs>
              <w:autoSpaceDE/>
              <w:autoSpaceDN/>
              <w:adjustRightInd/>
              <w:spacing w:before="120" w:after="120"/>
              <w:jc w:val="right"/>
              <w:rPr>
                <w:rFonts w:ascii="Arial" w:hAnsi="Arial" w:cs="Arial"/>
                <w:b/>
                <w:sz w:val="16"/>
                <w:szCs w:val="16"/>
              </w:rPr>
            </w:pPr>
            <w:r w:rsidRPr="00256ACE">
              <w:rPr>
                <w:rFonts w:ascii="Arial" w:hAnsi="Arial" w:cs="Arial"/>
                <w:b/>
                <w:bCs/>
                <w:sz w:val="16"/>
                <w:szCs w:val="16"/>
              </w:rPr>
              <w:t>- - -</w:t>
            </w:r>
          </w:p>
        </w:tc>
        <w:tc>
          <w:tcPr>
            <w:tcW w:w="0" w:type="auto"/>
            <w:vAlign w:val="center"/>
          </w:tcPr>
          <w:p w:rsidR="00256ACE" w:rsidRPr="00256ACE" w:rsidP="00256ACE" w14:paraId="29A8A5F2" w14:textId="77777777">
            <w:pPr>
              <w:widowControl/>
              <w:tabs>
                <w:tab w:val="left" w:pos="-1176"/>
              </w:tabs>
              <w:autoSpaceDE/>
              <w:autoSpaceDN/>
              <w:adjustRightInd/>
              <w:spacing w:before="120" w:after="120"/>
              <w:jc w:val="right"/>
              <w:rPr>
                <w:rFonts w:ascii="Arial" w:hAnsi="Arial" w:cs="Arial"/>
                <w:b/>
                <w:sz w:val="16"/>
                <w:szCs w:val="16"/>
              </w:rPr>
            </w:pPr>
            <w:r w:rsidRPr="00256ACE">
              <w:rPr>
                <w:rFonts w:ascii="Arial" w:hAnsi="Arial" w:cs="Arial"/>
                <w:b/>
                <w:bCs/>
                <w:sz w:val="16"/>
                <w:szCs w:val="16"/>
              </w:rPr>
              <w:t>$1,481,290</w:t>
            </w:r>
          </w:p>
        </w:tc>
      </w:tr>
    </w:tbl>
    <w:p w:rsidR="00F4529D" w:rsidRPr="00B0428B" w:rsidP="00F4529D" w14:paraId="678F82CB" w14:textId="77777777">
      <w:pPr>
        <w:widowControl/>
        <w:tabs>
          <w:tab w:val="left" w:pos="-1176"/>
        </w:tabs>
        <w:jc w:val="both"/>
        <w:rPr>
          <w:rFonts w:ascii="Arial" w:hAnsi="Arial" w:cs="Arial"/>
          <w:b/>
          <w:bCs/>
          <w:sz w:val="20"/>
          <w:szCs w:val="20"/>
        </w:rPr>
      </w:pPr>
    </w:p>
    <w:p w:rsidR="00F4529D" w:rsidRPr="00B0428B" w:rsidP="00F4529D" w14:paraId="07999D7C" w14:textId="77777777">
      <w:pPr>
        <w:widowControl/>
        <w:tabs>
          <w:tab w:val="left" w:pos="-1176"/>
        </w:tabs>
        <w:jc w:val="both"/>
        <w:rPr>
          <w:rFonts w:ascii="Arial" w:hAnsi="Arial" w:cs="Arial"/>
          <w:u w:val="single"/>
        </w:rPr>
      </w:pPr>
      <w:r w:rsidRPr="00B0428B">
        <w:rPr>
          <w:rFonts w:ascii="Arial" w:hAnsi="Arial" w:cs="Arial"/>
          <w:u w:val="single"/>
        </w:rPr>
        <w:t>Postage</w:t>
      </w:r>
    </w:p>
    <w:p w:rsidR="00F4529D" w:rsidRPr="00B0428B" w:rsidP="00F4529D" w14:paraId="2B3B5B91" w14:textId="77777777">
      <w:pPr>
        <w:widowControl/>
        <w:tabs>
          <w:tab w:val="left" w:pos="-1176"/>
        </w:tabs>
        <w:jc w:val="both"/>
        <w:rPr>
          <w:rFonts w:ascii="Arial" w:hAnsi="Arial" w:cs="Arial"/>
        </w:rPr>
      </w:pPr>
    </w:p>
    <w:p w:rsidR="00F4529D" w:rsidP="00F4529D" w14:paraId="1F348206" w14:textId="555CF166">
      <w:pPr>
        <w:widowControl/>
        <w:tabs>
          <w:tab w:val="left" w:pos="-1176"/>
        </w:tabs>
        <w:jc w:val="both"/>
        <w:rPr>
          <w:rFonts w:ascii="Arial" w:hAnsi="Arial" w:cs="Arial"/>
        </w:rPr>
      </w:pPr>
      <w:r w:rsidRPr="002761AC">
        <w:rPr>
          <w:rFonts w:ascii="Arial" w:hAnsi="Arial" w:cs="Arial"/>
        </w:rPr>
        <w:t xml:space="preserve">Although the USPTO prefers that the items in this information collection be submitted electronically, responses may be submitted by mail through the United States Postal Service (USPS). The USPTO estimates that the average postage cost for a mailed submission, using a Priority Mail 2-day flat rate legal envelope, will be $9.25. The USPTO estimates that 1% </w:t>
      </w:r>
      <w:r w:rsidR="00F40182">
        <w:rPr>
          <w:rFonts w:ascii="Arial" w:hAnsi="Arial" w:cs="Arial"/>
        </w:rPr>
        <w:t xml:space="preserve">of </w:t>
      </w:r>
      <w:r w:rsidRPr="002761AC">
        <w:rPr>
          <w:rFonts w:ascii="Arial" w:hAnsi="Arial" w:cs="Arial"/>
        </w:rPr>
        <w:t xml:space="preserve">sequence listings will be submitted </w:t>
      </w:r>
      <w:r w:rsidR="00F40182">
        <w:rPr>
          <w:rFonts w:ascii="Arial" w:hAnsi="Arial" w:cs="Arial"/>
        </w:rPr>
        <w:t>by</w:t>
      </w:r>
      <w:r w:rsidRPr="002761AC">
        <w:rPr>
          <w:rFonts w:ascii="Arial" w:hAnsi="Arial" w:cs="Arial"/>
        </w:rPr>
        <w:t xml:space="preserve"> mail</w:t>
      </w:r>
      <w:r w:rsidR="00F40182">
        <w:rPr>
          <w:rFonts w:ascii="Arial" w:hAnsi="Arial" w:cs="Arial"/>
        </w:rPr>
        <w:t>,</w:t>
      </w:r>
      <w:r w:rsidRPr="002761AC">
        <w:rPr>
          <w:rFonts w:ascii="Arial" w:hAnsi="Arial" w:cs="Arial"/>
        </w:rPr>
        <w:t xml:space="preserve"> resulting in 286 mail</w:t>
      </w:r>
      <w:r w:rsidR="00F40182">
        <w:rPr>
          <w:rFonts w:ascii="Arial" w:hAnsi="Arial" w:cs="Arial"/>
        </w:rPr>
        <w:t>ed</w:t>
      </w:r>
      <w:r w:rsidRPr="002761AC">
        <w:rPr>
          <w:rFonts w:ascii="Arial" w:hAnsi="Arial" w:cs="Arial"/>
        </w:rPr>
        <w:t xml:space="preserve"> submissions. Therefore, the USPTO estimates the total mailing costs for this information collection at $2,646.</w:t>
      </w:r>
      <w:r w:rsidR="00D93EA9">
        <w:rPr>
          <w:rFonts w:ascii="Arial" w:hAnsi="Arial" w:cs="Arial"/>
        </w:rPr>
        <w:t xml:space="preserve"> </w:t>
      </w:r>
    </w:p>
    <w:p w:rsidR="00F301D5" w:rsidRPr="00233E93" w:rsidP="00233E93" w14:paraId="6BA289B7"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F2336C" w:rsidRPr="00F2336C" w:rsidP="00F2336C" w14:paraId="15ECDFB3" w14:textId="77777777">
      <w:pPr>
        <w:pStyle w:val="ListParagraph"/>
        <w:numPr>
          <w:ilvl w:val="0"/>
          <w:numId w:val="13"/>
        </w:numPr>
        <w:rPr>
          <w:rFonts w:ascii="Arial" w:hAnsi="Arial" w:cs="Arial"/>
          <w:b/>
        </w:rPr>
      </w:pPr>
      <w:r w:rsidRPr="00F2336C">
        <w:rPr>
          <w:rFonts w:ascii="Arial" w:hAnsi="Arial" w:cs="Arial"/>
          <w:b/>
          <w:bCs/>
        </w:rPr>
        <w:t xml:space="preserve"> </w:t>
      </w:r>
      <w:r w:rsidRPr="00F2336C">
        <w:rPr>
          <w:rFonts w:ascii="Arial" w:hAnsi="Arial" w:cs="Arial"/>
          <w:b/>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567B74" w:rsidRPr="00F2336C" w:rsidP="00F2336C" w14:paraId="47B3D0FE" w14:textId="49CE99BE">
      <w:pPr>
        <w:keepLines/>
        <w:widowControl/>
        <w:tabs>
          <w:tab w:val="left" w:pos="-984"/>
          <w:tab w:val="left" w:pos="-720"/>
          <w:tab w:val="left" w:pos="720"/>
        </w:tabs>
        <w:ind w:left="90"/>
        <w:jc w:val="both"/>
        <w:rPr>
          <w:rFonts w:ascii="Arial" w:hAnsi="Arial" w:cs="Arial"/>
          <w:color w:val="0000FF"/>
        </w:rPr>
      </w:pPr>
    </w:p>
    <w:p w:rsidR="00F4529D" w:rsidRPr="00B0428B" w:rsidP="00F4529D" w14:paraId="7423D333" w14:textId="10180AEE">
      <w:pPr>
        <w:widowControl/>
        <w:tabs>
          <w:tab w:val="left" w:pos="-1176"/>
        </w:tabs>
        <w:jc w:val="both"/>
        <w:rPr>
          <w:rFonts w:ascii="Arial" w:hAnsi="Arial" w:cs="Arial"/>
        </w:rPr>
      </w:pPr>
      <w:r w:rsidRPr="00DC5329">
        <w:rPr>
          <w:rFonts w:ascii="Arial" w:hAnsi="Arial" w:cs="Arial"/>
        </w:rPr>
        <w:t xml:space="preserve">Sequence disclosures are processed in two stages. The USPTO estimates that the first stage takes approximately 8 minutes of processing time by a GS-6, step 1 employee, and that the second stage takes approximately 16 minutes of processing time by a </w:t>
      </w:r>
      <w:r w:rsidRPr="00431317" w:rsidR="00431317">
        <w:rPr>
          <w:rFonts w:ascii="Arial" w:hAnsi="Arial" w:cs="Arial"/>
        </w:rPr>
        <w:t>GS-12, step 1 or GS-13, step 1 employee</w:t>
      </w:r>
      <w:r w:rsidRPr="00DC5329">
        <w:rPr>
          <w:rFonts w:ascii="Arial" w:hAnsi="Arial" w:cs="Arial"/>
        </w:rPr>
        <w:t xml:space="preserve">, for a total of 24 minutes (0.40 hours) of processing time per response. The hourly rate for a </w:t>
      </w:r>
      <w:hyperlink r:id="rId14" w:history="1">
        <w:r w:rsidRPr="00431317">
          <w:rPr>
            <w:rStyle w:val="Hyperlink"/>
            <w:rFonts w:ascii="Arial" w:hAnsi="Arial" w:cs="Arial"/>
          </w:rPr>
          <w:t>GS-6, step 1</w:t>
        </w:r>
      </w:hyperlink>
      <w:r w:rsidRPr="00DC5329">
        <w:rPr>
          <w:rFonts w:ascii="Arial" w:hAnsi="Arial" w:cs="Arial"/>
        </w:rPr>
        <w:t xml:space="preserve"> employee is currently $2</w:t>
      </w:r>
      <w:r w:rsidR="00431317">
        <w:rPr>
          <w:rFonts w:ascii="Arial" w:hAnsi="Arial" w:cs="Arial"/>
        </w:rPr>
        <w:t>1.84</w:t>
      </w:r>
      <w:r w:rsidRPr="00DC5329">
        <w:rPr>
          <w:rFonts w:ascii="Arial" w:hAnsi="Arial" w:cs="Arial"/>
        </w:rPr>
        <w:t xml:space="preserve">, and the average hourly rate of a </w:t>
      </w:r>
      <w:hyperlink r:id="rId14" w:history="1">
        <w:r w:rsidRPr="00431317">
          <w:rPr>
            <w:rStyle w:val="Hyperlink"/>
            <w:rFonts w:ascii="Arial" w:hAnsi="Arial" w:cs="Arial"/>
          </w:rPr>
          <w:t>GS-12, step 1</w:t>
        </w:r>
      </w:hyperlink>
      <w:r w:rsidRPr="00DC5329">
        <w:rPr>
          <w:rFonts w:ascii="Arial" w:hAnsi="Arial" w:cs="Arial"/>
        </w:rPr>
        <w:t xml:space="preserve"> ($</w:t>
      </w:r>
      <w:r w:rsidR="00431317">
        <w:rPr>
          <w:rFonts w:ascii="Arial" w:hAnsi="Arial" w:cs="Arial"/>
        </w:rPr>
        <w:t>43.04</w:t>
      </w:r>
      <w:r w:rsidRPr="00DC5329">
        <w:rPr>
          <w:rFonts w:ascii="Arial" w:hAnsi="Arial" w:cs="Arial"/>
        </w:rPr>
        <w:t xml:space="preserve">) and </w:t>
      </w:r>
      <w:hyperlink r:id="rId14" w:history="1">
        <w:r w:rsidRPr="00431317">
          <w:rPr>
            <w:rStyle w:val="Hyperlink"/>
            <w:rFonts w:ascii="Arial" w:hAnsi="Arial" w:cs="Arial"/>
          </w:rPr>
          <w:t>GS-13, step 1</w:t>
        </w:r>
      </w:hyperlink>
      <w:r w:rsidRPr="00DC5329">
        <w:rPr>
          <w:rFonts w:ascii="Arial" w:hAnsi="Arial" w:cs="Arial"/>
        </w:rPr>
        <w:t xml:space="preserve"> </w:t>
      </w:r>
      <w:r w:rsidR="00431317">
        <w:rPr>
          <w:rFonts w:ascii="Arial" w:hAnsi="Arial" w:cs="Arial"/>
        </w:rPr>
        <w:t xml:space="preserve">is currently </w:t>
      </w:r>
      <w:r w:rsidRPr="00DC5329">
        <w:rPr>
          <w:rFonts w:ascii="Arial" w:hAnsi="Arial" w:cs="Arial"/>
        </w:rPr>
        <w:t>($</w:t>
      </w:r>
      <w:r w:rsidR="00431317">
        <w:rPr>
          <w:rFonts w:ascii="Arial" w:hAnsi="Arial" w:cs="Arial"/>
        </w:rPr>
        <w:t>51.18</w:t>
      </w:r>
      <w:r w:rsidRPr="00DC5329">
        <w:rPr>
          <w:rFonts w:ascii="Arial" w:hAnsi="Arial" w:cs="Arial"/>
        </w:rPr>
        <w:t>). These rates produce a weighted average hourly rate of $3</w:t>
      </w:r>
      <w:r w:rsidR="00431317">
        <w:rPr>
          <w:rFonts w:ascii="Arial" w:hAnsi="Arial" w:cs="Arial"/>
        </w:rPr>
        <w:t>8.70</w:t>
      </w:r>
      <w:r w:rsidRPr="00DC5329">
        <w:rPr>
          <w:rFonts w:ascii="Arial" w:hAnsi="Arial" w:cs="Arial"/>
        </w:rPr>
        <w:t>, which results in a fully-loaded hourly rate of $</w:t>
      </w:r>
      <w:r w:rsidR="00431317">
        <w:rPr>
          <w:rFonts w:ascii="Arial" w:hAnsi="Arial" w:cs="Arial"/>
        </w:rPr>
        <w:t>50.3</w:t>
      </w:r>
      <w:r>
        <w:rPr>
          <w:rFonts w:ascii="Arial" w:hAnsi="Arial" w:cs="Arial"/>
        </w:rPr>
        <w:t>1</w:t>
      </w:r>
      <w:r w:rsidRPr="00DC5329">
        <w:rPr>
          <w:rFonts w:ascii="Arial" w:hAnsi="Arial" w:cs="Arial"/>
        </w:rPr>
        <w:t xml:space="preserve"> per hour ($</w:t>
      </w:r>
      <w:r>
        <w:rPr>
          <w:rFonts w:ascii="Arial" w:hAnsi="Arial" w:cs="Arial"/>
        </w:rPr>
        <w:t>3</w:t>
      </w:r>
      <w:r w:rsidR="00431317">
        <w:rPr>
          <w:rFonts w:ascii="Arial" w:hAnsi="Arial" w:cs="Arial"/>
        </w:rPr>
        <w:t>8.70</w:t>
      </w:r>
      <w:r w:rsidRPr="00DC5329">
        <w:rPr>
          <w:rFonts w:ascii="Arial" w:hAnsi="Arial" w:cs="Arial"/>
        </w:rPr>
        <w:t xml:space="preserve"> with 30% ($</w:t>
      </w:r>
      <w:r>
        <w:rPr>
          <w:rFonts w:ascii="Arial" w:hAnsi="Arial" w:cs="Arial"/>
        </w:rPr>
        <w:t>1</w:t>
      </w:r>
      <w:r w:rsidR="00431317">
        <w:rPr>
          <w:rFonts w:ascii="Arial" w:hAnsi="Arial" w:cs="Arial"/>
        </w:rPr>
        <w:t>1.61</w:t>
      </w:r>
      <w:r w:rsidRPr="00DC5329">
        <w:rPr>
          <w:rFonts w:ascii="Arial" w:hAnsi="Arial" w:cs="Arial"/>
        </w:rPr>
        <w:t>)</w:t>
      </w:r>
      <w:r w:rsidR="000F74C0">
        <w:rPr>
          <w:rFonts w:ascii="Arial" w:hAnsi="Arial" w:cs="Arial"/>
        </w:rPr>
        <w:t>)</w:t>
      </w:r>
      <w:r w:rsidRPr="00DC5329">
        <w:rPr>
          <w:rFonts w:ascii="Arial" w:hAnsi="Arial" w:cs="Arial"/>
        </w:rPr>
        <w:t xml:space="preserve"> added for benefits and overhead for processing the sequence disclosures.</w:t>
      </w:r>
    </w:p>
    <w:p w:rsidR="00F4529D" w:rsidRPr="00B0428B" w:rsidP="00F4529D" w14:paraId="233C4EA3" w14:textId="77777777">
      <w:pPr>
        <w:widowControl/>
        <w:tabs>
          <w:tab w:val="left" w:pos="-1176"/>
        </w:tabs>
        <w:jc w:val="both"/>
        <w:rPr>
          <w:rFonts w:ascii="Arial" w:hAnsi="Arial" w:cs="Arial"/>
        </w:rPr>
      </w:pPr>
    </w:p>
    <w:p w:rsidR="00F4529D" w:rsidRPr="00B0428B" w:rsidP="00F4529D" w14:paraId="5BA18C6B" w14:textId="77777777">
      <w:pPr>
        <w:widowControl/>
        <w:tabs>
          <w:tab w:val="left" w:pos="-1176"/>
        </w:tabs>
        <w:jc w:val="both"/>
        <w:rPr>
          <w:rFonts w:ascii="Arial" w:hAnsi="Arial" w:cs="Arial"/>
        </w:rPr>
      </w:pPr>
      <w:r>
        <w:rPr>
          <w:rFonts w:ascii="Arial" w:hAnsi="Arial" w:cs="Arial"/>
        </w:rPr>
        <w:t>Table 6</w:t>
      </w:r>
      <w:r w:rsidRPr="00B0428B">
        <w:rPr>
          <w:rFonts w:ascii="Arial" w:hAnsi="Arial" w:cs="Arial"/>
        </w:rPr>
        <w:t xml:space="preserve"> calculates the burden hours and costs to the Federal Government for processing this information collection:</w:t>
      </w:r>
    </w:p>
    <w:p w:rsidR="00F4529D" w:rsidRPr="000F74C0" w:rsidP="00F4529D" w14:paraId="5F94D077" w14:textId="77777777">
      <w:pPr>
        <w:widowControl/>
        <w:tabs>
          <w:tab w:val="left" w:pos="-1176"/>
        </w:tabs>
        <w:jc w:val="both"/>
        <w:rPr>
          <w:rFonts w:ascii="Arial" w:hAnsi="Arial" w:cs="Arial"/>
          <w:b/>
          <w:bCs/>
          <w:sz w:val="16"/>
          <w:szCs w:val="16"/>
        </w:rPr>
      </w:pPr>
    </w:p>
    <w:p w:rsidR="00F4529D" w:rsidRPr="003A7798" w:rsidP="00F4529D" w14:paraId="6B0E5F23" w14:textId="77777777">
      <w:pPr>
        <w:widowControl/>
        <w:tabs>
          <w:tab w:val="left" w:pos="-1176"/>
        </w:tabs>
        <w:jc w:val="both"/>
        <w:rPr>
          <w:rFonts w:ascii="Arial" w:hAnsi="Arial" w:cs="Arial"/>
          <w:b/>
          <w:bCs/>
          <w:sz w:val="20"/>
          <w:szCs w:val="16"/>
        </w:rPr>
      </w:pPr>
      <w:r w:rsidRPr="003A7798">
        <w:rPr>
          <w:rFonts w:ascii="Arial" w:hAnsi="Arial" w:cs="Arial"/>
          <w:b/>
          <w:bCs/>
          <w:sz w:val="20"/>
          <w:szCs w:val="16"/>
        </w:rPr>
        <w:t>Table 6: Burden Hour/Burden Cost to the Federal Government</w:t>
      </w:r>
    </w:p>
    <w:tbl>
      <w:tblPr>
        <w:tblW w:w="9360" w:type="dxa"/>
        <w:tblLayout w:type="fixed"/>
        <w:tblCellMar>
          <w:left w:w="120" w:type="dxa"/>
          <w:right w:w="120" w:type="dxa"/>
        </w:tblCellMar>
        <w:tblLook w:val="0000"/>
      </w:tblPr>
      <w:tblGrid>
        <w:gridCol w:w="900"/>
        <w:gridCol w:w="2520"/>
        <w:gridCol w:w="1170"/>
        <w:gridCol w:w="1170"/>
        <w:gridCol w:w="1260"/>
        <w:gridCol w:w="1080"/>
        <w:gridCol w:w="1260"/>
      </w:tblGrid>
      <w:tr w14:paraId="6ACCEA89" w14:textId="77777777" w:rsidTr="00A91501">
        <w:tblPrEx>
          <w:tblW w:w="9360" w:type="dxa"/>
          <w:tblLayout w:type="fixed"/>
          <w:tblCellMar>
            <w:left w:w="120" w:type="dxa"/>
            <w:right w:w="120" w:type="dxa"/>
          </w:tblCellMar>
          <w:tblLook w:val="0000"/>
        </w:tblPrEx>
        <w:trPr>
          <w:cantSplit/>
        </w:trPr>
        <w:tc>
          <w:tcPr>
            <w:tcW w:w="900" w:type="dxa"/>
            <w:tcBorders>
              <w:top w:val="single" w:sz="7" w:space="0" w:color="000000"/>
              <w:left w:val="single" w:sz="7" w:space="0" w:color="000000"/>
              <w:bottom w:val="single" w:sz="7" w:space="0" w:color="000000"/>
              <w:right w:val="single" w:sz="7" w:space="0" w:color="000000"/>
            </w:tcBorders>
            <w:vAlign w:val="center"/>
          </w:tcPr>
          <w:p w:rsidR="00D44001" w:rsidRPr="00B0428B" w:rsidP="00D44001" w14:paraId="2164AFDD" w14:textId="77777777">
            <w:pPr>
              <w:jc w:val="center"/>
              <w:rPr>
                <w:rFonts w:ascii="Arial" w:hAnsi="Arial" w:cs="Arial"/>
                <w:b/>
                <w:bCs/>
              </w:rPr>
            </w:pPr>
            <w:r w:rsidRPr="00806C98">
              <w:rPr>
                <w:rFonts w:ascii="Arial" w:hAnsi="Arial" w:cs="Arial"/>
                <w:b/>
                <w:sz w:val="16"/>
                <w:szCs w:val="16"/>
              </w:rPr>
              <w:t>IC Number</w:t>
            </w:r>
          </w:p>
        </w:tc>
        <w:tc>
          <w:tcPr>
            <w:tcW w:w="2520" w:type="dxa"/>
            <w:tcBorders>
              <w:top w:val="single" w:sz="7" w:space="0" w:color="000000"/>
              <w:left w:val="single" w:sz="7" w:space="0" w:color="000000"/>
              <w:bottom w:val="single" w:sz="7" w:space="0" w:color="000000"/>
              <w:right w:val="single" w:sz="7" w:space="0" w:color="000000"/>
            </w:tcBorders>
            <w:vAlign w:val="center"/>
          </w:tcPr>
          <w:p w:rsidR="00D44001" w:rsidRPr="00B0428B" w:rsidP="00D44001" w14:paraId="2EBB655D" w14:textId="77777777">
            <w:pPr>
              <w:keepNext/>
              <w:keepLines/>
              <w:widowControl/>
              <w:tabs>
                <w:tab w:val="left" w:pos="-1176"/>
              </w:tabs>
              <w:spacing w:after="58"/>
              <w:jc w:val="center"/>
              <w:rPr>
                <w:rFonts w:ascii="Arial" w:hAnsi="Arial" w:cs="Arial"/>
                <w:b/>
                <w:bCs/>
                <w:sz w:val="16"/>
                <w:szCs w:val="16"/>
              </w:rPr>
            </w:pPr>
            <w:r w:rsidRPr="00806C98">
              <w:rPr>
                <w:rFonts w:ascii="Arial" w:hAnsi="Arial" w:cs="Arial"/>
                <w:b/>
                <w:sz w:val="16"/>
                <w:szCs w:val="16"/>
              </w:rPr>
              <w:t>Item</w:t>
            </w:r>
          </w:p>
        </w:tc>
        <w:tc>
          <w:tcPr>
            <w:tcW w:w="1170" w:type="dxa"/>
            <w:tcBorders>
              <w:top w:val="single" w:sz="7" w:space="0" w:color="000000"/>
              <w:left w:val="single" w:sz="7" w:space="0" w:color="000000"/>
              <w:bottom w:val="single" w:sz="7" w:space="0" w:color="000000"/>
              <w:right w:val="single" w:sz="7" w:space="0" w:color="000000"/>
            </w:tcBorders>
            <w:vAlign w:val="center"/>
          </w:tcPr>
          <w:p w:rsidR="00D44001" w:rsidRPr="00806C98" w:rsidP="00D44001" w14:paraId="19D339B4" w14:textId="77777777">
            <w:pPr>
              <w:keepNext/>
              <w:keepLines/>
              <w:tabs>
                <w:tab w:val="left" w:pos="-1176"/>
              </w:tabs>
              <w:jc w:val="center"/>
              <w:rPr>
                <w:rFonts w:ascii="Arial" w:hAnsi="Arial" w:cs="Arial"/>
                <w:b/>
                <w:bCs/>
                <w:sz w:val="16"/>
                <w:szCs w:val="16"/>
              </w:rPr>
            </w:pPr>
            <w:r w:rsidRPr="00806C98">
              <w:rPr>
                <w:rFonts w:ascii="Arial" w:hAnsi="Arial" w:cs="Arial"/>
                <w:b/>
                <w:sz w:val="16"/>
                <w:szCs w:val="16"/>
              </w:rPr>
              <w:t>Estimated Annual Responses</w:t>
            </w:r>
          </w:p>
          <w:p w:rsidR="00D44001" w:rsidP="00D44001" w14:paraId="57596B88" w14:textId="77777777">
            <w:pPr>
              <w:keepNext/>
              <w:keepLines/>
              <w:tabs>
                <w:tab w:val="left" w:pos="-1176"/>
              </w:tabs>
              <w:jc w:val="center"/>
              <w:rPr>
                <w:rFonts w:ascii="Arial" w:hAnsi="Arial" w:cs="Arial"/>
                <w:b/>
                <w:bCs/>
                <w:sz w:val="16"/>
                <w:szCs w:val="16"/>
              </w:rPr>
            </w:pPr>
          </w:p>
          <w:p w:rsidR="00D44001" w:rsidRPr="00806C98" w:rsidP="00D44001" w14:paraId="16A0380A" w14:textId="50B5FD5B">
            <w:pPr>
              <w:keepNext/>
              <w:keepLines/>
              <w:tabs>
                <w:tab w:val="left" w:pos="-1176"/>
              </w:tabs>
              <w:jc w:val="center"/>
              <w:rPr>
                <w:rFonts w:ascii="Arial" w:hAnsi="Arial" w:cs="Arial"/>
                <w:b/>
                <w:sz w:val="16"/>
                <w:szCs w:val="16"/>
              </w:rPr>
            </w:pPr>
            <w:r>
              <w:rPr>
                <w:rFonts w:ascii="Arial" w:hAnsi="Arial" w:cs="Arial"/>
                <w:b/>
                <w:sz w:val="16"/>
                <w:szCs w:val="16"/>
              </w:rPr>
              <w:t>(a</w:t>
            </w:r>
            <w:r w:rsidRPr="00806C98">
              <w:rPr>
                <w:rFonts w:ascii="Arial" w:hAnsi="Arial" w:cs="Arial"/>
                <w:b/>
                <w:sz w:val="16"/>
                <w:szCs w:val="16"/>
              </w:rPr>
              <w:t>)</w:t>
            </w:r>
          </w:p>
        </w:tc>
        <w:tc>
          <w:tcPr>
            <w:tcW w:w="1170" w:type="dxa"/>
            <w:tcBorders>
              <w:top w:val="single" w:sz="7" w:space="0" w:color="000000"/>
              <w:left w:val="single" w:sz="7" w:space="0" w:color="000000"/>
              <w:bottom w:val="single" w:sz="7" w:space="0" w:color="000000"/>
              <w:right w:val="single" w:sz="7" w:space="0" w:color="000000"/>
            </w:tcBorders>
            <w:vAlign w:val="center"/>
          </w:tcPr>
          <w:p w:rsidR="00D44001" w:rsidP="00D44001" w14:paraId="662C5D7A" w14:textId="560EF37F">
            <w:pPr>
              <w:keepNext/>
              <w:keepLines/>
              <w:tabs>
                <w:tab w:val="left" w:pos="-1176"/>
              </w:tabs>
              <w:jc w:val="center"/>
              <w:rPr>
                <w:rFonts w:ascii="Arial" w:hAnsi="Arial" w:cs="Arial"/>
                <w:b/>
                <w:sz w:val="16"/>
                <w:szCs w:val="16"/>
              </w:rPr>
            </w:pPr>
            <w:r w:rsidRPr="00806C98">
              <w:rPr>
                <w:rFonts w:ascii="Arial" w:hAnsi="Arial" w:cs="Arial"/>
                <w:b/>
                <w:sz w:val="16"/>
                <w:szCs w:val="16"/>
              </w:rPr>
              <w:t>Estimated Response Time (Hours)</w:t>
            </w:r>
          </w:p>
          <w:p w:rsidR="00D44001" w:rsidRPr="00B0428B" w:rsidP="00D44001" w14:paraId="4F0AF01B" w14:textId="565C9514">
            <w:pPr>
              <w:keepNext/>
              <w:keepLines/>
              <w:widowControl/>
              <w:tabs>
                <w:tab w:val="left" w:pos="-1176"/>
              </w:tabs>
              <w:spacing w:after="58"/>
              <w:jc w:val="center"/>
              <w:rPr>
                <w:rFonts w:ascii="Arial" w:hAnsi="Arial" w:cs="Arial"/>
                <w:b/>
                <w:bCs/>
                <w:sz w:val="16"/>
                <w:szCs w:val="16"/>
              </w:rPr>
            </w:pPr>
            <w:r w:rsidRPr="00806C98">
              <w:rPr>
                <w:rFonts w:ascii="Arial" w:hAnsi="Arial" w:cs="Arial"/>
                <w:b/>
                <w:sz w:val="16"/>
                <w:szCs w:val="16"/>
              </w:rPr>
              <w:t>(</w:t>
            </w:r>
            <w:r>
              <w:rPr>
                <w:rFonts w:ascii="Arial" w:hAnsi="Arial" w:cs="Arial"/>
                <w:b/>
                <w:sz w:val="16"/>
                <w:szCs w:val="16"/>
              </w:rPr>
              <w:t>b</w:t>
            </w:r>
            <w:r w:rsidRPr="00806C98">
              <w:rPr>
                <w:rFonts w:ascii="Arial" w:hAnsi="Arial" w:cs="Arial"/>
                <w:b/>
                <w:sz w:val="16"/>
                <w:szCs w:val="16"/>
              </w:rPr>
              <w:t>)</w:t>
            </w:r>
          </w:p>
        </w:tc>
        <w:tc>
          <w:tcPr>
            <w:tcW w:w="1260" w:type="dxa"/>
            <w:tcBorders>
              <w:top w:val="single" w:sz="7" w:space="0" w:color="000000"/>
              <w:left w:val="single" w:sz="7" w:space="0" w:color="000000"/>
              <w:bottom w:val="single" w:sz="7" w:space="0" w:color="000000"/>
              <w:right w:val="single" w:sz="7" w:space="0" w:color="000000"/>
            </w:tcBorders>
            <w:vAlign w:val="center"/>
          </w:tcPr>
          <w:p w:rsidR="00D44001" w:rsidP="00D44001" w14:paraId="13F63066" w14:textId="77777777">
            <w:pPr>
              <w:keepNext/>
              <w:keepLines/>
              <w:tabs>
                <w:tab w:val="left" w:pos="-1176"/>
              </w:tabs>
              <w:jc w:val="center"/>
              <w:rPr>
                <w:rFonts w:ascii="Arial" w:hAnsi="Arial" w:cs="Arial"/>
                <w:b/>
                <w:sz w:val="16"/>
                <w:szCs w:val="16"/>
              </w:rPr>
            </w:pPr>
            <w:r w:rsidRPr="00806C98">
              <w:rPr>
                <w:rFonts w:ascii="Arial" w:hAnsi="Arial" w:cs="Arial"/>
                <w:b/>
                <w:sz w:val="16"/>
                <w:szCs w:val="16"/>
              </w:rPr>
              <w:t>Estimated Annual Burden Hours</w:t>
            </w:r>
          </w:p>
          <w:p w:rsidR="00D44001" w:rsidRPr="00B0428B" w:rsidP="00D44001" w14:paraId="66AB6FAD" w14:textId="77777777">
            <w:pPr>
              <w:keepNext/>
              <w:keepLines/>
              <w:widowControl/>
              <w:tabs>
                <w:tab w:val="left" w:pos="-1176"/>
              </w:tabs>
              <w:spacing w:after="58"/>
              <w:jc w:val="center"/>
              <w:rPr>
                <w:rFonts w:ascii="Arial" w:hAnsi="Arial" w:cs="Arial"/>
                <w:b/>
                <w:bCs/>
                <w:sz w:val="16"/>
                <w:szCs w:val="16"/>
                <w:highlight w:val="yellow"/>
              </w:rPr>
            </w:pPr>
            <w:r w:rsidRPr="00806C98">
              <w:rPr>
                <w:rFonts w:ascii="Arial" w:hAnsi="Arial" w:cs="Arial"/>
                <w:b/>
                <w:sz w:val="16"/>
                <w:szCs w:val="16"/>
              </w:rPr>
              <w:t xml:space="preserve">(a) x (b) = (c) </w:t>
            </w:r>
          </w:p>
        </w:tc>
        <w:tc>
          <w:tcPr>
            <w:tcW w:w="1080" w:type="dxa"/>
            <w:tcBorders>
              <w:top w:val="single" w:sz="7" w:space="0" w:color="000000"/>
              <w:left w:val="single" w:sz="7" w:space="0" w:color="000000"/>
              <w:bottom w:val="single" w:sz="7" w:space="0" w:color="000000"/>
              <w:right w:val="single" w:sz="7" w:space="0" w:color="000000"/>
            </w:tcBorders>
            <w:vAlign w:val="center"/>
          </w:tcPr>
          <w:p w:rsidR="00D44001" w:rsidRPr="00806C98" w:rsidP="00D44001" w14:paraId="59E83526" w14:textId="77777777">
            <w:pPr>
              <w:keepNext/>
              <w:keepLines/>
              <w:tabs>
                <w:tab w:val="left" w:pos="-1176"/>
              </w:tabs>
              <w:jc w:val="center"/>
              <w:rPr>
                <w:rFonts w:ascii="Arial" w:hAnsi="Arial" w:cs="Arial"/>
                <w:b/>
                <w:bCs/>
                <w:sz w:val="16"/>
                <w:szCs w:val="16"/>
              </w:rPr>
            </w:pPr>
            <w:r w:rsidRPr="00806C98">
              <w:rPr>
                <w:rFonts w:ascii="Arial" w:hAnsi="Arial" w:cs="Arial"/>
                <w:b/>
                <w:sz w:val="16"/>
                <w:szCs w:val="16"/>
              </w:rPr>
              <w:t>Rate</w:t>
            </w:r>
          </w:p>
          <w:p w:rsidR="00D44001" w:rsidRPr="00806C98" w:rsidP="00D44001" w14:paraId="3C4BC72D" w14:textId="77777777">
            <w:pPr>
              <w:keepNext/>
              <w:keepLines/>
              <w:tabs>
                <w:tab w:val="left" w:pos="-1176"/>
              </w:tabs>
              <w:jc w:val="center"/>
              <w:rPr>
                <w:rFonts w:ascii="Arial" w:hAnsi="Arial" w:cs="Arial"/>
                <w:b/>
                <w:bCs/>
                <w:sz w:val="16"/>
                <w:szCs w:val="16"/>
              </w:rPr>
            </w:pPr>
            <w:r w:rsidRPr="00806C98">
              <w:rPr>
                <w:rFonts w:ascii="Arial" w:hAnsi="Arial" w:cs="Arial"/>
                <w:b/>
                <w:sz w:val="16"/>
                <w:szCs w:val="16"/>
              </w:rPr>
              <w:t>($/</w:t>
            </w:r>
            <w:r w:rsidRPr="00806C98">
              <w:rPr>
                <w:rFonts w:ascii="Arial" w:hAnsi="Arial" w:cs="Arial"/>
                <w:b/>
                <w:sz w:val="16"/>
                <w:szCs w:val="16"/>
              </w:rPr>
              <w:t>hr</w:t>
            </w:r>
            <w:r w:rsidRPr="00806C98">
              <w:rPr>
                <w:rFonts w:ascii="Arial" w:hAnsi="Arial" w:cs="Arial"/>
                <w:b/>
                <w:sz w:val="16"/>
                <w:szCs w:val="16"/>
              </w:rPr>
              <w:t>)</w:t>
            </w:r>
          </w:p>
          <w:p w:rsidR="00D44001" w:rsidRPr="00806C98" w:rsidP="00D44001" w14:paraId="4224D10E" w14:textId="77777777">
            <w:pPr>
              <w:keepNext/>
              <w:keepLines/>
              <w:tabs>
                <w:tab w:val="left" w:pos="-1176"/>
              </w:tabs>
              <w:jc w:val="center"/>
              <w:rPr>
                <w:rFonts w:ascii="Arial" w:hAnsi="Arial" w:cs="Arial"/>
                <w:b/>
                <w:bCs/>
                <w:sz w:val="16"/>
                <w:szCs w:val="16"/>
              </w:rPr>
            </w:pPr>
          </w:p>
          <w:p w:rsidR="00D44001" w:rsidRPr="00806C98" w:rsidP="00D44001" w14:paraId="1974D969" w14:textId="77777777">
            <w:pPr>
              <w:keepNext/>
              <w:keepLines/>
              <w:tabs>
                <w:tab w:val="left" w:pos="-1176"/>
              </w:tabs>
              <w:jc w:val="center"/>
              <w:rPr>
                <w:rFonts w:ascii="Arial" w:hAnsi="Arial" w:cs="Arial"/>
                <w:b/>
                <w:bCs/>
                <w:sz w:val="16"/>
                <w:szCs w:val="16"/>
              </w:rPr>
            </w:pPr>
          </w:p>
          <w:p w:rsidR="00D44001" w:rsidRPr="00B0428B" w:rsidP="00D44001" w14:paraId="32C54406" w14:textId="77777777">
            <w:pPr>
              <w:keepNext/>
              <w:keepLines/>
              <w:widowControl/>
              <w:tabs>
                <w:tab w:val="left" w:pos="-1176"/>
              </w:tabs>
              <w:spacing w:after="58"/>
              <w:jc w:val="center"/>
              <w:rPr>
                <w:rFonts w:ascii="Arial" w:hAnsi="Arial" w:cs="Arial"/>
                <w:b/>
                <w:bCs/>
                <w:sz w:val="16"/>
                <w:szCs w:val="16"/>
              </w:rPr>
            </w:pPr>
            <w:r w:rsidRPr="00806C98">
              <w:rPr>
                <w:rFonts w:ascii="Arial" w:hAnsi="Arial" w:cs="Arial"/>
                <w:b/>
                <w:sz w:val="16"/>
                <w:szCs w:val="16"/>
              </w:rPr>
              <w:t>(d)</w:t>
            </w:r>
          </w:p>
        </w:tc>
        <w:tc>
          <w:tcPr>
            <w:tcW w:w="1260" w:type="dxa"/>
            <w:tcBorders>
              <w:top w:val="single" w:sz="7" w:space="0" w:color="000000"/>
              <w:left w:val="single" w:sz="7" w:space="0" w:color="000000"/>
              <w:bottom w:val="single" w:sz="7" w:space="0" w:color="000000"/>
              <w:right w:val="single" w:sz="7" w:space="0" w:color="000000"/>
            </w:tcBorders>
            <w:vAlign w:val="center"/>
          </w:tcPr>
          <w:p w:rsidR="00D44001" w:rsidRPr="00806C98" w:rsidP="00D44001" w14:paraId="54CF5A78" w14:textId="77777777">
            <w:pPr>
              <w:keepNext/>
              <w:keepLines/>
              <w:tabs>
                <w:tab w:val="left" w:pos="-1176"/>
              </w:tabs>
              <w:jc w:val="center"/>
              <w:rPr>
                <w:rFonts w:ascii="Arial" w:hAnsi="Arial" w:cs="Arial"/>
                <w:b/>
                <w:bCs/>
                <w:sz w:val="16"/>
                <w:szCs w:val="16"/>
              </w:rPr>
            </w:pPr>
            <w:r w:rsidRPr="00806C98">
              <w:rPr>
                <w:rFonts w:ascii="Arial" w:hAnsi="Arial" w:cs="Arial"/>
                <w:b/>
                <w:sz w:val="16"/>
                <w:szCs w:val="16"/>
              </w:rPr>
              <w:t>Total Cost</w:t>
            </w:r>
          </w:p>
          <w:p w:rsidR="00D44001" w:rsidRPr="00806C98" w:rsidP="00D44001" w14:paraId="31CE8197" w14:textId="77777777">
            <w:pPr>
              <w:keepNext/>
              <w:keepLines/>
              <w:tabs>
                <w:tab w:val="left" w:pos="-1176"/>
              </w:tabs>
              <w:jc w:val="center"/>
              <w:rPr>
                <w:rFonts w:ascii="Arial" w:hAnsi="Arial" w:cs="Arial"/>
                <w:b/>
                <w:bCs/>
                <w:sz w:val="16"/>
                <w:szCs w:val="16"/>
              </w:rPr>
            </w:pPr>
            <w:r w:rsidRPr="00806C98">
              <w:rPr>
                <w:rFonts w:ascii="Arial" w:hAnsi="Arial" w:cs="Arial"/>
                <w:b/>
                <w:sz w:val="16"/>
                <w:szCs w:val="16"/>
              </w:rPr>
              <w:t>($/</w:t>
            </w:r>
            <w:r w:rsidRPr="00806C98">
              <w:rPr>
                <w:rFonts w:ascii="Arial" w:hAnsi="Arial" w:cs="Arial"/>
                <w:b/>
                <w:sz w:val="16"/>
                <w:szCs w:val="16"/>
              </w:rPr>
              <w:t>yr</w:t>
            </w:r>
            <w:r w:rsidRPr="00806C98">
              <w:rPr>
                <w:rFonts w:ascii="Arial" w:hAnsi="Arial" w:cs="Arial"/>
                <w:b/>
                <w:sz w:val="16"/>
                <w:szCs w:val="16"/>
              </w:rPr>
              <w:t>)</w:t>
            </w:r>
          </w:p>
          <w:p w:rsidR="00D44001" w:rsidRPr="00806C98" w:rsidP="00D44001" w14:paraId="5A4E4915" w14:textId="77777777">
            <w:pPr>
              <w:keepNext/>
              <w:keepLines/>
              <w:tabs>
                <w:tab w:val="left" w:pos="-1176"/>
              </w:tabs>
              <w:jc w:val="center"/>
              <w:rPr>
                <w:rFonts w:ascii="Arial" w:hAnsi="Arial" w:cs="Arial"/>
                <w:b/>
                <w:bCs/>
                <w:sz w:val="16"/>
                <w:szCs w:val="16"/>
              </w:rPr>
            </w:pPr>
          </w:p>
          <w:p w:rsidR="00D44001" w:rsidP="00D44001" w14:paraId="0856928F" w14:textId="77777777">
            <w:pPr>
              <w:keepNext/>
              <w:keepLines/>
              <w:tabs>
                <w:tab w:val="left" w:pos="-1176"/>
              </w:tabs>
              <w:jc w:val="center"/>
              <w:rPr>
                <w:rFonts w:ascii="Arial" w:hAnsi="Arial" w:cs="Arial"/>
                <w:b/>
                <w:bCs/>
                <w:sz w:val="16"/>
                <w:szCs w:val="16"/>
              </w:rPr>
            </w:pPr>
          </w:p>
          <w:p w:rsidR="00D44001" w:rsidRPr="00B0428B" w:rsidP="00D44001" w14:paraId="7C4128F3" w14:textId="77777777">
            <w:pPr>
              <w:keepNext/>
              <w:keepLines/>
              <w:widowControl/>
              <w:tabs>
                <w:tab w:val="left" w:pos="-1176"/>
              </w:tabs>
              <w:spacing w:after="58"/>
              <w:jc w:val="center"/>
              <w:rPr>
                <w:rFonts w:ascii="Arial" w:hAnsi="Arial" w:cs="Arial"/>
                <w:b/>
                <w:bCs/>
                <w:sz w:val="16"/>
                <w:szCs w:val="16"/>
              </w:rPr>
            </w:pPr>
            <w:r w:rsidRPr="00806C98">
              <w:rPr>
                <w:rFonts w:ascii="Arial" w:hAnsi="Arial" w:cs="Arial"/>
                <w:b/>
                <w:sz w:val="16"/>
                <w:szCs w:val="16"/>
              </w:rPr>
              <w:t>(c) x (d) = (e)</w:t>
            </w:r>
          </w:p>
        </w:tc>
      </w:tr>
      <w:tr w14:paraId="32BA98AF" w14:textId="77777777" w:rsidTr="00A91501">
        <w:tblPrEx>
          <w:tblW w:w="9360" w:type="dxa"/>
          <w:tblLayout w:type="fixed"/>
          <w:tblCellMar>
            <w:left w:w="120" w:type="dxa"/>
            <w:right w:w="120" w:type="dxa"/>
          </w:tblCellMar>
          <w:tblLook w:val="0000"/>
        </w:tblPrEx>
        <w:trPr>
          <w:cantSplit/>
        </w:trPr>
        <w:tc>
          <w:tcPr>
            <w:tcW w:w="900" w:type="dxa"/>
            <w:tcBorders>
              <w:top w:val="single" w:sz="7" w:space="0" w:color="000000"/>
              <w:left w:val="single" w:sz="7" w:space="0" w:color="000000"/>
              <w:bottom w:val="single" w:sz="7" w:space="0" w:color="000000"/>
              <w:right w:val="single" w:sz="7" w:space="0" w:color="000000"/>
            </w:tcBorders>
            <w:vAlign w:val="center"/>
          </w:tcPr>
          <w:p w:rsidR="00A91501" w:rsidRPr="00806C98" w:rsidP="00D44001" w14:paraId="170CF759" w14:textId="4DACA8FF">
            <w:pPr>
              <w:jc w:val="center"/>
              <w:rPr>
                <w:rFonts w:ascii="Arial" w:hAnsi="Arial" w:cs="Arial"/>
                <w:b/>
                <w:sz w:val="16"/>
                <w:szCs w:val="16"/>
              </w:rPr>
            </w:pPr>
            <w:r>
              <w:rPr>
                <w:rFonts w:ascii="Arial" w:hAnsi="Arial" w:cs="Arial"/>
                <w:b/>
                <w:sz w:val="16"/>
                <w:szCs w:val="16"/>
              </w:rPr>
              <w:t>1</w:t>
            </w:r>
          </w:p>
        </w:tc>
        <w:tc>
          <w:tcPr>
            <w:tcW w:w="2520" w:type="dxa"/>
            <w:tcBorders>
              <w:top w:val="single" w:sz="7" w:space="0" w:color="000000"/>
              <w:left w:val="single" w:sz="7" w:space="0" w:color="000000"/>
              <w:bottom w:val="single" w:sz="7" w:space="0" w:color="000000"/>
              <w:right w:val="single" w:sz="7" w:space="0" w:color="000000"/>
            </w:tcBorders>
            <w:vAlign w:val="center"/>
          </w:tcPr>
          <w:p w:rsidR="00A91501" w:rsidRPr="00A91501" w:rsidP="00A91501" w14:paraId="6779BF43" w14:textId="6CC57EB1">
            <w:pPr>
              <w:keepNext/>
              <w:keepLines/>
              <w:widowControl/>
              <w:tabs>
                <w:tab w:val="left" w:pos="-1176"/>
              </w:tabs>
              <w:spacing w:after="58"/>
              <w:rPr>
                <w:rFonts w:ascii="Arial" w:hAnsi="Arial" w:cs="Arial"/>
                <w:sz w:val="16"/>
                <w:szCs w:val="16"/>
              </w:rPr>
            </w:pPr>
            <w:r>
              <w:rPr>
                <w:rFonts w:ascii="Arial" w:hAnsi="Arial" w:cs="Arial"/>
                <w:sz w:val="16"/>
                <w:szCs w:val="16"/>
              </w:rPr>
              <w:t>Sequence Listing in Application</w:t>
            </w:r>
          </w:p>
        </w:tc>
        <w:tc>
          <w:tcPr>
            <w:tcW w:w="1170" w:type="dxa"/>
            <w:tcBorders>
              <w:top w:val="single" w:sz="7" w:space="0" w:color="000000"/>
              <w:left w:val="single" w:sz="7" w:space="0" w:color="000000"/>
              <w:bottom w:val="single" w:sz="7" w:space="0" w:color="000000"/>
              <w:right w:val="single" w:sz="7" w:space="0" w:color="000000"/>
            </w:tcBorders>
            <w:vAlign w:val="center"/>
          </w:tcPr>
          <w:p w:rsidR="00A91501" w:rsidRPr="00A91501" w:rsidP="00A91501" w14:paraId="44AB5471" w14:textId="7C59D84D">
            <w:pPr>
              <w:keepNext/>
              <w:keepLines/>
              <w:tabs>
                <w:tab w:val="left" w:pos="-1176"/>
              </w:tabs>
              <w:rPr>
                <w:rFonts w:ascii="Arial" w:hAnsi="Arial" w:cs="Arial"/>
                <w:sz w:val="16"/>
                <w:szCs w:val="16"/>
              </w:rPr>
            </w:pPr>
            <w:r>
              <w:rPr>
                <w:rFonts w:ascii="Arial" w:hAnsi="Arial" w:cs="Arial"/>
                <w:sz w:val="16"/>
                <w:szCs w:val="16"/>
              </w:rPr>
              <w:t>28,850</w:t>
            </w:r>
          </w:p>
        </w:tc>
        <w:tc>
          <w:tcPr>
            <w:tcW w:w="1170" w:type="dxa"/>
            <w:tcBorders>
              <w:top w:val="single" w:sz="7" w:space="0" w:color="000000"/>
              <w:left w:val="single" w:sz="7" w:space="0" w:color="000000"/>
              <w:bottom w:val="single" w:sz="7" w:space="0" w:color="000000"/>
              <w:right w:val="single" w:sz="7" w:space="0" w:color="000000"/>
            </w:tcBorders>
            <w:vAlign w:val="center"/>
          </w:tcPr>
          <w:p w:rsidR="00A91501" w:rsidRPr="00A91501" w:rsidP="00A91501" w14:paraId="7BD34A7D" w14:textId="6C6408B1">
            <w:pPr>
              <w:keepNext/>
              <w:keepLines/>
              <w:tabs>
                <w:tab w:val="left" w:pos="-1176"/>
              </w:tabs>
              <w:jc w:val="right"/>
              <w:rPr>
                <w:rFonts w:ascii="Arial" w:hAnsi="Arial" w:cs="Arial"/>
                <w:sz w:val="16"/>
                <w:szCs w:val="16"/>
              </w:rPr>
            </w:pPr>
            <w:r w:rsidRPr="00A91501">
              <w:rPr>
                <w:rFonts w:ascii="Arial" w:hAnsi="Arial" w:cs="Arial"/>
                <w:sz w:val="16"/>
                <w:szCs w:val="16"/>
              </w:rPr>
              <w:t>0.40</w:t>
            </w:r>
          </w:p>
        </w:tc>
        <w:tc>
          <w:tcPr>
            <w:tcW w:w="1260" w:type="dxa"/>
            <w:tcBorders>
              <w:top w:val="single" w:sz="7" w:space="0" w:color="000000"/>
              <w:left w:val="single" w:sz="7" w:space="0" w:color="000000"/>
              <w:bottom w:val="single" w:sz="7" w:space="0" w:color="000000"/>
              <w:right w:val="single" w:sz="7" w:space="0" w:color="000000"/>
            </w:tcBorders>
            <w:vAlign w:val="center"/>
          </w:tcPr>
          <w:p w:rsidR="00A91501" w:rsidRPr="00A91501" w:rsidP="00A91501" w14:paraId="73DD9CA3" w14:textId="146C2ACA">
            <w:pPr>
              <w:keepNext/>
              <w:keepLines/>
              <w:tabs>
                <w:tab w:val="left" w:pos="-1176"/>
              </w:tabs>
              <w:jc w:val="right"/>
              <w:rPr>
                <w:rFonts w:ascii="Arial" w:hAnsi="Arial" w:cs="Arial"/>
                <w:sz w:val="16"/>
                <w:szCs w:val="16"/>
              </w:rPr>
            </w:pPr>
            <w:r>
              <w:rPr>
                <w:rFonts w:ascii="Arial" w:hAnsi="Arial" w:cs="Arial"/>
                <w:sz w:val="16"/>
                <w:szCs w:val="16"/>
              </w:rPr>
              <w:t>11,540</w:t>
            </w:r>
          </w:p>
        </w:tc>
        <w:tc>
          <w:tcPr>
            <w:tcW w:w="1080" w:type="dxa"/>
            <w:tcBorders>
              <w:top w:val="single" w:sz="7" w:space="0" w:color="000000"/>
              <w:left w:val="single" w:sz="7" w:space="0" w:color="000000"/>
              <w:bottom w:val="single" w:sz="7" w:space="0" w:color="000000"/>
              <w:right w:val="single" w:sz="7" w:space="0" w:color="000000"/>
            </w:tcBorders>
            <w:vAlign w:val="center"/>
          </w:tcPr>
          <w:p w:rsidR="00A91501" w:rsidRPr="00A91501" w:rsidP="00A91501" w14:paraId="17CF038A" w14:textId="47DB29D8">
            <w:pPr>
              <w:keepNext/>
              <w:keepLines/>
              <w:tabs>
                <w:tab w:val="left" w:pos="-1176"/>
              </w:tabs>
              <w:jc w:val="right"/>
              <w:rPr>
                <w:rFonts w:ascii="Arial" w:hAnsi="Arial" w:cs="Arial"/>
                <w:sz w:val="16"/>
                <w:szCs w:val="16"/>
              </w:rPr>
            </w:pPr>
            <w:r>
              <w:rPr>
                <w:rFonts w:ascii="Arial" w:hAnsi="Arial" w:cs="Arial"/>
                <w:sz w:val="16"/>
                <w:szCs w:val="16"/>
              </w:rPr>
              <w:t>$50.31</w:t>
            </w:r>
          </w:p>
        </w:tc>
        <w:tc>
          <w:tcPr>
            <w:tcW w:w="1260" w:type="dxa"/>
            <w:tcBorders>
              <w:top w:val="single" w:sz="7" w:space="0" w:color="000000"/>
              <w:left w:val="single" w:sz="7" w:space="0" w:color="000000"/>
              <w:bottom w:val="single" w:sz="7" w:space="0" w:color="000000"/>
              <w:right w:val="single" w:sz="7" w:space="0" w:color="000000"/>
            </w:tcBorders>
            <w:vAlign w:val="center"/>
          </w:tcPr>
          <w:p w:rsidR="00A91501" w:rsidRPr="00A91501" w:rsidP="00A91501" w14:paraId="7BC79561" w14:textId="4AD2F39F">
            <w:pPr>
              <w:keepNext/>
              <w:keepLines/>
              <w:tabs>
                <w:tab w:val="left" w:pos="-1176"/>
              </w:tabs>
              <w:jc w:val="right"/>
              <w:rPr>
                <w:rFonts w:ascii="Arial" w:hAnsi="Arial" w:cs="Arial"/>
                <w:sz w:val="16"/>
                <w:szCs w:val="16"/>
              </w:rPr>
            </w:pPr>
            <w:r>
              <w:rPr>
                <w:rFonts w:ascii="Arial" w:hAnsi="Arial" w:cs="Arial"/>
                <w:sz w:val="16"/>
                <w:szCs w:val="16"/>
              </w:rPr>
              <w:t>$580,577</w:t>
            </w:r>
          </w:p>
        </w:tc>
      </w:tr>
      <w:tr w14:paraId="03446C17" w14:textId="77777777" w:rsidTr="00A91501">
        <w:tblPrEx>
          <w:tblW w:w="9360" w:type="dxa"/>
          <w:tblLayout w:type="fixed"/>
          <w:tblCellMar>
            <w:left w:w="120" w:type="dxa"/>
            <w:right w:w="120" w:type="dxa"/>
          </w:tblCellMar>
          <w:tblLook w:val="0000"/>
        </w:tblPrEx>
        <w:trPr>
          <w:cantSplit/>
        </w:trPr>
        <w:tc>
          <w:tcPr>
            <w:tcW w:w="900" w:type="dxa"/>
            <w:tcBorders>
              <w:top w:val="single" w:sz="7" w:space="0" w:color="000000"/>
              <w:left w:val="single" w:sz="7" w:space="0" w:color="000000"/>
              <w:bottom w:val="single" w:sz="7" w:space="0" w:color="000000"/>
              <w:right w:val="single" w:sz="7" w:space="0" w:color="000000"/>
            </w:tcBorders>
            <w:vAlign w:val="center"/>
          </w:tcPr>
          <w:p w:rsidR="000F74C0" w:rsidP="00D44001" w14:paraId="1A906DF6" w14:textId="77777777">
            <w:pPr>
              <w:jc w:val="center"/>
              <w:rPr>
                <w:rFonts w:ascii="Arial" w:hAnsi="Arial" w:cs="Arial"/>
                <w:b/>
                <w:sz w:val="16"/>
                <w:szCs w:val="16"/>
              </w:rPr>
            </w:pPr>
          </w:p>
        </w:tc>
        <w:tc>
          <w:tcPr>
            <w:tcW w:w="2520" w:type="dxa"/>
            <w:tcBorders>
              <w:top w:val="single" w:sz="7" w:space="0" w:color="000000"/>
              <w:left w:val="single" w:sz="7" w:space="0" w:color="000000"/>
              <w:bottom w:val="single" w:sz="7" w:space="0" w:color="000000"/>
              <w:right w:val="single" w:sz="7" w:space="0" w:color="000000"/>
            </w:tcBorders>
            <w:vAlign w:val="center"/>
          </w:tcPr>
          <w:p w:rsidR="000F74C0" w:rsidRPr="000F74C0" w:rsidP="00A91501" w14:paraId="31D73083" w14:textId="4194F2CA">
            <w:pPr>
              <w:keepNext/>
              <w:keepLines/>
              <w:widowControl/>
              <w:tabs>
                <w:tab w:val="left" w:pos="-1176"/>
              </w:tabs>
              <w:spacing w:after="58"/>
              <w:rPr>
                <w:rFonts w:ascii="Arial" w:hAnsi="Arial" w:cs="Arial"/>
                <w:b/>
                <w:sz w:val="16"/>
                <w:szCs w:val="16"/>
              </w:rPr>
            </w:pPr>
            <w:r>
              <w:rPr>
                <w:rFonts w:ascii="Arial" w:hAnsi="Arial" w:cs="Arial"/>
                <w:b/>
                <w:sz w:val="16"/>
                <w:szCs w:val="16"/>
              </w:rPr>
              <w:t>Totals</w:t>
            </w:r>
          </w:p>
        </w:tc>
        <w:tc>
          <w:tcPr>
            <w:tcW w:w="1170" w:type="dxa"/>
            <w:tcBorders>
              <w:top w:val="single" w:sz="7" w:space="0" w:color="000000"/>
              <w:left w:val="single" w:sz="7" w:space="0" w:color="000000"/>
              <w:bottom w:val="single" w:sz="7" w:space="0" w:color="000000"/>
              <w:right w:val="single" w:sz="7" w:space="0" w:color="000000"/>
            </w:tcBorders>
            <w:vAlign w:val="center"/>
          </w:tcPr>
          <w:p w:rsidR="000F74C0" w:rsidRPr="000F74C0" w:rsidP="00A91501" w14:paraId="276CE9A2" w14:textId="1E635D46">
            <w:pPr>
              <w:keepNext/>
              <w:keepLines/>
              <w:tabs>
                <w:tab w:val="left" w:pos="-1176"/>
              </w:tabs>
              <w:rPr>
                <w:rFonts w:ascii="Arial" w:hAnsi="Arial" w:cs="Arial"/>
                <w:b/>
                <w:sz w:val="16"/>
                <w:szCs w:val="16"/>
              </w:rPr>
            </w:pPr>
            <w:r>
              <w:rPr>
                <w:rFonts w:ascii="Arial" w:hAnsi="Arial" w:cs="Arial"/>
                <w:b/>
                <w:sz w:val="16"/>
                <w:szCs w:val="16"/>
              </w:rPr>
              <w:t>28,850</w:t>
            </w:r>
          </w:p>
        </w:tc>
        <w:tc>
          <w:tcPr>
            <w:tcW w:w="1170" w:type="dxa"/>
            <w:tcBorders>
              <w:top w:val="single" w:sz="7" w:space="0" w:color="000000"/>
              <w:left w:val="single" w:sz="7" w:space="0" w:color="000000"/>
              <w:bottom w:val="single" w:sz="7" w:space="0" w:color="000000"/>
              <w:right w:val="single" w:sz="7" w:space="0" w:color="000000"/>
            </w:tcBorders>
            <w:vAlign w:val="center"/>
          </w:tcPr>
          <w:p w:rsidR="000F74C0" w:rsidRPr="000F74C0" w:rsidP="000F74C0" w14:paraId="184BAFBD" w14:textId="37F744E1">
            <w:pPr>
              <w:keepNext/>
              <w:keepLines/>
              <w:tabs>
                <w:tab w:val="left" w:pos="-1176"/>
              </w:tabs>
              <w:jc w:val="right"/>
              <w:rPr>
                <w:rFonts w:ascii="Arial" w:hAnsi="Arial" w:cs="Arial"/>
                <w:sz w:val="16"/>
                <w:szCs w:val="16"/>
              </w:rPr>
            </w:pPr>
            <w:r>
              <w:rPr>
                <w:rFonts w:ascii="Arial" w:hAnsi="Arial" w:cs="Arial"/>
                <w:b/>
                <w:bCs/>
                <w:sz w:val="16"/>
                <w:szCs w:val="16"/>
              </w:rPr>
              <w:t>- - -</w:t>
            </w:r>
          </w:p>
        </w:tc>
        <w:tc>
          <w:tcPr>
            <w:tcW w:w="1260" w:type="dxa"/>
            <w:tcBorders>
              <w:top w:val="single" w:sz="7" w:space="0" w:color="000000"/>
              <w:left w:val="single" w:sz="7" w:space="0" w:color="000000"/>
              <w:bottom w:val="single" w:sz="7" w:space="0" w:color="000000"/>
              <w:right w:val="single" w:sz="7" w:space="0" w:color="000000"/>
            </w:tcBorders>
            <w:vAlign w:val="center"/>
          </w:tcPr>
          <w:p w:rsidR="000F74C0" w:rsidRPr="000F74C0" w:rsidP="00A91501" w14:paraId="2AA1AEDE" w14:textId="2BCC27D7">
            <w:pPr>
              <w:keepNext/>
              <w:keepLines/>
              <w:tabs>
                <w:tab w:val="left" w:pos="-1176"/>
              </w:tabs>
              <w:jc w:val="right"/>
              <w:rPr>
                <w:rFonts w:ascii="Arial" w:hAnsi="Arial" w:cs="Arial"/>
                <w:b/>
                <w:sz w:val="16"/>
                <w:szCs w:val="16"/>
              </w:rPr>
            </w:pPr>
            <w:r w:rsidRPr="000F74C0">
              <w:rPr>
                <w:rFonts w:ascii="Arial" w:hAnsi="Arial" w:cs="Arial"/>
                <w:b/>
                <w:sz w:val="16"/>
                <w:szCs w:val="16"/>
              </w:rPr>
              <w:t>11,540</w:t>
            </w:r>
          </w:p>
        </w:tc>
        <w:tc>
          <w:tcPr>
            <w:tcW w:w="1080" w:type="dxa"/>
            <w:tcBorders>
              <w:top w:val="single" w:sz="7" w:space="0" w:color="000000"/>
              <w:left w:val="single" w:sz="7" w:space="0" w:color="000000"/>
              <w:bottom w:val="single" w:sz="7" w:space="0" w:color="000000"/>
              <w:right w:val="single" w:sz="7" w:space="0" w:color="000000"/>
            </w:tcBorders>
            <w:vAlign w:val="center"/>
          </w:tcPr>
          <w:p w:rsidR="000F74C0" w:rsidP="00A91501" w14:paraId="17BE3FE3" w14:textId="3C324A39">
            <w:pPr>
              <w:keepNext/>
              <w:keepLines/>
              <w:tabs>
                <w:tab w:val="left" w:pos="-1176"/>
              </w:tabs>
              <w:jc w:val="right"/>
              <w:rPr>
                <w:rFonts w:ascii="Arial" w:hAnsi="Arial" w:cs="Arial"/>
                <w:sz w:val="16"/>
                <w:szCs w:val="16"/>
              </w:rPr>
            </w:pPr>
            <w:r>
              <w:rPr>
                <w:rFonts w:ascii="Arial" w:hAnsi="Arial" w:cs="Arial"/>
                <w:b/>
                <w:bCs/>
                <w:sz w:val="16"/>
                <w:szCs w:val="16"/>
              </w:rPr>
              <w:t>- - -</w:t>
            </w:r>
          </w:p>
        </w:tc>
        <w:tc>
          <w:tcPr>
            <w:tcW w:w="1260" w:type="dxa"/>
            <w:tcBorders>
              <w:top w:val="single" w:sz="7" w:space="0" w:color="000000"/>
              <w:left w:val="single" w:sz="7" w:space="0" w:color="000000"/>
              <w:bottom w:val="single" w:sz="7" w:space="0" w:color="000000"/>
              <w:right w:val="single" w:sz="7" w:space="0" w:color="000000"/>
            </w:tcBorders>
            <w:vAlign w:val="center"/>
          </w:tcPr>
          <w:p w:rsidR="000F74C0" w:rsidRPr="000F74C0" w:rsidP="00A91501" w14:paraId="78A594A5" w14:textId="0EEFC142">
            <w:pPr>
              <w:keepNext/>
              <w:keepLines/>
              <w:tabs>
                <w:tab w:val="left" w:pos="-1176"/>
              </w:tabs>
              <w:jc w:val="right"/>
              <w:rPr>
                <w:rFonts w:ascii="Arial" w:hAnsi="Arial" w:cs="Arial"/>
                <w:b/>
                <w:sz w:val="16"/>
                <w:szCs w:val="16"/>
              </w:rPr>
            </w:pPr>
            <w:r w:rsidRPr="000F74C0">
              <w:rPr>
                <w:rFonts w:ascii="Arial" w:hAnsi="Arial" w:cs="Arial"/>
                <w:b/>
                <w:sz w:val="16"/>
                <w:szCs w:val="16"/>
              </w:rPr>
              <w:t>$580,577</w:t>
            </w:r>
          </w:p>
        </w:tc>
      </w:tr>
    </w:tbl>
    <w:p w:rsidR="00636EDA" w:rsidRPr="00931AF7" w:rsidP="00636EDA" w14:paraId="79D4A1BA" w14:textId="77777777">
      <w:pPr>
        <w:widowControl/>
        <w:tabs>
          <w:tab w:val="left" w:pos="-984"/>
          <w:tab w:val="left" w:pos="-720"/>
          <w:tab w:val="left" w:pos="720"/>
        </w:tabs>
        <w:jc w:val="both"/>
        <w:rPr>
          <w:rFonts w:ascii="Arial" w:hAnsi="Arial" w:cs="Arial"/>
        </w:rPr>
      </w:pPr>
    </w:p>
    <w:p w:rsidR="00567B74" w:rsidRPr="00F2336C" w:rsidP="00F2336C" w14:paraId="2D3E549F" w14:textId="458DCDD7">
      <w:pPr>
        <w:pStyle w:val="ListParagraph"/>
        <w:widowControl/>
        <w:numPr>
          <w:ilvl w:val="0"/>
          <w:numId w:val="15"/>
        </w:numPr>
        <w:tabs>
          <w:tab w:val="left" w:pos="-984"/>
          <w:tab w:val="left" w:pos="-720"/>
          <w:tab w:val="left" w:pos="720"/>
        </w:tabs>
        <w:jc w:val="both"/>
        <w:rPr>
          <w:rFonts w:ascii="Arial" w:hAnsi="Arial" w:cs="Arial"/>
          <w:b/>
          <w:sz w:val="32"/>
        </w:rPr>
      </w:pPr>
      <w:r>
        <w:rPr>
          <w:rFonts w:ascii="Arial" w:hAnsi="Arial" w:cs="Arial"/>
          <w:b/>
          <w:szCs w:val="20"/>
        </w:rPr>
        <w:t xml:space="preserve">  </w:t>
      </w:r>
      <w:r w:rsidRPr="00F2336C">
        <w:rPr>
          <w:rFonts w:ascii="Arial" w:hAnsi="Arial" w:cs="Arial"/>
          <w:b/>
          <w:szCs w:val="20"/>
        </w:rPr>
        <w:t xml:space="preserve">Explain the reasons for any program changes or adjustments reported on the burden worksheet. </w:t>
      </w:r>
    </w:p>
    <w:p w:rsidR="00AD7FC4" w:rsidP="00AD7FC4" w14:paraId="46A89A30" w14:textId="77777777">
      <w:pPr>
        <w:widowControl/>
        <w:tabs>
          <w:tab w:val="left" w:pos="-984"/>
          <w:tab w:val="left" w:pos="-720"/>
          <w:tab w:val="left" w:pos="720"/>
        </w:tabs>
        <w:jc w:val="both"/>
        <w:rPr>
          <w:rFonts w:ascii="Arial" w:hAnsi="Arial" w:cs="Arial"/>
        </w:rPr>
      </w:pP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5A7EDFB2" w14:textId="77777777" w:rsidTr="008E1811">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D7FC4" w:rsidRPr="008E27CC" w:rsidP="00256ACE" w14:paraId="4D300E5C" w14:textId="77777777">
            <w:pPr>
              <w:widowControl/>
              <w:autoSpaceDE/>
              <w:autoSpaceDN/>
              <w:adjustRightInd/>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D7FC4" w:rsidRPr="008E27CC" w:rsidP="00256ACE" w14:paraId="47A3C0FA" w14:textId="77777777">
            <w:pPr>
              <w:widowControl/>
              <w:autoSpaceDE/>
              <w:autoSpaceDN/>
              <w:adjustRightInd/>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D7FC4" w:rsidRPr="008E27CC" w:rsidP="00256ACE" w14:paraId="702F23B0" w14:textId="77777777">
            <w:pPr>
              <w:widowControl/>
              <w:autoSpaceDE/>
              <w:autoSpaceDN/>
              <w:adjustRightInd/>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D7FC4" w:rsidRPr="008E27CC" w:rsidP="00256ACE" w14:paraId="5B791437" w14:textId="77777777">
            <w:pPr>
              <w:widowControl/>
              <w:autoSpaceDE/>
              <w:autoSpaceDN/>
              <w:adjustRightInd/>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D7FC4" w:rsidRPr="008E27CC" w:rsidP="00256ACE" w14:paraId="4F0976CB" w14:textId="77777777">
            <w:pPr>
              <w:widowControl/>
              <w:autoSpaceDE/>
              <w:autoSpaceDN/>
              <w:adjustRightInd/>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D7FC4" w:rsidRPr="008E27CC" w:rsidP="00256ACE" w14:paraId="391F2A68" w14:textId="77777777">
            <w:pPr>
              <w:widowControl/>
              <w:autoSpaceDE/>
              <w:autoSpaceDN/>
              <w:adjustRightInd/>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Violation of the PRA</w:t>
            </w:r>
          </w:p>
        </w:tc>
        <w:tc>
          <w:tcPr>
            <w:tcW w:w="70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D7FC4" w:rsidRPr="008E27CC" w:rsidP="00256ACE" w14:paraId="7BAA9764" w14:textId="77777777">
            <w:pPr>
              <w:widowControl/>
              <w:autoSpaceDE/>
              <w:autoSpaceDN/>
              <w:adjustRightInd/>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2A21C04A" w14:textId="77777777" w:rsidTr="008E1811">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D7FC4" w:rsidRPr="008E27CC" w:rsidP="00256ACE" w14:paraId="50589FFB" w14:textId="77777777">
            <w:pPr>
              <w:widowControl/>
              <w:autoSpaceDE/>
              <w:autoSpaceDN/>
              <w:adjustRightInd/>
              <w:spacing w:line="225" w:lineRule="atLeast"/>
              <w:rPr>
                <w:rFonts w:ascii="Arial" w:hAnsi="Arial" w:cs="Arial"/>
                <w:color w:val="56606F"/>
                <w:sz w:val="17"/>
                <w:szCs w:val="17"/>
              </w:rPr>
            </w:pPr>
            <w:r w:rsidRPr="008E27CC">
              <w:rPr>
                <w:rFonts w:ascii="Arial" w:hAnsi="Arial" w:cs="Arial"/>
                <w:color w:val="56606F"/>
                <w:sz w:val="17"/>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D7FC4" w:rsidRPr="00216B80" w:rsidP="00256ACE" w14:paraId="72FE44BC" w14:textId="2E757F1D">
            <w:pPr>
              <w:widowControl/>
              <w:autoSpaceDE/>
              <w:autoSpaceDN/>
              <w:adjustRightInd/>
              <w:spacing w:line="225" w:lineRule="atLeast"/>
              <w:rPr>
                <w:rFonts w:ascii="Arial" w:hAnsi="Arial" w:cs="Arial"/>
                <w:sz w:val="17"/>
                <w:szCs w:val="17"/>
              </w:rPr>
            </w:pPr>
            <w:r w:rsidRPr="00216B80">
              <w:rPr>
                <w:rFonts w:ascii="Arial" w:hAnsi="Arial" w:cs="Arial"/>
                <w:sz w:val="17"/>
                <w:szCs w:val="17"/>
              </w:rPr>
              <w:t> 2</w:t>
            </w:r>
            <w:r w:rsidRPr="00216B80" w:rsidR="00216B80">
              <w:rPr>
                <w:rFonts w:ascii="Arial" w:hAnsi="Arial" w:cs="Arial"/>
                <w:sz w:val="17"/>
                <w:szCs w:val="17"/>
              </w:rPr>
              <w:t>8,550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D7FC4" w:rsidRPr="00216B80" w:rsidP="00256ACE" w14:paraId="1F9FD75C" w14:textId="02F788EA">
            <w:pPr>
              <w:widowControl/>
              <w:autoSpaceDE/>
              <w:autoSpaceDN/>
              <w:adjustRightInd/>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D7FC4" w:rsidRPr="00216B80" w:rsidP="00256ACE" w14:paraId="5215B006" w14:textId="77777777">
            <w:pPr>
              <w:widowControl/>
              <w:autoSpaceDE/>
              <w:autoSpaceDN/>
              <w:adjustRightInd/>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D7FC4" w:rsidRPr="00216B80" w:rsidP="00256ACE" w14:paraId="250EBA96" w14:textId="59D703FF">
            <w:pPr>
              <w:widowControl/>
              <w:autoSpaceDE/>
              <w:autoSpaceDN/>
              <w:adjustRightInd/>
              <w:spacing w:line="225" w:lineRule="atLeast"/>
              <w:rPr>
                <w:rFonts w:ascii="Arial" w:hAnsi="Arial" w:cs="Arial"/>
                <w:sz w:val="17"/>
                <w:szCs w:val="17"/>
              </w:rPr>
            </w:pPr>
            <w:r w:rsidRPr="00216B80">
              <w:rPr>
                <w:rFonts w:ascii="Arial" w:hAnsi="Arial" w:cs="Arial"/>
                <w:sz w:val="17"/>
                <w:szCs w:val="17"/>
              </w:rPr>
              <w:t> </w:t>
            </w:r>
            <w:r w:rsidR="008E4CFB">
              <w:rPr>
                <w:rFonts w:ascii="Arial" w:hAnsi="Arial" w:cs="Arial"/>
                <w:sz w:val="17"/>
                <w:szCs w:val="17"/>
              </w:rPr>
              <w:t>4,700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D7FC4" w:rsidRPr="00216B80" w:rsidP="00256ACE" w14:paraId="4118CF41" w14:textId="77777777">
            <w:pPr>
              <w:widowControl/>
              <w:autoSpaceDE/>
              <w:autoSpaceDN/>
              <w:adjustRightInd/>
              <w:spacing w:line="225" w:lineRule="atLeast"/>
              <w:rPr>
                <w:rFonts w:ascii="Arial" w:hAnsi="Arial" w:cs="Arial"/>
                <w:sz w:val="17"/>
                <w:szCs w:val="17"/>
              </w:rPr>
            </w:pPr>
            <w:r w:rsidRPr="00216B80">
              <w:rPr>
                <w:rFonts w:ascii="Arial" w:hAnsi="Arial" w:cs="Arial"/>
                <w:sz w:val="17"/>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D7FC4" w:rsidRPr="00216B80" w:rsidP="00256ACE" w14:paraId="6FD3C461" w14:textId="0F2C953C">
            <w:pPr>
              <w:widowControl/>
              <w:autoSpaceDE/>
              <w:autoSpaceDN/>
              <w:adjustRightInd/>
              <w:spacing w:line="225" w:lineRule="atLeast"/>
              <w:rPr>
                <w:rFonts w:ascii="Arial" w:hAnsi="Arial" w:cs="Arial"/>
                <w:sz w:val="17"/>
                <w:szCs w:val="17"/>
              </w:rPr>
            </w:pPr>
            <w:r>
              <w:rPr>
                <w:rFonts w:ascii="Arial" w:hAnsi="Arial" w:cs="Arial"/>
                <w:sz w:val="17"/>
                <w:szCs w:val="17"/>
              </w:rPr>
              <w:t>23,850</w:t>
            </w:r>
          </w:p>
        </w:tc>
      </w:tr>
      <w:tr w14:paraId="593D09BB" w14:textId="77777777" w:rsidTr="008E1811">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D7FC4" w:rsidRPr="008E27CC" w:rsidP="00256ACE" w14:paraId="6BDAA4E1" w14:textId="77777777">
            <w:pPr>
              <w:widowControl/>
              <w:autoSpaceDE/>
              <w:autoSpaceDN/>
              <w:adjustRightInd/>
              <w:spacing w:line="225" w:lineRule="atLeast"/>
              <w:rPr>
                <w:rFonts w:ascii="Arial" w:hAnsi="Arial" w:cs="Arial"/>
                <w:color w:val="56606F"/>
                <w:sz w:val="17"/>
                <w:szCs w:val="17"/>
              </w:rPr>
            </w:pPr>
            <w:r w:rsidRPr="008E27CC">
              <w:rPr>
                <w:rFonts w:ascii="Arial" w:hAnsi="Arial" w:cs="Arial"/>
                <w:color w:val="56606F"/>
                <w:sz w:val="17"/>
                <w:szCs w:val="17"/>
              </w:rPr>
              <w:t>Annual Time Burden (</w:t>
            </w:r>
            <w:r w:rsidRPr="008E27CC">
              <w:rPr>
                <w:rFonts w:ascii="Arial" w:hAnsi="Arial" w:cs="Arial"/>
                <w:color w:val="56606F"/>
                <w:sz w:val="17"/>
                <w:szCs w:val="17"/>
              </w:rPr>
              <w:t>Hr</w:t>
            </w:r>
            <w:r w:rsidRPr="008E27CC">
              <w:rPr>
                <w:rFonts w:ascii="Arial" w:hAnsi="Arial" w:cs="Arial"/>
                <w:color w:val="56606F"/>
                <w:sz w:val="17"/>
                <w:szCs w:val="17"/>
              </w:rPr>
              <w:t>)</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D7FC4" w:rsidRPr="00216B80" w:rsidP="00256ACE" w14:paraId="3DF44F50" w14:textId="511A15C7">
            <w:pPr>
              <w:widowControl/>
              <w:autoSpaceDE/>
              <w:autoSpaceDN/>
              <w:adjustRightInd/>
              <w:spacing w:line="225" w:lineRule="atLeast"/>
              <w:rPr>
                <w:rFonts w:ascii="Arial" w:hAnsi="Arial" w:cs="Arial"/>
                <w:sz w:val="17"/>
                <w:szCs w:val="17"/>
              </w:rPr>
            </w:pPr>
            <w:r w:rsidRPr="00216B80">
              <w:rPr>
                <w:rFonts w:ascii="Arial" w:hAnsi="Arial" w:cs="Arial"/>
                <w:sz w:val="17"/>
                <w:szCs w:val="17"/>
              </w:rPr>
              <w:t>171,300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D7FC4" w:rsidRPr="00216B80" w:rsidP="00256ACE" w14:paraId="60938867" w14:textId="21E02198">
            <w:pPr>
              <w:widowControl/>
              <w:autoSpaceDE/>
              <w:autoSpaceDN/>
              <w:adjustRightInd/>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D7FC4" w:rsidRPr="00216B80" w:rsidP="00256ACE" w14:paraId="16E4B72E" w14:textId="77777777">
            <w:pPr>
              <w:widowControl/>
              <w:autoSpaceDE/>
              <w:autoSpaceDN/>
              <w:adjustRightInd/>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D7FC4" w:rsidRPr="00216B80" w:rsidP="00256ACE" w14:paraId="5F54186E" w14:textId="45CB90F7">
            <w:pPr>
              <w:widowControl/>
              <w:autoSpaceDE/>
              <w:autoSpaceDN/>
              <w:adjustRightInd/>
              <w:spacing w:line="225" w:lineRule="atLeast"/>
              <w:rPr>
                <w:rFonts w:ascii="Arial" w:hAnsi="Arial" w:cs="Arial"/>
                <w:sz w:val="17"/>
                <w:szCs w:val="17"/>
              </w:rPr>
            </w:pPr>
            <w:r w:rsidRPr="00216B80">
              <w:rPr>
                <w:rFonts w:ascii="Arial" w:hAnsi="Arial" w:cs="Arial"/>
                <w:sz w:val="17"/>
                <w:szCs w:val="17"/>
              </w:rPr>
              <w:t> </w:t>
            </w:r>
            <w:r w:rsidRPr="00216B80" w:rsidR="00216B80">
              <w:rPr>
                <w:rFonts w:ascii="Arial" w:hAnsi="Arial" w:cs="Arial"/>
                <w:sz w:val="17"/>
                <w:szCs w:val="17"/>
              </w:rPr>
              <w:t>37,</w:t>
            </w:r>
            <w:r w:rsidR="008E4CFB">
              <w:rPr>
                <w:rFonts w:ascii="Arial" w:hAnsi="Arial" w:cs="Arial"/>
                <w:sz w:val="17"/>
                <w:szCs w:val="17"/>
              </w:rPr>
              <w:t>345</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D7FC4" w:rsidRPr="00216B80" w:rsidP="00256ACE" w14:paraId="383A210F" w14:textId="77777777">
            <w:pPr>
              <w:widowControl/>
              <w:autoSpaceDE/>
              <w:autoSpaceDN/>
              <w:adjustRightInd/>
              <w:spacing w:line="225" w:lineRule="atLeast"/>
              <w:rPr>
                <w:rFonts w:ascii="Arial" w:hAnsi="Arial" w:cs="Arial"/>
                <w:sz w:val="17"/>
                <w:szCs w:val="17"/>
              </w:rPr>
            </w:pPr>
            <w:r w:rsidRPr="00216B80">
              <w:rPr>
                <w:rFonts w:ascii="Arial" w:hAnsi="Arial" w:cs="Arial"/>
                <w:sz w:val="17"/>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D7FC4" w:rsidRPr="00216B80" w:rsidP="00256ACE" w14:paraId="291301E9" w14:textId="454EAFAE">
            <w:pPr>
              <w:widowControl/>
              <w:autoSpaceDE/>
              <w:autoSpaceDN/>
              <w:adjustRightInd/>
              <w:spacing w:line="225" w:lineRule="atLeast"/>
              <w:rPr>
                <w:rFonts w:ascii="Arial" w:hAnsi="Arial" w:cs="Arial"/>
                <w:sz w:val="17"/>
                <w:szCs w:val="17"/>
              </w:rPr>
            </w:pPr>
            <w:r>
              <w:rPr>
                <w:rFonts w:ascii="Arial" w:hAnsi="Arial" w:cs="Arial"/>
                <w:sz w:val="17"/>
                <w:szCs w:val="17"/>
              </w:rPr>
              <w:t>133,955</w:t>
            </w:r>
          </w:p>
        </w:tc>
      </w:tr>
      <w:tr w14:paraId="0D1A2F43" w14:textId="77777777" w:rsidTr="008E1811">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D7FC4" w:rsidRPr="008E1811" w:rsidP="00256ACE" w14:paraId="15AB2CB8" w14:textId="77777777">
            <w:pPr>
              <w:widowControl/>
              <w:autoSpaceDE/>
              <w:autoSpaceDN/>
              <w:adjustRightInd/>
              <w:spacing w:line="225" w:lineRule="atLeast"/>
              <w:rPr>
                <w:rFonts w:ascii="Arial" w:hAnsi="Arial" w:cs="Arial"/>
                <w:sz w:val="17"/>
                <w:szCs w:val="17"/>
              </w:rPr>
            </w:pPr>
            <w:r w:rsidRPr="008E1811">
              <w:rPr>
                <w:rFonts w:ascii="Arial" w:hAnsi="Arial" w:cs="Arial"/>
                <w:sz w:val="17"/>
                <w:szCs w:val="17"/>
              </w:rPr>
              <w:t>Annual Cost Burden ($)</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D7FC4" w:rsidRPr="008E1811" w:rsidP="00256ACE" w14:paraId="62DF43E4" w14:textId="127E681B">
            <w:pPr>
              <w:widowControl/>
              <w:autoSpaceDE/>
              <w:autoSpaceDN/>
              <w:adjustRightInd/>
              <w:spacing w:line="225" w:lineRule="atLeast"/>
              <w:rPr>
                <w:rFonts w:ascii="Arial" w:hAnsi="Arial" w:cs="Arial"/>
                <w:sz w:val="17"/>
                <w:szCs w:val="17"/>
              </w:rPr>
            </w:pPr>
            <w:r w:rsidRPr="008E1811">
              <w:rPr>
                <w:rFonts w:ascii="Arial" w:hAnsi="Arial" w:cs="Arial"/>
                <w:sz w:val="17"/>
                <w:szCs w:val="17"/>
              </w:rPr>
              <w:t>1,483,936</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D7FC4" w:rsidRPr="008E1811" w:rsidP="00256ACE" w14:paraId="2A3C72BF" w14:textId="77777777">
            <w:pPr>
              <w:widowControl/>
              <w:autoSpaceDE/>
              <w:autoSpaceDN/>
              <w:adjustRightInd/>
              <w:spacing w:line="225" w:lineRule="atLeast"/>
              <w:rPr>
                <w:rFonts w:ascii="Arial" w:hAnsi="Arial" w:cs="Arial"/>
                <w:sz w:val="17"/>
                <w:szCs w:val="17"/>
              </w:rPr>
            </w:pPr>
            <w:r w:rsidRPr="008E1811">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D7FC4" w:rsidRPr="008E1811" w:rsidP="00256ACE" w14:paraId="6C0AD8F5" w14:textId="77777777">
            <w:pPr>
              <w:widowControl/>
              <w:autoSpaceDE/>
              <w:autoSpaceDN/>
              <w:adjustRightInd/>
              <w:spacing w:line="225" w:lineRule="atLeast"/>
              <w:rPr>
                <w:rFonts w:ascii="Arial" w:hAnsi="Arial" w:cs="Arial"/>
                <w:sz w:val="17"/>
                <w:szCs w:val="17"/>
              </w:rPr>
            </w:pPr>
            <w:r w:rsidRPr="008E1811">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D7FC4" w:rsidRPr="008E1811" w:rsidP="00256ACE" w14:paraId="77322B75" w14:textId="6F65789B">
            <w:pPr>
              <w:widowControl/>
              <w:autoSpaceDE/>
              <w:autoSpaceDN/>
              <w:adjustRightInd/>
              <w:spacing w:line="225" w:lineRule="atLeast"/>
              <w:rPr>
                <w:rFonts w:ascii="Arial" w:hAnsi="Arial" w:cs="Arial"/>
                <w:sz w:val="17"/>
                <w:szCs w:val="17"/>
              </w:rPr>
            </w:pPr>
            <w:r w:rsidRPr="008E1811">
              <w:rPr>
                <w:rFonts w:ascii="Arial" w:hAnsi="Arial" w:cs="Arial"/>
                <w:sz w:val="17"/>
                <w:szCs w:val="17"/>
              </w:rPr>
              <w:t>220,463</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D7FC4" w:rsidRPr="00216B80" w:rsidP="00256ACE" w14:paraId="5ABA1C77" w14:textId="77777777">
            <w:pPr>
              <w:widowControl/>
              <w:autoSpaceDE/>
              <w:autoSpaceDN/>
              <w:adjustRightInd/>
              <w:spacing w:line="225" w:lineRule="atLeast"/>
              <w:rPr>
                <w:rFonts w:ascii="Arial" w:hAnsi="Arial" w:cs="Arial"/>
                <w:sz w:val="17"/>
                <w:szCs w:val="17"/>
              </w:rPr>
            </w:pPr>
            <w:r w:rsidRPr="00216B80">
              <w:rPr>
                <w:rFonts w:ascii="Arial" w:hAnsi="Arial" w:cs="Arial"/>
                <w:sz w:val="17"/>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D7FC4" w:rsidRPr="00216B80" w:rsidP="00256ACE" w14:paraId="30E2EFE7" w14:textId="511557E7">
            <w:pPr>
              <w:widowControl/>
              <w:autoSpaceDE/>
              <w:autoSpaceDN/>
              <w:adjustRightInd/>
              <w:spacing w:line="225" w:lineRule="atLeast"/>
              <w:rPr>
                <w:rFonts w:ascii="Arial" w:hAnsi="Arial" w:cs="Arial"/>
                <w:sz w:val="17"/>
                <w:szCs w:val="17"/>
              </w:rPr>
            </w:pPr>
            <w:r>
              <w:rPr>
                <w:rFonts w:ascii="Arial" w:hAnsi="Arial" w:cs="Arial"/>
                <w:sz w:val="17"/>
                <w:szCs w:val="17"/>
              </w:rPr>
              <w:t>1,263,473</w:t>
            </w:r>
          </w:p>
        </w:tc>
      </w:tr>
    </w:tbl>
    <w:p w:rsidR="00AD7FC4" w:rsidP="00AD7FC4" w14:paraId="31937F18"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p>
    <w:p w:rsidR="00AD7FC4" w:rsidRPr="001A441F" w:rsidP="00AD7FC4" w14:paraId="0276AB53" w14:textId="0C04DCB3">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r w:rsidRPr="001A441F">
        <w:rPr>
          <w:rFonts w:ascii="Arial" w:hAnsi="Arial" w:cs="Arial"/>
          <w:u w:val="single"/>
        </w:rPr>
        <w:t>Change due to Adjustment in Agency Estimate</w:t>
      </w:r>
    </w:p>
    <w:p w:rsidR="00AD7FC4" w:rsidRPr="001A441F" w:rsidP="00AD7FC4" w14:paraId="1D9746FA"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5F364C" w:rsidRPr="00027E12" w:rsidP="00AD7FC4" w14:paraId="702FB3F7" w14:textId="17E8ECDF">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sidRPr="000E506E">
        <w:rPr>
          <w:rFonts w:ascii="Arial" w:hAnsi="Arial" w:cs="Arial"/>
        </w:rPr>
        <w:t xml:space="preserve">The total number of respondents and time burden </w:t>
      </w:r>
      <w:r w:rsidRPr="000E506E">
        <w:rPr>
          <w:rFonts w:ascii="Arial" w:hAnsi="Arial" w:cs="Arial"/>
        </w:rPr>
        <w:t>have increased</w:t>
      </w:r>
      <w:r w:rsidRPr="000E506E">
        <w:rPr>
          <w:rFonts w:ascii="Arial" w:hAnsi="Arial" w:cs="Arial"/>
        </w:rPr>
        <w:t xml:space="preserve">; </w:t>
      </w:r>
      <w:r w:rsidRPr="000E506E">
        <w:rPr>
          <w:rFonts w:ascii="Arial" w:hAnsi="Arial" w:cs="Arial"/>
        </w:rPr>
        <w:t xml:space="preserve">increases </w:t>
      </w:r>
      <w:r>
        <w:rPr>
          <w:rFonts w:ascii="Arial" w:hAnsi="Arial" w:cs="Arial"/>
        </w:rPr>
        <w:t xml:space="preserve">in the number of responses (+4,700) and burden hours (+37,345) </w:t>
      </w:r>
      <w:r w:rsidR="00F40182">
        <w:rPr>
          <w:rFonts w:ascii="Arial" w:hAnsi="Arial" w:cs="Arial"/>
        </w:rPr>
        <w:t xml:space="preserve">are </w:t>
      </w:r>
      <w:r>
        <w:rPr>
          <w:rFonts w:ascii="Arial" w:hAnsi="Arial" w:cs="Arial"/>
        </w:rPr>
        <w:t xml:space="preserve">due to the increase in </w:t>
      </w:r>
      <w:r w:rsidRPr="00027E12">
        <w:rPr>
          <w:rFonts w:ascii="Arial" w:hAnsi="Arial" w:cs="Arial"/>
        </w:rPr>
        <w:t>response items in this information collection.</w:t>
      </w:r>
    </w:p>
    <w:p w:rsidR="005F364C" w:rsidRPr="00027E12" w:rsidP="00AD7FC4" w14:paraId="42F7FE1B"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AD7FC4" w:rsidRPr="00027E12" w:rsidP="00AD7FC4" w14:paraId="4F8AA4A9" w14:textId="2C7339F8">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sidRPr="00027E12">
        <w:rPr>
          <w:rFonts w:ascii="Arial" w:hAnsi="Arial" w:cs="Arial"/>
        </w:rPr>
        <w:t xml:space="preserve">The estimated cost burden has </w:t>
      </w:r>
      <w:r w:rsidRPr="00027E12" w:rsidR="005F364C">
        <w:rPr>
          <w:rFonts w:ascii="Arial" w:hAnsi="Arial" w:cs="Arial"/>
        </w:rPr>
        <w:t>increased</w:t>
      </w:r>
      <w:r w:rsidRPr="00027E12" w:rsidR="00027E12">
        <w:rPr>
          <w:rFonts w:ascii="Arial" w:hAnsi="Arial" w:cs="Arial"/>
        </w:rPr>
        <w:t xml:space="preserve"> (+220,463)</w:t>
      </w:r>
      <w:r w:rsidRPr="00027E12">
        <w:rPr>
          <w:rFonts w:ascii="Arial" w:hAnsi="Arial" w:cs="Arial"/>
        </w:rPr>
        <w:t xml:space="preserve"> due to </w:t>
      </w:r>
      <w:r w:rsidRPr="00027E12" w:rsidR="000E506E">
        <w:rPr>
          <w:rFonts w:ascii="Arial" w:hAnsi="Arial" w:cs="Arial"/>
        </w:rPr>
        <w:t>the increase</w:t>
      </w:r>
      <w:r w:rsidRPr="00027E12" w:rsidR="00027E12">
        <w:rPr>
          <w:rFonts w:ascii="Arial" w:hAnsi="Arial" w:cs="Arial"/>
        </w:rPr>
        <w:t xml:space="preserve"> in the estimated number of responses</w:t>
      </w:r>
      <w:r w:rsidRPr="00027E12">
        <w:rPr>
          <w:rFonts w:ascii="Arial" w:hAnsi="Arial" w:cs="Arial"/>
        </w:rPr>
        <w:t xml:space="preserve">.  </w:t>
      </w:r>
    </w:p>
    <w:p w:rsidR="00AD7FC4" w:rsidRPr="0056760B" w:rsidP="00636EDA" w14:paraId="73171515" w14:textId="77777777">
      <w:pPr>
        <w:widowControl/>
        <w:tabs>
          <w:tab w:val="left" w:pos="-984"/>
          <w:tab w:val="left" w:pos="-720"/>
          <w:tab w:val="left" w:pos="720"/>
        </w:tabs>
        <w:jc w:val="both"/>
        <w:rPr>
          <w:rFonts w:ascii="Arial" w:hAnsi="Arial" w:cs="Arial"/>
        </w:rPr>
      </w:pPr>
    </w:p>
    <w:p w:rsidR="00567B74" w:rsidRPr="002E7B48" w:rsidP="00F2336C" w14:paraId="7858C805" w14:textId="4F2D13E0">
      <w:pPr>
        <w:pStyle w:val="ListParagraph"/>
        <w:widowControl/>
        <w:numPr>
          <w:ilvl w:val="0"/>
          <w:numId w:val="15"/>
        </w:numPr>
        <w:tabs>
          <w:tab w:val="left" w:pos="-984"/>
          <w:tab w:val="left" w:pos="-720"/>
          <w:tab w:val="left" w:pos="720"/>
        </w:tabs>
        <w:jc w:val="both"/>
        <w:rPr>
          <w:rFonts w:ascii="Arial" w:hAnsi="Arial" w:cs="Arial"/>
          <w:b/>
        </w:rPr>
      </w:pPr>
      <w:r w:rsidRPr="002E7B48">
        <w:rPr>
          <w:rFonts w:ascii="Arial" w:hAnsi="Arial" w:cs="Arial"/>
          <w:b/>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567B74" w:rsidRPr="00E0554B" w:rsidP="00636EDA" w14:paraId="23A84AF7" w14:textId="77777777">
      <w:pPr>
        <w:widowControl/>
        <w:tabs>
          <w:tab w:val="left" w:pos="-984"/>
          <w:tab w:val="left" w:pos="-720"/>
          <w:tab w:val="left" w:pos="720"/>
        </w:tabs>
        <w:jc w:val="both"/>
        <w:rPr>
          <w:rFonts w:ascii="Arial" w:hAnsi="Arial" w:cs="Arial"/>
        </w:rPr>
      </w:pPr>
    </w:p>
    <w:p w:rsidR="00636EDA" w:rsidRPr="00E0554B" w:rsidP="00636EDA" w14:paraId="79D4A1E4" w14:textId="77777777">
      <w:pPr>
        <w:widowControl/>
        <w:tabs>
          <w:tab w:val="left" w:pos="-984"/>
          <w:tab w:val="left" w:pos="-720"/>
          <w:tab w:val="left" w:pos="720"/>
        </w:tabs>
        <w:jc w:val="both"/>
        <w:rPr>
          <w:rFonts w:ascii="Arial" w:hAnsi="Arial" w:cs="Arial"/>
        </w:rPr>
      </w:pPr>
      <w:r w:rsidRPr="00E0554B">
        <w:rPr>
          <w:rFonts w:ascii="Arial" w:hAnsi="Arial" w:cs="Arial"/>
        </w:rPr>
        <w:t xml:space="preserve">The USPTO does not plan to publish this information for statistical use. </w:t>
      </w:r>
      <w:r>
        <w:rPr>
          <w:rFonts w:ascii="Arial" w:hAnsi="Arial" w:cs="Arial"/>
        </w:rPr>
        <w:t xml:space="preserve"> </w:t>
      </w:r>
      <w:r w:rsidRPr="00E0554B">
        <w:rPr>
          <w:rFonts w:ascii="Arial" w:hAnsi="Arial" w:cs="Arial"/>
        </w:rPr>
        <w:t>However, patent and trademark assignment records are available to the public at the USPTO Public Search Facilities and on the USPTO Web site.</w:t>
      </w:r>
    </w:p>
    <w:p w:rsidR="00636EDA" w:rsidRPr="005327FC" w:rsidP="00636EDA" w14:paraId="79D4A1E5" w14:textId="77777777">
      <w:pPr>
        <w:widowControl/>
        <w:tabs>
          <w:tab w:val="left" w:pos="-984"/>
          <w:tab w:val="left" w:pos="-720"/>
          <w:tab w:val="left" w:pos="720"/>
        </w:tabs>
        <w:jc w:val="both"/>
        <w:rPr>
          <w:rFonts w:ascii="Arial" w:hAnsi="Arial" w:cs="Arial"/>
          <w:color w:val="0000FF"/>
        </w:rPr>
      </w:pPr>
    </w:p>
    <w:p w:rsidR="00567B74" w:rsidRPr="002E7B48" w:rsidP="00F2336C" w14:paraId="093923B1" w14:textId="1213648F">
      <w:pPr>
        <w:pStyle w:val="ListParagraph"/>
        <w:keepNext/>
        <w:keepLines/>
        <w:widowControl/>
        <w:numPr>
          <w:ilvl w:val="0"/>
          <w:numId w:val="15"/>
        </w:numPr>
        <w:tabs>
          <w:tab w:val="left" w:pos="-984"/>
          <w:tab w:val="left" w:pos="-720"/>
          <w:tab w:val="left" w:pos="720"/>
        </w:tabs>
        <w:jc w:val="both"/>
        <w:rPr>
          <w:rFonts w:ascii="Arial" w:hAnsi="Arial" w:cs="Arial"/>
          <w:b/>
        </w:rPr>
      </w:pPr>
      <w:r w:rsidRPr="002E7B48">
        <w:rPr>
          <w:rFonts w:ascii="Arial" w:hAnsi="Arial" w:cs="Arial"/>
          <w:b/>
        </w:rPr>
        <w:t xml:space="preserve">If seeking approval to not display the expiration date for OMB approval of the information collection, explain the reasons that display would be inappropriate. </w:t>
      </w:r>
    </w:p>
    <w:p w:rsidR="00D4013D" w:rsidP="00636EDA" w14:paraId="43D42343" w14:textId="7AD5AB1A">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D4013D" w:rsidRPr="008E22B0" w:rsidP="00D4013D" w14:paraId="3427F685"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8E22B0">
        <w:rPr>
          <w:rFonts w:ascii="Arial" w:hAnsi="Arial" w:cs="Arial"/>
        </w:rPr>
        <w:t>There are no forms in this information collection on which to display the OMB Control Number and the expiration date of OMB approval.</w:t>
      </w:r>
    </w:p>
    <w:p w:rsidR="00636EDA" w:rsidRPr="0056760B" w:rsidP="00636EDA" w14:paraId="79D4A1EA" w14:textId="01A5C44A">
      <w:pPr>
        <w:widowControl/>
        <w:tabs>
          <w:tab w:val="left" w:pos="-984"/>
          <w:tab w:val="left" w:pos="-720"/>
          <w:tab w:val="left" w:pos="720"/>
        </w:tabs>
        <w:jc w:val="both"/>
        <w:rPr>
          <w:rFonts w:ascii="Arial" w:hAnsi="Arial" w:cs="Arial"/>
        </w:rPr>
      </w:pPr>
    </w:p>
    <w:p w:rsidR="00567B74" w:rsidRPr="002E7B48" w:rsidP="00F2336C" w14:paraId="048AD12F" w14:textId="041B7D38">
      <w:pPr>
        <w:pStyle w:val="ListParagraph"/>
        <w:keepNext/>
        <w:widowControl/>
        <w:numPr>
          <w:ilvl w:val="0"/>
          <w:numId w:val="15"/>
        </w:numPr>
        <w:tabs>
          <w:tab w:val="left" w:pos="-984"/>
          <w:tab w:val="left" w:pos="-720"/>
          <w:tab w:val="left" w:pos="720"/>
        </w:tabs>
        <w:jc w:val="both"/>
        <w:rPr>
          <w:rFonts w:ascii="Arial" w:hAnsi="Arial" w:cs="Arial"/>
          <w:b/>
          <w:sz w:val="32"/>
        </w:rPr>
      </w:pPr>
      <w:r w:rsidRPr="002E7B48">
        <w:rPr>
          <w:rFonts w:ascii="Arial" w:hAnsi="Arial" w:cs="Arial"/>
          <w:b/>
          <w:szCs w:val="20"/>
        </w:rPr>
        <w:t>Explain each exception to the topics of the certification statement identified in “Certification for Paperwork Reduction Act Submissions.”</w:t>
      </w:r>
    </w:p>
    <w:p w:rsidR="00567B74" w:rsidRPr="00E0554B" w:rsidP="00636EDA" w14:paraId="55E8E0EE" w14:textId="77777777">
      <w:pPr>
        <w:keepNext/>
        <w:widowControl/>
        <w:tabs>
          <w:tab w:val="left" w:pos="-984"/>
          <w:tab w:val="left" w:pos="-720"/>
          <w:tab w:val="left" w:pos="720"/>
        </w:tabs>
        <w:jc w:val="both"/>
        <w:rPr>
          <w:rFonts w:ascii="Arial" w:hAnsi="Arial" w:cs="Arial"/>
        </w:rPr>
      </w:pPr>
    </w:p>
    <w:p w:rsidR="00636EDA" w:rsidRPr="00AD7FC4" w:rsidP="00636EDA" w14:paraId="79D4A1EF" w14:textId="5DC96DEA">
      <w:pPr>
        <w:widowControl/>
        <w:tabs>
          <w:tab w:val="left" w:pos="-984"/>
          <w:tab w:val="left" w:pos="-720"/>
          <w:tab w:val="left" w:pos="720"/>
        </w:tabs>
        <w:jc w:val="both"/>
        <w:rPr>
          <w:rFonts w:ascii="Arial" w:hAnsi="Arial" w:cs="Arial"/>
        </w:rPr>
      </w:pPr>
      <w:r w:rsidRPr="00E0554B">
        <w:rPr>
          <w:rFonts w:ascii="Arial" w:hAnsi="Arial" w:cs="Arial"/>
        </w:rPr>
        <w:t>This collection of information does not include any exceptions to the certificate statement.</w:t>
      </w:r>
    </w:p>
    <w:p w:rsidR="00636EDA" w:rsidRPr="00476F66" w:rsidP="00636EDA" w14:paraId="79D4A1F0" w14:textId="77777777">
      <w:pPr>
        <w:widowControl/>
        <w:tabs>
          <w:tab w:val="left" w:pos="-984"/>
          <w:tab w:val="left" w:pos="-720"/>
          <w:tab w:val="left" w:pos="720"/>
        </w:tabs>
        <w:jc w:val="both"/>
        <w:rPr>
          <w:rFonts w:ascii="Arial" w:hAnsi="Arial" w:cs="Arial"/>
          <w:color w:val="0000FF"/>
        </w:rPr>
      </w:pPr>
    </w:p>
    <w:p w:rsidR="00636EDA" w:rsidRPr="0056760B" w:rsidP="00636EDA" w14:paraId="79D4A1F1" w14:textId="77777777">
      <w:pPr>
        <w:keepNext/>
        <w:widowControl/>
        <w:tabs>
          <w:tab w:val="left" w:pos="-984"/>
          <w:tab w:val="left" w:pos="-720"/>
          <w:tab w:val="left" w:pos="720"/>
        </w:tabs>
        <w:jc w:val="both"/>
        <w:rPr>
          <w:rFonts w:ascii="Arial" w:hAnsi="Arial" w:cs="Arial"/>
        </w:rPr>
      </w:pPr>
      <w:r w:rsidRPr="0056760B">
        <w:rPr>
          <w:rFonts w:ascii="Arial" w:hAnsi="Arial" w:cs="Arial"/>
          <w:b/>
          <w:bCs/>
        </w:rPr>
        <w:t>B.</w:t>
      </w:r>
      <w:r w:rsidRPr="0056760B">
        <w:rPr>
          <w:rFonts w:ascii="Arial" w:hAnsi="Arial" w:cs="Arial"/>
          <w:b/>
          <w:bCs/>
        </w:rPr>
        <w:tab/>
        <w:t>COLLECTIONS OF INFORMATION EMPLOYING STATISTICAL METHODS</w:t>
      </w:r>
    </w:p>
    <w:p w:rsidR="00636EDA" w:rsidRPr="0056760B" w:rsidP="00636EDA" w14:paraId="79D4A1F2" w14:textId="77777777">
      <w:pPr>
        <w:keepNext/>
        <w:widowControl/>
        <w:tabs>
          <w:tab w:val="left" w:pos="-984"/>
          <w:tab w:val="left" w:pos="-720"/>
          <w:tab w:val="left" w:pos="720"/>
        </w:tabs>
        <w:jc w:val="both"/>
        <w:rPr>
          <w:rFonts w:ascii="Arial" w:hAnsi="Arial" w:cs="Arial"/>
        </w:rPr>
      </w:pPr>
    </w:p>
    <w:p w:rsidR="00636EDA" w:rsidP="00636EDA" w14:paraId="79D4A1F3" w14:textId="77777777">
      <w:pPr>
        <w:widowControl/>
        <w:tabs>
          <w:tab w:val="left" w:pos="-984"/>
          <w:tab w:val="left" w:pos="-720"/>
          <w:tab w:val="left" w:pos="720"/>
        </w:tabs>
        <w:jc w:val="both"/>
        <w:rPr>
          <w:rFonts w:ascii="Arial" w:hAnsi="Arial" w:cs="Arial"/>
        </w:rPr>
      </w:pPr>
      <w:r w:rsidRPr="0056760B">
        <w:rPr>
          <w:rFonts w:ascii="Arial" w:hAnsi="Arial" w:cs="Arial"/>
        </w:rPr>
        <w:t>This collection of information does not employ statistical methods.</w:t>
      </w:r>
    </w:p>
    <w:p w:rsidR="002910E6" w14:paraId="79D4A1F4" w14:textId="77777777"/>
    <w:sectPr w:rsidSect="00F9783F">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266D" w:rsidP="00F9783F" w14:paraId="79D4A1F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6266D" w:rsidP="00F9783F" w14:paraId="79D4A1F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266D" w14:paraId="79D4A1FB" w14:textId="77777777">
    <w:pPr>
      <w:spacing w:line="240" w:lineRule="exact"/>
    </w:pPr>
  </w:p>
  <w:p w:rsidR="00C6266D" w:rsidP="00F9783F" w14:paraId="79D4A1FC" w14:textId="1A0FAACC">
    <w:pPr>
      <w:framePr w:wrap="around" w:vAnchor="text" w:hAnchor="margin" w:xAlign="center" w:y="1"/>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PAGE </w:instrText>
    </w:r>
    <w:r>
      <w:rPr>
        <w:rFonts w:ascii="Arial" w:hAnsi="Arial" w:cs="Arial"/>
        <w:sz w:val="18"/>
        <w:szCs w:val="18"/>
      </w:rPr>
      <w:fldChar w:fldCharType="separate"/>
    </w:r>
    <w:r>
      <w:rPr>
        <w:rFonts w:ascii="Arial" w:hAnsi="Arial" w:cs="Arial"/>
        <w:noProof/>
        <w:sz w:val="18"/>
        <w:szCs w:val="18"/>
      </w:rPr>
      <w:t>1</w:t>
    </w:r>
    <w:r>
      <w:rPr>
        <w:rFonts w:ascii="Arial" w:hAnsi="Arial" w:cs="Arial"/>
        <w:sz w:val="18"/>
        <w:szCs w:val="18"/>
      </w:rPr>
      <w:fldChar w:fldCharType="end"/>
    </w:r>
  </w:p>
  <w:p w:rsidR="00C6266D" w:rsidP="00F9783F" w14:paraId="79D4A1FD"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537B7" w14:paraId="384D295B" w14:textId="77777777">
      <w:r>
        <w:separator/>
      </w:r>
    </w:p>
  </w:footnote>
  <w:footnote w:type="continuationSeparator" w:id="1">
    <w:p w:rsidR="009537B7" w14:paraId="251C05B6" w14:textId="77777777">
      <w:r>
        <w:continuationSeparator/>
      </w:r>
    </w:p>
  </w:footnote>
  <w:footnote w:id="2">
    <w:p w:rsidR="00C6266D" w:rsidRPr="00282E13" w:rsidP="00EE404D" w14:paraId="2914E9BE" w14:textId="61B9FD6A">
      <w:pPr>
        <w:pStyle w:val="FootnoteText"/>
        <w:rPr>
          <w:rFonts w:ascii="Arial" w:hAnsi="Arial" w:cs="Arial"/>
          <w:sz w:val="16"/>
          <w:szCs w:val="16"/>
        </w:rPr>
      </w:pPr>
      <w:r w:rsidRPr="00240A35">
        <w:rPr>
          <w:rStyle w:val="FootnoteReference"/>
          <w:rFonts w:ascii="Arial" w:hAnsi="Arial" w:cs="Arial"/>
          <w:sz w:val="16"/>
          <w:szCs w:val="16"/>
        </w:rPr>
        <w:footnoteRef/>
      </w:r>
      <w:r w:rsidRPr="00282E13">
        <w:rPr>
          <w:rFonts w:ascii="Arial" w:hAnsi="Arial" w:cs="Arial"/>
          <w:sz w:val="16"/>
          <w:szCs w:val="16"/>
        </w:rPr>
        <w:t xml:space="preserve"> 20</w:t>
      </w:r>
      <w:r>
        <w:rPr>
          <w:rFonts w:ascii="Arial" w:hAnsi="Arial" w:cs="Arial"/>
          <w:sz w:val="16"/>
          <w:szCs w:val="16"/>
        </w:rPr>
        <w:t>21</w:t>
      </w:r>
      <w:r w:rsidRPr="00282E13">
        <w:rPr>
          <w:rFonts w:ascii="Arial" w:hAnsi="Arial" w:cs="Arial"/>
          <w:sz w:val="16"/>
          <w:szCs w:val="16"/>
        </w:rPr>
        <w:t xml:space="preserve"> Report of the Economic Survey, published by the Committee on Economics of Legal Practice of the American Intellectual Property Law Association (AIPLA); </w:t>
      </w:r>
      <w:r w:rsidRPr="00B61206">
        <w:rPr>
          <w:rFonts w:ascii="Arial" w:hAnsi="Arial" w:cs="Arial"/>
          <w:sz w:val="16"/>
        </w:rPr>
        <w:t>y</w:t>
      </w:r>
      <w:r w:rsidRPr="00282E13">
        <w:rPr>
          <w:rFonts w:ascii="Arial" w:hAnsi="Arial" w:cs="Arial"/>
          <w:sz w:val="16"/>
          <w:szCs w:val="16"/>
        </w:rPr>
        <w:t xml:space="preserve">. The USPTO uses the mean </w:t>
      </w:r>
      <w:r>
        <w:rPr>
          <w:rFonts w:ascii="Arial" w:hAnsi="Arial" w:cs="Arial"/>
          <w:sz w:val="16"/>
          <w:szCs w:val="16"/>
        </w:rPr>
        <w:t xml:space="preserve">IP billing </w:t>
      </w:r>
      <w:r w:rsidRPr="00282E13">
        <w:rPr>
          <w:rFonts w:ascii="Arial" w:hAnsi="Arial" w:cs="Arial"/>
          <w:sz w:val="16"/>
          <w:szCs w:val="16"/>
        </w:rPr>
        <w:t>rate for attorneys in private firms</w:t>
      </w:r>
      <w:r>
        <w:rPr>
          <w:rFonts w:ascii="Arial" w:hAnsi="Arial" w:cs="Arial"/>
          <w:sz w:val="16"/>
          <w:szCs w:val="16"/>
        </w:rPr>
        <w:t xml:space="preserve"> </w:t>
      </w:r>
      <w:r w:rsidRPr="00282E13">
        <w:rPr>
          <w:rFonts w:ascii="Arial" w:hAnsi="Arial" w:cs="Arial"/>
          <w:sz w:val="16"/>
          <w:szCs w:val="16"/>
        </w:rPr>
        <w:t>which is $4</w:t>
      </w:r>
      <w:r>
        <w:rPr>
          <w:rFonts w:ascii="Arial" w:hAnsi="Arial" w:cs="Arial"/>
          <w:sz w:val="16"/>
          <w:szCs w:val="16"/>
        </w:rPr>
        <w:t>35</w:t>
      </w:r>
      <w:r w:rsidRPr="00282E13">
        <w:rPr>
          <w:rFonts w:ascii="Arial" w:hAnsi="Arial" w:cs="Arial"/>
          <w:sz w:val="16"/>
          <w:szCs w:val="16"/>
        </w:rPr>
        <w:t xml:space="preserve"> per hour.</w:t>
      </w:r>
      <w:r w:rsidRPr="00B96619">
        <w:rPr>
          <w:rFonts w:ascii="Arial" w:hAnsi="Arial" w:cs="Arial"/>
          <w:sz w:val="16"/>
        </w:rPr>
        <w:t xml:space="preserve"> </w:t>
      </w:r>
      <w:r>
        <w:rPr>
          <w:rFonts w:ascii="Arial" w:hAnsi="Arial" w:cs="Arial"/>
          <w:sz w:val="16"/>
        </w:rPr>
        <w:t>(</w:t>
      </w:r>
      <w:hyperlink r:id="rId1" w:history="1">
        <w:r w:rsidRPr="009562E2">
          <w:rPr>
            <w:rStyle w:val="Hyperlink"/>
            <w:rFonts w:ascii="Arial" w:hAnsi="Arial" w:cs="Arial"/>
            <w:sz w:val="16"/>
          </w:rPr>
          <w:t>https://www.aipla.org/home/news-publications/economic-surve</w:t>
        </w:r>
      </w:hyperlink>
      <w:r>
        <w:rPr>
          <w:rFonts w:ascii="Arial" w:hAnsi="Arial" w:cs="Arial"/>
          <w:sz w:val="16"/>
        </w:rPr>
        <w:t xml:space="preserve">y; </w:t>
      </w:r>
      <w:r>
        <w:rPr>
          <w:rFonts w:ascii="Arial" w:hAnsi="Arial" w:cs="Arial"/>
          <w:sz w:val="16"/>
        </w:rPr>
        <w:t>pg</w:t>
      </w:r>
      <w:r>
        <w:rPr>
          <w:rFonts w:ascii="Arial" w:hAnsi="Arial" w:cs="Arial"/>
          <w:sz w:val="16"/>
        </w:rPr>
        <w:t xml:space="preserve"> F-27).</w:t>
      </w:r>
    </w:p>
  </w:footnote>
  <w:footnote w:id="3">
    <w:p w:rsidR="00C6266D" w:rsidRPr="00282E13" w:rsidP="00EE404D" w14:paraId="49A3F669" w14:textId="38E2E16F">
      <w:pPr>
        <w:pStyle w:val="FootnoteText"/>
        <w:rPr>
          <w:rFonts w:ascii="Arial" w:hAnsi="Arial" w:cs="Arial"/>
          <w:sz w:val="16"/>
          <w:szCs w:val="16"/>
        </w:rPr>
      </w:pPr>
      <w:r w:rsidRPr="00240A35">
        <w:rPr>
          <w:rStyle w:val="FootnoteReference"/>
          <w:rFonts w:ascii="Arial" w:hAnsi="Arial" w:cs="Arial"/>
          <w:sz w:val="16"/>
          <w:szCs w:val="16"/>
        </w:rPr>
        <w:footnoteRef/>
      </w:r>
      <w:r w:rsidRPr="00282E13">
        <w:rPr>
          <w:rFonts w:ascii="Arial" w:hAnsi="Arial" w:cs="Arial"/>
          <w:sz w:val="16"/>
          <w:szCs w:val="16"/>
        </w:rPr>
        <w:t xml:space="preserve"> </w:t>
      </w:r>
      <w:r>
        <w:rPr>
          <w:rFonts w:ascii="Arial" w:hAnsi="Arial" w:cs="Arial"/>
          <w:sz w:val="16"/>
          <w:szCs w:val="16"/>
        </w:rPr>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AB7B3C"/>
    <w:multiLevelType w:val="hybridMultilevel"/>
    <w:tmpl w:val="810081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80"/>
        </w:tabs>
        <w:ind w:left="780" w:hanging="360"/>
      </w:pPr>
      <w:rPr>
        <w:rFonts w:ascii="Courier New" w:hAnsi="Courier New" w:hint="default"/>
      </w:rPr>
    </w:lvl>
    <w:lvl w:ilvl="2" w:tentative="1">
      <w:start w:val="1"/>
      <w:numFmt w:val="bullet"/>
      <w:lvlText w:val=""/>
      <w:lvlJc w:val="left"/>
      <w:pPr>
        <w:tabs>
          <w:tab w:val="num" w:pos="1500"/>
        </w:tabs>
        <w:ind w:left="1500" w:hanging="360"/>
      </w:pPr>
      <w:rPr>
        <w:rFonts w:ascii="Wingdings" w:hAnsi="Wingdings" w:hint="default"/>
      </w:rPr>
    </w:lvl>
    <w:lvl w:ilvl="3" w:tentative="1">
      <w:start w:val="1"/>
      <w:numFmt w:val="bullet"/>
      <w:lvlText w:val=""/>
      <w:lvlJc w:val="left"/>
      <w:pPr>
        <w:tabs>
          <w:tab w:val="num" w:pos="2220"/>
        </w:tabs>
        <w:ind w:left="2220" w:hanging="360"/>
      </w:pPr>
      <w:rPr>
        <w:rFonts w:ascii="Symbol" w:hAnsi="Symbol" w:hint="default"/>
      </w:rPr>
    </w:lvl>
    <w:lvl w:ilvl="4" w:tentative="1">
      <w:start w:val="1"/>
      <w:numFmt w:val="bullet"/>
      <w:lvlText w:val="o"/>
      <w:lvlJc w:val="left"/>
      <w:pPr>
        <w:tabs>
          <w:tab w:val="num" w:pos="2940"/>
        </w:tabs>
        <w:ind w:left="2940" w:hanging="360"/>
      </w:pPr>
      <w:rPr>
        <w:rFonts w:ascii="Courier New" w:hAnsi="Courier New" w:hint="default"/>
      </w:rPr>
    </w:lvl>
    <w:lvl w:ilvl="5" w:tentative="1">
      <w:start w:val="1"/>
      <w:numFmt w:val="bullet"/>
      <w:lvlText w:val=""/>
      <w:lvlJc w:val="left"/>
      <w:pPr>
        <w:tabs>
          <w:tab w:val="num" w:pos="3660"/>
        </w:tabs>
        <w:ind w:left="3660" w:hanging="360"/>
      </w:pPr>
      <w:rPr>
        <w:rFonts w:ascii="Wingdings" w:hAnsi="Wingdings" w:hint="default"/>
      </w:rPr>
    </w:lvl>
    <w:lvl w:ilvl="6" w:tentative="1">
      <w:start w:val="1"/>
      <w:numFmt w:val="bullet"/>
      <w:lvlText w:val=""/>
      <w:lvlJc w:val="left"/>
      <w:pPr>
        <w:tabs>
          <w:tab w:val="num" w:pos="4380"/>
        </w:tabs>
        <w:ind w:left="4380" w:hanging="360"/>
      </w:pPr>
      <w:rPr>
        <w:rFonts w:ascii="Symbol" w:hAnsi="Symbol" w:hint="default"/>
      </w:rPr>
    </w:lvl>
    <w:lvl w:ilvl="7" w:tentative="1">
      <w:start w:val="1"/>
      <w:numFmt w:val="bullet"/>
      <w:lvlText w:val="o"/>
      <w:lvlJc w:val="left"/>
      <w:pPr>
        <w:tabs>
          <w:tab w:val="num" w:pos="5100"/>
        </w:tabs>
        <w:ind w:left="5100" w:hanging="360"/>
      </w:pPr>
      <w:rPr>
        <w:rFonts w:ascii="Courier New" w:hAnsi="Courier New" w:hint="default"/>
      </w:rPr>
    </w:lvl>
    <w:lvl w:ilvl="8" w:tentative="1">
      <w:start w:val="1"/>
      <w:numFmt w:val="bullet"/>
      <w:lvlText w:val=""/>
      <w:lvlJc w:val="left"/>
      <w:pPr>
        <w:tabs>
          <w:tab w:val="num" w:pos="5820"/>
        </w:tabs>
        <w:ind w:left="5820" w:hanging="360"/>
      </w:pPr>
      <w:rPr>
        <w:rFonts w:ascii="Wingdings" w:hAnsi="Wingdings" w:hint="default"/>
      </w:rPr>
    </w:lvl>
  </w:abstractNum>
  <w:abstractNum w:abstractNumId="1">
    <w:nsid w:val="072300B0"/>
    <w:multiLevelType w:val="hybridMultilevel"/>
    <w:tmpl w:val="3FF4DC4E"/>
    <w:lvl w:ilvl="0">
      <w:start w:val="1"/>
      <w:numFmt w:val="bullet"/>
      <w:lvlText w:val=""/>
      <w:lvlJc w:val="left"/>
      <w:pPr>
        <w:tabs>
          <w:tab w:val="num" w:pos="660"/>
        </w:tabs>
        <w:ind w:left="6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16783BC1"/>
    <w:multiLevelType w:val="hybridMultilevel"/>
    <w:tmpl w:val="EE302EC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BE51A53"/>
    <w:multiLevelType w:val="hybridMultilevel"/>
    <w:tmpl w:val="8B00F4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317B0845"/>
    <w:multiLevelType w:val="hybridMultilevel"/>
    <w:tmpl w:val="012EA1AA"/>
    <w:lvl w:ilvl="0">
      <w:start w:val="1"/>
      <w:numFmt w:val="decimal"/>
      <w:lvlText w:val="%1."/>
      <w:lvlJc w:val="left"/>
      <w:pPr>
        <w:ind w:left="45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97156FA"/>
    <w:multiLevelType w:val="hybridMultilevel"/>
    <w:tmpl w:val="05DADD28"/>
    <w:lvl w:ilvl="0">
      <w:start w:val="15"/>
      <w:numFmt w:val="decimal"/>
      <w:lvlText w:val="%1."/>
      <w:lvlJc w:val="left"/>
      <w:pPr>
        <w:ind w:left="450" w:hanging="360"/>
      </w:pPr>
      <w:rPr>
        <w:rFonts w:hint="default"/>
        <w:sz w:val="24"/>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7">
    <w:nsid w:val="3D885DB0"/>
    <w:multiLevelType w:val="hybridMultilevel"/>
    <w:tmpl w:val="4044FCE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3FFC76D7"/>
    <w:multiLevelType w:val="hybridMultilevel"/>
    <w:tmpl w:val="6D165B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48C034CD"/>
    <w:multiLevelType w:val="hybridMultilevel"/>
    <w:tmpl w:val="379CD846"/>
    <w:lvl w:ilvl="0">
      <w:start w:val="1"/>
      <w:numFmt w:val="upperLetter"/>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0300BCD"/>
    <w:multiLevelType w:val="hybridMultilevel"/>
    <w:tmpl w:val="C99CFD20"/>
    <w:lvl w:ilvl="0">
      <w:start w:val="14"/>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8A56E7"/>
    <w:multiLevelType w:val="hybridMultilevel"/>
    <w:tmpl w:val="4956CD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70D515B"/>
    <w:multiLevelType w:val="hybridMultilevel"/>
    <w:tmpl w:val="C4767E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6D93621"/>
    <w:multiLevelType w:val="hybridMultilevel"/>
    <w:tmpl w:val="95EC00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CE2331F"/>
    <w:multiLevelType w:val="hybridMultilevel"/>
    <w:tmpl w:val="CC1498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7D8C3266"/>
    <w:multiLevelType w:val="hybridMultilevel"/>
    <w:tmpl w:val="60D415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17">
    <w:nsid w:val="7F0705CA"/>
    <w:multiLevelType w:val="hybridMultilevel"/>
    <w:tmpl w:val="A05ECBE0"/>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num w:numId="1">
    <w:abstractNumId w:val="11"/>
  </w:num>
  <w:num w:numId="2">
    <w:abstractNumId w:val="0"/>
  </w:num>
  <w:num w:numId="3">
    <w:abstractNumId w:val="7"/>
  </w:num>
  <w:num w:numId="4">
    <w:abstractNumId w:val="1"/>
  </w:num>
  <w:num w:numId="5">
    <w:abstractNumId w:val="14"/>
  </w:num>
  <w:num w:numId="6">
    <w:abstractNumId w:val="10"/>
  </w:num>
  <w:num w:numId="7">
    <w:abstractNumId w:val="16"/>
  </w:num>
  <w:num w:numId="8">
    <w:abstractNumId w:val="3"/>
  </w:num>
  <w:num w:numId="9">
    <w:abstractNumId w:val="9"/>
  </w:num>
  <w:num w:numId="10">
    <w:abstractNumId w:val="17"/>
  </w:num>
  <w:num w:numId="11">
    <w:abstractNumId w:val="8"/>
  </w:num>
  <w:num w:numId="12">
    <w:abstractNumId w:val="4"/>
  </w:num>
  <w:num w:numId="13">
    <w:abstractNumId w:val="5"/>
  </w:num>
  <w:num w:numId="14">
    <w:abstractNumId w:val="12"/>
  </w:num>
  <w:num w:numId="15">
    <w:abstractNumId w:val="6"/>
  </w:num>
  <w:num w:numId="16">
    <w:abstractNumId w:val="13"/>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DA"/>
    <w:rsid w:val="00004988"/>
    <w:rsid w:val="00004BB9"/>
    <w:rsid w:val="00026BDE"/>
    <w:rsid w:val="00027D26"/>
    <w:rsid w:val="00027E12"/>
    <w:rsid w:val="00077029"/>
    <w:rsid w:val="00077E26"/>
    <w:rsid w:val="00091630"/>
    <w:rsid w:val="000969C0"/>
    <w:rsid w:val="000B4FB8"/>
    <w:rsid w:val="000C448C"/>
    <w:rsid w:val="000C7A48"/>
    <w:rsid w:val="000D1209"/>
    <w:rsid w:val="000D5B34"/>
    <w:rsid w:val="000E506E"/>
    <w:rsid w:val="000F74C0"/>
    <w:rsid w:val="001102BD"/>
    <w:rsid w:val="00136793"/>
    <w:rsid w:val="00152ADE"/>
    <w:rsid w:val="00163D79"/>
    <w:rsid w:val="00167BE9"/>
    <w:rsid w:val="0017299E"/>
    <w:rsid w:val="001822B5"/>
    <w:rsid w:val="001A441F"/>
    <w:rsid w:val="001B1180"/>
    <w:rsid w:val="001B77DA"/>
    <w:rsid w:val="001C077C"/>
    <w:rsid w:val="001F0D09"/>
    <w:rsid w:val="00201BB2"/>
    <w:rsid w:val="00203E42"/>
    <w:rsid w:val="00216B80"/>
    <w:rsid w:val="00233E93"/>
    <w:rsid w:val="002357AD"/>
    <w:rsid w:val="00237911"/>
    <w:rsid w:val="00240A35"/>
    <w:rsid w:val="00256ACE"/>
    <w:rsid w:val="002629A7"/>
    <w:rsid w:val="002761AC"/>
    <w:rsid w:val="00282E13"/>
    <w:rsid w:val="002910E6"/>
    <w:rsid w:val="002D266C"/>
    <w:rsid w:val="002E7B48"/>
    <w:rsid w:val="002F2677"/>
    <w:rsid w:val="002F5D1B"/>
    <w:rsid w:val="00332830"/>
    <w:rsid w:val="00335066"/>
    <w:rsid w:val="00353C22"/>
    <w:rsid w:val="003A7798"/>
    <w:rsid w:val="003D53B9"/>
    <w:rsid w:val="00413B56"/>
    <w:rsid w:val="00421CB8"/>
    <w:rsid w:val="00431317"/>
    <w:rsid w:val="00431AC1"/>
    <w:rsid w:val="00432944"/>
    <w:rsid w:val="004342C0"/>
    <w:rsid w:val="00453228"/>
    <w:rsid w:val="00476F66"/>
    <w:rsid w:val="00481640"/>
    <w:rsid w:val="00484D0B"/>
    <w:rsid w:val="004E74D0"/>
    <w:rsid w:val="005158F0"/>
    <w:rsid w:val="005301EC"/>
    <w:rsid w:val="005327FC"/>
    <w:rsid w:val="00566750"/>
    <w:rsid w:val="0056760B"/>
    <w:rsid w:val="00567B74"/>
    <w:rsid w:val="005A0F32"/>
    <w:rsid w:val="005A55BD"/>
    <w:rsid w:val="005B67BA"/>
    <w:rsid w:val="005C259C"/>
    <w:rsid w:val="005F364C"/>
    <w:rsid w:val="006076A1"/>
    <w:rsid w:val="00615B54"/>
    <w:rsid w:val="00615F85"/>
    <w:rsid w:val="00624AF0"/>
    <w:rsid w:val="00627CC7"/>
    <w:rsid w:val="00636EDA"/>
    <w:rsid w:val="006D5630"/>
    <w:rsid w:val="006E7CAA"/>
    <w:rsid w:val="00715C25"/>
    <w:rsid w:val="00730AF4"/>
    <w:rsid w:val="00785139"/>
    <w:rsid w:val="00787C67"/>
    <w:rsid w:val="007D74FB"/>
    <w:rsid w:val="007F0B6F"/>
    <w:rsid w:val="007F1BAC"/>
    <w:rsid w:val="0080067D"/>
    <w:rsid w:val="0080117C"/>
    <w:rsid w:val="00806C98"/>
    <w:rsid w:val="00821A93"/>
    <w:rsid w:val="00825B51"/>
    <w:rsid w:val="00851FB1"/>
    <w:rsid w:val="00860C84"/>
    <w:rsid w:val="00870FC7"/>
    <w:rsid w:val="0087174C"/>
    <w:rsid w:val="008C77EC"/>
    <w:rsid w:val="008E1811"/>
    <w:rsid w:val="008E22B0"/>
    <w:rsid w:val="008E27CC"/>
    <w:rsid w:val="008E4CFB"/>
    <w:rsid w:val="00907BD7"/>
    <w:rsid w:val="009171F1"/>
    <w:rsid w:val="00931AF7"/>
    <w:rsid w:val="00934B46"/>
    <w:rsid w:val="0094159D"/>
    <w:rsid w:val="009537B7"/>
    <w:rsid w:val="009562E2"/>
    <w:rsid w:val="00965ACE"/>
    <w:rsid w:val="00967AFB"/>
    <w:rsid w:val="00973826"/>
    <w:rsid w:val="00980261"/>
    <w:rsid w:val="00980AAA"/>
    <w:rsid w:val="009A28D0"/>
    <w:rsid w:val="009A6572"/>
    <w:rsid w:val="009E4E09"/>
    <w:rsid w:val="009E5083"/>
    <w:rsid w:val="009F3DE8"/>
    <w:rsid w:val="00A20D65"/>
    <w:rsid w:val="00A27791"/>
    <w:rsid w:val="00A30095"/>
    <w:rsid w:val="00A31737"/>
    <w:rsid w:val="00A47FBB"/>
    <w:rsid w:val="00A578CE"/>
    <w:rsid w:val="00A87063"/>
    <w:rsid w:val="00A91501"/>
    <w:rsid w:val="00A96106"/>
    <w:rsid w:val="00AB0498"/>
    <w:rsid w:val="00AB0D31"/>
    <w:rsid w:val="00AC25E3"/>
    <w:rsid w:val="00AD034C"/>
    <w:rsid w:val="00AD165A"/>
    <w:rsid w:val="00AD7FC4"/>
    <w:rsid w:val="00B0428B"/>
    <w:rsid w:val="00B17944"/>
    <w:rsid w:val="00B23B0B"/>
    <w:rsid w:val="00B57DCB"/>
    <w:rsid w:val="00B61206"/>
    <w:rsid w:val="00B62DF4"/>
    <w:rsid w:val="00B710EA"/>
    <w:rsid w:val="00B75D93"/>
    <w:rsid w:val="00B96619"/>
    <w:rsid w:val="00BC4A76"/>
    <w:rsid w:val="00BE4DEC"/>
    <w:rsid w:val="00BF425F"/>
    <w:rsid w:val="00BF7E15"/>
    <w:rsid w:val="00C44393"/>
    <w:rsid w:val="00C5290A"/>
    <w:rsid w:val="00C6266D"/>
    <w:rsid w:val="00C66113"/>
    <w:rsid w:val="00C7168E"/>
    <w:rsid w:val="00C7434B"/>
    <w:rsid w:val="00C75189"/>
    <w:rsid w:val="00C760F1"/>
    <w:rsid w:val="00C8292D"/>
    <w:rsid w:val="00C91BF4"/>
    <w:rsid w:val="00C93EDD"/>
    <w:rsid w:val="00C95EBA"/>
    <w:rsid w:val="00CC5AAE"/>
    <w:rsid w:val="00CD7C5E"/>
    <w:rsid w:val="00CE3228"/>
    <w:rsid w:val="00D110C9"/>
    <w:rsid w:val="00D12E37"/>
    <w:rsid w:val="00D17A35"/>
    <w:rsid w:val="00D215E4"/>
    <w:rsid w:val="00D35910"/>
    <w:rsid w:val="00D4013D"/>
    <w:rsid w:val="00D44001"/>
    <w:rsid w:val="00D618A3"/>
    <w:rsid w:val="00D76133"/>
    <w:rsid w:val="00D77400"/>
    <w:rsid w:val="00D9084E"/>
    <w:rsid w:val="00D92CEB"/>
    <w:rsid w:val="00D93EA9"/>
    <w:rsid w:val="00D972A3"/>
    <w:rsid w:val="00DA0ED8"/>
    <w:rsid w:val="00DB6FA7"/>
    <w:rsid w:val="00DC5329"/>
    <w:rsid w:val="00DD49E3"/>
    <w:rsid w:val="00DF1D69"/>
    <w:rsid w:val="00E0554B"/>
    <w:rsid w:val="00E14866"/>
    <w:rsid w:val="00E52433"/>
    <w:rsid w:val="00E53E10"/>
    <w:rsid w:val="00E614F2"/>
    <w:rsid w:val="00E66574"/>
    <w:rsid w:val="00EA4C8D"/>
    <w:rsid w:val="00EA641E"/>
    <w:rsid w:val="00EC550B"/>
    <w:rsid w:val="00ED3819"/>
    <w:rsid w:val="00ED4F7D"/>
    <w:rsid w:val="00EE404D"/>
    <w:rsid w:val="00F07707"/>
    <w:rsid w:val="00F2336C"/>
    <w:rsid w:val="00F301D5"/>
    <w:rsid w:val="00F40182"/>
    <w:rsid w:val="00F44AF2"/>
    <w:rsid w:val="00F4529D"/>
    <w:rsid w:val="00F462AC"/>
    <w:rsid w:val="00F838B5"/>
    <w:rsid w:val="00F9783F"/>
    <w:rsid w:val="00FA7EF8"/>
    <w:rsid w:val="00FF29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4A065"/>
  <w15:docId w15:val="{37D97E30-B76E-48DF-AE09-0442C39E3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E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636EDA"/>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paragraph" w:styleId="Heading7">
    <w:name w:val="heading 7"/>
    <w:basedOn w:val="Normal"/>
    <w:next w:val="Normal"/>
    <w:link w:val="Heading7Char"/>
    <w:uiPriority w:val="9"/>
    <w:semiHidden/>
    <w:unhideWhenUsed/>
    <w:qFormat/>
    <w:rsid w:val="00C5290A"/>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C5290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36EDA"/>
    <w:rPr>
      <w:rFonts w:ascii="Arial" w:eastAsia="Times New Roman" w:hAnsi="Arial" w:cs="Arial"/>
      <w:sz w:val="24"/>
      <w:szCs w:val="20"/>
      <w:u w:val="single"/>
    </w:rPr>
  </w:style>
  <w:style w:type="paragraph" w:customStyle="1" w:styleId="Style">
    <w:name w:val="Style"/>
    <w:basedOn w:val="Normal"/>
    <w:rsid w:val="00636EDA"/>
    <w:pPr>
      <w:ind w:left="720" w:hanging="720"/>
    </w:pPr>
  </w:style>
  <w:style w:type="paragraph" w:styleId="Footer">
    <w:name w:val="footer"/>
    <w:basedOn w:val="Normal"/>
    <w:link w:val="FooterChar"/>
    <w:rsid w:val="00636EDA"/>
    <w:pPr>
      <w:tabs>
        <w:tab w:val="center" w:pos="4320"/>
        <w:tab w:val="right" w:pos="8640"/>
      </w:tabs>
    </w:pPr>
  </w:style>
  <w:style w:type="character" w:customStyle="1" w:styleId="FooterChar">
    <w:name w:val="Footer Char"/>
    <w:basedOn w:val="DefaultParagraphFont"/>
    <w:link w:val="Footer"/>
    <w:rsid w:val="00636EDA"/>
    <w:rPr>
      <w:rFonts w:ascii="Times New Roman" w:eastAsia="Times New Roman" w:hAnsi="Times New Roman" w:cs="Times New Roman"/>
      <w:sz w:val="24"/>
      <w:szCs w:val="24"/>
    </w:rPr>
  </w:style>
  <w:style w:type="character" w:styleId="PageNumber">
    <w:name w:val="page number"/>
    <w:basedOn w:val="DefaultParagraphFont"/>
    <w:rsid w:val="00636EDA"/>
  </w:style>
  <w:style w:type="paragraph" w:styleId="BodyText">
    <w:name w:val="Body Text"/>
    <w:basedOn w:val="Normal"/>
    <w:link w:val="BodyTextChar"/>
    <w:rsid w:val="00636EDA"/>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636EDA"/>
    <w:rPr>
      <w:rFonts w:ascii="Arial" w:eastAsia="Times New Roman" w:hAnsi="Arial" w:cs="Times New Roman"/>
      <w:color w:val="000000"/>
      <w:sz w:val="24"/>
      <w:szCs w:val="20"/>
    </w:rPr>
  </w:style>
  <w:style w:type="paragraph" w:customStyle="1" w:styleId="a">
    <w:name w:val="آ"/>
    <w:basedOn w:val="Normal"/>
    <w:rsid w:val="00636EDA"/>
    <w:pPr>
      <w:autoSpaceDE/>
      <w:autoSpaceDN/>
      <w:adjustRightInd/>
      <w:spacing w:line="240" w:lineRule="exact"/>
    </w:pPr>
    <w:rPr>
      <w:szCs w:val="20"/>
    </w:rPr>
  </w:style>
  <w:style w:type="paragraph" w:styleId="ListParagraph">
    <w:name w:val="List Paragraph"/>
    <w:basedOn w:val="Normal"/>
    <w:uiPriority w:val="34"/>
    <w:qFormat/>
    <w:rsid w:val="00636EDA"/>
    <w:pPr>
      <w:ind w:left="720"/>
    </w:pPr>
  </w:style>
  <w:style w:type="character" w:styleId="CommentReference">
    <w:name w:val="annotation reference"/>
    <w:basedOn w:val="DefaultParagraphFont"/>
    <w:uiPriority w:val="99"/>
    <w:unhideWhenUsed/>
    <w:rsid w:val="00F301D5"/>
    <w:rPr>
      <w:sz w:val="16"/>
      <w:szCs w:val="16"/>
    </w:rPr>
  </w:style>
  <w:style w:type="paragraph" w:styleId="CommentText">
    <w:name w:val="annotation text"/>
    <w:basedOn w:val="Normal"/>
    <w:link w:val="CommentTextChar"/>
    <w:uiPriority w:val="99"/>
    <w:unhideWhenUsed/>
    <w:rsid w:val="00F301D5"/>
    <w:rPr>
      <w:sz w:val="20"/>
      <w:szCs w:val="20"/>
    </w:rPr>
  </w:style>
  <w:style w:type="character" w:customStyle="1" w:styleId="CommentTextChar">
    <w:name w:val="Comment Text Char"/>
    <w:basedOn w:val="DefaultParagraphFont"/>
    <w:link w:val="CommentText"/>
    <w:uiPriority w:val="99"/>
    <w:rsid w:val="00F301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01D5"/>
    <w:rPr>
      <w:b/>
      <w:bCs/>
    </w:rPr>
  </w:style>
  <w:style w:type="character" w:customStyle="1" w:styleId="CommentSubjectChar">
    <w:name w:val="Comment Subject Char"/>
    <w:basedOn w:val="CommentTextChar"/>
    <w:link w:val="CommentSubject"/>
    <w:uiPriority w:val="99"/>
    <w:semiHidden/>
    <w:rsid w:val="00F301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301D5"/>
    <w:rPr>
      <w:rFonts w:ascii="Tahoma" w:hAnsi="Tahoma" w:cs="Tahoma"/>
      <w:sz w:val="16"/>
      <w:szCs w:val="16"/>
    </w:rPr>
  </w:style>
  <w:style w:type="character" w:customStyle="1" w:styleId="BalloonTextChar">
    <w:name w:val="Balloon Text Char"/>
    <w:basedOn w:val="DefaultParagraphFont"/>
    <w:link w:val="BalloonText"/>
    <w:uiPriority w:val="99"/>
    <w:semiHidden/>
    <w:rsid w:val="00F301D5"/>
    <w:rPr>
      <w:rFonts w:ascii="Tahoma" w:eastAsia="Times New Roman" w:hAnsi="Tahoma" w:cs="Tahoma"/>
      <w:sz w:val="16"/>
      <w:szCs w:val="16"/>
    </w:rPr>
  </w:style>
  <w:style w:type="paragraph" w:styleId="BodyText2">
    <w:name w:val="Body Text 2"/>
    <w:basedOn w:val="Normal"/>
    <w:link w:val="BodyText2Char"/>
    <w:uiPriority w:val="99"/>
    <w:semiHidden/>
    <w:unhideWhenUsed/>
    <w:rsid w:val="00F301D5"/>
    <w:pPr>
      <w:spacing w:after="120" w:line="480" w:lineRule="auto"/>
    </w:pPr>
  </w:style>
  <w:style w:type="character" w:customStyle="1" w:styleId="BodyText2Char">
    <w:name w:val="Body Text 2 Char"/>
    <w:basedOn w:val="DefaultParagraphFont"/>
    <w:link w:val="BodyText2"/>
    <w:uiPriority w:val="99"/>
    <w:semiHidden/>
    <w:rsid w:val="00F301D5"/>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C5290A"/>
    <w:rPr>
      <w:rFonts w:asciiTheme="majorHAnsi" w:eastAsiaTheme="majorEastAsia" w:hAnsiTheme="majorHAnsi" w:cstheme="majorBidi"/>
      <w:i/>
      <w:iCs/>
      <w:color w:val="404040" w:themeColor="text1" w:themeTint="BF"/>
      <w:sz w:val="24"/>
      <w:szCs w:val="24"/>
    </w:rPr>
  </w:style>
  <w:style w:type="table" w:styleId="TableGrid">
    <w:name w:val="Table Grid"/>
    <w:basedOn w:val="TableNormal"/>
    <w:uiPriority w:val="59"/>
    <w:rsid w:val="00C529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C5290A"/>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AD034C"/>
    <w:pPr>
      <w:widowControl/>
      <w:autoSpaceDE/>
      <w:autoSpaceDN/>
      <w:adjustRightInd/>
      <w:spacing w:before="100" w:beforeAutospacing="1" w:after="100" w:afterAutospacing="1"/>
    </w:pPr>
  </w:style>
  <w:style w:type="table" w:customStyle="1" w:styleId="TableGrid1">
    <w:name w:val="Table Grid1"/>
    <w:basedOn w:val="TableNormal"/>
    <w:next w:val="TableGrid"/>
    <w:rsid w:val="0051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240A35"/>
    <w:rPr>
      <w:sz w:val="20"/>
      <w:szCs w:val="20"/>
    </w:rPr>
  </w:style>
  <w:style w:type="character" w:customStyle="1" w:styleId="FootnoteTextChar">
    <w:name w:val="Footnote Text Char"/>
    <w:basedOn w:val="DefaultParagraphFont"/>
    <w:link w:val="FootnoteText"/>
    <w:rsid w:val="00240A3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40A35"/>
    <w:rPr>
      <w:color w:val="0000FF" w:themeColor="hyperlink"/>
      <w:u w:val="single"/>
    </w:rPr>
  </w:style>
  <w:style w:type="table" w:customStyle="1" w:styleId="TableGrid2">
    <w:name w:val="Table Grid2"/>
    <w:basedOn w:val="TableNormal"/>
    <w:next w:val="TableGrid"/>
    <w:uiPriority w:val="39"/>
    <w:rsid w:val="00240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nhideWhenUsed/>
    <w:rsid w:val="00240A35"/>
    <w:rPr>
      <w:vertAlign w:val="superscript"/>
    </w:rPr>
  </w:style>
  <w:style w:type="paragraph" w:styleId="NoSpacing">
    <w:name w:val="No Spacing"/>
    <w:uiPriority w:val="1"/>
    <w:qFormat/>
    <w:rsid w:val="00240A35"/>
    <w:pPr>
      <w:spacing w:after="0" w:line="240" w:lineRule="auto"/>
    </w:pPr>
  </w:style>
  <w:style w:type="paragraph" w:customStyle="1" w:styleId="a0">
    <w:name w:val="_"/>
    <w:basedOn w:val="Normal"/>
    <w:rsid w:val="00AD165A"/>
    <w:pPr>
      <w:ind w:left="360" w:hanging="360"/>
    </w:pPr>
  </w:style>
  <w:style w:type="paragraph" w:styleId="Header">
    <w:name w:val="header"/>
    <w:basedOn w:val="Normal"/>
    <w:link w:val="HeaderChar"/>
    <w:uiPriority w:val="99"/>
    <w:unhideWhenUsed/>
    <w:rsid w:val="003D53B9"/>
    <w:pPr>
      <w:tabs>
        <w:tab w:val="center" w:pos="4680"/>
        <w:tab w:val="right" w:pos="9360"/>
      </w:tabs>
    </w:pPr>
  </w:style>
  <w:style w:type="character" w:customStyle="1" w:styleId="HeaderChar">
    <w:name w:val="Header Char"/>
    <w:basedOn w:val="DefaultParagraphFont"/>
    <w:link w:val="Header"/>
    <w:uiPriority w:val="99"/>
    <w:rsid w:val="003D53B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C25E3"/>
    <w:rPr>
      <w:color w:val="605E5C"/>
      <w:shd w:val="clear" w:color="auto" w:fill="E1DFDD"/>
    </w:rPr>
  </w:style>
  <w:style w:type="table" w:customStyle="1" w:styleId="TableGrid11">
    <w:name w:val="Table Grid11"/>
    <w:basedOn w:val="TableNormal"/>
    <w:next w:val="TableGrid"/>
    <w:rsid w:val="00256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F74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ovinfo.gov/content/pkg/FR-2022-06-07/pdf/2022-12138.pdf" TargetMode="External" /><Relationship Id="rId11" Type="http://schemas.openxmlformats.org/officeDocument/2006/relationships/hyperlink" Target="https://www.govinfo.gov/content/pkg/FR-2013-03-29/pdf/2013-07341.pdf"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yperlink" Target="https://www.opm.gov/policy-data-oversight/pay-leave/salaries-wages/salary-tables/pdf/2022/DCB_h.pdf"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eqdata.uspto.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aipla.org/home/news-publications/economic-surv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Document_x0020_Type xmlns="9D3FBF29-A68A-4B9A-8F79-A12BBBF87B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E0C5C3420CD148B2738C91169B9552" ma:contentTypeVersion="10" ma:contentTypeDescription="Create a new document." ma:contentTypeScope="" ma:versionID="7752edbf9696e3f87491a7f98c257e04">
  <xsd:schema xmlns:xsd="http://www.w3.org/2001/XMLSchema" xmlns:xs="http://www.w3.org/2001/XMLSchema" xmlns:p="http://schemas.microsoft.com/office/2006/metadata/properties" xmlns:ns2="9D3FBF29-A68A-4B9A-8F79-A12BBBF87BA4" xmlns:ns3="5dfc53cf-7c17-4489-98ab-5f87c96333b9" xmlns:ns4="9d3fbf29-a68a-4b9a-8f79-a12bbbf87ba4" targetNamespace="http://schemas.microsoft.com/office/2006/metadata/properties" ma:root="true" ma:fieldsID="3e066ef6f463553d287e1a7b2916f466" ns2:_="" ns3:_="" ns4:_="">
    <xsd:import namespace="9D3FBF29-A68A-4B9A-8F79-A12BBBF87BA4"/>
    <xsd:import namespace="5dfc53cf-7c17-4489-98ab-5f87c96333b9"/>
    <xsd:import namespace="9d3fbf29-a68a-4b9a-8f79-a12bbbf87ba4"/>
    <xsd:element name="properties">
      <xsd:complexType>
        <xsd:sequence>
          <xsd:element name="documentManagement">
            <xsd:complexType>
              <xsd:all>
                <xsd:element ref="ns2:Document_x0020_Type" minOccurs="0"/>
                <xsd:element ref="ns3: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FBF29-A68A-4B9A-8F79-A12BBBF87BA4" elementFormDefault="qualified">
    <xsd:import namespace="http://schemas.microsoft.com/office/2006/documentManagement/types"/>
    <xsd:import namespace="http://schemas.microsoft.com/office/infopath/2007/PartnerControls"/>
    <xsd:element name="Document_x0020_Type" ma:index="2" nillable="true" ma:displayName="Document Type" ma:format="RadioButtons" ma:internalName="Document_x0020_Type">
      <xsd:simpleType>
        <xsd:restriction base="dms:Choice">
          <xsd:enumeration value="Reference"/>
          <xsd:enumeration value="Tracking"/>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3fbf29-a68a-4b9a-8f79-a12bbbf87ba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F099F-32CA-4B01-80C9-1FE6B517BEA3}">
  <ds:schemaRefs>
    <ds:schemaRef ds:uri="http://schemas.microsoft.com/office/2006/metadata/properties"/>
    <ds:schemaRef ds:uri="9D3FBF29-A68A-4B9A-8F79-A12BBBF87BA4"/>
  </ds:schemaRefs>
</ds:datastoreItem>
</file>

<file path=customXml/itemProps2.xml><?xml version="1.0" encoding="utf-8"?>
<ds:datastoreItem xmlns:ds="http://schemas.openxmlformats.org/officeDocument/2006/customXml" ds:itemID="{A1E79872-84F2-4734-B197-1CC8013BD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FBF29-A68A-4B9A-8F79-A12BBBF87BA4"/>
    <ds:schemaRef ds:uri="5dfc53cf-7c17-4489-98ab-5f87c96333b9"/>
    <ds:schemaRef ds:uri="9d3fbf29-a68a-4b9a-8f79-a12bbbf87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090465-E799-4DA5-867A-6A0D05373223}">
  <ds:schemaRefs>
    <ds:schemaRef ds:uri="http://schemas.microsoft.com/sharepoint/v3/contenttype/forms"/>
  </ds:schemaRefs>
</ds:datastoreItem>
</file>

<file path=customXml/itemProps4.xml><?xml version="1.0" encoding="utf-8"?>
<ds:datastoreItem xmlns:ds="http://schemas.openxmlformats.org/officeDocument/2006/customXml" ds:itemID="{CB977C0F-A13B-40BC-8AD5-D2C314C40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5378</Words>
  <Characters>30658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Isaac, Justin</cp:lastModifiedBy>
  <cp:revision>2</cp:revision>
  <cp:lastPrinted>2016-10-26T18:15:00Z</cp:lastPrinted>
  <dcterms:created xsi:type="dcterms:W3CDTF">2022-09-16T18:47:00Z</dcterms:created>
  <dcterms:modified xsi:type="dcterms:W3CDTF">2022-09-16T18:47:00Z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0x010100E7E0C5C3420CD148B2738C91169B9552</vt:lpwstr>
  </property>
</Properties>
</file>