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82A" w:rsidP="00BB682A" w14:paraId="263046AA" w14:textId="6EDA2E08">
      <w:pPr>
        <w:pStyle w:val="Title"/>
        <w:rPr>
          <w:rFonts w:ascii="Calibri" w:hAnsi="Calibri" w:cs="Calibri"/>
          <w:b/>
          <w:bCs/>
          <w:sz w:val="52"/>
          <w:szCs w:val="52"/>
        </w:rPr>
      </w:pPr>
      <w:r>
        <w:rPr>
          <w:rFonts w:ascii="Calibri" w:hAnsi="Calibri" w:cs="Calibri"/>
          <w:b/>
          <w:bCs/>
          <w:sz w:val="52"/>
          <w:szCs w:val="52"/>
        </w:rPr>
        <w:t>CHIPS Incentive Program</w:t>
      </w:r>
      <w:r w:rsidR="00C33674">
        <w:rPr>
          <w:rFonts w:ascii="Calibri" w:hAnsi="Calibri" w:cs="Calibri"/>
          <w:b/>
          <w:bCs/>
          <w:sz w:val="52"/>
          <w:szCs w:val="52"/>
        </w:rPr>
        <w:t xml:space="preserve"> – Commercial Fabrication Facilities</w:t>
      </w:r>
    </w:p>
    <w:p w:rsidR="00BB682A" w:rsidP="00BB682A" w14:paraId="3D9835A0" w14:textId="235BEF4C">
      <w:r>
        <w:rPr>
          <w:rFonts w:ascii="Calibri" w:eastAsia="Calibri" w:hAnsi="Calibri" w:cs="Calibri"/>
          <w:b/>
          <w:bCs/>
          <w:sz w:val="52"/>
          <w:szCs w:val="52"/>
        </w:rPr>
        <w:t xml:space="preserve">Pre-Application </w:t>
      </w:r>
      <w:r w:rsidR="00376518">
        <w:rPr>
          <w:rFonts w:ascii="Calibri" w:eastAsia="Calibri" w:hAnsi="Calibri" w:cs="Calibri"/>
          <w:b/>
          <w:bCs/>
          <w:sz w:val="52"/>
          <w:szCs w:val="52"/>
        </w:rPr>
        <w:t>Project Forecasting</w:t>
      </w:r>
      <w:r>
        <w:rPr>
          <w:rFonts w:ascii="Calibri" w:eastAsia="Calibri" w:hAnsi="Calibri" w:cs="Calibri"/>
          <w:b/>
          <w:bCs/>
          <w:sz w:val="52"/>
          <w:szCs w:val="52"/>
        </w:rPr>
        <w:t xml:space="preserve"> – </w:t>
      </w:r>
      <w:r>
        <w:rPr>
          <w:rFonts w:ascii="Calibri" w:eastAsia="Calibri" w:hAnsi="Calibri" w:cs="Calibri"/>
          <w:b/>
          <w:bCs/>
          <w:sz w:val="52"/>
          <w:szCs w:val="52"/>
        </w:rPr>
        <w:br/>
      </w:r>
      <w:r w:rsidR="00C60D8E">
        <w:rPr>
          <w:rFonts w:ascii="Calibri" w:eastAsia="Calibri" w:hAnsi="Calibri" w:cs="Calibri"/>
          <w:b/>
          <w:bCs/>
          <w:sz w:val="52"/>
          <w:szCs w:val="52"/>
        </w:rPr>
        <w:t xml:space="preserve">Example </w:t>
      </w:r>
      <w:r>
        <w:rPr>
          <w:rFonts w:ascii="Calibri" w:eastAsia="Calibri" w:hAnsi="Calibri" w:cs="Calibri"/>
          <w:b/>
          <w:bCs/>
          <w:sz w:val="52"/>
          <w:szCs w:val="52"/>
        </w:rPr>
        <w:t xml:space="preserve">White Paper </w:t>
      </w:r>
      <w:r>
        <w:rPr>
          <w:rFonts w:ascii="Calibri" w:eastAsia="Calibri" w:hAnsi="Calibri" w:cs="Calibri"/>
          <w:b/>
          <w:bCs/>
          <w:sz w:val="52"/>
          <w:szCs w:val="52"/>
        </w:rPr>
        <w:br/>
      </w:r>
    </w:p>
    <w:sdt>
      <w:sdtPr>
        <w:rPr>
          <w:rFonts w:eastAsiaTheme="minorHAnsi" w:cstheme="minorBidi"/>
          <w:b w:val="0"/>
          <w:bCs w:val="0"/>
          <w:color w:val="auto"/>
          <w:sz w:val="22"/>
          <w:szCs w:val="22"/>
        </w:rPr>
        <w:id w:val="-836298119"/>
        <w:docPartObj>
          <w:docPartGallery w:val="Table of Contents"/>
          <w:docPartUnique/>
        </w:docPartObj>
      </w:sdtPr>
      <w:sdtEndPr>
        <w:rPr>
          <w:noProof/>
        </w:rPr>
      </w:sdtEndPr>
      <w:sdtContent>
        <w:p w:rsidR="007660E9" w:rsidP="007660E9" w14:paraId="3E01F1DB" w14:textId="3FA87B8A">
          <w:pPr>
            <w:pStyle w:val="TOCHeading"/>
          </w:pPr>
          <w:r>
            <w:t>Table of Contents</w:t>
          </w:r>
        </w:p>
        <w:p w:rsidR="00F847F7" w14:paraId="105C4998" w14:textId="2EF25ADE">
          <w:pPr>
            <w:pStyle w:val="TOC1"/>
            <w:rPr>
              <w:rFonts w:eastAsiaTheme="minorEastAsia"/>
              <w:b w:val="0"/>
              <w:noProof/>
              <w:sz w:val="22"/>
            </w:rPr>
          </w:pPr>
          <w:r>
            <w:fldChar w:fldCharType="begin"/>
          </w:r>
          <w:r>
            <w:instrText xml:space="preserve"> TOC \o "1-3" \h \z \u </w:instrText>
          </w:r>
          <w:r>
            <w:fldChar w:fldCharType="separate"/>
          </w:r>
          <w:hyperlink w:anchor="_Toc130497975" w:history="1">
            <w:r w:rsidRPr="00E96531">
              <w:rPr>
                <w:rStyle w:val="Hyperlink"/>
                <w:noProof/>
              </w:rPr>
              <w:t>1.</w:t>
            </w:r>
            <w:r>
              <w:rPr>
                <w:rFonts w:eastAsiaTheme="minorEastAsia"/>
                <w:b w:val="0"/>
                <w:noProof/>
                <w:sz w:val="22"/>
              </w:rPr>
              <w:tab/>
            </w:r>
            <w:r w:rsidRPr="00E96531">
              <w:rPr>
                <w:rStyle w:val="Hyperlink"/>
                <w:noProof/>
              </w:rPr>
              <w:t>Overview</w:t>
            </w:r>
            <w:r>
              <w:rPr>
                <w:noProof/>
                <w:webHidden/>
              </w:rPr>
              <w:tab/>
            </w:r>
            <w:r>
              <w:rPr>
                <w:noProof/>
                <w:webHidden/>
              </w:rPr>
              <w:fldChar w:fldCharType="begin"/>
            </w:r>
            <w:r>
              <w:rPr>
                <w:noProof/>
                <w:webHidden/>
              </w:rPr>
              <w:instrText xml:space="preserve"> PAGEREF _Toc130497975 \h </w:instrText>
            </w:r>
            <w:r>
              <w:rPr>
                <w:noProof/>
                <w:webHidden/>
              </w:rPr>
              <w:fldChar w:fldCharType="separate"/>
            </w:r>
            <w:r w:rsidR="00A92101">
              <w:rPr>
                <w:noProof/>
                <w:webHidden/>
              </w:rPr>
              <w:t>2</w:t>
            </w:r>
            <w:r>
              <w:rPr>
                <w:noProof/>
                <w:webHidden/>
              </w:rPr>
              <w:fldChar w:fldCharType="end"/>
            </w:r>
          </w:hyperlink>
        </w:p>
        <w:p w:rsidR="00F847F7" w14:paraId="3F7FF787" w14:textId="3FB0985F">
          <w:pPr>
            <w:pStyle w:val="TOC1"/>
            <w:rPr>
              <w:rFonts w:eastAsiaTheme="minorEastAsia"/>
              <w:b w:val="0"/>
              <w:noProof/>
              <w:sz w:val="22"/>
            </w:rPr>
          </w:pPr>
          <w:hyperlink w:anchor="_Toc130497976" w:history="1">
            <w:r w:rsidRPr="00E96531">
              <w:rPr>
                <w:rStyle w:val="Hyperlink"/>
                <w:noProof/>
              </w:rPr>
              <w:t>2.</w:t>
            </w:r>
            <w:r>
              <w:rPr>
                <w:rFonts w:eastAsiaTheme="minorEastAsia"/>
                <w:b w:val="0"/>
                <w:noProof/>
                <w:sz w:val="22"/>
              </w:rPr>
              <w:tab/>
            </w:r>
            <w:r w:rsidRPr="00E96531">
              <w:rPr>
                <w:rStyle w:val="Hyperlink"/>
                <w:noProof/>
              </w:rPr>
              <w:t>Control Panel Inputs &amp; Assumptions</w:t>
            </w:r>
            <w:r>
              <w:rPr>
                <w:noProof/>
                <w:webHidden/>
              </w:rPr>
              <w:tab/>
            </w:r>
            <w:r>
              <w:rPr>
                <w:noProof/>
                <w:webHidden/>
              </w:rPr>
              <w:fldChar w:fldCharType="begin"/>
            </w:r>
            <w:r>
              <w:rPr>
                <w:noProof/>
                <w:webHidden/>
              </w:rPr>
              <w:instrText xml:space="preserve"> PAGEREF _Toc130497976 \h </w:instrText>
            </w:r>
            <w:r>
              <w:rPr>
                <w:noProof/>
                <w:webHidden/>
              </w:rPr>
              <w:fldChar w:fldCharType="separate"/>
            </w:r>
            <w:r w:rsidR="00A92101">
              <w:rPr>
                <w:noProof/>
                <w:webHidden/>
              </w:rPr>
              <w:t>3</w:t>
            </w:r>
            <w:r>
              <w:rPr>
                <w:noProof/>
                <w:webHidden/>
              </w:rPr>
              <w:fldChar w:fldCharType="end"/>
            </w:r>
          </w:hyperlink>
        </w:p>
        <w:p w:rsidR="00F847F7" w14:paraId="2B47CF6F" w14:textId="4117DB42">
          <w:pPr>
            <w:pStyle w:val="TOC2"/>
            <w:rPr>
              <w:rFonts w:eastAsiaTheme="minorEastAsia"/>
              <w:noProof/>
            </w:rPr>
          </w:pPr>
          <w:hyperlink w:anchor="_Toc130497977" w:history="1">
            <w:r w:rsidRPr="00E96531">
              <w:rPr>
                <w:rStyle w:val="Hyperlink"/>
                <w:noProof/>
              </w:rPr>
              <w:t>2.1.</w:t>
            </w:r>
            <w:r>
              <w:rPr>
                <w:rFonts w:eastAsiaTheme="minorEastAsia"/>
                <w:noProof/>
              </w:rPr>
              <w:tab/>
            </w:r>
            <w:r w:rsidRPr="00E96531">
              <w:rPr>
                <w:rStyle w:val="Hyperlink"/>
                <w:noProof/>
              </w:rPr>
              <w:t>Overview</w:t>
            </w:r>
            <w:r>
              <w:rPr>
                <w:noProof/>
                <w:webHidden/>
              </w:rPr>
              <w:tab/>
            </w:r>
            <w:r>
              <w:rPr>
                <w:noProof/>
                <w:webHidden/>
              </w:rPr>
              <w:fldChar w:fldCharType="begin"/>
            </w:r>
            <w:r>
              <w:rPr>
                <w:noProof/>
                <w:webHidden/>
              </w:rPr>
              <w:instrText xml:space="preserve"> PAGEREF _Toc130497977 \h </w:instrText>
            </w:r>
            <w:r>
              <w:rPr>
                <w:noProof/>
                <w:webHidden/>
              </w:rPr>
              <w:fldChar w:fldCharType="separate"/>
            </w:r>
            <w:r w:rsidR="00A92101">
              <w:rPr>
                <w:noProof/>
                <w:webHidden/>
              </w:rPr>
              <w:t>4</w:t>
            </w:r>
            <w:r>
              <w:rPr>
                <w:noProof/>
                <w:webHidden/>
              </w:rPr>
              <w:fldChar w:fldCharType="end"/>
            </w:r>
          </w:hyperlink>
        </w:p>
        <w:p w:rsidR="00F847F7" w14:paraId="7CEDA38C" w14:textId="6FEC7F56">
          <w:pPr>
            <w:pStyle w:val="TOC2"/>
            <w:rPr>
              <w:rFonts w:eastAsiaTheme="minorEastAsia"/>
              <w:noProof/>
            </w:rPr>
          </w:pPr>
          <w:hyperlink w:anchor="_Toc130497978" w:history="1">
            <w:r w:rsidRPr="00E96531">
              <w:rPr>
                <w:rStyle w:val="Hyperlink"/>
                <w:noProof/>
              </w:rPr>
              <w:t>2.2.</w:t>
            </w:r>
            <w:r>
              <w:rPr>
                <w:rFonts w:eastAsiaTheme="minorEastAsia"/>
                <w:noProof/>
              </w:rPr>
              <w:tab/>
            </w:r>
            <w:r w:rsidRPr="00E96531">
              <w:rPr>
                <w:rStyle w:val="Hyperlink"/>
                <w:noProof/>
              </w:rPr>
              <w:t>Project Capital Costs</w:t>
            </w:r>
            <w:r>
              <w:rPr>
                <w:noProof/>
                <w:webHidden/>
              </w:rPr>
              <w:tab/>
            </w:r>
            <w:r>
              <w:rPr>
                <w:noProof/>
                <w:webHidden/>
              </w:rPr>
              <w:fldChar w:fldCharType="begin"/>
            </w:r>
            <w:r>
              <w:rPr>
                <w:noProof/>
                <w:webHidden/>
              </w:rPr>
              <w:instrText xml:space="preserve"> PAGEREF _Toc130497978 \h </w:instrText>
            </w:r>
            <w:r>
              <w:rPr>
                <w:noProof/>
                <w:webHidden/>
              </w:rPr>
              <w:fldChar w:fldCharType="separate"/>
            </w:r>
            <w:r w:rsidR="00A92101">
              <w:rPr>
                <w:noProof/>
                <w:webHidden/>
              </w:rPr>
              <w:t>4</w:t>
            </w:r>
            <w:r>
              <w:rPr>
                <w:noProof/>
                <w:webHidden/>
              </w:rPr>
              <w:fldChar w:fldCharType="end"/>
            </w:r>
          </w:hyperlink>
        </w:p>
        <w:p w:rsidR="00F847F7" w14:paraId="43A823FA" w14:textId="055CA42B">
          <w:pPr>
            <w:pStyle w:val="TOC2"/>
            <w:rPr>
              <w:rFonts w:eastAsiaTheme="minorEastAsia"/>
              <w:noProof/>
            </w:rPr>
          </w:pPr>
          <w:hyperlink w:anchor="_Toc130497979" w:history="1">
            <w:r w:rsidRPr="00E96531">
              <w:rPr>
                <w:rStyle w:val="Hyperlink"/>
                <w:noProof/>
              </w:rPr>
              <w:t>2.3.</w:t>
            </w:r>
            <w:r>
              <w:rPr>
                <w:rFonts w:eastAsiaTheme="minorEastAsia"/>
                <w:noProof/>
              </w:rPr>
              <w:tab/>
            </w:r>
            <w:r w:rsidRPr="00E96531">
              <w:rPr>
                <w:rStyle w:val="Hyperlink"/>
                <w:noProof/>
              </w:rPr>
              <w:t>Project Revenue</w:t>
            </w:r>
            <w:r>
              <w:rPr>
                <w:noProof/>
                <w:webHidden/>
              </w:rPr>
              <w:tab/>
            </w:r>
            <w:r>
              <w:rPr>
                <w:noProof/>
                <w:webHidden/>
              </w:rPr>
              <w:fldChar w:fldCharType="begin"/>
            </w:r>
            <w:r>
              <w:rPr>
                <w:noProof/>
                <w:webHidden/>
              </w:rPr>
              <w:instrText xml:space="preserve"> PAGEREF _Toc130497979 \h </w:instrText>
            </w:r>
            <w:r>
              <w:rPr>
                <w:noProof/>
                <w:webHidden/>
              </w:rPr>
              <w:fldChar w:fldCharType="separate"/>
            </w:r>
            <w:r w:rsidR="00A92101">
              <w:rPr>
                <w:noProof/>
                <w:webHidden/>
              </w:rPr>
              <w:t>5</w:t>
            </w:r>
            <w:r>
              <w:rPr>
                <w:noProof/>
                <w:webHidden/>
              </w:rPr>
              <w:fldChar w:fldCharType="end"/>
            </w:r>
          </w:hyperlink>
        </w:p>
        <w:p w:rsidR="00F847F7" w14:paraId="2478F9E0" w14:textId="3D347E32">
          <w:pPr>
            <w:pStyle w:val="TOC2"/>
            <w:rPr>
              <w:rFonts w:eastAsiaTheme="minorEastAsia"/>
              <w:noProof/>
            </w:rPr>
          </w:pPr>
          <w:hyperlink w:anchor="_Toc130497980" w:history="1">
            <w:r w:rsidRPr="00E96531">
              <w:rPr>
                <w:rStyle w:val="Hyperlink"/>
                <w:noProof/>
              </w:rPr>
              <w:t>2.4.</w:t>
            </w:r>
            <w:r>
              <w:rPr>
                <w:rFonts w:eastAsiaTheme="minorEastAsia"/>
                <w:noProof/>
              </w:rPr>
              <w:tab/>
            </w:r>
            <w:r w:rsidRPr="00E96531">
              <w:rPr>
                <w:rStyle w:val="Hyperlink"/>
                <w:noProof/>
              </w:rPr>
              <w:t>Operating Costs</w:t>
            </w:r>
            <w:r>
              <w:rPr>
                <w:noProof/>
                <w:webHidden/>
              </w:rPr>
              <w:tab/>
            </w:r>
            <w:r>
              <w:rPr>
                <w:noProof/>
                <w:webHidden/>
              </w:rPr>
              <w:fldChar w:fldCharType="begin"/>
            </w:r>
            <w:r>
              <w:rPr>
                <w:noProof/>
                <w:webHidden/>
              </w:rPr>
              <w:instrText xml:space="preserve"> PAGEREF _Toc130497980 \h </w:instrText>
            </w:r>
            <w:r>
              <w:rPr>
                <w:noProof/>
                <w:webHidden/>
              </w:rPr>
              <w:fldChar w:fldCharType="separate"/>
            </w:r>
            <w:r w:rsidR="00A92101">
              <w:rPr>
                <w:noProof/>
                <w:webHidden/>
              </w:rPr>
              <w:t>6</w:t>
            </w:r>
            <w:r>
              <w:rPr>
                <w:noProof/>
                <w:webHidden/>
              </w:rPr>
              <w:fldChar w:fldCharType="end"/>
            </w:r>
          </w:hyperlink>
        </w:p>
        <w:p w:rsidR="00F847F7" w14:paraId="5016C7DD" w14:textId="496A2AC4">
          <w:pPr>
            <w:pStyle w:val="TOC2"/>
            <w:rPr>
              <w:rFonts w:eastAsiaTheme="minorEastAsia"/>
              <w:noProof/>
            </w:rPr>
          </w:pPr>
          <w:hyperlink w:anchor="_Toc130497981" w:history="1">
            <w:r w:rsidRPr="00E96531">
              <w:rPr>
                <w:rStyle w:val="Hyperlink"/>
                <w:noProof/>
              </w:rPr>
              <w:t>2.5.</w:t>
            </w:r>
            <w:r>
              <w:rPr>
                <w:rFonts w:eastAsiaTheme="minorEastAsia"/>
                <w:noProof/>
              </w:rPr>
              <w:tab/>
            </w:r>
            <w:r w:rsidRPr="00E96531">
              <w:rPr>
                <w:rStyle w:val="Hyperlink"/>
                <w:noProof/>
              </w:rPr>
              <w:t>Debt Assumptions</w:t>
            </w:r>
            <w:r>
              <w:rPr>
                <w:noProof/>
                <w:webHidden/>
              </w:rPr>
              <w:tab/>
            </w:r>
            <w:r>
              <w:rPr>
                <w:noProof/>
                <w:webHidden/>
              </w:rPr>
              <w:fldChar w:fldCharType="begin"/>
            </w:r>
            <w:r>
              <w:rPr>
                <w:noProof/>
                <w:webHidden/>
              </w:rPr>
              <w:instrText xml:space="preserve"> PAGEREF _Toc130497981 \h </w:instrText>
            </w:r>
            <w:r>
              <w:rPr>
                <w:noProof/>
                <w:webHidden/>
              </w:rPr>
              <w:fldChar w:fldCharType="separate"/>
            </w:r>
            <w:r w:rsidR="00A92101">
              <w:rPr>
                <w:noProof/>
                <w:webHidden/>
              </w:rPr>
              <w:t>7</w:t>
            </w:r>
            <w:r>
              <w:rPr>
                <w:noProof/>
                <w:webHidden/>
              </w:rPr>
              <w:fldChar w:fldCharType="end"/>
            </w:r>
          </w:hyperlink>
        </w:p>
        <w:p w:rsidR="00F847F7" w14:paraId="14FE39B0" w14:textId="191E47D6">
          <w:pPr>
            <w:pStyle w:val="TOC2"/>
            <w:rPr>
              <w:rFonts w:eastAsiaTheme="minorEastAsia"/>
              <w:noProof/>
            </w:rPr>
          </w:pPr>
          <w:hyperlink w:anchor="_Toc130497982" w:history="1">
            <w:r w:rsidRPr="00E96531">
              <w:rPr>
                <w:rStyle w:val="Hyperlink"/>
                <w:noProof/>
              </w:rPr>
              <w:t>2.6.</w:t>
            </w:r>
            <w:r>
              <w:rPr>
                <w:rFonts w:eastAsiaTheme="minorEastAsia"/>
                <w:noProof/>
              </w:rPr>
              <w:tab/>
            </w:r>
            <w:r w:rsidRPr="00E96531">
              <w:rPr>
                <w:rStyle w:val="Hyperlink"/>
                <w:noProof/>
              </w:rPr>
              <w:t>Project Financing Assumptions</w:t>
            </w:r>
            <w:r>
              <w:rPr>
                <w:noProof/>
                <w:webHidden/>
              </w:rPr>
              <w:tab/>
            </w:r>
            <w:r>
              <w:rPr>
                <w:noProof/>
                <w:webHidden/>
              </w:rPr>
              <w:fldChar w:fldCharType="begin"/>
            </w:r>
            <w:r>
              <w:rPr>
                <w:noProof/>
                <w:webHidden/>
              </w:rPr>
              <w:instrText xml:space="preserve"> PAGEREF _Toc130497982 \h </w:instrText>
            </w:r>
            <w:r>
              <w:rPr>
                <w:noProof/>
                <w:webHidden/>
              </w:rPr>
              <w:fldChar w:fldCharType="separate"/>
            </w:r>
            <w:r w:rsidR="00A92101">
              <w:rPr>
                <w:noProof/>
                <w:webHidden/>
              </w:rPr>
              <w:t>8</w:t>
            </w:r>
            <w:r>
              <w:rPr>
                <w:noProof/>
                <w:webHidden/>
              </w:rPr>
              <w:fldChar w:fldCharType="end"/>
            </w:r>
          </w:hyperlink>
        </w:p>
        <w:p w:rsidR="00F847F7" w14:paraId="77F7C497" w14:textId="2B8568FE">
          <w:pPr>
            <w:pStyle w:val="TOC2"/>
            <w:rPr>
              <w:rFonts w:eastAsiaTheme="minorEastAsia"/>
              <w:noProof/>
            </w:rPr>
          </w:pPr>
          <w:hyperlink w:anchor="_Toc130497983" w:history="1">
            <w:r w:rsidRPr="00E96531">
              <w:rPr>
                <w:rStyle w:val="Hyperlink"/>
                <w:noProof/>
              </w:rPr>
              <w:t>2.7.</w:t>
            </w:r>
            <w:r>
              <w:rPr>
                <w:rFonts w:eastAsiaTheme="minorEastAsia"/>
                <w:noProof/>
              </w:rPr>
              <w:tab/>
            </w:r>
            <w:r w:rsidRPr="00E96531">
              <w:rPr>
                <w:rStyle w:val="Hyperlink"/>
                <w:noProof/>
              </w:rPr>
              <w:t>Tax Assumptions</w:t>
            </w:r>
            <w:r>
              <w:rPr>
                <w:noProof/>
                <w:webHidden/>
              </w:rPr>
              <w:tab/>
            </w:r>
            <w:r>
              <w:rPr>
                <w:noProof/>
                <w:webHidden/>
              </w:rPr>
              <w:fldChar w:fldCharType="begin"/>
            </w:r>
            <w:r>
              <w:rPr>
                <w:noProof/>
                <w:webHidden/>
              </w:rPr>
              <w:instrText xml:space="preserve"> PAGEREF _Toc130497983 \h </w:instrText>
            </w:r>
            <w:r>
              <w:rPr>
                <w:noProof/>
                <w:webHidden/>
              </w:rPr>
              <w:fldChar w:fldCharType="separate"/>
            </w:r>
            <w:r w:rsidR="00A92101">
              <w:rPr>
                <w:noProof/>
                <w:webHidden/>
              </w:rPr>
              <w:t>8</w:t>
            </w:r>
            <w:r>
              <w:rPr>
                <w:noProof/>
                <w:webHidden/>
              </w:rPr>
              <w:fldChar w:fldCharType="end"/>
            </w:r>
          </w:hyperlink>
        </w:p>
        <w:p w:rsidR="00F847F7" w14:paraId="773DC2C6" w14:textId="49B69808">
          <w:pPr>
            <w:pStyle w:val="TOC2"/>
            <w:rPr>
              <w:rFonts w:eastAsiaTheme="minorEastAsia"/>
              <w:noProof/>
            </w:rPr>
          </w:pPr>
          <w:hyperlink w:anchor="_Toc130497984" w:history="1">
            <w:r w:rsidRPr="00E96531">
              <w:rPr>
                <w:rStyle w:val="Hyperlink"/>
                <w:noProof/>
              </w:rPr>
              <w:t>2.8.</w:t>
            </w:r>
            <w:r>
              <w:rPr>
                <w:rFonts w:eastAsiaTheme="minorEastAsia"/>
                <w:noProof/>
              </w:rPr>
              <w:tab/>
            </w:r>
            <w:r w:rsidRPr="00E96531">
              <w:rPr>
                <w:rStyle w:val="Hyperlink"/>
                <w:noProof/>
              </w:rPr>
              <w:t>Depreciation Assumptions</w:t>
            </w:r>
            <w:r>
              <w:rPr>
                <w:noProof/>
                <w:webHidden/>
              </w:rPr>
              <w:tab/>
            </w:r>
            <w:r>
              <w:rPr>
                <w:noProof/>
                <w:webHidden/>
              </w:rPr>
              <w:fldChar w:fldCharType="begin"/>
            </w:r>
            <w:r>
              <w:rPr>
                <w:noProof/>
                <w:webHidden/>
              </w:rPr>
              <w:instrText xml:space="preserve"> PAGEREF _Toc130497984 \h </w:instrText>
            </w:r>
            <w:r>
              <w:rPr>
                <w:noProof/>
                <w:webHidden/>
              </w:rPr>
              <w:fldChar w:fldCharType="separate"/>
            </w:r>
            <w:r w:rsidR="00A92101">
              <w:rPr>
                <w:noProof/>
                <w:webHidden/>
              </w:rPr>
              <w:t>9</w:t>
            </w:r>
            <w:r>
              <w:rPr>
                <w:noProof/>
                <w:webHidden/>
              </w:rPr>
              <w:fldChar w:fldCharType="end"/>
            </w:r>
          </w:hyperlink>
        </w:p>
        <w:p w:rsidR="00F847F7" w14:paraId="176611C1" w14:textId="1A289601">
          <w:pPr>
            <w:pStyle w:val="TOC2"/>
            <w:rPr>
              <w:rFonts w:eastAsiaTheme="minorEastAsia"/>
              <w:noProof/>
            </w:rPr>
          </w:pPr>
          <w:hyperlink w:anchor="_Toc130497985" w:history="1">
            <w:r w:rsidRPr="00E96531">
              <w:rPr>
                <w:rStyle w:val="Hyperlink"/>
                <w:noProof/>
              </w:rPr>
              <w:t>2.9.</w:t>
            </w:r>
            <w:r>
              <w:rPr>
                <w:rFonts w:eastAsiaTheme="minorEastAsia"/>
                <w:noProof/>
              </w:rPr>
              <w:tab/>
            </w:r>
            <w:r w:rsidRPr="00E96531">
              <w:rPr>
                <w:rStyle w:val="Hyperlink"/>
                <w:noProof/>
              </w:rPr>
              <w:t>Working Capital Assumptions</w:t>
            </w:r>
            <w:r>
              <w:rPr>
                <w:noProof/>
                <w:webHidden/>
              </w:rPr>
              <w:tab/>
            </w:r>
            <w:r>
              <w:rPr>
                <w:noProof/>
                <w:webHidden/>
              </w:rPr>
              <w:fldChar w:fldCharType="begin"/>
            </w:r>
            <w:r>
              <w:rPr>
                <w:noProof/>
                <w:webHidden/>
              </w:rPr>
              <w:instrText xml:space="preserve"> PAGEREF _Toc130497985 \h </w:instrText>
            </w:r>
            <w:r>
              <w:rPr>
                <w:noProof/>
                <w:webHidden/>
              </w:rPr>
              <w:fldChar w:fldCharType="separate"/>
            </w:r>
            <w:r w:rsidR="00A92101">
              <w:rPr>
                <w:noProof/>
                <w:webHidden/>
              </w:rPr>
              <w:t>10</w:t>
            </w:r>
            <w:r>
              <w:rPr>
                <w:noProof/>
                <w:webHidden/>
              </w:rPr>
              <w:fldChar w:fldCharType="end"/>
            </w:r>
          </w:hyperlink>
        </w:p>
        <w:p w:rsidR="00F847F7" w14:paraId="41C3DB46" w14:textId="4205A0A4">
          <w:pPr>
            <w:pStyle w:val="TOC2"/>
            <w:rPr>
              <w:rFonts w:eastAsiaTheme="minorEastAsia"/>
              <w:noProof/>
            </w:rPr>
          </w:pPr>
          <w:hyperlink w:anchor="_Toc130497986" w:history="1">
            <w:r w:rsidRPr="00E96531">
              <w:rPr>
                <w:rStyle w:val="Hyperlink"/>
                <w:noProof/>
              </w:rPr>
              <w:t>2.10.</w:t>
            </w:r>
            <w:r>
              <w:rPr>
                <w:rFonts w:eastAsiaTheme="minorEastAsia"/>
                <w:noProof/>
              </w:rPr>
              <w:tab/>
            </w:r>
            <w:r w:rsidRPr="00E96531">
              <w:rPr>
                <w:rStyle w:val="Hyperlink"/>
                <w:noProof/>
              </w:rPr>
              <w:t>Excess Cash</w:t>
            </w:r>
            <w:r>
              <w:rPr>
                <w:noProof/>
                <w:webHidden/>
              </w:rPr>
              <w:tab/>
            </w:r>
            <w:r>
              <w:rPr>
                <w:noProof/>
                <w:webHidden/>
              </w:rPr>
              <w:fldChar w:fldCharType="begin"/>
            </w:r>
            <w:r>
              <w:rPr>
                <w:noProof/>
                <w:webHidden/>
              </w:rPr>
              <w:instrText xml:space="preserve"> PAGEREF _Toc130497986 \h </w:instrText>
            </w:r>
            <w:r>
              <w:rPr>
                <w:noProof/>
                <w:webHidden/>
              </w:rPr>
              <w:fldChar w:fldCharType="separate"/>
            </w:r>
            <w:r w:rsidR="00A92101">
              <w:rPr>
                <w:noProof/>
                <w:webHidden/>
              </w:rPr>
              <w:t>10</w:t>
            </w:r>
            <w:r>
              <w:rPr>
                <w:noProof/>
                <w:webHidden/>
              </w:rPr>
              <w:fldChar w:fldCharType="end"/>
            </w:r>
          </w:hyperlink>
        </w:p>
        <w:p w:rsidR="00F847F7" w14:paraId="11BFF52F" w14:textId="60D8F149">
          <w:pPr>
            <w:pStyle w:val="TOC1"/>
            <w:rPr>
              <w:rFonts w:eastAsiaTheme="minorEastAsia"/>
              <w:b w:val="0"/>
              <w:noProof/>
              <w:sz w:val="22"/>
            </w:rPr>
          </w:pPr>
          <w:hyperlink w:anchor="_Toc130497987" w:history="1">
            <w:r w:rsidRPr="00E96531">
              <w:rPr>
                <w:rStyle w:val="Hyperlink"/>
                <w:noProof/>
              </w:rPr>
              <w:t>3.</w:t>
            </w:r>
            <w:r>
              <w:rPr>
                <w:rFonts w:eastAsiaTheme="minorEastAsia"/>
                <w:b w:val="0"/>
                <w:noProof/>
                <w:sz w:val="22"/>
              </w:rPr>
              <w:tab/>
            </w:r>
            <w:r w:rsidRPr="00E96531">
              <w:rPr>
                <w:rStyle w:val="Hyperlink"/>
                <w:rFonts w:eastAsia="Times New Roman" w:cs="Times New Roman"/>
                <w:noProof/>
              </w:rPr>
              <w:t>Model Assumption Outputs (Assumptions Processing)</w:t>
            </w:r>
            <w:r>
              <w:rPr>
                <w:noProof/>
                <w:webHidden/>
              </w:rPr>
              <w:tab/>
            </w:r>
            <w:r>
              <w:rPr>
                <w:noProof/>
                <w:webHidden/>
              </w:rPr>
              <w:fldChar w:fldCharType="begin"/>
            </w:r>
            <w:r>
              <w:rPr>
                <w:noProof/>
                <w:webHidden/>
              </w:rPr>
              <w:instrText xml:space="preserve"> PAGEREF _Toc130497987 \h </w:instrText>
            </w:r>
            <w:r>
              <w:rPr>
                <w:noProof/>
                <w:webHidden/>
              </w:rPr>
              <w:fldChar w:fldCharType="separate"/>
            </w:r>
            <w:r w:rsidR="00A92101">
              <w:rPr>
                <w:noProof/>
                <w:webHidden/>
              </w:rPr>
              <w:t>11</w:t>
            </w:r>
            <w:r>
              <w:rPr>
                <w:noProof/>
                <w:webHidden/>
              </w:rPr>
              <w:fldChar w:fldCharType="end"/>
            </w:r>
          </w:hyperlink>
        </w:p>
        <w:p w:rsidR="00F847F7" w14:paraId="0C2DBD02" w14:textId="01FC880F">
          <w:pPr>
            <w:pStyle w:val="TOC1"/>
            <w:rPr>
              <w:rFonts w:eastAsiaTheme="minorEastAsia"/>
              <w:b w:val="0"/>
              <w:noProof/>
              <w:sz w:val="22"/>
            </w:rPr>
          </w:pPr>
          <w:hyperlink w:anchor="_Toc130497988" w:history="1">
            <w:r w:rsidRPr="00E96531">
              <w:rPr>
                <w:rStyle w:val="Hyperlink"/>
                <w:noProof/>
              </w:rPr>
              <w:t>4.</w:t>
            </w:r>
            <w:r>
              <w:rPr>
                <w:rFonts w:eastAsiaTheme="minorEastAsia"/>
                <w:b w:val="0"/>
                <w:noProof/>
                <w:sz w:val="22"/>
              </w:rPr>
              <w:tab/>
            </w:r>
            <w:r w:rsidRPr="00E96531">
              <w:rPr>
                <w:rStyle w:val="Hyperlink"/>
                <w:rFonts w:eastAsia="Times New Roman" w:cs="Times New Roman"/>
                <w:noProof/>
              </w:rPr>
              <w:t>Depreciation Schedule</w:t>
            </w:r>
            <w:r>
              <w:rPr>
                <w:noProof/>
                <w:webHidden/>
              </w:rPr>
              <w:tab/>
            </w:r>
            <w:r>
              <w:rPr>
                <w:noProof/>
                <w:webHidden/>
              </w:rPr>
              <w:fldChar w:fldCharType="begin"/>
            </w:r>
            <w:r>
              <w:rPr>
                <w:noProof/>
                <w:webHidden/>
              </w:rPr>
              <w:instrText xml:space="preserve"> PAGEREF _Toc130497988 \h </w:instrText>
            </w:r>
            <w:r>
              <w:rPr>
                <w:noProof/>
                <w:webHidden/>
              </w:rPr>
              <w:fldChar w:fldCharType="separate"/>
            </w:r>
            <w:r w:rsidR="00A92101">
              <w:rPr>
                <w:noProof/>
                <w:webHidden/>
              </w:rPr>
              <w:t>12</w:t>
            </w:r>
            <w:r>
              <w:rPr>
                <w:noProof/>
                <w:webHidden/>
              </w:rPr>
              <w:fldChar w:fldCharType="end"/>
            </w:r>
          </w:hyperlink>
        </w:p>
        <w:p w:rsidR="00F847F7" w14:paraId="51B89A4A" w14:textId="1DC91854">
          <w:pPr>
            <w:pStyle w:val="TOC1"/>
            <w:rPr>
              <w:rFonts w:eastAsiaTheme="minorEastAsia"/>
              <w:b w:val="0"/>
              <w:noProof/>
              <w:sz w:val="22"/>
            </w:rPr>
          </w:pPr>
          <w:hyperlink w:anchor="_Toc130497989" w:history="1">
            <w:r w:rsidRPr="00E96531">
              <w:rPr>
                <w:rStyle w:val="Hyperlink"/>
                <w:rFonts w:eastAsia="Times New Roman" w:cs="Times New Roman"/>
                <w:noProof/>
              </w:rPr>
              <w:t>5.</w:t>
            </w:r>
            <w:r>
              <w:rPr>
                <w:rFonts w:eastAsiaTheme="minorEastAsia"/>
                <w:b w:val="0"/>
                <w:noProof/>
                <w:sz w:val="22"/>
              </w:rPr>
              <w:tab/>
            </w:r>
            <w:r w:rsidRPr="00E96531">
              <w:rPr>
                <w:rStyle w:val="Hyperlink"/>
                <w:rFonts w:eastAsia="Times New Roman" w:cs="Times New Roman"/>
                <w:noProof/>
              </w:rPr>
              <w:t>Outputs: Income Statement, Cash Flow Model, Balance Sheet</w:t>
            </w:r>
            <w:r>
              <w:rPr>
                <w:noProof/>
                <w:webHidden/>
              </w:rPr>
              <w:tab/>
            </w:r>
            <w:r>
              <w:rPr>
                <w:noProof/>
                <w:webHidden/>
              </w:rPr>
              <w:fldChar w:fldCharType="begin"/>
            </w:r>
            <w:r>
              <w:rPr>
                <w:noProof/>
                <w:webHidden/>
              </w:rPr>
              <w:instrText xml:space="preserve"> PAGEREF _Toc130497989 \h </w:instrText>
            </w:r>
            <w:r>
              <w:rPr>
                <w:noProof/>
                <w:webHidden/>
              </w:rPr>
              <w:fldChar w:fldCharType="separate"/>
            </w:r>
            <w:r w:rsidR="00A92101">
              <w:rPr>
                <w:noProof/>
                <w:webHidden/>
              </w:rPr>
              <w:t>12</w:t>
            </w:r>
            <w:r>
              <w:rPr>
                <w:noProof/>
                <w:webHidden/>
              </w:rPr>
              <w:fldChar w:fldCharType="end"/>
            </w:r>
          </w:hyperlink>
        </w:p>
        <w:p w:rsidR="00F847F7" w14:paraId="3203FB4D" w14:textId="77C58892">
          <w:pPr>
            <w:pStyle w:val="TOC2"/>
            <w:rPr>
              <w:rFonts w:eastAsiaTheme="minorEastAsia"/>
              <w:noProof/>
            </w:rPr>
          </w:pPr>
          <w:hyperlink w:anchor="_Toc130497990" w:history="1">
            <w:r w:rsidRPr="00E96531">
              <w:rPr>
                <w:rStyle w:val="Hyperlink"/>
                <w:noProof/>
              </w:rPr>
              <w:t>5.1.</w:t>
            </w:r>
            <w:r>
              <w:rPr>
                <w:rFonts w:eastAsiaTheme="minorEastAsia"/>
                <w:noProof/>
              </w:rPr>
              <w:tab/>
            </w:r>
            <w:r w:rsidRPr="00E96531">
              <w:rPr>
                <w:rStyle w:val="Hyperlink"/>
                <w:noProof/>
              </w:rPr>
              <w:t>Income Statement</w:t>
            </w:r>
            <w:r>
              <w:rPr>
                <w:noProof/>
                <w:webHidden/>
              </w:rPr>
              <w:tab/>
            </w:r>
            <w:r>
              <w:rPr>
                <w:noProof/>
                <w:webHidden/>
              </w:rPr>
              <w:fldChar w:fldCharType="begin"/>
            </w:r>
            <w:r>
              <w:rPr>
                <w:noProof/>
                <w:webHidden/>
              </w:rPr>
              <w:instrText xml:space="preserve"> PAGEREF _Toc130497990 \h </w:instrText>
            </w:r>
            <w:r>
              <w:rPr>
                <w:noProof/>
                <w:webHidden/>
              </w:rPr>
              <w:fldChar w:fldCharType="separate"/>
            </w:r>
            <w:r w:rsidR="00A92101">
              <w:rPr>
                <w:noProof/>
                <w:webHidden/>
              </w:rPr>
              <w:t>13</w:t>
            </w:r>
            <w:r>
              <w:rPr>
                <w:noProof/>
                <w:webHidden/>
              </w:rPr>
              <w:fldChar w:fldCharType="end"/>
            </w:r>
          </w:hyperlink>
        </w:p>
        <w:p w:rsidR="00F847F7" w14:paraId="5DCC7A75" w14:textId="783AE8C9">
          <w:pPr>
            <w:pStyle w:val="TOC2"/>
            <w:rPr>
              <w:rFonts w:eastAsiaTheme="minorEastAsia"/>
              <w:noProof/>
            </w:rPr>
          </w:pPr>
          <w:hyperlink w:anchor="_Toc130497991" w:history="1">
            <w:r w:rsidRPr="00E96531">
              <w:rPr>
                <w:rStyle w:val="Hyperlink"/>
                <w:noProof/>
              </w:rPr>
              <w:t>5.2.</w:t>
            </w:r>
            <w:r>
              <w:rPr>
                <w:rFonts w:eastAsiaTheme="minorEastAsia"/>
                <w:noProof/>
              </w:rPr>
              <w:tab/>
            </w:r>
            <w:r w:rsidRPr="00E96531">
              <w:rPr>
                <w:rStyle w:val="Hyperlink"/>
                <w:noProof/>
              </w:rPr>
              <w:t>Cash Flow Model</w:t>
            </w:r>
            <w:r>
              <w:rPr>
                <w:noProof/>
                <w:webHidden/>
              </w:rPr>
              <w:tab/>
            </w:r>
            <w:r>
              <w:rPr>
                <w:noProof/>
                <w:webHidden/>
              </w:rPr>
              <w:fldChar w:fldCharType="begin"/>
            </w:r>
            <w:r>
              <w:rPr>
                <w:noProof/>
                <w:webHidden/>
              </w:rPr>
              <w:instrText xml:space="preserve"> PAGEREF _Toc130497991 \h </w:instrText>
            </w:r>
            <w:r>
              <w:rPr>
                <w:noProof/>
                <w:webHidden/>
              </w:rPr>
              <w:fldChar w:fldCharType="separate"/>
            </w:r>
            <w:r w:rsidR="00A92101">
              <w:rPr>
                <w:noProof/>
                <w:webHidden/>
              </w:rPr>
              <w:t>13</w:t>
            </w:r>
            <w:r>
              <w:rPr>
                <w:noProof/>
                <w:webHidden/>
              </w:rPr>
              <w:fldChar w:fldCharType="end"/>
            </w:r>
          </w:hyperlink>
        </w:p>
        <w:p w:rsidR="00F847F7" w14:paraId="0882D145" w14:textId="5C8E3FB1">
          <w:pPr>
            <w:pStyle w:val="TOC2"/>
            <w:rPr>
              <w:rFonts w:eastAsiaTheme="minorEastAsia"/>
              <w:noProof/>
            </w:rPr>
          </w:pPr>
          <w:hyperlink w:anchor="_Toc130497992" w:history="1">
            <w:r w:rsidRPr="00E96531">
              <w:rPr>
                <w:rStyle w:val="Hyperlink"/>
                <w:noProof/>
              </w:rPr>
              <w:t>5.3.</w:t>
            </w:r>
            <w:r>
              <w:rPr>
                <w:rFonts w:eastAsiaTheme="minorEastAsia"/>
                <w:noProof/>
              </w:rPr>
              <w:tab/>
            </w:r>
            <w:r w:rsidRPr="00E96531">
              <w:rPr>
                <w:rStyle w:val="Hyperlink"/>
                <w:noProof/>
              </w:rPr>
              <w:t>Balance Sheet</w:t>
            </w:r>
            <w:r>
              <w:rPr>
                <w:noProof/>
                <w:webHidden/>
              </w:rPr>
              <w:tab/>
            </w:r>
            <w:r>
              <w:rPr>
                <w:noProof/>
                <w:webHidden/>
              </w:rPr>
              <w:fldChar w:fldCharType="begin"/>
            </w:r>
            <w:r>
              <w:rPr>
                <w:noProof/>
                <w:webHidden/>
              </w:rPr>
              <w:instrText xml:space="preserve"> PAGEREF _Toc130497992 \h </w:instrText>
            </w:r>
            <w:r>
              <w:rPr>
                <w:noProof/>
                <w:webHidden/>
              </w:rPr>
              <w:fldChar w:fldCharType="separate"/>
            </w:r>
            <w:r w:rsidR="00A92101">
              <w:rPr>
                <w:noProof/>
                <w:webHidden/>
              </w:rPr>
              <w:t>14</w:t>
            </w:r>
            <w:r>
              <w:rPr>
                <w:noProof/>
                <w:webHidden/>
              </w:rPr>
              <w:fldChar w:fldCharType="end"/>
            </w:r>
          </w:hyperlink>
        </w:p>
        <w:p w:rsidR="007660E9" w:rsidP="007660E9" w14:paraId="3429BDAF" w14:textId="1DA2F3B9">
          <w:r>
            <w:rPr>
              <w:b/>
              <w:bCs/>
              <w:noProof/>
            </w:rPr>
            <w:fldChar w:fldCharType="end"/>
          </w:r>
        </w:p>
      </w:sdtContent>
    </w:sdt>
    <w:p w:rsidR="00A138B9" w14:paraId="29A175B8" w14:textId="77777777">
      <w:pPr>
        <w:rPr>
          <w:b/>
          <w:bCs/>
          <w:color w:val="002C77" w:themeColor="accent1"/>
          <w:sz w:val="44"/>
        </w:rPr>
      </w:pPr>
      <w:bookmarkStart w:id="0" w:name="_Toc124983442"/>
      <w:r>
        <w:br w:type="page"/>
      </w:r>
    </w:p>
    <w:p w:rsidR="00E45933" w:rsidP="007660E9" w14:paraId="3CE788BE" w14:textId="7BC40284">
      <w:pPr>
        <w:pStyle w:val="Heading1"/>
      </w:pPr>
      <w:bookmarkStart w:id="1" w:name="_Hlk126839966"/>
      <w:bookmarkStart w:id="2" w:name="_Toc130497975"/>
      <w:r>
        <w:t>Overview</w:t>
      </w:r>
      <w:bookmarkEnd w:id="0"/>
      <w:bookmarkEnd w:id="2"/>
    </w:p>
    <w:p w:rsidR="009C69A6" w:rsidP="00682CFA" w14:paraId="3770DF82" w14:textId="77777777"/>
    <w:p w:rsidR="00646000" w:rsidRPr="008D7C8C" w:rsidP="00EC2A21" w14:paraId="7676582D" w14:textId="6DD588E7">
      <w:pPr>
        <w:pStyle w:val="BodyText"/>
        <w:ind w:right="27"/>
        <w:jc w:val="both"/>
        <w:rPr>
          <w:b/>
          <w:bCs/>
        </w:rPr>
      </w:pPr>
      <w:bookmarkStart w:id="3" w:name="_Hlk126839998"/>
      <w:r>
        <w:t xml:space="preserve">This </w:t>
      </w:r>
      <w:r w:rsidR="00391679">
        <w:t>document</w:t>
      </w:r>
      <w:r w:rsidR="00645F5F">
        <w:t xml:space="preserve"> </w:t>
      </w:r>
      <w:r w:rsidR="008B7BC1">
        <w:t xml:space="preserve">serves as a tool for </w:t>
      </w:r>
      <w:r w:rsidR="00D23BA2">
        <w:t xml:space="preserve">potential applicants considering submitting a pre-application under the CHIPS Incentives Program-Commercial Fabrication Facilities Notice of Funding Opportunity (NOFO).  </w:t>
      </w:r>
      <w:r w:rsidR="00645F5F">
        <w:t>This white paper and</w:t>
      </w:r>
      <w:r w:rsidR="00DA7BC0">
        <w:t xml:space="preserve"> accompanying</w:t>
      </w:r>
      <w:r w:rsidR="00645F5F">
        <w:t xml:space="preserve"> </w:t>
      </w:r>
      <w:hyperlink r:id="rId9" w:history="1">
        <w:r w:rsidRPr="00E2769C" w:rsidR="00E2769C">
          <w:rPr>
            <w:rStyle w:val="Hyperlink"/>
          </w:rPr>
          <w:t>financial model tool</w:t>
        </w:r>
      </w:hyperlink>
      <w:r w:rsidR="00E15CA1">
        <w:t xml:space="preserve"> have been </w:t>
      </w:r>
      <w:r w:rsidR="008B2871">
        <w:t>created</w:t>
      </w:r>
      <w:r w:rsidR="00E15CA1">
        <w:t xml:space="preserve"> </w:t>
      </w:r>
      <w:r>
        <w:t xml:space="preserve">as an example of the </w:t>
      </w:r>
      <w:r w:rsidR="00D63DEE">
        <w:t>“</w:t>
      </w:r>
      <w:r w:rsidRPr="00BA5428" w:rsidR="00D63DEE">
        <w:rPr>
          <w:u w:val="single"/>
        </w:rPr>
        <w:t xml:space="preserve">Summary Financials for </w:t>
      </w:r>
      <w:r w:rsidR="00D63DEE">
        <w:rPr>
          <w:u w:val="single"/>
        </w:rPr>
        <w:t>Each</w:t>
      </w:r>
      <w:r w:rsidRPr="00BA5428" w:rsidR="00D63DEE">
        <w:rPr>
          <w:u w:val="single"/>
        </w:rPr>
        <w:t xml:space="preserve"> Project</w:t>
      </w:r>
      <w:r w:rsidR="00C77709">
        <w:rPr>
          <w:u w:val="single"/>
        </w:rPr>
        <w:t>”</w:t>
      </w:r>
      <w:r w:rsidR="00D63DEE">
        <w:t xml:space="preserve"> </w:t>
      </w:r>
      <w:r w:rsidR="00C77709">
        <w:t xml:space="preserve">to be submitted as part of an optional pre-application per </w:t>
      </w:r>
      <w:r>
        <w:t>section IV.</w:t>
      </w:r>
      <w:r w:rsidR="00EF2119">
        <w:t>H</w:t>
      </w:r>
      <w:r>
        <w:t>.3</w:t>
      </w:r>
      <w:r w:rsidR="00C77709">
        <w:t xml:space="preserve"> of the NOFO. </w:t>
      </w:r>
    </w:p>
    <w:p w:rsidR="00180D3C" w:rsidRPr="00117580" w:rsidP="00EC2A21" w14:paraId="04486F68" w14:textId="7AEF2B93">
      <w:pPr>
        <w:pStyle w:val="BodyText"/>
        <w:ind w:right="27"/>
        <w:jc w:val="both"/>
        <w:rPr>
          <w:b/>
          <w:bCs/>
          <w:color w:val="146AFF" w:themeColor="accent1" w:themeTint="99"/>
        </w:rPr>
      </w:pPr>
      <w:r>
        <w:rPr>
          <w:b/>
          <w:bCs/>
          <w:color w:val="146AFF" w:themeColor="accent1" w:themeTint="99"/>
        </w:rPr>
        <w:t xml:space="preserve">Disclaimer: </w:t>
      </w:r>
      <w:r w:rsidRPr="00BF6718">
        <w:rPr>
          <w:b/>
          <w:bCs/>
          <w:color w:val="146AFF" w:themeColor="accent1" w:themeTint="99"/>
        </w:rPr>
        <w:t>Use of th</w:t>
      </w:r>
      <w:r w:rsidR="00D57014">
        <w:rPr>
          <w:b/>
          <w:bCs/>
          <w:color w:val="146AFF" w:themeColor="accent1" w:themeTint="99"/>
        </w:rPr>
        <w:t>is</w:t>
      </w:r>
      <w:r w:rsidR="00462E3E">
        <w:rPr>
          <w:b/>
          <w:bCs/>
          <w:color w:val="146AFF" w:themeColor="accent1" w:themeTint="99"/>
        </w:rPr>
        <w:t xml:space="preserve"> CHIPS financial model</w:t>
      </w:r>
      <w:r w:rsidRPr="00BF6718">
        <w:rPr>
          <w:b/>
          <w:bCs/>
          <w:color w:val="146AFF" w:themeColor="accent1" w:themeTint="99"/>
        </w:rPr>
        <w:t xml:space="preserve"> tool is </w:t>
      </w:r>
      <w:r w:rsidRPr="00BB682A">
        <w:rPr>
          <w:b/>
          <w:bCs/>
          <w:color w:val="146AFF" w:themeColor="accent1" w:themeTint="99"/>
          <w:u w:val="single"/>
        </w:rPr>
        <w:t>not</w:t>
      </w:r>
      <w:r w:rsidRPr="00BF6718">
        <w:rPr>
          <w:b/>
          <w:bCs/>
          <w:color w:val="146AFF" w:themeColor="accent1" w:themeTint="99"/>
        </w:rPr>
        <w:t xml:space="preserve"> a requirement for t</w:t>
      </w:r>
      <w:r w:rsidRPr="00BF6718" w:rsidR="00AD4599">
        <w:rPr>
          <w:b/>
          <w:bCs/>
          <w:color w:val="146AFF" w:themeColor="accent1" w:themeTint="99"/>
        </w:rPr>
        <w:t xml:space="preserve">he CHIPS </w:t>
      </w:r>
      <w:r w:rsidR="00993A06">
        <w:rPr>
          <w:b/>
          <w:bCs/>
          <w:color w:val="146AFF" w:themeColor="accent1" w:themeTint="99"/>
        </w:rPr>
        <w:t xml:space="preserve">optional </w:t>
      </w:r>
      <w:r w:rsidRPr="00BF6718" w:rsidR="00AD4599">
        <w:rPr>
          <w:b/>
          <w:bCs/>
          <w:color w:val="146AFF" w:themeColor="accent1" w:themeTint="99"/>
        </w:rPr>
        <w:t>pre-application submission.</w:t>
      </w:r>
      <w:r w:rsidRPr="00BF6718" w:rsidR="00831DB0">
        <w:rPr>
          <w:b/>
          <w:bCs/>
          <w:color w:val="146AFF" w:themeColor="accent1" w:themeTint="99"/>
        </w:rPr>
        <w:t xml:space="preserve"> </w:t>
      </w:r>
      <w:r w:rsidR="00646000">
        <w:rPr>
          <w:b/>
          <w:bCs/>
          <w:color w:val="146AFF" w:themeColor="accent1" w:themeTint="99"/>
        </w:rPr>
        <w:t xml:space="preserve">Any </w:t>
      </w:r>
      <w:r w:rsidR="004E35FD">
        <w:rPr>
          <w:b/>
          <w:bCs/>
          <w:color w:val="146AFF" w:themeColor="accent1" w:themeTint="99"/>
        </w:rPr>
        <w:t xml:space="preserve">materials </w:t>
      </w:r>
      <w:r w:rsidR="005D7132">
        <w:rPr>
          <w:b/>
          <w:bCs/>
          <w:color w:val="146AFF" w:themeColor="accent1" w:themeTint="99"/>
        </w:rPr>
        <w:t xml:space="preserve">submitted </w:t>
      </w:r>
      <w:r w:rsidR="00646000">
        <w:rPr>
          <w:b/>
          <w:bCs/>
          <w:color w:val="146AFF" w:themeColor="accent1" w:themeTint="99"/>
        </w:rPr>
        <w:t>that fulfill</w:t>
      </w:r>
      <w:r w:rsidR="004E35FD">
        <w:rPr>
          <w:b/>
          <w:bCs/>
          <w:color w:val="146AFF" w:themeColor="accent1" w:themeTint="99"/>
        </w:rPr>
        <w:t xml:space="preserve"> </w:t>
      </w:r>
      <w:r w:rsidR="00646000">
        <w:rPr>
          <w:b/>
          <w:bCs/>
          <w:color w:val="146AFF" w:themeColor="accent1" w:themeTint="99"/>
        </w:rPr>
        <w:t xml:space="preserve">the requirements of the </w:t>
      </w:r>
      <w:r w:rsidRPr="00BF6718" w:rsidR="002A4721">
        <w:rPr>
          <w:b/>
          <w:bCs/>
          <w:color w:val="146AFF" w:themeColor="accent1" w:themeTint="99"/>
        </w:rPr>
        <w:t>“</w:t>
      </w:r>
      <w:r w:rsidRPr="00BF6718" w:rsidR="00101B2D">
        <w:rPr>
          <w:b/>
          <w:bCs/>
          <w:color w:val="146AFF" w:themeColor="accent1" w:themeTint="99"/>
        </w:rPr>
        <w:t>Summary Financials for the Project</w:t>
      </w:r>
      <w:r w:rsidRPr="00BF6718" w:rsidR="002A4721">
        <w:rPr>
          <w:b/>
          <w:bCs/>
          <w:color w:val="146AFF" w:themeColor="accent1" w:themeTint="99"/>
        </w:rPr>
        <w:t>”</w:t>
      </w:r>
      <w:r w:rsidRPr="00BF6718" w:rsidR="00101B2D">
        <w:rPr>
          <w:b/>
          <w:bCs/>
          <w:color w:val="146AFF" w:themeColor="accent1" w:themeTint="99"/>
        </w:rPr>
        <w:t xml:space="preserve"> </w:t>
      </w:r>
      <w:r w:rsidR="00072EF7">
        <w:rPr>
          <w:b/>
          <w:bCs/>
          <w:color w:val="146AFF" w:themeColor="accent1" w:themeTint="99"/>
        </w:rPr>
        <w:t>portion</w:t>
      </w:r>
      <w:r w:rsidRPr="00BF6718" w:rsidR="00072EF7">
        <w:rPr>
          <w:b/>
          <w:bCs/>
          <w:color w:val="146AFF" w:themeColor="accent1" w:themeTint="99"/>
        </w:rPr>
        <w:t xml:space="preserve"> </w:t>
      </w:r>
      <w:r w:rsidRPr="00BF6718" w:rsidR="00101B2D">
        <w:rPr>
          <w:b/>
          <w:bCs/>
          <w:color w:val="146AFF" w:themeColor="accent1" w:themeTint="99"/>
        </w:rPr>
        <w:t>of the Pre-Application</w:t>
      </w:r>
      <w:r w:rsidR="00646000">
        <w:rPr>
          <w:b/>
          <w:bCs/>
          <w:color w:val="146AFF" w:themeColor="accent1" w:themeTint="99"/>
        </w:rPr>
        <w:t xml:space="preserve"> is acceptable.</w:t>
      </w:r>
      <w:r w:rsidR="00391679">
        <w:rPr>
          <w:b/>
          <w:bCs/>
          <w:color w:val="146AFF" w:themeColor="accent1" w:themeTint="99"/>
        </w:rPr>
        <w:t xml:space="preserve"> </w:t>
      </w:r>
      <w:r w:rsidR="00117580">
        <w:rPr>
          <w:b/>
          <w:bCs/>
          <w:color w:val="146AFF" w:themeColor="accent1" w:themeTint="99"/>
        </w:rPr>
        <w:t>T</w:t>
      </w:r>
      <w:r w:rsidRPr="00117580" w:rsidR="00117580">
        <w:rPr>
          <w:b/>
          <w:bCs/>
          <w:color w:val="146AFF" w:themeColor="accent1" w:themeTint="99"/>
        </w:rPr>
        <w:t>h</w:t>
      </w:r>
      <w:r w:rsidR="00072EF7">
        <w:rPr>
          <w:b/>
          <w:bCs/>
          <w:color w:val="146AFF" w:themeColor="accent1" w:themeTint="99"/>
        </w:rPr>
        <w:t>e</w:t>
      </w:r>
      <w:r w:rsidRPr="00117580" w:rsidR="00117580">
        <w:rPr>
          <w:b/>
          <w:bCs/>
          <w:color w:val="146AFF" w:themeColor="accent1" w:themeTint="99"/>
        </w:rPr>
        <w:t xml:space="preserve"> financial model is intended to act as an illustrative example </w:t>
      </w:r>
      <w:r w:rsidR="009212C7">
        <w:rPr>
          <w:b/>
          <w:bCs/>
          <w:color w:val="146AFF" w:themeColor="accent1" w:themeTint="99"/>
        </w:rPr>
        <w:t>of the level of granularity</w:t>
      </w:r>
      <w:r w:rsidR="00AA4FF9">
        <w:rPr>
          <w:b/>
          <w:bCs/>
          <w:color w:val="146AFF" w:themeColor="accent1" w:themeTint="99"/>
        </w:rPr>
        <w:t xml:space="preserve"> expected </w:t>
      </w:r>
      <w:r w:rsidRPr="00117580" w:rsidR="00117580">
        <w:rPr>
          <w:b/>
          <w:bCs/>
          <w:color w:val="146AFF" w:themeColor="accent1" w:themeTint="99"/>
        </w:rPr>
        <w:t xml:space="preserve">and may not appropriately meet the needs of all projects. It is a </w:t>
      </w:r>
      <w:r w:rsidR="009911F2">
        <w:rPr>
          <w:b/>
          <w:bCs/>
          <w:color w:val="146AFF" w:themeColor="accent1" w:themeTint="99"/>
        </w:rPr>
        <w:t>potential applicant</w:t>
      </w:r>
      <w:r w:rsidRPr="00117580" w:rsidR="00117580">
        <w:rPr>
          <w:b/>
          <w:bCs/>
          <w:color w:val="146AFF" w:themeColor="accent1" w:themeTint="99"/>
        </w:rPr>
        <w:t xml:space="preserve">’s responsibility to ensure </w:t>
      </w:r>
      <w:r w:rsidR="00072EF7">
        <w:rPr>
          <w:b/>
          <w:bCs/>
          <w:color w:val="146AFF" w:themeColor="accent1" w:themeTint="99"/>
        </w:rPr>
        <w:t>its</w:t>
      </w:r>
      <w:r w:rsidRPr="00117580" w:rsidR="00072EF7">
        <w:rPr>
          <w:b/>
          <w:bCs/>
          <w:color w:val="146AFF" w:themeColor="accent1" w:themeTint="99"/>
        </w:rPr>
        <w:t xml:space="preserve"> </w:t>
      </w:r>
      <w:r w:rsidRPr="00117580" w:rsidR="00117580">
        <w:rPr>
          <w:b/>
          <w:bCs/>
          <w:color w:val="146AFF" w:themeColor="accent1" w:themeTint="99"/>
        </w:rPr>
        <w:t xml:space="preserve">financial forecasts are suitable and accurate, and aligned with </w:t>
      </w:r>
      <w:r w:rsidR="00715287">
        <w:rPr>
          <w:b/>
          <w:bCs/>
          <w:color w:val="146AFF" w:themeColor="accent1" w:themeTint="99"/>
        </w:rPr>
        <w:t>the requirements listed in</w:t>
      </w:r>
      <w:r w:rsidRPr="00117580" w:rsidR="00117580">
        <w:rPr>
          <w:b/>
          <w:bCs/>
          <w:color w:val="146AFF" w:themeColor="accent1" w:themeTint="99"/>
        </w:rPr>
        <w:t xml:space="preserve"> </w:t>
      </w:r>
      <w:r w:rsidR="00436859">
        <w:rPr>
          <w:b/>
          <w:bCs/>
          <w:color w:val="146AFF" w:themeColor="accent1" w:themeTint="99"/>
        </w:rPr>
        <w:t xml:space="preserve">Section IV.H.3 of </w:t>
      </w:r>
      <w:r w:rsidRPr="00117580" w:rsidR="00117580">
        <w:rPr>
          <w:b/>
          <w:bCs/>
          <w:color w:val="146AFF" w:themeColor="accent1" w:themeTint="99"/>
        </w:rPr>
        <w:t>the NOFO.</w:t>
      </w:r>
      <w:r w:rsidR="00C37D7E">
        <w:rPr>
          <w:b/>
          <w:bCs/>
          <w:color w:val="146AFF" w:themeColor="accent1" w:themeTint="99"/>
        </w:rPr>
        <w:t xml:space="preserve"> Nothing in this </w:t>
      </w:r>
      <w:r w:rsidR="00BB1431">
        <w:rPr>
          <w:b/>
          <w:bCs/>
          <w:color w:val="146AFF" w:themeColor="accent1" w:themeTint="99"/>
        </w:rPr>
        <w:t xml:space="preserve">White Paper or the model are intended to contradict the requirements in the CHIPS </w:t>
      </w:r>
      <w:r w:rsidR="00F10D96">
        <w:rPr>
          <w:b/>
          <w:bCs/>
          <w:color w:val="146AFF" w:themeColor="accent1" w:themeTint="99"/>
        </w:rPr>
        <w:t xml:space="preserve">Incentives Program - </w:t>
      </w:r>
      <w:r w:rsidR="00BB1431">
        <w:rPr>
          <w:b/>
          <w:bCs/>
          <w:color w:val="146AFF" w:themeColor="accent1" w:themeTint="99"/>
        </w:rPr>
        <w:t xml:space="preserve">Commercial </w:t>
      </w:r>
      <w:r w:rsidR="00F10D96">
        <w:rPr>
          <w:b/>
          <w:bCs/>
          <w:color w:val="146AFF" w:themeColor="accent1" w:themeTint="99"/>
        </w:rPr>
        <w:t>Fabrication Facilities NOFO</w:t>
      </w:r>
      <w:r w:rsidR="00995803">
        <w:rPr>
          <w:b/>
          <w:bCs/>
          <w:color w:val="146AFF" w:themeColor="accent1" w:themeTint="99"/>
        </w:rPr>
        <w:t xml:space="preserve">. Any conflicts must be resolved in favor of the NOFO. </w:t>
      </w:r>
    </w:p>
    <w:p w:rsidR="007C05C9" w:rsidP="00EC2A21" w14:paraId="1E8131B1" w14:textId="397B7405">
      <w:pPr>
        <w:pStyle w:val="BodyText"/>
        <w:ind w:right="27"/>
        <w:jc w:val="both"/>
        <w:rPr>
          <w:spacing w:val="40"/>
        </w:rPr>
      </w:pPr>
      <w:r>
        <w:t xml:space="preserve">The </w:t>
      </w:r>
      <w:r w:rsidR="007F7490">
        <w:t xml:space="preserve">CHIPS financial model </w:t>
      </w:r>
      <w:r w:rsidR="008E585D">
        <w:t>tool</w:t>
      </w:r>
      <w:r>
        <w:t xml:space="preserve"> is generally structured in three main components</w:t>
      </w:r>
      <w:r>
        <w:t>:</w:t>
      </w:r>
    </w:p>
    <w:p w:rsidR="00EE2D52" w:rsidP="00EC2A21" w14:paraId="15050033" w14:textId="0EDD4C40">
      <w:pPr>
        <w:pStyle w:val="ListParagraph"/>
        <w:widowControl w:val="0"/>
        <w:numPr>
          <w:ilvl w:val="0"/>
          <w:numId w:val="19"/>
        </w:numPr>
        <w:tabs>
          <w:tab w:val="left" w:pos="1181"/>
        </w:tabs>
        <w:autoSpaceDE w:val="0"/>
        <w:autoSpaceDN w:val="0"/>
        <w:spacing w:before="122" w:after="0"/>
        <w:ind w:right="27"/>
        <w:jc w:val="both"/>
      </w:pPr>
      <w:r w:rsidRPr="00BB682A">
        <w:rPr>
          <w:b/>
          <w:bCs/>
        </w:rPr>
        <w:t>Inputs</w:t>
      </w:r>
      <w:r>
        <w:t xml:space="preserve">: </w:t>
      </w:r>
      <w:r w:rsidR="00343030">
        <w:t>D</w:t>
      </w:r>
      <w:r w:rsidR="00BF190E">
        <w:t xml:space="preserve">ata on key </w:t>
      </w:r>
      <w:r w:rsidR="00343030">
        <w:t xml:space="preserve">project </w:t>
      </w:r>
      <w:r w:rsidR="00BF190E">
        <w:t xml:space="preserve">assumptions </w:t>
      </w:r>
      <w:r w:rsidR="00343030">
        <w:t>are inputted i</w:t>
      </w:r>
      <w:r w:rsidR="00BF190E">
        <w:t>n</w:t>
      </w:r>
      <w:r w:rsidR="00343030">
        <w:t xml:space="preserve"> designated input fields in</w:t>
      </w:r>
      <w:r w:rsidR="00BF190E">
        <w:t xml:space="preserve"> the “Control Panel” worksheet in the “Inputs” section</w:t>
      </w:r>
    </w:p>
    <w:p w:rsidR="00343030" w:rsidP="00EC2A21" w14:paraId="20A58D6E" w14:textId="6D5F1989">
      <w:pPr>
        <w:pStyle w:val="ListParagraph"/>
        <w:widowControl w:val="0"/>
        <w:numPr>
          <w:ilvl w:val="0"/>
          <w:numId w:val="19"/>
        </w:numPr>
        <w:tabs>
          <w:tab w:val="left" w:pos="1181"/>
        </w:tabs>
        <w:autoSpaceDE w:val="0"/>
        <w:autoSpaceDN w:val="0"/>
        <w:spacing w:before="122" w:after="0"/>
        <w:ind w:right="27"/>
        <w:jc w:val="both"/>
      </w:pPr>
      <w:r w:rsidRPr="00BB682A">
        <w:rPr>
          <w:b/>
          <w:bCs/>
        </w:rPr>
        <w:t>Processing</w:t>
      </w:r>
      <w:r>
        <w:t xml:space="preserve">: </w:t>
      </w:r>
      <w:r w:rsidR="00281FC0">
        <w:t xml:space="preserve">Using </w:t>
      </w:r>
      <w:r w:rsidR="00BF190E">
        <w:t xml:space="preserve">the information in the “Control Panel” worksheet, the model </w:t>
      </w:r>
      <w:r w:rsidR="00EC46DC">
        <w:t>processes the key assumptions</w:t>
      </w:r>
      <w:r w:rsidR="00B70C40">
        <w:t xml:space="preserve"> </w:t>
      </w:r>
      <w:r w:rsidR="00EC46DC">
        <w:t xml:space="preserve">through </w:t>
      </w:r>
      <w:r w:rsidR="00BF190E">
        <w:t>processing worksheets (“Assumptions Processing” and “Depreciation</w:t>
      </w:r>
      <w:r w:rsidR="0066014F">
        <w:t xml:space="preserve"> Schedule</w:t>
      </w:r>
      <w:r w:rsidR="00BF190E">
        <w:t>”)</w:t>
      </w:r>
    </w:p>
    <w:p w:rsidR="00343030" w:rsidP="00EC2A21" w14:paraId="45FAAD6E" w14:textId="5CD398A3">
      <w:pPr>
        <w:pStyle w:val="ListParagraph"/>
        <w:widowControl w:val="0"/>
        <w:numPr>
          <w:ilvl w:val="0"/>
          <w:numId w:val="19"/>
        </w:numPr>
        <w:tabs>
          <w:tab w:val="left" w:pos="1181"/>
        </w:tabs>
        <w:autoSpaceDE w:val="0"/>
        <w:autoSpaceDN w:val="0"/>
        <w:spacing w:before="122" w:after="0"/>
        <w:ind w:right="27"/>
        <w:jc w:val="both"/>
      </w:pPr>
      <w:r w:rsidRPr="00BB682A">
        <w:rPr>
          <w:b/>
          <w:bCs/>
        </w:rPr>
        <w:t>Outputs</w:t>
      </w:r>
      <w:r>
        <w:t xml:space="preserve">: </w:t>
      </w:r>
      <w:r>
        <w:t xml:space="preserve">These processing worksheets are used to </w:t>
      </w:r>
      <w:r w:rsidR="00BF190E">
        <w:t xml:space="preserve">produce model outputs </w:t>
      </w:r>
      <w:r>
        <w:t xml:space="preserve">in the form of an </w:t>
      </w:r>
      <w:r w:rsidR="00BF190E">
        <w:t>Income Statement</w:t>
      </w:r>
      <w:r>
        <w:t>,</w:t>
      </w:r>
      <w:r w:rsidR="00BF190E">
        <w:t xml:space="preserve"> Balance Sheet, and Cash Flow Statement</w:t>
      </w:r>
    </w:p>
    <w:p w:rsidR="005A31FB" w:rsidP="00EC2A21" w14:paraId="5E71D233" w14:textId="14D2A196">
      <w:pPr>
        <w:widowControl w:val="0"/>
        <w:tabs>
          <w:tab w:val="left" w:pos="1181"/>
        </w:tabs>
        <w:autoSpaceDE w:val="0"/>
        <w:autoSpaceDN w:val="0"/>
        <w:spacing w:before="122" w:after="0"/>
        <w:ind w:right="27"/>
        <w:jc w:val="both"/>
      </w:pPr>
      <w:r>
        <w:t xml:space="preserve">Further, the CHIPS financial model tool </w:t>
      </w:r>
      <w:r w:rsidR="00FA5143">
        <w:t>has the following features:</w:t>
      </w:r>
    </w:p>
    <w:p w:rsidR="005B10CE" w:rsidP="00EC2A21" w14:paraId="7F0E8452" w14:textId="0CDD01DD">
      <w:pPr>
        <w:pStyle w:val="ListParagraph"/>
        <w:widowControl w:val="0"/>
        <w:numPr>
          <w:ilvl w:val="0"/>
          <w:numId w:val="19"/>
        </w:numPr>
        <w:tabs>
          <w:tab w:val="left" w:pos="1181"/>
        </w:tabs>
        <w:autoSpaceDE w:val="0"/>
        <w:autoSpaceDN w:val="0"/>
        <w:spacing w:before="122" w:after="0"/>
        <w:ind w:right="27"/>
        <w:jc w:val="both"/>
      </w:pPr>
      <w:r>
        <w:t>The model is pre</w:t>
      </w:r>
      <w:r w:rsidR="00C53650">
        <w:t>-</w:t>
      </w:r>
      <w:r>
        <w:t xml:space="preserve">populated with mock assumptions for an illustrative project. </w:t>
      </w:r>
      <w:r w:rsidR="00C53650">
        <w:t xml:space="preserve">All pre-populated values are purely illustrative and intended to </w:t>
      </w:r>
      <w:r w:rsidR="00117580">
        <w:t xml:space="preserve">demonstrate </w:t>
      </w:r>
      <w:r w:rsidR="00C53650">
        <w:t xml:space="preserve">how the model works, rather than </w:t>
      </w:r>
      <w:r w:rsidR="009D256F">
        <w:t>provide any guidance on the magnitude or timing of assumptions</w:t>
      </w:r>
      <w:r w:rsidR="001A76FD">
        <w:t>.</w:t>
      </w:r>
    </w:p>
    <w:p w:rsidR="00F56BFA" w:rsidP="00EC2A21" w14:paraId="6D2AD6BF" w14:textId="33F934AB">
      <w:pPr>
        <w:pStyle w:val="ListParagraph"/>
        <w:widowControl w:val="0"/>
        <w:numPr>
          <w:ilvl w:val="0"/>
          <w:numId w:val="19"/>
        </w:numPr>
        <w:tabs>
          <w:tab w:val="left" w:pos="1181"/>
        </w:tabs>
        <w:autoSpaceDE w:val="0"/>
        <w:autoSpaceDN w:val="0"/>
        <w:spacing w:before="122" w:after="0"/>
        <w:ind w:right="27"/>
        <w:jc w:val="both"/>
      </w:pPr>
      <w:r>
        <w:t>The model contemplates certain simplifying assumptions</w:t>
      </w:r>
      <w:r w:rsidR="001A76FD">
        <w:t>. A</w:t>
      </w:r>
      <w:r>
        <w:t xml:space="preserve">pplicants may </w:t>
      </w:r>
      <w:r w:rsidR="00A44B3D">
        <w:t xml:space="preserve">want to reflect additional complexities in their </w:t>
      </w:r>
      <w:r w:rsidR="004B0D46">
        <w:t>materials</w:t>
      </w:r>
      <w:r w:rsidR="001A76FD">
        <w:t>.</w:t>
      </w:r>
      <w:r w:rsidR="00A44B3D">
        <w:t xml:space="preserve"> </w:t>
      </w:r>
    </w:p>
    <w:p w:rsidR="00F60063" w:rsidRPr="00BB682A" w:rsidP="00EC2A21" w14:paraId="794B89BE" w14:textId="4AF7AA1E">
      <w:pPr>
        <w:pStyle w:val="ListParagraph"/>
        <w:widowControl w:val="0"/>
        <w:numPr>
          <w:ilvl w:val="0"/>
          <w:numId w:val="19"/>
        </w:numPr>
        <w:tabs>
          <w:tab w:val="left" w:pos="1181"/>
        </w:tabs>
        <w:autoSpaceDE w:val="0"/>
        <w:autoSpaceDN w:val="0"/>
        <w:spacing w:before="122" w:after="0"/>
        <w:ind w:right="27"/>
        <w:jc w:val="both"/>
      </w:pPr>
      <w:r>
        <w:t xml:space="preserve">The model uses an </w:t>
      </w:r>
      <w:r w:rsidRPr="0021702C" w:rsidR="005A31FB">
        <w:rPr>
          <w:u w:val="single"/>
        </w:rPr>
        <w:t>annual</w:t>
      </w:r>
      <w:r w:rsidR="005A31FB">
        <w:t xml:space="preserve"> </w:t>
      </w:r>
      <w:r>
        <w:t xml:space="preserve">timestep and covers the </w:t>
      </w:r>
      <w:r w:rsidR="005A31FB">
        <w:t xml:space="preserve">entire expected life of </w:t>
      </w:r>
      <w:r w:rsidR="00652EC2">
        <w:t>a</w:t>
      </w:r>
      <w:r w:rsidR="0066014F">
        <w:t>n</w:t>
      </w:r>
      <w:r w:rsidR="005A31FB">
        <w:t xml:space="preserve"> </w:t>
      </w:r>
      <w:r>
        <w:t xml:space="preserve">illustrative </w:t>
      </w:r>
      <w:r w:rsidR="005A31FB">
        <w:t>facility (including construction and operation phases)</w:t>
      </w:r>
      <w:r w:rsidR="002B08D3">
        <w:t>; t</w:t>
      </w:r>
      <w:r>
        <w:t>he life of the facility is assumed to be 20 years with year “1” reflecting the first year of the forecast and year “20” reflecting the final year</w:t>
      </w:r>
      <w:r w:rsidR="001A76FD">
        <w:t>.</w:t>
      </w:r>
    </w:p>
    <w:p w:rsidR="00F60063" w:rsidP="00EC2A21" w14:paraId="7068DF3C" w14:textId="0241D661">
      <w:pPr>
        <w:pStyle w:val="ListParagraph"/>
        <w:widowControl w:val="0"/>
        <w:numPr>
          <w:ilvl w:val="0"/>
          <w:numId w:val="19"/>
        </w:numPr>
        <w:tabs>
          <w:tab w:val="left" w:pos="1181"/>
        </w:tabs>
        <w:autoSpaceDE w:val="0"/>
        <w:autoSpaceDN w:val="0"/>
        <w:spacing w:before="122" w:after="0"/>
        <w:ind w:right="27"/>
        <w:jc w:val="both"/>
      </w:pPr>
      <w:r>
        <w:t xml:space="preserve">The financial information </w:t>
      </w:r>
      <w:r w:rsidR="0058532A">
        <w:t xml:space="preserve">in the model is all in </w:t>
      </w:r>
      <w:r w:rsidRPr="00B04421">
        <w:rPr>
          <w:u w:val="single"/>
        </w:rPr>
        <w:t>U.S. dollars</w:t>
      </w:r>
      <w:r w:rsidR="001A76FD">
        <w:rPr>
          <w:u w:val="single"/>
        </w:rPr>
        <w:t>.</w:t>
      </w:r>
    </w:p>
    <w:p w:rsidR="005C1418" w:rsidP="00EC2A21" w14:paraId="0A417C22" w14:textId="7A8D2FEB">
      <w:pPr>
        <w:widowControl w:val="0"/>
        <w:tabs>
          <w:tab w:val="left" w:pos="1181"/>
        </w:tabs>
        <w:autoSpaceDE w:val="0"/>
        <w:autoSpaceDN w:val="0"/>
        <w:spacing w:before="122" w:after="0"/>
        <w:ind w:right="27"/>
        <w:jc w:val="both"/>
      </w:pPr>
      <w:r>
        <w:t>The tool features 7 worksheets grouped into four sections (“Inputs”,</w:t>
      </w:r>
      <w:r w:rsidR="00F56AEE">
        <w:t xml:space="preserve"> </w:t>
      </w:r>
      <w:r>
        <w:t>“Processing”, “Outputs”, and “Other”). The sections are described in the table below.</w:t>
      </w:r>
    </w:p>
    <w:p w:rsidR="00602B07" w:rsidP="00BB682A" w14:paraId="13C7E471" w14:textId="658C47F8">
      <w:pPr>
        <w:pStyle w:val="Caption"/>
      </w:pPr>
      <w:r>
        <w:t xml:space="preserve">Table </w:t>
      </w:r>
      <w:r w:rsidR="00144587">
        <w:fldChar w:fldCharType="begin"/>
      </w:r>
      <w:r w:rsidR="00144587">
        <w:instrText xml:space="preserve"> SEQ Table \* ARABIC </w:instrText>
      </w:r>
      <w:r w:rsidR="00144587">
        <w:fldChar w:fldCharType="separate"/>
      </w:r>
      <w:r w:rsidR="00BB682A">
        <w:rPr>
          <w:noProof/>
        </w:rPr>
        <w:t>1</w:t>
      </w:r>
      <w:r w:rsidR="00144587">
        <w:rPr>
          <w:noProof/>
        </w:rPr>
        <w:fldChar w:fldCharType="end"/>
      </w:r>
      <w:r>
        <w:t>: CHIPS Financial Model Tool Contents</w:t>
      </w:r>
    </w:p>
    <w:tbl>
      <w:tblPr>
        <w:tblW w:w="9788" w:type="dxa"/>
        <w:tblLook w:val="04A0"/>
      </w:tblPr>
      <w:tblGrid>
        <w:gridCol w:w="1560"/>
        <w:gridCol w:w="2900"/>
        <w:gridCol w:w="5328"/>
      </w:tblGrid>
      <w:tr w14:paraId="7807CFF2" w14:textId="77777777" w:rsidTr="00C94431">
        <w:tblPrEx>
          <w:tblW w:w="9788" w:type="dxa"/>
          <w:tblLook w:val="04A0"/>
        </w:tblPrEx>
        <w:trPr>
          <w:trHeight w:val="312"/>
        </w:trPr>
        <w:tc>
          <w:tcPr>
            <w:tcW w:w="1560" w:type="dxa"/>
            <w:tcBorders>
              <w:top w:val="single" w:sz="4" w:space="0" w:color="auto"/>
              <w:left w:val="single" w:sz="4" w:space="0" w:color="auto"/>
              <w:bottom w:val="nil"/>
              <w:right w:val="nil"/>
            </w:tcBorders>
            <w:shd w:val="clear" w:color="000000" w:fill="CBF5FE"/>
            <w:noWrap/>
            <w:vAlign w:val="bottom"/>
            <w:hideMark/>
          </w:tcPr>
          <w:p w:rsidR="00C37800" w:rsidRPr="00A65871" w:rsidP="00C37800" w14:paraId="2E4D93BB" w14:textId="77777777">
            <w:pPr>
              <w:spacing w:after="0"/>
              <w:rPr>
                <w:rFonts w:ascii="Calibri" w:eastAsia="Times New Roman" w:hAnsi="Calibri" w:cs="Calibri"/>
                <w:b/>
                <w:bCs/>
                <w:color w:val="000000"/>
                <w:sz w:val="18"/>
                <w:szCs w:val="18"/>
              </w:rPr>
            </w:pPr>
            <w:r w:rsidRPr="00A65871">
              <w:rPr>
                <w:rFonts w:ascii="Calibri" w:eastAsia="Times New Roman" w:hAnsi="Calibri" w:cs="Calibri"/>
                <w:b/>
                <w:bCs/>
                <w:color w:val="000000"/>
                <w:sz w:val="18"/>
                <w:szCs w:val="18"/>
              </w:rPr>
              <w:t>Worksheet</w:t>
            </w:r>
          </w:p>
        </w:tc>
        <w:tc>
          <w:tcPr>
            <w:tcW w:w="2900" w:type="dxa"/>
            <w:tcBorders>
              <w:top w:val="single" w:sz="4" w:space="0" w:color="auto"/>
              <w:left w:val="nil"/>
              <w:bottom w:val="nil"/>
              <w:right w:val="nil"/>
            </w:tcBorders>
            <w:shd w:val="clear" w:color="000000" w:fill="CBF5FE"/>
            <w:noWrap/>
            <w:vAlign w:val="bottom"/>
            <w:hideMark/>
          </w:tcPr>
          <w:p w:rsidR="00C37800" w:rsidRPr="00A65871" w:rsidP="00C37800" w14:paraId="71293802" w14:textId="77777777">
            <w:pPr>
              <w:spacing w:after="0"/>
              <w:rPr>
                <w:rFonts w:ascii="Calibri" w:eastAsia="Times New Roman" w:hAnsi="Calibri" w:cs="Calibri"/>
                <w:b/>
                <w:bCs/>
                <w:color w:val="000000"/>
                <w:sz w:val="18"/>
                <w:szCs w:val="18"/>
              </w:rPr>
            </w:pPr>
            <w:r w:rsidRPr="00A65871">
              <w:rPr>
                <w:rFonts w:ascii="Calibri" w:eastAsia="Times New Roman" w:hAnsi="Calibri" w:cs="Calibri"/>
                <w:b/>
                <w:bCs/>
                <w:color w:val="000000"/>
                <w:sz w:val="18"/>
                <w:szCs w:val="18"/>
              </w:rPr>
              <w:t> </w:t>
            </w:r>
          </w:p>
        </w:tc>
        <w:tc>
          <w:tcPr>
            <w:tcW w:w="5328" w:type="dxa"/>
            <w:tcBorders>
              <w:top w:val="single" w:sz="4" w:space="0" w:color="auto"/>
              <w:left w:val="nil"/>
              <w:bottom w:val="nil"/>
              <w:right w:val="single" w:sz="4" w:space="0" w:color="auto"/>
            </w:tcBorders>
            <w:shd w:val="clear" w:color="000000" w:fill="CBF5FE"/>
            <w:noWrap/>
            <w:vAlign w:val="bottom"/>
            <w:hideMark/>
          </w:tcPr>
          <w:p w:rsidR="00C37800" w:rsidRPr="00A65871" w:rsidP="00C37800" w14:paraId="5556A514" w14:textId="77777777">
            <w:pPr>
              <w:spacing w:after="0"/>
              <w:rPr>
                <w:rFonts w:ascii="Calibri" w:eastAsia="Times New Roman" w:hAnsi="Calibri" w:cs="Calibri"/>
                <w:b/>
                <w:bCs/>
                <w:color w:val="000000"/>
                <w:sz w:val="18"/>
                <w:szCs w:val="18"/>
              </w:rPr>
            </w:pPr>
            <w:r w:rsidRPr="00A65871">
              <w:rPr>
                <w:rFonts w:ascii="Calibri" w:eastAsia="Times New Roman" w:hAnsi="Calibri" w:cs="Calibri"/>
                <w:b/>
                <w:bCs/>
                <w:color w:val="000000"/>
                <w:sz w:val="18"/>
                <w:szCs w:val="18"/>
              </w:rPr>
              <w:t>Description</w:t>
            </w:r>
          </w:p>
        </w:tc>
      </w:tr>
      <w:tr w14:paraId="1EE2CA86" w14:textId="77777777" w:rsidTr="00C94431">
        <w:tblPrEx>
          <w:tblW w:w="9788" w:type="dxa"/>
          <w:tblLook w:val="04A0"/>
        </w:tblPrEx>
        <w:trPr>
          <w:trHeight w:val="312"/>
        </w:trPr>
        <w:tc>
          <w:tcPr>
            <w:tcW w:w="1560" w:type="dxa"/>
            <w:tcBorders>
              <w:top w:val="single" w:sz="4" w:space="0" w:color="auto"/>
              <w:left w:val="single" w:sz="4" w:space="0" w:color="auto"/>
              <w:bottom w:val="nil"/>
              <w:right w:val="nil"/>
            </w:tcBorders>
            <w:shd w:val="clear" w:color="000000" w:fill="06C9F4"/>
            <w:noWrap/>
            <w:vAlign w:val="bottom"/>
            <w:hideMark/>
          </w:tcPr>
          <w:p w:rsidR="00C37800" w:rsidRPr="00A65871" w:rsidP="00C37800" w14:paraId="5EC17564" w14:textId="77777777">
            <w:pPr>
              <w:spacing w:after="0"/>
              <w:rPr>
                <w:rFonts w:ascii="Calibri" w:eastAsia="Times New Roman" w:hAnsi="Calibri" w:cs="Calibri"/>
                <w:b/>
                <w:bCs/>
                <w:color w:val="FFFFFF"/>
                <w:sz w:val="18"/>
                <w:szCs w:val="18"/>
              </w:rPr>
            </w:pPr>
            <w:r w:rsidRPr="00A65871">
              <w:rPr>
                <w:rFonts w:ascii="Calibri" w:eastAsia="Times New Roman" w:hAnsi="Calibri" w:cs="Calibri"/>
                <w:b/>
                <w:bCs/>
                <w:color w:val="FFFFFF"/>
                <w:sz w:val="18"/>
                <w:szCs w:val="18"/>
              </w:rPr>
              <w:t>Inputs &gt;&gt;</w:t>
            </w:r>
          </w:p>
        </w:tc>
        <w:tc>
          <w:tcPr>
            <w:tcW w:w="2900" w:type="dxa"/>
            <w:tcBorders>
              <w:top w:val="single" w:sz="4" w:space="0" w:color="auto"/>
              <w:left w:val="nil"/>
              <w:bottom w:val="nil"/>
              <w:right w:val="nil"/>
            </w:tcBorders>
            <w:shd w:val="clear" w:color="000000" w:fill="06C9F4"/>
            <w:noWrap/>
            <w:vAlign w:val="bottom"/>
            <w:hideMark/>
          </w:tcPr>
          <w:p w:rsidR="00C37800" w:rsidRPr="00A65871" w:rsidP="00C37800" w14:paraId="3EC16E8C" w14:textId="77777777">
            <w:pPr>
              <w:spacing w:after="0"/>
              <w:rPr>
                <w:rFonts w:ascii="Calibri" w:eastAsia="Times New Roman" w:hAnsi="Calibri" w:cs="Calibri"/>
                <w:color w:val="FFFFFF"/>
                <w:sz w:val="18"/>
                <w:szCs w:val="18"/>
              </w:rPr>
            </w:pPr>
            <w:r w:rsidRPr="00A65871">
              <w:rPr>
                <w:rFonts w:ascii="Calibri" w:eastAsia="Times New Roman" w:hAnsi="Calibri" w:cs="Calibri"/>
                <w:color w:val="FFFFFF"/>
                <w:sz w:val="18"/>
                <w:szCs w:val="18"/>
              </w:rPr>
              <w:t>Control Panel</w:t>
            </w:r>
          </w:p>
        </w:tc>
        <w:tc>
          <w:tcPr>
            <w:tcW w:w="5328" w:type="dxa"/>
            <w:tcBorders>
              <w:top w:val="single" w:sz="4" w:space="0" w:color="auto"/>
              <w:left w:val="nil"/>
              <w:bottom w:val="nil"/>
              <w:right w:val="single" w:sz="4" w:space="0" w:color="auto"/>
            </w:tcBorders>
            <w:shd w:val="clear" w:color="auto" w:fill="auto"/>
            <w:noWrap/>
            <w:vAlign w:val="bottom"/>
            <w:hideMark/>
          </w:tcPr>
          <w:p w:rsidR="00C37800" w:rsidRPr="00A65871" w:rsidP="00C37800" w14:paraId="1DBAB5F2" w14:textId="1A851298">
            <w:pPr>
              <w:spacing w:after="0"/>
              <w:rPr>
                <w:rFonts w:ascii="Calibri" w:eastAsia="Times New Roman" w:hAnsi="Calibri" w:cs="Calibri"/>
                <w:color w:val="000000"/>
                <w:sz w:val="18"/>
                <w:szCs w:val="18"/>
              </w:rPr>
            </w:pPr>
            <w:r w:rsidRPr="00A65871">
              <w:rPr>
                <w:rFonts w:ascii="Calibri" w:eastAsia="Times New Roman" w:hAnsi="Calibri" w:cs="Calibri"/>
                <w:color w:val="000000"/>
                <w:sz w:val="18"/>
                <w:szCs w:val="18"/>
              </w:rPr>
              <w:t>Main tab that controls assumptions and inputs</w:t>
            </w:r>
          </w:p>
        </w:tc>
      </w:tr>
      <w:tr w14:paraId="722B8B81" w14:textId="77777777" w:rsidTr="00C94431">
        <w:tblPrEx>
          <w:tblW w:w="9788" w:type="dxa"/>
          <w:tblLook w:val="04A0"/>
        </w:tblPrEx>
        <w:trPr>
          <w:trHeight w:val="312"/>
        </w:trPr>
        <w:tc>
          <w:tcPr>
            <w:tcW w:w="1560" w:type="dxa"/>
            <w:vMerge w:val="restart"/>
            <w:tcBorders>
              <w:top w:val="nil"/>
              <w:left w:val="single" w:sz="4" w:space="0" w:color="auto"/>
              <w:bottom w:val="nil"/>
              <w:right w:val="nil"/>
            </w:tcBorders>
            <w:shd w:val="clear" w:color="000000" w:fill="808080"/>
            <w:noWrap/>
            <w:vAlign w:val="center"/>
            <w:hideMark/>
          </w:tcPr>
          <w:p w:rsidR="00C37800" w:rsidRPr="00A65871" w:rsidP="00C37800" w14:paraId="7D8046B3" w14:textId="77777777">
            <w:pPr>
              <w:spacing w:after="0"/>
              <w:rPr>
                <w:rFonts w:ascii="Calibri" w:eastAsia="Times New Roman" w:hAnsi="Calibri" w:cs="Calibri"/>
                <w:b/>
                <w:bCs/>
                <w:color w:val="FFFFFF"/>
                <w:sz w:val="18"/>
                <w:szCs w:val="18"/>
              </w:rPr>
            </w:pPr>
            <w:r w:rsidRPr="00A65871">
              <w:rPr>
                <w:rFonts w:ascii="Calibri" w:eastAsia="Times New Roman" w:hAnsi="Calibri" w:cs="Calibri"/>
                <w:b/>
                <w:bCs/>
                <w:color w:val="FFFFFF"/>
                <w:sz w:val="18"/>
                <w:szCs w:val="18"/>
              </w:rPr>
              <w:t>Processing &gt;&gt;</w:t>
            </w:r>
          </w:p>
        </w:tc>
        <w:tc>
          <w:tcPr>
            <w:tcW w:w="2900" w:type="dxa"/>
            <w:tcBorders>
              <w:top w:val="nil"/>
              <w:left w:val="nil"/>
              <w:bottom w:val="nil"/>
              <w:right w:val="nil"/>
            </w:tcBorders>
            <w:shd w:val="clear" w:color="000000" w:fill="808080"/>
            <w:noWrap/>
            <w:vAlign w:val="bottom"/>
            <w:hideMark/>
          </w:tcPr>
          <w:p w:rsidR="00C37800" w:rsidRPr="00A65871" w:rsidP="00C37800" w14:paraId="3D2540EE" w14:textId="3CA316EC">
            <w:pPr>
              <w:spacing w:after="0"/>
              <w:rPr>
                <w:rFonts w:ascii="Calibri" w:eastAsia="Times New Roman" w:hAnsi="Calibri" w:cs="Calibri"/>
                <w:color w:val="FFFFFF"/>
                <w:sz w:val="18"/>
                <w:szCs w:val="18"/>
              </w:rPr>
            </w:pPr>
            <w:r w:rsidRPr="00A65871">
              <w:rPr>
                <w:rFonts w:ascii="Calibri" w:eastAsia="Times New Roman" w:hAnsi="Calibri" w:cs="Calibri"/>
                <w:color w:val="FFFFFF"/>
                <w:sz w:val="18"/>
                <w:szCs w:val="18"/>
              </w:rPr>
              <w:t xml:space="preserve">Assumptions </w:t>
            </w:r>
            <w:r w:rsidR="00F65FA7">
              <w:rPr>
                <w:rFonts w:ascii="Calibri" w:eastAsia="Times New Roman" w:hAnsi="Calibri" w:cs="Calibri"/>
                <w:color w:val="FFFFFF"/>
                <w:sz w:val="18"/>
                <w:szCs w:val="18"/>
              </w:rPr>
              <w:t>P</w:t>
            </w:r>
            <w:r w:rsidRPr="00A65871">
              <w:rPr>
                <w:rFonts w:ascii="Calibri" w:eastAsia="Times New Roman" w:hAnsi="Calibri" w:cs="Calibri"/>
                <w:color w:val="FFFFFF"/>
                <w:sz w:val="18"/>
                <w:szCs w:val="18"/>
              </w:rPr>
              <w:t>rocessing</w:t>
            </w:r>
          </w:p>
        </w:tc>
        <w:tc>
          <w:tcPr>
            <w:tcW w:w="5328" w:type="dxa"/>
            <w:tcBorders>
              <w:top w:val="nil"/>
              <w:left w:val="nil"/>
              <w:bottom w:val="nil"/>
              <w:right w:val="single" w:sz="4" w:space="0" w:color="auto"/>
            </w:tcBorders>
            <w:shd w:val="clear" w:color="auto" w:fill="auto"/>
            <w:noWrap/>
            <w:vAlign w:val="bottom"/>
            <w:hideMark/>
          </w:tcPr>
          <w:p w:rsidR="00C37800" w:rsidRPr="00A65871" w:rsidP="00C37800" w14:paraId="5938C6B2" w14:textId="77777777">
            <w:pPr>
              <w:spacing w:after="0"/>
              <w:rPr>
                <w:rFonts w:ascii="Calibri" w:eastAsia="Times New Roman" w:hAnsi="Calibri" w:cs="Calibri"/>
                <w:color w:val="000000"/>
                <w:sz w:val="18"/>
                <w:szCs w:val="18"/>
              </w:rPr>
            </w:pPr>
            <w:r w:rsidRPr="00A65871">
              <w:rPr>
                <w:rFonts w:ascii="Calibri" w:eastAsia="Times New Roman" w:hAnsi="Calibri" w:cs="Calibri"/>
                <w:color w:val="000000"/>
                <w:sz w:val="18"/>
                <w:szCs w:val="18"/>
              </w:rPr>
              <w:t>Helper worksheet to structure inputs for model outputs</w:t>
            </w:r>
          </w:p>
        </w:tc>
      </w:tr>
      <w:tr w14:paraId="1B770330" w14:textId="77777777" w:rsidTr="00C94431">
        <w:tblPrEx>
          <w:tblW w:w="9788" w:type="dxa"/>
          <w:tblLook w:val="04A0"/>
        </w:tblPrEx>
        <w:trPr>
          <w:trHeight w:val="312"/>
        </w:trPr>
        <w:tc>
          <w:tcPr>
            <w:tcW w:w="1560" w:type="dxa"/>
            <w:vMerge/>
            <w:tcBorders>
              <w:top w:val="nil"/>
              <w:left w:val="single" w:sz="4" w:space="0" w:color="auto"/>
              <w:bottom w:val="nil"/>
              <w:right w:val="nil"/>
            </w:tcBorders>
            <w:vAlign w:val="center"/>
            <w:hideMark/>
          </w:tcPr>
          <w:p w:rsidR="00C37800" w:rsidRPr="00A65871" w:rsidP="00C37800" w14:paraId="0B93C2D6" w14:textId="77777777">
            <w:pPr>
              <w:spacing w:after="0"/>
              <w:rPr>
                <w:rFonts w:ascii="Calibri" w:eastAsia="Times New Roman" w:hAnsi="Calibri" w:cs="Calibri"/>
                <w:b/>
                <w:bCs/>
                <w:color w:val="FFFFFF"/>
                <w:sz w:val="18"/>
                <w:szCs w:val="18"/>
              </w:rPr>
            </w:pPr>
          </w:p>
        </w:tc>
        <w:tc>
          <w:tcPr>
            <w:tcW w:w="2900" w:type="dxa"/>
            <w:tcBorders>
              <w:top w:val="nil"/>
              <w:left w:val="nil"/>
              <w:bottom w:val="nil"/>
              <w:right w:val="nil"/>
            </w:tcBorders>
            <w:shd w:val="clear" w:color="000000" w:fill="808080"/>
            <w:noWrap/>
            <w:vAlign w:val="bottom"/>
            <w:hideMark/>
          </w:tcPr>
          <w:p w:rsidR="00C37800" w:rsidRPr="00A65871" w:rsidP="00C37800" w14:paraId="3EA63FAB" w14:textId="116E7654">
            <w:pPr>
              <w:spacing w:after="0"/>
              <w:rPr>
                <w:rFonts w:ascii="Calibri" w:eastAsia="Times New Roman" w:hAnsi="Calibri" w:cs="Calibri"/>
                <w:color w:val="FFFFFF"/>
                <w:sz w:val="18"/>
                <w:szCs w:val="18"/>
              </w:rPr>
            </w:pPr>
            <w:r w:rsidRPr="00A65871">
              <w:rPr>
                <w:rFonts w:ascii="Calibri" w:eastAsia="Times New Roman" w:hAnsi="Calibri" w:cs="Calibri"/>
                <w:color w:val="FFFFFF"/>
                <w:sz w:val="18"/>
                <w:szCs w:val="18"/>
              </w:rPr>
              <w:t xml:space="preserve">Depreciation </w:t>
            </w:r>
            <w:r w:rsidR="00F65FA7">
              <w:rPr>
                <w:rFonts w:ascii="Calibri" w:eastAsia="Times New Roman" w:hAnsi="Calibri" w:cs="Calibri"/>
                <w:color w:val="FFFFFF"/>
                <w:sz w:val="18"/>
                <w:szCs w:val="18"/>
              </w:rPr>
              <w:t>S</w:t>
            </w:r>
            <w:r w:rsidRPr="00A65871">
              <w:rPr>
                <w:rFonts w:ascii="Calibri" w:eastAsia="Times New Roman" w:hAnsi="Calibri" w:cs="Calibri"/>
                <w:color w:val="FFFFFF"/>
                <w:sz w:val="18"/>
                <w:szCs w:val="18"/>
              </w:rPr>
              <w:t>chedule</w:t>
            </w:r>
          </w:p>
        </w:tc>
        <w:tc>
          <w:tcPr>
            <w:tcW w:w="5328" w:type="dxa"/>
            <w:tcBorders>
              <w:top w:val="nil"/>
              <w:left w:val="nil"/>
              <w:bottom w:val="nil"/>
              <w:right w:val="single" w:sz="4" w:space="0" w:color="auto"/>
            </w:tcBorders>
            <w:shd w:val="clear" w:color="auto" w:fill="auto"/>
            <w:noWrap/>
            <w:vAlign w:val="bottom"/>
            <w:hideMark/>
          </w:tcPr>
          <w:p w:rsidR="00C37800" w:rsidRPr="00A65871" w:rsidP="00C37800" w14:paraId="0AE5583E" w14:textId="77777777">
            <w:pPr>
              <w:spacing w:after="0"/>
              <w:rPr>
                <w:rFonts w:ascii="Calibri" w:eastAsia="Times New Roman" w:hAnsi="Calibri" w:cs="Calibri"/>
                <w:color w:val="000000"/>
                <w:sz w:val="18"/>
                <w:szCs w:val="18"/>
              </w:rPr>
            </w:pPr>
            <w:r w:rsidRPr="00A65871">
              <w:rPr>
                <w:rFonts w:ascii="Calibri" w:eastAsia="Times New Roman" w:hAnsi="Calibri" w:cs="Calibri"/>
                <w:color w:val="000000"/>
                <w:sz w:val="18"/>
                <w:szCs w:val="18"/>
              </w:rPr>
              <w:t>Helper worksheet to calculate depreciation and investment tax credit</w:t>
            </w:r>
          </w:p>
        </w:tc>
      </w:tr>
      <w:tr w14:paraId="380135A4" w14:textId="77777777" w:rsidTr="00C94431">
        <w:tblPrEx>
          <w:tblW w:w="9788" w:type="dxa"/>
          <w:tblLook w:val="04A0"/>
        </w:tblPrEx>
        <w:trPr>
          <w:trHeight w:val="312"/>
        </w:trPr>
        <w:tc>
          <w:tcPr>
            <w:tcW w:w="1560" w:type="dxa"/>
            <w:vMerge w:val="restart"/>
            <w:tcBorders>
              <w:top w:val="nil"/>
              <w:left w:val="single" w:sz="4" w:space="0" w:color="auto"/>
              <w:bottom w:val="nil"/>
              <w:right w:val="nil"/>
            </w:tcBorders>
            <w:shd w:val="clear" w:color="000000" w:fill="080AAE"/>
            <w:noWrap/>
            <w:vAlign w:val="center"/>
            <w:hideMark/>
          </w:tcPr>
          <w:p w:rsidR="00C37800" w:rsidRPr="00A15BE0" w:rsidP="00C37800" w14:paraId="3FC218E9" w14:textId="77777777">
            <w:pPr>
              <w:spacing w:after="0"/>
              <w:rPr>
                <w:rFonts w:ascii="Calibri" w:eastAsia="Times New Roman" w:hAnsi="Calibri" w:cs="Calibri"/>
                <w:b/>
                <w:bCs/>
                <w:color w:val="FFFFFF"/>
                <w:sz w:val="18"/>
                <w:szCs w:val="18"/>
              </w:rPr>
            </w:pPr>
            <w:r w:rsidRPr="00A15BE0">
              <w:rPr>
                <w:rFonts w:ascii="Calibri" w:eastAsia="Times New Roman" w:hAnsi="Calibri" w:cs="Calibri"/>
                <w:b/>
                <w:bCs/>
                <w:color w:val="FFFFFF"/>
                <w:sz w:val="18"/>
                <w:szCs w:val="18"/>
              </w:rPr>
              <w:t>Outputs &gt;&gt;</w:t>
            </w:r>
          </w:p>
        </w:tc>
        <w:tc>
          <w:tcPr>
            <w:tcW w:w="2900" w:type="dxa"/>
            <w:tcBorders>
              <w:top w:val="nil"/>
              <w:left w:val="nil"/>
              <w:bottom w:val="nil"/>
              <w:right w:val="nil"/>
            </w:tcBorders>
            <w:shd w:val="clear" w:color="000000" w:fill="080AAE"/>
            <w:noWrap/>
            <w:vAlign w:val="bottom"/>
            <w:hideMark/>
          </w:tcPr>
          <w:p w:rsidR="00C37800" w:rsidRPr="00A15BE0" w:rsidP="00C37800" w14:paraId="14427FA2" w14:textId="77777777">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Income Statement</w:t>
            </w:r>
          </w:p>
        </w:tc>
        <w:tc>
          <w:tcPr>
            <w:tcW w:w="5328" w:type="dxa"/>
            <w:tcBorders>
              <w:top w:val="nil"/>
              <w:left w:val="nil"/>
              <w:bottom w:val="nil"/>
              <w:right w:val="single" w:sz="4" w:space="0" w:color="auto"/>
            </w:tcBorders>
            <w:shd w:val="clear" w:color="auto" w:fill="auto"/>
            <w:noWrap/>
            <w:vAlign w:val="bottom"/>
            <w:hideMark/>
          </w:tcPr>
          <w:p w:rsidR="00C37800" w:rsidRPr="00A15BE0" w:rsidP="00C37800" w14:paraId="56272D49"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Model output summarizing income statement for the project</w:t>
            </w:r>
          </w:p>
        </w:tc>
      </w:tr>
      <w:tr w14:paraId="594976D7" w14:textId="77777777" w:rsidTr="00C94431">
        <w:tblPrEx>
          <w:tblW w:w="9788" w:type="dxa"/>
          <w:tblLook w:val="04A0"/>
        </w:tblPrEx>
        <w:trPr>
          <w:trHeight w:val="312"/>
        </w:trPr>
        <w:tc>
          <w:tcPr>
            <w:tcW w:w="1560" w:type="dxa"/>
            <w:vMerge/>
            <w:tcBorders>
              <w:top w:val="nil"/>
              <w:left w:val="single" w:sz="4" w:space="0" w:color="auto"/>
              <w:bottom w:val="nil"/>
              <w:right w:val="nil"/>
            </w:tcBorders>
            <w:vAlign w:val="center"/>
            <w:hideMark/>
          </w:tcPr>
          <w:p w:rsidR="00C37800" w:rsidRPr="00A15BE0" w:rsidP="00C37800" w14:paraId="2173B28A" w14:textId="77777777">
            <w:pPr>
              <w:spacing w:after="0"/>
              <w:rPr>
                <w:rFonts w:ascii="Calibri" w:eastAsia="Times New Roman" w:hAnsi="Calibri" w:cs="Calibri"/>
                <w:b/>
                <w:bCs/>
                <w:color w:val="FFFFFF"/>
                <w:sz w:val="18"/>
                <w:szCs w:val="18"/>
              </w:rPr>
            </w:pPr>
          </w:p>
        </w:tc>
        <w:tc>
          <w:tcPr>
            <w:tcW w:w="2900" w:type="dxa"/>
            <w:tcBorders>
              <w:top w:val="nil"/>
              <w:left w:val="nil"/>
              <w:bottom w:val="nil"/>
              <w:right w:val="nil"/>
            </w:tcBorders>
            <w:shd w:val="clear" w:color="000000" w:fill="080AAE"/>
            <w:noWrap/>
            <w:vAlign w:val="bottom"/>
            <w:hideMark/>
          </w:tcPr>
          <w:p w:rsidR="00C37800" w:rsidRPr="00A15BE0" w:rsidP="00C37800" w14:paraId="6E95296D" w14:textId="6F06B0D4">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Cash</w:t>
            </w:r>
            <w:r w:rsidR="009B20E2">
              <w:rPr>
                <w:rFonts w:ascii="Calibri" w:eastAsia="Times New Roman" w:hAnsi="Calibri" w:cs="Calibri"/>
                <w:color w:val="FFFFFF"/>
                <w:sz w:val="18"/>
                <w:szCs w:val="18"/>
              </w:rPr>
              <w:t>f</w:t>
            </w:r>
            <w:r w:rsidRPr="00A15BE0">
              <w:rPr>
                <w:rFonts w:ascii="Calibri" w:eastAsia="Times New Roman" w:hAnsi="Calibri" w:cs="Calibri"/>
                <w:color w:val="FFFFFF"/>
                <w:sz w:val="18"/>
                <w:szCs w:val="18"/>
              </w:rPr>
              <w:t>low</w:t>
            </w:r>
          </w:p>
        </w:tc>
        <w:tc>
          <w:tcPr>
            <w:tcW w:w="5328" w:type="dxa"/>
            <w:tcBorders>
              <w:top w:val="nil"/>
              <w:left w:val="nil"/>
              <w:bottom w:val="nil"/>
              <w:right w:val="single" w:sz="4" w:space="0" w:color="auto"/>
            </w:tcBorders>
            <w:shd w:val="clear" w:color="auto" w:fill="auto"/>
            <w:noWrap/>
            <w:vAlign w:val="bottom"/>
            <w:hideMark/>
          </w:tcPr>
          <w:p w:rsidR="00C37800" w:rsidRPr="00A15BE0" w:rsidP="00C37800" w14:paraId="6B633DDF"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Model output summarizing a cash flow statement for the project</w:t>
            </w:r>
          </w:p>
        </w:tc>
      </w:tr>
      <w:tr w14:paraId="4770B7E6" w14:textId="77777777" w:rsidTr="00C94431">
        <w:tblPrEx>
          <w:tblW w:w="9788" w:type="dxa"/>
          <w:tblLook w:val="04A0"/>
        </w:tblPrEx>
        <w:trPr>
          <w:trHeight w:val="312"/>
        </w:trPr>
        <w:tc>
          <w:tcPr>
            <w:tcW w:w="1560" w:type="dxa"/>
            <w:vMerge/>
            <w:tcBorders>
              <w:top w:val="nil"/>
              <w:left w:val="single" w:sz="4" w:space="0" w:color="auto"/>
              <w:bottom w:val="nil"/>
              <w:right w:val="nil"/>
            </w:tcBorders>
            <w:vAlign w:val="center"/>
            <w:hideMark/>
          </w:tcPr>
          <w:p w:rsidR="00C37800" w:rsidRPr="00A15BE0" w:rsidP="00C37800" w14:paraId="7261066C" w14:textId="77777777">
            <w:pPr>
              <w:spacing w:after="0"/>
              <w:rPr>
                <w:rFonts w:ascii="Calibri" w:eastAsia="Times New Roman" w:hAnsi="Calibri" w:cs="Calibri"/>
                <w:b/>
                <w:bCs/>
                <w:color w:val="FFFFFF"/>
                <w:sz w:val="18"/>
                <w:szCs w:val="18"/>
              </w:rPr>
            </w:pPr>
          </w:p>
        </w:tc>
        <w:tc>
          <w:tcPr>
            <w:tcW w:w="2900" w:type="dxa"/>
            <w:tcBorders>
              <w:top w:val="nil"/>
              <w:left w:val="nil"/>
              <w:bottom w:val="nil"/>
              <w:right w:val="nil"/>
            </w:tcBorders>
            <w:shd w:val="clear" w:color="000000" w:fill="080AAE"/>
            <w:noWrap/>
            <w:vAlign w:val="bottom"/>
            <w:hideMark/>
          </w:tcPr>
          <w:p w:rsidR="00C37800" w:rsidRPr="00A15BE0" w:rsidP="00C37800" w14:paraId="0F4041CB" w14:textId="77777777">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Balance Sheet</w:t>
            </w:r>
          </w:p>
        </w:tc>
        <w:tc>
          <w:tcPr>
            <w:tcW w:w="5328" w:type="dxa"/>
            <w:tcBorders>
              <w:top w:val="nil"/>
              <w:left w:val="nil"/>
              <w:bottom w:val="nil"/>
              <w:right w:val="single" w:sz="4" w:space="0" w:color="auto"/>
            </w:tcBorders>
            <w:shd w:val="clear" w:color="auto" w:fill="auto"/>
            <w:noWrap/>
            <w:vAlign w:val="bottom"/>
            <w:hideMark/>
          </w:tcPr>
          <w:p w:rsidR="00C37800" w:rsidRPr="00A15BE0" w:rsidP="00C37800" w14:paraId="2F28B33B"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Model output summarizing a balance sheet for the project</w:t>
            </w:r>
          </w:p>
        </w:tc>
      </w:tr>
      <w:tr w14:paraId="681AB500" w14:textId="77777777" w:rsidTr="00C94431">
        <w:tblPrEx>
          <w:tblW w:w="9788" w:type="dxa"/>
          <w:tblLook w:val="04A0"/>
        </w:tblPrEx>
        <w:trPr>
          <w:trHeight w:val="312"/>
        </w:trPr>
        <w:tc>
          <w:tcPr>
            <w:tcW w:w="1560" w:type="dxa"/>
            <w:tcBorders>
              <w:top w:val="nil"/>
              <w:left w:val="single" w:sz="4" w:space="0" w:color="auto"/>
              <w:bottom w:val="single" w:sz="4" w:space="0" w:color="auto"/>
              <w:right w:val="nil"/>
            </w:tcBorders>
            <w:shd w:val="clear" w:color="000000" w:fill="03657A"/>
            <w:noWrap/>
            <w:vAlign w:val="bottom"/>
            <w:hideMark/>
          </w:tcPr>
          <w:p w:rsidR="00C37800" w:rsidRPr="00A15BE0" w:rsidP="00C37800" w14:paraId="4A4BC7BF" w14:textId="77777777">
            <w:pPr>
              <w:spacing w:after="0"/>
              <w:rPr>
                <w:rFonts w:ascii="Calibri" w:eastAsia="Times New Roman" w:hAnsi="Calibri" w:cs="Calibri"/>
                <w:b/>
                <w:bCs/>
                <w:color w:val="FFFFFF"/>
                <w:sz w:val="18"/>
                <w:szCs w:val="18"/>
              </w:rPr>
            </w:pPr>
            <w:r w:rsidRPr="00A15BE0">
              <w:rPr>
                <w:rFonts w:ascii="Calibri" w:eastAsia="Times New Roman" w:hAnsi="Calibri" w:cs="Calibri"/>
                <w:b/>
                <w:bCs/>
                <w:color w:val="FFFFFF"/>
                <w:sz w:val="18"/>
                <w:szCs w:val="18"/>
              </w:rPr>
              <w:t>Other &gt;&gt;</w:t>
            </w:r>
          </w:p>
        </w:tc>
        <w:tc>
          <w:tcPr>
            <w:tcW w:w="2900" w:type="dxa"/>
            <w:tcBorders>
              <w:top w:val="nil"/>
              <w:left w:val="nil"/>
              <w:bottom w:val="single" w:sz="4" w:space="0" w:color="auto"/>
              <w:right w:val="nil"/>
            </w:tcBorders>
            <w:shd w:val="clear" w:color="000000" w:fill="03657A"/>
            <w:noWrap/>
            <w:vAlign w:val="bottom"/>
            <w:hideMark/>
          </w:tcPr>
          <w:p w:rsidR="00C37800" w:rsidRPr="00A15BE0" w:rsidP="00C37800" w14:paraId="583AD861" w14:textId="77777777">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Drop-downs</w:t>
            </w:r>
          </w:p>
        </w:tc>
        <w:tc>
          <w:tcPr>
            <w:tcW w:w="5328" w:type="dxa"/>
            <w:tcBorders>
              <w:top w:val="nil"/>
              <w:left w:val="nil"/>
              <w:bottom w:val="single" w:sz="4" w:space="0" w:color="auto"/>
              <w:right w:val="single" w:sz="4" w:space="0" w:color="auto"/>
            </w:tcBorders>
            <w:shd w:val="clear" w:color="auto" w:fill="auto"/>
            <w:noWrap/>
            <w:vAlign w:val="bottom"/>
            <w:hideMark/>
          </w:tcPr>
          <w:p w:rsidR="00C37800" w:rsidRPr="00A15BE0" w:rsidP="00C37800" w14:paraId="648BF3F4"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Helper worksheet to define options in tool’s drop downs</w:t>
            </w:r>
          </w:p>
        </w:tc>
      </w:tr>
    </w:tbl>
    <w:p w:rsidR="00EC46DC" w:rsidP="00B04421" w14:paraId="3C72FA13" w14:textId="77777777">
      <w:pPr>
        <w:pStyle w:val="BodyText"/>
        <w:spacing w:before="2"/>
      </w:pPr>
    </w:p>
    <w:p w:rsidR="0066014F" w:rsidP="00736DB2" w14:paraId="6A14ACBE" w14:textId="77777777">
      <w:pPr>
        <w:pStyle w:val="BodyText"/>
        <w:ind w:right="816"/>
        <w:jc w:val="both"/>
      </w:pPr>
    </w:p>
    <w:p w:rsidR="00E45933" w:rsidP="007660E9" w14:paraId="1D2F54BD" w14:textId="1B023B66">
      <w:pPr>
        <w:pStyle w:val="Heading1"/>
      </w:pPr>
      <w:bookmarkStart w:id="4" w:name="_Toc127051584"/>
      <w:bookmarkStart w:id="5" w:name="_Toc127051585"/>
      <w:bookmarkStart w:id="6" w:name="_Toc127051586"/>
      <w:bookmarkStart w:id="7" w:name="_Toc127051587"/>
      <w:bookmarkStart w:id="8" w:name="_Toc130497976"/>
      <w:bookmarkEnd w:id="1"/>
      <w:bookmarkEnd w:id="3"/>
      <w:bookmarkEnd w:id="4"/>
      <w:bookmarkEnd w:id="5"/>
      <w:bookmarkEnd w:id="6"/>
      <w:bookmarkEnd w:id="7"/>
      <w:r>
        <w:t xml:space="preserve">Control Panel </w:t>
      </w:r>
      <w:r>
        <w:t>Input</w:t>
      </w:r>
      <w:r>
        <w:t>s &amp;</w:t>
      </w:r>
      <w:r>
        <w:t xml:space="preserve"> Assumptions</w:t>
      </w:r>
      <w:bookmarkEnd w:id="8"/>
    </w:p>
    <w:p w:rsidR="00FB52C4" w:rsidP="00FB52C4" w14:paraId="62FAC70E" w14:textId="77777777">
      <w:pPr>
        <w:pStyle w:val="BodyText"/>
      </w:pPr>
    </w:p>
    <w:p w:rsidR="00456DAB" w:rsidP="00FB52C4" w14:paraId="2B0B450B" w14:textId="647C012F">
      <w:pPr>
        <w:pStyle w:val="BodyText"/>
      </w:pPr>
      <w:r>
        <w:t xml:space="preserve">The </w:t>
      </w:r>
      <w:r w:rsidR="003C5C78">
        <w:t xml:space="preserve">“Control Panel” </w:t>
      </w:r>
      <w:r w:rsidR="006C77EA">
        <w:t>worksheet</w:t>
      </w:r>
      <w:r w:rsidR="003C5C78">
        <w:t xml:space="preserve"> is the source for all assumptions</w:t>
      </w:r>
      <w:r w:rsidR="00117580">
        <w:t xml:space="preserve">. </w:t>
      </w:r>
      <w:r w:rsidR="00607A9C">
        <w:t>I</w:t>
      </w:r>
      <w:r w:rsidR="00117580">
        <w:t>t</w:t>
      </w:r>
      <w:r w:rsidR="003B478A">
        <w:t xml:space="preserve"> is the only </w:t>
      </w:r>
      <w:r w:rsidR="00AD0F0B">
        <w:t xml:space="preserve">worksheet that </w:t>
      </w:r>
      <w:r w:rsidR="00117580">
        <w:t xml:space="preserve">requires </w:t>
      </w:r>
      <w:r w:rsidR="00F0751C">
        <w:t xml:space="preserve">-user </w:t>
      </w:r>
      <w:r w:rsidR="00117580">
        <w:t xml:space="preserve">inputs. </w:t>
      </w:r>
    </w:p>
    <w:p w:rsidR="00086F3E" w:rsidRPr="00FB52C4" w:rsidP="00FB52C4" w14:paraId="66B44FA8" w14:textId="6A649242">
      <w:pPr>
        <w:pStyle w:val="BodyText"/>
      </w:pPr>
      <w:r>
        <w:t xml:space="preserve">In this worksheet there are </w:t>
      </w:r>
      <w:r w:rsidR="0088247C">
        <w:t>three different types of cells</w:t>
      </w:r>
      <w:r w:rsidR="00167257">
        <w:t xml:space="preserve">, as described </w:t>
      </w:r>
      <w:r w:rsidR="009C4F32">
        <w:t>in the figure below.</w:t>
      </w:r>
    </w:p>
    <w:p w:rsidR="00167257" w14:paraId="32304618" w14:textId="4340150A">
      <w:pPr>
        <w:pStyle w:val="Caption"/>
      </w:pPr>
      <w:r>
        <w:t xml:space="preserve">Figure </w:t>
      </w:r>
      <w:r w:rsidR="00144587">
        <w:fldChar w:fldCharType="begin"/>
      </w:r>
      <w:r w:rsidR="00144587">
        <w:instrText xml:space="preserve"> SEQ Figure \* ARABIC </w:instrText>
      </w:r>
      <w:r w:rsidR="00144587">
        <w:fldChar w:fldCharType="separate"/>
      </w:r>
      <w:r w:rsidR="001D7E60">
        <w:rPr>
          <w:noProof/>
        </w:rPr>
        <w:t>1</w:t>
      </w:r>
      <w:r w:rsidR="00144587">
        <w:rPr>
          <w:noProof/>
        </w:rPr>
        <w:fldChar w:fldCharType="end"/>
      </w:r>
      <w:r>
        <w:t>: Control Panel Legend</w:t>
      </w:r>
    </w:p>
    <w:p w:rsidR="000239D7" w:rsidP="00FB52C4" w14:paraId="47F986E2" w14:textId="5DD0A54C">
      <w:pPr>
        <w:pStyle w:val="BodyText"/>
      </w:pPr>
      <w:r w:rsidRPr="00686D9D">
        <w:rPr>
          <w:noProof/>
        </w:rPr>
        <w:drawing>
          <wp:inline distT="0" distB="0" distL="0" distR="0">
            <wp:extent cx="1958454" cy="52010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78158" cy="525336"/>
                    </a:xfrm>
                    <a:prstGeom prst="rect">
                      <a:avLst/>
                    </a:prstGeom>
                    <a:noFill/>
                    <a:ln>
                      <a:noFill/>
                    </a:ln>
                  </pic:spPr>
                </pic:pic>
              </a:graphicData>
            </a:graphic>
          </wp:inline>
        </w:drawing>
      </w:r>
    </w:p>
    <w:p w:rsidR="009C4F32" w:rsidP="00BB682A" w14:paraId="5BAAB443" w14:textId="2511FE21">
      <w:pPr>
        <w:pStyle w:val="BodyText"/>
        <w:numPr>
          <w:ilvl w:val="0"/>
          <w:numId w:val="44"/>
        </w:numPr>
      </w:pPr>
      <w:r w:rsidRPr="00BB682A">
        <w:rPr>
          <w:b/>
          <w:bCs/>
        </w:rPr>
        <w:t>Direct input</w:t>
      </w:r>
      <w:r>
        <w:t xml:space="preserve">: </w:t>
      </w:r>
      <w:r w:rsidR="00063C0E">
        <w:t xml:space="preserve">Designated through a pale-yellow </w:t>
      </w:r>
      <w:r w:rsidR="00080A32">
        <w:t>fill</w:t>
      </w:r>
      <w:r w:rsidR="00063C0E">
        <w:t>, the direct input cells contain no formulas and are where the model inputs and assumptions are provided</w:t>
      </w:r>
    </w:p>
    <w:p w:rsidR="009C4F32" w:rsidP="00BB682A" w14:paraId="42E60132" w14:textId="51241C47">
      <w:pPr>
        <w:pStyle w:val="BodyText"/>
        <w:numPr>
          <w:ilvl w:val="0"/>
          <w:numId w:val="44"/>
        </w:numPr>
      </w:pPr>
      <w:r w:rsidRPr="00BB682A">
        <w:rPr>
          <w:b/>
          <w:bCs/>
        </w:rPr>
        <w:t>Interim calculation</w:t>
      </w:r>
      <w:r w:rsidR="009E3B2D">
        <w:t xml:space="preserve">: Designated through grey italicized text, the interim calculations are cells that provide calculated values based on </w:t>
      </w:r>
      <w:r w:rsidR="00080A32">
        <w:t>other values in the worksheet</w:t>
      </w:r>
      <w:r w:rsidR="00117580">
        <w:t>.</w:t>
      </w:r>
    </w:p>
    <w:p w:rsidR="00117580" w:rsidP="00B2371D" w14:paraId="18D00313" w14:textId="77777777">
      <w:pPr>
        <w:pStyle w:val="BodyText"/>
        <w:numPr>
          <w:ilvl w:val="0"/>
          <w:numId w:val="44"/>
        </w:numPr>
      </w:pPr>
      <w:r w:rsidRPr="00117580">
        <w:rPr>
          <w:b/>
          <w:bCs/>
        </w:rPr>
        <w:t>Cross sheet reference</w:t>
      </w:r>
      <w:r>
        <w:t>:</w:t>
      </w:r>
      <w:r w:rsidR="00080A32">
        <w:t xml:space="preserve"> Designated through a grey fill, the </w:t>
      </w:r>
      <w:r w:rsidR="0066254A">
        <w:t>cross-sheet</w:t>
      </w:r>
      <w:r w:rsidR="00080A32">
        <w:t xml:space="preserve"> references reflect calculations pulled from other sheets in the workbook</w:t>
      </w:r>
      <w:r w:rsidR="00F970BF">
        <w:t xml:space="preserve">. </w:t>
      </w:r>
    </w:p>
    <w:p w:rsidR="00D30632" w:rsidP="00117580" w14:paraId="1597B475" w14:textId="37987500">
      <w:pPr>
        <w:pStyle w:val="BodyText"/>
        <w:ind w:left="360"/>
      </w:pPr>
      <w:r w:rsidRPr="00BB682A">
        <w:t xml:space="preserve">The control panel also contains an </w:t>
      </w:r>
      <w:r w:rsidRPr="00BB682A" w:rsidR="000C6B29">
        <w:t>Error Check</w:t>
      </w:r>
      <w:r w:rsidR="00040906">
        <w:t>s</w:t>
      </w:r>
      <w:r w:rsidRPr="00BB682A" w:rsidR="000C6B29">
        <w:t xml:space="preserve"> section which </w:t>
      </w:r>
      <w:r w:rsidR="00117580">
        <w:t xml:space="preserve">helps </w:t>
      </w:r>
      <w:r w:rsidRPr="00BB682A" w:rsidR="000C6B29">
        <w:t xml:space="preserve">to quickly identify </w:t>
      </w:r>
      <w:r w:rsidRPr="00BB682A" w:rsidR="00C77617">
        <w:t>issues with inputs</w:t>
      </w:r>
      <w:r w:rsidR="00040906">
        <w:t xml:space="preserve">. The Error Checks section contains </w:t>
      </w:r>
      <w:r w:rsidR="00252AC7">
        <w:t xml:space="preserve">three different types of checks, which are </w:t>
      </w:r>
      <w:r w:rsidR="00583465">
        <w:t>shown in the figure below.</w:t>
      </w:r>
      <w:r w:rsidRPr="00BB682A" w:rsidR="00C77617">
        <w:t xml:space="preserve"> </w:t>
      </w:r>
    </w:p>
    <w:p w:rsidR="00D30632" w:rsidP="00D30632" w14:paraId="32466DFA" w14:textId="028CD91C">
      <w:pPr>
        <w:pStyle w:val="Caption"/>
      </w:pPr>
      <w:r w:rsidRPr="00D30632">
        <w:t xml:space="preserve"> </w:t>
      </w:r>
      <w:r>
        <w:t xml:space="preserve">Figure </w:t>
      </w:r>
      <w:r w:rsidRPr="00521C08" w:rsidR="00BD65A8">
        <w:t>2</w:t>
      </w:r>
      <w:r>
        <w:t xml:space="preserve">: </w:t>
      </w:r>
      <w:r w:rsidR="00BD65A8">
        <w:t>Error Checks</w:t>
      </w:r>
    </w:p>
    <w:p w:rsidR="00A72367" w:rsidP="00A72367" w14:paraId="65940E91" w14:textId="6D477A4B">
      <w:pPr>
        <w:pStyle w:val="BodyText"/>
      </w:pPr>
      <w:r w:rsidRPr="00A72367">
        <w:rPr>
          <w:noProof/>
        </w:rPr>
        <w:drawing>
          <wp:inline distT="0" distB="0" distL="0" distR="0">
            <wp:extent cx="2247900" cy="66477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4510" cy="669687"/>
                    </a:xfrm>
                    <a:prstGeom prst="rect">
                      <a:avLst/>
                    </a:prstGeom>
                    <a:effectLst/>
                  </pic:spPr>
                </pic:pic>
              </a:graphicData>
            </a:graphic>
          </wp:inline>
        </w:drawing>
      </w:r>
    </w:p>
    <w:p w:rsidR="00BE5A7C" w:rsidP="00BE5A7C" w14:paraId="32768416" w14:textId="3C368BF3">
      <w:pPr>
        <w:pStyle w:val="BodyText"/>
        <w:numPr>
          <w:ilvl w:val="0"/>
          <w:numId w:val="45"/>
        </w:numPr>
      </w:pPr>
      <w:r w:rsidRPr="00521C08">
        <w:rPr>
          <w:b/>
        </w:rPr>
        <w:t>Inputs:</w:t>
      </w:r>
      <w:r>
        <w:t xml:space="preserve"> </w:t>
      </w:r>
      <w:r w:rsidR="00583465">
        <w:t xml:space="preserve">Checks to </w:t>
      </w:r>
      <w:r w:rsidR="00EE68CF">
        <w:t>en</w:t>
      </w:r>
      <w:r w:rsidR="00583465">
        <w:t xml:space="preserve">sure that key inputs are </w:t>
      </w:r>
      <w:r w:rsidR="00117580">
        <w:t xml:space="preserve">consistent </w:t>
      </w:r>
      <w:r w:rsidR="00406BFA">
        <w:t xml:space="preserve">(e.g., </w:t>
      </w:r>
      <w:r w:rsidR="007D091E">
        <w:t>total amount</w:t>
      </w:r>
      <w:r w:rsidR="005B3335">
        <w:t xml:space="preserve"> of </w:t>
      </w:r>
      <w:r w:rsidR="00D4004D">
        <w:t xml:space="preserve">initial </w:t>
      </w:r>
      <w:r w:rsidR="005B3335">
        <w:t>capital investment spend across mult</w:t>
      </w:r>
      <w:r w:rsidR="00DE6EC1">
        <w:t>iple years equals the total amount of invested capital)</w:t>
      </w:r>
    </w:p>
    <w:p w:rsidR="00BE5A7C" w:rsidP="00BE5A7C" w14:paraId="2F47381C" w14:textId="13A3C3A5">
      <w:pPr>
        <w:pStyle w:val="BodyText"/>
        <w:numPr>
          <w:ilvl w:val="0"/>
          <w:numId w:val="45"/>
        </w:numPr>
      </w:pPr>
      <w:r w:rsidRPr="00521C08">
        <w:rPr>
          <w:b/>
          <w:bCs/>
        </w:rPr>
        <w:t>Cash Balances:</w:t>
      </w:r>
      <w:r>
        <w:t xml:space="preserve"> </w:t>
      </w:r>
      <w:r w:rsidR="00D4004D">
        <w:t xml:space="preserve">Checks to ensure that </w:t>
      </w:r>
      <w:r w:rsidR="00EE68CF">
        <w:t>the cash balances are positive across all years in the forecast</w:t>
      </w:r>
    </w:p>
    <w:p w:rsidR="00BE5A7C" w:rsidRPr="00A72367" w:rsidP="00521C08" w14:paraId="71366541" w14:textId="0C9546AB">
      <w:pPr>
        <w:pStyle w:val="BodyText"/>
        <w:numPr>
          <w:ilvl w:val="0"/>
          <w:numId w:val="45"/>
        </w:numPr>
      </w:pPr>
      <w:r w:rsidRPr="00521C08">
        <w:rPr>
          <w:b/>
          <w:bCs/>
        </w:rPr>
        <w:t>Balance Sheet:</w:t>
      </w:r>
      <w:r w:rsidR="002C73F7">
        <w:t xml:space="preserve"> Checks to ensure that the balance sheet reconciles (e.g., Assets = Liabilities + Equity)</w:t>
      </w:r>
    </w:p>
    <w:p w:rsidR="003D754B" w:rsidP="00FB52C4" w14:paraId="04EE260C" w14:textId="77777777">
      <w:pPr>
        <w:pStyle w:val="BodyText"/>
      </w:pPr>
    </w:p>
    <w:p w:rsidR="00AD0F0B" w:rsidRPr="00FB52C4" w:rsidP="00FB52C4" w14:paraId="6E429B69" w14:textId="23F2F324">
      <w:pPr>
        <w:pStyle w:val="BodyText"/>
      </w:pPr>
      <w:r>
        <w:t xml:space="preserve">The “Control Panel” </w:t>
      </w:r>
      <w:r w:rsidR="001D7739">
        <w:t xml:space="preserve">assumption inputs are </w:t>
      </w:r>
      <w:r w:rsidR="004B6F42">
        <w:t>segmented</w:t>
      </w:r>
      <w:r w:rsidR="001D7739">
        <w:t xml:space="preserve"> into a series of </w:t>
      </w:r>
      <w:r w:rsidR="00433A8A">
        <w:t>themes</w:t>
      </w:r>
      <w:r w:rsidR="004B6F42">
        <w:t xml:space="preserve"> throughout the tab. These </w:t>
      </w:r>
      <w:r w:rsidR="00433A8A">
        <w:t>themes</w:t>
      </w:r>
      <w:r w:rsidR="004B6F42">
        <w:t xml:space="preserve"> are designated through a light blue </w:t>
      </w:r>
      <w:r w:rsidR="002A5B25">
        <w:t xml:space="preserve">line and reflect assumption </w:t>
      </w:r>
      <w:r w:rsidR="00433A8A">
        <w:t>groups</w:t>
      </w:r>
      <w:r w:rsidR="002A5B25">
        <w:t xml:space="preserve"> (e.g., </w:t>
      </w:r>
      <w:r w:rsidR="00433A8A">
        <w:t>“</w:t>
      </w:r>
      <w:r w:rsidR="002A5B25">
        <w:t xml:space="preserve">Project </w:t>
      </w:r>
      <w:r w:rsidR="002A5B25">
        <w:t>Capital Costs</w:t>
      </w:r>
      <w:r w:rsidR="00433A8A">
        <w:t>”</w:t>
      </w:r>
      <w:r w:rsidR="002A5B25">
        <w:t xml:space="preserve"> or </w:t>
      </w:r>
      <w:r w:rsidR="00433A8A">
        <w:t>“Debt Assumptions”</w:t>
      </w:r>
      <w:r w:rsidR="009B20E2">
        <w:t>)</w:t>
      </w:r>
      <w:r w:rsidR="002A5B25">
        <w:t xml:space="preserve">. The </w:t>
      </w:r>
      <w:r w:rsidR="00433A8A">
        <w:t>following subsections provide an overview of each theme.</w:t>
      </w:r>
    </w:p>
    <w:p w:rsidR="000F17DA" w:rsidP="000F17DA" w14:paraId="6C4C9A02" w14:textId="53DB23B7">
      <w:pPr>
        <w:pStyle w:val="Heading2"/>
      </w:pPr>
      <w:bookmarkStart w:id="9" w:name="_Toc130497977"/>
      <w:r>
        <w:t>Overview</w:t>
      </w:r>
      <w:bookmarkEnd w:id="9"/>
    </w:p>
    <w:p w:rsidR="005C0431" w:rsidP="005C0431" w14:paraId="23FACF75" w14:textId="44BC5585">
      <w:pPr>
        <w:pStyle w:val="BodyText"/>
      </w:pPr>
    </w:p>
    <w:p w:rsidR="00F1575D" w:rsidP="005C0431" w14:paraId="7498347D" w14:textId="0A463DB8">
      <w:pPr>
        <w:pStyle w:val="BodyText"/>
      </w:pPr>
      <w:r>
        <w:t xml:space="preserve">Section “(A) Overview” </w:t>
      </w:r>
      <w:r w:rsidR="00A76918">
        <w:t>is where the project name</w:t>
      </w:r>
      <w:r w:rsidR="00B71EDC">
        <w:t xml:space="preserve"> can be defined</w:t>
      </w:r>
      <w:r w:rsidR="00A76918">
        <w:t xml:space="preserve">. </w:t>
      </w:r>
      <w:r w:rsidR="00020A79">
        <w:t xml:space="preserve">The </w:t>
      </w:r>
      <w:r w:rsidR="00F31BF1">
        <w:t>f</w:t>
      </w:r>
      <w:r w:rsidR="00E74375">
        <w:t xml:space="preserve">inancial </w:t>
      </w:r>
      <w:r w:rsidR="00F31BF1">
        <w:t>m</w:t>
      </w:r>
      <w:r w:rsidR="00E74375">
        <w:t xml:space="preserve">odel </w:t>
      </w:r>
      <w:r w:rsidR="00A129A3">
        <w:t>uses numbered years (e.g., 1-20) to delin</w:t>
      </w:r>
      <w:r w:rsidR="00581891">
        <w:t xml:space="preserve">eate when an activity is occurring. </w:t>
      </w:r>
      <w:r w:rsidR="00E0285B">
        <w:t xml:space="preserve">For example, when </w:t>
      </w:r>
      <w:r w:rsidR="00D708F7">
        <w:t xml:space="preserve">a project capital cost is spread out </w:t>
      </w:r>
      <w:r w:rsidR="00926376">
        <w:t xml:space="preserve">equally </w:t>
      </w:r>
      <w:r w:rsidR="00D708F7">
        <w:t>over year 1 and year 2</w:t>
      </w:r>
      <w:r w:rsidR="00926376">
        <w:t xml:space="preserve">, half the cost will be incurred in the </w:t>
      </w:r>
      <w:r w:rsidR="006F45BF">
        <w:t>1</w:t>
      </w:r>
      <w:r w:rsidRPr="005F0E75" w:rsidR="006F45BF">
        <w:rPr>
          <w:vertAlign w:val="superscript"/>
        </w:rPr>
        <w:t>st</w:t>
      </w:r>
      <w:r w:rsidR="006F45BF">
        <w:t xml:space="preserve"> year and half the cost will be incurred in the 2</w:t>
      </w:r>
      <w:r w:rsidRPr="005F0E75" w:rsidR="006F45BF">
        <w:rPr>
          <w:vertAlign w:val="superscript"/>
        </w:rPr>
        <w:t>nd</w:t>
      </w:r>
      <w:r w:rsidR="006F45BF">
        <w:t xml:space="preserve"> year.</w:t>
      </w:r>
    </w:p>
    <w:p w:rsidR="00E85456" w:rsidP="00E85456" w14:paraId="511F959C" w14:textId="4F9DFAB1">
      <w:pPr>
        <w:pStyle w:val="Heading2"/>
      </w:pPr>
      <w:bookmarkStart w:id="10" w:name="_Toc127051591"/>
      <w:bookmarkStart w:id="11" w:name="_Toc127051592"/>
      <w:bookmarkStart w:id="12" w:name="_Toc127051593"/>
      <w:bookmarkStart w:id="13" w:name="_Toc127051594"/>
      <w:bookmarkStart w:id="14" w:name="_Toc130497978"/>
      <w:bookmarkEnd w:id="10"/>
      <w:bookmarkEnd w:id="11"/>
      <w:bookmarkEnd w:id="12"/>
      <w:bookmarkEnd w:id="13"/>
      <w:r>
        <w:t>Project Capital Costs</w:t>
      </w:r>
      <w:bookmarkEnd w:id="14"/>
    </w:p>
    <w:p w:rsidR="00FC16DD" w:rsidP="00FC16DD" w14:paraId="500CA725" w14:textId="77777777">
      <w:pPr>
        <w:pStyle w:val="BodyText"/>
      </w:pPr>
    </w:p>
    <w:p w:rsidR="00FC16DD" w:rsidP="00FC16DD" w14:paraId="075E264D" w14:textId="7BF0084E">
      <w:pPr>
        <w:pStyle w:val="BodyText"/>
      </w:pPr>
      <w:r>
        <w:t xml:space="preserve">The Capital Costs section of the “Assumptions” worksheet </w:t>
      </w:r>
      <w:r w:rsidR="00692022">
        <w:t>is used</w:t>
      </w:r>
      <w:r>
        <w:t xml:space="preserve"> to enter </w:t>
      </w:r>
      <w:r w:rsidR="00A67033">
        <w:t>details on the capital expenditures for the project</w:t>
      </w:r>
      <w:r>
        <w:t>.</w:t>
      </w:r>
      <w:r w:rsidR="007B0CD4">
        <w:t xml:space="preserve"> </w:t>
      </w:r>
    </w:p>
    <w:p w:rsidR="003E43B3" w:rsidP="00FC16DD" w14:paraId="0B829490" w14:textId="07C4F441">
      <w:pPr>
        <w:pStyle w:val="BodyText"/>
      </w:pPr>
      <w:r>
        <w:t>In the example financial model</w:t>
      </w:r>
      <w:r>
        <w:t>, the capital costs for the section are segmented into two main types</w:t>
      </w:r>
      <w:r>
        <w:t xml:space="preserve"> with different input assumptions for each</w:t>
      </w:r>
      <w:r>
        <w:t>:</w:t>
      </w:r>
    </w:p>
    <w:p w:rsidR="003E43B3" w:rsidP="003E43B3" w14:paraId="61D73121" w14:textId="580ADEFB">
      <w:pPr>
        <w:pStyle w:val="BodyText"/>
        <w:numPr>
          <w:ilvl w:val="0"/>
          <w:numId w:val="37"/>
        </w:numPr>
      </w:pPr>
      <w:r w:rsidRPr="00BB682A">
        <w:rPr>
          <w:b/>
          <w:bCs/>
        </w:rPr>
        <w:t>Initial Capital Investment</w:t>
      </w:r>
      <w:r>
        <w:t>: These reflect the capital costs required to complete the construction, expansion, or modernization of the project and initiate operation. This includes land, construction, equipment, infrastructure improvements, and administrative expenses directly attributable to the construction, expansion, or modernization.</w:t>
      </w:r>
    </w:p>
    <w:p w:rsidR="003E43B3" w:rsidP="003E43B3" w14:paraId="42C8DD5C" w14:textId="6979F67C">
      <w:pPr>
        <w:pStyle w:val="BodyText"/>
        <w:numPr>
          <w:ilvl w:val="0"/>
          <w:numId w:val="37"/>
        </w:numPr>
      </w:pPr>
      <w:r w:rsidRPr="00BB682A">
        <w:rPr>
          <w:b/>
          <w:bCs/>
        </w:rPr>
        <w:t>Ongoing Annual Capital Investment</w:t>
      </w:r>
      <w:r>
        <w:t>: These reflect capital costs that occur after the</w:t>
      </w:r>
      <w:r w:rsidR="007B50CC">
        <w:t xml:space="preserve"> construction, expansion, or modernization portion of the</w:t>
      </w:r>
      <w:r>
        <w:t xml:space="preserve"> project is completed and </w:t>
      </w:r>
      <w:r w:rsidR="007B50CC">
        <w:t xml:space="preserve">the facility is </w:t>
      </w:r>
      <w:r>
        <w:t xml:space="preserve">operating. These generally are expected costs around the replacement and </w:t>
      </w:r>
      <w:r w:rsidR="00117580">
        <w:t>upgrading</w:t>
      </w:r>
      <w:r>
        <w:t xml:space="preserve"> of its capital investments (e.g., equipment maintenance / upgrades)</w:t>
      </w:r>
      <w:r w:rsidR="0052472C">
        <w:t>.</w:t>
      </w:r>
    </w:p>
    <w:p w:rsidR="003516FD" w:rsidP="006D1FDF" w14:paraId="7E4E3CB1" w14:textId="5B2057F4">
      <w:pPr>
        <w:pStyle w:val="BodyText"/>
      </w:pPr>
      <w:r>
        <w:t xml:space="preserve">For </w:t>
      </w:r>
      <w:r w:rsidRPr="00BB682A">
        <w:rPr>
          <w:b/>
          <w:bCs/>
        </w:rPr>
        <w:t>initial capital investment</w:t>
      </w:r>
      <w:r>
        <w:t xml:space="preserve">, </w:t>
      </w:r>
      <w:r w:rsidR="00A90935">
        <w:t xml:space="preserve">the model </w:t>
      </w:r>
      <w:r w:rsidR="004440BA">
        <w:t>uses</w:t>
      </w:r>
      <w:r w:rsidR="00A90935">
        <w:t xml:space="preserve"> both the size and timing of the initial capital investment spend. </w:t>
      </w:r>
      <w:r w:rsidR="00915A9F">
        <w:t xml:space="preserve">For each cost type, </w:t>
      </w:r>
      <w:r w:rsidR="00117580">
        <w:t xml:space="preserve">the amount and timing of the expense is designated </w:t>
      </w:r>
      <w:r w:rsidR="00611611">
        <w:t>by providing a percentage value under each of the five “year” columns. The percentage reflects the percentage of the cost that is incurred in that year</w:t>
      </w:r>
      <w:r w:rsidR="0006061F">
        <w:t xml:space="preserve"> and the five years provided reflect the first five years of the project.</w:t>
      </w:r>
      <w:r w:rsidR="00530F77">
        <w:t xml:space="preserve"> T</w:t>
      </w:r>
      <w:r w:rsidR="00117580">
        <w:t xml:space="preserve">he timing totals </w:t>
      </w:r>
      <w:r>
        <w:t xml:space="preserve">for each cost </w:t>
      </w:r>
      <w:r w:rsidR="00117580">
        <w:t xml:space="preserve">should </w:t>
      </w:r>
      <w:r>
        <w:t>sum up to 100%.</w:t>
      </w:r>
    </w:p>
    <w:p w:rsidR="00A83467" w:rsidP="006D1FDF" w14:paraId="5B300E74" w14:textId="3797DE00">
      <w:pPr>
        <w:pStyle w:val="BodyText"/>
      </w:pPr>
      <w:r>
        <w:t>The “Total Initial Capital Investment” value is formulaically populated based on the</w:t>
      </w:r>
      <w:r w:rsidR="00747495">
        <w:t xml:space="preserve"> inputs for each individual cost line.</w:t>
      </w:r>
      <w:r w:rsidR="00CD02B1">
        <w:t xml:space="preserve"> </w:t>
      </w:r>
    </w:p>
    <w:p w:rsidR="00CD02B1" w:rsidP="006D1FDF" w14:paraId="3B514DE3" w14:textId="1CEAC1EF">
      <w:pPr>
        <w:pStyle w:val="BodyText"/>
      </w:pPr>
      <w:r>
        <w:t>In the example model,</w:t>
      </w:r>
      <w:r>
        <w:t xml:space="preserve"> the initial capital investment</w:t>
      </w:r>
      <w:r w:rsidR="000E793D">
        <w:t xml:space="preserve"> can only be categorized under </w:t>
      </w:r>
      <w:r w:rsidR="00223945">
        <w:t>one of six categories:</w:t>
      </w:r>
      <w:r w:rsidR="00214936">
        <w:t xml:space="preserve"> </w:t>
      </w:r>
      <w:r w:rsidR="000E793D">
        <w:t xml:space="preserve">land, construction, equipment, administrative expenses, </w:t>
      </w:r>
      <w:r w:rsidR="008A6E56">
        <w:t>infrastructure improvement</w:t>
      </w:r>
      <w:r w:rsidR="00214936">
        <w:t>s</w:t>
      </w:r>
      <w:r w:rsidR="008A6E56">
        <w:t xml:space="preserve">, and other capital investment. The model </w:t>
      </w:r>
      <w:r w:rsidR="002E773B">
        <w:t xml:space="preserve">is only set up to measure these types of capital </w:t>
      </w:r>
      <w:r w:rsidR="002E773B">
        <w:t>investment</w:t>
      </w:r>
      <w:r w:rsidR="00763F6E">
        <w:t>s</w:t>
      </w:r>
      <w:r w:rsidR="009F718D">
        <w:t xml:space="preserve"> but applicants may have </w:t>
      </w:r>
      <w:r w:rsidR="006528D7">
        <w:t xml:space="preserve">other </w:t>
      </w:r>
      <w:r w:rsidR="009F718D">
        <w:t>types of initial capital costs that should be captured in their respective models</w:t>
      </w:r>
      <w:r w:rsidR="002E773B">
        <w:t>.</w:t>
      </w:r>
      <w:r w:rsidR="00C6017F">
        <w:t xml:space="preserve"> </w:t>
      </w:r>
    </w:p>
    <w:p w:rsidR="00FE38BF" w14:paraId="2C871641" w14:textId="470A717C">
      <w:pPr>
        <w:pStyle w:val="Caption"/>
      </w:pPr>
      <w:r>
        <w:t xml:space="preserve">Figure </w:t>
      </w:r>
      <w:r w:rsidR="00013BE5">
        <w:t>3</w:t>
      </w:r>
      <w:r>
        <w:t>: Capital Costs - Initial Capital Investment</w:t>
      </w:r>
    </w:p>
    <w:p w:rsidR="006D1FDF" w:rsidP="006D1FDF" w14:paraId="548B679D" w14:textId="55D1A062">
      <w:pPr>
        <w:pStyle w:val="BodyText"/>
      </w:pPr>
      <w:r>
        <w:rPr>
          <w:noProof/>
        </w:rPr>
        <w:drawing>
          <wp:inline distT="0" distB="0" distL="0" distR="0">
            <wp:extent cx="5732145" cy="1148715"/>
            <wp:effectExtent l="38100" t="38100" r="97155" b="895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5732145" cy="114871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747495" w:rsidP="006D1FDF" w14:paraId="4806BD9A" w14:textId="3EC2236D">
      <w:pPr>
        <w:pStyle w:val="BodyText"/>
      </w:pPr>
      <w:r>
        <w:t xml:space="preserve">For </w:t>
      </w:r>
      <w:r w:rsidRPr="00BB682A">
        <w:rPr>
          <w:b/>
          <w:bCs/>
        </w:rPr>
        <w:t>ongoing annual capital investment</w:t>
      </w:r>
      <w:r w:rsidR="009F718D">
        <w:rPr>
          <w:b/>
          <w:bCs/>
        </w:rPr>
        <w:t>, this example specifies</w:t>
      </w:r>
      <w:r>
        <w:t>:</w:t>
      </w:r>
    </w:p>
    <w:p w:rsidR="003516FD" w:rsidP="00747495" w14:paraId="70BF88D2" w14:textId="08510165">
      <w:pPr>
        <w:pStyle w:val="BodyText"/>
        <w:numPr>
          <w:ilvl w:val="0"/>
          <w:numId w:val="39"/>
        </w:numPr>
      </w:pPr>
      <w:r w:rsidRPr="00BB682A">
        <w:rPr>
          <w:b/>
          <w:bCs/>
        </w:rPr>
        <w:t>Annual cost</w:t>
      </w:r>
      <w:r w:rsidR="00EA2F44">
        <w:t>: The annual capital investment is sized as a percentage of the initial capital investment spe</w:t>
      </w:r>
      <w:r w:rsidR="00EA509A">
        <w:t>nd described above</w:t>
      </w:r>
    </w:p>
    <w:p w:rsidR="00EA509A" w:rsidP="00747495" w14:paraId="2AB245A4" w14:textId="38D5DA39">
      <w:pPr>
        <w:pStyle w:val="BodyText"/>
        <w:numPr>
          <w:ilvl w:val="0"/>
          <w:numId w:val="39"/>
        </w:numPr>
      </w:pPr>
      <w:r>
        <w:rPr>
          <w:b/>
          <w:bCs/>
        </w:rPr>
        <w:t>Start year</w:t>
      </w:r>
      <w:r w:rsidRPr="00BB682A">
        <w:t>:</w:t>
      </w:r>
      <w:r w:rsidRPr="00EA509A">
        <w:t xml:space="preserve"> </w:t>
      </w:r>
      <w:r>
        <w:t>The start year determines when in the forecast the annual capital investment begins</w:t>
      </w:r>
    </w:p>
    <w:p w:rsidR="009F718D" w:rsidRPr="009F718D" w:rsidP="009F718D" w14:paraId="7F219D70" w14:textId="1537C13E">
      <w:pPr>
        <w:pStyle w:val="BodyText"/>
      </w:pPr>
      <w:r>
        <w:t>Applicants may want to set up their financials to show ongoing annual capital investment differently.</w:t>
      </w:r>
    </w:p>
    <w:p w:rsidR="00947795" w14:paraId="6A267354" w14:textId="3FD3EE90">
      <w:pPr>
        <w:pStyle w:val="Caption"/>
      </w:pPr>
      <w:r>
        <w:t xml:space="preserve">Figure </w:t>
      </w:r>
      <w:r w:rsidR="00013BE5">
        <w:t>4</w:t>
      </w:r>
      <w:r>
        <w:t>: Capital Costs - Ongoing Capital Investment</w:t>
      </w:r>
    </w:p>
    <w:p w:rsidR="00FC16DD" w:rsidP="00FC16DD" w14:paraId="2FBD9A6B" w14:textId="5090868A">
      <w:pPr>
        <w:pStyle w:val="BodyText"/>
      </w:pPr>
    </w:p>
    <w:p w:rsidR="00425970" w:rsidP="00FC16DD" w14:paraId="7A4FEA6E" w14:textId="710426F7">
      <w:pPr>
        <w:pStyle w:val="BodyText"/>
      </w:pPr>
      <w:r>
        <w:rPr>
          <w:noProof/>
        </w:rPr>
        <w:drawing>
          <wp:inline distT="0" distB="0" distL="0" distR="0">
            <wp:extent cx="5732145" cy="516890"/>
            <wp:effectExtent l="38100" t="38100" r="97155" b="927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3"/>
                    <a:stretch>
                      <a:fillRect/>
                    </a:stretch>
                  </pic:blipFill>
                  <pic:spPr>
                    <a:xfrm>
                      <a:off x="0" y="0"/>
                      <a:ext cx="5732145" cy="51689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9F4163" w:rsidP="00FB52C4" w14:paraId="24F13C99" w14:textId="4A962066">
      <w:pPr>
        <w:pStyle w:val="BodyText"/>
      </w:pPr>
      <w:r w:rsidRPr="00BB682A">
        <w:rPr>
          <w:b/>
          <w:bCs/>
        </w:rPr>
        <w:t>Note</w:t>
      </w:r>
      <w:r>
        <w:t xml:space="preserve">: </w:t>
      </w:r>
      <w:r w:rsidR="009F718D">
        <w:t>I</w:t>
      </w:r>
      <w:r>
        <w:t>nterest</w:t>
      </w:r>
      <w:r w:rsidR="00283717">
        <w:t xml:space="preserve"> </w:t>
      </w:r>
      <w:r>
        <w:t>/</w:t>
      </w:r>
      <w:r w:rsidR="00283717">
        <w:t xml:space="preserve"> </w:t>
      </w:r>
      <w:r>
        <w:t>fees during construction and start-up working capital a</w:t>
      </w:r>
      <w:r w:rsidR="009F718D">
        <w:t>re not included as</w:t>
      </w:r>
      <w:r>
        <w:t xml:space="preserve"> project costs</w:t>
      </w:r>
      <w:r w:rsidR="009F718D">
        <w:t xml:space="preserve">. </w:t>
      </w:r>
      <w:r>
        <w:t>Interest</w:t>
      </w:r>
      <w:r w:rsidR="00516CEE">
        <w:t xml:space="preserve">, </w:t>
      </w:r>
      <w:r>
        <w:t>fees</w:t>
      </w:r>
      <w:r w:rsidR="00516CEE">
        <w:t>,</w:t>
      </w:r>
      <w:r>
        <w:t xml:space="preserve"> and working capital are calculated in </w:t>
      </w:r>
      <w:r w:rsidR="00516CEE">
        <w:t xml:space="preserve">other </w:t>
      </w:r>
      <w:r>
        <w:t>sections.</w:t>
      </w:r>
      <w:r w:rsidR="004A5431">
        <w:t xml:space="preserve"> Interest will be </w:t>
      </w:r>
      <w:r w:rsidR="006226D1">
        <w:t>addressed</w:t>
      </w:r>
      <w:r w:rsidR="00205231">
        <w:t xml:space="preserve"> in section </w:t>
      </w:r>
      <w:r w:rsidR="00091FA9">
        <w:t>3.5 and</w:t>
      </w:r>
      <w:r w:rsidR="006226D1">
        <w:t xml:space="preserve"> working capital will be addressed in </w:t>
      </w:r>
      <w:r w:rsidR="0037599A">
        <w:t xml:space="preserve">section 3.9. Within the </w:t>
      </w:r>
      <w:r w:rsidR="0010119B">
        <w:t>f</w:t>
      </w:r>
      <w:r w:rsidR="0037599A">
        <w:t xml:space="preserve">inancial </w:t>
      </w:r>
      <w:r w:rsidR="0010119B">
        <w:t>m</w:t>
      </w:r>
      <w:r w:rsidR="0037599A">
        <w:t xml:space="preserve">odel, </w:t>
      </w:r>
      <w:r w:rsidR="0037599A">
        <w:t>both of these</w:t>
      </w:r>
      <w:r w:rsidR="0037599A">
        <w:t xml:space="preserve"> sections are further down on the </w:t>
      </w:r>
      <w:r w:rsidR="00F02A51">
        <w:t>“</w:t>
      </w:r>
      <w:r w:rsidR="0037599A">
        <w:t>C</w:t>
      </w:r>
      <w:r w:rsidR="00F02A51">
        <w:t>ontrol Panel” under “Debt Assumptions” and “Working Capital Assumptions”.</w:t>
      </w:r>
    </w:p>
    <w:p w:rsidR="00E85456" w:rsidP="00E85456" w14:paraId="0695980C" w14:textId="61321AD7">
      <w:pPr>
        <w:pStyle w:val="Heading2"/>
      </w:pPr>
      <w:bookmarkStart w:id="15" w:name="_Toc127051596"/>
      <w:bookmarkStart w:id="16" w:name="_Toc127051597"/>
      <w:bookmarkStart w:id="17" w:name="_Toc127051598"/>
      <w:bookmarkStart w:id="18" w:name="_Toc127051599"/>
      <w:bookmarkStart w:id="19" w:name="_Toc127051600"/>
      <w:bookmarkStart w:id="20" w:name="_Toc127051601"/>
      <w:bookmarkStart w:id="21" w:name="_Toc127051602"/>
      <w:bookmarkStart w:id="22" w:name="_Toc127051603"/>
      <w:bookmarkStart w:id="23" w:name="_Toc127051604"/>
      <w:bookmarkStart w:id="24" w:name="_Toc127051605"/>
      <w:bookmarkStart w:id="25" w:name="_Toc127051606"/>
      <w:bookmarkStart w:id="26" w:name="_Toc127051607"/>
      <w:bookmarkStart w:id="27" w:name="_Toc127051608"/>
      <w:bookmarkStart w:id="28" w:name="_Toc130497979"/>
      <w:bookmarkEnd w:id="15"/>
      <w:bookmarkEnd w:id="16"/>
      <w:bookmarkEnd w:id="17"/>
      <w:bookmarkEnd w:id="18"/>
      <w:bookmarkEnd w:id="19"/>
      <w:bookmarkEnd w:id="20"/>
      <w:bookmarkEnd w:id="21"/>
      <w:bookmarkEnd w:id="22"/>
      <w:bookmarkEnd w:id="23"/>
      <w:bookmarkEnd w:id="24"/>
      <w:bookmarkEnd w:id="25"/>
      <w:bookmarkEnd w:id="26"/>
      <w:bookmarkEnd w:id="27"/>
      <w:r>
        <w:t>Project Revenue</w:t>
      </w:r>
      <w:bookmarkEnd w:id="28"/>
    </w:p>
    <w:p w:rsidR="005662A6" w:rsidP="005662A6" w14:paraId="510E2FD8" w14:textId="77777777">
      <w:pPr>
        <w:pStyle w:val="BodyText"/>
      </w:pPr>
    </w:p>
    <w:p w:rsidR="005662A6" w:rsidP="005662A6" w14:paraId="4954CD95" w14:textId="2454FE99">
      <w:pPr>
        <w:pStyle w:val="BodyText"/>
      </w:pPr>
      <w:r>
        <w:t xml:space="preserve">The Project Revenue section of the “Assumptions” worksheet </w:t>
      </w:r>
      <w:r w:rsidR="00793BD4">
        <w:t xml:space="preserve">contains input cells required </w:t>
      </w:r>
      <w:r w:rsidR="00900DCC">
        <w:t xml:space="preserve">to calculate </w:t>
      </w:r>
      <w:r>
        <w:t xml:space="preserve">revenues generated by the project. </w:t>
      </w:r>
      <w:r w:rsidR="0017684A">
        <w:t>The assumptions are as follows:</w:t>
      </w:r>
    </w:p>
    <w:p w:rsidR="00FB52C4" w:rsidP="00900DCC" w14:paraId="6C779CE0" w14:textId="13DDCC1B">
      <w:pPr>
        <w:pStyle w:val="BodyText"/>
        <w:numPr>
          <w:ilvl w:val="0"/>
          <w:numId w:val="26"/>
        </w:numPr>
      </w:pPr>
      <w:r>
        <w:rPr>
          <w:b/>
          <w:bCs/>
        </w:rPr>
        <w:t>Unit</w:t>
      </w:r>
      <w:r w:rsidR="00900DCC">
        <w:rPr>
          <w:b/>
          <w:bCs/>
        </w:rPr>
        <w:t xml:space="preserve"> production capacity, monthly</w:t>
      </w:r>
      <w:r w:rsidR="00513EF1">
        <w:rPr>
          <w:b/>
          <w:bCs/>
        </w:rPr>
        <w:t xml:space="preserve">: </w:t>
      </w:r>
      <w:r w:rsidRPr="00793BD4" w:rsidR="00793BD4">
        <w:t>The</w:t>
      </w:r>
      <w:r w:rsidR="00793BD4">
        <w:rPr>
          <w:b/>
          <w:bCs/>
        </w:rPr>
        <w:t xml:space="preserve"> </w:t>
      </w:r>
      <w:r w:rsidR="002634E9">
        <w:t>number of wafers</w:t>
      </w:r>
      <w:r w:rsidR="0017684A">
        <w:t xml:space="preserve"> </w:t>
      </w:r>
      <w:r w:rsidR="007D4BF6">
        <w:t>(</w:t>
      </w:r>
      <w:r w:rsidR="0056356C">
        <w:t>or</w:t>
      </w:r>
      <w:r w:rsidR="007D4BF6">
        <w:t xml:space="preserve"> other</w:t>
      </w:r>
      <w:r w:rsidR="0056356C">
        <w:t xml:space="preserve"> </w:t>
      </w:r>
      <w:r w:rsidR="00D26DBC">
        <w:t>facility output</w:t>
      </w:r>
      <w:r w:rsidR="007D4BF6">
        <w:t>)</w:t>
      </w:r>
      <w:r w:rsidR="00D26DBC">
        <w:t xml:space="preserve"> </w:t>
      </w:r>
      <w:r w:rsidR="002634E9">
        <w:t xml:space="preserve">expected to be sold </w:t>
      </w:r>
      <w:r w:rsidR="005F4954">
        <w:t xml:space="preserve">from the facility each month at peak </w:t>
      </w:r>
      <w:r w:rsidR="009B377F">
        <w:t>capacity</w:t>
      </w:r>
      <w:r w:rsidR="005F4954">
        <w:t xml:space="preserve">. </w:t>
      </w:r>
      <w:r w:rsidR="00CF4536">
        <w:t xml:space="preserve">Although not built into the tool, </w:t>
      </w:r>
      <w:r w:rsidR="009F718D">
        <w:t xml:space="preserve">as stated in the NOFO, </w:t>
      </w:r>
      <w:r w:rsidR="00CF4536">
        <w:t>t</w:t>
      </w:r>
      <w:r w:rsidR="002843BF">
        <w:t xml:space="preserve">he </w:t>
      </w:r>
      <w:r w:rsidR="009D0299">
        <w:t xml:space="preserve">applicant should provide </w:t>
      </w:r>
      <w:r w:rsidR="002843BF">
        <w:t>summary narrative of assumptions discuss</w:t>
      </w:r>
      <w:r w:rsidR="00F05BDC">
        <w:t>ing</w:t>
      </w:r>
      <w:r w:rsidR="002843BF">
        <w:t xml:space="preserve"> how this number is estimated</w:t>
      </w:r>
      <w:r w:rsidR="00BC3B53">
        <w:t xml:space="preserve"> </w:t>
      </w:r>
      <w:r w:rsidR="007D6527">
        <w:t xml:space="preserve">and may include discussion on </w:t>
      </w:r>
      <w:r w:rsidR="00F05BDC">
        <w:t xml:space="preserve">facility utilization and </w:t>
      </w:r>
      <w:r w:rsidR="00BC3B53">
        <w:t>production yield</w:t>
      </w:r>
      <w:r w:rsidR="00F05BDC">
        <w:t>s</w:t>
      </w:r>
      <w:r w:rsidR="0052472C">
        <w:t>.</w:t>
      </w:r>
    </w:p>
    <w:p w:rsidR="00CF4536" w:rsidRPr="0070753A" w:rsidP="00900DCC" w14:paraId="03AF5831" w14:textId="560F0C2E">
      <w:pPr>
        <w:pStyle w:val="BodyText"/>
        <w:numPr>
          <w:ilvl w:val="0"/>
          <w:numId w:val="26"/>
        </w:numPr>
        <w:rPr>
          <w:b/>
          <w:bCs/>
        </w:rPr>
      </w:pPr>
      <w:r>
        <w:rPr>
          <w:b/>
          <w:bCs/>
        </w:rPr>
        <w:t>Unit</w:t>
      </w:r>
      <w:r w:rsidR="00973987">
        <w:rPr>
          <w:b/>
          <w:bCs/>
        </w:rPr>
        <w:t xml:space="preserve"> </w:t>
      </w:r>
      <w:r w:rsidR="00D6659F">
        <w:rPr>
          <w:b/>
          <w:bCs/>
        </w:rPr>
        <w:t>p</w:t>
      </w:r>
      <w:r w:rsidR="00973987">
        <w:rPr>
          <w:b/>
          <w:bCs/>
        </w:rPr>
        <w:t>rice in first year of production</w:t>
      </w:r>
      <w:r>
        <w:rPr>
          <w:b/>
          <w:bCs/>
        </w:rPr>
        <w:t>:</w:t>
      </w:r>
      <w:r w:rsidR="00973987">
        <w:rPr>
          <w:b/>
          <w:bCs/>
        </w:rPr>
        <w:t xml:space="preserve"> </w:t>
      </w:r>
      <w:r w:rsidRPr="00793BD4" w:rsidR="00793BD4">
        <w:t>T</w:t>
      </w:r>
      <w:r w:rsidR="00793BD4">
        <w:t>he</w:t>
      </w:r>
      <w:r w:rsidR="00973987">
        <w:t xml:space="preserve"> expected price for </w:t>
      </w:r>
      <w:r w:rsidR="0070753A">
        <w:t>units sold during the first year of production</w:t>
      </w:r>
      <w:r w:rsidR="000E1078">
        <w:t>. The first year of production is determined by the “Start year” in the “Unit production ramp up” assumptions</w:t>
      </w:r>
      <w:r w:rsidR="0052472C">
        <w:t>.</w:t>
      </w:r>
    </w:p>
    <w:p w:rsidR="0070753A" w:rsidRPr="00231E7C" w:rsidP="0070753A" w14:paraId="51D120EE" w14:textId="420A2942">
      <w:pPr>
        <w:pStyle w:val="BodyText"/>
        <w:numPr>
          <w:ilvl w:val="0"/>
          <w:numId w:val="26"/>
        </w:numPr>
        <w:rPr>
          <w:b/>
          <w:bCs/>
        </w:rPr>
      </w:pPr>
      <w:r>
        <w:rPr>
          <w:b/>
          <w:bCs/>
        </w:rPr>
        <w:t xml:space="preserve">Unit price </w:t>
      </w:r>
      <w:r w:rsidR="009D0299">
        <w:rPr>
          <w:b/>
          <w:bCs/>
        </w:rPr>
        <w:t>change</w:t>
      </w:r>
      <w:r>
        <w:rPr>
          <w:b/>
          <w:bCs/>
        </w:rPr>
        <w:t xml:space="preserve">: </w:t>
      </w:r>
      <w:r w:rsidR="002E4543">
        <w:t xml:space="preserve">The annual price increase or decrease per unit.  </w:t>
      </w:r>
      <w:r w:rsidRPr="002E4543" w:rsidR="00362CA5">
        <w:t>For</w:t>
      </w:r>
      <w:r w:rsidRPr="0075158C" w:rsidR="00362CA5">
        <w:t xml:space="preserve"> simplicity, the example model </w:t>
      </w:r>
      <w:r w:rsidR="0075158C">
        <w:t>assumes</w:t>
      </w:r>
      <w:r w:rsidRPr="0075158C" w:rsidR="00362CA5">
        <w:t xml:space="preserve"> a single annual price change</w:t>
      </w:r>
      <w:r w:rsidRPr="0075158C" w:rsidR="00D26D95">
        <w:t xml:space="preserve"> (here, a decline)</w:t>
      </w:r>
      <w:r w:rsidRPr="0075158C" w:rsidR="00362CA5">
        <w:t xml:space="preserve"> over the lifetime of </w:t>
      </w:r>
      <w:r w:rsidRPr="0075158C" w:rsidR="00362CA5">
        <w:t>the product</w:t>
      </w:r>
      <w:r w:rsidR="002E4543">
        <w:t xml:space="preserve"> </w:t>
      </w:r>
      <w:r w:rsidRPr="0075158C" w:rsidR="00C80C84">
        <w:t>as a</w:t>
      </w:r>
      <w:r w:rsidR="00C80C84">
        <w:t xml:space="preserve"> percentage of the prior year’s price</w:t>
      </w:r>
      <w:r w:rsidR="000A47E6">
        <w:t xml:space="preserve">. </w:t>
      </w:r>
      <w:r w:rsidR="002E4543">
        <w:t>Applicants may want to reflect different annual assumptions in their models.</w:t>
      </w:r>
    </w:p>
    <w:p w:rsidR="00231E7C" w:rsidRPr="00A56E79" w:rsidP="00231E7C" w14:paraId="0666EE27" w14:textId="411B27B4">
      <w:pPr>
        <w:pStyle w:val="BodyText"/>
        <w:numPr>
          <w:ilvl w:val="0"/>
          <w:numId w:val="26"/>
        </w:numPr>
        <w:rPr>
          <w:b/>
          <w:bCs/>
        </w:rPr>
      </w:pPr>
      <w:r>
        <w:rPr>
          <w:b/>
          <w:bCs/>
        </w:rPr>
        <w:t xml:space="preserve">Unit production ramp up (% of total capacity): </w:t>
      </w:r>
      <w:r w:rsidR="004970B1">
        <w:t>For simplicity, the model</w:t>
      </w:r>
      <w:r w:rsidR="002E4543">
        <w:t xml:space="preserve"> assumes a linear production ramp</w:t>
      </w:r>
      <w:r w:rsidR="00724288">
        <w:t xml:space="preserve"> </w:t>
      </w:r>
      <w:r w:rsidR="002E4543">
        <w:t>to full capacity</w:t>
      </w:r>
      <w:r w:rsidR="00F32176">
        <w:t xml:space="preserve"> </w:t>
      </w:r>
      <w:r w:rsidR="004970B1">
        <w:t>from the start year to the end year</w:t>
      </w:r>
      <w:r w:rsidR="00724288">
        <w:t>. The start year is t</w:t>
      </w:r>
      <w:r w:rsidR="00793BD4">
        <w:t>he</w:t>
      </w:r>
      <w:r w:rsidR="0091337C">
        <w:t xml:space="preserve"> year in which the first unit will be sold </w:t>
      </w:r>
      <w:r w:rsidR="009F718D">
        <w:t xml:space="preserve">(i.e., Year 2 in this example as we anticipate selling units one year after construction begins) </w:t>
      </w:r>
      <w:r w:rsidR="0091337C">
        <w:t xml:space="preserve">and the </w:t>
      </w:r>
      <w:r w:rsidR="00F32176">
        <w:t xml:space="preserve">end </w:t>
      </w:r>
      <w:r w:rsidR="0091337C">
        <w:t xml:space="preserve">year </w:t>
      </w:r>
      <w:r w:rsidR="00F32176">
        <w:t xml:space="preserve">is the year </w:t>
      </w:r>
      <w:r w:rsidR="0091337C">
        <w:t>in which the facility will reach full production capacity</w:t>
      </w:r>
      <w:r>
        <w:t>.</w:t>
      </w:r>
      <w:r w:rsidR="009F718D">
        <w:t xml:space="preserve"> </w:t>
      </w:r>
      <w:r w:rsidR="002E4543">
        <w:t>Therefore, i</w:t>
      </w:r>
      <w:r w:rsidR="009F718D">
        <w:t>n the example model, capacity ramps over 3 years with the first year having 33.3% capacity (80,000 wafers), the second year 66.6% capacity and the last year, year 4, the facility is at full capacity (240,000 wafers)</w:t>
      </w:r>
      <w:r w:rsidR="002E4543">
        <w:t>.  Applicants may want to reflect non-linear production ramps in their models.</w:t>
      </w:r>
      <w:r w:rsidR="009F718D">
        <w:t xml:space="preserve"> </w:t>
      </w:r>
      <w:r w:rsidR="003F3269">
        <w:t xml:space="preserve"> </w:t>
      </w:r>
    </w:p>
    <w:p w:rsidR="00A56E79" w:rsidP="00A56E79" w14:paraId="42BE7917" w14:textId="1B4188DB">
      <w:pPr>
        <w:pStyle w:val="BodyText"/>
        <w:rPr>
          <w:b/>
          <w:bCs/>
        </w:rPr>
      </w:pPr>
    </w:p>
    <w:p w:rsidR="00FE4F61" w14:paraId="382247F4" w14:textId="3832A748">
      <w:pPr>
        <w:pStyle w:val="Caption"/>
      </w:pPr>
      <w:r>
        <w:t xml:space="preserve">Figure </w:t>
      </w:r>
      <w:r w:rsidR="00013BE5">
        <w:t>5</w:t>
      </w:r>
      <w:r>
        <w:t>: Project Revenue Assumptions</w:t>
      </w:r>
    </w:p>
    <w:p w:rsidR="0056356C" w:rsidRPr="003F5074" w:rsidP="003F5074" w14:paraId="71B76169" w14:textId="5C0EE663">
      <w:pPr>
        <w:pStyle w:val="BodyText"/>
      </w:pPr>
      <w:r>
        <w:rPr>
          <w:noProof/>
        </w:rPr>
        <w:drawing>
          <wp:inline distT="0" distB="0" distL="0" distR="0">
            <wp:extent cx="5732145" cy="1063625"/>
            <wp:effectExtent l="38100" t="38100" r="97155" b="984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4"/>
                    <a:stretch>
                      <a:fillRect/>
                    </a:stretch>
                  </pic:blipFill>
                  <pic:spPr>
                    <a:xfrm>
                      <a:off x="0" y="0"/>
                      <a:ext cx="5732145" cy="106362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17684A" w:rsidP="0017684A" w14:paraId="13B7850E" w14:textId="004EFFC9">
      <w:pPr>
        <w:pStyle w:val="Heading2"/>
      </w:pPr>
      <w:bookmarkStart w:id="29" w:name="_Toc130497980"/>
      <w:r>
        <w:t>Operating Costs</w:t>
      </w:r>
      <w:bookmarkEnd w:id="29"/>
    </w:p>
    <w:p w:rsidR="0017684A" w:rsidP="0017684A" w14:paraId="027824FC" w14:textId="77777777">
      <w:pPr>
        <w:pStyle w:val="BodyText"/>
      </w:pPr>
    </w:p>
    <w:p w:rsidR="0017684A" w:rsidP="0017684A" w14:paraId="562F822E" w14:textId="3E947FBA">
      <w:pPr>
        <w:pStyle w:val="BodyText"/>
      </w:pPr>
      <w:r>
        <w:t xml:space="preserve">The Operating Costs section of the “Assumptions” </w:t>
      </w:r>
      <w:r w:rsidR="00E97A73">
        <w:t>are structured with two main inputs:</w:t>
      </w:r>
    </w:p>
    <w:p w:rsidR="00E97A73" w:rsidP="00E97A73" w14:paraId="5CE419E4" w14:textId="5DEFAF99">
      <w:pPr>
        <w:pStyle w:val="BodyText"/>
        <w:numPr>
          <w:ilvl w:val="0"/>
          <w:numId w:val="40"/>
        </w:numPr>
      </w:pPr>
      <w:r w:rsidRPr="00BB682A">
        <w:rPr>
          <w:b/>
          <w:bCs/>
        </w:rPr>
        <w:t>Run rate cost</w:t>
      </w:r>
      <w:r>
        <w:t xml:space="preserve">: </w:t>
      </w:r>
      <w:r w:rsidR="000F0F4A">
        <w:t xml:space="preserve">The run rate cost reflects the expected size </w:t>
      </w:r>
      <w:r w:rsidR="00F840A9">
        <w:t xml:space="preserve">(in USD) </w:t>
      </w:r>
      <w:r w:rsidR="000F0F4A">
        <w:t xml:space="preserve">of a given operating cost at the time production </w:t>
      </w:r>
      <w:r w:rsidR="009F718D">
        <w:t xml:space="preserve">is at full capacity </w:t>
      </w:r>
      <w:r w:rsidR="00F840A9">
        <w:t>(i.e., the “End year” of the “Wafer production ramp up” period).</w:t>
      </w:r>
      <w:r w:rsidR="009F718D">
        <w:t xml:space="preserve"> </w:t>
      </w:r>
      <w:r w:rsidR="00982CBB">
        <w:t xml:space="preserve">Production costs ramp linearly with production output. </w:t>
      </w:r>
      <w:r w:rsidR="00F840A9">
        <w:t xml:space="preserve"> </w:t>
      </w:r>
      <w:r w:rsidR="00C34187">
        <w:t>As above, applicants may want to reflect non-linear production cost ramp in their models.</w:t>
      </w:r>
    </w:p>
    <w:p w:rsidR="00B012AF" w:rsidP="00E97A73" w14:paraId="0EC7124C" w14:textId="7A93A17E">
      <w:pPr>
        <w:pStyle w:val="BodyText"/>
        <w:numPr>
          <w:ilvl w:val="0"/>
          <w:numId w:val="40"/>
        </w:numPr>
      </w:pPr>
      <w:r>
        <w:rPr>
          <w:b/>
          <w:bCs/>
        </w:rPr>
        <w:t>Annual change after production ramp up</w:t>
      </w:r>
      <w:r w:rsidRPr="00BB682A">
        <w:t xml:space="preserve">: </w:t>
      </w:r>
      <w:r w:rsidR="001F2C1C">
        <w:t xml:space="preserve">This </w:t>
      </w:r>
      <w:r w:rsidR="00CA48DB">
        <w:t xml:space="preserve">column </w:t>
      </w:r>
      <w:r w:rsidR="001F2C1C">
        <w:t xml:space="preserve">determines how the </w:t>
      </w:r>
      <w:r w:rsidR="00CA48DB">
        <w:t xml:space="preserve">run rate assumptions change over time. </w:t>
      </w:r>
      <w:r w:rsidR="00793BD4">
        <w:t>A</w:t>
      </w:r>
      <w:r w:rsidR="00CA48DB">
        <w:t xml:space="preserve"> percentage value indicate</w:t>
      </w:r>
      <w:r w:rsidR="00793BD4">
        <w:t>s</w:t>
      </w:r>
      <w:r w:rsidR="00CA48DB">
        <w:t xml:space="preserve"> how </w:t>
      </w:r>
      <w:r w:rsidR="0020323E">
        <w:t xml:space="preserve">the costs will evolve over time as the project matures where a positive value means </w:t>
      </w:r>
      <w:r w:rsidR="00C34187">
        <w:t>cost</w:t>
      </w:r>
      <w:r w:rsidR="0020323E">
        <w:t xml:space="preserve">s will increase, a negative value means </w:t>
      </w:r>
      <w:r w:rsidR="00C34187">
        <w:t>cost</w:t>
      </w:r>
      <w:r w:rsidR="0020323E">
        <w:t xml:space="preserve">s will decline, and zero means </w:t>
      </w:r>
      <w:r w:rsidR="00C34187">
        <w:t>cost</w:t>
      </w:r>
      <w:r w:rsidR="0020323E">
        <w:t>s remain the same</w:t>
      </w:r>
      <w:r w:rsidR="00B17DE1">
        <w:t>.</w:t>
      </w:r>
    </w:p>
    <w:p w:rsidR="0020323E" w:rsidP="0020323E" w14:paraId="0DE18B96" w14:textId="1E2983A1">
      <w:pPr>
        <w:pStyle w:val="BodyText"/>
      </w:pPr>
      <w:r>
        <w:t>The example financial model has been pre-populated with five common operating expense line items</w:t>
      </w:r>
      <w:r w:rsidR="00982CBB">
        <w:t>. Applicants may have different common operating expense line items in their respective models.</w:t>
      </w:r>
    </w:p>
    <w:p w:rsidR="00FF72B6" w:rsidP="00FF72B6" w14:paraId="740D7EDB" w14:textId="67484B11">
      <w:pPr>
        <w:pStyle w:val="BodyText"/>
        <w:numPr>
          <w:ilvl w:val="0"/>
          <w:numId w:val="27"/>
        </w:numPr>
      </w:pPr>
      <w:r>
        <w:rPr>
          <w:b/>
          <w:bCs/>
        </w:rPr>
        <w:t>Materials / Consumables / Chemicals</w:t>
      </w:r>
      <w:r>
        <w:t xml:space="preserve">: </w:t>
      </w:r>
      <w:r w:rsidR="00F009C1">
        <w:t>C</w:t>
      </w:r>
      <w:r>
        <w:t xml:space="preserve">osts for materials, consumables, and chemicals (i.e., direct material inputs) </w:t>
      </w:r>
    </w:p>
    <w:p w:rsidR="00FF72B6" w:rsidP="00FF72B6" w14:paraId="44C87A8A" w14:textId="25A353DA">
      <w:pPr>
        <w:pStyle w:val="BodyText"/>
        <w:numPr>
          <w:ilvl w:val="0"/>
          <w:numId w:val="27"/>
        </w:numPr>
      </w:pPr>
      <w:r>
        <w:rPr>
          <w:b/>
          <w:bCs/>
        </w:rPr>
        <w:t>Labor</w:t>
      </w:r>
      <w:r>
        <w:t xml:space="preserve">: </w:t>
      </w:r>
      <w:r w:rsidR="00F009C1">
        <w:t>C</w:t>
      </w:r>
      <w:r>
        <w:t xml:space="preserve">osts for direct labor in unit production </w:t>
      </w:r>
    </w:p>
    <w:p w:rsidR="00FF72B6" w:rsidP="00FF72B6" w14:paraId="5A11D806" w14:textId="45BFA1A8">
      <w:pPr>
        <w:pStyle w:val="BodyText"/>
        <w:numPr>
          <w:ilvl w:val="0"/>
          <w:numId w:val="27"/>
        </w:numPr>
      </w:pPr>
      <w:r w:rsidRPr="008D1867">
        <w:rPr>
          <w:b/>
          <w:bCs/>
        </w:rPr>
        <w:t>Utilities:</w:t>
      </w:r>
      <w:r>
        <w:t xml:space="preserve"> </w:t>
      </w:r>
      <w:r w:rsidR="00F009C1">
        <w:t>C</w:t>
      </w:r>
      <w:r>
        <w:t>osts for utilities</w:t>
      </w:r>
    </w:p>
    <w:p w:rsidR="00FF72B6" w:rsidP="00FF72B6" w14:paraId="79993A7D" w14:textId="77D063B8">
      <w:pPr>
        <w:pStyle w:val="BodyText"/>
        <w:numPr>
          <w:ilvl w:val="0"/>
          <w:numId w:val="27"/>
        </w:numPr>
      </w:pPr>
      <w:r>
        <w:rPr>
          <w:b/>
          <w:bCs/>
        </w:rPr>
        <w:t>SG&amp;A</w:t>
      </w:r>
      <w:r w:rsidRPr="008D1867">
        <w:rPr>
          <w:b/>
          <w:bCs/>
        </w:rPr>
        <w:t>:</w:t>
      </w:r>
      <w:r>
        <w:t xml:space="preserve"> </w:t>
      </w:r>
      <w:r w:rsidR="00F009C1">
        <w:t>S</w:t>
      </w:r>
      <w:r>
        <w:t>elling, general, and administrative costs</w:t>
      </w:r>
    </w:p>
    <w:p w:rsidR="00FF72B6" w:rsidP="00C71F5F" w14:paraId="4B6EC878" w14:textId="43592DE3">
      <w:pPr>
        <w:pStyle w:val="BodyText"/>
        <w:numPr>
          <w:ilvl w:val="0"/>
          <w:numId w:val="27"/>
        </w:numPr>
      </w:pPr>
      <w:r w:rsidRPr="00FF72B6">
        <w:rPr>
          <w:b/>
        </w:rPr>
        <w:t>R&amp;D:</w:t>
      </w:r>
      <w:r>
        <w:t xml:space="preserve"> </w:t>
      </w:r>
      <w:r w:rsidR="00F009C1">
        <w:t>R</w:t>
      </w:r>
      <w:r>
        <w:t>esearch and development costs</w:t>
      </w:r>
    </w:p>
    <w:p w:rsidR="00CB0225" w14:paraId="15E2AC04" w14:textId="12114990">
      <w:pPr>
        <w:pStyle w:val="Caption"/>
      </w:pPr>
      <w:r>
        <w:t xml:space="preserve">Figure </w:t>
      </w:r>
      <w:r w:rsidR="00013BE5">
        <w:t>6</w:t>
      </w:r>
      <w:r>
        <w:t>: Operating Cost Assumptions</w:t>
      </w:r>
    </w:p>
    <w:p w:rsidR="0017684A" w:rsidP="0017684A" w14:paraId="3E314C5C" w14:textId="6B615C09">
      <w:pPr>
        <w:pStyle w:val="BodyText"/>
      </w:pPr>
      <w:r>
        <w:rPr>
          <w:noProof/>
        </w:rPr>
        <w:drawing>
          <wp:inline distT="0" distB="0" distL="0" distR="0">
            <wp:extent cx="5732145" cy="1451610"/>
            <wp:effectExtent l="38100" t="38100" r="97155" b="914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5"/>
                    <a:stretch>
                      <a:fillRect/>
                    </a:stretch>
                  </pic:blipFill>
                  <pic:spPr>
                    <a:xfrm>
                      <a:off x="0" y="0"/>
                      <a:ext cx="5732145" cy="145161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E85456" w:rsidP="00E85456" w14:paraId="769C86E3" w14:textId="7641C2B4">
      <w:pPr>
        <w:pStyle w:val="Heading2"/>
      </w:pPr>
      <w:bookmarkStart w:id="30" w:name="_Toc130497981"/>
      <w:r>
        <w:t>Debt Assumptions</w:t>
      </w:r>
      <w:bookmarkEnd w:id="30"/>
    </w:p>
    <w:p w:rsidR="00FB52C4" w:rsidP="00FB52C4" w14:paraId="4491F145" w14:textId="337A7ACC">
      <w:pPr>
        <w:pStyle w:val="BodyText"/>
      </w:pPr>
    </w:p>
    <w:p w:rsidR="00F90192" w:rsidP="00F90192" w14:paraId="620C75DD" w14:textId="7D6665B3">
      <w:pPr>
        <w:pStyle w:val="BodyText"/>
      </w:pPr>
      <w:r>
        <w:t xml:space="preserve">The Debt Assumptions section of the “Assumptions” worksheet </w:t>
      </w:r>
      <w:r w:rsidR="00AB570C">
        <w:t>is used to</w:t>
      </w:r>
      <w:r>
        <w:t xml:space="preserve"> enter key assumptions </w:t>
      </w:r>
      <w:r w:rsidR="003B5373">
        <w:t xml:space="preserve">for the expected debt used to finance </w:t>
      </w:r>
      <w:r>
        <w:t>the project.</w:t>
      </w:r>
    </w:p>
    <w:p w:rsidR="00045100" w:rsidP="00045100" w14:paraId="643B5F23" w14:textId="70B539D3">
      <w:pPr>
        <w:pStyle w:val="BodyText"/>
      </w:pPr>
      <w:r>
        <w:t xml:space="preserve">This section covers </w:t>
      </w:r>
      <w:r w:rsidR="00FF75FC">
        <w:t xml:space="preserve">assumptions for </w:t>
      </w:r>
      <w:r w:rsidR="00FD297D">
        <w:t xml:space="preserve">up to two types of </w:t>
      </w:r>
      <w:r>
        <w:t xml:space="preserve">debt </w:t>
      </w:r>
      <w:r w:rsidR="00FD297D">
        <w:t>for a project</w:t>
      </w:r>
      <w:r>
        <w:t xml:space="preserve"> (s</w:t>
      </w:r>
      <w:r w:rsidR="009245D7">
        <w:t>enior debt</w:t>
      </w:r>
      <w:r>
        <w:t xml:space="preserve"> and s</w:t>
      </w:r>
      <w:r w:rsidR="009245D7">
        <w:t>ubordinated debt</w:t>
      </w:r>
      <w:r>
        <w:t>).</w:t>
      </w:r>
      <w:r w:rsidR="003475F2">
        <w:t xml:space="preserve"> </w:t>
      </w:r>
      <w:r w:rsidR="00941394">
        <w:t>Th</w:t>
      </w:r>
      <w:r w:rsidR="00982CBB">
        <w:t xml:space="preserve">is model assumes that the senior and subordinated debt are both construction loans with </w:t>
      </w:r>
      <w:r w:rsidR="00236040">
        <w:t xml:space="preserve">multiple disbursements </w:t>
      </w:r>
      <w:r w:rsidR="00982CBB">
        <w:t xml:space="preserve">being </w:t>
      </w:r>
      <w:r w:rsidR="00D0299F">
        <w:t xml:space="preserve">made over the </w:t>
      </w:r>
      <w:r w:rsidR="00C51AC1">
        <w:t>course of the constructio</w:t>
      </w:r>
      <w:r w:rsidR="00167644">
        <w:t>n and equipping</w:t>
      </w:r>
      <w:r w:rsidR="00F64E57">
        <w:t xml:space="preserve"> phase</w:t>
      </w:r>
      <w:r w:rsidR="00167644">
        <w:t xml:space="preserve"> </w:t>
      </w:r>
      <w:r w:rsidR="00716E10">
        <w:t>of the facility</w:t>
      </w:r>
      <w:r w:rsidR="00982CBB">
        <w:t>. However, applicants may not have construction loans and disbursement may be made in the same year (loan disbursement start date is equal to loan disbursement end date).</w:t>
      </w:r>
    </w:p>
    <w:p w:rsidR="005D0E72" w:rsidRPr="00525834" w:rsidP="00BB682A" w14:paraId="46F50BBA" w14:textId="344496DC">
      <w:pPr>
        <w:pStyle w:val="BodyText"/>
      </w:pPr>
      <w:r>
        <w:t>Note that the debt assumptions are generic and do not differentiate between private debt and debt requested from the CHIPS program.</w:t>
      </w:r>
      <w:r w:rsidR="00525834">
        <w:t xml:space="preserve"> For </w:t>
      </w:r>
      <w:r w:rsidRPr="00525834" w:rsidR="00525834">
        <w:t xml:space="preserve">guidelines around </w:t>
      </w:r>
      <w:r w:rsidRPr="00BB682A">
        <w:t>CHIPS Loans and Loan Guarantees</w:t>
      </w:r>
      <w:r w:rsidRPr="00525834" w:rsidR="00525834">
        <w:t>, p</w:t>
      </w:r>
      <w:r w:rsidRPr="00525834">
        <w:t xml:space="preserve">lease </w:t>
      </w:r>
      <w:r w:rsidRPr="00525834" w:rsidR="00525834">
        <w:t xml:space="preserve">review </w:t>
      </w:r>
      <w:r w:rsidR="00E538DD">
        <w:t xml:space="preserve">Section I.B.8 of </w:t>
      </w:r>
      <w:r w:rsidRPr="00525834" w:rsidR="00525834">
        <w:t xml:space="preserve">the </w:t>
      </w:r>
      <w:r w:rsidRPr="00525834">
        <w:t>NOFO.</w:t>
      </w:r>
    </w:p>
    <w:p w:rsidR="00683727" w:rsidRPr="00683727" w:rsidP="00683727" w14:paraId="11003DED" w14:textId="4FEB8FC5">
      <w:pPr>
        <w:pStyle w:val="BodyText"/>
      </w:pPr>
      <w:r>
        <w:rPr>
          <w:rFonts w:eastAsia="Times New Roman"/>
        </w:rPr>
        <w:t>The debt assumptions in the financial model</w:t>
      </w:r>
      <w:r w:rsidR="00982CBB">
        <w:rPr>
          <w:rFonts w:eastAsia="Times New Roman"/>
        </w:rPr>
        <w:t xml:space="preserve"> have the following attributes:</w:t>
      </w:r>
      <w:r>
        <w:rPr>
          <w:rFonts w:eastAsia="Times New Roman"/>
        </w:rPr>
        <w:t xml:space="preserve"> </w:t>
      </w:r>
    </w:p>
    <w:p w:rsidR="00B40EE5" w:rsidP="003B5373" w14:paraId="7CC5ABD0" w14:textId="03116C5C">
      <w:pPr>
        <w:pStyle w:val="BodyText"/>
        <w:numPr>
          <w:ilvl w:val="0"/>
          <w:numId w:val="28"/>
        </w:numPr>
      </w:pPr>
      <w:r>
        <w:rPr>
          <w:b/>
          <w:bCs/>
        </w:rPr>
        <w:t xml:space="preserve">Annual </w:t>
      </w:r>
      <w:r w:rsidR="004D2A3E">
        <w:rPr>
          <w:b/>
          <w:bCs/>
        </w:rPr>
        <w:t>i</w:t>
      </w:r>
      <w:r>
        <w:rPr>
          <w:b/>
          <w:bCs/>
        </w:rPr>
        <w:t xml:space="preserve">nterest </w:t>
      </w:r>
      <w:r w:rsidR="004D2A3E">
        <w:rPr>
          <w:b/>
          <w:bCs/>
        </w:rPr>
        <w:t>r</w:t>
      </w:r>
      <w:r>
        <w:rPr>
          <w:b/>
          <w:bCs/>
        </w:rPr>
        <w:t>ate (%)</w:t>
      </w:r>
      <w:r w:rsidR="0089231F">
        <w:rPr>
          <w:b/>
          <w:bCs/>
        </w:rPr>
        <w:t xml:space="preserve">: </w:t>
      </w:r>
      <w:r w:rsidR="00AB570C">
        <w:t xml:space="preserve">The </w:t>
      </w:r>
      <w:r w:rsidR="00B7526A">
        <w:t xml:space="preserve">annual </w:t>
      </w:r>
      <w:r w:rsidR="00236263">
        <w:t>interest rate to be paid on the debt</w:t>
      </w:r>
    </w:p>
    <w:p w:rsidR="00236263" w:rsidP="00236263" w14:paraId="004B3E3F" w14:textId="68D40473">
      <w:pPr>
        <w:pStyle w:val="BodyText"/>
        <w:numPr>
          <w:ilvl w:val="0"/>
          <w:numId w:val="28"/>
        </w:numPr>
      </w:pPr>
      <w:r>
        <w:rPr>
          <w:b/>
          <w:bCs/>
        </w:rPr>
        <w:t>Tenor</w:t>
      </w:r>
      <w:r>
        <w:rPr>
          <w:b/>
          <w:bCs/>
        </w:rPr>
        <w:t xml:space="preserve"> (years): </w:t>
      </w:r>
      <w:r w:rsidR="00AB570C">
        <w:t xml:space="preserve">The </w:t>
      </w:r>
      <w:r w:rsidR="00177343">
        <w:t>number of years until the loan matures</w:t>
      </w:r>
    </w:p>
    <w:p w:rsidR="008117A6" w:rsidP="00236263" w14:paraId="5AA45285" w14:textId="0831E89D">
      <w:pPr>
        <w:pStyle w:val="BodyText"/>
        <w:numPr>
          <w:ilvl w:val="0"/>
          <w:numId w:val="28"/>
        </w:numPr>
      </w:pPr>
      <w:r>
        <w:rPr>
          <w:b/>
          <w:bCs/>
        </w:rPr>
        <w:t xml:space="preserve">Amortization </w:t>
      </w:r>
      <w:r>
        <w:rPr>
          <w:b/>
          <w:bCs/>
        </w:rPr>
        <w:t xml:space="preserve">start (year): </w:t>
      </w:r>
      <w:r w:rsidR="00AB570C">
        <w:t xml:space="preserve">The </w:t>
      </w:r>
      <w:r>
        <w:t xml:space="preserve">year </w:t>
      </w:r>
      <w:r w:rsidR="00F824C1">
        <w:t xml:space="preserve">in which the principal of the debt </w:t>
      </w:r>
      <w:r w:rsidR="002F4FEF">
        <w:t xml:space="preserve">will </w:t>
      </w:r>
      <w:r w:rsidR="00215D5D">
        <w:t>begin to be repaid</w:t>
      </w:r>
      <w:r w:rsidR="00B7526A">
        <w:t xml:space="preserve">; note that </w:t>
      </w:r>
      <w:r w:rsidR="00CF6591">
        <w:t xml:space="preserve">in this model the principal payment cannot occur until after the loan has been fully disbursed. Therefore, the </w:t>
      </w:r>
      <w:r w:rsidR="00A54B97">
        <w:t>model requires</w:t>
      </w:r>
      <w:r w:rsidR="00CF6591">
        <w:t xml:space="preserve"> that the </w:t>
      </w:r>
      <w:r w:rsidR="00B87AE2">
        <w:t xml:space="preserve">“loan </w:t>
      </w:r>
      <w:r w:rsidR="00CF6591">
        <w:t xml:space="preserve">disbursement </w:t>
      </w:r>
      <w:r w:rsidR="00B87AE2">
        <w:t>end” occurs before the “Principal Repayment start”</w:t>
      </w:r>
      <w:r w:rsidR="006724DC">
        <w:t>.</w:t>
      </w:r>
    </w:p>
    <w:p w:rsidR="008117A6" w:rsidP="00236263" w14:paraId="682F2084" w14:textId="7DB57339">
      <w:pPr>
        <w:pStyle w:val="BodyText"/>
        <w:numPr>
          <w:ilvl w:val="0"/>
          <w:numId w:val="28"/>
        </w:numPr>
      </w:pPr>
      <w:r>
        <w:rPr>
          <w:b/>
          <w:bCs/>
        </w:rPr>
        <w:t>Loan structure</w:t>
      </w:r>
      <w:r w:rsidR="00215D5D">
        <w:t>: Indicate</w:t>
      </w:r>
      <w:r w:rsidR="00AB570C">
        <w:t>s</w:t>
      </w:r>
      <w:r w:rsidR="00215D5D">
        <w:t xml:space="preserve"> whether the amortization schedule</w:t>
      </w:r>
      <w:r w:rsidR="004517E8">
        <w:t xml:space="preserve"> will be a bullet structure (i.e., entire principal is repaid at maturity) or a straight-line amortization structure</w:t>
      </w:r>
      <w:r w:rsidR="00215D5D">
        <w:t xml:space="preserve"> </w:t>
      </w:r>
      <w:r w:rsidR="00993E4F">
        <w:t>(i.e., principal will be repaid in installments</w:t>
      </w:r>
      <w:r w:rsidR="00A3090C">
        <w:t xml:space="preserve"> throughout the life</w:t>
      </w:r>
      <w:r w:rsidR="00B869AA">
        <w:t xml:space="preserve"> of the debt</w:t>
      </w:r>
      <w:r w:rsidR="00993E4F">
        <w:t>)</w:t>
      </w:r>
    </w:p>
    <w:p w:rsidR="00B869AA" w:rsidP="00236263" w14:paraId="4F64E187" w14:textId="2DDDF68A">
      <w:pPr>
        <w:pStyle w:val="BodyText"/>
        <w:numPr>
          <w:ilvl w:val="0"/>
          <w:numId w:val="28"/>
        </w:numPr>
      </w:pPr>
      <w:r>
        <w:rPr>
          <w:b/>
          <w:bCs/>
        </w:rPr>
        <w:t xml:space="preserve">Total </w:t>
      </w:r>
      <w:r w:rsidR="004D2A3E">
        <w:rPr>
          <w:b/>
          <w:bCs/>
        </w:rPr>
        <w:t>loan a</w:t>
      </w:r>
      <w:r>
        <w:rPr>
          <w:b/>
          <w:bCs/>
        </w:rPr>
        <w:t xml:space="preserve">mount: </w:t>
      </w:r>
      <w:r w:rsidR="00AB570C">
        <w:t xml:space="preserve">The </w:t>
      </w:r>
      <w:r w:rsidR="004364BE">
        <w:t>total amount of the debt that is expected to be raised for the project</w:t>
      </w:r>
    </w:p>
    <w:p w:rsidR="00982CBB" w:rsidP="00F8436B" w14:paraId="143EAE84" w14:textId="77777777">
      <w:pPr>
        <w:pStyle w:val="BodyText"/>
        <w:numPr>
          <w:ilvl w:val="0"/>
          <w:numId w:val="28"/>
        </w:numPr>
      </w:pPr>
      <w:r w:rsidRPr="00982CBB">
        <w:rPr>
          <w:b/>
          <w:bCs/>
        </w:rPr>
        <w:t>Loan disbursement start / end</w:t>
      </w:r>
      <w:r>
        <w:t xml:space="preserve">: </w:t>
      </w:r>
      <w:r w:rsidR="00AB570C">
        <w:t xml:space="preserve">The </w:t>
      </w:r>
      <w:r>
        <w:t>year in which disbursement of the debt will begin and the year in which the final disbursement of debt will be received.</w:t>
      </w:r>
      <w:r w:rsidR="008D3A06">
        <w:t xml:space="preserve"> For simplicity, the model will disburse the loan evenly each year from the start year to the end year</w:t>
      </w:r>
      <w:r w:rsidR="0055485F">
        <w:t xml:space="preserve">. </w:t>
      </w:r>
    </w:p>
    <w:p w:rsidR="00E36AD8" w:rsidP="00982CBB" w14:paraId="782E4E51" w14:textId="43B9B879">
      <w:pPr>
        <w:pStyle w:val="BodyText"/>
        <w:ind w:left="720"/>
      </w:pPr>
      <w:r>
        <w:t xml:space="preserve">Figure </w:t>
      </w:r>
      <w:r w:rsidR="00492714">
        <w:t>8</w:t>
      </w:r>
      <w:r>
        <w:t>: Debt Assumptions</w:t>
      </w:r>
    </w:p>
    <w:p w:rsidR="00795599" w:rsidP="00401277" w14:paraId="2F779005" w14:textId="7B7A3D6F">
      <w:pPr>
        <w:pStyle w:val="BodyText"/>
      </w:pPr>
    </w:p>
    <w:p w:rsidR="00FA29A9" w:rsidP="00401277" w14:paraId="7667E856" w14:textId="7F554818">
      <w:pPr>
        <w:pStyle w:val="BodyText"/>
      </w:pPr>
      <w:r>
        <w:rPr>
          <w:noProof/>
        </w:rPr>
        <w:drawing>
          <wp:inline distT="0" distB="0" distL="0" distR="0">
            <wp:extent cx="5732145" cy="14255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6"/>
                    <a:stretch>
                      <a:fillRect/>
                    </a:stretch>
                  </pic:blipFill>
                  <pic:spPr>
                    <a:xfrm>
                      <a:off x="0" y="0"/>
                      <a:ext cx="5732145" cy="1425575"/>
                    </a:xfrm>
                    <a:prstGeom prst="rect">
                      <a:avLst/>
                    </a:prstGeom>
                  </pic:spPr>
                </pic:pic>
              </a:graphicData>
            </a:graphic>
          </wp:inline>
        </w:drawing>
      </w:r>
    </w:p>
    <w:p w:rsidR="00401277" w:rsidP="00401277" w14:paraId="1E2158AB" w14:textId="5E556C1C">
      <w:pPr>
        <w:pStyle w:val="Heading2"/>
      </w:pPr>
      <w:bookmarkStart w:id="31" w:name="_Toc130497982"/>
      <w:r>
        <w:t xml:space="preserve">Project Financing </w:t>
      </w:r>
      <w:r>
        <w:t>Assumptions</w:t>
      </w:r>
      <w:bookmarkEnd w:id="31"/>
    </w:p>
    <w:p w:rsidR="00401277" w:rsidP="00401277" w14:paraId="0053654D" w14:textId="77777777">
      <w:pPr>
        <w:pStyle w:val="BodyText"/>
      </w:pPr>
    </w:p>
    <w:p w:rsidR="00C84D11" w:rsidP="00401277" w14:paraId="2A8A1331" w14:textId="254A81A5">
      <w:pPr>
        <w:pStyle w:val="BodyText"/>
      </w:pPr>
      <w:r>
        <w:t xml:space="preserve">The </w:t>
      </w:r>
      <w:r w:rsidR="00B237BE">
        <w:t xml:space="preserve">Project Financing </w:t>
      </w:r>
      <w:r>
        <w:t xml:space="preserve">Assumptions section of the “Assumptions” worksheet </w:t>
      </w:r>
      <w:r w:rsidR="00AB570C">
        <w:t xml:space="preserve">offers </w:t>
      </w:r>
      <w:r>
        <w:t>key assumptions for the expected</w:t>
      </w:r>
      <w:r w:rsidR="002D1C45">
        <w:t xml:space="preserve"> s</w:t>
      </w:r>
      <w:r w:rsidRPr="002D1C45" w:rsidR="002D1C45">
        <w:t>ize and timing of Equity and Grant Contributions</w:t>
      </w:r>
      <w:r>
        <w:t xml:space="preserve"> </w:t>
      </w:r>
      <w:r w:rsidR="002D1C45">
        <w:t xml:space="preserve">to </w:t>
      </w:r>
      <w:r>
        <w:t>the project</w:t>
      </w:r>
      <w:r w:rsidR="002D1C45">
        <w:t xml:space="preserve">. </w:t>
      </w:r>
    </w:p>
    <w:p w:rsidR="00C84D11" w:rsidP="00401277" w14:paraId="64F7139B" w14:textId="4C969CA7">
      <w:pPr>
        <w:pStyle w:val="BodyText"/>
      </w:pPr>
      <w:r>
        <w:t xml:space="preserve">The Equity in the project can reflect any </w:t>
      </w:r>
      <w:r w:rsidR="00982CBB">
        <w:t xml:space="preserve">non-government </w:t>
      </w:r>
      <w:r w:rsidR="00401277">
        <w:t xml:space="preserve">equity </w:t>
      </w:r>
      <w:r>
        <w:t xml:space="preserve">that </w:t>
      </w:r>
      <w:r w:rsidR="005E64B4">
        <w:t xml:space="preserve">is </w:t>
      </w:r>
      <w:r>
        <w:t>used to fund the project.</w:t>
      </w:r>
      <w:r w:rsidR="00443CFA">
        <w:t xml:space="preserve"> </w:t>
      </w:r>
      <w:r>
        <w:t xml:space="preserve">The grant contributions can reflect either CHIPS </w:t>
      </w:r>
      <w:r w:rsidR="00733105">
        <w:t xml:space="preserve">Direct Funding </w:t>
      </w:r>
      <w:r>
        <w:t xml:space="preserve">or </w:t>
      </w:r>
      <w:r w:rsidR="00443CFA">
        <w:t>other incentives received from States or local governments.</w:t>
      </w:r>
    </w:p>
    <w:p w:rsidR="00517823" w:rsidP="00732F7B" w14:paraId="025649E6" w14:textId="1C13CCCF">
      <w:pPr>
        <w:pStyle w:val="BodyText"/>
      </w:pPr>
      <w:r>
        <w:t xml:space="preserve">For </w:t>
      </w:r>
      <w:r>
        <w:t xml:space="preserve">the </w:t>
      </w:r>
      <w:r w:rsidRPr="00BB682A">
        <w:rPr>
          <w:b/>
          <w:bCs/>
        </w:rPr>
        <w:t xml:space="preserve">CHIPS </w:t>
      </w:r>
      <w:r w:rsidR="00733105">
        <w:rPr>
          <w:b/>
          <w:bCs/>
        </w:rPr>
        <w:t>Direct Funding</w:t>
      </w:r>
      <w:r w:rsidRPr="00BB682A" w:rsidR="00733105">
        <w:rPr>
          <w:b/>
          <w:bCs/>
        </w:rPr>
        <w:t xml:space="preserve"> </w:t>
      </w:r>
      <w:r w:rsidRPr="00BB682A">
        <w:rPr>
          <w:b/>
          <w:bCs/>
        </w:rPr>
        <w:t>and state and local incentives</w:t>
      </w:r>
      <w:r>
        <w:t xml:space="preserve">, the </w:t>
      </w:r>
      <w:r w:rsidR="00982CBB">
        <w:t xml:space="preserve">model specifies </w:t>
      </w:r>
      <w:r>
        <w:t xml:space="preserve">both the size and timing of the </w:t>
      </w:r>
      <w:r>
        <w:t>incentives</w:t>
      </w:r>
      <w:r>
        <w:t xml:space="preserve">. </w:t>
      </w:r>
      <w:r>
        <w:t xml:space="preserve">For the </w:t>
      </w:r>
      <w:r w:rsidRPr="00BB682A">
        <w:rPr>
          <w:b/>
          <w:bCs/>
        </w:rPr>
        <w:t>equity contributions</w:t>
      </w:r>
      <w:r>
        <w:t xml:space="preserve">, the value is automatically calculated as the funding difference between the initial </w:t>
      </w:r>
      <w:r w:rsidR="00367DF8">
        <w:t>project capital costs and other funding sources (debt and incentives).</w:t>
      </w:r>
    </w:p>
    <w:p w:rsidR="00732F7B" w:rsidP="00732F7B" w14:paraId="4B47C1DF" w14:textId="5C04AA13">
      <w:pPr>
        <w:pStyle w:val="BodyText"/>
      </w:pPr>
      <w:r>
        <w:t xml:space="preserve">Timing is indicated </w:t>
      </w:r>
      <w:r>
        <w:t xml:space="preserve">by providing a percentage value under each of the five “year” columns. The percentage reflects the percentage that is </w:t>
      </w:r>
      <w:r w:rsidR="00F50494">
        <w:t>injected</w:t>
      </w:r>
      <w:r>
        <w:t xml:space="preserve"> in that year</w:t>
      </w:r>
      <w:r w:rsidR="00F50494">
        <w:t>. T</w:t>
      </w:r>
      <w:r>
        <w:t>he five years provided reflect the first five years of the project.</w:t>
      </w:r>
    </w:p>
    <w:p w:rsidR="00732F7B" w:rsidP="00732F7B" w14:paraId="1AE57868" w14:textId="3A32755D">
      <w:pPr>
        <w:pStyle w:val="BodyText"/>
      </w:pPr>
      <w:r>
        <w:t>To ensure that all costs are appropriately captured in the model, the timing totals for each sum up to 100%.</w:t>
      </w:r>
    </w:p>
    <w:p w:rsidR="006B5DF5" w14:paraId="005D92AD" w14:textId="788BBCF0">
      <w:pPr>
        <w:pStyle w:val="Caption"/>
      </w:pPr>
      <w:r>
        <w:t xml:space="preserve">Figure </w:t>
      </w:r>
      <w:r w:rsidR="00013BE5">
        <w:t>7</w:t>
      </w:r>
      <w:r>
        <w:t>: Project Financing Assumptions</w:t>
      </w:r>
    </w:p>
    <w:p w:rsidR="00E03BC9" w:rsidP="00732F7B" w14:paraId="33BE601C" w14:textId="509CF3A4">
      <w:pPr>
        <w:pStyle w:val="BodyText"/>
      </w:pPr>
      <w:r>
        <w:rPr>
          <w:noProof/>
        </w:rPr>
        <w:drawing>
          <wp:inline distT="0" distB="0" distL="0" distR="0">
            <wp:extent cx="5732145" cy="645160"/>
            <wp:effectExtent l="38100" t="38100" r="97155" b="977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7"/>
                    <a:stretch>
                      <a:fillRect/>
                    </a:stretch>
                  </pic:blipFill>
                  <pic:spPr>
                    <a:xfrm>
                      <a:off x="0" y="0"/>
                      <a:ext cx="5732145" cy="64516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48F49C8C" w14:textId="77777777">
      <w:pPr>
        <w:pStyle w:val="Heading2"/>
      </w:pPr>
      <w:bookmarkStart w:id="32" w:name="_Toc127051613"/>
      <w:bookmarkStart w:id="33" w:name="_Toc127051614"/>
      <w:bookmarkStart w:id="34" w:name="_Toc127051615"/>
      <w:bookmarkStart w:id="35" w:name="_Toc127051616"/>
      <w:bookmarkStart w:id="36" w:name="_Toc127051617"/>
      <w:bookmarkStart w:id="37" w:name="_Toc127051618"/>
      <w:bookmarkStart w:id="38" w:name="_Toc127051619"/>
      <w:bookmarkStart w:id="39" w:name="_Toc127051620"/>
      <w:bookmarkStart w:id="40" w:name="_Toc127051621"/>
      <w:bookmarkStart w:id="41" w:name="_Toc127051622"/>
      <w:bookmarkStart w:id="42" w:name="_Toc127051623"/>
      <w:bookmarkStart w:id="43" w:name="_Toc127051624"/>
      <w:bookmarkStart w:id="44" w:name="_Toc127051625"/>
      <w:bookmarkStart w:id="45" w:name="_Toc127051626"/>
      <w:bookmarkStart w:id="46" w:name="_Toc127051627"/>
      <w:bookmarkStart w:id="47" w:name="_Toc127051628"/>
      <w:bookmarkStart w:id="48" w:name="_Toc127051629"/>
      <w:bookmarkStart w:id="49" w:name="_Toc127051630"/>
      <w:bookmarkStart w:id="50" w:name="_Toc127051631"/>
      <w:bookmarkStart w:id="51" w:name="_Toc13049798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Tax Assumptions</w:t>
      </w:r>
      <w:bookmarkEnd w:id="51"/>
    </w:p>
    <w:p w:rsidR="00401277" w:rsidP="00401277" w14:paraId="6B2671DC" w14:textId="77777777">
      <w:pPr>
        <w:pStyle w:val="BodyText"/>
      </w:pPr>
    </w:p>
    <w:p w:rsidR="009B2FD7" w:rsidP="009B2FD7" w14:paraId="75D0A2DD" w14:textId="4E2DAC1D">
      <w:pPr>
        <w:pStyle w:val="BodyText"/>
        <w:spacing w:after="120"/>
      </w:pPr>
      <w:r>
        <w:t xml:space="preserve">The Tax Assumptions section of the “Assumptions” worksheet contains key assumptions concerning the taxes the project will pay. Importantly, this section also provides a rough example of how to size the benefit of the credit the project could receive from the Advanced Manufacturing Investment Credit (Investment Tax Credit or ITC) </w:t>
      </w:r>
      <w:r w:rsidRPr="00437D49">
        <w:t xml:space="preserve">under Section 48D of the Internal Revenue Code. </w:t>
      </w:r>
      <w:r>
        <w:t>The calculations shown below are only an approximation of the tax benefit of the ITC.</w:t>
      </w:r>
      <w:r w:rsidR="00E10CAE">
        <w:t xml:space="preserve"> In the example model the tax benefit is </w:t>
      </w:r>
      <w:r w:rsidR="00E10CAE">
        <w:rPr>
          <w:rFonts w:eastAsia="Times New Roman"/>
        </w:rPr>
        <w:t xml:space="preserve">framed as a series of percentages. However, it may be easier for applicants to simply calculate the estimated overall value of the ITC for their projects. </w:t>
      </w:r>
      <w:r>
        <w:rPr>
          <w:b/>
          <w:bCs/>
        </w:rPr>
        <w:t xml:space="preserve">This approximation of the tax credit is purely illustrative and is not intended to be, and should not be, relied upon by applicants. The actual application of the ITC will be subject to IRS rules and guidance and the </w:t>
      </w:r>
      <w:r>
        <w:rPr>
          <w:b/>
          <w:bCs/>
        </w:rPr>
        <w:t>specific applicant and project. Applicants should consult their tax advisors to model the treatment of the ITC based on their individual facts and circumstances.</w:t>
      </w:r>
      <w:r>
        <w:t xml:space="preserve"> Inputs for this section are as follows:</w:t>
      </w:r>
    </w:p>
    <w:p w:rsidR="00401277" w:rsidP="00401277" w14:paraId="6CFC8EF2" w14:textId="06891F5D">
      <w:pPr>
        <w:pStyle w:val="BodyText"/>
        <w:numPr>
          <w:ilvl w:val="0"/>
          <w:numId w:val="28"/>
        </w:numPr>
      </w:pPr>
      <w:r>
        <w:rPr>
          <w:b/>
          <w:bCs/>
        </w:rPr>
        <w:t xml:space="preserve">Tax Rate: </w:t>
      </w:r>
      <w:r w:rsidR="00C9468F">
        <w:t>An</w:t>
      </w:r>
      <w:r w:rsidR="00C9468F">
        <w:t xml:space="preserve"> tax</w:t>
      </w:r>
      <w:r w:rsidR="00864674">
        <w:t xml:space="preserve"> rate intended to estimate all taxes the company may have to pay on earnings related to the facility </w:t>
      </w:r>
    </w:p>
    <w:p w:rsidR="00401277" w:rsidP="00401277" w14:paraId="3004D2C6" w14:textId="066EE1BF">
      <w:pPr>
        <w:pStyle w:val="BodyText"/>
        <w:numPr>
          <w:ilvl w:val="0"/>
          <w:numId w:val="28"/>
        </w:numPr>
      </w:pPr>
      <w:r>
        <w:rPr>
          <w:b/>
          <w:bCs/>
        </w:rPr>
        <w:t>Investment Tax Credit (ITC) rebate</w:t>
      </w:r>
      <w:r w:rsidR="00B4189A">
        <w:rPr>
          <w:b/>
          <w:bCs/>
        </w:rPr>
        <w:t xml:space="preserve">: </w:t>
      </w:r>
      <w:r w:rsidRPr="00B4189A" w:rsidR="00B4189A">
        <w:rPr>
          <w:rFonts w:eastAsia="Times New Roman"/>
        </w:rPr>
        <w:t xml:space="preserve">The estimated percentage of ITC earned on qualifying investments for the project. The ITC is only available for investments in qualified tangible property (not for other expenditures) made after August 9, </w:t>
      </w:r>
      <w:r w:rsidRPr="00B4189A" w:rsidR="00B4189A">
        <w:rPr>
          <w:rFonts w:eastAsia="Times New Roman"/>
        </w:rPr>
        <w:t>2023</w:t>
      </w:r>
      <w:r w:rsidRPr="00B4189A" w:rsidR="00B4189A">
        <w:rPr>
          <w:rFonts w:eastAsia="Times New Roman"/>
        </w:rPr>
        <w:t xml:space="preserve"> as part of projects that begin construction before the cut-off date in 2026, and that are placed in service after 2022. Applicants should consult their tax advisors to ensure appropriate treatment of the ITC based on their individual projects.</w:t>
      </w:r>
    </w:p>
    <w:p w:rsidR="00F34E6E" w:rsidRPr="002911C8" w:rsidP="00F34E6E" w14:paraId="5A33AC48" w14:textId="6895A6DA">
      <w:pPr>
        <w:pStyle w:val="BodyText"/>
        <w:numPr>
          <w:ilvl w:val="0"/>
          <w:numId w:val="28"/>
        </w:numPr>
      </w:pPr>
      <w:r w:rsidRPr="00C9484A">
        <w:rPr>
          <w:b/>
          <w:bCs/>
        </w:rPr>
        <w:t xml:space="preserve">% </w:t>
      </w:r>
      <w:r w:rsidRPr="00C9484A">
        <w:rPr>
          <w:b/>
          <w:bCs/>
        </w:rPr>
        <w:t>of</w:t>
      </w:r>
      <w:r w:rsidRPr="00C9484A">
        <w:rPr>
          <w:b/>
          <w:bCs/>
        </w:rPr>
        <w:t xml:space="preserve"> Qualifying </w:t>
      </w:r>
      <w:r w:rsidRPr="00C9484A">
        <w:rPr>
          <w:b/>
          <w:bCs/>
        </w:rPr>
        <w:t>CapEx</w:t>
      </w:r>
      <w:r w:rsidRPr="00C9484A">
        <w:rPr>
          <w:b/>
          <w:bCs/>
        </w:rPr>
        <w:t xml:space="preserve"> for ITC: </w:t>
      </w:r>
      <w:r w:rsidRPr="002911C8" w:rsidR="002911C8">
        <w:rPr>
          <w:rFonts w:eastAsia="Times New Roman"/>
        </w:rPr>
        <w:t xml:space="preserve">The estimated percentage of the total capital expenditures that will qualify for the Investment Tax Credit. This assumption applies a straight percentage of the total capital expenditures, although the ITC is only available for investments in qualified tangible property (not for any other expenditures). Applicants should consult their tax advisors to model the percentage of qualifying </w:t>
      </w:r>
      <w:r w:rsidRPr="002911C8" w:rsidR="002911C8">
        <w:rPr>
          <w:rFonts w:eastAsia="Times New Roman"/>
        </w:rPr>
        <w:t>CapEx</w:t>
      </w:r>
      <w:r w:rsidRPr="002911C8" w:rsidR="002911C8">
        <w:rPr>
          <w:rFonts w:eastAsia="Times New Roman"/>
        </w:rPr>
        <w:t xml:space="preserve"> applicable to their individual projects.</w:t>
      </w:r>
    </w:p>
    <w:p w:rsidR="00401277" w:rsidP="000A47E6" w14:paraId="3A1C4B04" w14:textId="0B652BEA">
      <w:pPr>
        <w:pStyle w:val="BodyText"/>
        <w:ind w:left="360"/>
      </w:pPr>
    </w:p>
    <w:p w:rsidR="00C9484A" w14:paraId="1841BD63" w14:textId="577FA1B6">
      <w:pPr>
        <w:pStyle w:val="Caption"/>
      </w:pPr>
      <w:r>
        <w:t xml:space="preserve">Figure </w:t>
      </w:r>
      <w:r w:rsidR="00013BE5">
        <w:t>8</w:t>
      </w:r>
      <w:r>
        <w:t>: Tax Assumptions</w:t>
      </w:r>
    </w:p>
    <w:p w:rsidR="002F2F06" w14:paraId="317596A4" w14:textId="3DA20AEF">
      <w:pPr>
        <w:pStyle w:val="BodyText"/>
      </w:pPr>
      <w:r>
        <w:rPr>
          <w:noProof/>
        </w:rPr>
        <w:drawing>
          <wp:inline distT="0" distB="0" distL="0" distR="0">
            <wp:extent cx="5732145" cy="916305"/>
            <wp:effectExtent l="38100" t="38100" r="97155" b="933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8"/>
                    <a:stretch>
                      <a:fillRect/>
                    </a:stretch>
                  </pic:blipFill>
                  <pic:spPr>
                    <a:xfrm>
                      <a:off x="0" y="0"/>
                      <a:ext cx="5732145" cy="91630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0FE72552" w14:textId="77777777">
      <w:pPr>
        <w:pStyle w:val="Heading2"/>
      </w:pPr>
      <w:bookmarkStart w:id="52" w:name="_Toc127051633"/>
      <w:bookmarkStart w:id="53" w:name="_Toc127051634"/>
      <w:bookmarkStart w:id="54" w:name="_Toc130497984"/>
      <w:bookmarkEnd w:id="52"/>
      <w:bookmarkEnd w:id="53"/>
      <w:r>
        <w:t>Depreciation Assumptions</w:t>
      </w:r>
      <w:bookmarkEnd w:id="54"/>
    </w:p>
    <w:p w:rsidR="00401277" w:rsidP="00401277" w14:paraId="318F68F2" w14:textId="77777777">
      <w:pPr>
        <w:pStyle w:val="BodyText"/>
      </w:pPr>
    </w:p>
    <w:p w:rsidR="00401277" w:rsidP="00401277" w14:paraId="65B9E18E" w14:textId="41B95625">
      <w:pPr>
        <w:pStyle w:val="BodyText"/>
      </w:pPr>
      <w:r>
        <w:t>The Depreciation Assumptions section of the “Assumptions” worksheet allows key assumptions concerning depreciation of the project’s property, plant, and equipment. Depreciation should be calculated in accordance with US Generally Accepted Accounting Principles (GAAP).</w:t>
      </w:r>
      <w:r w:rsidR="003B030A">
        <w:t xml:space="preserve"> Refer to</w:t>
      </w:r>
      <w:r w:rsidR="005C4D54">
        <w:t xml:space="preserve"> the</w:t>
      </w:r>
      <w:r w:rsidR="003B030A">
        <w:t xml:space="preserve"> </w:t>
      </w:r>
      <w:r w:rsidR="005C4D54">
        <w:t>f</w:t>
      </w:r>
      <w:r w:rsidR="003B030A">
        <w:t>igure</w:t>
      </w:r>
      <w:r w:rsidR="005C4D54">
        <w:t xml:space="preserve"> below</w:t>
      </w:r>
      <w:r w:rsidR="003B030A">
        <w:t xml:space="preserve"> to see an example of the input</w:t>
      </w:r>
      <w:r w:rsidR="00EE7285">
        <w:t xml:space="preserve"> categories.</w:t>
      </w:r>
      <w:r w:rsidR="005625E6">
        <w:t xml:space="preserve"> These</w:t>
      </w:r>
      <w:r w:rsidR="0041292A">
        <w:t xml:space="preserve"> investment</w:t>
      </w:r>
      <w:r w:rsidR="005625E6">
        <w:t xml:space="preserve"> categories will be depreciated over the term provided</w:t>
      </w:r>
      <w:r w:rsidR="004F2F08">
        <w:t xml:space="preserve"> in the box </w:t>
      </w:r>
      <w:r w:rsidR="00E5399D">
        <w:t xml:space="preserve">on a linear schedule </w:t>
      </w:r>
      <w:r w:rsidR="004F2F08">
        <w:t>(e.g., Construction depreciates over 15 years</w:t>
      </w:r>
      <w:r w:rsidR="0041292A">
        <w:t xml:space="preserve"> in a straight line</w:t>
      </w:r>
      <w:r w:rsidR="004F2F08">
        <w:t>).</w:t>
      </w:r>
      <w:r w:rsidR="00E5399D">
        <w:t xml:space="preserve"> </w:t>
      </w:r>
      <w:r w:rsidR="004D355C">
        <w:t xml:space="preserve">If </w:t>
      </w:r>
      <w:r w:rsidR="00720ACA">
        <w:t>the</w:t>
      </w:r>
      <w:r w:rsidR="00992883">
        <w:t xml:space="preserve"> line</w:t>
      </w:r>
      <w:r w:rsidR="00720ACA">
        <w:t xml:space="preserve"> item will not be depreciated, simply enter a zero</w:t>
      </w:r>
      <w:r w:rsidR="00637988">
        <w:t xml:space="preserve"> for the input.</w:t>
      </w:r>
    </w:p>
    <w:p w:rsidR="00401277" w:rsidRPr="00C445DA" w:rsidP="00401277" w14:paraId="270EF607" w14:textId="7545D513">
      <w:pPr>
        <w:pStyle w:val="BodyText"/>
      </w:pPr>
      <w:r>
        <w:t xml:space="preserve">For each </w:t>
      </w:r>
      <w:r w:rsidR="00E1238F">
        <w:t xml:space="preserve">Capital </w:t>
      </w:r>
      <w:r w:rsidR="00F27804">
        <w:t>Investment</w:t>
      </w:r>
      <w:r w:rsidR="00E1238F">
        <w:t xml:space="preserve"> </w:t>
      </w:r>
      <w:r>
        <w:t>category, provide the</w:t>
      </w:r>
      <w:r w:rsidR="00F27804">
        <w:t xml:space="preserve"> expected</w:t>
      </w:r>
      <w:r>
        <w:t xml:space="preserve"> number of years that investments in this category will depreciate</w:t>
      </w:r>
    </w:p>
    <w:p w:rsidR="00401277" w:rsidRPr="003C29D6" w:rsidP="00401277" w14:paraId="04014489" w14:textId="77777777">
      <w:pPr>
        <w:pStyle w:val="BodyText"/>
        <w:numPr>
          <w:ilvl w:val="0"/>
          <w:numId w:val="32"/>
        </w:numPr>
      </w:pPr>
      <w:r>
        <w:rPr>
          <w:b/>
          <w:bCs/>
        </w:rPr>
        <w:t>Construction</w:t>
      </w:r>
    </w:p>
    <w:p w:rsidR="00401277" w:rsidRPr="000E682C" w:rsidP="00401277" w14:paraId="3FAEF504" w14:textId="77777777">
      <w:pPr>
        <w:pStyle w:val="BodyText"/>
        <w:numPr>
          <w:ilvl w:val="0"/>
          <w:numId w:val="32"/>
        </w:numPr>
      </w:pPr>
      <w:r>
        <w:rPr>
          <w:b/>
          <w:bCs/>
        </w:rPr>
        <w:t>Equipment</w:t>
      </w:r>
    </w:p>
    <w:p w:rsidR="00401277" w:rsidRPr="000E682C" w:rsidP="00401277" w14:paraId="35FA6B9A" w14:textId="43D503D8">
      <w:pPr>
        <w:pStyle w:val="BodyText"/>
        <w:numPr>
          <w:ilvl w:val="0"/>
          <w:numId w:val="32"/>
        </w:numPr>
      </w:pPr>
      <w:r>
        <w:rPr>
          <w:b/>
          <w:bCs/>
        </w:rPr>
        <w:t>Administrative Expenses directly attributable to facility construction</w:t>
      </w:r>
    </w:p>
    <w:p w:rsidR="00401277" w:rsidRPr="000E682C" w:rsidP="00401277" w14:paraId="62FEC1EB" w14:textId="77777777">
      <w:pPr>
        <w:pStyle w:val="BodyText"/>
        <w:numPr>
          <w:ilvl w:val="0"/>
          <w:numId w:val="32"/>
        </w:numPr>
      </w:pPr>
      <w:r>
        <w:rPr>
          <w:b/>
          <w:bCs/>
        </w:rPr>
        <w:t>Infrastructure improvements</w:t>
      </w:r>
    </w:p>
    <w:p w:rsidR="00401277" w:rsidRPr="000E682C" w:rsidP="00401277" w14:paraId="62623F71" w14:textId="77777777">
      <w:pPr>
        <w:pStyle w:val="BodyText"/>
        <w:numPr>
          <w:ilvl w:val="0"/>
          <w:numId w:val="32"/>
        </w:numPr>
      </w:pPr>
      <w:r>
        <w:rPr>
          <w:b/>
          <w:bCs/>
        </w:rPr>
        <w:t>Other Capital Investment</w:t>
      </w:r>
    </w:p>
    <w:p w:rsidR="00401277" w:rsidRPr="00BB682A" w:rsidP="00401277" w14:paraId="6E28C18B" w14:textId="77777777">
      <w:pPr>
        <w:pStyle w:val="BodyText"/>
        <w:numPr>
          <w:ilvl w:val="0"/>
          <w:numId w:val="32"/>
        </w:numPr>
      </w:pPr>
      <w:r>
        <w:rPr>
          <w:b/>
          <w:bCs/>
        </w:rPr>
        <w:t>Ongoing annual capital expenditures (after facility initiates operation)</w:t>
      </w:r>
    </w:p>
    <w:p w:rsidR="00EC41D1" w:rsidP="00EC41D1" w14:paraId="0C09842A" w14:textId="77777777">
      <w:pPr>
        <w:pStyle w:val="BodyText"/>
        <w:rPr>
          <w:b/>
          <w:bCs/>
        </w:rPr>
      </w:pPr>
    </w:p>
    <w:p w:rsidR="00EC41D1" w14:paraId="6E184B87" w14:textId="5DD6D1D3">
      <w:pPr>
        <w:pStyle w:val="Caption"/>
      </w:pPr>
      <w:r>
        <w:t xml:space="preserve">Figure </w:t>
      </w:r>
      <w:r w:rsidR="00013BE5">
        <w:t>9</w:t>
      </w:r>
      <w:r>
        <w:t>: Depreciation Assumptions</w:t>
      </w:r>
    </w:p>
    <w:p w:rsidR="00EC41D1" w:rsidP="00BB682A" w14:paraId="3B7BA7C4" w14:textId="1114BBF6">
      <w:pPr>
        <w:pStyle w:val="BodyText"/>
      </w:pPr>
      <w:r>
        <w:rPr>
          <w:noProof/>
        </w:rPr>
        <w:drawing>
          <wp:inline distT="0" distB="0" distL="0" distR="0">
            <wp:extent cx="5732145" cy="1405255"/>
            <wp:effectExtent l="38100" t="38100" r="97155" b="996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9"/>
                    <a:stretch>
                      <a:fillRect/>
                    </a:stretch>
                  </pic:blipFill>
                  <pic:spPr>
                    <a:xfrm>
                      <a:off x="0" y="0"/>
                      <a:ext cx="5732145" cy="140525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59582186" w14:textId="77777777">
      <w:pPr>
        <w:pStyle w:val="Heading2"/>
      </w:pPr>
      <w:bookmarkStart w:id="55" w:name="_Toc127051636"/>
      <w:bookmarkStart w:id="56" w:name="_Toc127051637"/>
      <w:bookmarkStart w:id="57" w:name="_Toc130497985"/>
      <w:bookmarkEnd w:id="55"/>
      <w:bookmarkEnd w:id="56"/>
      <w:r>
        <w:t>Working Capital Assumptions</w:t>
      </w:r>
      <w:bookmarkEnd w:id="57"/>
    </w:p>
    <w:p w:rsidR="00401277" w:rsidP="00401277" w14:paraId="250AEB5F" w14:textId="77777777">
      <w:pPr>
        <w:pStyle w:val="BodyText"/>
      </w:pPr>
    </w:p>
    <w:p w:rsidR="00401277" w:rsidRPr="00326081" w:rsidP="00401277" w14:paraId="2EF45F40" w14:textId="5F57FB35">
      <w:pPr>
        <w:pStyle w:val="BodyText"/>
      </w:pPr>
      <w:r w:rsidRPr="00326081">
        <w:t xml:space="preserve">The Working Capital Assumptions section of the “Assumptions” worksheet allows key assumptions concerning working capital needed for the project. </w:t>
      </w:r>
    </w:p>
    <w:p w:rsidR="00401277" w:rsidRPr="00326081" w:rsidP="00401277" w14:paraId="6FF6D584" w14:textId="43CF16D6">
      <w:pPr>
        <w:pStyle w:val="BodyText"/>
      </w:pPr>
      <w:r w:rsidRPr="00326081">
        <w:t>For each working capital category, provide the estimated time requirement in days or months, where applicable</w:t>
      </w:r>
      <w:r w:rsidRPr="00326081" w:rsidR="00286BE3">
        <w:t xml:space="preserve">. Working capital assumptions are tied to production, as production ramps the working capital lag begins to kick in. </w:t>
      </w:r>
    </w:p>
    <w:p w:rsidR="00401277" w:rsidRPr="00326081" w:rsidP="00401277" w14:paraId="6B6A1CCA" w14:textId="77777777">
      <w:pPr>
        <w:pStyle w:val="BodyText"/>
        <w:numPr>
          <w:ilvl w:val="0"/>
          <w:numId w:val="33"/>
        </w:numPr>
        <w:rPr>
          <w:b/>
          <w:bCs/>
        </w:rPr>
      </w:pPr>
      <w:r w:rsidRPr="00326081">
        <w:rPr>
          <w:b/>
          <w:bCs/>
        </w:rPr>
        <w:t>Days in Receivables</w:t>
      </w:r>
    </w:p>
    <w:p w:rsidR="00401277" w:rsidRPr="00326081" w:rsidP="00401277" w14:paraId="60DF6AB1" w14:textId="77777777">
      <w:pPr>
        <w:pStyle w:val="BodyText"/>
        <w:numPr>
          <w:ilvl w:val="0"/>
          <w:numId w:val="33"/>
        </w:numPr>
        <w:rPr>
          <w:b/>
          <w:bCs/>
        </w:rPr>
      </w:pPr>
      <w:r w:rsidRPr="00326081">
        <w:rPr>
          <w:b/>
          <w:bCs/>
        </w:rPr>
        <w:t>Days Inventory</w:t>
      </w:r>
    </w:p>
    <w:p w:rsidR="00401277" w:rsidRPr="00326081" w:rsidP="00401277" w14:paraId="760CE522" w14:textId="7AABF4AB">
      <w:pPr>
        <w:pStyle w:val="BodyText"/>
        <w:numPr>
          <w:ilvl w:val="0"/>
          <w:numId w:val="33"/>
        </w:numPr>
        <w:rPr>
          <w:b/>
          <w:bCs/>
        </w:rPr>
      </w:pPr>
      <w:r w:rsidRPr="00326081">
        <w:rPr>
          <w:b/>
          <w:bCs/>
        </w:rPr>
        <w:t>Days in Payables</w:t>
      </w:r>
    </w:p>
    <w:p w:rsidR="007422EC" w:rsidRPr="00662E3A" w:rsidP="00647D1D" w14:paraId="3678A68B" w14:textId="15DBB960">
      <w:pPr>
        <w:pStyle w:val="BodyText"/>
        <w:numPr>
          <w:ilvl w:val="0"/>
          <w:numId w:val="33"/>
        </w:numPr>
        <w:rPr>
          <w:b/>
          <w:bCs/>
        </w:rPr>
      </w:pPr>
      <w:r w:rsidRPr="00662E3A">
        <w:rPr>
          <w:b/>
          <w:bCs/>
        </w:rPr>
        <w:t>Months Debt Service to Restricted Cash</w:t>
      </w:r>
      <w:r w:rsidRPr="00662E3A" w:rsidR="00662E3A">
        <w:rPr>
          <w:b/>
          <w:bCs/>
        </w:rPr>
        <w:t xml:space="preserve"> - </w:t>
      </w:r>
      <w:r w:rsidRPr="00662E3A" w:rsidR="00662E3A">
        <w:t>The debt service reserve is a fund that is set aside to ensure that there are sufficient funds to meet debt obligations. The purpose is to act as a buffer against potential cash flow shortfalls</w:t>
      </w:r>
      <w:r w:rsidR="00662E3A">
        <w:t xml:space="preserve"> for debt service</w:t>
      </w:r>
    </w:p>
    <w:p w:rsidR="007422EC" w14:paraId="1DE90148" w14:textId="4CDFB879">
      <w:pPr>
        <w:pStyle w:val="Caption"/>
      </w:pPr>
      <w:r>
        <w:t>Figure</w:t>
      </w:r>
      <w:r w:rsidR="00286BE3">
        <w:t xml:space="preserve"> </w:t>
      </w:r>
      <w:r w:rsidR="008A4123">
        <w:t>1</w:t>
      </w:r>
      <w:r w:rsidR="00013BE5">
        <w:t>0</w:t>
      </w:r>
      <w:r>
        <w:t>: Working Capital Assumptions</w:t>
      </w:r>
    </w:p>
    <w:p w:rsidR="00401277" w:rsidP="00401277" w14:paraId="4C03E4A1" w14:textId="637B750D">
      <w:pPr>
        <w:pStyle w:val="BodyText"/>
        <w:rPr>
          <w:noProof/>
        </w:rPr>
      </w:pPr>
      <w:r>
        <w:rPr>
          <w:noProof/>
        </w:rPr>
        <w:drawing>
          <wp:inline distT="0" distB="0" distL="0" distR="0">
            <wp:extent cx="5732145" cy="1097915"/>
            <wp:effectExtent l="38100" t="38100" r="97155" b="1022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0"/>
                    <a:stretch>
                      <a:fillRect/>
                    </a:stretch>
                  </pic:blipFill>
                  <pic:spPr>
                    <a:xfrm>
                      <a:off x="0" y="0"/>
                      <a:ext cx="5732145" cy="109791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4C66D4FF" w14:textId="50EF39E8">
      <w:pPr>
        <w:pStyle w:val="Heading2"/>
      </w:pPr>
      <w:bookmarkStart w:id="58" w:name="_Toc130497986"/>
      <w:r>
        <w:t>Excess Cash</w:t>
      </w:r>
      <w:bookmarkEnd w:id="58"/>
    </w:p>
    <w:p w:rsidR="00401277" w:rsidP="00401277" w14:paraId="200612AE" w14:textId="77777777">
      <w:pPr>
        <w:pStyle w:val="BodyText"/>
      </w:pPr>
    </w:p>
    <w:p w:rsidR="00401277" w:rsidP="00401277" w14:paraId="24076119" w14:textId="62060FBE">
      <w:pPr>
        <w:pStyle w:val="BodyText"/>
      </w:pPr>
      <w:r>
        <w:t xml:space="preserve">The </w:t>
      </w:r>
      <w:r w:rsidR="009E1F13">
        <w:t>Excess Cash</w:t>
      </w:r>
      <w:r>
        <w:t xml:space="preserve"> section of the “Assumptions” worksheet </w:t>
      </w:r>
      <w:r w:rsidR="00692022">
        <w:t>is used</w:t>
      </w:r>
      <w:r>
        <w:t xml:space="preserve"> to enter key assumptions concerning </w:t>
      </w:r>
      <w:r w:rsidR="00286BE3">
        <w:t xml:space="preserve">any </w:t>
      </w:r>
      <w:r w:rsidR="009E1F13">
        <w:t>distributions</w:t>
      </w:r>
      <w:r>
        <w:t>.</w:t>
      </w:r>
    </w:p>
    <w:p w:rsidR="00401277" w:rsidP="00401277" w14:paraId="4A24C549" w14:textId="77777777">
      <w:pPr>
        <w:pStyle w:val="BodyText"/>
      </w:pPr>
      <w:r>
        <w:t>An annual time series is provided with the period cash balance (calculated from the linked balance sheet) provided only as a reference.</w:t>
      </w:r>
    </w:p>
    <w:p w:rsidR="000A653D" w:rsidP="00401277" w14:paraId="251B3838" w14:textId="6F30E1C7">
      <w:pPr>
        <w:pStyle w:val="BodyText"/>
      </w:pPr>
      <w:r>
        <w:rPr>
          <w:b/>
          <w:bCs/>
        </w:rPr>
        <w:t>Distribution</w:t>
      </w:r>
      <w:r w:rsidR="00401277">
        <w:t xml:space="preserve">: </w:t>
      </w:r>
      <w:r w:rsidR="009D3C1B">
        <w:t xml:space="preserve">Model allows the specification of the year that </w:t>
      </w:r>
      <w:r w:rsidR="00D633AD">
        <w:t xml:space="preserve">distributions </w:t>
      </w:r>
      <w:r w:rsidR="00286BE3">
        <w:t xml:space="preserve">can begin and the minimum cash balance to be held. </w:t>
      </w:r>
      <w:r>
        <w:t xml:space="preserve">The tool requires that a minimum amount of cash be held for the project to be eligible to take a distribution. </w:t>
      </w:r>
      <w:r w:rsidR="00734660">
        <w:t xml:space="preserve">Based on these inputs, the tool will </w:t>
      </w:r>
      <w:r w:rsidR="00286BE3">
        <w:t xml:space="preserve">calculate a proposed </w:t>
      </w:r>
      <w:r>
        <w:t xml:space="preserve">distribution. </w:t>
      </w:r>
    </w:p>
    <w:p w:rsidR="0062692D" w:rsidRPr="0062692D" w:rsidP="0062692D" w14:paraId="1FA8E632" w14:textId="0BD5F10E">
      <w:pPr>
        <w:pStyle w:val="Caption"/>
      </w:pPr>
      <w:r>
        <w:t>Figure</w:t>
      </w:r>
      <w:r w:rsidR="00286BE3">
        <w:t xml:space="preserve"> </w:t>
      </w:r>
      <w:r w:rsidR="00353272">
        <w:t>1</w:t>
      </w:r>
      <w:r w:rsidR="00013BE5">
        <w:t>1</w:t>
      </w:r>
      <w:r>
        <w:t xml:space="preserve">: </w:t>
      </w:r>
      <w:r w:rsidR="007E57C8">
        <w:t>Distribution</w:t>
      </w:r>
      <w:r>
        <w:t xml:space="preserve"> Assumptions</w:t>
      </w:r>
    </w:p>
    <w:p w:rsidR="000A653D" w:rsidP="00401277" w14:paraId="1732CEBD" w14:textId="5172B311">
      <w:pPr>
        <w:pStyle w:val="BodyText"/>
      </w:pPr>
      <w:r>
        <w:rPr>
          <w:noProof/>
        </w:rPr>
        <w:drawing>
          <wp:inline distT="0" distB="0" distL="0" distR="0">
            <wp:extent cx="5732145" cy="139954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21"/>
                    <a:stretch>
                      <a:fillRect/>
                    </a:stretch>
                  </pic:blipFill>
                  <pic:spPr>
                    <a:xfrm>
                      <a:off x="0" y="0"/>
                      <a:ext cx="5732145" cy="1399540"/>
                    </a:xfrm>
                    <a:prstGeom prst="rect">
                      <a:avLst/>
                    </a:prstGeom>
                  </pic:spPr>
                </pic:pic>
              </a:graphicData>
            </a:graphic>
          </wp:inline>
        </w:drawing>
      </w:r>
    </w:p>
    <w:p w:rsidR="00401277" w:rsidP="00401277" w14:paraId="068FB527" w14:textId="77777777">
      <w:pPr>
        <w:pStyle w:val="Heading1"/>
      </w:pPr>
      <w:bookmarkStart w:id="59" w:name="_Toc130497987"/>
      <w:r>
        <w:rPr>
          <w:rFonts w:eastAsia="Times New Roman" w:cs="Times New Roman"/>
          <w:szCs w:val="24"/>
        </w:rPr>
        <w:t>Model Assumption Outputs (Assumptions Processing)</w:t>
      </w:r>
      <w:bookmarkEnd w:id="59"/>
    </w:p>
    <w:p w:rsidR="00401277" w:rsidP="00401277" w14:paraId="52255A34" w14:textId="77777777">
      <w:pPr>
        <w:rPr>
          <w:rFonts w:eastAsia="Times New Roman" w:cs="Times New Roman"/>
          <w:szCs w:val="24"/>
        </w:rPr>
      </w:pPr>
    </w:p>
    <w:p w:rsidR="00401277" w:rsidRPr="001A5B52" w:rsidP="00401277" w14:paraId="3E9769A3" w14:textId="0CFA4692">
      <w:pPr>
        <w:pStyle w:val="BodyText"/>
      </w:pPr>
      <w:r>
        <w:t xml:space="preserve">The “Assumptions Processing” worksheet </w:t>
      </w:r>
      <w:r w:rsidR="000569B3">
        <w:t xml:space="preserve">is a processing worksheet that </w:t>
      </w:r>
      <w:r>
        <w:t xml:space="preserve">structures the inputs from the control panel to produce outputs in the financial statement. </w:t>
      </w:r>
    </w:p>
    <w:p w:rsidR="00401277" w:rsidRPr="004C169B" w:rsidP="00401277" w14:paraId="51BC57AC" w14:textId="77777777">
      <w:pPr>
        <w:pStyle w:val="BodyText"/>
        <w:rPr>
          <w:b/>
          <w:bCs/>
        </w:rPr>
      </w:pPr>
      <w:r>
        <w:rPr>
          <w:b/>
          <w:bCs/>
        </w:rPr>
        <w:t>Instructions:</w:t>
      </w:r>
    </w:p>
    <w:p w:rsidR="00401277" w:rsidP="00401277" w14:paraId="417C49EF" w14:textId="02491D89">
      <w:pPr>
        <w:pStyle w:val="BodyText"/>
        <w:numPr>
          <w:ilvl w:val="0"/>
          <w:numId w:val="34"/>
        </w:numPr>
      </w:pPr>
      <w:r>
        <w:t xml:space="preserve">This worksheet is entirely driven by the control panel; </w:t>
      </w:r>
      <w:r w:rsidR="00734660">
        <w:t xml:space="preserve">there are no </w:t>
      </w:r>
      <w:r>
        <w:t xml:space="preserve">inputs </w:t>
      </w:r>
      <w:r w:rsidR="00734660">
        <w:t xml:space="preserve">in </w:t>
      </w:r>
      <w:r>
        <w:t>this worksheet for the model to produce outputs</w:t>
      </w:r>
    </w:p>
    <w:p w:rsidR="000A653D" w14:paraId="0E5C6A60" w14:textId="05F66C88">
      <w:pPr>
        <w:pStyle w:val="Caption"/>
      </w:pPr>
      <w:r>
        <w:rPr>
          <w:noProof/>
        </w:rPr>
        <w:t>Figure 12</w:t>
      </w:r>
      <w:r>
        <w:t>: Assumptions Processing Tab</w:t>
      </w:r>
    </w:p>
    <w:p w:rsidR="00401277" w:rsidP="003F5074" w14:paraId="381B614A" w14:textId="298D4F4C">
      <w:pPr>
        <w:pStyle w:val="BodyText"/>
        <w:rPr>
          <w:noProof/>
        </w:rPr>
      </w:pPr>
      <w:r>
        <w:rPr>
          <w:noProof/>
        </w:rPr>
        <w:drawing>
          <wp:inline distT="0" distB="0" distL="0" distR="0">
            <wp:extent cx="5732145" cy="2703830"/>
            <wp:effectExtent l="38100" t="38100" r="97155" b="965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22"/>
                    <a:stretch>
                      <a:fillRect/>
                    </a:stretch>
                  </pic:blipFill>
                  <pic:spPr>
                    <a:xfrm>
                      <a:off x="0" y="0"/>
                      <a:ext cx="5732145" cy="270383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0D7013E0" w14:textId="77777777">
      <w:pPr>
        <w:pStyle w:val="Heading1"/>
      </w:pPr>
      <w:bookmarkStart w:id="60" w:name="_Toc130497988"/>
      <w:r>
        <w:rPr>
          <w:rFonts w:eastAsia="Times New Roman" w:cs="Times New Roman"/>
          <w:szCs w:val="24"/>
        </w:rPr>
        <w:t>Depreciation Schedule</w:t>
      </w:r>
      <w:bookmarkEnd w:id="60"/>
    </w:p>
    <w:p w:rsidR="00556794" w:rsidP="00401277" w14:paraId="0B962CD9" w14:textId="77777777">
      <w:pPr>
        <w:rPr>
          <w:rFonts w:eastAsia="Times New Roman" w:cs="Times New Roman"/>
          <w:szCs w:val="24"/>
        </w:rPr>
      </w:pPr>
    </w:p>
    <w:p w:rsidR="00EA17E0" w:rsidP="00401277" w14:paraId="24F6A31D" w14:textId="7337EE1A">
      <w:pPr>
        <w:rPr>
          <w:rFonts w:eastAsia="Times New Roman" w:cs="Times New Roman"/>
          <w:szCs w:val="24"/>
        </w:rPr>
      </w:pPr>
      <w:r>
        <w:rPr>
          <w:rFonts w:eastAsia="Times New Roman" w:cs="Times New Roman"/>
          <w:szCs w:val="24"/>
        </w:rPr>
        <w:t xml:space="preserve">The </w:t>
      </w:r>
      <w:r w:rsidR="007B101D">
        <w:rPr>
          <w:rFonts w:eastAsia="Times New Roman" w:cs="Times New Roman"/>
          <w:szCs w:val="24"/>
        </w:rPr>
        <w:t>“D</w:t>
      </w:r>
      <w:r>
        <w:rPr>
          <w:rFonts w:eastAsia="Times New Roman" w:cs="Times New Roman"/>
          <w:szCs w:val="24"/>
        </w:rPr>
        <w:t xml:space="preserve">epreciation </w:t>
      </w:r>
      <w:r w:rsidR="007B101D">
        <w:rPr>
          <w:rFonts w:eastAsia="Times New Roman" w:cs="Times New Roman"/>
          <w:szCs w:val="24"/>
        </w:rPr>
        <w:t xml:space="preserve">Schedule” worksheet </w:t>
      </w:r>
      <w:r>
        <w:rPr>
          <w:rFonts w:eastAsia="Times New Roman" w:cs="Times New Roman"/>
          <w:szCs w:val="24"/>
        </w:rPr>
        <w:t xml:space="preserve">calculates </w:t>
      </w:r>
      <w:r w:rsidR="007B101D">
        <w:rPr>
          <w:rFonts w:eastAsia="Times New Roman" w:cs="Times New Roman"/>
          <w:szCs w:val="24"/>
        </w:rPr>
        <w:t>the depreciation of the project’s capital costs</w:t>
      </w:r>
      <w:r w:rsidR="007D2D61">
        <w:rPr>
          <w:rFonts w:eastAsia="Times New Roman" w:cs="Times New Roman"/>
          <w:szCs w:val="24"/>
        </w:rPr>
        <w:t xml:space="preserve"> and the estimates the benefit </w:t>
      </w:r>
      <w:r w:rsidR="00E420B9">
        <w:rPr>
          <w:rFonts w:eastAsia="Times New Roman" w:cs="Times New Roman"/>
          <w:szCs w:val="24"/>
        </w:rPr>
        <w:t>from the Investment Tax Credit</w:t>
      </w:r>
      <w:r w:rsidR="0066678E">
        <w:rPr>
          <w:rFonts w:eastAsia="Times New Roman" w:cs="Times New Roman"/>
          <w:szCs w:val="24"/>
        </w:rPr>
        <w:t xml:space="preserve"> (ITC)</w:t>
      </w:r>
      <w:r>
        <w:rPr>
          <w:rFonts w:eastAsia="Times New Roman" w:cs="Times New Roman"/>
          <w:szCs w:val="24"/>
        </w:rPr>
        <w:t>.</w:t>
      </w:r>
    </w:p>
    <w:p w:rsidR="006129E3" w:rsidP="00BB682A" w14:paraId="59962ECF" w14:textId="3FD8A403">
      <w:pPr>
        <w:pStyle w:val="BodyText"/>
        <w:numPr>
          <w:ilvl w:val="0"/>
          <w:numId w:val="36"/>
        </w:numPr>
        <w:rPr>
          <w:b/>
          <w:bCs/>
        </w:rPr>
      </w:pPr>
      <w:r>
        <w:t xml:space="preserve">All depreciation is calculated on a straight-line basis (i.e., </w:t>
      </w:r>
      <w:r w:rsidR="002847B8">
        <w:t>the depreciation expense is equal across the depreciable life of the asset)</w:t>
      </w:r>
    </w:p>
    <w:p w:rsidR="00E71DEE" w:rsidP="00E71DEE" w14:paraId="542B50C5" w14:textId="3CFC2D3D">
      <w:pPr>
        <w:pStyle w:val="BodyText"/>
        <w:numPr>
          <w:ilvl w:val="0"/>
          <w:numId w:val="34"/>
        </w:numPr>
      </w:pPr>
      <w:r>
        <w:t>This worksheet is entirely driven by the control panel</w:t>
      </w:r>
      <w:r w:rsidR="001F1CD1">
        <w:t xml:space="preserve"> </w:t>
      </w:r>
    </w:p>
    <w:p w:rsidR="001F1CD1" w:rsidP="00EC71F6" w14:paraId="010AD8CF" w14:textId="2963480E">
      <w:pPr>
        <w:pStyle w:val="BodyText"/>
        <w:numPr>
          <w:ilvl w:val="0"/>
          <w:numId w:val="34"/>
        </w:numPr>
      </w:pPr>
      <w:r>
        <w:t xml:space="preserve">Each applicant should show a depreciation schedule that accurately reflects </w:t>
      </w:r>
      <w:r w:rsidR="001F4FAE">
        <w:t xml:space="preserve">its </w:t>
      </w:r>
      <w:r>
        <w:t xml:space="preserve">project </w:t>
      </w:r>
    </w:p>
    <w:p w:rsidR="001F1CD1" w:rsidP="001F1CD1" w14:paraId="7029677A" w14:textId="77777777">
      <w:pPr>
        <w:pStyle w:val="BodyText"/>
        <w:ind w:left="360"/>
      </w:pPr>
    </w:p>
    <w:p w:rsidR="001B2DB6" w:rsidP="001F1CD1" w14:paraId="6055EC54" w14:textId="182C2237">
      <w:pPr>
        <w:pStyle w:val="BodyText"/>
        <w:ind w:left="360"/>
      </w:pPr>
      <w:r>
        <w:t xml:space="preserve">The ITC </w:t>
      </w:r>
      <w:r w:rsidR="00773270">
        <w:t xml:space="preserve">rebate </w:t>
      </w:r>
      <w:r w:rsidR="00B557CC">
        <w:t xml:space="preserve">is calculated by multiplying each of </w:t>
      </w:r>
      <w:r w:rsidR="002C7A42">
        <w:t xml:space="preserve">the capital investment </w:t>
      </w:r>
      <w:r w:rsidR="004E40E9">
        <w:t>types</w:t>
      </w:r>
      <w:r w:rsidR="00E74343">
        <w:t xml:space="preserve"> </w:t>
      </w:r>
      <w:r w:rsidR="00E74343">
        <w:t>in a given year</w:t>
      </w:r>
      <w:r w:rsidR="004E40E9">
        <w:t xml:space="preserve"> (e.g., construction</w:t>
      </w:r>
      <w:r w:rsidR="00D00E1B">
        <w:t xml:space="preserve"> year 1 investment</w:t>
      </w:r>
      <w:r w:rsidR="004E40E9">
        <w:t>)</w:t>
      </w:r>
      <w:r w:rsidR="002C7A42">
        <w:t xml:space="preserve"> by </w:t>
      </w:r>
      <w:r w:rsidR="003D7FBD">
        <w:t>(</w:t>
      </w:r>
      <w:r w:rsidR="00D36C8F">
        <w:t>1</w:t>
      </w:r>
      <w:r w:rsidR="00773270">
        <w:t xml:space="preserve"> </w:t>
      </w:r>
      <w:r w:rsidR="00D36C8F">
        <w:t>-</w:t>
      </w:r>
      <w:r w:rsidR="001318CF">
        <w:t xml:space="preserve"> </w:t>
      </w:r>
      <w:r w:rsidR="003C43D5">
        <w:t>effective ITC</w:t>
      </w:r>
      <w:r w:rsidR="00D047BA">
        <w:t xml:space="preserve"> rate</w:t>
      </w:r>
      <w:r w:rsidR="00D36C8F">
        <w:t xml:space="preserve">), and then subtracting that value from the </w:t>
      </w:r>
      <w:r w:rsidR="00E74343">
        <w:t>original investment</w:t>
      </w:r>
      <w:r w:rsidR="00773270">
        <w:t>.</w:t>
      </w:r>
    </w:p>
    <w:p w:rsidR="000A653D" w14:paraId="20A4A1A4" w14:textId="1155E946">
      <w:pPr>
        <w:pStyle w:val="Caption"/>
      </w:pPr>
      <w:r>
        <w:t xml:space="preserve">Figure </w:t>
      </w:r>
      <w:r w:rsidR="005E596A">
        <w:rPr>
          <w:noProof/>
        </w:rPr>
        <w:t>1</w:t>
      </w:r>
      <w:r w:rsidR="00013BE5">
        <w:rPr>
          <w:noProof/>
        </w:rPr>
        <w:t>3</w:t>
      </w:r>
      <w:r>
        <w:t>: Depreciation Schedule and ITC Tab</w:t>
      </w:r>
    </w:p>
    <w:p w:rsidR="00662B1B" w:rsidRPr="00BB682A" w:rsidP="00BB682A" w14:paraId="25E3A5F6" w14:textId="2D27ECB4">
      <w:pPr>
        <w:pStyle w:val="BodyText"/>
        <w:rPr>
          <w:strike/>
        </w:rPr>
      </w:pPr>
      <w:r>
        <w:rPr>
          <w:noProof/>
        </w:rPr>
        <w:drawing>
          <wp:inline distT="0" distB="0" distL="0" distR="0">
            <wp:extent cx="5732145" cy="3613785"/>
            <wp:effectExtent l="0" t="0" r="190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3"/>
                    <a:stretch>
                      <a:fillRect/>
                    </a:stretch>
                  </pic:blipFill>
                  <pic:spPr>
                    <a:xfrm>
                      <a:off x="0" y="0"/>
                      <a:ext cx="5732145" cy="3613785"/>
                    </a:xfrm>
                    <a:prstGeom prst="rect">
                      <a:avLst/>
                    </a:prstGeom>
                  </pic:spPr>
                </pic:pic>
              </a:graphicData>
            </a:graphic>
          </wp:inline>
        </w:drawing>
      </w:r>
    </w:p>
    <w:p w:rsidR="001A5B52" w:rsidP="001A5B52" w14:paraId="4810E1E6" w14:textId="4AB7094C">
      <w:pPr>
        <w:pStyle w:val="BodyText"/>
      </w:pPr>
    </w:p>
    <w:p w:rsidR="00401277" w:rsidP="00401277" w14:paraId="51CC53D9" w14:textId="050C1586">
      <w:pPr>
        <w:pStyle w:val="Heading1"/>
        <w:rPr>
          <w:rFonts w:eastAsia="Times New Roman" w:cs="Times New Roman"/>
          <w:szCs w:val="24"/>
        </w:rPr>
      </w:pPr>
      <w:bookmarkStart w:id="61" w:name="_Toc130497989"/>
      <w:r>
        <w:rPr>
          <w:rFonts w:eastAsia="Times New Roman" w:cs="Times New Roman"/>
          <w:szCs w:val="24"/>
        </w:rPr>
        <w:t xml:space="preserve">Outputs: </w:t>
      </w:r>
      <w:r>
        <w:rPr>
          <w:rFonts w:eastAsia="Times New Roman" w:cs="Times New Roman"/>
          <w:szCs w:val="24"/>
        </w:rPr>
        <w:t>Income Statement, Cash Flow Model, Balance Sheet</w:t>
      </w:r>
      <w:bookmarkEnd w:id="61"/>
    </w:p>
    <w:p w:rsidR="007664CB" w:rsidP="007664CB" w14:paraId="751358AD" w14:textId="77777777">
      <w:pPr>
        <w:pStyle w:val="BodyText"/>
      </w:pPr>
    </w:p>
    <w:p w:rsidR="00FA7605" w:rsidP="00BB682A" w14:paraId="6E6A2BD8" w14:textId="209CC9E6">
      <w:pPr>
        <w:pStyle w:val="BodyText"/>
      </w:pPr>
      <w:r>
        <w:t xml:space="preserve">The Financial model contains three </w:t>
      </w:r>
      <w:r w:rsidR="00355C44">
        <w:t xml:space="preserve">output tabs, each summarizing a different financial statement. There are no </w:t>
      </w:r>
      <w:r w:rsidR="00505021">
        <w:t xml:space="preserve">inputs in any of these </w:t>
      </w:r>
      <w:r w:rsidR="007E57C8">
        <w:t xml:space="preserve">tabs </w:t>
      </w:r>
      <w:r w:rsidR="00505021">
        <w:t>and they are intended to act as reference outputs only.</w:t>
      </w:r>
      <w:r w:rsidR="007E57C8">
        <w:t xml:space="preserve"> The sections below are designed to give an example of how these financial statements could be linked and presented. </w:t>
      </w:r>
    </w:p>
    <w:p w:rsidR="007664CB" w:rsidRPr="00BB682A" w:rsidP="00BB682A" w14:paraId="5F6F28C9" w14:textId="6CBB8D49">
      <w:pPr>
        <w:pStyle w:val="BodyText"/>
      </w:pPr>
      <w:r>
        <w:t xml:space="preserve">The following sub-sections provide an </w:t>
      </w:r>
      <w:r w:rsidR="00505021">
        <w:t>overview of each worksheet.</w:t>
      </w:r>
    </w:p>
    <w:p w:rsidR="00401277" w:rsidP="00401277" w14:paraId="26B99243" w14:textId="77777777">
      <w:pPr>
        <w:pStyle w:val="Heading2"/>
      </w:pPr>
      <w:bookmarkStart w:id="62" w:name="_Toc130497990"/>
      <w:r>
        <w:t>Income Statement</w:t>
      </w:r>
      <w:bookmarkEnd w:id="62"/>
    </w:p>
    <w:p w:rsidR="00F66AFF" w:rsidP="00F66AFF" w14:paraId="00B4E30D" w14:textId="77777777">
      <w:pPr>
        <w:pStyle w:val="BodyText"/>
      </w:pPr>
    </w:p>
    <w:p w:rsidR="00F66AFF" w:rsidP="00F66AFF" w14:paraId="05CFF9F6" w14:textId="4ED35761">
      <w:pPr>
        <w:pStyle w:val="BodyText"/>
      </w:pPr>
      <w:r>
        <w:t>The “Income Statement” worksheet shows the income, or profit and loss, statement that has been generated using the assumptions entered on the “Control Panel” worksheet. This worksheet shows the revenues and operating expenses in absolute terms ($USD).</w:t>
      </w:r>
    </w:p>
    <w:p w:rsidR="001D7E60" w:rsidP="001D7E60" w14:paraId="0AE7FC1B" w14:textId="4A195884">
      <w:pPr>
        <w:pStyle w:val="Caption"/>
      </w:pPr>
      <w:r>
        <w:t xml:space="preserve">Figure </w:t>
      </w:r>
      <w:r w:rsidR="00144587">
        <w:fldChar w:fldCharType="begin"/>
      </w:r>
      <w:r w:rsidR="00144587">
        <w:instrText xml:space="preserve"> SEQ Figure \* ARABIC </w:instrText>
      </w:r>
      <w:r w:rsidR="00144587">
        <w:fldChar w:fldCharType="separate"/>
      </w:r>
      <w:r>
        <w:rPr>
          <w:noProof/>
        </w:rPr>
        <w:t>2</w:t>
      </w:r>
      <w:r w:rsidR="00144587">
        <w:rPr>
          <w:noProof/>
        </w:rPr>
        <w:fldChar w:fldCharType="end"/>
      </w:r>
      <w:r>
        <w:t xml:space="preserve">: </w:t>
      </w:r>
      <w:r w:rsidRPr="006D7119">
        <w:t>Project Income Statement</w:t>
      </w:r>
    </w:p>
    <w:p w:rsidR="001D7E60" w:rsidRPr="001D7E60" w:rsidP="001D7E60" w14:paraId="0589097F" w14:textId="05CBA4AD">
      <w:pPr>
        <w:pStyle w:val="BodyText"/>
      </w:pPr>
      <w:r>
        <w:rPr>
          <w:noProof/>
        </w:rPr>
        <w:drawing>
          <wp:inline distT="0" distB="0" distL="0" distR="0">
            <wp:extent cx="5732145" cy="5014595"/>
            <wp:effectExtent l="38100" t="38100" r="97155" b="908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4"/>
                    <a:stretch>
                      <a:fillRect/>
                    </a:stretch>
                  </pic:blipFill>
                  <pic:spPr>
                    <a:xfrm>
                      <a:off x="0" y="0"/>
                      <a:ext cx="5732145" cy="501459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BB682A" w:rsidRPr="003F5074" w:rsidP="003F5074" w14:paraId="24CE35DA" w14:textId="0DA14890">
      <w:pPr>
        <w:pStyle w:val="BodyText"/>
      </w:pPr>
      <w:r w:rsidRPr="00D26DBC">
        <w:rPr>
          <w:noProof/>
        </w:rPr>
        <w:t xml:space="preserve"> </w:t>
      </w:r>
      <w:r w:rsidRPr="0026064F" w:rsidR="0026064F">
        <w:rPr>
          <w:noProof/>
        </w:rPr>
        <w:t xml:space="preserve"> </w:t>
      </w:r>
      <w:r w:rsidRPr="00B0151F" w:rsidR="00B0151F">
        <w:rPr>
          <w:noProof/>
        </w:rPr>
        <w:t xml:space="preserve"> </w:t>
      </w:r>
    </w:p>
    <w:p w:rsidR="00401277" w:rsidP="00401277" w14:paraId="382CD36E" w14:textId="6BD6A6E9">
      <w:pPr>
        <w:pStyle w:val="Heading2"/>
      </w:pPr>
      <w:bookmarkStart w:id="63" w:name="_Toc130497991"/>
      <w:r>
        <w:t>Cash Flow Model</w:t>
      </w:r>
      <w:bookmarkEnd w:id="63"/>
    </w:p>
    <w:p w:rsidR="00605844" w:rsidP="00605844" w14:paraId="74D5F7C3" w14:textId="77777777">
      <w:pPr>
        <w:pStyle w:val="BodyText"/>
      </w:pPr>
    </w:p>
    <w:p w:rsidR="00A15640" w:rsidP="00605844" w14:paraId="6B2983A2" w14:textId="77777777">
      <w:pPr>
        <w:pStyle w:val="BodyText"/>
      </w:pPr>
      <w:r>
        <w:t>The “</w:t>
      </w:r>
      <w:r>
        <w:t>CashFlow</w:t>
      </w:r>
      <w:r>
        <w:t xml:space="preserve">” worksheet has three output sections. </w:t>
      </w:r>
    </w:p>
    <w:p w:rsidR="00BB682A" w:rsidP="00BB682A" w14:paraId="0A45FF24" w14:textId="77777777">
      <w:pPr>
        <w:pStyle w:val="BodyText"/>
        <w:numPr>
          <w:ilvl w:val="0"/>
          <w:numId w:val="34"/>
        </w:numPr>
      </w:pPr>
      <w:r>
        <w:t>The first section is the cash flow statement</w:t>
      </w:r>
      <w:r w:rsidR="007F6059">
        <w:t xml:space="preserve"> </w:t>
      </w:r>
      <w:r w:rsidR="00027C97">
        <w:t>for the project</w:t>
      </w:r>
      <w:r w:rsidR="00A15640">
        <w:t xml:space="preserve">. </w:t>
      </w:r>
    </w:p>
    <w:p w:rsidR="00BB682A" w:rsidP="00BB682A" w14:paraId="12EF3465" w14:textId="6CA88062">
      <w:pPr>
        <w:pStyle w:val="BodyText"/>
        <w:numPr>
          <w:ilvl w:val="0"/>
          <w:numId w:val="34"/>
        </w:numPr>
      </w:pPr>
      <w:r>
        <w:t>The second is the debt service coverage analysis. This shows the project’s ability to pay debt service in each period.</w:t>
      </w:r>
    </w:p>
    <w:p w:rsidR="00BB682A" w:rsidP="00BB682A" w14:paraId="3647221F" w14:textId="77777777">
      <w:pPr>
        <w:pStyle w:val="BodyText"/>
        <w:numPr>
          <w:ilvl w:val="0"/>
          <w:numId w:val="34"/>
        </w:numPr>
      </w:pPr>
      <w:r>
        <w:t>The final section is the cash flow to equity which shows the cashflows for the equity position in the project. Equity investments reflect outflows for the equity holder from equity injections and equity payouts reflect cash inflows from the project to the equity holder.</w:t>
      </w:r>
    </w:p>
    <w:p w:rsidR="007F6059" w:rsidP="00605844" w14:paraId="1F639D66" w14:textId="7DB9D1FE">
      <w:pPr>
        <w:pStyle w:val="BodyText"/>
      </w:pPr>
    </w:p>
    <w:p w:rsidR="000A653D" w14:paraId="3C9FB4A9" w14:textId="784047F3">
      <w:pPr>
        <w:pStyle w:val="Caption"/>
      </w:pPr>
      <w:r>
        <w:t xml:space="preserve">Figure </w:t>
      </w:r>
      <w:r w:rsidR="005E596A">
        <w:rPr>
          <w:noProof/>
        </w:rPr>
        <w:t>1</w:t>
      </w:r>
      <w:r w:rsidR="00013BE5">
        <w:rPr>
          <w:noProof/>
        </w:rPr>
        <w:t>5</w:t>
      </w:r>
      <w:r>
        <w:t>: Cash Flow for Project</w:t>
      </w:r>
    </w:p>
    <w:p w:rsidR="007F6059" w:rsidP="00605844" w14:paraId="2878AFB4" w14:textId="61C18FA2">
      <w:pPr>
        <w:pStyle w:val="BodyText"/>
      </w:pPr>
      <w:r>
        <w:rPr>
          <w:noProof/>
        </w:rPr>
        <w:drawing>
          <wp:inline distT="0" distB="0" distL="0" distR="0">
            <wp:extent cx="5732145" cy="2199640"/>
            <wp:effectExtent l="38100" t="38100" r="97155" b="863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25"/>
                    <a:stretch>
                      <a:fillRect/>
                    </a:stretch>
                  </pic:blipFill>
                  <pic:spPr>
                    <a:xfrm>
                      <a:off x="0" y="0"/>
                      <a:ext cx="5732145" cy="219964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A15640" w:rsidP="00605844" w14:paraId="05E2D74E" w14:textId="77777777">
      <w:pPr>
        <w:pStyle w:val="BodyText"/>
      </w:pPr>
    </w:p>
    <w:p w:rsidR="00401277" w:rsidP="00401277" w14:paraId="2AB7FA8E" w14:textId="77777777">
      <w:pPr>
        <w:pStyle w:val="Heading2"/>
      </w:pPr>
      <w:bookmarkStart w:id="64" w:name="_Toc127051646"/>
      <w:bookmarkStart w:id="65" w:name="_Toc127051647"/>
      <w:bookmarkStart w:id="66" w:name="_Toc127051648"/>
      <w:bookmarkStart w:id="67" w:name="_Toc127051649"/>
      <w:bookmarkStart w:id="68" w:name="_Toc127051650"/>
      <w:bookmarkStart w:id="69" w:name="_Toc127051651"/>
      <w:bookmarkStart w:id="70" w:name="_Toc130497992"/>
      <w:bookmarkEnd w:id="64"/>
      <w:bookmarkEnd w:id="65"/>
      <w:bookmarkEnd w:id="66"/>
      <w:bookmarkEnd w:id="67"/>
      <w:bookmarkEnd w:id="68"/>
      <w:bookmarkEnd w:id="69"/>
      <w:r>
        <w:t>Balance Sheet</w:t>
      </w:r>
      <w:bookmarkEnd w:id="70"/>
    </w:p>
    <w:p w:rsidR="00FA7605" w:rsidP="00401277" w14:paraId="1B06F6B1" w14:textId="77777777">
      <w:pPr>
        <w:pStyle w:val="BodyText"/>
      </w:pPr>
    </w:p>
    <w:p w:rsidR="00401277" w:rsidRPr="00321CC8" w:rsidP="00401277" w14:paraId="6F13DA06" w14:textId="11B5818A">
      <w:pPr>
        <w:pStyle w:val="BodyText"/>
      </w:pPr>
      <w:r>
        <w:t xml:space="preserve">The “Balance Sheet” worksheet brings together all the flows, </w:t>
      </w:r>
      <w:r>
        <w:t>cash</w:t>
      </w:r>
      <w:r>
        <w:t xml:space="preserve"> and non-cash, to show the “accumulation” of each type of asset and liability/equity at the end of each period.</w:t>
      </w:r>
    </w:p>
    <w:p w:rsidR="00305958" w14:paraId="6584DA2D" w14:textId="27DA16A4">
      <w:pPr>
        <w:pStyle w:val="Caption"/>
      </w:pPr>
      <w:r>
        <w:t xml:space="preserve">Figure </w:t>
      </w:r>
      <w:r w:rsidR="005E596A">
        <w:rPr>
          <w:noProof/>
        </w:rPr>
        <w:t>1</w:t>
      </w:r>
      <w:r w:rsidR="00013BE5">
        <w:rPr>
          <w:noProof/>
        </w:rPr>
        <w:t>6</w:t>
      </w:r>
      <w:r>
        <w:t>: Project Balance Sheet</w:t>
      </w:r>
    </w:p>
    <w:p w:rsidR="00401277" w:rsidRPr="00187E18" w:rsidP="003F5074" w14:paraId="1A99ECE2" w14:textId="5426B101">
      <w:r>
        <w:rPr>
          <w:noProof/>
        </w:rPr>
        <w:drawing>
          <wp:inline distT="0" distB="0" distL="0" distR="0">
            <wp:extent cx="5732145" cy="1980565"/>
            <wp:effectExtent l="38100" t="38100" r="97155" b="958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26"/>
                    <a:stretch>
                      <a:fillRect/>
                    </a:stretch>
                  </pic:blipFill>
                  <pic:spPr>
                    <a:xfrm>
                      <a:off x="0" y="0"/>
                      <a:ext cx="5732145" cy="1980565"/>
                    </a:xfrm>
                    <a:prstGeom prst="rect">
                      <a:avLst/>
                    </a:prstGeom>
                    <a:effectLst>
                      <a:outerShdw blurRad="50800" dist="38100" dir="2700000" sx="100000" sy="100000" kx="0" ky="0" algn="tl" rotWithShape="0">
                        <a:prstClr val="black">
                          <a:alpha val="40000"/>
                        </a:prstClr>
                      </a:outerShdw>
                    </a:effectLst>
                  </pic:spPr>
                </pic:pic>
              </a:graphicData>
            </a:graphic>
          </wp:inline>
        </w:drawing>
      </w:r>
      <w:r w:rsidR="00331EDA">
        <w:rPr>
          <w:rFonts w:eastAsia="Times New Roman" w:cs="Times New Roman"/>
          <w:szCs w:val="24"/>
        </w:rPr>
        <w:t xml:space="preserve"> </w:t>
      </w:r>
    </w:p>
    <w:sectPr w:rsidSect="00187E18">
      <w:footerReference w:type="default" r:id="rId27"/>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5488365"/>
      <w:docPartObj>
        <w:docPartGallery w:val="Page Numbers (Bottom of Page)"/>
        <w:docPartUnique/>
      </w:docPartObj>
    </w:sdtPr>
    <w:sdtEndPr>
      <w:rPr>
        <w:noProof/>
      </w:rPr>
    </w:sdtEndPr>
    <w:sdtContent>
      <w:p w:rsidR="005E262F" w14:paraId="70DC756E" w14:textId="7C0F4F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E262F" w14:paraId="667DFC2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nsid w:val="045026AA"/>
    <w:multiLevelType w:val="hybridMultilevel"/>
    <w:tmpl w:val="873A23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AC7778"/>
    <w:multiLevelType w:val="multilevel"/>
    <w:tmpl w:val="3A1C9612"/>
    <w:numStyleLink w:val="BulletsMultilevel"/>
  </w:abstractNum>
  <w:abstractNum w:abstractNumId="3">
    <w:nsid w:val="07B670F7"/>
    <w:multiLevelType w:val="hybridMultilevel"/>
    <w:tmpl w:val="09403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35152"/>
    <w:multiLevelType w:val="hybridMultilevel"/>
    <w:tmpl w:val="DF1CC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6">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7">
    <w:nsid w:val="0A494526"/>
    <w:multiLevelType w:val="hybridMultilevel"/>
    <w:tmpl w:val="98A2ED22"/>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6E0D47"/>
    <w:multiLevelType w:val="hybridMultilevel"/>
    <w:tmpl w:val="24C4F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933769"/>
    <w:multiLevelType w:val="hybridMultilevel"/>
    <w:tmpl w:val="7110EF50"/>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55200F"/>
    <w:multiLevelType w:val="multilevel"/>
    <w:tmpl w:val="6ADC05E2"/>
    <w:numStyleLink w:val="AppendicesList"/>
  </w:abstractNum>
  <w:abstractNum w:abstractNumId="11">
    <w:nsid w:val="120E44A9"/>
    <w:multiLevelType w:val="multilevel"/>
    <w:tmpl w:val="99FE3AB8"/>
    <w:numStyleLink w:val="TableNumberedMultilevel"/>
  </w:abstractNum>
  <w:abstractNum w:abstractNumId="12">
    <w:nsid w:val="13270156"/>
    <w:multiLevelType w:val="hybridMultilevel"/>
    <w:tmpl w:val="FC5E3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C32A8"/>
    <w:multiLevelType w:val="hybridMultilevel"/>
    <w:tmpl w:val="1B76E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DF1C26"/>
    <w:multiLevelType w:val="hybridMultilevel"/>
    <w:tmpl w:val="26C0E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C547EA"/>
    <w:multiLevelType w:val="hybridMultilevel"/>
    <w:tmpl w:val="51AED7C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B3142"/>
    <w:multiLevelType w:val="hybridMultilevel"/>
    <w:tmpl w:val="641ABE8C"/>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7">
    <w:nsid w:val="25B970B7"/>
    <w:multiLevelType w:val="hybridMultilevel"/>
    <w:tmpl w:val="A3543FE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B723EE"/>
    <w:multiLevelType w:val="hybridMultilevel"/>
    <w:tmpl w:val="1DFA5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20">
    <w:nsid w:val="2D19449D"/>
    <w:multiLevelType w:val="hybridMultilevel"/>
    <w:tmpl w:val="FA96D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3B609C"/>
    <w:multiLevelType w:val="hybridMultilevel"/>
    <w:tmpl w:val="0C545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5058CB"/>
    <w:multiLevelType w:val="hybridMultilevel"/>
    <w:tmpl w:val="4AE21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24">
    <w:nsid w:val="3CE56D1A"/>
    <w:multiLevelType w:val="hybridMultilevel"/>
    <w:tmpl w:val="C08C5BE4"/>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6">
    <w:nsid w:val="3F061847"/>
    <w:multiLevelType w:val="hybridMultilevel"/>
    <w:tmpl w:val="488EF4DC"/>
    <w:lvl w:ilvl="0">
      <w:start w:val="1"/>
      <w:numFmt w:val="bullet"/>
      <w:lvlText w:val=""/>
      <w:lvlJc w:val="left"/>
      <w:pPr>
        <w:ind w:left="769" w:hanging="360"/>
      </w:pPr>
      <w:rPr>
        <w:rFonts w:ascii="Symbol" w:hAnsi="Symbol" w:hint="default"/>
      </w:rPr>
    </w:lvl>
    <w:lvl w:ilvl="1" w:tentative="1">
      <w:start w:val="1"/>
      <w:numFmt w:val="bullet"/>
      <w:lvlText w:val="o"/>
      <w:lvlJc w:val="left"/>
      <w:pPr>
        <w:ind w:left="1489" w:hanging="360"/>
      </w:pPr>
      <w:rPr>
        <w:rFonts w:ascii="Courier New" w:hAnsi="Courier New" w:cs="Courier New" w:hint="default"/>
      </w:rPr>
    </w:lvl>
    <w:lvl w:ilvl="2" w:tentative="1">
      <w:start w:val="1"/>
      <w:numFmt w:val="bullet"/>
      <w:lvlText w:val=""/>
      <w:lvlJc w:val="left"/>
      <w:pPr>
        <w:ind w:left="2209" w:hanging="360"/>
      </w:pPr>
      <w:rPr>
        <w:rFonts w:ascii="Wingdings" w:hAnsi="Wingdings" w:hint="default"/>
      </w:rPr>
    </w:lvl>
    <w:lvl w:ilvl="3" w:tentative="1">
      <w:start w:val="1"/>
      <w:numFmt w:val="bullet"/>
      <w:lvlText w:val=""/>
      <w:lvlJc w:val="left"/>
      <w:pPr>
        <w:ind w:left="2929" w:hanging="360"/>
      </w:pPr>
      <w:rPr>
        <w:rFonts w:ascii="Symbol" w:hAnsi="Symbol" w:hint="default"/>
      </w:rPr>
    </w:lvl>
    <w:lvl w:ilvl="4" w:tentative="1">
      <w:start w:val="1"/>
      <w:numFmt w:val="bullet"/>
      <w:lvlText w:val="o"/>
      <w:lvlJc w:val="left"/>
      <w:pPr>
        <w:ind w:left="3649" w:hanging="360"/>
      </w:pPr>
      <w:rPr>
        <w:rFonts w:ascii="Courier New" w:hAnsi="Courier New" w:cs="Courier New" w:hint="default"/>
      </w:rPr>
    </w:lvl>
    <w:lvl w:ilvl="5" w:tentative="1">
      <w:start w:val="1"/>
      <w:numFmt w:val="bullet"/>
      <w:lvlText w:val=""/>
      <w:lvlJc w:val="left"/>
      <w:pPr>
        <w:ind w:left="4369" w:hanging="360"/>
      </w:pPr>
      <w:rPr>
        <w:rFonts w:ascii="Wingdings" w:hAnsi="Wingdings" w:hint="default"/>
      </w:rPr>
    </w:lvl>
    <w:lvl w:ilvl="6" w:tentative="1">
      <w:start w:val="1"/>
      <w:numFmt w:val="bullet"/>
      <w:lvlText w:val=""/>
      <w:lvlJc w:val="left"/>
      <w:pPr>
        <w:ind w:left="5089" w:hanging="360"/>
      </w:pPr>
      <w:rPr>
        <w:rFonts w:ascii="Symbol" w:hAnsi="Symbol" w:hint="default"/>
      </w:rPr>
    </w:lvl>
    <w:lvl w:ilvl="7" w:tentative="1">
      <w:start w:val="1"/>
      <w:numFmt w:val="bullet"/>
      <w:lvlText w:val="o"/>
      <w:lvlJc w:val="left"/>
      <w:pPr>
        <w:ind w:left="5809" w:hanging="360"/>
      </w:pPr>
      <w:rPr>
        <w:rFonts w:ascii="Courier New" w:hAnsi="Courier New" w:cs="Courier New" w:hint="default"/>
      </w:rPr>
    </w:lvl>
    <w:lvl w:ilvl="8" w:tentative="1">
      <w:start w:val="1"/>
      <w:numFmt w:val="bullet"/>
      <w:lvlText w:val=""/>
      <w:lvlJc w:val="left"/>
      <w:pPr>
        <w:ind w:left="6529" w:hanging="360"/>
      </w:pPr>
      <w:rPr>
        <w:rFonts w:ascii="Wingdings" w:hAnsi="Wingdings" w:hint="default"/>
      </w:rPr>
    </w:lvl>
  </w:abstractNum>
  <w:abstractNum w:abstractNumId="27">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8">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9">
    <w:nsid w:val="53F8285A"/>
    <w:multiLevelType w:val="hybridMultilevel"/>
    <w:tmpl w:val="6E5E6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906D31"/>
    <w:multiLevelType w:val="hybridMultilevel"/>
    <w:tmpl w:val="7DB88CB8"/>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DB1134"/>
    <w:multiLevelType w:val="hybridMultilevel"/>
    <w:tmpl w:val="62F82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7F7D0C"/>
    <w:multiLevelType w:val="multilevel"/>
    <w:tmpl w:val="6076FB1C"/>
    <w:styleLink w:val="ListContinueMultilevel"/>
    <w:lvl w:ilvl="0">
      <w:start w:val="1"/>
      <w:numFmt w:val="none"/>
      <w:pStyle w:val="ListContinue"/>
      <w:suff w:val="nothing"/>
      <w:lvlJc w:val="left"/>
      <w:pPr>
        <w:ind w:left="360" w:firstLine="0"/>
      </w:pPr>
      <w:rPr>
        <w:rFonts w:hint="default"/>
      </w:rPr>
    </w:lvl>
    <w:lvl w:ilvl="1">
      <w:start w:val="1"/>
      <w:numFmt w:val="none"/>
      <w:pStyle w:val="ListContinue2"/>
      <w:suff w:val="nothing"/>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Jc w:val="left"/>
      <w:pPr>
        <w:ind w:left="1440" w:firstLine="0"/>
      </w:pPr>
      <w:rPr>
        <w:rFonts w:hint="default"/>
      </w:rPr>
    </w:lvl>
    <w:lvl w:ilvl="4">
      <w:start w:val="1"/>
      <w:numFmt w:val="none"/>
      <w:pStyle w:val="ListContinue5"/>
      <w:suff w:val="nothing"/>
      <w:lvlJc w:val="left"/>
      <w:pPr>
        <w:ind w:left="1800" w:firstLine="0"/>
      </w:pPr>
      <w:rPr>
        <w:rFonts w:hint="default"/>
      </w:rPr>
    </w:lvl>
    <w:lvl w:ilvl="5">
      <w:start w:val="1"/>
      <w:numFmt w:val="none"/>
      <w:pStyle w:val="ListContinue6"/>
      <w:suff w:val="nothing"/>
      <w:lvlJc w:val="left"/>
      <w:pPr>
        <w:ind w:left="2160" w:firstLine="0"/>
      </w:pPr>
      <w:rPr>
        <w:rFonts w:hint="default"/>
      </w:rPr>
    </w:lvl>
    <w:lvl w:ilvl="6">
      <w:start w:val="1"/>
      <w:numFmt w:val="none"/>
      <w:pStyle w:val="ListContinue7"/>
      <w:suff w:val="nothing"/>
      <w:lvlJc w:val="left"/>
      <w:pPr>
        <w:ind w:left="2520" w:firstLine="0"/>
      </w:pPr>
      <w:rPr>
        <w:rFonts w:hint="default"/>
      </w:rPr>
    </w:lvl>
    <w:lvl w:ilvl="7">
      <w:start w:val="1"/>
      <w:numFmt w:val="none"/>
      <w:pStyle w:val="ListContinue8"/>
      <w:suff w:val="nothing"/>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3">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4">
    <w:nsid w:val="58253AD2"/>
    <w:multiLevelType w:val="hybridMultilevel"/>
    <w:tmpl w:val="9A5EA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DE1F72"/>
    <w:multiLevelType w:val="hybridMultilevel"/>
    <w:tmpl w:val="3050B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213AAF"/>
    <w:multiLevelType w:val="hybridMultilevel"/>
    <w:tmpl w:val="18783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E33EAC"/>
    <w:multiLevelType w:val="multilevel"/>
    <w:tmpl w:val="05BEC466"/>
    <w:styleLink w:val="HeadingsUList"/>
    <w:lvl w:ilvl="0">
      <w:start w:val="1"/>
      <w:numFmt w:val="none"/>
      <w:pStyle w:val="HeadingU"/>
      <w:suff w:val="nothing"/>
      <w:lvlJc w:val="left"/>
      <w:pPr>
        <w:ind w:left="0" w:firstLine="0"/>
      </w:pPr>
      <w:rPr>
        <w:rFonts w:hint="default"/>
      </w:rPr>
    </w:lvl>
    <w:lvl w:ilvl="1">
      <w:start w:val="1"/>
      <w:numFmt w:val="none"/>
      <w:pStyle w:val="HeadingU2"/>
      <w:suff w:val="nothing"/>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Jc w:val="left"/>
      <w:pPr>
        <w:ind w:left="0" w:firstLine="0"/>
      </w:pPr>
      <w:rPr>
        <w:rFonts w:hint="default"/>
      </w:rPr>
    </w:lvl>
    <w:lvl w:ilvl="4">
      <w:start w:val="1"/>
      <w:numFmt w:val="none"/>
      <w:pStyle w:val="HeadingU5"/>
      <w:suff w:val="nothing"/>
      <w:lvlJc w:val="left"/>
      <w:pPr>
        <w:ind w:left="0" w:firstLine="0"/>
      </w:pPr>
      <w:rPr>
        <w:rFonts w:hint="default"/>
      </w:rPr>
    </w:lvl>
    <w:lvl w:ilvl="5">
      <w:start w:val="1"/>
      <w:numFmt w:val="none"/>
      <w:pStyle w:val="HeadingU6"/>
      <w:suff w:val="nothing"/>
      <w:lvlJc w:val="left"/>
      <w:pPr>
        <w:ind w:left="0" w:firstLine="0"/>
      </w:pPr>
      <w:rPr>
        <w:rFonts w:hint="default"/>
      </w:rPr>
    </w:lvl>
    <w:lvl w:ilvl="6">
      <w:start w:val="1"/>
      <w:numFmt w:val="none"/>
      <w:pStyle w:val="HeadingU7"/>
      <w:suff w:val="nothing"/>
      <w:lvlJc w:val="left"/>
      <w:pPr>
        <w:ind w:left="0" w:firstLine="0"/>
      </w:pPr>
      <w:rPr>
        <w:rFonts w:hint="default"/>
      </w:rPr>
    </w:lvl>
    <w:lvl w:ilvl="7">
      <w:start w:val="1"/>
      <w:numFmt w:val="none"/>
      <w:pStyle w:val="HeadingU8"/>
      <w:suff w:val="nothing"/>
      <w:lvlJc w:val="left"/>
      <w:pPr>
        <w:ind w:left="0" w:firstLine="0"/>
      </w:pPr>
      <w:rPr>
        <w:rFonts w:hint="default"/>
      </w:rPr>
    </w:lvl>
    <w:lvl w:ilvl="8">
      <w:start w:val="1"/>
      <w:numFmt w:val="none"/>
      <w:pStyle w:val="HeadingU9"/>
      <w:suff w:val="nothing"/>
      <w:lvlJc w:val="left"/>
      <w:pPr>
        <w:ind w:left="0" w:firstLine="0"/>
      </w:pPr>
      <w:rPr>
        <w:rFonts w:hint="default"/>
      </w:rPr>
    </w:lvl>
  </w:abstractNum>
  <w:abstractNum w:abstractNumId="38">
    <w:nsid w:val="6AAC2974"/>
    <w:multiLevelType w:val="hybridMultilevel"/>
    <w:tmpl w:val="F03CB362"/>
    <w:lvl w:ilvl="0">
      <w:start w:val="0"/>
      <w:numFmt w:val="bullet"/>
      <w:lvlText w:val=""/>
      <w:lvlJc w:val="left"/>
      <w:pPr>
        <w:ind w:left="-240"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42" w:hanging="360"/>
      </w:pPr>
      <w:rPr>
        <w:rFonts w:hint="default"/>
        <w:lang w:val="en-US" w:eastAsia="en-US" w:bidi="ar-SA"/>
      </w:rPr>
    </w:lvl>
    <w:lvl w:ilvl="2">
      <w:start w:val="0"/>
      <w:numFmt w:val="bullet"/>
      <w:lvlText w:val="•"/>
      <w:lvlJc w:val="left"/>
      <w:pPr>
        <w:ind w:left="1724" w:hanging="360"/>
      </w:pPr>
      <w:rPr>
        <w:rFonts w:hint="default"/>
        <w:lang w:val="en-US" w:eastAsia="en-US" w:bidi="ar-SA"/>
      </w:rPr>
    </w:lvl>
    <w:lvl w:ilvl="3">
      <w:start w:val="0"/>
      <w:numFmt w:val="bullet"/>
      <w:lvlText w:val="•"/>
      <w:lvlJc w:val="left"/>
      <w:pPr>
        <w:ind w:left="2706" w:hanging="360"/>
      </w:pPr>
      <w:rPr>
        <w:rFonts w:hint="default"/>
        <w:lang w:val="en-US" w:eastAsia="en-US" w:bidi="ar-SA"/>
      </w:rPr>
    </w:lvl>
    <w:lvl w:ilvl="4">
      <w:start w:val="0"/>
      <w:numFmt w:val="bullet"/>
      <w:lvlText w:val="•"/>
      <w:lvlJc w:val="left"/>
      <w:pPr>
        <w:ind w:left="3688" w:hanging="360"/>
      </w:pPr>
      <w:rPr>
        <w:rFonts w:hint="default"/>
        <w:lang w:val="en-US" w:eastAsia="en-US" w:bidi="ar-SA"/>
      </w:rPr>
    </w:lvl>
    <w:lvl w:ilvl="5">
      <w:start w:val="0"/>
      <w:numFmt w:val="bullet"/>
      <w:lvlText w:val="•"/>
      <w:lvlJc w:val="left"/>
      <w:pPr>
        <w:ind w:left="4670" w:hanging="360"/>
      </w:pPr>
      <w:rPr>
        <w:rFonts w:hint="default"/>
        <w:lang w:val="en-US" w:eastAsia="en-US" w:bidi="ar-SA"/>
      </w:rPr>
    </w:lvl>
    <w:lvl w:ilvl="6">
      <w:start w:val="0"/>
      <w:numFmt w:val="bullet"/>
      <w:lvlText w:val="•"/>
      <w:lvlJc w:val="left"/>
      <w:pPr>
        <w:ind w:left="5652" w:hanging="360"/>
      </w:pPr>
      <w:rPr>
        <w:rFonts w:hint="default"/>
        <w:lang w:val="en-US" w:eastAsia="en-US" w:bidi="ar-SA"/>
      </w:rPr>
    </w:lvl>
    <w:lvl w:ilvl="7">
      <w:start w:val="0"/>
      <w:numFmt w:val="bullet"/>
      <w:lvlText w:val="•"/>
      <w:lvlJc w:val="left"/>
      <w:pPr>
        <w:ind w:left="6634" w:hanging="360"/>
      </w:pPr>
      <w:rPr>
        <w:rFonts w:hint="default"/>
        <w:lang w:val="en-US" w:eastAsia="en-US" w:bidi="ar-SA"/>
      </w:rPr>
    </w:lvl>
    <w:lvl w:ilvl="8">
      <w:start w:val="0"/>
      <w:numFmt w:val="bullet"/>
      <w:lvlText w:val="•"/>
      <w:lvlJc w:val="left"/>
      <w:pPr>
        <w:ind w:left="7616" w:hanging="360"/>
      </w:pPr>
      <w:rPr>
        <w:rFonts w:hint="default"/>
        <w:lang w:val="en-US" w:eastAsia="en-US" w:bidi="ar-SA"/>
      </w:rPr>
    </w:lvl>
  </w:abstractNum>
  <w:abstractNum w:abstractNumId="39">
    <w:nsid w:val="6B637C36"/>
    <w:multiLevelType w:val="hybridMultilevel"/>
    <w:tmpl w:val="B58AD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1">
    <w:nsid w:val="79050678"/>
    <w:multiLevelType w:val="multilevel"/>
    <w:tmpl w:val="6076FB1C"/>
    <w:numStyleLink w:val="ListContinueMultilevel"/>
  </w:abstractNum>
  <w:abstractNum w:abstractNumId="42">
    <w:nsid w:val="799107F3"/>
    <w:multiLevelType w:val="hybridMultilevel"/>
    <w:tmpl w:val="1584A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71093B"/>
    <w:multiLevelType w:val="hybridMultilevel"/>
    <w:tmpl w:val="A23EB310"/>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2275933">
    <w:abstractNumId w:val="27"/>
  </w:num>
  <w:num w:numId="2" w16cid:durableId="532108484">
    <w:abstractNumId w:val="5"/>
  </w:num>
  <w:num w:numId="3" w16cid:durableId="268196192">
    <w:abstractNumId w:val="10"/>
  </w:num>
  <w:num w:numId="4" w16cid:durableId="1322780042">
    <w:abstractNumId w:val="6"/>
  </w:num>
  <w:num w:numId="5" w16cid:durableId="714814505">
    <w:abstractNumId w:val="37"/>
  </w:num>
  <w:num w:numId="6" w16cid:durableId="1066991783">
    <w:abstractNumId w:val="2"/>
  </w:num>
  <w:num w:numId="7" w16cid:durableId="1513451073">
    <w:abstractNumId w:val="32"/>
  </w:num>
  <w:num w:numId="8" w16cid:durableId="1661689492">
    <w:abstractNumId w:val="41"/>
  </w:num>
  <w:num w:numId="9" w16cid:durableId="1059596886">
    <w:abstractNumId w:val="25"/>
  </w:num>
  <w:num w:numId="10" w16cid:durableId="626861578">
    <w:abstractNumId w:val="0"/>
  </w:num>
  <w:num w:numId="11" w16cid:durableId="302124474">
    <w:abstractNumId w:val="28"/>
  </w:num>
  <w:num w:numId="12" w16cid:durableId="1670716822">
    <w:abstractNumId w:val="33"/>
  </w:num>
  <w:num w:numId="13" w16cid:durableId="1325940140">
    <w:abstractNumId w:val="33"/>
  </w:num>
  <w:num w:numId="14" w16cid:durableId="302009501">
    <w:abstractNumId w:val="23"/>
  </w:num>
  <w:num w:numId="15" w16cid:durableId="1271275105">
    <w:abstractNumId w:val="19"/>
  </w:num>
  <w:num w:numId="16" w16cid:durableId="1932614941">
    <w:abstractNumId w:val="11"/>
  </w:num>
  <w:num w:numId="17" w16cid:durableId="118185391">
    <w:abstractNumId w:val="40"/>
  </w:num>
  <w:num w:numId="18" w16cid:durableId="1107430247">
    <w:abstractNumId w:val="38"/>
  </w:num>
  <w:num w:numId="19" w16cid:durableId="2041588750">
    <w:abstractNumId w:val="8"/>
  </w:num>
  <w:num w:numId="20" w16cid:durableId="2031685734">
    <w:abstractNumId w:val="20"/>
  </w:num>
  <w:num w:numId="21" w16cid:durableId="1441341407">
    <w:abstractNumId w:val="24"/>
  </w:num>
  <w:num w:numId="22" w16cid:durableId="1023167375">
    <w:abstractNumId w:val="9"/>
  </w:num>
  <w:num w:numId="23" w16cid:durableId="504856383">
    <w:abstractNumId w:val="43"/>
  </w:num>
  <w:num w:numId="24" w16cid:durableId="1010835696">
    <w:abstractNumId w:val="7"/>
  </w:num>
  <w:num w:numId="25" w16cid:durableId="128517460">
    <w:abstractNumId w:val="30"/>
  </w:num>
  <w:num w:numId="26" w16cid:durableId="1244725293">
    <w:abstractNumId w:val="39"/>
  </w:num>
  <w:num w:numId="27" w16cid:durableId="487404659">
    <w:abstractNumId w:val="14"/>
  </w:num>
  <w:num w:numId="28" w16cid:durableId="241185976">
    <w:abstractNumId w:val="31"/>
  </w:num>
  <w:num w:numId="29" w16cid:durableId="623268559">
    <w:abstractNumId w:val="4"/>
  </w:num>
  <w:num w:numId="30" w16cid:durableId="2045133006">
    <w:abstractNumId w:val="13"/>
  </w:num>
  <w:num w:numId="31" w16cid:durableId="1924677275">
    <w:abstractNumId w:val="29"/>
  </w:num>
  <w:num w:numId="32" w16cid:durableId="322007611">
    <w:abstractNumId w:val="18"/>
  </w:num>
  <w:num w:numId="33" w16cid:durableId="1721056469">
    <w:abstractNumId w:val="26"/>
  </w:num>
  <w:num w:numId="34" w16cid:durableId="1711687169">
    <w:abstractNumId w:val="34"/>
  </w:num>
  <w:num w:numId="35" w16cid:durableId="265044359">
    <w:abstractNumId w:val="16"/>
  </w:num>
  <w:num w:numId="36" w16cid:durableId="925647875">
    <w:abstractNumId w:val="22"/>
  </w:num>
  <w:num w:numId="37" w16cid:durableId="218324265">
    <w:abstractNumId w:val="1"/>
  </w:num>
  <w:num w:numId="38" w16cid:durableId="98112757">
    <w:abstractNumId w:val="42"/>
  </w:num>
  <w:num w:numId="39" w16cid:durableId="1760100622">
    <w:abstractNumId w:val="21"/>
  </w:num>
  <w:num w:numId="40" w16cid:durableId="1628273599">
    <w:abstractNumId w:val="12"/>
  </w:num>
  <w:num w:numId="41" w16cid:durableId="376394477">
    <w:abstractNumId w:val="35"/>
  </w:num>
  <w:num w:numId="42" w16cid:durableId="1939100146">
    <w:abstractNumId w:val="17"/>
  </w:num>
  <w:num w:numId="43" w16cid:durableId="98454321">
    <w:abstractNumId w:val="15"/>
  </w:num>
  <w:num w:numId="44" w16cid:durableId="1613705610">
    <w:abstractNumId w:val="36"/>
  </w:num>
  <w:num w:numId="45" w16cid:durableId="81672714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18"/>
    <w:rsid w:val="000075F9"/>
    <w:rsid w:val="00007DB7"/>
    <w:rsid w:val="00010DEE"/>
    <w:rsid w:val="00011E7D"/>
    <w:rsid w:val="000133F1"/>
    <w:rsid w:val="00013BE5"/>
    <w:rsid w:val="00013CD8"/>
    <w:rsid w:val="00013DDE"/>
    <w:rsid w:val="000163B6"/>
    <w:rsid w:val="00020A79"/>
    <w:rsid w:val="00021B66"/>
    <w:rsid w:val="000239D7"/>
    <w:rsid w:val="00025D51"/>
    <w:rsid w:val="000268E9"/>
    <w:rsid w:val="00027C97"/>
    <w:rsid w:val="00034972"/>
    <w:rsid w:val="00040906"/>
    <w:rsid w:val="00045100"/>
    <w:rsid w:val="00047B69"/>
    <w:rsid w:val="00054550"/>
    <w:rsid w:val="000555D6"/>
    <w:rsid w:val="000569B3"/>
    <w:rsid w:val="0006061F"/>
    <w:rsid w:val="00063C0E"/>
    <w:rsid w:val="00072EF7"/>
    <w:rsid w:val="00080A32"/>
    <w:rsid w:val="00080EE8"/>
    <w:rsid w:val="00082151"/>
    <w:rsid w:val="00082969"/>
    <w:rsid w:val="00085159"/>
    <w:rsid w:val="00086F3E"/>
    <w:rsid w:val="00091FA9"/>
    <w:rsid w:val="00092CEF"/>
    <w:rsid w:val="000937E7"/>
    <w:rsid w:val="00094E80"/>
    <w:rsid w:val="000A3420"/>
    <w:rsid w:val="000A47E6"/>
    <w:rsid w:val="000A653D"/>
    <w:rsid w:val="000B37E1"/>
    <w:rsid w:val="000B523B"/>
    <w:rsid w:val="000B6B03"/>
    <w:rsid w:val="000C2B2B"/>
    <w:rsid w:val="000C6B29"/>
    <w:rsid w:val="000D51F9"/>
    <w:rsid w:val="000D6F77"/>
    <w:rsid w:val="000E1078"/>
    <w:rsid w:val="000E36DE"/>
    <w:rsid w:val="000E6594"/>
    <w:rsid w:val="000E682C"/>
    <w:rsid w:val="000E7707"/>
    <w:rsid w:val="000E793D"/>
    <w:rsid w:val="000F0ACD"/>
    <w:rsid w:val="000F0F4A"/>
    <w:rsid w:val="000F17DA"/>
    <w:rsid w:val="000F3A72"/>
    <w:rsid w:val="000F60C8"/>
    <w:rsid w:val="00100DFF"/>
    <w:rsid w:val="0010119B"/>
    <w:rsid w:val="00101B2D"/>
    <w:rsid w:val="001074B0"/>
    <w:rsid w:val="00111B37"/>
    <w:rsid w:val="00111B9C"/>
    <w:rsid w:val="001153BF"/>
    <w:rsid w:val="001172AA"/>
    <w:rsid w:val="00117580"/>
    <w:rsid w:val="001318CF"/>
    <w:rsid w:val="0014396C"/>
    <w:rsid w:val="00144587"/>
    <w:rsid w:val="00147D3F"/>
    <w:rsid w:val="00153197"/>
    <w:rsid w:val="00162D04"/>
    <w:rsid w:val="00164D26"/>
    <w:rsid w:val="00166CBF"/>
    <w:rsid w:val="00167257"/>
    <w:rsid w:val="00167644"/>
    <w:rsid w:val="0017004F"/>
    <w:rsid w:val="00170BE1"/>
    <w:rsid w:val="0017154F"/>
    <w:rsid w:val="00173030"/>
    <w:rsid w:val="0017684A"/>
    <w:rsid w:val="00176A5D"/>
    <w:rsid w:val="00176EF0"/>
    <w:rsid w:val="00177343"/>
    <w:rsid w:val="00180D3C"/>
    <w:rsid w:val="00187E18"/>
    <w:rsid w:val="00197962"/>
    <w:rsid w:val="001A1C25"/>
    <w:rsid w:val="001A285B"/>
    <w:rsid w:val="001A486D"/>
    <w:rsid w:val="001A5B52"/>
    <w:rsid w:val="001A76FD"/>
    <w:rsid w:val="001B2DB6"/>
    <w:rsid w:val="001C1D0D"/>
    <w:rsid w:val="001C4E2B"/>
    <w:rsid w:val="001C64C8"/>
    <w:rsid w:val="001C74AE"/>
    <w:rsid w:val="001D7739"/>
    <w:rsid w:val="001D7E60"/>
    <w:rsid w:val="001E0B3A"/>
    <w:rsid w:val="001E5C63"/>
    <w:rsid w:val="001E5D7C"/>
    <w:rsid w:val="001F1CD1"/>
    <w:rsid w:val="001F2C1C"/>
    <w:rsid w:val="001F4FAE"/>
    <w:rsid w:val="001F5C32"/>
    <w:rsid w:val="001F6653"/>
    <w:rsid w:val="0020323E"/>
    <w:rsid w:val="00204FF6"/>
    <w:rsid w:val="002050CF"/>
    <w:rsid w:val="00205231"/>
    <w:rsid w:val="00214936"/>
    <w:rsid w:val="00215D5D"/>
    <w:rsid w:val="0021702C"/>
    <w:rsid w:val="002178C1"/>
    <w:rsid w:val="00223945"/>
    <w:rsid w:val="00231E7C"/>
    <w:rsid w:val="00236040"/>
    <w:rsid w:val="00236263"/>
    <w:rsid w:val="00244582"/>
    <w:rsid w:val="00251D2F"/>
    <w:rsid w:val="00251D78"/>
    <w:rsid w:val="00252AC7"/>
    <w:rsid w:val="00253D07"/>
    <w:rsid w:val="0025590D"/>
    <w:rsid w:val="0026064F"/>
    <w:rsid w:val="0026327C"/>
    <w:rsid w:val="002634E9"/>
    <w:rsid w:val="002637A6"/>
    <w:rsid w:val="00264767"/>
    <w:rsid w:val="002707DE"/>
    <w:rsid w:val="0027111F"/>
    <w:rsid w:val="00273E71"/>
    <w:rsid w:val="00274685"/>
    <w:rsid w:val="00274C6C"/>
    <w:rsid w:val="0028180D"/>
    <w:rsid w:val="00281FC0"/>
    <w:rsid w:val="00283717"/>
    <w:rsid w:val="002843BF"/>
    <w:rsid w:val="002847B8"/>
    <w:rsid w:val="00284F91"/>
    <w:rsid w:val="00286BE3"/>
    <w:rsid w:val="002911C8"/>
    <w:rsid w:val="002922AB"/>
    <w:rsid w:val="00297C9A"/>
    <w:rsid w:val="002A4721"/>
    <w:rsid w:val="002A579F"/>
    <w:rsid w:val="002A5B25"/>
    <w:rsid w:val="002A5E2A"/>
    <w:rsid w:val="002B08D3"/>
    <w:rsid w:val="002B3C81"/>
    <w:rsid w:val="002B5224"/>
    <w:rsid w:val="002B788E"/>
    <w:rsid w:val="002C39CC"/>
    <w:rsid w:val="002C5244"/>
    <w:rsid w:val="002C73F7"/>
    <w:rsid w:val="002C7A42"/>
    <w:rsid w:val="002D1ADB"/>
    <w:rsid w:val="002D1C45"/>
    <w:rsid w:val="002D7BB1"/>
    <w:rsid w:val="002E2142"/>
    <w:rsid w:val="002E24A9"/>
    <w:rsid w:val="002E4543"/>
    <w:rsid w:val="002E773B"/>
    <w:rsid w:val="002E7C51"/>
    <w:rsid w:val="002F03AD"/>
    <w:rsid w:val="002F1CB9"/>
    <w:rsid w:val="002F2F06"/>
    <w:rsid w:val="002F3433"/>
    <w:rsid w:val="002F4FEF"/>
    <w:rsid w:val="002F7284"/>
    <w:rsid w:val="00305958"/>
    <w:rsid w:val="00306C15"/>
    <w:rsid w:val="003114E6"/>
    <w:rsid w:val="0031410D"/>
    <w:rsid w:val="00314482"/>
    <w:rsid w:val="00321CC8"/>
    <w:rsid w:val="00325599"/>
    <w:rsid w:val="00326081"/>
    <w:rsid w:val="00331EDA"/>
    <w:rsid w:val="00333714"/>
    <w:rsid w:val="00336A14"/>
    <w:rsid w:val="00341FF8"/>
    <w:rsid w:val="00343030"/>
    <w:rsid w:val="00344673"/>
    <w:rsid w:val="00345355"/>
    <w:rsid w:val="003475F2"/>
    <w:rsid w:val="003506B9"/>
    <w:rsid w:val="003516FD"/>
    <w:rsid w:val="00353272"/>
    <w:rsid w:val="00355C44"/>
    <w:rsid w:val="00362CA5"/>
    <w:rsid w:val="0036421F"/>
    <w:rsid w:val="003653B6"/>
    <w:rsid w:val="00367913"/>
    <w:rsid w:val="00367DF8"/>
    <w:rsid w:val="003732D2"/>
    <w:rsid w:val="0037599A"/>
    <w:rsid w:val="00376518"/>
    <w:rsid w:val="00377D3B"/>
    <w:rsid w:val="00380256"/>
    <w:rsid w:val="00385147"/>
    <w:rsid w:val="00386907"/>
    <w:rsid w:val="00391679"/>
    <w:rsid w:val="00391D37"/>
    <w:rsid w:val="00392235"/>
    <w:rsid w:val="003933FC"/>
    <w:rsid w:val="0039632C"/>
    <w:rsid w:val="00396461"/>
    <w:rsid w:val="003A0FB6"/>
    <w:rsid w:val="003A3B8A"/>
    <w:rsid w:val="003A6289"/>
    <w:rsid w:val="003A659F"/>
    <w:rsid w:val="003B030A"/>
    <w:rsid w:val="003B478A"/>
    <w:rsid w:val="003B5373"/>
    <w:rsid w:val="003B588F"/>
    <w:rsid w:val="003B6559"/>
    <w:rsid w:val="003B7352"/>
    <w:rsid w:val="003C122C"/>
    <w:rsid w:val="003C2852"/>
    <w:rsid w:val="003C29D6"/>
    <w:rsid w:val="003C43D5"/>
    <w:rsid w:val="003C5C78"/>
    <w:rsid w:val="003D1A03"/>
    <w:rsid w:val="003D3BEF"/>
    <w:rsid w:val="003D43B8"/>
    <w:rsid w:val="003D51C9"/>
    <w:rsid w:val="003D5A6D"/>
    <w:rsid w:val="003D7084"/>
    <w:rsid w:val="003D754B"/>
    <w:rsid w:val="003D7FBD"/>
    <w:rsid w:val="003E0393"/>
    <w:rsid w:val="003E43B3"/>
    <w:rsid w:val="003E4855"/>
    <w:rsid w:val="003E74C5"/>
    <w:rsid w:val="003F3269"/>
    <w:rsid w:val="003F471B"/>
    <w:rsid w:val="003F4B29"/>
    <w:rsid w:val="003F5074"/>
    <w:rsid w:val="003F7CBE"/>
    <w:rsid w:val="0040050C"/>
    <w:rsid w:val="00401277"/>
    <w:rsid w:val="0040269B"/>
    <w:rsid w:val="00403148"/>
    <w:rsid w:val="00403B26"/>
    <w:rsid w:val="004044AE"/>
    <w:rsid w:val="00406BFA"/>
    <w:rsid w:val="004116A8"/>
    <w:rsid w:val="0041292A"/>
    <w:rsid w:val="00416BF2"/>
    <w:rsid w:val="00421678"/>
    <w:rsid w:val="00425970"/>
    <w:rsid w:val="00433A8A"/>
    <w:rsid w:val="0043489A"/>
    <w:rsid w:val="00434DAB"/>
    <w:rsid w:val="00435013"/>
    <w:rsid w:val="00435FAC"/>
    <w:rsid w:val="004364BE"/>
    <w:rsid w:val="00436859"/>
    <w:rsid w:val="00437D49"/>
    <w:rsid w:val="0044150A"/>
    <w:rsid w:val="00441B64"/>
    <w:rsid w:val="00443820"/>
    <w:rsid w:val="00443CFA"/>
    <w:rsid w:val="004440BA"/>
    <w:rsid w:val="0044424C"/>
    <w:rsid w:val="00444C99"/>
    <w:rsid w:val="004507C8"/>
    <w:rsid w:val="004517E8"/>
    <w:rsid w:val="00452ACC"/>
    <w:rsid w:val="00454994"/>
    <w:rsid w:val="00456DAB"/>
    <w:rsid w:val="00462E3E"/>
    <w:rsid w:val="004675A4"/>
    <w:rsid w:val="004707A5"/>
    <w:rsid w:val="004710F8"/>
    <w:rsid w:val="00486EFC"/>
    <w:rsid w:val="004870DB"/>
    <w:rsid w:val="004924E9"/>
    <w:rsid w:val="00492714"/>
    <w:rsid w:val="00493F69"/>
    <w:rsid w:val="004970B1"/>
    <w:rsid w:val="004A0A5D"/>
    <w:rsid w:val="004A5431"/>
    <w:rsid w:val="004A54C7"/>
    <w:rsid w:val="004A61BB"/>
    <w:rsid w:val="004A7DF8"/>
    <w:rsid w:val="004B0D46"/>
    <w:rsid w:val="004B192F"/>
    <w:rsid w:val="004B42BD"/>
    <w:rsid w:val="004B6F42"/>
    <w:rsid w:val="004C169B"/>
    <w:rsid w:val="004C6DC3"/>
    <w:rsid w:val="004C6F4E"/>
    <w:rsid w:val="004C6F9F"/>
    <w:rsid w:val="004D0681"/>
    <w:rsid w:val="004D2A3E"/>
    <w:rsid w:val="004D355C"/>
    <w:rsid w:val="004E1997"/>
    <w:rsid w:val="004E35FD"/>
    <w:rsid w:val="004E37E1"/>
    <w:rsid w:val="004E40E9"/>
    <w:rsid w:val="004E77F2"/>
    <w:rsid w:val="004F0569"/>
    <w:rsid w:val="004F2F08"/>
    <w:rsid w:val="004F2FC4"/>
    <w:rsid w:val="004F3B7D"/>
    <w:rsid w:val="004F63DC"/>
    <w:rsid w:val="0050099A"/>
    <w:rsid w:val="00501CF3"/>
    <w:rsid w:val="00505021"/>
    <w:rsid w:val="005055BA"/>
    <w:rsid w:val="00506AF7"/>
    <w:rsid w:val="00513EF1"/>
    <w:rsid w:val="00516CEE"/>
    <w:rsid w:val="00517823"/>
    <w:rsid w:val="00521C08"/>
    <w:rsid w:val="00523919"/>
    <w:rsid w:val="0052472C"/>
    <w:rsid w:val="00525834"/>
    <w:rsid w:val="00527BEC"/>
    <w:rsid w:val="00530C15"/>
    <w:rsid w:val="00530F77"/>
    <w:rsid w:val="005317FA"/>
    <w:rsid w:val="005318F8"/>
    <w:rsid w:val="0053305F"/>
    <w:rsid w:val="00534214"/>
    <w:rsid w:val="00534DF9"/>
    <w:rsid w:val="00540453"/>
    <w:rsid w:val="005423F1"/>
    <w:rsid w:val="00543D5C"/>
    <w:rsid w:val="005441B2"/>
    <w:rsid w:val="00544A45"/>
    <w:rsid w:val="00551DFE"/>
    <w:rsid w:val="0055256B"/>
    <w:rsid w:val="0055485F"/>
    <w:rsid w:val="005549D3"/>
    <w:rsid w:val="00555170"/>
    <w:rsid w:val="00556794"/>
    <w:rsid w:val="005625E6"/>
    <w:rsid w:val="0056356C"/>
    <w:rsid w:val="005662A6"/>
    <w:rsid w:val="00567D80"/>
    <w:rsid w:val="00572005"/>
    <w:rsid w:val="0057490A"/>
    <w:rsid w:val="00576314"/>
    <w:rsid w:val="00581891"/>
    <w:rsid w:val="00581A3E"/>
    <w:rsid w:val="00583465"/>
    <w:rsid w:val="0058532A"/>
    <w:rsid w:val="00592170"/>
    <w:rsid w:val="00596D04"/>
    <w:rsid w:val="005A0DDD"/>
    <w:rsid w:val="005A184C"/>
    <w:rsid w:val="005A31FB"/>
    <w:rsid w:val="005A445B"/>
    <w:rsid w:val="005A64C6"/>
    <w:rsid w:val="005B10CE"/>
    <w:rsid w:val="005B3335"/>
    <w:rsid w:val="005B75D3"/>
    <w:rsid w:val="005C0431"/>
    <w:rsid w:val="005C1418"/>
    <w:rsid w:val="005C2816"/>
    <w:rsid w:val="005C2904"/>
    <w:rsid w:val="005C3B9E"/>
    <w:rsid w:val="005C4D54"/>
    <w:rsid w:val="005C7B58"/>
    <w:rsid w:val="005D0E72"/>
    <w:rsid w:val="005D6BF9"/>
    <w:rsid w:val="005D7132"/>
    <w:rsid w:val="005E262F"/>
    <w:rsid w:val="005E32ED"/>
    <w:rsid w:val="005E596A"/>
    <w:rsid w:val="005E62FF"/>
    <w:rsid w:val="005E64B4"/>
    <w:rsid w:val="005F0E75"/>
    <w:rsid w:val="005F2B8C"/>
    <w:rsid w:val="005F2E33"/>
    <w:rsid w:val="005F4954"/>
    <w:rsid w:val="005F6C85"/>
    <w:rsid w:val="00602B07"/>
    <w:rsid w:val="00604CC2"/>
    <w:rsid w:val="00605844"/>
    <w:rsid w:val="00605AC9"/>
    <w:rsid w:val="00607A9C"/>
    <w:rsid w:val="0061158B"/>
    <w:rsid w:val="00611611"/>
    <w:rsid w:val="006129E3"/>
    <w:rsid w:val="006164E9"/>
    <w:rsid w:val="00620417"/>
    <w:rsid w:val="006226D1"/>
    <w:rsid w:val="00622D05"/>
    <w:rsid w:val="0062692D"/>
    <w:rsid w:val="00630E45"/>
    <w:rsid w:val="00631AF8"/>
    <w:rsid w:val="00635B3C"/>
    <w:rsid w:val="0063753E"/>
    <w:rsid w:val="00637988"/>
    <w:rsid w:val="00641859"/>
    <w:rsid w:val="00641BD1"/>
    <w:rsid w:val="00642EB0"/>
    <w:rsid w:val="00645F5F"/>
    <w:rsid w:val="00646000"/>
    <w:rsid w:val="00647D1D"/>
    <w:rsid w:val="006528D7"/>
    <w:rsid w:val="00652EC2"/>
    <w:rsid w:val="00653183"/>
    <w:rsid w:val="00654AC2"/>
    <w:rsid w:val="0066014F"/>
    <w:rsid w:val="00661237"/>
    <w:rsid w:val="0066254A"/>
    <w:rsid w:val="00662B1B"/>
    <w:rsid w:val="00662E3A"/>
    <w:rsid w:val="0066351F"/>
    <w:rsid w:val="00665304"/>
    <w:rsid w:val="00665A31"/>
    <w:rsid w:val="0066678E"/>
    <w:rsid w:val="006724DC"/>
    <w:rsid w:val="006756A5"/>
    <w:rsid w:val="00682287"/>
    <w:rsid w:val="00682CFA"/>
    <w:rsid w:val="00683215"/>
    <w:rsid w:val="0068341A"/>
    <w:rsid w:val="00683727"/>
    <w:rsid w:val="00685ED3"/>
    <w:rsid w:val="00686455"/>
    <w:rsid w:val="00686D9D"/>
    <w:rsid w:val="00692022"/>
    <w:rsid w:val="006A056C"/>
    <w:rsid w:val="006B1709"/>
    <w:rsid w:val="006B56BE"/>
    <w:rsid w:val="006B5DF5"/>
    <w:rsid w:val="006B6FC3"/>
    <w:rsid w:val="006C1AC3"/>
    <w:rsid w:val="006C705D"/>
    <w:rsid w:val="006C77EA"/>
    <w:rsid w:val="006D1FDF"/>
    <w:rsid w:val="006D2546"/>
    <w:rsid w:val="006D26A0"/>
    <w:rsid w:val="006D2B4B"/>
    <w:rsid w:val="006D7119"/>
    <w:rsid w:val="006E2EBA"/>
    <w:rsid w:val="006E7488"/>
    <w:rsid w:val="006F284F"/>
    <w:rsid w:val="006F2F1A"/>
    <w:rsid w:val="006F35A5"/>
    <w:rsid w:val="006F45BF"/>
    <w:rsid w:val="006F58CF"/>
    <w:rsid w:val="006F6DD7"/>
    <w:rsid w:val="0070753A"/>
    <w:rsid w:val="00715287"/>
    <w:rsid w:val="00716E10"/>
    <w:rsid w:val="00717E0D"/>
    <w:rsid w:val="00720ACA"/>
    <w:rsid w:val="00724288"/>
    <w:rsid w:val="00732F7B"/>
    <w:rsid w:val="00733105"/>
    <w:rsid w:val="00733386"/>
    <w:rsid w:val="00734660"/>
    <w:rsid w:val="00734832"/>
    <w:rsid w:val="00736DB2"/>
    <w:rsid w:val="00737F7F"/>
    <w:rsid w:val="007422BE"/>
    <w:rsid w:val="007422EC"/>
    <w:rsid w:val="00747495"/>
    <w:rsid w:val="0075158C"/>
    <w:rsid w:val="00763BB7"/>
    <w:rsid w:val="00763F6E"/>
    <w:rsid w:val="00764E84"/>
    <w:rsid w:val="007660E9"/>
    <w:rsid w:val="007664CB"/>
    <w:rsid w:val="00770288"/>
    <w:rsid w:val="00770C5C"/>
    <w:rsid w:val="00770D93"/>
    <w:rsid w:val="00773270"/>
    <w:rsid w:val="0077459C"/>
    <w:rsid w:val="00774856"/>
    <w:rsid w:val="007828FF"/>
    <w:rsid w:val="0078624A"/>
    <w:rsid w:val="0078631A"/>
    <w:rsid w:val="00793BD4"/>
    <w:rsid w:val="0079410E"/>
    <w:rsid w:val="00795599"/>
    <w:rsid w:val="007A483E"/>
    <w:rsid w:val="007B02C3"/>
    <w:rsid w:val="007B02E0"/>
    <w:rsid w:val="007B0CD4"/>
    <w:rsid w:val="007B101D"/>
    <w:rsid w:val="007B50CC"/>
    <w:rsid w:val="007B53DD"/>
    <w:rsid w:val="007C05C9"/>
    <w:rsid w:val="007C42B9"/>
    <w:rsid w:val="007C66C8"/>
    <w:rsid w:val="007D091E"/>
    <w:rsid w:val="007D2D61"/>
    <w:rsid w:val="007D40C6"/>
    <w:rsid w:val="007D4BF6"/>
    <w:rsid w:val="007D6527"/>
    <w:rsid w:val="007E0C9A"/>
    <w:rsid w:val="007E26BE"/>
    <w:rsid w:val="007E57C8"/>
    <w:rsid w:val="007F0FB6"/>
    <w:rsid w:val="007F175B"/>
    <w:rsid w:val="007F1FDB"/>
    <w:rsid w:val="007F6059"/>
    <w:rsid w:val="007F7490"/>
    <w:rsid w:val="0080216F"/>
    <w:rsid w:val="0080449A"/>
    <w:rsid w:val="00807F9F"/>
    <w:rsid w:val="008117A6"/>
    <w:rsid w:val="008119DB"/>
    <w:rsid w:val="008231CB"/>
    <w:rsid w:val="008258D4"/>
    <w:rsid w:val="00831DB0"/>
    <w:rsid w:val="0084343A"/>
    <w:rsid w:val="00850B22"/>
    <w:rsid w:val="00851169"/>
    <w:rsid w:val="00851EFE"/>
    <w:rsid w:val="00852B61"/>
    <w:rsid w:val="00854032"/>
    <w:rsid w:val="00854643"/>
    <w:rsid w:val="00855798"/>
    <w:rsid w:val="00855BA4"/>
    <w:rsid w:val="00860873"/>
    <w:rsid w:val="00864674"/>
    <w:rsid w:val="00866179"/>
    <w:rsid w:val="00871015"/>
    <w:rsid w:val="00874209"/>
    <w:rsid w:val="0088247C"/>
    <w:rsid w:val="00883481"/>
    <w:rsid w:val="008874B8"/>
    <w:rsid w:val="00890C12"/>
    <w:rsid w:val="0089231F"/>
    <w:rsid w:val="00893946"/>
    <w:rsid w:val="008A15D2"/>
    <w:rsid w:val="008A4123"/>
    <w:rsid w:val="008A61A4"/>
    <w:rsid w:val="008A6E56"/>
    <w:rsid w:val="008B2871"/>
    <w:rsid w:val="008B2AFB"/>
    <w:rsid w:val="008B326C"/>
    <w:rsid w:val="008B40C2"/>
    <w:rsid w:val="008B5E4B"/>
    <w:rsid w:val="008B7B01"/>
    <w:rsid w:val="008B7BC1"/>
    <w:rsid w:val="008C03C4"/>
    <w:rsid w:val="008C4A39"/>
    <w:rsid w:val="008C6701"/>
    <w:rsid w:val="008D1867"/>
    <w:rsid w:val="008D3A06"/>
    <w:rsid w:val="008D77FF"/>
    <w:rsid w:val="008D7C8C"/>
    <w:rsid w:val="008D7FFD"/>
    <w:rsid w:val="008E0DFE"/>
    <w:rsid w:val="008E585D"/>
    <w:rsid w:val="008F2458"/>
    <w:rsid w:val="008F245B"/>
    <w:rsid w:val="008F3141"/>
    <w:rsid w:val="008F6A0B"/>
    <w:rsid w:val="00900608"/>
    <w:rsid w:val="00900DCC"/>
    <w:rsid w:val="0090413F"/>
    <w:rsid w:val="009056CB"/>
    <w:rsid w:val="0091337C"/>
    <w:rsid w:val="00914A17"/>
    <w:rsid w:val="00915A9F"/>
    <w:rsid w:val="009212C7"/>
    <w:rsid w:val="00923C9D"/>
    <w:rsid w:val="009245D7"/>
    <w:rsid w:val="00926376"/>
    <w:rsid w:val="00927F63"/>
    <w:rsid w:val="00934A68"/>
    <w:rsid w:val="00935A5B"/>
    <w:rsid w:val="00936891"/>
    <w:rsid w:val="00941394"/>
    <w:rsid w:val="009462DC"/>
    <w:rsid w:val="00947795"/>
    <w:rsid w:val="009607C5"/>
    <w:rsid w:val="0096301B"/>
    <w:rsid w:val="00963A2A"/>
    <w:rsid w:val="00963A9E"/>
    <w:rsid w:val="0096758B"/>
    <w:rsid w:val="009675C0"/>
    <w:rsid w:val="009702A7"/>
    <w:rsid w:val="00973987"/>
    <w:rsid w:val="00982C5F"/>
    <w:rsid w:val="00982CBB"/>
    <w:rsid w:val="00983114"/>
    <w:rsid w:val="009911F2"/>
    <w:rsid w:val="00992883"/>
    <w:rsid w:val="00992EB5"/>
    <w:rsid w:val="00993A06"/>
    <w:rsid w:val="00993E4F"/>
    <w:rsid w:val="00995803"/>
    <w:rsid w:val="00996E88"/>
    <w:rsid w:val="009A3D27"/>
    <w:rsid w:val="009A4196"/>
    <w:rsid w:val="009A46DE"/>
    <w:rsid w:val="009A5E29"/>
    <w:rsid w:val="009A6C33"/>
    <w:rsid w:val="009B1273"/>
    <w:rsid w:val="009B14C0"/>
    <w:rsid w:val="009B1CDB"/>
    <w:rsid w:val="009B20E2"/>
    <w:rsid w:val="009B2F4C"/>
    <w:rsid w:val="009B2FD7"/>
    <w:rsid w:val="009B377F"/>
    <w:rsid w:val="009B4A45"/>
    <w:rsid w:val="009C0DC7"/>
    <w:rsid w:val="009C4F32"/>
    <w:rsid w:val="009C5427"/>
    <w:rsid w:val="009C69A6"/>
    <w:rsid w:val="009D0299"/>
    <w:rsid w:val="009D256F"/>
    <w:rsid w:val="009D29E3"/>
    <w:rsid w:val="009D3C1B"/>
    <w:rsid w:val="009E04D8"/>
    <w:rsid w:val="009E1F13"/>
    <w:rsid w:val="009E3B2D"/>
    <w:rsid w:val="009E6D48"/>
    <w:rsid w:val="009F3B0C"/>
    <w:rsid w:val="009F3CC3"/>
    <w:rsid w:val="009F4163"/>
    <w:rsid w:val="009F606F"/>
    <w:rsid w:val="009F718D"/>
    <w:rsid w:val="00A0032C"/>
    <w:rsid w:val="00A013FC"/>
    <w:rsid w:val="00A04A2D"/>
    <w:rsid w:val="00A11A91"/>
    <w:rsid w:val="00A129A3"/>
    <w:rsid w:val="00A138B9"/>
    <w:rsid w:val="00A15219"/>
    <w:rsid w:val="00A15640"/>
    <w:rsid w:val="00A15BE0"/>
    <w:rsid w:val="00A209C2"/>
    <w:rsid w:val="00A21278"/>
    <w:rsid w:val="00A24006"/>
    <w:rsid w:val="00A3090C"/>
    <w:rsid w:val="00A32F6A"/>
    <w:rsid w:val="00A339B7"/>
    <w:rsid w:val="00A370FD"/>
    <w:rsid w:val="00A40B1D"/>
    <w:rsid w:val="00A438DC"/>
    <w:rsid w:val="00A44B3D"/>
    <w:rsid w:val="00A53E04"/>
    <w:rsid w:val="00A54B97"/>
    <w:rsid w:val="00A56BE8"/>
    <w:rsid w:val="00A56E79"/>
    <w:rsid w:val="00A57317"/>
    <w:rsid w:val="00A57E51"/>
    <w:rsid w:val="00A61315"/>
    <w:rsid w:val="00A627F7"/>
    <w:rsid w:val="00A62BFE"/>
    <w:rsid w:val="00A65871"/>
    <w:rsid w:val="00A6612A"/>
    <w:rsid w:val="00A67033"/>
    <w:rsid w:val="00A714F2"/>
    <w:rsid w:val="00A71CBA"/>
    <w:rsid w:val="00A72367"/>
    <w:rsid w:val="00A73713"/>
    <w:rsid w:val="00A73BE9"/>
    <w:rsid w:val="00A76918"/>
    <w:rsid w:val="00A80F2E"/>
    <w:rsid w:val="00A83467"/>
    <w:rsid w:val="00A90935"/>
    <w:rsid w:val="00A92101"/>
    <w:rsid w:val="00A957FA"/>
    <w:rsid w:val="00A959A9"/>
    <w:rsid w:val="00A96AEA"/>
    <w:rsid w:val="00AA4FF9"/>
    <w:rsid w:val="00AA5D83"/>
    <w:rsid w:val="00AA7D93"/>
    <w:rsid w:val="00AB17E2"/>
    <w:rsid w:val="00AB570C"/>
    <w:rsid w:val="00AC1B10"/>
    <w:rsid w:val="00AC3023"/>
    <w:rsid w:val="00AC6AE0"/>
    <w:rsid w:val="00AD0F0B"/>
    <w:rsid w:val="00AD4599"/>
    <w:rsid w:val="00AD5E90"/>
    <w:rsid w:val="00AD6CAF"/>
    <w:rsid w:val="00AE4435"/>
    <w:rsid w:val="00AF14A6"/>
    <w:rsid w:val="00AF44D9"/>
    <w:rsid w:val="00B012AF"/>
    <w:rsid w:val="00B0151F"/>
    <w:rsid w:val="00B0390C"/>
    <w:rsid w:val="00B04421"/>
    <w:rsid w:val="00B0652C"/>
    <w:rsid w:val="00B06CC3"/>
    <w:rsid w:val="00B10AA5"/>
    <w:rsid w:val="00B1153C"/>
    <w:rsid w:val="00B17DE1"/>
    <w:rsid w:val="00B20743"/>
    <w:rsid w:val="00B2371D"/>
    <w:rsid w:val="00B237BE"/>
    <w:rsid w:val="00B350A1"/>
    <w:rsid w:val="00B40A65"/>
    <w:rsid w:val="00B40EE5"/>
    <w:rsid w:val="00B4189A"/>
    <w:rsid w:val="00B41976"/>
    <w:rsid w:val="00B44C69"/>
    <w:rsid w:val="00B51096"/>
    <w:rsid w:val="00B51415"/>
    <w:rsid w:val="00B557CC"/>
    <w:rsid w:val="00B5794C"/>
    <w:rsid w:val="00B604CD"/>
    <w:rsid w:val="00B615ED"/>
    <w:rsid w:val="00B61B23"/>
    <w:rsid w:val="00B64E59"/>
    <w:rsid w:val="00B70C40"/>
    <w:rsid w:val="00B71EDC"/>
    <w:rsid w:val="00B7469E"/>
    <w:rsid w:val="00B7526A"/>
    <w:rsid w:val="00B75B85"/>
    <w:rsid w:val="00B8337D"/>
    <w:rsid w:val="00B849DB"/>
    <w:rsid w:val="00B8524C"/>
    <w:rsid w:val="00B85ECE"/>
    <w:rsid w:val="00B869AA"/>
    <w:rsid w:val="00B86D04"/>
    <w:rsid w:val="00B87419"/>
    <w:rsid w:val="00B87AE2"/>
    <w:rsid w:val="00B93AD5"/>
    <w:rsid w:val="00BA5428"/>
    <w:rsid w:val="00BB102E"/>
    <w:rsid w:val="00BB1431"/>
    <w:rsid w:val="00BB1E59"/>
    <w:rsid w:val="00BB37A1"/>
    <w:rsid w:val="00BB4444"/>
    <w:rsid w:val="00BB682A"/>
    <w:rsid w:val="00BB788B"/>
    <w:rsid w:val="00BC3B53"/>
    <w:rsid w:val="00BD65A8"/>
    <w:rsid w:val="00BE5A7C"/>
    <w:rsid w:val="00BE5E23"/>
    <w:rsid w:val="00BE6343"/>
    <w:rsid w:val="00BF0D98"/>
    <w:rsid w:val="00BF190E"/>
    <w:rsid w:val="00BF39B9"/>
    <w:rsid w:val="00BF5AD8"/>
    <w:rsid w:val="00BF6718"/>
    <w:rsid w:val="00C0259E"/>
    <w:rsid w:val="00C1053C"/>
    <w:rsid w:val="00C10A97"/>
    <w:rsid w:val="00C14C47"/>
    <w:rsid w:val="00C15A14"/>
    <w:rsid w:val="00C21200"/>
    <w:rsid w:val="00C21961"/>
    <w:rsid w:val="00C23BE7"/>
    <w:rsid w:val="00C3115D"/>
    <w:rsid w:val="00C311E9"/>
    <w:rsid w:val="00C33674"/>
    <w:rsid w:val="00C34187"/>
    <w:rsid w:val="00C3600B"/>
    <w:rsid w:val="00C368F0"/>
    <w:rsid w:val="00C37800"/>
    <w:rsid w:val="00C37D7E"/>
    <w:rsid w:val="00C41049"/>
    <w:rsid w:val="00C41E3F"/>
    <w:rsid w:val="00C445DA"/>
    <w:rsid w:val="00C44C51"/>
    <w:rsid w:val="00C47B14"/>
    <w:rsid w:val="00C51AC1"/>
    <w:rsid w:val="00C53650"/>
    <w:rsid w:val="00C54296"/>
    <w:rsid w:val="00C54A14"/>
    <w:rsid w:val="00C572EF"/>
    <w:rsid w:val="00C60014"/>
    <w:rsid w:val="00C6017F"/>
    <w:rsid w:val="00C60D8E"/>
    <w:rsid w:val="00C62D17"/>
    <w:rsid w:val="00C6447D"/>
    <w:rsid w:val="00C67960"/>
    <w:rsid w:val="00C7036C"/>
    <w:rsid w:val="00C70EBD"/>
    <w:rsid w:val="00C71F5F"/>
    <w:rsid w:val="00C72828"/>
    <w:rsid w:val="00C74734"/>
    <w:rsid w:val="00C7586D"/>
    <w:rsid w:val="00C77617"/>
    <w:rsid w:val="00C77709"/>
    <w:rsid w:val="00C80C84"/>
    <w:rsid w:val="00C810B5"/>
    <w:rsid w:val="00C819A7"/>
    <w:rsid w:val="00C837DF"/>
    <w:rsid w:val="00C84152"/>
    <w:rsid w:val="00C84D11"/>
    <w:rsid w:val="00C878A8"/>
    <w:rsid w:val="00C94431"/>
    <w:rsid w:val="00C9468F"/>
    <w:rsid w:val="00C9484A"/>
    <w:rsid w:val="00C96903"/>
    <w:rsid w:val="00CA48DB"/>
    <w:rsid w:val="00CA7216"/>
    <w:rsid w:val="00CB0225"/>
    <w:rsid w:val="00CB3CE6"/>
    <w:rsid w:val="00CB5080"/>
    <w:rsid w:val="00CB6D7F"/>
    <w:rsid w:val="00CC0F88"/>
    <w:rsid w:val="00CC2D0F"/>
    <w:rsid w:val="00CC4783"/>
    <w:rsid w:val="00CD02B1"/>
    <w:rsid w:val="00CD2694"/>
    <w:rsid w:val="00CD2A35"/>
    <w:rsid w:val="00CD58CE"/>
    <w:rsid w:val="00CD7711"/>
    <w:rsid w:val="00CF3716"/>
    <w:rsid w:val="00CF4536"/>
    <w:rsid w:val="00CF6591"/>
    <w:rsid w:val="00D00E1B"/>
    <w:rsid w:val="00D021ED"/>
    <w:rsid w:val="00D02882"/>
    <w:rsid w:val="00D0299F"/>
    <w:rsid w:val="00D031F5"/>
    <w:rsid w:val="00D047BA"/>
    <w:rsid w:val="00D05FF7"/>
    <w:rsid w:val="00D115DA"/>
    <w:rsid w:val="00D121DF"/>
    <w:rsid w:val="00D13393"/>
    <w:rsid w:val="00D148B7"/>
    <w:rsid w:val="00D15A3C"/>
    <w:rsid w:val="00D23BA2"/>
    <w:rsid w:val="00D24D3A"/>
    <w:rsid w:val="00D26D95"/>
    <w:rsid w:val="00D26DBC"/>
    <w:rsid w:val="00D30632"/>
    <w:rsid w:val="00D316BD"/>
    <w:rsid w:val="00D35F0B"/>
    <w:rsid w:val="00D36228"/>
    <w:rsid w:val="00D36C8F"/>
    <w:rsid w:val="00D4004D"/>
    <w:rsid w:val="00D40981"/>
    <w:rsid w:val="00D51D1B"/>
    <w:rsid w:val="00D57014"/>
    <w:rsid w:val="00D633AD"/>
    <w:rsid w:val="00D63DEE"/>
    <w:rsid w:val="00D64ED0"/>
    <w:rsid w:val="00D65E6C"/>
    <w:rsid w:val="00D6659F"/>
    <w:rsid w:val="00D67487"/>
    <w:rsid w:val="00D708F7"/>
    <w:rsid w:val="00D732C5"/>
    <w:rsid w:val="00D753A2"/>
    <w:rsid w:val="00D75A0D"/>
    <w:rsid w:val="00D75E50"/>
    <w:rsid w:val="00D813F5"/>
    <w:rsid w:val="00D836C4"/>
    <w:rsid w:val="00D86313"/>
    <w:rsid w:val="00D90AA1"/>
    <w:rsid w:val="00D9416B"/>
    <w:rsid w:val="00DA7BC0"/>
    <w:rsid w:val="00DB0B02"/>
    <w:rsid w:val="00DB0BAD"/>
    <w:rsid w:val="00DB0CA2"/>
    <w:rsid w:val="00DB192F"/>
    <w:rsid w:val="00DB4F79"/>
    <w:rsid w:val="00DB59DA"/>
    <w:rsid w:val="00DD23C8"/>
    <w:rsid w:val="00DD6014"/>
    <w:rsid w:val="00DE0E87"/>
    <w:rsid w:val="00DE1983"/>
    <w:rsid w:val="00DE6EC1"/>
    <w:rsid w:val="00DE7251"/>
    <w:rsid w:val="00DE7C51"/>
    <w:rsid w:val="00DF1F10"/>
    <w:rsid w:val="00DF5D61"/>
    <w:rsid w:val="00DF5DB2"/>
    <w:rsid w:val="00E0285B"/>
    <w:rsid w:val="00E03BC9"/>
    <w:rsid w:val="00E04D35"/>
    <w:rsid w:val="00E065C3"/>
    <w:rsid w:val="00E06996"/>
    <w:rsid w:val="00E10CAE"/>
    <w:rsid w:val="00E10F82"/>
    <w:rsid w:val="00E1238F"/>
    <w:rsid w:val="00E15CA1"/>
    <w:rsid w:val="00E178D0"/>
    <w:rsid w:val="00E201A8"/>
    <w:rsid w:val="00E22394"/>
    <w:rsid w:val="00E24009"/>
    <w:rsid w:val="00E2769C"/>
    <w:rsid w:val="00E339FF"/>
    <w:rsid w:val="00E33C44"/>
    <w:rsid w:val="00E353F7"/>
    <w:rsid w:val="00E3604D"/>
    <w:rsid w:val="00E36AD8"/>
    <w:rsid w:val="00E36B52"/>
    <w:rsid w:val="00E420B9"/>
    <w:rsid w:val="00E43731"/>
    <w:rsid w:val="00E45933"/>
    <w:rsid w:val="00E538DD"/>
    <w:rsid w:val="00E5399D"/>
    <w:rsid w:val="00E53B12"/>
    <w:rsid w:val="00E6342A"/>
    <w:rsid w:val="00E6659D"/>
    <w:rsid w:val="00E66DBC"/>
    <w:rsid w:val="00E71DEE"/>
    <w:rsid w:val="00E74343"/>
    <w:rsid w:val="00E74375"/>
    <w:rsid w:val="00E74A95"/>
    <w:rsid w:val="00E77C93"/>
    <w:rsid w:val="00E77CE3"/>
    <w:rsid w:val="00E81CA0"/>
    <w:rsid w:val="00E850C1"/>
    <w:rsid w:val="00E85456"/>
    <w:rsid w:val="00E86D81"/>
    <w:rsid w:val="00E90049"/>
    <w:rsid w:val="00E931C0"/>
    <w:rsid w:val="00E933F1"/>
    <w:rsid w:val="00E96531"/>
    <w:rsid w:val="00E977DC"/>
    <w:rsid w:val="00E97A73"/>
    <w:rsid w:val="00E97CD2"/>
    <w:rsid w:val="00EA17E0"/>
    <w:rsid w:val="00EA2F44"/>
    <w:rsid w:val="00EA509A"/>
    <w:rsid w:val="00EA6759"/>
    <w:rsid w:val="00EA6EC8"/>
    <w:rsid w:val="00EB0AA8"/>
    <w:rsid w:val="00EB2CEA"/>
    <w:rsid w:val="00EB6827"/>
    <w:rsid w:val="00EB7272"/>
    <w:rsid w:val="00EC2A21"/>
    <w:rsid w:val="00EC41D1"/>
    <w:rsid w:val="00EC46DC"/>
    <w:rsid w:val="00EC6945"/>
    <w:rsid w:val="00EC71F6"/>
    <w:rsid w:val="00ED6D94"/>
    <w:rsid w:val="00EE2924"/>
    <w:rsid w:val="00EE2D52"/>
    <w:rsid w:val="00EE57B7"/>
    <w:rsid w:val="00EE68CF"/>
    <w:rsid w:val="00EE6E27"/>
    <w:rsid w:val="00EE7036"/>
    <w:rsid w:val="00EE7285"/>
    <w:rsid w:val="00EF022B"/>
    <w:rsid w:val="00EF0564"/>
    <w:rsid w:val="00EF1D4E"/>
    <w:rsid w:val="00EF2119"/>
    <w:rsid w:val="00EF266C"/>
    <w:rsid w:val="00EF3211"/>
    <w:rsid w:val="00F009C1"/>
    <w:rsid w:val="00F02A51"/>
    <w:rsid w:val="00F05BDC"/>
    <w:rsid w:val="00F0751C"/>
    <w:rsid w:val="00F10D96"/>
    <w:rsid w:val="00F137FB"/>
    <w:rsid w:val="00F1575D"/>
    <w:rsid w:val="00F15F9C"/>
    <w:rsid w:val="00F16F74"/>
    <w:rsid w:val="00F17A57"/>
    <w:rsid w:val="00F218B5"/>
    <w:rsid w:val="00F23382"/>
    <w:rsid w:val="00F23423"/>
    <w:rsid w:val="00F26182"/>
    <w:rsid w:val="00F277CB"/>
    <w:rsid w:val="00F27804"/>
    <w:rsid w:val="00F31BF1"/>
    <w:rsid w:val="00F32176"/>
    <w:rsid w:val="00F33A9F"/>
    <w:rsid w:val="00F34B65"/>
    <w:rsid w:val="00F34E6E"/>
    <w:rsid w:val="00F3681C"/>
    <w:rsid w:val="00F44239"/>
    <w:rsid w:val="00F50494"/>
    <w:rsid w:val="00F53649"/>
    <w:rsid w:val="00F56AEE"/>
    <w:rsid w:val="00F56BFA"/>
    <w:rsid w:val="00F60063"/>
    <w:rsid w:val="00F62140"/>
    <w:rsid w:val="00F64E57"/>
    <w:rsid w:val="00F65C1B"/>
    <w:rsid w:val="00F65FA7"/>
    <w:rsid w:val="00F66AFF"/>
    <w:rsid w:val="00F81E54"/>
    <w:rsid w:val="00F824C1"/>
    <w:rsid w:val="00F8322E"/>
    <w:rsid w:val="00F840A9"/>
    <w:rsid w:val="00F84237"/>
    <w:rsid w:val="00F8436B"/>
    <w:rsid w:val="00F847F7"/>
    <w:rsid w:val="00F8632D"/>
    <w:rsid w:val="00F90192"/>
    <w:rsid w:val="00F903A1"/>
    <w:rsid w:val="00F929F0"/>
    <w:rsid w:val="00F95DC6"/>
    <w:rsid w:val="00F964EC"/>
    <w:rsid w:val="00F970BF"/>
    <w:rsid w:val="00FA29A9"/>
    <w:rsid w:val="00FA5143"/>
    <w:rsid w:val="00FA6A38"/>
    <w:rsid w:val="00FA7605"/>
    <w:rsid w:val="00FB52C4"/>
    <w:rsid w:val="00FC0DB7"/>
    <w:rsid w:val="00FC16DD"/>
    <w:rsid w:val="00FC7F0F"/>
    <w:rsid w:val="00FD1A41"/>
    <w:rsid w:val="00FD297D"/>
    <w:rsid w:val="00FD774A"/>
    <w:rsid w:val="00FE3452"/>
    <w:rsid w:val="00FE38BF"/>
    <w:rsid w:val="00FE3F7A"/>
    <w:rsid w:val="00FE4F61"/>
    <w:rsid w:val="00FF007A"/>
    <w:rsid w:val="00FF4325"/>
    <w:rsid w:val="00FF5DC1"/>
    <w:rsid w:val="00FF72B6"/>
    <w:rsid w:val="00FF75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5989E1"/>
  <w15:chartTrackingRefBased/>
  <w15:docId w15:val="{F898CC56-C186-4A5F-A8D2-FB6FB49D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uiPriority w:val="98"/>
    <w:rsid w:val="006A056C"/>
  </w:style>
  <w:style w:type="paragraph" w:styleId="Heading1">
    <w:name w:val="heading 1"/>
    <w:next w:val="BodyText"/>
    <w:link w:val="Heading1Char"/>
    <w:uiPriority w:val="9"/>
    <w:qFormat/>
    <w:rsid w:val="006A056C"/>
    <w:pPr>
      <w:keepNext/>
      <w:keepLines/>
      <w:numPr>
        <w:numId w:val="4"/>
      </w:numPr>
      <w:spacing w:before="360" w:after="40"/>
      <w:outlineLvl w:val="0"/>
    </w:pPr>
    <w:rPr>
      <w:b/>
      <w:bCs/>
      <w:color w:val="002C77" w:themeColor="accent1"/>
      <w:sz w:val="44"/>
    </w:rPr>
  </w:style>
  <w:style w:type="paragraph" w:styleId="Heading2">
    <w:name w:val="heading 2"/>
    <w:basedOn w:val="Heading1"/>
    <w:next w:val="BodyText"/>
    <w:link w:val="Heading2Char"/>
    <w:uiPriority w:val="9"/>
    <w:qFormat/>
    <w:rsid w:val="006A056C"/>
    <w:pPr>
      <w:numPr>
        <w:ilvl w:val="1"/>
      </w:numPr>
      <w:outlineLvl w:val="1"/>
    </w:pPr>
    <w:rPr>
      <w:color w:val="auto"/>
      <w:sz w:val="36"/>
    </w:rPr>
  </w:style>
  <w:style w:type="paragraph" w:styleId="Heading3">
    <w:name w:val="heading 3"/>
    <w:basedOn w:val="Heading2"/>
    <w:next w:val="BodyText"/>
    <w:link w:val="Heading3Char"/>
    <w:uiPriority w:val="9"/>
    <w:rsid w:val="006A056C"/>
    <w:pPr>
      <w:numPr>
        <w:ilvl w:val="2"/>
      </w:numPr>
      <w:outlineLvl w:val="2"/>
    </w:pPr>
    <w:rPr>
      <w:sz w:val="32"/>
      <w:szCs w:val="32"/>
    </w:rPr>
  </w:style>
  <w:style w:type="paragraph" w:styleId="Heading4">
    <w:name w:val="heading 4"/>
    <w:basedOn w:val="Heading3"/>
    <w:next w:val="BodyText"/>
    <w:link w:val="Heading4Char"/>
    <w:uiPriority w:val="9"/>
    <w:semiHidden/>
    <w:unhideWhenUsed/>
    <w:rsid w:val="006A056C"/>
    <w:pPr>
      <w:numPr>
        <w:ilvl w:val="3"/>
      </w:numPr>
      <w:spacing w:before="240"/>
      <w:outlineLvl w:val="3"/>
    </w:pPr>
    <w:rPr>
      <w:sz w:val="28"/>
      <w:szCs w:val="28"/>
    </w:rPr>
  </w:style>
  <w:style w:type="paragraph" w:styleId="Heading5">
    <w:name w:val="heading 5"/>
    <w:basedOn w:val="Heading4"/>
    <w:next w:val="BodyText"/>
    <w:link w:val="Heading5Char"/>
    <w:uiPriority w:val="9"/>
    <w:semiHidden/>
    <w:unhideWhenUsed/>
    <w:rsid w:val="006A056C"/>
    <w:pPr>
      <w:numPr>
        <w:ilvl w:val="4"/>
      </w:numPr>
      <w:outlineLvl w:val="4"/>
    </w:pPr>
    <w:rPr>
      <w:sz w:val="24"/>
      <w:szCs w:val="24"/>
    </w:rPr>
  </w:style>
  <w:style w:type="paragraph" w:styleId="Heading6">
    <w:name w:val="heading 6"/>
    <w:basedOn w:val="Heading5"/>
    <w:next w:val="BodyText"/>
    <w:link w:val="Heading6Char"/>
    <w:uiPriority w:val="9"/>
    <w:semiHidden/>
    <w:unhideWhenUsed/>
    <w:rsid w:val="006A056C"/>
    <w:pPr>
      <w:numPr>
        <w:ilvl w:val="5"/>
      </w:numPr>
      <w:outlineLvl w:val="5"/>
    </w:pPr>
    <w:rPr>
      <w:sz w:val="22"/>
      <w:szCs w:val="22"/>
    </w:rPr>
  </w:style>
  <w:style w:type="paragraph" w:styleId="Heading7">
    <w:name w:val="heading 7"/>
    <w:basedOn w:val="Heading6"/>
    <w:next w:val="BodyText"/>
    <w:link w:val="Heading7Char"/>
    <w:uiPriority w:val="9"/>
    <w:semiHidden/>
    <w:unhideWhenUsed/>
    <w:rsid w:val="006A056C"/>
    <w:pPr>
      <w:numPr>
        <w:ilvl w:val="6"/>
      </w:numPr>
      <w:spacing w:before="160"/>
      <w:outlineLvl w:val="6"/>
    </w:pPr>
  </w:style>
  <w:style w:type="paragraph" w:styleId="Heading8">
    <w:name w:val="heading 8"/>
    <w:basedOn w:val="Heading7"/>
    <w:next w:val="BodyText"/>
    <w:link w:val="Heading8Char"/>
    <w:uiPriority w:val="9"/>
    <w:semiHidden/>
    <w:unhideWhenUsed/>
    <w:rsid w:val="006A056C"/>
    <w:pPr>
      <w:numPr>
        <w:ilvl w:val="7"/>
      </w:numPr>
      <w:outlineLvl w:val="7"/>
    </w:pPr>
  </w:style>
  <w:style w:type="paragraph" w:styleId="Heading9">
    <w:name w:val="heading 9"/>
    <w:basedOn w:val="Heading8"/>
    <w:next w:val="BodyText"/>
    <w:link w:val="Heading9Char"/>
    <w:uiPriority w:val="9"/>
    <w:semiHidden/>
    <w:unhideWhenUsed/>
    <w:rsid w:val="006A056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056C"/>
  </w:style>
  <w:style w:type="character" w:customStyle="1" w:styleId="BodyTextChar">
    <w:name w:val="Body Text Char"/>
    <w:basedOn w:val="DefaultParagraphFont"/>
    <w:link w:val="BodyText"/>
    <w:rsid w:val="006A056C"/>
  </w:style>
  <w:style w:type="paragraph" w:customStyle="1" w:styleId="BodyTextNoSpacing">
    <w:name w:val="Body Text No Spacing"/>
    <w:basedOn w:val="BodyText"/>
    <w:next w:val="BodyText"/>
    <w:rsid w:val="006A056C"/>
    <w:pPr>
      <w:spacing w:after="0"/>
    </w:pPr>
  </w:style>
  <w:style w:type="paragraph" w:styleId="Caption">
    <w:name w:val="caption"/>
    <w:basedOn w:val="BodyText"/>
    <w:next w:val="BodyText"/>
    <w:uiPriority w:val="1"/>
    <w:qFormat/>
    <w:rsid w:val="006A056C"/>
    <w:pPr>
      <w:keepNext/>
      <w:keepLines/>
      <w:spacing w:before="360"/>
    </w:pPr>
    <w:rPr>
      <w:b/>
    </w:rPr>
  </w:style>
  <w:style w:type="character" w:customStyle="1" w:styleId="Heading1Char">
    <w:name w:val="Heading 1 Char"/>
    <w:basedOn w:val="DefaultParagraphFont"/>
    <w:link w:val="Heading1"/>
    <w:uiPriority w:val="9"/>
    <w:rsid w:val="006A056C"/>
    <w:rPr>
      <w:b/>
      <w:bCs/>
      <w:color w:val="002C77" w:themeColor="accent1"/>
      <w:sz w:val="44"/>
    </w:rPr>
  </w:style>
  <w:style w:type="character" w:customStyle="1" w:styleId="Heading2Char">
    <w:name w:val="Heading 2 Char"/>
    <w:basedOn w:val="DefaultParagraphFont"/>
    <w:link w:val="Heading2"/>
    <w:uiPriority w:val="9"/>
    <w:rsid w:val="006A056C"/>
    <w:rPr>
      <w:b/>
      <w:bCs/>
      <w:sz w:val="36"/>
    </w:rPr>
  </w:style>
  <w:style w:type="character" w:customStyle="1" w:styleId="Heading3Char">
    <w:name w:val="Heading 3 Char"/>
    <w:basedOn w:val="DefaultParagraphFont"/>
    <w:link w:val="Heading3"/>
    <w:uiPriority w:val="9"/>
    <w:rsid w:val="006A056C"/>
    <w:rPr>
      <w:b/>
      <w:bCs/>
      <w:sz w:val="32"/>
      <w:szCs w:val="32"/>
    </w:rPr>
  </w:style>
  <w:style w:type="character" w:customStyle="1" w:styleId="Heading4Char">
    <w:name w:val="Heading 4 Char"/>
    <w:basedOn w:val="DefaultParagraphFont"/>
    <w:link w:val="Heading4"/>
    <w:uiPriority w:val="9"/>
    <w:semiHidden/>
    <w:rsid w:val="006A056C"/>
    <w:rPr>
      <w:b/>
      <w:bCs/>
      <w:sz w:val="28"/>
      <w:szCs w:val="28"/>
    </w:rPr>
  </w:style>
  <w:style w:type="character" w:customStyle="1" w:styleId="Heading5Char">
    <w:name w:val="Heading 5 Char"/>
    <w:basedOn w:val="DefaultParagraphFont"/>
    <w:link w:val="Heading5"/>
    <w:uiPriority w:val="9"/>
    <w:semiHidden/>
    <w:rsid w:val="006A056C"/>
    <w:rPr>
      <w:b/>
      <w:bCs/>
      <w:sz w:val="24"/>
      <w:szCs w:val="24"/>
    </w:rPr>
  </w:style>
  <w:style w:type="character" w:customStyle="1" w:styleId="Heading6Char">
    <w:name w:val="Heading 6 Char"/>
    <w:basedOn w:val="DefaultParagraphFont"/>
    <w:link w:val="Heading6"/>
    <w:uiPriority w:val="9"/>
    <w:semiHidden/>
    <w:rsid w:val="006A056C"/>
    <w:rPr>
      <w:b/>
      <w:bCs/>
    </w:rPr>
  </w:style>
  <w:style w:type="character" w:customStyle="1" w:styleId="Heading7Char">
    <w:name w:val="Heading 7 Char"/>
    <w:basedOn w:val="DefaultParagraphFont"/>
    <w:link w:val="Heading7"/>
    <w:uiPriority w:val="9"/>
    <w:semiHidden/>
    <w:rsid w:val="006A056C"/>
    <w:rPr>
      <w:b/>
      <w:bCs/>
    </w:rPr>
  </w:style>
  <w:style w:type="character" w:customStyle="1" w:styleId="Heading8Char">
    <w:name w:val="Heading 8 Char"/>
    <w:basedOn w:val="DefaultParagraphFont"/>
    <w:link w:val="Heading8"/>
    <w:uiPriority w:val="9"/>
    <w:semiHidden/>
    <w:rsid w:val="006A056C"/>
    <w:rPr>
      <w:b/>
      <w:bCs/>
    </w:rPr>
  </w:style>
  <w:style w:type="character" w:customStyle="1" w:styleId="Heading9Char">
    <w:name w:val="Heading 9 Char"/>
    <w:basedOn w:val="DefaultParagraphFont"/>
    <w:link w:val="Heading9"/>
    <w:uiPriority w:val="9"/>
    <w:semiHidden/>
    <w:rsid w:val="006A056C"/>
    <w:rPr>
      <w:b/>
      <w:bCs/>
    </w:rPr>
  </w:style>
  <w:style w:type="numbering" w:customStyle="1" w:styleId="HeadingsList">
    <w:name w:val="Headings List"/>
    <w:uiPriority w:val="99"/>
    <w:rsid w:val="006A056C"/>
    <w:pPr>
      <w:numPr>
        <w:numId w:val="4"/>
      </w:numPr>
    </w:pPr>
  </w:style>
  <w:style w:type="paragraph" w:customStyle="1" w:styleId="HeadingU">
    <w:name w:val="Heading U"/>
    <w:basedOn w:val="Heading1"/>
    <w:next w:val="BodyText"/>
    <w:uiPriority w:val="10"/>
    <w:qFormat/>
    <w:rsid w:val="006A056C"/>
    <w:pPr>
      <w:numPr>
        <w:numId w:val="5"/>
      </w:numPr>
    </w:pPr>
  </w:style>
  <w:style w:type="numbering" w:customStyle="1" w:styleId="AppendicesList">
    <w:name w:val="Appendices List"/>
    <w:uiPriority w:val="99"/>
    <w:rsid w:val="006A056C"/>
    <w:pPr>
      <w:numPr>
        <w:numId w:val="1"/>
      </w:numPr>
    </w:pPr>
  </w:style>
  <w:style w:type="paragraph" w:customStyle="1" w:styleId="HeadingA1">
    <w:name w:val="Heading A1"/>
    <w:basedOn w:val="Heading1"/>
    <w:next w:val="BodyText"/>
    <w:uiPriority w:val="11"/>
    <w:qFormat/>
    <w:rsid w:val="006A056C"/>
    <w:pPr>
      <w:numPr>
        <w:numId w:val="3"/>
      </w:numPr>
    </w:pPr>
  </w:style>
  <w:style w:type="paragraph" w:customStyle="1" w:styleId="HeadingA2">
    <w:name w:val="Heading A2"/>
    <w:basedOn w:val="Heading2"/>
    <w:next w:val="BodyText"/>
    <w:uiPriority w:val="11"/>
    <w:qFormat/>
    <w:rsid w:val="006A056C"/>
    <w:pPr>
      <w:numPr>
        <w:numId w:val="3"/>
      </w:numPr>
    </w:pPr>
  </w:style>
  <w:style w:type="paragraph" w:customStyle="1" w:styleId="HeadingA3">
    <w:name w:val="Heading A3"/>
    <w:basedOn w:val="Heading3"/>
    <w:next w:val="BodyText"/>
    <w:uiPriority w:val="11"/>
    <w:rsid w:val="006A056C"/>
    <w:pPr>
      <w:numPr>
        <w:numId w:val="3"/>
      </w:numPr>
    </w:pPr>
  </w:style>
  <w:style w:type="paragraph" w:customStyle="1" w:styleId="HeadingA4">
    <w:name w:val="Heading A4"/>
    <w:basedOn w:val="Heading4"/>
    <w:next w:val="BodyText"/>
    <w:uiPriority w:val="11"/>
    <w:semiHidden/>
    <w:unhideWhenUsed/>
    <w:rsid w:val="006A056C"/>
    <w:pPr>
      <w:numPr>
        <w:numId w:val="3"/>
      </w:numPr>
    </w:pPr>
  </w:style>
  <w:style w:type="paragraph" w:customStyle="1" w:styleId="HeadingA5">
    <w:name w:val="Heading A5"/>
    <w:basedOn w:val="Heading5"/>
    <w:next w:val="BodyText"/>
    <w:uiPriority w:val="11"/>
    <w:semiHidden/>
    <w:unhideWhenUsed/>
    <w:rsid w:val="006A056C"/>
    <w:pPr>
      <w:numPr>
        <w:numId w:val="3"/>
      </w:numPr>
    </w:pPr>
  </w:style>
  <w:style w:type="paragraph" w:customStyle="1" w:styleId="HeadingA6">
    <w:name w:val="Heading A6"/>
    <w:basedOn w:val="Heading6"/>
    <w:next w:val="BodyText"/>
    <w:uiPriority w:val="11"/>
    <w:semiHidden/>
    <w:unhideWhenUsed/>
    <w:rsid w:val="006A056C"/>
    <w:pPr>
      <w:numPr>
        <w:numId w:val="3"/>
      </w:numPr>
    </w:pPr>
  </w:style>
  <w:style w:type="paragraph" w:customStyle="1" w:styleId="HeadingA7">
    <w:name w:val="Heading A7"/>
    <w:basedOn w:val="Heading7"/>
    <w:next w:val="BodyText"/>
    <w:uiPriority w:val="11"/>
    <w:semiHidden/>
    <w:unhideWhenUsed/>
    <w:rsid w:val="006A056C"/>
    <w:pPr>
      <w:numPr>
        <w:numId w:val="3"/>
      </w:numPr>
    </w:pPr>
  </w:style>
  <w:style w:type="paragraph" w:customStyle="1" w:styleId="HeadingA8">
    <w:name w:val="Heading A8"/>
    <w:basedOn w:val="Heading8"/>
    <w:next w:val="BodyText"/>
    <w:uiPriority w:val="11"/>
    <w:semiHidden/>
    <w:unhideWhenUsed/>
    <w:rsid w:val="006A056C"/>
    <w:pPr>
      <w:numPr>
        <w:numId w:val="3"/>
      </w:numPr>
    </w:pPr>
  </w:style>
  <w:style w:type="paragraph" w:customStyle="1" w:styleId="HeadingA9">
    <w:name w:val="Heading A9"/>
    <w:basedOn w:val="Heading9"/>
    <w:next w:val="BodyText"/>
    <w:uiPriority w:val="11"/>
    <w:semiHidden/>
    <w:unhideWhenUsed/>
    <w:rsid w:val="006A056C"/>
    <w:pPr>
      <w:numPr>
        <w:numId w:val="3"/>
      </w:numPr>
    </w:pPr>
  </w:style>
  <w:style w:type="paragraph" w:styleId="BalloonText">
    <w:name w:val="Balloon Text"/>
    <w:basedOn w:val="Normal"/>
    <w:link w:val="BalloonTextChar"/>
    <w:uiPriority w:val="99"/>
    <w:semiHidden/>
    <w:unhideWhenUsed/>
    <w:rsid w:val="006A05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6C"/>
    <w:rPr>
      <w:rFonts w:ascii="Segoe UI" w:hAnsi="Segoe UI" w:cs="Segoe UI"/>
      <w:sz w:val="18"/>
      <w:szCs w:val="18"/>
    </w:rPr>
  </w:style>
  <w:style w:type="paragraph" w:customStyle="1" w:styleId="HeadingU2">
    <w:name w:val="Heading U2"/>
    <w:basedOn w:val="Heading2"/>
    <w:next w:val="BodyText"/>
    <w:uiPriority w:val="10"/>
    <w:qFormat/>
    <w:rsid w:val="006A056C"/>
    <w:pPr>
      <w:numPr>
        <w:numId w:val="5"/>
      </w:numPr>
    </w:pPr>
  </w:style>
  <w:style w:type="paragraph" w:customStyle="1" w:styleId="HeadingU3">
    <w:name w:val="Heading U3"/>
    <w:basedOn w:val="Heading3"/>
    <w:next w:val="BodyText"/>
    <w:uiPriority w:val="10"/>
    <w:rsid w:val="006A056C"/>
    <w:pPr>
      <w:numPr>
        <w:numId w:val="5"/>
      </w:numPr>
    </w:pPr>
  </w:style>
  <w:style w:type="paragraph" w:customStyle="1" w:styleId="HeadingU4">
    <w:name w:val="Heading U4"/>
    <w:basedOn w:val="Heading4"/>
    <w:next w:val="BodyText"/>
    <w:uiPriority w:val="10"/>
    <w:semiHidden/>
    <w:unhideWhenUsed/>
    <w:rsid w:val="006A056C"/>
    <w:pPr>
      <w:numPr>
        <w:numId w:val="5"/>
      </w:numPr>
    </w:pPr>
  </w:style>
  <w:style w:type="paragraph" w:customStyle="1" w:styleId="HeadingU5">
    <w:name w:val="Heading U5"/>
    <w:basedOn w:val="Heading5"/>
    <w:next w:val="BodyText"/>
    <w:uiPriority w:val="10"/>
    <w:semiHidden/>
    <w:unhideWhenUsed/>
    <w:rsid w:val="006A056C"/>
    <w:pPr>
      <w:numPr>
        <w:numId w:val="5"/>
      </w:numPr>
    </w:pPr>
  </w:style>
  <w:style w:type="paragraph" w:customStyle="1" w:styleId="HeadingU6">
    <w:name w:val="Heading U6"/>
    <w:basedOn w:val="Heading6"/>
    <w:next w:val="BodyText"/>
    <w:uiPriority w:val="10"/>
    <w:semiHidden/>
    <w:unhideWhenUsed/>
    <w:rsid w:val="006A056C"/>
    <w:pPr>
      <w:numPr>
        <w:numId w:val="5"/>
      </w:numPr>
    </w:pPr>
  </w:style>
  <w:style w:type="paragraph" w:customStyle="1" w:styleId="HeadingU7">
    <w:name w:val="Heading U7"/>
    <w:basedOn w:val="Heading7"/>
    <w:next w:val="BodyText"/>
    <w:uiPriority w:val="10"/>
    <w:semiHidden/>
    <w:unhideWhenUsed/>
    <w:rsid w:val="006A056C"/>
    <w:pPr>
      <w:numPr>
        <w:numId w:val="5"/>
      </w:numPr>
    </w:pPr>
  </w:style>
  <w:style w:type="paragraph" w:customStyle="1" w:styleId="HeadingU8">
    <w:name w:val="Heading U8"/>
    <w:basedOn w:val="Heading8"/>
    <w:next w:val="BodyText"/>
    <w:uiPriority w:val="10"/>
    <w:semiHidden/>
    <w:unhideWhenUsed/>
    <w:rsid w:val="006A056C"/>
    <w:pPr>
      <w:numPr>
        <w:numId w:val="5"/>
      </w:numPr>
    </w:pPr>
  </w:style>
  <w:style w:type="paragraph" w:customStyle="1" w:styleId="HeadingU9">
    <w:name w:val="Heading U9"/>
    <w:basedOn w:val="Heading9"/>
    <w:next w:val="BodyText"/>
    <w:uiPriority w:val="10"/>
    <w:semiHidden/>
    <w:unhideWhenUsed/>
    <w:rsid w:val="006A056C"/>
    <w:pPr>
      <w:numPr>
        <w:numId w:val="5"/>
      </w:numPr>
    </w:pPr>
  </w:style>
  <w:style w:type="numbering" w:customStyle="1" w:styleId="HeadingsUList">
    <w:name w:val="Headings U List"/>
    <w:uiPriority w:val="99"/>
    <w:rsid w:val="006A056C"/>
    <w:pPr>
      <w:numPr>
        <w:numId w:val="5"/>
      </w:numPr>
    </w:pPr>
  </w:style>
  <w:style w:type="paragraph" w:customStyle="1" w:styleId="HeadingUNoTOC">
    <w:name w:val="Heading U NoTOC"/>
    <w:basedOn w:val="HeadingU"/>
    <w:next w:val="BodyText"/>
    <w:uiPriority w:val="10"/>
    <w:rsid w:val="006A056C"/>
    <w:pPr>
      <w:numPr>
        <w:numId w:val="0"/>
      </w:numPr>
    </w:pPr>
  </w:style>
  <w:style w:type="paragraph" w:styleId="ListBullet">
    <w:name w:val="List Bullet"/>
    <w:uiPriority w:val="19"/>
    <w:qFormat/>
    <w:rsid w:val="006A056C"/>
    <w:pPr>
      <w:numPr>
        <w:numId w:val="6"/>
      </w:numPr>
      <w:spacing w:after="80"/>
    </w:pPr>
  </w:style>
  <w:style w:type="paragraph" w:styleId="ListBullet2">
    <w:name w:val="List Bullet 2"/>
    <w:basedOn w:val="ListBullet"/>
    <w:uiPriority w:val="19"/>
    <w:qFormat/>
    <w:rsid w:val="006A056C"/>
    <w:pPr>
      <w:numPr>
        <w:ilvl w:val="1"/>
      </w:numPr>
    </w:pPr>
  </w:style>
  <w:style w:type="paragraph" w:styleId="ListBullet3">
    <w:name w:val="List Bullet 3"/>
    <w:basedOn w:val="ListBullet2"/>
    <w:uiPriority w:val="19"/>
    <w:rsid w:val="006A056C"/>
    <w:pPr>
      <w:numPr>
        <w:ilvl w:val="2"/>
      </w:numPr>
    </w:pPr>
  </w:style>
  <w:style w:type="paragraph" w:styleId="ListBullet4">
    <w:name w:val="List Bullet 4"/>
    <w:basedOn w:val="ListBullet3"/>
    <w:uiPriority w:val="19"/>
    <w:semiHidden/>
    <w:unhideWhenUsed/>
    <w:rsid w:val="006A056C"/>
    <w:pPr>
      <w:numPr>
        <w:ilvl w:val="3"/>
      </w:numPr>
    </w:pPr>
  </w:style>
  <w:style w:type="paragraph" w:styleId="ListBullet5">
    <w:name w:val="List Bullet 5"/>
    <w:basedOn w:val="ListBullet4"/>
    <w:uiPriority w:val="19"/>
    <w:semiHidden/>
    <w:unhideWhenUsed/>
    <w:rsid w:val="006A056C"/>
    <w:pPr>
      <w:numPr>
        <w:ilvl w:val="4"/>
      </w:numPr>
    </w:pPr>
  </w:style>
  <w:style w:type="numbering" w:customStyle="1" w:styleId="BulletsMultilevel">
    <w:name w:val="Bullets (Multilevel)"/>
    <w:uiPriority w:val="99"/>
    <w:rsid w:val="006A056C"/>
    <w:pPr>
      <w:numPr>
        <w:numId w:val="2"/>
      </w:numPr>
    </w:pPr>
  </w:style>
  <w:style w:type="paragraph" w:styleId="ListParagraph">
    <w:name w:val="List Paragraph"/>
    <w:basedOn w:val="Normal"/>
    <w:uiPriority w:val="98"/>
    <w:qFormat/>
    <w:rsid w:val="006A056C"/>
    <w:pPr>
      <w:ind w:left="720"/>
      <w:contextualSpacing/>
    </w:pPr>
  </w:style>
  <w:style w:type="paragraph" w:customStyle="1" w:styleId="ListBullet6">
    <w:name w:val="List Bullet 6"/>
    <w:basedOn w:val="ListBullet5"/>
    <w:uiPriority w:val="19"/>
    <w:semiHidden/>
    <w:unhideWhenUsed/>
    <w:rsid w:val="006A056C"/>
    <w:pPr>
      <w:numPr>
        <w:ilvl w:val="5"/>
      </w:numPr>
    </w:pPr>
  </w:style>
  <w:style w:type="paragraph" w:customStyle="1" w:styleId="ListBullet7">
    <w:name w:val="List Bullet 7"/>
    <w:basedOn w:val="ListBullet6"/>
    <w:uiPriority w:val="19"/>
    <w:semiHidden/>
    <w:unhideWhenUsed/>
    <w:rsid w:val="006A056C"/>
    <w:pPr>
      <w:numPr>
        <w:ilvl w:val="6"/>
      </w:numPr>
    </w:pPr>
  </w:style>
  <w:style w:type="paragraph" w:customStyle="1" w:styleId="ListBullet8">
    <w:name w:val="List Bullet 8"/>
    <w:basedOn w:val="ListBullet7"/>
    <w:uiPriority w:val="19"/>
    <w:semiHidden/>
    <w:unhideWhenUsed/>
    <w:rsid w:val="006A056C"/>
    <w:pPr>
      <w:numPr>
        <w:ilvl w:val="7"/>
      </w:numPr>
    </w:pPr>
  </w:style>
  <w:style w:type="paragraph" w:customStyle="1" w:styleId="ListBullet9">
    <w:name w:val="List Bullet 9"/>
    <w:basedOn w:val="ListBullet8"/>
    <w:uiPriority w:val="19"/>
    <w:semiHidden/>
    <w:unhideWhenUsed/>
    <w:rsid w:val="006A056C"/>
    <w:pPr>
      <w:numPr>
        <w:ilvl w:val="8"/>
      </w:numPr>
    </w:pPr>
  </w:style>
  <w:style w:type="numbering" w:customStyle="1" w:styleId="NumberedListMultilevel">
    <w:name w:val="Numbered List (Multilevel)"/>
    <w:uiPriority w:val="99"/>
    <w:rsid w:val="006A056C"/>
    <w:pPr>
      <w:numPr>
        <w:numId w:val="11"/>
      </w:numPr>
    </w:pPr>
  </w:style>
  <w:style w:type="paragraph" w:styleId="ListNumber">
    <w:name w:val="List Number"/>
    <w:uiPriority w:val="20"/>
    <w:qFormat/>
    <w:rsid w:val="006A056C"/>
    <w:pPr>
      <w:numPr>
        <w:numId w:val="11"/>
      </w:numPr>
      <w:spacing w:after="80"/>
    </w:pPr>
  </w:style>
  <w:style w:type="paragraph" w:styleId="ListNumber2">
    <w:name w:val="List Number 2"/>
    <w:basedOn w:val="ListNumber"/>
    <w:uiPriority w:val="20"/>
    <w:qFormat/>
    <w:rsid w:val="006A056C"/>
    <w:pPr>
      <w:numPr>
        <w:ilvl w:val="1"/>
      </w:numPr>
    </w:pPr>
  </w:style>
  <w:style w:type="paragraph" w:styleId="ListNumber3">
    <w:name w:val="List Number 3"/>
    <w:basedOn w:val="ListBullet3"/>
    <w:uiPriority w:val="20"/>
    <w:rsid w:val="006A056C"/>
    <w:pPr>
      <w:numPr>
        <w:numId w:val="11"/>
      </w:numPr>
    </w:pPr>
  </w:style>
  <w:style w:type="paragraph" w:styleId="ListNumber4">
    <w:name w:val="List Number 4"/>
    <w:basedOn w:val="ListNumber3"/>
    <w:uiPriority w:val="20"/>
    <w:semiHidden/>
    <w:unhideWhenUsed/>
    <w:rsid w:val="006A056C"/>
    <w:pPr>
      <w:numPr>
        <w:ilvl w:val="3"/>
      </w:numPr>
    </w:pPr>
  </w:style>
  <w:style w:type="paragraph" w:styleId="ListNumber5">
    <w:name w:val="List Number 5"/>
    <w:basedOn w:val="ListNumber4"/>
    <w:uiPriority w:val="20"/>
    <w:semiHidden/>
    <w:unhideWhenUsed/>
    <w:rsid w:val="006A056C"/>
    <w:pPr>
      <w:numPr>
        <w:ilvl w:val="4"/>
      </w:numPr>
    </w:pPr>
  </w:style>
  <w:style w:type="paragraph" w:customStyle="1" w:styleId="ListNumber6">
    <w:name w:val="List Number 6"/>
    <w:basedOn w:val="ListNumber5"/>
    <w:uiPriority w:val="20"/>
    <w:semiHidden/>
    <w:unhideWhenUsed/>
    <w:rsid w:val="006A056C"/>
    <w:pPr>
      <w:numPr>
        <w:ilvl w:val="5"/>
      </w:numPr>
    </w:pPr>
  </w:style>
  <w:style w:type="paragraph" w:customStyle="1" w:styleId="ListNumber7">
    <w:name w:val="List Number 7"/>
    <w:basedOn w:val="ListNumber6"/>
    <w:uiPriority w:val="20"/>
    <w:semiHidden/>
    <w:unhideWhenUsed/>
    <w:rsid w:val="006A056C"/>
    <w:pPr>
      <w:numPr>
        <w:ilvl w:val="6"/>
      </w:numPr>
    </w:pPr>
  </w:style>
  <w:style w:type="paragraph" w:customStyle="1" w:styleId="ListNumber8">
    <w:name w:val="List Number 8"/>
    <w:basedOn w:val="ListNumber7"/>
    <w:uiPriority w:val="20"/>
    <w:semiHidden/>
    <w:unhideWhenUsed/>
    <w:rsid w:val="006A056C"/>
    <w:pPr>
      <w:numPr>
        <w:ilvl w:val="7"/>
      </w:numPr>
    </w:pPr>
  </w:style>
  <w:style w:type="paragraph" w:customStyle="1" w:styleId="ListNumber9">
    <w:name w:val="List Number 9"/>
    <w:basedOn w:val="ListNumber8"/>
    <w:uiPriority w:val="20"/>
    <w:semiHidden/>
    <w:unhideWhenUsed/>
    <w:rsid w:val="006A056C"/>
    <w:pPr>
      <w:numPr>
        <w:ilvl w:val="8"/>
      </w:numPr>
    </w:pPr>
  </w:style>
  <w:style w:type="paragraph" w:customStyle="1" w:styleId="TableHeadingText">
    <w:name w:val="Table Heading Text"/>
    <w:link w:val="TableHeadingTextChar"/>
    <w:uiPriority w:val="30"/>
    <w:qFormat/>
    <w:rsid w:val="006A056C"/>
    <w:pPr>
      <w:keepLines/>
      <w:spacing w:before="40" w:after="40"/>
    </w:pPr>
    <w:rPr>
      <w:b/>
      <w:bCs/>
      <w:sz w:val="20"/>
      <w:szCs w:val="20"/>
    </w:rPr>
  </w:style>
  <w:style w:type="paragraph" w:customStyle="1" w:styleId="TableText">
    <w:name w:val="Table Text"/>
    <w:link w:val="TableTextChar"/>
    <w:uiPriority w:val="30"/>
    <w:qFormat/>
    <w:rsid w:val="006A056C"/>
    <w:pPr>
      <w:spacing w:before="40" w:after="40"/>
    </w:pPr>
    <w:rPr>
      <w:sz w:val="20"/>
      <w:szCs w:val="20"/>
    </w:rPr>
  </w:style>
  <w:style w:type="character" w:customStyle="1" w:styleId="TableHeadingTextChar">
    <w:name w:val="Table Heading Text Char"/>
    <w:basedOn w:val="DefaultParagraphFont"/>
    <w:link w:val="TableHeadingText"/>
    <w:uiPriority w:val="30"/>
    <w:rsid w:val="006A056C"/>
    <w:rPr>
      <w:b/>
      <w:bCs/>
      <w:sz w:val="20"/>
      <w:szCs w:val="20"/>
    </w:rPr>
  </w:style>
  <w:style w:type="character" w:customStyle="1" w:styleId="TableTextChar">
    <w:name w:val="Table Text Char"/>
    <w:basedOn w:val="DefaultParagraphFont"/>
    <w:link w:val="TableText"/>
    <w:uiPriority w:val="30"/>
    <w:rsid w:val="006A056C"/>
    <w:rPr>
      <w:sz w:val="20"/>
      <w:szCs w:val="20"/>
    </w:rPr>
  </w:style>
  <w:style w:type="table" w:styleId="TableGrid">
    <w:name w:val="Table Grid"/>
    <w:basedOn w:val="TableNormal"/>
    <w:uiPriority w:val="39"/>
    <w:rsid w:val="006A05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WTable">
    <w:name w:val="OW Table"/>
    <w:basedOn w:val="TableNormal"/>
    <w:uiPriority w:val="99"/>
    <w:rsid w:val="006A056C"/>
    <w:pPr>
      <w:spacing w:before="40" w:after="40"/>
    </w:pPr>
    <w:rPr>
      <w:sz w:val="20"/>
      <w:szCs w:val="20"/>
    </w:rPr>
    <w:tblPr>
      <w:tblBorders>
        <w:bottom w:val="single" w:sz="4" w:space="0" w:color="000000" w:themeColor="text1"/>
        <w:insideH w:val="single" w:sz="4" w:space="0" w:color="000000" w:themeColor="text1"/>
      </w:tblBorders>
    </w:tblPr>
    <w:tblStylePr w:type="firstRow">
      <w:pPr>
        <w:jc w:val="left"/>
      </w:pPr>
      <w:rPr>
        <w:rFonts w:asciiTheme="minorHAnsi" w:eastAsiaTheme="minorEastAsia" w:hAnsiTheme="minorHAnsi" w:cstheme="minorBidi"/>
        <w:b/>
        <w:bCs/>
        <w:i w:val="0"/>
        <w:iCs w:val="0"/>
        <w:color w:val="auto"/>
        <w:sz w:val="20"/>
      </w:rPr>
      <w:tblPr/>
      <w:tcPr>
        <w:vAlign w:val="bottom"/>
      </w:tcPr>
    </w:tblStylePr>
    <w:tblStylePr w:type="lastRow">
      <w:rPr>
        <w:rFonts w:asciiTheme="minorHAnsi" w:eastAsiaTheme="minorEastAsia" w:hAnsiTheme="minorHAnsi" w:cstheme="minorBidi"/>
        <w:b/>
        <w:bCs/>
        <w:i w:val="0"/>
        <w:iCs w:val="0"/>
      </w:rPr>
      <w:tblPr/>
      <w:tcPr>
        <w:tcBorders>
          <w:bottom w:val="nil"/>
          <w:insideH w:val="nil"/>
        </w:tcBorders>
      </w:tcPr>
    </w:tblStylePr>
    <w:tblStylePr w:type="firstCol">
      <w:rPr>
        <w:b w:val="0"/>
        <w:bCs/>
      </w:rPr>
    </w:tblStylePr>
  </w:style>
  <w:style w:type="numbering" w:customStyle="1" w:styleId="LowercaseAlphaListMultilevel">
    <w:name w:val="Lowercase Alpha List (Multilevel)"/>
    <w:uiPriority w:val="99"/>
    <w:rsid w:val="006A056C"/>
    <w:pPr>
      <w:numPr>
        <w:numId w:val="9"/>
      </w:numPr>
    </w:pPr>
  </w:style>
  <w:style w:type="paragraph" w:customStyle="1" w:styleId="ListAlphaLC">
    <w:name w:val="List AlphaLC"/>
    <w:uiPriority w:val="22"/>
    <w:qFormat/>
    <w:rsid w:val="006A056C"/>
    <w:pPr>
      <w:numPr>
        <w:numId w:val="9"/>
      </w:numPr>
      <w:spacing w:after="80"/>
    </w:pPr>
  </w:style>
  <w:style w:type="paragraph" w:customStyle="1" w:styleId="ListAlphaLC2">
    <w:name w:val="List AlphaLC 2"/>
    <w:basedOn w:val="ListAlphaLC"/>
    <w:uiPriority w:val="22"/>
    <w:qFormat/>
    <w:rsid w:val="006A056C"/>
    <w:pPr>
      <w:numPr>
        <w:ilvl w:val="1"/>
      </w:numPr>
    </w:pPr>
  </w:style>
  <w:style w:type="paragraph" w:customStyle="1" w:styleId="ListAlphaLC3">
    <w:name w:val="List AlphaLC 3"/>
    <w:basedOn w:val="ListAlphaLC2"/>
    <w:uiPriority w:val="22"/>
    <w:rsid w:val="006A056C"/>
    <w:pPr>
      <w:numPr>
        <w:ilvl w:val="2"/>
      </w:numPr>
    </w:pPr>
  </w:style>
  <w:style w:type="paragraph" w:customStyle="1" w:styleId="ListAlphaLC4">
    <w:name w:val="List AlphaLC 4"/>
    <w:basedOn w:val="ListAlphaLC3"/>
    <w:uiPriority w:val="22"/>
    <w:semiHidden/>
    <w:unhideWhenUsed/>
    <w:rsid w:val="006A056C"/>
    <w:pPr>
      <w:numPr>
        <w:ilvl w:val="3"/>
      </w:numPr>
    </w:pPr>
  </w:style>
  <w:style w:type="paragraph" w:customStyle="1" w:styleId="ListAlphaLC5">
    <w:name w:val="List AlphaLC 5"/>
    <w:basedOn w:val="ListAlphaLC4"/>
    <w:uiPriority w:val="22"/>
    <w:semiHidden/>
    <w:unhideWhenUsed/>
    <w:rsid w:val="006A056C"/>
    <w:pPr>
      <w:numPr>
        <w:ilvl w:val="4"/>
      </w:numPr>
    </w:pPr>
  </w:style>
  <w:style w:type="paragraph" w:customStyle="1" w:styleId="ListAlphaLC6">
    <w:name w:val="List AlphaLC 6"/>
    <w:basedOn w:val="ListAlphaLC5"/>
    <w:uiPriority w:val="22"/>
    <w:semiHidden/>
    <w:unhideWhenUsed/>
    <w:rsid w:val="006A056C"/>
    <w:pPr>
      <w:numPr>
        <w:ilvl w:val="5"/>
      </w:numPr>
    </w:pPr>
  </w:style>
  <w:style w:type="paragraph" w:customStyle="1" w:styleId="ListAlphaLC7">
    <w:name w:val="List AlphaLC 7"/>
    <w:basedOn w:val="ListAlphaLC6"/>
    <w:uiPriority w:val="22"/>
    <w:semiHidden/>
    <w:unhideWhenUsed/>
    <w:rsid w:val="006A056C"/>
    <w:pPr>
      <w:numPr>
        <w:ilvl w:val="6"/>
      </w:numPr>
    </w:pPr>
  </w:style>
  <w:style w:type="paragraph" w:customStyle="1" w:styleId="ListAlphaLC8">
    <w:name w:val="List AlphaLC 8"/>
    <w:basedOn w:val="ListAlphaLC7"/>
    <w:uiPriority w:val="22"/>
    <w:semiHidden/>
    <w:unhideWhenUsed/>
    <w:rsid w:val="006A056C"/>
    <w:pPr>
      <w:numPr>
        <w:ilvl w:val="7"/>
      </w:numPr>
    </w:pPr>
  </w:style>
  <w:style w:type="paragraph" w:customStyle="1" w:styleId="ListAlphaLC9">
    <w:name w:val="List AlphaLC 9"/>
    <w:basedOn w:val="ListAlphaLC8"/>
    <w:uiPriority w:val="22"/>
    <w:semiHidden/>
    <w:unhideWhenUsed/>
    <w:rsid w:val="006A056C"/>
    <w:pPr>
      <w:numPr>
        <w:ilvl w:val="8"/>
      </w:numPr>
    </w:pPr>
  </w:style>
  <w:style w:type="numbering" w:customStyle="1" w:styleId="UppercaseAlphaListMultilevel">
    <w:name w:val="Uppercase Alpha List (Multilevel)"/>
    <w:uiPriority w:val="99"/>
    <w:rsid w:val="006A056C"/>
    <w:pPr>
      <w:numPr>
        <w:numId w:val="17"/>
      </w:numPr>
    </w:pPr>
  </w:style>
  <w:style w:type="paragraph" w:customStyle="1" w:styleId="ListAlphaUC">
    <w:name w:val="List AlphaUC"/>
    <w:uiPriority w:val="23"/>
    <w:qFormat/>
    <w:rsid w:val="006A056C"/>
    <w:pPr>
      <w:numPr>
        <w:numId w:val="17"/>
      </w:numPr>
      <w:spacing w:after="80"/>
    </w:pPr>
  </w:style>
  <w:style w:type="paragraph" w:customStyle="1" w:styleId="ListAlphaUC2">
    <w:name w:val="List AlphaUC 2"/>
    <w:basedOn w:val="ListAlphaUC"/>
    <w:uiPriority w:val="23"/>
    <w:qFormat/>
    <w:rsid w:val="006A056C"/>
    <w:pPr>
      <w:numPr>
        <w:ilvl w:val="1"/>
      </w:numPr>
    </w:pPr>
  </w:style>
  <w:style w:type="paragraph" w:customStyle="1" w:styleId="ListAlphaUC3">
    <w:name w:val="List AlphaUC 3"/>
    <w:basedOn w:val="ListAlphaUC2"/>
    <w:uiPriority w:val="23"/>
    <w:rsid w:val="006A056C"/>
    <w:pPr>
      <w:numPr>
        <w:ilvl w:val="2"/>
      </w:numPr>
    </w:pPr>
  </w:style>
  <w:style w:type="paragraph" w:customStyle="1" w:styleId="ListAlphaUC4">
    <w:name w:val="List AlphaUC 4"/>
    <w:basedOn w:val="ListAlphaUC3"/>
    <w:uiPriority w:val="23"/>
    <w:semiHidden/>
    <w:unhideWhenUsed/>
    <w:rsid w:val="006A056C"/>
    <w:pPr>
      <w:numPr>
        <w:ilvl w:val="3"/>
      </w:numPr>
    </w:pPr>
  </w:style>
  <w:style w:type="paragraph" w:customStyle="1" w:styleId="ListAlphaUC5">
    <w:name w:val="List AlphaUC 5"/>
    <w:basedOn w:val="ListAlphaUC4"/>
    <w:uiPriority w:val="23"/>
    <w:semiHidden/>
    <w:unhideWhenUsed/>
    <w:rsid w:val="006A056C"/>
    <w:pPr>
      <w:numPr>
        <w:ilvl w:val="4"/>
      </w:numPr>
    </w:pPr>
  </w:style>
  <w:style w:type="paragraph" w:customStyle="1" w:styleId="ListAlphaUC6">
    <w:name w:val="List AlphaUC 6"/>
    <w:basedOn w:val="ListAlphaUC5"/>
    <w:uiPriority w:val="23"/>
    <w:semiHidden/>
    <w:unhideWhenUsed/>
    <w:rsid w:val="006A056C"/>
    <w:pPr>
      <w:numPr>
        <w:ilvl w:val="5"/>
      </w:numPr>
    </w:pPr>
  </w:style>
  <w:style w:type="paragraph" w:customStyle="1" w:styleId="ListAlphaUC7">
    <w:name w:val="List AlphaUC 7"/>
    <w:basedOn w:val="ListAlphaUC6"/>
    <w:uiPriority w:val="23"/>
    <w:semiHidden/>
    <w:unhideWhenUsed/>
    <w:rsid w:val="006A056C"/>
    <w:pPr>
      <w:numPr>
        <w:ilvl w:val="6"/>
      </w:numPr>
    </w:pPr>
  </w:style>
  <w:style w:type="paragraph" w:customStyle="1" w:styleId="ListAlphaUC8">
    <w:name w:val="List AlphaUC 8"/>
    <w:basedOn w:val="ListAlphaUC7"/>
    <w:uiPriority w:val="23"/>
    <w:semiHidden/>
    <w:unhideWhenUsed/>
    <w:rsid w:val="006A056C"/>
    <w:pPr>
      <w:numPr>
        <w:ilvl w:val="7"/>
      </w:numPr>
    </w:pPr>
  </w:style>
  <w:style w:type="paragraph" w:customStyle="1" w:styleId="ListAlphaUC9">
    <w:name w:val="List AlphaUC 9"/>
    <w:basedOn w:val="ListAlphaUC8"/>
    <w:uiPriority w:val="23"/>
    <w:semiHidden/>
    <w:unhideWhenUsed/>
    <w:rsid w:val="006A056C"/>
    <w:pPr>
      <w:numPr>
        <w:ilvl w:val="8"/>
      </w:numPr>
    </w:pPr>
  </w:style>
  <w:style w:type="numbering" w:customStyle="1" w:styleId="NumberinParenthesesListMultilevel">
    <w:name w:val="Number in Parentheses List (Multilevel)"/>
    <w:uiPriority w:val="99"/>
    <w:rsid w:val="006A056C"/>
    <w:pPr>
      <w:numPr>
        <w:numId w:val="10"/>
      </w:numPr>
    </w:pPr>
  </w:style>
  <w:style w:type="paragraph" w:customStyle="1" w:styleId="ListNumParenth">
    <w:name w:val="List NumParenth"/>
    <w:uiPriority w:val="24"/>
    <w:rsid w:val="006A056C"/>
    <w:pPr>
      <w:numPr>
        <w:numId w:val="10"/>
      </w:numPr>
      <w:spacing w:after="80"/>
    </w:pPr>
  </w:style>
  <w:style w:type="paragraph" w:customStyle="1" w:styleId="ListNumParenth2">
    <w:name w:val="List NumParenth 2"/>
    <w:basedOn w:val="ListNumParenth"/>
    <w:uiPriority w:val="24"/>
    <w:rsid w:val="006A056C"/>
    <w:pPr>
      <w:numPr>
        <w:ilvl w:val="1"/>
      </w:numPr>
    </w:pPr>
  </w:style>
  <w:style w:type="paragraph" w:customStyle="1" w:styleId="ListNumParenth3">
    <w:name w:val="List NumParenth 3"/>
    <w:basedOn w:val="ListNumParenth2"/>
    <w:uiPriority w:val="24"/>
    <w:rsid w:val="006A056C"/>
    <w:pPr>
      <w:numPr>
        <w:ilvl w:val="2"/>
      </w:numPr>
    </w:pPr>
  </w:style>
  <w:style w:type="paragraph" w:customStyle="1" w:styleId="ListNumParenth4">
    <w:name w:val="List NumParenth 4"/>
    <w:basedOn w:val="ListNumParenth3"/>
    <w:uiPriority w:val="24"/>
    <w:semiHidden/>
    <w:unhideWhenUsed/>
    <w:rsid w:val="006A056C"/>
    <w:pPr>
      <w:numPr>
        <w:ilvl w:val="3"/>
      </w:numPr>
    </w:pPr>
  </w:style>
  <w:style w:type="paragraph" w:customStyle="1" w:styleId="ListNumParenth5">
    <w:name w:val="List NumParenth 5"/>
    <w:basedOn w:val="ListNumParenth4"/>
    <w:uiPriority w:val="24"/>
    <w:semiHidden/>
    <w:unhideWhenUsed/>
    <w:rsid w:val="006A056C"/>
    <w:pPr>
      <w:numPr>
        <w:ilvl w:val="4"/>
      </w:numPr>
    </w:pPr>
  </w:style>
  <w:style w:type="paragraph" w:customStyle="1" w:styleId="ListNumParenth6">
    <w:name w:val="List NumParenth 6"/>
    <w:basedOn w:val="ListNumParenth5"/>
    <w:uiPriority w:val="24"/>
    <w:semiHidden/>
    <w:unhideWhenUsed/>
    <w:rsid w:val="006A056C"/>
    <w:pPr>
      <w:numPr>
        <w:ilvl w:val="5"/>
      </w:numPr>
    </w:pPr>
  </w:style>
  <w:style w:type="paragraph" w:customStyle="1" w:styleId="ListNumParenth7">
    <w:name w:val="List NumParenth 7"/>
    <w:basedOn w:val="ListNumParenth6"/>
    <w:uiPriority w:val="24"/>
    <w:semiHidden/>
    <w:unhideWhenUsed/>
    <w:rsid w:val="006A056C"/>
    <w:pPr>
      <w:numPr>
        <w:ilvl w:val="6"/>
      </w:numPr>
    </w:pPr>
  </w:style>
  <w:style w:type="paragraph" w:customStyle="1" w:styleId="ListNumParenth8">
    <w:name w:val="List NumParenth 8"/>
    <w:basedOn w:val="ListNumParenth7"/>
    <w:uiPriority w:val="24"/>
    <w:semiHidden/>
    <w:unhideWhenUsed/>
    <w:rsid w:val="006A056C"/>
    <w:pPr>
      <w:numPr>
        <w:ilvl w:val="7"/>
      </w:numPr>
    </w:pPr>
  </w:style>
  <w:style w:type="paragraph" w:customStyle="1" w:styleId="ListNumParenth9">
    <w:name w:val="List NumParenth 9"/>
    <w:basedOn w:val="ListNumParenth8"/>
    <w:uiPriority w:val="24"/>
    <w:semiHidden/>
    <w:unhideWhenUsed/>
    <w:rsid w:val="006A056C"/>
    <w:pPr>
      <w:numPr>
        <w:ilvl w:val="8"/>
      </w:numPr>
    </w:pPr>
  </w:style>
  <w:style w:type="numbering" w:customStyle="1" w:styleId="TableBulletsMultilevel">
    <w:name w:val="Table Bullets (Multilevel)"/>
    <w:uiPriority w:val="99"/>
    <w:rsid w:val="006A056C"/>
    <w:pPr>
      <w:numPr>
        <w:numId w:val="14"/>
      </w:numPr>
    </w:pPr>
  </w:style>
  <w:style w:type="numbering" w:customStyle="1" w:styleId="TableNumberedMultilevel">
    <w:name w:val="Table Numbered (Multilevel)"/>
    <w:uiPriority w:val="99"/>
    <w:rsid w:val="006A056C"/>
    <w:pPr>
      <w:numPr>
        <w:numId w:val="15"/>
      </w:numPr>
    </w:pPr>
  </w:style>
  <w:style w:type="paragraph" w:customStyle="1" w:styleId="TableBullet1">
    <w:name w:val="Table Bullet 1"/>
    <w:uiPriority w:val="31"/>
    <w:rsid w:val="006A056C"/>
    <w:pPr>
      <w:numPr>
        <w:numId w:val="14"/>
      </w:numPr>
      <w:spacing w:before="40" w:after="40"/>
    </w:pPr>
    <w:rPr>
      <w:sz w:val="20"/>
    </w:rPr>
  </w:style>
  <w:style w:type="paragraph" w:customStyle="1" w:styleId="TableBullet2">
    <w:name w:val="Table Bullet 2"/>
    <w:basedOn w:val="TableBullet1"/>
    <w:uiPriority w:val="31"/>
    <w:rsid w:val="006A056C"/>
    <w:pPr>
      <w:numPr>
        <w:ilvl w:val="1"/>
      </w:numPr>
    </w:pPr>
  </w:style>
  <w:style w:type="paragraph" w:customStyle="1" w:styleId="TableBullet3">
    <w:name w:val="Table Bullet 3"/>
    <w:basedOn w:val="TableBullet2"/>
    <w:uiPriority w:val="31"/>
    <w:rsid w:val="006A056C"/>
    <w:pPr>
      <w:numPr>
        <w:ilvl w:val="2"/>
      </w:numPr>
    </w:pPr>
  </w:style>
  <w:style w:type="paragraph" w:customStyle="1" w:styleId="TableBullet4">
    <w:name w:val="Table Bullet 4"/>
    <w:basedOn w:val="TableBullet3"/>
    <w:uiPriority w:val="31"/>
    <w:semiHidden/>
    <w:unhideWhenUsed/>
    <w:rsid w:val="006A056C"/>
    <w:pPr>
      <w:numPr>
        <w:ilvl w:val="3"/>
      </w:numPr>
    </w:pPr>
  </w:style>
  <w:style w:type="paragraph" w:customStyle="1" w:styleId="TableBullet5">
    <w:name w:val="Table Bullet 5"/>
    <w:basedOn w:val="TableBullet4"/>
    <w:uiPriority w:val="31"/>
    <w:semiHidden/>
    <w:unhideWhenUsed/>
    <w:rsid w:val="006A056C"/>
    <w:pPr>
      <w:numPr>
        <w:ilvl w:val="4"/>
      </w:numPr>
    </w:pPr>
  </w:style>
  <w:style w:type="paragraph" w:customStyle="1" w:styleId="TableBullet6">
    <w:name w:val="Table Bullet 6"/>
    <w:basedOn w:val="TableBullet5"/>
    <w:uiPriority w:val="31"/>
    <w:semiHidden/>
    <w:unhideWhenUsed/>
    <w:rsid w:val="006A056C"/>
    <w:pPr>
      <w:numPr>
        <w:ilvl w:val="5"/>
      </w:numPr>
    </w:pPr>
  </w:style>
  <w:style w:type="paragraph" w:customStyle="1" w:styleId="TableBullet7">
    <w:name w:val="Table Bullet 7"/>
    <w:basedOn w:val="TableBullet6"/>
    <w:uiPriority w:val="31"/>
    <w:semiHidden/>
    <w:unhideWhenUsed/>
    <w:rsid w:val="006A056C"/>
    <w:pPr>
      <w:numPr>
        <w:ilvl w:val="6"/>
      </w:numPr>
    </w:pPr>
  </w:style>
  <w:style w:type="paragraph" w:customStyle="1" w:styleId="TableBullet8">
    <w:name w:val="Table Bullet 8"/>
    <w:basedOn w:val="TableBullet7"/>
    <w:uiPriority w:val="31"/>
    <w:semiHidden/>
    <w:unhideWhenUsed/>
    <w:rsid w:val="006A056C"/>
    <w:pPr>
      <w:numPr>
        <w:ilvl w:val="7"/>
      </w:numPr>
    </w:pPr>
  </w:style>
  <w:style w:type="paragraph" w:customStyle="1" w:styleId="TableBullet9">
    <w:name w:val="Table Bullet 9"/>
    <w:basedOn w:val="TableBullet8"/>
    <w:uiPriority w:val="31"/>
    <w:semiHidden/>
    <w:unhideWhenUsed/>
    <w:rsid w:val="006A056C"/>
    <w:pPr>
      <w:numPr>
        <w:ilvl w:val="8"/>
      </w:numPr>
    </w:pPr>
  </w:style>
  <w:style w:type="numbering" w:customStyle="1" w:styleId="TableAlphaNumberedMultilevel">
    <w:name w:val="Table Alpha Numbered (Multilevel)"/>
    <w:uiPriority w:val="99"/>
    <w:rsid w:val="006A056C"/>
    <w:pPr>
      <w:numPr>
        <w:numId w:val="12"/>
      </w:numPr>
    </w:pPr>
  </w:style>
  <w:style w:type="paragraph" w:customStyle="1" w:styleId="TableNumbered1">
    <w:name w:val="Table Numbered 1"/>
    <w:uiPriority w:val="32"/>
    <w:rsid w:val="006A056C"/>
    <w:pPr>
      <w:numPr>
        <w:numId w:val="16"/>
      </w:numPr>
      <w:spacing w:before="40" w:after="40"/>
    </w:pPr>
    <w:rPr>
      <w:sz w:val="20"/>
      <w:szCs w:val="20"/>
    </w:rPr>
  </w:style>
  <w:style w:type="paragraph" w:customStyle="1" w:styleId="TableNumbered2">
    <w:name w:val="Table Numbered 2"/>
    <w:basedOn w:val="TableNumbered1"/>
    <w:uiPriority w:val="32"/>
    <w:rsid w:val="006A056C"/>
    <w:pPr>
      <w:numPr>
        <w:ilvl w:val="1"/>
      </w:numPr>
    </w:pPr>
  </w:style>
  <w:style w:type="paragraph" w:customStyle="1" w:styleId="TableNumbered3">
    <w:name w:val="Table Numbered 3"/>
    <w:basedOn w:val="TableNumbered2"/>
    <w:uiPriority w:val="32"/>
    <w:rsid w:val="006A056C"/>
    <w:pPr>
      <w:numPr>
        <w:ilvl w:val="2"/>
      </w:numPr>
    </w:pPr>
  </w:style>
  <w:style w:type="paragraph" w:customStyle="1" w:styleId="TableNumbered4">
    <w:name w:val="Table Numbered 4"/>
    <w:basedOn w:val="TableNumbered3"/>
    <w:uiPriority w:val="32"/>
    <w:semiHidden/>
    <w:unhideWhenUsed/>
    <w:rsid w:val="006A056C"/>
    <w:pPr>
      <w:numPr>
        <w:ilvl w:val="3"/>
      </w:numPr>
    </w:pPr>
  </w:style>
  <w:style w:type="paragraph" w:customStyle="1" w:styleId="TableNumbered5">
    <w:name w:val="Table Numbered 5"/>
    <w:basedOn w:val="TableNumbered4"/>
    <w:uiPriority w:val="32"/>
    <w:semiHidden/>
    <w:unhideWhenUsed/>
    <w:rsid w:val="006A056C"/>
    <w:pPr>
      <w:numPr>
        <w:ilvl w:val="4"/>
      </w:numPr>
    </w:pPr>
  </w:style>
  <w:style w:type="paragraph" w:customStyle="1" w:styleId="TableNumbered6">
    <w:name w:val="Table Numbered 6"/>
    <w:basedOn w:val="TableNumbered5"/>
    <w:uiPriority w:val="32"/>
    <w:semiHidden/>
    <w:unhideWhenUsed/>
    <w:rsid w:val="006A056C"/>
    <w:pPr>
      <w:numPr>
        <w:ilvl w:val="5"/>
      </w:numPr>
    </w:pPr>
  </w:style>
  <w:style w:type="paragraph" w:customStyle="1" w:styleId="TableNumbered7">
    <w:name w:val="Table Numbered 7"/>
    <w:basedOn w:val="TableNumbered6"/>
    <w:uiPriority w:val="32"/>
    <w:semiHidden/>
    <w:unhideWhenUsed/>
    <w:rsid w:val="006A056C"/>
    <w:pPr>
      <w:numPr>
        <w:ilvl w:val="6"/>
      </w:numPr>
    </w:pPr>
  </w:style>
  <w:style w:type="paragraph" w:customStyle="1" w:styleId="TableNumbered8">
    <w:name w:val="Table Numbered 8"/>
    <w:basedOn w:val="TableNumbered7"/>
    <w:uiPriority w:val="32"/>
    <w:semiHidden/>
    <w:unhideWhenUsed/>
    <w:rsid w:val="006A056C"/>
    <w:pPr>
      <w:numPr>
        <w:ilvl w:val="7"/>
      </w:numPr>
    </w:pPr>
  </w:style>
  <w:style w:type="paragraph" w:customStyle="1" w:styleId="TableNumbered9">
    <w:name w:val="Table Numbered 9"/>
    <w:basedOn w:val="TableNumbered8"/>
    <w:uiPriority w:val="32"/>
    <w:semiHidden/>
    <w:unhideWhenUsed/>
    <w:rsid w:val="006A056C"/>
    <w:pPr>
      <w:numPr>
        <w:ilvl w:val="8"/>
      </w:numPr>
    </w:pPr>
  </w:style>
  <w:style w:type="numbering" w:customStyle="1" w:styleId="ListContinueMultilevel">
    <w:name w:val="List Continue (Multilevel)"/>
    <w:uiPriority w:val="99"/>
    <w:rsid w:val="006A056C"/>
    <w:pPr>
      <w:numPr>
        <w:numId w:val="7"/>
      </w:numPr>
    </w:pPr>
  </w:style>
  <w:style w:type="paragraph" w:customStyle="1" w:styleId="TableAlphaNumbered1">
    <w:name w:val="Table AlphaNumbered 1"/>
    <w:uiPriority w:val="33"/>
    <w:rsid w:val="006A056C"/>
    <w:pPr>
      <w:numPr>
        <w:numId w:val="13"/>
      </w:numPr>
      <w:spacing w:before="40" w:after="40"/>
    </w:pPr>
    <w:rPr>
      <w:sz w:val="20"/>
      <w:szCs w:val="20"/>
    </w:rPr>
  </w:style>
  <w:style w:type="paragraph" w:customStyle="1" w:styleId="TableAlphaNumbered2">
    <w:name w:val="Table AlphaNumbered 2"/>
    <w:basedOn w:val="TableAlphaNumbered1"/>
    <w:uiPriority w:val="33"/>
    <w:rsid w:val="006A056C"/>
    <w:pPr>
      <w:numPr>
        <w:ilvl w:val="1"/>
      </w:numPr>
    </w:pPr>
  </w:style>
  <w:style w:type="paragraph" w:customStyle="1" w:styleId="TableAlphaNumbered3">
    <w:name w:val="Table AlphaNumbered 3"/>
    <w:basedOn w:val="TableAlphaNumbered2"/>
    <w:uiPriority w:val="33"/>
    <w:rsid w:val="006A056C"/>
    <w:pPr>
      <w:numPr>
        <w:ilvl w:val="2"/>
      </w:numPr>
    </w:pPr>
  </w:style>
  <w:style w:type="paragraph" w:customStyle="1" w:styleId="TableAlphaNumbered4">
    <w:name w:val="Table AlphaNumbered 4"/>
    <w:basedOn w:val="TableAlphaNumbered3"/>
    <w:uiPriority w:val="33"/>
    <w:semiHidden/>
    <w:unhideWhenUsed/>
    <w:rsid w:val="006A056C"/>
    <w:pPr>
      <w:numPr>
        <w:ilvl w:val="3"/>
      </w:numPr>
    </w:pPr>
  </w:style>
  <w:style w:type="paragraph" w:customStyle="1" w:styleId="TableAlphaNumbered5">
    <w:name w:val="Table AlphaNumbered 5"/>
    <w:basedOn w:val="TableAlphaNumbered4"/>
    <w:uiPriority w:val="33"/>
    <w:semiHidden/>
    <w:unhideWhenUsed/>
    <w:rsid w:val="006A056C"/>
    <w:pPr>
      <w:numPr>
        <w:ilvl w:val="4"/>
      </w:numPr>
    </w:pPr>
  </w:style>
  <w:style w:type="paragraph" w:customStyle="1" w:styleId="TableAlphaNumbered6">
    <w:name w:val="Table AlphaNumbered 6"/>
    <w:basedOn w:val="TableAlphaNumbered5"/>
    <w:uiPriority w:val="33"/>
    <w:semiHidden/>
    <w:unhideWhenUsed/>
    <w:rsid w:val="006A056C"/>
    <w:pPr>
      <w:numPr>
        <w:ilvl w:val="5"/>
      </w:numPr>
    </w:pPr>
  </w:style>
  <w:style w:type="paragraph" w:customStyle="1" w:styleId="TableAlphaNumbered7">
    <w:name w:val="Table AlphaNumbered 7"/>
    <w:basedOn w:val="TableAlphaNumbered6"/>
    <w:uiPriority w:val="33"/>
    <w:semiHidden/>
    <w:unhideWhenUsed/>
    <w:rsid w:val="006A056C"/>
    <w:pPr>
      <w:numPr>
        <w:ilvl w:val="6"/>
      </w:numPr>
    </w:pPr>
  </w:style>
  <w:style w:type="paragraph" w:customStyle="1" w:styleId="TableAlphaNumbered8">
    <w:name w:val="Table AlphaNumbered 8"/>
    <w:basedOn w:val="TableAlphaNumbered7"/>
    <w:uiPriority w:val="33"/>
    <w:semiHidden/>
    <w:unhideWhenUsed/>
    <w:rsid w:val="006A056C"/>
    <w:pPr>
      <w:numPr>
        <w:ilvl w:val="7"/>
      </w:numPr>
    </w:pPr>
  </w:style>
  <w:style w:type="paragraph" w:customStyle="1" w:styleId="TableAlphaNumbered9">
    <w:name w:val="Table AlphaNumbered 9"/>
    <w:basedOn w:val="TableAlphaNumbered8"/>
    <w:uiPriority w:val="33"/>
    <w:semiHidden/>
    <w:unhideWhenUsed/>
    <w:rsid w:val="006A056C"/>
    <w:pPr>
      <w:numPr>
        <w:ilvl w:val="8"/>
      </w:numPr>
    </w:pPr>
  </w:style>
  <w:style w:type="paragraph" w:styleId="ListContinue">
    <w:name w:val="List Continue"/>
    <w:uiPriority w:val="21"/>
    <w:qFormat/>
    <w:rsid w:val="006A056C"/>
    <w:pPr>
      <w:numPr>
        <w:numId w:val="8"/>
      </w:numPr>
      <w:spacing w:after="80"/>
    </w:pPr>
  </w:style>
  <w:style w:type="paragraph" w:styleId="ListContinue2">
    <w:name w:val="List Continue 2"/>
    <w:basedOn w:val="ListContinue"/>
    <w:uiPriority w:val="21"/>
    <w:qFormat/>
    <w:rsid w:val="006A056C"/>
    <w:pPr>
      <w:numPr>
        <w:ilvl w:val="1"/>
      </w:numPr>
    </w:pPr>
  </w:style>
  <w:style w:type="paragraph" w:styleId="ListContinue3">
    <w:name w:val="List Continue 3"/>
    <w:basedOn w:val="ListContinue2"/>
    <w:uiPriority w:val="21"/>
    <w:rsid w:val="006A056C"/>
    <w:pPr>
      <w:numPr>
        <w:ilvl w:val="2"/>
      </w:numPr>
    </w:pPr>
  </w:style>
  <w:style w:type="paragraph" w:styleId="ListContinue4">
    <w:name w:val="List Continue 4"/>
    <w:basedOn w:val="ListContinue3"/>
    <w:uiPriority w:val="21"/>
    <w:semiHidden/>
    <w:unhideWhenUsed/>
    <w:rsid w:val="006A056C"/>
    <w:pPr>
      <w:numPr>
        <w:ilvl w:val="3"/>
      </w:numPr>
    </w:pPr>
  </w:style>
  <w:style w:type="paragraph" w:styleId="ListContinue5">
    <w:name w:val="List Continue 5"/>
    <w:basedOn w:val="ListContinue4"/>
    <w:uiPriority w:val="21"/>
    <w:semiHidden/>
    <w:unhideWhenUsed/>
    <w:rsid w:val="006A056C"/>
    <w:pPr>
      <w:numPr>
        <w:ilvl w:val="4"/>
      </w:numPr>
    </w:pPr>
  </w:style>
  <w:style w:type="paragraph" w:customStyle="1" w:styleId="ListContinue6">
    <w:name w:val="List Continue 6"/>
    <w:basedOn w:val="ListContinue5"/>
    <w:uiPriority w:val="21"/>
    <w:semiHidden/>
    <w:unhideWhenUsed/>
    <w:rsid w:val="006A056C"/>
    <w:pPr>
      <w:numPr>
        <w:ilvl w:val="5"/>
      </w:numPr>
    </w:pPr>
  </w:style>
  <w:style w:type="paragraph" w:customStyle="1" w:styleId="ListContinue7">
    <w:name w:val="List Continue 7"/>
    <w:basedOn w:val="ListContinue6"/>
    <w:uiPriority w:val="21"/>
    <w:semiHidden/>
    <w:unhideWhenUsed/>
    <w:rsid w:val="006A056C"/>
    <w:pPr>
      <w:numPr>
        <w:ilvl w:val="6"/>
      </w:numPr>
    </w:pPr>
  </w:style>
  <w:style w:type="paragraph" w:customStyle="1" w:styleId="ListContinue8">
    <w:name w:val="List Continue 8"/>
    <w:basedOn w:val="ListContinue7"/>
    <w:uiPriority w:val="21"/>
    <w:semiHidden/>
    <w:unhideWhenUsed/>
    <w:rsid w:val="006A056C"/>
    <w:pPr>
      <w:numPr>
        <w:ilvl w:val="7"/>
      </w:numPr>
    </w:pPr>
  </w:style>
  <w:style w:type="paragraph" w:customStyle="1" w:styleId="ListContinue9">
    <w:name w:val="List Continue 9"/>
    <w:basedOn w:val="ListContinue8"/>
    <w:uiPriority w:val="21"/>
    <w:semiHidden/>
    <w:unhideWhenUsed/>
    <w:rsid w:val="006A056C"/>
    <w:pPr>
      <w:numPr>
        <w:ilvl w:val="8"/>
      </w:numPr>
    </w:pPr>
  </w:style>
  <w:style w:type="character" w:styleId="FootnoteReference">
    <w:name w:val="footnote reference"/>
    <w:basedOn w:val="DefaultParagraphFont"/>
    <w:uiPriority w:val="34"/>
    <w:rsid w:val="006A056C"/>
    <w:rPr>
      <w:vertAlign w:val="superscript"/>
    </w:rPr>
  </w:style>
  <w:style w:type="paragraph" w:styleId="FootnoteText">
    <w:name w:val="footnote text"/>
    <w:basedOn w:val="Normal"/>
    <w:link w:val="FootnoteTextChar"/>
    <w:uiPriority w:val="34"/>
    <w:rsid w:val="006A056C"/>
    <w:pPr>
      <w:spacing w:after="20"/>
    </w:pPr>
    <w:rPr>
      <w:sz w:val="18"/>
      <w:szCs w:val="20"/>
    </w:rPr>
  </w:style>
  <w:style w:type="character" w:customStyle="1" w:styleId="FootnoteTextChar">
    <w:name w:val="Footnote Text Char"/>
    <w:basedOn w:val="DefaultParagraphFont"/>
    <w:link w:val="FootnoteText"/>
    <w:uiPriority w:val="34"/>
    <w:rsid w:val="006A056C"/>
    <w:rPr>
      <w:sz w:val="18"/>
      <w:szCs w:val="20"/>
    </w:rPr>
  </w:style>
  <w:style w:type="paragraph" w:customStyle="1" w:styleId="LeftandRightIndent">
    <w:name w:val="Left and Right Indent"/>
    <w:basedOn w:val="BodyText"/>
    <w:next w:val="BodyText"/>
    <w:uiPriority w:val="25"/>
    <w:qFormat/>
    <w:rsid w:val="006A056C"/>
    <w:pPr>
      <w:ind w:left="360" w:right="360"/>
    </w:pPr>
  </w:style>
  <w:style w:type="paragraph" w:customStyle="1" w:styleId="LeftIndent">
    <w:name w:val="Left Indent"/>
    <w:basedOn w:val="BodyText"/>
    <w:next w:val="BodyText"/>
    <w:uiPriority w:val="25"/>
    <w:qFormat/>
    <w:rsid w:val="006A056C"/>
    <w:pPr>
      <w:ind w:left="360"/>
    </w:pPr>
  </w:style>
  <w:style w:type="paragraph" w:customStyle="1" w:styleId="LeftIndent2">
    <w:name w:val="Left Indent 2"/>
    <w:basedOn w:val="LeftIndent"/>
    <w:next w:val="BodyText"/>
    <w:uiPriority w:val="25"/>
    <w:qFormat/>
    <w:rsid w:val="006A056C"/>
    <w:pPr>
      <w:ind w:left="720"/>
    </w:pPr>
  </w:style>
  <w:style w:type="paragraph" w:customStyle="1" w:styleId="LeftIndent3">
    <w:name w:val="Left Indent 3"/>
    <w:basedOn w:val="LeftIndent2"/>
    <w:next w:val="BodyText"/>
    <w:uiPriority w:val="25"/>
    <w:rsid w:val="006A056C"/>
    <w:pPr>
      <w:ind w:left="1080"/>
    </w:pPr>
  </w:style>
  <w:style w:type="paragraph" w:customStyle="1" w:styleId="LeftIndent4">
    <w:name w:val="Left Indent 4"/>
    <w:basedOn w:val="LeftIndent3"/>
    <w:next w:val="BodyText"/>
    <w:uiPriority w:val="25"/>
    <w:rsid w:val="006A056C"/>
    <w:pPr>
      <w:ind w:left="1440"/>
    </w:pPr>
  </w:style>
  <w:style w:type="paragraph" w:styleId="Footer">
    <w:name w:val="footer"/>
    <w:basedOn w:val="Header"/>
    <w:link w:val="FooterChar"/>
    <w:uiPriority w:val="99"/>
    <w:rsid w:val="006A056C"/>
  </w:style>
  <w:style w:type="character" w:customStyle="1" w:styleId="FooterChar">
    <w:name w:val="Footer Char"/>
    <w:basedOn w:val="DefaultParagraphFont"/>
    <w:link w:val="Footer"/>
    <w:uiPriority w:val="99"/>
    <w:rsid w:val="006A056C"/>
    <w:rPr>
      <w:sz w:val="16"/>
    </w:rPr>
  </w:style>
  <w:style w:type="paragraph" w:styleId="Header">
    <w:name w:val="header"/>
    <w:basedOn w:val="BodyText"/>
    <w:link w:val="HeaderChar"/>
    <w:uiPriority w:val="35"/>
    <w:rsid w:val="006A056C"/>
    <w:pPr>
      <w:spacing w:after="0"/>
    </w:pPr>
    <w:rPr>
      <w:sz w:val="16"/>
    </w:rPr>
  </w:style>
  <w:style w:type="character" w:customStyle="1" w:styleId="HeaderChar">
    <w:name w:val="Header Char"/>
    <w:basedOn w:val="DefaultParagraphFont"/>
    <w:link w:val="Header"/>
    <w:uiPriority w:val="35"/>
    <w:rsid w:val="006A056C"/>
    <w:rPr>
      <w:sz w:val="16"/>
    </w:rPr>
  </w:style>
  <w:style w:type="character" w:styleId="Hyperlink">
    <w:name w:val="Hyperlink"/>
    <w:basedOn w:val="DefaultParagraphFont"/>
    <w:uiPriority w:val="99"/>
    <w:rsid w:val="006A056C"/>
    <w:rPr>
      <w:color w:val="2C6EF2"/>
      <w:u w:val="none"/>
    </w:rPr>
  </w:style>
  <w:style w:type="character" w:styleId="PageNumber">
    <w:name w:val="page number"/>
    <w:uiPriority w:val="35"/>
    <w:rsid w:val="006A056C"/>
    <w:rPr>
      <w:sz w:val="20"/>
      <w:szCs w:val="20"/>
    </w:rPr>
  </w:style>
  <w:style w:type="paragraph" w:styleId="TOCHeading">
    <w:name w:val="TOC Heading"/>
    <w:next w:val="BodyText"/>
    <w:uiPriority w:val="38"/>
    <w:rsid w:val="006A056C"/>
    <w:rPr>
      <w:rFonts w:eastAsiaTheme="majorEastAsia" w:cstheme="majorBidi"/>
      <w:b/>
      <w:bCs/>
      <w:color w:val="002C77" w:themeColor="accent1"/>
      <w:sz w:val="32"/>
      <w:szCs w:val="56"/>
    </w:rPr>
  </w:style>
  <w:style w:type="paragraph" w:styleId="TOC1">
    <w:name w:val="toc 1"/>
    <w:next w:val="BodyText"/>
    <w:autoRedefine/>
    <w:uiPriority w:val="39"/>
    <w:rsid w:val="006A056C"/>
    <w:pPr>
      <w:keepNext/>
      <w:tabs>
        <w:tab w:val="right" w:leader="dot" w:pos="9000"/>
      </w:tabs>
      <w:spacing w:before="240" w:after="60"/>
      <w:ind w:left="936" w:right="432" w:hanging="936"/>
    </w:pPr>
    <w:rPr>
      <w:b/>
      <w:sz w:val="24"/>
    </w:rPr>
  </w:style>
  <w:style w:type="paragraph" w:styleId="TOC2">
    <w:name w:val="toc 2"/>
    <w:basedOn w:val="TOC1"/>
    <w:next w:val="BodyText"/>
    <w:autoRedefine/>
    <w:uiPriority w:val="39"/>
    <w:rsid w:val="006A056C"/>
    <w:pPr>
      <w:keepNext w:val="0"/>
      <w:spacing w:before="0"/>
    </w:pPr>
    <w:rPr>
      <w:b w:val="0"/>
      <w:sz w:val="22"/>
    </w:rPr>
  </w:style>
  <w:style w:type="paragraph" w:styleId="TOC3">
    <w:name w:val="toc 3"/>
    <w:basedOn w:val="TOC2"/>
    <w:next w:val="BodyText"/>
    <w:autoRedefine/>
    <w:uiPriority w:val="39"/>
    <w:rsid w:val="006A056C"/>
  </w:style>
  <w:style w:type="paragraph" w:styleId="TOC4">
    <w:name w:val="toc 4"/>
    <w:basedOn w:val="TOC3"/>
    <w:next w:val="BodyText"/>
    <w:autoRedefine/>
    <w:uiPriority w:val="39"/>
    <w:unhideWhenUsed/>
    <w:rsid w:val="006A056C"/>
    <w:pPr>
      <w:ind w:left="1296" w:hanging="1296"/>
    </w:pPr>
  </w:style>
  <w:style w:type="paragraph" w:styleId="TOC5">
    <w:name w:val="toc 5"/>
    <w:basedOn w:val="TOC4"/>
    <w:next w:val="BodyText"/>
    <w:autoRedefine/>
    <w:uiPriority w:val="39"/>
    <w:unhideWhenUsed/>
    <w:rsid w:val="006A056C"/>
  </w:style>
  <w:style w:type="paragraph" w:styleId="TOC9">
    <w:name w:val="toc 9"/>
    <w:basedOn w:val="TOC1"/>
    <w:next w:val="BodyText"/>
    <w:autoRedefine/>
    <w:uiPriority w:val="39"/>
    <w:rsid w:val="006A056C"/>
    <w:pPr>
      <w:ind w:left="1800" w:hanging="1800"/>
    </w:pPr>
  </w:style>
  <w:style w:type="paragraph" w:styleId="TOC6">
    <w:name w:val="toc 6"/>
    <w:basedOn w:val="TOC5"/>
    <w:next w:val="BodyText"/>
    <w:autoRedefine/>
    <w:uiPriority w:val="39"/>
    <w:semiHidden/>
    <w:rsid w:val="006A056C"/>
  </w:style>
  <w:style w:type="paragraph" w:styleId="TOC7">
    <w:name w:val="toc 7"/>
    <w:basedOn w:val="TOC6"/>
    <w:next w:val="BodyText"/>
    <w:autoRedefine/>
    <w:uiPriority w:val="39"/>
    <w:semiHidden/>
    <w:rsid w:val="006A056C"/>
  </w:style>
  <w:style w:type="paragraph" w:styleId="TOC8">
    <w:name w:val="toc 8"/>
    <w:basedOn w:val="TOC7"/>
    <w:next w:val="BodyText"/>
    <w:autoRedefine/>
    <w:uiPriority w:val="39"/>
    <w:semiHidden/>
    <w:rsid w:val="006A056C"/>
  </w:style>
  <w:style w:type="paragraph" w:styleId="TableofFigures">
    <w:name w:val="table of figures"/>
    <w:next w:val="BodyText"/>
    <w:uiPriority w:val="40"/>
    <w:rsid w:val="006A056C"/>
    <w:pPr>
      <w:spacing w:after="60"/>
      <w:ind w:right="1080"/>
    </w:pPr>
    <w:rPr>
      <w:sz w:val="20"/>
    </w:rPr>
  </w:style>
  <w:style w:type="character" w:styleId="IntenseEmphasis">
    <w:name w:val="Intense Emphasis"/>
    <w:basedOn w:val="DefaultParagraphFont"/>
    <w:uiPriority w:val="98"/>
    <w:semiHidden/>
    <w:rsid w:val="006A056C"/>
    <w:rPr>
      <w:i/>
      <w:iCs/>
      <w:color w:val="002C77" w:themeColor="accent1"/>
    </w:rPr>
  </w:style>
  <w:style w:type="character" w:styleId="Emphasis">
    <w:name w:val="Emphasis"/>
    <w:basedOn w:val="DefaultParagraphFont"/>
    <w:uiPriority w:val="98"/>
    <w:semiHidden/>
    <w:rsid w:val="006A056C"/>
    <w:rPr>
      <w:i/>
      <w:iCs/>
    </w:rPr>
  </w:style>
  <w:style w:type="character" w:styleId="Strong">
    <w:name w:val="Strong"/>
    <w:basedOn w:val="DefaultParagraphFont"/>
    <w:uiPriority w:val="98"/>
    <w:semiHidden/>
    <w:rsid w:val="006A056C"/>
    <w:rPr>
      <w:b/>
      <w:bCs/>
    </w:rPr>
  </w:style>
  <w:style w:type="character" w:styleId="SubtleEmphasis">
    <w:name w:val="Subtle Emphasis"/>
    <w:basedOn w:val="DefaultParagraphFont"/>
    <w:uiPriority w:val="98"/>
    <w:semiHidden/>
    <w:rsid w:val="006A056C"/>
    <w:rPr>
      <w:i/>
      <w:iCs/>
      <w:color w:val="404040" w:themeColor="text1" w:themeTint="BF"/>
    </w:rPr>
  </w:style>
  <w:style w:type="paragraph" w:styleId="NoSpacing">
    <w:name w:val="No Spacing"/>
    <w:uiPriority w:val="98"/>
    <w:semiHidden/>
    <w:rsid w:val="006A056C"/>
    <w:pPr>
      <w:spacing w:after="0"/>
    </w:pPr>
  </w:style>
  <w:style w:type="paragraph" w:customStyle="1" w:styleId="BodyTextPadding">
    <w:name w:val="Body Text Padding"/>
    <w:basedOn w:val="BodyTextNoSpacing"/>
    <w:next w:val="BodyText"/>
    <w:qFormat/>
    <w:rsid w:val="006A056C"/>
    <w:rPr>
      <w:sz w:val="12"/>
    </w:rPr>
  </w:style>
  <w:style w:type="character" w:styleId="PlaceholderText">
    <w:name w:val="Placeholder Text"/>
    <w:basedOn w:val="DefaultParagraphFont"/>
    <w:uiPriority w:val="99"/>
    <w:semiHidden/>
    <w:rsid w:val="006A056C"/>
    <w:rPr>
      <w:color w:val="808080"/>
    </w:rPr>
  </w:style>
  <w:style w:type="character" w:styleId="CommentReference">
    <w:name w:val="annotation reference"/>
    <w:basedOn w:val="DefaultParagraphFont"/>
    <w:uiPriority w:val="99"/>
    <w:semiHidden/>
    <w:unhideWhenUsed/>
    <w:rsid w:val="00180D3C"/>
    <w:rPr>
      <w:sz w:val="16"/>
      <w:szCs w:val="16"/>
    </w:rPr>
  </w:style>
  <w:style w:type="paragraph" w:styleId="CommentText">
    <w:name w:val="annotation text"/>
    <w:basedOn w:val="Normal"/>
    <w:link w:val="CommentTextChar"/>
    <w:uiPriority w:val="99"/>
    <w:unhideWhenUsed/>
    <w:rsid w:val="00180D3C"/>
    <w:rPr>
      <w:sz w:val="20"/>
      <w:szCs w:val="20"/>
    </w:rPr>
  </w:style>
  <w:style w:type="character" w:customStyle="1" w:styleId="CommentTextChar">
    <w:name w:val="Comment Text Char"/>
    <w:basedOn w:val="DefaultParagraphFont"/>
    <w:link w:val="CommentText"/>
    <w:uiPriority w:val="99"/>
    <w:rsid w:val="00180D3C"/>
    <w:rPr>
      <w:sz w:val="20"/>
      <w:szCs w:val="20"/>
    </w:rPr>
  </w:style>
  <w:style w:type="paragraph" w:styleId="CommentSubject">
    <w:name w:val="annotation subject"/>
    <w:basedOn w:val="CommentText"/>
    <w:next w:val="CommentText"/>
    <w:link w:val="CommentSubjectChar"/>
    <w:uiPriority w:val="99"/>
    <w:semiHidden/>
    <w:unhideWhenUsed/>
    <w:rsid w:val="00180D3C"/>
    <w:rPr>
      <w:b/>
      <w:bCs/>
    </w:rPr>
  </w:style>
  <w:style w:type="character" w:customStyle="1" w:styleId="CommentSubjectChar">
    <w:name w:val="Comment Subject Char"/>
    <w:basedOn w:val="CommentTextChar"/>
    <w:link w:val="CommentSubject"/>
    <w:uiPriority w:val="99"/>
    <w:semiHidden/>
    <w:rsid w:val="00180D3C"/>
    <w:rPr>
      <w:b/>
      <w:bCs/>
      <w:sz w:val="20"/>
      <w:szCs w:val="20"/>
    </w:rPr>
  </w:style>
  <w:style w:type="character" w:customStyle="1" w:styleId="normaltextrun">
    <w:name w:val="normaltextrun"/>
    <w:basedOn w:val="DefaultParagraphFont"/>
    <w:rsid w:val="005D0E72"/>
  </w:style>
  <w:style w:type="paragraph" w:styleId="Revision">
    <w:name w:val="Revision"/>
    <w:hidden/>
    <w:uiPriority w:val="99"/>
    <w:semiHidden/>
    <w:rsid w:val="00646000"/>
    <w:pPr>
      <w:spacing w:after="0"/>
    </w:pPr>
  </w:style>
  <w:style w:type="paragraph" w:styleId="Title">
    <w:name w:val="Title"/>
    <w:basedOn w:val="Normal"/>
    <w:next w:val="Normal"/>
    <w:link w:val="TitleChar"/>
    <w:uiPriority w:val="10"/>
    <w:qFormat/>
    <w:rsid w:val="00BB682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82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D7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mmcglobal-my.sharepoint.com/:x:/r/personal/udayant_khemani_oliverwyman_com/Documents/DOC/5.%20Phase%202/1a.%20Loan%20Program/Financing%20Models/5di.%20DOC%20Fab%20Models/20230214%20DRAFT%20-%20Simple%20Financial%20Model_v18.xlsx?d=w1e3dc4d417de46b9aa672583e65d0ee0&amp;csf=1&amp;web=1&amp;e=Out6LB" TargetMode="External" /></Relationships>
</file>

<file path=word/theme/theme1.xml><?xml version="1.0" encoding="utf-8"?>
<a:theme xmlns:a="http://schemas.openxmlformats.org/drawingml/2006/main" name="Oliver Wyman">
  <a:themeElements>
    <a:clrScheme name="Oliver Wyman">
      <a:dk1>
        <a:srgbClr val="000000"/>
      </a:dk1>
      <a:lt1>
        <a:srgbClr val="FFFFFF"/>
      </a:lt1>
      <a:dk2>
        <a:srgbClr val="000000"/>
      </a:dk2>
      <a:lt2>
        <a:srgbClr val="FFFFFF"/>
      </a:lt2>
      <a:accent1>
        <a:srgbClr val="002C77"/>
      </a:accent1>
      <a:accent2>
        <a:srgbClr val="009DE0"/>
      </a:accent2>
      <a:accent3>
        <a:srgbClr val="949494"/>
      </a:accent3>
      <a:accent4>
        <a:srgbClr val="DADADA"/>
      </a:accent4>
      <a:accent5>
        <a:srgbClr val="275D38"/>
      </a:accent5>
      <a:accent6>
        <a:srgbClr val="00AC41"/>
      </a:accent6>
      <a:hlink>
        <a:srgbClr val="2C6EF2"/>
      </a:hlink>
      <a:folHlink>
        <a:srgbClr val="2C6EF2"/>
      </a:folHlink>
    </a:clrScheme>
    <a:fontScheme name="Oliver Wyman">
      <a:majorFont>
        <a:latin typeface="Calibri"/>
        <a:ea typeface=""/>
        <a:cs typeface=""/>
        <a:font script="Jpan" typeface="Meiryo"/>
        <a:font script="Hang" typeface="맑은 고딕"/>
        <a:font script="Hans" typeface="DengXian"/>
        <a:font script="Hant" typeface="DengXian"/>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Oliver Wyman">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blue">
      <a:srgbClr val="002C77"/>
    </a:custClr>
    <a:custClr name="Dark gray">
      <a:srgbClr val="565656"/>
    </a:custClr>
    <a:custClr name="Dark green">
      <a:srgbClr val="275D38"/>
    </a:custClr>
    <a:custClr name="Dark yellow">
      <a:srgbClr val="965D00"/>
    </a:custClr>
    <a:custClr name="Dark orange">
      <a:srgbClr val="A32E00"/>
    </a:custClr>
    <a:custClr name="Dark crimson">
      <a:srgbClr val="9A1C1F"/>
    </a:custClr>
    <a:custClr name="Dark pink">
      <a:srgbClr val="B2025B"/>
    </a:custClr>
    <a:custClr name="Dark purple">
      <a:srgbClr val="463282"/>
    </a:custClr>
    <a:custClr name="Dark blue gray">
      <a:srgbClr val="4E6287"/>
    </a:custClr>
    <a:custClr name="Danger red">
      <a:srgbClr val="C53532"/>
    </a:custClr>
    <a:custClr name="Blue">
      <a:srgbClr val="009DE0"/>
    </a:custClr>
    <a:custClr name="Gray">
      <a:srgbClr val="949494"/>
    </a:custClr>
    <a:custClr name="Green">
      <a:srgbClr val="00AC41"/>
    </a:custClr>
    <a:custClr name="Yellow">
      <a:srgbClr val="FFBE00"/>
    </a:custClr>
    <a:custClr name="Orange">
      <a:srgbClr val="FF8C00"/>
    </a:custClr>
    <a:custClr name="Crimson">
      <a:srgbClr val="EF4E45"/>
    </a:custClr>
    <a:custClr name="Pink">
      <a:srgbClr val="EE3D8B"/>
    </a:custClr>
    <a:custClr name="Purple">
      <a:srgbClr val="8246AF"/>
    </a:custClr>
    <a:custClr name="Blue gray">
      <a:srgbClr val="8096B2"/>
    </a:custClr>
    <a:custClr name="Warning yellow">
      <a:srgbClr val="FFBE00"/>
    </a:custClr>
    <a:custClr name="Light blue">
      <a:srgbClr val="76D3FF"/>
    </a:custClr>
    <a:custClr name="Light gray">
      <a:srgbClr val="DADADA"/>
    </a:custClr>
    <a:custClr name="Light green">
      <a:srgbClr val="ADDFB3"/>
    </a:custClr>
    <a:custClr name="Light yellow">
      <a:srgbClr val="FFE580"/>
    </a:custClr>
    <a:custClr name="Light orange">
      <a:srgbClr val="FFCA94"/>
    </a:custClr>
    <a:custClr name="Light crimson">
      <a:srgbClr val="FFAEA6"/>
    </a:custClr>
    <a:custClr name="Light pink">
      <a:srgbClr val="F8ACBE"/>
    </a:custClr>
    <a:custClr name="Light purple">
      <a:srgbClr val="CCB3E0"/>
    </a:custClr>
    <a:custClr name="Light blue gray">
      <a:srgbClr val="BED3E4"/>
    </a:custClr>
    <a:custClr name="Success green">
      <a:srgbClr val="14853D"/>
    </a:custClr>
    <a:custClr name="Table blue">
      <a:srgbClr val="C7EDFF"/>
    </a:custClr>
    <a:custClr name="Table gray">
      <a:srgbClr val="F0F0F0"/>
    </a:custClr>
  </a:custClrLst>
  <a:extLst>
    <a:ext uri="{05A4C25C-085E-4340-85A3-A5531E510DB2}">
      <thm15:themeFamily xmlns:thm15="http://schemas.microsoft.com/office/thememl/2012/main" name="Classic Blank" id="{25A5CE16-2754-4157-AC2B-2995829DEFE9}" vid="{07F65ABC-6234-4549-9DA1-662F5D051FF1}"/>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AE272A92CF324CADA885DB68C7FC86" ma:contentTypeVersion="4" ma:contentTypeDescription="Create a new document." ma:contentTypeScope="" ma:versionID="f22a7207331afb0cbe73fabaa8ca41fd">
  <xsd:schema xmlns:xsd="http://www.w3.org/2001/XMLSchema" xmlns:xs="http://www.w3.org/2001/XMLSchema" xmlns:p="http://schemas.microsoft.com/office/2006/metadata/properties" xmlns:ns2="7214d1a5-8860-49ff-a17b-66428c60a595" xmlns:ns3="77a8fc2e-aeff-418e-95db-6844f42dbe29" targetNamespace="http://schemas.microsoft.com/office/2006/metadata/properties" ma:root="true" ma:fieldsID="fcab1f8421ac69f36400a486bbe48dfc" ns2:_="" ns3:_="">
    <xsd:import namespace="7214d1a5-8860-49ff-a17b-66428c60a595"/>
    <xsd:import namespace="77a8fc2e-aeff-418e-95db-6844f42dbe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4d1a5-8860-49ff-a17b-66428c60a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8fc2e-aeff-418e-95db-6844f42dbe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oolsWordRibbonObjects xmlns="http://www.oliverwyman.com/RibbonConfig">
  <RibbonObject Id="FixTableWidth2010Button" Visible="false"/>
</ToolsWordRibbonObjects>
</file>

<file path=customXml/itemProps1.xml><?xml version="1.0" encoding="utf-8"?>
<ds:datastoreItem xmlns:ds="http://schemas.openxmlformats.org/officeDocument/2006/customXml" ds:itemID="{854C1A83-FC76-47FD-865C-EBA9A47DADBE}">
  <ds:schemaRefs>
    <ds:schemaRef ds:uri="http://purl.org/dc/terms/"/>
    <ds:schemaRef ds:uri="http://schemas.microsoft.com/office/2006/documentManagement/types"/>
    <ds:schemaRef ds:uri="77a8fc2e-aeff-418e-95db-6844f42dbe29"/>
    <ds:schemaRef ds:uri="http://purl.org/dc/elements/1.1/"/>
    <ds:schemaRef ds:uri="http://schemas.microsoft.com/office/infopath/2007/PartnerControls"/>
    <ds:schemaRef ds:uri="7214d1a5-8860-49ff-a17b-66428c60a595"/>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2A787A7-F622-4623-AEDE-7A4C0D62D4BC}">
  <ds:schemaRefs>
    <ds:schemaRef ds:uri="http://schemas.openxmlformats.org/officeDocument/2006/bibliography"/>
  </ds:schemaRefs>
</ds:datastoreItem>
</file>

<file path=customXml/itemProps3.xml><?xml version="1.0" encoding="utf-8"?>
<ds:datastoreItem xmlns:ds="http://schemas.openxmlformats.org/officeDocument/2006/customXml" ds:itemID="{29ADAD3D-21A6-4205-BCDB-8A166043F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4d1a5-8860-49ff-a17b-66428c60a595"/>
    <ds:schemaRef ds:uri="77a8fc2e-aeff-418e-95db-6844f42d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3060B-03D7-4FFC-97CB-6C4B80BA28C7}">
  <ds:schemaRefs>
    <ds:schemaRef ds:uri="http://schemas.microsoft.com/sharepoint/v3/contenttype/forms"/>
  </ds:schemaRefs>
</ds:datastoreItem>
</file>

<file path=customXml/itemProps5.xml><?xml version="1.0" encoding="utf-8"?>
<ds:datastoreItem xmlns:ds="http://schemas.openxmlformats.org/officeDocument/2006/customXml" ds:itemID="{C88CF459-3C95-4F56-8C28-6F735D9496E2}">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Oliver Wyman Group</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Parcell, Jack</dc:creator>
  <cp:keywords>OW21-LOCKABLES.Normal.20210601.1</cp:keywords>
  <cp:lastModifiedBy>Copello, Brian C. (Fed)</cp:lastModifiedBy>
  <cp:revision>19</cp:revision>
  <dcterms:created xsi:type="dcterms:W3CDTF">2023-03-07T00:10:00Z</dcterms:created>
  <dcterms:modified xsi:type="dcterms:W3CDTF">2023-03-24T03:06:00Z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0x01010042AE272A92CF324CADA885DB68C7FC86</vt:lpwstr>
  </property>
  <property fmtid="{D5CDD505-2E9C-101B-9397-08002B2CF9AE}" pid="3" name="DocumentMSOLanguageID">
    <vt:lpwstr>msoLanguageIDEnglishUS</vt:lpwstr>
  </property>
  <property fmtid="{D5CDD505-2E9C-101B-9397-08002B2CF9AE}" pid="4" name="MSIP_Label_38f1469a-2c2a-4aee-b92b-090d4c5468ff_ActionId">
    <vt:lpwstr>729fa760-0c88-4b27-8a72-56d716d19796</vt:lpwstr>
  </property>
  <property fmtid="{D5CDD505-2E9C-101B-9397-08002B2CF9AE}" pid="5" name="MSIP_Label_38f1469a-2c2a-4aee-b92b-090d4c5468ff_ContentBits">
    <vt:lpwstr>0</vt:lpwstr>
  </property>
  <property fmtid="{D5CDD505-2E9C-101B-9397-08002B2CF9AE}" pid="6" name="MSIP_Label_38f1469a-2c2a-4aee-b92b-090d4c5468ff_Enabled">
    <vt:lpwstr>true</vt:lpwstr>
  </property>
  <property fmtid="{D5CDD505-2E9C-101B-9397-08002B2CF9AE}" pid="7" name="MSIP_Label_38f1469a-2c2a-4aee-b92b-090d4c5468ff_Method">
    <vt:lpwstr>Standard</vt:lpwstr>
  </property>
  <property fmtid="{D5CDD505-2E9C-101B-9397-08002B2CF9AE}" pid="8" name="MSIP_Label_38f1469a-2c2a-4aee-b92b-090d4c5468ff_Name">
    <vt:lpwstr>Confidential - Unmarked</vt:lpwstr>
  </property>
  <property fmtid="{D5CDD505-2E9C-101B-9397-08002B2CF9AE}" pid="9" name="MSIP_Label_38f1469a-2c2a-4aee-b92b-090d4c5468ff_SetDate">
    <vt:lpwstr>2023-02-10T00:32:29Z</vt:lpwstr>
  </property>
  <property fmtid="{D5CDD505-2E9C-101B-9397-08002B2CF9AE}" pid="10" name="MSIP_Label_38f1469a-2c2a-4aee-b92b-090d4c5468ff_SiteId">
    <vt:lpwstr>2a6e6092-73e4-4752-b1a5-477a17f5056d</vt:lpwstr>
  </property>
</Properties>
</file>