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4A69" w:rsidP="007213A7" w14:paraId="06F1CF45" w14:textId="77777777">
      <w:pPr>
        <w:jc w:val="center"/>
      </w:pPr>
      <w:r>
        <w:t>UNITED STATES FOOD &amp; DRUG ADMINISTRATION</w:t>
      </w:r>
    </w:p>
    <w:p w:rsidR="00984A69" w:rsidP="007213A7" w14:paraId="05A92B6A" w14:textId="77777777">
      <w:pPr>
        <w:jc w:val="center"/>
      </w:pPr>
    </w:p>
    <w:p w:rsidR="00984A69" w:rsidP="007213A7" w14:paraId="45F32E77" w14:textId="77777777">
      <w:pPr>
        <w:jc w:val="center"/>
      </w:pPr>
      <w:r>
        <w:t>Imports; and Electronic Import Entries</w:t>
      </w:r>
    </w:p>
    <w:p w:rsidR="004F7DBF" w:rsidP="007213A7" w14:paraId="1D4A6479" w14:textId="77777777">
      <w:pPr>
        <w:jc w:val="center"/>
      </w:pPr>
      <w:r>
        <w:t>21 CFR Part 1 – General Enforcement Regulations;</w:t>
      </w:r>
    </w:p>
    <w:p w:rsidR="004F7DBF" w:rsidP="007213A7" w14:paraId="49FD363F" w14:textId="77777777">
      <w:pPr>
        <w:jc w:val="center"/>
      </w:pPr>
      <w:r>
        <w:t>Subparts D and E</w:t>
      </w:r>
    </w:p>
    <w:p w:rsidR="00DC2F7D" w:rsidRPr="009A1674" w:rsidP="007213A7" w14:paraId="1216E2E2" w14:textId="77777777">
      <w:pPr>
        <w:jc w:val="center"/>
      </w:pPr>
    </w:p>
    <w:p w:rsidR="00DC2F7D" w:rsidRPr="00984A69" w:rsidP="007213A7" w14:paraId="130AC355" w14:textId="77777777">
      <w:pPr>
        <w:jc w:val="center"/>
        <w:rPr>
          <w:u w:val="single"/>
        </w:rPr>
      </w:pPr>
      <w:r w:rsidRPr="00984A69">
        <w:rPr>
          <w:u w:val="single"/>
        </w:rPr>
        <w:t xml:space="preserve">OMB </w:t>
      </w:r>
      <w:r w:rsidRPr="00984A69" w:rsidR="00984A69">
        <w:rPr>
          <w:u w:val="single"/>
        </w:rPr>
        <w:t xml:space="preserve">Control </w:t>
      </w:r>
      <w:r w:rsidRPr="00984A69">
        <w:rPr>
          <w:u w:val="single"/>
        </w:rPr>
        <w:t>No. 0910-0046</w:t>
      </w:r>
      <w:r w:rsidRPr="00984A69" w:rsidR="00984A69">
        <w:rPr>
          <w:u w:val="single"/>
        </w:rPr>
        <w:t xml:space="preserve"> - Revision</w:t>
      </w:r>
    </w:p>
    <w:p w:rsidR="00DC2F7D" w:rsidP="007213A7" w14:paraId="1EF45572" w14:textId="77777777">
      <w:pPr>
        <w:jc w:val="center"/>
      </w:pPr>
    </w:p>
    <w:p w:rsidR="00810FF1" w:rsidP="007213A7" w14:paraId="1E7EA76B" w14:textId="77777777">
      <w:pPr>
        <w:rPr>
          <w:b/>
        </w:rPr>
      </w:pPr>
      <w:r>
        <w:tab/>
      </w:r>
      <w:r w:rsidRPr="00984A69" w:rsidR="00EB7538">
        <w:t>SUPPORTING STATEMENT</w:t>
      </w:r>
      <w:r w:rsidRPr="00984A69">
        <w:t xml:space="preserve"> –</w:t>
      </w:r>
      <w:r>
        <w:rPr>
          <w:b/>
        </w:rPr>
        <w:t xml:space="preserve"> Part A:  Justification</w:t>
      </w:r>
    </w:p>
    <w:p w:rsidR="008B30AB" w:rsidP="007213A7" w14:paraId="7BE985C4" w14:textId="77777777">
      <w:pPr>
        <w:numPr>
          <w:ilvl w:val="0"/>
          <w:numId w:val="1"/>
        </w:numPr>
        <w:tabs>
          <w:tab w:val="clear" w:pos="720"/>
        </w:tabs>
        <w:spacing w:before="100" w:beforeAutospacing="1" w:after="100" w:afterAutospacing="1"/>
        <w:rPr>
          <w:u w:val="single"/>
        </w:rPr>
      </w:pPr>
      <w:r w:rsidRPr="002746DB">
        <w:rPr>
          <w:u w:val="single"/>
        </w:rPr>
        <w:t>Circumstances Making the Collection of Information Necessary</w:t>
      </w:r>
    </w:p>
    <w:p w:rsidR="00600A5D" w:rsidP="00600A5D" w14:paraId="04512E6A" w14:textId="77777777">
      <w:pPr>
        <w:ind w:left="720"/>
      </w:pPr>
      <w:r>
        <w:t>This information collection supports Food and Drug Administration (FDA, the agency, us or we) regulations found in 21 CFR part 1</w:t>
      </w:r>
      <w:r>
        <w:t xml:space="preserve">; </w:t>
      </w:r>
      <w:r w:rsidRPr="00600A5D">
        <w:rPr>
          <w:i/>
          <w:iCs/>
        </w:rPr>
        <w:t>General Enforcement Regulations</w:t>
      </w:r>
      <w:r>
        <w:t>,</w:t>
      </w:r>
      <w:r>
        <w:t xml:space="preserve"> pertaining to imports and electronic import entries; specifically 21 CFR part 1, subparts D and E (21 CFR §§ 1.70-1.101).</w:t>
      </w:r>
      <w:r>
        <w:t xml:space="preserve">  </w:t>
      </w:r>
      <w:r w:rsidRPr="00DC2F7D" w:rsidR="00DC2F7D">
        <w:t xml:space="preserve">Section 801 of the </w:t>
      </w:r>
      <w:r>
        <w:t xml:space="preserve">Federal Food, Drug, and Cosmetic Act (the </w:t>
      </w:r>
      <w:r w:rsidRPr="00DC2F7D" w:rsidR="00DC2F7D">
        <w:t>FD&amp;C Act</w:t>
      </w:r>
      <w:r>
        <w:t>)</w:t>
      </w:r>
      <w:r w:rsidRPr="00DC2F7D" w:rsidR="00DC2F7D">
        <w:t xml:space="preserve"> charges the Secretary of Health and Human Services (HHS), through the FDA, with the responsibility of assuring </w:t>
      </w:r>
      <w:r>
        <w:t xml:space="preserve">the safety of </w:t>
      </w:r>
      <w:r w:rsidRPr="00DC2F7D" w:rsidR="00DC2F7D">
        <w:t>FDA</w:t>
      </w:r>
      <w:r>
        <w:t>-</w:t>
      </w:r>
      <w:r w:rsidRPr="00DC2F7D" w:rsidR="00DC2F7D">
        <w:t>regulated foods, drugs, cosmetics, medical devices, radiological health, and tobacco products offered for import into the United States</w:t>
      </w:r>
      <w:r>
        <w:t>.</w:t>
      </w:r>
      <w:r w:rsidR="00612B51">
        <w:t xml:space="preserve">  </w:t>
      </w:r>
      <w:r w:rsidR="007634A1">
        <w:t xml:space="preserve">This responsibility is met through </w:t>
      </w:r>
      <w:r w:rsidRPr="00DC2F7D" w:rsidR="00DC2F7D">
        <w:t xml:space="preserve">coordination and cooperation between FDA headquarters and field inspection personnel and the U.S. Customs </w:t>
      </w:r>
      <w:r w:rsidR="007634A1">
        <w:t>and Border Protection (CBP)</w:t>
      </w:r>
      <w:r w:rsidR="004F7DBF">
        <w:t xml:space="preserve"> Service</w:t>
      </w:r>
      <w:r w:rsidRPr="00DC2F7D" w:rsidR="00DC2F7D">
        <w:t>.</w:t>
      </w:r>
      <w:r w:rsidR="007634A1">
        <w:t xml:space="preserve">  Agency regulations prescribe required data elements that respondents must submit when importing, or offering for import, an FDA-regulated article into the United States.  Review of the data elements allows us to continue to meet our responsibilities pertaining to current submission requirements established by the U.S. CBP related to the submission of entry information in using its Automated Commercial Environment (ACE) system, or any CBP-authorized electronic data interchange (EDI) system</w:t>
      </w:r>
      <w:r w:rsidR="00612B51">
        <w:t>, as well as agency regulations</w:t>
      </w:r>
      <w:r w:rsidR="007634A1">
        <w:t xml:space="preserve">.  </w:t>
      </w:r>
      <w:r w:rsidRPr="00600A5D">
        <w:t xml:space="preserve">The regulations were recently revised through rulemaking to include data elements associated with import entries for veterinary devices (RIN 0910-AH66).  </w:t>
      </w:r>
    </w:p>
    <w:p w:rsidR="00BC0BE5" w:rsidP="00600A5D" w14:paraId="79E3FB6F" w14:textId="0D39FAA4">
      <w:pPr>
        <w:ind w:left="720"/>
      </w:pPr>
      <w:r>
        <w:t xml:space="preserve"> </w:t>
      </w:r>
    </w:p>
    <w:p w:rsidR="00600A5D" w:rsidP="00BC0BE5" w14:paraId="30898981" w14:textId="77777777">
      <w:pPr>
        <w:ind w:left="720"/>
      </w:pPr>
      <w:r>
        <w:t xml:space="preserve">The information collection includes </w:t>
      </w:r>
      <w:r>
        <w:t>the following elements:</w:t>
      </w:r>
    </w:p>
    <w:p w:rsidR="00600A5D" w:rsidP="00BC0BE5" w14:paraId="1A2A0DED" w14:textId="77777777">
      <w:pPr>
        <w:ind w:left="720"/>
      </w:pPr>
    </w:p>
    <w:p w:rsidR="00BC0BE5" w:rsidP="006F4EEF" w14:paraId="3A31D127" w14:textId="4132A5EE">
      <w:pPr>
        <w:numPr>
          <w:ilvl w:val="0"/>
          <w:numId w:val="33"/>
        </w:numPr>
      </w:pPr>
      <w:r w:rsidRPr="00600A5D">
        <w:rPr>
          <w:b/>
          <w:bCs/>
        </w:rPr>
        <w:t>W</w:t>
      </w:r>
      <w:r w:rsidRPr="00600A5D">
        <w:rPr>
          <w:b/>
          <w:bCs/>
        </w:rPr>
        <w:t xml:space="preserve">eekly </w:t>
      </w:r>
      <w:r w:rsidRPr="00600A5D">
        <w:rPr>
          <w:b/>
          <w:bCs/>
        </w:rPr>
        <w:t>E</w:t>
      </w:r>
      <w:r w:rsidRPr="00600A5D">
        <w:rPr>
          <w:b/>
          <w:bCs/>
        </w:rPr>
        <w:t xml:space="preserve">ntry </w:t>
      </w:r>
      <w:r w:rsidRPr="00600A5D">
        <w:rPr>
          <w:b/>
          <w:bCs/>
        </w:rPr>
        <w:t>F</w:t>
      </w:r>
      <w:r w:rsidRPr="00600A5D">
        <w:rPr>
          <w:b/>
          <w:bCs/>
        </w:rPr>
        <w:t>iling program (WEF).</w:t>
      </w:r>
      <w:r>
        <w:t xml:space="preserve">  More detailed information on Foreign Trade Zones (FTZ)/WEF, is available at </w:t>
      </w:r>
      <w:hyperlink r:id="rId5" w:history="1">
        <w:r w:rsidRPr="0091203E">
          <w:rPr>
            <w:rStyle w:val="Hyperlink"/>
          </w:rPr>
          <w:t>https://www.fda.gov/industry/import-basics/foreign-trade-zonesweekly-entry-filing</w:t>
        </w:r>
      </w:hyperlink>
      <w:r>
        <w:t xml:space="preserve">.  </w:t>
      </w:r>
      <w:r>
        <w:t xml:space="preserve">The WEF program allows entry filers to file a single entry estimating the amount of merchandise anticipated to be removed from an FTZ and offered for U.S. consumption during a 7-day period.  To participate, we recommend respondents who wish to file a weekly entry of FDA-regulated products with CBP to first request a preliminary assessment from FDA.  As part of the assessment, we also recommend submitting specific data elements, as discussed in the assessment.  The information helps us appropriately route submissions within the Agency.  Information on whether a product is stored or manufactured in the zone is necessary for FDA to determine the applicable admissibility requirements.  The FTZ and port information is necessary to ensure that basic requirements in 19 CFR part 146 are met.  The importer of record (IOR) and manufacturer FDA establishment identification number information is requested by </w:t>
      </w:r>
      <w:r>
        <w:t>FDA to expedite the admissibility review.  Requests to participate in the WEF process are submitted to the FDA Import Division Office covering the intended port of entry.</w:t>
      </w:r>
    </w:p>
    <w:p w:rsidR="00600A5D" w:rsidP="00BC0BE5" w14:paraId="54D671B4" w14:textId="77777777">
      <w:pPr>
        <w:ind w:left="720"/>
      </w:pPr>
    </w:p>
    <w:p w:rsidR="00BC0BE5" w:rsidP="006F4EEF" w14:paraId="24319A83" w14:textId="468257F8">
      <w:pPr>
        <w:numPr>
          <w:ilvl w:val="0"/>
          <w:numId w:val="33"/>
        </w:numPr>
      </w:pPr>
      <w:r w:rsidRPr="00600A5D">
        <w:rPr>
          <w:b/>
          <w:bCs/>
        </w:rPr>
        <w:t>Import Trade Auxiliary Communication System (ITACS).</w:t>
      </w:r>
      <w:r>
        <w:t xml:space="preserve">  The ITACS is used by the import trade community and was implemented to improve communication with FDA.  By utilizing ITACS, respondents to the information collection have the ability to establish an account and electronically check the status of FDA-regulated entries and lines, submit entry documentation, submit the location of goods availability for those lines targeted for examination by FDA, and check the estimated laboratory analysis completion dates for lines that have been sampled.  For further information regarding ITACS, please visit our website at </w:t>
      </w:r>
      <w:hyperlink r:id="rId6" w:history="1">
        <w:r w:rsidRPr="0091203E" w:rsidR="00936958">
          <w:rPr>
            <w:rStyle w:val="Hyperlink"/>
          </w:rPr>
          <w:t>https://www.fda.gov/industry/import-systems/itacs</w:t>
        </w:r>
      </w:hyperlink>
      <w:r w:rsidR="00936958">
        <w:t>.</w:t>
      </w:r>
      <w:r>
        <w:t xml:space="preserve"> </w:t>
      </w:r>
    </w:p>
    <w:p w:rsidR="00600A5D" w:rsidP="00BC0BE5" w14:paraId="216E294B" w14:textId="77777777">
      <w:pPr>
        <w:ind w:left="720"/>
      </w:pPr>
    </w:p>
    <w:p w:rsidR="00600A5D" w:rsidP="006F4EEF" w14:paraId="7CCDCF02" w14:textId="4F338446">
      <w:pPr>
        <w:numPr>
          <w:ilvl w:val="0"/>
          <w:numId w:val="33"/>
        </w:numPr>
      </w:pPr>
      <w:r>
        <w:t>B</w:t>
      </w:r>
      <w:r w:rsidR="00BC0BE5">
        <w:t xml:space="preserve">urden associated with the use of </w:t>
      </w:r>
      <w:r w:rsidRPr="00600A5D" w:rsidR="00BC0BE5">
        <w:rPr>
          <w:b/>
          <w:bCs/>
        </w:rPr>
        <w:t>Form FDA 766</w:t>
      </w:r>
      <w:r w:rsidR="00BC0BE5">
        <w:t xml:space="preserve"> entitled “</w:t>
      </w:r>
      <w:r w:rsidRPr="00600A5D" w:rsidR="00BC0BE5">
        <w:rPr>
          <w:i/>
          <w:iCs/>
        </w:rPr>
        <w:t>Application for Authorization to Relabel or Recondition Non-compliant Articles</w:t>
      </w:r>
      <w:r w:rsidR="00BC0BE5">
        <w:t xml:space="preserve">” as the collection instrument for 21 CFR 1.95.  Form FDA 766 facilitates collection of information associated with certain general enforcement provisions for importing FDA-regulated articles into the United States.  The form is available at </w:t>
      </w:r>
      <w:hyperlink r:id="rId7" w:history="1">
        <w:r w:rsidRPr="0091203E">
          <w:rPr>
            <w:rStyle w:val="Hyperlink"/>
          </w:rPr>
          <w:t>https://www.fda.gov/industry/actions-enforcement/reconditioning</w:t>
        </w:r>
      </w:hyperlink>
      <w:r>
        <w:t>.</w:t>
      </w:r>
    </w:p>
    <w:p w:rsidR="00600A5D" w:rsidP="00600A5D" w14:paraId="47F9E7BE" w14:textId="77777777">
      <w:pPr>
        <w:ind w:left="720"/>
      </w:pPr>
    </w:p>
    <w:p w:rsidR="00BC0BE5" w:rsidP="006F4EEF" w14:paraId="372C0E01" w14:textId="593C47E7">
      <w:pPr>
        <w:numPr>
          <w:ilvl w:val="0"/>
          <w:numId w:val="33"/>
        </w:numPr>
      </w:pPr>
      <w:r>
        <w:t>W</w:t>
      </w:r>
      <w:r>
        <w:t xml:space="preserve">e are revising the information collection to include burden associated with the use of proposed electronic </w:t>
      </w:r>
      <w:r w:rsidRPr="00600A5D">
        <w:rPr>
          <w:b/>
          <w:bCs/>
        </w:rPr>
        <w:t>Form FDA 5054</w:t>
      </w:r>
      <w:r>
        <w:t xml:space="preserve"> entitled “</w:t>
      </w:r>
      <w:r w:rsidRPr="00600A5D">
        <w:rPr>
          <w:i/>
          <w:iCs/>
        </w:rPr>
        <w:t>New Inquiry Form--Import Compliance Branch</w:t>
      </w:r>
      <w:r>
        <w:t xml:space="preserve">.”  Currently, general drug import inquiries are submitted by email in random format.  We have developed </w:t>
      </w:r>
      <w:r w:rsidRPr="00600A5D">
        <w:rPr>
          <w:b/>
          <w:bCs/>
        </w:rPr>
        <w:t>Form FDA 5054</w:t>
      </w:r>
      <w:r>
        <w:t xml:space="preserve"> with accompanying instructions to facilitate responding to drug import inquiries, as well as to track receipts and responses.  We have designed the form to interface with current Agency IT systems for optimal utility.</w:t>
      </w:r>
    </w:p>
    <w:p w:rsidR="00600A5D" w:rsidP="00BC0BE5" w14:paraId="01171F12" w14:textId="77777777">
      <w:pPr>
        <w:ind w:left="720"/>
      </w:pPr>
    </w:p>
    <w:p w:rsidR="00600A5D" w:rsidP="006F4EEF" w14:paraId="6263997C" w14:textId="28149B2A">
      <w:pPr>
        <w:numPr>
          <w:ilvl w:val="0"/>
          <w:numId w:val="33"/>
        </w:numPr>
      </w:pPr>
      <w:r>
        <w:t xml:space="preserve">Burden associated with the agency guidance document entitled </w:t>
      </w:r>
      <w:r w:rsidRPr="00843DE7" w:rsidR="00843DE7">
        <w:rPr>
          <w:b/>
          <w:bCs/>
        </w:rPr>
        <w:t xml:space="preserve"> </w:t>
      </w:r>
      <w:r w:rsidRPr="00843DE7" w:rsidR="00BC0BE5">
        <w:rPr>
          <w:b/>
          <w:bCs/>
        </w:rPr>
        <w:t>“</w:t>
      </w:r>
      <w:r w:rsidRPr="00843DE7" w:rsidR="00BC0BE5">
        <w:rPr>
          <w:b/>
          <w:bCs/>
          <w:i/>
          <w:iCs/>
        </w:rPr>
        <w:t>Pre-Launch Activities Importation Requests (PLAIR)</w:t>
      </w:r>
      <w:r w:rsidR="00BC0BE5">
        <w:t xml:space="preserve">,” (March 2022).  Historically, when applicants with a pending new drug application, abbreviated new drug application, or Center for Drug Evaluation and Research-regulated biologics licensing application (information collection associated with these submissions is currently approved under OMB control number 0910-0001) sought to import unapproved finished dosage form drug products into the United States in preparation for market launch, we considered such requests, informally referred to as “PLAIRs,” on a case-by-case basis.  Since implementing the PLAIR program in 2013, interest continues to increase, so we have developed a more formalized process as discussed in the guidance document.  The guidance is available </w:t>
      </w:r>
      <w:r>
        <w:t xml:space="preserve">for download </w:t>
      </w:r>
      <w:r w:rsidR="00BC0BE5">
        <w:t xml:space="preserve">at </w:t>
      </w:r>
      <w:hyperlink r:id="rId8" w:history="1">
        <w:r w:rsidRPr="0091203E">
          <w:rPr>
            <w:rStyle w:val="Hyperlink"/>
          </w:rPr>
          <w:t>https://www.fda.gov/regulatory-information/search-fda-guidance-documents/pre-launch-activities-importation-requests-plair</w:t>
        </w:r>
      </w:hyperlink>
      <w:r>
        <w:t xml:space="preserve"> </w:t>
      </w:r>
      <w:r w:rsidR="00BC0BE5">
        <w:t xml:space="preserve">and was issued consistent with our good guidance practice regulations in 21 CFR 10.115, which provide for public comment at any time.  The guidance document instructs that PLAIR submissions should be made using the applicant’s letterhead and submitted by email to </w:t>
      </w:r>
      <w:hyperlink r:id="rId9" w:history="1">
        <w:r w:rsidRPr="0091203E">
          <w:rPr>
            <w:rStyle w:val="Hyperlink"/>
          </w:rPr>
          <w:t>CDER-OC-PLAIR@fda.hhs.gov</w:t>
        </w:r>
      </w:hyperlink>
      <w:r>
        <w:t xml:space="preserve"> </w:t>
      </w:r>
      <w:r w:rsidR="00BC0BE5">
        <w:t>in a file compatible with Portable Document Format (PDF).</w:t>
      </w:r>
    </w:p>
    <w:p w:rsidR="00936958" w:rsidP="00BC0BE5" w14:paraId="399173B9" w14:textId="1C115567">
      <w:pPr>
        <w:ind w:left="720"/>
      </w:pPr>
    </w:p>
    <w:p w:rsidR="00936958" w:rsidP="00BC0BE5" w14:paraId="6006180C" w14:textId="3EBD6F1C">
      <w:pPr>
        <w:ind w:left="720"/>
      </w:pPr>
      <w:r>
        <w:t xml:space="preserve">We therefore request OMB approval for the information collection provisions found in </w:t>
      </w:r>
      <w:r w:rsidRPr="00936958">
        <w:t>21 CFR part 1, subparts D and E</w:t>
      </w:r>
      <w:r>
        <w:t>, the associated forms, and applicable guidance, as discussed in this supporting statement.</w:t>
      </w:r>
    </w:p>
    <w:p w:rsidR="008B30AB" w:rsidRPr="002746DB" w:rsidP="007213A7" w14:paraId="4C253814" w14:textId="77777777">
      <w:pPr>
        <w:numPr>
          <w:ilvl w:val="0"/>
          <w:numId w:val="1"/>
        </w:numPr>
        <w:tabs>
          <w:tab w:val="clear" w:pos="720"/>
        </w:tabs>
        <w:spacing w:before="100" w:beforeAutospacing="1" w:after="100" w:afterAutospacing="1"/>
        <w:rPr>
          <w:u w:val="single"/>
        </w:rPr>
      </w:pPr>
      <w:r w:rsidRPr="002746DB">
        <w:rPr>
          <w:u w:val="single"/>
        </w:rPr>
        <w:t xml:space="preserve">Purpose and Use of the Information Collection </w:t>
      </w:r>
    </w:p>
    <w:p w:rsidR="00E81093" w:rsidRPr="00611AB8" w:rsidP="007213A7" w14:paraId="4AE537A0" w14:textId="1BBB3F82">
      <w:pPr>
        <w:ind w:left="720"/>
        <w:rPr>
          <w:i/>
        </w:rPr>
      </w:pPr>
      <w:r>
        <w:t>The respondents to this collection of information are importers of FDA-regulated products who are private businesses importing goods from foreign countries</w:t>
      </w:r>
      <w:r w:rsidR="00611AB8">
        <w:t xml:space="preserve">.  The information collection is used to determine product </w:t>
      </w:r>
      <w:r w:rsidR="00B45A4E">
        <w:t xml:space="preserve">compliance and </w:t>
      </w:r>
      <w:r w:rsidR="00611AB8">
        <w:t>admissibility</w:t>
      </w:r>
      <w:r w:rsidRPr="004D339E">
        <w:t>.</w:t>
      </w:r>
      <w:r w:rsidR="00600A5D">
        <w:t xml:space="preserve">  </w:t>
      </w:r>
      <w:r w:rsidRPr="00600A5D" w:rsidR="00600A5D">
        <w:t>Respondents (ACE filers) submit important and useful information about FDA-regulated products being imported or offered for import into the United States so that we may effectively and efficiently review products and determine their admissibility.  In addition, and as set forth in the regulations, certain product types are subject to additional data elements (for example, 21 CFR 1.77 prescribes additional data elements for radiation-emitting products), as well as those data elements applicable to all products.</w:t>
      </w:r>
    </w:p>
    <w:p w:rsidR="002746DB" w:rsidRPr="004C6979" w:rsidP="007213A7" w14:paraId="5693BF3A" w14:textId="77777777">
      <w:pPr>
        <w:numPr>
          <w:ilvl w:val="0"/>
          <w:numId w:val="1"/>
        </w:numPr>
        <w:tabs>
          <w:tab w:val="clear" w:pos="720"/>
        </w:tabs>
        <w:spacing w:before="100" w:beforeAutospacing="1" w:after="100" w:afterAutospacing="1"/>
        <w:ind w:right="-1440"/>
        <w:rPr>
          <w:u w:val="single"/>
        </w:rPr>
      </w:pPr>
      <w:r w:rsidRPr="004C6979">
        <w:rPr>
          <w:u w:val="single"/>
        </w:rPr>
        <w:t xml:space="preserve">Use of Improved Information Technology and Burden Reduction </w:t>
      </w:r>
    </w:p>
    <w:p w:rsidR="004E406E" w:rsidP="007213A7" w14:paraId="7D1C068F" w14:textId="77777777">
      <w:pPr>
        <w:spacing w:before="240"/>
        <w:ind w:left="720"/>
      </w:pPr>
      <w:r>
        <w:t>The information collection is effected through</w:t>
      </w:r>
      <w:r>
        <w:t xml:space="preserve"> </w:t>
      </w:r>
      <w:r w:rsidR="004F7DBF">
        <w:t xml:space="preserve">the submission of information and </w:t>
      </w:r>
      <w:r>
        <w:t xml:space="preserve">electronic </w:t>
      </w:r>
      <w:r>
        <w:t xml:space="preserve">interface between FDA systems and the ACE </w:t>
      </w:r>
      <w:r w:rsidR="00BB21B3">
        <w:t xml:space="preserve">System </w:t>
      </w:r>
      <w:r>
        <w:t xml:space="preserve">utilized by CBP.  We estimate </w:t>
      </w:r>
      <w:r>
        <w:t xml:space="preserve">100% of respondents will </w:t>
      </w:r>
      <w:r>
        <w:t xml:space="preserve">utilize </w:t>
      </w:r>
      <w:r>
        <w:t xml:space="preserve">electronic </w:t>
      </w:r>
      <w:r w:rsidR="004F7DBF">
        <w:t>means to provide the information</w:t>
      </w:r>
      <w:r>
        <w:t xml:space="preserve">.  FDA has also developed ITACS, as discussed above, and other reporting and tracking systems to minimize burden on respondents and increase agency efficiencies in reviewing the necessary </w:t>
      </w:r>
      <w:r w:rsidR="004F7DBF">
        <w:t>information</w:t>
      </w:r>
      <w:r>
        <w:t xml:space="preserve"> collection.</w:t>
      </w:r>
      <w:r>
        <w:t xml:space="preserve"> </w:t>
      </w:r>
    </w:p>
    <w:p w:rsidR="002746DB" w:rsidRPr="002746DB" w:rsidP="007213A7" w14:paraId="37348AC5" w14:textId="77777777">
      <w:pPr>
        <w:numPr>
          <w:ilvl w:val="0"/>
          <w:numId w:val="1"/>
        </w:numPr>
        <w:tabs>
          <w:tab w:val="clear" w:pos="720"/>
        </w:tabs>
        <w:spacing w:before="100" w:beforeAutospacing="1" w:after="100" w:afterAutospacing="1"/>
        <w:rPr>
          <w:u w:val="single"/>
        </w:rPr>
      </w:pPr>
      <w:r w:rsidRPr="002746DB">
        <w:rPr>
          <w:u w:val="single"/>
        </w:rPr>
        <w:t xml:space="preserve">Efforts to Identify Duplication and Use of Similar Information </w:t>
      </w:r>
    </w:p>
    <w:p w:rsidR="004E406E" w:rsidP="007213A7" w14:paraId="75BC73EA" w14:textId="77777777">
      <w:pPr>
        <w:ind w:left="720"/>
      </w:pPr>
      <w:r>
        <w:t xml:space="preserve">We are unaware of duplicative information collection. </w:t>
      </w:r>
    </w:p>
    <w:p w:rsidR="002746DB" w:rsidRPr="004C6979" w:rsidP="007213A7" w14:paraId="59B7DBBB" w14:textId="77777777">
      <w:pPr>
        <w:numPr>
          <w:ilvl w:val="0"/>
          <w:numId w:val="1"/>
        </w:numPr>
        <w:tabs>
          <w:tab w:val="clear" w:pos="720"/>
        </w:tabs>
        <w:spacing w:before="100" w:beforeAutospacing="1" w:after="100" w:afterAutospacing="1"/>
        <w:rPr>
          <w:u w:val="single"/>
        </w:rPr>
      </w:pPr>
      <w:r w:rsidRPr="004C6979">
        <w:rPr>
          <w:u w:val="single"/>
        </w:rPr>
        <w:t>Impact on Small Businesses or Other Small Entities</w:t>
      </w:r>
    </w:p>
    <w:p w:rsidR="004E406E" w:rsidP="007213A7" w14:paraId="7D757B5B" w14:textId="77777777">
      <w:pPr>
        <w:spacing w:before="307"/>
        <w:ind w:left="720"/>
      </w:pPr>
      <w:r w:rsidRPr="0019500C">
        <w:t xml:space="preserve">The information provided by filers is voluntary and </w:t>
      </w:r>
      <w:r w:rsidR="00B45A4E">
        <w:t xml:space="preserve">we do not believe it </w:t>
      </w:r>
      <w:r w:rsidRPr="0019500C">
        <w:t>impose</w:t>
      </w:r>
      <w:r w:rsidR="00B45A4E">
        <w:t>s</w:t>
      </w:r>
      <w:r w:rsidRPr="0019500C">
        <w:t xml:space="preserve"> any undue burden on small </w:t>
      </w:r>
      <w:r w:rsidR="00B45A4E">
        <w:t xml:space="preserve">entities.  </w:t>
      </w:r>
      <w:r w:rsidRPr="0019500C">
        <w:t>If needed, filers can obtain assistance from their local FDA district</w:t>
      </w:r>
      <w:r w:rsidR="00B45A4E">
        <w:t xml:space="preserve">, as well as </w:t>
      </w:r>
      <w:r w:rsidR="004F7DBF">
        <w:t xml:space="preserve">from </w:t>
      </w:r>
      <w:r w:rsidR="00B45A4E">
        <w:t xml:space="preserve">agency resources available on our website at </w:t>
      </w:r>
      <w:hyperlink r:id="rId10" w:history="1">
        <w:r w:rsidRPr="00F17072" w:rsidR="00B45A4E">
          <w:rPr>
            <w:rStyle w:val="Hyperlink"/>
          </w:rPr>
          <w:t>www.fda.gov</w:t>
        </w:r>
      </w:hyperlink>
      <w:r w:rsidR="00B45A4E">
        <w:t>.</w:t>
      </w:r>
    </w:p>
    <w:p w:rsidR="00CD77C3" w:rsidRPr="004C6979" w:rsidP="007213A7" w14:paraId="1F0A5DE1" w14:textId="77777777">
      <w:pPr>
        <w:numPr>
          <w:ilvl w:val="0"/>
          <w:numId w:val="1"/>
        </w:numPr>
        <w:tabs>
          <w:tab w:val="clear" w:pos="720"/>
        </w:tabs>
        <w:spacing w:before="100" w:beforeAutospacing="1" w:after="100" w:afterAutospacing="1"/>
        <w:rPr>
          <w:u w:val="single"/>
        </w:rPr>
      </w:pPr>
      <w:r w:rsidRPr="004C6979">
        <w:rPr>
          <w:u w:val="single"/>
        </w:rPr>
        <w:t>Consequences of Collecting the Information Less Frequently</w:t>
      </w:r>
    </w:p>
    <w:p w:rsidR="009D66F0" w:rsidRPr="0019500C" w:rsidP="007213A7" w14:paraId="6BC0321D" w14:textId="045C4EFB">
      <w:pPr>
        <w:ind w:left="720"/>
      </w:pPr>
      <w:r>
        <w:t xml:space="preserve">The information collection schedule is consistent with statutory and regulatory requirements. </w:t>
      </w:r>
    </w:p>
    <w:p w:rsidR="00CD77C3" w:rsidRPr="004C6979" w:rsidP="007213A7" w14:paraId="474F7746" w14:textId="77777777">
      <w:pPr>
        <w:numPr>
          <w:ilvl w:val="0"/>
          <w:numId w:val="1"/>
        </w:numPr>
        <w:tabs>
          <w:tab w:val="clear" w:pos="720"/>
        </w:tabs>
        <w:spacing w:before="100" w:beforeAutospacing="1" w:after="100" w:afterAutospacing="1"/>
        <w:rPr>
          <w:u w:val="single"/>
        </w:rPr>
      </w:pPr>
      <w:r>
        <w:rPr>
          <w:u w:val="single"/>
        </w:rPr>
        <w:br w:type="page"/>
      </w:r>
      <w:r w:rsidRPr="004C6979" w:rsidR="00EB7538">
        <w:rPr>
          <w:u w:val="single"/>
        </w:rPr>
        <w:t>Special Circumstances Relating to the Guidelines of 5 CFR 1320.5</w:t>
      </w:r>
    </w:p>
    <w:p w:rsidR="009546E8" w:rsidP="007213A7" w14:paraId="4E9F9245" w14:textId="77777777">
      <w:pPr>
        <w:ind w:left="720"/>
      </w:pPr>
      <w:r>
        <w:t>Information for this data collection is reported to FDA each time a shipment is imported into the United States by the respondent to allow FDA to either accept each line of the shipment, or indicate that product requires further FDA review.</w:t>
      </w:r>
      <w:r w:rsidR="009D66F0">
        <w:t xml:space="preserve">  Also, under </w:t>
      </w:r>
      <w:r>
        <w:t xml:space="preserve">19 CFR 163.4(a) </w:t>
      </w:r>
      <w:r w:rsidR="009D66F0">
        <w:t xml:space="preserve">filers are </w:t>
      </w:r>
      <w:r>
        <w:t>require</w:t>
      </w:r>
      <w:r w:rsidR="009D66F0">
        <w:t>d</w:t>
      </w:r>
      <w:r>
        <w:t xml:space="preserve"> to retain all entry documents for five years after the date of entry.</w:t>
      </w:r>
    </w:p>
    <w:p w:rsidR="00CD77C3" w:rsidP="007213A7" w14:paraId="5ABB32BD" w14:textId="77777777">
      <w:pPr>
        <w:numPr>
          <w:ilvl w:val="0"/>
          <w:numId w:val="1"/>
        </w:numPr>
        <w:tabs>
          <w:tab w:val="clear" w:pos="720"/>
        </w:tabs>
        <w:spacing w:before="100" w:beforeAutospacing="1" w:after="100" w:afterAutospacing="1"/>
        <w:rPr>
          <w:u w:val="single"/>
        </w:rPr>
      </w:pPr>
      <w:r w:rsidRPr="004C6979">
        <w:rPr>
          <w:u w:val="single"/>
        </w:rPr>
        <w:t>Comments in Response to the Federal Register Notice and Efforts to Consult Outside the Agency</w:t>
      </w:r>
    </w:p>
    <w:p w:rsidR="009546E8" w:rsidP="007B2DA4" w14:paraId="67947C07" w14:textId="2FD05F16">
      <w:pPr>
        <w:ind w:left="720"/>
      </w:pPr>
      <w:r w:rsidRPr="009546E8">
        <w:t xml:space="preserve">In accordance with 5 CFR 1320.8(d), </w:t>
      </w:r>
      <w:r w:rsidR="00611AB8">
        <w:t xml:space="preserve">we published </w:t>
      </w:r>
      <w:r w:rsidRPr="009546E8">
        <w:t xml:space="preserve">a 60 day notice </w:t>
      </w:r>
      <w:r w:rsidR="00611AB8">
        <w:t xml:space="preserve">soliciting </w:t>
      </w:r>
      <w:r w:rsidRPr="009546E8">
        <w:t xml:space="preserve">public comment </w:t>
      </w:r>
      <w:r w:rsidR="00611AB8">
        <w:t xml:space="preserve">for the </w:t>
      </w:r>
      <w:r w:rsidR="00936958">
        <w:t xml:space="preserve">proposed </w:t>
      </w:r>
      <w:r w:rsidR="00611AB8">
        <w:t xml:space="preserve">collection </w:t>
      </w:r>
      <w:r w:rsidR="00936958">
        <w:t xml:space="preserve">of information </w:t>
      </w:r>
      <w:r w:rsidR="00611AB8">
        <w:t xml:space="preserve">in the </w:t>
      </w:r>
      <w:r w:rsidRPr="00611AB8" w:rsidR="00611AB8">
        <w:rPr>
          <w:u w:val="single"/>
        </w:rPr>
        <w:t>Federal R</w:t>
      </w:r>
      <w:r w:rsidR="00611AB8">
        <w:rPr>
          <w:u w:val="single"/>
        </w:rPr>
        <w:t>e</w:t>
      </w:r>
      <w:r w:rsidRPr="00611AB8" w:rsidR="00611AB8">
        <w:rPr>
          <w:u w:val="single"/>
        </w:rPr>
        <w:t>gister</w:t>
      </w:r>
      <w:r w:rsidR="00611AB8">
        <w:t xml:space="preserve"> of </w:t>
      </w:r>
      <w:r w:rsidR="00936958">
        <w:t>April 10, 2023 (88 FR 21195).  One comment was received suggesting FDA underestimated burden that might be attributable to transactional data entry and necessary preparation.  Although we noted that our estimate included time we believe necessary for attendance recordkeeping, we adjusted our estimate for this activity upward</w:t>
      </w:r>
      <w:r w:rsidR="007B2DA4">
        <w:t xml:space="preserve"> in consideration of the comment</w:t>
      </w:r>
      <w:r w:rsidR="009D66F0">
        <w:t>.</w:t>
      </w:r>
    </w:p>
    <w:p w:rsidR="00CD77C3" w:rsidRPr="004C6979" w:rsidP="007213A7" w14:paraId="46670AE2" w14:textId="77777777">
      <w:pPr>
        <w:numPr>
          <w:ilvl w:val="0"/>
          <w:numId w:val="1"/>
        </w:numPr>
        <w:tabs>
          <w:tab w:val="clear" w:pos="720"/>
        </w:tabs>
        <w:spacing w:before="100" w:beforeAutospacing="1" w:after="100" w:afterAutospacing="1"/>
        <w:rPr>
          <w:u w:val="single"/>
        </w:rPr>
      </w:pPr>
      <w:r w:rsidRPr="004C6979">
        <w:rPr>
          <w:u w:val="single"/>
        </w:rPr>
        <w:t>Explanation of Any Payment or Gift to Respondents</w:t>
      </w:r>
    </w:p>
    <w:p w:rsidR="009546E8" w:rsidRPr="0019500C" w:rsidP="007213A7" w14:paraId="7A1960FB" w14:textId="77777777">
      <w:pPr>
        <w:spacing w:before="240"/>
        <w:ind w:left="720"/>
      </w:pPr>
      <w:r w:rsidRPr="0019500C">
        <w:t>No payment or gift was provided to respondents</w:t>
      </w:r>
      <w:r w:rsidR="00BB21B3">
        <w:t>.</w:t>
      </w:r>
      <w:r w:rsidRPr="0019500C">
        <w:t xml:space="preserve"> </w:t>
      </w:r>
    </w:p>
    <w:p w:rsidR="00CD77C3" w:rsidRPr="004C6979" w:rsidP="007213A7" w14:paraId="3AAA7811" w14:textId="77777777">
      <w:pPr>
        <w:numPr>
          <w:ilvl w:val="0"/>
          <w:numId w:val="1"/>
        </w:numPr>
        <w:tabs>
          <w:tab w:val="clear" w:pos="720"/>
        </w:tabs>
        <w:spacing w:before="100" w:beforeAutospacing="1" w:after="100" w:afterAutospacing="1"/>
        <w:rPr>
          <w:u w:val="single"/>
        </w:rPr>
      </w:pPr>
      <w:r w:rsidRPr="004C6979">
        <w:rPr>
          <w:u w:val="single"/>
        </w:rPr>
        <w:t>Assurance of Confidentiality Provided to Respondents</w:t>
      </w:r>
    </w:p>
    <w:p w:rsidR="009546E8" w:rsidRPr="0019500C" w:rsidP="007213A7" w14:paraId="38CCF9D2" w14:textId="77777777">
      <w:pPr>
        <w:spacing w:before="240"/>
        <w:ind w:left="720"/>
      </w:pPr>
      <w:r w:rsidRPr="0019500C">
        <w:t xml:space="preserve">No assurance of confidentiality has been provided except as generally considered in review guidelines in 21 CFR 20.61. </w:t>
      </w:r>
    </w:p>
    <w:p w:rsidR="004C6979" w:rsidRPr="004C6979" w:rsidP="007213A7" w14:paraId="2A98B85E" w14:textId="77777777">
      <w:pPr>
        <w:numPr>
          <w:ilvl w:val="0"/>
          <w:numId w:val="1"/>
        </w:numPr>
        <w:tabs>
          <w:tab w:val="clear" w:pos="720"/>
        </w:tabs>
        <w:spacing w:before="100" w:beforeAutospacing="1" w:after="100" w:afterAutospacing="1"/>
        <w:rPr>
          <w:u w:val="single"/>
        </w:rPr>
      </w:pPr>
      <w:r w:rsidRPr="004C6979">
        <w:rPr>
          <w:u w:val="single"/>
        </w:rPr>
        <w:t>Justification for Sensitive Questions</w:t>
      </w:r>
    </w:p>
    <w:p w:rsidR="00DC4353" w:rsidRPr="0019500C" w:rsidP="007213A7" w14:paraId="3FE5C823" w14:textId="77777777">
      <w:pPr>
        <w:spacing w:before="240"/>
        <w:ind w:left="720"/>
      </w:pPr>
      <w:r w:rsidRPr="0019500C">
        <w:t xml:space="preserve">There were no questions asked of a sensitive nature. </w:t>
      </w:r>
    </w:p>
    <w:p w:rsidR="004C6979" w:rsidRPr="004C6979" w:rsidP="007213A7" w14:paraId="6D3BC652" w14:textId="77777777">
      <w:pPr>
        <w:numPr>
          <w:ilvl w:val="0"/>
          <w:numId w:val="1"/>
        </w:numPr>
        <w:tabs>
          <w:tab w:val="clear" w:pos="720"/>
        </w:tabs>
        <w:spacing w:before="100" w:beforeAutospacing="1" w:after="100" w:afterAutospacing="1"/>
        <w:rPr>
          <w:u w:val="single"/>
        </w:rPr>
      </w:pPr>
      <w:r>
        <w:rPr>
          <w:u w:val="single"/>
        </w:rPr>
        <w:br w:type="page"/>
      </w:r>
      <w:r w:rsidRPr="004C6979" w:rsidR="00EB7538">
        <w:rPr>
          <w:u w:val="single"/>
        </w:rPr>
        <w:t>Estimates of Annualized Burden Hours and Costs</w:t>
      </w:r>
    </w:p>
    <w:p w:rsidR="007B2DA4" w:rsidP="00333983" w14:paraId="32903617" w14:textId="6201D664">
      <w:pPr>
        <w:ind w:left="720"/>
        <w:rPr>
          <w:i/>
        </w:rPr>
      </w:pPr>
      <w:r w:rsidRPr="007213A7">
        <w:rPr>
          <w:i/>
        </w:rPr>
        <w:t>12a  Annualized Hour Burden Estimate:</w:t>
      </w:r>
      <w:bookmarkStart w:id="0" w:name="_Hlk27397551"/>
    </w:p>
    <w:p w:rsidR="00333983" w:rsidRPr="007B2DA4" w:rsidP="00333983" w14:paraId="7B8AAADE" w14:textId="77777777">
      <w:pPr>
        <w:ind w:left="720"/>
        <w:rPr>
          <w:i/>
        </w:rPr>
      </w:pPr>
    </w:p>
    <w:tbl>
      <w:tblPr>
        <w:tblW w:w="476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41"/>
        <w:gridCol w:w="1321"/>
        <w:gridCol w:w="1240"/>
        <w:gridCol w:w="1205"/>
        <w:gridCol w:w="1668"/>
        <w:gridCol w:w="1110"/>
      </w:tblGrid>
      <w:tr w14:paraId="4CC59B59" w14:textId="77777777" w:rsidTr="006F4EEF">
        <w:tblPrEx>
          <w:tblW w:w="476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rPr>
        <w:tc>
          <w:tcPr>
            <w:tcW w:w="5000" w:type="pct"/>
            <w:gridSpan w:val="6"/>
            <w:tcBorders>
              <w:top w:val="nil"/>
              <w:left w:val="nil"/>
              <w:bottom w:val="single" w:sz="4" w:space="0" w:color="auto"/>
              <w:right w:val="nil"/>
            </w:tcBorders>
            <w:shd w:val="clear" w:color="auto" w:fill="auto"/>
          </w:tcPr>
          <w:p w:rsidR="007B2DA4" w:rsidRPr="007B2DA4" w:rsidP="007B2DA4" w14:paraId="6177D224" w14:textId="77777777">
            <w:pPr>
              <w:jc w:val="center"/>
              <w:rPr>
                <w:sz w:val="20"/>
                <w:szCs w:val="20"/>
              </w:rPr>
            </w:pPr>
            <w:bookmarkStart w:id="1" w:name="_Hlk129858214"/>
            <w:r w:rsidRPr="007B2DA4">
              <w:rPr>
                <w:sz w:val="20"/>
                <w:szCs w:val="20"/>
              </w:rPr>
              <w:t>Table 1.--Estimated Annual Reporting Burden</w:t>
            </w:r>
            <w:r w:rsidRPr="007B2DA4">
              <w:rPr>
                <w:sz w:val="20"/>
                <w:szCs w:val="20"/>
                <w:vertAlign w:val="superscript"/>
              </w:rPr>
              <w:t>1,2</w:t>
            </w:r>
          </w:p>
        </w:tc>
      </w:tr>
      <w:tr w14:paraId="54F518C4" w14:textId="77777777" w:rsidTr="006F4EEF">
        <w:tblPrEx>
          <w:tblW w:w="4760" w:type="pct"/>
          <w:tblInd w:w="468" w:type="dxa"/>
          <w:tblLayout w:type="fixed"/>
          <w:tblLook w:val="01E0"/>
        </w:tblPrEx>
        <w:trPr>
          <w:cantSplit/>
          <w:trHeight w:val="20"/>
        </w:trPr>
        <w:tc>
          <w:tcPr>
            <w:tcW w:w="1438" w:type="pct"/>
            <w:tcBorders>
              <w:top w:val="single" w:sz="4" w:space="0" w:color="auto"/>
            </w:tcBorders>
            <w:shd w:val="clear" w:color="auto" w:fill="auto"/>
          </w:tcPr>
          <w:p w:rsidR="007B2DA4" w:rsidRPr="007B2DA4" w:rsidP="007B2DA4" w14:paraId="53E5913A" w14:textId="77777777">
            <w:pPr>
              <w:jc w:val="center"/>
              <w:rPr>
                <w:sz w:val="20"/>
                <w:szCs w:val="20"/>
              </w:rPr>
            </w:pPr>
            <w:r w:rsidRPr="007B2DA4">
              <w:rPr>
                <w:sz w:val="20"/>
                <w:szCs w:val="20"/>
              </w:rPr>
              <w:t>21 CFR Part 1, Subpart D</w:t>
            </w:r>
          </w:p>
        </w:tc>
        <w:tc>
          <w:tcPr>
            <w:tcW w:w="719" w:type="pct"/>
            <w:tcBorders>
              <w:top w:val="single" w:sz="4" w:space="0" w:color="auto"/>
            </w:tcBorders>
            <w:shd w:val="clear" w:color="auto" w:fill="auto"/>
          </w:tcPr>
          <w:p w:rsidR="007B2DA4" w:rsidRPr="007B2DA4" w:rsidP="007B2DA4" w14:paraId="29014D7E" w14:textId="77777777">
            <w:pPr>
              <w:jc w:val="center"/>
              <w:rPr>
                <w:sz w:val="20"/>
                <w:szCs w:val="20"/>
              </w:rPr>
            </w:pPr>
            <w:r w:rsidRPr="007B2DA4">
              <w:rPr>
                <w:sz w:val="20"/>
                <w:szCs w:val="20"/>
              </w:rPr>
              <w:t>No. of Respondents</w:t>
            </w:r>
          </w:p>
        </w:tc>
        <w:tc>
          <w:tcPr>
            <w:tcW w:w="675" w:type="pct"/>
            <w:tcBorders>
              <w:top w:val="single" w:sz="4" w:space="0" w:color="auto"/>
            </w:tcBorders>
            <w:shd w:val="clear" w:color="auto" w:fill="auto"/>
          </w:tcPr>
          <w:p w:rsidR="007B2DA4" w:rsidRPr="007B2DA4" w:rsidP="007B2DA4" w14:paraId="32069212" w14:textId="77777777">
            <w:pPr>
              <w:jc w:val="center"/>
              <w:rPr>
                <w:sz w:val="20"/>
                <w:szCs w:val="20"/>
              </w:rPr>
            </w:pPr>
            <w:r w:rsidRPr="007B2DA4">
              <w:rPr>
                <w:bCs/>
                <w:sz w:val="20"/>
                <w:szCs w:val="20"/>
              </w:rPr>
              <w:t>No. of Responses per Respondent</w:t>
            </w:r>
          </w:p>
        </w:tc>
        <w:tc>
          <w:tcPr>
            <w:tcW w:w="656" w:type="pct"/>
            <w:tcBorders>
              <w:top w:val="single" w:sz="4" w:space="0" w:color="auto"/>
            </w:tcBorders>
            <w:shd w:val="clear" w:color="auto" w:fill="auto"/>
          </w:tcPr>
          <w:p w:rsidR="007B2DA4" w:rsidRPr="007B2DA4" w:rsidP="007B2DA4" w14:paraId="411E9854" w14:textId="77777777">
            <w:pPr>
              <w:jc w:val="center"/>
              <w:rPr>
                <w:sz w:val="20"/>
                <w:szCs w:val="20"/>
              </w:rPr>
            </w:pPr>
            <w:r w:rsidRPr="007B2DA4">
              <w:rPr>
                <w:sz w:val="20"/>
                <w:szCs w:val="20"/>
              </w:rPr>
              <w:t>Total Annual Responses</w:t>
            </w:r>
          </w:p>
        </w:tc>
        <w:tc>
          <w:tcPr>
            <w:tcW w:w="908" w:type="pct"/>
            <w:tcBorders>
              <w:top w:val="single" w:sz="4" w:space="0" w:color="auto"/>
            </w:tcBorders>
            <w:shd w:val="clear" w:color="auto" w:fill="auto"/>
          </w:tcPr>
          <w:p w:rsidR="007B2DA4" w:rsidRPr="007B2DA4" w:rsidP="007B2DA4" w14:paraId="4DC6958C" w14:textId="77777777">
            <w:pPr>
              <w:jc w:val="center"/>
              <w:rPr>
                <w:sz w:val="20"/>
                <w:szCs w:val="20"/>
              </w:rPr>
            </w:pPr>
            <w:r w:rsidRPr="007B2DA4">
              <w:rPr>
                <w:bCs/>
                <w:sz w:val="20"/>
                <w:szCs w:val="20"/>
              </w:rPr>
              <w:t>Average Burden per Response</w:t>
            </w:r>
          </w:p>
        </w:tc>
        <w:tc>
          <w:tcPr>
            <w:tcW w:w="605" w:type="pct"/>
            <w:tcBorders>
              <w:top w:val="single" w:sz="4" w:space="0" w:color="auto"/>
            </w:tcBorders>
            <w:shd w:val="clear" w:color="auto" w:fill="auto"/>
          </w:tcPr>
          <w:p w:rsidR="007B2DA4" w:rsidRPr="007B2DA4" w:rsidP="007B2DA4" w14:paraId="5663FD31" w14:textId="77777777">
            <w:pPr>
              <w:jc w:val="center"/>
              <w:rPr>
                <w:sz w:val="20"/>
                <w:szCs w:val="20"/>
              </w:rPr>
            </w:pPr>
            <w:r w:rsidRPr="007B2DA4">
              <w:rPr>
                <w:sz w:val="20"/>
                <w:szCs w:val="20"/>
              </w:rPr>
              <w:t>Total Hours</w:t>
            </w:r>
          </w:p>
        </w:tc>
      </w:tr>
      <w:tr w14:paraId="56E2DE82" w14:textId="77777777" w:rsidTr="006F4EEF">
        <w:tblPrEx>
          <w:tblW w:w="4760" w:type="pct"/>
          <w:tblInd w:w="468" w:type="dxa"/>
          <w:tblLayout w:type="fixed"/>
          <w:tblLook w:val="01E0"/>
        </w:tblPrEx>
        <w:trPr>
          <w:cantSplit/>
          <w:trHeight w:val="20"/>
        </w:trPr>
        <w:tc>
          <w:tcPr>
            <w:tcW w:w="1438" w:type="pct"/>
            <w:shd w:val="clear" w:color="auto" w:fill="auto"/>
          </w:tcPr>
          <w:p w:rsidR="007B2DA4" w:rsidRPr="007B2DA4" w:rsidP="007B2DA4" w14:paraId="59C3FA7B" w14:textId="77777777">
            <w:pPr>
              <w:rPr>
                <w:sz w:val="20"/>
                <w:szCs w:val="20"/>
              </w:rPr>
            </w:pPr>
            <w:r w:rsidRPr="007B2DA4">
              <w:rPr>
                <w:sz w:val="20"/>
                <w:szCs w:val="20"/>
              </w:rPr>
              <w:t>Importers submission of data elements (preparing the required information)</w:t>
            </w:r>
          </w:p>
        </w:tc>
        <w:tc>
          <w:tcPr>
            <w:tcW w:w="719" w:type="pct"/>
            <w:shd w:val="clear" w:color="auto" w:fill="auto"/>
          </w:tcPr>
          <w:p w:rsidR="007B2DA4" w:rsidRPr="007B2DA4" w:rsidP="007B2DA4" w14:paraId="4E6D345F" w14:textId="77777777">
            <w:pPr>
              <w:jc w:val="right"/>
              <w:rPr>
                <w:sz w:val="20"/>
                <w:szCs w:val="20"/>
              </w:rPr>
            </w:pPr>
            <w:r w:rsidRPr="007B2DA4">
              <w:rPr>
                <w:sz w:val="20"/>
                <w:szCs w:val="20"/>
              </w:rPr>
              <w:t>95,307</w:t>
            </w:r>
          </w:p>
        </w:tc>
        <w:tc>
          <w:tcPr>
            <w:tcW w:w="675" w:type="pct"/>
            <w:shd w:val="clear" w:color="auto" w:fill="auto"/>
          </w:tcPr>
          <w:p w:rsidR="007B2DA4" w:rsidRPr="007B2DA4" w:rsidP="007B2DA4" w14:paraId="4E7F0BBC" w14:textId="77777777">
            <w:pPr>
              <w:jc w:val="right"/>
              <w:rPr>
                <w:bCs/>
                <w:sz w:val="20"/>
                <w:szCs w:val="20"/>
              </w:rPr>
            </w:pPr>
            <w:r w:rsidRPr="007B2DA4">
              <w:rPr>
                <w:bCs/>
                <w:sz w:val="20"/>
                <w:szCs w:val="20"/>
              </w:rPr>
              <w:t>10.14</w:t>
            </w:r>
          </w:p>
        </w:tc>
        <w:tc>
          <w:tcPr>
            <w:tcW w:w="656" w:type="pct"/>
            <w:shd w:val="clear" w:color="auto" w:fill="auto"/>
          </w:tcPr>
          <w:p w:rsidR="007B2DA4" w:rsidRPr="007B2DA4" w:rsidP="007B2DA4" w14:paraId="7AF2025C" w14:textId="77777777">
            <w:pPr>
              <w:jc w:val="right"/>
              <w:rPr>
                <w:sz w:val="20"/>
                <w:szCs w:val="20"/>
              </w:rPr>
            </w:pPr>
            <w:r w:rsidRPr="007B2DA4">
              <w:rPr>
                <w:sz w:val="20"/>
                <w:szCs w:val="20"/>
              </w:rPr>
              <w:t>967,069</w:t>
            </w:r>
          </w:p>
        </w:tc>
        <w:tc>
          <w:tcPr>
            <w:tcW w:w="908" w:type="pct"/>
            <w:shd w:val="clear" w:color="auto" w:fill="auto"/>
          </w:tcPr>
          <w:p w:rsidR="007B2DA4" w:rsidRPr="007B2DA4" w:rsidP="007B2DA4" w14:paraId="3151862C" w14:textId="77777777">
            <w:pPr>
              <w:jc w:val="right"/>
              <w:rPr>
                <w:sz w:val="20"/>
                <w:szCs w:val="20"/>
              </w:rPr>
            </w:pPr>
            <w:r w:rsidRPr="007B2DA4">
              <w:rPr>
                <w:sz w:val="20"/>
                <w:szCs w:val="20"/>
              </w:rPr>
              <w:t xml:space="preserve">0.05576 </w:t>
            </w:r>
          </w:p>
          <w:p w:rsidR="007B2DA4" w:rsidRPr="007B2DA4" w:rsidP="007B2DA4" w14:paraId="1F951E7A" w14:textId="77777777">
            <w:pPr>
              <w:jc w:val="right"/>
              <w:rPr>
                <w:bCs/>
                <w:sz w:val="20"/>
                <w:szCs w:val="20"/>
              </w:rPr>
            </w:pPr>
            <w:r w:rsidRPr="007B2DA4">
              <w:rPr>
                <w:sz w:val="20"/>
                <w:szCs w:val="20"/>
              </w:rPr>
              <w:t>(3.346 minutes)</w:t>
            </w:r>
          </w:p>
        </w:tc>
        <w:tc>
          <w:tcPr>
            <w:tcW w:w="605" w:type="pct"/>
            <w:shd w:val="clear" w:color="auto" w:fill="auto"/>
          </w:tcPr>
          <w:p w:rsidR="007B2DA4" w:rsidRPr="007B2DA4" w:rsidP="007B2DA4" w14:paraId="36BEF5A7" w14:textId="77777777">
            <w:pPr>
              <w:jc w:val="right"/>
              <w:rPr>
                <w:sz w:val="20"/>
                <w:szCs w:val="20"/>
              </w:rPr>
            </w:pPr>
            <w:r w:rsidRPr="007B2DA4">
              <w:rPr>
                <w:sz w:val="20"/>
                <w:szCs w:val="20"/>
              </w:rPr>
              <w:t>53,924</w:t>
            </w:r>
          </w:p>
        </w:tc>
      </w:tr>
      <w:tr w14:paraId="333B330D" w14:textId="77777777" w:rsidTr="006F4EEF">
        <w:tblPrEx>
          <w:tblW w:w="4760" w:type="pct"/>
          <w:tblInd w:w="468" w:type="dxa"/>
          <w:tblLayout w:type="fixed"/>
          <w:tblLook w:val="01E0"/>
        </w:tblPrEx>
        <w:trPr>
          <w:cantSplit/>
          <w:trHeight w:val="20"/>
        </w:trPr>
        <w:tc>
          <w:tcPr>
            <w:tcW w:w="1438" w:type="pct"/>
            <w:shd w:val="clear" w:color="auto" w:fill="auto"/>
          </w:tcPr>
          <w:p w:rsidR="007B2DA4" w:rsidRPr="007B2DA4" w:rsidP="007B2DA4" w14:paraId="587F0F12" w14:textId="77777777">
            <w:pPr>
              <w:rPr>
                <w:color w:val="000000"/>
                <w:sz w:val="20"/>
                <w:szCs w:val="20"/>
              </w:rPr>
            </w:pPr>
            <w:r w:rsidRPr="007B2DA4">
              <w:rPr>
                <w:color w:val="000000"/>
                <w:sz w:val="20"/>
                <w:szCs w:val="20"/>
              </w:rPr>
              <w:t>Entry filers (unique lines only)</w:t>
            </w:r>
          </w:p>
        </w:tc>
        <w:tc>
          <w:tcPr>
            <w:tcW w:w="719" w:type="pct"/>
            <w:shd w:val="clear" w:color="auto" w:fill="auto"/>
          </w:tcPr>
          <w:p w:rsidR="007B2DA4" w:rsidRPr="007B2DA4" w:rsidP="007B2DA4" w14:paraId="1D720A52" w14:textId="77777777">
            <w:pPr>
              <w:jc w:val="right"/>
              <w:rPr>
                <w:sz w:val="20"/>
                <w:szCs w:val="20"/>
              </w:rPr>
            </w:pPr>
            <w:r w:rsidRPr="007B2DA4">
              <w:rPr>
                <w:sz w:val="20"/>
                <w:szCs w:val="20"/>
              </w:rPr>
              <w:t>4,133</w:t>
            </w:r>
          </w:p>
        </w:tc>
        <w:tc>
          <w:tcPr>
            <w:tcW w:w="675" w:type="pct"/>
            <w:shd w:val="clear" w:color="auto" w:fill="auto"/>
          </w:tcPr>
          <w:p w:rsidR="007B2DA4" w:rsidRPr="007B2DA4" w:rsidP="007B2DA4" w14:paraId="3B02AB07" w14:textId="77777777">
            <w:pPr>
              <w:jc w:val="right"/>
              <w:rPr>
                <w:bCs/>
                <w:sz w:val="20"/>
                <w:szCs w:val="20"/>
                <w:highlight w:val="yellow"/>
              </w:rPr>
            </w:pPr>
            <w:r w:rsidRPr="007B2DA4">
              <w:rPr>
                <w:bCs/>
                <w:sz w:val="20"/>
                <w:szCs w:val="20"/>
              </w:rPr>
              <w:t>10,804</w:t>
            </w:r>
          </w:p>
        </w:tc>
        <w:tc>
          <w:tcPr>
            <w:tcW w:w="656" w:type="pct"/>
            <w:shd w:val="clear" w:color="auto" w:fill="auto"/>
          </w:tcPr>
          <w:p w:rsidR="007B2DA4" w:rsidRPr="007B2DA4" w:rsidP="007B2DA4" w14:paraId="70681111" w14:textId="77777777">
            <w:pPr>
              <w:jc w:val="right"/>
              <w:rPr>
                <w:sz w:val="20"/>
                <w:szCs w:val="20"/>
                <w:highlight w:val="yellow"/>
              </w:rPr>
            </w:pPr>
            <w:r w:rsidRPr="007B2DA4">
              <w:rPr>
                <w:sz w:val="20"/>
                <w:szCs w:val="20"/>
              </w:rPr>
              <w:t>44,656,657</w:t>
            </w:r>
          </w:p>
        </w:tc>
        <w:tc>
          <w:tcPr>
            <w:tcW w:w="908" w:type="pct"/>
            <w:shd w:val="clear" w:color="auto" w:fill="auto"/>
          </w:tcPr>
          <w:p w:rsidR="007B2DA4" w:rsidRPr="007B2DA4" w:rsidP="007B2DA4" w14:paraId="6363BE19" w14:textId="77777777">
            <w:pPr>
              <w:jc w:val="right"/>
              <w:rPr>
                <w:color w:val="000000"/>
                <w:sz w:val="20"/>
                <w:szCs w:val="20"/>
              </w:rPr>
            </w:pPr>
            <w:r w:rsidRPr="007B2DA4">
              <w:rPr>
                <w:sz w:val="20"/>
                <w:szCs w:val="20"/>
              </w:rPr>
              <w:t xml:space="preserve">0.04466 </w:t>
            </w:r>
          </w:p>
          <w:p w:rsidR="007B2DA4" w:rsidRPr="007B2DA4" w:rsidP="007B2DA4" w14:paraId="0480A7EB" w14:textId="77777777">
            <w:pPr>
              <w:jc w:val="right"/>
              <w:rPr>
                <w:bCs/>
                <w:sz w:val="20"/>
                <w:szCs w:val="20"/>
              </w:rPr>
            </w:pPr>
            <w:r w:rsidRPr="007B2DA4">
              <w:rPr>
                <w:color w:val="000000"/>
                <w:sz w:val="20"/>
                <w:szCs w:val="20"/>
              </w:rPr>
              <w:t>(2.68</w:t>
            </w:r>
            <w:r w:rsidRPr="007B2DA4">
              <w:rPr>
                <w:sz w:val="20"/>
                <w:szCs w:val="20"/>
              </w:rPr>
              <w:t xml:space="preserve"> </w:t>
            </w:r>
            <w:r w:rsidRPr="007B2DA4">
              <w:rPr>
                <w:color w:val="000000"/>
                <w:sz w:val="20"/>
                <w:szCs w:val="20"/>
              </w:rPr>
              <w:t>minutes)</w:t>
            </w:r>
          </w:p>
        </w:tc>
        <w:tc>
          <w:tcPr>
            <w:tcW w:w="605" w:type="pct"/>
            <w:shd w:val="clear" w:color="auto" w:fill="auto"/>
          </w:tcPr>
          <w:p w:rsidR="007B2DA4" w:rsidRPr="007B2DA4" w:rsidP="007B2DA4" w14:paraId="56B685E3" w14:textId="77777777">
            <w:pPr>
              <w:jc w:val="right"/>
              <w:rPr>
                <w:sz w:val="20"/>
                <w:szCs w:val="20"/>
              </w:rPr>
            </w:pPr>
            <w:r w:rsidRPr="007B2DA4">
              <w:rPr>
                <w:sz w:val="20"/>
                <w:szCs w:val="20"/>
              </w:rPr>
              <w:t>1,994,336</w:t>
            </w:r>
          </w:p>
        </w:tc>
      </w:tr>
      <w:tr w14:paraId="7787819C" w14:textId="77777777" w:rsidTr="006F4EEF">
        <w:tblPrEx>
          <w:tblW w:w="4760" w:type="pct"/>
          <w:tblInd w:w="468" w:type="dxa"/>
          <w:tblLayout w:type="fixed"/>
          <w:tblLook w:val="01E0"/>
        </w:tblPrEx>
        <w:trPr>
          <w:cantSplit/>
          <w:trHeight w:val="20"/>
        </w:trPr>
        <w:tc>
          <w:tcPr>
            <w:tcW w:w="1438" w:type="pct"/>
            <w:shd w:val="clear" w:color="auto" w:fill="auto"/>
          </w:tcPr>
          <w:p w:rsidR="007B2DA4" w:rsidRPr="007B2DA4" w:rsidP="007B2DA4" w14:paraId="01224E8C" w14:textId="77777777">
            <w:pPr>
              <w:rPr>
                <w:color w:val="000000"/>
                <w:sz w:val="20"/>
                <w:szCs w:val="20"/>
              </w:rPr>
            </w:pPr>
            <w:r w:rsidRPr="007B2DA4">
              <w:rPr>
                <w:color w:val="000000"/>
                <w:sz w:val="20"/>
                <w:szCs w:val="20"/>
              </w:rPr>
              <w:t>WEF participants</w:t>
            </w:r>
          </w:p>
        </w:tc>
        <w:tc>
          <w:tcPr>
            <w:tcW w:w="719" w:type="pct"/>
            <w:shd w:val="clear" w:color="auto" w:fill="auto"/>
          </w:tcPr>
          <w:p w:rsidR="007B2DA4" w:rsidRPr="007B2DA4" w:rsidP="007B2DA4" w14:paraId="1C2BF5A7" w14:textId="77777777">
            <w:pPr>
              <w:jc w:val="right"/>
              <w:rPr>
                <w:sz w:val="20"/>
                <w:szCs w:val="20"/>
              </w:rPr>
            </w:pPr>
            <w:r w:rsidRPr="007B2DA4">
              <w:rPr>
                <w:sz w:val="20"/>
                <w:szCs w:val="20"/>
              </w:rPr>
              <w:t>10</w:t>
            </w:r>
          </w:p>
        </w:tc>
        <w:tc>
          <w:tcPr>
            <w:tcW w:w="675" w:type="pct"/>
            <w:shd w:val="clear" w:color="auto" w:fill="auto"/>
          </w:tcPr>
          <w:p w:rsidR="007B2DA4" w:rsidRPr="007B2DA4" w:rsidP="007B2DA4" w14:paraId="5D7BC243" w14:textId="77777777">
            <w:pPr>
              <w:jc w:val="right"/>
              <w:rPr>
                <w:bCs/>
                <w:sz w:val="20"/>
                <w:szCs w:val="20"/>
              </w:rPr>
            </w:pPr>
            <w:r w:rsidRPr="007B2DA4">
              <w:rPr>
                <w:bCs/>
                <w:sz w:val="20"/>
                <w:szCs w:val="20"/>
              </w:rPr>
              <w:t>1</w:t>
            </w:r>
          </w:p>
        </w:tc>
        <w:tc>
          <w:tcPr>
            <w:tcW w:w="656" w:type="pct"/>
            <w:shd w:val="clear" w:color="auto" w:fill="auto"/>
          </w:tcPr>
          <w:p w:rsidR="007B2DA4" w:rsidRPr="007B2DA4" w:rsidP="007B2DA4" w14:paraId="6FD86B54" w14:textId="77777777">
            <w:pPr>
              <w:jc w:val="right"/>
              <w:rPr>
                <w:sz w:val="20"/>
                <w:szCs w:val="20"/>
              </w:rPr>
            </w:pPr>
            <w:r w:rsidRPr="007B2DA4">
              <w:rPr>
                <w:sz w:val="20"/>
                <w:szCs w:val="20"/>
              </w:rPr>
              <w:t>10</w:t>
            </w:r>
          </w:p>
        </w:tc>
        <w:tc>
          <w:tcPr>
            <w:tcW w:w="908" w:type="pct"/>
            <w:shd w:val="clear" w:color="auto" w:fill="auto"/>
          </w:tcPr>
          <w:p w:rsidR="007B2DA4" w:rsidRPr="007B2DA4" w:rsidP="007B2DA4" w14:paraId="5C9A55B9" w14:textId="77777777">
            <w:pPr>
              <w:jc w:val="right"/>
              <w:rPr>
                <w:sz w:val="20"/>
                <w:szCs w:val="20"/>
              </w:rPr>
            </w:pPr>
            <w:r w:rsidRPr="007B2DA4">
              <w:rPr>
                <w:sz w:val="20"/>
                <w:szCs w:val="20"/>
              </w:rPr>
              <w:t xml:space="preserve">0.87 </w:t>
            </w:r>
          </w:p>
          <w:p w:rsidR="007B2DA4" w:rsidRPr="007B2DA4" w:rsidP="007B2DA4" w14:paraId="27D77CBD" w14:textId="77777777">
            <w:pPr>
              <w:jc w:val="right"/>
              <w:rPr>
                <w:sz w:val="20"/>
                <w:szCs w:val="20"/>
              </w:rPr>
            </w:pPr>
            <w:r w:rsidRPr="007B2DA4">
              <w:rPr>
                <w:sz w:val="20"/>
                <w:szCs w:val="20"/>
              </w:rPr>
              <w:t>(52 minutes)</w:t>
            </w:r>
          </w:p>
        </w:tc>
        <w:tc>
          <w:tcPr>
            <w:tcW w:w="605" w:type="pct"/>
            <w:shd w:val="clear" w:color="auto" w:fill="auto"/>
          </w:tcPr>
          <w:p w:rsidR="007B2DA4" w:rsidRPr="007B2DA4" w:rsidP="007B2DA4" w14:paraId="10D93308" w14:textId="77777777">
            <w:pPr>
              <w:jc w:val="right"/>
              <w:rPr>
                <w:sz w:val="20"/>
                <w:szCs w:val="20"/>
              </w:rPr>
            </w:pPr>
            <w:r w:rsidRPr="007B2DA4">
              <w:rPr>
                <w:sz w:val="20"/>
                <w:szCs w:val="20"/>
              </w:rPr>
              <w:t>9</w:t>
            </w:r>
          </w:p>
        </w:tc>
      </w:tr>
      <w:tr w14:paraId="02CF4B37" w14:textId="77777777" w:rsidTr="006F4EEF">
        <w:tblPrEx>
          <w:tblW w:w="4760" w:type="pct"/>
          <w:tblInd w:w="468" w:type="dxa"/>
          <w:tblLayout w:type="fixed"/>
          <w:tblLook w:val="01E0"/>
        </w:tblPrEx>
        <w:trPr>
          <w:cantSplit/>
          <w:trHeight w:val="20"/>
        </w:trPr>
        <w:tc>
          <w:tcPr>
            <w:tcW w:w="1438" w:type="pct"/>
            <w:shd w:val="clear" w:color="auto" w:fill="auto"/>
          </w:tcPr>
          <w:p w:rsidR="007B2DA4" w:rsidRPr="007B2DA4" w:rsidP="007B2DA4" w14:paraId="2484375B" w14:textId="77777777">
            <w:pPr>
              <w:rPr>
                <w:color w:val="000000"/>
                <w:sz w:val="20"/>
                <w:szCs w:val="20"/>
              </w:rPr>
            </w:pPr>
            <w:r w:rsidRPr="007B2DA4">
              <w:rPr>
                <w:color w:val="000000"/>
                <w:sz w:val="20"/>
                <w:szCs w:val="20"/>
              </w:rPr>
              <w:t>ITACS; creation of new account</w:t>
            </w:r>
          </w:p>
        </w:tc>
        <w:tc>
          <w:tcPr>
            <w:tcW w:w="719" w:type="pct"/>
            <w:shd w:val="clear" w:color="auto" w:fill="auto"/>
          </w:tcPr>
          <w:p w:rsidR="007B2DA4" w:rsidRPr="007B2DA4" w:rsidP="007B2DA4" w14:paraId="7F4C774B" w14:textId="77777777">
            <w:pPr>
              <w:jc w:val="right"/>
              <w:rPr>
                <w:sz w:val="20"/>
                <w:szCs w:val="20"/>
              </w:rPr>
            </w:pPr>
            <w:r w:rsidRPr="007B2DA4">
              <w:rPr>
                <w:sz w:val="20"/>
                <w:szCs w:val="20"/>
              </w:rPr>
              <w:t>500</w:t>
            </w:r>
          </w:p>
        </w:tc>
        <w:tc>
          <w:tcPr>
            <w:tcW w:w="675" w:type="pct"/>
            <w:shd w:val="clear" w:color="auto" w:fill="auto"/>
          </w:tcPr>
          <w:p w:rsidR="007B2DA4" w:rsidRPr="007B2DA4" w:rsidP="007B2DA4" w14:paraId="33898543" w14:textId="77777777">
            <w:pPr>
              <w:jc w:val="right"/>
              <w:rPr>
                <w:bCs/>
                <w:sz w:val="20"/>
                <w:szCs w:val="20"/>
              </w:rPr>
            </w:pPr>
            <w:r w:rsidRPr="007B2DA4">
              <w:rPr>
                <w:bCs/>
                <w:sz w:val="20"/>
                <w:szCs w:val="20"/>
              </w:rPr>
              <w:t>1</w:t>
            </w:r>
          </w:p>
        </w:tc>
        <w:tc>
          <w:tcPr>
            <w:tcW w:w="656" w:type="pct"/>
            <w:shd w:val="clear" w:color="auto" w:fill="auto"/>
          </w:tcPr>
          <w:p w:rsidR="007B2DA4" w:rsidRPr="007B2DA4" w:rsidP="007B2DA4" w14:paraId="3DCA2F7C" w14:textId="77777777">
            <w:pPr>
              <w:jc w:val="right"/>
              <w:rPr>
                <w:sz w:val="20"/>
                <w:szCs w:val="20"/>
              </w:rPr>
            </w:pPr>
            <w:r w:rsidRPr="007B2DA4">
              <w:rPr>
                <w:sz w:val="20"/>
                <w:szCs w:val="20"/>
              </w:rPr>
              <w:t>1</w:t>
            </w:r>
          </w:p>
        </w:tc>
        <w:tc>
          <w:tcPr>
            <w:tcW w:w="908" w:type="pct"/>
            <w:shd w:val="clear" w:color="auto" w:fill="auto"/>
          </w:tcPr>
          <w:p w:rsidR="007B2DA4" w:rsidRPr="007B2DA4" w:rsidP="007B2DA4" w14:paraId="108C8137" w14:textId="77777777">
            <w:pPr>
              <w:jc w:val="right"/>
              <w:rPr>
                <w:sz w:val="20"/>
                <w:szCs w:val="20"/>
              </w:rPr>
            </w:pPr>
            <w:r w:rsidRPr="007B2DA4">
              <w:rPr>
                <w:sz w:val="20"/>
                <w:szCs w:val="20"/>
              </w:rPr>
              <w:t>0.5</w:t>
            </w:r>
          </w:p>
          <w:p w:rsidR="007B2DA4" w:rsidRPr="007B2DA4" w:rsidP="007B2DA4" w14:paraId="7945D44C" w14:textId="77777777">
            <w:pPr>
              <w:jc w:val="right"/>
              <w:rPr>
                <w:sz w:val="20"/>
                <w:szCs w:val="20"/>
              </w:rPr>
            </w:pPr>
            <w:r w:rsidRPr="007B2DA4">
              <w:rPr>
                <w:sz w:val="20"/>
                <w:szCs w:val="20"/>
              </w:rPr>
              <w:t>(30 minutes)</w:t>
            </w:r>
          </w:p>
        </w:tc>
        <w:tc>
          <w:tcPr>
            <w:tcW w:w="605" w:type="pct"/>
            <w:shd w:val="clear" w:color="auto" w:fill="auto"/>
          </w:tcPr>
          <w:p w:rsidR="007B2DA4" w:rsidRPr="007B2DA4" w:rsidP="007B2DA4" w14:paraId="06EE6618" w14:textId="77777777">
            <w:pPr>
              <w:jc w:val="right"/>
              <w:rPr>
                <w:sz w:val="20"/>
                <w:szCs w:val="20"/>
              </w:rPr>
            </w:pPr>
            <w:r w:rsidRPr="007B2DA4">
              <w:rPr>
                <w:sz w:val="20"/>
                <w:szCs w:val="20"/>
              </w:rPr>
              <w:t>250</w:t>
            </w:r>
          </w:p>
        </w:tc>
      </w:tr>
      <w:tr w14:paraId="609BC2CD" w14:textId="77777777" w:rsidTr="006F4EEF">
        <w:tblPrEx>
          <w:tblW w:w="4760" w:type="pct"/>
          <w:tblInd w:w="468" w:type="dxa"/>
          <w:tblLayout w:type="fixed"/>
          <w:tblLook w:val="01E0"/>
        </w:tblPrEx>
        <w:trPr>
          <w:cantSplit/>
          <w:trHeight w:val="20"/>
        </w:trPr>
        <w:tc>
          <w:tcPr>
            <w:tcW w:w="1438" w:type="pct"/>
            <w:shd w:val="clear" w:color="auto" w:fill="auto"/>
          </w:tcPr>
          <w:p w:rsidR="007B2DA4" w:rsidRPr="007B2DA4" w:rsidP="007B2DA4" w14:paraId="65851BB3" w14:textId="77777777">
            <w:pPr>
              <w:rPr>
                <w:color w:val="000000"/>
                <w:sz w:val="20"/>
                <w:szCs w:val="20"/>
              </w:rPr>
            </w:pPr>
            <w:r w:rsidRPr="007B2DA4">
              <w:rPr>
                <w:color w:val="000000"/>
                <w:sz w:val="20"/>
                <w:szCs w:val="20"/>
              </w:rPr>
              <w:t>Form FDA 766 as required under 21 CFR 1.95</w:t>
            </w:r>
          </w:p>
        </w:tc>
        <w:tc>
          <w:tcPr>
            <w:tcW w:w="719" w:type="pct"/>
            <w:shd w:val="clear" w:color="auto" w:fill="auto"/>
          </w:tcPr>
          <w:p w:rsidR="007B2DA4" w:rsidRPr="007B2DA4" w:rsidP="007B2DA4" w14:paraId="3E848E00" w14:textId="77777777">
            <w:pPr>
              <w:jc w:val="right"/>
              <w:rPr>
                <w:sz w:val="20"/>
                <w:szCs w:val="20"/>
              </w:rPr>
            </w:pPr>
            <w:r w:rsidRPr="007B2DA4">
              <w:rPr>
                <w:sz w:val="20"/>
                <w:szCs w:val="20"/>
              </w:rPr>
              <w:t>324</w:t>
            </w:r>
          </w:p>
        </w:tc>
        <w:tc>
          <w:tcPr>
            <w:tcW w:w="675" w:type="pct"/>
            <w:shd w:val="clear" w:color="auto" w:fill="auto"/>
          </w:tcPr>
          <w:p w:rsidR="007B2DA4" w:rsidRPr="007B2DA4" w:rsidP="007B2DA4" w14:paraId="7E487D06" w14:textId="77777777">
            <w:pPr>
              <w:jc w:val="right"/>
              <w:rPr>
                <w:bCs/>
                <w:sz w:val="20"/>
                <w:szCs w:val="20"/>
              </w:rPr>
            </w:pPr>
            <w:r w:rsidRPr="007B2DA4">
              <w:rPr>
                <w:bCs/>
                <w:sz w:val="20"/>
                <w:szCs w:val="20"/>
              </w:rPr>
              <w:t>1</w:t>
            </w:r>
          </w:p>
        </w:tc>
        <w:tc>
          <w:tcPr>
            <w:tcW w:w="656" w:type="pct"/>
            <w:shd w:val="clear" w:color="auto" w:fill="auto"/>
          </w:tcPr>
          <w:p w:rsidR="007B2DA4" w:rsidRPr="007B2DA4" w:rsidP="007B2DA4" w14:paraId="3DF14604" w14:textId="77777777">
            <w:pPr>
              <w:jc w:val="right"/>
              <w:rPr>
                <w:sz w:val="20"/>
                <w:szCs w:val="20"/>
              </w:rPr>
            </w:pPr>
            <w:r w:rsidRPr="007B2DA4">
              <w:rPr>
                <w:sz w:val="20"/>
                <w:szCs w:val="20"/>
              </w:rPr>
              <w:t>324</w:t>
            </w:r>
          </w:p>
        </w:tc>
        <w:tc>
          <w:tcPr>
            <w:tcW w:w="908" w:type="pct"/>
            <w:shd w:val="clear" w:color="auto" w:fill="auto"/>
          </w:tcPr>
          <w:p w:rsidR="007B2DA4" w:rsidRPr="007B2DA4" w:rsidP="007B2DA4" w14:paraId="6C17E496" w14:textId="77777777">
            <w:pPr>
              <w:jc w:val="right"/>
              <w:rPr>
                <w:sz w:val="20"/>
                <w:szCs w:val="20"/>
              </w:rPr>
            </w:pPr>
            <w:r w:rsidRPr="007B2DA4">
              <w:rPr>
                <w:sz w:val="20"/>
                <w:szCs w:val="20"/>
              </w:rPr>
              <w:t>0.25</w:t>
            </w:r>
          </w:p>
          <w:p w:rsidR="007B2DA4" w:rsidRPr="007B2DA4" w:rsidP="007B2DA4" w14:paraId="6BA9463A" w14:textId="77777777">
            <w:pPr>
              <w:jc w:val="right"/>
              <w:rPr>
                <w:sz w:val="20"/>
                <w:szCs w:val="20"/>
              </w:rPr>
            </w:pPr>
            <w:r w:rsidRPr="007B2DA4">
              <w:rPr>
                <w:sz w:val="20"/>
                <w:szCs w:val="20"/>
              </w:rPr>
              <w:t>(15 minutes)</w:t>
            </w:r>
          </w:p>
        </w:tc>
        <w:tc>
          <w:tcPr>
            <w:tcW w:w="605" w:type="pct"/>
            <w:shd w:val="clear" w:color="auto" w:fill="auto"/>
          </w:tcPr>
          <w:p w:rsidR="007B2DA4" w:rsidRPr="007B2DA4" w:rsidP="007B2DA4" w14:paraId="57F80319" w14:textId="77777777">
            <w:pPr>
              <w:jc w:val="right"/>
              <w:rPr>
                <w:sz w:val="20"/>
                <w:szCs w:val="20"/>
              </w:rPr>
            </w:pPr>
            <w:r w:rsidRPr="007B2DA4">
              <w:rPr>
                <w:sz w:val="20"/>
                <w:szCs w:val="20"/>
              </w:rPr>
              <w:t>81</w:t>
            </w:r>
          </w:p>
        </w:tc>
      </w:tr>
      <w:tr w14:paraId="44E1BCE6" w14:textId="77777777" w:rsidTr="006F4EEF">
        <w:tblPrEx>
          <w:tblW w:w="4760" w:type="pct"/>
          <w:tblInd w:w="468" w:type="dxa"/>
          <w:tblLayout w:type="fixed"/>
          <w:tblLook w:val="01E0"/>
        </w:tblPrEx>
        <w:trPr>
          <w:cantSplit/>
          <w:trHeight w:val="20"/>
        </w:trPr>
        <w:tc>
          <w:tcPr>
            <w:tcW w:w="1438" w:type="pct"/>
            <w:shd w:val="clear" w:color="auto" w:fill="auto"/>
          </w:tcPr>
          <w:p w:rsidR="007B2DA4" w:rsidRPr="007B2DA4" w:rsidP="007B2DA4" w14:paraId="528D21D1" w14:textId="77777777">
            <w:pPr>
              <w:rPr>
                <w:color w:val="000000"/>
                <w:sz w:val="20"/>
                <w:szCs w:val="20"/>
              </w:rPr>
            </w:pPr>
            <w:r w:rsidRPr="007B2DA4">
              <w:rPr>
                <w:color w:val="000000"/>
                <w:sz w:val="20"/>
                <w:szCs w:val="20"/>
              </w:rPr>
              <w:t>Form FDA 5054</w:t>
            </w:r>
          </w:p>
        </w:tc>
        <w:tc>
          <w:tcPr>
            <w:tcW w:w="719" w:type="pct"/>
            <w:shd w:val="clear" w:color="auto" w:fill="auto"/>
          </w:tcPr>
          <w:p w:rsidR="007B2DA4" w:rsidRPr="007B2DA4" w:rsidP="007B2DA4" w14:paraId="0B57259F" w14:textId="77777777">
            <w:pPr>
              <w:jc w:val="right"/>
              <w:rPr>
                <w:sz w:val="20"/>
                <w:szCs w:val="20"/>
              </w:rPr>
            </w:pPr>
            <w:r w:rsidRPr="007B2DA4">
              <w:rPr>
                <w:sz w:val="20"/>
                <w:szCs w:val="20"/>
              </w:rPr>
              <w:t>1,000</w:t>
            </w:r>
          </w:p>
        </w:tc>
        <w:tc>
          <w:tcPr>
            <w:tcW w:w="675" w:type="pct"/>
            <w:shd w:val="clear" w:color="auto" w:fill="auto"/>
          </w:tcPr>
          <w:p w:rsidR="007B2DA4" w:rsidRPr="007B2DA4" w:rsidP="007B2DA4" w14:paraId="294AFE4F" w14:textId="77777777">
            <w:pPr>
              <w:jc w:val="right"/>
              <w:rPr>
                <w:bCs/>
                <w:sz w:val="20"/>
                <w:szCs w:val="20"/>
              </w:rPr>
            </w:pPr>
            <w:r w:rsidRPr="007B2DA4">
              <w:rPr>
                <w:bCs/>
                <w:sz w:val="20"/>
                <w:szCs w:val="20"/>
              </w:rPr>
              <w:t>1</w:t>
            </w:r>
          </w:p>
        </w:tc>
        <w:tc>
          <w:tcPr>
            <w:tcW w:w="656" w:type="pct"/>
            <w:shd w:val="clear" w:color="auto" w:fill="auto"/>
          </w:tcPr>
          <w:p w:rsidR="007B2DA4" w:rsidRPr="007B2DA4" w:rsidP="007B2DA4" w14:paraId="3D0AE35B" w14:textId="77777777">
            <w:pPr>
              <w:jc w:val="right"/>
              <w:rPr>
                <w:sz w:val="20"/>
                <w:szCs w:val="20"/>
              </w:rPr>
            </w:pPr>
            <w:r w:rsidRPr="007B2DA4">
              <w:rPr>
                <w:sz w:val="20"/>
                <w:szCs w:val="20"/>
              </w:rPr>
              <w:t>1,000</w:t>
            </w:r>
          </w:p>
        </w:tc>
        <w:tc>
          <w:tcPr>
            <w:tcW w:w="908" w:type="pct"/>
            <w:shd w:val="clear" w:color="auto" w:fill="auto"/>
          </w:tcPr>
          <w:p w:rsidR="007B2DA4" w:rsidRPr="007B2DA4" w:rsidP="007B2DA4" w14:paraId="65C0FEE9" w14:textId="77777777">
            <w:pPr>
              <w:jc w:val="right"/>
              <w:rPr>
                <w:sz w:val="20"/>
                <w:szCs w:val="20"/>
              </w:rPr>
            </w:pPr>
            <w:r w:rsidRPr="007B2DA4">
              <w:rPr>
                <w:sz w:val="20"/>
                <w:szCs w:val="20"/>
              </w:rPr>
              <w:t>.083</w:t>
            </w:r>
          </w:p>
          <w:p w:rsidR="007B2DA4" w:rsidRPr="007B2DA4" w:rsidP="007B2DA4" w14:paraId="38001D37" w14:textId="77777777">
            <w:pPr>
              <w:jc w:val="right"/>
              <w:rPr>
                <w:sz w:val="20"/>
                <w:szCs w:val="20"/>
              </w:rPr>
            </w:pPr>
            <w:r w:rsidRPr="007B2DA4">
              <w:rPr>
                <w:sz w:val="20"/>
                <w:szCs w:val="20"/>
              </w:rPr>
              <w:t>(5 minutes)</w:t>
            </w:r>
          </w:p>
        </w:tc>
        <w:tc>
          <w:tcPr>
            <w:tcW w:w="605" w:type="pct"/>
            <w:shd w:val="clear" w:color="auto" w:fill="auto"/>
          </w:tcPr>
          <w:p w:rsidR="007B2DA4" w:rsidRPr="007B2DA4" w:rsidP="007B2DA4" w14:paraId="776DA862" w14:textId="77777777">
            <w:pPr>
              <w:jc w:val="right"/>
              <w:rPr>
                <w:sz w:val="20"/>
                <w:szCs w:val="20"/>
              </w:rPr>
            </w:pPr>
            <w:r w:rsidRPr="007B2DA4">
              <w:rPr>
                <w:sz w:val="20"/>
                <w:szCs w:val="20"/>
              </w:rPr>
              <w:t>83</w:t>
            </w:r>
          </w:p>
        </w:tc>
      </w:tr>
      <w:tr w14:paraId="2522E88E" w14:textId="77777777" w:rsidTr="006F4EEF">
        <w:tblPrEx>
          <w:tblW w:w="4760" w:type="pct"/>
          <w:tblInd w:w="468" w:type="dxa"/>
          <w:tblLayout w:type="fixed"/>
          <w:tblLook w:val="01E0"/>
        </w:tblPrEx>
        <w:trPr>
          <w:cantSplit/>
          <w:trHeight w:val="20"/>
        </w:trPr>
        <w:tc>
          <w:tcPr>
            <w:tcW w:w="1438" w:type="pct"/>
            <w:shd w:val="clear" w:color="auto" w:fill="auto"/>
          </w:tcPr>
          <w:p w:rsidR="007B2DA4" w:rsidRPr="007B2DA4" w:rsidP="007B2DA4" w14:paraId="2318A2CA" w14:textId="77777777">
            <w:pPr>
              <w:rPr>
                <w:color w:val="000000"/>
                <w:sz w:val="20"/>
                <w:szCs w:val="20"/>
              </w:rPr>
            </w:pPr>
            <w:r w:rsidRPr="007B2DA4">
              <w:rPr>
                <w:color w:val="000000"/>
                <w:sz w:val="20"/>
                <w:szCs w:val="20"/>
              </w:rPr>
              <w:t>Submissions in accordance w/PLAIR</w:t>
            </w:r>
          </w:p>
        </w:tc>
        <w:tc>
          <w:tcPr>
            <w:tcW w:w="719" w:type="pct"/>
            <w:shd w:val="clear" w:color="auto" w:fill="auto"/>
          </w:tcPr>
          <w:p w:rsidR="007B2DA4" w:rsidRPr="007B2DA4" w:rsidP="007B2DA4" w14:paraId="0329F40E" w14:textId="77777777">
            <w:pPr>
              <w:jc w:val="right"/>
              <w:rPr>
                <w:sz w:val="20"/>
                <w:szCs w:val="20"/>
              </w:rPr>
            </w:pPr>
            <w:r w:rsidRPr="007B2DA4">
              <w:rPr>
                <w:sz w:val="20"/>
                <w:szCs w:val="20"/>
              </w:rPr>
              <w:t>80</w:t>
            </w:r>
          </w:p>
        </w:tc>
        <w:tc>
          <w:tcPr>
            <w:tcW w:w="675" w:type="pct"/>
            <w:shd w:val="clear" w:color="auto" w:fill="auto"/>
          </w:tcPr>
          <w:p w:rsidR="007B2DA4" w:rsidRPr="007B2DA4" w:rsidP="007B2DA4" w14:paraId="7B847A4D" w14:textId="77777777">
            <w:pPr>
              <w:jc w:val="right"/>
              <w:rPr>
                <w:bCs/>
                <w:sz w:val="20"/>
                <w:szCs w:val="20"/>
              </w:rPr>
            </w:pPr>
            <w:r w:rsidRPr="007B2DA4">
              <w:rPr>
                <w:bCs/>
                <w:sz w:val="20"/>
                <w:szCs w:val="20"/>
              </w:rPr>
              <w:t>4</w:t>
            </w:r>
          </w:p>
        </w:tc>
        <w:tc>
          <w:tcPr>
            <w:tcW w:w="656" w:type="pct"/>
            <w:shd w:val="clear" w:color="auto" w:fill="auto"/>
          </w:tcPr>
          <w:p w:rsidR="007B2DA4" w:rsidRPr="007B2DA4" w:rsidP="007B2DA4" w14:paraId="2454C52D" w14:textId="77777777">
            <w:pPr>
              <w:jc w:val="right"/>
              <w:rPr>
                <w:sz w:val="20"/>
                <w:szCs w:val="20"/>
              </w:rPr>
            </w:pPr>
            <w:r w:rsidRPr="007B2DA4">
              <w:rPr>
                <w:sz w:val="20"/>
                <w:szCs w:val="20"/>
              </w:rPr>
              <w:t>320</w:t>
            </w:r>
          </w:p>
        </w:tc>
        <w:tc>
          <w:tcPr>
            <w:tcW w:w="908" w:type="pct"/>
            <w:shd w:val="clear" w:color="auto" w:fill="auto"/>
          </w:tcPr>
          <w:p w:rsidR="007B2DA4" w:rsidRPr="007B2DA4" w:rsidP="007B2DA4" w14:paraId="631D1ACC" w14:textId="77777777">
            <w:pPr>
              <w:jc w:val="right"/>
              <w:rPr>
                <w:sz w:val="20"/>
                <w:szCs w:val="20"/>
              </w:rPr>
            </w:pPr>
            <w:r w:rsidRPr="007B2DA4">
              <w:rPr>
                <w:sz w:val="20"/>
                <w:szCs w:val="20"/>
              </w:rPr>
              <w:t>16</w:t>
            </w:r>
          </w:p>
        </w:tc>
        <w:tc>
          <w:tcPr>
            <w:tcW w:w="605" w:type="pct"/>
            <w:shd w:val="clear" w:color="auto" w:fill="auto"/>
          </w:tcPr>
          <w:p w:rsidR="007B2DA4" w:rsidRPr="007B2DA4" w:rsidP="007B2DA4" w14:paraId="6E9A00F0" w14:textId="77777777">
            <w:pPr>
              <w:jc w:val="right"/>
              <w:rPr>
                <w:sz w:val="20"/>
                <w:szCs w:val="20"/>
              </w:rPr>
            </w:pPr>
            <w:r w:rsidRPr="007B2DA4">
              <w:rPr>
                <w:sz w:val="20"/>
                <w:szCs w:val="20"/>
              </w:rPr>
              <w:t>5,120</w:t>
            </w:r>
          </w:p>
        </w:tc>
      </w:tr>
      <w:tr w14:paraId="531B55FD" w14:textId="77777777" w:rsidTr="006F4EEF">
        <w:tblPrEx>
          <w:tblW w:w="4760" w:type="pct"/>
          <w:tblInd w:w="468" w:type="dxa"/>
          <w:tblLayout w:type="fixed"/>
          <w:tblLook w:val="01E0"/>
        </w:tblPrEx>
        <w:trPr>
          <w:cantSplit/>
          <w:trHeight w:val="20"/>
        </w:trPr>
        <w:tc>
          <w:tcPr>
            <w:tcW w:w="1438" w:type="pct"/>
            <w:shd w:val="clear" w:color="auto" w:fill="auto"/>
          </w:tcPr>
          <w:p w:rsidR="007B2DA4" w:rsidRPr="007B2DA4" w:rsidP="007B2DA4" w14:paraId="474062AE" w14:textId="77777777">
            <w:pPr>
              <w:rPr>
                <w:color w:val="000000"/>
                <w:sz w:val="20"/>
                <w:szCs w:val="20"/>
              </w:rPr>
            </w:pPr>
            <w:r w:rsidRPr="007B2DA4">
              <w:rPr>
                <w:color w:val="000000"/>
                <w:sz w:val="20"/>
                <w:szCs w:val="20"/>
              </w:rPr>
              <w:t>Total</w:t>
            </w:r>
          </w:p>
        </w:tc>
        <w:tc>
          <w:tcPr>
            <w:tcW w:w="719" w:type="pct"/>
            <w:shd w:val="clear" w:color="auto" w:fill="auto"/>
          </w:tcPr>
          <w:p w:rsidR="007B2DA4" w:rsidRPr="007B2DA4" w:rsidP="007B2DA4" w14:paraId="0C1697EA" w14:textId="77777777">
            <w:pPr>
              <w:jc w:val="center"/>
              <w:rPr>
                <w:sz w:val="20"/>
                <w:szCs w:val="20"/>
              </w:rPr>
            </w:pPr>
          </w:p>
        </w:tc>
        <w:tc>
          <w:tcPr>
            <w:tcW w:w="675" w:type="pct"/>
            <w:shd w:val="clear" w:color="auto" w:fill="auto"/>
          </w:tcPr>
          <w:p w:rsidR="007B2DA4" w:rsidRPr="007B2DA4" w:rsidP="007B2DA4" w14:paraId="59CE924C" w14:textId="77777777">
            <w:pPr>
              <w:jc w:val="right"/>
              <w:rPr>
                <w:bCs/>
                <w:sz w:val="20"/>
                <w:szCs w:val="20"/>
              </w:rPr>
            </w:pPr>
          </w:p>
        </w:tc>
        <w:tc>
          <w:tcPr>
            <w:tcW w:w="656" w:type="pct"/>
            <w:shd w:val="clear" w:color="auto" w:fill="auto"/>
          </w:tcPr>
          <w:p w:rsidR="007B2DA4" w:rsidRPr="007B2DA4" w:rsidP="007B2DA4" w14:paraId="64CF407A" w14:textId="77777777">
            <w:pPr>
              <w:jc w:val="right"/>
              <w:rPr>
                <w:sz w:val="20"/>
                <w:szCs w:val="20"/>
              </w:rPr>
            </w:pPr>
            <w:r w:rsidRPr="007B2DA4">
              <w:rPr>
                <w:noProof/>
                <w:sz w:val="20"/>
                <w:szCs w:val="20"/>
              </w:rPr>
              <w:t>45,625,381</w:t>
            </w:r>
          </w:p>
        </w:tc>
        <w:tc>
          <w:tcPr>
            <w:tcW w:w="908" w:type="pct"/>
            <w:shd w:val="clear" w:color="auto" w:fill="auto"/>
          </w:tcPr>
          <w:p w:rsidR="007B2DA4" w:rsidRPr="007B2DA4" w:rsidP="007B2DA4" w14:paraId="7DE98479" w14:textId="77777777">
            <w:pPr>
              <w:jc w:val="right"/>
              <w:rPr>
                <w:sz w:val="20"/>
                <w:szCs w:val="20"/>
              </w:rPr>
            </w:pPr>
          </w:p>
        </w:tc>
        <w:tc>
          <w:tcPr>
            <w:tcW w:w="605" w:type="pct"/>
            <w:shd w:val="clear" w:color="auto" w:fill="auto"/>
          </w:tcPr>
          <w:p w:rsidR="007B2DA4" w:rsidRPr="007B2DA4" w:rsidP="007B2DA4" w14:paraId="028C1557" w14:textId="77777777">
            <w:pPr>
              <w:jc w:val="right"/>
              <w:rPr>
                <w:sz w:val="20"/>
                <w:szCs w:val="20"/>
              </w:rPr>
            </w:pPr>
            <w:r w:rsidRPr="007B2DA4">
              <w:rPr>
                <w:noProof/>
                <w:sz w:val="20"/>
                <w:szCs w:val="20"/>
              </w:rPr>
              <w:t>2,053,803</w:t>
            </w:r>
          </w:p>
        </w:tc>
      </w:tr>
    </w:tbl>
    <w:bookmarkEnd w:id="0"/>
    <w:bookmarkEnd w:id="1"/>
    <w:p w:rsidR="007B2DA4" w:rsidRPr="007B2DA4" w:rsidP="006F4EEF" w14:paraId="5ABEAB45" w14:textId="77777777">
      <w:pPr>
        <w:ind w:left="540"/>
        <w:rPr>
          <w:sz w:val="20"/>
          <w:szCs w:val="20"/>
        </w:rPr>
      </w:pPr>
      <w:r w:rsidRPr="007B2DA4">
        <w:rPr>
          <w:sz w:val="20"/>
          <w:szCs w:val="20"/>
          <w:vertAlign w:val="superscript"/>
        </w:rPr>
        <w:t>1</w:t>
      </w:r>
      <w:r w:rsidRPr="007B2DA4">
        <w:rPr>
          <w:sz w:val="20"/>
          <w:szCs w:val="20"/>
        </w:rPr>
        <w:t xml:space="preserve"> There are no capital costs or operating and maintenance costs associated with this collection of information.</w:t>
      </w:r>
    </w:p>
    <w:p w:rsidR="0019355B" w:rsidP="0019355B" w14:paraId="5D236907" w14:textId="77777777">
      <w:pPr>
        <w:ind w:left="540"/>
        <w:rPr>
          <w:sz w:val="20"/>
          <w:szCs w:val="20"/>
        </w:rPr>
      </w:pPr>
      <w:r w:rsidRPr="007B2DA4">
        <w:rPr>
          <w:sz w:val="20"/>
          <w:szCs w:val="20"/>
          <w:vertAlign w:val="superscript"/>
        </w:rPr>
        <w:t>2</w:t>
      </w:r>
      <w:r w:rsidRPr="007B2DA4">
        <w:rPr>
          <w:sz w:val="20"/>
          <w:szCs w:val="20"/>
        </w:rPr>
        <w:t xml:space="preserve"> Numbers have been rounded to reflect electronic submission data.</w:t>
      </w:r>
    </w:p>
    <w:p w:rsidR="0019355B" w:rsidP="0019355B" w14:paraId="1FC3308E" w14:textId="77777777">
      <w:pPr>
        <w:ind w:left="540"/>
        <w:rPr>
          <w:sz w:val="20"/>
          <w:szCs w:val="20"/>
        </w:rPr>
      </w:pPr>
    </w:p>
    <w:p w:rsidR="0019355B" w:rsidP="0019355B" w14:paraId="5E2FB8A9" w14:textId="77777777">
      <w:pPr>
        <w:ind w:left="540"/>
        <w:rPr>
          <w:szCs w:val="20"/>
        </w:rPr>
      </w:pPr>
      <w:r w:rsidRPr="007B2DA4">
        <w:rPr>
          <w:szCs w:val="20"/>
        </w:rPr>
        <w:t>Table 1, rows 1 and 2, reflects annual average filing submissions through December 31, 2022.  An IOR may be the owner or purchaser of the article being imported or offered for import, or a customs broker licensed by CBP under 19 U.S.C. 1641 who has been designated by the owner, purchaser, or consignee to file the import entry.  There is only one IOR per entry.</w:t>
      </w:r>
    </w:p>
    <w:p w:rsidR="0019355B" w:rsidP="0019355B" w14:paraId="19FA1493" w14:textId="77777777">
      <w:pPr>
        <w:ind w:left="540"/>
        <w:rPr>
          <w:szCs w:val="20"/>
        </w:rPr>
      </w:pPr>
    </w:p>
    <w:p w:rsidR="0019355B" w:rsidP="0019355B" w14:paraId="3103448F" w14:textId="77777777">
      <w:pPr>
        <w:ind w:left="540"/>
        <w:rPr>
          <w:sz w:val="20"/>
          <w:szCs w:val="20"/>
        </w:rPr>
      </w:pPr>
      <w:r w:rsidRPr="007B2DA4">
        <w:rPr>
          <w:szCs w:val="20"/>
        </w:rPr>
        <w:t>As reflected in table 1, row 3, we estimate 10 respondents will submit WEFs.  Persons wishing to file weekly entries of FDA-regulated products are encouraged to provide the information identified so that FDA can conduct a preliminary admissibility assessment of the associated products and firms.  This submission typically contains the information FDA requests for multiple products (i.e., the respondent wishes to file weekly entries for multiple products and submits the information for each product together).  Generally, submissions involving multiple products are significantly less burdensome on a per-product basis.  Depending on the product and scale of submission, this estimated burden may fluctuate.  Filers submitting in ACE typically use software that is developed to specifically automate and expedite the entry submission process and allows filers to automatically upload entry information.  While the WEF submission includes an initial one-time submission burden, we expect reduced burden over a long term because filers can subsequently submit one entry covering multiple withdrawals from the FTZ in any given 7-day period.</w:t>
      </w:r>
    </w:p>
    <w:p w:rsidR="0019355B" w:rsidP="0019355B" w14:paraId="2E5D6103" w14:textId="77777777">
      <w:pPr>
        <w:ind w:left="540"/>
        <w:rPr>
          <w:sz w:val="20"/>
          <w:szCs w:val="20"/>
        </w:rPr>
      </w:pPr>
    </w:p>
    <w:p w:rsidR="0019355B" w:rsidP="0019355B" w14:paraId="57859094" w14:textId="77777777">
      <w:pPr>
        <w:ind w:left="540"/>
        <w:rPr>
          <w:sz w:val="20"/>
          <w:szCs w:val="20"/>
        </w:rPr>
      </w:pPr>
      <w:r w:rsidRPr="007B2DA4">
        <w:rPr>
          <w:szCs w:val="20"/>
        </w:rPr>
        <w:t>As reflected in table 1, row 4, we estimate that 500 new ITACS accounts will be created annually.  Since developing and implementing ITACS, we have adjusted this estimate downward to reflect the transition from initial program interest to average annual maintenance-level numbers.</w:t>
      </w:r>
    </w:p>
    <w:p w:rsidR="0019355B" w:rsidP="0019355B" w14:paraId="6DDEDDED" w14:textId="77777777">
      <w:pPr>
        <w:ind w:left="540"/>
        <w:rPr>
          <w:sz w:val="20"/>
          <w:szCs w:val="20"/>
        </w:rPr>
      </w:pPr>
    </w:p>
    <w:p w:rsidR="0019355B" w:rsidP="0019355B" w14:paraId="112B278E" w14:textId="77777777">
      <w:pPr>
        <w:ind w:left="540"/>
        <w:rPr>
          <w:sz w:val="20"/>
          <w:szCs w:val="20"/>
        </w:rPr>
      </w:pPr>
      <w:r w:rsidRPr="007B2DA4">
        <w:rPr>
          <w:szCs w:val="20"/>
        </w:rPr>
        <w:t>As reflected in table 1, row 5, we estimate the submission of 324 Forms FDA 766 in conjunction with FDA-regulated products.  This figure is based on Agency import data and our experience with the information collection.  We assume it takes respondents 15 minutes to complete and submit Form FDA 766.  Although current instructions communicate that four copies be submitted (one copy to be returned to respondent), we plan to update the form to reduce this number.</w:t>
      </w:r>
    </w:p>
    <w:p w:rsidR="0019355B" w:rsidP="0019355B" w14:paraId="6FFA3521" w14:textId="77777777">
      <w:pPr>
        <w:ind w:left="540"/>
        <w:rPr>
          <w:sz w:val="20"/>
          <w:szCs w:val="20"/>
        </w:rPr>
      </w:pPr>
    </w:p>
    <w:p w:rsidR="0019355B" w:rsidP="0019355B" w14:paraId="543E4F0D" w14:textId="77777777">
      <w:pPr>
        <w:ind w:left="540"/>
        <w:rPr>
          <w:sz w:val="20"/>
          <w:szCs w:val="20"/>
        </w:rPr>
      </w:pPr>
      <w:r w:rsidRPr="007B2DA4">
        <w:rPr>
          <w:szCs w:val="20"/>
        </w:rPr>
        <w:t xml:space="preserve">Based on inquiries already received and processed by FDA, we anticipate 1,000 respondents will annually submit Form 5054 pertaining to general drug import information, as reflected in table 1, row 6. </w:t>
      </w:r>
    </w:p>
    <w:p w:rsidR="0019355B" w:rsidP="0019355B" w14:paraId="39907766" w14:textId="77777777">
      <w:pPr>
        <w:ind w:left="540"/>
        <w:rPr>
          <w:sz w:val="20"/>
          <w:szCs w:val="20"/>
        </w:rPr>
      </w:pPr>
    </w:p>
    <w:p w:rsidR="00010913" w:rsidP="00010913" w14:paraId="2A5AA6D0" w14:textId="77777777">
      <w:pPr>
        <w:ind w:left="540"/>
        <w:rPr>
          <w:szCs w:val="20"/>
        </w:rPr>
      </w:pPr>
      <w:r w:rsidRPr="007B2DA4">
        <w:rPr>
          <w:szCs w:val="20"/>
        </w:rPr>
        <w:t>As shown in table 1, row 7, we estimate 80 respondents to the PLAIR program annually, an increase of 10 since our last evaluation of the information collection.  At the same time, we estimate one fewer submission per respondent to correspond with a decrease in submissions received by FDA.</w:t>
      </w:r>
    </w:p>
    <w:p w:rsidR="00010913" w:rsidP="00010913" w14:paraId="391664C4" w14:textId="77777777">
      <w:pPr>
        <w:ind w:left="540"/>
        <w:rPr>
          <w:i/>
        </w:rPr>
      </w:pPr>
    </w:p>
    <w:p w:rsidR="00010913" w:rsidP="00010913" w14:paraId="30D60F9B" w14:textId="77777777">
      <w:pPr>
        <w:ind w:left="540"/>
        <w:rPr>
          <w:i/>
        </w:rPr>
      </w:pPr>
      <w:r>
        <w:rPr>
          <w:i/>
        </w:rPr>
        <w:t>12</w:t>
      </w:r>
      <w:r w:rsidRPr="007213A7" w:rsidR="00A93ED9">
        <w:rPr>
          <w:i/>
        </w:rPr>
        <w:t xml:space="preserve">b. </w:t>
      </w:r>
      <w:r w:rsidRPr="007213A7" w:rsidR="00411D11">
        <w:rPr>
          <w:i/>
        </w:rPr>
        <w:t>Annualized Cost Burden Estimate</w:t>
      </w:r>
    </w:p>
    <w:p w:rsidR="00010913" w:rsidP="00010913" w14:paraId="64BD894D" w14:textId="77777777">
      <w:pPr>
        <w:ind w:left="540"/>
        <w:rPr>
          <w:i/>
        </w:rPr>
      </w:pPr>
    </w:p>
    <w:p w:rsidR="006459FA" w:rsidRPr="00010913" w:rsidP="00010913" w14:paraId="5A5F76BD" w14:textId="1F218A26">
      <w:pPr>
        <w:ind w:left="540"/>
        <w:rPr>
          <w:szCs w:val="20"/>
        </w:rPr>
      </w:pPr>
      <w:r w:rsidRPr="006459FA">
        <w:t xml:space="preserve">The total estimated cost burden for this collection of information is based upon performing a similar position in the government as private industry.  The cost to respondents is estimated to approach the hourly cost of a GS-10, step 5 worker, or $31 per hour.  Therefore, the cost associated with this collection is </w:t>
      </w:r>
      <w:r w:rsidR="007213A7">
        <w:rPr>
          <w:color w:val="7030A0"/>
        </w:rPr>
        <w:t>$</w:t>
      </w:r>
      <w:r w:rsidRPr="007213A7" w:rsidR="007213A7">
        <w:t xml:space="preserve"> </w:t>
      </w:r>
      <w:r w:rsidRPr="007213A7" w:rsidR="007213A7">
        <w:rPr>
          <w:color w:val="7030A0"/>
        </w:rPr>
        <w:t>59,398,604</w:t>
      </w:r>
      <w:r w:rsidR="007213A7">
        <w:rPr>
          <w:color w:val="7030A0"/>
        </w:rPr>
        <w:t>.</w:t>
      </w:r>
    </w:p>
    <w:p w:rsidR="003740BC" w:rsidP="007213A7" w14:paraId="1B5B0A80" w14:textId="77777777">
      <w:pPr>
        <w:pStyle w:val="BodyText2"/>
        <w:ind w:left="720"/>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6"/>
        <w:gridCol w:w="1785"/>
        <w:gridCol w:w="2360"/>
        <w:gridCol w:w="2529"/>
      </w:tblGrid>
      <w:tr w14:paraId="2F5AAD82" w14:textId="77777777" w:rsidTr="00010913">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47"/>
        </w:trPr>
        <w:tc>
          <w:tcPr>
            <w:tcW w:w="2340" w:type="dxa"/>
            <w:shd w:val="clear" w:color="auto" w:fill="auto"/>
          </w:tcPr>
          <w:p w:rsidR="003740BC" w:rsidRPr="00010913" w:rsidP="008022CC" w14:paraId="0EAEA22D" w14:textId="77777777">
            <w:pPr>
              <w:jc w:val="center"/>
              <w:rPr>
                <w:sz w:val="22"/>
                <w:szCs w:val="22"/>
              </w:rPr>
            </w:pPr>
            <w:r w:rsidRPr="00010913">
              <w:rPr>
                <w:sz w:val="22"/>
                <w:szCs w:val="22"/>
              </w:rPr>
              <w:t>Type of Respondent</w:t>
            </w:r>
          </w:p>
        </w:tc>
        <w:tc>
          <w:tcPr>
            <w:tcW w:w="1800" w:type="dxa"/>
            <w:shd w:val="clear" w:color="auto" w:fill="auto"/>
          </w:tcPr>
          <w:p w:rsidR="003740BC" w:rsidRPr="00010913" w:rsidP="008022CC" w14:paraId="5C904B5F" w14:textId="77777777">
            <w:pPr>
              <w:jc w:val="center"/>
              <w:rPr>
                <w:sz w:val="22"/>
                <w:szCs w:val="22"/>
              </w:rPr>
            </w:pPr>
            <w:r w:rsidRPr="00010913">
              <w:rPr>
                <w:sz w:val="22"/>
                <w:szCs w:val="22"/>
              </w:rPr>
              <w:t>Total Burden Hours</w:t>
            </w:r>
          </w:p>
        </w:tc>
        <w:tc>
          <w:tcPr>
            <w:tcW w:w="2394" w:type="dxa"/>
            <w:shd w:val="clear" w:color="auto" w:fill="auto"/>
          </w:tcPr>
          <w:p w:rsidR="003740BC" w:rsidRPr="00010913" w:rsidP="008022CC" w14:paraId="26A8701A" w14:textId="77777777">
            <w:pPr>
              <w:jc w:val="center"/>
              <w:rPr>
                <w:sz w:val="22"/>
                <w:szCs w:val="22"/>
              </w:rPr>
            </w:pPr>
            <w:r w:rsidRPr="00010913">
              <w:rPr>
                <w:sz w:val="22"/>
                <w:szCs w:val="22"/>
              </w:rPr>
              <w:t>Hourly Wage Rate</w:t>
            </w:r>
          </w:p>
        </w:tc>
        <w:tc>
          <w:tcPr>
            <w:tcW w:w="2556" w:type="dxa"/>
            <w:shd w:val="clear" w:color="auto" w:fill="auto"/>
          </w:tcPr>
          <w:p w:rsidR="003740BC" w:rsidRPr="00010913" w:rsidP="008022CC" w14:paraId="26E16133" w14:textId="77777777">
            <w:pPr>
              <w:jc w:val="center"/>
              <w:rPr>
                <w:sz w:val="22"/>
                <w:szCs w:val="22"/>
              </w:rPr>
            </w:pPr>
            <w:r w:rsidRPr="00010913">
              <w:rPr>
                <w:sz w:val="22"/>
                <w:szCs w:val="22"/>
              </w:rPr>
              <w:t>Total Respondent Costs</w:t>
            </w:r>
          </w:p>
        </w:tc>
      </w:tr>
      <w:tr w14:paraId="3BF4F935" w14:textId="77777777" w:rsidTr="00010913">
        <w:tblPrEx>
          <w:tblW w:w="0" w:type="auto"/>
          <w:tblInd w:w="648" w:type="dxa"/>
          <w:tblLook w:val="01E0"/>
        </w:tblPrEx>
        <w:tc>
          <w:tcPr>
            <w:tcW w:w="2340" w:type="dxa"/>
            <w:shd w:val="clear" w:color="auto" w:fill="auto"/>
          </w:tcPr>
          <w:p w:rsidR="003740BC" w:rsidRPr="00010913" w:rsidP="008022CC" w14:paraId="44BF0EBF" w14:textId="77777777">
            <w:pPr>
              <w:jc w:val="center"/>
              <w:rPr>
                <w:sz w:val="22"/>
                <w:szCs w:val="22"/>
              </w:rPr>
            </w:pPr>
            <w:r w:rsidRPr="00010913">
              <w:rPr>
                <w:sz w:val="22"/>
                <w:szCs w:val="22"/>
              </w:rPr>
              <w:t>Industry Analyst</w:t>
            </w:r>
          </w:p>
        </w:tc>
        <w:tc>
          <w:tcPr>
            <w:tcW w:w="1800" w:type="dxa"/>
            <w:shd w:val="clear" w:color="auto" w:fill="auto"/>
          </w:tcPr>
          <w:p w:rsidR="003740BC" w:rsidRPr="00010913" w:rsidP="008022CC" w14:paraId="70A589E7" w14:textId="78FC78C9">
            <w:pPr>
              <w:jc w:val="center"/>
              <w:rPr>
                <w:sz w:val="22"/>
                <w:szCs w:val="22"/>
              </w:rPr>
            </w:pPr>
            <w:r>
              <w:rPr>
                <w:sz w:val="22"/>
                <w:szCs w:val="22"/>
              </w:rPr>
              <w:t>2,053,803</w:t>
            </w:r>
          </w:p>
        </w:tc>
        <w:tc>
          <w:tcPr>
            <w:tcW w:w="2394" w:type="dxa"/>
            <w:shd w:val="clear" w:color="auto" w:fill="auto"/>
          </w:tcPr>
          <w:p w:rsidR="003740BC" w:rsidRPr="00010913" w:rsidP="008022CC" w14:paraId="19A85EED" w14:textId="77777777">
            <w:pPr>
              <w:jc w:val="center"/>
              <w:rPr>
                <w:sz w:val="22"/>
                <w:szCs w:val="22"/>
              </w:rPr>
            </w:pPr>
            <w:r w:rsidRPr="00010913">
              <w:rPr>
                <w:sz w:val="22"/>
                <w:szCs w:val="22"/>
              </w:rPr>
              <w:t>$31.00</w:t>
            </w:r>
          </w:p>
        </w:tc>
        <w:tc>
          <w:tcPr>
            <w:tcW w:w="2556" w:type="dxa"/>
            <w:shd w:val="clear" w:color="auto" w:fill="auto"/>
          </w:tcPr>
          <w:p w:rsidR="003740BC" w:rsidRPr="00010913" w:rsidP="008022CC" w14:paraId="6B4E7540" w14:textId="28C7F33E">
            <w:pPr>
              <w:jc w:val="center"/>
              <w:rPr>
                <w:sz w:val="22"/>
                <w:szCs w:val="22"/>
              </w:rPr>
            </w:pPr>
            <w:r w:rsidRPr="00010913">
              <w:rPr>
                <w:sz w:val="22"/>
                <w:szCs w:val="22"/>
              </w:rPr>
              <w:t>$</w:t>
            </w:r>
            <w:r w:rsidRPr="008022CC" w:rsidR="008022CC">
              <w:rPr>
                <w:sz w:val="22"/>
                <w:szCs w:val="22"/>
              </w:rPr>
              <w:t>63,667,893</w:t>
            </w:r>
          </w:p>
        </w:tc>
      </w:tr>
    </w:tbl>
    <w:p w:rsidR="004C6979" w:rsidRPr="004C6979" w:rsidP="007213A7" w14:paraId="400941E4" w14:textId="77777777">
      <w:pPr>
        <w:numPr>
          <w:ilvl w:val="0"/>
          <w:numId w:val="1"/>
        </w:numPr>
        <w:tabs>
          <w:tab w:val="clear" w:pos="720"/>
        </w:tabs>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495B89" w:rsidP="007213A7" w14:paraId="3E31A74A" w14:textId="77777777">
      <w:pPr>
        <w:ind w:left="720"/>
      </w:pPr>
      <w:r>
        <w:t>There are no capital, start-up, operating or maintenance costs associated with this information collection.</w:t>
      </w:r>
    </w:p>
    <w:p w:rsidR="004C6979" w:rsidRPr="004C6979" w:rsidP="007213A7" w14:paraId="11EB8519" w14:textId="77777777">
      <w:pPr>
        <w:numPr>
          <w:ilvl w:val="0"/>
          <w:numId w:val="1"/>
        </w:numPr>
        <w:tabs>
          <w:tab w:val="clear" w:pos="720"/>
        </w:tabs>
        <w:spacing w:before="100" w:beforeAutospacing="1" w:after="100" w:afterAutospacing="1"/>
        <w:rPr>
          <w:u w:val="single"/>
        </w:rPr>
      </w:pPr>
      <w:r w:rsidRPr="004C6979">
        <w:rPr>
          <w:u w:val="single"/>
        </w:rPr>
        <w:t>Annualized Cost to the Federal Government</w:t>
      </w:r>
    </w:p>
    <w:p w:rsidR="00495B89" w:rsidP="007213A7" w14:paraId="135DC0F0" w14:textId="1013BB48">
      <w:pPr>
        <w:spacing w:before="120"/>
        <w:ind w:left="720"/>
      </w:pPr>
      <w:r>
        <w:t xml:space="preserve">We </w:t>
      </w:r>
      <w:r w:rsidR="008022CC">
        <w:t xml:space="preserve">calculate </w:t>
      </w:r>
      <w:r>
        <w:t>annual cost</w:t>
      </w:r>
      <w:r w:rsidR="008022CC">
        <w:t>s</w:t>
      </w:r>
      <w:r>
        <w:t xml:space="preserve"> to the Federal government </w:t>
      </w:r>
      <w:r w:rsidR="00F55A24">
        <w:t xml:space="preserve">to be </w:t>
      </w:r>
      <w:r>
        <w:t>$38,750,000 to reflect the allocation of 155 FTE’s, assuming a loaded cost of $250,000 per employee.</w:t>
      </w:r>
    </w:p>
    <w:p w:rsidR="004F7DBF" w:rsidRPr="004F7DBF" w:rsidP="004F7DBF" w14:paraId="0EBF7B27" w14:textId="77777777">
      <w:pPr>
        <w:numPr>
          <w:ilvl w:val="0"/>
          <w:numId w:val="1"/>
        </w:numPr>
        <w:tabs>
          <w:tab w:val="clear" w:pos="720"/>
        </w:tabs>
        <w:spacing w:before="100" w:beforeAutospacing="1" w:after="100" w:afterAutospacing="1"/>
        <w:rPr>
          <w:u w:val="single"/>
        </w:rPr>
      </w:pPr>
      <w:r w:rsidRPr="004C6979">
        <w:rPr>
          <w:u w:val="single"/>
        </w:rPr>
        <w:t>Explanation for Program Changes or</w:t>
      </w:r>
      <w:r w:rsidRPr="00F55A24">
        <w:rPr>
          <w:u w:val="single"/>
        </w:rPr>
        <w:t xml:space="preserve"> Adjustments</w:t>
      </w:r>
    </w:p>
    <w:p w:rsidR="00612B51" w:rsidRPr="00612B51" w:rsidP="004F7DBF" w14:paraId="62E430FA" w14:textId="4130810A">
      <w:pPr>
        <w:spacing w:before="100" w:beforeAutospacing="1" w:after="100" w:afterAutospacing="1"/>
        <w:ind w:left="720"/>
      </w:pPr>
      <w:r>
        <w:t xml:space="preserve">We are revising the information </w:t>
      </w:r>
      <w:r w:rsidR="00EC012B">
        <w:t xml:space="preserve">collection </w:t>
      </w:r>
      <w:r>
        <w:t>to add new forms</w:t>
      </w:r>
      <w:r w:rsidR="00EC012B">
        <w:t xml:space="preserve"> for certain drug import activities</w:t>
      </w:r>
      <w:r>
        <w:t xml:space="preserve">.  Also, we note an inadvertent error in our burden table denoting the </w:t>
      </w:r>
      <w:r w:rsidR="00686D29">
        <w:t xml:space="preserve">number of new </w:t>
      </w:r>
      <w:r w:rsidR="00EC012B">
        <w:t xml:space="preserve">ITACS </w:t>
      </w:r>
      <w:r w:rsidR="00686D29">
        <w:t xml:space="preserve">accounts </w:t>
      </w:r>
      <w:r w:rsidR="00EC012B">
        <w:t xml:space="preserve">created </w:t>
      </w:r>
      <w:r w:rsidR="00686D29">
        <w:t>annually.</w:t>
      </w:r>
      <w:r w:rsidR="008B76F6">
        <w:t xml:space="preserve">  Finally, in response to public comment, we adjusted </w:t>
      </w:r>
      <w:r w:rsidR="00C70D60">
        <w:t xml:space="preserve">our estimate as discussed in Q-8 above.  </w:t>
      </w:r>
      <w:r w:rsidRPr="00363087" w:rsidR="00363087">
        <w:t xml:space="preserve">Cumulatively these changes and adjustments result in an increase of 3,067,493 responses and </w:t>
      </w:r>
      <w:r w:rsidR="008B76F6">
        <w:t xml:space="preserve">161,161 </w:t>
      </w:r>
      <w:r w:rsidRPr="00363087" w:rsidR="00363087">
        <w:t>hours annually.</w:t>
      </w:r>
    </w:p>
    <w:p w:rsidR="004C6979" w:rsidRPr="004C6979" w:rsidP="007213A7" w14:paraId="6737CE4B" w14:textId="77777777">
      <w:pPr>
        <w:numPr>
          <w:ilvl w:val="0"/>
          <w:numId w:val="1"/>
        </w:numPr>
        <w:tabs>
          <w:tab w:val="clear" w:pos="720"/>
        </w:tabs>
        <w:spacing w:before="100" w:beforeAutospacing="1" w:after="100" w:afterAutospacing="1"/>
        <w:rPr>
          <w:u w:val="single"/>
        </w:rPr>
      </w:pPr>
      <w:r w:rsidRPr="004C6979">
        <w:rPr>
          <w:u w:val="single"/>
        </w:rPr>
        <w:t>Plans for Tabulation and Publication and Project Time Schedule</w:t>
      </w:r>
    </w:p>
    <w:p w:rsidR="00495B89" w:rsidRPr="0019500C" w:rsidP="007213A7" w14:paraId="62F20D87" w14:textId="77777777">
      <w:pPr>
        <w:spacing w:before="240"/>
        <w:ind w:left="720"/>
      </w:pPr>
      <w:r w:rsidRPr="0019500C">
        <w:t>No tabulation of the data is planned or anticipated</w:t>
      </w:r>
      <w:r w:rsidR="001D0E3D">
        <w:t xml:space="preserve">, however general information regarding FDA import activities may be found at </w:t>
      </w:r>
      <w:hyperlink r:id="rId11" w:history="1">
        <w:r w:rsidRPr="00F17072" w:rsidR="001D0E3D">
          <w:rPr>
            <w:rStyle w:val="Hyperlink"/>
          </w:rPr>
          <w:t>https://www.fda.gov/industry/import-program-food-and-drug-administration-fda</w:t>
        </w:r>
      </w:hyperlink>
      <w:r w:rsidR="001D0E3D">
        <w:t>.</w:t>
      </w:r>
      <w:r w:rsidR="003350D4">
        <w:t xml:space="preserve"> </w:t>
      </w:r>
    </w:p>
    <w:p w:rsidR="004C6979" w:rsidRPr="004C6979" w:rsidP="007213A7" w14:paraId="7AFDDEAA" w14:textId="77777777">
      <w:pPr>
        <w:numPr>
          <w:ilvl w:val="0"/>
          <w:numId w:val="1"/>
        </w:numPr>
        <w:tabs>
          <w:tab w:val="clear" w:pos="720"/>
        </w:tabs>
        <w:spacing w:before="100" w:beforeAutospacing="1" w:after="100" w:afterAutospacing="1"/>
        <w:rPr>
          <w:u w:val="single"/>
        </w:rPr>
      </w:pPr>
      <w:r w:rsidRPr="004C6979">
        <w:rPr>
          <w:u w:val="single"/>
        </w:rPr>
        <w:t>Reason(s) Display of OMB Expiration Date is Inappropriate</w:t>
      </w:r>
    </w:p>
    <w:p w:rsidR="00495B89" w:rsidRPr="0019500C" w:rsidP="007213A7" w14:paraId="78540BCD" w14:textId="77777777">
      <w:pPr>
        <w:spacing w:before="240"/>
        <w:ind w:left="720"/>
      </w:pPr>
      <w:r>
        <w:t>Display of the OMB expiration date is appropriate.</w:t>
      </w:r>
      <w:r w:rsidRPr="0019500C">
        <w:t xml:space="preserve"> </w:t>
      </w:r>
    </w:p>
    <w:p w:rsidR="00EB7538" w:rsidP="007213A7" w14:paraId="4B55B4FA" w14:textId="77777777">
      <w:pPr>
        <w:numPr>
          <w:ilvl w:val="0"/>
          <w:numId w:val="1"/>
        </w:numPr>
        <w:tabs>
          <w:tab w:val="clear" w:pos="720"/>
        </w:tabs>
        <w:spacing w:before="100" w:beforeAutospacing="1" w:after="100" w:afterAutospacing="1"/>
        <w:rPr>
          <w:u w:val="single"/>
        </w:rPr>
      </w:pPr>
      <w:r w:rsidRPr="004C6979">
        <w:rPr>
          <w:u w:val="single"/>
        </w:rPr>
        <w:t>Exceptions to Certification for Paperwork Reduction Act Submissions</w:t>
      </w:r>
    </w:p>
    <w:p w:rsidR="002746DB" w:rsidRPr="004F7DBF" w:rsidP="004F7DBF" w14:paraId="320CBE40" w14:textId="77777777">
      <w:pPr>
        <w:spacing w:before="148"/>
        <w:ind w:left="540"/>
      </w:pPr>
      <w:r w:rsidRPr="0019500C">
        <w:t>There are no exceptions to the certification.</w:t>
      </w:r>
    </w:p>
    <w:sectPr w:rsidSect="006F4EEF">
      <w:footerReference w:type="even" r:id="rId12"/>
      <w:footerReference w:type="default" r:id="rId13"/>
      <w:pgSz w:w="12240" w:h="15840" w:code="1"/>
      <w:pgMar w:top="1440" w:right="1440" w:bottom="1440"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8C969C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11ED0A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05F31F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3E40">
      <w:rPr>
        <w:rStyle w:val="PageNumber"/>
        <w:noProof/>
      </w:rPr>
      <w:t>1</w:t>
    </w:r>
    <w:r>
      <w:rPr>
        <w:rStyle w:val="PageNumber"/>
      </w:rPr>
      <w:fldChar w:fldCharType="end"/>
    </w:r>
  </w:p>
  <w:p w:rsidR="00E63DE5" w14:paraId="2F0D300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C1B2789"/>
    <w:multiLevelType w:val="hybridMultilevel"/>
    <w:tmpl w:val="EC0E92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7">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844322956">
    <w:abstractNumId w:val="10"/>
  </w:num>
  <w:num w:numId="2" w16cid:durableId="450830126">
    <w:abstractNumId w:val="16"/>
  </w:num>
  <w:num w:numId="3" w16cid:durableId="167117582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355737564">
    <w:abstractNumId w:val="21"/>
  </w:num>
  <w:num w:numId="5" w16cid:durableId="1608082154">
    <w:abstractNumId w:val="7"/>
  </w:num>
  <w:num w:numId="6" w16cid:durableId="1925605635">
    <w:abstractNumId w:val="23"/>
  </w:num>
  <w:num w:numId="7" w16cid:durableId="1581017577">
    <w:abstractNumId w:val="28"/>
  </w:num>
  <w:num w:numId="8" w16cid:durableId="1678385150">
    <w:abstractNumId w:val="4"/>
  </w:num>
  <w:num w:numId="9" w16cid:durableId="46538950">
    <w:abstractNumId w:val="24"/>
  </w:num>
  <w:num w:numId="10" w16cid:durableId="286131790">
    <w:abstractNumId w:val="20"/>
  </w:num>
  <w:num w:numId="11" w16cid:durableId="265500312">
    <w:abstractNumId w:val="9"/>
  </w:num>
  <w:num w:numId="12" w16cid:durableId="761143741">
    <w:abstractNumId w:val="31"/>
  </w:num>
  <w:num w:numId="13" w16cid:durableId="165943494">
    <w:abstractNumId w:val="19"/>
  </w:num>
  <w:num w:numId="14" w16cid:durableId="445005521">
    <w:abstractNumId w:val="8"/>
  </w:num>
  <w:num w:numId="15" w16cid:durableId="223175793">
    <w:abstractNumId w:val="15"/>
  </w:num>
  <w:num w:numId="16" w16cid:durableId="53355905">
    <w:abstractNumId w:val="14"/>
  </w:num>
  <w:num w:numId="17" w16cid:durableId="2061590475">
    <w:abstractNumId w:val="27"/>
  </w:num>
  <w:num w:numId="18" w16cid:durableId="796415264">
    <w:abstractNumId w:val="30"/>
  </w:num>
  <w:num w:numId="19" w16cid:durableId="121851895">
    <w:abstractNumId w:val="29"/>
  </w:num>
  <w:num w:numId="20" w16cid:durableId="1816408328">
    <w:abstractNumId w:val="18"/>
  </w:num>
  <w:num w:numId="21" w16cid:durableId="778837459">
    <w:abstractNumId w:val="13"/>
  </w:num>
  <w:num w:numId="22" w16cid:durableId="1858545550">
    <w:abstractNumId w:val="3"/>
  </w:num>
  <w:num w:numId="23" w16cid:durableId="479034095">
    <w:abstractNumId w:val="25"/>
  </w:num>
  <w:num w:numId="24" w16cid:durableId="128211411">
    <w:abstractNumId w:val="22"/>
  </w:num>
  <w:num w:numId="25" w16cid:durableId="1031150933">
    <w:abstractNumId w:val="11"/>
  </w:num>
  <w:num w:numId="26" w16cid:durableId="1893686756">
    <w:abstractNumId w:val="6"/>
  </w:num>
  <w:num w:numId="27" w16cid:durableId="1317225129">
    <w:abstractNumId w:val="32"/>
  </w:num>
  <w:num w:numId="28" w16cid:durableId="401950595">
    <w:abstractNumId w:val="26"/>
  </w:num>
  <w:num w:numId="29" w16cid:durableId="862747531">
    <w:abstractNumId w:val="5"/>
  </w:num>
  <w:num w:numId="30" w16cid:durableId="1481657444">
    <w:abstractNumId w:val="17"/>
  </w:num>
  <w:num w:numId="31" w16cid:durableId="1751582700">
    <w:abstractNumId w:val="2"/>
  </w:num>
  <w:num w:numId="32" w16cid:durableId="174539105">
    <w:abstractNumId w:val="1"/>
  </w:num>
  <w:num w:numId="33" w16cid:durableId="2005487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doNotDisplayPageBoundarie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66C"/>
    <w:rsid w:val="00010913"/>
    <w:rsid w:val="000227CA"/>
    <w:rsid w:val="00042381"/>
    <w:rsid w:val="0005483D"/>
    <w:rsid w:val="0006570F"/>
    <w:rsid w:val="000B62E9"/>
    <w:rsid w:val="000C0429"/>
    <w:rsid w:val="000C560C"/>
    <w:rsid w:val="000D48FD"/>
    <w:rsid w:val="000E1C64"/>
    <w:rsid w:val="000F2FA0"/>
    <w:rsid w:val="000F7119"/>
    <w:rsid w:val="00100739"/>
    <w:rsid w:val="00105B94"/>
    <w:rsid w:val="00107885"/>
    <w:rsid w:val="00114FC4"/>
    <w:rsid w:val="0012329C"/>
    <w:rsid w:val="00127223"/>
    <w:rsid w:val="00134FA7"/>
    <w:rsid w:val="00137950"/>
    <w:rsid w:val="001417B6"/>
    <w:rsid w:val="00152F29"/>
    <w:rsid w:val="0017605A"/>
    <w:rsid w:val="00185270"/>
    <w:rsid w:val="0019355B"/>
    <w:rsid w:val="0019500C"/>
    <w:rsid w:val="001A3B5A"/>
    <w:rsid w:val="001B7CE9"/>
    <w:rsid w:val="001D0E3D"/>
    <w:rsid w:val="001D495A"/>
    <w:rsid w:val="001E244C"/>
    <w:rsid w:val="001F1437"/>
    <w:rsid w:val="001F1AA1"/>
    <w:rsid w:val="00212460"/>
    <w:rsid w:val="002259EF"/>
    <w:rsid w:val="00242ED1"/>
    <w:rsid w:val="00254069"/>
    <w:rsid w:val="002734E5"/>
    <w:rsid w:val="002746DB"/>
    <w:rsid w:val="00280CAF"/>
    <w:rsid w:val="00282F09"/>
    <w:rsid w:val="00284CA3"/>
    <w:rsid w:val="002940C7"/>
    <w:rsid w:val="002A1210"/>
    <w:rsid w:val="002D14D8"/>
    <w:rsid w:val="002D4799"/>
    <w:rsid w:val="002E3FA4"/>
    <w:rsid w:val="002F08F9"/>
    <w:rsid w:val="003113FF"/>
    <w:rsid w:val="00313D01"/>
    <w:rsid w:val="0032277F"/>
    <w:rsid w:val="00332D59"/>
    <w:rsid w:val="00333983"/>
    <w:rsid w:val="003350D4"/>
    <w:rsid w:val="00350523"/>
    <w:rsid w:val="00363087"/>
    <w:rsid w:val="003740BC"/>
    <w:rsid w:val="003801A3"/>
    <w:rsid w:val="00383D90"/>
    <w:rsid w:val="003B42B3"/>
    <w:rsid w:val="003B5722"/>
    <w:rsid w:val="003B6384"/>
    <w:rsid w:val="003C18A7"/>
    <w:rsid w:val="003C4EBB"/>
    <w:rsid w:val="003C60D0"/>
    <w:rsid w:val="003D1531"/>
    <w:rsid w:val="003E2101"/>
    <w:rsid w:val="003E4EC6"/>
    <w:rsid w:val="003E527E"/>
    <w:rsid w:val="003E553E"/>
    <w:rsid w:val="003E7078"/>
    <w:rsid w:val="003F3DF5"/>
    <w:rsid w:val="00411D11"/>
    <w:rsid w:val="00415E23"/>
    <w:rsid w:val="0041670D"/>
    <w:rsid w:val="0042067A"/>
    <w:rsid w:val="00424061"/>
    <w:rsid w:val="00442A3C"/>
    <w:rsid w:val="00443969"/>
    <w:rsid w:val="00447D74"/>
    <w:rsid w:val="00450A74"/>
    <w:rsid w:val="004546BF"/>
    <w:rsid w:val="00465350"/>
    <w:rsid w:val="004846BF"/>
    <w:rsid w:val="00495B89"/>
    <w:rsid w:val="004A3F97"/>
    <w:rsid w:val="004B44DF"/>
    <w:rsid w:val="004C6979"/>
    <w:rsid w:val="004D339E"/>
    <w:rsid w:val="004D3E7A"/>
    <w:rsid w:val="004D6A28"/>
    <w:rsid w:val="004E406E"/>
    <w:rsid w:val="004F7DBF"/>
    <w:rsid w:val="00524954"/>
    <w:rsid w:val="00524A98"/>
    <w:rsid w:val="0053644A"/>
    <w:rsid w:val="00540BF3"/>
    <w:rsid w:val="00544138"/>
    <w:rsid w:val="00562F60"/>
    <w:rsid w:val="00567D20"/>
    <w:rsid w:val="00584583"/>
    <w:rsid w:val="005A4099"/>
    <w:rsid w:val="005C38B2"/>
    <w:rsid w:val="005C5029"/>
    <w:rsid w:val="005C55C2"/>
    <w:rsid w:val="005C745C"/>
    <w:rsid w:val="005D4DF5"/>
    <w:rsid w:val="00600A5D"/>
    <w:rsid w:val="00611AB8"/>
    <w:rsid w:val="00611D6B"/>
    <w:rsid w:val="00612B51"/>
    <w:rsid w:val="00617260"/>
    <w:rsid w:val="006237E4"/>
    <w:rsid w:val="006459FA"/>
    <w:rsid w:val="00681F52"/>
    <w:rsid w:val="00686D29"/>
    <w:rsid w:val="006A26C6"/>
    <w:rsid w:val="006A427B"/>
    <w:rsid w:val="006A7D5D"/>
    <w:rsid w:val="006C34E1"/>
    <w:rsid w:val="006D5D57"/>
    <w:rsid w:val="006F4D6D"/>
    <w:rsid w:val="006F4EEF"/>
    <w:rsid w:val="006F6BA9"/>
    <w:rsid w:val="00705086"/>
    <w:rsid w:val="0071053A"/>
    <w:rsid w:val="007213A7"/>
    <w:rsid w:val="007470E1"/>
    <w:rsid w:val="00754497"/>
    <w:rsid w:val="007629E3"/>
    <w:rsid w:val="007634A1"/>
    <w:rsid w:val="00775E2B"/>
    <w:rsid w:val="00787C39"/>
    <w:rsid w:val="00795DF3"/>
    <w:rsid w:val="007A373C"/>
    <w:rsid w:val="007B225C"/>
    <w:rsid w:val="007B2DA4"/>
    <w:rsid w:val="007C75B1"/>
    <w:rsid w:val="007C7D24"/>
    <w:rsid w:val="007D08F2"/>
    <w:rsid w:val="007D3DFC"/>
    <w:rsid w:val="007E1FCB"/>
    <w:rsid w:val="007E2F07"/>
    <w:rsid w:val="008022CC"/>
    <w:rsid w:val="0080776D"/>
    <w:rsid w:val="00810145"/>
    <w:rsid w:val="008108FA"/>
    <w:rsid w:val="00810FF1"/>
    <w:rsid w:val="008120C0"/>
    <w:rsid w:val="00822336"/>
    <w:rsid w:val="00823DFA"/>
    <w:rsid w:val="0083322E"/>
    <w:rsid w:val="00842216"/>
    <w:rsid w:val="00843752"/>
    <w:rsid w:val="00843DE7"/>
    <w:rsid w:val="0085725E"/>
    <w:rsid w:val="00876111"/>
    <w:rsid w:val="008858D9"/>
    <w:rsid w:val="00885B09"/>
    <w:rsid w:val="00892400"/>
    <w:rsid w:val="008A209D"/>
    <w:rsid w:val="008A3BF2"/>
    <w:rsid w:val="008A74D2"/>
    <w:rsid w:val="008B0E29"/>
    <w:rsid w:val="008B0EFA"/>
    <w:rsid w:val="008B30AB"/>
    <w:rsid w:val="008B76F6"/>
    <w:rsid w:val="008C4FC6"/>
    <w:rsid w:val="008E2706"/>
    <w:rsid w:val="00905DEF"/>
    <w:rsid w:val="0091203E"/>
    <w:rsid w:val="00913B43"/>
    <w:rsid w:val="00930203"/>
    <w:rsid w:val="009311D2"/>
    <w:rsid w:val="009311E6"/>
    <w:rsid w:val="00931275"/>
    <w:rsid w:val="00936958"/>
    <w:rsid w:val="00936AC7"/>
    <w:rsid w:val="00953B64"/>
    <w:rsid w:val="009546E8"/>
    <w:rsid w:val="00970D64"/>
    <w:rsid w:val="00984A69"/>
    <w:rsid w:val="009A1674"/>
    <w:rsid w:val="009B205F"/>
    <w:rsid w:val="009C684F"/>
    <w:rsid w:val="009D074C"/>
    <w:rsid w:val="009D0F0F"/>
    <w:rsid w:val="009D66F0"/>
    <w:rsid w:val="009E4295"/>
    <w:rsid w:val="009F2B4F"/>
    <w:rsid w:val="009F66B5"/>
    <w:rsid w:val="00A16221"/>
    <w:rsid w:val="00A20A7D"/>
    <w:rsid w:val="00A35D42"/>
    <w:rsid w:val="00A46CCF"/>
    <w:rsid w:val="00A53451"/>
    <w:rsid w:val="00A70426"/>
    <w:rsid w:val="00A73337"/>
    <w:rsid w:val="00A745ED"/>
    <w:rsid w:val="00A868AE"/>
    <w:rsid w:val="00A90D69"/>
    <w:rsid w:val="00A910F3"/>
    <w:rsid w:val="00A91108"/>
    <w:rsid w:val="00A912D0"/>
    <w:rsid w:val="00A91E9A"/>
    <w:rsid w:val="00A93ED9"/>
    <w:rsid w:val="00A96221"/>
    <w:rsid w:val="00AC6A99"/>
    <w:rsid w:val="00AF2D16"/>
    <w:rsid w:val="00B055EF"/>
    <w:rsid w:val="00B11434"/>
    <w:rsid w:val="00B23769"/>
    <w:rsid w:val="00B45A4E"/>
    <w:rsid w:val="00B81808"/>
    <w:rsid w:val="00B86DFA"/>
    <w:rsid w:val="00B936D0"/>
    <w:rsid w:val="00BA6983"/>
    <w:rsid w:val="00BB21B3"/>
    <w:rsid w:val="00BC0BE5"/>
    <w:rsid w:val="00BC5E3F"/>
    <w:rsid w:val="00BE3600"/>
    <w:rsid w:val="00BE4684"/>
    <w:rsid w:val="00C01F6F"/>
    <w:rsid w:val="00C149AB"/>
    <w:rsid w:val="00C1530B"/>
    <w:rsid w:val="00C27746"/>
    <w:rsid w:val="00C315FA"/>
    <w:rsid w:val="00C40694"/>
    <w:rsid w:val="00C5104C"/>
    <w:rsid w:val="00C608A1"/>
    <w:rsid w:val="00C62014"/>
    <w:rsid w:val="00C70542"/>
    <w:rsid w:val="00C70D60"/>
    <w:rsid w:val="00C75CBF"/>
    <w:rsid w:val="00CB759C"/>
    <w:rsid w:val="00CC2894"/>
    <w:rsid w:val="00CC44AD"/>
    <w:rsid w:val="00CC513E"/>
    <w:rsid w:val="00CD0B0B"/>
    <w:rsid w:val="00CD77C3"/>
    <w:rsid w:val="00CE112C"/>
    <w:rsid w:val="00CF55D4"/>
    <w:rsid w:val="00CF56C0"/>
    <w:rsid w:val="00D608DA"/>
    <w:rsid w:val="00D61FFE"/>
    <w:rsid w:val="00D65201"/>
    <w:rsid w:val="00D6543F"/>
    <w:rsid w:val="00D730BF"/>
    <w:rsid w:val="00D7458C"/>
    <w:rsid w:val="00DB0885"/>
    <w:rsid w:val="00DB6F43"/>
    <w:rsid w:val="00DC2F7D"/>
    <w:rsid w:val="00DC4353"/>
    <w:rsid w:val="00DC76C7"/>
    <w:rsid w:val="00DD09F5"/>
    <w:rsid w:val="00DD3419"/>
    <w:rsid w:val="00DD4201"/>
    <w:rsid w:val="00DE5711"/>
    <w:rsid w:val="00E00EA0"/>
    <w:rsid w:val="00E26758"/>
    <w:rsid w:val="00E4357B"/>
    <w:rsid w:val="00E43E40"/>
    <w:rsid w:val="00E52CA3"/>
    <w:rsid w:val="00E63DE5"/>
    <w:rsid w:val="00E65A37"/>
    <w:rsid w:val="00E77B48"/>
    <w:rsid w:val="00E81093"/>
    <w:rsid w:val="00E91799"/>
    <w:rsid w:val="00EA21FE"/>
    <w:rsid w:val="00EA34E3"/>
    <w:rsid w:val="00EB0999"/>
    <w:rsid w:val="00EB1FF2"/>
    <w:rsid w:val="00EB7538"/>
    <w:rsid w:val="00EC012B"/>
    <w:rsid w:val="00EE4F47"/>
    <w:rsid w:val="00F17072"/>
    <w:rsid w:val="00F207A4"/>
    <w:rsid w:val="00F27AA0"/>
    <w:rsid w:val="00F35250"/>
    <w:rsid w:val="00F355AC"/>
    <w:rsid w:val="00F35ACD"/>
    <w:rsid w:val="00F41EA2"/>
    <w:rsid w:val="00F55A24"/>
    <w:rsid w:val="00F71A5A"/>
    <w:rsid w:val="00F769E0"/>
    <w:rsid w:val="00FA67F0"/>
    <w:rsid w:val="00FC6BDE"/>
    <w:rsid w:val="00FD70E2"/>
    <w:rsid w:val="00FE74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86A2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513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8A3BF2"/>
    <w:rPr>
      <w:sz w:val="16"/>
      <w:szCs w:val="16"/>
    </w:rPr>
  </w:style>
  <w:style w:type="paragraph" w:styleId="CommentText">
    <w:name w:val="annotation text"/>
    <w:basedOn w:val="Normal"/>
    <w:link w:val="CommentTextChar"/>
    <w:rsid w:val="008A3BF2"/>
    <w:rPr>
      <w:sz w:val="20"/>
      <w:szCs w:val="20"/>
    </w:rPr>
  </w:style>
  <w:style w:type="character" w:customStyle="1" w:styleId="CommentTextChar">
    <w:name w:val="Comment Text Char"/>
    <w:basedOn w:val="DefaultParagraphFont"/>
    <w:link w:val="CommentText"/>
    <w:rsid w:val="008A3BF2"/>
  </w:style>
  <w:style w:type="paragraph" w:styleId="CommentSubject">
    <w:name w:val="annotation subject"/>
    <w:basedOn w:val="CommentText"/>
    <w:next w:val="CommentText"/>
    <w:link w:val="CommentSubjectChar"/>
    <w:rsid w:val="008A3BF2"/>
    <w:rPr>
      <w:b/>
      <w:bCs/>
    </w:rPr>
  </w:style>
  <w:style w:type="character" w:customStyle="1" w:styleId="CommentSubjectChar">
    <w:name w:val="Comment Subject Char"/>
    <w:link w:val="CommentSubject"/>
    <w:rsid w:val="008A3BF2"/>
    <w:rPr>
      <w:b/>
      <w:bCs/>
    </w:rPr>
  </w:style>
  <w:style w:type="paragraph" w:styleId="Header">
    <w:name w:val="header"/>
    <w:basedOn w:val="Normal"/>
    <w:link w:val="HeaderChar"/>
    <w:rsid w:val="00611AB8"/>
    <w:pPr>
      <w:tabs>
        <w:tab w:val="center" w:pos="4680"/>
        <w:tab w:val="right" w:pos="9360"/>
      </w:tabs>
    </w:pPr>
  </w:style>
  <w:style w:type="character" w:customStyle="1" w:styleId="HeaderChar">
    <w:name w:val="Header Char"/>
    <w:link w:val="Header"/>
    <w:rsid w:val="00611AB8"/>
    <w:rPr>
      <w:sz w:val="24"/>
      <w:szCs w:val="24"/>
    </w:rPr>
  </w:style>
  <w:style w:type="character" w:styleId="Hyperlink">
    <w:name w:val="Hyperlink"/>
    <w:rsid w:val="00611AB8"/>
    <w:rPr>
      <w:color w:val="0563C1"/>
      <w:u w:val="single"/>
    </w:rPr>
  </w:style>
  <w:style w:type="character" w:styleId="UnresolvedMention">
    <w:name w:val="Unresolved Mention"/>
    <w:uiPriority w:val="99"/>
    <w:semiHidden/>
    <w:unhideWhenUsed/>
    <w:rsid w:val="00611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da.gov" TargetMode="External" /><Relationship Id="rId11" Type="http://schemas.openxmlformats.org/officeDocument/2006/relationships/hyperlink" Target="https://www.fda.gov/industry/import-program-food-and-drug-administration-fda"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industry/import-basics/foreign-trade-zonesweekly-entry-filing" TargetMode="External" /><Relationship Id="rId6" Type="http://schemas.openxmlformats.org/officeDocument/2006/relationships/hyperlink" Target="https://www.fda.gov/industry/import-systems/itacs" TargetMode="External" /><Relationship Id="rId7" Type="http://schemas.openxmlformats.org/officeDocument/2006/relationships/hyperlink" Target="https://www.fda.gov/industry/actions-enforcement/reconditioning" TargetMode="External" /><Relationship Id="rId8" Type="http://schemas.openxmlformats.org/officeDocument/2006/relationships/hyperlink" Target="https://www.fda.gov/regulatory-information/search-fda-guidance-documents/pre-launch-activities-importation-requests-plair" TargetMode="External" /><Relationship Id="rId9" Type="http://schemas.openxmlformats.org/officeDocument/2006/relationships/hyperlink" Target="mailto:CDER-OC-PLAIR@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EA7C-F6E7-4117-9002-F411B2DC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2023-06-29T19:40:00Z</dcterms:created>
  <dcterms:modified xsi:type="dcterms:W3CDTF">2023-06-29T19:43:00Z</dcterms:modified>
</cp:coreProperties>
</file>