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465A" w:rsidRPr="00F07850" w:rsidP="00760472" w14:paraId="1CC4ED37" w14:textId="77777777">
      <w:pPr>
        <w:jc w:val="center"/>
      </w:pPr>
    </w:p>
    <w:p w:rsidR="00357C8A" w:rsidRPr="00F07850" w:rsidP="00760472" w14:paraId="49CD109A" w14:textId="77777777">
      <w:pPr>
        <w:jc w:val="center"/>
        <w:rPr>
          <w:rFonts w:eastAsia="Calibri"/>
        </w:rPr>
      </w:pPr>
    </w:p>
    <w:p w:rsidR="00C02D42" w:rsidRPr="00F07850" w:rsidP="00760472" w14:paraId="11630EC6" w14:textId="3AEDFBC5">
      <w:pPr>
        <w:jc w:val="center"/>
        <w:rPr>
          <w:rFonts w:eastAsia="Calibri"/>
        </w:rPr>
      </w:pPr>
      <w:r>
        <w:rPr>
          <w:b/>
          <w:bCs/>
        </w:rPr>
        <w:t>MAMMOGRAPHY QUALITY STANDARDS</w:t>
      </w:r>
    </w:p>
    <w:p w:rsidR="00182323" w:rsidP="00760472" w14:paraId="7D2BFB53" w14:textId="77777777">
      <w:pPr>
        <w:jc w:val="center"/>
        <w:rPr>
          <w:rFonts w:eastAsia="Calibri"/>
        </w:rPr>
      </w:pPr>
    </w:p>
    <w:p w:rsidR="00182323" w:rsidP="00760472" w14:paraId="3DACE4F1" w14:textId="77777777">
      <w:pPr>
        <w:jc w:val="center"/>
        <w:rPr>
          <w:rFonts w:eastAsia="Calibri"/>
        </w:rPr>
      </w:pPr>
    </w:p>
    <w:p w:rsidR="00357C8A" w:rsidP="00760472" w14:paraId="203A8884" w14:textId="1B5597CA">
      <w:pPr>
        <w:jc w:val="center"/>
        <w:rPr>
          <w:rFonts w:eastAsia="Calibri"/>
        </w:rPr>
      </w:pPr>
      <w:r w:rsidRPr="00F07850">
        <w:rPr>
          <w:rFonts w:eastAsia="Calibri"/>
          <w:u w:val="single"/>
        </w:rPr>
        <w:t>OMB Control No. 0910</w:t>
      </w:r>
      <w:r w:rsidRPr="00F07850" w:rsidR="00C02D42">
        <w:rPr>
          <w:rFonts w:eastAsia="Calibri"/>
          <w:u w:val="single"/>
        </w:rPr>
        <w:t>-0309</w:t>
      </w:r>
      <w:r w:rsidRPr="00F07850" w:rsidR="00EF4BCB">
        <w:rPr>
          <w:rFonts w:eastAsia="Calibri"/>
        </w:rPr>
        <w:t xml:space="preserve"> </w:t>
      </w:r>
      <w:r w:rsidR="00F86A2A">
        <w:rPr>
          <w:rFonts w:eastAsia="Calibri"/>
        </w:rPr>
        <w:t>–</w:t>
      </w:r>
      <w:r w:rsidRPr="00F07850" w:rsidR="00EF4BCB">
        <w:rPr>
          <w:rFonts w:eastAsia="Calibri"/>
        </w:rPr>
        <w:t xml:space="preserve"> </w:t>
      </w:r>
      <w:r w:rsidR="00E530E8">
        <w:rPr>
          <w:rFonts w:eastAsia="Calibri"/>
        </w:rPr>
        <w:t>Revision</w:t>
      </w:r>
    </w:p>
    <w:p w:rsidR="00182323" w:rsidP="00760472" w14:paraId="6ECA9FAD" w14:textId="77777777">
      <w:pPr>
        <w:jc w:val="center"/>
        <w:rPr>
          <w:rFonts w:eastAsia="Calibri"/>
        </w:rPr>
      </w:pPr>
    </w:p>
    <w:p w:rsidR="00F86A2A" w:rsidRPr="00F07850" w:rsidP="00760472" w14:paraId="7C14A538" w14:textId="2CD7D31C">
      <w:pPr>
        <w:jc w:val="center"/>
        <w:rPr>
          <w:rFonts w:eastAsia="Calibri"/>
        </w:rPr>
      </w:pPr>
      <w:r>
        <w:rPr>
          <w:rFonts w:eastAsia="Calibri"/>
        </w:rPr>
        <w:t>RIN 0910-AH04</w:t>
      </w:r>
    </w:p>
    <w:p w:rsidR="00357C8A" w:rsidRPr="00F07850" w:rsidP="00760472" w14:paraId="0093E77B" w14:textId="77777777">
      <w:pPr>
        <w:jc w:val="center"/>
        <w:rPr>
          <w:rFonts w:eastAsia="Calibri"/>
        </w:rPr>
      </w:pPr>
    </w:p>
    <w:p w:rsidR="00357C8A" w:rsidRPr="00F07850" w:rsidP="00760472" w14:paraId="4523FDA6" w14:textId="12FECEEA">
      <w:pPr>
        <w:rPr>
          <w:rFonts w:eastAsia="Calibri"/>
        </w:rPr>
      </w:pPr>
      <w:r w:rsidRPr="00F07850">
        <w:rPr>
          <w:rFonts w:eastAsia="Calibri"/>
        </w:rPr>
        <w:t>SUPPORTING STATEMENT</w:t>
      </w:r>
      <w:r w:rsidRPr="00F07850" w:rsidR="00EF4BCB">
        <w:rPr>
          <w:rFonts w:eastAsia="Calibri"/>
        </w:rPr>
        <w:t xml:space="preserve">:  </w:t>
      </w:r>
      <w:r w:rsidRPr="00F07850" w:rsidR="00EF4BCB">
        <w:rPr>
          <w:rFonts w:eastAsia="Calibri"/>
          <w:b/>
          <w:bCs/>
        </w:rPr>
        <w:t xml:space="preserve">Part A – </w:t>
      </w:r>
      <w:r w:rsidRPr="00F07850">
        <w:rPr>
          <w:rFonts w:eastAsia="Calibri"/>
          <w:b/>
          <w:bCs/>
        </w:rPr>
        <w:t>Justification:</w:t>
      </w:r>
    </w:p>
    <w:p w:rsidR="000D79CC" w:rsidRPr="00F07850" w:rsidP="00760472" w14:paraId="10C6AA57" w14:textId="77777777">
      <w:pPr>
        <w:rPr>
          <w:rFonts w:eastAsia="Calibri"/>
        </w:rPr>
      </w:pPr>
    </w:p>
    <w:p w:rsidR="00357C8A" w:rsidRPr="00F07850" w:rsidP="00760472" w14:paraId="3081932A" w14:textId="77777777">
      <w:pPr>
        <w:numPr>
          <w:ilvl w:val="0"/>
          <w:numId w:val="6"/>
        </w:numPr>
        <w:spacing w:after="200"/>
        <w:rPr>
          <w:rFonts w:eastAsia="Calibri"/>
        </w:rPr>
      </w:pPr>
      <w:r w:rsidRPr="00F07850">
        <w:rPr>
          <w:rFonts w:eastAsia="Calibri"/>
          <w:u w:val="single"/>
        </w:rPr>
        <w:t>Circumstances Making the Collection of Information Necessary</w:t>
      </w:r>
    </w:p>
    <w:p w:rsidR="009954B5" w:rsidP="009954B5" w14:paraId="13FED142" w14:textId="2D4F5B8E">
      <w:pPr>
        <w:pStyle w:val="CM12"/>
        <w:widowControl/>
        <w:spacing w:after="0"/>
      </w:pPr>
      <w:r>
        <w:t>R</w:t>
      </w:r>
      <w:r w:rsidRPr="00F07850" w:rsidR="00636848">
        <w:t>egulations in 21 CFR Part 90</w:t>
      </w:r>
      <w:r w:rsidRPr="00F07850" w:rsidR="00AE1362">
        <w:t>0</w:t>
      </w:r>
      <w:r>
        <w:t xml:space="preserve"> implement the Mammography Quality Standards Act of 1992 (MQSA) (42 U.S.C. 263b)</w:t>
      </w:r>
      <w:r w:rsidRPr="00F07850" w:rsidR="00250404">
        <w:t>.</w:t>
      </w:r>
      <w:r>
        <w:t xml:space="preserve">  </w:t>
      </w:r>
      <w:r w:rsidR="00356F41">
        <w:t xml:space="preserve">We are </w:t>
      </w:r>
      <w:r>
        <w:t xml:space="preserve">updating </w:t>
      </w:r>
      <w:r w:rsidR="00356F41">
        <w:t xml:space="preserve">the regulations and </w:t>
      </w:r>
      <w:r>
        <w:t xml:space="preserve">the associated information collection provisions </w:t>
      </w:r>
      <w:r w:rsidR="00C21E8B">
        <w:t xml:space="preserve">to </w:t>
      </w:r>
      <w:r w:rsidRPr="009954B5">
        <w:t>incorporat</w:t>
      </w:r>
      <w:r>
        <w:t xml:space="preserve">e </w:t>
      </w:r>
      <w:r w:rsidRPr="009954B5">
        <w:t>current science and mammography best practices.</w:t>
      </w:r>
      <w:r>
        <w:t xml:space="preserve">  </w:t>
      </w:r>
      <w:r w:rsidRPr="009954B5">
        <w:t xml:space="preserve">Among other revisions, the regulations now require that the mammography report provided to the healthcare provider and the lay summary report provided to the patient include basic mammography facility identification information and information concerning patient breast density.  </w:t>
      </w:r>
      <w:r w:rsidR="00C21E8B">
        <w:t>FDA also added categories to the list of assessments that facilities are required to use in the mammography report.  In addition, FDA amended requirements related to the transfer and provision of mammography records, the transfer and provision of personnel records upon request or facility closure, and FDA notification and mammographic records access upon facility closure.</w:t>
      </w:r>
      <w:r>
        <w:t xml:space="preserve">  Respondents continue to use </w:t>
      </w:r>
      <w:r w:rsidRPr="009954B5" w:rsidR="00356F41">
        <w:rPr>
          <w:b/>
          <w:bCs/>
        </w:rPr>
        <w:t>Form FDA 3422</w:t>
      </w:r>
      <w:r>
        <w:t xml:space="preserve"> entitled</w:t>
      </w:r>
      <w:r w:rsidR="00356F41">
        <w:t xml:space="preserve">, </w:t>
      </w:r>
      <w:r>
        <w:t>“</w:t>
      </w:r>
      <w:r w:rsidRPr="009954B5">
        <w:rPr>
          <w:i/>
          <w:iCs/>
        </w:rPr>
        <w:t>Governmental Entity Declaration</w:t>
      </w:r>
      <w:r>
        <w:rPr>
          <w:i/>
          <w:iCs/>
        </w:rPr>
        <w:t>”</w:t>
      </w:r>
      <w:r w:rsidRPr="009954B5">
        <w:t xml:space="preserve"> </w:t>
      </w:r>
      <w:r>
        <w:t xml:space="preserve">to attest that a mammography facility qualifies as a "governmental entity" </w:t>
      </w:r>
      <w:r>
        <w:t xml:space="preserve">and </w:t>
      </w:r>
      <w:r>
        <w:t>is exempt from payment of</w:t>
      </w:r>
      <w:r>
        <w:t xml:space="preserve"> </w:t>
      </w:r>
      <w:r>
        <w:t>inspection fees</w:t>
      </w:r>
      <w:r>
        <w:t xml:space="preserve">.  </w:t>
      </w:r>
    </w:p>
    <w:p w:rsidR="00A02B99" w:rsidRPr="00F07850" w:rsidP="00760472" w14:paraId="2F8D254D" w14:textId="77777777">
      <w:pPr>
        <w:pStyle w:val="Default"/>
      </w:pPr>
    </w:p>
    <w:p w:rsidR="00C02D42" w:rsidRPr="00F07850" w:rsidP="00760472" w14:paraId="4D2C7C43" w14:textId="42CCDA6D">
      <w:pPr>
        <w:pStyle w:val="Default"/>
      </w:pPr>
      <w:r w:rsidRPr="00F07850">
        <w:t>We</w:t>
      </w:r>
      <w:r w:rsidR="009954B5">
        <w:t xml:space="preserve"> therefore request</w:t>
      </w:r>
      <w:r w:rsidRPr="00F07850" w:rsidR="00EF4BCB">
        <w:t xml:space="preserve"> </w:t>
      </w:r>
      <w:r w:rsidRPr="00F07850">
        <w:t>OMB approval for the information collection provisions</w:t>
      </w:r>
      <w:r w:rsidR="009954B5">
        <w:t xml:space="preserve"> established by the final rule.</w:t>
      </w:r>
    </w:p>
    <w:p w:rsidR="00EF4BCB" w:rsidRPr="00F07850" w:rsidP="00760472" w14:paraId="3EA7FAE5" w14:textId="77777777">
      <w:pPr>
        <w:pStyle w:val="Default"/>
      </w:pPr>
    </w:p>
    <w:p w:rsidR="00357C8A" w:rsidRPr="00F07850" w:rsidP="00760472" w14:paraId="4D50F3E4" w14:textId="77777777">
      <w:pPr>
        <w:numPr>
          <w:ilvl w:val="0"/>
          <w:numId w:val="6"/>
        </w:numPr>
        <w:spacing w:after="200"/>
        <w:rPr>
          <w:rFonts w:eastAsia="Calibri"/>
          <w:u w:val="single"/>
        </w:rPr>
      </w:pPr>
      <w:r w:rsidRPr="00F07850">
        <w:rPr>
          <w:rFonts w:eastAsia="Calibri"/>
          <w:u w:val="single"/>
        </w:rPr>
        <w:t xml:space="preserve">Purpose and Use of the Information Collection </w:t>
      </w:r>
    </w:p>
    <w:p w:rsidR="009954B5" w:rsidP="00760472" w14:paraId="6A34E41A" w14:textId="5F46CBA8">
      <w:pPr>
        <w:pStyle w:val="Default"/>
      </w:pPr>
      <w:r w:rsidRPr="009954B5">
        <w:t xml:space="preserve">The </w:t>
      </w:r>
      <w:r>
        <w:t xml:space="preserve">revisions </w:t>
      </w:r>
      <w:r w:rsidRPr="009954B5">
        <w:t>are intended to improve the delivery of mammography services by strengthening communication of healthcare information; allowing for more informed decision making by patients and providers (by requiring facilities to provide them with additional health information); helping to ensure the availability of qualified mammography personnel; bolstering the medical outcomes audit to provide feedback to improve mammography interpretations; modernizing technological aspects of the standards; and adding additional tools to deal with noncompliant facilities.  The action is also intended to facilitate communication between mammography facilities, healthcare providers, and patients; facilitate the retrieval of mammography images; and help ensure that healthcare providers and patients obtain the necessary information from the mammography facility to enable a patient and their healthcare provider to make informed healthcare decisions.</w:t>
      </w:r>
    </w:p>
    <w:p w:rsidR="00C02D42" w:rsidRPr="00F07850" w:rsidP="00760472" w14:paraId="33998B0E" w14:textId="52F3B35D">
      <w:pPr>
        <w:pStyle w:val="Default"/>
      </w:pPr>
      <w:r>
        <w:t xml:space="preserve"> </w:t>
      </w:r>
    </w:p>
    <w:p w:rsidR="00357C8A" w:rsidRPr="00F07850" w:rsidP="00760472" w14:paraId="24786856" w14:textId="77777777">
      <w:pPr>
        <w:numPr>
          <w:ilvl w:val="0"/>
          <w:numId w:val="6"/>
        </w:numPr>
        <w:spacing w:after="200"/>
        <w:rPr>
          <w:rFonts w:eastAsia="Calibri"/>
          <w:u w:val="single"/>
        </w:rPr>
      </w:pPr>
      <w:r w:rsidRPr="00F07850">
        <w:rPr>
          <w:rFonts w:eastAsia="Calibri"/>
          <w:u w:val="single"/>
        </w:rPr>
        <w:t>Use of Improved Information Technology and Burden Reduction</w:t>
      </w:r>
    </w:p>
    <w:p w:rsidR="00B04000" w:rsidP="00760472" w14:paraId="3A477353" w14:textId="524B1BA8">
      <w:pPr>
        <w:pStyle w:val="CM12"/>
        <w:widowControl/>
        <w:spacing w:after="0"/>
      </w:pPr>
      <w:r w:rsidRPr="00F07850">
        <w:t xml:space="preserve">We </w:t>
      </w:r>
      <w:r w:rsidRPr="00F07850" w:rsidR="00C02D42">
        <w:t xml:space="preserve">estimate 100% of the respondents will use electronic means to fulfill the </w:t>
      </w:r>
      <w:r w:rsidRPr="00F07850">
        <w:t>information collection.</w:t>
      </w:r>
      <w:r w:rsidR="00D606E8">
        <w:t xml:space="preserve">  </w:t>
      </w:r>
      <w:r w:rsidRPr="00F07850" w:rsidR="004E0E5A">
        <w:t xml:space="preserve">Accreditation bodies </w:t>
      </w:r>
      <w:r w:rsidR="005E30EB">
        <w:t>(ABs)</w:t>
      </w:r>
      <w:r w:rsidR="00161263">
        <w:t xml:space="preserve">, as defined in the regulations, </w:t>
      </w:r>
      <w:r w:rsidRPr="00F07850" w:rsidR="004E0E5A">
        <w:t xml:space="preserve">use the web-based Mammography Program Reporting and Information System (MPRIS) to submit data.  Inspection </w:t>
      </w:r>
      <w:r w:rsidRPr="00F07850" w:rsidR="004E0E5A">
        <w:t>findings are recorded electronically on the inspector’s laptop and then uploaded into the system. Information is transmitted to State certification agencies electronically</w:t>
      </w:r>
      <w:r>
        <w:t>.</w:t>
      </w:r>
    </w:p>
    <w:p w:rsidR="00B04000" w:rsidP="00760472" w14:paraId="622006F3" w14:textId="77777777">
      <w:pPr>
        <w:pStyle w:val="CM12"/>
        <w:widowControl/>
        <w:spacing w:after="0"/>
      </w:pPr>
    </w:p>
    <w:p w:rsidR="00C02D42" w:rsidRPr="00F07850" w:rsidP="00760472" w14:paraId="01B78347" w14:textId="552C7A87">
      <w:pPr>
        <w:pStyle w:val="CM12"/>
        <w:widowControl/>
        <w:spacing w:after="0"/>
      </w:pPr>
      <w:r>
        <w:t>Associated f</w:t>
      </w:r>
      <w:r w:rsidR="001B4EC5">
        <w:t xml:space="preserve">ees are billed </w:t>
      </w:r>
      <w:r w:rsidRPr="00F07850">
        <w:t xml:space="preserve">electronically </w:t>
      </w:r>
      <w:r w:rsidR="001B4EC5">
        <w:t>on a month</w:t>
      </w:r>
      <w:r w:rsidR="0056012F">
        <w:t>ly basis, as contracted by FDA, and intended to fulfill</w:t>
      </w:r>
      <w:r>
        <w:t xml:space="preserve"> </w:t>
      </w:r>
      <w:r w:rsidRPr="00F07850">
        <w:t>Government Paperwork Elimination Act (GPEA) requirements.</w:t>
      </w:r>
      <w:r w:rsidR="00CA6A46">
        <w:t xml:space="preserve">  </w:t>
      </w:r>
      <w:r w:rsidRPr="00F07850">
        <w:t>Other</w:t>
      </w:r>
      <w:r w:rsidRPr="00F07850" w:rsidR="003E23FE">
        <w:t xml:space="preserve"> efforts toward</w:t>
      </w:r>
      <w:r w:rsidRPr="00F07850">
        <w:t xml:space="preserve"> reducing burden through technology include FDA’s permitting physician’s electronic signatures on medical reports and its acceptance of electronic recordkeeping in such areas as the medical audit, quality control, and patient reports.  The use of electronic forms of reporting and recordkeeping submissions to FDA remain</w:t>
      </w:r>
      <w:r w:rsidR="00161263">
        <w:t>s</w:t>
      </w:r>
      <w:r w:rsidRPr="00F07850">
        <w:t xml:space="preserve"> voluntary.</w:t>
      </w:r>
      <w:r w:rsidR="00CA6A46">
        <w:t xml:space="preserve">  </w:t>
      </w:r>
      <w:r w:rsidRPr="00F07850">
        <w:t>Any information generated for the patient’s use may be communicated to the patient in any appropriate format.</w:t>
      </w:r>
    </w:p>
    <w:p w:rsidR="00C02D42" w:rsidRPr="00F07850" w:rsidP="00760472" w14:paraId="7833FCF4" w14:textId="77777777">
      <w:pPr>
        <w:pStyle w:val="Default"/>
      </w:pPr>
    </w:p>
    <w:p w:rsidR="00357C8A" w:rsidRPr="00F07850" w:rsidP="00760472" w14:paraId="7D7C0564" w14:textId="77777777">
      <w:pPr>
        <w:numPr>
          <w:ilvl w:val="0"/>
          <w:numId w:val="6"/>
        </w:numPr>
        <w:spacing w:after="200"/>
        <w:rPr>
          <w:rFonts w:eastAsia="Calibri"/>
        </w:rPr>
      </w:pPr>
      <w:r w:rsidRPr="00F07850">
        <w:rPr>
          <w:rFonts w:eastAsia="Calibri"/>
          <w:u w:val="single"/>
        </w:rPr>
        <w:t xml:space="preserve">Efforts to Identify Duplication and Use of Similar Information </w:t>
      </w:r>
    </w:p>
    <w:p w:rsidR="00C02D42" w:rsidRPr="00F07850" w:rsidP="00760472" w14:paraId="19E7BBB3" w14:textId="77777777">
      <w:pPr>
        <w:pStyle w:val="CM12"/>
        <w:widowControl/>
        <w:spacing w:after="0"/>
        <w:ind w:right="105"/>
      </w:pPr>
      <w:r w:rsidRPr="00F07850">
        <w:t xml:space="preserve">We are unaware of duplicative information collection. </w:t>
      </w:r>
    </w:p>
    <w:p w:rsidR="00C02D42" w:rsidRPr="00F07850" w:rsidP="00760472" w14:paraId="6A188AEE" w14:textId="77777777">
      <w:pPr>
        <w:pStyle w:val="Default"/>
      </w:pPr>
    </w:p>
    <w:p w:rsidR="00357C8A" w:rsidRPr="00F07850" w:rsidP="00760472" w14:paraId="4A96C28C" w14:textId="77777777">
      <w:pPr>
        <w:numPr>
          <w:ilvl w:val="0"/>
          <w:numId w:val="6"/>
        </w:numPr>
        <w:spacing w:after="200"/>
        <w:rPr>
          <w:rFonts w:eastAsia="Calibri"/>
        </w:rPr>
      </w:pPr>
      <w:r w:rsidRPr="00F07850">
        <w:rPr>
          <w:rFonts w:eastAsia="Calibri"/>
          <w:u w:val="single"/>
        </w:rPr>
        <w:t>Impact on Small Businesses or Other Small Entities</w:t>
      </w:r>
    </w:p>
    <w:p w:rsidR="00F0263F" w:rsidRPr="00161263" w:rsidP="00161263" w14:paraId="616B2D86" w14:textId="070B2F7E">
      <w:pPr>
        <w:pStyle w:val="CM12"/>
        <w:widowControl/>
        <w:spacing w:after="0"/>
        <w:rPr>
          <w:rFonts w:eastAsia="Calibri"/>
        </w:rPr>
      </w:pPr>
      <w:r w:rsidRPr="00F07850">
        <w:t xml:space="preserve">We do not believe the information collection imposes undue burden on small entities.  </w:t>
      </w:r>
      <w:r w:rsidRPr="007A4B96" w:rsidR="00A6684C">
        <w:rPr>
          <w:rFonts w:eastAsia="Calibri"/>
        </w:rPr>
        <w:t xml:space="preserve">As required by the Regulatory Flexibility Act, we analyzed regulatory options that would minimize any significant impact of the rule on small entities (see section III of the </w:t>
      </w:r>
      <w:r w:rsidR="00A6684C">
        <w:rPr>
          <w:rFonts w:eastAsia="Calibri"/>
        </w:rPr>
        <w:t>Final</w:t>
      </w:r>
      <w:r w:rsidRPr="007A4B96" w:rsidR="00A6684C">
        <w:rPr>
          <w:rFonts w:eastAsia="Calibri"/>
        </w:rPr>
        <w:t xml:space="preserve"> Regulatory Impact Analysis (</w:t>
      </w:r>
      <w:r w:rsidR="00A6684C">
        <w:rPr>
          <w:rFonts w:eastAsia="Calibri"/>
        </w:rPr>
        <w:t>F</w:t>
      </w:r>
      <w:r w:rsidRPr="007A4B96" w:rsidR="00A6684C">
        <w:rPr>
          <w:rFonts w:eastAsia="Calibri"/>
        </w:rPr>
        <w:t>RIA) for the “Mammography Quality Standards Act” rule</w:t>
      </w:r>
      <w:r w:rsidR="007C6ACA">
        <w:rPr>
          <w:rFonts w:eastAsia="Calibri"/>
        </w:rPr>
        <w:t>making</w:t>
      </w:r>
      <w:r w:rsidRPr="007A4B96" w:rsidR="00A6684C">
        <w:rPr>
          <w:rFonts w:eastAsia="Calibri"/>
        </w:rPr>
        <w:t xml:space="preserve">).  </w:t>
      </w:r>
      <w:r w:rsidR="00191299">
        <w:rPr>
          <w:rFonts w:eastAsia="Calibri"/>
        </w:rPr>
        <w:t>W</w:t>
      </w:r>
      <w:r w:rsidRPr="007A4B96" w:rsidR="00A6684C">
        <w:rPr>
          <w:rFonts w:eastAsia="Calibri"/>
        </w:rPr>
        <w:t xml:space="preserve">e estimate that approximately </w:t>
      </w:r>
      <w:r w:rsidR="00EC6558">
        <w:rPr>
          <w:rFonts w:eastAsia="Calibri"/>
        </w:rPr>
        <w:t>4,003</w:t>
      </w:r>
      <w:r w:rsidRPr="007A4B96" w:rsidR="00A6684C">
        <w:rPr>
          <w:rFonts w:eastAsia="Calibri"/>
        </w:rPr>
        <w:t xml:space="preserve"> respondents are small businesses.</w:t>
      </w:r>
      <w:r w:rsidR="00161263">
        <w:rPr>
          <w:rFonts w:eastAsia="Calibri"/>
        </w:rPr>
        <w:t xml:space="preserve">  </w:t>
      </w:r>
      <w:r>
        <w:t>To assist respondents, w</w:t>
      </w:r>
      <w:r w:rsidRPr="00F07850">
        <w:t xml:space="preserve">e </w:t>
      </w:r>
      <w:r>
        <w:t xml:space="preserve">provide </w:t>
      </w:r>
      <w:r w:rsidRPr="00F07850">
        <w:t xml:space="preserve">searchable resource information at </w:t>
      </w:r>
      <w:hyperlink r:id="rId5" w:history="1">
        <w:r w:rsidR="00775F76">
          <w:rPr>
            <w:rStyle w:val="Hyperlink"/>
          </w:rPr>
          <w:t>https://www.fda.gov/radiation-emitting-products/mammography-quality-standards-act-and-program</w:t>
        </w:r>
      </w:hyperlink>
      <w:r w:rsidRPr="00F07850">
        <w:t>.</w:t>
      </w:r>
    </w:p>
    <w:p w:rsidR="009675F8" w:rsidRPr="00F07850" w:rsidP="00760472" w14:paraId="1908E91D" w14:textId="77777777">
      <w:pPr>
        <w:pStyle w:val="Default"/>
      </w:pPr>
    </w:p>
    <w:p w:rsidR="00357C8A" w:rsidRPr="00F07850" w:rsidP="00760472" w14:paraId="05E3BF8D" w14:textId="77777777">
      <w:pPr>
        <w:numPr>
          <w:ilvl w:val="0"/>
          <w:numId w:val="6"/>
        </w:numPr>
        <w:spacing w:after="200"/>
        <w:rPr>
          <w:rFonts w:eastAsia="Calibri"/>
          <w:u w:val="single"/>
        </w:rPr>
      </w:pPr>
      <w:r w:rsidRPr="00F07850">
        <w:rPr>
          <w:rFonts w:eastAsia="Calibri"/>
          <w:u w:val="single"/>
        </w:rPr>
        <w:t>Consequences of Collecting the Information Less Frequently</w:t>
      </w:r>
    </w:p>
    <w:p w:rsidR="00E777C7" w:rsidRPr="00F07850" w:rsidP="00760472" w14:paraId="0D3838AD" w14:textId="0732FB15">
      <w:pPr>
        <w:pStyle w:val="CM12"/>
        <w:widowControl/>
        <w:spacing w:after="0"/>
        <w:rPr>
          <w:color w:val="000000"/>
        </w:rPr>
      </w:pPr>
      <w:r w:rsidRPr="00F07850">
        <w:t xml:space="preserve">The information collection schedule is consistent with statutory and regulatory requirements. </w:t>
      </w:r>
      <w:r w:rsidRPr="00F07850">
        <w:rPr>
          <w:color w:val="000000"/>
        </w:rPr>
        <w:t xml:space="preserve"> </w:t>
      </w:r>
    </w:p>
    <w:p w:rsidR="00E777C7" w:rsidRPr="00F07850" w:rsidP="00760472" w14:paraId="40E2FE05" w14:textId="77777777">
      <w:pPr>
        <w:pStyle w:val="CM12"/>
        <w:widowControl/>
        <w:spacing w:after="0"/>
        <w:rPr>
          <w:color w:val="000000"/>
        </w:rPr>
      </w:pPr>
    </w:p>
    <w:p w:rsidR="00E777C7" w:rsidRPr="00F07850" w:rsidP="00760472" w14:paraId="5F37CFFE" w14:textId="77777777">
      <w:pPr>
        <w:pStyle w:val="CM12"/>
        <w:widowControl/>
        <w:spacing w:after="0"/>
        <w:rPr>
          <w:color w:val="000000"/>
        </w:rPr>
      </w:pPr>
      <w:r w:rsidRPr="00F07850">
        <w:rPr>
          <w:color w:val="000000"/>
        </w:rPr>
        <w:t xml:space="preserve">There are no legal obstacles to the collection of this information. </w:t>
      </w:r>
    </w:p>
    <w:p w:rsidR="0072033C" w:rsidRPr="00F07850" w:rsidP="00760472" w14:paraId="7B333CBB" w14:textId="77777777">
      <w:pPr>
        <w:pStyle w:val="Default"/>
      </w:pPr>
    </w:p>
    <w:p w:rsidR="0072033C" w:rsidRPr="00F07850" w:rsidP="00760472" w14:paraId="77ADBCA1" w14:textId="77777777">
      <w:pPr>
        <w:keepNext/>
        <w:numPr>
          <w:ilvl w:val="0"/>
          <w:numId w:val="6"/>
        </w:numPr>
        <w:spacing w:after="200"/>
        <w:rPr>
          <w:rFonts w:eastAsia="Calibri"/>
        </w:rPr>
      </w:pPr>
      <w:r w:rsidRPr="00F07850">
        <w:rPr>
          <w:rFonts w:eastAsia="Calibri"/>
          <w:u w:val="single"/>
        </w:rPr>
        <w:t>Special Circumstances Relating to the Guidelines of 5 CFR 1320.5</w:t>
      </w:r>
    </w:p>
    <w:p w:rsidR="0072033C" w:rsidRPr="00F07850" w:rsidP="00760472" w14:paraId="5F2A5F80" w14:textId="77777777">
      <w:pPr>
        <w:spacing w:after="200"/>
        <w:rPr>
          <w:rFonts w:eastAsia="Calibri"/>
        </w:rPr>
      </w:pPr>
      <w:r w:rsidRPr="00F07850">
        <w:rPr>
          <w:color w:val="000000"/>
        </w:rPr>
        <w:t>This information collection is consistent with 5 CFR 1320.5(d).</w:t>
      </w:r>
    </w:p>
    <w:p w:rsidR="00357C8A" w:rsidRPr="00F07850" w:rsidP="00760472" w14:paraId="779EAACE" w14:textId="77777777">
      <w:pPr>
        <w:numPr>
          <w:ilvl w:val="0"/>
          <w:numId w:val="6"/>
        </w:numPr>
        <w:spacing w:after="200"/>
        <w:rPr>
          <w:rFonts w:eastAsia="Calibri"/>
        </w:rPr>
      </w:pPr>
      <w:r w:rsidRPr="00F07850">
        <w:rPr>
          <w:rFonts w:eastAsia="Calibri"/>
          <w:u w:val="single"/>
        </w:rPr>
        <w:t>Comments in Response to the Federal Register Notice and Efforts to Consult Outside the Agency</w:t>
      </w:r>
    </w:p>
    <w:p w:rsidR="00175722" w:rsidRPr="00B97722" w:rsidP="00B97722" w14:paraId="0C4DBDBF" w14:textId="5740C504">
      <w:pPr>
        <w:spacing w:after="200"/>
        <w:rPr>
          <w:color w:val="000000"/>
        </w:rPr>
      </w:pPr>
      <w:r w:rsidRPr="006D00E3">
        <w:rPr>
          <w:color w:val="000000"/>
        </w:rPr>
        <w:t xml:space="preserve">As required by section 3506(c)(2)(B) of the Paperwork Reduction Act of 1995 (PRA), FDA provided an opportunity for public comment on the information collection requirements of the proposed rule that published in the </w:t>
      </w:r>
      <w:r w:rsidRPr="00356F41" w:rsidR="00356F41">
        <w:rPr>
          <w:color w:val="000000"/>
          <w:u w:val="single"/>
        </w:rPr>
        <w:t>Federal Register</w:t>
      </w:r>
      <w:r w:rsidRPr="006D00E3">
        <w:rPr>
          <w:color w:val="000000"/>
        </w:rPr>
        <w:t xml:space="preserve"> of </w:t>
      </w:r>
      <w:r>
        <w:rPr>
          <w:color w:val="000000"/>
        </w:rPr>
        <w:t>March 28, 2019 (84 FR 11669).</w:t>
      </w:r>
      <w:r w:rsidR="00B97722">
        <w:rPr>
          <w:color w:val="000000"/>
        </w:rPr>
        <w:t xml:space="preserve">  </w:t>
      </w:r>
      <w:r w:rsidR="00B97722">
        <w:t xml:space="preserve">We received several comments related to the proposed rule. Descriptions of the comments and our responses are provided in section V of </w:t>
      </w:r>
      <w:r w:rsidR="00B97722">
        <w:t xml:space="preserve">the </w:t>
      </w:r>
      <w:r w:rsidR="00B97722">
        <w:t>final rule</w:t>
      </w:r>
      <w:r w:rsidR="00B97722">
        <w:t xml:space="preserve"> of March 10, 2023 (88 FR 15126). </w:t>
      </w:r>
      <w:r w:rsidR="00B97722">
        <w:t xml:space="preserve">Comments and responses related to the provisions that underlie the information collection are described in the following sections: V.A, regarding general comments; V.D, regarding retention and release of personnel records; V.E, regarding digital accessories; V.F, regarding facility identification information in mammography report and lay summary; V.G, regarding final and incomplete assessments and lay summaries; V.H, regarding deadlines for mammography reports; V.I, regarding breast density notification--general support for density notification; V.J, regarding breast density notification language; V.K, regarding breast density notification and the role of the referring healthcare provider; V.L, regarding format for image interpretation, retention, transfer, and release of copies; V.M, regarding deadlines for image transfer and the release of copies; V.N, regarding facility closure and mammography record retention; V.O, regarding mammography medical outcomes audit; V.P, regarding patient and referring provider notification; V.Q, regarding revocation of certification; V.X, regarding federalism and the relationship between Federal and State breast density reporting requirements; and V.Y, regarding timeframe for implementation of this rule. </w:t>
      </w:r>
      <w:r w:rsidR="00B97722">
        <w:t xml:space="preserve">No </w:t>
      </w:r>
      <w:r w:rsidR="00B97722">
        <w:t xml:space="preserve">changes </w:t>
      </w:r>
      <w:r w:rsidR="00B97722">
        <w:t xml:space="preserve">were made </w:t>
      </w:r>
      <w:r w:rsidR="00B97722">
        <w:t>to the estimated burden as a result of the comments.</w:t>
      </w:r>
    </w:p>
    <w:p w:rsidR="00357C8A" w:rsidRPr="00F07850" w:rsidP="00760472" w14:paraId="629DE969" w14:textId="77777777">
      <w:pPr>
        <w:numPr>
          <w:ilvl w:val="0"/>
          <w:numId w:val="6"/>
        </w:numPr>
        <w:spacing w:after="200"/>
        <w:rPr>
          <w:rFonts w:eastAsia="Calibri"/>
        </w:rPr>
      </w:pPr>
      <w:r w:rsidRPr="00F07850">
        <w:rPr>
          <w:rFonts w:eastAsia="Calibri"/>
          <w:u w:val="single"/>
        </w:rPr>
        <w:t>Explanation of Any Payment or Gift to Respondents</w:t>
      </w:r>
    </w:p>
    <w:p w:rsidR="00792947" w:rsidRPr="00F07850" w:rsidP="00760472" w14:paraId="5F104133" w14:textId="77777777">
      <w:pPr>
        <w:spacing w:after="200"/>
        <w:rPr>
          <w:rFonts w:eastAsia="Calibri"/>
          <w:i/>
        </w:rPr>
      </w:pPr>
      <w:r w:rsidRPr="00F07850">
        <w:rPr>
          <w:rFonts w:eastAsia="Calibri"/>
        </w:rPr>
        <w:t>There are no incentives, payments or gifts associated with this information collection.</w:t>
      </w:r>
    </w:p>
    <w:p w:rsidR="00357C8A" w:rsidRPr="00F07850" w:rsidP="00760472" w14:paraId="0DA23C7D" w14:textId="77777777">
      <w:pPr>
        <w:numPr>
          <w:ilvl w:val="0"/>
          <w:numId w:val="6"/>
        </w:numPr>
        <w:spacing w:after="200"/>
        <w:rPr>
          <w:rFonts w:eastAsia="Calibri"/>
        </w:rPr>
      </w:pPr>
      <w:r w:rsidRPr="00F07850">
        <w:rPr>
          <w:rFonts w:eastAsia="Calibri"/>
          <w:u w:val="single"/>
        </w:rPr>
        <w:t>Assurance of Confidentiality Provided to Respondents</w:t>
      </w:r>
    </w:p>
    <w:p w:rsidR="00C433D3" w:rsidRPr="00161263" w:rsidP="00760472" w14:paraId="2358C9ED" w14:textId="77777777">
      <w:pPr>
        <w:rPr>
          <w:i/>
          <w:iCs/>
        </w:rPr>
      </w:pPr>
      <w:r w:rsidRPr="00161263">
        <w:rPr>
          <w:i/>
          <w:iCs/>
        </w:rPr>
        <w:t>The Privacy Act of 1974</w:t>
      </w:r>
    </w:p>
    <w:p w:rsidR="00C433D3" w:rsidP="00760472" w14:paraId="6ABA44BE" w14:textId="77777777"/>
    <w:p w:rsidR="005F2853" w:rsidRPr="00F07850" w:rsidP="00760472" w14:paraId="23F73DA9" w14:textId="20474F4F">
      <w:r w:rsidRPr="00F07850">
        <w:t xml:space="preserve">In preparing this </w:t>
      </w:r>
      <w:r w:rsidR="00D549AC">
        <w:t>s</w:t>
      </w:r>
      <w:r w:rsidRPr="00F07850">
        <w:t xml:space="preserve">upporting </w:t>
      </w:r>
      <w:r w:rsidR="00D549AC">
        <w:t>s</w:t>
      </w:r>
      <w:r w:rsidRPr="00F07850">
        <w:t>tatement, we consulted our Privacy Office to ensure appropriate identification and handling of information collected.</w:t>
      </w:r>
      <w:r w:rsidR="00D549AC">
        <w:t xml:space="preserve">  Although t</w:t>
      </w:r>
      <w:r w:rsidRPr="00F07850">
        <w:t>his ICR collects personally identifiable information (PII)</w:t>
      </w:r>
      <w:r w:rsidR="00D549AC">
        <w:t xml:space="preserve">, it is </w:t>
      </w:r>
      <w:r w:rsidRPr="00F07850">
        <w:t>collected in the context of the subject individuals’ professional capacity and the FDA-related work perform</w:t>
      </w:r>
      <w:r w:rsidR="00E17B3F">
        <w:t>ed</w:t>
      </w:r>
      <w:r w:rsidRPr="00F07850">
        <w:t xml:space="preserve"> for their employer (e.g., point of contact at a regulated entity).  The PII submitted </w:t>
      </w:r>
      <w:r w:rsidR="00E17B3F">
        <w:t xml:space="preserve">using </w:t>
      </w:r>
      <w:r w:rsidRPr="00F07850">
        <w:t>FDA Form 3422 (Governmental Entity Declaration) is name, work address, telephone number, and employee identification number (EIN).</w:t>
      </w:r>
      <w:r w:rsidR="00336E4D">
        <w:t xml:space="preserve">  We have </w:t>
      </w:r>
      <w:r w:rsidRPr="00F07850">
        <w:t xml:space="preserve">determined that although PII is collected, the collection is not subject to the Privacy Act of 1974 and the particular notice and other requirements of the </w:t>
      </w:r>
      <w:r w:rsidR="00336E4D">
        <w:t xml:space="preserve">Privacy </w:t>
      </w:r>
      <w:r w:rsidRPr="00F07850">
        <w:t>Act do not apply.</w:t>
      </w:r>
      <w:r w:rsidR="00336E4D">
        <w:t xml:space="preserve">  </w:t>
      </w:r>
      <w:r w:rsidRPr="00F07850">
        <w:t xml:space="preserve">Specifically, FDA does not use name or any other personal identifier to retrieve records from the information collected. </w:t>
      </w:r>
      <w:r w:rsidR="00E63145">
        <w:t>FDA also</w:t>
      </w:r>
      <w:r w:rsidRPr="00F07850">
        <w:t xml:space="preserve"> minimized the PII </w:t>
      </w:r>
      <w:r w:rsidR="005444A9">
        <w:t xml:space="preserve">to be </w:t>
      </w:r>
      <w:r w:rsidRPr="00F07850">
        <w:t>collected to protect the privacy of the individuals.</w:t>
      </w:r>
    </w:p>
    <w:p w:rsidR="005F2853" w:rsidRPr="00F07850" w:rsidP="00760472" w14:paraId="5F05435A" w14:textId="77777777"/>
    <w:p w:rsidR="00C433D3" w:rsidP="00760472" w14:paraId="2D11E52D" w14:textId="4D713332">
      <w:pPr>
        <w:spacing w:after="200"/>
      </w:pPr>
      <w:r w:rsidRPr="00161263">
        <w:rPr>
          <w:i/>
          <w:iCs/>
        </w:rPr>
        <w:t>The Freedom of Information Act (FOIA</w:t>
      </w:r>
      <w:r w:rsidR="00161263">
        <w:t>)</w:t>
      </w:r>
    </w:p>
    <w:p w:rsidR="00A47F3B" w:rsidRPr="00F07850" w:rsidP="00760472" w14:paraId="1CFFC29D" w14:textId="71C505B0">
      <w:pPr>
        <w:spacing w:after="200"/>
      </w:pPr>
      <w:r w:rsidRPr="00F07850">
        <w:t xml:space="preserve">Under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r w:rsidRPr="007A4B96">
        <w:rPr>
          <w:rFonts w:eastAsia="Calibri"/>
        </w:rPr>
        <w:t>Mammography facility information submitted to FDA under 21 CFR Part 900 are releasable under the FOIA as set forth in 21 CFR Part 20.</w:t>
      </w:r>
      <w:r w:rsidRPr="007A4B96" w:rsidR="006A471C">
        <w:rPr>
          <w:rFonts w:eastAsia="Calibri"/>
        </w:rPr>
        <w:t xml:space="preserve"> </w:t>
      </w:r>
    </w:p>
    <w:p w:rsidR="00357C8A" w:rsidRPr="00F07850" w:rsidP="00760472" w14:paraId="00FBD7AE" w14:textId="77EA1DF7">
      <w:pPr>
        <w:numPr>
          <w:ilvl w:val="0"/>
          <w:numId w:val="6"/>
        </w:numPr>
        <w:spacing w:after="200"/>
        <w:rPr>
          <w:rFonts w:eastAsia="Calibri"/>
        </w:rPr>
      </w:pPr>
      <w:r w:rsidRPr="00F07850">
        <w:rPr>
          <w:rFonts w:eastAsia="Calibri"/>
          <w:u w:val="single"/>
        </w:rPr>
        <w:t>Justification for Sensitive Questions</w:t>
      </w:r>
    </w:p>
    <w:p w:rsidR="00357C8A" w:rsidRPr="00F07850" w:rsidP="00760472" w14:paraId="588DD8B2" w14:textId="77777777">
      <w:pPr>
        <w:spacing w:after="200"/>
        <w:rPr>
          <w:rFonts w:eastAsia="Calibri"/>
          <w:iCs/>
        </w:rPr>
      </w:pPr>
      <w:r w:rsidRPr="00F07850">
        <w:rPr>
          <w:rFonts w:eastAsia="Calibri"/>
          <w:iCs/>
        </w:rPr>
        <w:t>The collection of information does not involve sensitive questions.</w:t>
      </w:r>
    </w:p>
    <w:p w:rsidR="00357C8A" w:rsidRPr="00F07850" w:rsidP="00760472" w14:paraId="3E2818A5" w14:textId="0AC5E095">
      <w:pPr>
        <w:numPr>
          <w:ilvl w:val="0"/>
          <w:numId w:val="6"/>
        </w:numPr>
        <w:spacing w:after="200"/>
        <w:rPr>
          <w:rFonts w:eastAsia="Calibri"/>
          <w:u w:val="single"/>
        </w:rPr>
      </w:pPr>
      <w:r w:rsidRPr="00F07850">
        <w:rPr>
          <w:rFonts w:eastAsia="Calibri"/>
          <w:u w:val="single"/>
        </w:rPr>
        <w:t>Estimates of Annualized Burden Hours and Cost</w:t>
      </w:r>
    </w:p>
    <w:p w:rsidR="0075195E" w:rsidP="00246D08" w14:paraId="64D918B2" w14:textId="0D5EA39B">
      <w:pPr>
        <w:spacing w:after="200"/>
        <w:ind w:firstLine="360"/>
        <w:rPr>
          <w:rFonts w:eastAsia="Calibri"/>
        </w:rPr>
      </w:pPr>
      <w:r w:rsidRPr="00336E4D">
        <w:rPr>
          <w:rFonts w:eastAsia="Calibri"/>
          <w:i/>
          <w:iCs/>
        </w:rPr>
        <w:t>12a.  Annualized Hour Burden Estimate</w:t>
      </w:r>
    </w:p>
    <w:p w:rsidR="00742E98" w:rsidRPr="0075195E" w:rsidP="00742E98" w14:paraId="02B7387F" w14:textId="17092431">
      <w:pPr>
        <w:spacing w:after="200"/>
        <w:ind w:firstLine="360"/>
        <w:jc w:val="center"/>
        <w:rPr>
          <w:rFonts w:eastAsia="Calibri"/>
        </w:rPr>
      </w:pPr>
      <w:r>
        <w:rPr>
          <w:rFonts w:eastAsia="Calibri"/>
        </w:rPr>
        <w:t>Table 1 – Estimated Annual Recordkeeping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0"/>
        <w:gridCol w:w="1440"/>
        <w:gridCol w:w="1151"/>
        <w:gridCol w:w="1099"/>
        <w:gridCol w:w="1371"/>
        <w:gridCol w:w="911"/>
        <w:gridCol w:w="1223"/>
      </w:tblGrid>
      <w:tr w14:paraId="78716778" w14:textId="77777777" w:rsidTr="00AB3D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jc w:val="center"/>
        </w:trPr>
        <w:tc>
          <w:tcPr>
            <w:tcW w:w="2250" w:type="dxa"/>
            <w:shd w:val="clear" w:color="auto" w:fill="auto"/>
          </w:tcPr>
          <w:p w:rsidR="00742E98" w:rsidRPr="0075195E" w:rsidP="0075195E" w14:paraId="64DBAC41" w14:textId="63EF803C">
            <w:pPr>
              <w:keepNext/>
              <w:jc w:val="center"/>
              <w:rPr>
                <w:rFonts w:eastAsiaTheme="minorHAnsi"/>
                <w:sz w:val="19"/>
                <w:szCs w:val="19"/>
              </w:rPr>
            </w:pPr>
            <w:r w:rsidRPr="0075195E">
              <w:rPr>
                <w:rFonts w:eastAsiaTheme="minorHAnsi"/>
                <w:sz w:val="19"/>
                <w:szCs w:val="19"/>
              </w:rPr>
              <w:t xml:space="preserve">21 CFR </w:t>
            </w:r>
            <w:r w:rsidRPr="00742E98">
              <w:rPr>
                <w:rFonts w:eastAsiaTheme="minorHAnsi"/>
                <w:sz w:val="19"/>
                <w:szCs w:val="19"/>
              </w:rPr>
              <w:t>900; Revised Regulations</w:t>
            </w:r>
          </w:p>
        </w:tc>
        <w:tc>
          <w:tcPr>
            <w:tcW w:w="1440" w:type="dxa"/>
            <w:shd w:val="clear" w:color="auto" w:fill="auto"/>
          </w:tcPr>
          <w:p w:rsidR="00742E98" w:rsidRPr="0075195E" w:rsidP="00742E98" w14:paraId="5A6C340B" w14:textId="54BE2D10">
            <w:pPr>
              <w:keepNext/>
              <w:ind w:left="-110"/>
              <w:jc w:val="center"/>
              <w:rPr>
                <w:rFonts w:eastAsiaTheme="minorHAnsi"/>
                <w:sz w:val="19"/>
                <w:szCs w:val="19"/>
              </w:rPr>
            </w:pPr>
            <w:r w:rsidRPr="0075195E">
              <w:rPr>
                <w:rFonts w:eastAsiaTheme="minorHAnsi"/>
                <w:sz w:val="19"/>
                <w:szCs w:val="19"/>
              </w:rPr>
              <w:t>No. of Recordkeepers</w:t>
            </w:r>
          </w:p>
        </w:tc>
        <w:tc>
          <w:tcPr>
            <w:tcW w:w="1151" w:type="dxa"/>
            <w:shd w:val="clear" w:color="auto" w:fill="auto"/>
          </w:tcPr>
          <w:p w:rsidR="00742E98" w:rsidRPr="00742E98" w:rsidP="0075195E" w14:paraId="51A13AE3" w14:textId="77777777">
            <w:pPr>
              <w:keepNext/>
              <w:jc w:val="center"/>
              <w:rPr>
                <w:rFonts w:eastAsiaTheme="minorHAnsi"/>
                <w:sz w:val="19"/>
                <w:szCs w:val="19"/>
              </w:rPr>
            </w:pPr>
            <w:r w:rsidRPr="0075195E">
              <w:rPr>
                <w:rFonts w:eastAsiaTheme="minorHAnsi"/>
                <w:sz w:val="19"/>
                <w:szCs w:val="19"/>
              </w:rPr>
              <w:t>Records per Record</w:t>
            </w:r>
          </w:p>
          <w:p w:rsidR="00742E98" w:rsidRPr="0075195E" w:rsidP="0075195E" w14:paraId="0415828F" w14:textId="7522C30A">
            <w:pPr>
              <w:keepNext/>
              <w:jc w:val="center"/>
              <w:rPr>
                <w:rFonts w:eastAsiaTheme="minorHAnsi"/>
                <w:sz w:val="19"/>
                <w:szCs w:val="19"/>
              </w:rPr>
            </w:pPr>
            <w:r w:rsidRPr="0075195E">
              <w:rPr>
                <w:rFonts w:eastAsiaTheme="minorHAnsi"/>
                <w:sz w:val="19"/>
                <w:szCs w:val="19"/>
              </w:rPr>
              <w:t>keeper</w:t>
            </w:r>
          </w:p>
        </w:tc>
        <w:tc>
          <w:tcPr>
            <w:tcW w:w="1099" w:type="dxa"/>
            <w:shd w:val="clear" w:color="auto" w:fill="auto"/>
          </w:tcPr>
          <w:p w:rsidR="00742E98" w:rsidRPr="0075195E" w:rsidP="0075195E" w14:paraId="483E6564" w14:textId="77777777">
            <w:pPr>
              <w:keepNext/>
              <w:jc w:val="center"/>
              <w:rPr>
                <w:rFonts w:eastAsiaTheme="minorHAnsi"/>
                <w:sz w:val="19"/>
                <w:szCs w:val="19"/>
              </w:rPr>
            </w:pPr>
            <w:r w:rsidRPr="0075195E">
              <w:rPr>
                <w:rFonts w:eastAsiaTheme="minorHAnsi"/>
                <w:sz w:val="19"/>
                <w:szCs w:val="19"/>
              </w:rPr>
              <w:t>Total Annual Records</w:t>
            </w:r>
          </w:p>
        </w:tc>
        <w:tc>
          <w:tcPr>
            <w:tcW w:w="1371" w:type="dxa"/>
            <w:shd w:val="clear" w:color="auto" w:fill="auto"/>
          </w:tcPr>
          <w:p w:rsidR="00742E98" w:rsidRPr="0075195E" w:rsidP="0075195E" w14:paraId="1CC48512" w14:textId="77777777">
            <w:pPr>
              <w:keepNext/>
              <w:jc w:val="center"/>
              <w:rPr>
                <w:rFonts w:eastAsiaTheme="minorHAnsi"/>
                <w:sz w:val="19"/>
                <w:szCs w:val="19"/>
              </w:rPr>
            </w:pPr>
            <w:r w:rsidRPr="0075195E">
              <w:rPr>
                <w:rFonts w:eastAsiaTheme="minorHAnsi"/>
                <w:sz w:val="19"/>
                <w:szCs w:val="19"/>
              </w:rPr>
              <w:t>Average Burden per Recordkeeping</w:t>
            </w:r>
          </w:p>
        </w:tc>
        <w:tc>
          <w:tcPr>
            <w:tcW w:w="911" w:type="dxa"/>
            <w:shd w:val="clear" w:color="auto" w:fill="auto"/>
          </w:tcPr>
          <w:p w:rsidR="00742E98" w:rsidRPr="0075195E" w:rsidP="0075195E" w14:paraId="3A31D1EA" w14:textId="77777777">
            <w:pPr>
              <w:keepNext/>
              <w:jc w:val="center"/>
              <w:rPr>
                <w:rFonts w:eastAsiaTheme="minorHAnsi"/>
                <w:sz w:val="19"/>
                <w:szCs w:val="19"/>
              </w:rPr>
            </w:pPr>
            <w:r w:rsidRPr="0075195E">
              <w:rPr>
                <w:rFonts w:eastAsiaTheme="minorHAnsi"/>
                <w:sz w:val="19"/>
                <w:szCs w:val="19"/>
              </w:rPr>
              <w:t>Total Hours</w:t>
            </w:r>
          </w:p>
        </w:tc>
        <w:tc>
          <w:tcPr>
            <w:tcW w:w="1223" w:type="dxa"/>
          </w:tcPr>
          <w:p w:rsidR="00742E98" w:rsidRPr="0075195E" w:rsidP="0075195E" w14:paraId="244ED7B3" w14:textId="1D702E00">
            <w:pPr>
              <w:keepNext/>
              <w:jc w:val="center"/>
              <w:rPr>
                <w:rFonts w:eastAsiaTheme="minorHAnsi"/>
                <w:sz w:val="19"/>
                <w:szCs w:val="19"/>
              </w:rPr>
            </w:pPr>
            <w:r w:rsidRPr="0075195E">
              <w:rPr>
                <w:rFonts w:eastAsiaTheme="minorHAnsi"/>
                <w:sz w:val="19"/>
                <w:szCs w:val="19"/>
              </w:rPr>
              <w:t>Capital Costs</w:t>
            </w:r>
          </w:p>
        </w:tc>
      </w:tr>
      <w:tr w14:paraId="5FFB00CC" w14:textId="77777777" w:rsidTr="00AB3DE1">
        <w:tblPrEx>
          <w:tblW w:w="0" w:type="auto"/>
          <w:jc w:val="center"/>
          <w:tblLayout w:type="fixed"/>
          <w:tblLook w:val="04A0"/>
        </w:tblPrEx>
        <w:trPr>
          <w:cantSplit/>
          <w:jc w:val="center"/>
        </w:trPr>
        <w:tc>
          <w:tcPr>
            <w:tcW w:w="2250" w:type="dxa"/>
            <w:shd w:val="clear" w:color="auto" w:fill="auto"/>
          </w:tcPr>
          <w:p w:rsidR="00742E98" w:rsidRPr="0075195E" w:rsidP="0075195E" w14:paraId="319B5A82" w14:textId="5594B79D">
            <w:pPr>
              <w:keepNext/>
              <w:rPr>
                <w:rFonts w:eastAsiaTheme="minorHAnsi"/>
                <w:sz w:val="20"/>
                <w:szCs w:val="20"/>
              </w:rPr>
            </w:pPr>
            <w:r>
              <w:rPr>
                <w:rFonts w:eastAsiaTheme="minorHAnsi"/>
                <w:sz w:val="20"/>
                <w:szCs w:val="20"/>
              </w:rPr>
              <w:t>900.12; quality standards</w:t>
            </w:r>
          </w:p>
        </w:tc>
        <w:tc>
          <w:tcPr>
            <w:tcW w:w="1440" w:type="dxa"/>
            <w:shd w:val="clear" w:color="auto" w:fill="auto"/>
          </w:tcPr>
          <w:p w:rsidR="00742E98" w:rsidRPr="0075195E" w:rsidP="0075195E" w14:paraId="2FEC0711" w14:textId="77777777">
            <w:pPr>
              <w:keepNext/>
              <w:jc w:val="right"/>
              <w:rPr>
                <w:rFonts w:eastAsiaTheme="minorHAnsi"/>
                <w:sz w:val="20"/>
                <w:szCs w:val="20"/>
              </w:rPr>
            </w:pPr>
            <w:r w:rsidRPr="0075195E">
              <w:rPr>
                <w:rFonts w:eastAsiaTheme="minorHAnsi"/>
                <w:sz w:val="20"/>
                <w:szCs w:val="20"/>
              </w:rPr>
              <w:t>8,781</w:t>
            </w:r>
          </w:p>
        </w:tc>
        <w:tc>
          <w:tcPr>
            <w:tcW w:w="1151" w:type="dxa"/>
            <w:shd w:val="clear" w:color="auto" w:fill="auto"/>
          </w:tcPr>
          <w:p w:rsidR="00742E98" w:rsidRPr="0075195E" w:rsidP="0075195E" w14:paraId="0CD7E8DA" w14:textId="77777777">
            <w:pPr>
              <w:keepNext/>
              <w:jc w:val="right"/>
              <w:rPr>
                <w:rFonts w:eastAsiaTheme="minorHAnsi"/>
                <w:sz w:val="20"/>
                <w:szCs w:val="20"/>
              </w:rPr>
            </w:pPr>
            <w:r w:rsidRPr="0075195E">
              <w:rPr>
                <w:rFonts w:eastAsiaTheme="minorHAnsi"/>
                <w:sz w:val="20"/>
                <w:szCs w:val="20"/>
              </w:rPr>
              <w:t>1</w:t>
            </w:r>
          </w:p>
        </w:tc>
        <w:tc>
          <w:tcPr>
            <w:tcW w:w="1099" w:type="dxa"/>
            <w:shd w:val="clear" w:color="auto" w:fill="auto"/>
          </w:tcPr>
          <w:p w:rsidR="00742E98" w:rsidRPr="0075195E" w:rsidP="0075195E" w14:paraId="520CA639" w14:textId="77777777">
            <w:pPr>
              <w:keepNext/>
              <w:jc w:val="right"/>
              <w:rPr>
                <w:rFonts w:eastAsiaTheme="minorHAnsi"/>
                <w:sz w:val="20"/>
                <w:szCs w:val="20"/>
              </w:rPr>
            </w:pPr>
            <w:r w:rsidRPr="0075195E">
              <w:rPr>
                <w:rFonts w:eastAsiaTheme="minorHAnsi"/>
                <w:sz w:val="20"/>
                <w:szCs w:val="20"/>
              </w:rPr>
              <w:t>8,781</w:t>
            </w:r>
          </w:p>
        </w:tc>
        <w:tc>
          <w:tcPr>
            <w:tcW w:w="1371" w:type="dxa"/>
            <w:shd w:val="clear" w:color="auto" w:fill="auto"/>
          </w:tcPr>
          <w:p w:rsidR="00742E98" w:rsidRPr="0075195E" w:rsidP="0075195E" w14:paraId="4A51A6EF" w14:textId="77777777">
            <w:pPr>
              <w:keepNext/>
              <w:jc w:val="right"/>
              <w:rPr>
                <w:rFonts w:eastAsiaTheme="minorHAnsi"/>
                <w:sz w:val="20"/>
                <w:szCs w:val="20"/>
              </w:rPr>
            </w:pPr>
            <w:r w:rsidRPr="0075195E">
              <w:rPr>
                <w:rFonts w:eastAsiaTheme="minorHAnsi"/>
                <w:sz w:val="20"/>
                <w:szCs w:val="20"/>
              </w:rPr>
              <w:t>16</w:t>
            </w:r>
          </w:p>
        </w:tc>
        <w:tc>
          <w:tcPr>
            <w:tcW w:w="911" w:type="dxa"/>
            <w:shd w:val="clear" w:color="auto" w:fill="auto"/>
          </w:tcPr>
          <w:p w:rsidR="00742E98" w:rsidRPr="0075195E" w:rsidP="0075195E" w14:paraId="397DEA94" w14:textId="77777777">
            <w:pPr>
              <w:keepNext/>
              <w:jc w:val="right"/>
              <w:rPr>
                <w:rFonts w:eastAsiaTheme="minorHAnsi"/>
                <w:sz w:val="20"/>
                <w:szCs w:val="20"/>
              </w:rPr>
            </w:pPr>
            <w:r w:rsidRPr="0075195E">
              <w:rPr>
                <w:rFonts w:eastAsiaTheme="minorHAnsi"/>
                <w:sz w:val="20"/>
                <w:szCs w:val="20"/>
              </w:rPr>
              <w:t>140,496</w:t>
            </w:r>
          </w:p>
        </w:tc>
        <w:tc>
          <w:tcPr>
            <w:tcW w:w="1223" w:type="dxa"/>
          </w:tcPr>
          <w:p w:rsidR="00742E98" w:rsidRPr="0075195E" w:rsidP="0075195E" w14:paraId="2E9CFBBF" w14:textId="77777777">
            <w:pPr>
              <w:keepNext/>
              <w:jc w:val="right"/>
              <w:rPr>
                <w:rFonts w:eastAsiaTheme="minorHAnsi"/>
                <w:sz w:val="20"/>
                <w:szCs w:val="20"/>
              </w:rPr>
            </w:pPr>
            <w:r w:rsidRPr="0075195E">
              <w:rPr>
                <w:rFonts w:eastAsiaTheme="minorHAnsi"/>
                <w:sz w:val="20"/>
                <w:szCs w:val="20"/>
              </w:rPr>
              <w:t>$2,496,452</w:t>
            </w:r>
          </w:p>
        </w:tc>
      </w:tr>
    </w:tbl>
    <w:p w:rsidR="00742E98" w:rsidP="00742E98" w14:paraId="0C7F348C" w14:textId="77777777">
      <w:pPr>
        <w:spacing w:line="480" w:lineRule="auto"/>
        <w:contextualSpacing/>
      </w:pPr>
    </w:p>
    <w:p w:rsidR="0075195E" w:rsidRPr="0075195E" w:rsidP="00742E98" w14:paraId="3B5A8E1E" w14:textId="4C69A8D8">
      <w:pPr>
        <w:spacing w:line="480" w:lineRule="auto"/>
        <w:contextualSpacing/>
        <w:jc w:val="center"/>
      </w:pPr>
      <w:r>
        <w:t>Table 2 – Estimated Annual Disclosures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0"/>
        <w:gridCol w:w="1440"/>
        <w:gridCol w:w="1260"/>
        <w:gridCol w:w="1170"/>
        <w:gridCol w:w="1170"/>
        <w:gridCol w:w="1080"/>
        <w:gridCol w:w="1170"/>
      </w:tblGrid>
      <w:tr w14:paraId="6E711F38" w14:textId="77777777" w:rsidTr="00AB3D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jc w:val="center"/>
        </w:trPr>
        <w:tc>
          <w:tcPr>
            <w:tcW w:w="2250" w:type="dxa"/>
            <w:shd w:val="clear" w:color="auto" w:fill="auto"/>
          </w:tcPr>
          <w:p w:rsidR="00742E98" w:rsidRPr="0075195E" w:rsidP="0075195E" w14:paraId="607F0BCE" w14:textId="23CBEBAA">
            <w:pPr>
              <w:contextualSpacing/>
              <w:jc w:val="center"/>
              <w:rPr>
                <w:sz w:val="19"/>
                <w:szCs w:val="19"/>
              </w:rPr>
            </w:pPr>
            <w:bookmarkStart w:id="0" w:name="_Hlk54363164"/>
            <w:r w:rsidRPr="0075195E">
              <w:rPr>
                <w:sz w:val="19"/>
                <w:szCs w:val="19"/>
              </w:rPr>
              <w:t xml:space="preserve">21 CFR </w:t>
            </w:r>
            <w:r w:rsidRPr="00742E98">
              <w:rPr>
                <w:sz w:val="19"/>
                <w:szCs w:val="19"/>
              </w:rPr>
              <w:t>900; Revised Regulations</w:t>
            </w:r>
          </w:p>
        </w:tc>
        <w:tc>
          <w:tcPr>
            <w:tcW w:w="1440" w:type="dxa"/>
            <w:shd w:val="clear" w:color="auto" w:fill="auto"/>
          </w:tcPr>
          <w:p w:rsidR="00742E98" w:rsidRPr="0075195E" w:rsidP="0075195E" w14:paraId="04F4D55A" w14:textId="77777777">
            <w:pPr>
              <w:contextualSpacing/>
              <w:jc w:val="center"/>
              <w:rPr>
                <w:sz w:val="19"/>
                <w:szCs w:val="19"/>
              </w:rPr>
            </w:pPr>
            <w:r w:rsidRPr="0075195E">
              <w:rPr>
                <w:sz w:val="19"/>
                <w:szCs w:val="19"/>
              </w:rPr>
              <w:t>No. of Respondents</w:t>
            </w:r>
          </w:p>
        </w:tc>
        <w:tc>
          <w:tcPr>
            <w:tcW w:w="1260" w:type="dxa"/>
            <w:shd w:val="clear" w:color="auto" w:fill="auto"/>
          </w:tcPr>
          <w:p w:rsidR="00742E98" w:rsidRPr="0075195E" w:rsidP="0075195E" w14:paraId="3FA9864F" w14:textId="5CEA0B1D">
            <w:pPr>
              <w:keepNext/>
              <w:contextualSpacing/>
              <w:jc w:val="center"/>
              <w:rPr>
                <w:sz w:val="19"/>
                <w:szCs w:val="19"/>
              </w:rPr>
            </w:pPr>
            <w:r w:rsidRPr="0075195E">
              <w:rPr>
                <w:sz w:val="19"/>
                <w:szCs w:val="19"/>
              </w:rPr>
              <w:t>Disclosures per Respondent</w:t>
            </w:r>
          </w:p>
        </w:tc>
        <w:tc>
          <w:tcPr>
            <w:tcW w:w="1170" w:type="dxa"/>
            <w:shd w:val="clear" w:color="auto" w:fill="auto"/>
          </w:tcPr>
          <w:p w:rsidR="00742E98" w:rsidRPr="0075195E" w:rsidP="0075195E" w14:paraId="65924968" w14:textId="77777777">
            <w:pPr>
              <w:contextualSpacing/>
              <w:jc w:val="center"/>
              <w:rPr>
                <w:sz w:val="19"/>
                <w:szCs w:val="19"/>
              </w:rPr>
            </w:pPr>
            <w:r w:rsidRPr="0075195E">
              <w:rPr>
                <w:sz w:val="19"/>
                <w:szCs w:val="19"/>
              </w:rPr>
              <w:t>Total Annual Disclosures</w:t>
            </w:r>
          </w:p>
        </w:tc>
        <w:tc>
          <w:tcPr>
            <w:tcW w:w="1170" w:type="dxa"/>
            <w:shd w:val="clear" w:color="auto" w:fill="auto"/>
          </w:tcPr>
          <w:p w:rsidR="00742E98" w:rsidRPr="0075195E" w:rsidP="0075195E" w14:paraId="38170A46" w14:textId="5B772C37">
            <w:pPr>
              <w:contextualSpacing/>
              <w:jc w:val="center"/>
              <w:rPr>
                <w:sz w:val="19"/>
                <w:szCs w:val="19"/>
              </w:rPr>
            </w:pPr>
            <w:r w:rsidRPr="0075195E">
              <w:rPr>
                <w:sz w:val="19"/>
                <w:szCs w:val="19"/>
              </w:rPr>
              <w:t>Ave</w:t>
            </w:r>
            <w:r w:rsidRPr="00742E98">
              <w:rPr>
                <w:sz w:val="19"/>
                <w:szCs w:val="19"/>
              </w:rPr>
              <w:t>rage</w:t>
            </w:r>
            <w:r w:rsidRPr="0075195E">
              <w:rPr>
                <w:sz w:val="19"/>
                <w:szCs w:val="19"/>
              </w:rPr>
              <w:t xml:space="preserve"> Burden per Disclosure</w:t>
            </w:r>
          </w:p>
        </w:tc>
        <w:tc>
          <w:tcPr>
            <w:tcW w:w="1080" w:type="dxa"/>
            <w:shd w:val="clear" w:color="auto" w:fill="auto"/>
          </w:tcPr>
          <w:p w:rsidR="00742E98" w:rsidRPr="0075195E" w:rsidP="0075195E" w14:paraId="66F2040E" w14:textId="77777777">
            <w:pPr>
              <w:contextualSpacing/>
              <w:jc w:val="center"/>
              <w:rPr>
                <w:sz w:val="19"/>
                <w:szCs w:val="19"/>
              </w:rPr>
            </w:pPr>
            <w:r w:rsidRPr="0075195E">
              <w:rPr>
                <w:sz w:val="19"/>
                <w:szCs w:val="19"/>
              </w:rPr>
              <w:t>Total Hours</w:t>
            </w:r>
          </w:p>
        </w:tc>
        <w:tc>
          <w:tcPr>
            <w:tcW w:w="1170" w:type="dxa"/>
          </w:tcPr>
          <w:p w:rsidR="00742E98" w:rsidRPr="0075195E" w:rsidP="0075195E" w14:paraId="6D928B1D" w14:textId="13E714B8">
            <w:pPr>
              <w:contextualSpacing/>
              <w:jc w:val="center"/>
              <w:rPr>
                <w:sz w:val="19"/>
                <w:szCs w:val="19"/>
              </w:rPr>
            </w:pPr>
            <w:r w:rsidRPr="0075195E">
              <w:rPr>
                <w:sz w:val="19"/>
                <w:szCs w:val="19"/>
              </w:rPr>
              <w:t>Capital Costs</w:t>
            </w:r>
          </w:p>
        </w:tc>
      </w:tr>
      <w:tr w14:paraId="0E8C4DCF" w14:textId="77777777" w:rsidTr="00AB3DE1">
        <w:tblPrEx>
          <w:tblW w:w="0" w:type="auto"/>
          <w:jc w:val="center"/>
          <w:tblLayout w:type="fixed"/>
          <w:tblLook w:val="04A0"/>
        </w:tblPrEx>
        <w:trPr>
          <w:cantSplit/>
          <w:jc w:val="center"/>
        </w:trPr>
        <w:tc>
          <w:tcPr>
            <w:tcW w:w="2250" w:type="dxa"/>
            <w:shd w:val="clear" w:color="auto" w:fill="auto"/>
          </w:tcPr>
          <w:p w:rsidR="00742E98" w:rsidRPr="0075195E" w:rsidP="0075195E" w14:paraId="04C7980A" w14:textId="77777777">
            <w:pPr>
              <w:contextualSpacing/>
              <w:rPr>
                <w:sz w:val="20"/>
                <w:szCs w:val="20"/>
              </w:rPr>
            </w:pPr>
            <w:r w:rsidRPr="0075195E">
              <w:rPr>
                <w:sz w:val="20"/>
                <w:szCs w:val="20"/>
              </w:rPr>
              <w:t>Provision of personnel records to IPs--900.12(a)(4)</w:t>
            </w:r>
          </w:p>
        </w:tc>
        <w:tc>
          <w:tcPr>
            <w:tcW w:w="1440" w:type="dxa"/>
            <w:shd w:val="clear" w:color="auto" w:fill="auto"/>
          </w:tcPr>
          <w:p w:rsidR="00742E98" w:rsidRPr="0075195E" w:rsidP="0075195E" w14:paraId="7820724C" w14:textId="77777777">
            <w:pPr>
              <w:contextualSpacing/>
              <w:jc w:val="right"/>
              <w:rPr>
                <w:sz w:val="20"/>
                <w:szCs w:val="20"/>
              </w:rPr>
            </w:pPr>
            <w:r w:rsidRPr="0075195E">
              <w:rPr>
                <w:sz w:val="20"/>
                <w:szCs w:val="20"/>
              </w:rPr>
              <w:t>615</w:t>
            </w:r>
          </w:p>
        </w:tc>
        <w:tc>
          <w:tcPr>
            <w:tcW w:w="1260" w:type="dxa"/>
            <w:shd w:val="clear" w:color="auto" w:fill="auto"/>
          </w:tcPr>
          <w:p w:rsidR="00742E98" w:rsidRPr="0075195E" w:rsidP="0075195E" w14:paraId="0FCDD66F" w14:textId="77777777">
            <w:pPr>
              <w:contextualSpacing/>
              <w:jc w:val="right"/>
              <w:rPr>
                <w:sz w:val="20"/>
                <w:szCs w:val="20"/>
              </w:rPr>
            </w:pPr>
            <w:r w:rsidRPr="0075195E">
              <w:rPr>
                <w:sz w:val="20"/>
                <w:szCs w:val="20"/>
              </w:rPr>
              <w:t>1</w:t>
            </w:r>
          </w:p>
        </w:tc>
        <w:tc>
          <w:tcPr>
            <w:tcW w:w="1170" w:type="dxa"/>
            <w:shd w:val="clear" w:color="auto" w:fill="auto"/>
          </w:tcPr>
          <w:p w:rsidR="00742E98" w:rsidRPr="0075195E" w:rsidP="0075195E" w14:paraId="66A80782" w14:textId="77777777">
            <w:pPr>
              <w:contextualSpacing/>
              <w:jc w:val="right"/>
              <w:rPr>
                <w:sz w:val="20"/>
                <w:szCs w:val="20"/>
              </w:rPr>
            </w:pPr>
            <w:r w:rsidRPr="0075195E">
              <w:rPr>
                <w:sz w:val="20"/>
                <w:szCs w:val="20"/>
              </w:rPr>
              <w:t>615</w:t>
            </w:r>
          </w:p>
        </w:tc>
        <w:tc>
          <w:tcPr>
            <w:tcW w:w="1170" w:type="dxa"/>
            <w:shd w:val="clear" w:color="auto" w:fill="auto"/>
          </w:tcPr>
          <w:p w:rsidR="00742E98" w:rsidRPr="0075195E" w:rsidP="0075195E" w14:paraId="5735065A" w14:textId="77777777">
            <w:pPr>
              <w:contextualSpacing/>
              <w:jc w:val="right"/>
              <w:rPr>
                <w:sz w:val="20"/>
                <w:szCs w:val="20"/>
              </w:rPr>
            </w:pPr>
            <w:r w:rsidRPr="0075195E">
              <w:rPr>
                <w:sz w:val="20"/>
                <w:szCs w:val="20"/>
              </w:rPr>
              <w:t>0.08</w:t>
            </w:r>
          </w:p>
          <w:p w:rsidR="00742E98" w:rsidRPr="0075195E" w:rsidP="0075195E" w14:paraId="28419BC4" w14:textId="05FCDE3F">
            <w:pPr>
              <w:contextualSpacing/>
              <w:jc w:val="right"/>
              <w:rPr>
                <w:sz w:val="20"/>
                <w:szCs w:val="20"/>
              </w:rPr>
            </w:pPr>
            <w:r w:rsidRPr="0075195E">
              <w:rPr>
                <w:sz w:val="20"/>
                <w:szCs w:val="20"/>
              </w:rPr>
              <w:t>(5 mins)</w:t>
            </w:r>
            <w:r w:rsidRPr="0075195E">
              <w:rPr>
                <w:sz w:val="16"/>
                <w:szCs w:val="16"/>
              </w:rPr>
              <w:t xml:space="preserve"> </w:t>
            </w:r>
          </w:p>
        </w:tc>
        <w:tc>
          <w:tcPr>
            <w:tcW w:w="1080" w:type="dxa"/>
            <w:shd w:val="clear" w:color="auto" w:fill="auto"/>
          </w:tcPr>
          <w:p w:rsidR="00742E98" w:rsidRPr="0075195E" w:rsidP="0075195E" w14:paraId="78016559" w14:textId="77777777">
            <w:pPr>
              <w:contextualSpacing/>
              <w:jc w:val="right"/>
              <w:rPr>
                <w:sz w:val="20"/>
                <w:szCs w:val="20"/>
              </w:rPr>
            </w:pPr>
            <w:r w:rsidRPr="0075195E">
              <w:rPr>
                <w:sz w:val="20"/>
                <w:szCs w:val="20"/>
              </w:rPr>
              <w:t>49</w:t>
            </w:r>
          </w:p>
        </w:tc>
        <w:tc>
          <w:tcPr>
            <w:tcW w:w="1170" w:type="dxa"/>
          </w:tcPr>
          <w:p w:rsidR="00742E98" w:rsidRPr="0075195E" w:rsidP="0075195E" w14:paraId="6899FB8B" w14:textId="77777777">
            <w:pPr>
              <w:contextualSpacing/>
              <w:jc w:val="right"/>
              <w:rPr>
                <w:sz w:val="20"/>
                <w:szCs w:val="20"/>
              </w:rPr>
            </w:pPr>
          </w:p>
        </w:tc>
      </w:tr>
      <w:tr w14:paraId="3D07430A" w14:textId="77777777" w:rsidTr="00AB3DE1">
        <w:tblPrEx>
          <w:tblW w:w="0" w:type="auto"/>
          <w:jc w:val="center"/>
          <w:tblLayout w:type="fixed"/>
          <w:tblLook w:val="04A0"/>
        </w:tblPrEx>
        <w:trPr>
          <w:cantSplit/>
          <w:jc w:val="center"/>
        </w:trPr>
        <w:tc>
          <w:tcPr>
            <w:tcW w:w="2250" w:type="dxa"/>
            <w:shd w:val="clear" w:color="auto" w:fill="auto"/>
          </w:tcPr>
          <w:p w:rsidR="00742E98" w:rsidRPr="0075195E" w:rsidP="0075195E" w14:paraId="3791B2E0" w14:textId="77777777">
            <w:pPr>
              <w:contextualSpacing/>
              <w:rPr>
                <w:sz w:val="20"/>
                <w:szCs w:val="20"/>
              </w:rPr>
            </w:pPr>
            <w:r w:rsidRPr="0075195E">
              <w:rPr>
                <w:sz w:val="20"/>
                <w:szCs w:val="20"/>
              </w:rPr>
              <w:t>Transfer of personnel records by closing facilities--900.12(a)(4)</w:t>
            </w:r>
          </w:p>
        </w:tc>
        <w:tc>
          <w:tcPr>
            <w:tcW w:w="1440" w:type="dxa"/>
            <w:shd w:val="clear" w:color="auto" w:fill="auto"/>
          </w:tcPr>
          <w:p w:rsidR="00742E98" w:rsidRPr="0075195E" w:rsidP="0075195E" w14:paraId="6B880973" w14:textId="77777777">
            <w:pPr>
              <w:contextualSpacing/>
              <w:jc w:val="right"/>
              <w:rPr>
                <w:sz w:val="20"/>
                <w:szCs w:val="20"/>
              </w:rPr>
            </w:pPr>
            <w:r w:rsidRPr="0075195E">
              <w:rPr>
                <w:sz w:val="20"/>
                <w:szCs w:val="20"/>
              </w:rPr>
              <w:t>88</w:t>
            </w:r>
          </w:p>
        </w:tc>
        <w:tc>
          <w:tcPr>
            <w:tcW w:w="1260" w:type="dxa"/>
            <w:shd w:val="clear" w:color="auto" w:fill="auto"/>
          </w:tcPr>
          <w:p w:rsidR="00742E98" w:rsidRPr="0075195E" w:rsidP="0075195E" w14:paraId="5CDF64F4" w14:textId="77777777">
            <w:pPr>
              <w:contextualSpacing/>
              <w:jc w:val="right"/>
              <w:rPr>
                <w:sz w:val="20"/>
                <w:szCs w:val="20"/>
              </w:rPr>
            </w:pPr>
            <w:r w:rsidRPr="0075195E">
              <w:rPr>
                <w:sz w:val="20"/>
                <w:szCs w:val="20"/>
              </w:rPr>
              <w:t>1</w:t>
            </w:r>
          </w:p>
        </w:tc>
        <w:tc>
          <w:tcPr>
            <w:tcW w:w="1170" w:type="dxa"/>
            <w:shd w:val="clear" w:color="auto" w:fill="auto"/>
          </w:tcPr>
          <w:p w:rsidR="00742E98" w:rsidRPr="0075195E" w:rsidP="0075195E" w14:paraId="0130DF4D" w14:textId="77777777">
            <w:pPr>
              <w:contextualSpacing/>
              <w:jc w:val="right"/>
              <w:rPr>
                <w:sz w:val="20"/>
                <w:szCs w:val="20"/>
              </w:rPr>
            </w:pPr>
            <w:r w:rsidRPr="0075195E">
              <w:rPr>
                <w:sz w:val="20"/>
                <w:szCs w:val="20"/>
              </w:rPr>
              <w:t>88</w:t>
            </w:r>
          </w:p>
        </w:tc>
        <w:tc>
          <w:tcPr>
            <w:tcW w:w="1170" w:type="dxa"/>
            <w:shd w:val="clear" w:color="auto" w:fill="auto"/>
          </w:tcPr>
          <w:p w:rsidR="00742E98" w:rsidRPr="0075195E" w:rsidP="0075195E" w14:paraId="4AF34DB6" w14:textId="77777777">
            <w:pPr>
              <w:contextualSpacing/>
              <w:jc w:val="right"/>
              <w:rPr>
                <w:sz w:val="20"/>
                <w:szCs w:val="20"/>
              </w:rPr>
            </w:pPr>
            <w:r w:rsidRPr="0075195E">
              <w:rPr>
                <w:sz w:val="20"/>
                <w:szCs w:val="20"/>
              </w:rPr>
              <w:t>5</w:t>
            </w:r>
          </w:p>
        </w:tc>
        <w:tc>
          <w:tcPr>
            <w:tcW w:w="1080" w:type="dxa"/>
            <w:shd w:val="clear" w:color="auto" w:fill="auto"/>
          </w:tcPr>
          <w:p w:rsidR="00742E98" w:rsidRPr="0075195E" w:rsidP="0075195E" w14:paraId="72F9168F" w14:textId="77777777">
            <w:pPr>
              <w:contextualSpacing/>
              <w:jc w:val="right"/>
              <w:rPr>
                <w:sz w:val="20"/>
                <w:szCs w:val="20"/>
              </w:rPr>
            </w:pPr>
            <w:r w:rsidRPr="0075195E">
              <w:rPr>
                <w:sz w:val="20"/>
                <w:szCs w:val="20"/>
              </w:rPr>
              <w:t>440</w:t>
            </w:r>
          </w:p>
        </w:tc>
        <w:tc>
          <w:tcPr>
            <w:tcW w:w="1170" w:type="dxa"/>
          </w:tcPr>
          <w:p w:rsidR="00742E98" w:rsidRPr="0075195E" w:rsidP="0075195E" w14:paraId="58E35047" w14:textId="77777777">
            <w:pPr>
              <w:contextualSpacing/>
              <w:jc w:val="right"/>
              <w:rPr>
                <w:sz w:val="20"/>
                <w:szCs w:val="20"/>
              </w:rPr>
            </w:pPr>
          </w:p>
        </w:tc>
      </w:tr>
      <w:tr w14:paraId="74FAF8D6" w14:textId="77777777" w:rsidTr="00AB3DE1">
        <w:tblPrEx>
          <w:tblW w:w="0" w:type="auto"/>
          <w:jc w:val="center"/>
          <w:tblLayout w:type="fixed"/>
          <w:tblLook w:val="04A0"/>
        </w:tblPrEx>
        <w:trPr>
          <w:cantSplit/>
          <w:jc w:val="center"/>
        </w:trPr>
        <w:tc>
          <w:tcPr>
            <w:tcW w:w="2250" w:type="dxa"/>
            <w:shd w:val="clear" w:color="auto" w:fill="auto"/>
          </w:tcPr>
          <w:p w:rsidR="00742E98" w:rsidRPr="0075195E" w:rsidP="0075195E" w14:paraId="5AA3AED2" w14:textId="77777777">
            <w:pPr>
              <w:contextualSpacing/>
              <w:rPr>
                <w:sz w:val="20"/>
                <w:szCs w:val="20"/>
              </w:rPr>
            </w:pPr>
            <w:r w:rsidRPr="0075195E">
              <w:rPr>
                <w:sz w:val="20"/>
                <w:szCs w:val="20"/>
              </w:rPr>
              <w:t>New assessment categories and breast density reporting in mammography report (one-time burden)--900.12(c)(1)(iv) to (vi)</w:t>
            </w:r>
          </w:p>
        </w:tc>
        <w:tc>
          <w:tcPr>
            <w:tcW w:w="1440" w:type="dxa"/>
            <w:shd w:val="clear" w:color="auto" w:fill="auto"/>
          </w:tcPr>
          <w:p w:rsidR="00742E98" w:rsidRPr="0075195E" w:rsidP="0075195E" w14:paraId="5476A679" w14:textId="77777777">
            <w:pPr>
              <w:contextualSpacing/>
              <w:jc w:val="right"/>
              <w:rPr>
                <w:sz w:val="20"/>
                <w:szCs w:val="20"/>
              </w:rPr>
            </w:pPr>
            <w:r w:rsidRPr="0075195E">
              <w:rPr>
                <w:sz w:val="20"/>
                <w:szCs w:val="20"/>
              </w:rPr>
              <w:t>8,781</w:t>
            </w:r>
          </w:p>
        </w:tc>
        <w:tc>
          <w:tcPr>
            <w:tcW w:w="1260" w:type="dxa"/>
            <w:shd w:val="clear" w:color="auto" w:fill="auto"/>
          </w:tcPr>
          <w:p w:rsidR="00742E98" w:rsidRPr="0075195E" w:rsidP="0075195E" w14:paraId="66DD5748" w14:textId="77777777">
            <w:pPr>
              <w:contextualSpacing/>
              <w:jc w:val="right"/>
              <w:rPr>
                <w:sz w:val="20"/>
                <w:szCs w:val="20"/>
              </w:rPr>
            </w:pPr>
            <w:r w:rsidRPr="0075195E">
              <w:rPr>
                <w:sz w:val="20"/>
                <w:szCs w:val="20"/>
              </w:rPr>
              <w:t>1</w:t>
            </w:r>
          </w:p>
        </w:tc>
        <w:tc>
          <w:tcPr>
            <w:tcW w:w="1170" w:type="dxa"/>
            <w:shd w:val="clear" w:color="auto" w:fill="auto"/>
          </w:tcPr>
          <w:p w:rsidR="00742E98" w:rsidRPr="0075195E" w:rsidP="0075195E" w14:paraId="546A5180" w14:textId="77777777">
            <w:pPr>
              <w:jc w:val="right"/>
              <w:rPr>
                <w:sz w:val="20"/>
                <w:szCs w:val="20"/>
              </w:rPr>
            </w:pPr>
            <w:r w:rsidRPr="0075195E">
              <w:rPr>
                <w:sz w:val="20"/>
                <w:szCs w:val="20"/>
              </w:rPr>
              <w:t>8,781</w:t>
            </w:r>
          </w:p>
        </w:tc>
        <w:tc>
          <w:tcPr>
            <w:tcW w:w="1170" w:type="dxa"/>
            <w:shd w:val="clear" w:color="auto" w:fill="auto"/>
          </w:tcPr>
          <w:p w:rsidR="00742E98" w:rsidRPr="0075195E" w:rsidP="0075195E" w14:paraId="0DC58E5E" w14:textId="77777777">
            <w:pPr>
              <w:contextualSpacing/>
              <w:jc w:val="right"/>
              <w:rPr>
                <w:sz w:val="20"/>
                <w:szCs w:val="20"/>
              </w:rPr>
            </w:pPr>
            <w:r w:rsidRPr="0075195E">
              <w:rPr>
                <w:sz w:val="20"/>
                <w:szCs w:val="20"/>
              </w:rPr>
              <w:t>23</w:t>
            </w:r>
          </w:p>
        </w:tc>
        <w:tc>
          <w:tcPr>
            <w:tcW w:w="1080" w:type="dxa"/>
            <w:shd w:val="clear" w:color="auto" w:fill="auto"/>
          </w:tcPr>
          <w:p w:rsidR="00742E98" w:rsidRPr="0075195E" w:rsidP="0075195E" w14:paraId="6EF37114" w14:textId="77777777">
            <w:pPr>
              <w:jc w:val="right"/>
              <w:rPr>
                <w:sz w:val="20"/>
                <w:szCs w:val="20"/>
              </w:rPr>
            </w:pPr>
            <w:r w:rsidRPr="0075195E">
              <w:rPr>
                <w:sz w:val="20"/>
                <w:szCs w:val="20"/>
              </w:rPr>
              <w:t>201,963</w:t>
            </w:r>
          </w:p>
        </w:tc>
        <w:tc>
          <w:tcPr>
            <w:tcW w:w="1170" w:type="dxa"/>
          </w:tcPr>
          <w:p w:rsidR="00742E98" w:rsidRPr="0075195E" w:rsidP="0075195E" w14:paraId="0C4610AB" w14:textId="5FD70D7B">
            <w:pPr>
              <w:jc w:val="right"/>
              <w:rPr>
                <w:sz w:val="20"/>
                <w:szCs w:val="20"/>
              </w:rPr>
            </w:pPr>
            <w:r w:rsidRPr="0075195E">
              <w:rPr>
                <w:sz w:val="20"/>
                <w:szCs w:val="20"/>
              </w:rPr>
              <w:t>37,166,396</w:t>
            </w:r>
          </w:p>
        </w:tc>
      </w:tr>
      <w:tr w14:paraId="06A4A3FD" w14:textId="77777777" w:rsidTr="00AB3DE1">
        <w:tblPrEx>
          <w:tblW w:w="0" w:type="auto"/>
          <w:jc w:val="center"/>
          <w:tblLayout w:type="fixed"/>
          <w:tblLook w:val="04A0"/>
        </w:tblPrEx>
        <w:trPr>
          <w:cantSplit/>
          <w:jc w:val="center"/>
        </w:trPr>
        <w:tc>
          <w:tcPr>
            <w:tcW w:w="2250" w:type="dxa"/>
            <w:shd w:val="clear" w:color="auto" w:fill="auto"/>
          </w:tcPr>
          <w:p w:rsidR="00742E98" w:rsidRPr="0075195E" w:rsidP="0075195E" w14:paraId="5B292F57" w14:textId="77777777">
            <w:pPr>
              <w:contextualSpacing/>
              <w:rPr>
                <w:sz w:val="20"/>
                <w:szCs w:val="20"/>
              </w:rPr>
            </w:pPr>
            <w:r w:rsidRPr="0075195E">
              <w:rPr>
                <w:sz w:val="20"/>
                <w:szCs w:val="20"/>
              </w:rPr>
              <w:t>Breast density reporting in lay summary (one-time burden)--900.12(c)(2)</w:t>
            </w:r>
            <w:r w:rsidRPr="0075195E">
              <w:rPr>
                <w:sz w:val="16"/>
                <w:szCs w:val="16"/>
              </w:rPr>
              <w:t xml:space="preserve"> </w:t>
            </w:r>
          </w:p>
        </w:tc>
        <w:tc>
          <w:tcPr>
            <w:tcW w:w="1440" w:type="dxa"/>
            <w:shd w:val="clear" w:color="auto" w:fill="auto"/>
          </w:tcPr>
          <w:p w:rsidR="00742E98" w:rsidRPr="0075195E" w:rsidP="0075195E" w14:paraId="5609F159" w14:textId="77777777">
            <w:pPr>
              <w:contextualSpacing/>
              <w:jc w:val="right"/>
              <w:rPr>
                <w:sz w:val="20"/>
                <w:szCs w:val="20"/>
              </w:rPr>
            </w:pPr>
            <w:r w:rsidRPr="0075195E">
              <w:rPr>
                <w:sz w:val="20"/>
                <w:szCs w:val="20"/>
              </w:rPr>
              <w:t>8,781</w:t>
            </w:r>
          </w:p>
        </w:tc>
        <w:tc>
          <w:tcPr>
            <w:tcW w:w="1260" w:type="dxa"/>
            <w:shd w:val="clear" w:color="auto" w:fill="auto"/>
          </w:tcPr>
          <w:p w:rsidR="00742E98" w:rsidRPr="0075195E" w:rsidP="0075195E" w14:paraId="567CCDE1" w14:textId="77777777">
            <w:pPr>
              <w:contextualSpacing/>
              <w:jc w:val="right"/>
              <w:rPr>
                <w:sz w:val="20"/>
                <w:szCs w:val="20"/>
              </w:rPr>
            </w:pPr>
            <w:r w:rsidRPr="0075195E">
              <w:rPr>
                <w:sz w:val="20"/>
                <w:szCs w:val="20"/>
              </w:rPr>
              <w:t>1</w:t>
            </w:r>
          </w:p>
        </w:tc>
        <w:tc>
          <w:tcPr>
            <w:tcW w:w="1170" w:type="dxa"/>
            <w:shd w:val="clear" w:color="auto" w:fill="auto"/>
          </w:tcPr>
          <w:p w:rsidR="00742E98" w:rsidRPr="0075195E" w:rsidP="0075195E" w14:paraId="0CF315D2" w14:textId="77777777">
            <w:pPr>
              <w:jc w:val="right"/>
              <w:rPr>
                <w:sz w:val="20"/>
                <w:szCs w:val="20"/>
              </w:rPr>
            </w:pPr>
            <w:r w:rsidRPr="0075195E">
              <w:rPr>
                <w:sz w:val="20"/>
                <w:szCs w:val="20"/>
              </w:rPr>
              <w:t>8,781</w:t>
            </w:r>
          </w:p>
        </w:tc>
        <w:tc>
          <w:tcPr>
            <w:tcW w:w="1170" w:type="dxa"/>
            <w:shd w:val="clear" w:color="auto" w:fill="auto"/>
          </w:tcPr>
          <w:p w:rsidR="00742E98" w:rsidRPr="0075195E" w:rsidP="0075195E" w14:paraId="6498CE09" w14:textId="77777777">
            <w:pPr>
              <w:contextualSpacing/>
              <w:jc w:val="right"/>
              <w:rPr>
                <w:sz w:val="20"/>
                <w:szCs w:val="20"/>
              </w:rPr>
            </w:pPr>
            <w:r w:rsidRPr="0075195E">
              <w:rPr>
                <w:sz w:val="20"/>
                <w:szCs w:val="20"/>
              </w:rPr>
              <w:t>11</w:t>
            </w:r>
          </w:p>
        </w:tc>
        <w:tc>
          <w:tcPr>
            <w:tcW w:w="1080" w:type="dxa"/>
            <w:shd w:val="clear" w:color="auto" w:fill="auto"/>
          </w:tcPr>
          <w:p w:rsidR="00742E98" w:rsidRPr="0075195E" w:rsidP="0075195E" w14:paraId="55252AAD" w14:textId="77777777">
            <w:pPr>
              <w:jc w:val="right"/>
              <w:rPr>
                <w:sz w:val="20"/>
                <w:szCs w:val="20"/>
              </w:rPr>
            </w:pPr>
            <w:r w:rsidRPr="0075195E">
              <w:rPr>
                <w:sz w:val="20"/>
                <w:szCs w:val="20"/>
              </w:rPr>
              <w:t>96,591</w:t>
            </w:r>
          </w:p>
        </w:tc>
        <w:tc>
          <w:tcPr>
            <w:tcW w:w="1170" w:type="dxa"/>
          </w:tcPr>
          <w:p w:rsidR="00742E98" w:rsidRPr="0075195E" w:rsidP="0075195E" w14:paraId="0DE30EE9" w14:textId="18D3768C">
            <w:pPr>
              <w:jc w:val="right"/>
              <w:rPr>
                <w:sz w:val="20"/>
                <w:szCs w:val="20"/>
              </w:rPr>
            </w:pPr>
            <w:r w:rsidRPr="0075195E">
              <w:rPr>
                <w:sz w:val="20"/>
                <w:szCs w:val="20"/>
              </w:rPr>
              <w:t>6,844,077</w:t>
            </w:r>
          </w:p>
        </w:tc>
      </w:tr>
      <w:tr w14:paraId="13AA405D" w14:textId="77777777" w:rsidTr="00AB3DE1">
        <w:tblPrEx>
          <w:tblW w:w="0" w:type="auto"/>
          <w:jc w:val="center"/>
          <w:tblLayout w:type="fixed"/>
          <w:tblLook w:val="04A0"/>
        </w:tblPrEx>
        <w:trPr>
          <w:cantSplit/>
          <w:jc w:val="center"/>
        </w:trPr>
        <w:tc>
          <w:tcPr>
            <w:tcW w:w="2250" w:type="dxa"/>
            <w:shd w:val="clear" w:color="auto" w:fill="auto"/>
          </w:tcPr>
          <w:p w:rsidR="00742E98" w:rsidRPr="0075195E" w:rsidP="0075195E" w14:paraId="7533E7DD" w14:textId="77777777">
            <w:pPr>
              <w:contextualSpacing/>
              <w:rPr>
                <w:sz w:val="20"/>
                <w:szCs w:val="20"/>
              </w:rPr>
            </w:pPr>
            <w:r w:rsidRPr="0075195E">
              <w:rPr>
                <w:sz w:val="20"/>
                <w:szCs w:val="20"/>
              </w:rPr>
              <w:t>Transfer/provision of copies of mammograms and records upon patient’s request--900.12(c)(4)(ii) and (iii)</w:t>
            </w:r>
          </w:p>
        </w:tc>
        <w:tc>
          <w:tcPr>
            <w:tcW w:w="1440" w:type="dxa"/>
            <w:shd w:val="clear" w:color="auto" w:fill="auto"/>
          </w:tcPr>
          <w:p w:rsidR="00742E98" w:rsidRPr="0075195E" w:rsidP="0075195E" w14:paraId="63530A03" w14:textId="77777777">
            <w:pPr>
              <w:jc w:val="right"/>
              <w:rPr>
                <w:sz w:val="20"/>
                <w:szCs w:val="20"/>
              </w:rPr>
            </w:pPr>
            <w:r w:rsidRPr="0075195E">
              <w:rPr>
                <w:sz w:val="20"/>
                <w:szCs w:val="20"/>
              </w:rPr>
              <w:t>8,781</w:t>
            </w:r>
          </w:p>
        </w:tc>
        <w:tc>
          <w:tcPr>
            <w:tcW w:w="1260" w:type="dxa"/>
            <w:shd w:val="clear" w:color="auto" w:fill="auto"/>
          </w:tcPr>
          <w:p w:rsidR="00742E98" w:rsidRPr="0075195E" w:rsidP="0075195E" w14:paraId="03B3F155" w14:textId="77777777">
            <w:pPr>
              <w:contextualSpacing/>
              <w:jc w:val="right"/>
              <w:rPr>
                <w:sz w:val="20"/>
                <w:szCs w:val="20"/>
              </w:rPr>
            </w:pPr>
            <w:r w:rsidRPr="0075195E">
              <w:rPr>
                <w:sz w:val="20"/>
                <w:szCs w:val="20"/>
              </w:rPr>
              <w:t>1,135</w:t>
            </w:r>
          </w:p>
        </w:tc>
        <w:tc>
          <w:tcPr>
            <w:tcW w:w="1170" w:type="dxa"/>
            <w:shd w:val="clear" w:color="auto" w:fill="auto"/>
          </w:tcPr>
          <w:p w:rsidR="00742E98" w:rsidRPr="0075195E" w:rsidP="0075195E" w14:paraId="293DEDFF" w14:textId="77777777">
            <w:pPr>
              <w:contextualSpacing/>
              <w:jc w:val="right"/>
              <w:rPr>
                <w:sz w:val="20"/>
                <w:szCs w:val="20"/>
              </w:rPr>
            </w:pPr>
            <w:r w:rsidRPr="0075195E">
              <w:rPr>
                <w:sz w:val="20"/>
                <w:szCs w:val="20"/>
              </w:rPr>
              <w:t>9,966,435</w:t>
            </w:r>
          </w:p>
        </w:tc>
        <w:tc>
          <w:tcPr>
            <w:tcW w:w="1170" w:type="dxa"/>
            <w:shd w:val="clear" w:color="auto" w:fill="auto"/>
          </w:tcPr>
          <w:p w:rsidR="00742E98" w:rsidRPr="0075195E" w:rsidP="0075195E" w14:paraId="47E0183E" w14:textId="77777777">
            <w:pPr>
              <w:contextualSpacing/>
              <w:jc w:val="right"/>
              <w:rPr>
                <w:sz w:val="20"/>
                <w:szCs w:val="20"/>
              </w:rPr>
            </w:pPr>
            <w:r w:rsidRPr="0075195E">
              <w:rPr>
                <w:sz w:val="20"/>
                <w:szCs w:val="20"/>
              </w:rPr>
              <w:t xml:space="preserve">0.08 </w:t>
            </w:r>
          </w:p>
          <w:p w:rsidR="00742E98" w:rsidRPr="0075195E" w:rsidP="0075195E" w14:paraId="7B0EDCBC" w14:textId="4D8C80C5">
            <w:pPr>
              <w:contextualSpacing/>
              <w:jc w:val="right"/>
              <w:rPr>
                <w:sz w:val="20"/>
                <w:szCs w:val="20"/>
              </w:rPr>
            </w:pPr>
            <w:r w:rsidRPr="0075195E">
              <w:rPr>
                <w:sz w:val="20"/>
                <w:szCs w:val="20"/>
              </w:rPr>
              <w:t>(5 mi</w:t>
            </w:r>
            <w:r>
              <w:rPr>
                <w:sz w:val="20"/>
                <w:szCs w:val="20"/>
              </w:rPr>
              <w:t>n</w:t>
            </w:r>
            <w:r w:rsidRPr="0075195E">
              <w:rPr>
                <w:sz w:val="20"/>
                <w:szCs w:val="20"/>
              </w:rPr>
              <w:t>s)</w:t>
            </w:r>
          </w:p>
        </w:tc>
        <w:tc>
          <w:tcPr>
            <w:tcW w:w="1080" w:type="dxa"/>
            <w:shd w:val="clear" w:color="auto" w:fill="auto"/>
          </w:tcPr>
          <w:p w:rsidR="00742E98" w:rsidRPr="0075195E" w:rsidP="0075195E" w14:paraId="04370CD0" w14:textId="77777777">
            <w:pPr>
              <w:contextualSpacing/>
              <w:jc w:val="right"/>
              <w:rPr>
                <w:sz w:val="20"/>
                <w:szCs w:val="20"/>
              </w:rPr>
            </w:pPr>
            <w:r w:rsidRPr="0075195E">
              <w:rPr>
                <w:sz w:val="20"/>
                <w:szCs w:val="20"/>
              </w:rPr>
              <w:t>797,315</w:t>
            </w:r>
          </w:p>
        </w:tc>
        <w:tc>
          <w:tcPr>
            <w:tcW w:w="1170" w:type="dxa"/>
          </w:tcPr>
          <w:p w:rsidR="00742E98" w:rsidRPr="0075195E" w:rsidP="0075195E" w14:paraId="4EF34C6C" w14:textId="77777777">
            <w:pPr>
              <w:contextualSpacing/>
              <w:jc w:val="right"/>
              <w:rPr>
                <w:sz w:val="20"/>
                <w:szCs w:val="20"/>
              </w:rPr>
            </w:pPr>
          </w:p>
        </w:tc>
      </w:tr>
      <w:tr w14:paraId="74132B66" w14:textId="77777777" w:rsidTr="00AB3DE1">
        <w:tblPrEx>
          <w:tblW w:w="0" w:type="auto"/>
          <w:jc w:val="center"/>
          <w:tblLayout w:type="fixed"/>
          <w:tblLook w:val="04A0"/>
        </w:tblPrEx>
        <w:trPr>
          <w:cantSplit/>
          <w:jc w:val="center"/>
        </w:trPr>
        <w:tc>
          <w:tcPr>
            <w:tcW w:w="2250" w:type="dxa"/>
            <w:shd w:val="clear" w:color="auto" w:fill="auto"/>
          </w:tcPr>
          <w:p w:rsidR="00742E98" w:rsidRPr="0075195E" w:rsidP="0075195E" w14:paraId="0573E1D7" w14:textId="77777777">
            <w:pPr>
              <w:contextualSpacing/>
              <w:rPr>
                <w:sz w:val="20"/>
                <w:szCs w:val="20"/>
              </w:rPr>
            </w:pPr>
            <w:r w:rsidRPr="0075195E">
              <w:rPr>
                <w:sz w:val="20"/>
                <w:szCs w:val="20"/>
              </w:rPr>
              <w:t>Facility closure; notification and records access--900.12(c)(4)(v)</w:t>
            </w:r>
          </w:p>
        </w:tc>
        <w:tc>
          <w:tcPr>
            <w:tcW w:w="1440" w:type="dxa"/>
            <w:shd w:val="clear" w:color="auto" w:fill="auto"/>
          </w:tcPr>
          <w:p w:rsidR="00742E98" w:rsidRPr="0075195E" w:rsidP="0075195E" w14:paraId="49ABB578" w14:textId="77777777">
            <w:pPr>
              <w:contextualSpacing/>
              <w:jc w:val="right"/>
              <w:rPr>
                <w:sz w:val="20"/>
                <w:szCs w:val="20"/>
              </w:rPr>
            </w:pPr>
            <w:r w:rsidRPr="0075195E">
              <w:rPr>
                <w:sz w:val="20"/>
                <w:szCs w:val="20"/>
              </w:rPr>
              <w:t>88</w:t>
            </w:r>
          </w:p>
        </w:tc>
        <w:tc>
          <w:tcPr>
            <w:tcW w:w="1260" w:type="dxa"/>
            <w:shd w:val="clear" w:color="auto" w:fill="auto"/>
          </w:tcPr>
          <w:p w:rsidR="00742E98" w:rsidRPr="0075195E" w:rsidP="0075195E" w14:paraId="5B5D978E" w14:textId="77777777">
            <w:pPr>
              <w:contextualSpacing/>
              <w:jc w:val="right"/>
              <w:rPr>
                <w:sz w:val="20"/>
                <w:szCs w:val="20"/>
              </w:rPr>
            </w:pPr>
            <w:r w:rsidRPr="0075195E">
              <w:rPr>
                <w:sz w:val="20"/>
                <w:szCs w:val="20"/>
              </w:rPr>
              <w:t>1</w:t>
            </w:r>
          </w:p>
        </w:tc>
        <w:tc>
          <w:tcPr>
            <w:tcW w:w="1170" w:type="dxa"/>
            <w:shd w:val="clear" w:color="auto" w:fill="auto"/>
          </w:tcPr>
          <w:p w:rsidR="00742E98" w:rsidRPr="0075195E" w:rsidP="0075195E" w14:paraId="308C100F" w14:textId="77777777">
            <w:pPr>
              <w:contextualSpacing/>
              <w:jc w:val="right"/>
              <w:rPr>
                <w:sz w:val="20"/>
                <w:szCs w:val="20"/>
              </w:rPr>
            </w:pPr>
            <w:r w:rsidRPr="0075195E">
              <w:rPr>
                <w:sz w:val="20"/>
                <w:szCs w:val="20"/>
              </w:rPr>
              <w:t>88</w:t>
            </w:r>
          </w:p>
        </w:tc>
        <w:tc>
          <w:tcPr>
            <w:tcW w:w="1170" w:type="dxa"/>
            <w:shd w:val="clear" w:color="auto" w:fill="auto"/>
          </w:tcPr>
          <w:p w:rsidR="00742E98" w:rsidRPr="0075195E" w:rsidP="0075195E" w14:paraId="0850D164" w14:textId="77777777">
            <w:pPr>
              <w:contextualSpacing/>
              <w:jc w:val="right"/>
              <w:rPr>
                <w:sz w:val="20"/>
                <w:szCs w:val="20"/>
              </w:rPr>
            </w:pPr>
            <w:r w:rsidRPr="0075195E">
              <w:rPr>
                <w:sz w:val="20"/>
                <w:szCs w:val="20"/>
              </w:rPr>
              <w:t>32</w:t>
            </w:r>
          </w:p>
        </w:tc>
        <w:tc>
          <w:tcPr>
            <w:tcW w:w="1080" w:type="dxa"/>
            <w:shd w:val="clear" w:color="auto" w:fill="auto"/>
          </w:tcPr>
          <w:p w:rsidR="00742E98" w:rsidRPr="0075195E" w:rsidP="0075195E" w14:paraId="1F7D96D0" w14:textId="77777777">
            <w:pPr>
              <w:contextualSpacing/>
              <w:jc w:val="right"/>
              <w:rPr>
                <w:sz w:val="20"/>
                <w:szCs w:val="20"/>
              </w:rPr>
            </w:pPr>
            <w:r w:rsidRPr="0075195E">
              <w:rPr>
                <w:sz w:val="20"/>
                <w:szCs w:val="20"/>
              </w:rPr>
              <w:t>2,816</w:t>
            </w:r>
          </w:p>
        </w:tc>
        <w:tc>
          <w:tcPr>
            <w:tcW w:w="1170" w:type="dxa"/>
          </w:tcPr>
          <w:p w:rsidR="00742E98" w:rsidRPr="0075195E" w:rsidP="0075195E" w14:paraId="300F66DB" w14:textId="77777777">
            <w:pPr>
              <w:contextualSpacing/>
              <w:jc w:val="right"/>
              <w:rPr>
                <w:sz w:val="20"/>
                <w:szCs w:val="20"/>
              </w:rPr>
            </w:pPr>
          </w:p>
        </w:tc>
      </w:tr>
      <w:tr w14:paraId="23D044A7" w14:textId="77777777" w:rsidTr="00AB3DE1">
        <w:tblPrEx>
          <w:tblW w:w="0" w:type="auto"/>
          <w:jc w:val="center"/>
          <w:tblLayout w:type="fixed"/>
          <w:tblLook w:val="04A0"/>
        </w:tblPrEx>
        <w:trPr>
          <w:cantSplit/>
          <w:jc w:val="center"/>
        </w:trPr>
        <w:tc>
          <w:tcPr>
            <w:tcW w:w="2250" w:type="dxa"/>
            <w:shd w:val="clear" w:color="auto" w:fill="auto"/>
          </w:tcPr>
          <w:p w:rsidR="00742E98" w:rsidRPr="0075195E" w:rsidP="0075195E" w14:paraId="1E74E75C" w14:textId="77777777">
            <w:pPr>
              <w:keepNext/>
              <w:contextualSpacing/>
              <w:rPr>
                <w:sz w:val="20"/>
                <w:szCs w:val="20"/>
              </w:rPr>
            </w:pPr>
            <w:r w:rsidRPr="0075195E">
              <w:rPr>
                <w:sz w:val="20"/>
                <w:szCs w:val="20"/>
              </w:rPr>
              <w:t>Patient notification of significant risk (by State certification agency)--900.12(j)(2)</w:t>
            </w:r>
          </w:p>
        </w:tc>
        <w:tc>
          <w:tcPr>
            <w:tcW w:w="1440" w:type="dxa"/>
            <w:shd w:val="clear" w:color="auto" w:fill="auto"/>
          </w:tcPr>
          <w:p w:rsidR="00742E98" w:rsidRPr="0075195E" w:rsidP="0075195E" w14:paraId="05DC7F47" w14:textId="77777777">
            <w:pPr>
              <w:keepNext/>
              <w:contextualSpacing/>
              <w:jc w:val="right"/>
              <w:rPr>
                <w:sz w:val="20"/>
                <w:szCs w:val="20"/>
              </w:rPr>
            </w:pPr>
            <w:r w:rsidRPr="0075195E">
              <w:rPr>
                <w:sz w:val="20"/>
                <w:szCs w:val="20"/>
              </w:rPr>
              <w:t>5</w:t>
            </w:r>
          </w:p>
        </w:tc>
        <w:tc>
          <w:tcPr>
            <w:tcW w:w="1260" w:type="dxa"/>
            <w:shd w:val="clear" w:color="auto" w:fill="auto"/>
          </w:tcPr>
          <w:p w:rsidR="00742E98" w:rsidRPr="0075195E" w:rsidP="0075195E" w14:paraId="770B8BE0" w14:textId="77777777">
            <w:pPr>
              <w:keepNext/>
              <w:contextualSpacing/>
              <w:jc w:val="right"/>
              <w:rPr>
                <w:sz w:val="20"/>
                <w:szCs w:val="20"/>
              </w:rPr>
            </w:pPr>
            <w:r w:rsidRPr="0075195E">
              <w:rPr>
                <w:sz w:val="20"/>
                <w:szCs w:val="20"/>
              </w:rPr>
              <w:t>1</w:t>
            </w:r>
          </w:p>
        </w:tc>
        <w:tc>
          <w:tcPr>
            <w:tcW w:w="1170" w:type="dxa"/>
            <w:shd w:val="clear" w:color="auto" w:fill="auto"/>
          </w:tcPr>
          <w:p w:rsidR="00742E98" w:rsidRPr="0075195E" w:rsidP="0075195E" w14:paraId="1101FC5A" w14:textId="77777777">
            <w:pPr>
              <w:keepNext/>
              <w:contextualSpacing/>
              <w:jc w:val="right"/>
              <w:rPr>
                <w:sz w:val="20"/>
                <w:szCs w:val="20"/>
              </w:rPr>
            </w:pPr>
            <w:r w:rsidRPr="0075195E">
              <w:rPr>
                <w:sz w:val="20"/>
                <w:szCs w:val="20"/>
              </w:rPr>
              <w:t>5</w:t>
            </w:r>
          </w:p>
        </w:tc>
        <w:tc>
          <w:tcPr>
            <w:tcW w:w="1170" w:type="dxa"/>
            <w:shd w:val="clear" w:color="auto" w:fill="auto"/>
          </w:tcPr>
          <w:p w:rsidR="00742E98" w:rsidRPr="0075195E" w:rsidP="0075195E" w14:paraId="143AB26F" w14:textId="77777777">
            <w:pPr>
              <w:keepNext/>
              <w:contextualSpacing/>
              <w:jc w:val="right"/>
              <w:rPr>
                <w:sz w:val="20"/>
                <w:szCs w:val="20"/>
              </w:rPr>
            </w:pPr>
            <w:r w:rsidRPr="0075195E">
              <w:rPr>
                <w:sz w:val="20"/>
                <w:szCs w:val="20"/>
              </w:rPr>
              <w:t>100</w:t>
            </w:r>
          </w:p>
        </w:tc>
        <w:tc>
          <w:tcPr>
            <w:tcW w:w="1080" w:type="dxa"/>
            <w:shd w:val="clear" w:color="auto" w:fill="auto"/>
          </w:tcPr>
          <w:p w:rsidR="00742E98" w:rsidRPr="0075195E" w:rsidP="0075195E" w14:paraId="2ADC0678" w14:textId="77777777">
            <w:pPr>
              <w:keepNext/>
              <w:contextualSpacing/>
              <w:jc w:val="right"/>
              <w:rPr>
                <w:sz w:val="20"/>
                <w:szCs w:val="20"/>
              </w:rPr>
            </w:pPr>
            <w:r w:rsidRPr="0075195E">
              <w:rPr>
                <w:sz w:val="20"/>
                <w:szCs w:val="20"/>
              </w:rPr>
              <w:t>500</w:t>
            </w:r>
          </w:p>
        </w:tc>
        <w:tc>
          <w:tcPr>
            <w:tcW w:w="1170" w:type="dxa"/>
          </w:tcPr>
          <w:p w:rsidR="00742E98" w:rsidRPr="0075195E" w:rsidP="0075195E" w14:paraId="55F101A2" w14:textId="77777777">
            <w:pPr>
              <w:keepNext/>
              <w:contextualSpacing/>
              <w:jc w:val="right"/>
              <w:rPr>
                <w:sz w:val="20"/>
                <w:szCs w:val="20"/>
              </w:rPr>
            </w:pPr>
          </w:p>
        </w:tc>
      </w:tr>
      <w:tr w14:paraId="26C2FFC8" w14:textId="77777777" w:rsidTr="00AB3DE1">
        <w:tblPrEx>
          <w:tblW w:w="0" w:type="auto"/>
          <w:jc w:val="center"/>
          <w:tblLayout w:type="fixed"/>
          <w:tblLook w:val="04A0"/>
        </w:tblPrEx>
        <w:trPr>
          <w:cantSplit/>
          <w:jc w:val="center"/>
        </w:trPr>
        <w:tc>
          <w:tcPr>
            <w:tcW w:w="2250" w:type="dxa"/>
            <w:shd w:val="clear" w:color="auto" w:fill="auto"/>
          </w:tcPr>
          <w:p w:rsidR="00742E98" w:rsidRPr="0075195E" w:rsidP="0075195E" w14:paraId="07E67FE8" w14:textId="77777777">
            <w:pPr>
              <w:keepNext/>
              <w:contextualSpacing/>
              <w:rPr>
                <w:sz w:val="20"/>
                <w:szCs w:val="20"/>
              </w:rPr>
            </w:pPr>
            <w:r w:rsidRPr="0075195E">
              <w:rPr>
                <w:sz w:val="20"/>
                <w:szCs w:val="20"/>
              </w:rPr>
              <w:t>Total</w:t>
            </w:r>
          </w:p>
        </w:tc>
        <w:tc>
          <w:tcPr>
            <w:tcW w:w="1440" w:type="dxa"/>
            <w:shd w:val="clear" w:color="auto" w:fill="auto"/>
          </w:tcPr>
          <w:p w:rsidR="00742E98" w:rsidRPr="0075195E" w:rsidP="0075195E" w14:paraId="30C59477" w14:textId="77777777">
            <w:pPr>
              <w:keepNext/>
              <w:contextualSpacing/>
              <w:jc w:val="right"/>
              <w:rPr>
                <w:sz w:val="20"/>
                <w:szCs w:val="20"/>
              </w:rPr>
            </w:pPr>
          </w:p>
        </w:tc>
        <w:tc>
          <w:tcPr>
            <w:tcW w:w="1260" w:type="dxa"/>
            <w:shd w:val="clear" w:color="auto" w:fill="auto"/>
          </w:tcPr>
          <w:p w:rsidR="00742E98" w:rsidRPr="0075195E" w:rsidP="0075195E" w14:paraId="26DD6103" w14:textId="77777777">
            <w:pPr>
              <w:keepNext/>
              <w:contextualSpacing/>
              <w:jc w:val="right"/>
              <w:rPr>
                <w:sz w:val="20"/>
                <w:szCs w:val="20"/>
              </w:rPr>
            </w:pPr>
          </w:p>
        </w:tc>
        <w:tc>
          <w:tcPr>
            <w:tcW w:w="1170" w:type="dxa"/>
            <w:shd w:val="clear" w:color="auto" w:fill="auto"/>
          </w:tcPr>
          <w:p w:rsidR="00742E98" w:rsidRPr="0075195E" w:rsidP="0075195E" w14:paraId="15DF8A62" w14:textId="2B8AD804">
            <w:pPr>
              <w:keepNext/>
              <w:contextualSpacing/>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9,984,793</w:t>
            </w:r>
            <w:r>
              <w:rPr>
                <w:sz w:val="20"/>
                <w:szCs w:val="20"/>
              </w:rPr>
              <w:fldChar w:fldCharType="end"/>
            </w:r>
          </w:p>
        </w:tc>
        <w:tc>
          <w:tcPr>
            <w:tcW w:w="1170" w:type="dxa"/>
            <w:shd w:val="clear" w:color="auto" w:fill="auto"/>
          </w:tcPr>
          <w:p w:rsidR="00742E98" w:rsidRPr="0075195E" w:rsidP="0075195E" w14:paraId="3BCC805B" w14:textId="77777777">
            <w:pPr>
              <w:keepNext/>
              <w:contextualSpacing/>
              <w:jc w:val="right"/>
              <w:rPr>
                <w:sz w:val="20"/>
                <w:szCs w:val="20"/>
              </w:rPr>
            </w:pPr>
          </w:p>
        </w:tc>
        <w:tc>
          <w:tcPr>
            <w:tcW w:w="1080" w:type="dxa"/>
            <w:shd w:val="clear" w:color="auto" w:fill="auto"/>
          </w:tcPr>
          <w:p w:rsidR="00742E98" w:rsidRPr="0075195E" w:rsidP="0075195E" w14:paraId="2F650A16" w14:textId="77777777">
            <w:pPr>
              <w:keepNext/>
              <w:contextualSpacing/>
              <w:jc w:val="right"/>
              <w:rPr>
                <w:sz w:val="20"/>
                <w:szCs w:val="20"/>
              </w:rPr>
            </w:pPr>
            <w:r w:rsidRPr="0075195E">
              <w:rPr>
                <w:sz w:val="20"/>
                <w:szCs w:val="20"/>
              </w:rPr>
              <w:t>1,099,674</w:t>
            </w:r>
          </w:p>
        </w:tc>
        <w:tc>
          <w:tcPr>
            <w:tcW w:w="1170" w:type="dxa"/>
          </w:tcPr>
          <w:p w:rsidR="00742E98" w:rsidRPr="0075195E" w:rsidP="0075195E" w14:paraId="5240BE77" w14:textId="572D3FD8">
            <w:pPr>
              <w:keepNext/>
              <w:contextualSpacing/>
              <w:jc w:val="right"/>
              <w:rPr>
                <w:sz w:val="20"/>
                <w:szCs w:val="20"/>
              </w:rPr>
            </w:pPr>
            <w:r w:rsidRPr="0075195E">
              <w:rPr>
                <w:sz w:val="20"/>
                <w:szCs w:val="20"/>
              </w:rPr>
              <w:t>44,010,473</w:t>
            </w:r>
          </w:p>
        </w:tc>
      </w:tr>
      <w:bookmarkEnd w:id="0"/>
    </w:tbl>
    <w:p w:rsidR="0075195E" w:rsidRPr="0075195E" w:rsidP="0075195E" w14:paraId="23ECB5E5" w14:textId="77777777">
      <w:pPr>
        <w:contextualSpacing/>
      </w:pPr>
    </w:p>
    <w:p w:rsidR="00B97722" w:rsidP="00B97722" w14:paraId="378EED50" w14:textId="7D7FE6A7">
      <w:pPr>
        <w:rPr>
          <w:rFonts w:eastAsia="Calibri"/>
        </w:rPr>
      </w:pPr>
      <w:r>
        <w:rPr>
          <w:rFonts w:eastAsia="Calibri"/>
        </w:rPr>
        <w:t xml:space="preserve">The estimated number of respondents (8,781) is based on the number of certified mammography facilities as of July 1, 2022.  </w:t>
      </w:r>
      <w:r w:rsidR="00246D08">
        <w:rPr>
          <w:rFonts w:eastAsia="Calibri"/>
        </w:rPr>
        <w:t>A discussion of the r</w:t>
      </w:r>
      <w:r>
        <w:rPr>
          <w:rFonts w:eastAsia="Calibri"/>
        </w:rPr>
        <w:t xml:space="preserve">evisions and amendments to the regulations are found in the </w:t>
      </w:r>
      <w:r w:rsidR="00246D08">
        <w:rPr>
          <w:rFonts w:eastAsia="Calibri"/>
        </w:rPr>
        <w:t xml:space="preserve">preamble of the </w:t>
      </w:r>
      <w:r>
        <w:rPr>
          <w:rFonts w:eastAsia="Calibri"/>
        </w:rPr>
        <w:t>final rule</w:t>
      </w:r>
      <w:r w:rsidR="00246D08">
        <w:rPr>
          <w:rFonts w:eastAsia="Calibri"/>
        </w:rPr>
        <w:t>; amended regulations are identified in the</w:t>
      </w:r>
      <w:r>
        <w:rPr>
          <w:rFonts w:eastAsia="Calibri"/>
        </w:rPr>
        <w:t xml:space="preserve"> List of Subjects.</w:t>
      </w:r>
    </w:p>
    <w:p w:rsidR="00B97722" w:rsidP="00B97722" w14:paraId="17924078" w14:textId="77777777">
      <w:pPr>
        <w:rPr>
          <w:rFonts w:eastAsia="Calibri"/>
        </w:rPr>
      </w:pPr>
    </w:p>
    <w:p w:rsidR="00357C8A" w:rsidP="00246D08" w14:paraId="02CCD10D" w14:textId="05EE38A7">
      <w:pPr>
        <w:ind w:firstLine="720"/>
        <w:rPr>
          <w:rFonts w:eastAsia="Calibri"/>
        </w:rPr>
      </w:pPr>
      <w:r w:rsidRPr="00D77B51">
        <w:rPr>
          <w:rFonts w:eastAsia="Calibri"/>
          <w:i/>
          <w:iCs/>
        </w:rPr>
        <w:t>12b.  Annualized Cost Burden Estimate</w:t>
      </w:r>
    </w:p>
    <w:p w:rsidR="00B97722" w:rsidP="00B97722" w14:paraId="37A56E57" w14:textId="1217CC88">
      <w:pPr>
        <w:rPr>
          <w:rFonts w:eastAsia="Calibri"/>
        </w:rPr>
      </w:pPr>
    </w:p>
    <w:p w:rsidR="00742E98" w:rsidRPr="00B97722" w:rsidP="00B97722" w14:paraId="360E3022" w14:textId="712C552C">
      <w:pPr>
        <w:rPr>
          <w:rFonts w:eastAsia="Calibri"/>
        </w:rPr>
      </w:pPr>
      <w:r>
        <w:rPr>
          <w:rFonts w:eastAsia="Calibri"/>
        </w:rPr>
        <w:t xml:space="preserve">Consistent with our Final Regulatory Impact Analysis </w:t>
      </w:r>
      <w:r w:rsidR="001B4075">
        <w:rPr>
          <w:rFonts w:eastAsia="Calibri"/>
        </w:rPr>
        <w:t xml:space="preserve">(FRIA) </w:t>
      </w:r>
      <w:r>
        <w:rPr>
          <w:rFonts w:eastAsia="Calibri"/>
        </w:rPr>
        <w:t xml:space="preserve">and as published in the final rule, we estimate respondent costs for the information collection to be </w:t>
      </w:r>
      <w:r w:rsidR="001B4075">
        <w:rPr>
          <w:rFonts w:eastAsia="Calibri"/>
        </w:rPr>
        <w:t>$ 5,919,014.</w:t>
      </w:r>
    </w:p>
    <w:p w:rsidR="00C433D3" w:rsidP="00760472" w14:paraId="6ED337F7" w14:textId="77777777">
      <w:pPr>
        <w:pStyle w:val="Default"/>
        <w:ind w:left="360"/>
      </w:pPr>
    </w:p>
    <w:p w:rsidR="00357C8A" w:rsidRPr="00F07850" w:rsidP="00760472" w14:paraId="54A2A752" w14:textId="77777777">
      <w:pPr>
        <w:numPr>
          <w:ilvl w:val="0"/>
          <w:numId w:val="6"/>
        </w:numPr>
        <w:spacing w:after="200"/>
        <w:rPr>
          <w:rFonts w:eastAsia="Calibri"/>
        </w:rPr>
      </w:pPr>
      <w:r w:rsidRPr="00F07850">
        <w:rPr>
          <w:rFonts w:eastAsia="Calibri"/>
          <w:u w:val="single"/>
        </w:rPr>
        <w:t xml:space="preserve">Estimates of Other Total Annual Costs </w:t>
      </w:r>
      <w:r w:rsidRPr="00F07850" w:rsidR="00590E90">
        <w:rPr>
          <w:rFonts w:eastAsia="Calibri"/>
          <w:u w:val="single"/>
        </w:rPr>
        <w:t xml:space="preserve">to Respondents/Recordkeepers or </w:t>
      </w:r>
      <w:r w:rsidRPr="00F07850">
        <w:rPr>
          <w:rFonts w:eastAsia="Calibri"/>
          <w:u w:val="single"/>
        </w:rPr>
        <w:t xml:space="preserve">Capital Costs </w:t>
      </w:r>
    </w:p>
    <w:p w:rsidR="00557273" w:rsidRPr="00F07850" w:rsidP="00760472" w14:paraId="7C0EF8E1" w14:textId="0CF16307">
      <w:pPr>
        <w:spacing w:after="200"/>
        <w:contextualSpacing/>
        <w:rPr>
          <w:rFonts w:eastAsia="Calibri"/>
        </w:rPr>
      </w:pPr>
      <w:r>
        <w:rPr>
          <w:rFonts w:eastAsia="Calibri"/>
        </w:rPr>
        <w:t>We estimate capital costs associated with the final rule to be $46,506, 925 annually, as discussed more fully in our FRIA</w:t>
      </w:r>
      <w:r w:rsidRPr="00F07850" w:rsidR="001150E4">
        <w:rPr>
          <w:rFonts w:eastAsia="Calibri"/>
        </w:rPr>
        <w:t>.</w:t>
      </w:r>
    </w:p>
    <w:p w:rsidR="00557273" w:rsidRPr="00F07850" w:rsidP="00E24986" w14:paraId="561524E9" w14:textId="77777777">
      <w:pPr>
        <w:keepNext/>
        <w:spacing w:after="200"/>
        <w:contextualSpacing/>
        <w:rPr>
          <w:rFonts w:eastAsia="Calibri"/>
        </w:rPr>
      </w:pPr>
    </w:p>
    <w:p w:rsidR="00357C8A" w:rsidRPr="00F07850" w:rsidP="00760472" w14:paraId="665DF88A" w14:textId="0483166E">
      <w:pPr>
        <w:numPr>
          <w:ilvl w:val="0"/>
          <w:numId w:val="6"/>
        </w:numPr>
        <w:spacing w:after="200"/>
        <w:rPr>
          <w:rFonts w:eastAsia="Calibri"/>
          <w:u w:val="single"/>
        </w:rPr>
      </w:pPr>
      <w:r w:rsidRPr="00F07850">
        <w:rPr>
          <w:rFonts w:eastAsia="Calibri"/>
          <w:u w:val="single"/>
        </w:rPr>
        <w:t>Annualized Cost to the Federal Government</w:t>
      </w:r>
    </w:p>
    <w:p w:rsidR="00200627" w:rsidRPr="00F07850" w:rsidP="00AB3DE1" w14:paraId="32420B62" w14:textId="0167E0BD">
      <w:pPr>
        <w:pStyle w:val="Default"/>
        <w:rPr>
          <w:szCs w:val="22"/>
        </w:rPr>
      </w:pPr>
      <w:r>
        <w:t>The currently approved costs of administering the information collection, $11,811,450, include this rulemaking.</w:t>
      </w:r>
    </w:p>
    <w:p w:rsidR="00200627" w:rsidRPr="00F07850" w:rsidP="00760472" w14:paraId="2ABB7975" w14:textId="77777777">
      <w:pPr>
        <w:pStyle w:val="Default"/>
        <w:rPr>
          <w:szCs w:val="22"/>
        </w:rPr>
      </w:pPr>
    </w:p>
    <w:p w:rsidR="00D95495" w:rsidRPr="00F07850" w:rsidP="00760472" w14:paraId="752F4296" w14:textId="702617C5">
      <w:pPr>
        <w:keepNext/>
        <w:numPr>
          <w:ilvl w:val="0"/>
          <w:numId w:val="6"/>
        </w:numPr>
        <w:spacing w:after="200"/>
        <w:rPr>
          <w:rFonts w:eastAsia="Calibri"/>
          <w:u w:val="single"/>
        </w:rPr>
      </w:pPr>
      <w:r w:rsidRPr="00F07850">
        <w:rPr>
          <w:rFonts w:eastAsia="Calibri"/>
          <w:u w:val="single"/>
        </w:rPr>
        <w:t>Explanation for Program Changes or Adjustments</w:t>
      </w:r>
    </w:p>
    <w:p w:rsidR="00F24EE7" w:rsidP="00760472" w14:paraId="5BF38554" w14:textId="135E521B">
      <w:pPr>
        <w:spacing w:after="200"/>
        <w:contextualSpacing/>
      </w:pPr>
      <w:r>
        <w:t xml:space="preserve">The information collection reflects program changes resulting from agency rulemaking.  To account for the changing regulatory provisions we have increased our estimated </w:t>
      </w:r>
      <w:r w:rsidR="00182323">
        <w:t>annual number of responses by 9,984,794, our estimated annual number of hours by 1,099,674, and have accounted for respondent costs of $5,919,014 attributable to implementation of the new requirements.</w:t>
      </w:r>
    </w:p>
    <w:p w:rsidR="00246D08" w:rsidRPr="00F07850" w:rsidP="00760472" w14:paraId="6520C53D" w14:textId="77777777">
      <w:pPr>
        <w:spacing w:after="200"/>
        <w:contextualSpacing/>
        <w:rPr>
          <w:rFonts w:eastAsia="Calibri"/>
          <w:u w:val="single"/>
        </w:rPr>
      </w:pPr>
    </w:p>
    <w:p w:rsidR="00357C8A" w:rsidRPr="00F07850" w:rsidP="00760472" w14:paraId="284EC806" w14:textId="77777777">
      <w:pPr>
        <w:numPr>
          <w:ilvl w:val="0"/>
          <w:numId w:val="6"/>
        </w:numPr>
        <w:spacing w:after="200"/>
        <w:rPr>
          <w:rFonts w:eastAsia="Calibri"/>
          <w:u w:val="single"/>
        </w:rPr>
      </w:pPr>
      <w:r w:rsidRPr="00F07850">
        <w:rPr>
          <w:rFonts w:eastAsia="Calibri"/>
          <w:u w:val="single"/>
        </w:rPr>
        <w:t>Plans for Tabulation and Publication and Project Time Schedule</w:t>
      </w:r>
    </w:p>
    <w:p w:rsidR="00357C8A" w:rsidRPr="00F07850" w:rsidP="00760472" w14:paraId="715C6638" w14:textId="77777777">
      <w:pPr>
        <w:spacing w:after="200"/>
        <w:rPr>
          <w:rFonts w:eastAsia="Calibri"/>
        </w:rPr>
      </w:pPr>
      <w:r w:rsidRPr="00F07850">
        <w:rPr>
          <w:rFonts w:eastAsia="Calibri"/>
        </w:rPr>
        <w:t>This information collected will not be published or tabulated.</w:t>
      </w:r>
    </w:p>
    <w:p w:rsidR="00182323" w14:paraId="4D7DAFCB" w14:textId="77777777">
      <w:pPr>
        <w:rPr>
          <w:rFonts w:eastAsia="Calibri"/>
        </w:rPr>
      </w:pPr>
      <w:r>
        <w:rPr>
          <w:rFonts w:eastAsia="Calibri"/>
        </w:rPr>
        <w:br w:type="page"/>
      </w:r>
    </w:p>
    <w:p w:rsidR="00357C8A" w:rsidRPr="00F07850" w:rsidP="00760472" w14:paraId="00CA5C99" w14:textId="54549FA7">
      <w:pPr>
        <w:numPr>
          <w:ilvl w:val="0"/>
          <w:numId w:val="6"/>
        </w:numPr>
        <w:spacing w:after="200"/>
        <w:rPr>
          <w:rFonts w:eastAsia="Calibri"/>
          <w:u w:val="single"/>
        </w:rPr>
      </w:pPr>
      <w:r w:rsidRPr="00F07850">
        <w:rPr>
          <w:rFonts w:eastAsia="Calibri"/>
          <w:u w:val="single"/>
        </w:rPr>
        <w:t>Reason(s) Display of OMB Expiration Date is Inappropriate</w:t>
      </w:r>
    </w:p>
    <w:p w:rsidR="001658F5" w:rsidRPr="00F07850" w:rsidP="00760472" w14:paraId="6E4EFC92" w14:textId="1DB133F5">
      <w:pPr>
        <w:spacing w:after="200"/>
        <w:rPr>
          <w:rFonts w:eastAsia="Calibri"/>
          <w:u w:val="single"/>
        </w:rPr>
      </w:pPr>
      <w:r>
        <w:t xml:space="preserve">The </w:t>
      </w:r>
      <w:r w:rsidRPr="00F07850" w:rsidR="001150E4">
        <w:t>OMB expiration date</w:t>
      </w:r>
      <w:r>
        <w:t xml:space="preserve"> will be displayed</w:t>
      </w:r>
      <w:r w:rsidRPr="00F07850" w:rsidR="001150E4">
        <w:t xml:space="preserve"> as required by 5 CFR 1320.5.</w:t>
      </w:r>
    </w:p>
    <w:p w:rsidR="00357C8A" w:rsidRPr="00F07850" w:rsidP="00760472" w14:paraId="673C6692" w14:textId="24807FD8">
      <w:pPr>
        <w:numPr>
          <w:ilvl w:val="0"/>
          <w:numId w:val="6"/>
        </w:numPr>
        <w:spacing w:after="200"/>
        <w:rPr>
          <w:rFonts w:eastAsia="Calibri"/>
          <w:u w:val="single"/>
        </w:rPr>
      </w:pPr>
      <w:r w:rsidRPr="00F07850">
        <w:rPr>
          <w:rFonts w:eastAsia="Calibri"/>
          <w:u w:val="single"/>
        </w:rPr>
        <w:t>Exceptions to Certification for Paperwork Reduction Act Submissions</w:t>
      </w:r>
    </w:p>
    <w:p w:rsidR="007E59A8" w:rsidRPr="00F07850" w:rsidP="00760472" w14:paraId="1337EC3F" w14:textId="77777777">
      <w:pPr>
        <w:spacing w:after="200"/>
        <w:rPr>
          <w:rFonts w:eastAsia="Calibri"/>
        </w:rPr>
      </w:pPr>
      <w:r w:rsidRPr="00F07850">
        <w:rPr>
          <w:rFonts w:eastAsia="Calibri"/>
        </w:rPr>
        <w:t>There are no exceptions to the certification.</w:t>
      </w:r>
    </w:p>
    <w:sectPr w:rsidSect="00246D08">
      <w:headerReference w:type="default" r:id="rId6"/>
      <w:footerReference w:type="even" r:id="rId7"/>
      <w:footerReference w:type="default" r:id="rId8"/>
      <w:headerReference w:type="first" r:id="rId9"/>
      <w:pgSz w:w="12240" w:h="15840" w:code="1"/>
      <w:pgMar w:top="1440" w:right="1296" w:bottom="1440" w:left="1296"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73C0E5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182323">
      <w:rPr>
        <w:rStyle w:val="PageNumber"/>
      </w:rPr>
      <w:fldChar w:fldCharType="separate"/>
    </w:r>
    <w:r>
      <w:rPr>
        <w:rStyle w:val="PageNumber"/>
      </w:rPr>
      <w:fldChar w:fldCharType="end"/>
    </w:r>
  </w:p>
  <w:p w:rsidR="00E63DE5" w14:paraId="65FDE3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8E6" w:rsidP="003F3DF5" w14:paraId="70849121" w14:textId="77777777">
    <w:pPr>
      <w:pStyle w:val="Footer"/>
      <w:framePr w:wrap="around" w:vAnchor="text" w:hAnchor="margin" w:xAlign="center" w:y="1"/>
      <w:rPr>
        <w:rStyle w:val="PageNumber"/>
      </w:rPr>
    </w:pPr>
  </w:p>
  <w:p w:rsidR="00AB78E6" w:rsidP="003F3DF5" w14:paraId="28C08A5D" w14:textId="77777777">
    <w:pPr>
      <w:pStyle w:val="Footer"/>
      <w:framePr w:wrap="around" w:vAnchor="text" w:hAnchor="margin" w:xAlign="center" w:y="1"/>
      <w:rPr>
        <w:rStyle w:val="PageNumber"/>
      </w:rPr>
    </w:pPr>
  </w:p>
  <w:p w:rsidR="00E63DE5" w:rsidP="00AB78E6" w14:paraId="7D88D07F" w14:textId="77777777">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04B3999E" w14:textId="77777777">
    <w:pPr>
      <w:pStyle w:val="Footer"/>
    </w:pPr>
  </w:p>
  <w:p w:rsidR="00AB78E6" w14:paraId="7918F113" w14:textId="77777777">
    <w:pPr>
      <w:pStyle w:val="Footer"/>
    </w:pPr>
  </w:p>
  <w:p w:rsidR="00AB78E6" w14:paraId="4CE56C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9C5" w:rsidP="00EF4BCB" w14:paraId="36F0BA40" w14:textId="77777777">
    <w:pPr>
      <w:pStyle w:val="Header"/>
      <w:ind w:left="-720"/>
      <w:rPr>
        <w:sz w:val="18"/>
        <w:szCs w:val="18"/>
      </w:rPr>
    </w:pPr>
    <w:r>
      <w:rPr>
        <w:noProof/>
      </w:rPr>
      <w:drawing>
        <wp:inline distT="0" distB="0" distL="0" distR="0">
          <wp:extent cx="27622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p w:rsidR="007E69C5" w14:paraId="4C25E9B0" w14:textId="77777777">
    <w:pPr>
      <w:pStyle w:val="Header"/>
      <w:rPr>
        <w:sz w:val="18"/>
        <w:szCs w:val="18"/>
      </w:rPr>
    </w:pPr>
  </w:p>
  <w:p w:rsidR="007E69C5" w14:paraId="6582E6DE" w14:textId="7A4905C7">
    <w:pPr>
      <w:pStyle w:val="Header"/>
      <w:rPr>
        <w:sz w:val="18"/>
        <w:szCs w:val="18"/>
      </w:rPr>
    </w:pPr>
  </w:p>
  <w:p w:rsidR="00182323" w:rsidRPr="003C0FE2" w14:paraId="5E6FAB10" w14:textId="77777777">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B58" w:rsidP="00EF4BCB" w14:paraId="0852BBBE" w14:textId="77777777">
    <w:pPr>
      <w:pStyle w:val="Header"/>
      <w:ind w:left="-540"/>
    </w:pPr>
    <w:r>
      <w:rPr>
        <w:noProof/>
      </w:rPr>
      <w:drawing>
        <wp:inline distT="0" distB="0" distL="0" distR="0">
          <wp:extent cx="276225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5413A"/>
    <w:multiLevelType w:val="hybridMultilevel"/>
    <w:tmpl w:val="14648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60863344">
    <w:abstractNumId w:val="6"/>
  </w:num>
  <w:num w:numId="2" w16cid:durableId="2060475461">
    <w:abstractNumId w:val="2"/>
  </w:num>
  <w:num w:numId="3" w16cid:durableId="405104283">
    <w:abstractNumId w:val="7"/>
  </w:num>
  <w:num w:numId="4" w16cid:durableId="1105344100">
    <w:abstractNumId w:val="4"/>
  </w:num>
  <w:num w:numId="5" w16cid:durableId="946621803">
    <w:abstractNumId w:val="8"/>
  </w:num>
  <w:num w:numId="6" w16cid:durableId="1148590659">
    <w:abstractNumId w:val="1"/>
  </w:num>
  <w:num w:numId="7" w16cid:durableId="672073958">
    <w:abstractNumId w:val="3"/>
  </w:num>
  <w:num w:numId="8" w16cid:durableId="449131556">
    <w:abstractNumId w:val="5"/>
  </w:num>
  <w:num w:numId="9" w16cid:durableId="190791005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4D5E"/>
    <w:rsid w:val="00006608"/>
    <w:rsid w:val="000077D6"/>
    <w:rsid w:val="00013AA9"/>
    <w:rsid w:val="000149C2"/>
    <w:rsid w:val="000161E3"/>
    <w:rsid w:val="000179F9"/>
    <w:rsid w:val="000230D4"/>
    <w:rsid w:val="000233DD"/>
    <w:rsid w:val="000234F1"/>
    <w:rsid w:val="00030FCD"/>
    <w:rsid w:val="00031A2C"/>
    <w:rsid w:val="000370AB"/>
    <w:rsid w:val="00037A83"/>
    <w:rsid w:val="00042B93"/>
    <w:rsid w:val="00043C7F"/>
    <w:rsid w:val="00044626"/>
    <w:rsid w:val="000467A8"/>
    <w:rsid w:val="0005163F"/>
    <w:rsid w:val="000542BB"/>
    <w:rsid w:val="000579B0"/>
    <w:rsid w:val="000605C4"/>
    <w:rsid w:val="000608B0"/>
    <w:rsid w:val="000627EB"/>
    <w:rsid w:val="00063627"/>
    <w:rsid w:val="0006570F"/>
    <w:rsid w:val="00065B17"/>
    <w:rsid w:val="000663D4"/>
    <w:rsid w:val="000745DB"/>
    <w:rsid w:val="00075DE8"/>
    <w:rsid w:val="00076E34"/>
    <w:rsid w:val="00077CD6"/>
    <w:rsid w:val="000816F0"/>
    <w:rsid w:val="00087439"/>
    <w:rsid w:val="000A1DAA"/>
    <w:rsid w:val="000A5A04"/>
    <w:rsid w:val="000B0136"/>
    <w:rsid w:val="000B1017"/>
    <w:rsid w:val="000B5CF0"/>
    <w:rsid w:val="000B7D84"/>
    <w:rsid w:val="000C1260"/>
    <w:rsid w:val="000C281F"/>
    <w:rsid w:val="000C33A9"/>
    <w:rsid w:val="000C508A"/>
    <w:rsid w:val="000C560C"/>
    <w:rsid w:val="000C6165"/>
    <w:rsid w:val="000C731D"/>
    <w:rsid w:val="000D080B"/>
    <w:rsid w:val="000D48FD"/>
    <w:rsid w:val="000D59E2"/>
    <w:rsid w:val="000D79CC"/>
    <w:rsid w:val="000E1C64"/>
    <w:rsid w:val="000E3004"/>
    <w:rsid w:val="000E3F24"/>
    <w:rsid w:val="000F16C6"/>
    <w:rsid w:val="000F2456"/>
    <w:rsid w:val="000F5521"/>
    <w:rsid w:val="000F7119"/>
    <w:rsid w:val="00100739"/>
    <w:rsid w:val="00103DB6"/>
    <w:rsid w:val="0010493E"/>
    <w:rsid w:val="00104F99"/>
    <w:rsid w:val="001075D3"/>
    <w:rsid w:val="00107885"/>
    <w:rsid w:val="00114FC4"/>
    <w:rsid w:val="001150E4"/>
    <w:rsid w:val="0012329C"/>
    <w:rsid w:val="00132589"/>
    <w:rsid w:val="00132C74"/>
    <w:rsid w:val="0013339D"/>
    <w:rsid w:val="00133690"/>
    <w:rsid w:val="00134FA7"/>
    <w:rsid w:val="00135C02"/>
    <w:rsid w:val="00135DD8"/>
    <w:rsid w:val="00137950"/>
    <w:rsid w:val="00145587"/>
    <w:rsid w:val="0014572E"/>
    <w:rsid w:val="00147B80"/>
    <w:rsid w:val="00152997"/>
    <w:rsid w:val="00152F29"/>
    <w:rsid w:val="001539E6"/>
    <w:rsid w:val="00161263"/>
    <w:rsid w:val="0016145B"/>
    <w:rsid w:val="00163A07"/>
    <w:rsid w:val="0016483E"/>
    <w:rsid w:val="00164AE8"/>
    <w:rsid w:val="001658F5"/>
    <w:rsid w:val="001667B5"/>
    <w:rsid w:val="0016683C"/>
    <w:rsid w:val="00167707"/>
    <w:rsid w:val="00171E82"/>
    <w:rsid w:val="00174D54"/>
    <w:rsid w:val="00175722"/>
    <w:rsid w:val="0017702C"/>
    <w:rsid w:val="00182193"/>
    <w:rsid w:val="00182323"/>
    <w:rsid w:val="00182340"/>
    <w:rsid w:val="00182909"/>
    <w:rsid w:val="00182B04"/>
    <w:rsid w:val="0018327C"/>
    <w:rsid w:val="00185270"/>
    <w:rsid w:val="00186C64"/>
    <w:rsid w:val="00191299"/>
    <w:rsid w:val="00192E3F"/>
    <w:rsid w:val="00194D0D"/>
    <w:rsid w:val="00197167"/>
    <w:rsid w:val="00197C9B"/>
    <w:rsid w:val="001A3B5A"/>
    <w:rsid w:val="001A3CDB"/>
    <w:rsid w:val="001A458C"/>
    <w:rsid w:val="001A4964"/>
    <w:rsid w:val="001A5A90"/>
    <w:rsid w:val="001A6167"/>
    <w:rsid w:val="001A6CF6"/>
    <w:rsid w:val="001A7525"/>
    <w:rsid w:val="001B0AE5"/>
    <w:rsid w:val="001B2B58"/>
    <w:rsid w:val="001B4075"/>
    <w:rsid w:val="001B4EC5"/>
    <w:rsid w:val="001B7CE9"/>
    <w:rsid w:val="001C0B10"/>
    <w:rsid w:val="001C3F7E"/>
    <w:rsid w:val="001D4259"/>
    <w:rsid w:val="001D495A"/>
    <w:rsid w:val="001E244C"/>
    <w:rsid w:val="001E2F6E"/>
    <w:rsid w:val="001E3572"/>
    <w:rsid w:val="001E3B1B"/>
    <w:rsid w:val="001E3F46"/>
    <w:rsid w:val="001E42F9"/>
    <w:rsid w:val="001E50C6"/>
    <w:rsid w:val="001F04DD"/>
    <w:rsid w:val="001F1437"/>
    <w:rsid w:val="001F2E0F"/>
    <w:rsid w:val="001F2EAF"/>
    <w:rsid w:val="00200627"/>
    <w:rsid w:val="00204C51"/>
    <w:rsid w:val="00206799"/>
    <w:rsid w:val="002074FE"/>
    <w:rsid w:val="00207535"/>
    <w:rsid w:val="00207C84"/>
    <w:rsid w:val="002122D8"/>
    <w:rsid w:val="002155B3"/>
    <w:rsid w:val="00217D5A"/>
    <w:rsid w:val="00220A6A"/>
    <w:rsid w:val="00222C1C"/>
    <w:rsid w:val="0022425B"/>
    <w:rsid w:val="00224A92"/>
    <w:rsid w:val="0022521C"/>
    <w:rsid w:val="002259EF"/>
    <w:rsid w:val="00234EE0"/>
    <w:rsid w:val="002419E2"/>
    <w:rsid w:val="00242ED1"/>
    <w:rsid w:val="0024336F"/>
    <w:rsid w:val="002444BB"/>
    <w:rsid w:val="00245035"/>
    <w:rsid w:val="002453CE"/>
    <w:rsid w:val="00246D08"/>
    <w:rsid w:val="00250404"/>
    <w:rsid w:val="00254069"/>
    <w:rsid w:val="002540F4"/>
    <w:rsid w:val="00256604"/>
    <w:rsid w:val="00256FB4"/>
    <w:rsid w:val="00261380"/>
    <w:rsid w:val="00262E30"/>
    <w:rsid w:val="0026437C"/>
    <w:rsid w:val="002675FF"/>
    <w:rsid w:val="00270748"/>
    <w:rsid w:val="002734E5"/>
    <w:rsid w:val="002746DB"/>
    <w:rsid w:val="00274B18"/>
    <w:rsid w:val="00275FE6"/>
    <w:rsid w:val="00276139"/>
    <w:rsid w:val="0027715D"/>
    <w:rsid w:val="00280CAF"/>
    <w:rsid w:val="00280CF4"/>
    <w:rsid w:val="00282F09"/>
    <w:rsid w:val="0028537F"/>
    <w:rsid w:val="0028654E"/>
    <w:rsid w:val="00291810"/>
    <w:rsid w:val="002926FE"/>
    <w:rsid w:val="00294D62"/>
    <w:rsid w:val="00297532"/>
    <w:rsid w:val="00297FFD"/>
    <w:rsid w:val="002A1210"/>
    <w:rsid w:val="002A41D2"/>
    <w:rsid w:val="002A448A"/>
    <w:rsid w:val="002A47D2"/>
    <w:rsid w:val="002A6061"/>
    <w:rsid w:val="002A7611"/>
    <w:rsid w:val="002A7FB5"/>
    <w:rsid w:val="002B0097"/>
    <w:rsid w:val="002B0F00"/>
    <w:rsid w:val="002B2074"/>
    <w:rsid w:val="002B3108"/>
    <w:rsid w:val="002C0F9F"/>
    <w:rsid w:val="002C2B08"/>
    <w:rsid w:val="002D14D8"/>
    <w:rsid w:val="002D32AD"/>
    <w:rsid w:val="002D4799"/>
    <w:rsid w:val="002E3FA4"/>
    <w:rsid w:val="002E53A5"/>
    <w:rsid w:val="002E5A35"/>
    <w:rsid w:val="002E5D5D"/>
    <w:rsid w:val="002E64B8"/>
    <w:rsid w:val="002E6834"/>
    <w:rsid w:val="002F305E"/>
    <w:rsid w:val="002F426A"/>
    <w:rsid w:val="002F6FD7"/>
    <w:rsid w:val="002F7502"/>
    <w:rsid w:val="003021BD"/>
    <w:rsid w:val="0030444F"/>
    <w:rsid w:val="00306C66"/>
    <w:rsid w:val="0031034D"/>
    <w:rsid w:val="003110AA"/>
    <w:rsid w:val="003113FF"/>
    <w:rsid w:val="00311807"/>
    <w:rsid w:val="00312622"/>
    <w:rsid w:val="00313209"/>
    <w:rsid w:val="003135FE"/>
    <w:rsid w:val="0032224E"/>
    <w:rsid w:val="00322582"/>
    <w:rsid w:val="0032262C"/>
    <w:rsid w:val="0032277F"/>
    <w:rsid w:val="00322B1F"/>
    <w:rsid w:val="003244BE"/>
    <w:rsid w:val="00324BB9"/>
    <w:rsid w:val="00327B75"/>
    <w:rsid w:val="003328A0"/>
    <w:rsid w:val="00333466"/>
    <w:rsid w:val="00333969"/>
    <w:rsid w:val="00333A81"/>
    <w:rsid w:val="00336B69"/>
    <w:rsid w:val="00336C63"/>
    <w:rsid w:val="00336E4D"/>
    <w:rsid w:val="0034302B"/>
    <w:rsid w:val="0034303F"/>
    <w:rsid w:val="00343629"/>
    <w:rsid w:val="00350523"/>
    <w:rsid w:val="0035189D"/>
    <w:rsid w:val="00355B62"/>
    <w:rsid w:val="00356F41"/>
    <w:rsid w:val="00357C8A"/>
    <w:rsid w:val="0036147F"/>
    <w:rsid w:val="00362102"/>
    <w:rsid w:val="00363487"/>
    <w:rsid w:val="00364DAA"/>
    <w:rsid w:val="00365004"/>
    <w:rsid w:val="003740BC"/>
    <w:rsid w:val="0037456B"/>
    <w:rsid w:val="003801A3"/>
    <w:rsid w:val="0038321B"/>
    <w:rsid w:val="00383D90"/>
    <w:rsid w:val="00385661"/>
    <w:rsid w:val="003870AE"/>
    <w:rsid w:val="00393F15"/>
    <w:rsid w:val="00394D45"/>
    <w:rsid w:val="003952C6"/>
    <w:rsid w:val="003A0DD3"/>
    <w:rsid w:val="003A1A27"/>
    <w:rsid w:val="003A1A96"/>
    <w:rsid w:val="003A3761"/>
    <w:rsid w:val="003A50CC"/>
    <w:rsid w:val="003A7F2E"/>
    <w:rsid w:val="003B183F"/>
    <w:rsid w:val="003B301B"/>
    <w:rsid w:val="003B42B3"/>
    <w:rsid w:val="003B6384"/>
    <w:rsid w:val="003C0FE2"/>
    <w:rsid w:val="003C2F53"/>
    <w:rsid w:val="003C4EBB"/>
    <w:rsid w:val="003C6053"/>
    <w:rsid w:val="003C6265"/>
    <w:rsid w:val="003D0DE1"/>
    <w:rsid w:val="003D1531"/>
    <w:rsid w:val="003D39EE"/>
    <w:rsid w:val="003D3CCE"/>
    <w:rsid w:val="003E14D0"/>
    <w:rsid w:val="003E20C4"/>
    <w:rsid w:val="003E23FE"/>
    <w:rsid w:val="003E371D"/>
    <w:rsid w:val="003E4EC6"/>
    <w:rsid w:val="003E5155"/>
    <w:rsid w:val="003E527E"/>
    <w:rsid w:val="003E553E"/>
    <w:rsid w:val="003E7078"/>
    <w:rsid w:val="003F3DF5"/>
    <w:rsid w:val="003F42F3"/>
    <w:rsid w:val="003F73B8"/>
    <w:rsid w:val="003F7CA6"/>
    <w:rsid w:val="0040062B"/>
    <w:rsid w:val="00401BC3"/>
    <w:rsid w:val="0040206E"/>
    <w:rsid w:val="004027BD"/>
    <w:rsid w:val="0040297E"/>
    <w:rsid w:val="004071DD"/>
    <w:rsid w:val="00411D11"/>
    <w:rsid w:val="0041232F"/>
    <w:rsid w:val="00414494"/>
    <w:rsid w:val="00415E23"/>
    <w:rsid w:val="0041670D"/>
    <w:rsid w:val="00416B1B"/>
    <w:rsid w:val="00417007"/>
    <w:rsid w:val="00420963"/>
    <w:rsid w:val="00423272"/>
    <w:rsid w:val="00424061"/>
    <w:rsid w:val="00427836"/>
    <w:rsid w:val="00430F5A"/>
    <w:rsid w:val="004327D9"/>
    <w:rsid w:val="004333F0"/>
    <w:rsid w:val="00433E3A"/>
    <w:rsid w:val="00440409"/>
    <w:rsid w:val="00440C08"/>
    <w:rsid w:val="00442A3C"/>
    <w:rsid w:val="00443969"/>
    <w:rsid w:val="00447D74"/>
    <w:rsid w:val="00450A74"/>
    <w:rsid w:val="004546BF"/>
    <w:rsid w:val="00455008"/>
    <w:rsid w:val="00460204"/>
    <w:rsid w:val="004627B1"/>
    <w:rsid w:val="004627B9"/>
    <w:rsid w:val="004638A5"/>
    <w:rsid w:val="00465350"/>
    <w:rsid w:val="0047358F"/>
    <w:rsid w:val="00474E07"/>
    <w:rsid w:val="00476B91"/>
    <w:rsid w:val="00480EA6"/>
    <w:rsid w:val="004846BF"/>
    <w:rsid w:val="0048516E"/>
    <w:rsid w:val="00486259"/>
    <w:rsid w:val="0049217D"/>
    <w:rsid w:val="00492A71"/>
    <w:rsid w:val="00492CF8"/>
    <w:rsid w:val="00494912"/>
    <w:rsid w:val="00495273"/>
    <w:rsid w:val="004A3F78"/>
    <w:rsid w:val="004A5323"/>
    <w:rsid w:val="004A5A99"/>
    <w:rsid w:val="004A608B"/>
    <w:rsid w:val="004B18D0"/>
    <w:rsid w:val="004B2585"/>
    <w:rsid w:val="004B5DEA"/>
    <w:rsid w:val="004B6199"/>
    <w:rsid w:val="004C1EDE"/>
    <w:rsid w:val="004C43BA"/>
    <w:rsid w:val="004C6979"/>
    <w:rsid w:val="004C6CAA"/>
    <w:rsid w:val="004C6CF9"/>
    <w:rsid w:val="004D0C75"/>
    <w:rsid w:val="004D13A2"/>
    <w:rsid w:val="004D3E7A"/>
    <w:rsid w:val="004E080B"/>
    <w:rsid w:val="004E0E5A"/>
    <w:rsid w:val="004E756A"/>
    <w:rsid w:val="004F2137"/>
    <w:rsid w:val="004F3A8C"/>
    <w:rsid w:val="004F401C"/>
    <w:rsid w:val="004F46C8"/>
    <w:rsid w:val="004F594B"/>
    <w:rsid w:val="004F61E1"/>
    <w:rsid w:val="004F713E"/>
    <w:rsid w:val="005004C2"/>
    <w:rsid w:val="00504B98"/>
    <w:rsid w:val="005057A3"/>
    <w:rsid w:val="00506259"/>
    <w:rsid w:val="00513AFA"/>
    <w:rsid w:val="005163F0"/>
    <w:rsid w:val="005204F7"/>
    <w:rsid w:val="00521579"/>
    <w:rsid w:val="0052225E"/>
    <w:rsid w:val="00522CCE"/>
    <w:rsid w:val="00523C29"/>
    <w:rsid w:val="005266C9"/>
    <w:rsid w:val="00526EE7"/>
    <w:rsid w:val="005321B9"/>
    <w:rsid w:val="0053368E"/>
    <w:rsid w:val="0053380B"/>
    <w:rsid w:val="005344A7"/>
    <w:rsid w:val="00534D24"/>
    <w:rsid w:val="00537A74"/>
    <w:rsid w:val="00537D8C"/>
    <w:rsid w:val="00543194"/>
    <w:rsid w:val="00544138"/>
    <w:rsid w:val="005444A9"/>
    <w:rsid w:val="0054505A"/>
    <w:rsid w:val="0055059A"/>
    <w:rsid w:val="00552105"/>
    <w:rsid w:val="00552549"/>
    <w:rsid w:val="00554E34"/>
    <w:rsid w:val="00556D64"/>
    <w:rsid w:val="00557273"/>
    <w:rsid w:val="00557E6F"/>
    <w:rsid w:val="0056012F"/>
    <w:rsid w:val="00563A42"/>
    <w:rsid w:val="00563D55"/>
    <w:rsid w:val="00570D01"/>
    <w:rsid w:val="0057137B"/>
    <w:rsid w:val="00572754"/>
    <w:rsid w:val="00575320"/>
    <w:rsid w:val="005755CF"/>
    <w:rsid w:val="00576AF4"/>
    <w:rsid w:val="005773B9"/>
    <w:rsid w:val="00584583"/>
    <w:rsid w:val="00585E05"/>
    <w:rsid w:val="00590E90"/>
    <w:rsid w:val="00590EEB"/>
    <w:rsid w:val="00590FCF"/>
    <w:rsid w:val="005A275D"/>
    <w:rsid w:val="005A3186"/>
    <w:rsid w:val="005A4099"/>
    <w:rsid w:val="005A7405"/>
    <w:rsid w:val="005C3271"/>
    <w:rsid w:val="005C34CD"/>
    <w:rsid w:val="005C38B2"/>
    <w:rsid w:val="005C3913"/>
    <w:rsid w:val="005C5029"/>
    <w:rsid w:val="005C55C2"/>
    <w:rsid w:val="005C7177"/>
    <w:rsid w:val="005C71CA"/>
    <w:rsid w:val="005C745C"/>
    <w:rsid w:val="005D4DF5"/>
    <w:rsid w:val="005E11D7"/>
    <w:rsid w:val="005E30EB"/>
    <w:rsid w:val="005E3468"/>
    <w:rsid w:val="005E41DB"/>
    <w:rsid w:val="005E42BA"/>
    <w:rsid w:val="005E4E53"/>
    <w:rsid w:val="005E5C6C"/>
    <w:rsid w:val="005E5CE8"/>
    <w:rsid w:val="005F028F"/>
    <w:rsid w:val="005F2853"/>
    <w:rsid w:val="005F5E94"/>
    <w:rsid w:val="005F61C0"/>
    <w:rsid w:val="00600042"/>
    <w:rsid w:val="00605BB5"/>
    <w:rsid w:val="00607513"/>
    <w:rsid w:val="00607D7C"/>
    <w:rsid w:val="006106F8"/>
    <w:rsid w:val="00611D6B"/>
    <w:rsid w:val="0061494C"/>
    <w:rsid w:val="00614A48"/>
    <w:rsid w:val="006167BD"/>
    <w:rsid w:val="006216A5"/>
    <w:rsid w:val="006230FF"/>
    <w:rsid w:val="00625CFD"/>
    <w:rsid w:val="00627173"/>
    <w:rsid w:val="006326EC"/>
    <w:rsid w:val="0063654D"/>
    <w:rsid w:val="00636848"/>
    <w:rsid w:val="00637A2F"/>
    <w:rsid w:val="006408F6"/>
    <w:rsid w:val="00642FFE"/>
    <w:rsid w:val="00644D91"/>
    <w:rsid w:val="00644F45"/>
    <w:rsid w:val="006518AC"/>
    <w:rsid w:val="00654638"/>
    <w:rsid w:val="00657E6B"/>
    <w:rsid w:val="006626C6"/>
    <w:rsid w:val="00663A22"/>
    <w:rsid w:val="00663A42"/>
    <w:rsid w:val="006641C7"/>
    <w:rsid w:val="006705EA"/>
    <w:rsid w:val="00670895"/>
    <w:rsid w:val="00670BE2"/>
    <w:rsid w:val="006730F0"/>
    <w:rsid w:val="00674C66"/>
    <w:rsid w:val="00675589"/>
    <w:rsid w:val="006804D2"/>
    <w:rsid w:val="00686E43"/>
    <w:rsid w:val="006916D9"/>
    <w:rsid w:val="00692C5B"/>
    <w:rsid w:val="00697BA6"/>
    <w:rsid w:val="006A0E05"/>
    <w:rsid w:val="006A1AC4"/>
    <w:rsid w:val="006A26C6"/>
    <w:rsid w:val="006A336C"/>
    <w:rsid w:val="006A465A"/>
    <w:rsid w:val="006A471C"/>
    <w:rsid w:val="006A60A7"/>
    <w:rsid w:val="006A7D5D"/>
    <w:rsid w:val="006B01B9"/>
    <w:rsid w:val="006B18DC"/>
    <w:rsid w:val="006B1C04"/>
    <w:rsid w:val="006B5137"/>
    <w:rsid w:val="006B54D4"/>
    <w:rsid w:val="006C08BD"/>
    <w:rsid w:val="006C2B64"/>
    <w:rsid w:val="006C564F"/>
    <w:rsid w:val="006C58E1"/>
    <w:rsid w:val="006C5FE9"/>
    <w:rsid w:val="006D00E3"/>
    <w:rsid w:val="006D0391"/>
    <w:rsid w:val="006D0C12"/>
    <w:rsid w:val="006D1D0D"/>
    <w:rsid w:val="006D214E"/>
    <w:rsid w:val="006D4A96"/>
    <w:rsid w:val="006D5D57"/>
    <w:rsid w:val="006E2538"/>
    <w:rsid w:val="006E302D"/>
    <w:rsid w:val="006E302F"/>
    <w:rsid w:val="006E40A5"/>
    <w:rsid w:val="006E4948"/>
    <w:rsid w:val="006E4C12"/>
    <w:rsid w:val="006E62F1"/>
    <w:rsid w:val="006F20EA"/>
    <w:rsid w:val="006F4D6D"/>
    <w:rsid w:val="006F7E27"/>
    <w:rsid w:val="00705086"/>
    <w:rsid w:val="007058C4"/>
    <w:rsid w:val="00705A77"/>
    <w:rsid w:val="00706A7A"/>
    <w:rsid w:val="00711A68"/>
    <w:rsid w:val="007135B8"/>
    <w:rsid w:val="00714886"/>
    <w:rsid w:val="00720332"/>
    <w:rsid w:val="0072033C"/>
    <w:rsid w:val="00721F6A"/>
    <w:rsid w:val="00722001"/>
    <w:rsid w:val="00730C57"/>
    <w:rsid w:val="00741BDE"/>
    <w:rsid w:val="00742E98"/>
    <w:rsid w:val="00743F89"/>
    <w:rsid w:val="00744525"/>
    <w:rsid w:val="007473BD"/>
    <w:rsid w:val="00751733"/>
    <w:rsid w:val="0075195E"/>
    <w:rsid w:val="00751E66"/>
    <w:rsid w:val="00754497"/>
    <w:rsid w:val="00760472"/>
    <w:rsid w:val="00761F79"/>
    <w:rsid w:val="00762451"/>
    <w:rsid w:val="00773201"/>
    <w:rsid w:val="00775F76"/>
    <w:rsid w:val="007760F0"/>
    <w:rsid w:val="0078681B"/>
    <w:rsid w:val="00787C39"/>
    <w:rsid w:val="00792947"/>
    <w:rsid w:val="0079379D"/>
    <w:rsid w:val="00795DF3"/>
    <w:rsid w:val="007A373C"/>
    <w:rsid w:val="007A43DB"/>
    <w:rsid w:val="007A4B96"/>
    <w:rsid w:val="007A4E78"/>
    <w:rsid w:val="007A6D7D"/>
    <w:rsid w:val="007B225C"/>
    <w:rsid w:val="007B2EEE"/>
    <w:rsid w:val="007B2F68"/>
    <w:rsid w:val="007B5FD7"/>
    <w:rsid w:val="007B63E5"/>
    <w:rsid w:val="007B796E"/>
    <w:rsid w:val="007C1ECF"/>
    <w:rsid w:val="007C2C37"/>
    <w:rsid w:val="007C2F5F"/>
    <w:rsid w:val="007C5A4D"/>
    <w:rsid w:val="007C6ACA"/>
    <w:rsid w:val="007C7016"/>
    <w:rsid w:val="007C75B1"/>
    <w:rsid w:val="007D01C3"/>
    <w:rsid w:val="007D2FF7"/>
    <w:rsid w:val="007D3DFC"/>
    <w:rsid w:val="007E103A"/>
    <w:rsid w:val="007E1CEA"/>
    <w:rsid w:val="007E2F07"/>
    <w:rsid w:val="007E59A8"/>
    <w:rsid w:val="007E69C5"/>
    <w:rsid w:val="007E754F"/>
    <w:rsid w:val="007F0010"/>
    <w:rsid w:val="007F0AB4"/>
    <w:rsid w:val="007F3E6B"/>
    <w:rsid w:val="007F3FA9"/>
    <w:rsid w:val="007F5692"/>
    <w:rsid w:val="007F7D29"/>
    <w:rsid w:val="00805411"/>
    <w:rsid w:val="0080776D"/>
    <w:rsid w:val="0080791A"/>
    <w:rsid w:val="00810125"/>
    <w:rsid w:val="00810145"/>
    <w:rsid w:val="008108FA"/>
    <w:rsid w:val="00810FF1"/>
    <w:rsid w:val="00813FE7"/>
    <w:rsid w:val="00815FFA"/>
    <w:rsid w:val="00816B26"/>
    <w:rsid w:val="00822336"/>
    <w:rsid w:val="00823DFA"/>
    <w:rsid w:val="00824DE0"/>
    <w:rsid w:val="0082627E"/>
    <w:rsid w:val="00830FAC"/>
    <w:rsid w:val="00834F6B"/>
    <w:rsid w:val="008354E3"/>
    <w:rsid w:val="00841479"/>
    <w:rsid w:val="00842DB7"/>
    <w:rsid w:val="00843752"/>
    <w:rsid w:val="0084479F"/>
    <w:rsid w:val="00845B16"/>
    <w:rsid w:val="0085725E"/>
    <w:rsid w:val="008601DB"/>
    <w:rsid w:val="00862A36"/>
    <w:rsid w:val="00864133"/>
    <w:rsid w:val="0086500B"/>
    <w:rsid w:val="0086678C"/>
    <w:rsid w:val="00873D4F"/>
    <w:rsid w:val="0087509F"/>
    <w:rsid w:val="008754B2"/>
    <w:rsid w:val="008761D3"/>
    <w:rsid w:val="00877796"/>
    <w:rsid w:val="00881C6E"/>
    <w:rsid w:val="008823CC"/>
    <w:rsid w:val="00885B09"/>
    <w:rsid w:val="0089104D"/>
    <w:rsid w:val="0089221E"/>
    <w:rsid w:val="00892400"/>
    <w:rsid w:val="00894DBD"/>
    <w:rsid w:val="00895C0C"/>
    <w:rsid w:val="0089662A"/>
    <w:rsid w:val="008A1D77"/>
    <w:rsid w:val="008A209D"/>
    <w:rsid w:val="008A22BB"/>
    <w:rsid w:val="008A4A69"/>
    <w:rsid w:val="008B035D"/>
    <w:rsid w:val="008B0E29"/>
    <w:rsid w:val="008B0EFA"/>
    <w:rsid w:val="008B276D"/>
    <w:rsid w:val="008B2E1F"/>
    <w:rsid w:val="008B30AB"/>
    <w:rsid w:val="008C336E"/>
    <w:rsid w:val="008C3BB8"/>
    <w:rsid w:val="008C4B65"/>
    <w:rsid w:val="008D63DE"/>
    <w:rsid w:val="008E29F8"/>
    <w:rsid w:val="008E3C13"/>
    <w:rsid w:val="008E584A"/>
    <w:rsid w:val="008E5F55"/>
    <w:rsid w:val="008E6A81"/>
    <w:rsid w:val="008E73F3"/>
    <w:rsid w:val="008E7AF6"/>
    <w:rsid w:val="008F376E"/>
    <w:rsid w:val="008F6C3F"/>
    <w:rsid w:val="009009E7"/>
    <w:rsid w:val="00903249"/>
    <w:rsid w:val="00905DEF"/>
    <w:rsid w:val="00906056"/>
    <w:rsid w:val="00906CC6"/>
    <w:rsid w:val="0090719A"/>
    <w:rsid w:val="00910104"/>
    <w:rsid w:val="00910179"/>
    <w:rsid w:val="009122AE"/>
    <w:rsid w:val="00913B43"/>
    <w:rsid w:val="00930203"/>
    <w:rsid w:val="009311D2"/>
    <w:rsid w:val="009311E6"/>
    <w:rsid w:val="00931275"/>
    <w:rsid w:val="009341C1"/>
    <w:rsid w:val="00935266"/>
    <w:rsid w:val="00936AC7"/>
    <w:rsid w:val="0093785F"/>
    <w:rsid w:val="009403DA"/>
    <w:rsid w:val="0094106C"/>
    <w:rsid w:val="00944EC7"/>
    <w:rsid w:val="009464EA"/>
    <w:rsid w:val="009467C5"/>
    <w:rsid w:val="00947761"/>
    <w:rsid w:val="00950CE9"/>
    <w:rsid w:val="009536D1"/>
    <w:rsid w:val="00953B64"/>
    <w:rsid w:val="00953FE4"/>
    <w:rsid w:val="0095499F"/>
    <w:rsid w:val="0096156E"/>
    <w:rsid w:val="009646A7"/>
    <w:rsid w:val="009675F8"/>
    <w:rsid w:val="00970A88"/>
    <w:rsid w:val="00971905"/>
    <w:rsid w:val="009740E4"/>
    <w:rsid w:val="00976089"/>
    <w:rsid w:val="00976464"/>
    <w:rsid w:val="009765BD"/>
    <w:rsid w:val="00976D9C"/>
    <w:rsid w:val="009810B6"/>
    <w:rsid w:val="009818A1"/>
    <w:rsid w:val="00984EC7"/>
    <w:rsid w:val="00987280"/>
    <w:rsid w:val="00992196"/>
    <w:rsid w:val="00993BB5"/>
    <w:rsid w:val="0099497B"/>
    <w:rsid w:val="009954B5"/>
    <w:rsid w:val="00996D52"/>
    <w:rsid w:val="009A020C"/>
    <w:rsid w:val="009A1674"/>
    <w:rsid w:val="009A2F49"/>
    <w:rsid w:val="009A5106"/>
    <w:rsid w:val="009B26E1"/>
    <w:rsid w:val="009B2F4F"/>
    <w:rsid w:val="009B33DD"/>
    <w:rsid w:val="009B38BE"/>
    <w:rsid w:val="009B4DF2"/>
    <w:rsid w:val="009B545E"/>
    <w:rsid w:val="009C0F8F"/>
    <w:rsid w:val="009C54F4"/>
    <w:rsid w:val="009C684F"/>
    <w:rsid w:val="009C6C59"/>
    <w:rsid w:val="009D074C"/>
    <w:rsid w:val="009D3E1A"/>
    <w:rsid w:val="009D5F88"/>
    <w:rsid w:val="009D6E73"/>
    <w:rsid w:val="009E742F"/>
    <w:rsid w:val="009F1F1D"/>
    <w:rsid w:val="009F2667"/>
    <w:rsid w:val="009F2B4F"/>
    <w:rsid w:val="009F3707"/>
    <w:rsid w:val="009F3C63"/>
    <w:rsid w:val="009F45AE"/>
    <w:rsid w:val="009F66B5"/>
    <w:rsid w:val="009F6E4C"/>
    <w:rsid w:val="009F7359"/>
    <w:rsid w:val="00A02B99"/>
    <w:rsid w:val="00A02F10"/>
    <w:rsid w:val="00A03E7E"/>
    <w:rsid w:val="00A06448"/>
    <w:rsid w:val="00A1060C"/>
    <w:rsid w:val="00A113E7"/>
    <w:rsid w:val="00A117D1"/>
    <w:rsid w:val="00A149A3"/>
    <w:rsid w:val="00A15707"/>
    <w:rsid w:val="00A16221"/>
    <w:rsid w:val="00A20A7D"/>
    <w:rsid w:val="00A20FD2"/>
    <w:rsid w:val="00A21CF2"/>
    <w:rsid w:val="00A23364"/>
    <w:rsid w:val="00A25AC1"/>
    <w:rsid w:val="00A26ADB"/>
    <w:rsid w:val="00A26FA3"/>
    <w:rsid w:val="00A30190"/>
    <w:rsid w:val="00A317FB"/>
    <w:rsid w:val="00A31DE4"/>
    <w:rsid w:val="00A35D42"/>
    <w:rsid w:val="00A3657D"/>
    <w:rsid w:val="00A41E77"/>
    <w:rsid w:val="00A45E1E"/>
    <w:rsid w:val="00A46CCF"/>
    <w:rsid w:val="00A47C44"/>
    <w:rsid w:val="00A47F3B"/>
    <w:rsid w:val="00A506DE"/>
    <w:rsid w:val="00A51C97"/>
    <w:rsid w:val="00A53451"/>
    <w:rsid w:val="00A548A5"/>
    <w:rsid w:val="00A563D1"/>
    <w:rsid w:val="00A57E19"/>
    <w:rsid w:val="00A605CF"/>
    <w:rsid w:val="00A62A13"/>
    <w:rsid w:val="00A630A9"/>
    <w:rsid w:val="00A6431E"/>
    <w:rsid w:val="00A6684C"/>
    <w:rsid w:val="00A6711F"/>
    <w:rsid w:val="00A70426"/>
    <w:rsid w:val="00A707CC"/>
    <w:rsid w:val="00A71410"/>
    <w:rsid w:val="00A76C2A"/>
    <w:rsid w:val="00A85C56"/>
    <w:rsid w:val="00A874FF"/>
    <w:rsid w:val="00A91E9A"/>
    <w:rsid w:val="00A91FF8"/>
    <w:rsid w:val="00A924B8"/>
    <w:rsid w:val="00A93ED9"/>
    <w:rsid w:val="00A96221"/>
    <w:rsid w:val="00AA101B"/>
    <w:rsid w:val="00AA1B53"/>
    <w:rsid w:val="00AA4BFA"/>
    <w:rsid w:val="00AA4F3B"/>
    <w:rsid w:val="00AB0894"/>
    <w:rsid w:val="00AB1391"/>
    <w:rsid w:val="00AB1A6B"/>
    <w:rsid w:val="00AB2896"/>
    <w:rsid w:val="00AB362B"/>
    <w:rsid w:val="00AB3DE1"/>
    <w:rsid w:val="00AB78E6"/>
    <w:rsid w:val="00AC2DBB"/>
    <w:rsid w:val="00AC68B9"/>
    <w:rsid w:val="00AC6A99"/>
    <w:rsid w:val="00AD5D8C"/>
    <w:rsid w:val="00AD6048"/>
    <w:rsid w:val="00AE1362"/>
    <w:rsid w:val="00AE281B"/>
    <w:rsid w:val="00AE2A01"/>
    <w:rsid w:val="00AE3D07"/>
    <w:rsid w:val="00AE46AE"/>
    <w:rsid w:val="00AE523A"/>
    <w:rsid w:val="00AF0A45"/>
    <w:rsid w:val="00AF26AE"/>
    <w:rsid w:val="00AF2DC1"/>
    <w:rsid w:val="00AF2F6B"/>
    <w:rsid w:val="00AF4425"/>
    <w:rsid w:val="00B03671"/>
    <w:rsid w:val="00B04000"/>
    <w:rsid w:val="00B05006"/>
    <w:rsid w:val="00B051A4"/>
    <w:rsid w:val="00B055EF"/>
    <w:rsid w:val="00B06B5B"/>
    <w:rsid w:val="00B120DB"/>
    <w:rsid w:val="00B12BBA"/>
    <w:rsid w:val="00B13712"/>
    <w:rsid w:val="00B15433"/>
    <w:rsid w:val="00B17AA7"/>
    <w:rsid w:val="00B23769"/>
    <w:rsid w:val="00B23AEF"/>
    <w:rsid w:val="00B26428"/>
    <w:rsid w:val="00B26F96"/>
    <w:rsid w:val="00B301D3"/>
    <w:rsid w:val="00B3328E"/>
    <w:rsid w:val="00B36DF3"/>
    <w:rsid w:val="00B37635"/>
    <w:rsid w:val="00B41789"/>
    <w:rsid w:val="00B421AB"/>
    <w:rsid w:val="00B4243D"/>
    <w:rsid w:val="00B437ED"/>
    <w:rsid w:val="00B43DFD"/>
    <w:rsid w:val="00B4620E"/>
    <w:rsid w:val="00B47A68"/>
    <w:rsid w:val="00B53F47"/>
    <w:rsid w:val="00B54803"/>
    <w:rsid w:val="00B54D5E"/>
    <w:rsid w:val="00B608F7"/>
    <w:rsid w:val="00B61DF8"/>
    <w:rsid w:val="00B62021"/>
    <w:rsid w:val="00B63E2E"/>
    <w:rsid w:val="00B64528"/>
    <w:rsid w:val="00B66489"/>
    <w:rsid w:val="00B81808"/>
    <w:rsid w:val="00B84008"/>
    <w:rsid w:val="00B86DFA"/>
    <w:rsid w:val="00B904BE"/>
    <w:rsid w:val="00B90C9A"/>
    <w:rsid w:val="00B92EBE"/>
    <w:rsid w:val="00B936D0"/>
    <w:rsid w:val="00B97391"/>
    <w:rsid w:val="00B97722"/>
    <w:rsid w:val="00BA1098"/>
    <w:rsid w:val="00BA2C6C"/>
    <w:rsid w:val="00BA3AFF"/>
    <w:rsid w:val="00BA5536"/>
    <w:rsid w:val="00BA580C"/>
    <w:rsid w:val="00BA5A1D"/>
    <w:rsid w:val="00BA7B2E"/>
    <w:rsid w:val="00BB15FB"/>
    <w:rsid w:val="00BB4860"/>
    <w:rsid w:val="00BB5045"/>
    <w:rsid w:val="00BB5B45"/>
    <w:rsid w:val="00BB5BBB"/>
    <w:rsid w:val="00BB6891"/>
    <w:rsid w:val="00BC7D74"/>
    <w:rsid w:val="00BD3D5B"/>
    <w:rsid w:val="00BE0E0E"/>
    <w:rsid w:val="00BE3600"/>
    <w:rsid w:val="00BF2FE8"/>
    <w:rsid w:val="00BF3EAA"/>
    <w:rsid w:val="00BF4E31"/>
    <w:rsid w:val="00BF5007"/>
    <w:rsid w:val="00BF5CB7"/>
    <w:rsid w:val="00BF780E"/>
    <w:rsid w:val="00BF7AC8"/>
    <w:rsid w:val="00C012E3"/>
    <w:rsid w:val="00C01F6F"/>
    <w:rsid w:val="00C02D42"/>
    <w:rsid w:val="00C041EA"/>
    <w:rsid w:val="00C043D1"/>
    <w:rsid w:val="00C06004"/>
    <w:rsid w:val="00C07645"/>
    <w:rsid w:val="00C106A5"/>
    <w:rsid w:val="00C107D2"/>
    <w:rsid w:val="00C13AC9"/>
    <w:rsid w:val="00C13BBD"/>
    <w:rsid w:val="00C149AB"/>
    <w:rsid w:val="00C15BFD"/>
    <w:rsid w:val="00C16406"/>
    <w:rsid w:val="00C16929"/>
    <w:rsid w:val="00C20690"/>
    <w:rsid w:val="00C21E8B"/>
    <w:rsid w:val="00C22316"/>
    <w:rsid w:val="00C24342"/>
    <w:rsid w:val="00C26FED"/>
    <w:rsid w:val="00C36020"/>
    <w:rsid w:val="00C40694"/>
    <w:rsid w:val="00C40A0D"/>
    <w:rsid w:val="00C414EE"/>
    <w:rsid w:val="00C433D3"/>
    <w:rsid w:val="00C439DB"/>
    <w:rsid w:val="00C45792"/>
    <w:rsid w:val="00C479BF"/>
    <w:rsid w:val="00C50B1C"/>
    <w:rsid w:val="00C5124B"/>
    <w:rsid w:val="00C512C6"/>
    <w:rsid w:val="00C519F8"/>
    <w:rsid w:val="00C5485B"/>
    <w:rsid w:val="00C5505A"/>
    <w:rsid w:val="00C5765D"/>
    <w:rsid w:val="00C639CE"/>
    <w:rsid w:val="00C66CA3"/>
    <w:rsid w:val="00C70542"/>
    <w:rsid w:val="00C708F5"/>
    <w:rsid w:val="00C73D89"/>
    <w:rsid w:val="00C75CBF"/>
    <w:rsid w:val="00C80FA1"/>
    <w:rsid w:val="00C819F2"/>
    <w:rsid w:val="00C83313"/>
    <w:rsid w:val="00C8556C"/>
    <w:rsid w:val="00C86E02"/>
    <w:rsid w:val="00C9035E"/>
    <w:rsid w:val="00C90AFA"/>
    <w:rsid w:val="00C945E2"/>
    <w:rsid w:val="00C94CB8"/>
    <w:rsid w:val="00CA563A"/>
    <w:rsid w:val="00CA6A46"/>
    <w:rsid w:val="00CA700B"/>
    <w:rsid w:val="00CA7BF6"/>
    <w:rsid w:val="00CB07E3"/>
    <w:rsid w:val="00CB64C4"/>
    <w:rsid w:val="00CB6EA1"/>
    <w:rsid w:val="00CC2894"/>
    <w:rsid w:val="00CC6AB9"/>
    <w:rsid w:val="00CD7103"/>
    <w:rsid w:val="00CD77C3"/>
    <w:rsid w:val="00CE040B"/>
    <w:rsid w:val="00CE0B4C"/>
    <w:rsid w:val="00CE112C"/>
    <w:rsid w:val="00CE1566"/>
    <w:rsid w:val="00CE4A51"/>
    <w:rsid w:val="00CE4B1C"/>
    <w:rsid w:val="00CE6AF4"/>
    <w:rsid w:val="00CE6FDE"/>
    <w:rsid w:val="00CF4123"/>
    <w:rsid w:val="00CF55D4"/>
    <w:rsid w:val="00CF6BB8"/>
    <w:rsid w:val="00D0402C"/>
    <w:rsid w:val="00D10A9E"/>
    <w:rsid w:val="00D13032"/>
    <w:rsid w:val="00D156E1"/>
    <w:rsid w:val="00D15FCC"/>
    <w:rsid w:val="00D20052"/>
    <w:rsid w:val="00D22494"/>
    <w:rsid w:val="00D22EF9"/>
    <w:rsid w:val="00D2377D"/>
    <w:rsid w:val="00D23E65"/>
    <w:rsid w:val="00D26D0E"/>
    <w:rsid w:val="00D304E8"/>
    <w:rsid w:val="00D3173B"/>
    <w:rsid w:val="00D31896"/>
    <w:rsid w:val="00D42E96"/>
    <w:rsid w:val="00D43BA5"/>
    <w:rsid w:val="00D43CD6"/>
    <w:rsid w:val="00D46228"/>
    <w:rsid w:val="00D50934"/>
    <w:rsid w:val="00D53B66"/>
    <w:rsid w:val="00D549AC"/>
    <w:rsid w:val="00D606E8"/>
    <w:rsid w:val="00D608DA"/>
    <w:rsid w:val="00D64004"/>
    <w:rsid w:val="00D646C1"/>
    <w:rsid w:val="00D658BF"/>
    <w:rsid w:val="00D66DF0"/>
    <w:rsid w:val="00D730BF"/>
    <w:rsid w:val="00D746B7"/>
    <w:rsid w:val="00D75E00"/>
    <w:rsid w:val="00D762ED"/>
    <w:rsid w:val="00D7742E"/>
    <w:rsid w:val="00D77B51"/>
    <w:rsid w:val="00D80723"/>
    <w:rsid w:val="00D82901"/>
    <w:rsid w:val="00D849AC"/>
    <w:rsid w:val="00D852F4"/>
    <w:rsid w:val="00D8679C"/>
    <w:rsid w:val="00D8788C"/>
    <w:rsid w:val="00D95495"/>
    <w:rsid w:val="00D95DE1"/>
    <w:rsid w:val="00DA0AE5"/>
    <w:rsid w:val="00DA7919"/>
    <w:rsid w:val="00DB08F1"/>
    <w:rsid w:val="00DB1110"/>
    <w:rsid w:val="00DB2A2B"/>
    <w:rsid w:val="00DB3730"/>
    <w:rsid w:val="00DB6A69"/>
    <w:rsid w:val="00DB6EC2"/>
    <w:rsid w:val="00DC0E19"/>
    <w:rsid w:val="00DC371B"/>
    <w:rsid w:val="00DC3788"/>
    <w:rsid w:val="00DC4280"/>
    <w:rsid w:val="00DC76C7"/>
    <w:rsid w:val="00DD09F5"/>
    <w:rsid w:val="00DD0E02"/>
    <w:rsid w:val="00DD32AC"/>
    <w:rsid w:val="00DD4201"/>
    <w:rsid w:val="00DD4F60"/>
    <w:rsid w:val="00DD5E9F"/>
    <w:rsid w:val="00DD7DCC"/>
    <w:rsid w:val="00DE2B68"/>
    <w:rsid w:val="00DE3F29"/>
    <w:rsid w:val="00DE5711"/>
    <w:rsid w:val="00DE7535"/>
    <w:rsid w:val="00DF122E"/>
    <w:rsid w:val="00DF3B6D"/>
    <w:rsid w:val="00E00EA0"/>
    <w:rsid w:val="00E021CB"/>
    <w:rsid w:val="00E101A5"/>
    <w:rsid w:val="00E12E2E"/>
    <w:rsid w:val="00E138F1"/>
    <w:rsid w:val="00E16E9D"/>
    <w:rsid w:val="00E17B3F"/>
    <w:rsid w:val="00E21D7A"/>
    <w:rsid w:val="00E2309D"/>
    <w:rsid w:val="00E239C3"/>
    <w:rsid w:val="00E24986"/>
    <w:rsid w:val="00E24A22"/>
    <w:rsid w:val="00E26758"/>
    <w:rsid w:val="00E3145C"/>
    <w:rsid w:val="00E3458B"/>
    <w:rsid w:val="00E346C9"/>
    <w:rsid w:val="00E35CF3"/>
    <w:rsid w:val="00E36D8F"/>
    <w:rsid w:val="00E4357B"/>
    <w:rsid w:val="00E443A7"/>
    <w:rsid w:val="00E45904"/>
    <w:rsid w:val="00E52D1E"/>
    <w:rsid w:val="00E530E8"/>
    <w:rsid w:val="00E55998"/>
    <w:rsid w:val="00E60BAE"/>
    <w:rsid w:val="00E6171A"/>
    <w:rsid w:val="00E63145"/>
    <w:rsid w:val="00E6344D"/>
    <w:rsid w:val="00E63DE5"/>
    <w:rsid w:val="00E647AF"/>
    <w:rsid w:val="00E647C7"/>
    <w:rsid w:val="00E65A37"/>
    <w:rsid w:val="00E65EF7"/>
    <w:rsid w:val="00E71B8B"/>
    <w:rsid w:val="00E73A9F"/>
    <w:rsid w:val="00E75672"/>
    <w:rsid w:val="00E777C7"/>
    <w:rsid w:val="00E77B48"/>
    <w:rsid w:val="00E82843"/>
    <w:rsid w:val="00E857FB"/>
    <w:rsid w:val="00E862F0"/>
    <w:rsid w:val="00E8641F"/>
    <w:rsid w:val="00E9095B"/>
    <w:rsid w:val="00E91799"/>
    <w:rsid w:val="00E93A27"/>
    <w:rsid w:val="00E94379"/>
    <w:rsid w:val="00E95F56"/>
    <w:rsid w:val="00E96973"/>
    <w:rsid w:val="00E97DF8"/>
    <w:rsid w:val="00EA08A8"/>
    <w:rsid w:val="00EA21FE"/>
    <w:rsid w:val="00EA2A96"/>
    <w:rsid w:val="00EA34E3"/>
    <w:rsid w:val="00EA4140"/>
    <w:rsid w:val="00EB5085"/>
    <w:rsid w:val="00EB64C3"/>
    <w:rsid w:val="00EB67D9"/>
    <w:rsid w:val="00EB7538"/>
    <w:rsid w:val="00EC13D6"/>
    <w:rsid w:val="00EC1868"/>
    <w:rsid w:val="00EC6558"/>
    <w:rsid w:val="00ED2468"/>
    <w:rsid w:val="00ED3F3D"/>
    <w:rsid w:val="00EE2B1D"/>
    <w:rsid w:val="00EE5BC3"/>
    <w:rsid w:val="00EE6468"/>
    <w:rsid w:val="00EE78CF"/>
    <w:rsid w:val="00EF45A8"/>
    <w:rsid w:val="00EF4BCB"/>
    <w:rsid w:val="00EF5020"/>
    <w:rsid w:val="00EF543D"/>
    <w:rsid w:val="00EF672B"/>
    <w:rsid w:val="00F0263F"/>
    <w:rsid w:val="00F07850"/>
    <w:rsid w:val="00F1299B"/>
    <w:rsid w:val="00F1357E"/>
    <w:rsid w:val="00F14835"/>
    <w:rsid w:val="00F16430"/>
    <w:rsid w:val="00F20432"/>
    <w:rsid w:val="00F207A4"/>
    <w:rsid w:val="00F2220A"/>
    <w:rsid w:val="00F24EE7"/>
    <w:rsid w:val="00F25173"/>
    <w:rsid w:val="00F27D6C"/>
    <w:rsid w:val="00F30597"/>
    <w:rsid w:val="00F3357F"/>
    <w:rsid w:val="00F3516A"/>
    <w:rsid w:val="00F355AC"/>
    <w:rsid w:val="00F3589D"/>
    <w:rsid w:val="00F40CF7"/>
    <w:rsid w:val="00F44194"/>
    <w:rsid w:val="00F45503"/>
    <w:rsid w:val="00F45514"/>
    <w:rsid w:val="00F46024"/>
    <w:rsid w:val="00F47394"/>
    <w:rsid w:val="00F5023E"/>
    <w:rsid w:val="00F503F6"/>
    <w:rsid w:val="00F50CDB"/>
    <w:rsid w:val="00F62C2A"/>
    <w:rsid w:val="00F709B4"/>
    <w:rsid w:val="00F71A5A"/>
    <w:rsid w:val="00F71C57"/>
    <w:rsid w:val="00F73A1A"/>
    <w:rsid w:val="00F769E0"/>
    <w:rsid w:val="00F81319"/>
    <w:rsid w:val="00F8221B"/>
    <w:rsid w:val="00F85DF5"/>
    <w:rsid w:val="00F86245"/>
    <w:rsid w:val="00F86A2A"/>
    <w:rsid w:val="00F87CC3"/>
    <w:rsid w:val="00F91B82"/>
    <w:rsid w:val="00F951E0"/>
    <w:rsid w:val="00FA187E"/>
    <w:rsid w:val="00FA4A46"/>
    <w:rsid w:val="00FA75FE"/>
    <w:rsid w:val="00FB1032"/>
    <w:rsid w:val="00FB1EFF"/>
    <w:rsid w:val="00FB39BC"/>
    <w:rsid w:val="00FB3E64"/>
    <w:rsid w:val="00FB6A53"/>
    <w:rsid w:val="00FC03B4"/>
    <w:rsid w:val="00FC11CA"/>
    <w:rsid w:val="00FC3058"/>
    <w:rsid w:val="00FC6BDE"/>
    <w:rsid w:val="00FD02B7"/>
    <w:rsid w:val="00FD1803"/>
    <w:rsid w:val="00FD1845"/>
    <w:rsid w:val="00FD1EE2"/>
    <w:rsid w:val="00FD2568"/>
    <w:rsid w:val="00FD55E7"/>
    <w:rsid w:val="00FD792B"/>
    <w:rsid w:val="00FE1464"/>
    <w:rsid w:val="00FE39DA"/>
    <w:rsid w:val="00FE5DB2"/>
    <w:rsid w:val="00FE6006"/>
    <w:rsid w:val="00FE6A91"/>
    <w:rsid w:val="00FE6FAD"/>
    <w:rsid w:val="00FF047A"/>
    <w:rsid w:val="00FF1A3C"/>
    <w:rsid w:val="00FF5FE9"/>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0B41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paragraph" w:styleId="Heading1">
    <w:name w:val="heading 1"/>
    <w:basedOn w:val="Normal"/>
    <w:next w:val="Normal"/>
    <w:link w:val="Heading1Char"/>
    <w:qFormat/>
    <w:rsid w:val="00C02D4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customStyle="1" w:styleId="Heading1Char">
    <w:name w:val="Heading 1 Char"/>
    <w:link w:val="Heading1"/>
    <w:rsid w:val="00C02D42"/>
    <w:rPr>
      <w:rFonts w:ascii="Arial" w:hAnsi="Arial" w:cs="Arial"/>
      <w:b/>
      <w:bCs/>
      <w:kern w:val="32"/>
      <w:sz w:val="32"/>
      <w:szCs w:val="32"/>
    </w:rPr>
  </w:style>
  <w:style w:type="paragraph" w:customStyle="1" w:styleId="CM11">
    <w:name w:val="CM11"/>
    <w:basedOn w:val="Default"/>
    <w:next w:val="Default"/>
    <w:rsid w:val="00C02D42"/>
    <w:pPr>
      <w:widowControl w:val="0"/>
      <w:spacing w:after="540"/>
    </w:pPr>
    <w:rPr>
      <w:color w:val="auto"/>
    </w:rPr>
  </w:style>
  <w:style w:type="paragraph" w:customStyle="1" w:styleId="CM12">
    <w:name w:val="CM12"/>
    <w:basedOn w:val="Default"/>
    <w:next w:val="Default"/>
    <w:rsid w:val="00C02D42"/>
    <w:pPr>
      <w:widowControl w:val="0"/>
      <w:spacing w:after="273"/>
    </w:pPr>
    <w:rPr>
      <w:color w:val="auto"/>
    </w:rPr>
  </w:style>
  <w:style w:type="paragraph" w:customStyle="1" w:styleId="CM2">
    <w:name w:val="CM2"/>
    <w:basedOn w:val="Default"/>
    <w:next w:val="Default"/>
    <w:rsid w:val="00C02D42"/>
    <w:pPr>
      <w:widowControl w:val="0"/>
      <w:spacing w:line="278" w:lineRule="atLeast"/>
    </w:pPr>
    <w:rPr>
      <w:color w:val="auto"/>
    </w:rPr>
  </w:style>
  <w:style w:type="character" w:styleId="CommentReference">
    <w:name w:val="annotation reference"/>
    <w:uiPriority w:val="99"/>
    <w:rsid w:val="005F2853"/>
    <w:rPr>
      <w:sz w:val="16"/>
      <w:szCs w:val="16"/>
    </w:rPr>
  </w:style>
  <w:style w:type="paragraph" w:styleId="CommentText">
    <w:name w:val="annotation text"/>
    <w:basedOn w:val="Normal"/>
    <w:link w:val="CommentTextChar"/>
    <w:uiPriority w:val="99"/>
    <w:rsid w:val="005F2853"/>
    <w:rPr>
      <w:sz w:val="20"/>
      <w:szCs w:val="20"/>
    </w:rPr>
  </w:style>
  <w:style w:type="character" w:customStyle="1" w:styleId="CommentTextChar">
    <w:name w:val="Comment Text Char"/>
    <w:basedOn w:val="DefaultParagraphFont"/>
    <w:link w:val="CommentText"/>
    <w:uiPriority w:val="99"/>
    <w:rsid w:val="005F2853"/>
  </w:style>
  <w:style w:type="paragraph" w:styleId="CommentSubject">
    <w:name w:val="annotation subject"/>
    <w:basedOn w:val="CommentText"/>
    <w:next w:val="CommentText"/>
    <w:link w:val="CommentSubjectChar"/>
    <w:rsid w:val="005F2853"/>
    <w:rPr>
      <w:b/>
      <w:bCs/>
    </w:rPr>
  </w:style>
  <w:style w:type="character" w:customStyle="1" w:styleId="CommentSubjectChar">
    <w:name w:val="Comment Subject Char"/>
    <w:link w:val="CommentSubject"/>
    <w:rsid w:val="005F2853"/>
    <w:rPr>
      <w:b/>
      <w:bCs/>
    </w:rPr>
  </w:style>
  <w:style w:type="paragraph" w:styleId="HTMLPreformatted">
    <w:name w:val="HTML Preformatted"/>
    <w:basedOn w:val="Normal"/>
    <w:link w:val="HTMLPreformattedChar"/>
    <w:rsid w:val="00BE0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BE0E0E"/>
    <w:rPr>
      <w:rFonts w:ascii="Courier New" w:hAnsi="Courier New" w:cs="Courier New"/>
    </w:rPr>
  </w:style>
  <w:style w:type="paragraph" w:styleId="BodyText">
    <w:name w:val="Body Text"/>
    <w:basedOn w:val="Normal"/>
    <w:link w:val="BodyTextChar"/>
    <w:rsid w:val="000C508A"/>
    <w:pPr>
      <w:spacing w:after="120"/>
    </w:pPr>
  </w:style>
  <w:style w:type="character" w:customStyle="1" w:styleId="BodyTextChar">
    <w:name w:val="Body Text Char"/>
    <w:basedOn w:val="DefaultParagraphFont"/>
    <w:link w:val="BodyText"/>
    <w:rsid w:val="000C508A"/>
    <w:rPr>
      <w:sz w:val="24"/>
      <w:szCs w:val="24"/>
    </w:rPr>
  </w:style>
  <w:style w:type="paragraph" w:styleId="NoSpacing">
    <w:name w:val="No Spacing"/>
    <w:basedOn w:val="Normal"/>
    <w:link w:val="NoSpacingChar"/>
    <w:uiPriority w:val="1"/>
    <w:qFormat/>
    <w:rsid w:val="000233DD"/>
    <w:rPr>
      <w:rFonts w:ascii="Calibri" w:hAnsi="Calibri"/>
      <w:szCs w:val="22"/>
    </w:rPr>
  </w:style>
  <w:style w:type="character" w:customStyle="1" w:styleId="NoSpacingChar">
    <w:name w:val="No Spacing Char"/>
    <w:link w:val="NoSpacing"/>
    <w:uiPriority w:val="1"/>
    <w:rsid w:val="000233DD"/>
    <w:rPr>
      <w:rFonts w:ascii="Calibri" w:hAnsi="Calibri"/>
      <w:sz w:val="24"/>
      <w:szCs w:val="22"/>
    </w:rPr>
  </w:style>
  <w:style w:type="paragraph" w:styleId="Revision">
    <w:name w:val="Revision"/>
    <w:hidden/>
    <w:uiPriority w:val="99"/>
    <w:semiHidden/>
    <w:rsid w:val="009954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radiation-emitting-products/mammography-quality-standards-act-and-progra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114B9-7DAF-4E5F-BF13-C4825D69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1616</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2023-03-12T16:08:00Z</dcterms:created>
  <dcterms:modified xsi:type="dcterms:W3CDTF">2023-03-12T16:08:00Z</dcterms:modified>
</cp:coreProperties>
</file>