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A14" w:rsidRPr="00762A14" w:rsidP="00364A77" w14:paraId="64B5B7E5" w14:textId="77777777">
      <w:pPr>
        <w:pStyle w:val="Heading2"/>
        <w:tabs>
          <w:tab w:val="left" w:pos="900"/>
        </w:tabs>
        <w:ind w:right="-180"/>
        <w:rPr>
          <w:b w:val="0"/>
        </w:rPr>
      </w:pPr>
      <w:r w:rsidRPr="00762A14">
        <w:rPr>
          <w:b w:val="0"/>
        </w:rPr>
        <w:t>United States Food and Drug Administration</w:t>
      </w:r>
    </w:p>
    <w:p w:rsidR="00A63790" w:rsidRPr="00762A14" w:rsidP="00364A77" w14:paraId="2A5CAD9A" w14:textId="4F1283DD">
      <w:pPr>
        <w:pStyle w:val="Heading2"/>
        <w:tabs>
          <w:tab w:val="left" w:pos="900"/>
        </w:tabs>
        <w:ind w:right="-180"/>
        <w:rPr>
          <w:b w:val="0"/>
        </w:rPr>
      </w:pPr>
      <w:r w:rsidRPr="00762A14">
        <w:rPr>
          <w:b w:val="0"/>
        </w:rPr>
        <w:t xml:space="preserve">Testing Communications on Medical Devices and Radiation-Emitting Products </w:t>
      </w:r>
      <w:r w:rsidR="00BE1D01">
        <w:rPr>
          <w:b w:val="0"/>
        </w:rPr>
        <w:t>(CDRH)</w:t>
      </w:r>
      <w:r w:rsidRPr="00762A14">
        <w:rPr>
          <w:b w:val="0"/>
        </w:rPr>
        <w:br/>
        <w:t>OMB Control Number 0910-06</w:t>
      </w:r>
      <w:r w:rsidRPr="00762A14" w:rsidR="005510AD">
        <w:rPr>
          <w:b w:val="0"/>
        </w:rPr>
        <w:t>78</w:t>
      </w:r>
      <w:r w:rsidRPr="00762A14">
        <w:rPr>
          <w:b w:val="0"/>
        </w:rPr>
        <w:br/>
        <w:t>G</w:t>
      </w:r>
      <w:r w:rsidR="00762A14">
        <w:rPr>
          <w:b w:val="0"/>
        </w:rPr>
        <w:t>en</w:t>
      </w:r>
      <w:r w:rsidRPr="00762A14">
        <w:rPr>
          <w:b w:val="0"/>
        </w:rPr>
        <w:t xml:space="preserve"> IC Request for Approval</w:t>
      </w:r>
    </w:p>
    <w:p w:rsidR="00B41016" w:rsidRPr="005418B5" w:rsidP="000E1B79" w14:paraId="407CA584" w14:textId="77777777">
      <w:pPr>
        <w:rPr>
          <w:sz w:val="20"/>
          <w:szCs w:val="20"/>
        </w:rPr>
      </w:pPr>
    </w:p>
    <w:p w:rsidR="00762A14" w:rsidRPr="00EF2C89" w:rsidP="00762A14" w14:paraId="08E6981E" w14:textId="2F371C59">
      <w:pPr>
        <w:spacing w:after="200"/>
        <w:rPr>
          <w:rFonts w:eastAsia="Calibri"/>
        </w:rPr>
      </w:pPr>
      <w:r w:rsidRPr="00A72249">
        <w:rPr>
          <w:rFonts w:eastAsia="Calibri"/>
          <w:bCs/>
        </w:rPr>
        <w:t>Title of Gen IC:</w:t>
      </w:r>
      <w:r w:rsidRPr="00EF2C89">
        <w:rPr>
          <w:rFonts w:eastAsia="Calibri"/>
        </w:rPr>
        <w:t xml:space="preserve"> </w:t>
      </w:r>
      <w:r w:rsidRPr="00194C6C" w:rsidR="00194C6C">
        <w:rPr>
          <w:rFonts w:eastAsia="Calibri"/>
        </w:rPr>
        <w:t>CDRH Rapid Message Testing with Consumers and Caregivers—</w:t>
      </w:r>
      <w:r w:rsidRPr="00C37FE3" w:rsidR="00C37FE3">
        <w:t xml:space="preserve"> </w:t>
      </w:r>
      <w:r w:rsidR="006F67FA">
        <w:rPr>
          <w:rFonts w:eastAsia="Calibri"/>
        </w:rPr>
        <w:t>March 2023 Breast Implant Safety Communication</w:t>
      </w:r>
    </w:p>
    <w:p w:rsidR="00762A14" w:rsidRPr="00A72249" w:rsidP="00762A14" w14:paraId="11665E3D" w14:textId="4340DBA9">
      <w:pPr>
        <w:numPr>
          <w:ilvl w:val="0"/>
          <w:numId w:val="21"/>
        </w:numPr>
        <w:spacing w:after="200" w:line="276" w:lineRule="auto"/>
        <w:rPr>
          <w:bCs/>
          <w:u w:val="single"/>
        </w:rPr>
      </w:pPr>
      <w:r w:rsidRPr="00A72249">
        <w:rPr>
          <w:bCs/>
          <w:u w:val="single"/>
        </w:rPr>
        <w:t>Statement of Need</w:t>
      </w:r>
    </w:p>
    <w:p w:rsidR="00AA221B" w:rsidP="00AC01FC" w14:paraId="64CF0ACC" w14:textId="77777777">
      <w:pPr>
        <w:ind w:left="360"/>
      </w:pPr>
      <w:r w:rsidRPr="00C4274C">
        <w:t xml:space="preserve">Breast implants are medical devices implanted under the breast tissue or chest muscle to increase breast size (augmentation) or to replace breast tissue that has been removed due to cancer or trauma or that has failed to develop properly due to a severe breast abnormality (reconstruction). </w:t>
      </w:r>
      <w:r w:rsidR="00AE08B9">
        <w:t>A</w:t>
      </w:r>
      <w:r w:rsidRPr="00AE08B9" w:rsidR="00AE08B9">
        <w:t>ccording to the American Society of Plastic Surgeons, approximately 400,000 women receive</w:t>
      </w:r>
      <w:r w:rsidR="007355E3">
        <w:t>d</w:t>
      </w:r>
      <w:r w:rsidRPr="00AE08B9" w:rsidR="00AE08B9">
        <w:t xml:space="preserve"> breast implants in the United States </w:t>
      </w:r>
      <w:r w:rsidR="007355E3">
        <w:t xml:space="preserve">in 2017 </w:t>
      </w:r>
      <w:r w:rsidRPr="00AE08B9" w:rsidR="00AE08B9">
        <w:t>alone</w:t>
      </w:r>
      <w:r>
        <w:t xml:space="preserve"> </w:t>
      </w:r>
      <w:r w:rsidR="004A3440">
        <w:t xml:space="preserve">(Surgeons </w:t>
      </w:r>
      <w:r w:rsidR="004A3440">
        <w:t>ASoP</w:t>
      </w:r>
      <w:r w:rsidR="004A3440">
        <w:t>, 2018)</w:t>
      </w:r>
      <w:r w:rsidR="00AE08B9">
        <w:t>.</w:t>
      </w:r>
      <w:r w:rsidRPr="00AE08B9" w:rsidR="00AE08B9">
        <w:t xml:space="preserve"> </w:t>
      </w:r>
    </w:p>
    <w:p w:rsidR="00AA221B" w:rsidP="00AC01FC" w14:paraId="635C8E5A" w14:textId="77777777">
      <w:pPr>
        <w:ind w:left="360"/>
      </w:pPr>
    </w:p>
    <w:p w:rsidR="00785489" w:rsidRPr="003F31D9" w:rsidP="00AC01FC" w14:paraId="789E9642" w14:textId="35EC665D">
      <w:pPr>
        <w:ind w:left="360"/>
      </w:pPr>
      <w:r w:rsidRPr="00785489">
        <w:t>The FDA first identified a possible association between breast implants and the development of breast implant-associated anaplastic large cell lymphoma (BIA-ALCL) in 2011</w:t>
      </w:r>
      <w:r w:rsidRPr="003F31D9">
        <w:t xml:space="preserve">. </w:t>
      </w:r>
      <w:r w:rsidRPr="003F31D9" w:rsidR="003F31D9">
        <w:rPr>
          <w:color w:val="333333"/>
          <w:shd w:val="clear" w:color="auto" w:fill="FFFFFF"/>
        </w:rPr>
        <w:t>Since that time, the FDA has undertaken several steps to better understand this issue, including an in-depth review of post-approval study data, medical device reports, scientific literature and breast implant-specific registries, and public discussions. We have regularly communicated about the risks associated with breast implants and heard from patients who are concerned about their implants being connected to various health conditions. In March 2019, we discussed many important breast implants concerns in a </w:t>
      </w:r>
      <w:hyperlink r:id="rId8" w:history="1">
        <w:r w:rsidRPr="00713490" w:rsidR="003F31D9">
          <w:rPr>
            <w:rStyle w:val="Hyperlink"/>
            <w:shd w:val="clear" w:color="auto" w:fill="FFFFFF"/>
          </w:rPr>
          <w:t>public advisory committee meeting</w:t>
        </w:r>
      </w:hyperlink>
      <w:r w:rsidRPr="003F31D9" w:rsidR="003F31D9">
        <w:rPr>
          <w:color w:val="333333"/>
          <w:shd w:val="clear" w:color="auto" w:fill="FFFFFF"/>
        </w:rPr>
        <w:t>.</w:t>
      </w:r>
      <w:r w:rsidR="00E47C10">
        <w:rPr>
          <w:color w:val="333333"/>
          <w:shd w:val="clear" w:color="auto" w:fill="FFFFFF"/>
        </w:rPr>
        <w:t xml:space="preserve"> In July 2019, we </w:t>
      </w:r>
      <w:r w:rsidR="005C21B6">
        <w:rPr>
          <w:color w:val="333333"/>
          <w:shd w:val="clear" w:color="auto" w:fill="FFFFFF"/>
        </w:rPr>
        <w:t xml:space="preserve">issued a </w:t>
      </w:r>
      <w:hyperlink r:id="rId9" w:history="1">
        <w:r w:rsidR="00AE3288">
          <w:rPr>
            <w:rStyle w:val="Hyperlink"/>
            <w:shd w:val="clear" w:color="auto" w:fill="FFFFFF"/>
          </w:rPr>
          <w:t>S</w:t>
        </w:r>
        <w:r w:rsidRPr="001E25C0" w:rsidR="005C21B6">
          <w:rPr>
            <w:rStyle w:val="Hyperlink"/>
            <w:shd w:val="clear" w:color="auto" w:fill="FFFFFF"/>
          </w:rPr>
          <w:t xml:space="preserve">afety </w:t>
        </w:r>
        <w:r w:rsidR="00AE3288">
          <w:rPr>
            <w:rStyle w:val="Hyperlink"/>
            <w:shd w:val="clear" w:color="auto" w:fill="FFFFFF"/>
          </w:rPr>
          <w:t>C</w:t>
        </w:r>
        <w:r w:rsidRPr="001E25C0" w:rsidR="005C21B6">
          <w:rPr>
            <w:rStyle w:val="Hyperlink"/>
            <w:shd w:val="clear" w:color="auto" w:fill="FFFFFF"/>
          </w:rPr>
          <w:t>ommunication</w:t>
        </w:r>
      </w:hyperlink>
      <w:r w:rsidR="005C21B6">
        <w:rPr>
          <w:color w:val="333333"/>
          <w:shd w:val="clear" w:color="auto" w:fill="FFFFFF"/>
        </w:rPr>
        <w:t xml:space="preserve"> </w:t>
      </w:r>
      <w:r w:rsidR="00CE7C4D">
        <w:rPr>
          <w:color w:val="333333"/>
          <w:shd w:val="clear" w:color="auto" w:fill="FFFFFF"/>
        </w:rPr>
        <w:t>informing the public</w:t>
      </w:r>
      <w:r w:rsidR="00C10195">
        <w:rPr>
          <w:color w:val="333333"/>
          <w:shd w:val="clear" w:color="auto" w:fill="FFFFFF"/>
        </w:rPr>
        <w:t xml:space="preserve"> that</w:t>
      </w:r>
      <w:r w:rsidR="00F90784">
        <w:rPr>
          <w:color w:val="333333"/>
          <w:shd w:val="clear" w:color="auto" w:fill="FFFFFF"/>
        </w:rPr>
        <w:t xml:space="preserve"> the FDA requested </w:t>
      </w:r>
      <w:r w:rsidRPr="00061BBA" w:rsidR="00061BBA">
        <w:rPr>
          <w:color w:val="333333"/>
          <w:shd w:val="clear" w:color="auto" w:fill="FFFFFF"/>
        </w:rPr>
        <w:t xml:space="preserve">Allergan </w:t>
      </w:r>
      <w:r w:rsidR="00F90784">
        <w:rPr>
          <w:color w:val="333333"/>
          <w:shd w:val="clear" w:color="auto" w:fill="FFFFFF"/>
        </w:rPr>
        <w:t xml:space="preserve">to </w:t>
      </w:r>
      <w:r w:rsidRPr="00061BBA" w:rsidR="00061BBA">
        <w:rPr>
          <w:color w:val="333333"/>
          <w:shd w:val="clear" w:color="auto" w:fill="FFFFFF"/>
        </w:rPr>
        <w:t xml:space="preserve">recall all BIOCELL textured breast implants and tissue expanders marketed in the U.S. based on Medical Device Reports (MDRs) </w:t>
      </w:r>
      <w:r w:rsidR="00F90784">
        <w:rPr>
          <w:color w:val="333333"/>
          <w:shd w:val="clear" w:color="auto" w:fill="FFFFFF"/>
        </w:rPr>
        <w:t>of</w:t>
      </w:r>
      <w:r w:rsidRPr="00061BBA" w:rsidR="00061BBA">
        <w:rPr>
          <w:color w:val="333333"/>
          <w:shd w:val="clear" w:color="auto" w:fill="FFFFFF"/>
        </w:rPr>
        <w:t xml:space="preserve"> BIA-ALCL-related deaths associated with these devices.</w:t>
      </w:r>
    </w:p>
    <w:p w:rsidR="00785489" w:rsidP="00AC01FC" w14:paraId="09F7620D" w14:textId="77777777">
      <w:pPr>
        <w:ind w:left="360"/>
      </w:pPr>
    </w:p>
    <w:p w:rsidR="00C627B0" w:rsidP="00AC01FC" w14:paraId="21E37F9A" w14:textId="06ADFAC3">
      <w:pPr>
        <w:ind w:left="360"/>
      </w:pPr>
      <w:r>
        <w:t xml:space="preserve">More recently, in March 2023, </w:t>
      </w:r>
      <w:r w:rsidR="0041796F">
        <w:t xml:space="preserve">we issued a </w:t>
      </w:r>
      <w:hyperlink r:id="rId10" w:history="1">
        <w:r w:rsidR="00AE3288">
          <w:rPr>
            <w:rStyle w:val="Hyperlink"/>
          </w:rPr>
          <w:t>S</w:t>
        </w:r>
        <w:r w:rsidRPr="004430E5" w:rsidR="0041796F">
          <w:rPr>
            <w:rStyle w:val="Hyperlink"/>
          </w:rPr>
          <w:t xml:space="preserve">afety </w:t>
        </w:r>
        <w:r w:rsidR="00AE3288">
          <w:rPr>
            <w:rStyle w:val="Hyperlink"/>
          </w:rPr>
          <w:t>C</w:t>
        </w:r>
        <w:r w:rsidRPr="004430E5" w:rsidR="0041796F">
          <w:rPr>
            <w:rStyle w:val="Hyperlink"/>
          </w:rPr>
          <w:t>ommunication</w:t>
        </w:r>
      </w:hyperlink>
      <w:r w:rsidR="0041796F">
        <w:t xml:space="preserve"> </w:t>
      </w:r>
      <w:r w:rsidR="009E0B13">
        <w:t>(</w:t>
      </w:r>
      <w:r w:rsidR="0099647E">
        <w:t>Attachment</w:t>
      </w:r>
      <w:r w:rsidR="009E0B13">
        <w:t xml:space="preserve"> A) </w:t>
      </w:r>
      <w:r w:rsidR="0041796F">
        <w:t>stating t</w:t>
      </w:r>
      <w:r w:rsidRPr="0086594A" w:rsidR="0086594A">
        <w:t xml:space="preserve">he FDA is </w:t>
      </w:r>
      <w:r w:rsidR="0041796F">
        <w:t xml:space="preserve">also </w:t>
      </w:r>
      <w:r w:rsidRPr="0086594A" w:rsidR="0086594A">
        <w:t xml:space="preserve">aware of 19 cases of </w:t>
      </w:r>
      <w:r w:rsidRPr="005A72F9" w:rsidR="005A72F9">
        <w:t xml:space="preserve">squamous cell carcinoma </w:t>
      </w:r>
      <w:r w:rsidR="005A72F9">
        <w:t>(</w:t>
      </w:r>
      <w:r w:rsidRPr="0086594A" w:rsidR="0086594A">
        <w:t>SCC</w:t>
      </w:r>
      <w:r w:rsidR="005A72F9">
        <w:t>)</w:t>
      </w:r>
      <w:r w:rsidRPr="0086594A" w:rsidR="0086594A">
        <w:t xml:space="preserve"> in the </w:t>
      </w:r>
      <w:r w:rsidR="005A72F9">
        <w:t>scar tissue (</w:t>
      </w:r>
      <w:r w:rsidRPr="0086594A" w:rsidR="0086594A">
        <w:t>capsule</w:t>
      </w:r>
      <w:r w:rsidR="005A72F9">
        <w:t>)</w:t>
      </w:r>
      <w:r w:rsidRPr="0086594A" w:rsidR="0086594A">
        <w:t xml:space="preserve"> around breast implant</w:t>
      </w:r>
      <w:r w:rsidR="005B76A6">
        <w:t>s</w:t>
      </w:r>
      <w:r w:rsidR="00157463">
        <w:t>, and t</w:t>
      </w:r>
      <w:r w:rsidRPr="0086594A" w:rsidR="0086594A">
        <w:t>here have been reports in the literature of deaths from progression of the disease.  While the FDA continues to believe that occurrences of SCC in the capsule around the breast implant may be rare, the cause, incidence and risk factors remain unknown.</w:t>
      </w:r>
    </w:p>
    <w:p w:rsidR="00C627B0" w:rsidP="00C627B0" w14:paraId="2080C445" w14:textId="06F6527A"/>
    <w:p w:rsidR="00AC01FC" w:rsidP="00AC01FC" w14:paraId="486BD3BE" w14:textId="0B896D9B">
      <w:pPr>
        <w:ind w:left="360"/>
      </w:pPr>
      <w:r>
        <w:t xml:space="preserve">The purpose of this project </w:t>
      </w:r>
      <w:r w:rsidR="002069B0">
        <w:t xml:space="preserve">is to </w:t>
      </w:r>
      <w:r w:rsidR="00C971D4">
        <w:t>o</w:t>
      </w:r>
      <w:r w:rsidRPr="00C971D4" w:rsidR="00C971D4">
        <w:t xml:space="preserve">btain feedback on </w:t>
      </w:r>
      <w:r w:rsidR="00EB3B12">
        <w:t xml:space="preserve">the March 2023 </w:t>
      </w:r>
      <w:r w:rsidR="00AE3288">
        <w:t>S</w:t>
      </w:r>
      <w:r w:rsidR="00EB3B12">
        <w:t xml:space="preserve">afety </w:t>
      </w:r>
      <w:r w:rsidR="00AE3288">
        <w:t>C</w:t>
      </w:r>
      <w:r w:rsidR="00EB3B12">
        <w:t>ommunication</w:t>
      </w:r>
      <w:r w:rsidR="00246D10">
        <w:t xml:space="preserve">, </w:t>
      </w:r>
      <w:r w:rsidR="00592FB1">
        <w:t xml:space="preserve">testing </w:t>
      </w:r>
      <w:r w:rsidR="00246D10">
        <w:t>in both English and Spanish,</w:t>
      </w:r>
      <w:r w:rsidR="009E0B13">
        <w:t xml:space="preserve"> </w:t>
      </w:r>
      <w:r w:rsidRPr="00C971D4" w:rsidR="00C971D4">
        <w:t xml:space="preserve">to help inform </w:t>
      </w:r>
      <w:r w:rsidR="00F04854">
        <w:t xml:space="preserve">the agency’s </w:t>
      </w:r>
      <w:r w:rsidR="00AF4356">
        <w:t xml:space="preserve">communications about </w:t>
      </w:r>
      <w:r w:rsidR="006B584C">
        <w:t xml:space="preserve">reports </w:t>
      </w:r>
      <w:r w:rsidR="009E0B13">
        <w:t xml:space="preserve">of </w:t>
      </w:r>
      <w:r w:rsidR="00DC2324">
        <w:t xml:space="preserve">SCC </w:t>
      </w:r>
      <w:r w:rsidR="006B584C">
        <w:t xml:space="preserve">in the capsule around </w:t>
      </w:r>
      <w:r w:rsidR="009E0B13">
        <w:t>breast implants</w:t>
      </w:r>
      <w:r w:rsidR="00657B14">
        <w:t xml:space="preserve"> and </w:t>
      </w:r>
      <w:r w:rsidR="00C4656E">
        <w:t xml:space="preserve">its recommendations for </w:t>
      </w:r>
      <w:r w:rsidR="00657B14">
        <w:t xml:space="preserve">consumers and </w:t>
      </w:r>
      <w:r w:rsidR="00E83B6F">
        <w:t>health care providers</w:t>
      </w:r>
      <w:r w:rsidRPr="00C971D4" w:rsidR="00C971D4">
        <w:t>.</w:t>
      </w:r>
      <w:r w:rsidR="00AE30DA">
        <w:t xml:space="preserve"> </w:t>
      </w:r>
      <w:r w:rsidR="00582515">
        <w:t>Although th</w:t>
      </w:r>
      <w:r w:rsidR="00B436B7">
        <w:t xml:space="preserve">e focus of this testing is </w:t>
      </w:r>
      <w:r w:rsidR="00D674CC">
        <w:t xml:space="preserve">the </w:t>
      </w:r>
      <w:r w:rsidRPr="00D674CC" w:rsidR="00D674CC">
        <w:t>March 2023 Safety Communication</w:t>
      </w:r>
      <w:r w:rsidR="00D674CC">
        <w:t>, t</w:t>
      </w:r>
      <w:r w:rsidR="007E388A">
        <w:t xml:space="preserve">he </w:t>
      </w:r>
      <w:r w:rsidR="005B62C1">
        <w:t xml:space="preserve">findings will also </w:t>
      </w:r>
      <w:r w:rsidR="00D674CC">
        <w:t xml:space="preserve">be of help </w:t>
      </w:r>
      <w:r w:rsidR="00D477FD">
        <w:t xml:space="preserve">to the FDA </w:t>
      </w:r>
      <w:r w:rsidR="00D674CC">
        <w:t xml:space="preserve">more generally </w:t>
      </w:r>
      <w:r w:rsidR="00D477FD">
        <w:t xml:space="preserve">in informing </w:t>
      </w:r>
      <w:r w:rsidR="00582515">
        <w:t>communicat</w:t>
      </w:r>
      <w:r w:rsidR="00D477FD">
        <w:t>ions</w:t>
      </w:r>
      <w:r w:rsidR="00EE44D0">
        <w:t xml:space="preserve"> about</w:t>
      </w:r>
      <w:r w:rsidR="00582515">
        <w:t xml:space="preserve"> safety issues with other implantable </w:t>
      </w:r>
      <w:r w:rsidR="00752073">
        <w:t>devices</w:t>
      </w:r>
      <w:r w:rsidR="00894A68">
        <w:t xml:space="preserve"> </w:t>
      </w:r>
      <w:r w:rsidR="003043F6">
        <w:t xml:space="preserve">where </w:t>
      </w:r>
      <w:r w:rsidR="005C649E">
        <w:t xml:space="preserve">the </w:t>
      </w:r>
      <w:r w:rsidR="00947129">
        <w:t xml:space="preserve">FDA’s recommendation for consumers </w:t>
      </w:r>
      <w:r w:rsidR="0098402B">
        <w:t xml:space="preserve">is </w:t>
      </w:r>
      <w:r w:rsidR="00947129">
        <w:t xml:space="preserve">typically </w:t>
      </w:r>
      <w:r w:rsidR="0098402B">
        <w:t>to discuss with the doctor</w:t>
      </w:r>
      <w:r w:rsidR="005C649E">
        <w:t>s</w:t>
      </w:r>
      <w:r w:rsidR="0098402B">
        <w:t xml:space="preserve"> the </w:t>
      </w:r>
      <w:r w:rsidRPr="00986574" w:rsidR="00986574">
        <w:t>risk of removing the device compared to the risk of leaving it in place.</w:t>
      </w:r>
    </w:p>
    <w:p w:rsidR="0050756F" w:rsidP="002176ED" w14:paraId="5538303A" w14:textId="77777777">
      <w:pPr>
        <w:ind w:left="360"/>
      </w:pPr>
    </w:p>
    <w:p w:rsidR="009D2613" w:rsidRPr="009D2613" w:rsidP="009D2613" w14:paraId="48A5E360" w14:textId="4D06E770">
      <w:pPr>
        <w:ind w:left="360"/>
        <w:rPr>
          <w:rFonts w:eastAsia="Calibri"/>
        </w:rPr>
      </w:pPr>
      <w:r w:rsidRPr="49C447E2">
        <w:rPr>
          <w:rFonts w:eastAsia="Calibri"/>
        </w:rPr>
        <w:t xml:space="preserve">Communications science tells us that we must test messages with our intended audiences. Thus, </w:t>
      </w:r>
      <w:r w:rsidR="002D60FE">
        <w:rPr>
          <w:rFonts w:eastAsia="Calibri"/>
        </w:rPr>
        <w:t xml:space="preserve">the </w:t>
      </w:r>
      <w:r w:rsidRPr="49C447E2">
        <w:rPr>
          <w:rFonts w:eastAsia="Calibri"/>
        </w:rPr>
        <w:t xml:space="preserve">FDA plans to test these communications using </w:t>
      </w:r>
      <w:r w:rsidR="00642A89">
        <w:rPr>
          <w:rFonts w:eastAsia="Calibri"/>
        </w:rPr>
        <w:t>individual in-depth</w:t>
      </w:r>
      <w:r w:rsidRPr="49C447E2">
        <w:rPr>
          <w:rFonts w:eastAsia="Calibri"/>
        </w:rPr>
        <w:t xml:space="preserve"> interviews with a small sample of </w:t>
      </w:r>
      <w:r w:rsidR="000E249B">
        <w:rPr>
          <w:rFonts w:eastAsia="Calibri"/>
        </w:rPr>
        <w:t>18</w:t>
      </w:r>
      <w:r w:rsidRPr="49C447E2">
        <w:rPr>
          <w:rFonts w:eastAsia="Calibri"/>
        </w:rPr>
        <w:t xml:space="preserve"> U.S. adults drawn from diverse consumer</w:t>
      </w:r>
      <w:r w:rsidR="00342592">
        <w:rPr>
          <w:rFonts w:eastAsia="Calibri"/>
        </w:rPr>
        <w:t xml:space="preserve"> and health care professional (HCP)</w:t>
      </w:r>
      <w:r w:rsidRPr="49C447E2">
        <w:rPr>
          <w:rFonts w:eastAsia="Calibri"/>
        </w:rPr>
        <w:t xml:space="preserve"> panel</w:t>
      </w:r>
      <w:r w:rsidR="00342592">
        <w:rPr>
          <w:rFonts w:eastAsia="Calibri"/>
        </w:rPr>
        <w:t>s</w:t>
      </w:r>
      <w:r w:rsidRPr="49C447E2">
        <w:rPr>
          <w:rFonts w:eastAsia="Calibri"/>
        </w:rPr>
        <w:t>.</w:t>
      </w:r>
      <w:r w:rsidR="00342592">
        <w:rPr>
          <w:rFonts w:eastAsia="Calibri"/>
        </w:rPr>
        <w:t xml:space="preserve">  The sample will include </w:t>
      </w:r>
      <w:r w:rsidR="00D65EFB">
        <w:rPr>
          <w:rFonts w:eastAsia="Calibri"/>
        </w:rPr>
        <w:t>12 consumers</w:t>
      </w:r>
      <w:r w:rsidR="002F08E0">
        <w:rPr>
          <w:rFonts w:eastAsia="Calibri"/>
        </w:rPr>
        <w:t xml:space="preserve"> and six </w:t>
      </w:r>
      <w:r w:rsidR="00762EA5">
        <w:rPr>
          <w:rFonts w:eastAsia="Calibri"/>
        </w:rPr>
        <w:t>HCPs</w:t>
      </w:r>
      <w:r w:rsidR="002F08E0">
        <w:rPr>
          <w:rFonts w:eastAsia="Calibri"/>
        </w:rPr>
        <w:t>.</w:t>
      </w:r>
    </w:p>
    <w:p w:rsidR="009D2613" w:rsidRPr="009D2613" w:rsidP="009D2613" w14:paraId="1F10ABEC" w14:textId="77777777">
      <w:pPr>
        <w:ind w:left="360"/>
        <w:rPr>
          <w:rFonts w:eastAsia="Calibri"/>
        </w:rPr>
      </w:pPr>
    </w:p>
    <w:p w:rsidR="00762A14" w:rsidRPr="00EF2C89" w:rsidP="00EA2997" w14:paraId="1F3A0B80" w14:textId="208FD6B3">
      <w:pPr>
        <w:ind w:left="360"/>
      </w:pPr>
      <w:r w:rsidRPr="009D2613">
        <w:rPr>
          <w:rFonts w:eastAsia="Calibri"/>
        </w:rPr>
        <w:t>This data collection is the</w:t>
      </w:r>
      <w:r w:rsidR="00155A98">
        <w:rPr>
          <w:rFonts w:eastAsia="Calibri"/>
        </w:rPr>
        <w:t xml:space="preserve"> </w:t>
      </w:r>
      <w:r w:rsidR="008A3A9E">
        <w:rPr>
          <w:rFonts w:eastAsia="Calibri"/>
        </w:rPr>
        <w:t>fourth</w:t>
      </w:r>
      <w:r w:rsidRPr="009D2613">
        <w:rPr>
          <w:rFonts w:eastAsia="Calibri"/>
        </w:rPr>
        <w:t xml:space="preserve"> in a series of rapid message tests CDRH plans to submit to OMB under generic clearance 0910-0678. </w:t>
      </w:r>
      <w:r w:rsidR="00B332AD">
        <w:rPr>
          <w:rFonts w:eastAsia="Calibri"/>
        </w:rPr>
        <w:t>T</w:t>
      </w:r>
      <w:r w:rsidRPr="009D2613">
        <w:rPr>
          <w:rFonts w:eastAsia="Calibri"/>
        </w:rPr>
        <w:t xml:space="preserve">hese projects are part of CDRH’s effort to make target audience testing part of its routine communication development processes. This project is in keeping with the spirit of the 2015 Executive Order (White House, 2015) to improve how information is </w:t>
      </w:r>
      <w:r w:rsidRPr="009D2613">
        <w:rPr>
          <w:rFonts w:eastAsia="Calibri"/>
        </w:rPr>
        <w:t>presented to consumers by applying behavioral science insights, and it meets repeated calls from</w:t>
      </w:r>
      <w:r w:rsidR="002D60FE">
        <w:rPr>
          <w:rFonts w:eastAsia="Calibri"/>
        </w:rPr>
        <w:t xml:space="preserve"> the</w:t>
      </w:r>
      <w:r w:rsidRPr="009D2613">
        <w:rPr>
          <w:rFonts w:eastAsia="Calibri"/>
        </w:rPr>
        <w:t xml:space="preserve"> FDA’s Risk Communication and Advisory Committee to conduct message testing with targeted samples of the general public. </w:t>
      </w:r>
    </w:p>
    <w:p w:rsidR="00762A14" w:rsidRPr="00EF2C89" w:rsidP="00762A14" w14:paraId="10D7EFF7" w14:textId="77777777"/>
    <w:p w:rsidR="000A1833" w:rsidP="00CB51CE" w14:paraId="5CB16AAE" w14:textId="0FA16CCF">
      <w:pPr>
        <w:pStyle w:val="ListParagraph"/>
        <w:numPr>
          <w:ilvl w:val="0"/>
          <w:numId w:val="21"/>
        </w:numPr>
      </w:pPr>
      <w:r w:rsidRPr="00836EDD">
        <w:rPr>
          <w:bCs/>
          <w:u w:val="single"/>
        </w:rPr>
        <w:t>Intended Use of the Information</w:t>
      </w:r>
      <w:r w:rsidRPr="000A1833">
        <w:rPr>
          <w:b/>
        </w:rPr>
        <w:br/>
      </w:r>
      <w:r w:rsidRPr="00EF2C89">
        <w:br/>
      </w:r>
      <w:r w:rsidRPr="000A1833" w:rsidR="00C4168B">
        <w:rPr>
          <w:rFonts w:eastAsia="Calibri"/>
        </w:rPr>
        <w:t xml:space="preserve">The FDA is not seeking quantitative data or generalizable findings; it is only interested in </w:t>
      </w:r>
      <w:r w:rsidRPr="000A1833" w:rsidR="00895466">
        <w:rPr>
          <w:rFonts w:eastAsia="Calibri"/>
        </w:rPr>
        <w:t>having it</w:t>
      </w:r>
      <w:r w:rsidRPr="000A1833" w:rsidR="00847D83">
        <w:rPr>
          <w:rFonts w:eastAsia="Calibri"/>
        </w:rPr>
        <w:t xml:space="preserve">s contractor, Westat, </w:t>
      </w:r>
      <w:r w:rsidRPr="000A1833" w:rsidR="00C4168B">
        <w:rPr>
          <w:rFonts w:eastAsia="Calibri"/>
        </w:rPr>
        <w:t>test</w:t>
      </w:r>
      <w:r w:rsidRPr="000A1833" w:rsidR="00847D83">
        <w:rPr>
          <w:rFonts w:eastAsia="Calibri"/>
        </w:rPr>
        <w:t xml:space="preserve"> the</w:t>
      </w:r>
      <w:r w:rsidRPr="000A1833" w:rsidR="00C4168B">
        <w:rPr>
          <w:rFonts w:eastAsia="Calibri"/>
        </w:rPr>
        <w:t xml:space="preserve"> communication with </w:t>
      </w:r>
      <w:r w:rsidRPr="000A1833" w:rsidR="00847D83">
        <w:rPr>
          <w:rFonts w:eastAsia="Calibri"/>
        </w:rPr>
        <w:t xml:space="preserve">a </w:t>
      </w:r>
      <w:r w:rsidRPr="000A1833" w:rsidR="00C4168B">
        <w:rPr>
          <w:rFonts w:eastAsia="Calibri"/>
        </w:rPr>
        <w:t xml:space="preserve">small sample of target audience members for understandability </w:t>
      </w:r>
      <w:r w:rsidR="00487B65">
        <w:t>to ensure the messages meet their objectives without causing unintended negative effects</w:t>
      </w:r>
      <w:r w:rsidR="0062038B">
        <w:t xml:space="preserve"> by being misunderstood or misinterpreted</w:t>
      </w:r>
      <w:r w:rsidR="00487B65">
        <w:t>.</w:t>
      </w:r>
    </w:p>
    <w:p w:rsidR="000A1833" w:rsidP="000A1833" w14:paraId="06278368" w14:textId="77777777"/>
    <w:p w:rsidR="00487B65" w:rsidRPr="00487B65" w:rsidP="000A1833" w14:paraId="43806045" w14:textId="71B349EA">
      <w:pPr>
        <w:ind w:left="360"/>
      </w:pPr>
      <w:r>
        <w:t xml:space="preserve">The </w:t>
      </w:r>
      <w:r>
        <w:t>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w:t>
      </w:r>
      <w:r w:rsidR="00EF35C4">
        <w:t xml:space="preserve"> the</w:t>
      </w:r>
      <w:r>
        <w:t xml:space="preserve">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00487B65" w:rsidRPr="00487B65" w:rsidP="00487B65" w14:paraId="2EFA0DAF" w14:textId="77777777">
      <w:pPr>
        <w:ind w:left="720"/>
      </w:pPr>
    </w:p>
    <w:p w:rsidR="00487B65" w:rsidRPr="00487B65" w:rsidP="004E7E59" w14:paraId="49EBCB84" w14:textId="229B9288">
      <w:pPr>
        <w:spacing w:after="240"/>
        <w:ind w:left="360"/>
      </w:pPr>
      <w:r>
        <w:t xml:space="preserve">The </w:t>
      </w:r>
      <w:r w:rsidRPr="00487B65">
        <w:t xml:space="preserve">FDA will use the collected interview data to refine its messaging by improving the comprehensibility for a higher public health impact. Specifically, </w:t>
      </w:r>
      <w:r>
        <w:t xml:space="preserve">the </w:t>
      </w:r>
      <w:r w:rsidRPr="00487B65">
        <w:t>FDA is asking Westat to gain insight to the following questions:</w:t>
      </w:r>
    </w:p>
    <w:p w:rsidR="0060184D" w:rsidRPr="001C4A57" w:rsidP="0060184D" w14:paraId="05E8FF24" w14:textId="77777777">
      <w:pPr>
        <w:pStyle w:val="ListParagraph"/>
        <w:numPr>
          <w:ilvl w:val="0"/>
          <w:numId w:val="32"/>
        </w:numPr>
        <w:spacing w:line="276" w:lineRule="auto"/>
        <w:contextualSpacing/>
        <w:rPr>
          <w:rFonts w:cstheme="minorHAnsi"/>
        </w:rPr>
      </w:pPr>
      <w:r w:rsidRPr="001C4A57">
        <w:rPr>
          <w:rFonts w:cstheme="minorHAnsi"/>
        </w:rPr>
        <w:t>What are the main messages that participants get from the</w:t>
      </w:r>
      <w:r>
        <w:rPr>
          <w:rFonts w:cstheme="minorHAnsi"/>
        </w:rPr>
        <w:t xml:space="preserve"> Safety Communication</w:t>
      </w:r>
      <w:r w:rsidRPr="001C4A57">
        <w:rPr>
          <w:rFonts w:cstheme="minorHAnsi"/>
        </w:rPr>
        <w:t>?</w:t>
      </w:r>
    </w:p>
    <w:p w:rsidR="0060184D" w:rsidP="0060184D" w14:paraId="5690B748" w14:textId="77777777">
      <w:pPr>
        <w:pStyle w:val="ListParagraph"/>
        <w:numPr>
          <w:ilvl w:val="0"/>
          <w:numId w:val="32"/>
        </w:numPr>
        <w:spacing w:after="160" w:line="276" w:lineRule="auto"/>
        <w:contextualSpacing/>
        <w:rPr>
          <w:rFonts w:cstheme="minorHAnsi"/>
        </w:rPr>
      </w:pPr>
      <w:r w:rsidRPr="00831A8D">
        <w:rPr>
          <w:rFonts w:cstheme="minorHAnsi"/>
        </w:rPr>
        <w:t>What do participants recognize as the call to action?</w:t>
      </w:r>
    </w:p>
    <w:p w:rsidR="0060184D" w:rsidP="0060184D" w14:paraId="08D42FA2" w14:textId="77777777">
      <w:pPr>
        <w:pStyle w:val="ListParagraph"/>
        <w:numPr>
          <w:ilvl w:val="0"/>
          <w:numId w:val="32"/>
        </w:numPr>
        <w:spacing w:after="160" w:line="276" w:lineRule="auto"/>
        <w:contextualSpacing/>
        <w:rPr>
          <w:rFonts w:cstheme="minorHAnsi"/>
        </w:rPr>
      </w:pPr>
      <w:r>
        <w:rPr>
          <w:rFonts w:cstheme="minorHAnsi"/>
        </w:rPr>
        <w:t xml:space="preserve">What </w:t>
      </w:r>
      <w:r w:rsidRPr="00C700CD">
        <w:rPr>
          <w:rFonts w:cstheme="minorHAnsi"/>
        </w:rPr>
        <w:t xml:space="preserve">information </w:t>
      </w:r>
      <w:r>
        <w:rPr>
          <w:rFonts w:cstheme="minorHAnsi"/>
        </w:rPr>
        <w:t xml:space="preserve">do participants indicate </w:t>
      </w:r>
      <w:r w:rsidRPr="00C700CD">
        <w:rPr>
          <w:rFonts w:cstheme="minorHAnsi"/>
        </w:rPr>
        <w:t>is new to them?</w:t>
      </w:r>
    </w:p>
    <w:p w:rsidR="0060184D" w:rsidP="0060184D" w14:paraId="4F341199" w14:textId="77777777">
      <w:pPr>
        <w:pStyle w:val="ListParagraph"/>
        <w:numPr>
          <w:ilvl w:val="0"/>
          <w:numId w:val="32"/>
        </w:numPr>
        <w:spacing w:after="160" w:line="276" w:lineRule="auto"/>
        <w:contextualSpacing/>
        <w:rPr>
          <w:rFonts w:cstheme="minorHAnsi"/>
        </w:rPr>
      </w:pPr>
      <w:r w:rsidRPr="001C4A57">
        <w:rPr>
          <w:rFonts w:cstheme="minorHAnsi"/>
        </w:rPr>
        <w:t>How clear and understandable is the text to participants? What words or phrases are confusing, and what suggestions do participants offer for improving them?</w:t>
      </w:r>
    </w:p>
    <w:p w:rsidR="0060184D" w:rsidP="0060184D" w14:paraId="1B93F9D2" w14:textId="77777777">
      <w:pPr>
        <w:pStyle w:val="ListParagraph"/>
        <w:numPr>
          <w:ilvl w:val="0"/>
          <w:numId w:val="32"/>
        </w:numPr>
        <w:spacing w:after="160" w:line="276" w:lineRule="auto"/>
        <w:contextualSpacing/>
        <w:rPr>
          <w:rFonts w:cstheme="minorHAnsi"/>
        </w:rPr>
      </w:pPr>
      <w:r w:rsidRPr="0050250E">
        <w:rPr>
          <w:rFonts w:cstheme="minorHAnsi"/>
        </w:rPr>
        <w:t>What information do participants find useful? Not useful?</w:t>
      </w:r>
    </w:p>
    <w:p w:rsidR="0060184D" w:rsidP="0060184D" w14:paraId="16E39B99" w14:textId="77777777">
      <w:pPr>
        <w:pStyle w:val="ListParagraph"/>
        <w:numPr>
          <w:ilvl w:val="0"/>
          <w:numId w:val="32"/>
        </w:numPr>
        <w:spacing w:after="160" w:line="276" w:lineRule="auto"/>
        <w:contextualSpacing/>
        <w:rPr>
          <w:rFonts w:cstheme="minorHAnsi"/>
        </w:rPr>
      </w:pPr>
      <w:r>
        <w:rPr>
          <w:rFonts w:cstheme="minorHAnsi"/>
        </w:rPr>
        <w:t>How helpful do participants say the Safety Communication is for facilitating patient-provider discussions?</w:t>
      </w:r>
    </w:p>
    <w:p w:rsidR="0060184D" w:rsidRPr="001C4A57" w:rsidP="0060184D" w14:paraId="34D4F9CD" w14:textId="77777777">
      <w:pPr>
        <w:pStyle w:val="ListParagraph"/>
        <w:numPr>
          <w:ilvl w:val="0"/>
          <w:numId w:val="32"/>
        </w:numPr>
        <w:spacing w:after="160" w:line="276" w:lineRule="auto"/>
        <w:contextualSpacing/>
        <w:rPr>
          <w:rFonts w:cstheme="minorHAnsi"/>
        </w:rPr>
      </w:pPr>
      <w:r>
        <w:rPr>
          <w:rFonts w:cstheme="minorHAnsi"/>
        </w:rPr>
        <w:t>Is there information that is missing or would be helpful to add?</w:t>
      </w:r>
    </w:p>
    <w:p w:rsidR="0060184D" w:rsidRPr="0022361E" w:rsidP="0060184D" w14:paraId="697FF04E" w14:textId="77777777">
      <w:pPr>
        <w:pStyle w:val="ListParagraph"/>
        <w:numPr>
          <w:ilvl w:val="0"/>
          <w:numId w:val="32"/>
        </w:numPr>
        <w:spacing w:after="160" w:line="276" w:lineRule="auto"/>
        <w:contextualSpacing/>
        <w:rPr>
          <w:rFonts w:cstheme="minorHAnsi"/>
          <w:u w:val="single"/>
        </w:rPr>
      </w:pPr>
      <w:r w:rsidRPr="001C4A57">
        <w:rPr>
          <w:rFonts w:cstheme="minorHAnsi"/>
        </w:rPr>
        <w:t>How well do participants think the content is organized?</w:t>
      </w:r>
    </w:p>
    <w:p w:rsidR="0060184D" w:rsidRPr="001C4A57" w:rsidP="0060184D" w14:paraId="6C32E16F" w14:textId="77777777">
      <w:pPr>
        <w:pStyle w:val="ListParagraph"/>
        <w:numPr>
          <w:ilvl w:val="0"/>
          <w:numId w:val="32"/>
        </w:numPr>
        <w:spacing w:after="160" w:line="276" w:lineRule="auto"/>
        <w:contextualSpacing/>
        <w:rPr>
          <w:rFonts w:cstheme="minorHAnsi"/>
        </w:rPr>
      </w:pPr>
      <w:r w:rsidRPr="001C4A57">
        <w:rPr>
          <w:rFonts w:cstheme="minorHAnsi"/>
        </w:rPr>
        <w:t>What other suggestions do participants have to improve the information?</w:t>
      </w:r>
    </w:p>
    <w:p w:rsidR="00487B65" w:rsidRPr="00487B65" w:rsidP="00487B65" w14:paraId="1AFA412A" w14:textId="77777777">
      <w:pPr>
        <w:ind w:left="720"/>
      </w:pPr>
    </w:p>
    <w:p w:rsidR="00762A14" w:rsidP="004E7E59" w14:paraId="471D8EA0" w14:textId="167EFDC7">
      <w:pPr>
        <w:ind w:left="360"/>
      </w:pPr>
      <w:r w:rsidRPr="00487B65">
        <w:t>The data collected will not be statistically representative of the target audience population.  Therefore, the data will not be used for making policy or regulatory decisions.</w:t>
      </w:r>
    </w:p>
    <w:p w:rsidR="004E7E59" w:rsidRPr="00EF2C89" w:rsidP="004E7E59" w14:paraId="20DA86F9" w14:textId="77777777">
      <w:pPr>
        <w:ind w:left="360"/>
      </w:pPr>
    </w:p>
    <w:p w:rsidR="00762A14" w:rsidRPr="00F046B8" w:rsidP="00762A14" w14:paraId="53F57D4B" w14:textId="20F43C66">
      <w:pPr>
        <w:widowControl w:val="0"/>
        <w:numPr>
          <w:ilvl w:val="0"/>
          <w:numId w:val="21"/>
        </w:numPr>
        <w:spacing w:after="200" w:line="276" w:lineRule="auto"/>
        <w:contextualSpacing/>
        <w:rPr>
          <w:bCs/>
          <w:snapToGrid w:val="0"/>
          <w:u w:val="single"/>
        </w:rPr>
      </w:pPr>
      <w:r w:rsidRPr="00F046B8">
        <w:rPr>
          <w:bCs/>
          <w:snapToGrid w:val="0"/>
          <w:u w:val="single"/>
        </w:rPr>
        <w:t>Description of Respondents</w:t>
      </w:r>
    </w:p>
    <w:p w:rsidR="00762A14" w:rsidRPr="00EF2C89" w:rsidP="00762A14" w14:paraId="0BD4990A" w14:textId="77777777">
      <w:pPr>
        <w:widowControl w:val="0"/>
        <w:ind w:left="360"/>
        <w:contextualSpacing/>
        <w:rPr>
          <w:snapToGrid w:val="0"/>
        </w:rPr>
      </w:pPr>
    </w:p>
    <w:p w:rsidR="00B81076" w:rsidRPr="00B81076" w:rsidP="0091552F" w14:paraId="4B88B712" w14:textId="77E303B4">
      <w:pPr>
        <w:widowControl w:val="0"/>
        <w:ind w:left="360"/>
        <w:rPr>
          <w:rFonts w:eastAsia="Calibri"/>
        </w:rPr>
      </w:pPr>
      <w:r w:rsidRPr="00B81076">
        <w:rPr>
          <w:rFonts w:eastAsia="Calibri"/>
        </w:rPr>
        <w:t xml:space="preserve">We will conduct </w:t>
      </w:r>
      <w:r w:rsidR="0085079C">
        <w:rPr>
          <w:rFonts w:eastAsia="Calibri"/>
        </w:rPr>
        <w:t>18</w:t>
      </w:r>
      <w:r w:rsidRPr="00B81076">
        <w:rPr>
          <w:rFonts w:eastAsia="Calibri"/>
        </w:rPr>
        <w:t xml:space="preserve"> 45-minute </w:t>
      </w:r>
      <w:r w:rsidR="00447930">
        <w:rPr>
          <w:rFonts w:eastAsia="Calibri"/>
        </w:rPr>
        <w:t xml:space="preserve">in-depth individual </w:t>
      </w:r>
      <w:r w:rsidRPr="00B81076">
        <w:rPr>
          <w:rFonts w:eastAsia="Calibri"/>
        </w:rPr>
        <w:t>interviews with U.S. adults. Westat has partnered with PRC, a recruitment specialist, to recruit</w:t>
      </w:r>
      <w:r w:rsidR="005A2331">
        <w:rPr>
          <w:rFonts w:eastAsia="Calibri"/>
        </w:rPr>
        <w:t xml:space="preserve"> 12 consumers</w:t>
      </w:r>
      <w:r w:rsidRPr="00B81076">
        <w:rPr>
          <w:rFonts w:eastAsia="Calibri"/>
        </w:rPr>
        <w:t xml:space="preserve"> from its general population panel. </w:t>
      </w:r>
      <w:r w:rsidRPr="0060219B" w:rsidR="0060219B">
        <w:rPr>
          <w:rFonts w:eastAsia="Calibri"/>
        </w:rPr>
        <w:t>Westat has also partnered with WebMD Professional/Medscape, a specialist in healthcare professional recruitment, to recruit</w:t>
      </w:r>
      <w:r w:rsidR="0060219B">
        <w:rPr>
          <w:rFonts w:eastAsia="Calibri"/>
        </w:rPr>
        <w:t xml:space="preserve"> six HCPs</w:t>
      </w:r>
      <w:r w:rsidRPr="0060219B" w:rsidR="0060219B">
        <w:rPr>
          <w:rFonts w:eastAsia="Calibri"/>
        </w:rPr>
        <w:t xml:space="preserve"> from its user database.</w:t>
      </w:r>
      <w:r w:rsidR="0091552F">
        <w:rPr>
          <w:rFonts w:eastAsia="Calibri"/>
        </w:rPr>
        <w:t xml:space="preserve"> </w:t>
      </w:r>
      <w:r w:rsidR="007C4D2F">
        <w:rPr>
          <w:rFonts w:eastAsia="Calibri"/>
        </w:rPr>
        <w:t xml:space="preserve">Both </w:t>
      </w:r>
      <w:r w:rsidRPr="00B81076">
        <w:rPr>
          <w:rFonts w:eastAsia="Calibri"/>
        </w:rPr>
        <w:t xml:space="preserve">PRC </w:t>
      </w:r>
      <w:r w:rsidR="007C4D2F">
        <w:rPr>
          <w:rFonts w:eastAsia="Calibri"/>
        </w:rPr>
        <w:t xml:space="preserve">and </w:t>
      </w:r>
      <w:r w:rsidRPr="007C4D2F" w:rsidR="007C4D2F">
        <w:rPr>
          <w:rFonts w:eastAsia="Calibri"/>
        </w:rPr>
        <w:t xml:space="preserve">WebMD Professional/Medscape </w:t>
      </w:r>
      <w:r w:rsidRPr="00B81076">
        <w:rPr>
          <w:rFonts w:eastAsia="Calibri"/>
        </w:rPr>
        <w:t xml:space="preserve">track and store all database member activity and assign a unique ID number which stays with the member throughout their entire membership. These tracking records consist of profile information provided during enrollment, profile updates, and past focus group or in-depth interview involvement. PRC </w:t>
      </w:r>
      <w:r w:rsidRPr="00427394" w:rsidR="00427394">
        <w:rPr>
          <w:rFonts w:eastAsia="Calibri"/>
        </w:rPr>
        <w:t xml:space="preserve">and WebMD Professional/Medscape </w:t>
      </w:r>
      <w:r w:rsidRPr="00B81076">
        <w:rPr>
          <w:rFonts w:eastAsia="Calibri"/>
        </w:rPr>
        <w:t xml:space="preserve">monitor the quality of their data through various quality checks to save time and provide confidence in data accuracy. These quality </w:t>
      </w:r>
      <w:r w:rsidRPr="00B81076">
        <w:rPr>
          <w:rFonts w:eastAsia="Calibri"/>
        </w:rPr>
        <w:t>checks include individual vetting of contact information, and review of enrollment data, as well as review of screener questions, rescreening of participants before participation, and client feedback on past focus group and interview response.</w:t>
      </w:r>
    </w:p>
    <w:p w:rsidR="00B81076" w:rsidRPr="00B81076" w:rsidP="00B81076" w14:paraId="56E40667" w14:textId="77777777">
      <w:pPr>
        <w:widowControl w:val="0"/>
        <w:ind w:left="360"/>
        <w:rPr>
          <w:rFonts w:eastAsia="Calibri"/>
        </w:rPr>
      </w:pPr>
    </w:p>
    <w:p w:rsidR="008D71FF" w:rsidP="00EB2367" w14:paraId="561A6026" w14:textId="1CE99000">
      <w:pPr>
        <w:widowControl w:val="0"/>
        <w:ind w:left="360"/>
        <w:rPr>
          <w:snapToGrid w:val="0"/>
        </w:rPr>
      </w:pPr>
      <w:r w:rsidRPr="00B81076">
        <w:rPr>
          <w:rFonts w:eastAsia="Calibri"/>
        </w:rPr>
        <w:t xml:space="preserve">We will use a participant screener </w:t>
      </w:r>
      <w:r w:rsidR="001D7477">
        <w:rPr>
          <w:rFonts w:eastAsia="Calibri"/>
        </w:rPr>
        <w:t xml:space="preserve">(Attachment </w:t>
      </w:r>
      <w:r w:rsidR="0091552F">
        <w:rPr>
          <w:rFonts w:eastAsia="Calibri"/>
        </w:rPr>
        <w:t>B</w:t>
      </w:r>
      <w:r w:rsidR="001D7477">
        <w:rPr>
          <w:rFonts w:eastAsia="Calibri"/>
        </w:rPr>
        <w:t xml:space="preserve">) </w:t>
      </w:r>
      <w:r w:rsidRPr="00B81076">
        <w:rPr>
          <w:rFonts w:eastAsia="Calibri"/>
        </w:rPr>
        <w:t xml:space="preserve">to recruit a mix of </w:t>
      </w:r>
      <w:r w:rsidR="0091552F">
        <w:rPr>
          <w:rFonts w:eastAsia="Calibri"/>
        </w:rPr>
        <w:t>12</w:t>
      </w:r>
      <w:r w:rsidRPr="00B81076">
        <w:rPr>
          <w:rFonts w:eastAsia="Calibri"/>
        </w:rPr>
        <w:t xml:space="preserve"> consumers</w:t>
      </w:r>
      <w:r w:rsidR="004B16D8">
        <w:rPr>
          <w:rFonts w:eastAsia="Calibri"/>
        </w:rPr>
        <w:t xml:space="preserve">, half of whom currently have breast implants and half who are considering </w:t>
      </w:r>
      <w:r w:rsidR="00100C46">
        <w:rPr>
          <w:rFonts w:eastAsia="Calibri"/>
        </w:rPr>
        <w:t>breast implants</w:t>
      </w:r>
      <w:r w:rsidRPr="00B81076">
        <w:rPr>
          <w:rFonts w:eastAsia="Calibri"/>
        </w:rPr>
        <w:t xml:space="preserve">. We will primarily recruit lower education consumers for feedback on literacy and comprehension. </w:t>
      </w:r>
      <w:r w:rsidRPr="00DE2A35" w:rsidR="00DE2A35">
        <w:rPr>
          <w:snapToGrid w:val="0"/>
        </w:rPr>
        <w:t xml:space="preserve">Six </w:t>
      </w:r>
      <w:r w:rsidR="00204AEF">
        <w:rPr>
          <w:snapToGrid w:val="0"/>
        </w:rPr>
        <w:t xml:space="preserve">consumer </w:t>
      </w:r>
      <w:r w:rsidRPr="00DE2A35" w:rsidR="00DE2A35">
        <w:rPr>
          <w:snapToGrid w:val="0"/>
        </w:rPr>
        <w:t>interviews will be conducted in Spanish with</w:t>
      </w:r>
      <w:r w:rsidR="00DD5548">
        <w:rPr>
          <w:snapToGrid w:val="0"/>
        </w:rPr>
        <w:t xml:space="preserve"> </w:t>
      </w:r>
      <w:r w:rsidR="00204AEF">
        <w:rPr>
          <w:snapToGrid w:val="0"/>
        </w:rPr>
        <w:t xml:space="preserve">participants </w:t>
      </w:r>
      <w:r w:rsidRPr="00DE2A35" w:rsidR="00DE2A35">
        <w:rPr>
          <w:snapToGrid w:val="0"/>
        </w:rPr>
        <w:t>who speak Spanish as their first language.</w:t>
      </w:r>
      <w:r w:rsidR="00EB2367">
        <w:rPr>
          <w:snapToGrid w:val="0"/>
        </w:rPr>
        <w:t xml:space="preserve"> </w:t>
      </w:r>
      <w:r w:rsidRPr="008D71FF">
        <w:rPr>
          <w:snapToGrid w:val="0"/>
        </w:rPr>
        <w:t xml:space="preserve">We will also use </w:t>
      </w:r>
      <w:r w:rsidR="001A6EF3">
        <w:rPr>
          <w:snapToGrid w:val="0"/>
        </w:rPr>
        <w:t>the</w:t>
      </w:r>
      <w:r w:rsidRPr="008D71FF">
        <w:rPr>
          <w:snapToGrid w:val="0"/>
        </w:rPr>
        <w:t xml:space="preserve"> participant screener to recruit</w:t>
      </w:r>
      <w:r w:rsidR="00B7521B">
        <w:rPr>
          <w:snapToGrid w:val="0"/>
        </w:rPr>
        <w:t xml:space="preserve"> a mix of health care professionals including </w:t>
      </w:r>
      <w:r w:rsidR="003026B0">
        <w:rPr>
          <w:snapToGrid w:val="0"/>
        </w:rPr>
        <w:t xml:space="preserve">three primary care physicians, three </w:t>
      </w:r>
      <w:r w:rsidR="000B6144">
        <w:rPr>
          <w:snapToGrid w:val="0"/>
        </w:rPr>
        <w:t>plastic surgeons, and three oncologists</w:t>
      </w:r>
      <w:r w:rsidRPr="008D71FF">
        <w:rPr>
          <w:snapToGrid w:val="0"/>
        </w:rPr>
        <w:t>.  To the extent possible, both participant pools will be diverse in terms of age, race</w:t>
      </w:r>
      <w:r w:rsidR="00EB2367">
        <w:rPr>
          <w:snapToGrid w:val="0"/>
        </w:rPr>
        <w:t xml:space="preserve">, </w:t>
      </w:r>
      <w:r w:rsidRPr="008D71FF">
        <w:rPr>
          <w:snapToGrid w:val="0"/>
        </w:rPr>
        <w:t>ethnicity, and geography.</w:t>
      </w:r>
    </w:p>
    <w:p w:rsidR="00257562" w:rsidP="00EB2367" w14:paraId="4210E7F7" w14:textId="51312B80">
      <w:pPr>
        <w:widowControl w:val="0"/>
        <w:ind w:left="360"/>
        <w:rPr>
          <w:snapToGrid w:val="0"/>
        </w:rPr>
      </w:pPr>
    </w:p>
    <w:p w:rsidR="00257562" w:rsidRPr="00EF2C89" w:rsidP="00EB2367" w14:paraId="665EACBB" w14:textId="2C1CCD8F">
      <w:pPr>
        <w:widowControl w:val="0"/>
        <w:ind w:left="360"/>
        <w:rPr>
          <w:snapToGrid w:val="0"/>
        </w:rPr>
      </w:pPr>
      <w:r w:rsidRPr="00FB4C40">
        <w:rPr>
          <w:snapToGrid w:val="0"/>
        </w:rPr>
        <w:t>Individuals who are interested and appear to qualify will be contacted by phone to schedule their participation in an interview</w:t>
      </w:r>
      <w:r w:rsidR="00477DB4">
        <w:rPr>
          <w:snapToGrid w:val="0"/>
        </w:rPr>
        <w:t>.</w:t>
      </w:r>
      <w:r w:rsidRPr="00FB4C40">
        <w:rPr>
          <w:snapToGrid w:val="0"/>
        </w:rPr>
        <w:t xml:space="preserve"> </w:t>
      </w:r>
      <w:r w:rsidR="00ED5B2C">
        <w:rPr>
          <w:snapToGrid w:val="0"/>
        </w:rPr>
        <w:t xml:space="preserve">The recruiters will </w:t>
      </w:r>
      <w:r w:rsidR="004F0D54">
        <w:rPr>
          <w:snapToGrid w:val="0"/>
        </w:rPr>
        <w:t xml:space="preserve">send scheduled participants a confirmation email </w:t>
      </w:r>
      <w:r w:rsidR="00EE286B">
        <w:rPr>
          <w:snapToGrid w:val="0"/>
        </w:rPr>
        <w:t>(A</w:t>
      </w:r>
      <w:r w:rsidR="00A21553">
        <w:rPr>
          <w:snapToGrid w:val="0"/>
        </w:rPr>
        <w:t>ttachment</w:t>
      </w:r>
      <w:r w:rsidR="00EE286B">
        <w:rPr>
          <w:snapToGrid w:val="0"/>
        </w:rPr>
        <w:t xml:space="preserve"> C) </w:t>
      </w:r>
      <w:r w:rsidR="00B204D8">
        <w:rPr>
          <w:snapToGrid w:val="0"/>
        </w:rPr>
        <w:t xml:space="preserve">with </w:t>
      </w:r>
      <w:r w:rsidR="00DD45D3">
        <w:rPr>
          <w:snapToGrid w:val="0"/>
        </w:rPr>
        <w:t xml:space="preserve">the date/time of their </w:t>
      </w:r>
      <w:r w:rsidR="00D700F1">
        <w:rPr>
          <w:snapToGrid w:val="0"/>
        </w:rPr>
        <w:t xml:space="preserve">interview, </w:t>
      </w:r>
      <w:r w:rsidR="00923FB7">
        <w:rPr>
          <w:snapToGrid w:val="0"/>
        </w:rPr>
        <w:t xml:space="preserve">a </w:t>
      </w:r>
      <w:r w:rsidR="00D700F1">
        <w:rPr>
          <w:snapToGrid w:val="0"/>
        </w:rPr>
        <w:t xml:space="preserve">Zoom </w:t>
      </w:r>
      <w:r w:rsidR="00923FB7">
        <w:rPr>
          <w:snapToGrid w:val="0"/>
        </w:rPr>
        <w:t>link</w:t>
      </w:r>
      <w:r w:rsidR="00E04BA9">
        <w:rPr>
          <w:snapToGrid w:val="0"/>
        </w:rPr>
        <w:t xml:space="preserve">, and </w:t>
      </w:r>
      <w:r w:rsidR="00E57E73">
        <w:rPr>
          <w:snapToGrid w:val="0"/>
        </w:rPr>
        <w:t xml:space="preserve">login </w:t>
      </w:r>
      <w:r w:rsidR="00D700F1">
        <w:rPr>
          <w:snapToGrid w:val="0"/>
        </w:rPr>
        <w:t>instructions</w:t>
      </w:r>
      <w:r w:rsidR="00EE286B">
        <w:rPr>
          <w:snapToGrid w:val="0"/>
        </w:rPr>
        <w:t>.</w:t>
      </w:r>
    </w:p>
    <w:p w:rsidR="005510AD" w:rsidRPr="005510AD" w:rsidP="000E1B79" w14:paraId="723F19BC" w14:textId="77777777">
      <w:pPr>
        <w:widowControl w:val="0"/>
        <w:rPr>
          <w:snapToGrid w:val="0"/>
        </w:rPr>
      </w:pPr>
    </w:p>
    <w:p w:rsidR="005510AD" w:rsidRPr="00B02FE6" w:rsidP="000E1B79" w14:paraId="79CB3FB3" w14:textId="063E9F0A">
      <w:pPr>
        <w:numPr>
          <w:ilvl w:val="0"/>
          <w:numId w:val="21"/>
        </w:numPr>
        <w:contextualSpacing/>
        <w:rPr>
          <w:u w:val="single"/>
        </w:rPr>
      </w:pPr>
      <w:r w:rsidRPr="00B02FE6">
        <w:rPr>
          <w:bCs/>
          <w:u w:val="single"/>
        </w:rPr>
        <w:t>H</w:t>
      </w:r>
      <w:r w:rsidRPr="00B02FE6" w:rsidR="00762A14">
        <w:rPr>
          <w:bCs/>
          <w:u w:val="single"/>
        </w:rPr>
        <w:t>ow the Information is Collected</w:t>
      </w:r>
    </w:p>
    <w:p w:rsidR="005510AD" w:rsidRPr="005510AD" w:rsidP="000E1B79" w14:paraId="0557A05B" w14:textId="77777777"/>
    <w:p w:rsidR="006B772A" w:rsidRPr="006B772A" w:rsidP="006B772A" w14:paraId="794B6C88" w14:textId="66CA72D0">
      <w:pPr>
        <w:ind w:left="360"/>
        <w:rPr>
          <w:rFonts w:eastAsia="Calibri"/>
        </w:rPr>
      </w:pPr>
      <w:r w:rsidRPr="006B772A">
        <w:rPr>
          <w:rFonts w:eastAsia="Calibri"/>
        </w:rPr>
        <w:t xml:space="preserve">We will conduct all interviews remotely using </w:t>
      </w:r>
      <w:r w:rsidR="00CA13AE">
        <w:rPr>
          <w:rFonts w:eastAsia="Calibri"/>
        </w:rPr>
        <w:t xml:space="preserve">online software (e.g., </w:t>
      </w:r>
      <w:r w:rsidR="00CA13AE">
        <w:rPr>
          <w:rFonts w:eastAsia="Calibri"/>
        </w:rPr>
        <w:t>ZoomGov</w:t>
      </w:r>
      <w:r w:rsidR="00CA13AE">
        <w:rPr>
          <w:rFonts w:eastAsia="Calibri"/>
        </w:rPr>
        <w:t xml:space="preserve">) </w:t>
      </w:r>
      <w:r w:rsidRPr="006B772A">
        <w:rPr>
          <w:rFonts w:eastAsia="Calibri"/>
        </w:rPr>
        <w:t>and screen sharing technology with participants on web-enabled devices such as desktop computers, laptops, tablets</w:t>
      </w:r>
      <w:r w:rsidR="00556F09">
        <w:rPr>
          <w:rFonts w:eastAsia="Calibri"/>
        </w:rPr>
        <w:t>, or mobile phones</w:t>
      </w:r>
      <w:r w:rsidRPr="006B772A">
        <w:rPr>
          <w:rFonts w:eastAsia="Calibri"/>
        </w:rPr>
        <w:t xml:space="preserve">.  We will ensure that any materials </w:t>
      </w:r>
      <w:r w:rsidR="00CA13AE">
        <w:rPr>
          <w:rFonts w:eastAsia="Calibri"/>
        </w:rPr>
        <w:t>viewed by the</w:t>
      </w:r>
      <w:r w:rsidRPr="006B772A">
        <w:rPr>
          <w:rFonts w:eastAsia="Calibri"/>
        </w:rPr>
        <w:t xml:space="preserve"> participants for the test are compatible with these devices.</w:t>
      </w:r>
    </w:p>
    <w:p w:rsidR="006B772A" w:rsidRPr="006B772A" w:rsidP="006B772A" w14:paraId="5D8F8EFF" w14:textId="77777777">
      <w:pPr>
        <w:ind w:left="360"/>
        <w:rPr>
          <w:rFonts w:eastAsia="Calibri"/>
        </w:rPr>
      </w:pPr>
    </w:p>
    <w:p w:rsidR="006B772A" w:rsidRPr="006B772A" w:rsidP="006B772A" w14:paraId="676DB48F" w14:textId="47462172">
      <w:pPr>
        <w:ind w:left="360"/>
        <w:rPr>
          <w:rFonts w:eastAsia="Calibri"/>
        </w:rPr>
      </w:pPr>
      <w:r w:rsidRPr="006B772A">
        <w:rPr>
          <w:rFonts w:eastAsia="Calibri"/>
        </w:rPr>
        <w:t xml:space="preserve">For each 45-minute interview, a trained interviewer will lead the discussion using a semi-structured interview guide </w:t>
      </w:r>
      <w:r w:rsidR="001D7477">
        <w:rPr>
          <w:rFonts w:eastAsia="Calibri"/>
        </w:rPr>
        <w:t xml:space="preserve">(Attachment </w:t>
      </w:r>
      <w:r w:rsidR="00EE286B">
        <w:rPr>
          <w:rFonts w:eastAsia="Calibri"/>
        </w:rPr>
        <w:t>D</w:t>
      </w:r>
      <w:r w:rsidR="001D7477">
        <w:rPr>
          <w:rFonts w:eastAsia="Calibri"/>
        </w:rPr>
        <w:t xml:space="preserve">) </w:t>
      </w:r>
      <w:r w:rsidRPr="006B772A">
        <w:rPr>
          <w:rFonts w:eastAsia="Calibri"/>
        </w:rPr>
        <w:t xml:space="preserve">that ensures consistency in major topics but allows flexibility in probing each participant on particular questions.  </w:t>
      </w:r>
    </w:p>
    <w:p w:rsidR="006B772A" w:rsidRPr="006B772A" w:rsidP="006B772A" w14:paraId="76B4CFAD" w14:textId="77777777">
      <w:pPr>
        <w:ind w:left="360"/>
        <w:rPr>
          <w:rFonts w:eastAsia="Calibri"/>
        </w:rPr>
      </w:pPr>
    </w:p>
    <w:p w:rsidR="006B772A" w:rsidRPr="006B772A" w:rsidP="006B772A" w14:paraId="1190181C" w14:textId="7BC3FFD4">
      <w:pPr>
        <w:ind w:left="360"/>
        <w:rPr>
          <w:rFonts w:eastAsia="Calibri"/>
        </w:rPr>
      </w:pPr>
      <w:r w:rsidRPr="006B772A">
        <w:rPr>
          <w:rFonts w:eastAsia="Calibri"/>
        </w:rPr>
        <w:t xml:space="preserve">With the consent of participants, we will audio record each interview. </w:t>
      </w:r>
      <w:r w:rsidRPr="00F17259" w:rsidR="00F17259">
        <w:rPr>
          <w:rFonts w:eastAsia="Calibri"/>
        </w:rPr>
        <w:t xml:space="preserve">We will produce a written transcript of the discussion and use the transcript </w:t>
      </w:r>
      <w:r w:rsidR="00CA13AE">
        <w:rPr>
          <w:rFonts w:eastAsia="Calibri"/>
        </w:rPr>
        <w:t xml:space="preserve">for the analysis. </w:t>
      </w:r>
    </w:p>
    <w:p w:rsidR="006B772A" w:rsidRPr="006B772A" w:rsidP="006B772A" w14:paraId="5FF9B22D" w14:textId="77777777">
      <w:pPr>
        <w:ind w:left="360"/>
        <w:rPr>
          <w:rFonts w:eastAsia="Calibri"/>
        </w:rPr>
      </w:pPr>
    </w:p>
    <w:p w:rsidR="005510AD" w:rsidP="006B772A" w14:paraId="1DF347FF" w14:textId="306DC33E">
      <w:pPr>
        <w:ind w:left="360"/>
        <w:rPr>
          <w:rFonts w:eastAsia="Calibri"/>
        </w:rPr>
      </w:pPr>
      <w:r w:rsidRPr="0029012D">
        <w:rPr>
          <w:rFonts w:eastAsia="Calibri"/>
        </w:rPr>
        <w:t>FDA staff will</w:t>
      </w:r>
      <w:r w:rsidR="001B7034">
        <w:rPr>
          <w:rFonts w:eastAsia="Calibri"/>
        </w:rPr>
        <w:t xml:space="preserve"> </w:t>
      </w:r>
      <w:r w:rsidRPr="0010265F" w:rsidR="0010265F">
        <w:rPr>
          <w:rFonts w:eastAsia="Calibri"/>
        </w:rPr>
        <w:t>be able to observe unobtrusively and will not be visible on screen</w:t>
      </w:r>
      <w:r w:rsidRPr="006B772A" w:rsidR="006B772A">
        <w:rPr>
          <w:rFonts w:eastAsia="Calibri"/>
        </w:rPr>
        <w:t>, and this will be made known to participants as part of the informed consent.</w:t>
      </w:r>
      <w:r w:rsidR="005934C6">
        <w:rPr>
          <w:rFonts w:eastAsia="Calibri"/>
        </w:rPr>
        <w:t xml:space="preserve">  This request for verbal informed consent is included in the interview guide introduction.</w:t>
      </w:r>
    </w:p>
    <w:p w:rsidR="006B772A" w:rsidRPr="005510AD" w:rsidP="006B772A" w14:paraId="46C0D7A6" w14:textId="77777777">
      <w:pPr>
        <w:rPr>
          <w:b/>
        </w:rPr>
      </w:pPr>
    </w:p>
    <w:p w:rsidR="005510AD" w:rsidRPr="00B02FE6" w:rsidP="000E1B79" w14:paraId="191DD170" w14:textId="424B57C3">
      <w:pPr>
        <w:numPr>
          <w:ilvl w:val="0"/>
          <w:numId w:val="21"/>
        </w:numPr>
        <w:rPr>
          <w:bCs/>
          <w:u w:val="single"/>
        </w:rPr>
      </w:pPr>
      <w:r w:rsidRPr="00B02FE6">
        <w:rPr>
          <w:bCs/>
          <w:u w:val="single"/>
        </w:rPr>
        <w:t>C</w:t>
      </w:r>
      <w:r w:rsidRPr="00B02FE6" w:rsidR="00675AB6">
        <w:rPr>
          <w:bCs/>
          <w:u w:val="single"/>
        </w:rPr>
        <w:t>onfidentiality of Respondents</w:t>
      </w:r>
    </w:p>
    <w:p w:rsidR="00811A78" w:rsidRPr="005510AD" w:rsidP="00811A78" w14:paraId="27F87A53" w14:textId="77777777">
      <w:pPr>
        <w:ind w:left="360"/>
        <w:rPr>
          <w:b/>
        </w:rPr>
      </w:pPr>
    </w:p>
    <w:p w:rsidR="000C2495" w:rsidP="000C2495" w14:paraId="6505815C" w14:textId="60AF971B">
      <w:pPr>
        <w:ind w:left="360"/>
      </w:pPr>
      <w:r>
        <w:t xml:space="preserve">We will provide all respondents with informed consent language that ensures they understand the project purpose, that their participation is voluntary, and that their responses will be kept secure to the extent permitted by law. As part of the consent procedure, respondents will be asked whether they allow audio recording of the interview. Recording will not begin before participants have had the opportunity to ask for any clarification and provide consent. Participants will be asked to again confirm their consent when recording begins. Participants who do not allow audio recording will not be invited to participate in the interview.  </w:t>
      </w:r>
    </w:p>
    <w:p w:rsidR="000C2495" w:rsidP="000C2495" w14:paraId="1F408309" w14:textId="77777777">
      <w:pPr>
        <w:ind w:left="360"/>
      </w:pPr>
    </w:p>
    <w:p w:rsidR="000C2495" w:rsidP="000C2495" w14:paraId="08EFB73B" w14:textId="45A91D6E">
      <w:pPr>
        <w:ind w:left="360"/>
      </w:pPr>
      <w:r>
        <w:t>The recruiter</w:t>
      </w:r>
      <w:r w:rsidR="00E775E8">
        <w:t>s</w:t>
      </w:r>
      <w:r>
        <w:t>, PRC</w:t>
      </w:r>
      <w:r w:rsidRPr="00E775E8" w:rsidR="00E775E8">
        <w:rPr>
          <w:rFonts w:eastAsia="Calibri"/>
        </w:rPr>
        <w:t xml:space="preserve"> </w:t>
      </w:r>
      <w:r w:rsidR="00E775E8">
        <w:rPr>
          <w:rFonts w:eastAsia="Calibri"/>
        </w:rPr>
        <w:t xml:space="preserve">and </w:t>
      </w:r>
      <w:r w:rsidRPr="0060219B" w:rsidR="00E775E8">
        <w:rPr>
          <w:rFonts w:eastAsia="Calibri"/>
        </w:rPr>
        <w:t>WebMD Professional/Medscape</w:t>
      </w:r>
      <w:r>
        <w:t>,</w:t>
      </w:r>
      <w:r>
        <w:t xml:space="preserve"> will send regular recruitment updates to Westat via email. These updates will contain no personally identifiable information (PII), such as the recruits’ last names or contact information. Therefore, </w:t>
      </w:r>
      <w:r w:rsidR="002F5A6E">
        <w:t xml:space="preserve">the </w:t>
      </w:r>
      <w:r>
        <w:t xml:space="preserve">FDA and Westat will not have full names or contact information for any participants and there will be no link between the data collected and participants’ identities. </w:t>
      </w:r>
      <w:r>
        <w:t xml:space="preserve">No participant’s identifiable information such as name will be included in the </w:t>
      </w:r>
      <w:r w:rsidR="00CA13AE">
        <w:t>transcripts</w:t>
      </w:r>
      <w:r>
        <w:t xml:space="preserve">. All interview materials will be stored on a secure network drive, which will only be accessible to individuals granted access to work on the project. </w:t>
      </w:r>
      <w:r w:rsidR="00CA13AE">
        <w:t>Transcripts</w:t>
      </w:r>
      <w:r>
        <w:t xml:space="preserve"> will be zipped </w:t>
      </w:r>
      <w:r>
        <w:t xml:space="preserve">electronically and password-protected for email or secure file transfer delivery. Prior to forwarding any data to </w:t>
      </w:r>
      <w:r w:rsidR="002F5A6E">
        <w:t xml:space="preserve">the </w:t>
      </w:r>
      <w:r>
        <w:t>FDA, Westat will destroy all</w:t>
      </w:r>
      <w:r w:rsidR="008A335D">
        <w:t xml:space="preserve"> personally identifying</w:t>
      </w:r>
      <w:r>
        <w:t xml:space="preserve"> information to protect </w:t>
      </w:r>
      <w:r w:rsidR="008A335D">
        <w:t>each participant</w:t>
      </w:r>
      <w:r w:rsidR="00176675">
        <w:t xml:space="preserve">’s </w:t>
      </w:r>
      <w:r>
        <w:t xml:space="preserve">personal identity.  Additionally, the </w:t>
      </w:r>
      <w:r w:rsidR="00CA13AE">
        <w:t>transcripts</w:t>
      </w:r>
      <w:r>
        <w:t xml:space="preserve"> and interpretive report delivered to</w:t>
      </w:r>
      <w:r w:rsidR="002F5A6E">
        <w:t xml:space="preserve"> the</w:t>
      </w:r>
      <w:r>
        <w:t xml:space="preserve"> FDA after message testing will omit all information that could be used to identify respondents.</w:t>
      </w:r>
    </w:p>
    <w:p w:rsidR="000C2495" w:rsidP="000C2495" w14:paraId="6F55066E" w14:textId="77777777">
      <w:pPr>
        <w:ind w:left="360"/>
      </w:pPr>
    </w:p>
    <w:p w:rsidR="000C2495" w:rsidP="000C2495" w14:paraId="2BE4AC6A" w14:textId="24046527">
      <w:pPr>
        <w:ind w:left="360"/>
      </w:pPr>
      <w:r>
        <w:t xml:space="preserve">All electronic data storage media that contain confidential, private, or proprietary information will be maintained within secure areas. </w:t>
      </w:r>
    </w:p>
    <w:p w:rsidR="000C2495" w:rsidP="000C2495" w14:paraId="7EB71B1F" w14:textId="77777777">
      <w:pPr>
        <w:ind w:left="360"/>
      </w:pPr>
    </w:p>
    <w:p w:rsidR="005510AD" w:rsidRPr="005510AD" w:rsidP="000C2495" w14:paraId="02798451" w14:textId="35A087B1">
      <w:pPr>
        <w:ind w:left="360"/>
        <w:rPr>
          <w:color w:val="000000"/>
        </w:rPr>
      </w:pPr>
      <w:r>
        <w:t xml:space="preserve">The </w:t>
      </w:r>
      <w:r w:rsidR="000C2495">
        <w:t>FDA’s Institutional Review Board (IRB) reviewed this study and determined it is exempt from the requirements of 45 CFR §46.101b(2).</w:t>
      </w:r>
    </w:p>
    <w:p w:rsidR="001F1A2B" w:rsidRPr="005510AD" w:rsidP="000E1B79" w14:paraId="12E94079" w14:textId="77777777">
      <w:pPr>
        <w:widowControl w:val="0"/>
        <w:ind w:left="360"/>
        <w:contextualSpacing/>
        <w:rPr>
          <w:snapToGrid w:val="0"/>
        </w:rPr>
      </w:pPr>
    </w:p>
    <w:p w:rsidR="00762A14" w:rsidRPr="00B02FE6" w:rsidP="00762A14" w14:paraId="37081EC0" w14:textId="64A59ABE">
      <w:pPr>
        <w:numPr>
          <w:ilvl w:val="0"/>
          <w:numId w:val="21"/>
        </w:numPr>
        <w:spacing w:after="200" w:line="276" w:lineRule="auto"/>
        <w:contextualSpacing/>
        <w:rPr>
          <w:bCs/>
          <w:u w:val="single"/>
        </w:rPr>
      </w:pPr>
      <w:r w:rsidRPr="00B02FE6">
        <w:rPr>
          <w:bCs/>
          <w:u w:val="single"/>
        </w:rPr>
        <w:t>Amount and Justification for Proposed Incentive</w:t>
      </w:r>
    </w:p>
    <w:p w:rsidR="005510AD" w:rsidRPr="005510AD" w:rsidP="000E1B79" w14:paraId="4D906BF7" w14:textId="77777777">
      <w:pPr>
        <w:rPr>
          <w:b/>
        </w:rPr>
      </w:pPr>
    </w:p>
    <w:p w:rsidR="00FC683C" w:rsidP="00B81FD9" w14:paraId="595FC1D1" w14:textId="77777777">
      <w:pPr>
        <w:ind w:left="360"/>
        <w:rPr>
          <w:rFonts w:eastAsia="Calibri"/>
        </w:rPr>
      </w:pPr>
      <w:r>
        <w:rPr>
          <w:rFonts w:eastAsia="Calibri"/>
        </w:rPr>
        <w:t xml:space="preserve">Both </w:t>
      </w:r>
      <w:r w:rsidRPr="00B81FD9">
        <w:rPr>
          <w:rFonts w:eastAsia="Calibri"/>
        </w:rPr>
        <w:t xml:space="preserve">PRC </w:t>
      </w:r>
      <w:r>
        <w:rPr>
          <w:rFonts w:eastAsia="Calibri"/>
        </w:rPr>
        <w:t xml:space="preserve">and </w:t>
      </w:r>
      <w:r w:rsidRPr="00696A82">
        <w:rPr>
          <w:rFonts w:eastAsia="Calibri"/>
        </w:rPr>
        <w:t xml:space="preserve">WebMD Professional/Medscape </w:t>
      </w:r>
      <w:r w:rsidRPr="00B81FD9">
        <w:rPr>
          <w:rFonts w:eastAsia="Calibri"/>
        </w:rPr>
        <w:t>use a “by-invitation-only” recruitment methodology and incentivize panelists for any participation to maintain a quality filled panel.  Panel members do not volunteer their time.</w:t>
      </w:r>
    </w:p>
    <w:p w:rsidR="00FC683C" w:rsidP="00B81FD9" w14:paraId="0889B87F" w14:textId="77777777">
      <w:pPr>
        <w:ind w:left="360"/>
        <w:rPr>
          <w:rFonts w:eastAsia="Calibri"/>
        </w:rPr>
      </w:pPr>
    </w:p>
    <w:p w:rsidR="00B81FD9" w:rsidRPr="006535C4" w:rsidP="00B81FD9" w14:paraId="0A3612B6" w14:textId="705B34C0">
      <w:pPr>
        <w:ind w:left="360"/>
        <w:rPr>
          <w:rFonts w:eastAsia="Calibri"/>
          <w:u w:val="single"/>
        </w:rPr>
      </w:pPr>
      <w:r w:rsidRPr="00B81FD9">
        <w:rPr>
          <w:rFonts w:eastAsia="Calibri"/>
        </w:rPr>
        <w:t xml:space="preserve">For this project, PRC will provide $50 incentives to </w:t>
      </w:r>
      <w:r w:rsidR="009C1195">
        <w:rPr>
          <w:rFonts w:eastAsia="Calibri"/>
        </w:rPr>
        <w:t xml:space="preserve">consumer </w:t>
      </w:r>
      <w:r w:rsidRPr="00B81FD9">
        <w:rPr>
          <w:rFonts w:eastAsia="Calibri"/>
        </w:rPr>
        <w:t xml:space="preserve">participants at the end of each 45-minute interview in the form of a </w:t>
      </w:r>
      <w:r w:rsidR="00CA13AE">
        <w:rPr>
          <w:rFonts w:eastAsia="Calibri"/>
        </w:rPr>
        <w:t>digital gift</w:t>
      </w:r>
      <w:r w:rsidR="00557E79">
        <w:rPr>
          <w:rFonts w:eastAsia="Calibri"/>
        </w:rPr>
        <w:t xml:space="preserve"> </w:t>
      </w:r>
      <w:r w:rsidR="00CA13AE">
        <w:rPr>
          <w:rFonts w:eastAsia="Calibri"/>
        </w:rPr>
        <w:t>card</w:t>
      </w:r>
      <w:r w:rsidRPr="00B81FD9">
        <w:rPr>
          <w:rFonts w:eastAsia="Calibri"/>
        </w:rPr>
        <w:t xml:space="preserve">. </w:t>
      </w:r>
      <w:r w:rsidRPr="00155BC9" w:rsidR="00155BC9">
        <w:rPr>
          <w:rFonts w:eastAsia="Calibri"/>
        </w:rPr>
        <w:t xml:space="preserve">WebMD Professional/Medscape will provide $100 </w:t>
      </w:r>
      <w:r w:rsidR="00155BC9">
        <w:rPr>
          <w:rFonts w:eastAsia="Calibri"/>
        </w:rPr>
        <w:t xml:space="preserve">incentives </w:t>
      </w:r>
      <w:r w:rsidRPr="00155BC9" w:rsidR="00155BC9">
        <w:rPr>
          <w:rFonts w:eastAsia="Calibri"/>
        </w:rPr>
        <w:t xml:space="preserve">to </w:t>
      </w:r>
      <w:r w:rsidR="00155BC9">
        <w:rPr>
          <w:rFonts w:eastAsia="Calibri"/>
        </w:rPr>
        <w:t xml:space="preserve">primary care physicians and $150 incentives to </w:t>
      </w:r>
      <w:r w:rsidR="009D0C9A">
        <w:rPr>
          <w:rFonts w:eastAsia="Calibri"/>
        </w:rPr>
        <w:t xml:space="preserve">medical </w:t>
      </w:r>
      <w:r w:rsidR="009B4D3E">
        <w:rPr>
          <w:rFonts w:eastAsia="Calibri"/>
        </w:rPr>
        <w:t>specialists (plastic surgeo</w:t>
      </w:r>
      <w:r w:rsidR="00696A82">
        <w:rPr>
          <w:rFonts w:eastAsia="Calibri"/>
        </w:rPr>
        <w:t xml:space="preserve">ns and oncologists) </w:t>
      </w:r>
      <w:r w:rsidRPr="00155BC9" w:rsidR="00155BC9">
        <w:rPr>
          <w:rFonts w:eastAsia="Calibri"/>
        </w:rPr>
        <w:t xml:space="preserve">at the end of each 45-minute interview in the form of a check. </w:t>
      </w:r>
      <w:r w:rsidR="00FC683C">
        <w:rPr>
          <w:rFonts w:eastAsia="Calibri"/>
        </w:rPr>
        <w:t>These incentive</w:t>
      </w:r>
      <w:r w:rsidR="007B448D">
        <w:rPr>
          <w:rFonts w:eastAsia="Calibri"/>
        </w:rPr>
        <w:t>s</w:t>
      </w:r>
      <w:r w:rsidR="00FC683C">
        <w:rPr>
          <w:rFonts w:eastAsia="Calibri"/>
        </w:rPr>
        <w:t xml:space="preserve"> are consistent </w:t>
      </w:r>
      <w:r w:rsidR="007B448D">
        <w:rPr>
          <w:rFonts w:eastAsia="Calibri"/>
        </w:rPr>
        <w:t xml:space="preserve">with the </w:t>
      </w:r>
      <w:r w:rsidR="0057588C">
        <w:rPr>
          <w:rFonts w:eastAsia="Calibri"/>
        </w:rPr>
        <w:t xml:space="preserve">established thresholds </w:t>
      </w:r>
      <w:r w:rsidR="007301DF">
        <w:rPr>
          <w:rFonts w:eastAsia="Calibri"/>
        </w:rPr>
        <w:t xml:space="preserve">specified in </w:t>
      </w:r>
      <w:r w:rsidR="00DB5E56">
        <w:rPr>
          <w:rFonts w:eastAsia="Calibri"/>
        </w:rPr>
        <w:t xml:space="preserve">Supporting Statement A and </w:t>
      </w:r>
      <w:r w:rsidR="007B448D">
        <w:rPr>
          <w:rFonts w:eastAsia="Calibri"/>
        </w:rPr>
        <w:t xml:space="preserve">approved by OMB </w:t>
      </w:r>
      <w:r w:rsidR="008968CA">
        <w:rPr>
          <w:rFonts w:eastAsia="Calibri"/>
        </w:rPr>
        <w:t xml:space="preserve">for </w:t>
      </w:r>
      <w:r w:rsidRPr="006535C4" w:rsidR="008968CA">
        <w:rPr>
          <w:rFonts w:eastAsia="Calibri"/>
          <w:u w:val="single"/>
        </w:rPr>
        <w:t xml:space="preserve">testing conducted under </w:t>
      </w:r>
      <w:r w:rsidRPr="006535C4" w:rsidR="00284EAA">
        <w:rPr>
          <w:rFonts w:eastAsia="Calibri"/>
          <w:u w:val="single"/>
        </w:rPr>
        <w:t>generic clearance 0910-0678.</w:t>
      </w:r>
    </w:p>
    <w:p w:rsidR="00B07EB2" w:rsidRPr="006535C4" w:rsidP="00B81FD9" w14:paraId="77156142" w14:textId="77777777">
      <w:pPr>
        <w:ind w:left="360"/>
        <w:rPr>
          <w:rFonts w:eastAsia="Calibri"/>
          <w:u w:val="single"/>
        </w:rPr>
      </w:pPr>
    </w:p>
    <w:p w:rsidR="00762A14" w:rsidRPr="006535C4" w:rsidP="00762A14" w14:paraId="394723CC" w14:textId="7D5487C6">
      <w:pPr>
        <w:numPr>
          <w:ilvl w:val="0"/>
          <w:numId w:val="21"/>
        </w:numPr>
        <w:spacing w:after="200" w:line="276" w:lineRule="auto"/>
        <w:contextualSpacing/>
        <w:rPr>
          <w:bCs/>
          <w:u w:val="single"/>
        </w:rPr>
      </w:pPr>
      <w:r w:rsidRPr="006535C4">
        <w:rPr>
          <w:bCs/>
          <w:u w:val="single"/>
        </w:rPr>
        <w:t>Questions of a Sensitive Nature</w:t>
      </w:r>
    </w:p>
    <w:p w:rsidR="005510AD" w:rsidRPr="006535C4" w:rsidP="000E1B79" w14:paraId="79350F2A" w14:textId="77777777">
      <w:pPr>
        <w:ind w:left="360"/>
        <w:contextualSpacing/>
        <w:rPr>
          <w:u w:val="single"/>
        </w:rPr>
      </w:pPr>
    </w:p>
    <w:p w:rsidR="008C7A50" w:rsidRPr="008C7A50" w:rsidP="008C7A50" w14:paraId="1BDCB3BE" w14:textId="77777777">
      <w:pPr>
        <w:ind w:left="360"/>
        <w:rPr>
          <w:rFonts w:eastAsia="Calibri"/>
        </w:rPr>
      </w:pPr>
      <w:r w:rsidRPr="008C7A50">
        <w:rPr>
          <w:rFonts w:eastAsia="Calibri"/>
        </w:rPr>
        <w:t xml:space="preserve">We do not anticipate asking any sensitive questions in the interviews.  Instead, the questions will focus on individuals’ reactions to the messages and materials. </w:t>
      </w:r>
    </w:p>
    <w:p w:rsidR="008C7A50" w:rsidRPr="008C7A50" w:rsidP="008C7A50" w14:paraId="7CE84BC6" w14:textId="77777777">
      <w:pPr>
        <w:ind w:left="360"/>
        <w:rPr>
          <w:rFonts w:eastAsia="Calibri"/>
        </w:rPr>
      </w:pPr>
    </w:p>
    <w:p w:rsidR="003F1C7A" w:rsidP="008C7A50" w14:paraId="550A31AE" w14:textId="20A940CF">
      <w:pPr>
        <w:ind w:left="360"/>
        <w:rPr>
          <w:rFonts w:eastAsia="Calibri"/>
        </w:rPr>
      </w:pPr>
      <w:r w:rsidRPr="008C7A50">
        <w:rPr>
          <w:rFonts w:eastAsia="Calibri"/>
        </w:rPr>
        <w:t>Nevertheless, respondents will be told that they may skip any question that they do not want to answer or may stop participating at any time.</w:t>
      </w:r>
    </w:p>
    <w:p w:rsidR="008C7A50" w:rsidP="008C7A50" w14:paraId="1827FF0C" w14:textId="77777777">
      <w:pPr>
        <w:ind w:left="360"/>
      </w:pPr>
    </w:p>
    <w:p w:rsidR="00762A14" w:rsidRPr="006874FF" w:rsidP="00762A14" w14:paraId="0320CC90" w14:textId="0C5D7F2A">
      <w:pPr>
        <w:numPr>
          <w:ilvl w:val="0"/>
          <w:numId w:val="21"/>
        </w:numPr>
        <w:spacing w:after="200" w:line="276" w:lineRule="auto"/>
        <w:contextualSpacing/>
        <w:rPr>
          <w:bCs/>
          <w:u w:val="single"/>
        </w:rPr>
      </w:pPr>
      <w:r w:rsidRPr="006874FF">
        <w:rPr>
          <w:bCs/>
          <w:u w:val="single"/>
        </w:rPr>
        <w:t>Description of Statistical Methods</w:t>
      </w:r>
    </w:p>
    <w:p w:rsidR="005510AD" w:rsidRPr="006874FF" w:rsidP="000E1B79" w14:paraId="1C545674" w14:textId="77777777">
      <w:pPr>
        <w:ind w:left="720"/>
        <w:contextualSpacing/>
        <w:rPr>
          <w:u w:val="single"/>
        </w:rPr>
      </w:pPr>
    </w:p>
    <w:p w:rsidR="008D158F" w:rsidRPr="008D158F" w:rsidP="008D158F" w14:paraId="2896D79F" w14:textId="3439A4AC">
      <w:pPr>
        <w:ind w:left="360"/>
        <w:contextualSpacing/>
        <w:rPr>
          <w:rFonts w:eastAsia="Calibri"/>
        </w:rPr>
      </w:pPr>
      <w:r w:rsidRPr="008D158F">
        <w:rPr>
          <w:rFonts w:eastAsia="Calibri"/>
        </w:rPr>
        <w:t xml:space="preserve">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theme-based analysis.  The Framework method allows for data reduction through summarization and synthesis yet retains links to original data, in this case the </w:t>
      </w:r>
      <w:r w:rsidR="0090208D">
        <w:rPr>
          <w:rFonts w:eastAsia="Calibri"/>
        </w:rPr>
        <w:t>transcripts</w:t>
      </w:r>
      <w:r w:rsidRPr="008D158F">
        <w:rPr>
          <w:rFonts w:eastAsia="Calibri"/>
        </w:rPr>
        <w:t xml:space="preserve">.  We will use the qualitative analysis software NVivo, which has included a Framework functionality since 2011.  The software will allow us to import interview </w:t>
      </w:r>
      <w:r w:rsidR="007104F5">
        <w:rPr>
          <w:rFonts w:eastAsia="Calibri"/>
        </w:rPr>
        <w:t>transcripts</w:t>
      </w:r>
      <w:r w:rsidRPr="008D158F">
        <w:rPr>
          <w:rFonts w:eastAsia="Calibri"/>
        </w:rPr>
        <w:t xml:space="preserve">, create links between the </w:t>
      </w:r>
      <w:r w:rsidR="007104F5">
        <w:rPr>
          <w:rFonts w:eastAsia="Calibri"/>
        </w:rPr>
        <w:t>transcripts</w:t>
      </w:r>
      <w:r w:rsidRPr="008D158F">
        <w:rPr>
          <w:rFonts w:eastAsia="Calibri"/>
        </w:rPr>
        <w:t xml:space="preserve"> and the Framework matrices, and develop new queries or matrices as needed.</w:t>
      </w:r>
    </w:p>
    <w:p w:rsidR="008D158F" w:rsidRPr="008D158F" w:rsidP="008D158F" w14:paraId="3DDAA41C" w14:textId="77777777">
      <w:pPr>
        <w:ind w:left="360"/>
        <w:contextualSpacing/>
        <w:rPr>
          <w:rFonts w:eastAsia="Calibri"/>
        </w:rPr>
      </w:pPr>
    </w:p>
    <w:p w:rsidR="000E1B79" w:rsidP="008D158F" w14:paraId="6A856513" w14:textId="51A84F09">
      <w:pPr>
        <w:ind w:left="360"/>
        <w:contextualSpacing/>
        <w:rPr>
          <w:rFonts w:eastAsia="Calibri"/>
        </w:rPr>
      </w:pPr>
      <w:r w:rsidRPr="008D158F">
        <w:rPr>
          <w:rFonts w:eastAsia="Calibri"/>
        </w:rPr>
        <w:t>The Framework method will allow us to recognize patterns within the data.  Findings will be supported with verbatim participant quotes and grounded in accepted principles of health communications.</w:t>
      </w:r>
    </w:p>
    <w:p w:rsidR="008D158F" w:rsidP="008D158F" w14:paraId="40ECE3DC" w14:textId="77777777">
      <w:pPr>
        <w:ind w:left="360"/>
        <w:contextualSpacing/>
        <w:rPr>
          <w:rFonts w:eastAsia="Calibri"/>
        </w:rPr>
      </w:pPr>
    </w:p>
    <w:p w:rsidR="005510AD" w:rsidP="00972AE1" w14:paraId="2F8B91C3" w14:textId="06DE9821">
      <w:pPr>
        <w:numPr>
          <w:ilvl w:val="0"/>
          <w:numId w:val="21"/>
        </w:numPr>
        <w:contextualSpacing/>
        <w:rPr>
          <w:bCs/>
          <w:u w:val="single"/>
        </w:rPr>
      </w:pPr>
      <w:bookmarkStart w:id="0" w:name="_Hlk25234219"/>
      <w:r w:rsidRPr="006874FF">
        <w:rPr>
          <w:bCs/>
          <w:u w:val="single"/>
        </w:rPr>
        <w:t>B</w:t>
      </w:r>
      <w:r w:rsidRPr="006874FF" w:rsidR="00762A14">
        <w:rPr>
          <w:bCs/>
          <w:u w:val="single"/>
        </w:rPr>
        <w:t>urden</w:t>
      </w:r>
      <w:r w:rsidRPr="006874FF">
        <w:rPr>
          <w:bCs/>
          <w:u w:val="single"/>
        </w:rPr>
        <w:t xml:space="preserve"> </w:t>
      </w:r>
      <w:r w:rsidRPr="006874FF">
        <w:rPr>
          <w:bCs/>
          <w:i/>
          <w:u w:val="single"/>
        </w:rPr>
        <w:br/>
      </w:r>
    </w:p>
    <w:p w:rsidR="007C0F81" w14:paraId="247EE569" w14:textId="03F8530F">
      <w:pPr>
        <w:ind w:left="360"/>
        <w:contextualSpacing/>
        <w:rPr>
          <w:color w:val="000000" w:themeColor="text1"/>
        </w:rPr>
      </w:pPr>
      <w:r>
        <w:rPr>
          <w:color w:val="000000" w:themeColor="text1"/>
        </w:rPr>
        <w:t>W</w:t>
      </w:r>
      <w:r w:rsidRPr="00BF5A19">
        <w:rPr>
          <w:color w:val="000000" w:themeColor="text1"/>
        </w:rPr>
        <w:t>e estimate that participants will spend approximately 60 minutes of their time on this task, which includes time for screening</w:t>
      </w:r>
      <w:r w:rsidR="005D5502">
        <w:rPr>
          <w:color w:val="000000" w:themeColor="text1"/>
        </w:rPr>
        <w:t xml:space="preserve"> via email</w:t>
      </w:r>
      <w:r w:rsidRPr="00BF5A19">
        <w:rPr>
          <w:color w:val="000000" w:themeColor="text1"/>
        </w:rPr>
        <w:t xml:space="preserve"> (3 minutes), time for scheduling an interview </w:t>
      </w:r>
      <w:r w:rsidR="00714B99">
        <w:rPr>
          <w:color w:val="000000" w:themeColor="text1"/>
        </w:rPr>
        <w:t xml:space="preserve">and reviewing instructions </w:t>
      </w:r>
      <w:r w:rsidRPr="00BF5A19">
        <w:rPr>
          <w:color w:val="000000" w:themeColor="text1"/>
        </w:rPr>
        <w:t>(7 minutes), the time involved in logging in early to confirm the technology is operating correctly (5 minutes), and time to participate in the interview (45 minutes).</w:t>
      </w:r>
    </w:p>
    <w:p w:rsidR="00D5344C" w:rsidRPr="006874FF" w:rsidP="00D5344C" w14:paraId="1DCE054B" w14:textId="77777777">
      <w:pPr>
        <w:ind w:left="360"/>
        <w:contextualSpacing/>
        <w:rPr>
          <w:bCs/>
          <w:u w:val="single"/>
        </w:rPr>
      </w:pPr>
    </w:p>
    <w:tbl>
      <w:tblPr>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0"/>
        <w:gridCol w:w="1530"/>
        <w:gridCol w:w="1710"/>
        <w:gridCol w:w="1003"/>
      </w:tblGrid>
      <w:tr w14:paraId="61D3C906" w14:textId="77777777" w:rsidTr="0082703D">
        <w:tblPrEx>
          <w:tblW w:w="919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50" w:type="dxa"/>
            <w:shd w:val="clear" w:color="auto" w:fill="E7E6E6"/>
          </w:tcPr>
          <w:p w:rsidR="005510AD" w:rsidRPr="005510AD" w:rsidP="000E1B79" w14:paraId="1863B2F2" w14:textId="77777777">
            <w:pPr>
              <w:rPr>
                <w:b/>
              </w:rPr>
            </w:pPr>
            <w:r w:rsidRPr="005510AD">
              <w:rPr>
                <w:b/>
              </w:rPr>
              <w:t xml:space="preserve">Type/Category of Respondent </w:t>
            </w:r>
          </w:p>
        </w:tc>
        <w:tc>
          <w:tcPr>
            <w:tcW w:w="1530" w:type="dxa"/>
            <w:shd w:val="clear" w:color="auto" w:fill="E7E6E6"/>
          </w:tcPr>
          <w:p w:rsidR="005510AD" w:rsidRPr="005510AD" w:rsidP="000E1B79" w14:paraId="43D49DDE" w14:textId="77777777">
            <w:pPr>
              <w:rPr>
                <w:b/>
              </w:rPr>
            </w:pPr>
            <w:r w:rsidRPr="005510AD">
              <w:rPr>
                <w:b/>
              </w:rPr>
              <w:t>No. of Respondents</w:t>
            </w:r>
          </w:p>
        </w:tc>
        <w:tc>
          <w:tcPr>
            <w:tcW w:w="1710" w:type="dxa"/>
            <w:shd w:val="clear" w:color="auto" w:fill="E7E6E6"/>
          </w:tcPr>
          <w:p w:rsidR="005510AD" w:rsidRPr="005510AD" w:rsidP="000E1B79" w14:paraId="4EB93114" w14:textId="77777777">
            <w:pPr>
              <w:rPr>
                <w:b/>
              </w:rPr>
            </w:pPr>
            <w:r w:rsidRPr="005510AD">
              <w:rPr>
                <w:b/>
              </w:rPr>
              <w:t>Participation Time (minutes)</w:t>
            </w:r>
          </w:p>
        </w:tc>
        <w:tc>
          <w:tcPr>
            <w:tcW w:w="1003" w:type="dxa"/>
            <w:shd w:val="clear" w:color="auto" w:fill="E7E6E6"/>
          </w:tcPr>
          <w:p w:rsidR="005510AD" w:rsidRPr="005510AD" w:rsidP="000E1B79" w14:paraId="319CA788" w14:textId="77777777">
            <w:pPr>
              <w:rPr>
                <w:b/>
              </w:rPr>
            </w:pPr>
            <w:r w:rsidRPr="005510AD">
              <w:rPr>
                <w:b/>
              </w:rPr>
              <w:t>Burden (hours)</w:t>
            </w:r>
          </w:p>
        </w:tc>
      </w:tr>
      <w:tr w14:paraId="3DA673E4" w14:textId="77777777" w:rsidTr="0082703D">
        <w:tblPrEx>
          <w:tblW w:w="9193" w:type="dxa"/>
          <w:tblInd w:w="468" w:type="dxa"/>
          <w:tblLayout w:type="fixed"/>
          <w:tblLook w:val="01E0"/>
        </w:tblPrEx>
        <w:trPr>
          <w:trHeight w:val="274"/>
        </w:trPr>
        <w:tc>
          <w:tcPr>
            <w:tcW w:w="4950" w:type="dxa"/>
          </w:tcPr>
          <w:p w:rsidR="005510AD" w:rsidRPr="005510AD" w:rsidP="000E1B79" w14:paraId="14D3C300" w14:textId="0E272CDB">
            <w:r w:rsidRPr="005510AD">
              <w:t>Screen</w:t>
            </w:r>
            <w:r w:rsidR="00DD25C9">
              <w:t>er</w:t>
            </w:r>
          </w:p>
        </w:tc>
        <w:tc>
          <w:tcPr>
            <w:tcW w:w="1530" w:type="dxa"/>
          </w:tcPr>
          <w:p w:rsidR="005510AD" w:rsidRPr="005510AD" w:rsidP="00DD25C9" w14:paraId="1AEC85FC" w14:textId="47D2C158">
            <w:pPr>
              <w:jc w:val="center"/>
            </w:pPr>
            <w:r>
              <w:t>450</w:t>
            </w:r>
          </w:p>
        </w:tc>
        <w:tc>
          <w:tcPr>
            <w:tcW w:w="1710" w:type="dxa"/>
          </w:tcPr>
          <w:p w:rsidR="005510AD" w:rsidRPr="005510AD" w:rsidP="00DD25C9" w14:paraId="7EDCC3C0" w14:textId="22095A59">
            <w:pPr>
              <w:jc w:val="center"/>
            </w:pPr>
            <w:r>
              <w:t>3</w:t>
            </w:r>
          </w:p>
        </w:tc>
        <w:tc>
          <w:tcPr>
            <w:tcW w:w="1003" w:type="dxa"/>
          </w:tcPr>
          <w:p w:rsidR="005510AD" w:rsidRPr="005510AD" w:rsidP="00DD25C9" w14:paraId="764E8738" w14:textId="4469CDEE">
            <w:pPr>
              <w:jc w:val="center"/>
            </w:pPr>
            <w:r>
              <w:t>23</w:t>
            </w:r>
          </w:p>
        </w:tc>
      </w:tr>
      <w:tr w14:paraId="7A510531" w14:textId="77777777" w:rsidTr="0082703D">
        <w:tblPrEx>
          <w:tblW w:w="9193" w:type="dxa"/>
          <w:tblInd w:w="468" w:type="dxa"/>
          <w:tblLayout w:type="fixed"/>
          <w:tblLook w:val="01E0"/>
        </w:tblPrEx>
        <w:trPr>
          <w:trHeight w:val="274"/>
        </w:trPr>
        <w:tc>
          <w:tcPr>
            <w:tcW w:w="4950" w:type="dxa"/>
          </w:tcPr>
          <w:p w:rsidR="00A26C46" w:rsidRPr="005510AD" w:rsidP="000E1B79" w14:paraId="4CABA4A2" w14:textId="706B6E19">
            <w:r>
              <w:t>Scheduling an interview</w:t>
            </w:r>
            <w:r w:rsidR="00714B99">
              <w:t xml:space="preserve"> and reviewing instructions</w:t>
            </w:r>
          </w:p>
        </w:tc>
        <w:tc>
          <w:tcPr>
            <w:tcW w:w="1530" w:type="dxa"/>
          </w:tcPr>
          <w:p w:rsidR="00A26C46" w:rsidP="00DD25C9" w14:paraId="6FD7CA44" w14:textId="5A7FD73E">
            <w:pPr>
              <w:jc w:val="center"/>
            </w:pPr>
            <w:r>
              <w:t>18</w:t>
            </w:r>
          </w:p>
        </w:tc>
        <w:tc>
          <w:tcPr>
            <w:tcW w:w="1710" w:type="dxa"/>
          </w:tcPr>
          <w:p w:rsidR="00A26C46" w:rsidP="00DD25C9" w14:paraId="447796BA" w14:textId="0F36D0C4">
            <w:pPr>
              <w:jc w:val="center"/>
            </w:pPr>
            <w:r>
              <w:t>7</w:t>
            </w:r>
          </w:p>
        </w:tc>
        <w:tc>
          <w:tcPr>
            <w:tcW w:w="1003" w:type="dxa"/>
          </w:tcPr>
          <w:p w:rsidR="00A26C46" w:rsidP="00DD25C9" w14:paraId="3ADE3982" w14:textId="4FAE14D1">
            <w:pPr>
              <w:jc w:val="center"/>
            </w:pPr>
            <w:r>
              <w:t>2</w:t>
            </w:r>
          </w:p>
        </w:tc>
      </w:tr>
      <w:tr w14:paraId="0E248FC0" w14:textId="77777777" w:rsidTr="0082703D">
        <w:tblPrEx>
          <w:tblW w:w="9193" w:type="dxa"/>
          <w:tblInd w:w="468" w:type="dxa"/>
          <w:tblLayout w:type="fixed"/>
          <w:tblLook w:val="01E0"/>
        </w:tblPrEx>
        <w:trPr>
          <w:trHeight w:val="274"/>
        </w:trPr>
        <w:tc>
          <w:tcPr>
            <w:tcW w:w="4950" w:type="dxa"/>
          </w:tcPr>
          <w:p w:rsidR="005A373E" w:rsidRPr="005510AD" w:rsidP="000E1B79" w14:paraId="553BF6A0" w14:textId="7DF57371">
            <w:r>
              <w:t>Early login</w:t>
            </w:r>
          </w:p>
        </w:tc>
        <w:tc>
          <w:tcPr>
            <w:tcW w:w="1530" w:type="dxa"/>
          </w:tcPr>
          <w:p w:rsidR="005A373E" w:rsidP="00DD25C9" w14:paraId="787138C8" w14:textId="12DE921A">
            <w:pPr>
              <w:jc w:val="center"/>
            </w:pPr>
            <w:r>
              <w:t>18</w:t>
            </w:r>
          </w:p>
        </w:tc>
        <w:tc>
          <w:tcPr>
            <w:tcW w:w="1710" w:type="dxa"/>
          </w:tcPr>
          <w:p w:rsidR="005A373E" w:rsidP="00DD25C9" w14:paraId="2A9C36A3" w14:textId="11D6D7F2">
            <w:pPr>
              <w:jc w:val="center"/>
            </w:pPr>
            <w:r>
              <w:t>5</w:t>
            </w:r>
          </w:p>
        </w:tc>
        <w:tc>
          <w:tcPr>
            <w:tcW w:w="1003" w:type="dxa"/>
          </w:tcPr>
          <w:p w:rsidR="005A373E" w:rsidP="00DD25C9" w14:paraId="45E8C6EF" w14:textId="5984DDB2">
            <w:pPr>
              <w:jc w:val="center"/>
            </w:pPr>
            <w:r>
              <w:t>2</w:t>
            </w:r>
          </w:p>
        </w:tc>
      </w:tr>
      <w:tr w14:paraId="7550098E" w14:textId="77777777" w:rsidTr="0082703D">
        <w:tblPrEx>
          <w:tblW w:w="9193" w:type="dxa"/>
          <w:tblInd w:w="468" w:type="dxa"/>
          <w:tblLayout w:type="fixed"/>
          <w:tblLook w:val="01E0"/>
        </w:tblPrEx>
        <w:trPr>
          <w:trHeight w:val="274"/>
        </w:trPr>
        <w:tc>
          <w:tcPr>
            <w:tcW w:w="4950" w:type="dxa"/>
          </w:tcPr>
          <w:p w:rsidR="005510AD" w:rsidRPr="005510AD" w:rsidP="000E1B79" w14:paraId="35B8D81B" w14:textId="13316E68">
            <w:r w:rsidRPr="005510AD">
              <w:t xml:space="preserve">Interview </w:t>
            </w:r>
          </w:p>
        </w:tc>
        <w:tc>
          <w:tcPr>
            <w:tcW w:w="1530" w:type="dxa"/>
          </w:tcPr>
          <w:p w:rsidR="005510AD" w:rsidRPr="005510AD" w:rsidP="00DD25C9" w14:paraId="0F475B54" w14:textId="6492B902">
            <w:pPr>
              <w:jc w:val="center"/>
            </w:pPr>
            <w:r>
              <w:t>18</w:t>
            </w:r>
          </w:p>
        </w:tc>
        <w:tc>
          <w:tcPr>
            <w:tcW w:w="1710" w:type="dxa"/>
          </w:tcPr>
          <w:p w:rsidR="005510AD" w:rsidRPr="005510AD" w:rsidP="00DD25C9" w14:paraId="3F875EFC" w14:textId="1A5BA7DF">
            <w:pPr>
              <w:jc w:val="center"/>
            </w:pPr>
            <w:r>
              <w:t>45</w:t>
            </w:r>
          </w:p>
        </w:tc>
        <w:tc>
          <w:tcPr>
            <w:tcW w:w="1003" w:type="dxa"/>
          </w:tcPr>
          <w:p w:rsidR="005510AD" w:rsidRPr="005510AD" w:rsidP="00DD25C9" w14:paraId="4753CF99" w14:textId="36243B04">
            <w:pPr>
              <w:jc w:val="center"/>
            </w:pPr>
            <w:r>
              <w:t>1</w:t>
            </w:r>
            <w:r w:rsidR="00593BDE">
              <w:t>4</w:t>
            </w:r>
          </w:p>
        </w:tc>
      </w:tr>
      <w:tr w14:paraId="766CA5D4" w14:textId="77777777" w:rsidTr="0082703D">
        <w:tblPrEx>
          <w:tblW w:w="9193" w:type="dxa"/>
          <w:tblInd w:w="468" w:type="dxa"/>
          <w:tblLayout w:type="fixed"/>
          <w:tblLook w:val="01E0"/>
        </w:tblPrEx>
        <w:trPr>
          <w:trHeight w:val="289"/>
        </w:trPr>
        <w:tc>
          <w:tcPr>
            <w:tcW w:w="4950" w:type="dxa"/>
          </w:tcPr>
          <w:p w:rsidR="005510AD" w:rsidRPr="005510AD" w:rsidP="000E1B79" w14:paraId="1A8B78C9" w14:textId="77777777">
            <w:pPr>
              <w:rPr>
                <w:b/>
              </w:rPr>
            </w:pPr>
            <w:r w:rsidRPr="005510AD">
              <w:rPr>
                <w:b/>
              </w:rPr>
              <w:t>Totals</w:t>
            </w:r>
          </w:p>
        </w:tc>
        <w:tc>
          <w:tcPr>
            <w:tcW w:w="1530" w:type="dxa"/>
          </w:tcPr>
          <w:p w:rsidR="005510AD" w:rsidRPr="005510AD" w:rsidP="00DD25C9" w14:paraId="73A57595" w14:textId="6FFE919A">
            <w:pPr>
              <w:jc w:val="center"/>
              <w:rPr>
                <w:b/>
              </w:rPr>
            </w:pPr>
            <w:r>
              <w:rPr>
                <w:b/>
              </w:rPr>
              <w:t>450</w:t>
            </w:r>
          </w:p>
        </w:tc>
        <w:tc>
          <w:tcPr>
            <w:tcW w:w="1710" w:type="dxa"/>
          </w:tcPr>
          <w:p w:rsidR="005510AD" w:rsidRPr="005510AD" w:rsidP="00DD25C9" w14:paraId="2D9CC8AB" w14:textId="5F1DEA48">
            <w:pPr>
              <w:jc w:val="center"/>
            </w:pPr>
            <w:r>
              <w:t>60</w:t>
            </w:r>
          </w:p>
        </w:tc>
        <w:tc>
          <w:tcPr>
            <w:tcW w:w="1003" w:type="dxa"/>
          </w:tcPr>
          <w:p w:rsidR="005510AD" w:rsidRPr="005510AD" w:rsidP="00DD25C9" w14:paraId="72CB258E" w14:textId="7373BEE5">
            <w:pPr>
              <w:jc w:val="center"/>
              <w:rPr>
                <w:b/>
              </w:rPr>
            </w:pPr>
            <w:r>
              <w:rPr>
                <w:b/>
              </w:rPr>
              <w:t>41</w:t>
            </w:r>
          </w:p>
        </w:tc>
      </w:tr>
    </w:tbl>
    <w:p w:rsidR="005510AD" w:rsidRPr="005510AD" w:rsidP="000E1B79" w14:paraId="4122AFED" w14:textId="77777777">
      <w:pPr>
        <w:rPr>
          <w:b/>
        </w:rPr>
      </w:pPr>
    </w:p>
    <w:p w:rsidR="002C1851" w:rsidRPr="009471B4" w:rsidP="00BE241E" w14:paraId="6ADCE875" w14:textId="77777777">
      <w:pPr>
        <w:widowControl w:val="0"/>
        <w:numPr>
          <w:ilvl w:val="0"/>
          <w:numId w:val="21"/>
        </w:numPr>
        <w:contextualSpacing/>
        <w:rPr>
          <w:snapToGrid w:val="0"/>
        </w:rPr>
      </w:pPr>
      <w:r w:rsidRPr="009471B4">
        <w:rPr>
          <w:bCs/>
          <w:snapToGrid w:val="0"/>
          <w:u w:val="single"/>
        </w:rPr>
        <w:t>D</w:t>
      </w:r>
      <w:r w:rsidRPr="009471B4" w:rsidR="00762A14">
        <w:rPr>
          <w:bCs/>
          <w:snapToGrid w:val="0"/>
          <w:u w:val="single"/>
        </w:rPr>
        <w:t>ate(s) to be Conducted</w:t>
      </w:r>
    </w:p>
    <w:p w:rsidR="002C1851" w:rsidP="002C1851" w14:paraId="31C5C193" w14:textId="77777777">
      <w:pPr>
        <w:widowControl w:val="0"/>
        <w:ind w:left="360"/>
        <w:contextualSpacing/>
        <w:rPr>
          <w:bCs/>
          <w:snapToGrid w:val="0"/>
          <w:u w:val="single"/>
        </w:rPr>
      </w:pPr>
    </w:p>
    <w:p w:rsidR="005510AD" w:rsidRPr="00E919AC" w:rsidP="00017F59" w14:paraId="6AC3DEF4" w14:textId="5B4ABD17">
      <w:pPr>
        <w:widowControl w:val="0"/>
        <w:ind w:left="360"/>
        <w:contextualSpacing/>
        <w:rPr>
          <w:snapToGrid w:val="0"/>
        </w:rPr>
      </w:pPr>
      <w:r>
        <w:rPr>
          <w:rFonts w:eastAsia="Calibri"/>
        </w:rPr>
        <w:t>July</w:t>
      </w:r>
      <w:r w:rsidR="000066A1">
        <w:rPr>
          <w:rFonts w:eastAsia="Calibri"/>
        </w:rPr>
        <w:t xml:space="preserve"> </w:t>
      </w:r>
      <w:r w:rsidR="007B44C8">
        <w:rPr>
          <w:rFonts w:eastAsia="Calibri"/>
        </w:rPr>
        <w:t>2023</w:t>
      </w:r>
    </w:p>
    <w:p w:rsidR="005510AD" w:rsidRPr="005510AD" w:rsidP="000E1B79" w14:paraId="774D17E5" w14:textId="77777777">
      <w:pPr>
        <w:ind w:left="360"/>
        <w:contextualSpacing/>
      </w:pPr>
    </w:p>
    <w:p w:rsidR="002C1851" w:rsidRPr="007E3889" w:rsidP="000E1B79" w14:paraId="00374CAC" w14:textId="38DAD5E9">
      <w:pPr>
        <w:numPr>
          <w:ilvl w:val="0"/>
          <w:numId w:val="21"/>
        </w:numPr>
        <w:contextualSpacing/>
        <w:rPr>
          <w:bCs/>
          <w:u w:val="single"/>
        </w:rPr>
      </w:pPr>
      <w:r w:rsidRPr="00017F59">
        <w:rPr>
          <w:bCs/>
          <w:u w:val="single"/>
        </w:rPr>
        <w:t>R</w:t>
      </w:r>
      <w:r w:rsidRPr="00017F59" w:rsidR="00762A14">
        <w:rPr>
          <w:bCs/>
          <w:u w:val="single"/>
        </w:rPr>
        <w:t>equested Approval Date</w:t>
      </w:r>
    </w:p>
    <w:p w:rsidR="002C1851" w:rsidP="007E3889" w14:paraId="64851FC6" w14:textId="77777777">
      <w:pPr>
        <w:pStyle w:val="ListParagraph"/>
        <w:rPr>
          <w:rFonts w:eastAsia="Calibri"/>
        </w:rPr>
      </w:pPr>
    </w:p>
    <w:p w:rsidR="005510AD" w:rsidRPr="005510AD" w:rsidP="007E3889" w14:paraId="639AA38D" w14:textId="1666C8F0">
      <w:pPr>
        <w:ind w:firstLine="360"/>
        <w:contextualSpacing/>
      </w:pPr>
      <w:r>
        <w:rPr>
          <w:rFonts w:eastAsia="Calibri"/>
        </w:rPr>
        <w:t>July</w:t>
      </w:r>
      <w:r w:rsidR="0018637E">
        <w:rPr>
          <w:rFonts w:eastAsia="Calibri"/>
        </w:rPr>
        <w:t xml:space="preserve"> 2023</w:t>
      </w:r>
    </w:p>
    <w:p w:rsidR="005510AD" w:rsidRPr="005510AD" w:rsidP="000E1B79" w14:paraId="3E813FB3" w14:textId="77777777">
      <w:pPr>
        <w:rPr>
          <w:b/>
        </w:rPr>
      </w:pPr>
    </w:p>
    <w:p w:rsidR="005510AD" w:rsidRPr="007E3889" w:rsidP="000E1B79" w14:paraId="7F7589F2" w14:textId="1F0F15D2">
      <w:pPr>
        <w:numPr>
          <w:ilvl w:val="0"/>
          <w:numId w:val="21"/>
        </w:numPr>
        <w:contextualSpacing/>
        <w:rPr>
          <w:bCs/>
        </w:rPr>
      </w:pPr>
      <w:r w:rsidRPr="007E3889">
        <w:rPr>
          <w:bCs/>
        </w:rPr>
        <w:t>FDA C</w:t>
      </w:r>
      <w:r w:rsidRPr="007E3889" w:rsidR="00762A14">
        <w:rPr>
          <w:bCs/>
        </w:rPr>
        <w:t>ontacts</w:t>
      </w:r>
    </w:p>
    <w:p w:rsidR="005510AD" w:rsidRPr="005510AD" w:rsidP="000E1B79" w14:paraId="5B39F389" w14:textId="77777777">
      <w:pPr>
        <w:ind w:left="720"/>
        <w:contextualSpacing/>
        <w:rPr>
          <w:b/>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0"/>
        <w:gridCol w:w="5035"/>
      </w:tblGrid>
      <w:tr w14:paraId="199508AF" w14:textId="77777777" w:rsidTr="00607FE3">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680" w:type="dxa"/>
            <w:shd w:val="clear" w:color="auto" w:fill="auto"/>
          </w:tcPr>
          <w:p w:rsidR="005510AD" w:rsidRPr="00811A78" w:rsidP="000E1B79" w14:paraId="5940BAE4" w14:textId="77777777">
            <w:pPr>
              <w:rPr>
                <w:rFonts w:eastAsia="Calibri"/>
                <w:bCs/>
              </w:rPr>
            </w:pPr>
            <w:r w:rsidRPr="00811A78">
              <w:rPr>
                <w:rFonts w:eastAsia="Calibri"/>
                <w:bCs/>
              </w:rPr>
              <w:t>Program Office Contact</w:t>
            </w:r>
          </w:p>
        </w:tc>
        <w:tc>
          <w:tcPr>
            <w:tcW w:w="5035" w:type="dxa"/>
            <w:shd w:val="clear" w:color="auto" w:fill="auto"/>
          </w:tcPr>
          <w:p w:rsidR="005510AD" w:rsidRPr="00811A78" w:rsidP="000E1B79" w14:paraId="234E9ACA" w14:textId="77777777">
            <w:pPr>
              <w:rPr>
                <w:rFonts w:eastAsia="Calibri"/>
                <w:bCs/>
              </w:rPr>
            </w:pPr>
            <w:r w:rsidRPr="00811A78">
              <w:rPr>
                <w:rFonts w:eastAsia="Calibri"/>
                <w:bCs/>
              </w:rPr>
              <w:t>FDA PRA Contact</w:t>
            </w:r>
          </w:p>
        </w:tc>
      </w:tr>
      <w:tr w14:paraId="24F5652B" w14:textId="77777777" w:rsidTr="00607FE3">
        <w:tblPrEx>
          <w:tblW w:w="0" w:type="auto"/>
          <w:tblInd w:w="355" w:type="dxa"/>
          <w:tblLayout w:type="fixed"/>
          <w:tblLook w:val="04A0"/>
        </w:tblPrEx>
        <w:tc>
          <w:tcPr>
            <w:tcW w:w="4680" w:type="dxa"/>
            <w:shd w:val="clear" w:color="auto" w:fill="auto"/>
          </w:tcPr>
          <w:p w:rsidR="005510AD" w:rsidP="000E1B79" w14:paraId="057AD820" w14:textId="3D1FC710">
            <w:pPr>
              <w:rPr>
                <w:rFonts w:eastAsia="Calibri"/>
              </w:rPr>
            </w:pPr>
            <w:r>
              <w:rPr>
                <w:rFonts w:eastAsia="Calibri"/>
              </w:rPr>
              <w:t>Brian Lappin</w:t>
            </w:r>
          </w:p>
          <w:p w:rsidR="00F81E8C" w:rsidP="000E1B79" w14:paraId="311FDB4F" w14:textId="58765E6D">
            <w:pPr>
              <w:rPr>
                <w:rFonts w:eastAsia="Calibri"/>
              </w:rPr>
            </w:pPr>
            <w:r>
              <w:rPr>
                <w:rFonts w:eastAsia="Calibri"/>
              </w:rPr>
              <w:t>Brian.Lappin@fda.hhs.gov</w:t>
            </w:r>
          </w:p>
          <w:p w:rsidR="00003A02" w:rsidP="000E1B79" w14:paraId="3F8A361A" w14:textId="77777777">
            <w:pPr>
              <w:rPr>
                <w:rFonts w:eastAsia="Calibri"/>
                <w:bCs/>
              </w:rPr>
            </w:pPr>
            <w:r>
              <w:rPr>
                <w:rFonts w:eastAsia="Calibri"/>
                <w:bCs/>
              </w:rPr>
              <w:t>Office of Communication and Education</w:t>
            </w:r>
          </w:p>
          <w:p w:rsidR="00FB3730" w:rsidP="000E1B79" w14:paraId="2605F2E1" w14:textId="3170A23B">
            <w:pPr>
              <w:rPr>
                <w:rFonts w:eastAsia="Calibri"/>
                <w:bCs/>
              </w:rPr>
            </w:pPr>
            <w:r>
              <w:rPr>
                <w:rFonts w:eastAsia="Calibri"/>
                <w:bCs/>
              </w:rPr>
              <w:t>Center for Devices and Radiological Health</w:t>
            </w:r>
          </w:p>
          <w:p w:rsidR="001D0223" w:rsidP="000E1B79" w14:paraId="490C8ECB" w14:textId="77777777">
            <w:pPr>
              <w:rPr>
                <w:rFonts w:eastAsia="Calibri"/>
                <w:bCs/>
              </w:rPr>
            </w:pPr>
          </w:p>
          <w:p w:rsidR="00FB3730" w:rsidP="000E1B79" w14:paraId="5CFCE2C7" w14:textId="21944713">
            <w:pPr>
              <w:rPr>
                <w:rFonts w:eastAsia="Calibri"/>
                <w:bCs/>
              </w:rPr>
            </w:pPr>
            <w:r>
              <w:rPr>
                <w:rFonts w:eastAsia="Calibri"/>
                <w:bCs/>
              </w:rPr>
              <w:t>Abigail Corbin</w:t>
            </w:r>
          </w:p>
          <w:p w:rsidR="00E020D9" w:rsidP="000E1B79" w14:paraId="07046820" w14:textId="1BF0DF9A">
            <w:pPr>
              <w:rPr>
                <w:rFonts w:eastAsia="Calibri"/>
                <w:bCs/>
              </w:rPr>
            </w:pPr>
            <w:r>
              <w:rPr>
                <w:rFonts w:eastAsia="Calibri"/>
                <w:bCs/>
              </w:rPr>
              <w:t>A</w:t>
            </w:r>
            <w:r w:rsidRPr="00607FE3">
              <w:rPr>
                <w:rFonts w:eastAsia="Calibri"/>
                <w:bCs/>
              </w:rPr>
              <w:t>bigail.</w:t>
            </w:r>
            <w:r>
              <w:rPr>
                <w:rFonts w:eastAsia="Calibri"/>
                <w:bCs/>
              </w:rPr>
              <w:t>C</w:t>
            </w:r>
            <w:r w:rsidRPr="00607FE3">
              <w:rPr>
                <w:rFonts w:eastAsia="Calibri"/>
                <w:bCs/>
              </w:rPr>
              <w:t>orbin@fda.hhs.gov</w:t>
            </w:r>
          </w:p>
          <w:p w:rsidR="00FB3730" w:rsidP="000E1B79" w14:paraId="2AC963DB" w14:textId="77777777">
            <w:pPr>
              <w:rPr>
                <w:rFonts w:eastAsia="Calibri"/>
                <w:bCs/>
              </w:rPr>
            </w:pPr>
            <w:r>
              <w:rPr>
                <w:rFonts w:eastAsia="Calibri"/>
                <w:bCs/>
              </w:rPr>
              <w:t>Office of Policy, CDRH-PRA Team</w:t>
            </w:r>
          </w:p>
          <w:p w:rsidR="001D0223" w:rsidRPr="00811A78" w:rsidP="000E1B79" w14:paraId="54C20017" w14:textId="45A8B7FB">
            <w:pPr>
              <w:rPr>
                <w:rFonts w:eastAsia="Calibri"/>
                <w:bCs/>
              </w:rPr>
            </w:pPr>
            <w:r>
              <w:rPr>
                <w:rFonts w:eastAsia="Calibri"/>
                <w:bCs/>
              </w:rPr>
              <w:t>Center for Devices and Radiological Health</w:t>
            </w:r>
          </w:p>
        </w:tc>
        <w:tc>
          <w:tcPr>
            <w:tcW w:w="5035" w:type="dxa"/>
            <w:shd w:val="clear" w:color="auto" w:fill="auto"/>
          </w:tcPr>
          <w:p w:rsidR="00E353DD" w:rsidP="000E1B79" w14:paraId="042A162E" w14:textId="0B7B54CE">
            <w:pPr>
              <w:rPr>
                <w:rFonts w:eastAsia="Calibri"/>
                <w:bCs/>
              </w:rPr>
            </w:pPr>
            <w:r>
              <w:rPr>
                <w:rFonts w:eastAsia="Calibri"/>
                <w:bCs/>
              </w:rPr>
              <w:t>Rachel Showalter</w:t>
            </w:r>
          </w:p>
          <w:p w:rsidR="005510AD" w:rsidP="000E1B79" w14:paraId="54CDCFB9" w14:textId="507756B4">
            <w:pPr>
              <w:rPr>
                <w:rFonts w:eastAsia="Calibri"/>
                <w:bCs/>
              </w:rPr>
            </w:pPr>
            <w:r>
              <w:rPr>
                <w:rFonts w:eastAsia="Calibri"/>
                <w:bCs/>
              </w:rPr>
              <w:t>Rachel.Showalter@fda.hhs.gov</w:t>
            </w:r>
            <w:r w:rsidR="001F3FA3">
              <w:rPr>
                <w:rFonts w:eastAsia="Calibri"/>
                <w:bCs/>
              </w:rPr>
              <w:br/>
              <w:t>Paperwork Reduction Act Staff</w:t>
            </w:r>
            <w:r w:rsidR="001F3FA3">
              <w:rPr>
                <w:rFonts w:eastAsia="Calibri"/>
                <w:bCs/>
              </w:rPr>
              <w:br/>
            </w:r>
            <w:r>
              <w:rPr>
                <w:rFonts w:eastAsia="Calibri"/>
                <w:bCs/>
              </w:rPr>
              <w:t>Office of Enterprise Management Services</w:t>
            </w:r>
          </w:p>
          <w:p w:rsidR="001D0223" w:rsidP="000E1B79" w14:paraId="4F8CE16E" w14:textId="24368097">
            <w:pPr>
              <w:rPr>
                <w:rFonts w:eastAsia="Calibri"/>
                <w:bCs/>
              </w:rPr>
            </w:pPr>
            <w:r>
              <w:rPr>
                <w:rFonts w:eastAsia="Calibri"/>
                <w:bCs/>
              </w:rPr>
              <w:t>Office of Operations</w:t>
            </w:r>
          </w:p>
          <w:p w:rsidR="001F3FA3" w:rsidRPr="00811A78" w:rsidP="000E1B79" w14:paraId="318A6299" w14:textId="2780EE28">
            <w:pPr>
              <w:rPr>
                <w:rFonts w:eastAsia="Calibri"/>
                <w:bCs/>
              </w:rPr>
            </w:pPr>
            <w:r>
              <w:t xml:space="preserve"> </w:t>
            </w:r>
          </w:p>
        </w:tc>
      </w:tr>
      <w:bookmarkEnd w:id="0"/>
    </w:tbl>
    <w:p w:rsidR="0052166B" w:rsidP="0052166B" w14:paraId="527E0B5B" w14:textId="48868736">
      <w:pPr>
        <w:spacing w:before="100" w:beforeAutospacing="1" w:after="100" w:afterAutospacing="1"/>
        <w:contextualSpacing/>
      </w:pPr>
    </w:p>
    <w:sdt>
      <w:sdtPr>
        <w:rPr>
          <w:b w:val="0"/>
          <w:bCs w:val="0"/>
        </w:rPr>
        <w:id w:val="1484278468"/>
        <w:docPartObj>
          <w:docPartGallery w:val="Bibliographies"/>
          <w:docPartUnique/>
        </w:docPartObj>
      </w:sdtPr>
      <w:sdtContent>
        <w:p w:rsidR="0052166B" w:rsidRPr="00BE258D" w:rsidP="0052166B" w14:paraId="0B0717F4" w14:textId="77777777">
          <w:pPr>
            <w:pStyle w:val="Heading1"/>
          </w:pPr>
          <w:r w:rsidRPr="00BE258D">
            <w:t>Bibliography</w:t>
          </w:r>
        </w:p>
        <w:sdt>
          <w:sdtPr>
            <w:id w:val="111145805"/>
            <w:bibliography/>
          </w:sdtPr>
          <w:sdtContent>
            <w:p w:rsidR="00C533B8" w:rsidRPr="004615A1" w:rsidP="004A305E" w14:paraId="55D0CAD1" w14:textId="6E9DE003">
              <w:pPr>
                <w:ind w:left="720" w:hanging="720"/>
              </w:pPr>
            </w:p>
            <w:p w:rsidR="0052166B" w:rsidP="0052166B" w14:paraId="2A2EA5B6" w14:textId="42382A58">
              <w:pPr>
                <w:ind w:left="720" w:hanging="720"/>
              </w:pPr>
              <w:r w:rsidRPr="00BE258D">
                <w:t>Guest, G., Bunce, A., &amp; Johnson, L. (2006). How many interviews are enough? An experiment with data saturation and variability. Field methods, 18(1), 59-82.</w:t>
              </w:r>
            </w:p>
            <w:p w:rsidR="004615A1" w:rsidP="00FB0215" w14:paraId="36E4A60A" w14:textId="77777777">
              <w:pPr>
                <w:pStyle w:val="Bibliography"/>
              </w:pPr>
            </w:p>
            <w:p w:rsidR="0052166B" w:rsidP="0052166B" w14:paraId="157F07CF" w14:textId="6628662C">
              <w:pPr>
                <w:pStyle w:val="Bibliography"/>
                <w:ind w:left="720" w:hanging="720"/>
                <w:rPr>
                  <w:noProof/>
                </w:rPr>
              </w:pPr>
              <w:r w:rsidRPr="00BE258D">
                <w:fldChar w:fldCharType="begin"/>
              </w:r>
              <w:r w:rsidRPr="00BE258D">
                <w:instrText xml:space="preserve"> BIBLIOGRAPHY </w:instrText>
              </w:r>
              <w:r w:rsidRPr="00BE258D">
                <w:fldChar w:fldCharType="separate"/>
              </w:r>
              <w:r w:rsidRPr="00BE258D">
                <w:rPr>
                  <w:noProof/>
                </w:rPr>
                <w:t xml:space="preserve">Spencer, L., Ritchie, J., &amp; O'Connor, W. (2003). Analysis practices, principles and processes. In </w:t>
              </w:r>
              <w:r w:rsidRPr="00BE258D">
                <w:rPr>
                  <w:i/>
                  <w:iCs/>
                  <w:noProof/>
                </w:rPr>
                <w:t>Qualitative research practice.</w:t>
              </w:r>
              <w:r w:rsidRPr="00BE258D">
                <w:rPr>
                  <w:noProof/>
                </w:rPr>
                <w:t xml:space="preserve"> London: Sage Publications.</w:t>
              </w:r>
            </w:p>
            <w:p w:rsidR="0052166B" w:rsidP="0052166B" w14:paraId="455B5908" w14:textId="77777777"/>
            <w:p w:rsidR="007D68F7" w:rsidP="0052166B" w14:paraId="069BE464" w14:textId="77777777">
              <w:pPr>
                <w:ind w:left="720" w:hanging="720"/>
              </w:pPr>
              <w:r w:rsidRPr="007D68F7">
                <w:t xml:space="preserve">Surgeons ASoP. American Society of Plastic Surgeons. 2018 Plastic Surgery Statistics Report 2018. Available at: https://www.plasticsurgery.org/documents/News/Statistics/2018/plastic-surgery-statistics-report-2018.pdf. </w:t>
              </w:r>
            </w:p>
            <w:p w:rsidR="007D68F7" w:rsidP="0052166B" w14:paraId="742D84A9" w14:textId="77777777">
              <w:pPr>
                <w:ind w:left="720" w:hanging="720"/>
              </w:pPr>
            </w:p>
            <w:p w:rsidR="0052166B" w:rsidRPr="00A2788B" w:rsidP="0052166B" w14:paraId="5C7350A9" w14:textId="7958BBA5">
              <w:pPr>
                <w:ind w:left="720" w:hanging="720"/>
              </w:pPr>
              <w:r w:rsidRPr="00A2788B">
                <w:t>White</w:t>
              </w:r>
              <w:r>
                <w:t xml:space="preserve"> H</w:t>
              </w:r>
              <w:r w:rsidRPr="00A2788B">
                <w:t xml:space="preserve">ouse (2015) Executive Order Using Behavioral Science Insights to Better Serve America </w:t>
              </w:r>
              <w:r w:rsidRPr="001E0A2E" w:rsidR="001E0A2E">
                <w:t>https://obamawhitehouse.archives.gov/the-press-office/2015/09/15/executive-order-using-behavioral-science-insights-better-serve-american</w:t>
              </w:r>
            </w:p>
            <w:p w:rsidR="0052166B" w:rsidRPr="002F59D6" w:rsidP="0052166B" w14:paraId="6BFE04B2" w14:textId="7280FE87">
              <w:r w:rsidRPr="00BE258D">
                <w:rPr>
                  <w:b/>
                  <w:bCs/>
                  <w:noProof/>
                </w:rPr>
                <w:fldChar w:fldCharType="end"/>
              </w:r>
            </w:p>
          </w:sdtContent>
        </w:sdt>
      </w:sdtContent>
    </w:sdt>
    <w:sectPr w:rsidSect="00811A78">
      <w:footerReference w:type="default" r:id="rId11"/>
      <w:pgSz w:w="12240" w:h="15840"/>
      <w:pgMar w:top="720" w:right="864"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700" w14:paraId="5825F15C" w14:textId="3D9FB2A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D1D32">
      <w:rPr>
        <w:rStyle w:val="PageNumber"/>
        <w:noProof/>
        <w:sz w:val="20"/>
        <w:szCs w:val="20"/>
      </w:rPr>
      <w:t>7</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BF3885"/>
    <w:multiLevelType w:val="hybridMultilevel"/>
    <w:tmpl w:val="2656F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9B43B4"/>
    <w:multiLevelType w:val="hybridMultilevel"/>
    <w:tmpl w:val="430CA6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78C28BE"/>
    <w:multiLevelType w:val="hybridMultilevel"/>
    <w:tmpl w:val="8F3EA4A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89E48DA"/>
    <w:multiLevelType w:val="hybridMultilevel"/>
    <w:tmpl w:val="4990AEA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11">
    <w:nsid w:val="217F3854"/>
    <w:multiLevelType w:val="hybridMultilevel"/>
    <w:tmpl w:val="6C22E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14">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B34716F"/>
    <w:multiLevelType w:val="hybridMultilevel"/>
    <w:tmpl w:val="1246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E394249"/>
    <w:multiLevelType w:val="hybridMultilevel"/>
    <w:tmpl w:val="4C56F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F3F65F0"/>
    <w:multiLevelType w:val="multilevel"/>
    <w:tmpl w:val="06F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AC638A"/>
    <w:multiLevelType w:val="hybridMultilevel"/>
    <w:tmpl w:val="D2685C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6AA4CE9"/>
    <w:multiLevelType w:val="hybridMultilevel"/>
    <w:tmpl w:val="7CECDC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6">
    <w:nsid w:val="6C0D07D9"/>
    <w:multiLevelType w:val="hybrid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tentative="1">
      <w:start w:val="1"/>
      <w:numFmt w:val="lowerRoman"/>
      <w:lvlText w:val="%3."/>
      <w:lvlJc w:val="right"/>
      <w:pPr>
        <w:tabs>
          <w:tab w:val="num" w:pos="2736"/>
        </w:tabs>
        <w:ind w:left="2736" w:hanging="180"/>
      </w:pPr>
    </w:lvl>
    <w:lvl w:ilvl="3" w:tentative="1">
      <w:start w:val="1"/>
      <w:numFmt w:val="decimal"/>
      <w:lvlText w:val="%4."/>
      <w:lvlJc w:val="left"/>
      <w:pPr>
        <w:tabs>
          <w:tab w:val="num" w:pos="3456"/>
        </w:tabs>
        <w:ind w:left="3456" w:hanging="360"/>
      </w:pPr>
    </w:lvl>
    <w:lvl w:ilvl="4" w:tentative="1">
      <w:start w:val="1"/>
      <w:numFmt w:val="lowerLetter"/>
      <w:lvlText w:val="%5."/>
      <w:lvlJc w:val="left"/>
      <w:pPr>
        <w:tabs>
          <w:tab w:val="num" w:pos="4176"/>
        </w:tabs>
        <w:ind w:left="4176" w:hanging="360"/>
      </w:pPr>
    </w:lvl>
    <w:lvl w:ilvl="5" w:tentative="1">
      <w:start w:val="1"/>
      <w:numFmt w:val="lowerRoman"/>
      <w:lvlText w:val="%6."/>
      <w:lvlJc w:val="right"/>
      <w:pPr>
        <w:tabs>
          <w:tab w:val="num" w:pos="4896"/>
        </w:tabs>
        <w:ind w:left="4896" w:hanging="180"/>
      </w:pPr>
    </w:lvl>
    <w:lvl w:ilvl="6" w:tentative="1">
      <w:start w:val="1"/>
      <w:numFmt w:val="decimal"/>
      <w:lvlText w:val="%7."/>
      <w:lvlJc w:val="left"/>
      <w:pPr>
        <w:tabs>
          <w:tab w:val="num" w:pos="5616"/>
        </w:tabs>
        <w:ind w:left="5616" w:hanging="360"/>
      </w:pPr>
    </w:lvl>
    <w:lvl w:ilvl="7" w:tentative="1">
      <w:start w:val="1"/>
      <w:numFmt w:val="lowerLetter"/>
      <w:lvlText w:val="%8."/>
      <w:lvlJc w:val="left"/>
      <w:pPr>
        <w:tabs>
          <w:tab w:val="num" w:pos="6336"/>
        </w:tabs>
        <w:ind w:left="6336" w:hanging="360"/>
      </w:pPr>
    </w:lvl>
    <w:lvl w:ilvl="8" w:tentative="1">
      <w:start w:val="1"/>
      <w:numFmt w:val="lowerRoman"/>
      <w:lvlText w:val="%9."/>
      <w:lvlJc w:val="right"/>
      <w:pPr>
        <w:tabs>
          <w:tab w:val="num" w:pos="7056"/>
        </w:tabs>
        <w:ind w:left="7056" w:hanging="180"/>
      </w:pPr>
    </w:lvl>
  </w:abstractNum>
  <w:abstractNum w:abstractNumId="27">
    <w:nsid w:val="6EA50F2B"/>
    <w:multiLevelType w:val="hybridMultilevel"/>
    <w:tmpl w:val="23F02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E9B4DD9"/>
    <w:multiLevelType w:val="hybridMultilevel"/>
    <w:tmpl w:val="B68245B2"/>
    <w:lvl w:ilvl="0">
      <w:start w:val="1"/>
      <w:numFmt w:val="decimal"/>
      <w:lvlText w:val="%1."/>
      <w:lvlJc w:val="left"/>
      <w:pPr>
        <w:ind w:left="1080" w:hanging="360"/>
      </w:pPr>
      <w:rPr>
        <w:rFonts w:hint="default"/>
        <w:i w:val="0"/>
        <w:iCs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30300734">
    <w:abstractNumId w:val="19"/>
  </w:num>
  <w:num w:numId="2" w16cid:durableId="747264326">
    <w:abstractNumId w:val="29"/>
  </w:num>
  <w:num w:numId="3" w16cid:durableId="622535718">
    <w:abstractNumId w:val="28"/>
  </w:num>
  <w:num w:numId="4" w16cid:durableId="1404176389">
    <w:abstractNumId w:val="30"/>
  </w:num>
  <w:num w:numId="5" w16cid:durableId="306514316">
    <w:abstractNumId w:val="8"/>
  </w:num>
  <w:num w:numId="6" w16cid:durableId="1816070319">
    <w:abstractNumId w:val="3"/>
  </w:num>
  <w:num w:numId="7" w16cid:durableId="1755471859">
    <w:abstractNumId w:val="15"/>
  </w:num>
  <w:num w:numId="8" w16cid:durableId="1191727867">
    <w:abstractNumId w:val="25"/>
  </w:num>
  <w:num w:numId="9" w16cid:durableId="1238902649">
    <w:abstractNumId w:val="18"/>
  </w:num>
  <w:num w:numId="10" w16cid:durableId="1811819391">
    <w:abstractNumId w:val="4"/>
  </w:num>
  <w:num w:numId="11" w16cid:durableId="2058385337">
    <w:abstractNumId w:val="9"/>
  </w:num>
  <w:num w:numId="12" w16cid:durableId="832183087">
    <w:abstractNumId w:val="12"/>
  </w:num>
  <w:num w:numId="13" w16cid:durableId="597829879">
    <w:abstractNumId w:val="2"/>
  </w:num>
  <w:num w:numId="14" w16cid:durableId="97411827">
    <w:abstractNumId w:val="14"/>
  </w:num>
  <w:num w:numId="15" w16cid:durableId="106584329">
    <w:abstractNumId w:val="26"/>
  </w:num>
  <w:num w:numId="16" w16cid:durableId="341130380">
    <w:abstractNumId w:val="22"/>
  </w:num>
  <w:num w:numId="17" w16cid:durableId="795560482">
    <w:abstractNumId w:val="0"/>
  </w:num>
  <w:num w:numId="18" w16cid:durableId="1737045787">
    <w:abstractNumId w:val="13"/>
  </w:num>
  <w:num w:numId="19" w16cid:durableId="2632439">
    <w:abstractNumId w:val="10"/>
  </w:num>
  <w:num w:numId="20" w16cid:durableId="369495659">
    <w:abstractNumId w:val="7"/>
  </w:num>
  <w:num w:numId="21" w16cid:durableId="89401075">
    <w:abstractNumId w:val="6"/>
  </w:num>
  <w:num w:numId="22" w16cid:durableId="338318329">
    <w:abstractNumId w:val="24"/>
  </w:num>
  <w:num w:numId="23" w16cid:durableId="627783197">
    <w:abstractNumId w:val="16"/>
  </w:num>
  <w:num w:numId="24" w16cid:durableId="369380088">
    <w:abstractNumId w:val="11"/>
  </w:num>
  <w:num w:numId="25" w16cid:durableId="1486361156">
    <w:abstractNumId w:val="1"/>
  </w:num>
  <w:num w:numId="26" w16cid:durableId="1919633981">
    <w:abstractNumId w:val="21"/>
  </w:num>
  <w:num w:numId="27" w16cid:durableId="1885869138">
    <w:abstractNumId w:val="27"/>
  </w:num>
  <w:num w:numId="28" w16cid:durableId="1318263864">
    <w:abstractNumId w:val="17"/>
  </w:num>
  <w:num w:numId="29" w16cid:durableId="1067605694">
    <w:abstractNumId w:val="23"/>
  </w:num>
  <w:num w:numId="30" w16cid:durableId="1318459192">
    <w:abstractNumId w:val="5"/>
  </w:num>
  <w:num w:numId="31" w16cid:durableId="2074161231">
    <w:abstractNumId w:val="20"/>
  </w:num>
  <w:num w:numId="32" w16cid:durableId="14811137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0B54"/>
    <w:rsid w:val="0000311D"/>
    <w:rsid w:val="00003A02"/>
    <w:rsid w:val="00003F85"/>
    <w:rsid w:val="000056BF"/>
    <w:rsid w:val="00005D48"/>
    <w:rsid w:val="000066A1"/>
    <w:rsid w:val="00010475"/>
    <w:rsid w:val="00012783"/>
    <w:rsid w:val="0001404F"/>
    <w:rsid w:val="00017F59"/>
    <w:rsid w:val="000205E7"/>
    <w:rsid w:val="000216BB"/>
    <w:rsid w:val="00022B95"/>
    <w:rsid w:val="000267F8"/>
    <w:rsid w:val="00027580"/>
    <w:rsid w:val="000307CC"/>
    <w:rsid w:val="0003234B"/>
    <w:rsid w:val="00032997"/>
    <w:rsid w:val="00035B5C"/>
    <w:rsid w:val="00037377"/>
    <w:rsid w:val="00040549"/>
    <w:rsid w:val="00046E94"/>
    <w:rsid w:val="00053704"/>
    <w:rsid w:val="00054AD8"/>
    <w:rsid w:val="00056008"/>
    <w:rsid w:val="000576AB"/>
    <w:rsid w:val="00061BBA"/>
    <w:rsid w:val="0006302B"/>
    <w:rsid w:val="0006667D"/>
    <w:rsid w:val="0006754B"/>
    <w:rsid w:val="0007356F"/>
    <w:rsid w:val="000779AE"/>
    <w:rsid w:val="0008107A"/>
    <w:rsid w:val="00081B2A"/>
    <w:rsid w:val="00093EE5"/>
    <w:rsid w:val="000A1833"/>
    <w:rsid w:val="000A525C"/>
    <w:rsid w:val="000A78C6"/>
    <w:rsid w:val="000B0D92"/>
    <w:rsid w:val="000B2C61"/>
    <w:rsid w:val="000B3385"/>
    <w:rsid w:val="000B3A3D"/>
    <w:rsid w:val="000B3ABF"/>
    <w:rsid w:val="000B4E2B"/>
    <w:rsid w:val="000B6144"/>
    <w:rsid w:val="000B6F7E"/>
    <w:rsid w:val="000B7960"/>
    <w:rsid w:val="000C0657"/>
    <w:rsid w:val="000C2495"/>
    <w:rsid w:val="000C317B"/>
    <w:rsid w:val="000C386B"/>
    <w:rsid w:val="000D49C2"/>
    <w:rsid w:val="000E142D"/>
    <w:rsid w:val="000E1B79"/>
    <w:rsid w:val="000E249B"/>
    <w:rsid w:val="000E5A7F"/>
    <w:rsid w:val="000E6F9F"/>
    <w:rsid w:val="000E78E1"/>
    <w:rsid w:val="000E7C99"/>
    <w:rsid w:val="000E7D0C"/>
    <w:rsid w:val="000F1CDA"/>
    <w:rsid w:val="000F29EE"/>
    <w:rsid w:val="000F31FE"/>
    <w:rsid w:val="000F5E1A"/>
    <w:rsid w:val="00100C46"/>
    <w:rsid w:val="0010265F"/>
    <w:rsid w:val="00103A62"/>
    <w:rsid w:val="00105487"/>
    <w:rsid w:val="00107E47"/>
    <w:rsid w:val="00115587"/>
    <w:rsid w:val="00117B6A"/>
    <w:rsid w:val="00121BC1"/>
    <w:rsid w:val="001260F5"/>
    <w:rsid w:val="00126D06"/>
    <w:rsid w:val="00132EF8"/>
    <w:rsid w:val="001337DE"/>
    <w:rsid w:val="00137D3C"/>
    <w:rsid w:val="00140343"/>
    <w:rsid w:val="0014653D"/>
    <w:rsid w:val="00155A98"/>
    <w:rsid w:val="00155BC9"/>
    <w:rsid w:val="00157463"/>
    <w:rsid w:val="00162CB0"/>
    <w:rsid w:val="00163F22"/>
    <w:rsid w:val="001706F9"/>
    <w:rsid w:val="00172A6E"/>
    <w:rsid w:val="001739D7"/>
    <w:rsid w:val="00175AF9"/>
    <w:rsid w:val="00175C46"/>
    <w:rsid w:val="00176675"/>
    <w:rsid w:val="0017774E"/>
    <w:rsid w:val="00181CDE"/>
    <w:rsid w:val="001851C8"/>
    <w:rsid w:val="0018637E"/>
    <w:rsid w:val="00190AA2"/>
    <w:rsid w:val="00191AA0"/>
    <w:rsid w:val="001939AB"/>
    <w:rsid w:val="00194C6C"/>
    <w:rsid w:val="001A258F"/>
    <w:rsid w:val="001A48E2"/>
    <w:rsid w:val="001A5D4C"/>
    <w:rsid w:val="001A68F4"/>
    <w:rsid w:val="001A6EF3"/>
    <w:rsid w:val="001B6130"/>
    <w:rsid w:val="001B7034"/>
    <w:rsid w:val="001C0117"/>
    <w:rsid w:val="001C3D50"/>
    <w:rsid w:val="001C4A57"/>
    <w:rsid w:val="001C5778"/>
    <w:rsid w:val="001C696B"/>
    <w:rsid w:val="001D0223"/>
    <w:rsid w:val="001D04E7"/>
    <w:rsid w:val="001D19B4"/>
    <w:rsid w:val="001D3E25"/>
    <w:rsid w:val="001D491B"/>
    <w:rsid w:val="001D7477"/>
    <w:rsid w:val="001E0A2E"/>
    <w:rsid w:val="001E0CB7"/>
    <w:rsid w:val="001E25C0"/>
    <w:rsid w:val="001E3DA0"/>
    <w:rsid w:val="001E78B6"/>
    <w:rsid w:val="001F09C0"/>
    <w:rsid w:val="001F13EF"/>
    <w:rsid w:val="001F1A2B"/>
    <w:rsid w:val="001F3FA3"/>
    <w:rsid w:val="001F7481"/>
    <w:rsid w:val="0020150D"/>
    <w:rsid w:val="00204AEF"/>
    <w:rsid w:val="0020523B"/>
    <w:rsid w:val="002069B0"/>
    <w:rsid w:val="00214FC0"/>
    <w:rsid w:val="002176ED"/>
    <w:rsid w:val="0022361E"/>
    <w:rsid w:val="00223CE1"/>
    <w:rsid w:val="00223D14"/>
    <w:rsid w:val="00225313"/>
    <w:rsid w:val="002373EC"/>
    <w:rsid w:val="00240036"/>
    <w:rsid w:val="00241A45"/>
    <w:rsid w:val="002442B0"/>
    <w:rsid w:val="00246735"/>
    <w:rsid w:val="00246D10"/>
    <w:rsid w:val="00255B16"/>
    <w:rsid w:val="00257562"/>
    <w:rsid w:val="00257CFB"/>
    <w:rsid w:val="00260F98"/>
    <w:rsid w:val="0026135F"/>
    <w:rsid w:val="002643B9"/>
    <w:rsid w:val="00264ED5"/>
    <w:rsid w:val="00274105"/>
    <w:rsid w:val="002775CC"/>
    <w:rsid w:val="00284301"/>
    <w:rsid w:val="00284EAA"/>
    <w:rsid w:val="002870CF"/>
    <w:rsid w:val="0028763B"/>
    <w:rsid w:val="00287700"/>
    <w:rsid w:val="0029012D"/>
    <w:rsid w:val="00290593"/>
    <w:rsid w:val="002956BD"/>
    <w:rsid w:val="00295C94"/>
    <w:rsid w:val="00297EDF"/>
    <w:rsid w:val="002A3ACB"/>
    <w:rsid w:val="002A6F1D"/>
    <w:rsid w:val="002A709C"/>
    <w:rsid w:val="002A74AD"/>
    <w:rsid w:val="002B2377"/>
    <w:rsid w:val="002C0A0D"/>
    <w:rsid w:val="002C1851"/>
    <w:rsid w:val="002C6351"/>
    <w:rsid w:val="002D1DF5"/>
    <w:rsid w:val="002D449C"/>
    <w:rsid w:val="002D60FE"/>
    <w:rsid w:val="002E3C86"/>
    <w:rsid w:val="002F08E0"/>
    <w:rsid w:val="002F5329"/>
    <w:rsid w:val="002F59D6"/>
    <w:rsid w:val="002F5A6E"/>
    <w:rsid w:val="003026B0"/>
    <w:rsid w:val="003043F6"/>
    <w:rsid w:val="00305EC1"/>
    <w:rsid w:val="003073BF"/>
    <w:rsid w:val="00312B2F"/>
    <w:rsid w:val="0031325A"/>
    <w:rsid w:val="003134FD"/>
    <w:rsid w:val="003135E8"/>
    <w:rsid w:val="00320A3E"/>
    <w:rsid w:val="00324457"/>
    <w:rsid w:val="003256C8"/>
    <w:rsid w:val="00326475"/>
    <w:rsid w:val="00327721"/>
    <w:rsid w:val="003334C1"/>
    <w:rsid w:val="00337E48"/>
    <w:rsid w:val="00342592"/>
    <w:rsid w:val="0034288E"/>
    <w:rsid w:val="00344E3A"/>
    <w:rsid w:val="0034552D"/>
    <w:rsid w:val="00346126"/>
    <w:rsid w:val="00346E7D"/>
    <w:rsid w:val="00353664"/>
    <w:rsid w:val="003553CE"/>
    <w:rsid w:val="00364051"/>
    <w:rsid w:val="00364A77"/>
    <w:rsid w:val="00364ECE"/>
    <w:rsid w:val="00374384"/>
    <w:rsid w:val="00377382"/>
    <w:rsid w:val="00381205"/>
    <w:rsid w:val="00381225"/>
    <w:rsid w:val="0038664E"/>
    <w:rsid w:val="0039124B"/>
    <w:rsid w:val="003A32E0"/>
    <w:rsid w:val="003A424F"/>
    <w:rsid w:val="003B1089"/>
    <w:rsid w:val="003B4ED6"/>
    <w:rsid w:val="003B7ADD"/>
    <w:rsid w:val="003D0EC1"/>
    <w:rsid w:val="003D1BCB"/>
    <w:rsid w:val="003D20C9"/>
    <w:rsid w:val="003D2824"/>
    <w:rsid w:val="003D3844"/>
    <w:rsid w:val="003D41C4"/>
    <w:rsid w:val="003E2F42"/>
    <w:rsid w:val="003E3344"/>
    <w:rsid w:val="003E40E9"/>
    <w:rsid w:val="003E7509"/>
    <w:rsid w:val="003F1C7A"/>
    <w:rsid w:val="003F2872"/>
    <w:rsid w:val="003F31D9"/>
    <w:rsid w:val="003F55A1"/>
    <w:rsid w:val="003F6EC1"/>
    <w:rsid w:val="003F6F0C"/>
    <w:rsid w:val="00401951"/>
    <w:rsid w:val="00402887"/>
    <w:rsid w:val="0041003B"/>
    <w:rsid w:val="00411149"/>
    <w:rsid w:val="00416F0C"/>
    <w:rsid w:val="0041796F"/>
    <w:rsid w:val="00421F92"/>
    <w:rsid w:val="00424418"/>
    <w:rsid w:val="00426B94"/>
    <w:rsid w:val="00427394"/>
    <w:rsid w:val="00432345"/>
    <w:rsid w:val="004323F0"/>
    <w:rsid w:val="004330E7"/>
    <w:rsid w:val="00440665"/>
    <w:rsid w:val="004430E5"/>
    <w:rsid w:val="00444CF8"/>
    <w:rsid w:val="0044590E"/>
    <w:rsid w:val="00445D38"/>
    <w:rsid w:val="00446BD5"/>
    <w:rsid w:val="00447930"/>
    <w:rsid w:val="00451CA8"/>
    <w:rsid w:val="004521CD"/>
    <w:rsid w:val="00453992"/>
    <w:rsid w:val="00454A7F"/>
    <w:rsid w:val="00461309"/>
    <w:rsid w:val="00461588"/>
    <w:rsid w:val="004615A1"/>
    <w:rsid w:val="0046167B"/>
    <w:rsid w:val="00462A10"/>
    <w:rsid w:val="00464F25"/>
    <w:rsid w:val="0047049C"/>
    <w:rsid w:val="004717D0"/>
    <w:rsid w:val="00477DB4"/>
    <w:rsid w:val="004827B9"/>
    <w:rsid w:val="0048339D"/>
    <w:rsid w:val="004879F5"/>
    <w:rsid w:val="00487B65"/>
    <w:rsid w:val="00492FD0"/>
    <w:rsid w:val="0049419A"/>
    <w:rsid w:val="004A305E"/>
    <w:rsid w:val="004A3440"/>
    <w:rsid w:val="004A45A4"/>
    <w:rsid w:val="004B16D8"/>
    <w:rsid w:val="004B1C3B"/>
    <w:rsid w:val="004B2885"/>
    <w:rsid w:val="004B31FA"/>
    <w:rsid w:val="004B694D"/>
    <w:rsid w:val="004B735E"/>
    <w:rsid w:val="004B77D1"/>
    <w:rsid w:val="004C05F2"/>
    <w:rsid w:val="004C2727"/>
    <w:rsid w:val="004C5AB8"/>
    <w:rsid w:val="004C688B"/>
    <w:rsid w:val="004D45F5"/>
    <w:rsid w:val="004E38A4"/>
    <w:rsid w:val="004E5440"/>
    <w:rsid w:val="004E7E59"/>
    <w:rsid w:val="004F0333"/>
    <w:rsid w:val="004F0D54"/>
    <w:rsid w:val="00500AED"/>
    <w:rsid w:val="0050250E"/>
    <w:rsid w:val="005045B3"/>
    <w:rsid w:val="0050756F"/>
    <w:rsid w:val="00512C62"/>
    <w:rsid w:val="00514713"/>
    <w:rsid w:val="005153BE"/>
    <w:rsid w:val="00517C05"/>
    <w:rsid w:val="0052010F"/>
    <w:rsid w:val="00520C81"/>
    <w:rsid w:val="0052166B"/>
    <w:rsid w:val="00525E46"/>
    <w:rsid w:val="005362AC"/>
    <w:rsid w:val="005418B5"/>
    <w:rsid w:val="00542935"/>
    <w:rsid w:val="005510AD"/>
    <w:rsid w:val="00552CC9"/>
    <w:rsid w:val="005535FE"/>
    <w:rsid w:val="005555FF"/>
    <w:rsid w:val="00556F09"/>
    <w:rsid w:val="005577C2"/>
    <w:rsid w:val="005579D9"/>
    <w:rsid w:val="00557E79"/>
    <w:rsid w:val="005602E0"/>
    <w:rsid w:val="00560DC2"/>
    <w:rsid w:val="00561C24"/>
    <w:rsid w:val="00563BA7"/>
    <w:rsid w:val="00565AE9"/>
    <w:rsid w:val="00566349"/>
    <w:rsid w:val="00567727"/>
    <w:rsid w:val="00567A1A"/>
    <w:rsid w:val="0057112A"/>
    <w:rsid w:val="005728CB"/>
    <w:rsid w:val="00574D1B"/>
    <w:rsid w:val="0057588C"/>
    <w:rsid w:val="00575ECA"/>
    <w:rsid w:val="00580712"/>
    <w:rsid w:val="00581673"/>
    <w:rsid w:val="00582515"/>
    <w:rsid w:val="0058590D"/>
    <w:rsid w:val="0059296A"/>
    <w:rsid w:val="00592FB1"/>
    <w:rsid w:val="0059317E"/>
    <w:rsid w:val="005934C6"/>
    <w:rsid w:val="00593BDE"/>
    <w:rsid w:val="005952EE"/>
    <w:rsid w:val="00595BD1"/>
    <w:rsid w:val="005A18A4"/>
    <w:rsid w:val="005A1C1C"/>
    <w:rsid w:val="005A2331"/>
    <w:rsid w:val="005A292D"/>
    <w:rsid w:val="005A373E"/>
    <w:rsid w:val="005A6288"/>
    <w:rsid w:val="005A72F9"/>
    <w:rsid w:val="005B453D"/>
    <w:rsid w:val="005B62C1"/>
    <w:rsid w:val="005B76A6"/>
    <w:rsid w:val="005C21B6"/>
    <w:rsid w:val="005C4AAE"/>
    <w:rsid w:val="005C649E"/>
    <w:rsid w:val="005C7D1F"/>
    <w:rsid w:val="005D0620"/>
    <w:rsid w:val="005D209E"/>
    <w:rsid w:val="005D2DC0"/>
    <w:rsid w:val="005D2F89"/>
    <w:rsid w:val="005D3AEC"/>
    <w:rsid w:val="005D5502"/>
    <w:rsid w:val="005E23BA"/>
    <w:rsid w:val="005E47E3"/>
    <w:rsid w:val="005E4981"/>
    <w:rsid w:val="005F488C"/>
    <w:rsid w:val="005F6767"/>
    <w:rsid w:val="0060184D"/>
    <w:rsid w:val="0060219B"/>
    <w:rsid w:val="00602AC4"/>
    <w:rsid w:val="006073F7"/>
    <w:rsid w:val="00607FE3"/>
    <w:rsid w:val="00617115"/>
    <w:rsid w:val="006200CB"/>
    <w:rsid w:val="0062038B"/>
    <w:rsid w:val="00631ABB"/>
    <w:rsid w:val="006404AC"/>
    <w:rsid w:val="00642A89"/>
    <w:rsid w:val="006458E4"/>
    <w:rsid w:val="00646738"/>
    <w:rsid w:val="00647293"/>
    <w:rsid w:val="006535C4"/>
    <w:rsid w:val="00653B3C"/>
    <w:rsid w:val="00654AA0"/>
    <w:rsid w:val="00657B14"/>
    <w:rsid w:val="00657D5E"/>
    <w:rsid w:val="00662991"/>
    <w:rsid w:val="00675AB6"/>
    <w:rsid w:val="00676175"/>
    <w:rsid w:val="00676182"/>
    <w:rsid w:val="00683102"/>
    <w:rsid w:val="00683AB7"/>
    <w:rsid w:val="006864BB"/>
    <w:rsid w:val="006874FF"/>
    <w:rsid w:val="00690076"/>
    <w:rsid w:val="00693BFF"/>
    <w:rsid w:val="00694439"/>
    <w:rsid w:val="00696A82"/>
    <w:rsid w:val="00696B03"/>
    <w:rsid w:val="006A259F"/>
    <w:rsid w:val="006A494F"/>
    <w:rsid w:val="006A796F"/>
    <w:rsid w:val="006B584C"/>
    <w:rsid w:val="006B6CFE"/>
    <w:rsid w:val="006B772A"/>
    <w:rsid w:val="006C0534"/>
    <w:rsid w:val="006C2CF4"/>
    <w:rsid w:val="006D0A95"/>
    <w:rsid w:val="006D3B31"/>
    <w:rsid w:val="006D4D65"/>
    <w:rsid w:val="006D5F05"/>
    <w:rsid w:val="006D6433"/>
    <w:rsid w:val="006E1F72"/>
    <w:rsid w:val="006E3BAB"/>
    <w:rsid w:val="006E40B5"/>
    <w:rsid w:val="006E5B7D"/>
    <w:rsid w:val="006E5F6B"/>
    <w:rsid w:val="006E61AA"/>
    <w:rsid w:val="006E61B6"/>
    <w:rsid w:val="006E6F9A"/>
    <w:rsid w:val="006F0492"/>
    <w:rsid w:val="006F085A"/>
    <w:rsid w:val="006F14A5"/>
    <w:rsid w:val="006F67FA"/>
    <w:rsid w:val="006F6D8E"/>
    <w:rsid w:val="007006D4"/>
    <w:rsid w:val="00701151"/>
    <w:rsid w:val="00705A88"/>
    <w:rsid w:val="007104F5"/>
    <w:rsid w:val="00710874"/>
    <w:rsid w:val="00713490"/>
    <w:rsid w:val="00713A6D"/>
    <w:rsid w:val="00714B99"/>
    <w:rsid w:val="007154F9"/>
    <w:rsid w:val="00716D84"/>
    <w:rsid w:val="00723316"/>
    <w:rsid w:val="00723A1A"/>
    <w:rsid w:val="00723F80"/>
    <w:rsid w:val="00725ADF"/>
    <w:rsid w:val="007301DF"/>
    <w:rsid w:val="00734428"/>
    <w:rsid w:val="007355E3"/>
    <w:rsid w:val="00737667"/>
    <w:rsid w:val="0074463A"/>
    <w:rsid w:val="00744F5B"/>
    <w:rsid w:val="00746032"/>
    <w:rsid w:val="0074607F"/>
    <w:rsid w:val="00750FFD"/>
    <w:rsid w:val="00752073"/>
    <w:rsid w:val="007539F1"/>
    <w:rsid w:val="00754DFD"/>
    <w:rsid w:val="0075514B"/>
    <w:rsid w:val="00755E12"/>
    <w:rsid w:val="00756803"/>
    <w:rsid w:val="00760A54"/>
    <w:rsid w:val="00762A14"/>
    <w:rsid w:val="00762EA5"/>
    <w:rsid w:val="007746B8"/>
    <w:rsid w:val="00774D61"/>
    <w:rsid w:val="0077524C"/>
    <w:rsid w:val="007767D3"/>
    <w:rsid w:val="00782B91"/>
    <w:rsid w:val="00785489"/>
    <w:rsid w:val="00787DD9"/>
    <w:rsid w:val="0079084F"/>
    <w:rsid w:val="00792EBB"/>
    <w:rsid w:val="007959DA"/>
    <w:rsid w:val="00795E52"/>
    <w:rsid w:val="007A1C0E"/>
    <w:rsid w:val="007A3FB1"/>
    <w:rsid w:val="007A4331"/>
    <w:rsid w:val="007A4A6B"/>
    <w:rsid w:val="007A646F"/>
    <w:rsid w:val="007B045B"/>
    <w:rsid w:val="007B1A1F"/>
    <w:rsid w:val="007B2807"/>
    <w:rsid w:val="007B3EC6"/>
    <w:rsid w:val="007B448D"/>
    <w:rsid w:val="007B44C8"/>
    <w:rsid w:val="007B63DE"/>
    <w:rsid w:val="007C0F81"/>
    <w:rsid w:val="007C359C"/>
    <w:rsid w:val="007C3978"/>
    <w:rsid w:val="007C4D2F"/>
    <w:rsid w:val="007C5476"/>
    <w:rsid w:val="007D46E9"/>
    <w:rsid w:val="007D68F7"/>
    <w:rsid w:val="007E24D3"/>
    <w:rsid w:val="007E3889"/>
    <w:rsid w:val="007E388A"/>
    <w:rsid w:val="007E3B48"/>
    <w:rsid w:val="007E738A"/>
    <w:rsid w:val="007F2C30"/>
    <w:rsid w:val="00800E57"/>
    <w:rsid w:val="00803DD2"/>
    <w:rsid w:val="00807C71"/>
    <w:rsid w:val="00811A78"/>
    <w:rsid w:val="00814FFE"/>
    <w:rsid w:val="008217C7"/>
    <w:rsid w:val="00824035"/>
    <w:rsid w:val="008247DA"/>
    <w:rsid w:val="0082703D"/>
    <w:rsid w:val="00830839"/>
    <w:rsid w:val="00831A8D"/>
    <w:rsid w:val="00835FA0"/>
    <w:rsid w:val="00836EDD"/>
    <w:rsid w:val="00846572"/>
    <w:rsid w:val="00847D83"/>
    <w:rsid w:val="0085079C"/>
    <w:rsid w:val="008520BD"/>
    <w:rsid w:val="008547E7"/>
    <w:rsid w:val="008636A9"/>
    <w:rsid w:val="0086594A"/>
    <w:rsid w:val="00867E2D"/>
    <w:rsid w:val="008752CB"/>
    <w:rsid w:val="00882AE4"/>
    <w:rsid w:val="0088368E"/>
    <w:rsid w:val="00883851"/>
    <w:rsid w:val="008863D0"/>
    <w:rsid w:val="00890684"/>
    <w:rsid w:val="00893D85"/>
    <w:rsid w:val="00894692"/>
    <w:rsid w:val="0089473B"/>
    <w:rsid w:val="00894A68"/>
    <w:rsid w:val="00895466"/>
    <w:rsid w:val="008967A8"/>
    <w:rsid w:val="008968CA"/>
    <w:rsid w:val="0089708E"/>
    <w:rsid w:val="008A05C1"/>
    <w:rsid w:val="008A335D"/>
    <w:rsid w:val="008A3A9E"/>
    <w:rsid w:val="008A5840"/>
    <w:rsid w:val="008C2BA0"/>
    <w:rsid w:val="008C528D"/>
    <w:rsid w:val="008C6FFF"/>
    <w:rsid w:val="008C7A50"/>
    <w:rsid w:val="008D158F"/>
    <w:rsid w:val="008D44F6"/>
    <w:rsid w:val="008D71FF"/>
    <w:rsid w:val="008E27D6"/>
    <w:rsid w:val="008E3B7E"/>
    <w:rsid w:val="008E6145"/>
    <w:rsid w:val="008F1A9B"/>
    <w:rsid w:val="008F1D0A"/>
    <w:rsid w:val="008F253E"/>
    <w:rsid w:val="008F6CB6"/>
    <w:rsid w:val="008F6E91"/>
    <w:rsid w:val="0090208D"/>
    <w:rsid w:val="00904207"/>
    <w:rsid w:val="009057E5"/>
    <w:rsid w:val="0091552F"/>
    <w:rsid w:val="00915E13"/>
    <w:rsid w:val="00923FB7"/>
    <w:rsid w:val="00933DBB"/>
    <w:rsid w:val="00935188"/>
    <w:rsid w:val="00935DA8"/>
    <w:rsid w:val="0094111B"/>
    <w:rsid w:val="00942C01"/>
    <w:rsid w:val="00945F25"/>
    <w:rsid w:val="00945FBD"/>
    <w:rsid w:val="00947129"/>
    <w:rsid w:val="009471B4"/>
    <w:rsid w:val="009474A4"/>
    <w:rsid w:val="00947B56"/>
    <w:rsid w:val="0096416A"/>
    <w:rsid w:val="00967035"/>
    <w:rsid w:val="009677E1"/>
    <w:rsid w:val="00970913"/>
    <w:rsid w:val="00970F96"/>
    <w:rsid w:val="00972AE1"/>
    <w:rsid w:val="00973A9D"/>
    <w:rsid w:val="00977E58"/>
    <w:rsid w:val="0098098D"/>
    <w:rsid w:val="00982D4C"/>
    <w:rsid w:val="0098402B"/>
    <w:rsid w:val="00984541"/>
    <w:rsid w:val="0098492C"/>
    <w:rsid w:val="00986574"/>
    <w:rsid w:val="009868F1"/>
    <w:rsid w:val="009868F5"/>
    <w:rsid w:val="009878AE"/>
    <w:rsid w:val="00987C67"/>
    <w:rsid w:val="0099517C"/>
    <w:rsid w:val="0099647E"/>
    <w:rsid w:val="00996C4D"/>
    <w:rsid w:val="00997EF7"/>
    <w:rsid w:val="009A3F57"/>
    <w:rsid w:val="009A4BF9"/>
    <w:rsid w:val="009A71EE"/>
    <w:rsid w:val="009A78C1"/>
    <w:rsid w:val="009B0C30"/>
    <w:rsid w:val="009B0CD1"/>
    <w:rsid w:val="009B4347"/>
    <w:rsid w:val="009B4D3E"/>
    <w:rsid w:val="009B4D90"/>
    <w:rsid w:val="009B5599"/>
    <w:rsid w:val="009B57B4"/>
    <w:rsid w:val="009C1195"/>
    <w:rsid w:val="009C254A"/>
    <w:rsid w:val="009C5D73"/>
    <w:rsid w:val="009D0C9A"/>
    <w:rsid w:val="009D147F"/>
    <w:rsid w:val="009D1BF3"/>
    <w:rsid w:val="009D2613"/>
    <w:rsid w:val="009D48D6"/>
    <w:rsid w:val="009E0B13"/>
    <w:rsid w:val="009E0E63"/>
    <w:rsid w:val="009E4AA0"/>
    <w:rsid w:val="009F171B"/>
    <w:rsid w:val="009F7949"/>
    <w:rsid w:val="00A01130"/>
    <w:rsid w:val="00A021C6"/>
    <w:rsid w:val="00A0509D"/>
    <w:rsid w:val="00A054BF"/>
    <w:rsid w:val="00A20F4A"/>
    <w:rsid w:val="00A21553"/>
    <w:rsid w:val="00A217C9"/>
    <w:rsid w:val="00A21F7F"/>
    <w:rsid w:val="00A25E0E"/>
    <w:rsid w:val="00A26BA5"/>
    <w:rsid w:val="00A26C46"/>
    <w:rsid w:val="00A2788B"/>
    <w:rsid w:val="00A31E47"/>
    <w:rsid w:val="00A32675"/>
    <w:rsid w:val="00A34DB1"/>
    <w:rsid w:val="00A422BE"/>
    <w:rsid w:val="00A44BF9"/>
    <w:rsid w:val="00A50E2E"/>
    <w:rsid w:val="00A51AC0"/>
    <w:rsid w:val="00A54398"/>
    <w:rsid w:val="00A60699"/>
    <w:rsid w:val="00A61E29"/>
    <w:rsid w:val="00A624C7"/>
    <w:rsid w:val="00A6265D"/>
    <w:rsid w:val="00A63790"/>
    <w:rsid w:val="00A70AAA"/>
    <w:rsid w:val="00A70BE3"/>
    <w:rsid w:val="00A72249"/>
    <w:rsid w:val="00A73E7C"/>
    <w:rsid w:val="00A82DCC"/>
    <w:rsid w:val="00A91E11"/>
    <w:rsid w:val="00A95AA7"/>
    <w:rsid w:val="00A97580"/>
    <w:rsid w:val="00AA02F2"/>
    <w:rsid w:val="00AA0314"/>
    <w:rsid w:val="00AA221B"/>
    <w:rsid w:val="00AB07FD"/>
    <w:rsid w:val="00AB2826"/>
    <w:rsid w:val="00AB5A81"/>
    <w:rsid w:val="00AC01FC"/>
    <w:rsid w:val="00AC26A3"/>
    <w:rsid w:val="00AC3444"/>
    <w:rsid w:val="00AC413C"/>
    <w:rsid w:val="00AD230D"/>
    <w:rsid w:val="00AE08B9"/>
    <w:rsid w:val="00AE30DA"/>
    <w:rsid w:val="00AE3288"/>
    <w:rsid w:val="00AE49C4"/>
    <w:rsid w:val="00AE7941"/>
    <w:rsid w:val="00AF1750"/>
    <w:rsid w:val="00AF4356"/>
    <w:rsid w:val="00AF77E3"/>
    <w:rsid w:val="00B01ADD"/>
    <w:rsid w:val="00B02FE6"/>
    <w:rsid w:val="00B07762"/>
    <w:rsid w:val="00B07EB2"/>
    <w:rsid w:val="00B17F2E"/>
    <w:rsid w:val="00B204D8"/>
    <w:rsid w:val="00B30303"/>
    <w:rsid w:val="00B332AD"/>
    <w:rsid w:val="00B378CA"/>
    <w:rsid w:val="00B402E2"/>
    <w:rsid w:val="00B41016"/>
    <w:rsid w:val="00B426E1"/>
    <w:rsid w:val="00B436B7"/>
    <w:rsid w:val="00B45CD8"/>
    <w:rsid w:val="00B477DB"/>
    <w:rsid w:val="00B50E99"/>
    <w:rsid w:val="00B55F20"/>
    <w:rsid w:val="00B57F6A"/>
    <w:rsid w:val="00B60037"/>
    <w:rsid w:val="00B642E1"/>
    <w:rsid w:val="00B65ED9"/>
    <w:rsid w:val="00B66B57"/>
    <w:rsid w:val="00B67153"/>
    <w:rsid w:val="00B7521B"/>
    <w:rsid w:val="00B81076"/>
    <w:rsid w:val="00B81FD9"/>
    <w:rsid w:val="00B841C7"/>
    <w:rsid w:val="00B84E3B"/>
    <w:rsid w:val="00B865DD"/>
    <w:rsid w:val="00B873F9"/>
    <w:rsid w:val="00B876F7"/>
    <w:rsid w:val="00B945E9"/>
    <w:rsid w:val="00B94ECB"/>
    <w:rsid w:val="00B95652"/>
    <w:rsid w:val="00B96239"/>
    <w:rsid w:val="00BA1096"/>
    <w:rsid w:val="00BA166E"/>
    <w:rsid w:val="00BA16AA"/>
    <w:rsid w:val="00BA21A0"/>
    <w:rsid w:val="00BA30DB"/>
    <w:rsid w:val="00BB68FF"/>
    <w:rsid w:val="00BC3385"/>
    <w:rsid w:val="00BC75E4"/>
    <w:rsid w:val="00BE1777"/>
    <w:rsid w:val="00BE1D01"/>
    <w:rsid w:val="00BE241E"/>
    <w:rsid w:val="00BE258D"/>
    <w:rsid w:val="00BF5A19"/>
    <w:rsid w:val="00C01A11"/>
    <w:rsid w:val="00C03E3C"/>
    <w:rsid w:val="00C05F39"/>
    <w:rsid w:val="00C0728B"/>
    <w:rsid w:val="00C10195"/>
    <w:rsid w:val="00C11E6A"/>
    <w:rsid w:val="00C137CF"/>
    <w:rsid w:val="00C17AB9"/>
    <w:rsid w:val="00C20D9E"/>
    <w:rsid w:val="00C23F96"/>
    <w:rsid w:val="00C33353"/>
    <w:rsid w:val="00C3363B"/>
    <w:rsid w:val="00C3436B"/>
    <w:rsid w:val="00C34D9C"/>
    <w:rsid w:val="00C36D96"/>
    <w:rsid w:val="00C37A5D"/>
    <w:rsid w:val="00C37FE3"/>
    <w:rsid w:val="00C41000"/>
    <w:rsid w:val="00C4168B"/>
    <w:rsid w:val="00C41D40"/>
    <w:rsid w:val="00C4274C"/>
    <w:rsid w:val="00C44A60"/>
    <w:rsid w:val="00C4656E"/>
    <w:rsid w:val="00C5291C"/>
    <w:rsid w:val="00C533B8"/>
    <w:rsid w:val="00C55C7C"/>
    <w:rsid w:val="00C615A4"/>
    <w:rsid w:val="00C627B0"/>
    <w:rsid w:val="00C62CF2"/>
    <w:rsid w:val="00C6406E"/>
    <w:rsid w:val="00C651AE"/>
    <w:rsid w:val="00C65865"/>
    <w:rsid w:val="00C658DD"/>
    <w:rsid w:val="00C700CD"/>
    <w:rsid w:val="00C7097F"/>
    <w:rsid w:val="00C71332"/>
    <w:rsid w:val="00C714F3"/>
    <w:rsid w:val="00C77105"/>
    <w:rsid w:val="00C8198C"/>
    <w:rsid w:val="00C9288D"/>
    <w:rsid w:val="00C94A13"/>
    <w:rsid w:val="00C9587F"/>
    <w:rsid w:val="00C971D4"/>
    <w:rsid w:val="00CA13AE"/>
    <w:rsid w:val="00CA193E"/>
    <w:rsid w:val="00CA2072"/>
    <w:rsid w:val="00CA2875"/>
    <w:rsid w:val="00CA2FB9"/>
    <w:rsid w:val="00CB21B2"/>
    <w:rsid w:val="00CB22B4"/>
    <w:rsid w:val="00CB4B53"/>
    <w:rsid w:val="00CB51CE"/>
    <w:rsid w:val="00CC6527"/>
    <w:rsid w:val="00CD20C7"/>
    <w:rsid w:val="00CD263B"/>
    <w:rsid w:val="00CD551F"/>
    <w:rsid w:val="00CD57F0"/>
    <w:rsid w:val="00CD6434"/>
    <w:rsid w:val="00CE1CBA"/>
    <w:rsid w:val="00CE294C"/>
    <w:rsid w:val="00CE2BEB"/>
    <w:rsid w:val="00CE3E9E"/>
    <w:rsid w:val="00CE57C2"/>
    <w:rsid w:val="00CE5AAC"/>
    <w:rsid w:val="00CE694E"/>
    <w:rsid w:val="00CE7C4D"/>
    <w:rsid w:val="00CF10F4"/>
    <w:rsid w:val="00CF1C35"/>
    <w:rsid w:val="00CF4FFA"/>
    <w:rsid w:val="00CF5BCF"/>
    <w:rsid w:val="00CF5C23"/>
    <w:rsid w:val="00CF6B80"/>
    <w:rsid w:val="00D026AA"/>
    <w:rsid w:val="00D049FE"/>
    <w:rsid w:val="00D058BD"/>
    <w:rsid w:val="00D12713"/>
    <w:rsid w:val="00D16281"/>
    <w:rsid w:val="00D231E2"/>
    <w:rsid w:val="00D275A7"/>
    <w:rsid w:val="00D305C0"/>
    <w:rsid w:val="00D340AB"/>
    <w:rsid w:val="00D36787"/>
    <w:rsid w:val="00D36986"/>
    <w:rsid w:val="00D43DC7"/>
    <w:rsid w:val="00D44260"/>
    <w:rsid w:val="00D44971"/>
    <w:rsid w:val="00D45C7D"/>
    <w:rsid w:val="00D477FD"/>
    <w:rsid w:val="00D520F7"/>
    <w:rsid w:val="00D5344C"/>
    <w:rsid w:val="00D542D4"/>
    <w:rsid w:val="00D616F4"/>
    <w:rsid w:val="00D63D39"/>
    <w:rsid w:val="00D64254"/>
    <w:rsid w:val="00D65EFB"/>
    <w:rsid w:val="00D67111"/>
    <w:rsid w:val="00D674CC"/>
    <w:rsid w:val="00D700F1"/>
    <w:rsid w:val="00D70E71"/>
    <w:rsid w:val="00D714F9"/>
    <w:rsid w:val="00D73AD7"/>
    <w:rsid w:val="00D819E2"/>
    <w:rsid w:val="00D9096D"/>
    <w:rsid w:val="00D93647"/>
    <w:rsid w:val="00D94F71"/>
    <w:rsid w:val="00D96B9F"/>
    <w:rsid w:val="00D9734F"/>
    <w:rsid w:val="00DA3620"/>
    <w:rsid w:val="00DA4178"/>
    <w:rsid w:val="00DB5E56"/>
    <w:rsid w:val="00DB7352"/>
    <w:rsid w:val="00DC2324"/>
    <w:rsid w:val="00DC4655"/>
    <w:rsid w:val="00DC6837"/>
    <w:rsid w:val="00DC76EE"/>
    <w:rsid w:val="00DD14D4"/>
    <w:rsid w:val="00DD1CCA"/>
    <w:rsid w:val="00DD1D32"/>
    <w:rsid w:val="00DD22D0"/>
    <w:rsid w:val="00DD25C9"/>
    <w:rsid w:val="00DD3C62"/>
    <w:rsid w:val="00DD44E9"/>
    <w:rsid w:val="00DD45D3"/>
    <w:rsid w:val="00DD5548"/>
    <w:rsid w:val="00DD6106"/>
    <w:rsid w:val="00DD6BB5"/>
    <w:rsid w:val="00DD70B0"/>
    <w:rsid w:val="00DE09DE"/>
    <w:rsid w:val="00DE2A35"/>
    <w:rsid w:val="00DF18FD"/>
    <w:rsid w:val="00DF2B9D"/>
    <w:rsid w:val="00E00EAA"/>
    <w:rsid w:val="00E020D9"/>
    <w:rsid w:val="00E04BA9"/>
    <w:rsid w:val="00E0634A"/>
    <w:rsid w:val="00E07DB4"/>
    <w:rsid w:val="00E215FA"/>
    <w:rsid w:val="00E23887"/>
    <w:rsid w:val="00E239BB"/>
    <w:rsid w:val="00E24AFC"/>
    <w:rsid w:val="00E25687"/>
    <w:rsid w:val="00E26798"/>
    <w:rsid w:val="00E33845"/>
    <w:rsid w:val="00E33AF8"/>
    <w:rsid w:val="00E353DD"/>
    <w:rsid w:val="00E36158"/>
    <w:rsid w:val="00E416B9"/>
    <w:rsid w:val="00E41EEF"/>
    <w:rsid w:val="00E430C9"/>
    <w:rsid w:val="00E4391C"/>
    <w:rsid w:val="00E45BA0"/>
    <w:rsid w:val="00E47C10"/>
    <w:rsid w:val="00E528AA"/>
    <w:rsid w:val="00E538EE"/>
    <w:rsid w:val="00E56EF6"/>
    <w:rsid w:val="00E57E73"/>
    <w:rsid w:val="00E629FF"/>
    <w:rsid w:val="00E6402C"/>
    <w:rsid w:val="00E66D69"/>
    <w:rsid w:val="00E70696"/>
    <w:rsid w:val="00E71512"/>
    <w:rsid w:val="00E73EEF"/>
    <w:rsid w:val="00E75198"/>
    <w:rsid w:val="00E770DF"/>
    <w:rsid w:val="00E775E8"/>
    <w:rsid w:val="00E80CE7"/>
    <w:rsid w:val="00E8314F"/>
    <w:rsid w:val="00E8369E"/>
    <w:rsid w:val="00E83B6F"/>
    <w:rsid w:val="00E84970"/>
    <w:rsid w:val="00E868A6"/>
    <w:rsid w:val="00E919AC"/>
    <w:rsid w:val="00E945DD"/>
    <w:rsid w:val="00E97FD3"/>
    <w:rsid w:val="00EA0586"/>
    <w:rsid w:val="00EA14DF"/>
    <w:rsid w:val="00EA2997"/>
    <w:rsid w:val="00EA2A80"/>
    <w:rsid w:val="00EA46BC"/>
    <w:rsid w:val="00EB2367"/>
    <w:rsid w:val="00EB3B12"/>
    <w:rsid w:val="00EB6642"/>
    <w:rsid w:val="00EC22C0"/>
    <w:rsid w:val="00EC335F"/>
    <w:rsid w:val="00EC4F42"/>
    <w:rsid w:val="00EC6E98"/>
    <w:rsid w:val="00ED1612"/>
    <w:rsid w:val="00ED5B2C"/>
    <w:rsid w:val="00ED643C"/>
    <w:rsid w:val="00EE286B"/>
    <w:rsid w:val="00EE2A5F"/>
    <w:rsid w:val="00EE44C0"/>
    <w:rsid w:val="00EE44D0"/>
    <w:rsid w:val="00EE7334"/>
    <w:rsid w:val="00EF2C89"/>
    <w:rsid w:val="00EF35C4"/>
    <w:rsid w:val="00EF3F41"/>
    <w:rsid w:val="00F013C8"/>
    <w:rsid w:val="00F02325"/>
    <w:rsid w:val="00F02C52"/>
    <w:rsid w:val="00F046B8"/>
    <w:rsid w:val="00F04854"/>
    <w:rsid w:val="00F12AEE"/>
    <w:rsid w:val="00F13009"/>
    <w:rsid w:val="00F13BD8"/>
    <w:rsid w:val="00F17259"/>
    <w:rsid w:val="00F30150"/>
    <w:rsid w:val="00F3704A"/>
    <w:rsid w:val="00F529F3"/>
    <w:rsid w:val="00F56E51"/>
    <w:rsid w:val="00F603DF"/>
    <w:rsid w:val="00F772CD"/>
    <w:rsid w:val="00F81E8C"/>
    <w:rsid w:val="00F82B2F"/>
    <w:rsid w:val="00F84916"/>
    <w:rsid w:val="00F87224"/>
    <w:rsid w:val="00F90784"/>
    <w:rsid w:val="00F92C0F"/>
    <w:rsid w:val="00F96853"/>
    <w:rsid w:val="00F979C3"/>
    <w:rsid w:val="00FA09D2"/>
    <w:rsid w:val="00FA4A05"/>
    <w:rsid w:val="00FB0215"/>
    <w:rsid w:val="00FB3730"/>
    <w:rsid w:val="00FB4510"/>
    <w:rsid w:val="00FB4C40"/>
    <w:rsid w:val="00FC020C"/>
    <w:rsid w:val="00FC3DED"/>
    <w:rsid w:val="00FC42C3"/>
    <w:rsid w:val="00FC683C"/>
    <w:rsid w:val="00FD0BF5"/>
    <w:rsid w:val="00FD0E6E"/>
    <w:rsid w:val="00FD1F34"/>
    <w:rsid w:val="00FD274D"/>
    <w:rsid w:val="00FE557E"/>
    <w:rsid w:val="00FE6FA2"/>
    <w:rsid w:val="00FF080A"/>
    <w:rsid w:val="00FF1EFC"/>
    <w:rsid w:val="00FF2115"/>
    <w:rsid w:val="49C447E2"/>
    <w:rsid w:val="4C748B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E79C1C"/>
  <w15:chartTrackingRefBased/>
  <w15:docId w15:val="{AC6C53E5-743B-4613-B61F-B8C0FAA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26798"/>
    <w:pPr>
      <w:ind w:left="720"/>
    </w:pPr>
  </w:style>
  <w:style w:type="character" w:styleId="CommentReference">
    <w:name w:val="annotation reference"/>
    <w:uiPriority w:val="99"/>
    <w:semiHidden/>
    <w:rsid w:val="00FC42C3"/>
    <w:rPr>
      <w:sz w:val="16"/>
      <w:szCs w:val="16"/>
    </w:rPr>
  </w:style>
  <w:style w:type="table" w:styleId="TableGrid">
    <w:name w:val="Table Grid"/>
    <w:basedOn w:val="TableNormal"/>
    <w:rsid w:val="00FC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iPriority w:val="99"/>
    <w:semiHidden/>
    <w:unhideWhenUsed/>
    <w:rsid w:val="005510AD"/>
    <w:rPr>
      <w:rFonts w:ascii="Calibri" w:eastAsia="Calibri" w:hAnsi="Calibri"/>
      <w:sz w:val="20"/>
      <w:szCs w:val="20"/>
    </w:rPr>
  </w:style>
  <w:style w:type="character" w:customStyle="1" w:styleId="FootnoteTextChar">
    <w:name w:val="Footnote Text Char"/>
    <w:aliases w:val="F1 Char"/>
    <w:link w:val="FootnoteText"/>
    <w:uiPriority w:val="99"/>
    <w:semiHidden/>
    <w:rsid w:val="005510AD"/>
    <w:rPr>
      <w:rFonts w:ascii="Calibri" w:eastAsia="Calibri" w:hAnsi="Calibri"/>
    </w:rPr>
  </w:style>
  <w:style w:type="character" w:styleId="FootnoteReference">
    <w:name w:val="footnote reference"/>
    <w:uiPriority w:val="99"/>
    <w:rsid w:val="005510AD"/>
    <w:rPr>
      <w:vertAlign w:val="superscript"/>
    </w:rPr>
  </w:style>
  <w:style w:type="table" w:customStyle="1" w:styleId="TableGrid1">
    <w:name w:val="Table Grid1"/>
    <w:basedOn w:val="TableNormal"/>
    <w:next w:val="TableGrid"/>
    <w:uiPriority w:val="59"/>
    <w:rsid w:val="005510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307CC"/>
    <w:rPr>
      <w:sz w:val="20"/>
      <w:szCs w:val="20"/>
    </w:rPr>
  </w:style>
  <w:style w:type="character" w:customStyle="1" w:styleId="CommentTextChar">
    <w:name w:val="Comment Text Char"/>
    <w:basedOn w:val="DefaultParagraphFont"/>
    <w:link w:val="CommentText"/>
    <w:uiPriority w:val="99"/>
    <w:semiHidden/>
    <w:rsid w:val="000307CC"/>
  </w:style>
  <w:style w:type="paragraph" w:styleId="CommentSubject">
    <w:name w:val="annotation subject"/>
    <w:basedOn w:val="CommentText"/>
    <w:next w:val="CommentText"/>
    <w:link w:val="CommentSubjectChar"/>
    <w:uiPriority w:val="99"/>
    <w:semiHidden/>
    <w:unhideWhenUsed/>
    <w:rsid w:val="000307CC"/>
    <w:rPr>
      <w:b/>
      <w:bCs/>
    </w:rPr>
  </w:style>
  <w:style w:type="character" w:customStyle="1" w:styleId="CommentSubjectChar">
    <w:name w:val="Comment Subject Char"/>
    <w:basedOn w:val="CommentTextChar"/>
    <w:link w:val="CommentSubject"/>
    <w:uiPriority w:val="99"/>
    <w:semiHidden/>
    <w:rsid w:val="000307CC"/>
    <w:rPr>
      <w:b/>
      <w:bCs/>
    </w:rPr>
  </w:style>
  <w:style w:type="character" w:customStyle="1" w:styleId="Heading1Char">
    <w:name w:val="Heading 1 Char"/>
    <w:basedOn w:val="DefaultParagraphFont"/>
    <w:link w:val="Heading1"/>
    <w:uiPriority w:val="9"/>
    <w:rsid w:val="0052166B"/>
    <w:rPr>
      <w:b/>
      <w:bCs/>
      <w:sz w:val="24"/>
      <w:szCs w:val="24"/>
    </w:rPr>
  </w:style>
  <w:style w:type="paragraph" w:styleId="Bibliography">
    <w:name w:val="Bibliography"/>
    <w:basedOn w:val="Normal"/>
    <w:next w:val="Normal"/>
    <w:uiPriority w:val="37"/>
    <w:unhideWhenUsed/>
    <w:rsid w:val="0052166B"/>
  </w:style>
  <w:style w:type="character" w:customStyle="1" w:styleId="UnresolvedMention1">
    <w:name w:val="Unresolved Mention1"/>
    <w:basedOn w:val="DefaultParagraphFont"/>
    <w:uiPriority w:val="99"/>
    <w:semiHidden/>
    <w:unhideWhenUsed/>
    <w:rsid w:val="00ED1612"/>
    <w:rPr>
      <w:color w:val="605E5C"/>
      <w:shd w:val="clear" w:color="auto" w:fill="E1DFDD"/>
    </w:rPr>
  </w:style>
  <w:style w:type="character" w:styleId="FollowedHyperlink">
    <w:name w:val="FollowedHyperlink"/>
    <w:basedOn w:val="DefaultParagraphFont"/>
    <w:uiPriority w:val="99"/>
    <w:semiHidden/>
    <w:unhideWhenUsed/>
    <w:rsid w:val="001F3FA3"/>
    <w:rPr>
      <w:color w:val="954F72" w:themeColor="followedHyperlink"/>
      <w:u w:val="single"/>
    </w:rPr>
  </w:style>
  <w:style w:type="character" w:customStyle="1" w:styleId="UnresolvedMention2">
    <w:name w:val="Unresolved Mention2"/>
    <w:basedOn w:val="DefaultParagraphFont"/>
    <w:uiPriority w:val="99"/>
    <w:semiHidden/>
    <w:unhideWhenUsed/>
    <w:rsid w:val="001F3FA3"/>
    <w:rPr>
      <w:color w:val="605E5C"/>
      <w:shd w:val="clear" w:color="auto" w:fill="E1DFDD"/>
    </w:rPr>
  </w:style>
  <w:style w:type="character" w:styleId="UnresolvedMention">
    <w:name w:val="Unresolved Mention"/>
    <w:basedOn w:val="DefaultParagraphFont"/>
    <w:uiPriority w:val="99"/>
    <w:semiHidden/>
    <w:unhideWhenUsed/>
    <w:rsid w:val="008520BD"/>
    <w:rPr>
      <w:color w:val="605E5C"/>
      <w:shd w:val="clear" w:color="auto" w:fill="E1DFDD"/>
    </w:rPr>
  </w:style>
  <w:style w:type="paragraph" w:styleId="Revision">
    <w:name w:val="Revision"/>
    <w:hidden/>
    <w:uiPriority w:val="99"/>
    <w:semiHidden/>
    <w:rsid w:val="000B0D92"/>
    <w:rPr>
      <w:sz w:val="24"/>
      <w:szCs w:val="24"/>
    </w:r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60184D"/>
    <w:rPr>
      <w:sz w:val="24"/>
      <w:szCs w:val="24"/>
    </w:rPr>
  </w:style>
  <w:style w:type="paragraph" w:customStyle="1" w:styleId="indent-1">
    <w:name w:val="indent-1"/>
    <w:basedOn w:val="Normal"/>
    <w:rsid w:val="0026135F"/>
    <w:pPr>
      <w:spacing w:before="100" w:beforeAutospacing="1" w:after="100" w:afterAutospacing="1"/>
    </w:pPr>
  </w:style>
  <w:style w:type="character" w:customStyle="1" w:styleId="paragraph-hierarchy">
    <w:name w:val="paragraph-hierarchy"/>
    <w:basedOn w:val="DefaultParagraphFont"/>
    <w:rsid w:val="0026135F"/>
  </w:style>
  <w:style w:type="character" w:customStyle="1" w:styleId="paren">
    <w:name w:val="paren"/>
    <w:basedOn w:val="DefaultParagraphFont"/>
    <w:rsid w:val="0026135F"/>
  </w:style>
  <w:style w:type="character" w:styleId="Emphasis">
    <w:name w:val="Emphasis"/>
    <w:basedOn w:val="DefaultParagraphFont"/>
    <w:uiPriority w:val="20"/>
    <w:qFormat/>
    <w:rsid w:val="0026135F"/>
    <w:rPr>
      <w:i/>
      <w:iCs/>
    </w:rPr>
  </w:style>
  <w:style w:type="paragraph" w:customStyle="1" w:styleId="indent-2">
    <w:name w:val="indent-2"/>
    <w:basedOn w:val="Normal"/>
    <w:rsid w:val="002613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cal-devices/safety-communications/update-reports-squamous-cell-carcinoma-scc-capsule-around-breast-implants-fda-safety-communication"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advisory-committees/general-and-plastic-surgery-devices-panel/past-meeting-materials-general-and-plastic-surgery-devices-panel" TargetMode="External" /><Relationship Id="rId9" Type="http://schemas.openxmlformats.org/officeDocument/2006/relationships/hyperlink" Target="https://public4.pagefreezer.com/browse/FDA/16-06-2022T13:39/https:/www.fda.gov/medical-devices/safety-communications/fda-requests-allergan-voluntarily-recall-natrelle-biocell-textured-breast-implants-and-tissu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D7BED17C63C478275DE1DFA23B6FB" ma:contentTypeVersion="2" ma:contentTypeDescription="Create a new document." ma:contentTypeScope="" ma:versionID="31c56b952ea6a1b7f6fd90afd0b7155d">
  <xsd:schema xmlns:xsd="http://www.w3.org/2001/XMLSchema" xmlns:xs="http://www.w3.org/2001/XMLSchema" xmlns:p="http://schemas.microsoft.com/office/2006/metadata/properties" xmlns:ns2="32b85343-db1d-4d76-a24d-b2751e51925a" targetNamespace="http://schemas.microsoft.com/office/2006/metadata/properties" ma:root="true" ma:fieldsID="961b278abf3de5d03abf68d4710ab456" ns2:_="">
    <xsd:import namespace="32b85343-db1d-4d76-a24d-b2751e5192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85343-db1d-4d76-a24d-b2751e519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022B8D24-81D3-4C8C-8B7B-92CDE2DA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85343-db1d-4d76-a24d-b2751e519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79AF5-9DEC-49AC-93DB-72EF9C35D9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8A215F-5CA1-4D72-8AEF-3961E95BB975}">
  <ds:schemaRefs>
    <ds:schemaRef ds:uri="http://schemas.microsoft.com/sharepoint/v3/contenttype/forms"/>
  </ds:schemaRefs>
</ds:datastoreItem>
</file>

<file path=customXml/itemProps4.xml><?xml version="1.0" encoding="utf-8"?>
<ds:datastoreItem xmlns:ds="http://schemas.openxmlformats.org/officeDocument/2006/customXml" ds:itemID="{2A48AEC2-F9BC-438F-93B1-34ADD8C5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2239</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CDRH</cp:lastModifiedBy>
  <cp:revision>4</cp:revision>
  <cp:lastPrinted>2010-11-01T17:07:00Z</cp:lastPrinted>
  <dcterms:created xsi:type="dcterms:W3CDTF">2023-07-13T19:16:00Z</dcterms:created>
  <dcterms:modified xsi:type="dcterms:W3CDTF">2023-07-13T19:17:00Z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0x01010086DD7BED17C63C478275DE1DFA23B6FB</vt:lpwstr>
  </property>
  <property fmtid="{D5CDD505-2E9C-101B-9397-08002B2CF9AE}" pid="3" name="_NewReviewCycle">
    <vt:lpwstr/>
  </property>
</Properties>
</file>