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7C8A" w:rsidP="00B81AB3" w14:paraId="26541A9B" w14:textId="77777777">
      <w:pPr>
        <w:jc w:val="center"/>
        <w:rPr>
          <w:rFonts w:eastAsia="Calibri"/>
        </w:rPr>
      </w:pPr>
      <w:r w:rsidRPr="00357C8A">
        <w:rPr>
          <w:rFonts w:eastAsia="Calibri"/>
        </w:rPr>
        <w:t>United States Food and Drug Administration</w:t>
      </w:r>
    </w:p>
    <w:p w:rsidR="00357C8A" w:rsidP="00357C8A" w14:paraId="038D7272" w14:textId="77777777">
      <w:pPr>
        <w:jc w:val="center"/>
        <w:rPr>
          <w:rFonts w:eastAsia="Calibri"/>
        </w:rPr>
      </w:pPr>
    </w:p>
    <w:p w:rsidR="004C301D" w:rsidRPr="00795AA5" w:rsidP="004C301D" w14:paraId="646C337D" w14:textId="2F7A3F47">
      <w:pPr>
        <w:jc w:val="center"/>
        <w:rPr>
          <w:rFonts w:eastAsia="Calibri"/>
        </w:rPr>
      </w:pPr>
      <w:r w:rsidRPr="00BD1EEB">
        <w:rPr>
          <w:rFonts w:eastAsia="Calibri"/>
        </w:rPr>
        <w:t>Third</w:t>
      </w:r>
      <w:r w:rsidR="008B02AE">
        <w:rPr>
          <w:rFonts w:eastAsia="Calibri"/>
        </w:rPr>
        <w:t>-</w:t>
      </w:r>
      <w:r w:rsidRPr="00BD1EEB">
        <w:rPr>
          <w:rFonts w:eastAsia="Calibri"/>
        </w:rPr>
        <w:t>Party Disclosure and Recordkeeping Requirements for Reportable Food</w:t>
      </w:r>
    </w:p>
    <w:p w:rsidR="00357C8A" w:rsidP="00357C8A" w14:paraId="26002578" w14:textId="77777777">
      <w:pPr>
        <w:jc w:val="center"/>
        <w:rPr>
          <w:rFonts w:eastAsia="Calibri"/>
        </w:rPr>
      </w:pPr>
    </w:p>
    <w:p w:rsidR="00357C8A" w:rsidP="00357C8A" w14:paraId="6EAA2503" w14:textId="77777777">
      <w:pPr>
        <w:jc w:val="center"/>
        <w:rPr>
          <w:rFonts w:eastAsia="Calibri"/>
        </w:rPr>
      </w:pPr>
      <w:r w:rsidRPr="00357C8A">
        <w:rPr>
          <w:rFonts w:eastAsia="Calibri"/>
        </w:rPr>
        <w:t>OMB Control No. 0910-</w:t>
      </w:r>
      <w:r w:rsidR="004C301D">
        <w:rPr>
          <w:rFonts w:eastAsia="Calibri"/>
        </w:rPr>
        <w:t>0643</w:t>
      </w:r>
    </w:p>
    <w:p w:rsidR="00357C8A" w:rsidP="00357C8A" w14:paraId="105ADBAE" w14:textId="77777777">
      <w:pPr>
        <w:jc w:val="center"/>
        <w:rPr>
          <w:rFonts w:eastAsia="Calibri"/>
        </w:rPr>
      </w:pPr>
    </w:p>
    <w:p w:rsidR="00357C8A" w:rsidP="00357C8A" w14:paraId="08AA51CB" w14:textId="77777777">
      <w:pPr>
        <w:jc w:val="center"/>
        <w:rPr>
          <w:rFonts w:eastAsia="Calibri"/>
        </w:rPr>
      </w:pPr>
      <w:r w:rsidRPr="00357C8A">
        <w:rPr>
          <w:rFonts w:eastAsia="Calibri"/>
        </w:rPr>
        <w:t>SUPPORTING STATEMENT</w:t>
      </w:r>
    </w:p>
    <w:p w:rsidR="009B4DF2" w:rsidP="00357C8A" w14:paraId="09109957" w14:textId="77777777">
      <w:pPr>
        <w:jc w:val="center"/>
        <w:rPr>
          <w:rFonts w:eastAsia="Calibri"/>
        </w:rPr>
      </w:pPr>
    </w:p>
    <w:p w:rsidR="00C74B6E" w:rsidP="000D79CC" w14:paraId="6263A2FC" w14:textId="073788B5">
      <w:pPr>
        <w:rPr>
          <w:rFonts w:eastAsia="Calibri"/>
          <w:b/>
        </w:rPr>
      </w:pPr>
      <w:r>
        <w:rPr>
          <w:rFonts w:eastAsia="Calibri"/>
          <w:b/>
        </w:rPr>
        <w:t>EXTENSION</w:t>
      </w:r>
    </w:p>
    <w:p w:rsidR="00C74B6E" w:rsidP="000D79CC" w14:paraId="2CDD3FEC" w14:textId="77777777">
      <w:pPr>
        <w:rPr>
          <w:rFonts w:eastAsia="Calibri"/>
          <w:b/>
        </w:rPr>
      </w:pPr>
    </w:p>
    <w:p w:rsidR="00357C8A" w:rsidP="000D79CC" w14:paraId="5CD741BF" w14:textId="237078F6">
      <w:pPr>
        <w:rPr>
          <w:rFonts w:eastAsia="Calibri"/>
        </w:rPr>
      </w:pPr>
      <w:r w:rsidRPr="00357C8A">
        <w:rPr>
          <w:rFonts w:eastAsia="Calibri"/>
          <w:b/>
        </w:rPr>
        <w:t>Part A:  Justification</w:t>
      </w:r>
      <w:r w:rsidRPr="00357C8A">
        <w:rPr>
          <w:rFonts w:eastAsia="Calibri"/>
        </w:rPr>
        <w:t>:</w:t>
      </w:r>
    </w:p>
    <w:p w:rsidR="000D79CC" w:rsidRPr="00357C8A" w:rsidP="000D79CC" w14:paraId="49021D7E" w14:textId="77777777">
      <w:pPr>
        <w:rPr>
          <w:rFonts w:eastAsia="Calibri"/>
        </w:rPr>
      </w:pPr>
    </w:p>
    <w:p w:rsidR="00357C8A" w:rsidRPr="00357C8A" w:rsidP="006705EA" w14:paraId="71325432" w14:textId="77777777">
      <w:pPr>
        <w:numPr>
          <w:ilvl w:val="0"/>
          <w:numId w:val="6"/>
        </w:numPr>
        <w:spacing w:after="200" w:line="276" w:lineRule="auto"/>
        <w:rPr>
          <w:rFonts w:eastAsia="Calibri"/>
        </w:rPr>
      </w:pPr>
      <w:r w:rsidRPr="00357C8A">
        <w:rPr>
          <w:rFonts w:eastAsia="Calibri"/>
          <w:u w:val="single"/>
        </w:rPr>
        <w:t>Circumstances Making the Collection of Information Necessary</w:t>
      </w:r>
    </w:p>
    <w:p w:rsidR="004C301D" w:rsidP="00CF6FE6" w14:paraId="32D4F1CF" w14:textId="1C659D70">
      <w:pPr>
        <w:rPr>
          <w:rFonts w:eastAsia="Calibri"/>
        </w:rPr>
      </w:pPr>
      <w:r w:rsidRPr="004C301D">
        <w:rPr>
          <w:rFonts w:eastAsia="Calibri"/>
        </w:rPr>
        <w:t xml:space="preserve">This information collection supports Food and Drug Administration (FDA, us or we) implementation of section 417 of the Federal Food, Drug, and Cosmetic Act (FD&amp;C Act).  </w:t>
      </w:r>
      <w:r w:rsidR="00E84EA4">
        <w:rPr>
          <w:rFonts w:eastAsia="Calibri"/>
        </w:rPr>
        <w:t xml:space="preserve">The </w:t>
      </w:r>
      <w:r w:rsidRPr="00565C4B" w:rsidR="00565C4B">
        <w:rPr>
          <w:rFonts w:eastAsia="Calibri"/>
        </w:rPr>
        <w:t>FD&amp;C Act</w:t>
      </w:r>
      <w:r w:rsidR="00565C4B">
        <w:rPr>
          <w:rFonts w:eastAsia="Calibri"/>
        </w:rPr>
        <w:t>,</w:t>
      </w:r>
      <w:r w:rsidRPr="00565C4B" w:rsidR="00565C4B">
        <w:rPr>
          <w:rFonts w:eastAsia="Calibri"/>
        </w:rPr>
        <w:t xml:space="preserve"> </w:t>
      </w:r>
      <w:r w:rsidR="00565C4B">
        <w:rPr>
          <w:rFonts w:eastAsia="Calibri"/>
        </w:rPr>
        <w:t>a</w:t>
      </w:r>
      <w:r w:rsidRPr="004C301D">
        <w:rPr>
          <w:rFonts w:eastAsia="Calibri"/>
        </w:rPr>
        <w:t>s amended by the Food and Drug Administration Amendments Act of 2007 (FDAAA) (Pub. L. 110-85), require</w:t>
      </w:r>
      <w:r w:rsidR="00E84EA4">
        <w:rPr>
          <w:rFonts w:eastAsia="Calibri"/>
        </w:rPr>
        <w:t>s</w:t>
      </w:r>
      <w:r w:rsidRPr="004C301D">
        <w:rPr>
          <w:rFonts w:eastAsia="Calibri"/>
        </w:rPr>
        <w:t xml:space="preserve"> the establishment of a Reportable Food Registry (</w:t>
      </w:r>
      <w:r w:rsidRPr="00C9567E" w:rsidR="00C9567E">
        <w:rPr>
          <w:rFonts w:eastAsia="Calibri"/>
        </w:rPr>
        <w:t xml:space="preserve">the </w:t>
      </w:r>
      <w:bookmarkStart w:id="0" w:name="_Hlk145423081"/>
      <w:r w:rsidRPr="00C9567E" w:rsidR="00C9567E">
        <w:rPr>
          <w:rFonts w:eastAsia="Calibri"/>
        </w:rPr>
        <w:t>Registry</w:t>
      </w:r>
      <w:bookmarkEnd w:id="0"/>
      <w:r w:rsidRPr="004C301D">
        <w:rPr>
          <w:rFonts w:eastAsia="Calibri"/>
        </w:rPr>
        <w:t>) by which instances of reportable food must be submitted to FDA by responsible parties and may be submitted by public health officials.  Section 417 of the FD&amp;C Act (21 U.S.C. 350f) defines “</w:t>
      </w:r>
      <w:r w:rsidRPr="004C301D">
        <w:rPr>
          <w:rFonts w:eastAsia="Calibri"/>
          <w:i/>
        </w:rPr>
        <w:t>reportable food</w:t>
      </w:r>
      <w:r w:rsidRPr="00B66CA3">
        <w:rPr>
          <w:rFonts w:eastAsia="Calibri"/>
        </w:rPr>
        <w:t>”</w:t>
      </w:r>
      <w:r w:rsidRPr="004C301D">
        <w:rPr>
          <w:rFonts w:eastAsia="Calibri"/>
        </w:rPr>
        <w:t xml:space="preserve"> as an “</w:t>
      </w:r>
      <w:r w:rsidRPr="004C301D">
        <w:rPr>
          <w:rFonts w:eastAsia="Calibri"/>
          <w:i/>
        </w:rPr>
        <w:t>article of food (other than infant formula) for which there is a reasonable probability that the use of, or exposure to, such article of food will cause serious adverse health consequences or death to humans or animals</w:t>
      </w:r>
      <w:r w:rsidRPr="004C301D">
        <w:rPr>
          <w:rFonts w:eastAsia="Calibri"/>
        </w:rPr>
        <w:t>.”  (S</w:t>
      </w:r>
      <w:r w:rsidR="00D22BB4">
        <w:rPr>
          <w:rFonts w:eastAsia="Calibri"/>
        </w:rPr>
        <w:t xml:space="preserve">ee section </w:t>
      </w:r>
      <w:r w:rsidRPr="004C301D">
        <w:rPr>
          <w:rFonts w:eastAsia="Calibri"/>
        </w:rPr>
        <w:t xml:space="preserve">417(a)(2) of the FD&amp;C Act).  </w:t>
      </w:r>
      <w:r w:rsidRPr="00CF6FE6" w:rsidR="00CF6FE6">
        <w:rPr>
          <w:rFonts w:eastAsia="Calibri"/>
        </w:rPr>
        <w:t>We believe that the most</w:t>
      </w:r>
      <w:r w:rsidR="00CF6FE6">
        <w:rPr>
          <w:rFonts w:eastAsia="Calibri"/>
        </w:rPr>
        <w:t xml:space="preserve"> </w:t>
      </w:r>
      <w:r w:rsidRPr="00CF6FE6" w:rsidR="00CF6FE6">
        <w:rPr>
          <w:rFonts w:eastAsia="Calibri"/>
        </w:rPr>
        <w:t>efficient and cost-effective means to</w:t>
      </w:r>
      <w:r w:rsidR="00CF6FE6">
        <w:rPr>
          <w:rFonts w:eastAsia="Calibri"/>
        </w:rPr>
        <w:t xml:space="preserve"> </w:t>
      </w:r>
      <w:r w:rsidRPr="00CF6FE6" w:rsidR="00CF6FE6">
        <w:rPr>
          <w:rFonts w:eastAsia="Calibri"/>
        </w:rPr>
        <w:t>implement the Registry is by utilizing</w:t>
      </w:r>
      <w:r w:rsidR="00CF6FE6">
        <w:rPr>
          <w:rFonts w:eastAsia="Calibri"/>
        </w:rPr>
        <w:t xml:space="preserve"> </w:t>
      </w:r>
      <w:r w:rsidRPr="00CF6FE6" w:rsidR="00CF6FE6">
        <w:rPr>
          <w:rFonts w:eastAsia="Calibri"/>
        </w:rPr>
        <w:t>our electronic Safety Reporting Portal.</w:t>
      </w:r>
      <w:r w:rsidR="00CF6FE6">
        <w:rPr>
          <w:rFonts w:eastAsia="Calibri"/>
        </w:rPr>
        <w:t xml:space="preserve">  </w:t>
      </w:r>
      <w:r w:rsidRPr="00CF6FE6" w:rsidR="00CF6FE6">
        <w:rPr>
          <w:rFonts w:eastAsia="Calibri"/>
        </w:rPr>
        <w:t>The information collection provisions</w:t>
      </w:r>
      <w:r w:rsidR="00CF6FE6">
        <w:rPr>
          <w:rFonts w:eastAsia="Calibri"/>
        </w:rPr>
        <w:t xml:space="preserve"> </w:t>
      </w:r>
      <w:r w:rsidRPr="00CF6FE6" w:rsidR="00CF6FE6">
        <w:rPr>
          <w:rFonts w:eastAsia="Calibri"/>
        </w:rPr>
        <w:t>associated with the submission of</w:t>
      </w:r>
      <w:r w:rsidR="00CF6FE6">
        <w:rPr>
          <w:rFonts w:eastAsia="Calibri"/>
        </w:rPr>
        <w:t xml:space="preserve"> </w:t>
      </w:r>
      <w:r w:rsidRPr="00CF6FE6" w:rsidR="00CF6FE6">
        <w:rPr>
          <w:rFonts w:eastAsia="Calibri"/>
        </w:rPr>
        <w:t>reportable food reports has been</w:t>
      </w:r>
      <w:r w:rsidR="00CF6FE6">
        <w:rPr>
          <w:rFonts w:eastAsia="Calibri"/>
        </w:rPr>
        <w:t xml:space="preserve"> </w:t>
      </w:r>
      <w:r w:rsidRPr="00CF6FE6" w:rsidR="00CF6FE6">
        <w:rPr>
          <w:rFonts w:eastAsia="Calibri"/>
        </w:rPr>
        <w:t>approved under OMB control number</w:t>
      </w:r>
      <w:r w:rsidR="00CF6FE6">
        <w:rPr>
          <w:rFonts w:eastAsia="Calibri"/>
        </w:rPr>
        <w:t xml:space="preserve"> </w:t>
      </w:r>
      <w:r w:rsidRPr="00CF6FE6" w:rsidR="00CF6FE6">
        <w:rPr>
          <w:rFonts w:eastAsia="Calibri"/>
        </w:rPr>
        <w:t>0910</w:t>
      </w:r>
      <w:r w:rsidR="00772794">
        <w:rPr>
          <w:rFonts w:eastAsia="Calibri"/>
        </w:rPr>
        <w:t>-</w:t>
      </w:r>
      <w:r w:rsidRPr="00CF6FE6" w:rsidR="00CF6FE6">
        <w:rPr>
          <w:rFonts w:eastAsia="Calibri"/>
        </w:rPr>
        <w:t>0291.</w:t>
      </w:r>
    </w:p>
    <w:p w:rsidR="00AB6177" w:rsidP="004C301D" w14:paraId="1D554E69" w14:textId="77777777">
      <w:pPr>
        <w:rPr>
          <w:rFonts w:eastAsia="Calibri"/>
        </w:rPr>
      </w:pPr>
    </w:p>
    <w:p w:rsidR="00AB6177" w:rsidP="00AB6177" w14:paraId="6CADC34C" w14:textId="77777777">
      <w:pPr>
        <w:rPr>
          <w:rFonts w:eastAsia="Calibri"/>
        </w:rPr>
      </w:pPr>
      <w:r w:rsidRPr="00AB6177">
        <w:rPr>
          <w:rFonts w:eastAsia="Calibri"/>
        </w:rPr>
        <w:t>In conjunction with the reportable foods requirements, section 417 of the FD&amp;C Act also establishes third-party disclosure and recordkeeping burdens.  Specifically, we may require the responsible party to notify the immediate previous source(s) and/or immediate subsequent recipient(s) of a reportable food (sections 417(d)(6)(B)(i) to (ii) of the FD&amp;C Act).  Similarly, we may also require the responsible party that is notified (i.e., the immediate previous source and/or immediate subsequent recipient) to notify their own immediate previous source(s) and/or immediate subsequent recipient(s) of a reportable food (sections 417(d)(7)(C)(i) to (ii) of the FD&amp;C Act).</w:t>
      </w:r>
    </w:p>
    <w:p w:rsidR="00AB6177" w:rsidRPr="00AB6177" w:rsidP="00AB6177" w14:paraId="612A1A71" w14:textId="77777777">
      <w:pPr>
        <w:rPr>
          <w:rFonts w:eastAsia="Calibri"/>
        </w:rPr>
      </w:pPr>
    </w:p>
    <w:p w:rsidR="00AB6177" w:rsidP="00AB6177" w14:paraId="2745472E" w14:textId="77777777">
      <w:pPr>
        <w:rPr>
          <w:rFonts w:eastAsia="Calibri"/>
        </w:rPr>
      </w:pPr>
      <w:r w:rsidRPr="00AB6177">
        <w:rPr>
          <w:rFonts w:eastAsia="Calibri"/>
        </w:rPr>
        <w:t xml:space="preserve">Notification to the immediate previous source(s) and immediate subsequent recipient(s) of the article of food may be accomplished by electronic communication methods such as email, fax, or text messaging or by telegrams, mailgrams, or first-class letters.  Notification may also be accomplished by telephone call or other personal contacts, but we recommend that such notifications also be confirmed by one of the previous methods and/or documented in an appropriate manner.  We may require that the notification include any or all of the following data elements:  (1) the date on which the article of food was determined to be a reportable food; (2) a description of the article of food including the quantity or amount; (3) the extent and nature of the adulteration; (4) the results of any investigation of the cause of the adulteration if it may have originated with the responsible party, if known; (5) the disposition of the article of food, when known; (6) product information typically found on packaging including product codes, use-by dates, and the names of manufacturers, packers, or distributors sufficient to identify the article of food; (7) contact information for the responsible party; (8) contact information for parties directly </w:t>
      </w:r>
      <w:r w:rsidRPr="00AB6177">
        <w:rPr>
          <w:rFonts w:eastAsia="Calibri"/>
        </w:rPr>
        <w:t>linked in the supply chain and notified under section 417(d)(6)(B) or 417(d)(7)(C) of the FD&amp;C Act, as applicable; (9) the information required by FDA to be included in the notification provided by the responsible party involved under section 417(d)(6)(B) or 417(d)(7)(C) of the FD&amp;C Act or required to report under section 417(d)(7)(A) of the FD&amp;C Act; and (10) the unique number described in section 417(d)(4) of the FD&amp;C Act (section 417(d)(6)(B)(iii)(I), (d)(7)(C)(iii)(I), and (e) of the FD&amp;C Act).  We may also require that the notification provides information about the actions that the recipient of the notification will perform and/or any other information we may require (section 417(d)(6)(B)(iii)(II) and (III) and (d)(7)(C)(iii)(II) and (III) of the FD&amp;C Act).</w:t>
      </w:r>
    </w:p>
    <w:p w:rsidR="00AB6177" w:rsidRPr="00AB6177" w:rsidP="00AB6177" w14:paraId="27C8794B" w14:textId="77777777">
      <w:pPr>
        <w:rPr>
          <w:rFonts w:eastAsia="Calibri"/>
        </w:rPr>
      </w:pPr>
    </w:p>
    <w:p w:rsidR="00AB6177" w:rsidP="00AB6177" w14:paraId="50E1F3F5" w14:textId="77777777">
      <w:pPr>
        <w:rPr>
          <w:rFonts w:eastAsia="Calibri"/>
        </w:rPr>
      </w:pPr>
      <w:r w:rsidRPr="00AB6177">
        <w:rPr>
          <w:rFonts w:eastAsia="Calibri"/>
        </w:rPr>
        <w:t>Section 417(g) of the FD&amp;C Act requires that responsible persons maintain records related to reportable foods for a period of 2 years.</w:t>
      </w:r>
    </w:p>
    <w:p w:rsidR="004C301D" w:rsidP="004C301D" w14:paraId="0758E350" w14:textId="591CEFA1">
      <w:pPr>
        <w:rPr>
          <w:rFonts w:eastAsia="Calibri"/>
        </w:rPr>
      </w:pPr>
    </w:p>
    <w:p w:rsidR="00495910" w:rsidP="004C301D" w14:paraId="4621C636" w14:textId="7601560C">
      <w:pPr>
        <w:rPr>
          <w:rFonts w:eastAsia="Calibri"/>
        </w:rPr>
      </w:pPr>
      <w:r w:rsidRPr="004C301D">
        <w:rPr>
          <w:rFonts w:eastAsia="Calibri"/>
        </w:rPr>
        <w:t>As required under section 1005(f) of FDAAA and to assist industry, we issued a guidance document entitled, “</w:t>
      </w:r>
      <w:r w:rsidRPr="004C301D">
        <w:rPr>
          <w:rFonts w:eastAsia="Calibri"/>
          <w:i/>
        </w:rPr>
        <w:t>Questions and Answers Regarding the Reportable Food Registry as Established by the Food and Drug Administration Amendments Act of 2007</w:t>
      </w:r>
      <w:r w:rsidRPr="004C301D">
        <w:rPr>
          <w:rFonts w:eastAsia="Calibri"/>
        </w:rPr>
        <w:t xml:space="preserve">,” </w:t>
      </w:r>
      <w:r w:rsidR="006A3CC5">
        <w:rPr>
          <w:rFonts w:eastAsia="Calibri"/>
        </w:rPr>
        <w:t>which is</w:t>
      </w:r>
      <w:r w:rsidRPr="004C301D">
        <w:rPr>
          <w:rFonts w:eastAsia="Calibri"/>
        </w:rPr>
        <w:t xml:space="preserve"> available at </w:t>
      </w:r>
      <w:hyperlink r:id="rId4" w:anchor="reportable" w:history="1">
        <w:r w:rsidRPr="004C301D">
          <w:rPr>
            <w:rStyle w:val="Hyperlink"/>
            <w:rFonts w:eastAsia="Calibri"/>
          </w:rPr>
          <w:t>www.fda.gov/regulatory-information/search-fda-guidance-documents/guidance-industry-questions-and-answers-regarding-reportable-food-registry-established-food-and-drug#reportable</w:t>
        </w:r>
      </w:hyperlink>
      <w:r w:rsidRPr="004C301D">
        <w:rPr>
          <w:rFonts w:eastAsia="Calibri"/>
        </w:rPr>
        <w:t xml:space="preserve">.  The guidance contains questions and answers relating to the requirements under section 417 of the FD&amp;C Act, including: (1) how, when and where to submit reports to FDA; (2) who is required to submit reports to FDA; (3) what is required to be submitted to FDA; and (4) what may be required when providing notifications to other persons in the supply chain of an article of food.  </w:t>
      </w:r>
      <w:r w:rsidRPr="00112E00" w:rsidR="00112E00">
        <w:rPr>
          <w:rFonts w:eastAsia="Calibri"/>
        </w:rPr>
        <w:t>The guidance also refers to previously approved collections of information found in FDA regulations.  The collections of information in 21 CFR 7.46 of FDA’s regulations have been approved under OMB control number 0910-0249</w:t>
      </w:r>
      <w:r w:rsidRPr="004C301D">
        <w:rPr>
          <w:rFonts w:eastAsia="Calibri"/>
        </w:rPr>
        <w:t>.</w:t>
      </w:r>
    </w:p>
    <w:p w:rsidR="00495910" w:rsidRPr="004C301D" w:rsidP="004C301D" w14:paraId="4C41C59A" w14:textId="77777777">
      <w:pPr>
        <w:rPr>
          <w:rFonts w:eastAsia="Calibri"/>
        </w:rPr>
      </w:pPr>
    </w:p>
    <w:p w:rsidR="004C301D" w:rsidP="00423272" w14:paraId="7815175A" w14:textId="306CEA86">
      <w:pPr>
        <w:rPr>
          <w:rFonts w:eastAsia="Calibri"/>
        </w:rPr>
      </w:pPr>
      <w:r w:rsidRPr="004C301D">
        <w:rPr>
          <w:rFonts w:eastAsia="Calibri"/>
        </w:rPr>
        <w:t xml:space="preserve">We therefore request </w:t>
      </w:r>
      <w:r w:rsidR="00DD6E8F">
        <w:rPr>
          <w:rFonts w:eastAsia="Calibri"/>
        </w:rPr>
        <w:t xml:space="preserve">extension of the </w:t>
      </w:r>
      <w:r w:rsidRPr="004C301D">
        <w:rPr>
          <w:rFonts w:eastAsia="Calibri"/>
        </w:rPr>
        <w:t xml:space="preserve">OMB approval for the information collection provisions </w:t>
      </w:r>
      <w:r w:rsidR="00D3026C">
        <w:rPr>
          <w:rFonts w:eastAsia="Calibri"/>
        </w:rPr>
        <w:t xml:space="preserve">for </w:t>
      </w:r>
      <w:r w:rsidR="00E4664C">
        <w:rPr>
          <w:rFonts w:eastAsia="Calibri"/>
        </w:rPr>
        <w:t xml:space="preserve">third-party disclosure and recordkeeping </w:t>
      </w:r>
      <w:r w:rsidRPr="004C301D">
        <w:rPr>
          <w:rFonts w:eastAsia="Calibri"/>
        </w:rPr>
        <w:t xml:space="preserve">set forth under section 417 of the FD&amp;C Act regarding the Reportable Food Registry, and with </w:t>
      </w:r>
      <w:r w:rsidR="00FE2186">
        <w:rPr>
          <w:rFonts w:eastAsia="Calibri"/>
        </w:rPr>
        <w:t xml:space="preserve">the </w:t>
      </w:r>
      <w:r w:rsidRPr="004C301D">
        <w:rPr>
          <w:rFonts w:eastAsia="Calibri"/>
        </w:rPr>
        <w:t>information collection associated with guidance.</w:t>
      </w:r>
    </w:p>
    <w:p w:rsidR="00357C8A" w:rsidRPr="0035460D" w:rsidP="00A21532" w14:paraId="5C2DC6BD" w14:textId="77777777">
      <w:pPr>
        <w:rPr>
          <w:rFonts w:eastAsia="Calibri"/>
          <w:color w:val="000000"/>
        </w:rPr>
      </w:pPr>
    </w:p>
    <w:p w:rsidR="00357C8A" w:rsidRPr="00357C8A" w:rsidP="006705EA" w14:paraId="632E21FD" w14:textId="77777777">
      <w:pPr>
        <w:numPr>
          <w:ilvl w:val="0"/>
          <w:numId w:val="6"/>
        </w:numPr>
        <w:spacing w:after="200" w:line="276" w:lineRule="auto"/>
        <w:rPr>
          <w:rFonts w:eastAsia="Calibri"/>
          <w:u w:val="single"/>
        </w:rPr>
      </w:pPr>
      <w:r w:rsidRPr="00357C8A">
        <w:rPr>
          <w:rFonts w:eastAsia="Calibri"/>
          <w:u w:val="single"/>
        </w:rPr>
        <w:t xml:space="preserve">Purpose and Use of the Information Collection </w:t>
      </w:r>
    </w:p>
    <w:p w:rsidR="004C301D" w:rsidRPr="00575827" w:rsidP="004C301D" w14:paraId="7BDAE53C" w14:textId="5AB45263">
      <w:pPr>
        <w:spacing w:after="200"/>
        <w:rPr>
          <w:rFonts w:eastAsia="Calibri"/>
        </w:rPr>
      </w:pPr>
      <w:r w:rsidRPr="00575827">
        <w:rPr>
          <w:rFonts w:eastAsia="Calibri"/>
        </w:rPr>
        <w:t xml:space="preserve">Section 417 of the FD&amp;C Act establishes disclosure and recordkeeping burdens.  Specifically, </w:t>
      </w:r>
      <w:r>
        <w:rPr>
          <w:rFonts w:eastAsia="Calibri"/>
        </w:rPr>
        <w:t xml:space="preserve">FDA </w:t>
      </w:r>
      <w:r w:rsidRPr="00575827">
        <w:rPr>
          <w:rFonts w:eastAsia="Calibri"/>
        </w:rPr>
        <w:t>may require</w:t>
      </w:r>
      <w:r>
        <w:rPr>
          <w:rFonts w:eastAsia="Calibri"/>
        </w:rPr>
        <w:t xml:space="preserve"> a</w:t>
      </w:r>
      <w:r w:rsidRPr="00575827">
        <w:rPr>
          <w:rFonts w:eastAsia="Calibri"/>
        </w:rPr>
        <w:t xml:space="preserve"> responsible party</w:t>
      </w:r>
      <w:r>
        <w:rPr>
          <w:rFonts w:eastAsia="Calibri"/>
        </w:rPr>
        <w:t xml:space="preserve"> (as defined by statute)</w:t>
      </w:r>
      <w:r w:rsidRPr="00575827">
        <w:rPr>
          <w:rFonts w:eastAsia="Calibri"/>
        </w:rPr>
        <w:t xml:space="preserve"> to notify the immediate previous source and/or immediate subsequent recipient of the reportable food (</w:t>
      </w:r>
      <w:r>
        <w:rPr>
          <w:rFonts w:eastAsia="Calibri"/>
        </w:rPr>
        <w:t>s</w:t>
      </w:r>
      <w:r w:rsidRPr="00575827">
        <w:rPr>
          <w:rFonts w:eastAsia="Calibri"/>
        </w:rPr>
        <w:t xml:space="preserve">ections 417(d)(6)(B)(i) - (ii) of the FD&amp;C Act).  Similarly, </w:t>
      </w:r>
      <w:r>
        <w:rPr>
          <w:rFonts w:eastAsia="Calibri"/>
        </w:rPr>
        <w:t>we</w:t>
      </w:r>
      <w:r w:rsidRPr="00575827">
        <w:rPr>
          <w:rFonts w:eastAsia="Calibri"/>
        </w:rPr>
        <w:t xml:space="preserve"> may also require the responsible party that is notified (</w:t>
      </w:r>
      <w:r w:rsidRPr="00383B9A">
        <w:rPr>
          <w:rFonts w:eastAsia="Calibri"/>
          <w:i/>
        </w:rPr>
        <w:t>i.e.</w:t>
      </w:r>
      <w:r w:rsidRPr="00575827">
        <w:rPr>
          <w:rFonts w:eastAsia="Calibri"/>
        </w:rPr>
        <w:t>, the immediate previous source and/or immediate subsequent recipient) to notify its own immediate previous source and/or immediate subsequent recipient of the reportable food (</w:t>
      </w:r>
      <w:r>
        <w:rPr>
          <w:rFonts w:eastAsia="Calibri"/>
        </w:rPr>
        <w:t>s</w:t>
      </w:r>
      <w:r w:rsidRPr="00575827">
        <w:rPr>
          <w:rFonts w:eastAsia="Calibri"/>
        </w:rPr>
        <w:t xml:space="preserve">ections 417(d)(7)(C)(i) - (ii) of the FD&amp;C Act).  Section 417(g) of the FD&amp;C Act requires that responsible persons maintain records related to reportable foods for a period of two years.  </w:t>
      </w:r>
    </w:p>
    <w:p w:rsidR="004C301D" w:rsidRPr="00575827" w:rsidP="004C301D" w14:paraId="17993871" w14:textId="782829AA">
      <w:pPr>
        <w:spacing w:after="200"/>
        <w:rPr>
          <w:rFonts w:eastAsia="Calibri"/>
        </w:rPr>
      </w:pPr>
      <w:r w:rsidRPr="00575827">
        <w:rPr>
          <w:rFonts w:eastAsia="Calibri"/>
        </w:rPr>
        <w:t>The congressionally</w:t>
      </w:r>
      <w:r w:rsidR="009C2356">
        <w:rPr>
          <w:rFonts w:eastAsia="Calibri"/>
        </w:rPr>
        <w:t>-</w:t>
      </w:r>
      <w:r w:rsidRPr="00575827">
        <w:rPr>
          <w:rFonts w:eastAsia="Calibri"/>
        </w:rPr>
        <w:t xml:space="preserve">identified purpose of the </w:t>
      </w:r>
      <w:r w:rsidRPr="009C2356" w:rsidR="009C2356">
        <w:rPr>
          <w:rFonts w:eastAsia="Calibri"/>
        </w:rPr>
        <w:t>Registry</w:t>
      </w:r>
      <w:r w:rsidRPr="00575827">
        <w:rPr>
          <w:rFonts w:eastAsia="Calibri"/>
        </w:rPr>
        <w:t xml:space="preserve"> is to provide </w:t>
      </w:r>
      <w:r w:rsidRPr="00225AC8">
        <w:rPr>
          <w:rFonts w:eastAsia="Calibri"/>
        </w:rPr>
        <w:t xml:space="preserve">a reliable mechanism to track patterns of adulteration in food which would support efforts by </w:t>
      </w:r>
      <w:r w:rsidR="001B304F">
        <w:rPr>
          <w:rFonts w:eastAsia="Calibri"/>
        </w:rPr>
        <w:t>FDA</w:t>
      </w:r>
      <w:r w:rsidRPr="00225AC8">
        <w:rPr>
          <w:rFonts w:eastAsia="Calibri"/>
        </w:rPr>
        <w:t xml:space="preserve"> to target limited inspection resources to protect the public health</w:t>
      </w:r>
      <w:r w:rsidRPr="00575827">
        <w:rPr>
          <w:rFonts w:eastAsia="Calibri"/>
        </w:rPr>
        <w:t xml:space="preserve"> (</w:t>
      </w:r>
      <w:r w:rsidR="001B304F">
        <w:rPr>
          <w:rFonts w:eastAsia="Calibri"/>
        </w:rPr>
        <w:t>see FDAAA</w:t>
      </w:r>
      <w:r w:rsidRPr="00575827">
        <w:rPr>
          <w:rFonts w:eastAsia="Calibri"/>
        </w:rPr>
        <w:t xml:space="preserve">, section 1005(a)(4)).  The reporting and recordkeeping requirements described previously are designed to enable FDA to quickly identify and track an article of food (other than infant formula) for which there is a reasonable probability that the use of or exposure to such article of food will cause serious adverse health consequences or death to humans or animals.  </w:t>
      </w:r>
      <w:r>
        <w:rPr>
          <w:rFonts w:eastAsia="Calibri"/>
        </w:rPr>
        <w:t>We</w:t>
      </w:r>
      <w:r w:rsidRPr="00575827">
        <w:rPr>
          <w:rFonts w:eastAsia="Calibri"/>
        </w:rPr>
        <w:t xml:space="preserve"> use the information collected under these </w:t>
      </w:r>
      <w:r w:rsidR="00354DCB">
        <w:rPr>
          <w:rFonts w:eastAsia="Calibri"/>
        </w:rPr>
        <w:t>authorities</w:t>
      </w:r>
      <w:r w:rsidRPr="00575827" w:rsidR="00354DCB">
        <w:rPr>
          <w:rFonts w:eastAsia="Calibri"/>
        </w:rPr>
        <w:t xml:space="preserve"> </w:t>
      </w:r>
      <w:r w:rsidRPr="00575827">
        <w:rPr>
          <w:rFonts w:eastAsia="Calibri"/>
        </w:rPr>
        <w:t>to help ensure that such products are quickly and efficiently removed from the market.</w:t>
      </w:r>
    </w:p>
    <w:p w:rsidR="00357C8A" w:rsidRPr="0035460D" w:rsidP="0022425B" w14:paraId="6C171473" w14:textId="3FEF5792">
      <w:pPr>
        <w:spacing w:after="200"/>
        <w:rPr>
          <w:rFonts w:eastAsia="Calibri"/>
          <w:color w:val="000000"/>
        </w:rPr>
      </w:pPr>
      <w:r w:rsidRPr="0096518A">
        <w:rPr>
          <w:rFonts w:eastAsia="Calibri"/>
          <w:i/>
        </w:rPr>
        <w:t>Description of Respondents</w:t>
      </w:r>
      <w:r w:rsidRPr="00383B9A">
        <w:rPr>
          <w:rFonts w:eastAsia="Calibri"/>
        </w:rPr>
        <w:t>:</w:t>
      </w:r>
      <w:r w:rsidRPr="00575827">
        <w:rPr>
          <w:rFonts w:eastAsia="Calibri"/>
        </w:rPr>
        <w:t xml:space="preserve">  </w:t>
      </w:r>
      <w:r w:rsidRPr="00907352" w:rsidR="00907352">
        <w:rPr>
          <w:rFonts w:eastAsia="Calibri"/>
        </w:rPr>
        <w:t>Mandatory r</w:t>
      </w:r>
      <w:r w:rsidRPr="00575827">
        <w:rPr>
          <w:rFonts w:eastAsia="Calibri"/>
        </w:rPr>
        <w:t>espondents to th</w:t>
      </w:r>
      <w:r w:rsidR="00907352">
        <w:rPr>
          <w:rFonts w:eastAsia="Calibri"/>
        </w:rPr>
        <w:t>is</w:t>
      </w:r>
      <w:r w:rsidRPr="00575827">
        <w:rPr>
          <w:rFonts w:eastAsia="Calibri"/>
        </w:rPr>
        <w:t xml:space="preserve"> collection of information are owners, operators, or agents in charge of a domestic or foreign facility engaged in manufacturing, processing, packing, or holding food for consumption in the United States (“responsible parties”) who have information on a reportable food.  Voluntary respondents to this collection of information are Federal, State, and local public health officials who have information on a reportable food.</w:t>
      </w:r>
    </w:p>
    <w:p w:rsidR="00357C8A" w:rsidRPr="00357C8A" w:rsidP="006705EA" w14:paraId="4C7871F8" w14:textId="77777777">
      <w:pPr>
        <w:numPr>
          <w:ilvl w:val="0"/>
          <w:numId w:val="6"/>
        </w:numPr>
        <w:spacing w:after="200" w:line="276" w:lineRule="auto"/>
        <w:rPr>
          <w:rFonts w:eastAsia="Calibri"/>
          <w:u w:val="single"/>
        </w:rPr>
      </w:pPr>
      <w:r w:rsidRPr="00357C8A">
        <w:rPr>
          <w:rFonts w:eastAsia="Calibri"/>
          <w:u w:val="single"/>
        </w:rPr>
        <w:t>Use of Improved Information Technology and Burden Reduction</w:t>
      </w:r>
    </w:p>
    <w:p w:rsidR="00F7144E" w:rsidRPr="000C645B" w:rsidP="00F7144E" w14:paraId="4FA63D96" w14:textId="77777777">
      <w:pPr>
        <w:rPr>
          <w:rFonts w:eastAsia="Calibri"/>
        </w:rPr>
      </w:pPr>
      <w:r w:rsidRPr="000C645B">
        <w:rPr>
          <w:rFonts w:eastAsia="Calibri"/>
        </w:rPr>
        <w:t xml:space="preserve">Notification to the immediate previous source and immediate subsequent recipient of the article of food may be accomplished by electronic communication methods such as e-mail, fax or text messaging or by telegrams, mailgrams, or first-class letters.  Notification may also be accomplished by telephone call or other personal contacts, but </w:t>
      </w:r>
      <w:r>
        <w:rPr>
          <w:rFonts w:eastAsia="Calibri"/>
        </w:rPr>
        <w:t>we</w:t>
      </w:r>
      <w:r w:rsidRPr="000C645B">
        <w:rPr>
          <w:rFonts w:eastAsia="Calibri"/>
        </w:rPr>
        <w:t xml:space="preserve"> recommend that such notifications also be confirmed by one of the above methods and/or documented in an appropriate manner.  </w:t>
      </w:r>
    </w:p>
    <w:p w:rsidR="00F7144E" w:rsidRPr="000C645B" w:rsidP="00F7144E" w14:paraId="3795759D" w14:textId="77777777">
      <w:pPr>
        <w:rPr>
          <w:rFonts w:eastAsia="Calibri"/>
        </w:rPr>
      </w:pPr>
    </w:p>
    <w:p w:rsidR="00357C8A" w:rsidRPr="0035460D" w:rsidP="0022425B" w14:paraId="7BCDE4DE" w14:textId="77777777">
      <w:pPr>
        <w:spacing w:after="200"/>
        <w:rPr>
          <w:rFonts w:eastAsia="Calibri"/>
          <w:color w:val="000000"/>
        </w:rPr>
      </w:pPr>
      <w:r w:rsidRPr="000C645B">
        <w:rPr>
          <w:rFonts w:eastAsia="Calibri"/>
        </w:rPr>
        <w:t xml:space="preserve">Companies are free to use whatever forms of information technology may best assist them in retaining the appropriate records and making them available to regulatory officials.  The FD&amp;C Act does not specifically prescribe the use of automated, electronic, mechanical, or other technological techniques or other forms of information technology as necessary for use by firms.  </w:t>
      </w:r>
    </w:p>
    <w:p w:rsidR="00357C8A" w:rsidRPr="00357C8A" w:rsidP="006705EA" w14:paraId="24D21AE0" w14:textId="77777777">
      <w:pPr>
        <w:numPr>
          <w:ilvl w:val="0"/>
          <w:numId w:val="6"/>
        </w:numPr>
        <w:spacing w:after="200" w:line="276" w:lineRule="auto"/>
        <w:rPr>
          <w:rFonts w:eastAsia="Calibri"/>
        </w:rPr>
      </w:pPr>
      <w:r w:rsidRPr="00357C8A">
        <w:rPr>
          <w:rFonts w:eastAsia="Calibri"/>
          <w:u w:val="single"/>
        </w:rPr>
        <w:t xml:space="preserve">Efforts to Identify Duplication and Use of Similar Information </w:t>
      </w:r>
    </w:p>
    <w:p w:rsidR="000C1260" w:rsidRPr="0035460D" w:rsidP="0053380B" w14:paraId="2B5DD187" w14:textId="77777777">
      <w:pPr>
        <w:spacing w:after="200"/>
        <w:rPr>
          <w:rFonts w:eastAsia="Calibri"/>
          <w:color w:val="000000"/>
        </w:rPr>
      </w:pPr>
      <w:r w:rsidRPr="00BE2AC0">
        <w:t>We are unaware of duplicative information collection</w:t>
      </w:r>
      <w:r>
        <w:t>.</w:t>
      </w:r>
    </w:p>
    <w:p w:rsidR="00357C8A" w:rsidRPr="00357C8A" w:rsidP="006705EA" w14:paraId="493BECD4" w14:textId="77777777">
      <w:pPr>
        <w:numPr>
          <w:ilvl w:val="0"/>
          <w:numId w:val="6"/>
        </w:numPr>
        <w:spacing w:after="200" w:line="276" w:lineRule="auto"/>
        <w:rPr>
          <w:rFonts w:eastAsia="Calibri"/>
        </w:rPr>
      </w:pPr>
      <w:r w:rsidRPr="00357C8A">
        <w:rPr>
          <w:rFonts w:eastAsia="Calibri"/>
          <w:u w:val="single"/>
        </w:rPr>
        <w:t>Impact on Small Businesses or Other Small Entities</w:t>
      </w:r>
    </w:p>
    <w:p w:rsidR="00357C8A" w:rsidRPr="00357C8A" w:rsidP="00357C8A" w14:paraId="1AF9511E" w14:textId="735ED25A">
      <w:pPr>
        <w:spacing w:after="200"/>
        <w:rPr>
          <w:rFonts w:eastAsia="Calibri"/>
        </w:rPr>
      </w:pPr>
      <w:r w:rsidRPr="00BE2AC0">
        <w:rPr>
          <w:rFonts w:eastAsia="Calibri"/>
        </w:rPr>
        <w:t>While</w:t>
      </w:r>
      <w:r>
        <w:rPr>
          <w:rFonts w:eastAsia="Calibri"/>
        </w:rPr>
        <w:t xml:space="preserve"> the statutory requirements</w:t>
      </w:r>
      <w:r w:rsidRPr="00BE2AC0">
        <w:rPr>
          <w:rFonts w:eastAsia="Calibri"/>
        </w:rPr>
        <w:t xml:space="preserve"> </w:t>
      </w:r>
      <w:r w:rsidRPr="00BE2AC0" w:rsidR="00BD301B">
        <w:rPr>
          <w:rFonts w:eastAsia="Calibri"/>
        </w:rPr>
        <w:t>provide</w:t>
      </w:r>
      <w:r w:rsidRPr="00BE2AC0">
        <w:rPr>
          <w:rFonts w:eastAsia="Calibri"/>
        </w:rPr>
        <w:t xml:space="preserve"> exception</w:t>
      </w:r>
      <w:r>
        <w:rPr>
          <w:rFonts w:eastAsia="Calibri"/>
        </w:rPr>
        <w:t>s</w:t>
      </w:r>
      <w:r w:rsidRPr="00BE2AC0">
        <w:rPr>
          <w:rFonts w:eastAsia="Calibri"/>
        </w:rPr>
        <w:t xml:space="preserve"> for small businesses, we believe the information collection imposes </w:t>
      </w:r>
      <w:r>
        <w:rPr>
          <w:rFonts w:eastAsia="Calibri"/>
        </w:rPr>
        <w:t xml:space="preserve">no undue burden.  Also, we assist </w:t>
      </w:r>
      <w:r w:rsidRPr="00BE2AC0">
        <w:rPr>
          <w:rFonts w:eastAsia="Calibri"/>
        </w:rPr>
        <w:t xml:space="preserve">small businesses in </w:t>
      </w:r>
      <w:r>
        <w:rPr>
          <w:rFonts w:eastAsia="Calibri"/>
        </w:rPr>
        <w:t xml:space="preserve">complying </w:t>
      </w:r>
      <w:r w:rsidRPr="00BE2AC0">
        <w:rPr>
          <w:rFonts w:eastAsia="Calibri"/>
        </w:rPr>
        <w:t xml:space="preserve">with the requirements of the FD&amp;C Act through </w:t>
      </w:r>
      <w:r>
        <w:rPr>
          <w:rFonts w:eastAsia="Calibri"/>
        </w:rPr>
        <w:t xml:space="preserve">our </w:t>
      </w:r>
      <w:r w:rsidRPr="00BE2AC0">
        <w:rPr>
          <w:rFonts w:eastAsia="Calibri"/>
        </w:rPr>
        <w:t xml:space="preserve">Regional Small Business Representatives and through the scientific and administrative staffs within the agency.  </w:t>
      </w:r>
      <w:r w:rsidRPr="00F441A3">
        <w:rPr>
          <w:rFonts w:eastAsia="Calibri"/>
        </w:rPr>
        <w:t>We also provide assistance via our Small Business Assistance webpage</w:t>
      </w:r>
      <w:r w:rsidRPr="00BE2AC0">
        <w:rPr>
          <w:rFonts w:eastAsia="Calibri"/>
        </w:rPr>
        <w:t xml:space="preserve"> at </w:t>
      </w:r>
      <w:hyperlink r:id="rId5" w:history="1">
        <w:hyperlink r:id="rId5" w:history="1">
          <w:r w:rsidRPr="00F7144E">
            <w:rPr>
              <w:rStyle w:val="Hyperlink"/>
              <w:rFonts w:eastAsia="Calibri"/>
            </w:rPr>
            <w:t>https://www.fda.gov/industry/small-business-assistance</w:t>
          </w:r>
        </w:hyperlink>
      </w:hyperlink>
      <w:r w:rsidRPr="00BE2AC0">
        <w:rPr>
          <w:rFonts w:eastAsia="Calibri"/>
        </w:rPr>
        <w:t>.</w:t>
      </w:r>
    </w:p>
    <w:p w:rsidR="00357C8A" w:rsidRPr="00357C8A" w:rsidP="006705EA" w14:paraId="69A9A60A" w14:textId="77777777">
      <w:pPr>
        <w:numPr>
          <w:ilvl w:val="0"/>
          <w:numId w:val="6"/>
        </w:numPr>
        <w:spacing w:after="200" w:line="276" w:lineRule="auto"/>
        <w:rPr>
          <w:rFonts w:eastAsia="Calibri"/>
          <w:u w:val="single"/>
        </w:rPr>
      </w:pPr>
      <w:r w:rsidRPr="00357C8A">
        <w:rPr>
          <w:rFonts w:eastAsia="Calibri"/>
          <w:u w:val="single"/>
        </w:rPr>
        <w:t>Consequences of Collecting the Information Less Frequently</w:t>
      </w:r>
    </w:p>
    <w:p w:rsidR="00357C8A" w:rsidRPr="0035460D" w:rsidP="00357C8A" w14:paraId="2C53CC0A" w14:textId="77777777">
      <w:pPr>
        <w:spacing w:after="200"/>
        <w:rPr>
          <w:rFonts w:eastAsia="Calibri"/>
          <w:color w:val="000000"/>
        </w:rPr>
      </w:pPr>
      <w:r w:rsidRPr="00BE2AC0">
        <w:rPr>
          <w:rFonts w:eastAsia="Calibri"/>
        </w:rPr>
        <w:t>The information is collected on an occasional, “</w:t>
      </w:r>
      <w:r w:rsidRPr="00DE53E4">
        <w:rPr>
          <w:rFonts w:eastAsia="Calibri"/>
          <w:i/>
        </w:rPr>
        <w:t>as needed</w:t>
      </w:r>
      <w:r w:rsidRPr="00BE2AC0">
        <w:rPr>
          <w:rFonts w:eastAsia="Calibri"/>
        </w:rPr>
        <w:t xml:space="preserve">” basis.  A “reportable food” is an article of food (other than infant formula) for which there is a reasonable probability that the use of, or exposure to, such article of food will cause serious adverse health consequences or death to humans or animals.  (Section 417(a)(2) of the FD&amp;C Act).  </w:t>
      </w:r>
      <w:r>
        <w:rPr>
          <w:rFonts w:eastAsia="Calibri"/>
        </w:rPr>
        <w:t>We</w:t>
      </w:r>
      <w:r w:rsidRPr="00BE2AC0">
        <w:rPr>
          <w:rFonts w:eastAsia="Calibri"/>
        </w:rPr>
        <w:t xml:space="preserve"> believe that prompt, mandatory reporting of reportable food is consistent with the congressional intent of FDAAA and important for public health reasons.  Delayed or less frequent reporting of food events to FDA, or to the immediate previous source and immediate subsequent recipient of the article of food, would lessen the effectiveness of the reportable food registry as an early warning sign of possible safety problems with a particular food.  Without reporting of all reportable food events, </w:t>
      </w:r>
      <w:r>
        <w:rPr>
          <w:rFonts w:eastAsia="Calibri"/>
        </w:rPr>
        <w:t>we</w:t>
      </w:r>
      <w:r w:rsidRPr="00BE2AC0">
        <w:rPr>
          <w:rFonts w:eastAsia="Calibri"/>
        </w:rPr>
        <w:t xml:space="preserve"> would be unable to investigate and follow up promptly, which in turn could cause delays in alerting the public when safety problems are found.</w:t>
      </w:r>
    </w:p>
    <w:p w:rsidR="00357C8A" w:rsidRPr="00357C8A" w:rsidP="006705EA" w14:paraId="25C75F85" w14:textId="77777777">
      <w:pPr>
        <w:numPr>
          <w:ilvl w:val="0"/>
          <w:numId w:val="6"/>
        </w:numPr>
        <w:spacing w:after="200" w:line="276" w:lineRule="auto"/>
        <w:rPr>
          <w:rFonts w:eastAsia="Calibri"/>
        </w:rPr>
      </w:pPr>
      <w:r w:rsidRPr="00357C8A">
        <w:rPr>
          <w:rFonts w:eastAsia="Calibri"/>
          <w:u w:val="single"/>
        </w:rPr>
        <w:t>Special Circumstances Relating to the Guidelines of 5 CFR 1320.5</w:t>
      </w:r>
    </w:p>
    <w:p w:rsidR="00F7144E" w:rsidRPr="00BE2AC0" w:rsidP="00F7144E" w14:paraId="6CA83A85" w14:textId="618FF1A5">
      <w:pPr>
        <w:spacing w:after="200"/>
        <w:rPr>
          <w:rFonts w:eastAsia="Calibri"/>
        </w:rPr>
      </w:pPr>
      <w:r w:rsidRPr="00BE2AC0">
        <w:rPr>
          <w:rFonts w:eastAsia="Calibri"/>
        </w:rPr>
        <w:t xml:space="preserve">This collection of information does not involve more than quarterly submission of information to the agency, submission of more than an original and 2 copies, retention of records for more than </w:t>
      </w:r>
      <w:r w:rsidRPr="00BE2AC0">
        <w:rPr>
          <w:rFonts w:eastAsia="Calibri"/>
        </w:rPr>
        <w:t xml:space="preserve">three years, the use of statistical methods, pledges of confidentiality by FDA not supported by authority established in statute or regulation or require the disclosure of trade secrets or other confidential information. </w:t>
      </w:r>
    </w:p>
    <w:p w:rsidR="00F7144E" w:rsidRPr="00BE2AC0" w:rsidP="00F7144E" w14:paraId="0CD9EBEB" w14:textId="77777777">
      <w:pPr>
        <w:spacing w:after="200"/>
        <w:rPr>
          <w:rFonts w:eastAsia="Calibri"/>
        </w:rPr>
      </w:pPr>
      <w:r w:rsidRPr="00BE2AC0">
        <w:rPr>
          <w:rFonts w:eastAsia="Calibri"/>
        </w:rPr>
        <w:t xml:space="preserve">Respondents are required to prepare a written response in less than 30 days.  In the event of a reportable food event, </w:t>
      </w:r>
      <w:r>
        <w:rPr>
          <w:rFonts w:eastAsia="Calibri"/>
        </w:rPr>
        <w:t>we</w:t>
      </w:r>
      <w:r w:rsidRPr="00BE2AC0">
        <w:rPr>
          <w:rFonts w:eastAsia="Calibri"/>
        </w:rPr>
        <w:t xml:space="preserve"> may require the responsible party to provide notification to the immediate previous source and/or immediate subsequent recipient of the article of food, as soon as practicable, but in no case later than the time specified by FDA.</w:t>
      </w:r>
    </w:p>
    <w:p w:rsidR="00357C8A" w:rsidRPr="00357C8A" w:rsidP="0022425B" w14:paraId="1F3C438E" w14:textId="77777777">
      <w:pPr>
        <w:spacing w:after="200"/>
        <w:rPr>
          <w:rFonts w:eastAsia="Calibri"/>
        </w:rPr>
      </w:pPr>
      <w:r w:rsidRPr="00BE2AC0">
        <w:rPr>
          <w:rFonts w:eastAsia="Calibri"/>
        </w:rPr>
        <w:t xml:space="preserve">With regard to the confidentiality of the information or the submission of trade secrets or proprietary information, the agency expects that it may inspect firm records containing confidential commercial information.  Confidential commercial information is protected from disclosure under the Freedom of Information Act under sections 552(a) and (b) (5 U.S.C. 552(a) and (b)), and by part 20 of the agency’s regulations (21 CFR part 20).  To the extent 21 CFR 20.64 applies, </w:t>
      </w:r>
      <w:r>
        <w:rPr>
          <w:rFonts w:eastAsia="Calibri"/>
        </w:rPr>
        <w:t>we</w:t>
      </w:r>
      <w:r w:rsidRPr="00BE2AC0">
        <w:rPr>
          <w:rFonts w:eastAsia="Calibri"/>
        </w:rPr>
        <w:t xml:space="preserve"> will honor the confidentiality of any data in investigation records compiled for law enforcement purposes.</w:t>
      </w:r>
    </w:p>
    <w:p w:rsidR="00357C8A" w:rsidRPr="00357C8A" w:rsidP="006705EA" w14:paraId="65F8665E" w14:textId="77777777">
      <w:pPr>
        <w:numPr>
          <w:ilvl w:val="0"/>
          <w:numId w:val="6"/>
        </w:numPr>
        <w:spacing w:after="200" w:line="276" w:lineRule="auto"/>
        <w:rPr>
          <w:rFonts w:eastAsia="Calibri"/>
        </w:rPr>
      </w:pPr>
      <w:r w:rsidRPr="00357C8A">
        <w:rPr>
          <w:rFonts w:eastAsia="Calibri"/>
          <w:u w:val="single"/>
        </w:rPr>
        <w:t>Comments in Response to the Federal Register Notice and Efforts to Consult Outside the Agency</w:t>
      </w:r>
    </w:p>
    <w:p w:rsidR="00357C8A" w:rsidRPr="0035460D" w:rsidP="00357C8A" w14:paraId="057BFE71" w14:textId="77777777">
      <w:pPr>
        <w:spacing w:after="200"/>
        <w:rPr>
          <w:rFonts w:eastAsia="Calibri"/>
          <w:color w:val="000000"/>
        </w:rPr>
      </w:pPr>
      <w:r w:rsidRPr="00BE2AC0">
        <w:rPr>
          <w:rFonts w:eastAsia="Calibri"/>
        </w:rPr>
        <w:t xml:space="preserve">In accordance with 5 CFR 1320.8(d), </w:t>
      </w:r>
      <w:r>
        <w:rPr>
          <w:rFonts w:eastAsia="Calibri"/>
        </w:rPr>
        <w:t>we</w:t>
      </w:r>
      <w:r w:rsidRPr="00BE2AC0">
        <w:rPr>
          <w:rFonts w:eastAsia="Calibri"/>
        </w:rPr>
        <w:t xml:space="preserve"> published a 60-day notice for public comment in the </w:t>
      </w:r>
      <w:r w:rsidRPr="0096518A">
        <w:rPr>
          <w:rFonts w:eastAsia="Calibri"/>
          <w:i/>
        </w:rPr>
        <w:t>Federal</w:t>
      </w:r>
      <w:r w:rsidRPr="00BE2AC0">
        <w:rPr>
          <w:rFonts w:eastAsia="Calibri"/>
        </w:rPr>
        <w:t xml:space="preserve"> </w:t>
      </w:r>
      <w:r w:rsidRPr="0096518A">
        <w:rPr>
          <w:rFonts w:eastAsia="Calibri"/>
          <w:i/>
        </w:rPr>
        <w:t>Register</w:t>
      </w:r>
      <w:r w:rsidRPr="00BE2AC0">
        <w:rPr>
          <w:rFonts w:eastAsia="Calibri"/>
        </w:rPr>
        <w:t xml:space="preserve"> of </w:t>
      </w:r>
      <w:r>
        <w:rPr>
          <w:rFonts w:eastAsia="Calibri"/>
        </w:rPr>
        <w:t>May</w:t>
      </w:r>
      <w:r w:rsidRPr="00BE2AC0">
        <w:rPr>
          <w:rFonts w:eastAsia="Calibri"/>
        </w:rPr>
        <w:t xml:space="preserve"> </w:t>
      </w:r>
      <w:r>
        <w:rPr>
          <w:rFonts w:eastAsia="Calibri"/>
        </w:rPr>
        <w:t>22,</w:t>
      </w:r>
      <w:r w:rsidRPr="00BE2AC0">
        <w:rPr>
          <w:rFonts w:eastAsia="Calibri"/>
        </w:rPr>
        <w:t xml:space="preserve"> 20</w:t>
      </w:r>
      <w:r>
        <w:rPr>
          <w:rFonts w:eastAsia="Calibri"/>
        </w:rPr>
        <w:t>23</w:t>
      </w:r>
      <w:r w:rsidRPr="00BE2AC0">
        <w:rPr>
          <w:rFonts w:eastAsia="Calibri"/>
        </w:rPr>
        <w:t xml:space="preserve"> (8</w:t>
      </w:r>
      <w:r>
        <w:rPr>
          <w:rFonts w:eastAsia="Calibri"/>
        </w:rPr>
        <w:t>8</w:t>
      </w:r>
      <w:r w:rsidRPr="00BE2AC0">
        <w:rPr>
          <w:rFonts w:eastAsia="Calibri"/>
        </w:rPr>
        <w:t xml:space="preserve"> FR </w:t>
      </w:r>
      <w:r>
        <w:rPr>
          <w:rFonts w:eastAsia="Calibri"/>
        </w:rPr>
        <w:t>32775)</w:t>
      </w:r>
      <w:r w:rsidRPr="00BE2AC0">
        <w:rPr>
          <w:rFonts w:eastAsia="Calibri"/>
        </w:rPr>
        <w:t>.  No comments were received.</w:t>
      </w:r>
    </w:p>
    <w:p w:rsidR="00357C8A" w:rsidRPr="00357C8A" w:rsidP="006705EA" w14:paraId="00DCE3CF" w14:textId="77777777">
      <w:pPr>
        <w:numPr>
          <w:ilvl w:val="0"/>
          <w:numId w:val="6"/>
        </w:numPr>
        <w:spacing w:after="200" w:line="276" w:lineRule="auto"/>
        <w:rPr>
          <w:rFonts w:eastAsia="Calibri"/>
        </w:rPr>
      </w:pPr>
      <w:r w:rsidRPr="00357C8A">
        <w:rPr>
          <w:rFonts w:eastAsia="Calibri"/>
          <w:u w:val="single"/>
        </w:rPr>
        <w:t>Explanation of Any Payment or Gift to Respondents</w:t>
      </w:r>
    </w:p>
    <w:p w:rsidR="00357C8A" w:rsidRPr="0035460D" w:rsidP="00357C8A" w14:paraId="351C3CDD" w14:textId="77777777">
      <w:pPr>
        <w:spacing w:after="200"/>
        <w:rPr>
          <w:rFonts w:eastAsia="Calibri"/>
          <w:color w:val="000000"/>
        </w:rPr>
      </w:pPr>
      <w:r w:rsidRPr="00C92A6A">
        <w:rPr>
          <w:rFonts w:eastAsia="Calibri"/>
        </w:rPr>
        <w:t>There are no incentives, payments</w:t>
      </w:r>
      <w:r>
        <w:rPr>
          <w:rFonts w:eastAsia="Calibri"/>
        </w:rPr>
        <w:t>,</w:t>
      </w:r>
      <w:r w:rsidRPr="00C92A6A">
        <w:rPr>
          <w:rFonts w:eastAsia="Calibri"/>
        </w:rPr>
        <w:t xml:space="preserve"> or gifts associated with this information collection.</w:t>
      </w:r>
      <w:r>
        <w:rPr>
          <w:rFonts w:eastAsia="Calibri"/>
        </w:rPr>
        <w:t xml:space="preserve">   </w:t>
      </w:r>
    </w:p>
    <w:p w:rsidR="00357C8A" w:rsidRPr="00357C8A" w:rsidP="006705EA" w14:paraId="1757BAC3" w14:textId="77777777">
      <w:pPr>
        <w:numPr>
          <w:ilvl w:val="0"/>
          <w:numId w:val="6"/>
        </w:numPr>
        <w:spacing w:after="200" w:line="276" w:lineRule="auto"/>
        <w:rPr>
          <w:rFonts w:eastAsia="Calibri"/>
        </w:rPr>
      </w:pPr>
      <w:r w:rsidRPr="00357C8A">
        <w:rPr>
          <w:rFonts w:eastAsia="Calibri"/>
          <w:u w:val="single"/>
        </w:rPr>
        <w:t>Assurance of Confidentiality Provided to Respondents</w:t>
      </w:r>
    </w:p>
    <w:p w:rsidR="005C4188" w:rsidRPr="005C4188" w:rsidP="005C4188" w14:paraId="7773C75F" w14:textId="77777777">
      <w:pPr>
        <w:spacing w:after="200"/>
        <w:rPr>
          <w:rFonts w:eastAsia="Calibri"/>
        </w:rPr>
      </w:pPr>
      <w:bookmarkStart w:id="1" w:name="_Hlk142919698"/>
      <w:r w:rsidRPr="005C4188">
        <w:rPr>
          <w:rFonts w:eastAsia="Calibri"/>
        </w:rPr>
        <w:t>In preparing this supporting statement, we consulted our Privacy Office to ensure appropriate handling of information collected.</w:t>
      </w:r>
    </w:p>
    <w:p w:rsidR="005C4188" w:rsidRPr="005C4188" w:rsidP="005C4188" w14:paraId="2FB47967" w14:textId="77777777">
      <w:pPr>
        <w:spacing w:after="200"/>
        <w:rPr>
          <w:rFonts w:eastAsia="Calibri"/>
        </w:rPr>
      </w:pPr>
      <w:r w:rsidRPr="005C4188">
        <w:rPr>
          <w:rFonts w:eastAsia="Calibri"/>
        </w:rPr>
        <w:t>This ICR collects personally identifiable information (PII).  PII is collected in the context of the subject individuals’ professional capacity and the FDA-related work they perform for their employer (e.g., point of contact at a regulated entity).  The PII submitted via the electronic Safety Reporting Portal is name, email address, telephone number, and address. FDA determined that although PII is collected, the collection is not subject to the Privacy Act of 1974 and the particular notice and other requirements of the Act do not apply. Specifically, the contractor or FDA does not use name or any other personal identifier to retrieve records from the information collected. Through appropriate form and webpage design, FDA limited submission fields and minimized the PII collected to protect the privacy of the individuals.</w:t>
      </w:r>
    </w:p>
    <w:p w:rsidR="001075D3" w:rsidRPr="00C93F40" w:rsidP="00C93F40" w14:paraId="778E7A33" w14:textId="06E60E66">
      <w:pPr>
        <w:spacing w:after="200"/>
        <w:rPr>
          <w:rFonts w:eastAsia="Calibri"/>
          <w:highlight w:val="yellow"/>
        </w:rPr>
      </w:pPr>
      <w:r w:rsidRPr="005C4188">
        <w:rPr>
          <w:rFonts w:eastAsia="Calibri"/>
        </w:rPr>
        <w:t>Under the Freedom of Information Act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bookmarkEnd w:id="1"/>
    </w:p>
    <w:p w:rsidR="00357C8A" w:rsidRPr="00357C8A" w:rsidP="006705EA" w14:paraId="2FF2EC64" w14:textId="77777777">
      <w:pPr>
        <w:numPr>
          <w:ilvl w:val="0"/>
          <w:numId w:val="6"/>
        </w:numPr>
        <w:spacing w:after="200" w:line="276" w:lineRule="auto"/>
        <w:rPr>
          <w:rFonts w:eastAsia="Calibri"/>
        </w:rPr>
      </w:pPr>
      <w:r w:rsidRPr="00357C8A">
        <w:rPr>
          <w:rFonts w:eastAsia="Calibri"/>
          <w:u w:val="single"/>
        </w:rPr>
        <w:t>Justification for Sensitive Questions</w:t>
      </w:r>
    </w:p>
    <w:p w:rsidR="00357C8A" w:rsidRPr="0035460D" w:rsidP="0022425B" w14:paraId="15638788" w14:textId="77777777">
      <w:pPr>
        <w:spacing w:after="200"/>
        <w:rPr>
          <w:rFonts w:eastAsia="Calibri"/>
          <w:color w:val="000000"/>
        </w:rPr>
      </w:pPr>
      <w:r w:rsidRPr="0096518A">
        <w:rPr>
          <w:rFonts w:eastAsia="Calibri"/>
        </w:rPr>
        <w:t>This information collection does not contain questions of a sensitive nature.</w:t>
      </w:r>
    </w:p>
    <w:p w:rsidR="00357C8A" w:rsidRPr="00357C8A" w:rsidP="006705EA" w14:paraId="26531FA9" w14:textId="77777777">
      <w:pPr>
        <w:numPr>
          <w:ilvl w:val="0"/>
          <w:numId w:val="6"/>
        </w:numPr>
        <w:spacing w:after="200" w:line="276" w:lineRule="auto"/>
        <w:rPr>
          <w:rFonts w:eastAsia="Calibri"/>
          <w:u w:val="single"/>
        </w:rPr>
      </w:pPr>
      <w:r w:rsidRPr="00357C8A">
        <w:rPr>
          <w:rFonts w:eastAsia="Calibri"/>
          <w:u w:val="single"/>
        </w:rPr>
        <w:t>Estimates of Annualized Burden Hours and Cost</w:t>
      </w:r>
    </w:p>
    <w:p w:rsidR="00357C8A" w:rsidRPr="005C71CA" w:rsidP="0022425B" w14:paraId="5DF25329" w14:textId="77777777">
      <w:pPr>
        <w:spacing w:after="200"/>
        <w:ind w:left="360"/>
        <w:rPr>
          <w:rFonts w:eastAsia="Calibri"/>
        </w:rPr>
      </w:pPr>
      <w:r w:rsidRPr="005C71CA">
        <w:rPr>
          <w:rFonts w:eastAsia="Calibri"/>
        </w:rPr>
        <w:t>12a.  Annualized Hour Burden Estimate</w:t>
      </w:r>
    </w:p>
    <w:p w:rsidR="00891016" w:rsidRPr="00891016" w:rsidP="00EE606C" w14:paraId="5C167A68" w14:textId="59F0CC91">
      <w:pPr>
        <w:spacing w:after="200"/>
        <w:ind w:left="360"/>
        <w:rPr>
          <w:rFonts w:eastAsia="Calibri"/>
          <w:vertAlign w:val="superscript"/>
        </w:rPr>
      </w:pPr>
      <w:r w:rsidRPr="00891016">
        <w:rPr>
          <w:rFonts w:eastAsia="Calibri"/>
        </w:rPr>
        <w:t>We estimate the burden for this information collection as follows:</w:t>
      </w:r>
    </w:p>
    <w:tbl>
      <w:tblPr>
        <w:tblW w:w="9476" w:type="dxa"/>
        <w:tblInd w:w="3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2610"/>
        <w:gridCol w:w="1286"/>
        <w:gridCol w:w="1800"/>
        <w:gridCol w:w="1350"/>
        <w:gridCol w:w="1504"/>
        <w:gridCol w:w="926"/>
      </w:tblGrid>
      <w:tr w14:paraId="1823A884" w14:textId="77777777" w:rsidTr="00225AC8">
        <w:tblPrEx>
          <w:tblW w:w="9476" w:type="dxa"/>
          <w:tblInd w:w="3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Ex>
        <w:trPr>
          <w:tblHeader/>
        </w:trPr>
        <w:tc>
          <w:tcPr>
            <w:tcW w:w="9476" w:type="dxa"/>
            <w:gridSpan w:val="6"/>
            <w:tcBorders>
              <w:top w:val="single" w:sz="6" w:space="0" w:color="000000"/>
              <w:left w:val="single" w:sz="6" w:space="0" w:color="000000"/>
              <w:bottom w:val="single" w:sz="6" w:space="0" w:color="000000"/>
              <w:right w:val="single" w:sz="6" w:space="0" w:color="000000"/>
            </w:tcBorders>
          </w:tcPr>
          <w:p w:rsidR="00891016" w:rsidRPr="00225AC8" w:rsidP="00225AC8" w14:paraId="6562BE19" w14:textId="05E4AA26">
            <w:pPr>
              <w:ind w:left="360"/>
              <w:jc w:val="center"/>
              <w:rPr>
                <w:rFonts w:eastAsia="Calibri"/>
                <w:sz w:val="20"/>
                <w:szCs w:val="20"/>
              </w:rPr>
            </w:pPr>
            <w:r w:rsidRPr="00225AC8">
              <w:rPr>
                <w:rFonts w:eastAsia="Calibri"/>
                <w:sz w:val="20"/>
                <w:szCs w:val="20"/>
              </w:rPr>
              <w:t>Table 1.--Estimated Annual Disclosure Burden</w:t>
            </w:r>
            <w:r w:rsidRPr="00225AC8">
              <w:rPr>
                <w:rFonts w:eastAsia="Calibri"/>
                <w:sz w:val="20"/>
                <w:szCs w:val="20"/>
                <w:vertAlign w:val="superscript"/>
              </w:rPr>
              <w:t>1</w:t>
            </w:r>
          </w:p>
        </w:tc>
      </w:tr>
      <w:tr w14:paraId="0994A7C2" w14:textId="77777777" w:rsidTr="00225AC8">
        <w:tblPrEx>
          <w:tblW w:w="9476" w:type="dxa"/>
          <w:tblInd w:w="352" w:type="dxa"/>
          <w:tblLayout w:type="fixed"/>
          <w:tblLook w:val="00A0"/>
        </w:tblPrEx>
        <w:trPr>
          <w:trHeight w:val="579"/>
          <w:tblHeader/>
        </w:trPr>
        <w:tc>
          <w:tcPr>
            <w:tcW w:w="2610" w:type="dxa"/>
            <w:tcBorders>
              <w:top w:val="single" w:sz="6" w:space="0" w:color="000000"/>
              <w:left w:val="single" w:sz="6" w:space="0" w:color="000000"/>
              <w:bottom w:val="single" w:sz="6" w:space="0" w:color="000000"/>
              <w:right w:val="single" w:sz="6" w:space="0" w:color="000000"/>
            </w:tcBorders>
          </w:tcPr>
          <w:p w:rsidR="00891016" w:rsidRPr="00225AC8" w:rsidP="00225AC8" w14:paraId="2B0484DB" w14:textId="77777777">
            <w:pPr>
              <w:jc w:val="center"/>
              <w:rPr>
                <w:rFonts w:eastAsia="Calibri"/>
                <w:sz w:val="20"/>
                <w:szCs w:val="20"/>
              </w:rPr>
            </w:pPr>
            <w:r w:rsidRPr="00225AC8">
              <w:rPr>
                <w:rFonts w:eastAsia="Calibri"/>
                <w:sz w:val="20"/>
                <w:szCs w:val="20"/>
              </w:rPr>
              <w:t>Activity</w:t>
            </w:r>
          </w:p>
          <w:p w:rsidR="00891016" w:rsidRPr="00225AC8" w:rsidP="00225AC8" w14:paraId="6769822C" w14:textId="77777777">
            <w:pPr>
              <w:ind w:left="360"/>
              <w:jc w:val="center"/>
              <w:rPr>
                <w:rFonts w:eastAsia="Calibri"/>
                <w:sz w:val="20"/>
                <w:szCs w:val="20"/>
              </w:rPr>
            </w:pPr>
          </w:p>
        </w:tc>
        <w:tc>
          <w:tcPr>
            <w:tcW w:w="1286" w:type="dxa"/>
            <w:tcBorders>
              <w:top w:val="single" w:sz="6" w:space="0" w:color="000000"/>
              <w:left w:val="single" w:sz="6" w:space="0" w:color="000000"/>
              <w:bottom w:val="single" w:sz="6" w:space="0" w:color="000000"/>
              <w:right w:val="single" w:sz="6" w:space="0" w:color="000000"/>
            </w:tcBorders>
          </w:tcPr>
          <w:p w:rsidR="00891016" w:rsidRPr="00225AC8" w:rsidP="00225AC8" w14:paraId="55B3D02A" w14:textId="77777777">
            <w:pPr>
              <w:jc w:val="center"/>
              <w:rPr>
                <w:rFonts w:eastAsia="Calibri"/>
                <w:sz w:val="20"/>
                <w:szCs w:val="20"/>
              </w:rPr>
            </w:pPr>
            <w:r w:rsidRPr="00225AC8">
              <w:rPr>
                <w:rFonts w:eastAsia="Calibri"/>
                <w:sz w:val="20"/>
                <w:szCs w:val="20"/>
              </w:rPr>
              <w:t>No. of Respondents</w:t>
            </w:r>
          </w:p>
        </w:tc>
        <w:tc>
          <w:tcPr>
            <w:tcW w:w="1800" w:type="dxa"/>
            <w:tcBorders>
              <w:top w:val="single" w:sz="6" w:space="0" w:color="000000"/>
              <w:left w:val="single" w:sz="6" w:space="0" w:color="000000"/>
              <w:bottom w:val="single" w:sz="6" w:space="0" w:color="000000"/>
              <w:right w:val="single" w:sz="6" w:space="0" w:color="000000"/>
            </w:tcBorders>
          </w:tcPr>
          <w:p w:rsidR="00891016" w:rsidRPr="00225AC8" w:rsidP="00225AC8" w14:paraId="6E45B099" w14:textId="77777777">
            <w:pPr>
              <w:ind w:left="76"/>
              <w:jc w:val="center"/>
              <w:rPr>
                <w:rFonts w:eastAsia="Calibri"/>
                <w:sz w:val="20"/>
                <w:szCs w:val="20"/>
              </w:rPr>
            </w:pPr>
            <w:r w:rsidRPr="00225AC8">
              <w:rPr>
                <w:rFonts w:eastAsia="Calibri"/>
                <w:sz w:val="20"/>
                <w:szCs w:val="20"/>
              </w:rPr>
              <w:t>No. of Disclosures per Respondent</w:t>
            </w:r>
          </w:p>
        </w:tc>
        <w:tc>
          <w:tcPr>
            <w:tcW w:w="1350" w:type="dxa"/>
            <w:tcBorders>
              <w:top w:val="single" w:sz="6" w:space="0" w:color="000000"/>
              <w:left w:val="single" w:sz="6" w:space="0" w:color="000000"/>
              <w:bottom w:val="single" w:sz="6" w:space="0" w:color="000000"/>
              <w:right w:val="single" w:sz="6" w:space="0" w:color="000000"/>
            </w:tcBorders>
          </w:tcPr>
          <w:p w:rsidR="00891016" w:rsidRPr="00225AC8" w:rsidP="00225AC8" w14:paraId="0294D984" w14:textId="77777777">
            <w:pPr>
              <w:jc w:val="center"/>
              <w:rPr>
                <w:rFonts w:eastAsia="Calibri"/>
                <w:sz w:val="20"/>
                <w:szCs w:val="20"/>
              </w:rPr>
            </w:pPr>
            <w:r w:rsidRPr="00225AC8">
              <w:rPr>
                <w:rFonts w:eastAsia="Calibri"/>
                <w:sz w:val="20"/>
                <w:szCs w:val="20"/>
              </w:rPr>
              <w:t>Total Annual Disclosures</w:t>
            </w:r>
          </w:p>
        </w:tc>
        <w:tc>
          <w:tcPr>
            <w:tcW w:w="1504" w:type="dxa"/>
            <w:tcBorders>
              <w:top w:val="single" w:sz="6" w:space="0" w:color="000000"/>
              <w:left w:val="single" w:sz="6" w:space="0" w:color="000000"/>
              <w:bottom w:val="single" w:sz="6" w:space="0" w:color="000000"/>
              <w:right w:val="single" w:sz="6" w:space="0" w:color="000000"/>
            </w:tcBorders>
          </w:tcPr>
          <w:p w:rsidR="00891016" w:rsidRPr="00225AC8" w:rsidP="00225AC8" w14:paraId="23696137" w14:textId="77777777">
            <w:pPr>
              <w:ind w:left="-14"/>
              <w:jc w:val="center"/>
              <w:rPr>
                <w:rFonts w:eastAsia="Calibri"/>
                <w:sz w:val="20"/>
                <w:szCs w:val="20"/>
              </w:rPr>
            </w:pPr>
            <w:r w:rsidRPr="00225AC8">
              <w:rPr>
                <w:rFonts w:eastAsia="Calibri"/>
                <w:sz w:val="20"/>
                <w:szCs w:val="20"/>
              </w:rPr>
              <w:t>Avg. Burden per Disclosure</w:t>
            </w:r>
          </w:p>
        </w:tc>
        <w:tc>
          <w:tcPr>
            <w:tcW w:w="926" w:type="dxa"/>
            <w:tcBorders>
              <w:top w:val="single" w:sz="6" w:space="0" w:color="000000"/>
              <w:left w:val="single" w:sz="6" w:space="0" w:color="000000"/>
              <w:bottom w:val="single" w:sz="6" w:space="0" w:color="000000"/>
              <w:right w:val="single" w:sz="6" w:space="0" w:color="000000"/>
            </w:tcBorders>
          </w:tcPr>
          <w:p w:rsidR="00891016" w:rsidRPr="00225AC8" w:rsidP="00225AC8" w14:paraId="1CC340AB" w14:textId="77777777">
            <w:pPr>
              <w:jc w:val="center"/>
              <w:rPr>
                <w:rFonts w:eastAsia="Calibri"/>
                <w:sz w:val="20"/>
                <w:szCs w:val="20"/>
              </w:rPr>
            </w:pPr>
            <w:r w:rsidRPr="00225AC8">
              <w:rPr>
                <w:rFonts w:eastAsia="Calibri"/>
                <w:sz w:val="20"/>
                <w:szCs w:val="20"/>
              </w:rPr>
              <w:t>Total Hours</w:t>
            </w:r>
          </w:p>
        </w:tc>
      </w:tr>
      <w:tr w14:paraId="41D32743" w14:textId="77777777" w:rsidTr="00225AC8">
        <w:tblPrEx>
          <w:tblW w:w="9476" w:type="dxa"/>
          <w:tblInd w:w="352" w:type="dxa"/>
          <w:tblLayout w:type="fixed"/>
          <w:tblLook w:val="00A0"/>
        </w:tblPrEx>
        <w:trPr>
          <w:trHeight w:val="1425"/>
          <w:tblHeader/>
        </w:trPr>
        <w:tc>
          <w:tcPr>
            <w:tcW w:w="2610" w:type="dxa"/>
            <w:tcBorders>
              <w:top w:val="single" w:sz="6" w:space="0" w:color="000000"/>
              <w:left w:val="single" w:sz="6" w:space="0" w:color="000000"/>
              <w:bottom w:val="single" w:sz="6" w:space="0" w:color="000000"/>
              <w:right w:val="single" w:sz="6" w:space="0" w:color="000000"/>
            </w:tcBorders>
          </w:tcPr>
          <w:p w:rsidR="00891016" w:rsidRPr="00225AC8" w:rsidP="00225AC8" w14:paraId="26F46378" w14:textId="77777777">
            <w:pPr>
              <w:ind w:left="70" w:right="75"/>
              <w:rPr>
                <w:rFonts w:eastAsia="Calibri"/>
                <w:sz w:val="20"/>
                <w:szCs w:val="20"/>
              </w:rPr>
            </w:pPr>
            <w:r w:rsidRPr="00225AC8">
              <w:rPr>
                <w:rFonts w:eastAsia="Calibri"/>
                <w:sz w:val="20"/>
                <w:szCs w:val="20"/>
              </w:rPr>
              <w:t>Notifying immediate previous source of the article of food under section 417(d)(6)(B)(i) of the FD&amp;C Act (mandatory reporters only).</w:t>
            </w:r>
          </w:p>
        </w:tc>
        <w:tc>
          <w:tcPr>
            <w:tcW w:w="1286" w:type="dxa"/>
            <w:tcBorders>
              <w:top w:val="single" w:sz="6" w:space="0" w:color="000000"/>
              <w:left w:val="single" w:sz="6" w:space="0" w:color="000000"/>
              <w:bottom w:val="single" w:sz="6" w:space="0" w:color="000000"/>
              <w:right w:val="single" w:sz="6" w:space="0" w:color="000000"/>
            </w:tcBorders>
          </w:tcPr>
          <w:p w:rsidR="00891016" w:rsidRPr="00225AC8" w:rsidP="00225AC8" w14:paraId="0898A998" w14:textId="77777777">
            <w:pPr>
              <w:jc w:val="right"/>
              <w:rPr>
                <w:rFonts w:eastAsia="Calibri"/>
                <w:sz w:val="20"/>
                <w:szCs w:val="20"/>
              </w:rPr>
            </w:pPr>
            <w:r w:rsidRPr="00225AC8">
              <w:rPr>
                <w:rFonts w:eastAsia="Calibri"/>
                <w:sz w:val="20"/>
                <w:szCs w:val="20"/>
              </w:rPr>
              <w:t>1,200</w:t>
            </w:r>
          </w:p>
        </w:tc>
        <w:tc>
          <w:tcPr>
            <w:tcW w:w="1800" w:type="dxa"/>
            <w:tcBorders>
              <w:top w:val="single" w:sz="6" w:space="0" w:color="000000"/>
              <w:left w:val="single" w:sz="6" w:space="0" w:color="000000"/>
              <w:bottom w:val="single" w:sz="6" w:space="0" w:color="000000"/>
              <w:right w:val="single" w:sz="6" w:space="0" w:color="000000"/>
            </w:tcBorders>
          </w:tcPr>
          <w:p w:rsidR="00891016" w:rsidRPr="00225AC8" w:rsidP="00225AC8" w14:paraId="63AEEC21" w14:textId="77777777">
            <w:pPr>
              <w:ind w:left="-14"/>
              <w:jc w:val="right"/>
              <w:rPr>
                <w:rFonts w:eastAsia="Calibri"/>
                <w:sz w:val="20"/>
                <w:szCs w:val="20"/>
              </w:rPr>
            </w:pPr>
            <w:r w:rsidRPr="00225AC8">
              <w:rPr>
                <w:rFonts w:eastAsia="Calibri"/>
                <w:sz w:val="20"/>
                <w:szCs w:val="20"/>
              </w:rPr>
              <w:t>1</w:t>
            </w:r>
          </w:p>
        </w:tc>
        <w:tc>
          <w:tcPr>
            <w:tcW w:w="1350" w:type="dxa"/>
            <w:tcBorders>
              <w:top w:val="single" w:sz="6" w:space="0" w:color="000000"/>
              <w:left w:val="single" w:sz="6" w:space="0" w:color="000000"/>
              <w:bottom w:val="single" w:sz="6" w:space="0" w:color="000000"/>
              <w:right w:val="single" w:sz="6" w:space="0" w:color="000000"/>
            </w:tcBorders>
          </w:tcPr>
          <w:p w:rsidR="00891016" w:rsidRPr="00225AC8" w:rsidP="00225AC8" w14:paraId="48A5ABDE" w14:textId="77777777">
            <w:pPr>
              <w:jc w:val="right"/>
              <w:rPr>
                <w:rFonts w:eastAsia="Calibri"/>
                <w:sz w:val="20"/>
                <w:szCs w:val="20"/>
              </w:rPr>
            </w:pPr>
            <w:r w:rsidRPr="00225AC8">
              <w:rPr>
                <w:rFonts w:eastAsia="Calibri"/>
                <w:sz w:val="20"/>
                <w:szCs w:val="20"/>
              </w:rPr>
              <w:t>1,200</w:t>
            </w:r>
          </w:p>
        </w:tc>
        <w:tc>
          <w:tcPr>
            <w:tcW w:w="1504" w:type="dxa"/>
            <w:tcBorders>
              <w:top w:val="single" w:sz="6" w:space="0" w:color="000000"/>
              <w:left w:val="single" w:sz="6" w:space="0" w:color="000000"/>
              <w:bottom w:val="single" w:sz="6" w:space="0" w:color="000000"/>
              <w:right w:val="single" w:sz="6" w:space="0" w:color="000000"/>
            </w:tcBorders>
          </w:tcPr>
          <w:p w:rsidR="00891016" w:rsidRPr="00225AC8" w:rsidP="00225AC8" w14:paraId="16BF437C" w14:textId="77777777">
            <w:pPr>
              <w:ind w:right="70"/>
              <w:jc w:val="right"/>
              <w:rPr>
                <w:rFonts w:eastAsia="Calibri"/>
                <w:sz w:val="20"/>
                <w:szCs w:val="20"/>
              </w:rPr>
            </w:pPr>
            <w:r w:rsidRPr="00225AC8">
              <w:rPr>
                <w:rFonts w:eastAsia="Calibri"/>
                <w:sz w:val="20"/>
                <w:szCs w:val="20"/>
              </w:rPr>
              <w:t>0.6</w:t>
            </w:r>
          </w:p>
          <w:p w:rsidR="00891016" w:rsidRPr="00225AC8" w:rsidP="00225AC8" w14:paraId="428CABBC" w14:textId="77777777">
            <w:pPr>
              <w:jc w:val="right"/>
              <w:rPr>
                <w:rFonts w:eastAsia="Calibri"/>
                <w:sz w:val="20"/>
                <w:szCs w:val="20"/>
              </w:rPr>
            </w:pPr>
            <w:r w:rsidRPr="00225AC8">
              <w:rPr>
                <w:rFonts w:eastAsia="Calibri"/>
                <w:sz w:val="20"/>
                <w:szCs w:val="20"/>
              </w:rPr>
              <w:t>(36 minutes)</w:t>
            </w:r>
          </w:p>
        </w:tc>
        <w:tc>
          <w:tcPr>
            <w:tcW w:w="926" w:type="dxa"/>
            <w:tcBorders>
              <w:top w:val="single" w:sz="6" w:space="0" w:color="000000"/>
              <w:left w:val="single" w:sz="6" w:space="0" w:color="000000"/>
              <w:bottom w:val="single" w:sz="6" w:space="0" w:color="000000"/>
              <w:right w:val="single" w:sz="6" w:space="0" w:color="000000"/>
            </w:tcBorders>
          </w:tcPr>
          <w:p w:rsidR="00891016" w:rsidRPr="00225AC8" w:rsidP="00225AC8" w14:paraId="29A53446" w14:textId="77777777">
            <w:pPr>
              <w:jc w:val="right"/>
              <w:rPr>
                <w:rFonts w:eastAsia="Calibri"/>
                <w:sz w:val="20"/>
                <w:szCs w:val="20"/>
              </w:rPr>
            </w:pPr>
            <w:r w:rsidRPr="00225AC8">
              <w:rPr>
                <w:rFonts w:eastAsia="Calibri"/>
                <w:sz w:val="20"/>
                <w:szCs w:val="20"/>
              </w:rPr>
              <w:t>720</w:t>
            </w:r>
          </w:p>
        </w:tc>
      </w:tr>
      <w:tr w14:paraId="094500B1" w14:textId="77777777" w:rsidTr="00225AC8">
        <w:tblPrEx>
          <w:tblW w:w="9476" w:type="dxa"/>
          <w:tblInd w:w="352" w:type="dxa"/>
          <w:tblLayout w:type="fixed"/>
          <w:tblLook w:val="00A0"/>
        </w:tblPrEx>
        <w:trPr>
          <w:trHeight w:val="1515"/>
          <w:tblHeader/>
        </w:trPr>
        <w:tc>
          <w:tcPr>
            <w:tcW w:w="2610" w:type="dxa"/>
            <w:tcBorders>
              <w:top w:val="single" w:sz="6" w:space="0" w:color="000000"/>
              <w:left w:val="single" w:sz="6" w:space="0" w:color="000000"/>
              <w:bottom w:val="single" w:sz="6" w:space="0" w:color="000000"/>
              <w:right w:val="single" w:sz="6" w:space="0" w:color="000000"/>
            </w:tcBorders>
          </w:tcPr>
          <w:p w:rsidR="00891016" w:rsidRPr="00225AC8" w:rsidP="00225AC8" w14:paraId="5C961A44" w14:textId="77777777">
            <w:pPr>
              <w:ind w:left="75" w:right="75"/>
              <w:rPr>
                <w:rFonts w:eastAsia="Calibri"/>
                <w:sz w:val="20"/>
                <w:szCs w:val="20"/>
              </w:rPr>
            </w:pPr>
            <w:r w:rsidRPr="00225AC8">
              <w:rPr>
                <w:rFonts w:eastAsia="Calibri"/>
                <w:sz w:val="20"/>
                <w:szCs w:val="20"/>
              </w:rPr>
              <w:t>Notifying immediate subsequent recipient of the article of food under section 417(d)(6)(B)(ii) of the FD&amp;C Act (mandatory reporters only).</w:t>
            </w:r>
          </w:p>
        </w:tc>
        <w:tc>
          <w:tcPr>
            <w:tcW w:w="1286" w:type="dxa"/>
            <w:tcBorders>
              <w:top w:val="single" w:sz="6" w:space="0" w:color="000000"/>
              <w:left w:val="single" w:sz="6" w:space="0" w:color="000000"/>
              <w:bottom w:val="single" w:sz="6" w:space="0" w:color="000000"/>
              <w:right w:val="single" w:sz="6" w:space="0" w:color="000000"/>
            </w:tcBorders>
          </w:tcPr>
          <w:p w:rsidR="00891016" w:rsidRPr="00225AC8" w:rsidP="00225AC8" w14:paraId="057A963F" w14:textId="77777777">
            <w:pPr>
              <w:jc w:val="right"/>
              <w:rPr>
                <w:rFonts w:eastAsia="Calibri"/>
                <w:sz w:val="20"/>
                <w:szCs w:val="20"/>
              </w:rPr>
            </w:pPr>
            <w:r w:rsidRPr="00225AC8">
              <w:rPr>
                <w:rFonts w:eastAsia="Calibri"/>
                <w:sz w:val="20"/>
                <w:szCs w:val="20"/>
              </w:rPr>
              <w:t>1,200</w:t>
            </w:r>
          </w:p>
        </w:tc>
        <w:tc>
          <w:tcPr>
            <w:tcW w:w="1800" w:type="dxa"/>
            <w:tcBorders>
              <w:top w:val="single" w:sz="6" w:space="0" w:color="000000"/>
              <w:left w:val="single" w:sz="6" w:space="0" w:color="000000"/>
              <w:bottom w:val="single" w:sz="6" w:space="0" w:color="000000"/>
              <w:right w:val="single" w:sz="6" w:space="0" w:color="000000"/>
            </w:tcBorders>
          </w:tcPr>
          <w:p w:rsidR="00891016" w:rsidRPr="00225AC8" w:rsidP="00225AC8" w14:paraId="4AE2A5CF" w14:textId="77777777">
            <w:pPr>
              <w:ind w:left="-14"/>
              <w:jc w:val="right"/>
              <w:rPr>
                <w:rFonts w:eastAsia="Calibri"/>
                <w:sz w:val="20"/>
                <w:szCs w:val="20"/>
              </w:rPr>
            </w:pPr>
            <w:r w:rsidRPr="00225AC8">
              <w:rPr>
                <w:rFonts w:eastAsia="Calibri"/>
                <w:sz w:val="20"/>
                <w:szCs w:val="20"/>
              </w:rPr>
              <w:t>1</w:t>
            </w:r>
          </w:p>
        </w:tc>
        <w:tc>
          <w:tcPr>
            <w:tcW w:w="1350" w:type="dxa"/>
            <w:tcBorders>
              <w:top w:val="single" w:sz="6" w:space="0" w:color="000000"/>
              <w:left w:val="single" w:sz="6" w:space="0" w:color="000000"/>
              <w:bottom w:val="single" w:sz="6" w:space="0" w:color="000000"/>
              <w:right w:val="single" w:sz="6" w:space="0" w:color="000000"/>
            </w:tcBorders>
          </w:tcPr>
          <w:p w:rsidR="00891016" w:rsidRPr="00225AC8" w:rsidP="00225AC8" w14:paraId="73FFD581" w14:textId="77777777">
            <w:pPr>
              <w:jc w:val="right"/>
              <w:rPr>
                <w:rFonts w:eastAsia="Calibri"/>
                <w:sz w:val="20"/>
                <w:szCs w:val="20"/>
              </w:rPr>
            </w:pPr>
            <w:r w:rsidRPr="00225AC8">
              <w:rPr>
                <w:rFonts w:eastAsia="Calibri"/>
                <w:sz w:val="20"/>
                <w:szCs w:val="20"/>
              </w:rPr>
              <w:t>1,200</w:t>
            </w:r>
          </w:p>
        </w:tc>
        <w:tc>
          <w:tcPr>
            <w:tcW w:w="1504" w:type="dxa"/>
            <w:tcBorders>
              <w:top w:val="single" w:sz="6" w:space="0" w:color="000000"/>
              <w:left w:val="single" w:sz="6" w:space="0" w:color="000000"/>
              <w:bottom w:val="single" w:sz="6" w:space="0" w:color="000000"/>
              <w:right w:val="single" w:sz="6" w:space="0" w:color="000000"/>
            </w:tcBorders>
          </w:tcPr>
          <w:p w:rsidR="00891016" w:rsidRPr="00225AC8" w:rsidP="00225AC8" w14:paraId="38AEB7DD" w14:textId="77777777">
            <w:pPr>
              <w:ind w:right="70"/>
              <w:jc w:val="right"/>
              <w:rPr>
                <w:rFonts w:eastAsia="Calibri"/>
                <w:sz w:val="20"/>
                <w:szCs w:val="20"/>
              </w:rPr>
            </w:pPr>
            <w:r w:rsidRPr="00225AC8">
              <w:rPr>
                <w:rFonts w:eastAsia="Calibri"/>
                <w:sz w:val="20"/>
                <w:szCs w:val="20"/>
              </w:rPr>
              <w:t>0.6</w:t>
            </w:r>
          </w:p>
          <w:p w:rsidR="00891016" w:rsidRPr="00225AC8" w:rsidP="00225AC8" w14:paraId="21D078D2" w14:textId="77777777">
            <w:pPr>
              <w:jc w:val="right"/>
              <w:rPr>
                <w:rFonts w:eastAsia="Calibri"/>
                <w:sz w:val="20"/>
                <w:szCs w:val="20"/>
              </w:rPr>
            </w:pPr>
            <w:r w:rsidRPr="00225AC8">
              <w:rPr>
                <w:rFonts w:eastAsia="Calibri"/>
                <w:sz w:val="20"/>
                <w:szCs w:val="20"/>
              </w:rPr>
              <w:t>(36 minutes)</w:t>
            </w:r>
          </w:p>
        </w:tc>
        <w:tc>
          <w:tcPr>
            <w:tcW w:w="926" w:type="dxa"/>
            <w:tcBorders>
              <w:top w:val="single" w:sz="6" w:space="0" w:color="000000"/>
              <w:left w:val="single" w:sz="6" w:space="0" w:color="000000"/>
              <w:bottom w:val="single" w:sz="6" w:space="0" w:color="000000"/>
              <w:right w:val="single" w:sz="6" w:space="0" w:color="000000"/>
            </w:tcBorders>
          </w:tcPr>
          <w:p w:rsidR="00891016" w:rsidRPr="00225AC8" w:rsidP="00225AC8" w14:paraId="55B7DA78" w14:textId="77777777">
            <w:pPr>
              <w:jc w:val="right"/>
              <w:rPr>
                <w:rFonts w:eastAsia="Calibri"/>
                <w:sz w:val="20"/>
                <w:szCs w:val="20"/>
              </w:rPr>
            </w:pPr>
            <w:r w:rsidRPr="00225AC8">
              <w:rPr>
                <w:rFonts w:eastAsia="Calibri"/>
                <w:sz w:val="20"/>
                <w:szCs w:val="20"/>
              </w:rPr>
              <w:t>720</w:t>
            </w:r>
          </w:p>
        </w:tc>
      </w:tr>
      <w:tr w14:paraId="76AB2F4C" w14:textId="77777777" w:rsidTr="00225AC8">
        <w:tblPrEx>
          <w:tblW w:w="9476" w:type="dxa"/>
          <w:tblInd w:w="352" w:type="dxa"/>
          <w:tblLayout w:type="fixed"/>
          <w:tblLook w:val="00A0"/>
        </w:tblPrEx>
        <w:trPr>
          <w:trHeight w:val="1425"/>
          <w:tblHeader/>
        </w:trPr>
        <w:tc>
          <w:tcPr>
            <w:tcW w:w="2610" w:type="dxa"/>
            <w:tcBorders>
              <w:top w:val="single" w:sz="6" w:space="0" w:color="000000"/>
              <w:left w:val="single" w:sz="6" w:space="0" w:color="000000"/>
              <w:bottom w:val="single" w:sz="6" w:space="0" w:color="000000"/>
              <w:right w:val="single" w:sz="6" w:space="0" w:color="000000"/>
            </w:tcBorders>
          </w:tcPr>
          <w:p w:rsidR="00891016" w:rsidRPr="00225AC8" w:rsidP="00225AC8" w14:paraId="37384AA3" w14:textId="77777777">
            <w:pPr>
              <w:ind w:left="70"/>
              <w:rPr>
                <w:rFonts w:eastAsia="Calibri"/>
                <w:sz w:val="20"/>
                <w:szCs w:val="20"/>
              </w:rPr>
            </w:pPr>
            <w:r w:rsidRPr="00225AC8">
              <w:rPr>
                <w:rFonts w:eastAsia="Calibri"/>
                <w:sz w:val="20"/>
                <w:szCs w:val="20"/>
              </w:rPr>
              <w:t>Notifying immediate previous source of the article of food under section 417(d)(7)(C)(i) of the FD&amp;C Act</w:t>
            </w:r>
            <w:r w:rsidRPr="00225AC8">
              <w:rPr>
                <w:rFonts w:eastAsia="Calibri"/>
                <w:sz w:val="20"/>
                <w:szCs w:val="20"/>
              </w:rPr>
              <w:t xml:space="preserve"> </w:t>
            </w:r>
            <w:r w:rsidRPr="00225AC8">
              <w:rPr>
                <w:rFonts w:eastAsia="Calibri"/>
                <w:sz w:val="20"/>
                <w:szCs w:val="20"/>
              </w:rPr>
              <w:t>(mandatory reporters only).</w:t>
            </w:r>
          </w:p>
        </w:tc>
        <w:tc>
          <w:tcPr>
            <w:tcW w:w="1286" w:type="dxa"/>
            <w:tcBorders>
              <w:top w:val="single" w:sz="6" w:space="0" w:color="000000"/>
              <w:left w:val="single" w:sz="6" w:space="0" w:color="000000"/>
              <w:bottom w:val="single" w:sz="6" w:space="0" w:color="000000"/>
              <w:right w:val="single" w:sz="6" w:space="0" w:color="000000"/>
            </w:tcBorders>
          </w:tcPr>
          <w:p w:rsidR="00891016" w:rsidRPr="00225AC8" w:rsidP="00225AC8" w14:paraId="05941BDF" w14:textId="77777777">
            <w:pPr>
              <w:jc w:val="right"/>
              <w:rPr>
                <w:rFonts w:eastAsia="Calibri"/>
                <w:sz w:val="20"/>
                <w:szCs w:val="20"/>
              </w:rPr>
            </w:pPr>
            <w:r w:rsidRPr="00225AC8">
              <w:rPr>
                <w:rFonts w:eastAsia="Calibri"/>
                <w:sz w:val="20"/>
                <w:szCs w:val="20"/>
              </w:rPr>
              <w:t>1,200</w:t>
            </w:r>
          </w:p>
        </w:tc>
        <w:tc>
          <w:tcPr>
            <w:tcW w:w="1800" w:type="dxa"/>
            <w:tcBorders>
              <w:top w:val="single" w:sz="6" w:space="0" w:color="000000"/>
              <w:left w:val="single" w:sz="6" w:space="0" w:color="000000"/>
              <w:bottom w:val="single" w:sz="6" w:space="0" w:color="000000"/>
              <w:right w:val="single" w:sz="6" w:space="0" w:color="000000"/>
            </w:tcBorders>
          </w:tcPr>
          <w:p w:rsidR="00891016" w:rsidRPr="00225AC8" w:rsidP="00225AC8" w14:paraId="1DFDE686" w14:textId="77777777">
            <w:pPr>
              <w:jc w:val="right"/>
              <w:rPr>
                <w:rFonts w:eastAsia="Calibri"/>
                <w:sz w:val="20"/>
                <w:szCs w:val="20"/>
              </w:rPr>
            </w:pPr>
            <w:r w:rsidRPr="00225AC8">
              <w:rPr>
                <w:rFonts w:eastAsia="Calibri"/>
                <w:sz w:val="20"/>
                <w:szCs w:val="20"/>
              </w:rPr>
              <w:t>1</w:t>
            </w:r>
          </w:p>
        </w:tc>
        <w:tc>
          <w:tcPr>
            <w:tcW w:w="1350" w:type="dxa"/>
            <w:tcBorders>
              <w:top w:val="single" w:sz="6" w:space="0" w:color="000000"/>
              <w:left w:val="single" w:sz="6" w:space="0" w:color="000000"/>
              <w:bottom w:val="single" w:sz="6" w:space="0" w:color="000000"/>
              <w:right w:val="single" w:sz="6" w:space="0" w:color="000000"/>
            </w:tcBorders>
          </w:tcPr>
          <w:p w:rsidR="00891016" w:rsidRPr="00225AC8" w:rsidP="00225AC8" w14:paraId="3081521C" w14:textId="77777777">
            <w:pPr>
              <w:jc w:val="right"/>
              <w:rPr>
                <w:rFonts w:eastAsia="Calibri"/>
                <w:sz w:val="20"/>
                <w:szCs w:val="20"/>
              </w:rPr>
            </w:pPr>
            <w:r w:rsidRPr="00225AC8">
              <w:rPr>
                <w:rFonts w:eastAsia="Calibri"/>
                <w:sz w:val="20"/>
                <w:szCs w:val="20"/>
              </w:rPr>
              <w:t>1,200</w:t>
            </w:r>
          </w:p>
        </w:tc>
        <w:tc>
          <w:tcPr>
            <w:tcW w:w="1504" w:type="dxa"/>
            <w:tcBorders>
              <w:top w:val="single" w:sz="6" w:space="0" w:color="000000"/>
              <w:left w:val="single" w:sz="6" w:space="0" w:color="000000"/>
              <w:bottom w:val="single" w:sz="6" w:space="0" w:color="000000"/>
              <w:right w:val="single" w:sz="6" w:space="0" w:color="000000"/>
            </w:tcBorders>
          </w:tcPr>
          <w:p w:rsidR="00891016" w:rsidRPr="00225AC8" w:rsidP="00225AC8" w14:paraId="6C37D52F" w14:textId="77777777">
            <w:pPr>
              <w:ind w:right="70"/>
              <w:jc w:val="right"/>
              <w:rPr>
                <w:rFonts w:eastAsia="Calibri"/>
                <w:sz w:val="20"/>
                <w:szCs w:val="20"/>
              </w:rPr>
            </w:pPr>
            <w:r w:rsidRPr="00225AC8">
              <w:rPr>
                <w:rFonts w:eastAsia="Calibri"/>
                <w:sz w:val="20"/>
                <w:szCs w:val="20"/>
              </w:rPr>
              <w:t>0.6</w:t>
            </w:r>
          </w:p>
          <w:p w:rsidR="00891016" w:rsidRPr="00225AC8" w:rsidP="00225AC8" w14:paraId="34FA642F" w14:textId="77777777">
            <w:pPr>
              <w:ind w:left="76"/>
              <w:jc w:val="right"/>
              <w:rPr>
                <w:rFonts w:eastAsia="Calibri"/>
                <w:sz w:val="20"/>
                <w:szCs w:val="20"/>
              </w:rPr>
            </w:pPr>
            <w:r w:rsidRPr="00225AC8">
              <w:rPr>
                <w:rFonts w:eastAsia="Calibri"/>
                <w:sz w:val="20"/>
                <w:szCs w:val="20"/>
              </w:rPr>
              <w:t>(36 minutes)</w:t>
            </w:r>
          </w:p>
        </w:tc>
        <w:tc>
          <w:tcPr>
            <w:tcW w:w="926" w:type="dxa"/>
            <w:tcBorders>
              <w:top w:val="single" w:sz="6" w:space="0" w:color="000000"/>
              <w:left w:val="single" w:sz="6" w:space="0" w:color="000000"/>
              <w:bottom w:val="single" w:sz="6" w:space="0" w:color="000000"/>
              <w:right w:val="single" w:sz="6" w:space="0" w:color="000000"/>
            </w:tcBorders>
          </w:tcPr>
          <w:p w:rsidR="00891016" w:rsidRPr="00225AC8" w:rsidP="00225AC8" w14:paraId="04E23F83" w14:textId="77777777">
            <w:pPr>
              <w:ind w:left="-104" w:right="76"/>
              <w:jc w:val="right"/>
              <w:rPr>
                <w:rFonts w:eastAsia="Calibri"/>
                <w:sz w:val="20"/>
                <w:szCs w:val="20"/>
              </w:rPr>
            </w:pPr>
            <w:r w:rsidRPr="00225AC8">
              <w:rPr>
                <w:rFonts w:eastAsia="Calibri"/>
                <w:sz w:val="20"/>
                <w:szCs w:val="20"/>
              </w:rPr>
              <w:t>720</w:t>
            </w:r>
          </w:p>
        </w:tc>
      </w:tr>
      <w:tr w14:paraId="5E22D304" w14:textId="77777777" w:rsidTr="00225AC8">
        <w:tblPrEx>
          <w:tblW w:w="9476" w:type="dxa"/>
          <w:tblInd w:w="352" w:type="dxa"/>
          <w:tblLayout w:type="fixed"/>
          <w:tblLook w:val="00A0"/>
        </w:tblPrEx>
        <w:trPr>
          <w:trHeight w:val="1425"/>
          <w:tblHeader/>
        </w:trPr>
        <w:tc>
          <w:tcPr>
            <w:tcW w:w="2610" w:type="dxa"/>
            <w:tcBorders>
              <w:top w:val="single" w:sz="6" w:space="0" w:color="000000"/>
              <w:left w:val="single" w:sz="6" w:space="0" w:color="000000"/>
              <w:bottom w:val="single" w:sz="6" w:space="0" w:color="000000"/>
              <w:right w:val="single" w:sz="6" w:space="0" w:color="000000"/>
            </w:tcBorders>
          </w:tcPr>
          <w:p w:rsidR="00891016" w:rsidRPr="00225AC8" w:rsidP="00225AC8" w14:paraId="204264FB" w14:textId="77777777">
            <w:pPr>
              <w:ind w:left="70"/>
              <w:rPr>
                <w:rFonts w:eastAsia="Calibri"/>
                <w:sz w:val="20"/>
                <w:szCs w:val="20"/>
              </w:rPr>
            </w:pPr>
            <w:r w:rsidRPr="00225AC8">
              <w:rPr>
                <w:rFonts w:eastAsia="Calibri"/>
                <w:sz w:val="20"/>
                <w:szCs w:val="20"/>
              </w:rPr>
              <w:t>Notifying immediate subsequent recipient of the article of food under section 417(d)(7)(C)(ii) of the FD&amp;C Act (mandatory reporters only).</w:t>
            </w:r>
          </w:p>
        </w:tc>
        <w:tc>
          <w:tcPr>
            <w:tcW w:w="1286" w:type="dxa"/>
            <w:tcBorders>
              <w:top w:val="single" w:sz="6" w:space="0" w:color="000000"/>
              <w:left w:val="single" w:sz="6" w:space="0" w:color="000000"/>
              <w:bottom w:val="single" w:sz="6" w:space="0" w:color="000000"/>
              <w:right w:val="single" w:sz="6" w:space="0" w:color="000000"/>
            </w:tcBorders>
          </w:tcPr>
          <w:p w:rsidR="00891016" w:rsidRPr="00225AC8" w:rsidP="00225AC8" w14:paraId="2E28BA17" w14:textId="77777777">
            <w:pPr>
              <w:tabs>
                <w:tab w:val="left" w:pos="790"/>
              </w:tabs>
              <w:ind w:left="-20"/>
              <w:jc w:val="right"/>
              <w:rPr>
                <w:rFonts w:eastAsia="Calibri"/>
                <w:sz w:val="20"/>
                <w:szCs w:val="20"/>
              </w:rPr>
            </w:pPr>
            <w:r w:rsidRPr="00225AC8">
              <w:rPr>
                <w:rFonts w:eastAsia="Calibri"/>
                <w:sz w:val="20"/>
                <w:szCs w:val="20"/>
              </w:rPr>
              <w:t>1,200</w:t>
            </w:r>
          </w:p>
        </w:tc>
        <w:tc>
          <w:tcPr>
            <w:tcW w:w="1800" w:type="dxa"/>
            <w:tcBorders>
              <w:top w:val="single" w:sz="6" w:space="0" w:color="000000"/>
              <w:left w:val="single" w:sz="6" w:space="0" w:color="000000"/>
              <w:bottom w:val="single" w:sz="6" w:space="0" w:color="000000"/>
              <w:right w:val="single" w:sz="6" w:space="0" w:color="000000"/>
            </w:tcBorders>
          </w:tcPr>
          <w:p w:rsidR="00891016" w:rsidRPr="00225AC8" w:rsidP="00225AC8" w14:paraId="6B77D414" w14:textId="77777777">
            <w:pPr>
              <w:ind w:left="-104"/>
              <w:jc w:val="right"/>
              <w:rPr>
                <w:rFonts w:eastAsia="Calibri"/>
                <w:sz w:val="20"/>
                <w:szCs w:val="20"/>
              </w:rPr>
            </w:pPr>
            <w:r w:rsidRPr="00225AC8">
              <w:rPr>
                <w:rFonts w:eastAsia="Calibri"/>
                <w:sz w:val="20"/>
                <w:szCs w:val="20"/>
              </w:rPr>
              <w:t>1</w:t>
            </w:r>
          </w:p>
        </w:tc>
        <w:tc>
          <w:tcPr>
            <w:tcW w:w="1350" w:type="dxa"/>
            <w:tcBorders>
              <w:top w:val="single" w:sz="6" w:space="0" w:color="000000"/>
              <w:left w:val="single" w:sz="6" w:space="0" w:color="000000"/>
              <w:bottom w:val="single" w:sz="6" w:space="0" w:color="000000"/>
              <w:right w:val="single" w:sz="6" w:space="0" w:color="000000"/>
            </w:tcBorders>
          </w:tcPr>
          <w:p w:rsidR="00891016" w:rsidRPr="00225AC8" w:rsidP="00225AC8" w14:paraId="6F0FE74B" w14:textId="77777777">
            <w:pPr>
              <w:ind w:left="-104"/>
              <w:jc w:val="right"/>
              <w:rPr>
                <w:rFonts w:eastAsia="Calibri"/>
                <w:sz w:val="20"/>
                <w:szCs w:val="20"/>
              </w:rPr>
            </w:pPr>
            <w:r w:rsidRPr="00225AC8">
              <w:rPr>
                <w:rFonts w:eastAsia="Calibri"/>
                <w:sz w:val="20"/>
                <w:szCs w:val="20"/>
              </w:rPr>
              <w:t>1,200</w:t>
            </w:r>
          </w:p>
        </w:tc>
        <w:tc>
          <w:tcPr>
            <w:tcW w:w="1504" w:type="dxa"/>
            <w:tcBorders>
              <w:top w:val="single" w:sz="6" w:space="0" w:color="000000"/>
              <w:left w:val="single" w:sz="6" w:space="0" w:color="000000"/>
              <w:bottom w:val="single" w:sz="6" w:space="0" w:color="000000"/>
              <w:right w:val="single" w:sz="6" w:space="0" w:color="000000"/>
            </w:tcBorders>
          </w:tcPr>
          <w:p w:rsidR="00891016" w:rsidRPr="00225AC8" w:rsidP="00225AC8" w14:paraId="502914F7" w14:textId="77777777">
            <w:pPr>
              <w:ind w:right="70"/>
              <w:jc w:val="right"/>
              <w:rPr>
                <w:rFonts w:eastAsia="Calibri"/>
                <w:sz w:val="20"/>
                <w:szCs w:val="20"/>
              </w:rPr>
            </w:pPr>
            <w:r w:rsidRPr="00225AC8">
              <w:rPr>
                <w:rFonts w:eastAsia="Calibri"/>
                <w:sz w:val="20"/>
                <w:szCs w:val="20"/>
              </w:rPr>
              <w:t>0.6</w:t>
            </w:r>
          </w:p>
          <w:p w:rsidR="00891016" w:rsidRPr="00225AC8" w:rsidP="00225AC8" w14:paraId="53163726" w14:textId="77777777">
            <w:pPr>
              <w:ind w:left="-104" w:right="-20"/>
              <w:jc w:val="right"/>
              <w:rPr>
                <w:rFonts w:eastAsia="Calibri"/>
                <w:sz w:val="20"/>
                <w:szCs w:val="20"/>
              </w:rPr>
            </w:pPr>
            <w:r w:rsidRPr="00225AC8">
              <w:rPr>
                <w:rFonts w:eastAsia="Calibri"/>
                <w:sz w:val="20"/>
                <w:szCs w:val="20"/>
              </w:rPr>
              <w:t>(36 minutes)</w:t>
            </w:r>
          </w:p>
        </w:tc>
        <w:tc>
          <w:tcPr>
            <w:tcW w:w="926" w:type="dxa"/>
            <w:tcBorders>
              <w:top w:val="single" w:sz="6" w:space="0" w:color="000000"/>
              <w:left w:val="single" w:sz="6" w:space="0" w:color="000000"/>
              <w:bottom w:val="single" w:sz="6" w:space="0" w:color="000000"/>
              <w:right w:val="single" w:sz="6" w:space="0" w:color="000000"/>
            </w:tcBorders>
          </w:tcPr>
          <w:p w:rsidR="00891016" w:rsidRPr="00225AC8" w:rsidP="00225AC8" w14:paraId="164E8A78" w14:textId="77777777">
            <w:pPr>
              <w:jc w:val="right"/>
              <w:rPr>
                <w:rFonts w:eastAsia="Calibri"/>
                <w:sz w:val="20"/>
                <w:szCs w:val="20"/>
              </w:rPr>
            </w:pPr>
            <w:r w:rsidRPr="00225AC8">
              <w:rPr>
                <w:rFonts w:eastAsia="Calibri"/>
                <w:sz w:val="20"/>
                <w:szCs w:val="20"/>
              </w:rPr>
              <w:t>720</w:t>
            </w:r>
          </w:p>
        </w:tc>
      </w:tr>
      <w:tr w14:paraId="5FC7864C" w14:textId="77777777" w:rsidTr="00225AC8">
        <w:tblPrEx>
          <w:tblW w:w="9476" w:type="dxa"/>
          <w:tblInd w:w="352" w:type="dxa"/>
          <w:tblLayout w:type="fixed"/>
          <w:tblLook w:val="00A0"/>
        </w:tblPrEx>
        <w:trPr>
          <w:tblHeader/>
        </w:trPr>
        <w:tc>
          <w:tcPr>
            <w:tcW w:w="8550" w:type="dxa"/>
            <w:gridSpan w:val="5"/>
            <w:tcBorders>
              <w:top w:val="single" w:sz="6" w:space="0" w:color="000000"/>
              <w:left w:val="single" w:sz="6" w:space="0" w:color="000000"/>
              <w:bottom w:val="single" w:sz="6" w:space="0" w:color="000000"/>
              <w:right w:val="single" w:sz="6" w:space="0" w:color="000000"/>
            </w:tcBorders>
          </w:tcPr>
          <w:p w:rsidR="00891016" w:rsidRPr="00225AC8" w:rsidP="00225AC8" w14:paraId="79062DD8" w14:textId="77777777">
            <w:pPr>
              <w:ind w:left="72"/>
              <w:rPr>
                <w:rFonts w:eastAsia="Calibri"/>
                <w:sz w:val="20"/>
                <w:szCs w:val="20"/>
              </w:rPr>
            </w:pPr>
            <w:r w:rsidRPr="00225AC8">
              <w:rPr>
                <w:rFonts w:eastAsia="Calibri"/>
                <w:sz w:val="20"/>
                <w:szCs w:val="20"/>
              </w:rPr>
              <w:t>Total</w:t>
            </w:r>
          </w:p>
        </w:tc>
        <w:tc>
          <w:tcPr>
            <w:tcW w:w="926" w:type="dxa"/>
            <w:tcBorders>
              <w:top w:val="single" w:sz="6" w:space="0" w:color="000000"/>
              <w:left w:val="single" w:sz="6" w:space="0" w:color="000000"/>
              <w:bottom w:val="single" w:sz="6" w:space="0" w:color="000000"/>
              <w:right w:val="single" w:sz="6" w:space="0" w:color="000000"/>
            </w:tcBorders>
          </w:tcPr>
          <w:p w:rsidR="00891016" w:rsidRPr="00225AC8" w:rsidP="00225AC8" w14:paraId="7D19BF29" w14:textId="77777777">
            <w:pPr>
              <w:ind w:left="-101" w:right="10"/>
              <w:jc w:val="right"/>
              <w:rPr>
                <w:rFonts w:eastAsia="Calibri"/>
                <w:sz w:val="20"/>
                <w:szCs w:val="20"/>
              </w:rPr>
            </w:pPr>
            <w:r w:rsidRPr="00225AC8">
              <w:rPr>
                <w:rFonts w:eastAsia="Calibri"/>
                <w:sz w:val="20"/>
                <w:szCs w:val="20"/>
              </w:rPr>
              <w:t>2,880</w:t>
            </w:r>
          </w:p>
        </w:tc>
      </w:tr>
    </w:tbl>
    <w:p w:rsidR="00891016" w:rsidRPr="00225AC8" w:rsidP="00891016" w14:paraId="0477FBF0" w14:textId="77777777">
      <w:pPr>
        <w:spacing w:after="200"/>
        <w:ind w:left="360"/>
        <w:rPr>
          <w:rFonts w:eastAsia="Calibri"/>
          <w:sz w:val="20"/>
          <w:szCs w:val="20"/>
        </w:rPr>
      </w:pPr>
      <w:r w:rsidRPr="00225AC8">
        <w:rPr>
          <w:rFonts w:eastAsia="Calibri"/>
          <w:sz w:val="20"/>
          <w:szCs w:val="20"/>
          <w:vertAlign w:val="superscript"/>
        </w:rPr>
        <w:t xml:space="preserve">1 </w:t>
      </w:r>
      <w:r w:rsidRPr="00225AC8">
        <w:rPr>
          <w:rFonts w:eastAsia="Calibri"/>
          <w:sz w:val="20"/>
          <w:szCs w:val="20"/>
        </w:rPr>
        <w:t>There are no capital costs or operating and maintenance costs associated with this collection of information.</w:t>
      </w:r>
    </w:p>
    <w:p w:rsidR="008D52BE" w:rsidRPr="00891016" w:rsidP="00C93F40" w14:paraId="3762DB25" w14:textId="45DAF360">
      <w:pPr>
        <w:spacing w:after="200"/>
        <w:ind w:left="360"/>
        <w:rPr>
          <w:rFonts w:eastAsia="Calibri"/>
        </w:rPr>
      </w:pPr>
      <w:r w:rsidRPr="00225AC8">
        <w:rPr>
          <w:rFonts w:eastAsia="Calibri"/>
          <w:iCs/>
        </w:rPr>
        <w:t>Although it is not mandatory under section 1005 of FDAAA that responsible persons notify the sources and recipients of instances of reportable food, for purposes of the burden estimate we are assuming FDA would exercise its authority and require such notifications in all such instances for mandatory reporters.  This notification burden does not affect voluntary reporters of reportable food events</w:t>
      </w:r>
      <w:r w:rsidRPr="00891016" w:rsidR="00891016">
        <w:rPr>
          <w:rFonts w:eastAsia="Calibri"/>
        </w:rPr>
        <w:t xml:space="preserve">.  </w:t>
      </w:r>
    </w:p>
    <w:tbl>
      <w:tblPr>
        <w:tblW w:w="9386" w:type="dxa"/>
        <w:tblInd w:w="3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
      <w:tblGrid>
        <w:gridCol w:w="2636"/>
        <w:gridCol w:w="1620"/>
        <w:gridCol w:w="1530"/>
        <w:gridCol w:w="1080"/>
        <w:gridCol w:w="1440"/>
        <w:gridCol w:w="1080"/>
      </w:tblGrid>
      <w:tr w14:paraId="476A9875" w14:textId="77777777" w:rsidTr="00225AC8">
        <w:tblPrEx>
          <w:tblW w:w="9386" w:type="dxa"/>
          <w:tblInd w:w="35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tblPrEx>
        <w:trPr>
          <w:trHeight w:val="345"/>
        </w:trPr>
        <w:tc>
          <w:tcPr>
            <w:tcW w:w="9386" w:type="dxa"/>
            <w:gridSpan w:val="6"/>
            <w:tcBorders>
              <w:top w:val="single" w:sz="6" w:space="0" w:color="000000"/>
              <w:left w:val="single" w:sz="6" w:space="0" w:color="000000"/>
              <w:bottom w:val="single" w:sz="6" w:space="0" w:color="000000"/>
              <w:right w:val="single" w:sz="6" w:space="0" w:color="000000"/>
            </w:tcBorders>
          </w:tcPr>
          <w:p w:rsidR="00891016" w:rsidRPr="00225AC8" w:rsidP="00225AC8" w14:paraId="0454E1E4" w14:textId="3F171AAF">
            <w:pPr>
              <w:jc w:val="center"/>
              <w:rPr>
                <w:rFonts w:eastAsia="Calibri"/>
                <w:sz w:val="20"/>
                <w:szCs w:val="20"/>
              </w:rPr>
            </w:pPr>
            <w:r w:rsidRPr="00225AC8">
              <w:rPr>
                <w:rFonts w:eastAsia="Calibri"/>
                <w:sz w:val="20"/>
                <w:szCs w:val="20"/>
              </w:rPr>
              <w:t xml:space="preserve">Table </w:t>
            </w:r>
            <w:r w:rsidRPr="00225AC8" w:rsidR="00420803">
              <w:rPr>
                <w:rFonts w:eastAsia="Calibri"/>
                <w:sz w:val="20"/>
                <w:szCs w:val="20"/>
              </w:rPr>
              <w:t>2.--</w:t>
            </w:r>
            <w:r w:rsidRPr="00225AC8">
              <w:rPr>
                <w:rFonts w:eastAsia="Calibri"/>
                <w:sz w:val="20"/>
                <w:szCs w:val="20"/>
              </w:rPr>
              <w:t>Estimated Annual Recordkeeping Burden</w:t>
            </w:r>
            <w:r w:rsidRPr="00225AC8">
              <w:rPr>
                <w:rFonts w:eastAsia="Calibri"/>
                <w:sz w:val="20"/>
                <w:szCs w:val="20"/>
                <w:vertAlign w:val="superscript"/>
              </w:rPr>
              <w:t>1</w:t>
            </w:r>
          </w:p>
        </w:tc>
      </w:tr>
      <w:tr w14:paraId="0B9C1FB3" w14:textId="77777777" w:rsidTr="00225AC8">
        <w:tblPrEx>
          <w:tblW w:w="9386" w:type="dxa"/>
          <w:tblInd w:w="352" w:type="dxa"/>
          <w:tblLayout w:type="fixed"/>
          <w:tblLook w:val="00A0"/>
        </w:tblPrEx>
        <w:trPr>
          <w:trHeight w:val="795"/>
        </w:trPr>
        <w:tc>
          <w:tcPr>
            <w:tcW w:w="2636" w:type="dxa"/>
            <w:tcBorders>
              <w:top w:val="single" w:sz="6" w:space="0" w:color="000000"/>
              <w:left w:val="single" w:sz="6" w:space="0" w:color="000000"/>
              <w:bottom w:val="single" w:sz="6" w:space="0" w:color="000000"/>
              <w:right w:val="single" w:sz="6" w:space="0" w:color="000000"/>
            </w:tcBorders>
          </w:tcPr>
          <w:p w:rsidR="00891016" w:rsidRPr="00225AC8" w:rsidP="00225AC8" w14:paraId="5F6795EC" w14:textId="77777777">
            <w:pPr>
              <w:spacing w:after="200"/>
              <w:jc w:val="center"/>
              <w:rPr>
                <w:rFonts w:eastAsia="Calibri"/>
                <w:sz w:val="20"/>
                <w:szCs w:val="20"/>
              </w:rPr>
            </w:pPr>
            <w:r w:rsidRPr="00225AC8">
              <w:rPr>
                <w:rFonts w:eastAsia="Calibri"/>
                <w:sz w:val="20"/>
                <w:szCs w:val="20"/>
              </w:rPr>
              <w:t>Activity</w:t>
            </w:r>
          </w:p>
        </w:tc>
        <w:tc>
          <w:tcPr>
            <w:tcW w:w="1620" w:type="dxa"/>
            <w:tcBorders>
              <w:top w:val="single" w:sz="6" w:space="0" w:color="000000"/>
              <w:left w:val="single" w:sz="6" w:space="0" w:color="000000"/>
              <w:bottom w:val="single" w:sz="6" w:space="0" w:color="000000"/>
              <w:right w:val="single" w:sz="6" w:space="0" w:color="000000"/>
            </w:tcBorders>
          </w:tcPr>
          <w:p w:rsidR="00891016" w:rsidRPr="00225AC8" w:rsidP="00A21532" w14:paraId="23EF5B46" w14:textId="77777777">
            <w:pPr>
              <w:spacing w:after="200"/>
              <w:jc w:val="center"/>
              <w:rPr>
                <w:rFonts w:eastAsia="Calibri"/>
                <w:sz w:val="20"/>
                <w:szCs w:val="20"/>
              </w:rPr>
            </w:pPr>
            <w:r w:rsidRPr="00225AC8">
              <w:rPr>
                <w:rFonts w:eastAsia="Calibri"/>
                <w:sz w:val="20"/>
                <w:szCs w:val="20"/>
              </w:rPr>
              <w:t>No. of Recordkeepers</w:t>
            </w:r>
          </w:p>
        </w:tc>
        <w:tc>
          <w:tcPr>
            <w:tcW w:w="1530" w:type="dxa"/>
            <w:tcBorders>
              <w:top w:val="single" w:sz="6" w:space="0" w:color="000000"/>
              <w:left w:val="single" w:sz="6" w:space="0" w:color="000000"/>
              <w:bottom w:val="single" w:sz="6" w:space="0" w:color="000000"/>
              <w:right w:val="single" w:sz="6" w:space="0" w:color="000000"/>
            </w:tcBorders>
          </w:tcPr>
          <w:p w:rsidR="00891016" w:rsidRPr="00225AC8" w:rsidP="00225AC8" w14:paraId="308D4C6B" w14:textId="77777777">
            <w:pPr>
              <w:jc w:val="center"/>
              <w:rPr>
                <w:rFonts w:eastAsia="Calibri"/>
                <w:sz w:val="20"/>
                <w:szCs w:val="20"/>
              </w:rPr>
            </w:pPr>
            <w:r w:rsidRPr="00225AC8">
              <w:rPr>
                <w:rFonts w:eastAsia="Calibri"/>
                <w:sz w:val="20"/>
                <w:szCs w:val="20"/>
              </w:rPr>
              <w:t>No. of Records per Recordkeeper</w:t>
            </w:r>
          </w:p>
        </w:tc>
        <w:tc>
          <w:tcPr>
            <w:tcW w:w="1080" w:type="dxa"/>
            <w:tcBorders>
              <w:top w:val="single" w:sz="6" w:space="0" w:color="000000"/>
              <w:left w:val="single" w:sz="6" w:space="0" w:color="000000"/>
              <w:bottom w:val="single" w:sz="6" w:space="0" w:color="000000"/>
              <w:right w:val="single" w:sz="6" w:space="0" w:color="000000"/>
            </w:tcBorders>
          </w:tcPr>
          <w:p w:rsidR="00891016" w:rsidRPr="00225AC8" w:rsidP="00225AC8" w14:paraId="37B9835B" w14:textId="77777777">
            <w:pPr>
              <w:jc w:val="center"/>
              <w:rPr>
                <w:rFonts w:eastAsia="Calibri"/>
                <w:sz w:val="20"/>
                <w:szCs w:val="20"/>
              </w:rPr>
            </w:pPr>
            <w:r w:rsidRPr="00225AC8">
              <w:rPr>
                <w:rFonts w:eastAsia="Calibri"/>
                <w:sz w:val="20"/>
                <w:szCs w:val="20"/>
              </w:rPr>
              <w:t>Total Annual</w:t>
            </w:r>
          </w:p>
          <w:p w:rsidR="00891016" w:rsidRPr="00225AC8" w:rsidP="00225AC8" w14:paraId="62F115C5" w14:textId="77777777">
            <w:pPr>
              <w:jc w:val="center"/>
              <w:rPr>
                <w:rFonts w:eastAsia="Calibri"/>
                <w:sz w:val="20"/>
                <w:szCs w:val="20"/>
              </w:rPr>
            </w:pPr>
            <w:r w:rsidRPr="00225AC8">
              <w:rPr>
                <w:rFonts w:eastAsia="Calibri"/>
                <w:sz w:val="20"/>
                <w:szCs w:val="20"/>
              </w:rPr>
              <w:t>Records</w:t>
            </w:r>
          </w:p>
        </w:tc>
        <w:tc>
          <w:tcPr>
            <w:tcW w:w="1440" w:type="dxa"/>
            <w:tcBorders>
              <w:top w:val="single" w:sz="6" w:space="0" w:color="000000"/>
              <w:left w:val="single" w:sz="6" w:space="0" w:color="000000"/>
              <w:bottom w:val="single" w:sz="6" w:space="0" w:color="000000"/>
              <w:right w:val="single" w:sz="6" w:space="0" w:color="000000"/>
            </w:tcBorders>
          </w:tcPr>
          <w:p w:rsidR="00891016" w:rsidRPr="00225AC8" w:rsidP="00225AC8" w14:paraId="55DD0CFE" w14:textId="77777777">
            <w:pPr>
              <w:jc w:val="center"/>
              <w:rPr>
                <w:rFonts w:eastAsia="Calibri"/>
                <w:sz w:val="20"/>
                <w:szCs w:val="20"/>
              </w:rPr>
            </w:pPr>
            <w:r w:rsidRPr="00225AC8">
              <w:rPr>
                <w:rFonts w:eastAsia="Calibri"/>
                <w:sz w:val="20"/>
                <w:szCs w:val="20"/>
              </w:rPr>
              <w:t>Avg. Burden per</w:t>
            </w:r>
          </w:p>
          <w:p w:rsidR="00891016" w:rsidRPr="00225AC8" w:rsidP="00225AC8" w14:paraId="1C4851BB" w14:textId="77777777">
            <w:pPr>
              <w:jc w:val="center"/>
              <w:rPr>
                <w:rFonts w:eastAsia="Calibri"/>
                <w:sz w:val="20"/>
                <w:szCs w:val="20"/>
              </w:rPr>
            </w:pPr>
            <w:r w:rsidRPr="00225AC8">
              <w:rPr>
                <w:rFonts w:eastAsia="Calibri"/>
                <w:sz w:val="20"/>
                <w:szCs w:val="20"/>
              </w:rPr>
              <w:t>Record</w:t>
            </w:r>
          </w:p>
        </w:tc>
        <w:tc>
          <w:tcPr>
            <w:tcW w:w="1080" w:type="dxa"/>
            <w:tcBorders>
              <w:top w:val="single" w:sz="6" w:space="0" w:color="000000"/>
              <w:left w:val="single" w:sz="6" w:space="0" w:color="000000"/>
              <w:bottom w:val="single" w:sz="6" w:space="0" w:color="000000"/>
              <w:right w:val="single" w:sz="6" w:space="0" w:color="000000"/>
            </w:tcBorders>
          </w:tcPr>
          <w:p w:rsidR="00891016" w:rsidRPr="00225AC8" w:rsidP="00A21532" w14:paraId="1D74242A" w14:textId="77777777">
            <w:pPr>
              <w:spacing w:after="200"/>
              <w:ind w:left="-14"/>
              <w:jc w:val="center"/>
              <w:rPr>
                <w:rFonts w:eastAsia="Calibri"/>
                <w:sz w:val="20"/>
                <w:szCs w:val="20"/>
              </w:rPr>
            </w:pPr>
            <w:r w:rsidRPr="00225AC8">
              <w:rPr>
                <w:rFonts w:eastAsia="Calibri"/>
                <w:sz w:val="20"/>
                <w:szCs w:val="20"/>
              </w:rPr>
              <w:t>Total Hours</w:t>
            </w:r>
          </w:p>
        </w:tc>
      </w:tr>
      <w:tr w14:paraId="408F5DA5" w14:textId="77777777" w:rsidTr="00225AC8">
        <w:tblPrEx>
          <w:tblW w:w="9386" w:type="dxa"/>
          <w:tblInd w:w="352" w:type="dxa"/>
          <w:tblLayout w:type="fixed"/>
          <w:tblLook w:val="00A0"/>
        </w:tblPrEx>
        <w:trPr>
          <w:trHeight w:val="975"/>
        </w:trPr>
        <w:tc>
          <w:tcPr>
            <w:tcW w:w="2636" w:type="dxa"/>
            <w:tcBorders>
              <w:top w:val="single" w:sz="6" w:space="0" w:color="000000"/>
              <w:left w:val="single" w:sz="6" w:space="0" w:color="000000"/>
              <w:bottom w:val="single" w:sz="6" w:space="0" w:color="000000"/>
              <w:right w:val="single" w:sz="6" w:space="0" w:color="000000"/>
            </w:tcBorders>
          </w:tcPr>
          <w:p w:rsidR="00891016" w:rsidRPr="00225AC8" w:rsidP="00225AC8" w14:paraId="7F78D197" w14:textId="77777777">
            <w:pPr>
              <w:rPr>
                <w:rFonts w:eastAsia="Calibri"/>
                <w:sz w:val="20"/>
                <w:szCs w:val="20"/>
              </w:rPr>
            </w:pPr>
            <w:r w:rsidRPr="00225AC8">
              <w:rPr>
                <w:rFonts w:eastAsia="Calibri"/>
                <w:sz w:val="20"/>
                <w:szCs w:val="20"/>
              </w:rPr>
              <w:t>Maintenance of reportable food records under section 417(g) of the FD&amp;C Act (mandatory reports)</w:t>
            </w:r>
          </w:p>
        </w:tc>
        <w:tc>
          <w:tcPr>
            <w:tcW w:w="1620" w:type="dxa"/>
            <w:tcBorders>
              <w:top w:val="single" w:sz="6" w:space="0" w:color="000000"/>
              <w:left w:val="single" w:sz="6" w:space="0" w:color="000000"/>
              <w:bottom w:val="single" w:sz="6" w:space="0" w:color="000000"/>
              <w:right w:val="single" w:sz="6" w:space="0" w:color="000000"/>
            </w:tcBorders>
          </w:tcPr>
          <w:p w:rsidR="00891016" w:rsidRPr="00225AC8" w:rsidP="00225AC8" w14:paraId="590D9D91" w14:textId="77777777">
            <w:pPr>
              <w:jc w:val="right"/>
              <w:rPr>
                <w:rFonts w:eastAsia="Calibri"/>
                <w:sz w:val="20"/>
                <w:szCs w:val="20"/>
              </w:rPr>
            </w:pPr>
            <w:r w:rsidRPr="00225AC8">
              <w:rPr>
                <w:rFonts w:eastAsia="Calibri"/>
                <w:sz w:val="20"/>
                <w:szCs w:val="20"/>
              </w:rPr>
              <w:t>1,200</w:t>
            </w:r>
          </w:p>
        </w:tc>
        <w:tc>
          <w:tcPr>
            <w:tcW w:w="1530" w:type="dxa"/>
            <w:tcBorders>
              <w:top w:val="single" w:sz="6" w:space="0" w:color="000000"/>
              <w:left w:val="single" w:sz="6" w:space="0" w:color="000000"/>
              <w:bottom w:val="single" w:sz="6" w:space="0" w:color="000000"/>
              <w:right w:val="single" w:sz="6" w:space="0" w:color="000000"/>
            </w:tcBorders>
          </w:tcPr>
          <w:p w:rsidR="00891016" w:rsidRPr="00225AC8" w:rsidP="00225AC8" w14:paraId="7A62AC7F" w14:textId="77777777">
            <w:pPr>
              <w:jc w:val="right"/>
              <w:rPr>
                <w:rFonts w:eastAsia="Calibri"/>
                <w:sz w:val="20"/>
                <w:szCs w:val="20"/>
              </w:rPr>
            </w:pPr>
            <w:r w:rsidRPr="00225AC8">
              <w:rPr>
                <w:rFonts w:eastAsia="Calibri"/>
                <w:sz w:val="20"/>
                <w:szCs w:val="20"/>
              </w:rPr>
              <w:t>1</w:t>
            </w:r>
          </w:p>
        </w:tc>
        <w:tc>
          <w:tcPr>
            <w:tcW w:w="1080" w:type="dxa"/>
            <w:tcBorders>
              <w:top w:val="single" w:sz="6" w:space="0" w:color="000000"/>
              <w:left w:val="single" w:sz="6" w:space="0" w:color="000000"/>
              <w:bottom w:val="single" w:sz="6" w:space="0" w:color="000000"/>
              <w:right w:val="single" w:sz="6" w:space="0" w:color="000000"/>
            </w:tcBorders>
          </w:tcPr>
          <w:p w:rsidR="00891016" w:rsidRPr="00225AC8" w:rsidP="00225AC8" w14:paraId="368088C3" w14:textId="77777777">
            <w:pPr>
              <w:jc w:val="right"/>
              <w:rPr>
                <w:rFonts w:eastAsia="Calibri"/>
                <w:sz w:val="20"/>
                <w:szCs w:val="20"/>
              </w:rPr>
            </w:pPr>
            <w:r w:rsidRPr="00225AC8">
              <w:rPr>
                <w:rFonts w:eastAsia="Calibri"/>
                <w:sz w:val="20"/>
                <w:szCs w:val="20"/>
              </w:rPr>
              <w:t>1,200</w:t>
            </w:r>
          </w:p>
        </w:tc>
        <w:tc>
          <w:tcPr>
            <w:tcW w:w="1440" w:type="dxa"/>
            <w:tcBorders>
              <w:top w:val="single" w:sz="6" w:space="0" w:color="000000"/>
              <w:left w:val="single" w:sz="6" w:space="0" w:color="000000"/>
              <w:bottom w:val="single" w:sz="6" w:space="0" w:color="000000"/>
              <w:right w:val="single" w:sz="6" w:space="0" w:color="000000"/>
            </w:tcBorders>
          </w:tcPr>
          <w:p w:rsidR="00891016" w:rsidRPr="00225AC8" w:rsidP="00225AC8" w14:paraId="7C0B67CB" w14:textId="77777777">
            <w:pPr>
              <w:jc w:val="right"/>
              <w:rPr>
                <w:rFonts w:eastAsia="Calibri"/>
                <w:sz w:val="20"/>
                <w:szCs w:val="20"/>
              </w:rPr>
            </w:pPr>
            <w:r w:rsidRPr="00225AC8">
              <w:rPr>
                <w:rFonts w:eastAsia="Calibri"/>
                <w:sz w:val="20"/>
                <w:szCs w:val="20"/>
              </w:rPr>
              <w:t>0.25</w:t>
            </w:r>
          </w:p>
          <w:p w:rsidR="00891016" w:rsidRPr="00225AC8" w:rsidP="00225AC8" w14:paraId="5C99D779" w14:textId="77777777">
            <w:pPr>
              <w:jc w:val="right"/>
              <w:rPr>
                <w:rFonts w:eastAsia="Calibri"/>
                <w:sz w:val="20"/>
                <w:szCs w:val="20"/>
              </w:rPr>
            </w:pPr>
            <w:r w:rsidRPr="00225AC8">
              <w:rPr>
                <w:rFonts w:eastAsia="Calibri"/>
                <w:sz w:val="20"/>
                <w:szCs w:val="20"/>
              </w:rPr>
              <w:t>(15 minutes)</w:t>
            </w:r>
          </w:p>
        </w:tc>
        <w:tc>
          <w:tcPr>
            <w:tcW w:w="1080" w:type="dxa"/>
            <w:tcBorders>
              <w:top w:val="single" w:sz="6" w:space="0" w:color="000000"/>
              <w:left w:val="single" w:sz="6" w:space="0" w:color="000000"/>
              <w:bottom w:val="single" w:sz="6" w:space="0" w:color="000000"/>
              <w:right w:val="single" w:sz="6" w:space="0" w:color="000000"/>
            </w:tcBorders>
          </w:tcPr>
          <w:p w:rsidR="00891016" w:rsidRPr="00225AC8" w:rsidP="00225AC8" w14:paraId="14EC1932" w14:textId="77777777">
            <w:pPr>
              <w:jc w:val="right"/>
              <w:rPr>
                <w:rFonts w:eastAsia="Calibri"/>
                <w:sz w:val="20"/>
                <w:szCs w:val="20"/>
              </w:rPr>
            </w:pPr>
            <w:r w:rsidRPr="00225AC8">
              <w:rPr>
                <w:rFonts w:eastAsia="Calibri"/>
                <w:sz w:val="20"/>
                <w:szCs w:val="20"/>
              </w:rPr>
              <w:t>300</w:t>
            </w:r>
          </w:p>
        </w:tc>
      </w:tr>
      <w:tr w14:paraId="7159D0A5" w14:textId="77777777" w:rsidTr="00225AC8">
        <w:tblPrEx>
          <w:tblW w:w="9386" w:type="dxa"/>
          <w:tblInd w:w="352" w:type="dxa"/>
          <w:tblLayout w:type="fixed"/>
          <w:tblLook w:val="00A0"/>
        </w:tblPrEx>
        <w:trPr>
          <w:trHeight w:val="1065"/>
        </w:trPr>
        <w:tc>
          <w:tcPr>
            <w:tcW w:w="2636" w:type="dxa"/>
            <w:tcBorders>
              <w:top w:val="single" w:sz="6" w:space="0" w:color="000000"/>
              <w:left w:val="single" w:sz="6" w:space="0" w:color="000000"/>
              <w:bottom w:val="single" w:sz="6" w:space="0" w:color="000000"/>
              <w:right w:val="single" w:sz="6" w:space="0" w:color="000000"/>
            </w:tcBorders>
          </w:tcPr>
          <w:p w:rsidR="00891016" w:rsidRPr="00225AC8" w:rsidP="00225AC8" w14:paraId="57084B8C" w14:textId="77777777">
            <w:pPr>
              <w:rPr>
                <w:rFonts w:eastAsia="Calibri"/>
                <w:sz w:val="20"/>
                <w:szCs w:val="20"/>
              </w:rPr>
            </w:pPr>
            <w:r w:rsidRPr="00225AC8">
              <w:rPr>
                <w:rFonts w:eastAsia="Calibri"/>
                <w:sz w:val="20"/>
                <w:szCs w:val="20"/>
              </w:rPr>
              <w:t>Maintenance of reportable food records under section 417(g) of the FD&amp;C Act (voluntary reports)</w:t>
            </w:r>
          </w:p>
        </w:tc>
        <w:tc>
          <w:tcPr>
            <w:tcW w:w="1620" w:type="dxa"/>
            <w:tcBorders>
              <w:top w:val="single" w:sz="6" w:space="0" w:color="000000"/>
              <w:left w:val="single" w:sz="6" w:space="0" w:color="000000"/>
              <w:bottom w:val="single" w:sz="6" w:space="0" w:color="000000"/>
              <w:right w:val="single" w:sz="6" w:space="0" w:color="000000"/>
            </w:tcBorders>
          </w:tcPr>
          <w:p w:rsidR="00891016" w:rsidRPr="00225AC8" w:rsidP="00225AC8" w14:paraId="74471412" w14:textId="77777777">
            <w:pPr>
              <w:jc w:val="right"/>
              <w:rPr>
                <w:rFonts w:eastAsia="Calibri"/>
                <w:sz w:val="20"/>
                <w:szCs w:val="20"/>
              </w:rPr>
            </w:pPr>
            <w:r w:rsidRPr="00225AC8">
              <w:rPr>
                <w:rFonts w:eastAsia="Calibri"/>
                <w:sz w:val="20"/>
                <w:szCs w:val="20"/>
              </w:rPr>
              <w:t>4</w:t>
            </w:r>
          </w:p>
        </w:tc>
        <w:tc>
          <w:tcPr>
            <w:tcW w:w="1530" w:type="dxa"/>
            <w:tcBorders>
              <w:top w:val="single" w:sz="6" w:space="0" w:color="000000"/>
              <w:left w:val="single" w:sz="6" w:space="0" w:color="000000"/>
              <w:bottom w:val="single" w:sz="6" w:space="0" w:color="000000"/>
              <w:right w:val="single" w:sz="6" w:space="0" w:color="000000"/>
            </w:tcBorders>
          </w:tcPr>
          <w:p w:rsidR="00891016" w:rsidRPr="00225AC8" w:rsidP="00225AC8" w14:paraId="65D9EB0D" w14:textId="77777777">
            <w:pPr>
              <w:jc w:val="right"/>
              <w:rPr>
                <w:rFonts w:eastAsia="Calibri"/>
                <w:sz w:val="20"/>
                <w:szCs w:val="20"/>
              </w:rPr>
            </w:pPr>
            <w:r w:rsidRPr="00225AC8">
              <w:rPr>
                <w:rFonts w:eastAsia="Calibri"/>
                <w:sz w:val="20"/>
                <w:szCs w:val="20"/>
              </w:rPr>
              <w:t>1</w:t>
            </w:r>
          </w:p>
        </w:tc>
        <w:tc>
          <w:tcPr>
            <w:tcW w:w="1080" w:type="dxa"/>
            <w:tcBorders>
              <w:top w:val="single" w:sz="6" w:space="0" w:color="000000"/>
              <w:left w:val="single" w:sz="6" w:space="0" w:color="000000"/>
              <w:bottom w:val="single" w:sz="6" w:space="0" w:color="000000"/>
              <w:right w:val="single" w:sz="6" w:space="0" w:color="000000"/>
            </w:tcBorders>
          </w:tcPr>
          <w:p w:rsidR="00891016" w:rsidRPr="00225AC8" w:rsidP="00225AC8" w14:paraId="741B3CF1" w14:textId="77777777">
            <w:pPr>
              <w:jc w:val="right"/>
              <w:rPr>
                <w:rFonts w:eastAsia="Calibri"/>
                <w:sz w:val="20"/>
                <w:szCs w:val="20"/>
              </w:rPr>
            </w:pPr>
            <w:r w:rsidRPr="00225AC8">
              <w:rPr>
                <w:rFonts w:eastAsia="Calibri"/>
                <w:sz w:val="20"/>
                <w:szCs w:val="20"/>
              </w:rPr>
              <w:t>4</w:t>
            </w:r>
          </w:p>
        </w:tc>
        <w:tc>
          <w:tcPr>
            <w:tcW w:w="1440" w:type="dxa"/>
            <w:tcBorders>
              <w:top w:val="single" w:sz="6" w:space="0" w:color="000000"/>
              <w:left w:val="single" w:sz="6" w:space="0" w:color="000000"/>
              <w:bottom w:val="single" w:sz="6" w:space="0" w:color="000000"/>
              <w:right w:val="single" w:sz="6" w:space="0" w:color="000000"/>
            </w:tcBorders>
          </w:tcPr>
          <w:p w:rsidR="00891016" w:rsidRPr="00225AC8" w:rsidP="00225AC8" w14:paraId="53FDE6FB" w14:textId="77777777">
            <w:pPr>
              <w:jc w:val="right"/>
              <w:rPr>
                <w:rFonts w:eastAsia="Calibri"/>
                <w:sz w:val="20"/>
                <w:szCs w:val="20"/>
              </w:rPr>
            </w:pPr>
            <w:r w:rsidRPr="00225AC8">
              <w:rPr>
                <w:rFonts w:eastAsia="Calibri"/>
                <w:sz w:val="20"/>
                <w:szCs w:val="20"/>
              </w:rPr>
              <w:t>0.25</w:t>
            </w:r>
          </w:p>
          <w:p w:rsidR="00891016" w:rsidRPr="00225AC8" w:rsidP="00225AC8" w14:paraId="4E9307B8" w14:textId="77777777">
            <w:pPr>
              <w:jc w:val="right"/>
              <w:rPr>
                <w:rFonts w:eastAsia="Calibri"/>
                <w:sz w:val="20"/>
                <w:szCs w:val="20"/>
              </w:rPr>
            </w:pPr>
            <w:r w:rsidRPr="00225AC8">
              <w:rPr>
                <w:rFonts w:eastAsia="Calibri"/>
                <w:sz w:val="20"/>
                <w:szCs w:val="20"/>
              </w:rPr>
              <w:t>(15 minutes)</w:t>
            </w:r>
          </w:p>
        </w:tc>
        <w:tc>
          <w:tcPr>
            <w:tcW w:w="1080" w:type="dxa"/>
            <w:tcBorders>
              <w:top w:val="single" w:sz="6" w:space="0" w:color="000000"/>
              <w:left w:val="single" w:sz="6" w:space="0" w:color="000000"/>
              <w:bottom w:val="single" w:sz="6" w:space="0" w:color="000000"/>
              <w:right w:val="single" w:sz="6" w:space="0" w:color="000000"/>
            </w:tcBorders>
          </w:tcPr>
          <w:p w:rsidR="00891016" w:rsidRPr="00225AC8" w:rsidP="00225AC8" w14:paraId="799C0431" w14:textId="77777777">
            <w:pPr>
              <w:jc w:val="right"/>
              <w:rPr>
                <w:rFonts w:eastAsia="Calibri"/>
                <w:sz w:val="20"/>
                <w:szCs w:val="20"/>
              </w:rPr>
            </w:pPr>
            <w:r w:rsidRPr="00225AC8">
              <w:rPr>
                <w:rFonts w:eastAsia="Calibri"/>
                <w:sz w:val="20"/>
                <w:szCs w:val="20"/>
              </w:rPr>
              <w:t>1</w:t>
            </w:r>
          </w:p>
        </w:tc>
      </w:tr>
      <w:tr w14:paraId="770EDC85" w14:textId="77777777" w:rsidTr="00225AC8">
        <w:tblPrEx>
          <w:tblW w:w="9386" w:type="dxa"/>
          <w:tblInd w:w="352" w:type="dxa"/>
          <w:tblLayout w:type="fixed"/>
          <w:tblLook w:val="00A0"/>
        </w:tblPrEx>
        <w:trPr>
          <w:trHeight w:val="255"/>
        </w:trPr>
        <w:tc>
          <w:tcPr>
            <w:tcW w:w="8306" w:type="dxa"/>
            <w:gridSpan w:val="5"/>
            <w:tcBorders>
              <w:top w:val="single" w:sz="6" w:space="0" w:color="000000"/>
              <w:left w:val="single" w:sz="6" w:space="0" w:color="000000"/>
              <w:bottom w:val="single" w:sz="6" w:space="0" w:color="000000"/>
              <w:right w:val="single" w:sz="6" w:space="0" w:color="000000"/>
            </w:tcBorders>
          </w:tcPr>
          <w:p w:rsidR="00E313EA" w:rsidRPr="00225AC8" w:rsidP="00225AC8" w14:paraId="3BADE9B4" w14:textId="60B50128">
            <w:pPr>
              <w:rPr>
                <w:rFonts w:eastAsia="Calibri"/>
                <w:sz w:val="20"/>
                <w:szCs w:val="20"/>
              </w:rPr>
            </w:pPr>
            <w:r w:rsidRPr="00225AC8">
              <w:rPr>
                <w:rFonts w:eastAsia="Calibri"/>
                <w:sz w:val="20"/>
                <w:szCs w:val="20"/>
              </w:rPr>
              <w:t>Total</w:t>
            </w:r>
          </w:p>
        </w:tc>
        <w:tc>
          <w:tcPr>
            <w:tcW w:w="1080" w:type="dxa"/>
            <w:tcBorders>
              <w:top w:val="single" w:sz="6" w:space="0" w:color="000000"/>
              <w:left w:val="single" w:sz="6" w:space="0" w:color="000000"/>
              <w:bottom w:val="single" w:sz="6" w:space="0" w:color="000000"/>
              <w:right w:val="single" w:sz="6" w:space="0" w:color="000000"/>
            </w:tcBorders>
          </w:tcPr>
          <w:p w:rsidR="00E313EA" w:rsidRPr="00225AC8" w:rsidP="00225AC8" w14:paraId="19EB6859" w14:textId="77777777">
            <w:pPr>
              <w:jc w:val="right"/>
              <w:rPr>
                <w:rFonts w:eastAsia="Calibri"/>
                <w:sz w:val="20"/>
                <w:szCs w:val="20"/>
              </w:rPr>
            </w:pPr>
            <w:r w:rsidRPr="00225AC8">
              <w:rPr>
                <w:rFonts w:eastAsia="Calibri"/>
                <w:sz w:val="20"/>
                <w:szCs w:val="20"/>
              </w:rPr>
              <w:t>301</w:t>
            </w:r>
          </w:p>
        </w:tc>
      </w:tr>
    </w:tbl>
    <w:p w:rsidR="005167B6" w:rsidRPr="00225AC8" w:rsidP="00225AC8" w14:paraId="102ED161" w14:textId="77777777">
      <w:pPr>
        <w:ind w:left="360"/>
        <w:rPr>
          <w:rFonts w:eastAsia="Calibri"/>
          <w:sz w:val="20"/>
          <w:szCs w:val="20"/>
          <w:vertAlign w:val="superscript"/>
        </w:rPr>
      </w:pPr>
      <w:r w:rsidRPr="00225AC8">
        <w:rPr>
          <w:rFonts w:eastAsia="Calibri"/>
          <w:sz w:val="20"/>
          <w:szCs w:val="20"/>
          <w:vertAlign w:val="superscript"/>
        </w:rPr>
        <w:t xml:space="preserve">1 </w:t>
      </w:r>
      <w:r w:rsidRPr="00225AC8">
        <w:rPr>
          <w:rFonts w:eastAsia="Calibri"/>
          <w:sz w:val="20"/>
          <w:szCs w:val="20"/>
        </w:rPr>
        <w:t>There are no capital costs or operating and maintenance costs associated with this collection of information.</w:t>
      </w:r>
    </w:p>
    <w:p w:rsidR="00891016" w:rsidRPr="00225AC8" w:rsidP="00891016" w14:paraId="6F2341D7" w14:textId="77777777">
      <w:pPr>
        <w:spacing w:after="200"/>
        <w:ind w:left="360"/>
        <w:rPr>
          <w:rFonts w:eastAsia="Calibri"/>
          <w:sz w:val="20"/>
          <w:szCs w:val="20"/>
        </w:rPr>
      </w:pPr>
      <w:r w:rsidRPr="00225AC8">
        <w:rPr>
          <w:rFonts w:eastAsia="Calibri"/>
          <w:sz w:val="20"/>
          <w:szCs w:val="20"/>
          <w:vertAlign w:val="superscript"/>
        </w:rPr>
        <w:t xml:space="preserve">2 </w:t>
      </w:r>
      <w:r w:rsidRPr="00225AC8">
        <w:rPr>
          <w:rFonts w:eastAsia="Calibri"/>
          <w:sz w:val="20"/>
          <w:szCs w:val="20"/>
        </w:rPr>
        <w:t>For purposes of estimating number of records and hours per record, a “record” means all records kept for an individual reportable food by the responsible party or a voluntary reporter.</w:t>
      </w:r>
    </w:p>
    <w:p w:rsidR="00AB10F1" w:rsidP="009F78C8" w14:paraId="2489202A" w14:textId="76931A80">
      <w:pPr>
        <w:spacing w:after="200"/>
        <w:ind w:left="360"/>
        <w:rPr>
          <w:rFonts w:eastAsia="Calibri"/>
          <w:iCs/>
        </w:rPr>
      </w:pPr>
      <w:r>
        <w:t>The total burden for this information collection is</w:t>
      </w:r>
      <w:r>
        <w:t xml:space="preserve"> 3,181 hours. </w:t>
      </w:r>
    </w:p>
    <w:p w:rsidR="009F78C8" w:rsidRPr="00225AC8" w:rsidP="009F78C8" w14:paraId="35400A3C" w14:textId="6EFE156E">
      <w:pPr>
        <w:spacing w:after="200"/>
        <w:ind w:left="360"/>
        <w:rPr>
          <w:rFonts w:eastAsia="Calibri"/>
          <w:iCs/>
        </w:rPr>
      </w:pPr>
      <w:r w:rsidRPr="00225AC8">
        <w:rPr>
          <w:rFonts w:eastAsia="Calibri"/>
          <w:iCs/>
        </w:rPr>
        <w:t xml:space="preserve">As noted previously, section 417(g) of the FD&amp;C Act requires that responsible persons maintain records related to reportable foods reports and notifications for a period of 2 years.  However, we do not expect that records will always be kept in relation to voluntary reportable food reports. </w:t>
      </w:r>
    </w:p>
    <w:p w:rsidR="00357C8A" w:rsidRPr="005C71CA" w:rsidP="00DC371B" w14:paraId="1280E312" w14:textId="77777777">
      <w:pPr>
        <w:spacing w:after="200"/>
        <w:ind w:left="360"/>
        <w:rPr>
          <w:rFonts w:eastAsia="Calibri"/>
        </w:rPr>
      </w:pPr>
      <w:r w:rsidRPr="005C71CA">
        <w:rPr>
          <w:rFonts w:eastAsia="Calibri"/>
        </w:rPr>
        <w:t>12b.  Annualized Cost Burden Estimate</w:t>
      </w:r>
    </w:p>
    <w:p w:rsidR="00420803" w:rsidRPr="00340562" w:rsidP="00A21532" w14:paraId="7593DF09" w14:textId="22E39884">
      <w:pPr>
        <w:pStyle w:val="BodyText2"/>
        <w:ind w:left="360"/>
      </w:pPr>
      <w:r>
        <w:t>The total cost burden for this collection is estimated to be $</w:t>
      </w:r>
      <w:r w:rsidR="00B26CCA">
        <w:t>403</w:t>
      </w:r>
      <w:r>
        <w:t>,</w:t>
      </w:r>
      <w:r w:rsidR="00B26CCA">
        <w:t>566</w:t>
      </w:r>
      <w:r>
        <w:t>.</w:t>
      </w:r>
      <w:r w:rsidR="00B26CCA">
        <w:t>86</w:t>
      </w:r>
      <w:r>
        <w:t xml:space="preserve">.  </w:t>
      </w:r>
      <w:r w:rsidRPr="00340562">
        <w:t xml:space="preserve">For </w:t>
      </w:r>
      <w:r w:rsidR="00B44B8F">
        <w:t xml:space="preserve">disclosures </w:t>
      </w:r>
      <w:r>
        <w:t>under section 417(d)(6)</w:t>
      </w:r>
      <w:r w:rsidRPr="00340562">
        <w:t>, the annual hour cost burden to respondents is approximately $</w:t>
      </w:r>
      <w:r w:rsidR="005167B6">
        <w:t>182</w:t>
      </w:r>
      <w:r w:rsidRPr="009B13BC">
        <w:t>,</w:t>
      </w:r>
      <w:r w:rsidR="005167B6">
        <w:t>688</w:t>
      </w:r>
      <w:r w:rsidRPr="00340562" w:rsidR="005167B6">
        <w:rPr>
          <w:bCs/>
        </w:rPr>
        <w:t xml:space="preserve"> </w:t>
      </w:r>
      <w:r w:rsidRPr="00340562">
        <w:t>per year.  This estimate is based upon the report being submitted by an employee making a salary equivalent to a GS-14-1 level in the locality pay area of Washington-Baltimore in 20</w:t>
      </w:r>
      <w:r>
        <w:t>2</w:t>
      </w:r>
      <w:r w:rsidR="005167B6">
        <w:t>3</w:t>
      </w:r>
      <w:r w:rsidRPr="00340562">
        <w:t>, which is $</w:t>
      </w:r>
      <w:r w:rsidR="005167B6">
        <w:t>63</w:t>
      </w:r>
      <w:r>
        <w:t>.</w:t>
      </w:r>
      <w:r w:rsidR="005167B6">
        <w:t>43</w:t>
      </w:r>
      <w:r w:rsidRPr="00340562">
        <w:t>/hour, increased 100% to $</w:t>
      </w:r>
      <w:r w:rsidR="005167B6">
        <w:t>126</w:t>
      </w:r>
      <w:r>
        <w:t>.</w:t>
      </w:r>
      <w:r w:rsidR="005167B6">
        <w:t>86</w:t>
      </w:r>
      <w:r w:rsidRPr="00340562" w:rsidR="005167B6">
        <w:t xml:space="preserve"> </w:t>
      </w:r>
      <w:r w:rsidRPr="00340562">
        <w:t xml:space="preserve">to account for overhead.   </w:t>
      </w:r>
      <w:r>
        <w:t>We</w:t>
      </w:r>
      <w:r w:rsidRPr="00340562">
        <w:t xml:space="preserve"> estimate that each </w:t>
      </w:r>
      <w:r w:rsidR="003F10F7">
        <w:t>disclosure</w:t>
      </w:r>
      <w:r w:rsidRPr="00340562" w:rsidR="003F10F7">
        <w:t xml:space="preserve"> </w:t>
      </w:r>
      <w:r w:rsidRPr="00340562">
        <w:t>to notify immediate previous source(s) and immediate subsequent recipient(s) of a reportable food event costs</w:t>
      </w:r>
      <w:r w:rsidR="008556A5">
        <w:t xml:space="preserve"> approximately</w:t>
      </w:r>
      <w:r w:rsidRPr="00340562">
        <w:t xml:space="preserve"> $</w:t>
      </w:r>
      <w:r w:rsidR="005167B6">
        <w:t>76</w:t>
      </w:r>
      <w:r>
        <w:t>.</w:t>
      </w:r>
      <w:r w:rsidR="005167B6">
        <w:t>12</w:t>
      </w:r>
      <w:r w:rsidRPr="00340562" w:rsidR="005167B6">
        <w:t xml:space="preserve"> </w:t>
      </w:r>
      <w:r w:rsidRPr="00340562">
        <w:t>($</w:t>
      </w:r>
      <w:r w:rsidR="005167B6">
        <w:t>126</w:t>
      </w:r>
      <w:r>
        <w:t>.</w:t>
      </w:r>
      <w:r w:rsidR="005167B6">
        <w:t>86</w:t>
      </w:r>
      <w:r w:rsidRPr="00340562" w:rsidR="005167B6">
        <w:t xml:space="preserve"> </w:t>
      </w:r>
      <w:r w:rsidRPr="00340562">
        <w:t xml:space="preserve">x 0.6 hours).  Thus, </w:t>
      </w:r>
      <w:r w:rsidRPr="00340562">
        <w:rPr>
          <w:bCs/>
        </w:rPr>
        <w:t>the overall estimated cost incurred by the respondents is $</w:t>
      </w:r>
      <w:bookmarkStart w:id="2" w:name="_Hlk48136578"/>
      <w:r w:rsidR="005167B6">
        <w:rPr>
          <w:bCs/>
        </w:rPr>
        <w:t>182</w:t>
      </w:r>
      <w:r>
        <w:rPr>
          <w:bCs/>
        </w:rPr>
        <w:t>,</w:t>
      </w:r>
      <w:bookmarkEnd w:id="2"/>
      <w:r w:rsidR="005167B6">
        <w:rPr>
          <w:bCs/>
        </w:rPr>
        <w:t>688</w:t>
      </w:r>
      <w:r w:rsidRPr="00340562" w:rsidR="005167B6">
        <w:rPr>
          <w:bCs/>
        </w:rPr>
        <w:t xml:space="preserve"> </w:t>
      </w:r>
      <w:r w:rsidRPr="00340562">
        <w:rPr>
          <w:bCs/>
        </w:rPr>
        <w:t>(</w:t>
      </w:r>
      <w:r w:rsidRPr="00340562">
        <w:t>2,400 reports</w:t>
      </w:r>
      <w:r w:rsidRPr="00340562">
        <w:rPr>
          <w:bCs/>
        </w:rPr>
        <w:t xml:space="preserve"> x $</w:t>
      </w:r>
      <w:r w:rsidR="005167B6">
        <w:rPr>
          <w:bCs/>
        </w:rPr>
        <w:t>76</w:t>
      </w:r>
      <w:r>
        <w:rPr>
          <w:bCs/>
        </w:rPr>
        <w:t>.</w:t>
      </w:r>
      <w:r w:rsidR="005167B6">
        <w:rPr>
          <w:bCs/>
        </w:rPr>
        <w:t>12</w:t>
      </w:r>
      <w:r w:rsidRPr="00340562">
        <w:rPr>
          <w:bCs/>
        </w:rPr>
        <w:t xml:space="preserve">/report). </w:t>
      </w:r>
    </w:p>
    <w:p w:rsidR="00420803" w:rsidRPr="00340562" w:rsidP="00A21532" w14:paraId="44E050A2" w14:textId="77777777">
      <w:pPr>
        <w:pStyle w:val="BodyText2"/>
        <w:ind w:left="360"/>
      </w:pPr>
    </w:p>
    <w:p w:rsidR="00420803" w:rsidRPr="00340562" w:rsidP="006E5D21" w14:paraId="6C823423" w14:textId="1EDFD87F">
      <w:pPr>
        <w:pStyle w:val="BodyText2"/>
        <w:ind w:left="360"/>
      </w:pPr>
      <w:r w:rsidRPr="003049B2">
        <w:t>For disclosures under section 417(d)(</w:t>
      </w:r>
      <w:r>
        <w:t>7</w:t>
      </w:r>
      <w:r w:rsidRPr="003049B2">
        <w:t>),</w:t>
      </w:r>
      <w:r>
        <w:t xml:space="preserve"> w</w:t>
      </w:r>
      <w:r>
        <w:t>e</w:t>
      </w:r>
      <w:r w:rsidRPr="00340562">
        <w:t xml:space="preserve"> estimate</w:t>
      </w:r>
      <w:r>
        <w:t xml:space="preserve"> an</w:t>
      </w:r>
      <w:r w:rsidRPr="00340562">
        <w:t xml:space="preserve"> hour</w:t>
      </w:r>
      <w:r>
        <w:t>ly</w:t>
      </w:r>
      <w:r w:rsidRPr="00340562">
        <w:t xml:space="preserve"> burden cost for notification by immediate previous source or immediate subsequent recipient to immediate previous source(s) and immediate subsequent recipient(s) to be $</w:t>
      </w:r>
      <w:r w:rsidR="00B26CCA">
        <w:t>76</w:t>
      </w:r>
      <w:r>
        <w:t>.</w:t>
      </w:r>
      <w:r w:rsidR="00B26CCA">
        <w:t>12</w:t>
      </w:r>
      <w:r w:rsidRPr="00340562" w:rsidR="00B26CCA">
        <w:t xml:space="preserve"> </w:t>
      </w:r>
      <w:r w:rsidRPr="00340562">
        <w:t>($</w:t>
      </w:r>
      <w:r w:rsidR="00B26CCA">
        <w:t>126</w:t>
      </w:r>
      <w:r>
        <w:t>.</w:t>
      </w:r>
      <w:r w:rsidR="00B26CCA">
        <w:t>86</w:t>
      </w:r>
      <w:r w:rsidRPr="00340562" w:rsidR="00B26CCA">
        <w:t xml:space="preserve"> </w:t>
      </w:r>
      <w:r w:rsidRPr="00340562">
        <w:t>x 0.6 hours).  This estimate is based upon the report being submitted by an employee making a salary equivalent to a GS-14-1 level in the locality pay area</w:t>
      </w:r>
      <w:r>
        <w:t xml:space="preserve"> of Washington-Baltimore in 202</w:t>
      </w:r>
      <w:r w:rsidR="00B26CCA">
        <w:t>3</w:t>
      </w:r>
      <w:r w:rsidRPr="00340562">
        <w:t>, which is $</w:t>
      </w:r>
      <w:r w:rsidR="00B26CCA">
        <w:t>63</w:t>
      </w:r>
      <w:r>
        <w:t>.</w:t>
      </w:r>
      <w:r w:rsidR="00B26CCA">
        <w:t>43</w:t>
      </w:r>
      <w:r w:rsidRPr="00340562">
        <w:t>/hour, increased 100% to $</w:t>
      </w:r>
      <w:r w:rsidR="00B26CCA">
        <w:t>126</w:t>
      </w:r>
      <w:r>
        <w:t>.</w:t>
      </w:r>
      <w:r w:rsidR="00B26CCA">
        <w:t>86</w:t>
      </w:r>
      <w:r w:rsidRPr="00340562" w:rsidR="00B26CCA">
        <w:t xml:space="preserve"> </w:t>
      </w:r>
      <w:r w:rsidRPr="00340562">
        <w:t xml:space="preserve">to account for overhead.  Thus, </w:t>
      </w:r>
      <w:r w:rsidRPr="00340562">
        <w:rPr>
          <w:bCs/>
        </w:rPr>
        <w:t xml:space="preserve">the overall estimated </w:t>
      </w:r>
      <w:r>
        <w:rPr>
          <w:bCs/>
        </w:rPr>
        <w:t xml:space="preserve">reporting </w:t>
      </w:r>
      <w:r w:rsidRPr="00340562">
        <w:rPr>
          <w:bCs/>
        </w:rPr>
        <w:t xml:space="preserve">cost </w:t>
      </w:r>
      <w:r>
        <w:rPr>
          <w:bCs/>
        </w:rPr>
        <w:t xml:space="preserve">under section 417(d)(7) </w:t>
      </w:r>
      <w:r w:rsidRPr="00340562">
        <w:rPr>
          <w:bCs/>
        </w:rPr>
        <w:t>incurred by the respondents is $</w:t>
      </w:r>
      <w:r w:rsidR="00B26CCA">
        <w:t>182</w:t>
      </w:r>
      <w:r w:rsidRPr="00986CB8">
        <w:t>,</w:t>
      </w:r>
      <w:r w:rsidR="00B26CCA">
        <w:t>688</w:t>
      </w:r>
      <w:r w:rsidRPr="00340562" w:rsidR="00B26CCA">
        <w:rPr>
          <w:bCs/>
        </w:rPr>
        <w:t xml:space="preserve"> </w:t>
      </w:r>
      <w:r w:rsidRPr="00340562">
        <w:rPr>
          <w:bCs/>
        </w:rPr>
        <w:t>(</w:t>
      </w:r>
      <w:r w:rsidRPr="00340562">
        <w:t>2,400 reports</w:t>
      </w:r>
      <w:r w:rsidRPr="00340562">
        <w:rPr>
          <w:bCs/>
        </w:rPr>
        <w:t xml:space="preserve"> x $</w:t>
      </w:r>
      <w:r w:rsidR="00B26CCA">
        <w:t>76</w:t>
      </w:r>
      <w:r w:rsidRPr="00986CB8">
        <w:t>.</w:t>
      </w:r>
      <w:r w:rsidR="00B26CCA">
        <w:t>12</w:t>
      </w:r>
      <w:r w:rsidRPr="00340562">
        <w:rPr>
          <w:bCs/>
        </w:rPr>
        <w:t>/report).</w:t>
      </w:r>
    </w:p>
    <w:p w:rsidR="00420803" w:rsidRPr="00340562" w:rsidP="00A21532" w14:paraId="5A170206" w14:textId="77777777">
      <w:pPr>
        <w:pStyle w:val="BodyText2"/>
        <w:ind w:left="360"/>
      </w:pPr>
    </w:p>
    <w:p w:rsidR="00420803" w:rsidRPr="00340562" w:rsidP="00A21532" w14:paraId="3FB57BD1" w14:textId="4F9C35CD">
      <w:pPr>
        <w:pStyle w:val="BodyText2"/>
        <w:ind w:left="360"/>
      </w:pPr>
      <w:r>
        <w:t>We</w:t>
      </w:r>
      <w:r w:rsidRPr="00340562">
        <w:t xml:space="preserve"> estimate the recordkeeping hour burden costs to be about $</w:t>
      </w:r>
      <w:r w:rsidR="00B26CCA">
        <w:t>31</w:t>
      </w:r>
      <w:r>
        <w:t>.</w:t>
      </w:r>
      <w:r w:rsidR="00B26CCA">
        <w:t>72</w:t>
      </w:r>
      <w:r w:rsidRPr="00340562" w:rsidR="00B26CCA">
        <w:t xml:space="preserve"> </w:t>
      </w:r>
      <w:r w:rsidRPr="00340562">
        <w:t>($</w:t>
      </w:r>
      <w:r w:rsidR="00B26CCA">
        <w:t>126</w:t>
      </w:r>
      <w:r>
        <w:t>.</w:t>
      </w:r>
      <w:r w:rsidR="00B26CCA">
        <w:t>86</w:t>
      </w:r>
      <w:r w:rsidRPr="00340562" w:rsidR="00B26CCA">
        <w:t xml:space="preserve"> </w:t>
      </w:r>
      <w:r w:rsidRPr="00340562">
        <w:t>x 0.25 hours) per record kept.  This estimate is based upon the records being kept by an employee making a salary equivalent to a GS-14-1 level in the locality pay area of Washington-Baltimore in 20</w:t>
      </w:r>
      <w:r>
        <w:t>2</w:t>
      </w:r>
      <w:r w:rsidR="00B26CCA">
        <w:t>3</w:t>
      </w:r>
      <w:r w:rsidRPr="00340562">
        <w:t>, which is $</w:t>
      </w:r>
      <w:r w:rsidR="00B26CCA">
        <w:t>63</w:t>
      </w:r>
      <w:r>
        <w:t>.</w:t>
      </w:r>
      <w:r w:rsidR="00B26CCA">
        <w:t>43</w:t>
      </w:r>
      <w:r w:rsidRPr="00340562">
        <w:t>/hour, increased 100% to $</w:t>
      </w:r>
      <w:r w:rsidR="00B26CCA">
        <w:t>126</w:t>
      </w:r>
      <w:r>
        <w:t>.</w:t>
      </w:r>
      <w:r w:rsidR="00B26CCA">
        <w:t>86</w:t>
      </w:r>
      <w:r w:rsidRPr="00340562" w:rsidR="00B26CCA">
        <w:t xml:space="preserve"> </w:t>
      </w:r>
      <w:r w:rsidRPr="00340562">
        <w:t xml:space="preserve">to account for overhead.  Thus, we estimate </w:t>
      </w:r>
      <w:r w:rsidRPr="00DE56CF">
        <w:t xml:space="preserve">annual mandatory recordkeeping costs </w:t>
      </w:r>
      <w:r>
        <w:t xml:space="preserve">of </w:t>
      </w:r>
      <w:r w:rsidRPr="00340562">
        <w:t>$</w:t>
      </w:r>
      <w:r w:rsidR="00B26CCA">
        <w:t>38</w:t>
      </w:r>
      <w:r>
        <w:t>,</w:t>
      </w:r>
      <w:r w:rsidR="00B26CCA">
        <w:t>064</w:t>
      </w:r>
      <w:r w:rsidRPr="00340562" w:rsidR="00B26CCA">
        <w:t xml:space="preserve"> </w:t>
      </w:r>
      <w:r w:rsidRPr="00340562">
        <w:t>($</w:t>
      </w:r>
      <w:r w:rsidR="00B26CCA">
        <w:t>31</w:t>
      </w:r>
      <w:r>
        <w:t>.</w:t>
      </w:r>
      <w:r w:rsidR="00B26CCA">
        <w:t>72</w:t>
      </w:r>
      <w:r w:rsidRPr="00340562">
        <w:t xml:space="preserve">/record x 1,200 records) and </w:t>
      </w:r>
      <w:r w:rsidRPr="00DE56CF">
        <w:t xml:space="preserve">annual voluntary recordkeeping costs </w:t>
      </w:r>
      <w:r>
        <w:t xml:space="preserve">of </w:t>
      </w:r>
      <w:r w:rsidRPr="00340562">
        <w:t>$</w:t>
      </w:r>
      <w:r w:rsidR="00B26CCA">
        <w:t>126</w:t>
      </w:r>
      <w:r>
        <w:t>.</w:t>
      </w:r>
      <w:r w:rsidR="00B26CCA">
        <w:t>86</w:t>
      </w:r>
      <w:r w:rsidRPr="00340562" w:rsidR="00B26CCA">
        <w:t xml:space="preserve"> </w:t>
      </w:r>
      <w:r w:rsidRPr="00340562">
        <w:t>($</w:t>
      </w:r>
      <w:r w:rsidR="00B26CCA">
        <w:t>31</w:t>
      </w:r>
      <w:r>
        <w:t>.</w:t>
      </w:r>
      <w:r w:rsidR="00B26CCA">
        <w:t>72</w:t>
      </w:r>
      <w:r w:rsidRPr="00340562">
        <w:t xml:space="preserve">/record x </w:t>
      </w:r>
      <w:r>
        <w:t>4</w:t>
      </w:r>
      <w:r w:rsidRPr="00340562">
        <w:t xml:space="preserve"> records)</w:t>
      </w:r>
      <w:r w:rsidR="007F7BD8">
        <w:t xml:space="preserve"> for a to</w:t>
      </w:r>
      <w:r w:rsidR="00A03684">
        <w:t>tal recordkeeping cost of $38,190.86</w:t>
      </w:r>
      <w:r w:rsidRPr="00340562">
        <w:t>.</w:t>
      </w:r>
    </w:p>
    <w:p w:rsidR="00420803" w:rsidP="00420803" w14:paraId="305BE063" w14:textId="77777777">
      <w:pPr>
        <w:pStyle w:val="BodyText2"/>
        <w:ind w:left="720"/>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33"/>
        <w:gridCol w:w="2317"/>
        <w:gridCol w:w="2070"/>
        <w:gridCol w:w="1980"/>
      </w:tblGrid>
      <w:tr w14:paraId="79530A90" w14:textId="77777777" w:rsidTr="00225AC8">
        <w:tblPrEx>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9000" w:type="dxa"/>
            <w:gridSpan w:val="4"/>
            <w:shd w:val="clear" w:color="auto" w:fill="auto"/>
          </w:tcPr>
          <w:p w:rsidR="00420803" w:rsidRPr="00383B9A" w:rsidP="00D725B3" w14:paraId="4FBBF92D" w14:textId="2151C446">
            <w:pPr>
              <w:jc w:val="center"/>
              <w:rPr>
                <w:sz w:val="20"/>
                <w:szCs w:val="20"/>
              </w:rPr>
            </w:pPr>
            <w:r w:rsidRPr="00383B9A">
              <w:rPr>
                <w:sz w:val="20"/>
                <w:szCs w:val="20"/>
              </w:rPr>
              <w:t>Table 3.</w:t>
            </w:r>
            <w:r w:rsidR="001A3887">
              <w:rPr>
                <w:sz w:val="20"/>
                <w:szCs w:val="20"/>
              </w:rPr>
              <w:t>--</w:t>
            </w:r>
            <w:r w:rsidR="00CF6A9F">
              <w:rPr>
                <w:sz w:val="20"/>
                <w:szCs w:val="20"/>
              </w:rPr>
              <w:t xml:space="preserve">Estimated </w:t>
            </w:r>
            <w:r w:rsidRPr="00383B9A">
              <w:rPr>
                <w:sz w:val="20"/>
                <w:szCs w:val="20"/>
              </w:rPr>
              <w:t>Annual Cost Burden</w:t>
            </w:r>
          </w:p>
        </w:tc>
      </w:tr>
      <w:tr w14:paraId="74520D37" w14:textId="77777777" w:rsidTr="00225AC8">
        <w:tblPrEx>
          <w:tblW w:w="0" w:type="auto"/>
          <w:tblInd w:w="355" w:type="dxa"/>
          <w:tblLook w:val="01E0"/>
        </w:tblPrEx>
        <w:tc>
          <w:tcPr>
            <w:tcW w:w="2633" w:type="dxa"/>
            <w:shd w:val="clear" w:color="auto" w:fill="auto"/>
          </w:tcPr>
          <w:p w:rsidR="00420803" w:rsidRPr="00383B9A" w:rsidP="00225AC8" w14:paraId="01C920A4" w14:textId="77777777">
            <w:pPr>
              <w:jc w:val="center"/>
              <w:rPr>
                <w:sz w:val="20"/>
                <w:szCs w:val="20"/>
              </w:rPr>
            </w:pPr>
            <w:r w:rsidRPr="00383B9A">
              <w:rPr>
                <w:sz w:val="20"/>
                <w:szCs w:val="20"/>
              </w:rPr>
              <w:t>Activity</w:t>
            </w:r>
          </w:p>
        </w:tc>
        <w:tc>
          <w:tcPr>
            <w:tcW w:w="2317" w:type="dxa"/>
            <w:shd w:val="clear" w:color="auto" w:fill="auto"/>
          </w:tcPr>
          <w:p w:rsidR="00420803" w:rsidRPr="00383B9A" w:rsidP="00225AC8" w14:paraId="1BF5DD77" w14:textId="4F5F7EBF">
            <w:pPr>
              <w:jc w:val="center"/>
              <w:rPr>
                <w:sz w:val="20"/>
                <w:szCs w:val="20"/>
              </w:rPr>
            </w:pPr>
            <w:r>
              <w:rPr>
                <w:sz w:val="20"/>
                <w:szCs w:val="20"/>
              </w:rPr>
              <w:t>Disclosures/</w:t>
            </w:r>
            <w:r w:rsidRPr="00383B9A">
              <w:rPr>
                <w:sz w:val="20"/>
                <w:szCs w:val="20"/>
              </w:rPr>
              <w:t>Record</w:t>
            </w:r>
            <w:r w:rsidR="009E391E">
              <w:rPr>
                <w:sz w:val="20"/>
                <w:szCs w:val="20"/>
              </w:rPr>
              <w:t>s</w:t>
            </w:r>
          </w:p>
        </w:tc>
        <w:tc>
          <w:tcPr>
            <w:tcW w:w="2070" w:type="dxa"/>
            <w:shd w:val="clear" w:color="auto" w:fill="auto"/>
          </w:tcPr>
          <w:p w:rsidR="00420803" w:rsidRPr="00383B9A" w:rsidP="00225AC8" w14:paraId="423DE650" w14:textId="1D8E539C">
            <w:pPr>
              <w:jc w:val="center"/>
              <w:rPr>
                <w:sz w:val="20"/>
                <w:szCs w:val="20"/>
              </w:rPr>
            </w:pPr>
            <w:r w:rsidRPr="00383B9A">
              <w:rPr>
                <w:sz w:val="20"/>
                <w:szCs w:val="20"/>
              </w:rPr>
              <w:t xml:space="preserve">Hourly </w:t>
            </w:r>
            <w:r w:rsidR="003601E8">
              <w:rPr>
                <w:sz w:val="20"/>
                <w:szCs w:val="20"/>
              </w:rPr>
              <w:t>Costs</w:t>
            </w:r>
          </w:p>
        </w:tc>
        <w:tc>
          <w:tcPr>
            <w:tcW w:w="1980" w:type="dxa"/>
            <w:shd w:val="clear" w:color="auto" w:fill="auto"/>
          </w:tcPr>
          <w:p w:rsidR="00420803" w:rsidRPr="00383B9A" w:rsidP="00225AC8" w14:paraId="5BB971DD" w14:textId="77777777">
            <w:pPr>
              <w:jc w:val="center"/>
              <w:rPr>
                <w:sz w:val="20"/>
                <w:szCs w:val="20"/>
              </w:rPr>
            </w:pPr>
            <w:r w:rsidRPr="00383B9A">
              <w:rPr>
                <w:sz w:val="20"/>
                <w:szCs w:val="20"/>
              </w:rPr>
              <w:t>Total Respondent Costs</w:t>
            </w:r>
          </w:p>
        </w:tc>
      </w:tr>
      <w:tr w14:paraId="768B0DEE" w14:textId="77777777" w:rsidTr="00225AC8">
        <w:tblPrEx>
          <w:tblW w:w="0" w:type="auto"/>
          <w:tblInd w:w="355" w:type="dxa"/>
          <w:tblLook w:val="01E0"/>
        </w:tblPrEx>
        <w:tc>
          <w:tcPr>
            <w:tcW w:w="2633" w:type="dxa"/>
            <w:shd w:val="clear" w:color="auto" w:fill="auto"/>
          </w:tcPr>
          <w:p w:rsidR="00420803" w:rsidRPr="00383B9A" w:rsidP="00D725B3" w14:paraId="0AD1E055" w14:textId="782A4290">
            <w:pPr>
              <w:rPr>
                <w:sz w:val="20"/>
                <w:szCs w:val="20"/>
              </w:rPr>
            </w:pPr>
            <w:r>
              <w:rPr>
                <w:sz w:val="20"/>
                <w:szCs w:val="20"/>
              </w:rPr>
              <w:t>Disclosure</w:t>
            </w:r>
            <w:r w:rsidRPr="00383B9A">
              <w:rPr>
                <w:sz w:val="20"/>
                <w:szCs w:val="20"/>
              </w:rPr>
              <w:t xml:space="preserve"> </w:t>
            </w:r>
            <w:r w:rsidRPr="00383B9A">
              <w:rPr>
                <w:sz w:val="20"/>
                <w:szCs w:val="20"/>
              </w:rPr>
              <w:t>under 417(d)(6)</w:t>
            </w:r>
          </w:p>
        </w:tc>
        <w:tc>
          <w:tcPr>
            <w:tcW w:w="2317" w:type="dxa"/>
            <w:shd w:val="clear" w:color="auto" w:fill="auto"/>
          </w:tcPr>
          <w:p w:rsidR="00420803" w:rsidRPr="00383B9A" w:rsidP="00D725B3" w14:paraId="3097DF57" w14:textId="77777777">
            <w:pPr>
              <w:jc w:val="right"/>
              <w:rPr>
                <w:sz w:val="20"/>
                <w:szCs w:val="20"/>
              </w:rPr>
            </w:pPr>
            <w:r w:rsidRPr="00383B9A">
              <w:rPr>
                <w:sz w:val="20"/>
                <w:szCs w:val="20"/>
              </w:rPr>
              <w:t>2,400</w:t>
            </w:r>
          </w:p>
        </w:tc>
        <w:tc>
          <w:tcPr>
            <w:tcW w:w="2070" w:type="dxa"/>
            <w:shd w:val="clear" w:color="auto" w:fill="auto"/>
          </w:tcPr>
          <w:p w:rsidR="00420803" w:rsidRPr="00383B9A" w:rsidP="00D725B3" w14:paraId="4D5FEADD" w14:textId="77777777">
            <w:pPr>
              <w:jc w:val="right"/>
              <w:rPr>
                <w:sz w:val="20"/>
                <w:szCs w:val="20"/>
              </w:rPr>
            </w:pPr>
            <w:r w:rsidRPr="00383B9A">
              <w:rPr>
                <w:sz w:val="20"/>
                <w:szCs w:val="20"/>
              </w:rPr>
              <w:t>$</w:t>
            </w:r>
            <w:r w:rsidR="00B26CCA">
              <w:rPr>
                <w:sz w:val="20"/>
                <w:szCs w:val="20"/>
              </w:rPr>
              <w:t>76</w:t>
            </w:r>
            <w:r w:rsidRPr="00383B9A">
              <w:rPr>
                <w:sz w:val="20"/>
                <w:szCs w:val="20"/>
              </w:rPr>
              <w:t>.</w:t>
            </w:r>
            <w:r w:rsidR="00B26CCA">
              <w:rPr>
                <w:sz w:val="20"/>
                <w:szCs w:val="20"/>
              </w:rPr>
              <w:t>12</w:t>
            </w:r>
          </w:p>
        </w:tc>
        <w:tc>
          <w:tcPr>
            <w:tcW w:w="1980" w:type="dxa"/>
            <w:shd w:val="clear" w:color="auto" w:fill="auto"/>
          </w:tcPr>
          <w:p w:rsidR="00420803" w:rsidRPr="00383B9A" w:rsidP="00D725B3" w14:paraId="73C20D74" w14:textId="77777777">
            <w:pPr>
              <w:jc w:val="right"/>
              <w:rPr>
                <w:sz w:val="20"/>
                <w:szCs w:val="20"/>
              </w:rPr>
            </w:pPr>
            <w:r w:rsidRPr="00383B9A">
              <w:rPr>
                <w:sz w:val="20"/>
                <w:szCs w:val="20"/>
              </w:rPr>
              <w:t>$</w:t>
            </w:r>
            <w:r w:rsidR="00B26CCA">
              <w:rPr>
                <w:sz w:val="20"/>
                <w:szCs w:val="20"/>
              </w:rPr>
              <w:t>182</w:t>
            </w:r>
            <w:r w:rsidRPr="00383B9A">
              <w:rPr>
                <w:sz w:val="20"/>
                <w:szCs w:val="20"/>
              </w:rPr>
              <w:t>,</w:t>
            </w:r>
            <w:r w:rsidR="00B26CCA">
              <w:rPr>
                <w:sz w:val="20"/>
                <w:szCs w:val="20"/>
              </w:rPr>
              <w:t>688</w:t>
            </w:r>
            <w:r>
              <w:rPr>
                <w:sz w:val="20"/>
                <w:szCs w:val="20"/>
              </w:rPr>
              <w:t>.00</w:t>
            </w:r>
          </w:p>
        </w:tc>
      </w:tr>
      <w:tr w14:paraId="15D46D6D" w14:textId="77777777" w:rsidTr="00225AC8">
        <w:tblPrEx>
          <w:tblW w:w="0" w:type="auto"/>
          <w:tblInd w:w="355" w:type="dxa"/>
          <w:tblLook w:val="01E0"/>
        </w:tblPrEx>
        <w:tc>
          <w:tcPr>
            <w:tcW w:w="2633" w:type="dxa"/>
            <w:shd w:val="clear" w:color="auto" w:fill="auto"/>
          </w:tcPr>
          <w:p w:rsidR="00420803" w:rsidRPr="00383B9A" w:rsidP="00D725B3" w14:paraId="4FA247CA" w14:textId="3ED49625">
            <w:pPr>
              <w:rPr>
                <w:sz w:val="20"/>
                <w:szCs w:val="20"/>
              </w:rPr>
            </w:pPr>
            <w:r>
              <w:rPr>
                <w:sz w:val="20"/>
                <w:szCs w:val="20"/>
              </w:rPr>
              <w:t>Disclosure</w:t>
            </w:r>
            <w:r w:rsidRPr="00383B9A">
              <w:rPr>
                <w:sz w:val="20"/>
                <w:szCs w:val="20"/>
              </w:rPr>
              <w:t xml:space="preserve"> </w:t>
            </w:r>
            <w:r w:rsidRPr="00383B9A">
              <w:rPr>
                <w:sz w:val="20"/>
                <w:szCs w:val="20"/>
              </w:rPr>
              <w:t>under 417(d)(7)</w:t>
            </w:r>
          </w:p>
        </w:tc>
        <w:tc>
          <w:tcPr>
            <w:tcW w:w="2317" w:type="dxa"/>
            <w:shd w:val="clear" w:color="auto" w:fill="auto"/>
          </w:tcPr>
          <w:p w:rsidR="00420803" w:rsidRPr="00383B9A" w:rsidP="00D725B3" w14:paraId="1FA8F29E" w14:textId="77777777">
            <w:pPr>
              <w:jc w:val="right"/>
              <w:rPr>
                <w:sz w:val="20"/>
                <w:szCs w:val="20"/>
              </w:rPr>
            </w:pPr>
            <w:r w:rsidRPr="00383B9A">
              <w:rPr>
                <w:sz w:val="20"/>
                <w:szCs w:val="20"/>
              </w:rPr>
              <w:t>2,400</w:t>
            </w:r>
          </w:p>
        </w:tc>
        <w:tc>
          <w:tcPr>
            <w:tcW w:w="2070" w:type="dxa"/>
            <w:shd w:val="clear" w:color="auto" w:fill="auto"/>
          </w:tcPr>
          <w:p w:rsidR="00420803" w:rsidRPr="00383B9A" w:rsidP="00D725B3" w14:paraId="2F704FE5" w14:textId="77777777">
            <w:pPr>
              <w:jc w:val="right"/>
              <w:rPr>
                <w:sz w:val="20"/>
                <w:szCs w:val="20"/>
              </w:rPr>
            </w:pPr>
            <w:r w:rsidRPr="00383B9A">
              <w:rPr>
                <w:sz w:val="20"/>
                <w:szCs w:val="20"/>
              </w:rPr>
              <w:t>$</w:t>
            </w:r>
            <w:r w:rsidR="00B26CCA">
              <w:rPr>
                <w:sz w:val="20"/>
                <w:szCs w:val="20"/>
              </w:rPr>
              <w:t>76</w:t>
            </w:r>
            <w:r w:rsidRPr="00383B9A">
              <w:rPr>
                <w:sz w:val="20"/>
                <w:szCs w:val="20"/>
              </w:rPr>
              <w:t>.</w:t>
            </w:r>
            <w:r w:rsidR="00B26CCA">
              <w:rPr>
                <w:sz w:val="20"/>
                <w:szCs w:val="20"/>
              </w:rPr>
              <w:t>12</w:t>
            </w:r>
          </w:p>
        </w:tc>
        <w:tc>
          <w:tcPr>
            <w:tcW w:w="1980" w:type="dxa"/>
            <w:shd w:val="clear" w:color="auto" w:fill="auto"/>
          </w:tcPr>
          <w:p w:rsidR="00420803" w:rsidRPr="00383B9A" w:rsidP="00D725B3" w14:paraId="02B5DC63" w14:textId="77777777">
            <w:pPr>
              <w:jc w:val="right"/>
              <w:rPr>
                <w:sz w:val="20"/>
                <w:szCs w:val="20"/>
              </w:rPr>
            </w:pPr>
            <w:r w:rsidRPr="00383B9A">
              <w:rPr>
                <w:sz w:val="20"/>
                <w:szCs w:val="20"/>
              </w:rPr>
              <w:t>$</w:t>
            </w:r>
            <w:r w:rsidR="00B26CCA">
              <w:rPr>
                <w:sz w:val="20"/>
                <w:szCs w:val="20"/>
              </w:rPr>
              <w:t>182</w:t>
            </w:r>
            <w:r w:rsidRPr="00383B9A">
              <w:rPr>
                <w:sz w:val="20"/>
                <w:szCs w:val="20"/>
              </w:rPr>
              <w:t>,</w:t>
            </w:r>
            <w:r w:rsidR="00B26CCA">
              <w:rPr>
                <w:sz w:val="20"/>
                <w:szCs w:val="20"/>
              </w:rPr>
              <w:t>688</w:t>
            </w:r>
            <w:r>
              <w:rPr>
                <w:sz w:val="20"/>
                <w:szCs w:val="20"/>
              </w:rPr>
              <w:t>.00</w:t>
            </w:r>
          </w:p>
        </w:tc>
      </w:tr>
      <w:tr w14:paraId="4EDFE1F4" w14:textId="77777777" w:rsidTr="00225AC8">
        <w:tblPrEx>
          <w:tblW w:w="0" w:type="auto"/>
          <w:tblInd w:w="355" w:type="dxa"/>
          <w:tblLook w:val="01E0"/>
        </w:tblPrEx>
        <w:tc>
          <w:tcPr>
            <w:tcW w:w="2633" w:type="dxa"/>
            <w:shd w:val="clear" w:color="auto" w:fill="auto"/>
          </w:tcPr>
          <w:p w:rsidR="00420803" w:rsidRPr="00383B9A" w:rsidP="00D725B3" w14:paraId="1176AF91" w14:textId="77777777">
            <w:pPr>
              <w:rPr>
                <w:sz w:val="20"/>
                <w:szCs w:val="20"/>
              </w:rPr>
            </w:pPr>
            <w:r w:rsidRPr="00383B9A">
              <w:rPr>
                <w:sz w:val="20"/>
                <w:szCs w:val="20"/>
              </w:rPr>
              <w:t>Mandatory Recordkeeping under 417(g)</w:t>
            </w:r>
          </w:p>
        </w:tc>
        <w:tc>
          <w:tcPr>
            <w:tcW w:w="2317" w:type="dxa"/>
            <w:shd w:val="clear" w:color="auto" w:fill="auto"/>
          </w:tcPr>
          <w:p w:rsidR="00420803" w:rsidRPr="00383B9A" w:rsidP="00D725B3" w14:paraId="113A044D" w14:textId="77777777">
            <w:pPr>
              <w:jc w:val="right"/>
              <w:rPr>
                <w:sz w:val="20"/>
                <w:szCs w:val="20"/>
              </w:rPr>
            </w:pPr>
            <w:r w:rsidRPr="00383B9A">
              <w:rPr>
                <w:sz w:val="20"/>
                <w:szCs w:val="20"/>
              </w:rPr>
              <w:t>1,200</w:t>
            </w:r>
          </w:p>
        </w:tc>
        <w:tc>
          <w:tcPr>
            <w:tcW w:w="2070" w:type="dxa"/>
            <w:shd w:val="clear" w:color="auto" w:fill="auto"/>
          </w:tcPr>
          <w:p w:rsidR="00420803" w:rsidRPr="00383B9A" w:rsidP="00D725B3" w14:paraId="79C3C168" w14:textId="77777777">
            <w:pPr>
              <w:jc w:val="right"/>
              <w:rPr>
                <w:sz w:val="20"/>
                <w:szCs w:val="20"/>
              </w:rPr>
            </w:pPr>
            <w:r w:rsidRPr="00383B9A">
              <w:rPr>
                <w:sz w:val="20"/>
                <w:szCs w:val="20"/>
              </w:rPr>
              <w:t>$</w:t>
            </w:r>
            <w:r w:rsidR="00B26CCA">
              <w:rPr>
                <w:sz w:val="20"/>
                <w:szCs w:val="20"/>
              </w:rPr>
              <w:t>31.72</w:t>
            </w:r>
          </w:p>
        </w:tc>
        <w:tc>
          <w:tcPr>
            <w:tcW w:w="1980" w:type="dxa"/>
            <w:shd w:val="clear" w:color="auto" w:fill="auto"/>
          </w:tcPr>
          <w:p w:rsidR="00420803" w:rsidRPr="00383B9A" w:rsidP="00D725B3" w14:paraId="65DF9EE7" w14:textId="77777777">
            <w:pPr>
              <w:jc w:val="right"/>
              <w:rPr>
                <w:sz w:val="20"/>
                <w:szCs w:val="20"/>
              </w:rPr>
            </w:pPr>
            <w:r w:rsidRPr="00383B9A">
              <w:rPr>
                <w:sz w:val="20"/>
                <w:szCs w:val="20"/>
              </w:rPr>
              <w:t>$</w:t>
            </w:r>
            <w:r w:rsidR="00B26CCA">
              <w:rPr>
                <w:sz w:val="20"/>
                <w:szCs w:val="20"/>
              </w:rPr>
              <w:t>38</w:t>
            </w:r>
            <w:r w:rsidRPr="00383B9A">
              <w:rPr>
                <w:sz w:val="20"/>
                <w:szCs w:val="20"/>
              </w:rPr>
              <w:t>,</w:t>
            </w:r>
            <w:r w:rsidR="00B26CCA">
              <w:rPr>
                <w:sz w:val="20"/>
                <w:szCs w:val="20"/>
              </w:rPr>
              <w:t>064</w:t>
            </w:r>
            <w:r>
              <w:rPr>
                <w:sz w:val="20"/>
                <w:szCs w:val="20"/>
              </w:rPr>
              <w:t>.00</w:t>
            </w:r>
          </w:p>
        </w:tc>
      </w:tr>
      <w:tr w14:paraId="09F7C643" w14:textId="77777777" w:rsidTr="00225AC8">
        <w:tblPrEx>
          <w:tblW w:w="0" w:type="auto"/>
          <w:tblInd w:w="355" w:type="dxa"/>
          <w:tblLook w:val="01E0"/>
        </w:tblPrEx>
        <w:tc>
          <w:tcPr>
            <w:tcW w:w="2633" w:type="dxa"/>
            <w:shd w:val="clear" w:color="auto" w:fill="auto"/>
          </w:tcPr>
          <w:p w:rsidR="00420803" w:rsidRPr="00383B9A" w:rsidP="00D725B3" w14:paraId="7DEC25E7" w14:textId="77777777">
            <w:pPr>
              <w:rPr>
                <w:sz w:val="20"/>
                <w:szCs w:val="20"/>
              </w:rPr>
            </w:pPr>
            <w:r w:rsidRPr="00383B9A">
              <w:rPr>
                <w:sz w:val="20"/>
                <w:szCs w:val="20"/>
              </w:rPr>
              <w:t>Voluntary Recordkeeping under 417(g)</w:t>
            </w:r>
          </w:p>
        </w:tc>
        <w:tc>
          <w:tcPr>
            <w:tcW w:w="2317" w:type="dxa"/>
            <w:shd w:val="clear" w:color="auto" w:fill="auto"/>
          </w:tcPr>
          <w:p w:rsidR="00420803" w:rsidRPr="00383B9A" w:rsidP="00D725B3" w14:paraId="67770E12" w14:textId="77777777">
            <w:pPr>
              <w:jc w:val="right"/>
              <w:rPr>
                <w:sz w:val="20"/>
                <w:szCs w:val="20"/>
              </w:rPr>
            </w:pPr>
            <w:r w:rsidRPr="00383B9A">
              <w:rPr>
                <w:sz w:val="20"/>
                <w:szCs w:val="20"/>
              </w:rPr>
              <w:t>4</w:t>
            </w:r>
          </w:p>
        </w:tc>
        <w:tc>
          <w:tcPr>
            <w:tcW w:w="2070" w:type="dxa"/>
            <w:shd w:val="clear" w:color="auto" w:fill="auto"/>
          </w:tcPr>
          <w:p w:rsidR="00420803" w:rsidRPr="00383B9A" w:rsidP="00D725B3" w14:paraId="5D63ABD1" w14:textId="77777777">
            <w:pPr>
              <w:jc w:val="right"/>
              <w:rPr>
                <w:sz w:val="20"/>
                <w:szCs w:val="20"/>
              </w:rPr>
            </w:pPr>
            <w:r w:rsidRPr="00383B9A">
              <w:rPr>
                <w:sz w:val="20"/>
                <w:szCs w:val="20"/>
              </w:rPr>
              <w:t>$</w:t>
            </w:r>
            <w:r w:rsidR="00B26CCA">
              <w:rPr>
                <w:sz w:val="20"/>
                <w:szCs w:val="20"/>
              </w:rPr>
              <w:t>31</w:t>
            </w:r>
            <w:r w:rsidRPr="00383B9A">
              <w:rPr>
                <w:sz w:val="20"/>
                <w:szCs w:val="20"/>
              </w:rPr>
              <w:t>.</w:t>
            </w:r>
            <w:r w:rsidR="00B26CCA">
              <w:rPr>
                <w:sz w:val="20"/>
                <w:szCs w:val="20"/>
              </w:rPr>
              <w:t>72</w:t>
            </w:r>
          </w:p>
        </w:tc>
        <w:tc>
          <w:tcPr>
            <w:tcW w:w="1980" w:type="dxa"/>
            <w:shd w:val="clear" w:color="auto" w:fill="auto"/>
          </w:tcPr>
          <w:p w:rsidR="00420803" w:rsidRPr="00383B9A" w:rsidP="00D725B3" w14:paraId="53C3649D" w14:textId="77777777">
            <w:pPr>
              <w:jc w:val="right"/>
              <w:rPr>
                <w:sz w:val="20"/>
                <w:szCs w:val="20"/>
              </w:rPr>
            </w:pPr>
            <w:r w:rsidRPr="00383B9A">
              <w:rPr>
                <w:sz w:val="20"/>
                <w:szCs w:val="20"/>
              </w:rPr>
              <w:t>$</w:t>
            </w:r>
            <w:r w:rsidR="00B26CCA">
              <w:rPr>
                <w:sz w:val="20"/>
                <w:szCs w:val="20"/>
              </w:rPr>
              <w:t>126</w:t>
            </w:r>
            <w:r w:rsidRPr="00383B9A">
              <w:rPr>
                <w:sz w:val="20"/>
                <w:szCs w:val="20"/>
              </w:rPr>
              <w:t>.</w:t>
            </w:r>
            <w:r w:rsidR="00B26CCA">
              <w:rPr>
                <w:sz w:val="20"/>
                <w:szCs w:val="20"/>
              </w:rPr>
              <w:t>86</w:t>
            </w:r>
          </w:p>
        </w:tc>
      </w:tr>
      <w:tr w14:paraId="1F1B7305" w14:textId="77777777" w:rsidTr="00225AC8">
        <w:tblPrEx>
          <w:tblW w:w="0" w:type="auto"/>
          <w:tblInd w:w="355" w:type="dxa"/>
          <w:tblLook w:val="01E0"/>
        </w:tblPrEx>
        <w:tc>
          <w:tcPr>
            <w:tcW w:w="7020" w:type="dxa"/>
            <w:gridSpan w:val="3"/>
            <w:shd w:val="clear" w:color="auto" w:fill="auto"/>
          </w:tcPr>
          <w:p w:rsidR="00420803" w:rsidRPr="00383B9A" w:rsidP="00D725B3" w14:paraId="017DA90C" w14:textId="77777777">
            <w:pPr>
              <w:rPr>
                <w:sz w:val="20"/>
                <w:szCs w:val="20"/>
              </w:rPr>
            </w:pPr>
            <w:r w:rsidRPr="00383B9A">
              <w:rPr>
                <w:sz w:val="20"/>
                <w:szCs w:val="20"/>
              </w:rPr>
              <w:t>Total</w:t>
            </w:r>
          </w:p>
        </w:tc>
        <w:tc>
          <w:tcPr>
            <w:tcW w:w="1980" w:type="dxa"/>
            <w:shd w:val="clear" w:color="auto" w:fill="auto"/>
          </w:tcPr>
          <w:p w:rsidR="00420803" w:rsidRPr="00383B9A" w:rsidP="00D725B3" w14:paraId="4CCAE762" w14:textId="77777777">
            <w:pPr>
              <w:jc w:val="right"/>
              <w:rPr>
                <w:sz w:val="20"/>
                <w:szCs w:val="20"/>
              </w:rPr>
            </w:pPr>
            <w:r w:rsidRPr="00383B9A">
              <w:rPr>
                <w:sz w:val="20"/>
                <w:szCs w:val="20"/>
              </w:rPr>
              <w:t>$</w:t>
            </w:r>
            <w:r w:rsidR="00B26CCA">
              <w:rPr>
                <w:sz w:val="20"/>
                <w:szCs w:val="20"/>
              </w:rPr>
              <w:t>403</w:t>
            </w:r>
            <w:r w:rsidRPr="00383B9A">
              <w:rPr>
                <w:sz w:val="20"/>
                <w:szCs w:val="20"/>
              </w:rPr>
              <w:t>,</w:t>
            </w:r>
            <w:r w:rsidR="00B26CCA">
              <w:rPr>
                <w:sz w:val="20"/>
                <w:szCs w:val="20"/>
              </w:rPr>
              <w:t>566</w:t>
            </w:r>
            <w:r w:rsidRPr="00383B9A">
              <w:rPr>
                <w:sz w:val="20"/>
                <w:szCs w:val="20"/>
              </w:rPr>
              <w:t>.</w:t>
            </w:r>
            <w:r w:rsidR="00B26CCA">
              <w:rPr>
                <w:sz w:val="20"/>
                <w:szCs w:val="20"/>
              </w:rPr>
              <w:t>86</w:t>
            </w:r>
          </w:p>
        </w:tc>
      </w:tr>
    </w:tbl>
    <w:p w:rsidR="00420803" w:rsidP="00420803" w14:paraId="7B1852A4" w14:textId="06671D96">
      <w:pPr>
        <w:pStyle w:val="BodyText2"/>
      </w:pPr>
    </w:p>
    <w:p w:rsidR="00A80360" w:rsidP="00420803" w14:paraId="3CE6BDB6" w14:textId="77777777">
      <w:pPr>
        <w:pStyle w:val="BodyText2"/>
      </w:pPr>
    </w:p>
    <w:p w:rsidR="00357C8A" w:rsidRPr="00357C8A" w:rsidP="006705EA" w14:paraId="6F2756E2" w14:textId="77777777">
      <w:pPr>
        <w:numPr>
          <w:ilvl w:val="0"/>
          <w:numId w:val="6"/>
        </w:numPr>
        <w:spacing w:after="200" w:line="276" w:lineRule="auto"/>
        <w:rPr>
          <w:rFonts w:eastAsia="Calibri"/>
        </w:rPr>
      </w:pPr>
      <w:r w:rsidRPr="00357C8A">
        <w:rPr>
          <w:rFonts w:eastAsia="Calibri"/>
          <w:u w:val="single"/>
        </w:rPr>
        <w:t xml:space="preserve">Estimates of Other Total Annual Costs </w:t>
      </w:r>
      <w:r w:rsidR="00590E90">
        <w:rPr>
          <w:rFonts w:eastAsia="Calibri"/>
          <w:u w:val="single"/>
        </w:rPr>
        <w:t xml:space="preserve">to Respondents/Recordkeepers or </w:t>
      </w:r>
      <w:r w:rsidRPr="00357C8A">
        <w:rPr>
          <w:rFonts w:eastAsia="Calibri"/>
          <w:u w:val="single"/>
        </w:rPr>
        <w:t xml:space="preserve">Capital Costs </w:t>
      </w:r>
    </w:p>
    <w:p w:rsidR="0022425B" w:rsidP="0022425B" w14:paraId="533D1F4D" w14:textId="77777777">
      <w:pPr>
        <w:spacing w:after="200" w:line="276" w:lineRule="auto"/>
        <w:rPr>
          <w:rFonts w:eastAsia="Calibri"/>
          <w:u w:val="single"/>
        </w:rPr>
      </w:pPr>
      <w:r w:rsidRPr="007263B8">
        <w:rPr>
          <w:rFonts w:eastAsia="Calibri"/>
        </w:rPr>
        <w:t>There are no capital, start-up, operating or maintenance costs associated with this information collection.</w:t>
      </w:r>
    </w:p>
    <w:p w:rsidR="00357C8A" w:rsidRPr="00357C8A" w:rsidP="006705EA" w14:paraId="6AE6A8E8" w14:textId="77777777">
      <w:pPr>
        <w:numPr>
          <w:ilvl w:val="0"/>
          <w:numId w:val="6"/>
        </w:numPr>
        <w:spacing w:after="200" w:line="276" w:lineRule="auto"/>
        <w:rPr>
          <w:rFonts w:eastAsia="Calibri"/>
          <w:u w:val="single"/>
        </w:rPr>
      </w:pPr>
      <w:r w:rsidRPr="00357C8A">
        <w:rPr>
          <w:rFonts w:eastAsia="Calibri"/>
          <w:u w:val="single"/>
        </w:rPr>
        <w:t>Annualized Cost to the Federal Government</w:t>
      </w:r>
    </w:p>
    <w:p w:rsidR="00357C8A" w:rsidRPr="00357C8A" w:rsidP="00357C8A" w14:paraId="2DEAC79D" w14:textId="1ABB5FBB">
      <w:pPr>
        <w:spacing w:after="200"/>
        <w:rPr>
          <w:rFonts w:eastAsia="Calibri"/>
        </w:rPr>
      </w:pPr>
      <w:r>
        <w:rPr>
          <w:rFonts w:eastAsia="Calibri"/>
        </w:rPr>
        <w:t xml:space="preserve">Our review of </w:t>
      </w:r>
      <w:r w:rsidRPr="004B4765">
        <w:rPr>
          <w:rFonts w:eastAsia="Calibri"/>
        </w:rPr>
        <w:t xml:space="preserve">the retained records </w:t>
      </w:r>
      <w:r>
        <w:rPr>
          <w:rFonts w:eastAsia="Calibri"/>
        </w:rPr>
        <w:t xml:space="preserve">generally </w:t>
      </w:r>
      <w:r w:rsidRPr="004B4765">
        <w:rPr>
          <w:rFonts w:eastAsia="Calibri"/>
        </w:rPr>
        <w:t>occur</w:t>
      </w:r>
      <w:r>
        <w:rPr>
          <w:rFonts w:eastAsia="Calibri"/>
        </w:rPr>
        <w:t>s</w:t>
      </w:r>
      <w:r w:rsidRPr="004B4765">
        <w:rPr>
          <w:rFonts w:eastAsia="Calibri"/>
        </w:rPr>
        <w:t xml:space="preserve"> as part of </w:t>
      </w:r>
      <w:r>
        <w:rPr>
          <w:rFonts w:eastAsia="Calibri"/>
        </w:rPr>
        <w:t xml:space="preserve">our </w:t>
      </w:r>
      <w:r w:rsidRPr="004B4765">
        <w:rPr>
          <w:rFonts w:eastAsia="Calibri"/>
        </w:rPr>
        <w:t xml:space="preserve">response to a reportable food event.  </w:t>
      </w:r>
      <w:r>
        <w:rPr>
          <w:rFonts w:eastAsia="Calibri"/>
        </w:rPr>
        <w:t xml:space="preserve">Assuming we </w:t>
      </w:r>
      <w:r w:rsidRPr="004B4765">
        <w:rPr>
          <w:rFonts w:eastAsia="Calibri"/>
        </w:rPr>
        <w:t>devote 5 hours per inspection to the inspection of records</w:t>
      </w:r>
      <w:r>
        <w:rPr>
          <w:rFonts w:eastAsia="Calibri"/>
        </w:rPr>
        <w:t xml:space="preserve">, we </w:t>
      </w:r>
      <w:r w:rsidRPr="004B4765">
        <w:rPr>
          <w:rFonts w:eastAsia="Calibri"/>
        </w:rPr>
        <w:t xml:space="preserve">estimate </w:t>
      </w:r>
      <w:r>
        <w:rPr>
          <w:rFonts w:eastAsia="Calibri"/>
        </w:rPr>
        <w:t xml:space="preserve">an </w:t>
      </w:r>
      <w:r w:rsidRPr="004B4765">
        <w:rPr>
          <w:rFonts w:eastAsia="Calibri"/>
        </w:rPr>
        <w:t>annualized cost to the Federal government for the review of records retained by a firm to be $</w:t>
      </w:r>
      <w:r w:rsidR="00BD301B">
        <w:rPr>
          <w:rFonts w:eastAsia="Calibri"/>
        </w:rPr>
        <w:t>451</w:t>
      </w:r>
      <w:r>
        <w:rPr>
          <w:rFonts w:eastAsia="Calibri"/>
        </w:rPr>
        <w:t>.</w:t>
      </w:r>
      <w:r w:rsidR="00BD301B">
        <w:rPr>
          <w:rFonts w:eastAsia="Calibri"/>
        </w:rPr>
        <w:t>40</w:t>
      </w:r>
      <w:r w:rsidRPr="004B4765" w:rsidR="00BD301B">
        <w:rPr>
          <w:rFonts w:eastAsia="Calibri"/>
        </w:rPr>
        <w:t xml:space="preserve"> </w:t>
      </w:r>
      <w:r w:rsidRPr="004B4765">
        <w:rPr>
          <w:rFonts w:eastAsia="Calibri"/>
        </w:rPr>
        <w:t xml:space="preserve">per review.  In this calculation of cost, </w:t>
      </w:r>
      <w:r>
        <w:rPr>
          <w:rFonts w:eastAsia="Calibri"/>
        </w:rPr>
        <w:t>we</w:t>
      </w:r>
      <w:r w:rsidRPr="004B4765">
        <w:rPr>
          <w:rFonts w:eastAsia="Calibri"/>
        </w:rPr>
        <w:t xml:space="preserve"> estimate </w:t>
      </w:r>
      <w:r>
        <w:rPr>
          <w:rFonts w:eastAsia="Calibri"/>
        </w:rPr>
        <w:t xml:space="preserve">an </w:t>
      </w:r>
      <w:r w:rsidRPr="004B4765">
        <w:rPr>
          <w:rFonts w:eastAsia="Calibri"/>
        </w:rPr>
        <w:t xml:space="preserve">hourly cost for review and evaluation </w:t>
      </w:r>
      <w:r>
        <w:rPr>
          <w:rFonts w:eastAsia="Calibri"/>
        </w:rPr>
        <w:t xml:space="preserve">using the wage rate for a </w:t>
      </w:r>
      <w:r w:rsidRPr="004B4765">
        <w:rPr>
          <w:rFonts w:eastAsia="Calibri"/>
        </w:rPr>
        <w:t>GS-12, step 1 salary</w:t>
      </w:r>
      <w:r>
        <w:rPr>
          <w:rFonts w:eastAsia="Calibri"/>
        </w:rPr>
        <w:t xml:space="preserve"> </w:t>
      </w:r>
      <w:r w:rsidRPr="004B4765">
        <w:rPr>
          <w:rFonts w:eastAsia="Calibri"/>
        </w:rPr>
        <w:t>of $</w:t>
      </w:r>
      <w:r w:rsidR="00B26CCA">
        <w:rPr>
          <w:rFonts w:eastAsia="Calibri"/>
        </w:rPr>
        <w:t>45</w:t>
      </w:r>
      <w:r w:rsidRPr="004B4765">
        <w:rPr>
          <w:rFonts w:eastAsia="Calibri"/>
        </w:rPr>
        <w:t>.</w:t>
      </w:r>
      <w:r w:rsidR="00B26CCA">
        <w:rPr>
          <w:rFonts w:eastAsia="Calibri"/>
        </w:rPr>
        <w:t>14</w:t>
      </w:r>
      <w:r w:rsidRPr="004B4765" w:rsidR="00B26CCA">
        <w:rPr>
          <w:rFonts w:eastAsia="Calibri"/>
        </w:rPr>
        <w:t xml:space="preserve"> </w:t>
      </w:r>
      <w:r w:rsidRPr="004B4765">
        <w:rPr>
          <w:rFonts w:eastAsia="Calibri"/>
        </w:rPr>
        <w:t>per hour for the locality pay area of Washington-Baltimore for 20</w:t>
      </w:r>
      <w:r>
        <w:rPr>
          <w:rFonts w:eastAsia="Calibri"/>
        </w:rPr>
        <w:t>2</w:t>
      </w:r>
      <w:r w:rsidR="00B26CCA">
        <w:rPr>
          <w:rFonts w:eastAsia="Calibri"/>
        </w:rPr>
        <w:t>3</w:t>
      </w:r>
      <w:r w:rsidRPr="004B4765">
        <w:rPr>
          <w:rFonts w:eastAsia="Calibri"/>
        </w:rPr>
        <w:t xml:space="preserve">.  </w:t>
      </w:r>
      <w:r>
        <w:rPr>
          <w:rFonts w:eastAsia="Calibri"/>
        </w:rPr>
        <w:t>We multiply the hourly rate by</w:t>
      </w:r>
      <w:r w:rsidRPr="004B4765">
        <w:rPr>
          <w:rFonts w:eastAsia="Calibri"/>
        </w:rPr>
        <w:t xml:space="preserve"> </w:t>
      </w:r>
      <w:r>
        <w:rPr>
          <w:rFonts w:eastAsia="Calibri"/>
        </w:rPr>
        <w:t>5 (</w:t>
      </w:r>
      <w:r w:rsidRPr="004B4765">
        <w:rPr>
          <w:rFonts w:eastAsia="Calibri"/>
        </w:rPr>
        <w:t>$</w:t>
      </w:r>
      <w:r w:rsidR="00BD301B">
        <w:rPr>
          <w:rFonts w:eastAsia="Calibri"/>
        </w:rPr>
        <w:t>225</w:t>
      </w:r>
      <w:r>
        <w:rPr>
          <w:rFonts w:eastAsia="Calibri"/>
        </w:rPr>
        <w:t>.</w:t>
      </w:r>
      <w:r w:rsidR="00BD301B">
        <w:rPr>
          <w:rFonts w:eastAsia="Calibri"/>
        </w:rPr>
        <w:t>70</w:t>
      </w:r>
      <w:r>
        <w:rPr>
          <w:rFonts w:eastAsia="Calibri"/>
        </w:rPr>
        <w:t xml:space="preserve">) and, to </w:t>
      </w:r>
      <w:r w:rsidRPr="004B4765">
        <w:rPr>
          <w:rFonts w:eastAsia="Calibri"/>
        </w:rPr>
        <w:t xml:space="preserve">account for overhead, increased </w:t>
      </w:r>
      <w:r>
        <w:rPr>
          <w:rFonts w:eastAsia="Calibri"/>
        </w:rPr>
        <w:t xml:space="preserve">this cost </w:t>
      </w:r>
      <w:r w:rsidRPr="004B4765">
        <w:rPr>
          <w:rFonts w:eastAsia="Calibri"/>
        </w:rPr>
        <w:t>by 100 percent,</w:t>
      </w:r>
      <w:r>
        <w:rPr>
          <w:rFonts w:eastAsia="Calibri"/>
        </w:rPr>
        <w:t xml:space="preserve"> to arrive at </w:t>
      </w:r>
      <w:r w:rsidRPr="004B4765">
        <w:rPr>
          <w:rFonts w:eastAsia="Calibri"/>
        </w:rPr>
        <w:t>$</w:t>
      </w:r>
      <w:r w:rsidR="00BD301B">
        <w:rPr>
          <w:rFonts w:eastAsia="Calibri"/>
        </w:rPr>
        <w:t>451</w:t>
      </w:r>
      <w:r>
        <w:rPr>
          <w:rFonts w:eastAsia="Calibri"/>
        </w:rPr>
        <w:t>.</w:t>
      </w:r>
      <w:r w:rsidR="00BD301B">
        <w:rPr>
          <w:rFonts w:eastAsia="Calibri"/>
        </w:rPr>
        <w:t>40</w:t>
      </w:r>
      <w:r w:rsidRPr="004B4765" w:rsidR="00BD301B">
        <w:rPr>
          <w:rFonts w:eastAsia="Calibri"/>
        </w:rPr>
        <w:t xml:space="preserve"> </w:t>
      </w:r>
      <w:r w:rsidRPr="004B4765">
        <w:rPr>
          <w:rFonts w:eastAsia="Calibri"/>
        </w:rPr>
        <w:t>per rev</w:t>
      </w:r>
      <w:r w:rsidRPr="00816FF2">
        <w:rPr>
          <w:rFonts w:eastAsia="Calibri"/>
        </w:rPr>
        <w:t xml:space="preserve">iew. </w:t>
      </w:r>
      <w:r w:rsidRPr="00816FF2" w:rsidR="00816FF2">
        <w:t>We estimate that we conduct 694 reviews/inspections per year, thus bringing the cost to the Federal government to $313,271.60 (694 reviews x $451.40/review)</w:t>
      </w:r>
      <w:r w:rsidRPr="00816FF2" w:rsidR="00816FF2">
        <w:t>.</w:t>
      </w:r>
    </w:p>
    <w:p w:rsidR="00357C8A" w:rsidP="006705EA" w14:paraId="22F8AB47" w14:textId="370BB568">
      <w:pPr>
        <w:numPr>
          <w:ilvl w:val="0"/>
          <w:numId w:val="6"/>
        </w:numPr>
        <w:spacing w:after="200" w:line="276" w:lineRule="auto"/>
        <w:rPr>
          <w:rFonts w:eastAsia="Calibri"/>
          <w:u w:val="single"/>
        </w:rPr>
      </w:pPr>
      <w:r w:rsidRPr="00357C8A">
        <w:rPr>
          <w:rFonts w:eastAsia="Calibri"/>
          <w:u w:val="single"/>
        </w:rPr>
        <w:t>Explanation for Program Changes or Adjustments</w:t>
      </w:r>
    </w:p>
    <w:p w:rsidR="00357C8A" w:rsidRPr="0035460D" w:rsidP="00357C8A" w14:paraId="38CF8315" w14:textId="77777777">
      <w:pPr>
        <w:spacing w:after="200"/>
        <w:rPr>
          <w:rFonts w:eastAsia="Calibri"/>
          <w:color w:val="000000"/>
        </w:rPr>
      </w:pPr>
      <w:r w:rsidRPr="004B4765">
        <w:rPr>
          <w:rFonts w:eastAsia="Calibri"/>
        </w:rPr>
        <w:t>Based on a review of the information collection since our last request for OMB approval, we have made no adjustments to our burden estimate</w:t>
      </w:r>
      <w:r w:rsidRPr="0035460D">
        <w:rPr>
          <w:rFonts w:eastAsia="Calibri"/>
          <w:color w:val="000000"/>
        </w:rPr>
        <w:t>.</w:t>
      </w:r>
    </w:p>
    <w:p w:rsidR="00357C8A" w:rsidRPr="00357C8A" w:rsidP="006705EA" w14:paraId="0BE490A1" w14:textId="77777777">
      <w:pPr>
        <w:numPr>
          <w:ilvl w:val="0"/>
          <w:numId w:val="6"/>
        </w:numPr>
        <w:spacing w:after="200" w:line="276" w:lineRule="auto"/>
        <w:rPr>
          <w:rFonts w:eastAsia="Calibri"/>
          <w:u w:val="single"/>
        </w:rPr>
      </w:pPr>
      <w:r w:rsidRPr="00357C8A">
        <w:rPr>
          <w:rFonts w:eastAsia="Calibri"/>
          <w:u w:val="single"/>
        </w:rPr>
        <w:t>Plans for Tabulation and Publication and Project Time Schedule</w:t>
      </w:r>
    </w:p>
    <w:p w:rsidR="00357C8A" w:rsidRPr="0035460D" w:rsidP="00357C8A" w14:paraId="5A8D155A" w14:textId="77777777">
      <w:pPr>
        <w:spacing w:after="200"/>
        <w:rPr>
          <w:rFonts w:eastAsia="Calibri"/>
          <w:color w:val="000000"/>
        </w:rPr>
      </w:pPr>
      <w:r w:rsidRPr="005C71CA">
        <w:rPr>
          <w:rFonts w:eastAsia="Calibri"/>
        </w:rPr>
        <w:t>This information collected will not be published or tabulated.</w:t>
      </w:r>
      <w:r>
        <w:rPr>
          <w:rFonts w:eastAsia="Calibri"/>
        </w:rPr>
        <w:t xml:space="preserve">  </w:t>
      </w:r>
    </w:p>
    <w:p w:rsidR="00357C8A" w:rsidRPr="00357C8A" w:rsidP="006705EA" w14:paraId="7179059E" w14:textId="77777777">
      <w:pPr>
        <w:numPr>
          <w:ilvl w:val="0"/>
          <w:numId w:val="6"/>
        </w:numPr>
        <w:spacing w:after="200" w:line="276" w:lineRule="auto"/>
        <w:rPr>
          <w:rFonts w:eastAsia="Calibri"/>
          <w:u w:val="single"/>
        </w:rPr>
      </w:pPr>
      <w:r w:rsidRPr="00357C8A">
        <w:rPr>
          <w:rFonts w:eastAsia="Calibri"/>
          <w:u w:val="single"/>
        </w:rPr>
        <w:t>Reason(s) Display of OMB Expiration Date is Inappropriate</w:t>
      </w:r>
    </w:p>
    <w:p w:rsidR="00DC1BDB" w:rsidP="00711416" w14:paraId="37F8180A" w14:textId="43BF04CF">
      <w:pPr>
        <w:spacing w:after="200" w:line="276" w:lineRule="auto"/>
        <w:rPr>
          <w:rFonts w:eastAsia="Calibri"/>
        </w:rPr>
      </w:pPr>
      <w:r w:rsidRPr="00E74F10">
        <w:t>We are not seeking approval to exempt the display of the expiration date of the OMB approval.</w:t>
      </w:r>
    </w:p>
    <w:p w:rsidR="00357C8A" w:rsidRPr="00711416" w:rsidP="00711416" w14:paraId="147BD00A" w14:textId="185DBC9C">
      <w:pPr>
        <w:pStyle w:val="ListParagraph"/>
        <w:numPr>
          <w:ilvl w:val="0"/>
          <w:numId w:val="6"/>
        </w:numPr>
        <w:spacing w:after="200" w:line="276" w:lineRule="auto"/>
        <w:rPr>
          <w:rFonts w:eastAsia="Calibri"/>
          <w:u w:val="single"/>
        </w:rPr>
      </w:pPr>
      <w:r w:rsidRPr="00711416">
        <w:rPr>
          <w:rFonts w:eastAsia="Calibri"/>
          <w:u w:val="single"/>
        </w:rPr>
        <w:t>Exceptions to Certification for Paperwork Reduction Act Submissions</w:t>
      </w:r>
    </w:p>
    <w:p w:rsidR="00544138" w:rsidRPr="00C20690" w:rsidP="00C20690" w14:paraId="6CE8BF23" w14:textId="77777777">
      <w:pPr>
        <w:spacing w:after="200"/>
        <w:rPr>
          <w:rFonts w:eastAsia="Calibri"/>
        </w:rPr>
      </w:pPr>
      <w:r w:rsidRPr="004A4CD9">
        <w:rPr>
          <w:rFonts w:eastAsia="Calibri"/>
        </w:rPr>
        <w:t>There are no exceptions to the certification.</w:t>
      </w:r>
    </w:p>
    <w:sectPr w:rsidSect="005C71CA">
      <w:footerReference w:type="even" r:id="rId6"/>
      <w:footerReference w:type="default" r:id="rId7"/>
      <w:pgSz w:w="12240" w:h="15840" w:code="1"/>
      <w:pgMar w:top="1008" w:right="1296"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50AA5DF1" w14:textId="5C3F874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E3984">
      <w:rPr>
        <w:rStyle w:val="PageNumber"/>
        <w:noProof/>
      </w:rPr>
      <w:t>4</w:t>
    </w:r>
    <w:r>
      <w:rPr>
        <w:rStyle w:val="PageNumber"/>
      </w:rPr>
      <w:fldChar w:fldCharType="end"/>
    </w:r>
  </w:p>
  <w:p w:rsidR="00E63DE5" w14:paraId="32E2D0C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3DE5" w:rsidP="003F3DF5" w14:paraId="06C0057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FFD">
      <w:rPr>
        <w:rStyle w:val="PageNumber"/>
        <w:noProof/>
      </w:rPr>
      <w:t>7</w:t>
    </w:r>
    <w:r>
      <w:rPr>
        <w:rStyle w:val="PageNumber"/>
      </w:rPr>
      <w:fldChar w:fldCharType="end"/>
    </w:r>
  </w:p>
  <w:p w:rsidR="00E63DE5" w14:paraId="0F9DB9F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5567B5"/>
    <w:multiLevelType w:val="hybridMultilevel"/>
    <w:tmpl w:val="9116875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7B65BAA"/>
    <w:multiLevelType w:val="hybridMultilevel"/>
    <w:tmpl w:val="A5E844DE"/>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B507DAF"/>
    <w:multiLevelType w:val="hybridMultilevel"/>
    <w:tmpl w:val="5F744CAC"/>
    <w:lvl w:ilvl="0">
      <w:start w:val="1"/>
      <w:numFmt w:val="bullet"/>
      <w:lvlText w:val="o"/>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hAnsi="Courier New"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Times New Roman"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Times New Roman" w:hint="default"/>
      </w:rPr>
    </w:lvl>
    <w:lvl w:ilvl="8">
      <w:start w:val="1"/>
      <w:numFmt w:val="bullet"/>
      <w:lvlText w:val=""/>
      <w:lvlJc w:val="left"/>
      <w:pPr>
        <w:ind w:left="6480" w:hanging="360"/>
      </w:pPr>
      <w:rPr>
        <w:rFonts w:ascii="Wingdings" w:hAnsi="Wingdings" w:hint="default"/>
      </w:rPr>
    </w:lvl>
  </w:abstractNum>
  <w:abstractNum w:abstractNumId="3">
    <w:nsid w:val="3BEE557C"/>
    <w:multiLevelType w:val="hybridMultilevel"/>
    <w:tmpl w:val="B024C990"/>
    <w:lvl w:ilvl="0">
      <w:start w:val="1"/>
      <w:numFmt w:val="decimal"/>
      <w:lvlText w:val="%1."/>
      <w:lvlJc w:val="left"/>
      <w:pPr>
        <w:ind w:left="360" w:hanging="360"/>
      </w:pPr>
    </w:lvl>
    <w:lvl w:ilvl="1">
      <w:start w:val="1"/>
      <w:numFmt w:val="lowerLetter"/>
      <w:lvlText w:val="%2."/>
      <w:lvlJc w:val="left"/>
      <w:pPr>
        <w:ind w:left="1080" w:hanging="360"/>
      </w:pPr>
      <w:rPr>
        <w:i w:val="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51C66BF9"/>
    <w:multiLevelType w:val="hybridMultilevel"/>
    <w:tmpl w:val="0468771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DC55C4D"/>
    <w:multiLevelType w:val="hybridMultilevel"/>
    <w:tmpl w:val="8F8A4D30"/>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6">
    <w:nsid w:val="704B3A7E"/>
    <w:multiLevelType w:val="hybridMultilevel"/>
    <w:tmpl w:val="F0964A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A5A208E"/>
    <w:multiLevelType w:val="hybridMultilevel"/>
    <w:tmpl w:val="4AA4EDD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153885937">
    <w:abstractNumId w:val="5"/>
  </w:num>
  <w:num w:numId="2" w16cid:durableId="272254263">
    <w:abstractNumId w:val="1"/>
  </w:num>
  <w:num w:numId="3" w16cid:durableId="16468690">
    <w:abstractNumId w:val="6"/>
  </w:num>
  <w:num w:numId="4" w16cid:durableId="499542082">
    <w:abstractNumId w:val="3"/>
  </w:num>
  <w:num w:numId="5" w16cid:durableId="1859466852">
    <w:abstractNumId w:val="7"/>
  </w:num>
  <w:num w:numId="6" w16cid:durableId="1209489907">
    <w:abstractNumId w:val="0"/>
  </w:num>
  <w:num w:numId="7" w16cid:durableId="301816355">
    <w:abstractNumId w:val="2"/>
  </w:num>
  <w:num w:numId="8" w16cid:durableId="74314078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538"/>
    <w:rsid w:val="00031A2C"/>
    <w:rsid w:val="00042B93"/>
    <w:rsid w:val="00043C7F"/>
    <w:rsid w:val="000467A8"/>
    <w:rsid w:val="000508F8"/>
    <w:rsid w:val="0006570F"/>
    <w:rsid w:val="00075DE8"/>
    <w:rsid w:val="0007637E"/>
    <w:rsid w:val="00087439"/>
    <w:rsid w:val="000A6B57"/>
    <w:rsid w:val="000B7380"/>
    <w:rsid w:val="000C1260"/>
    <w:rsid w:val="000C560C"/>
    <w:rsid w:val="000C645B"/>
    <w:rsid w:val="000D080B"/>
    <w:rsid w:val="000D48FD"/>
    <w:rsid w:val="000D79CC"/>
    <w:rsid w:val="000E1C64"/>
    <w:rsid w:val="000F7119"/>
    <w:rsid w:val="00100739"/>
    <w:rsid w:val="0010493E"/>
    <w:rsid w:val="001075D3"/>
    <w:rsid w:val="00107885"/>
    <w:rsid w:val="00112E00"/>
    <w:rsid w:val="00114FC4"/>
    <w:rsid w:val="0012329C"/>
    <w:rsid w:val="00134FA7"/>
    <w:rsid w:val="00137950"/>
    <w:rsid w:val="00152F29"/>
    <w:rsid w:val="00174D54"/>
    <w:rsid w:val="0017702C"/>
    <w:rsid w:val="00184A4D"/>
    <w:rsid w:val="00185270"/>
    <w:rsid w:val="001A1B8A"/>
    <w:rsid w:val="001A3887"/>
    <w:rsid w:val="001A3B5A"/>
    <w:rsid w:val="001A458C"/>
    <w:rsid w:val="001B304F"/>
    <w:rsid w:val="001B7CE9"/>
    <w:rsid w:val="001D495A"/>
    <w:rsid w:val="001E244C"/>
    <w:rsid w:val="001F1437"/>
    <w:rsid w:val="00206799"/>
    <w:rsid w:val="002074FE"/>
    <w:rsid w:val="0022425B"/>
    <w:rsid w:val="002259EF"/>
    <w:rsid w:val="00225AC8"/>
    <w:rsid w:val="00242ED1"/>
    <w:rsid w:val="002444BB"/>
    <w:rsid w:val="00254069"/>
    <w:rsid w:val="00270748"/>
    <w:rsid w:val="002734E5"/>
    <w:rsid w:val="002746DB"/>
    <w:rsid w:val="00280CAF"/>
    <w:rsid w:val="00282F09"/>
    <w:rsid w:val="00291810"/>
    <w:rsid w:val="00294D62"/>
    <w:rsid w:val="00297532"/>
    <w:rsid w:val="00297FFD"/>
    <w:rsid w:val="002A0F73"/>
    <w:rsid w:val="002A1210"/>
    <w:rsid w:val="002A47D2"/>
    <w:rsid w:val="002A4F1F"/>
    <w:rsid w:val="002A7FB5"/>
    <w:rsid w:val="002B2074"/>
    <w:rsid w:val="002D14D8"/>
    <w:rsid w:val="002D4799"/>
    <w:rsid w:val="002E3FA4"/>
    <w:rsid w:val="002E53A5"/>
    <w:rsid w:val="002E64B8"/>
    <w:rsid w:val="002E6834"/>
    <w:rsid w:val="003049B2"/>
    <w:rsid w:val="003113FF"/>
    <w:rsid w:val="00312622"/>
    <w:rsid w:val="0032277F"/>
    <w:rsid w:val="00336B69"/>
    <w:rsid w:val="00340562"/>
    <w:rsid w:val="0034302B"/>
    <w:rsid w:val="00350523"/>
    <w:rsid w:val="0035189D"/>
    <w:rsid w:val="0035460D"/>
    <w:rsid w:val="00354DCB"/>
    <w:rsid w:val="00355B62"/>
    <w:rsid w:val="00357C8A"/>
    <w:rsid w:val="003601E8"/>
    <w:rsid w:val="003740BC"/>
    <w:rsid w:val="0037456B"/>
    <w:rsid w:val="003801A3"/>
    <w:rsid w:val="00383B9A"/>
    <w:rsid w:val="00383D90"/>
    <w:rsid w:val="003870AE"/>
    <w:rsid w:val="003A03F2"/>
    <w:rsid w:val="003A1A27"/>
    <w:rsid w:val="003A50CC"/>
    <w:rsid w:val="003B42B3"/>
    <w:rsid w:val="003B6384"/>
    <w:rsid w:val="003C0FE2"/>
    <w:rsid w:val="003C4EBB"/>
    <w:rsid w:val="003D0F06"/>
    <w:rsid w:val="003D1531"/>
    <w:rsid w:val="003E3E1B"/>
    <w:rsid w:val="003E4EC6"/>
    <w:rsid w:val="003E527E"/>
    <w:rsid w:val="003E553E"/>
    <w:rsid w:val="003E7078"/>
    <w:rsid w:val="003F0C70"/>
    <w:rsid w:val="003F10F7"/>
    <w:rsid w:val="003F3DF5"/>
    <w:rsid w:val="003F73B8"/>
    <w:rsid w:val="0040297E"/>
    <w:rsid w:val="00411D11"/>
    <w:rsid w:val="00414494"/>
    <w:rsid w:val="00415E23"/>
    <w:rsid w:val="0041670D"/>
    <w:rsid w:val="00420803"/>
    <w:rsid w:val="00423272"/>
    <w:rsid w:val="00424061"/>
    <w:rsid w:val="00442A3C"/>
    <w:rsid w:val="00443969"/>
    <w:rsid w:val="00447D74"/>
    <w:rsid w:val="00450A74"/>
    <w:rsid w:val="004546BF"/>
    <w:rsid w:val="0045694F"/>
    <w:rsid w:val="00465350"/>
    <w:rsid w:val="00476B4D"/>
    <w:rsid w:val="00476B91"/>
    <w:rsid w:val="004846BF"/>
    <w:rsid w:val="00494912"/>
    <w:rsid w:val="00495910"/>
    <w:rsid w:val="004A4CD9"/>
    <w:rsid w:val="004A5323"/>
    <w:rsid w:val="004A5A99"/>
    <w:rsid w:val="004B302D"/>
    <w:rsid w:val="004B4765"/>
    <w:rsid w:val="004C301D"/>
    <w:rsid w:val="004C6979"/>
    <w:rsid w:val="004D13A2"/>
    <w:rsid w:val="004D3E7A"/>
    <w:rsid w:val="004F594B"/>
    <w:rsid w:val="004F61E1"/>
    <w:rsid w:val="004F6BE5"/>
    <w:rsid w:val="00502809"/>
    <w:rsid w:val="00507E67"/>
    <w:rsid w:val="005167B6"/>
    <w:rsid w:val="0053380B"/>
    <w:rsid w:val="00543194"/>
    <w:rsid w:val="00544138"/>
    <w:rsid w:val="00554E34"/>
    <w:rsid w:val="00565C4B"/>
    <w:rsid w:val="00575827"/>
    <w:rsid w:val="00584583"/>
    <w:rsid w:val="00590E90"/>
    <w:rsid w:val="00590EEB"/>
    <w:rsid w:val="005A2407"/>
    <w:rsid w:val="005A4099"/>
    <w:rsid w:val="005C38B2"/>
    <w:rsid w:val="005C4188"/>
    <w:rsid w:val="005C5029"/>
    <w:rsid w:val="005C55C2"/>
    <w:rsid w:val="005C71CA"/>
    <w:rsid w:val="005C745C"/>
    <w:rsid w:val="005D4DF5"/>
    <w:rsid w:val="005E42BA"/>
    <w:rsid w:val="005F0730"/>
    <w:rsid w:val="00611D6B"/>
    <w:rsid w:val="00625CFD"/>
    <w:rsid w:val="006326EC"/>
    <w:rsid w:val="00636E67"/>
    <w:rsid w:val="00663A42"/>
    <w:rsid w:val="006641C7"/>
    <w:rsid w:val="006705EA"/>
    <w:rsid w:val="00670BE2"/>
    <w:rsid w:val="006902E8"/>
    <w:rsid w:val="006916D9"/>
    <w:rsid w:val="006930A7"/>
    <w:rsid w:val="006A0E05"/>
    <w:rsid w:val="006A26C6"/>
    <w:rsid w:val="006A3CC5"/>
    <w:rsid w:val="006A465A"/>
    <w:rsid w:val="006A7D5D"/>
    <w:rsid w:val="006D0C12"/>
    <w:rsid w:val="006D5D57"/>
    <w:rsid w:val="006D7A96"/>
    <w:rsid w:val="006E2538"/>
    <w:rsid w:val="006E302F"/>
    <w:rsid w:val="006E3984"/>
    <w:rsid w:val="006E520A"/>
    <w:rsid w:val="006E5301"/>
    <w:rsid w:val="006E5D21"/>
    <w:rsid w:val="006F4D6D"/>
    <w:rsid w:val="00705086"/>
    <w:rsid w:val="00711416"/>
    <w:rsid w:val="00722001"/>
    <w:rsid w:val="007263B8"/>
    <w:rsid w:val="00744525"/>
    <w:rsid w:val="00751E66"/>
    <w:rsid w:val="00754497"/>
    <w:rsid w:val="00772794"/>
    <w:rsid w:val="00773201"/>
    <w:rsid w:val="00787C39"/>
    <w:rsid w:val="00792947"/>
    <w:rsid w:val="00795AA5"/>
    <w:rsid w:val="00795DF3"/>
    <w:rsid w:val="007A2B59"/>
    <w:rsid w:val="007A373C"/>
    <w:rsid w:val="007B225C"/>
    <w:rsid w:val="007C75B1"/>
    <w:rsid w:val="007D3DFC"/>
    <w:rsid w:val="007E19EF"/>
    <w:rsid w:val="007E2F07"/>
    <w:rsid w:val="007E59A8"/>
    <w:rsid w:val="007F7BD8"/>
    <w:rsid w:val="0080654B"/>
    <w:rsid w:val="0080776D"/>
    <w:rsid w:val="00810145"/>
    <w:rsid w:val="008108FA"/>
    <w:rsid w:val="00810FF1"/>
    <w:rsid w:val="00816FF2"/>
    <w:rsid w:val="00822336"/>
    <w:rsid w:val="00823DFA"/>
    <w:rsid w:val="00842DB7"/>
    <w:rsid w:val="00843752"/>
    <w:rsid w:val="0084479F"/>
    <w:rsid w:val="008556A5"/>
    <w:rsid w:val="0085725E"/>
    <w:rsid w:val="00865164"/>
    <w:rsid w:val="00871647"/>
    <w:rsid w:val="00873D4F"/>
    <w:rsid w:val="0087509F"/>
    <w:rsid w:val="00885B09"/>
    <w:rsid w:val="00891016"/>
    <w:rsid w:val="00892400"/>
    <w:rsid w:val="008A209D"/>
    <w:rsid w:val="008A22BB"/>
    <w:rsid w:val="008B02AE"/>
    <w:rsid w:val="008B035D"/>
    <w:rsid w:val="008B0E29"/>
    <w:rsid w:val="008B0EFA"/>
    <w:rsid w:val="008B30AB"/>
    <w:rsid w:val="008C3BB8"/>
    <w:rsid w:val="008C4B65"/>
    <w:rsid w:val="008D52BE"/>
    <w:rsid w:val="008E5F55"/>
    <w:rsid w:val="009009E7"/>
    <w:rsid w:val="00905DEF"/>
    <w:rsid w:val="00906056"/>
    <w:rsid w:val="00907352"/>
    <w:rsid w:val="009122AE"/>
    <w:rsid w:val="00913B43"/>
    <w:rsid w:val="00916924"/>
    <w:rsid w:val="00930203"/>
    <w:rsid w:val="009311D2"/>
    <w:rsid w:val="009311E6"/>
    <w:rsid w:val="00931275"/>
    <w:rsid w:val="00936AC7"/>
    <w:rsid w:val="00953B64"/>
    <w:rsid w:val="009646A7"/>
    <w:rsid w:val="0096518A"/>
    <w:rsid w:val="00970A88"/>
    <w:rsid w:val="009818A1"/>
    <w:rsid w:val="00986CB8"/>
    <w:rsid w:val="00993471"/>
    <w:rsid w:val="009A1674"/>
    <w:rsid w:val="009B13BC"/>
    <w:rsid w:val="009B38BE"/>
    <w:rsid w:val="009B4DF2"/>
    <w:rsid w:val="009C2356"/>
    <w:rsid w:val="009C684F"/>
    <w:rsid w:val="009D074C"/>
    <w:rsid w:val="009D1F4E"/>
    <w:rsid w:val="009D6E73"/>
    <w:rsid w:val="009E1106"/>
    <w:rsid w:val="009E391E"/>
    <w:rsid w:val="009F1F1D"/>
    <w:rsid w:val="009F2B4F"/>
    <w:rsid w:val="009F3C63"/>
    <w:rsid w:val="009F66B5"/>
    <w:rsid w:val="009F78C8"/>
    <w:rsid w:val="00A02F10"/>
    <w:rsid w:val="00A03684"/>
    <w:rsid w:val="00A1060C"/>
    <w:rsid w:val="00A16221"/>
    <w:rsid w:val="00A20A7D"/>
    <w:rsid w:val="00A21532"/>
    <w:rsid w:val="00A26AE1"/>
    <w:rsid w:val="00A35D42"/>
    <w:rsid w:val="00A46CCF"/>
    <w:rsid w:val="00A506DE"/>
    <w:rsid w:val="00A53451"/>
    <w:rsid w:val="00A70426"/>
    <w:rsid w:val="00A707CC"/>
    <w:rsid w:val="00A71410"/>
    <w:rsid w:val="00A80360"/>
    <w:rsid w:val="00A91E9A"/>
    <w:rsid w:val="00A93ED9"/>
    <w:rsid w:val="00A96221"/>
    <w:rsid w:val="00AB10F1"/>
    <w:rsid w:val="00AB6177"/>
    <w:rsid w:val="00AC2DBB"/>
    <w:rsid w:val="00AC48F1"/>
    <w:rsid w:val="00AC6A99"/>
    <w:rsid w:val="00AD6048"/>
    <w:rsid w:val="00B055EF"/>
    <w:rsid w:val="00B06B5B"/>
    <w:rsid w:val="00B235B4"/>
    <w:rsid w:val="00B23769"/>
    <w:rsid w:val="00B26CCA"/>
    <w:rsid w:val="00B41789"/>
    <w:rsid w:val="00B44B8F"/>
    <w:rsid w:val="00B63D16"/>
    <w:rsid w:val="00B66CA3"/>
    <w:rsid w:val="00B81808"/>
    <w:rsid w:val="00B81AB3"/>
    <w:rsid w:val="00B86DFA"/>
    <w:rsid w:val="00B936D0"/>
    <w:rsid w:val="00BB15FB"/>
    <w:rsid w:val="00BD1EEB"/>
    <w:rsid w:val="00BD247F"/>
    <w:rsid w:val="00BD301B"/>
    <w:rsid w:val="00BD3D5B"/>
    <w:rsid w:val="00BE2AC0"/>
    <w:rsid w:val="00BE3600"/>
    <w:rsid w:val="00BF2E64"/>
    <w:rsid w:val="00BF6983"/>
    <w:rsid w:val="00C01F6F"/>
    <w:rsid w:val="00C041EA"/>
    <w:rsid w:val="00C13BBD"/>
    <w:rsid w:val="00C14570"/>
    <w:rsid w:val="00C149AB"/>
    <w:rsid w:val="00C1555C"/>
    <w:rsid w:val="00C16929"/>
    <w:rsid w:val="00C20690"/>
    <w:rsid w:val="00C343EE"/>
    <w:rsid w:val="00C36020"/>
    <w:rsid w:val="00C40694"/>
    <w:rsid w:val="00C44A5D"/>
    <w:rsid w:val="00C479BF"/>
    <w:rsid w:val="00C5124B"/>
    <w:rsid w:val="00C56BB1"/>
    <w:rsid w:val="00C70542"/>
    <w:rsid w:val="00C74B6E"/>
    <w:rsid w:val="00C75CBF"/>
    <w:rsid w:val="00C85376"/>
    <w:rsid w:val="00C92A6A"/>
    <w:rsid w:val="00C93F40"/>
    <w:rsid w:val="00C9567E"/>
    <w:rsid w:val="00CA35BF"/>
    <w:rsid w:val="00CA6FA6"/>
    <w:rsid w:val="00CB08E5"/>
    <w:rsid w:val="00CC2894"/>
    <w:rsid w:val="00CD404F"/>
    <w:rsid w:val="00CD77C3"/>
    <w:rsid w:val="00CE112C"/>
    <w:rsid w:val="00CF55D4"/>
    <w:rsid w:val="00CF6A9F"/>
    <w:rsid w:val="00CF6FE6"/>
    <w:rsid w:val="00D041D0"/>
    <w:rsid w:val="00D22BB4"/>
    <w:rsid w:val="00D3026C"/>
    <w:rsid w:val="00D565C2"/>
    <w:rsid w:val="00D608DA"/>
    <w:rsid w:val="00D725B3"/>
    <w:rsid w:val="00D730BF"/>
    <w:rsid w:val="00D852F4"/>
    <w:rsid w:val="00D96129"/>
    <w:rsid w:val="00DB1110"/>
    <w:rsid w:val="00DB3730"/>
    <w:rsid w:val="00DC0AA0"/>
    <w:rsid w:val="00DC1BDB"/>
    <w:rsid w:val="00DC371B"/>
    <w:rsid w:val="00DC3788"/>
    <w:rsid w:val="00DC76C7"/>
    <w:rsid w:val="00DD09F5"/>
    <w:rsid w:val="00DD0E02"/>
    <w:rsid w:val="00DD4201"/>
    <w:rsid w:val="00DD5E9F"/>
    <w:rsid w:val="00DD6E8F"/>
    <w:rsid w:val="00DD7C6D"/>
    <w:rsid w:val="00DE53E4"/>
    <w:rsid w:val="00DE56CF"/>
    <w:rsid w:val="00DE5711"/>
    <w:rsid w:val="00E00EA0"/>
    <w:rsid w:val="00E021CB"/>
    <w:rsid w:val="00E138F1"/>
    <w:rsid w:val="00E2309D"/>
    <w:rsid w:val="00E26758"/>
    <w:rsid w:val="00E313EA"/>
    <w:rsid w:val="00E4357B"/>
    <w:rsid w:val="00E443A7"/>
    <w:rsid w:val="00E45904"/>
    <w:rsid w:val="00E4664C"/>
    <w:rsid w:val="00E63DE5"/>
    <w:rsid w:val="00E647AF"/>
    <w:rsid w:val="00E647C7"/>
    <w:rsid w:val="00E65A37"/>
    <w:rsid w:val="00E65EF7"/>
    <w:rsid w:val="00E74F10"/>
    <w:rsid w:val="00E77B48"/>
    <w:rsid w:val="00E84EA4"/>
    <w:rsid w:val="00E857FB"/>
    <w:rsid w:val="00E91799"/>
    <w:rsid w:val="00E97DF8"/>
    <w:rsid w:val="00EA21FE"/>
    <w:rsid w:val="00EA34E3"/>
    <w:rsid w:val="00EB7538"/>
    <w:rsid w:val="00EC1868"/>
    <w:rsid w:val="00EE606C"/>
    <w:rsid w:val="00EE6468"/>
    <w:rsid w:val="00F04FB5"/>
    <w:rsid w:val="00F1299B"/>
    <w:rsid w:val="00F207A4"/>
    <w:rsid w:val="00F25173"/>
    <w:rsid w:val="00F355AC"/>
    <w:rsid w:val="00F40CF7"/>
    <w:rsid w:val="00F44194"/>
    <w:rsid w:val="00F441A3"/>
    <w:rsid w:val="00F5352B"/>
    <w:rsid w:val="00F7144E"/>
    <w:rsid w:val="00F71A5A"/>
    <w:rsid w:val="00F73A1A"/>
    <w:rsid w:val="00F769E0"/>
    <w:rsid w:val="00F93D4B"/>
    <w:rsid w:val="00FA4A46"/>
    <w:rsid w:val="00FA75FE"/>
    <w:rsid w:val="00FB1032"/>
    <w:rsid w:val="00FB39BC"/>
    <w:rsid w:val="00FB6A53"/>
    <w:rsid w:val="00FC11CA"/>
    <w:rsid w:val="00FC6BDE"/>
    <w:rsid w:val="00FC7011"/>
    <w:rsid w:val="00FE2186"/>
    <w:rsid w:val="00FF613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C51BFC4"/>
  <w15:chartTrackingRefBased/>
  <w15:docId w15:val="{DC3A6D1C-81D3-4636-B889-FF594DAE7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6CC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HTML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HTML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paragraph" w:styleId="ListParagraph">
    <w:name w:val="List Paragraph"/>
    <w:basedOn w:val="Normal"/>
    <w:uiPriority w:val="34"/>
    <w:qFormat/>
    <w:rsid w:val="009D6E73"/>
    <w:pPr>
      <w:ind w:left="720"/>
    </w:pPr>
  </w:style>
  <w:style w:type="character" w:styleId="Hyperlink">
    <w:name w:val="Hyperlink"/>
    <w:rsid w:val="0010493E"/>
    <w:rPr>
      <w:color w:val="0563C1"/>
      <w:u w:val="single"/>
    </w:rPr>
  </w:style>
  <w:style w:type="character" w:styleId="UnresolvedMention">
    <w:name w:val="Unresolved Mention"/>
    <w:uiPriority w:val="99"/>
    <w:semiHidden/>
    <w:unhideWhenUsed/>
    <w:rsid w:val="0010493E"/>
    <w:rPr>
      <w:color w:val="605E5C"/>
      <w:shd w:val="clear" w:color="auto" w:fill="E1DFDD"/>
    </w:rPr>
  </w:style>
  <w:style w:type="character" w:styleId="FollowedHyperlink">
    <w:name w:val="FollowedHyperlink"/>
    <w:rsid w:val="00A506DE"/>
    <w:rPr>
      <w:color w:val="954F72"/>
      <w:u w:val="single"/>
    </w:rPr>
  </w:style>
  <w:style w:type="paragraph" w:customStyle="1" w:styleId="Default">
    <w:name w:val="Default"/>
    <w:rsid w:val="00A506DE"/>
    <w:pPr>
      <w:autoSpaceDE w:val="0"/>
      <w:autoSpaceDN w:val="0"/>
      <w:adjustRightInd w:val="0"/>
    </w:pPr>
    <w:rPr>
      <w:color w:val="000000"/>
      <w:sz w:val="24"/>
      <w:szCs w:val="24"/>
    </w:rPr>
  </w:style>
  <w:style w:type="paragraph" w:styleId="Header">
    <w:name w:val="header"/>
    <w:basedOn w:val="Normal"/>
    <w:link w:val="HeaderChar"/>
    <w:uiPriority w:val="99"/>
    <w:rsid w:val="003C0FE2"/>
    <w:pPr>
      <w:tabs>
        <w:tab w:val="center" w:pos="4680"/>
        <w:tab w:val="right" w:pos="9360"/>
      </w:tabs>
    </w:pPr>
  </w:style>
  <w:style w:type="character" w:customStyle="1" w:styleId="HeaderChar">
    <w:name w:val="Header Char"/>
    <w:link w:val="Header"/>
    <w:uiPriority w:val="99"/>
    <w:rsid w:val="003C0FE2"/>
    <w:rPr>
      <w:sz w:val="24"/>
      <w:szCs w:val="24"/>
    </w:rPr>
  </w:style>
  <w:style w:type="paragraph" w:styleId="Revision">
    <w:name w:val="Revision"/>
    <w:hidden/>
    <w:uiPriority w:val="99"/>
    <w:semiHidden/>
    <w:rsid w:val="00420803"/>
    <w:rPr>
      <w:sz w:val="24"/>
      <w:szCs w:val="24"/>
    </w:rPr>
  </w:style>
  <w:style w:type="character" w:styleId="CommentReference">
    <w:name w:val="annotation reference"/>
    <w:basedOn w:val="DefaultParagraphFont"/>
    <w:rsid w:val="00B63D16"/>
    <w:rPr>
      <w:sz w:val="16"/>
      <w:szCs w:val="16"/>
    </w:rPr>
  </w:style>
  <w:style w:type="paragraph" w:styleId="CommentText">
    <w:name w:val="annotation text"/>
    <w:basedOn w:val="Normal"/>
    <w:link w:val="CommentTextChar"/>
    <w:rsid w:val="00B63D16"/>
    <w:rPr>
      <w:sz w:val="20"/>
      <w:szCs w:val="20"/>
    </w:rPr>
  </w:style>
  <w:style w:type="character" w:customStyle="1" w:styleId="CommentTextChar">
    <w:name w:val="Comment Text Char"/>
    <w:basedOn w:val="DefaultParagraphFont"/>
    <w:link w:val="CommentText"/>
    <w:rsid w:val="00B63D16"/>
  </w:style>
  <w:style w:type="paragraph" w:styleId="CommentSubject">
    <w:name w:val="annotation subject"/>
    <w:basedOn w:val="CommentText"/>
    <w:next w:val="CommentText"/>
    <w:link w:val="CommentSubjectChar"/>
    <w:rsid w:val="00B63D16"/>
    <w:rPr>
      <w:b/>
      <w:bCs/>
    </w:rPr>
  </w:style>
  <w:style w:type="character" w:customStyle="1" w:styleId="CommentSubjectChar">
    <w:name w:val="Comment Subject Char"/>
    <w:basedOn w:val="CommentTextChar"/>
    <w:link w:val="CommentSubject"/>
    <w:rsid w:val="00B63D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fda.gov/regulatory-information/search-fda-guidance-documents/guidance-industry-questions-and-answers-regarding-reportable-food-registry-established-food-and-drug" TargetMode="External" /><Relationship Id="rId5" Type="http://schemas.openxmlformats.org/officeDocument/2006/relationships/hyperlink" Target="https://www.fda.gov/industry/small-business-assistance" TargetMode="Externa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285</TotalTime>
  <Pages>7</Pages>
  <Words>3028</Words>
  <Characters>17546</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[Insert Title of Information Collection]</vt:lpstr>
    </vt:vector>
  </TitlesOfParts>
  <Company>US FDA</Company>
  <LinksUpToDate>false</LinksUpToDate>
  <CharactersWithSpaces>20533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Title of Information Collection]</dc:title>
  <dc:creator>jcapezzu</dc:creator>
  <cp:lastModifiedBy>Sanford, Amber</cp:lastModifiedBy>
  <cp:revision>8</cp:revision>
  <cp:lastPrinted>2019-07-03T16:25:00Z</cp:lastPrinted>
  <dcterms:created xsi:type="dcterms:W3CDTF">2023-10-20T14:22:00Z</dcterms:created>
  <dcterms:modified xsi:type="dcterms:W3CDTF">2023-10-25T18:07:00Z</dcterms:modified>
</cp:coreProperties>
</file>