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19C6" w:rsidRPr="004D037A" w:rsidP="5EC88010" w14:paraId="3A250C36" w14:textId="77777777">
      <w:pPr>
        <w:rPr>
          <w:rFonts w:ascii="Times New Roman" w:hAnsi="Times New Roman" w:cs="Times New Roman"/>
          <w:b/>
          <w:bCs/>
          <w:color w:val="000000" w:themeColor="text1"/>
        </w:rPr>
      </w:pPr>
    </w:p>
    <w:p w:rsidR="5EC88010" w:rsidP="5EC88010" w14:paraId="2D75C347" w14:textId="4CB727F4">
      <w:pPr>
        <w:rPr>
          <w:b/>
          <w:bCs/>
          <w:color w:val="000000" w:themeColor="text1"/>
        </w:rPr>
      </w:pPr>
    </w:p>
    <w:p w:rsidR="5EC88010" w:rsidP="5EC88010" w14:paraId="0F5C333B" w14:textId="2FEA4313">
      <w:pPr>
        <w:rPr>
          <w:b/>
          <w:bCs/>
          <w:color w:val="000000" w:themeColor="text1"/>
        </w:rPr>
      </w:pPr>
    </w:p>
    <w:p w:rsidR="5EC88010" w:rsidP="5EC88010" w14:paraId="6037F153" w14:textId="348E8317">
      <w:pPr>
        <w:rPr>
          <w:b/>
          <w:bCs/>
          <w:color w:val="000000" w:themeColor="text1"/>
        </w:rPr>
      </w:pPr>
    </w:p>
    <w:p w:rsidR="4569894B" w:rsidRPr="00D12F7A" w:rsidP="00D12F7A" w14:paraId="00E7F179" w14:textId="6FE36A64">
      <w:pPr>
        <w:jc w:val="center"/>
        <w:rPr>
          <w:rFonts w:ascii="Times New Roman" w:hAnsi="Times New Roman" w:cs="Times New Roman"/>
          <w:b/>
          <w:bCs/>
          <w:color w:val="000000" w:themeColor="text1"/>
        </w:rPr>
      </w:pPr>
      <w:r w:rsidRPr="00D12F7A">
        <w:rPr>
          <w:rFonts w:ascii="Times New Roman" w:hAnsi="Times New Roman" w:cs="Times New Roman"/>
          <w:b/>
          <w:bCs/>
          <w:color w:val="000000" w:themeColor="text1"/>
        </w:rPr>
        <w:t>Supporting Statement A for Request for Clearance</w:t>
      </w:r>
    </w:p>
    <w:p w:rsidR="5EC88010" w:rsidRPr="00D12F7A" w:rsidP="5EC88010" w14:paraId="2787F721" w14:textId="357FB968">
      <w:pPr>
        <w:rPr>
          <w:b/>
          <w:bCs/>
          <w:color w:val="000000" w:themeColor="text1"/>
        </w:rPr>
      </w:pPr>
    </w:p>
    <w:p w:rsidR="004219C6" w:rsidRPr="00D12F7A" w:rsidP="009A4DFE" w14:paraId="3A5240F2" w14:textId="77777777">
      <w:pPr>
        <w:rPr>
          <w:rFonts w:ascii="Times New Roman" w:hAnsi="Times New Roman" w:cs="Times New Roman"/>
          <w:b/>
          <w:color w:val="000000" w:themeColor="text1"/>
        </w:rPr>
      </w:pPr>
    </w:p>
    <w:p w:rsidR="00D21244" w:rsidRPr="00D12F7A" w:rsidP="00F13574" w14:paraId="4C74E826" w14:textId="39582DF6">
      <w:pPr>
        <w:jc w:val="center"/>
        <w:rPr>
          <w:rFonts w:ascii="Times New Roman" w:hAnsi="Times New Roman" w:cs="Times New Roman"/>
          <w:b/>
          <w:bCs/>
        </w:rPr>
      </w:pPr>
      <w:r w:rsidRPr="00D12F7A">
        <w:rPr>
          <w:rFonts w:ascii="Times New Roman" w:hAnsi="Times New Roman" w:cs="Times New Roman"/>
          <w:b/>
          <w:bCs/>
        </w:rPr>
        <w:t>Developmental Projects to Improve the</w:t>
      </w:r>
    </w:p>
    <w:p w:rsidR="00D21244" w:rsidRPr="00D12F7A" w14:paraId="3BFAD49E" w14:textId="06E234C1">
      <w:pPr>
        <w:jc w:val="center"/>
        <w:rPr>
          <w:rFonts w:ascii="Times New Roman" w:hAnsi="Times New Roman" w:cs="Times New Roman"/>
          <w:b/>
          <w:bCs/>
        </w:rPr>
      </w:pPr>
      <w:r w:rsidRPr="00D12F7A">
        <w:rPr>
          <w:rFonts w:ascii="Times New Roman" w:hAnsi="Times New Roman" w:cs="Times New Roman"/>
          <w:b/>
          <w:bCs/>
        </w:rPr>
        <w:t>National Health and Nutrition Examination Survey</w:t>
      </w:r>
    </w:p>
    <w:p w:rsidR="00D21244" w14:paraId="20BB90EF" w14:textId="7AACDF3C">
      <w:pPr>
        <w:jc w:val="center"/>
        <w:rPr>
          <w:rFonts w:ascii="Times New Roman" w:hAnsi="Times New Roman" w:cs="Times New Roman"/>
          <w:b/>
          <w:bCs/>
        </w:rPr>
      </w:pPr>
      <w:r>
        <w:rPr>
          <w:rFonts w:ascii="Times New Roman" w:hAnsi="Times New Roman" w:cs="Times New Roman"/>
          <w:b/>
          <w:bCs/>
        </w:rPr>
        <w:t>And Similar</w:t>
      </w:r>
      <w:r w:rsidRPr="00D12F7A" w:rsidR="326856DC">
        <w:rPr>
          <w:rFonts w:ascii="Times New Roman" w:hAnsi="Times New Roman" w:cs="Times New Roman"/>
          <w:b/>
          <w:bCs/>
        </w:rPr>
        <w:t xml:space="preserve"> Programs</w:t>
      </w:r>
    </w:p>
    <w:p w:rsidR="00ED769E" w:rsidRPr="00D12F7A" w14:paraId="5CAAA26A" w14:textId="77777777">
      <w:pPr>
        <w:jc w:val="center"/>
        <w:rPr>
          <w:rFonts w:ascii="Times New Roman" w:hAnsi="Times New Roman" w:cs="Times New Roman"/>
          <w:b/>
          <w:bCs/>
        </w:rPr>
      </w:pPr>
    </w:p>
    <w:p w:rsidR="00371C08" w:rsidRPr="00D12F7A" w:rsidP="5EC88010" w14:paraId="552947F6" w14:textId="2F0DD7BE">
      <w:pPr>
        <w:jc w:val="center"/>
        <w:rPr>
          <w:rFonts w:ascii="Times New Roman" w:hAnsi="Times New Roman" w:cs="Times New Roman"/>
          <w:b/>
          <w:bCs/>
          <w:color w:val="000000" w:themeColor="text1"/>
        </w:rPr>
      </w:pPr>
      <w:r w:rsidRPr="00D12F7A">
        <w:rPr>
          <w:rFonts w:ascii="Times New Roman" w:hAnsi="Times New Roman" w:cs="Times New Roman"/>
          <w:b/>
          <w:bCs/>
          <w:color w:val="000000" w:themeColor="text1"/>
        </w:rPr>
        <w:t>OMB No. 0920-</w:t>
      </w:r>
      <w:r w:rsidRPr="00D12F7A" w:rsidR="326856DC">
        <w:rPr>
          <w:rFonts w:ascii="Times New Roman" w:hAnsi="Times New Roman" w:cs="Times New Roman"/>
          <w:b/>
          <w:bCs/>
        </w:rPr>
        <w:t>1208</w:t>
      </w:r>
      <w:r w:rsidRPr="00D12F7A" w:rsidR="326856DC">
        <w:rPr>
          <w:rFonts w:ascii="Times New Roman" w:hAnsi="Times New Roman" w:cs="Times New Roman"/>
          <w:b/>
          <w:bCs/>
          <w:color w:val="000000" w:themeColor="text1"/>
        </w:rPr>
        <w:t xml:space="preserve"> </w:t>
      </w:r>
    </w:p>
    <w:p w:rsidR="00371C08" w:rsidP="5EC88010" w14:paraId="68E32B18" w14:textId="6A9E1AFB">
      <w:pPr>
        <w:jc w:val="center"/>
        <w:rPr>
          <w:rFonts w:ascii="Times New Roman" w:hAnsi="Times New Roman" w:cs="Times New Roman"/>
          <w:b/>
          <w:bCs/>
          <w:color w:val="000000" w:themeColor="text1"/>
        </w:rPr>
      </w:pPr>
      <w:r w:rsidRPr="00D12F7A">
        <w:rPr>
          <w:rFonts w:ascii="Times New Roman" w:hAnsi="Times New Roman" w:cs="Times New Roman"/>
          <w:b/>
          <w:bCs/>
          <w:color w:val="000000" w:themeColor="text1"/>
        </w:rPr>
        <w:t>Expir</w:t>
      </w:r>
      <w:r w:rsidRPr="00D12F7A" w:rsidR="0B247A84">
        <w:rPr>
          <w:rFonts w:ascii="Times New Roman" w:hAnsi="Times New Roman" w:cs="Times New Roman"/>
          <w:b/>
          <w:bCs/>
          <w:color w:val="000000" w:themeColor="text1"/>
        </w:rPr>
        <w:t>ation Date:</w:t>
      </w:r>
      <w:r w:rsidRPr="00D12F7A" w:rsidR="5579E0F2">
        <w:rPr>
          <w:rFonts w:ascii="Times New Roman" w:hAnsi="Times New Roman" w:cs="Times New Roman"/>
          <w:b/>
          <w:bCs/>
          <w:color w:val="000000" w:themeColor="text1"/>
        </w:rPr>
        <w:t xml:space="preserve"> </w:t>
      </w:r>
      <w:r w:rsidR="00C10D5F">
        <w:rPr>
          <w:rFonts w:ascii="Times New Roman" w:hAnsi="Times New Roman" w:cs="Times New Roman"/>
          <w:b/>
          <w:bCs/>
          <w:color w:val="000000" w:themeColor="text1"/>
        </w:rPr>
        <w:t>05/31/2026</w:t>
      </w:r>
      <w:r w:rsidRPr="00D12F7A">
        <w:rPr>
          <w:rFonts w:ascii="Times New Roman" w:hAnsi="Times New Roman" w:cs="Times New Roman"/>
          <w:b/>
          <w:bCs/>
          <w:color w:val="000000" w:themeColor="text1"/>
        </w:rPr>
        <w:t xml:space="preserve"> </w:t>
      </w:r>
    </w:p>
    <w:p w:rsidR="00326DDD" w:rsidRPr="00D12F7A" w:rsidP="5EC88010" w14:paraId="6A5C7EDE" w14:textId="77777777">
      <w:pPr>
        <w:jc w:val="center"/>
        <w:rPr>
          <w:rFonts w:ascii="Times New Roman" w:hAnsi="Times New Roman" w:cs="Times New Roman"/>
          <w:b/>
          <w:bCs/>
          <w:color w:val="000000" w:themeColor="text1"/>
        </w:rPr>
      </w:pPr>
    </w:p>
    <w:p w:rsidR="00371C08" w:rsidRPr="00D12F7A" w:rsidP="00F13574" w14:paraId="6DF92D21" w14:textId="77777777">
      <w:pPr>
        <w:tabs>
          <w:tab w:val="left" w:pos="2070"/>
        </w:tabs>
        <w:ind w:left="810" w:right="-558"/>
        <w:jc w:val="center"/>
        <w:rPr>
          <w:rFonts w:ascii="Times New Roman" w:hAnsi="Times New Roman" w:cs="Times New Roman"/>
          <w:b/>
          <w:color w:val="000000" w:themeColor="text1"/>
        </w:rPr>
      </w:pPr>
    </w:p>
    <w:p w:rsidR="005C63DE" w:rsidRPr="00D12F7A" w:rsidP="00C10D5F" w14:paraId="0BF34BB6" w14:textId="4BE7104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Dua</w:t>
      </w:r>
      <w:r w:rsidR="00326DDD">
        <w:rPr>
          <w:rFonts w:ascii="Times New Roman" w:hAnsi="Times New Roman" w:cs="Times New Roman"/>
          <w:b/>
          <w:bCs/>
          <w:color w:val="000000" w:themeColor="text1"/>
        </w:rPr>
        <w:t xml:space="preserve">l Energy X-ray Absorptiometry (DXA) </w:t>
      </w:r>
      <w:r w:rsidR="004C5BFC">
        <w:rPr>
          <w:rFonts w:ascii="Times New Roman" w:hAnsi="Times New Roman" w:cs="Times New Roman"/>
          <w:b/>
          <w:bCs/>
          <w:color w:val="000000" w:themeColor="text1"/>
        </w:rPr>
        <w:t>and Hematology Analyzer and Blood Collection Tube</w:t>
      </w:r>
      <w:r w:rsidR="003C5EC5">
        <w:rPr>
          <w:rFonts w:ascii="Times New Roman" w:hAnsi="Times New Roman" w:cs="Times New Roman"/>
          <w:b/>
          <w:bCs/>
          <w:color w:val="000000" w:themeColor="text1"/>
        </w:rPr>
        <w:t xml:space="preserve"> </w:t>
      </w:r>
      <w:r w:rsidR="00326DDD">
        <w:rPr>
          <w:rFonts w:ascii="Times New Roman" w:hAnsi="Times New Roman" w:cs="Times New Roman"/>
          <w:b/>
          <w:bCs/>
          <w:color w:val="000000" w:themeColor="text1"/>
        </w:rPr>
        <w:t>Crossover Stud</w:t>
      </w:r>
      <w:r w:rsidR="003C5EC5">
        <w:rPr>
          <w:rFonts w:ascii="Times New Roman" w:hAnsi="Times New Roman" w:cs="Times New Roman"/>
          <w:b/>
          <w:bCs/>
          <w:color w:val="000000" w:themeColor="text1"/>
        </w:rPr>
        <w:t>ies</w:t>
      </w:r>
    </w:p>
    <w:p w:rsidR="00371C08" w:rsidRPr="00D12F7A" w:rsidP="5EC88010" w14:paraId="0B453D08" w14:textId="00D3AC44">
      <w:pPr>
        <w:jc w:val="center"/>
        <w:rPr>
          <w:rFonts w:ascii="Times New Roman" w:hAnsi="Times New Roman" w:cs="Times New Roman"/>
          <w:b/>
          <w:bCs/>
          <w:color w:val="000000" w:themeColor="text1"/>
        </w:rPr>
      </w:pPr>
    </w:p>
    <w:p w:rsidR="00371C08" w:rsidRPr="00D12F7A" w:rsidP="009A4DFE" w14:paraId="7C5855C0" w14:textId="77777777">
      <w:pPr>
        <w:tabs>
          <w:tab w:val="left" w:pos="2070"/>
        </w:tabs>
        <w:jc w:val="center"/>
        <w:rPr>
          <w:rFonts w:ascii="Times New Roman" w:hAnsi="Times New Roman" w:cs="Times New Roman"/>
          <w:color w:val="000000" w:themeColor="text1"/>
        </w:rPr>
      </w:pPr>
    </w:p>
    <w:p w:rsidR="00371C08" w:rsidRPr="00D12F7A" w:rsidP="5EC88010" w14:paraId="63DE992A" w14:textId="040A1FBF">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Contact Information</w:t>
      </w:r>
      <w:r w:rsidRPr="00D12F7A" w:rsidR="1F1B111A">
        <w:rPr>
          <w:rFonts w:ascii="Times New Roman" w:hAnsi="Times New Roman" w:cs="Times New Roman"/>
          <w:color w:val="000000" w:themeColor="text1"/>
        </w:rPr>
        <w:t>:</w:t>
      </w:r>
    </w:p>
    <w:p w:rsidR="00865AC7" w:rsidRPr="00D12F7A" w:rsidP="00050823" w14:paraId="6DA6C82E" w14:textId="77777777">
      <w:pPr>
        <w:tabs>
          <w:tab w:val="left" w:pos="2070"/>
        </w:tabs>
        <w:jc w:val="center"/>
        <w:rPr>
          <w:rFonts w:ascii="Times New Roman" w:hAnsi="Times New Roman" w:cs="Times New Roman"/>
          <w:b/>
          <w:color w:val="000000" w:themeColor="text1"/>
        </w:rPr>
      </w:pPr>
    </w:p>
    <w:p w:rsidR="00865AC7" w:rsidRPr="00D12F7A" w:rsidP="00050823" w14:paraId="567DE319" w14:textId="77777777">
      <w:pPr>
        <w:tabs>
          <w:tab w:val="left" w:pos="2070"/>
        </w:tabs>
        <w:jc w:val="center"/>
        <w:rPr>
          <w:rFonts w:ascii="Times New Roman" w:hAnsi="Times New Roman" w:cs="Times New Roman"/>
          <w:b/>
          <w:color w:val="000000" w:themeColor="text1"/>
        </w:rPr>
      </w:pPr>
    </w:p>
    <w:p w:rsidR="00780C19" w:rsidRPr="00D12F7A" w:rsidP="00050823" w14:paraId="367E0BF3" w14:textId="6628893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David Woodwell</w:t>
      </w:r>
      <w:r w:rsidRPr="00D12F7A">
        <w:rPr>
          <w:rFonts w:ascii="Times New Roman" w:hAnsi="Times New Roman" w:cs="Times New Roman"/>
          <w:color w:val="000000" w:themeColor="text1"/>
        </w:rPr>
        <w:t xml:space="preserve">, </w:t>
      </w:r>
      <w:r w:rsidRPr="00D12F7A" w:rsidR="000226BB">
        <w:rPr>
          <w:rFonts w:ascii="Times New Roman" w:hAnsi="Times New Roman" w:cs="Times New Roman"/>
          <w:color w:val="000000" w:themeColor="text1"/>
        </w:rPr>
        <w:t>MPH</w:t>
      </w:r>
    </w:p>
    <w:p w:rsidR="00780C19" w:rsidRPr="00D12F7A" w:rsidP="00050823" w14:paraId="1C9D4943" w14:textId="29C0ADBE">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 xml:space="preserve">Chief, </w:t>
      </w:r>
      <w:r w:rsidRPr="00D12F7A" w:rsidR="0DDA6978">
        <w:rPr>
          <w:rFonts w:ascii="Times New Roman" w:hAnsi="Times New Roman" w:cs="Times New Roman"/>
          <w:color w:val="000000" w:themeColor="text1"/>
        </w:rPr>
        <w:t>Planning Branch</w:t>
      </w:r>
    </w:p>
    <w:p w:rsidR="00780C19" w:rsidRPr="00D12F7A" w:rsidP="00050823" w14:paraId="59105CF7" w14:textId="7777777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National Health and Nutrition Examination Survey</w:t>
      </w:r>
    </w:p>
    <w:p w:rsidR="007A7B7B" w:rsidRPr="00D12F7A" w:rsidP="00050823" w14:paraId="2C122741" w14:textId="5FD6239E">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National Center for Health Statistics</w:t>
      </w:r>
    </w:p>
    <w:p w:rsidR="00780C19" w:rsidRPr="00D12F7A" w:rsidP="00050823" w14:paraId="63CB5076" w14:textId="2BCC5889">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C</w:t>
      </w:r>
      <w:r w:rsidRPr="00D12F7A" w:rsidR="007A7B7B">
        <w:rPr>
          <w:rFonts w:ascii="Times New Roman" w:hAnsi="Times New Roman" w:cs="Times New Roman"/>
          <w:color w:val="000000" w:themeColor="text1"/>
        </w:rPr>
        <w:t xml:space="preserve">enters for </w:t>
      </w:r>
      <w:r w:rsidRPr="00D12F7A">
        <w:rPr>
          <w:rFonts w:ascii="Times New Roman" w:hAnsi="Times New Roman" w:cs="Times New Roman"/>
          <w:color w:val="000000" w:themeColor="text1"/>
        </w:rPr>
        <w:t>D</w:t>
      </w:r>
      <w:r w:rsidRPr="00D12F7A" w:rsidR="007A7B7B">
        <w:rPr>
          <w:rFonts w:ascii="Times New Roman" w:hAnsi="Times New Roman" w:cs="Times New Roman"/>
          <w:color w:val="000000" w:themeColor="text1"/>
        </w:rPr>
        <w:t xml:space="preserve">isease </w:t>
      </w:r>
      <w:r w:rsidRPr="00D12F7A">
        <w:rPr>
          <w:rFonts w:ascii="Times New Roman" w:hAnsi="Times New Roman" w:cs="Times New Roman"/>
          <w:color w:val="000000" w:themeColor="text1"/>
        </w:rPr>
        <w:t>C</w:t>
      </w:r>
      <w:r w:rsidRPr="00D12F7A" w:rsidR="007A7B7B">
        <w:rPr>
          <w:rFonts w:ascii="Times New Roman" w:hAnsi="Times New Roman" w:cs="Times New Roman"/>
          <w:color w:val="000000" w:themeColor="text1"/>
        </w:rPr>
        <w:t>ontrol and Prevention</w:t>
      </w:r>
    </w:p>
    <w:p w:rsidR="00780C19" w:rsidRPr="00D12F7A" w:rsidP="00050823" w14:paraId="09DAABD1" w14:textId="7777777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3311 Toledo Road</w:t>
      </w:r>
    </w:p>
    <w:p w:rsidR="00780C19" w:rsidRPr="00D12F7A" w:rsidP="00050823" w14:paraId="24FE2873" w14:textId="7777777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Hyattsville, MD 20782</w:t>
      </w:r>
    </w:p>
    <w:p w:rsidR="00780C19" w:rsidRPr="00D12F7A" w:rsidP="00050823" w14:paraId="45628E1B" w14:textId="77777777">
      <w:pPr>
        <w:tabs>
          <w:tab w:val="left" w:pos="2070"/>
        </w:tabs>
        <w:jc w:val="center"/>
        <w:rPr>
          <w:rFonts w:ascii="Times New Roman" w:hAnsi="Times New Roman" w:cs="Times New Roman"/>
          <w:color w:val="000000" w:themeColor="text1"/>
        </w:rPr>
      </w:pPr>
    </w:p>
    <w:p w:rsidR="00780C19" w:rsidRPr="00D12F7A" w:rsidP="00050823" w14:paraId="70F282D7" w14:textId="7777777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Telephone: 301-458-</w:t>
      </w:r>
      <w:r w:rsidRPr="00D12F7A" w:rsidR="00E0189F">
        <w:rPr>
          <w:rFonts w:ascii="Times New Roman" w:hAnsi="Times New Roman" w:cs="Times New Roman"/>
          <w:color w:val="000000" w:themeColor="text1"/>
        </w:rPr>
        <w:t>4327</w:t>
      </w:r>
    </w:p>
    <w:p w:rsidR="00780C19" w:rsidRPr="00D12F7A" w:rsidP="00050823" w14:paraId="22925490" w14:textId="77777777">
      <w:pPr>
        <w:tabs>
          <w:tab w:val="left" w:pos="2070"/>
        </w:tabs>
        <w:jc w:val="center"/>
        <w:rPr>
          <w:rFonts w:ascii="Times New Roman" w:hAnsi="Times New Roman" w:cs="Times New Roman"/>
          <w:color w:val="000000" w:themeColor="text1"/>
        </w:rPr>
      </w:pPr>
      <w:r w:rsidRPr="00D12F7A">
        <w:rPr>
          <w:rFonts w:ascii="Times New Roman" w:hAnsi="Times New Roman" w:cs="Times New Roman"/>
          <w:color w:val="000000" w:themeColor="text1"/>
        </w:rPr>
        <w:t>FAX: 301-458-4028</w:t>
      </w:r>
    </w:p>
    <w:p w:rsidR="00371C08" w:rsidP="5EC88010" w14:paraId="69F9290C" w14:textId="3B069594">
      <w:pPr>
        <w:tabs>
          <w:tab w:val="left" w:pos="2070"/>
        </w:tabs>
        <w:jc w:val="center"/>
        <w:rPr>
          <w:rStyle w:val="Hyperlink"/>
          <w:rFonts w:ascii="Times New Roman" w:hAnsi="Times New Roman" w:cs="Times New Roman"/>
        </w:rPr>
      </w:pPr>
      <w:hyperlink r:id="rId10" w:history="1">
        <w:r w:rsidRPr="00D12F7A" w:rsidR="0EAB5AB3">
          <w:rPr>
            <w:rStyle w:val="Hyperlink"/>
            <w:rFonts w:ascii="Times New Roman" w:hAnsi="Times New Roman" w:cs="Times New Roman"/>
          </w:rPr>
          <w:t>DWoodwell@cdc.gov</w:t>
        </w:r>
      </w:hyperlink>
    </w:p>
    <w:p w:rsidR="00326DDD" w:rsidRPr="00D12F7A" w:rsidP="5EC88010" w14:paraId="206B5329" w14:textId="77777777">
      <w:pPr>
        <w:tabs>
          <w:tab w:val="left" w:pos="2070"/>
        </w:tabs>
        <w:jc w:val="center"/>
        <w:rPr>
          <w:rFonts w:ascii="Times New Roman" w:hAnsi="Times New Roman" w:cs="Times New Roman"/>
          <w:b/>
          <w:bCs/>
          <w:color w:val="000000" w:themeColor="text1"/>
        </w:rPr>
      </w:pPr>
    </w:p>
    <w:p w:rsidR="5EC88010" w:rsidP="5EC88010" w14:paraId="48DAA768" w14:textId="368384EB">
      <w:pPr>
        <w:tabs>
          <w:tab w:val="left" w:pos="2070"/>
        </w:tabs>
        <w:jc w:val="center"/>
        <w:rPr>
          <w:color w:val="000000" w:themeColor="text1"/>
        </w:rPr>
      </w:pPr>
    </w:p>
    <w:p w:rsidR="004046BF" w:rsidRPr="00D12F7A" w:rsidP="5EC88010" w14:paraId="6A5CD1F9" w14:textId="77777777">
      <w:pPr>
        <w:tabs>
          <w:tab w:val="left" w:pos="2070"/>
        </w:tabs>
        <w:jc w:val="center"/>
        <w:rPr>
          <w:color w:val="000000" w:themeColor="text1"/>
        </w:rPr>
      </w:pPr>
    </w:p>
    <w:p w:rsidR="0080421B" w:rsidRPr="004D037A" w:rsidP="001448F3" w14:paraId="7FFEEB0F" w14:textId="5C7966B1">
      <w:pPr>
        <w:widowControl/>
        <w:autoSpaceDE/>
        <w:autoSpaceDN/>
        <w:adjustRightInd/>
        <w:jc w:val="center"/>
        <w:rPr>
          <w:rFonts w:ascii="Times New Roman" w:hAnsi="Times New Roman" w:cs="Times New Roman"/>
          <w:b/>
          <w:color w:val="000000" w:themeColor="text1"/>
        </w:rPr>
      </w:pPr>
      <w:r>
        <w:rPr>
          <w:rFonts w:ascii="Times New Roman" w:hAnsi="Times New Roman" w:cs="Times New Roman"/>
          <w:b/>
          <w:bCs/>
          <w:color w:val="000000" w:themeColor="text1"/>
        </w:rPr>
        <w:t xml:space="preserve">October </w:t>
      </w:r>
      <w:r w:rsidR="00C70850">
        <w:rPr>
          <w:rFonts w:ascii="Times New Roman" w:hAnsi="Times New Roman" w:cs="Times New Roman"/>
          <w:b/>
          <w:bCs/>
          <w:color w:val="000000" w:themeColor="text1"/>
        </w:rPr>
        <w:t>31</w:t>
      </w:r>
      <w:r w:rsidR="00326DDD">
        <w:rPr>
          <w:rFonts w:ascii="Times New Roman" w:hAnsi="Times New Roman" w:cs="Times New Roman"/>
          <w:b/>
          <w:bCs/>
          <w:color w:val="000000" w:themeColor="text1"/>
        </w:rPr>
        <w:t>, 2024</w:t>
      </w:r>
      <w:r w:rsidRPr="004D037A">
        <w:rPr>
          <w:rFonts w:ascii="Times New Roman" w:hAnsi="Times New Roman" w:cs="Times New Roman"/>
          <w:b/>
          <w:color w:val="000000" w:themeColor="text1"/>
        </w:rPr>
        <w:br w:type="page"/>
      </w:r>
    </w:p>
    <w:sdt>
      <w:sdtPr>
        <w:rPr>
          <w:rFonts w:asciiTheme="minorHAnsi" w:eastAsiaTheme="minorEastAsia" w:hAnsiTheme="minorHAnsi" w:cs="Times New Roman"/>
          <w:color w:val="auto"/>
          <w:sz w:val="22"/>
          <w:szCs w:val="22"/>
        </w:rPr>
        <w:id w:val="1890068828"/>
        <w:docPartObj>
          <w:docPartGallery w:val="Table of Contents"/>
          <w:docPartUnique/>
        </w:docPartObj>
      </w:sdtPr>
      <w:sdtContent>
        <w:p w:rsidR="001F4256" w:rsidRPr="005C43FE" w:rsidP="5249834F" w14:paraId="793E291C" w14:textId="5F725ED4">
          <w:pPr>
            <w:pStyle w:val="TOCHeading"/>
            <w:rPr>
              <w:rFonts w:ascii="Times New Roman" w:eastAsia="Times New Roman" w:hAnsi="Times New Roman" w:cs="Times New Roman"/>
              <w:sz w:val="24"/>
              <w:szCs w:val="24"/>
            </w:rPr>
          </w:pPr>
          <w:r w:rsidRPr="005C43FE">
            <w:rPr>
              <w:rFonts w:ascii="Times New Roman" w:eastAsia="Times New Roman" w:hAnsi="Times New Roman" w:cs="Times New Roman"/>
              <w:sz w:val="24"/>
              <w:szCs w:val="24"/>
            </w:rPr>
            <w:t>Contents</w:t>
          </w:r>
        </w:p>
        <w:p w:rsidR="00C327B8" w:rsidRPr="005C43FE" w:rsidP="004429A7" w14:paraId="41ACD63D" w14:textId="069727F0">
          <w:pPr>
            <w:pStyle w:val="ListParagraph"/>
            <w:numPr>
              <w:ilvl w:val="0"/>
              <w:numId w:val="23"/>
            </w:numPr>
            <w:spacing w:after="240"/>
            <w:ind w:left="450" w:hanging="450"/>
            <w:rPr>
              <w:rFonts w:ascii="Times New Roman" w:hAnsi="Times New Roman" w:cs="Times New Roman"/>
            </w:rPr>
          </w:pPr>
          <w:r w:rsidRPr="005C43FE">
            <w:rPr>
              <w:rFonts w:ascii="Times New Roman" w:hAnsi="Times New Roman" w:cs="Times New Roman"/>
            </w:rPr>
            <w:t>Justification</w:t>
          </w:r>
        </w:p>
        <w:p w:rsidR="005C43FE" w:rsidRPr="005C43FE" w14:paraId="30A56691" w14:textId="61D284F9">
          <w:pPr>
            <w:pStyle w:val="TOC1"/>
            <w:tabs>
              <w:tab w:val="left" w:pos="440"/>
              <w:tab w:val="right" w:leader="dot" w:pos="9350"/>
            </w:tabs>
            <w:rPr>
              <w:rFonts w:ascii="Times New Roman" w:hAnsi="Times New Roman"/>
              <w:noProof/>
              <w:kern w:val="2"/>
              <w:sz w:val="24"/>
              <w:szCs w:val="24"/>
              <w14:ligatures w14:val="standardContextual"/>
            </w:rPr>
          </w:pPr>
          <w:r w:rsidRPr="005C43FE">
            <w:rPr>
              <w:rFonts w:ascii="Times New Roman" w:hAnsi="Times New Roman"/>
              <w:sz w:val="24"/>
              <w:szCs w:val="24"/>
            </w:rPr>
            <w:fldChar w:fldCharType="begin"/>
          </w:r>
          <w:r w:rsidRPr="005C43FE" w:rsidR="001F4256">
            <w:rPr>
              <w:rFonts w:ascii="Times New Roman" w:hAnsi="Times New Roman"/>
              <w:sz w:val="24"/>
              <w:szCs w:val="24"/>
            </w:rPr>
            <w:instrText>TOC \o "1-3" \h \z \u</w:instrText>
          </w:r>
          <w:r w:rsidRPr="005C43FE">
            <w:rPr>
              <w:rFonts w:ascii="Times New Roman" w:hAnsi="Times New Roman"/>
              <w:sz w:val="24"/>
              <w:szCs w:val="24"/>
            </w:rPr>
            <w:fldChar w:fldCharType="separate"/>
          </w:r>
          <w:hyperlink w:anchor="_Toc177134724" w:history="1">
            <w:r w:rsidRPr="005C43FE">
              <w:rPr>
                <w:rStyle w:val="Hyperlink"/>
                <w:rFonts w:ascii="Times New Roman" w:hAnsi="Times New Roman"/>
                <w:noProof/>
                <w:sz w:val="24"/>
                <w:szCs w:val="24"/>
              </w:rPr>
              <w:t>1.</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Circumstances Making the Collection of Information Necessary</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_Toc177134724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3</w:t>
            </w:r>
            <w:r w:rsidRPr="005C43FE">
              <w:rPr>
                <w:rFonts w:ascii="Times New Roman" w:hAnsi="Times New Roman"/>
                <w:noProof/>
                <w:webHidden/>
                <w:sz w:val="24"/>
                <w:szCs w:val="24"/>
              </w:rPr>
              <w:fldChar w:fldCharType="end"/>
            </w:r>
          </w:hyperlink>
        </w:p>
        <w:p w:rsidR="005C43FE" w:rsidRPr="005C43FE" w14:paraId="545C9F11" w14:textId="36110DD0">
          <w:pPr>
            <w:pStyle w:val="TOC1"/>
            <w:tabs>
              <w:tab w:val="left" w:pos="440"/>
              <w:tab w:val="right" w:leader="dot" w:pos="9350"/>
            </w:tabs>
            <w:rPr>
              <w:rFonts w:ascii="Times New Roman" w:hAnsi="Times New Roman"/>
              <w:noProof/>
              <w:kern w:val="2"/>
              <w:sz w:val="24"/>
              <w:szCs w:val="24"/>
              <w14:ligatures w14:val="standardContextual"/>
            </w:rPr>
          </w:pPr>
          <w:hyperlink w:anchor="_Toc177134725" w:history="1">
            <w:r w:rsidRPr="005C43FE">
              <w:rPr>
                <w:rStyle w:val="Hyperlink"/>
                <w:rFonts w:ascii="Times New Roman" w:hAnsi="Times New Roman"/>
                <w:noProof/>
                <w:sz w:val="24"/>
                <w:szCs w:val="24"/>
              </w:rPr>
              <w:t>2.</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Purpose and Use of the Information Collection</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_Toc177134725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4</w:t>
            </w:r>
            <w:r w:rsidRPr="005C43FE">
              <w:rPr>
                <w:rFonts w:ascii="Times New Roman" w:hAnsi="Times New Roman"/>
                <w:noProof/>
                <w:webHidden/>
                <w:sz w:val="24"/>
                <w:szCs w:val="24"/>
              </w:rPr>
              <w:fldChar w:fldCharType="end"/>
            </w:r>
          </w:hyperlink>
        </w:p>
        <w:p w:rsidR="005C43FE" w:rsidRPr="005C43FE" w14:paraId="004F4514" w14:textId="4B488DA4">
          <w:pPr>
            <w:pStyle w:val="TOC1"/>
            <w:tabs>
              <w:tab w:val="left" w:pos="440"/>
              <w:tab w:val="right" w:leader="dot" w:pos="9350"/>
            </w:tabs>
            <w:rPr>
              <w:rFonts w:ascii="Times New Roman" w:hAnsi="Times New Roman"/>
              <w:noProof/>
              <w:kern w:val="2"/>
              <w:sz w:val="24"/>
              <w:szCs w:val="24"/>
              <w14:ligatures w14:val="standardContextual"/>
            </w:rPr>
          </w:pPr>
          <w:hyperlink w:anchor="_Toc177134726" w:history="1">
            <w:r w:rsidRPr="005C43FE">
              <w:rPr>
                <w:rStyle w:val="Hyperlink"/>
                <w:rFonts w:ascii="Times New Roman" w:hAnsi="Times New Roman"/>
                <w:noProof/>
                <w:sz w:val="24"/>
                <w:szCs w:val="24"/>
              </w:rPr>
              <w:t>3.</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Use of Improved Information Technology and Burden Reduction</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_Toc177134726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9</w:t>
            </w:r>
            <w:r w:rsidRPr="005C43FE">
              <w:rPr>
                <w:rFonts w:ascii="Times New Roman" w:hAnsi="Times New Roman"/>
                <w:noProof/>
                <w:webHidden/>
                <w:sz w:val="24"/>
                <w:szCs w:val="24"/>
              </w:rPr>
              <w:fldChar w:fldCharType="end"/>
            </w:r>
          </w:hyperlink>
        </w:p>
        <w:p w:rsidR="005C43FE" w:rsidRPr="005C43FE" w14:paraId="7C19CFA7" w14:textId="34055616">
          <w:pPr>
            <w:pStyle w:val="TOC1"/>
            <w:tabs>
              <w:tab w:val="left" w:pos="440"/>
              <w:tab w:val="right" w:leader="dot" w:pos="9350"/>
            </w:tabs>
            <w:rPr>
              <w:rFonts w:ascii="Times New Roman" w:hAnsi="Times New Roman"/>
              <w:noProof/>
              <w:kern w:val="2"/>
              <w:sz w:val="24"/>
              <w:szCs w:val="24"/>
              <w14:ligatures w14:val="standardContextual"/>
            </w:rPr>
          </w:pPr>
          <w:hyperlink w:anchor="_Toc177134727" w:history="1">
            <w:r w:rsidRPr="005C43FE">
              <w:rPr>
                <w:rStyle w:val="Hyperlink"/>
                <w:rFonts w:ascii="Times New Roman" w:hAnsi="Times New Roman"/>
                <w:noProof/>
                <w:sz w:val="24"/>
                <w:szCs w:val="24"/>
              </w:rPr>
              <w:t>4.</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Efforts to Identify Duplication and Use of Similar Information</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_Toc177134727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9</w:t>
            </w:r>
            <w:r w:rsidRPr="005C43FE">
              <w:rPr>
                <w:rFonts w:ascii="Times New Roman" w:hAnsi="Times New Roman"/>
                <w:noProof/>
                <w:webHidden/>
                <w:sz w:val="24"/>
                <w:szCs w:val="24"/>
              </w:rPr>
              <w:fldChar w:fldCharType="end"/>
            </w:r>
          </w:hyperlink>
        </w:p>
        <w:p w:rsidR="005C43FE" w:rsidRPr="005C43FE" w14:paraId="05402D23" w14:textId="4586DAD1">
          <w:pPr>
            <w:pStyle w:val="TOC1"/>
            <w:tabs>
              <w:tab w:val="left" w:pos="440"/>
              <w:tab w:val="right" w:leader="dot" w:pos="9350"/>
            </w:tabs>
            <w:rPr>
              <w:rFonts w:ascii="Times New Roman" w:hAnsi="Times New Roman"/>
              <w:noProof/>
              <w:kern w:val="2"/>
              <w:sz w:val="24"/>
              <w:szCs w:val="24"/>
              <w14:ligatures w14:val="standardContextual"/>
            </w:rPr>
          </w:pPr>
          <w:hyperlink w:anchor="_Toc177134728" w:history="1">
            <w:r w:rsidRPr="005C43FE">
              <w:rPr>
                <w:rStyle w:val="Hyperlink"/>
                <w:rFonts w:ascii="Times New Roman" w:hAnsi="Times New Roman"/>
                <w:noProof/>
                <w:sz w:val="24"/>
                <w:szCs w:val="24"/>
              </w:rPr>
              <w:t>5.</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Impact on Small Businesses or Other Small Entities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_Toc177134728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10</w:t>
            </w:r>
            <w:r w:rsidRPr="005C43FE">
              <w:rPr>
                <w:rFonts w:ascii="Times New Roman" w:hAnsi="Times New Roman"/>
                <w:noProof/>
                <w:webHidden/>
                <w:sz w:val="24"/>
                <w:szCs w:val="24"/>
              </w:rPr>
              <w:fldChar w:fldCharType="end"/>
            </w:r>
          </w:hyperlink>
        </w:p>
        <w:p w:rsidR="005C43FE" w:rsidRPr="005C43FE" w14:paraId="0A105622" w14:textId="10949B58">
          <w:pPr>
            <w:pStyle w:val="TOC1"/>
            <w:tabs>
              <w:tab w:val="left" w:pos="440"/>
              <w:tab w:val="right" w:leader="dot" w:pos="9350"/>
            </w:tabs>
            <w:rPr>
              <w:rFonts w:ascii="Times New Roman" w:hAnsi="Times New Roman"/>
              <w:noProof/>
              <w:kern w:val="2"/>
              <w:sz w:val="24"/>
              <w:szCs w:val="24"/>
              <w14:ligatures w14:val="standardContextual"/>
            </w:rPr>
          </w:pPr>
          <w:hyperlink w:anchor="_Toc177134729" w:history="1">
            <w:r w:rsidRPr="005C43FE">
              <w:rPr>
                <w:rStyle w:val="Hyperlink"/>
                <w:rFonts w:ascii="Times New Roman" w:hAnsi="Times New Roman"/>
                <w:noProof/>
                <w:sz w:val="24"/>
                <w:szCs w:val="24"/>
              </w:rPr>
              <w:t>6.</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Consequences of Collecting the Information Less Frequently</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_Toc177134729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10</w:t>
            </w:r>
            <w:r w:rsidRPr="005C43FE">
              <w:rPr>
                <w:rFonts w:ascii="Times New Roman" w:hAnsi="Times New Roman"/>
                <w:noProof/>
                <w:webHidden/>
                <w:sz w:val="24"/>
                <w:szCs w:val="24"/>
              </w:rPr>
              <w:fldChar w:fldCharType="end"/>
            </w:r>
          </w:hyperlink>
        </w:p>
        <w:p w:rsidR="005C43FE" w:rsidRPr="005C43FE" w14:paraId="2FC51598" w14:textId="49721A7B">
          <w:pPr>
            <w:pStyle w:val="TOC1"/>
            <w:tabs>
              <w:tab w:val="left" w:pos="440"/>
              <w:tab w:val="right" w:leader="dot" w:pos="9350"/>
            </w:tabs>
            <w:rPr>
              <w:rFonts w:ascii="Times New Roman" w:hAnsi="Times New Roman"/>
              <w:noProof/>
              <w:kern w:val="2"/>
              <w:sz w:val="24"/>
              <w:szCs w:val="24"/>
              <w14:ligatures w14:val="standardContextual"/>
            </w:rPr>
          </w:pPr>
          <w:hyperlink w:anchor="_Toc177134730" w:history="1">
            <w:r w:rsidRPr="005C43FE">
              <w:rPr>
                <w:rStyle w:val="Hyperlink"/>
                <w:rFonts w:ascii="Times New Roman" w:hAnsi="Times New Roman"/>
                <w:noProof/>
                <w:sz w:val="24"/>
                <w:szCs w:val="24"/>
              </w:rPr>
              <w:t>7.</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Specific Circumstances Relating to the Guidelines of 5 CFR 1320.5</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_Toc177134730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10</w:t>
            </w:r>
            <w:r w:rsidRPr="005C43FE">
              <w:rPr>
                <w:rFonts w:ascii="Times New Roman" w:hAnsi="Times New Roman"/>
                <w:noProof/>
                <w:webHidden/>
                <w:sz w:val="24"/>
                <w:szCs w:val="24"/>
              </w:rPr>
              <w:fldChar w:fldCharType="end"/>
            </w:r>
          </w:hyperlink>
        </w:p>
        <w:p w:rsidR="005C43FE" w:rsidRPr="005C43FE" w14:paraId="36DA2762" w14:textId="381FA3AF">
          <w:pPr>
            <w:pStyle w:val="TOC1"/>
            <w:tabs>
              <w:tab w:val="left" w:pos="440"/>
              <w:tab w:val="right" w:leader="dot" w:pos="9350"/>
            </w:tabs>
            <w:rPr>
              <w:rFonts w:ascii="Times New Roman" w:hAnsi="Times New Roman"/>
              <w:noProof/>
              <w:kern w:val="2"/>
              <w:sz w:val="24"/>
              <w:szCs w:val="24"/>
              <w14:ligatures w14:val="standardContextual"/>
            </w:rPr>
          </w:pPr>
          <w:hyperlink w:anchor="_Toc177134731" w:history="1">
            <w:r w:rsidRPr="005C43FE">
              <w:rPr>
                <w:rStyle w:val="Hyperlink"/>
                <w:rFonts w:ascii="Times New Roman" w:hAnsi="Times New Roman"/>
                <w:noProof/>
                <w:sz w:val="24"/>
                <w:szCs w:val="24"/>
              </w:rPr>
              <w:t>8.</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Comments in Response to the Federal Register Notice and Efforts to Consult Outside the Agency</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_Toc177134731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10</w:t>
            </w:r>
            <w:r w:rsidRPr="005C43FE">
              <w:rPr>
                <w:rFonts w:ascii="Times New Roman" w:hAnsi="Times New Roman"/>
                <w:noProof/>
                <w:webHidden/>
                <w:sz w:val="24"/>
                <w:szCs w:val="24"/>
              </w:rPr>
              <w:fldChar w:fldCharType="end"/>
            </w:r>
          </w:hyperlink>
        </w:p>
        <w:p w:rsidR="005C43FE" w:rsidRPr="005C43FE" w14:paraId="6A25B929" w14:textId="1A75AD05">
          <w:pPr>
            <w:pStyle w:val="TOC1"/>
            <w:tabs>
              <w:tab w:val="left" w:pos="440"/>
              <w:tab w:val="right" w:leader="dot" w:pos="9350"/>
            </w:tabs>
            <w:rPr>
              <w:rFonts w:ascii="Times New Roman" w:hAnsi="Times New Roman"/>
              <w:noProof/>
              <w:kern w:val="2"/>
              <w:sz w:val="24"/>
              <w:szCs w:val="24"/>
              <w14:ligatures w14:val="standardContextual"/>
            </w:rPr>
          </w:pPr>
          <w:hyperlink w:anchor="_Toc177134732" w:history="1">
            <w:r w:rsidRPr="005C43FE">
              <w:rPr>
                <w:rStyle w:val="Hyperlink"/>
                <w:rFonts w:ascii="Times New Roman" w:hAnsi="Times New Roman"/>
                <w:noProof/>
                <w:sz w:val="24"/>
                <w:szCs w:val="24"/>
              </w:rPr>
              <w:t>9.</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Explanation of any payment or gift to respondents.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_Toc177134732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10</w:t>
            </w:r>
            <w:r w:rsidRPr="005C43FE">
              <w:rPr>
                <w:rFonts w:ascii="Times New Roman" w:hAnsi="Times New Roman"/>
                <w:noProof/>
                <w:webHidden/>
                <w:sz w:val="24"/>
                <w:szCs w:val="24"/>
              </w:rPr>
              <w:fldChar w:fldCharType="end"/>
            </w:r>
          </w:hyperlink>
        </w:p>
        <w:p w:rsidR="005C43FE" w:rsidRPr="005C43FE" w14:paraId="443D3C93" w14:textId="00EDD92E">
          <w:pPr>
            <w:pStyle w:val="TOC1"/>
            <w:tabs>
              <w:tab w:val="left" w:pos="660"/>
              <w:tab w:val="right" w:leader="dot" w:pos="9350"/>
            </w:tabs>
            <w:rPr>
              <w:rFonts w:ascii="Times New Roman" w:hAnsi="Times New Roman"/>
              <w:noProof/>
              <w:kern w:val="2"/>
              <w:sz w:val="24"/>
              <w:szCs w:val="24"/>
              <w14:ligatures w14:val="standardContextual"/>
            </w:rPr>
          </w:pPr>
          <w:hyperlink w:anchor="_Toc177134733" w:history="1">
            <w:r w:rsidRPr="005C43FE">
              <w:rPr>
                <w:rStyle w:val="Hyperlink"/>
                <w:rFonts w:ascii="Times New Roman" w:hAnsi="Times New Roman"/>
                <w:noProof/>
                <w:sz w:val="24"/>
                <w:szCs w:val="24"/>
              </w:rPr>
              <w:t>10.</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Protection of the Privacy and Confidentiality of Information Provided by Respondents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_Toc177134733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11</w:t>
            </w:r>
            <w:r w:rsidRPr="005C43FE">
              <w:rPr>
                <w:rFonts w:ascii="Times New Roman" w:hAnsi="Times New Roman"/>
                <w:noProof/>
                <w:webHidden/>
                <w:sz w:val="24"/>
                <w:szCs w:val="24"/>
              </w:rPr>
              <w:fldChar w:fldCharType="end"/>
            </w:r>
          </w:hyperlink>
        </w:p>
        <w:p w:rsidR="005C43FE" w:rsidRPr="005C43FE" w14:paraId="7C49B5B4" w14:textId="304365B2">
          <w:pPr>
            <w:pStyle w:val="TOC1"/>
            <w:tabs>
              <w:tab w:val="left" w:pos="660"/>
              <w:tab w:val="right" w:leader="dot" w:pos="9350"/>
            </w:tabs>
            <w:rPr>
              <w:rFonts w:ascii="Times New Roman" w:hAnsi="Times New Roman"/>
              <w:noProof/>
              <w:kern w:val="2"/>
              <w:sz w:val="24"/>
              <w:szCs w:val="24"/>
              <w14:ligatures w14:val="standardContextual"/>
            </w:rPr>
          </w:pPr>
          <w:hyperlink w:anchor="_Toc177134734" w:history="1">
            <w:r w:rsidRPr="005C43FE">
              <w:rPr>
                <w:rStyle w:val="Hyperlink"/>
                <w:rFonts w:ascii="Times New Roman" w:hAnsi="Times New Roman"/>
                <w:noProof/>
                <w:sz w:val="24"/>
                <w:szCs w:val="24"/>
              </w:rPr>
              <w:t>11.</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Ethics Review Board (ERB) and Justification for Sensitive Questions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_Toc177134734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13</w:t>
            </w:r>
            <w:r w:rsidRPr="005C43FE">
              <w:rPr>
                <w:rFonts w:ascii="Times New Roman" w:hAnsi="Times New Roman"/>
                <w:noProof/>
                <w:webHidden/>
                <w:sz w:val="24"/>
                <w:szCs w:val="24"/>
              </w:rPr>
              <w:fldChar w:fldCharType="end"/>
            </w:r>
          </w:hyperlink>
        </w:p>
        <w:p w:rsidR="005C43FE" w:rsidRPr="005C43FE" w14:paraId="32CCC695" w14:textId="04146C92">
          <w:pPr>
            <w:pStyle w:val="TOC1"/>
            <w:tabs>
              <w:tab w:val="left" w:pos="660"/>
              <w:tab w:val="right" w:leader="dot" w:pos="9350"/>
            </w:tabs>
            <w:rPr>
              <w:rFonts w:ascii="Times New Roman" w:hAnsi="Times New Roman"/>
              <w:noProof/>
              <w:kern w:val="2"/>
              <w:sz w:val="24"/>
              <w:szCs w:val="24"/>
              <w14:ligatures w14:val="standardContextual"/>
            </w:rPr>
          </w:pPr>
          <w:hyperlink w:anchor="_Toc177134735" w:history="1">
            <w:r w:rsidRPr="005C43FE">
              <w:rPr>
                <w:rStyle w:val="Hyperlink"/>
                <w:rFonts w:ascii="Times New Roman" w:hAnsi="Times New Roman"/>
                <w:noProof/>
                <w:sz w:val="24"/>
                <w:szCs w:val="24"/>
              </w:rPr>
              <w:t>12.</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Estimates of Annualized Burden Hours and Cost</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_Toc177134735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13</w:t>
            </w:r>
            <w:r w:rsidRPr="005C43FE">
              <w:rPr>
                <w:rFonts w:ascii="Times New Roman" w:hAnsi="Times New Roman"/>
                <w:noProof/>
                <w:webHidden/>
                <w:sz w:val="24"/>
                <w:szCs w:val="24"/>
              </w:rPr>
              <w:fldChar w:fldCharType="end"/>
            </w:r>
          </w:hyperlink>
        </w:p>
        <w:p w:rsidR="005C43FE" w:rsidRPr="005C43FE" w14:paraId="74EB1645" w14:textId="00D505D6">
          <w:pPr>
            <w:pStyle w:val="TOC1"/>
            <w:tabs>
              <w:tab w:val="left" w:pos="660"/>
              <w:tab w:val="right" w:leader="dot" w:pos="9350"/>
            </w:tabs>
            <w:rPr>
              <w:rFonts w:ascii="Times New Roman" w:hAnsi="Times New Roman"/>
              <w:noProof/>
              <w:kern w:val="2"/>
              <w:sz w:val="24"/>
              <w:szCs w:val="24"/>
              <w14:ligatures w14:val="standardContextual"/>
            </w:rPr>
          </w:pPr>
          <w:hyperlink w:anchor="_Toc177134736" w:history="1">
            <w:r w:rsidRPr="005C43FE">
              <w:rPr>
                <w:rStyle w:val="Hyperlink"/>
                <w:rFonts w:ascii="Times New Roman" w:hAnsi="Times New Roman"/>
                <w:noProof/>
                <w:sz w:val="24"/>
                <w:szCs w:val="24"/>
              </w:rPr>
              <w:t>13.</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Estimates of Other Total Annual Cost Burden to Respondents and Record Keepers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_Toc177134736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14</w:t>
            </w:r>
            <w:r w:rsidRPr="005C43FE">
              <w:rPr>
                <w:rFonts w:ascii="Times New Roman" w:hAnsi="Times New Roman"/>
                <w:noProof/>
                <w:webHidden/>
                <w:sz w:val="24"/>
                <w:szCs w:val="24"/>
              </w:rPr>
              <w:fldChar w:fldCharType="end"/>
            </w:r>
          </w:hyperlink>
        </w:p>
        <w:p w:rsidR="005C43FE" w:rsidRPr="005C43FE" w14:paraId="79C25497" w14:textId="65D1ED3C">
          <w:pPr>
            <w:pStyle w:val="TOC1"/>
            <w:tabs>
              <w:tab w:val="left" w:pos="660"/>
              <w:tab w:val="right" w:leader="dot" w:pos="9350"/>
            </w:tabs>
            <w:rPr>
              <w:rFonts w:ascii="Times New Roman" w:hAnsi="Times New Roman"/>
              <w:noProof/>
              <w:kern w:val="2"/>
              <w:sz w:val="24"/>
              <w:szCs w:val="24"/>
              <w14:ligatures w14:val="standardContextual"/>
            </w:rPr>
          </w:pPr>
          <w:hyperlink w:anchor="_Toc177134737" w:history="1">
            <w:r w:rsidRPr="005C43FE">
              <w:rPr>
                <w:rStyle w:val="Hyperlink"/>
                <w:rFonts w:ascii="Times New Roman" w:hAnsi="Times New Roman"/>
                <w:noProof/>
                <w:sz w:val="24"/>
                <w:szCs w:val="24"/>
              </w:rPr>
              <w:t>14.</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Annualized Cost to the Federal Government</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_Toc177134737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14</w:t>
            </w:r>
            <w:r w:rsidRPr="005C43FE">
              <w:rPr>
                <w:rFonts w:ascii="Times New Roman" w:hAnsi="Times New Roman"/>
                <w:noProof/>
                <w:webHidden/>
                <w:sz w:val="24"/>
                <w:szCs w:val="24"/>
              </w:rPr>
              <w:fldChar w:fldCharType="end"/>
            </w:r>
          </w:hyperlink>
        </w:p>
        <w:p w:rsidR="005C43FE" w:rsidRPr="005C43FE" w14:paraId="2F342B0E" w14:textId="431C014B">
          <w:pPr>
            <w:pStyle w:val="TOC1"/>
            <w:tabs>
              <w:tab w:val="left" w:pos="660"/>
              <w:tab w:val="right" w:leader="dot" w:pos="9350"/>
            </w:tabs>
            <w:rPr>
              <w:rFonts w:ascii="Times New Roman" w:hAnsi="Times New Roman"/>
              <w:noProof/>
              <w:kern w:val="2"/>
              <w:sz w:val="24"/>
              <w:szCs w:val="24"/>
              <w14:ligatures w14:val="standardContextual"/>
            </w:rPr>
          </w:pPr>
          <w:hyperlink w:anchor="_Toc177134738" w:history="1">
            <w:r w:rsidRPr="005C43FE">
              <w:rPr>
                <w:rStyle w:val="Hyperlink"/>
                <w:rFonts w:ascii="Times New Roman" w:hAnsi="Times New Roman"/>
                <w:noProof/>
                <w:sz w:val="24"/>
                <w:szCs w:val="24"/>
              </w:rPr>
              <w:t>15.</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Explanation for Program Changes and Adjustments</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_Toc177134738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14</w:t>
            </w:r>
            <w:r w:rsidRPr="005C43FE">
              <w:rPr>
                <w:rFonts w:ascii="Times New Roman" w:hAnsi="Times New Roman"/>
                <w:noProof/>
                <w:webHidden/>
                <w:sz w:val="24"/>
                <w:szCs w:val="24"/>
              </w:rPr>
              <w:fldChar w:fldCharType="end"/>
            </w:r>
          </w:hyperlink>
        </w:p>
        <w:p w:rsidR="005C43FE" w:rsidRPr="005C43FE" w14:paraId="7F6477D9" w14:textId="16B452DA">
          <w:pPr>
            <w:pStyle w:val="TOC1"/>
            <w:tabs>
              <w:tab w:val="left" w:pos="660"/>
              <w:tab w:val="right" w:leader="dot" w:pos="9350"/>
            </w:tabs>
            <w:rPr>
              <w:rFonts w:ascii="Times New Roman" w:hAnsi="Times New Roman"/>
              <w:noProof/>
              <w:kern w:val="2"/>
              <w:sz w:val="24"/>
              <w:szCs w:val="24"/>
              <w14:ligatures w14:val="standardContextual"/>
            </w:rPr>
          </w:pPr>
          <w:hyperlink w:anchor="_Toc177134739" w:history="1">
            <w:r w:rsidRPr="005C43FE">
              <w:rPr>
                <w:rStyle w:val="Hyperlink"/>
                <w:rFonts w:ascii="Times New Roman" w:hAnsi="Times New Roman"/>
                <w:noProof/>
                <w:sz w:val="24"/>
                <w:szCs w:val="24"/>
              </w:rPr>
              <w:t>16.</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Plans for Tabulation and Publications and Project Time Schedule</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_Toc177134739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15</w:t>
            </w:r>
            <w:r w:rsidRPr="005C43FE">
              <w:rPr>
                <w:rFonts w:ascii="Times New Roman" w:hAnsi="Times New Roman"/>
                <w:noProof/>
                <w:webHidden/>
                <w:sz w:val="24"/>
                <w:szCs w:val="24"/>
              </w:rPr>
              <w:fldChar w:fldCharType="end"/>
            </w:r>
          </w:hyperlink>
        </w:p>
        <w:p w:rsidR="005C43FE" w:rsidRPr="005C43FE" w14:paraId="4C56AFC6" w14:textId="32839536">
          <w:pPr>
            <w:pStyle w:val="TOC1"/>
            <w:tabs>
              <w:tab w:val="left" w:pos="660"/>
              <w:tab w:val="right" w:leader="dot" w:pos="9350"/>
            </w:tabs>
            <w:rPr>
              <w:rFonts w:ascii="Times New Roman" w:hAnsi="Times New Roman"/>
              <w:noProof/>
              <w:kern w:val="2"/>
              <w:sz w:val="24"/>
              <w:szCs w:val="24"/>
              <w14:ligatures w14:val="standardContextual"/>
            </w:rPr>
          </w:pPr>
          <w:hyperlink w:anchor="_Toc177134740" w:history="1">
            <w:r w:rsidRPr="005C43FE">
              <w:rPr>
                <w:rStyle w:val="Hyperlink"/>
                <w:rFonts w:ascii="Times New Roman" w:hAnsi="Times New Roman"/>
                <w:noProof/>
                <w:sz w:val="24"/>
                <w:szCs w:val="24"/>
              </w:rPr>
              <w:t>17.</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Reason(s) Display of OMB Expiration Date is Inappropriate</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_Toc177134740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15</w:t>
            </w:r>
            <w:r w:rsidRPr="005C43FE">
              <w:rPr>
                <w:rFonts w:ascii="Times New Roman" w:hAnsi="Times New Roman"/>
                <w:noProof/>
                <w:webHidden/>
                <w:sz w:val="24"/>
                <w:szCs w:val="24"/>
              </w:rPr>
              <w:fldChar w:fldCharType="end"/>
            </w:r>
          </w:hyperlink>
        </w:p>
        <w:p w:rsidR="005C43FE" w:rsidRPr="005C43FE" w14:paraId="34A22728" w14:textId="6946D6C7">
          <w:pPr>
            <w:pStyle w:val="TOC1"/>
            <w:tabs>
              <w:tab w:val="left" w:pos="660"/>
              <w:tab w:val="right" w:leader="dot" w:pos="9350"/>
            </w:tabs>
            <w:rPr>
              <w:rFonts w:ascii="Times New Roman" w:hAnsi="Times New Roman"/>
              <w:noProof/>
              <w:kern w:val="2"/>
              <w:sz w:val="24"/>
              <w:szCs w:val="24"/>
              <w14:ligatures w14:val="standardContextual"/>
            </w:rPr>
          </w:pPr>
          <w:hyperlink w:anchor="_Toc177134741" w:history="1">
            <w:r w:rsidRPr="005C43FE">
              <w:rPr>
                <w:rStyle w:val="Hyperlink"/>
                <w:rFonts w:ascii="Times New Roman" w:hAnsi="Times New Roman"/>
                <w:noProof/>
                <w:sz w:val="24"/>
                <w:szCs w:val="24"/>
              </w:rPr>
              <w:t>18.</w:t>
            </w:r>
            <w:r w:rsidRPr="005C43FE">
              <w:rPr>
                <w:rFonts w:ascii="Times New Roman" w:hAnsi="Times New Roman"/>
                <w:noProof/>
                <w:kern w:val="2"/>
                <w:sz w:val="24"/>
                <w:szCs w:val="24"/>
                <w14:ligatures w14:val="standardContextual"/>
              </w:rPr>
              <w:tab/>
            </w:r>
            <w:r w:rsidRPr="005C43FE">
              <w:rPr>
                <w:rStyle w:val="Hyperlink"/>
                <w:rFonts w:ascii="Times New Roman" w:hAnsi="Times New Roman"/>
                <w:noProof/>
                <w:sz w:val="24"/>
                <w:szCs w:val="24"/>
              </w:rPr>
              <w:t>Exceptions to Certification for Paperwork Reduction Act Submission</w:t>
            </w:r>
            <w:r w:rsidRPr="005C43FE">
              <w:rPr>
                <w:rFonts w:ascii="Times New Roman" w:hAnsi="Times New Roman"/>
                <w:noProof/>
                <w:webHidden/>
                <w:sz w:val="24"/>
                <w:szCs w:val="24"/>
              </w:rPr>
              <w:tab/>
            </w:r>
            <w:r w:rsidRPr="005C43FE">
              <w:rPr>
                <w:rFonts w:ascii="Times New Roman" w:hAnsi="Times New Roman"/>
                <w:noProof/>
                <w:webHidden/>
                <w:sz w:val="24"/>
                <w:szCs w:val="24"/>
              </w:rPr>
              <w:fldChar w:fldCharType="begin"/>
            </w:r>
            <w:r w:rsidRPr="005C43FE">
              <w:rPr>
                <w:rFonts w:ascii="Times New Roman" w:hAnsi="Times New Roman"/>
                <w:noProof/>
                <w:webHidden/>
                <w:sz w:val="24"/>
                <w:szCs w:val="24"/>
              </w:rPr>
              <w:instrText xml:space="preserve"> PAGEREF _Toc177134741 \h </w:instrText>
            </w:r>
            <w:r w:rsidRPr="005C43FE">
              <w:rPr>
                <w:rFonts w:ascii="Times New Roman" w:hAnsi="Times New Roman"/>
                <w:noProof/>
                <w:webHidden/>
                <w:sz w:val="24"/>
                <w:szCs w:val="24"/>
              </w:rPr>
              <w:fldChar w:fldCharType="separate"/>
            </w:r>
            <w:r w:rsidR="00A244F6">
              <w:rPr>
                <w:rFonts w:ascii="Times New Roman" w:hAnsi="Times New Roman"/>
                <w:noProof/>
                <w:webHidden/>
                <w:sz w:val="24"/>
                <w:szCs w:val="24"/>
              </w:rPr>
              <w:t>15</w:t>
            </w:r>
            <w:r w:rsidRPr="005C43FE">
              <w:rPr>
                <w:rFonts w:ascii="Times New Roman" w:hAnsi="Times New Roman"/>
                <w:noProof/>
                <w:webHidden/>
                <w:sz w:val="24"/>
                <w:szCs w:val="24"/>
              </w:rPr>
              <w:fldChar w:fldCharType="end"/>
            </w:r>
          </w:hyperlink>
        </w:p>
        <w:p w:rsidR="00DD5EB6" w:rsidP="004429A7" w14:paraId="0CBF9236" w14:textId="4BC4F668">
          <w:pPr>
            <w:pStyle w:val="TOC1"/>
            <w:tabs>
              <w:tab w:val="left" w:pos="435"/>
              <w:tab w:val="right" w:leader="dot" w:pos="9360"/>
            </w:tabs>
            <w:spacing w:after="240"/>
            <w:rPr>
              <w:rFonts w:ascii="Calibri" w:eastAsia="SimSun" w:hAnsi="Calibri"/>
              <w:noProof/>
            </w:rPr>
          </w:pPr>
          <w:r w:rsidRPr="005C43FE">
            <w:rPr>
              <w:rFonts w:ascii="Times New Roman" w:hAnsi="Times New Roman"/>
              <w:sz w:val="24"/>
              <w:szCs w:val="24"/>
            </w:rPr>
            <w:fldChar w:fldCharType="end"/>
          </w:r>
        </w:p>
      </w:sdtContent>
    </w:sdt>
    <w:p w:rsidR="00165516" w:rsidP="5249834F" w14:paraId="484BB71A" w14:textId="77777777">
      <w:pPr>
        <w:widowControl/>
        <w:autoSpaceDE/>
        <w:autoSpaceDN/>
        <w:adjustRightInd/>
        <w:rPr>
          <w:rFonts w:ascii="Times New Roman" w:hAnsi="Times New Roman" w:cs="Times New Roman"/>
          <w:color w:val="000000" w:themeColor="text1"/>
        </w:rPr>
      </w:pPr>
    </w:p>
    <w:p w:rsidR="00D80410" w:rsidRPr="00D80410" w:rsidP="5249834F" w14:paraId="1C69B212" w14:textId="7DE7FFC2">
      <w:pPr>
        <w:widowControl/>
        <w:autoSpaceDE/>
        <w:autoSpaceDN/>
        <w:adjustRightInd/>
        <w:rPr>
          <w:rFonts w:ascii="Times New Roman" w:hAnsi="Times New Roman" w:cs="Times New Roman"/>
          <w:color w:val="000000" w:themeColor="text1"/>
        </w:rPr>
      </w:pPr>
      <w:r w:rsidRPr="00EC0CB0">
        <w:rPr>
          <w:rFonts w:ascii="Times New Roman" w:hAnsi="Times New Roman" w:cs="Times New Roman"/>
          <w:color w:val="000000" w:themeColor="text1"/>
        </w:rPr>
        <w:t>List of attachments:</w:t>
      </w:r>
    </w:p>
    <w:p w:rsidR="1B0D16FE" w:rsidRPr="00981B95" w:rsidP="5249834F" w14:paraId="62127749" w14:textId="60C7A763">
      <w:pPr>
        <w:spacing w:line="259" w:lineRule="auto"/>
        <w:rPr>
          <w:rFonts w:ascii="Times New Roman" w:hAnsi="Times New Roman" w:cs="Times New Roman"/>
        </w:rPr>
      </w:pPr>
      <w:r w:rsidRPr="5249834F">
        <w:rPr>
          <w:rFonts w:ascii="Times New Roman" w:hAnsi="Times New Roman" w:cs="Times New Roman"/>
        </w:rPr>
        <w:t xml:space="preserve">Attachment </w:t>
      </w:r>
      <w:r w:rsidRPr="5249834F" w:rsidR="64081910">
        <w:rPr>
          <w:rFonts w:ascii="Times New Roman" w:hAnsi="Times New Roman" w:cs="Times New Roman"/>
        </w:rPr>
        <w:t>1</w:t>
      </w:r>
      <w:r w:rsidRPr="5249834F">
        <w:rPr>
          <w:rFonts w:ascii="Times New Roman" w:hAnsi="Times New Roman" w:cs="Times New Roman"/>
        </w:rPr>
        <w:t>. Descript</w:t>
      </w:r>
      <w:r w:rsidR="00075B66">
        <w:rPr>
          <w:rFonts w:ascii="Times New Roman" w:hAnsi="Times New Roman" w:cs="Times New Roman"/>
        </w:rPr>
        <w:t>ion of the study and eligibility phone screening questionnaire</w:t>
      </w:r>
    </w:p>
    <w:p w:rsidR="0069022E" w:rsidP="5249834F" w14:paraId="5DE6477B" w14:textId="0D35DCAB">
      <w:pPr>
        <w:widowControl/>
        <w:autoSpaceDE/>
        <w:adjustRightInd/>
        <w:rPr>
          <w:rFonts w:ascii="Times New Roman" w:hAnsi="Times New Roman" w:cs="Times New Roman"/>
        </w:rPr>
      </w:pPr>
      <w:r w:rsidRPr="5249834F">
        <w:rPr>
          <w:rFonts w:ascii="Times New Roman" w:hAnsi="Times New Roman" w:cs="Times New Roman"/>
        </w:rPr>
        <w:t xml:space="preserve">Attachment </w:t>
      </w:r>
      <w:r w:rsidRPr="5249834F" w:rsidR="6A1CD8D4">
        <w:rPr>
          <w:rFonts w:ascii="Times New Roman" w:hAnsi="Times New Roman" w:cs="Times New Roman"/>
        </w:rPr>
        <w:t>2</w:t>
      </w:r>
      <w:r w:rsidR="003B2A0B">
        <w:rPr>
          <w:rFonts w:ascii="Times New Roman" w:hAnsi="Times New Roman" w:cs="Times New Roman"/>
        </w:rPr>
        <w:t>a. Informed Consent (DXA only)</w:t>
      </w:r>
    </w:p>
    <w:p w:rsidR="003B2A0B" w:rsidP="5249834F" w14:paraId="718D25EE" w14:textId="66877431">
      <w:pPr>
        <w:widowControl/>
        <w:autoSpaceDE/>
        <w:adjustRightInd/>
        <w:rPr>
          <w:rFonts w:ascii="Times New Roman" w:hAnsi="Times New Roman" w:cs="Times New Roman"/>
        </w:rPr>
      </w:pPr>
      <w:r>
        <w:rPr>
          <w:rFonts w:ascii="Times New Roman" w:hAnsi="Times New Roman" w:cs="Times New Roman"/>
        </w:rPr>
        <w:t>Attachment 2b. Informed Consent (Hematology only)</w:t>
      </w:r>
    </w:p>
    <w:p w:rsidR="003B2A0B" w:rsidP="5249834F" w14:paraId="7F2975F4" w14:textId="0D398F74">
      <w:pPr>
        <w:widowControl/>
        <w:autoSpaceDE/>
        <w:adjustRightInd/>
        <w:rPr>
          <w:rFonts w:ascii="Times New Roman" w:hAnsi="Times New Roman" w:cs="Times New Roman"/>
        </w:rPr>
      </w:pPr>
      <w:r>
        <w:rPr>
          <w:rFonts w:ascii="Times New Roman" w:hAnsi="Times New Roman" w:cs="Times New Roman"/>
        </w:rPr>
        <w:t>Attachment 2c. Informed Consent (DXA &amp; Hematology)</w:t>
      </w:r>
    </w:p>
    <w:p w:rsidR="003B2A0B" w:rsidP="5249834F" w14:paraId="7FA95369" w14:textId="5694610C">
      <w:pPr>
        <w:widowControl/>
        <w:autoSpaceDE/>
        <w:adjustRightInd/>
        <w:rPr>
          <w:rFonts w:ascii="Times New Roman" w:hAnsi="Times New Roman" w:cs="Times New Roman"/>
        </w:rPr>
      </w:pPr>
      <w:r>
        <w:rPr>
          <w:rFonts w:ascii="Times New Roman" w:hAnsi="Times New Roman" w:cs="Times New Roman"/>
        </w:rPr>
        <w:t>Attachment 3</w:t>
      </w:r>
      <w:r w:rsidR="00DF5AAE">
        <w:rPr>
          <w:rFonts w:ascii="Times New Roman" w:hAnsi="Times New Roman" w:cs="Times New Roman"/>
        </w:rPr>
        <w:t>. Cover letter and Report of Findings</w:t>
      </w:r>
    </w:p>
    <w:p w:rsidR="00DF5AAE" w:rsidP="5249834F" w14:paraId="034CF481" w14:textId="7C0F0195">
      <w:pPr>
        <w:widowControl/>
        <w:autoSpaceDE/>
        <w:adjustRightInd/>
        <w:rPr>
          <w:rFonts w:ascii="Times New Roman" w:hAnsi="Times New Roman" w:cs="Times New Roman"/>
          <w:color w:val="000000" w:themeColor="text1"/>
        </w:rPr>
      </w:pPr>
      <w:r>
        <w:rPr>
          <w:rFonts w:ascii="Times New Roman" w:hAnsi="Times New Roman" w:cs="Times New Roman"/>
        </w:rPr>
        <w:t>Attachment 4. ERB approval</w:t>
      </w:r>
    </w:p>
    <w:p w:rsidR="00371C08" w:rsidRPr="00014454" w:rsidP="0037366B" w14:paraId="700706A3" w14:textId="591A4234">
      <w:pPr>
        <w:rPr>
          <w:rFonts w:ascii="Times New Roman" w:hAnsi="Times New Roman" w:cs="Times New Roman"/>
        </w:rPr>
      </w:pPr>
      <w:r w:rsidRPr="5249834F">
        <w:rPr>
          <w:i/>
          <w:iCs/>
          <w:sz w:val="28"/>
          <w:szCs w:val="28"/>
        </w:rPr>
        <w:br w:type="page"/>
      </w:r>
      <w:r w:rsidRPr="5249834F" w:rsidR="0E4DC3A2">
        <w:rPr>
          <w:rFonts w:ascii="Times New Roman" w:hAnsi="Times New Roman" w:cs="Times New Roman"/>
          <w:color w:val="000000" w:themeColor="text1"/>
        </w:rPr>
        <w:t>This</w:t>
      </w:r>
      <w:r w:rsidR="00FC3F37">
        <w:rPr>
          <w:rFonts w:ascii="Times New Roman" w:hAnsi="Times New Roman" w:cs="Times New Roman"/>
          <w:color w:val="000000" w:themeColor="text1"/>
        </w:rPr>
        <w:t xml:space="preserve"> proposal</w:t>
      </w:r>
      <w:r w:rsidRPr="5249834F" w:rsidR="0E4DC3A2">
        <w:rPr>
          <w:rFonts w:ascii="Times New Roman" w:hAnsi="Times New Roman" w:cs="Times New Roman"/>
          <w:color w:val="000000" w:themeColor="text1"/>
        </w:rPr>
        <w:t xml:space="preserve"> is </w:t>
      </w:r>
      <w:r w:rsidR="00FC3F37">
        <w:rPr>
          <w:rFonts w:ascii="Times New Roman" w:hAnsi="Times New Roman" w:cs="Times New Roman"/>
          <w:color w:val="000000" w:themeColor="text1"/>
        </w:rPr>
        <w:t xml:space="preserve">a </w:t>
      </w:r>
      <w:r w:rsidRPr="5249834F" w:rsidR="66E901B7">
        <w:rPr>
          <w:rFonts w:ascii="Times New Roman" w:hAnsi="Times New Roman" w:cs="Times New Roman"/>
          <w:color w:val="000000" w:themeColor="text1"/>
        </w:rPr>
        <w:t>Generic Information Collection</w:t>
      </w:r>
      <w:r w:rsidR="00FC3F37">
        <w:rPr>
          <w:rFonts w:ascii="Times New Roman" w:hAnsi="Times New Roman" w:cs="Times New Roman"/>
          <w:color w:val="000000" w:themeColor="text1"/>
        </w:rPr>
        <w:t xml:space="preserve"> </w:t>
      </w:r>
      <w:r w:rsidR="00E54A67">
        <w:rPr>
          <w:rFonts w:ascii="Times New Roman" w:hAnsi="Times New Roman" w:cs="Times New Roman"/>
          <w:color w:val="000000" w:themeColor="text1"/>
        </w:rPr>
        <w:t>r</w:t>
      </w:r>
      <w:r w:rsidR="00FC3F37">
        <w:rPr>
          <w:rFonts w:ascii="Times New Roman" w:hAnsi="Times New Roman" w:cs="Times New Roman"/>
          <w:color w:val="000000" w:themeColor="text1"/>
        </w:rPr>
        <w:t>equest</w:t>
      </w:r>
      <w:r w:rsidR="007066A0">
        <w:rPr>
          <w:rFonts w:ascii="Times New Roman" w:hAnsi="Times New Roman" w:cs="Times New Roman"/>
          <w:color w:val="000000" w:themeColor="text1"/>
        </w:rPr>
        <w:t xml:space="preserve"> </w:t>
      </w:r>
      <w:r w:rsidRPr="5249834F" w:rsidR="66E901B7">
        <w:rPr>
          <w:rFonts w:ascii="Times New Roman" w:hAnsi="Times New Roman" w:cs="Times New Roman"/>
          <w:color w:val="000000" w:themeColor="text1"/>
        </w:rPr>
        <w:t>(GenIC)</w:t>
      </w:r>
      <w:r w:rsidR="00FC3F37">
        <w:rPr>
          <w:rFonts w:ascii="Times New Roman" w:hAnsi="Times New Roman" w:cs="Times New Roman"/>
          <w:color w:val="000000" w:themeColor="text1"/>
        </w:rPr>
        <w:t xml:space="preserve"> made</w:t>
      </w:r>
      <w:r w:rsidRPr="5249834F" w:rsidR="57EC7FD3">
        <w:rPr>
          <w:rFonts w:ascii="Times New Roman" w:hAnsi="Times New Roman" w:cs="Times New Roman"/>
          <w:b/>
          <w:bCs/>
          <w:color w:val="000000" w:themeColor="text1"/>
        </w:rPr>
        <w:t xml:space="preserve"> </w:t>
      </w:r>
      <w:r w:rsidRPr="5249834F" w:rsidR="4826D0A8">
        <w:rPr>
          <w:rFonts w:ascii="Times New Roman" w:hAnsi="Times New Roman" w:cs="Times New Roman"/>
          <w:color w:val="000000" w:themeColor="text1"/>
        </w:rPr>
        <w:t>under the previously approved</w:t>
      </w:r>
      <w:r w:rsidRPr="5249834F" w:rsidR="19F008A6">
        <w:rPr>
          <w:rFonts w:ascii="Times New Roman" w:hAnsi="Times New Roman" w:cs="Times New Roman"/>
          <w:color w:val="000000" w:themeColor="text1"/>
        </w:rPr>
        <w:t xml:space="preserve"> </w:t>
      </w:r>
      <w:r w:rsidRPr="5249834F" w:rsidR="1D867F88">
        <w:rPr>
          <w:rFonts w:ascii="Times New Roman" w:hAnsi="Times New Roman" w:cs="Times New Roman"/>
          <w:color w:val="000000" w:themeColor="text1"/>
        </w:rPr>
        <w:t>OMB clearance for</w:t>
      </w:r>
      <w:r w:rsidRPr="5249834F" w:rsidR="4826D0A8">
        <w:rPr>
          <w:rFonts w:ascii="Times New Roman" w:hAnsi="Times New Roman" w:cs="Times New Roman"/>
          <w:color w:val="000000" w:themeColor="text1"/>
        </w:rPr>
        <w:t xml:space="preserve"> Developmental Projects to Improve the National Health and Nutrition Examination Survey </w:t>
      </w:r>
      <w:r w:rsidRPr="5249834F" w:rsidR="274513E2">
        <w:rPr>
          <w:rFonts w:ascii="Times New Roman" w:hAnsi="Times New Roman" w:cs="Times New Roman"/>
          <w:color w:val="000000" w:themeColor="text1"/>
        </w:rPr>
        <w:t>a</w:t>
      </w:r>
      <w:r w:rsidRPr="5249834F" w:rsidR="35E615D8">
        <w:rPr>
          <w:rFonts w:ascii="Times New Roman" w:hAnsi="Times New Roman" w:cs="Times New Roman"/>
          <w:color w:val="000000" w:themeColor="text1"/>
        </w:rPr>
        <w:t xml:space="preserve">nd </w:t>
      </w:r>
      <w:r w:rsidR="00FC3F37">
        <w:rPr>
          <w:rFonts w:ascii="Times New Roman" w:hAnsi="Times New Roman" w:cs="Times New Roman"/>
          <w:color w:val="000000" w:themeColor="text1"/>
        </w:rPr>
        <w:t>Similar</w:t>
      </w:r>
      <w:r w:rsidRPr="5249834F" w:rsidR="35E615D8">
        <w:rPr>
          <w:rFonts w:ascii="Times New Roman" w:hAnsi="Times New Roman" w:cs="Times New Roman"/>
          <w:color w:val="000000" w:themeColor="text1"/>
        </w:rPr>
        <w:t xml:space="preserve"> Programs </w:t>
      </w:r>
      <w:r w:rsidRPr="5249834F" w:rsidR="0E4DC3A2">
        <w:rPr>
          <w:rFonts w:ascii="Times New Roman" w:hAnsi="Times New Roman" w:cs="Times New Roman"/>
          <w:color w:val="000000" w:themeColor="text1"/>
        </w:rPr>
        <w:t>(OMB No. 0920-</w:t>
      </w:r>
      <w:r w:rsidRPr="5249834F" w:rsidR="4826D0A8">
        <w:rPr>
          <w:rFonts w:ascii="Times New Roman" w:hAnsi="Times New Roman" w:cs="Times New Roman"/>
          <w:color w:val="000000" w:themeColor="text1"/>
        </w:rPr>
        <w:t>1208</w:t>
      </w:r>
      <w:r w:rsidRPr="5249834F" w:rsidR="0E4DC3A2">
        <w:rPr>
          <w:rFonts w:ascii="Times New Roman" w:hAnsi="Times New Roman" w:cs="Times New Roman"/>
          <w:color w:val="000000" w:themeColor="text1"/>
        </w:rPr>
        <w:t xml:space="preserve">, </w:t>
      </w:r>
      <w:r w:rsidRPr="5249834F" w:rsidR="1A647E84">
        <w:rPr>
          <w:rFonts w:ascii="Times New Roman" w:hAnsi="Times New Roman" w:cs="Times New Roman"/>
          <w:color w:val="000000" w:themeColor="text1"/>
        </w:rPr>
        <w:t>E</w:t>
      </w:r>
      <w:r w:rsidRPr="5249834F" w:rsidR="0E4DC3A2">
        <w:rPr>
          <w:rFonts w:ascii="Times New Roman" w:hAnsi="Times New Roman" w:cs="Times New Roman"/>
          <w:color w:val="000000" w:themeColor="text1"/>
        </w:rPr>
        <w:t xml:space="preserve">xp. </w:t>
      </w:r>
      <w:r w:rsidRPr="5249834F" w:rsidR="1A647E84">
        <w:rPr>
          <w:rFonts w:ascii="Times New Roman" w:hAnsi="Times New Roman" w:cs="Times New Roman"/>
          <w:color w:val="000000" w:themeColor="text1"/>
        </w:rPr>
        <w:t xml:space="preserve">Date </w:t>
      </w:r>
      <w:r w:rsidRPr="5249834F" w:rsidR="36FC9438">
        <w:rPr>
          <w:rFonts w:ascii="Times New Roman" w:hAnsi="Times New Roman" w:cs="Times New Roman"/>
          <w:color w:val="000000" w:themeColor="text1"/>
        </w:rPr>
        <w:t>0</w:t>
      </w:r>
      <w:r w:rsidR="00C10D5F">
        <w:rPr>
          <w:rFonts w:ascii="Times New Roman" w:hAnsi="Times New Roman" w:cs="Times New Roman"/>
          <w:color w:val="000000" w:themeColor="text1"/>
        </w:rPr>
        <w:t>5/31</w:t>
      </w:r>
      <w:r w:rsidRPr="5249834F" w:rsidR="1A647E84">
        <w:rPr>
          <w:rFonts w:ascii="Times New Roman" w:hAnsi="Times New Roman" w:cs="Times New Roman"/>
          <w:color w:val="000000" w:themeColor="text1"/>
        </w:rPr>
        <w:t>/</w:t>
      </w:r>
      <w:r w:rsidRPr="5249834F" w:rsidR="4826D0A8">
        <w:rPr>
          <w:rFonts w:ascii="Times New Roman" w:hAnsi="Times New Roman" w:cs="Times New Roman"/>
          <w:color w:val="000000" w:themeColor="text1"/>
        </w:rPr>
        <w:t>202</w:t>
      </w:r>
      <w:r w:rsidR="00C10D5F">
        <w:rPr>
          <w:rFonts w:ascii="Times New Roman" w:hAnsi="Times New Roman" w:cs="Times New Roman"/>
          <w:color w:val="000000" w:themeColor="text1"/>
        </w:rPr>
        <w:t>6</w:t>
      </w:r>
      <w:r w:rsidRPr="5249834F" w:rsidR="0E4DC3A2">
        <w:rPr>
          <w:rFonts w:ascii="Times New Roman" w:hAnsi="Times New Roman" w:cs="Times New Roman"/>
          <w:color w:val="000000" w:themeColor="text1"/>
        </w:rPr>
        <w:t xml:space="preserve">), conducted by the National Center for Health Statistics (NCHS), Centers for Disease Control and Prevention (CDC). </w:t>
      </w:r>
      <w:r w:rsidRPr="5249834F" w:rsidR="1A647E84">
        <w:rPr>
          <w:rFonts w:ascii="Times New Roman" w:hAnsi="Times New Roman" w:cs="Times New Roman"/>
          <w:color w:val="000000" w:themeColor="text1"/>
        </w:rPr>
        <w:t xml:space="preserve">The currently approved </w:t>
      </w:r>
      <w:r w:rsidRPr="5249834F" w:rsidR="35E615D8">
        <w:rPr>
          <w:rFonts w:ascii="Times New Roman" w:hAnsi="Times New Roman" w:cs="Times New Roman"/>
          <w:color w:val="000000" w:themeColor="text1"/>
        </w:rPr>
        <w:t xml:space="preserve">generic clearance </w:t>
      </w:r>
      <w:r w:rsidRPr="5249834F" w:rsidR="1A647E84">
        <w:rPr>
          <w:rFonts w:ascii="Times New Roman" w:hAnsi="Times New Roman" w:cs="Times New Roman"/>
          <w:color w:val="000000" w:themeColor="text1"/>
        </w:rPr>
        <w:t>includes a proposal to conduct</w:t>
      </w:r>
      <w:r w:rsidRPr="5249834F" w:rsidR="15B17C66">
        <w:rPr>
          <w:rFonts w:ascii="Times New Roman" w:hAnsi="Times New Roman" w:cs="Times New Roman"/>
          <w:color w:val="000000" w:themeColor="text1"/>
        </w:rPr>
        <w:t xml:space="preserve"> </w:t>
      </w:r>
      <w:r w:rsidRPr="5249834F" w:rsidR="1A647E84">
        <w:rPr>
          <w:rFonts w:ascii="Times New Roman" w:hAnsi="Times New Roman" w:cs="Times New Roman"/>
          <w:color w:val="000000" w:themeColor="text1"/>
        </w:rPr>
        <w:t xml:space="preserve">developmental studies to </w:t>
      </w:r>
      <w:r w:rsidRPr="5249834F" w:rsidR="4826D0A8">
        <w:rPr>
          <w:rFonts w:ascii="Times New Roman" w:hAnsi="Times New Roman" w:cs="Times New Roman"/>
          <w:color w:val="000000" w:themeColor="text1"/>
        </w:rPr>
        <w:t xml:space="preserve">“explore, test and evaluate proposed survey designs, content, methods and alternative approaches to activities such as outreach, screening, participant recruitment/retention, data collection, or other health survey activities for </w:t>
      </w:r>
      <w:r w:rsidRPr="5249834F" w:rsidR="2BDE16B5">
        <w:rPr>
          <w:rFonts w:ascii="Times New Roman" w:hAnsi="Times New Roman" w:cs="Times New Roman"/>
          <w:color w:val="000000" w:themeColor="text1"/>
        </w:rPr>
        <w:t>National Health and Nutrition Examination Survey (</w:t>
      </w:r>
      <w:r w:rsidRPr="5249834F" w:rsidR="4826D0A8">
        <w:rPr>
          <w:rFonts w:ascii="Times New Roman" w:hAnsi="Times New Roman" w:cs="Times New Roman"/>
          <w:color w:val="000000" w:themeColor="text1"/>
        </w:rPr>
        <w:t>NHANES</w:t>
      </w:r>
      <w:r w:rsidRPr="5249834F" w:rsidR="2BDE16B5">
        <w:rPr>
          <w:rFonts w:ascii="Times New Roman" w:hAnsi="Times New Roman" w:cs="Times New Roman"/>
          <w:color w:val="000000" w:themeColor="text1"/>
        </w:rPr>
        <w:t>)</w:t>
      </w:r>
      <w:r w:rsidRPr="5249834F" w:rsidR="4826D0A8">
        <w:rPr>
          <w:rFonts w:ascii="Times New Roman" w:hAnsi="Times New Roman" w:cs="Times New Roman"/>
          <w:color w:val="000000" w:themeColor="text1"/>
        </w:rPr>
        <w:t xml:space="preserve"> </w:t>
      </w:r>
      <w:r w:rsidRPr="5249834F" w:rsidR="2BDE16B5">
        <w:rPr>
          <w:rFonts w:ascii="Times New Roman" w:hAnsi="Times New Roman" w:cs="Times New Roman"/>
          <w:color w:val="000000" w:themeColor="text1"/>
        </w:rPr>
        <w:t xml:space="preserve">(OMB No. 0920-0950, Exp. Date </w:t>
      </w:r>
      <w:r w:rsidRPr="5249834F" w:rsidR="15F2F458">
        <w:rPr>
          <w:rFonts w:ascii="Times New Roman" w:hAnsi="Times New Roman" w:cs="Times New Roman"/>
          <w:color w:val="000000" w:themeColor="text1"/>
        </w:rPr>
        <w:t>0</w:t>
      </w:r>
      <w:r w:rsidR="009D674F">
        <w:rPr>
          <w:rFonts w:ascii="Times New Roman" w:hAnsi="Times New Roman" w:cs="Times New Roman"/>
          <w:color w:val="000000" w:themeColor="text1"/>
        </w:rPr>
        <w:t>4/30/</w:t>
      </w:r>
      <w:r w:rsidRPr="5249834F" w:rsidR="2BDE16B5">
        <w:rPr>
          <w:rFonts w:ascii="Times New Roman" w:hAnsi="Times New Roman" w:cs="Times New Roman"/>
          <w:color w:val="000000" w:themeColor="text1"/>
        </w:rPr>
        <w:t>20</w:t>
      </w:r>
      <w:r w:rsidRPr="5249834F" w:rsidR="473D5602">
        <w:rPr>
          <w:rFonts w:ascii="Times New Roman" w:hAnsi="Times New Roman" w:cs="Times New Roman"/>
          <w:color w:val="000000" w:themeColor="text1"/>
        </w:rPr>
        <w:t>2</w:t>
      </w:r>
      <w:r w:rsidR="009D674F">
        <w:rPr>
          <w:rFonts w:ascii="Times New Roman" w:hAnsi="Times New Roman" w:cs="Times New Roman"/>
          <w:color w:val="000000" w:themeColor="text1"/>
        </w:rPr>
        <w:t>5</w:t>
      </w:r>
      <w:r w:rsidRPr="5249834F" w:rsidR="2BDE16B5">
        <w:rPr>
          <w:rFonts w:ascii="Times New Roman" w:hAnsi="Times New Roman" w:cs="Times New Roman"/>
          <w:color w:val="000000" w:themeColor="text1"/>
        </w:rPr>
        <w:t>)</w:t>
      </w:r>
      <w:r w:rsidRPr="5249834F" w:rsidR="1D88DB50">
        <w:rPr>
          <w:rFonts w:ascii="Times New Roman" w:hAnsi="Times New Roman" w:cs="Times New Roman"/>
          <w:color w:val="000000" w:themeColor="text1"/>
        </w:rPr>
        <w:t xml:space="preserve"> </w:t>
      </w:r>
      <w:r w:rsidRPr="5249834F" w:rsidR="4826D0A8">
        <w:rPr>
          <w:rFonts w:ascii="Times New Roman" w:hAnsi="Times New Roman" w:cs="Times New Roman"/>
          <w:color w:val="000000" w:themeColor="text1"/>
        </w:rPr>
        <w:t>or NCHS wide projects.”</w:t>
      </w:r>
      <w:r w:rsidRPr="5249834F" w:rsidR="1A647E84">
        <w:rPr>
          <w:rFonts w:ascii="Times New Roman" w:hAnsi="Times New Roman" w:cs="Times New Roman"/>
          <w:color w:val="000000" w:themeColor="text1"/>
        </w:rPr>
        <w:t xml:space="preserve"> This submission includes </w:t>
      </w:r>
      <w:r w:rsidR="00783C96">
        <w:rPr>
          <w:rFonts w:ascii="Times New Roman" w:hAnsi="Times New Roman" w:cs="Times New Roman"/>
          <w:color w:val="000000" w:themeColor="text1"/>
        </w:rPr>
        <w:t>a</w:t>
      </w:r>
      <w:r w:rsidRPr="5249834F" w:rsidR="1A647E84">
        <w:rPr>
          <w:rFonts w:ascii="Times New Roman" w:hAnsi="Times New Roman" w:cs="Times New Roman"/>
          <w:color w:val="000000" w:themeColor="text1"/>
        </w:rPr>
        <w:t xml:space="preserve"> request to initiate </w:t>
      </w:r>
      <w:r w:rsidR="00783C96">
        <w:rPr>
          <w:rFonts w:ascii="Times New Roman" w:hAnsi="Times New Roman" w:cs="Times New Roman"/>
          <w:color w:val="000000" w:themeColor="text1"/>
        </w:rPr>
        <w:t>two</w:t>
      </w:r>
      <w:r w:rsidRPr="5249834F" w:rsidR="15B17C66">
        <w:rPr>
          <w:rFonts w:ascii="Times New Roman" w:hAnsi="Times New Roman" w:cs="Times New Roman"/>
          <w:color w:val="000000" w:themeColor="text1"/>
        </w:rPr>
        <w:t xml:space="preserve"> such stud</w:t>
      </w:r>
      <w:r w:rsidR="008B4541">
        <w:rPr>
          <w:rFonts w:ascii="Times New Roman" w:hAnsi="Times New Roman" w:cs="Times New Roman"/>
          <w:color w:val="000000" w:themeColor="text1"/>
        </w:rPr>
        <w:t>ies</w:t>
      </w:r>
      <w:r w:rsidRPr="5249834F" w:rsidR="15B17C66">
        <w:rPr>
          <w:rFonts w:ascii="Times New Roman" w:hAnsi="Times New Roman" w:cs="Times New Roman"/>
          <w:color w:val="000000" w:themeColor="text1"/>
        </w:rPr>
        <w:t xml:space="preserve">. </w:t>
      </w:r>
      <w:r w:rsidRPr="5249834F" w:rsidR="15B17C66">
        <w:rPr>
          <w:rFonts w:ascii="Times New Roman" w:hAnsi="Times New Roman" w:cs="Times New Roman"/>
        </w:rPr>
        <w:t xml:space="preserve">The proposed </w:t>
      </w:r>
      <w:r w:rsidR="00FF660E">
        <w:rPr>
          <w:rFonts w:ascii="Times New Roman" w:hAnsi="Times New Roman" w:cs="Times New Roman"/>
        </w:rPr>
        <w:t>request</w:t>
      </w:r>
      <w:r w:rsidRPr="5249834F" w:rsidR="15B17C66">
        <w:rPr>
          <w:rFonts w:ascii="Times New Roman" w:hAnsi="Times New Roman" w:cs="Times New Roman"/>
        </w:rPr>
        <w:t xml:space="preserve"> would not </w:t>
      </w:r>
      <w:r w:rsidR="00117DF6">
        <w:rPr>
          <w:rFonts w:ascii="Times New Roman" w:hAnsi="Times New Roman" w:cs="Times New Roman"/>
        </w:rPr>
        <w:t>change</w:t>
      </w:r>
      <w:r w:rsidRPr="5249834F" w:rsidR="15B17C66">
        <w:rPr>
          <w:rFonts w:ascii="Times New Roman" w:hAnsi="Times New Roman" w:cs="Times New Roman"/>
        </w:rPr>
        <w:t xml:space="preserve"> the currently approved burden hours.</w:t>
      </w:r>
    </w:p>
    <w:p w:rsidR="00110B4E" w:rsidRPr="00014454" w:rsidP="007339CC" w14:paraId="54B52FA1" w14:textId="77777777">
      <w:pPr>
        <w:rPr>
          <w:rFonts w:ascii="Times New Roman" w:hAnsi="Times New Roman" w:cs="Times New Roman"/>
          <w:color w:val="000000" w:themeColor="text1"/>
        </w:rPr>
      </w:pPr>
    </w:p>
    <w:p w:rsidR="00110B4E" w:rsidRPr="00014454" w:rsidP="5EC88010" w14:paraId="16B3EF3D" w14:textId="3AC07967">
      <w:pPr>
        <w:pStyle w:val="ListParagraph"/>
        <w:ind w:left="0"/>
        <w:rPr>
          <w:rFonts w:ascii="Times New Roman" w:hAnsi="Times New Roman" w:cs="Times New Roman"/>
          <w:color w:val="000000" w:themeColor="text1"/>
        </w:rPr>
      </w:pPr>
      <w:r w:rsidRPr="00014454">
        <w:rPr>
          <w:rFonts w:ascii="Times New Roman" w:hAnsi="Times New Roman" w:cs="Times New Roman"/>
          <w:color w:val="000000" w:themeColor="text1"/>
        </w:rPr>
        <w:t>Proposed Study:</w:t>
      </w:r>
    </w:p>
    <w:p w:rsidR="5EC88010" w:rsidRPr="00014454" w:rsidP="5EC88010" w14:paraId="6C588AAB" w14:textId="0FC8EA6F">
      <w:pPr>
        <w:pStyle w:val="ListParagraph"/>
        <w:ind w:left="0"/>
        <w:rPr>
          <w:color w:val="000000" w:themeColor="text1"/>
        </w:rPr>
      </w:pPr>
    </w:p>
    <w:p w:rsidR="1DAAFACC" w:rsidRPr="00014454" w:rsidP="5EC88010" w14:paraId="5738E018" w14:textId="0B233034">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Dual Energy X-ray Absorptiometry (DXA) </w:t>
      </w:r>
      <w:r w:rsidR="008E14CE">
        <w:rPr>
          <w:rFonts w:ascii="Times New Roman" w:hAnsi="Times New Roman" w:cs="Times New Roman"/>
          <w:color w:val="000000" w:themeColor="text1"/>
        </w:rPr>
        <w:t xml:space="preserve">and Hematology Analyzer </w:t>
      </w:r>
      <w:r w:rsidR="00963E08">
        <w:rPr>
          <w:rFonts w:ascii="Times New Roman" w:hAnsi="Times New Roman" w:cs="Times New Roman"/>
          <w:color w:val="000000" w:themeColor="text1"/>
        </w:rPr>
        <w:t xml:space="preserve">and Blood Collection Tube </w:t>
      </w:r>
      <w:r>
        <w:rPr>
          <w:rFonts w:ascii="Times New Roman" w:hAnsi="Times New Roman" w:cs="Times New Roman"/>
          <w:color w:val="000000" w:themeColor="text1"/>
        </w:rPr>
        <w:t>Crossover Stud</w:t>
      </w:r>
      <w:r w:rsidR="00963E08">
        <w:rPr>
          <w:rFonts w:ascii="Times New Roman" w:hAnsi="Times New Roman" w:cs="Times New Roman"/>
          <w:color w:val="000000" w:themeColor="text1"/>
        </w:rPr>
        <w:t>ies</w:t>
      </w:r>
    </w:p>
    <w:p w:rsidR="5EC88010" w:rsidRPr="00014454" w:rsidP="5EC88010" w14:paraId="181D1358" w14:textId="644F45B1">
      <w:pPr>
        <w:pStyle w:val="ListParagraph"/>
        <w:ind w:left="0"/>
        <w:rPr>
          <w:color w:val="000000" w:themeColor="text1"/>
        </w:rPr>
      </w:pPr>
    </w:p>
    <w:p w:rsidR="00371C08" w:rsidRPr="00014454" w:rsidP="007339CC" w14:paraId="37845E89" w14:textId="77777777">
      <w:pPr>
        <w:rPr>
          <w:rFonts w:ascii="Times New Roman" w:hAnsi="Times New Roman" w:cs="Times New Roman"/>
          <w:color w:val="000000" w:themeColor="text1"/>
        </w:rPr>
      </w:pPr>
      <w:r w:rsidRPr="00014454">
        <w:rPr>
          <w:rFonts w:ascii="Times New Roman" w:hAnsi="Times New Roman" w:cs="Times New Roman"/>
          <w:color w:val="000000" w:themeColor="text1"/>
        </w:rPr>
        <w:t>A.   Justification</w:t>
      </w:r>
    </w:p>
    <w:p w:rsidR="00371C08" w:rsidRPr="00014454" w:rsidP="007339CC" w14:paraId="6C2B832F" w14:textId="77777777">
      <w:pPr>
        <w:rPr>
          <w:rFonts w:ascii="Times New Roman" w:hAnsi="Times New Roman" w:cs="Times New Roman"/>
          <w:color w:val="000000" w:themeColor="text1"/>
        </w:rPr>
      </w:pPr>
    </w:p>
    <w:p w:rsidR="00371C08" w:rsidRPr="00014454" w:rsidP="008000CD" w14:paraId="5C54A4F9" w14:textId="455A1C26">
      <w:pPr>
        <w:pStyle w:val="Heading1"/>
      </w:pPr>
      <w:bookmarkStart w:id="0" w:name="_Toc177134724"/>
      <w:r>
        <w:t>Circumstances Making the Collection of Information Necessary</w:t>
      </w:r>
      <w:bookmarkEnd w:id="0"/>
      <w:r>
        <w:t xml:space="preserve">  </w:t>
      </w:r>
    </w:p>
    <w:p w:rsidR="00C87EEF" w:rsidRPr="00014454" w:rsidP="007339CC" w14:paraId="3649CAE3" w14:textId="77777777">
      <w:pPr>
        <w:rPr>
          <w:rFonts w:ascii="Times New Roman" w:hAnsi="Times New Roman" w:cs="Times New Roman"/>
          <w:color w:val="000000" w:themeColor="text1"/>
        </w:rPr>
      </w:pPr>
    </w:p>
    <w:p w:rsidR="00C87EEF" w:rsidRPr="00014454" w:rsidP="5249834F" w14:paraId="47F9258E" w14:textId="495FD837">
      <w:pPr>
        <w:tabs>
          <w:tab w:val="left" w:pos="450"/>
        </w:tabs>
        <w:rPr>
          <w:rFonts w:ascii="Times New Roman" w:hAnsi="Times New Roman" w:cs="Times New Roman"/>
          <w:color w:val="000000" w:themeColor="text1"/>
        </w:rPr>
      </w:pPr>
      <w:r w:rsidRPr="5249834F">
        <w:rPr>
          <w:rFonts w:ascii="Times New Roman" w:hAnsi="Times New Roman" w:cs="Times New Roman"/>
          <w:color w:val="000000" w:themeColor="text1"/>
        </w:rPr>
        <w:t>The National Health and Nutrition Examination Survey (</w:t>
      </w:r>
      <w:r w:rsidRPr="5249834F" w:rsidR="71A01252">
        <w:rPr>
          <w:rFonts w:ascii="Times New Roman" w:hAnsi="Times New Roman" w:cs="Times New Roman"/>
          <w:color w:val="000000" w:themeColor="text1"/>
        </w:rPr>
        <w:t>NHANES</w:t>
      </w:r>
      <w:r w:rsidRPr="5249834F">
        <w:rPr>
          <w:rFonts w:ascii="Times New Roman" w:hAnsi="Times New Roman" w:cs="Times New Roman"/>
          <w:color w:val="000000" w:themeColor="text1"/>
        </w:rPr>
        <w:t>)</w:t>
      </w:r>
      <w:r w:rsidRPr="5249834F" w:rsidR="71A01252">
        <w:rPr>
          <w:rFonts w:ascii="Times New Roman" w:hAnsi="Times New Roman" w:cs="Times New Roman"/>
          <w:color w:val="000000" w:themeColor="text1"/>
        </w:rPr>
        <w:t xml:space="preserve"> is </w:t>
      </w:r>
      <w:r w:rsidRPr="5249834F" w:rsidR="06933DF6">
        <w:rPr>
          <w:rFonts w:ascii="Times New Roman" w:hAnsi="Times New Roman" w:cs="Times New Roman"/>
          <w:color w:val="000000" w:themeColor="text1"/>
        </w:rPr>
        <w:t>conducted annually</w:t>
      </w:r>
      <w:r w:rsidRPr="5249834F">
        <w:rPr>
          <w:rFonts w:ascii="Times New Roman" w:hAnsi="Times New Roman" w:cs="Times New Roman"/>
          <w:color w:val="000000" w:themeColor="text1"/>
        </w:rPr>
        <w:t xml:space="preserve"> </w:t>
      </w:r>
      <w:r w:rsidR="007804AE">
        <w:rPr>
          <w:rFonts w:ascii="Times New Roman" w:hAnsi="Times New Roman" w:cs="Times New Roman"/>
          <w:color w:val="000000" w:themeColor="text1"/>
        </w:rPr>
        <w:t xml:space="preserve">and consists of three primary methods of data collection: </w:t>
      </w:r>
      <w:r w:rsidR="0001253C">
        <w:rPr>
          <w:rFonts w:ascii="Times New Roman" w:hAnsi="Times New Roman" w:cs="Times New Roman"/>
          <w:color w:val="000000" w:themeColor="text1"/>
        </w:rPr>
        <w:t>home</w:t>
      </w:r>
      <w:r w:rsidR="007804AE">
        <w:rPr>
          <w:rFonts w:ascii="Times New Roman" w:hAnsi="Times New Roman" w:cs="Times New Roman"/>
          <w:color w:val="000000" w:themeColor="text1"/>
        </w:rPr>
        <w:t xml:space="preserve"> interviews, examination</w:t>
      </w:r>
      <w:r w:rsidR="0001253C">
        <w:rPr>
          <w:rFonts w:ascii="Times New Roman" w:hAnsi="Times New Roman" w:cs="Times New Roman"/>
          <w:color w:val="000000" w:themeColor="text1"/>
        </w:rPr>
        <w:t>s</w:t>
      </w:r>
      <w:r w:rsidR="007804AE">
        <w:rPr>
          <w:rFonts w:ascii="Times New Roman" w:hAnsi="Times New Roman" w:cs="Times New Roman"/>
          <w:color w:val="000000" w:themeColor="text1"/>
        </w:rPr>
        <w:t xml:space="preserve"> conducted in the Mobile Examination Center (MEC)</w:t>
      </w:r>
      <w:r w:rsidR="0001253C">
        <w:rPr>
          <w:rFonts w:ascii="Times New Roman" w:hAnsi="Times New Roman" w:cs="Times New Roman"/>
          <w:color w:val="000000" w:themeColor="text1"/>
        </w:rPr>
        <w:t xml:space="preserve">, and laboratory </w:t>
      </w:r>
      <w:r w:rsidR="004E6164">
        <w:rPr>
          <w:rFonts w:ascii="Times New Roman" w:hAnsi="Times New Roman" w:cs="Times New Roman"/>
          <w:color w:val="000000" w:themeColor="text1"/>
        </w:rPr>
        <w:t xml:space="preserve">assessments. </w:t>
      </w:r>
      <w:r w:rsidRPr="5249834F" w:rsidR="71A01252">
        <w:rPr>
          <w:rFonts w:ascii="Times New Roman" w:hAnsi="Times New Roman" w:cs="Times New Roman"/>
          <w:color w:val="000000" w:themeColor="text1"/>
        </w:rPr>
        <w:t>A major advantage of continuous NHANES data collection is the ability to address emerging public health issues and provide objective data on more health conditions and issues</w:t>
      </w:r>
      <w:r w:rsidRPr="5249834F" w:rsidR="7FA6B2B4">
        <w:rPr>
          <w:rFonts w:ascii="Times New Roman" w:hAnsi="Times New Roman" w:cs="Times New Roman"/>
          <w:color w:val="000000" w:themeColor="text1"/>
        </w:rPr>
        <w:t xml:space="preserve"> by changing</w:t>
      </w:r>
      <w:r w:rsidRPr="5249834F" w:rsidR="2F343226">
        <w:rPr>
          <w:rFonts w:ascii="Times New Roman" w:hAnsi="Times New Roman" w:cs="Times New Roman"/>
          <w:color w:val="000000" w:themeColor="text1"/>
        </w:rPr>
        <w:t>/modifying</w:t>
      </w:r>
      <w:r w:rsidRPr="5249834F" w:rsidR="7FA6B2B4">
        <w:rPr>
          <w:rFonts w:ascii="Times New Roman" w:hAnsi="Times New Roman" w:cs="Times New Roman"/>
          <w:color w:val="000000" w:themeColor="text1"/>
        </w:rPr>
        <w:t xml:space="preserve"> survey content</w:t>
      </w:r>
      <w:r w:rsidRPr="5249834F" w:rsidR="71A01252">
        <w:rPr>
          <w:rFonts w:ascii="Times New Roman" w:hAnsi="Times New Roman" w:cs="Times New Roman"/>
          <w:color w:val="000000" w:themeColor="text1"/>
        </w:rPr>
        <w:t>.</w:t>
      </w:r>
      <w:r w:rsidRPr="5249834F" w:rsidR="230820C1">
        <w:rPr>
          <w:rFonts w:ascii="Times New Roman" w:hAnsi="Times New Roman" w:cs="Times New Roman"/>
          <w:color w:val="000000" w:themeColor="text1"/>
        </w:rPr>
        <w:t xml:space="preserve"> </w:t>
      </w:r>
      <w:r w:rsidRPr="5249834F" w:rsidR="1867468A">
        <w:rPr>
          <w:rFonts w:ascii="Times New Roman" w:hAnsi="Times New Roman" w:cs="Times New Roman"/>
          <w:color w:val="000000" w:themeColor="text1"/>
        </w:rPr>
        <w:t xml:space="preserve">Though collected annually, </w:t>
      </w:r>
      <w:r w:rsidRPr="5249834F" w:rsidR="71A01252">
        <w:rPr>
          <w:rFonts w:ascii="Times New Roman" w:hAnsi="Times New Roman" w:cs="Times New Roman"/>
          <w:color w:val="000000" w:themeColor="text1"/>
        </w:rPr>
        <w:t xml:space="preserve">NHANES data </w:t>
      </w:r>
      <w:r w:rsidRPr="5249834F" w:rsidR="230820C1">
        <w:rPr>
          <w:rFonts w:ascii="Times New Roman" w:hAnsi="Times New Roman" w:cs="Times New Roman"/>
          <w:color w:val="000000" w:themeColor="text1"/>
        </w:rPr>
        <w:t>are</w:t>
      </w:r>
      <w:r w:rsidRPr="5249834F" w:rsidR="71A01252">
        <w:rPr>
          <w:rFonts w:ascii="Times New Roman" w:hAnsi="Times New Roman" w:cs="Times New Roman"/>
          <w:color w:val="000000" w:themeColor="text1"/>
        </w:rPr>
        <w:t xml:space="preserve"> released</w:t>
      </w:r>
      <w:r w:rsidRPr="5249834F" w:rsidR="6F3E033B">
        <w:rPr>
          <w:rFonts w:ascii="Times New Roman" w:hAnsi="Times New Roman" w:cs="Times New Roman"/>
          <w:color w:val="000000" w:themeColor="text1"/>
        </w:rPr>
        <w:t xml:space="preserve"> in two-</w:t>
      </w:r>
      <w:r w:rsidRPr="5249834F" w:rsidR="71A01252">
        <w:rPr>
          <w:rFonts w:ascii="Times New Roman" w:hAnsi="Times New Roman" w:cs="Times New Roman"/>
          <w:color w:val="000000" w:themeColor="text1"/>
        </w:rPr>
        <w:t xml:space="preserve">year cycles. </w:t>
      </w:r>
      <w:r w:rsidRPr="5249834F" w:rsidR="78706B5D">
        <w:rPr>
          <w:rFonts w:ascii="Times New Roman" w:hAnsi="Times New Roman" w:cs="Times New Roman"/>
          <w:color w:val="000000" w:themeColor="text1"/>
        </w:rPr>
        <w:t xml:space="preserve">Some survey content stays the same across multiple cycles of NHANES. </w:t>
      </w:r>
      <w:r w:rsidRPr="5249834F" w:rsidR="1937ABC0">
        <w:rPr>
          <w:rFonts w:ascii="Times New Roman" w:hAnsi="Times New Roman" w:cs="Times New Roman"/>
          <w:color w:val="000000" w:themeColor="text1"/>
        </w:rPr>
        <w:t>However,</w:t>
      </w:r>
      <w:r w:rsidRPr="5249834F" w:rsidR="215C2D3C">
        <w:rPr>
          <w:rFonts w:ascii="Times New Roman" w:hAnsi="Times New Roman" w:cs="Times New Roman"/>
          <w:color w:val="000000" w:themeColor="text1"/>
        </w:rPr>
        <w:t xml:space="preserve"> </w:t>
      </w:r>
      <w:r w:rsidRPr="5249834F" w:rsidR="78706B5D">
        <w:rPr>
          <w:rFonts w:ascii="Times New Roman" w:hAnsi="Times New Roman" w:cs="Times New Roman"/>
          <w:color w:val="000000" w:themeColor="text1"/>
        </w:rPr>
        <w:t>new survey content</w:t>
      </w:r>
      <w:r w:rsidR="007528B4">
        <w:rPr>
          <w:rFonts w:ascii="Times New Roman" w:hAnsi="Times New Roman" w:cs="Times New Roman"/>
          <w:color w:val="000000" w:themeColor="text1"/>
        </w:rPr>
        <w:t xml:space="preserve"> and health </w:t>
      </w:r>
      <w:r w:rsidR="00CE3BB5">
        <w:rPr>
          <w:rFonts w:ascii="Times New Roman" w:hAnsi="Times New Roman" w:cs="Times New Roman"/>
          <w:color w:val="000000" w:themeColor="text1"/>
        </w:rPr>
        <w:t>assessments/</w:t>
      </w:r>
      <w:r w:rsidR="007528B4">
        <w:rPr>
          <w:rFonts w:ascii="Times New Roman" w:hAnsi="Times New Roman" w:cs="Times New Roman"/>
          <w:color w:val="000000" w:themeColor="text1"/>
        </w:rPr>
        <w:t>exams</w:t>
      </w:r>
      <w:r w:rsidRPr="5249834F" w:rsidR="78706B5D">
        <w:rPr>
          <w:rFonts w:ascii="Times New Roman" w:hAnsi="Times New Roman" w:cs="Times New Roman"/>
          <w:color w:val="000000" w:themeColor="text1"/>
        </w:rPr>
        <w:t xml:space="preserve"> may be added</w:t>
      </w:r>
      <w:r w:rsidR="007528B4">
        <w:rPr>
          <w:rFonts w:ascii="Times New Roman" w:hAnsi="Times New Roman" w:cs="Times New Roman"/>
          <w:color w:val="000000" w:themeColor="text1"/>
        </w:rPr>
        <w:t>,</w:t>
      </w:r>
      <w:r w:rsidRPr="5249834F" w:rsidR="597073AF">
        <w:rPr>
          <w:rFonts w:ascii="Times New Roman" w:hAnsi="Times New Roman" w:cs="Times New Roman"/>
          <w:color w:val="000000" w:themeColor="text1"/>
        </w:rPr>
        <w:t xml:space="preserve"> and</w:t>
      </w:r>
      <w:r w:rsidRPr="5249834F" w:rsidR="78706B5D">
        <w:rPr>
          <w:rFonts w:ascii="Times New Roman" w:hAnsi="Times New Roman" w:cs="Times New Roman"/>
          <w:color w:val="000000" w:themeColor="text1"/>
        </w:rPr>
        <w:t xml:space="preserve"> existing </w:t>
      </w:r>
      <w:r w:rsidR="007528B4">
        <w:rPr>
          <w:rFonts w:ascii="Times New Roman" w:hAnsi="Times New Roman" w:cs="Times New Roman"/>
          <w:color w:val="000000" w:themeColor="text1"/>
        </w:rPr>
        <w:t xml:space="preserve">content and </w:t>
      </w:r>
      <w:r w:rsidR="00CE3BB5">
        <w:rPr>
          <w:rFonts w:ascii="Times New Roman" w:hAnsi="Times New Roman" w:cs="Times New Roman"/>
          <w:color w:val="000000" w:themeColor="text1"/>
        </w:rPr>
        <w:t>assessments/</w:t>
      </w:r>
      <w:r w:rsidR="007528B4">
        <w:rPr>
          <w:rFonts w:ascii="Times New Roman" w:hAnsi="Times New Roman" w:cs="Times New Roman"/>
          <w:color w:val="000000" w:themeColor="text1"/>
        </w:rPr>
        <w:t xml:space="preserve">exams </w:t>
      </w:r>
      <w:r w:rsidRPr="5249834F" w:rsidR="78706B5D">
        <w:rPr>
          <w:rFonts w:ascii="Times New Roman" w:hAnsi="Times New Roman" w:cs="Times New Roman"/>
          <w:color w:val="000000" w:themeColor="text1"/>
        </w:rPr>
        <w:t xml:space="preserve">may be modified or dropped </w:t>
      </w:r>
      <w:r w:rsidRPr="5249834F" w:rsidR="71A01252">
        <w:rPr>
          <w:rFonts w:ascii="Times New Roman" w:hAnsi="Times New Roman" w:cs="Times New Roman"/>
          <w:color w:val="000000" w:themeColor="text1"/>
        </w:rPr>
        <w:t xml:space="preserve">at the beginning of </w:t>
      </w:r>
      <w:r w:rsidRPr="5249834F" w:rsidR="215C2D3C">
        <w:rPr>
          <w:rFonts w:ascii="Times New Roman" w:hAnsi="Times New Roman" w:cs="Times New Roman"/>
          <w:color w:val="000000" w:themeColor="text1"/>
        </w:rPr>
        <w:t>each</w:t>
      </w:r>
      <w:r w:rsidRPr="5249834F" w:rsidR="71A01252">
        <w:rPr>
          <w:rFonts w:ascii="Times New Roman" w:hAnsi="Times New Roman" w:cs="Times New Roman"/>
          <w:color w:val="000000" w:themeColor="text1"/>
        </w:rPr>
        <w:t xml:space="preserve"> </w:t>
      </w:r>
      <w:r w:rsidRPr="5249834F" w:rsidR="1ED93B00">
        <w:rPr>
          <w:rFonts w:ascii="Times New Roman" w:hAnsi="Times New Roman" w:cs="Times New Roman"/>
          <w:color w:val="000000" w:themeColor="text1"/>
        </w:rPr>
        <w:t>two-year</w:t>
      </w:r>
      <w:r w:rsidRPr="5249834F" w:rsidR="71A01252">
        <w:rPr>
          <w:rFonts w:ascii="Times New Roman" w:hAnsi="Times New Roman" w:cs="Times New Roman"/>
          <w:color w:val="000000" w:themeColor="text1"/>
        </w:rPr>
        <w:t xml:space="preserve"> </w:t>
      </w:r>
      <w:r w:rsidRPr="5249834F" w:rsidR="78706B5D">
        <w:rPr>
          <w:rFonts w:ascii="Times New Roman" w:hAnsi="Times New Roman" w:cs="Times New Roman"/>
          <w:color w:val="000000" w:themeColor="text1"/>
        </w:rPr>
        <w:t xml:space="preserve">survey </w:t>
      </w:r>
      <w:r w:rsidRPr="5249834F" w:rsidR="71A01252">
        <w:rPr>
          <w:rFonts w:ascii="Times New Roman" w:hAnsi="Times New Roman" w:cs="Times New Roman"/>
          <w:color w:val="000000" w:themeColor="text1"/>
        </w:rPr>
        <w:t xml:space="preserve">cycle. </w:t>
      </w:r>
    </w:p>
    <w:p w:rsidR="00C87EEF" w:rsidRPr="00014454" w:rsidP="007339CC" w14:paraId="3C22902D" w14:textId="77777777">
      <w:pPr>
        <w:tabs>
          <w:tab w:val="left" w:pos="0"/>
          <w:tab w:val="left" w:pos="450"/>
        </w:tabs>
        <w:rPr>
          <w:rFonts w:ascii="Times New Roman" w:hAnsi="Times New Roman" w:cs="Times New Roman"/>
          <w:color w:val="000000" w:themeColor="text1"/>
        </w:rPr>
      </w:pPr>
    </w:p>
    <w:p w:rsidR="00BF49AE" w:rsidP="008000CD" w14:paraId="7FA6EBF6" w14:textId="1802DA0C">
      <w:pPr>
        <w:rPr>
          <w:rFonts w:ascii="Times New Roman" w:hAnsi="Times New Roman" w:cs="Times New Roman"/>
          <w:color w:val="000000" w:themeColor="text1"/>
        </w:rPr>
      </w:pPr>
      <w:r w:rsidRPr="004F5ABA">
        <w:rPr>
          <w:rFonts w:ascii="Times New Roman" w:hAnsi="Times New Roman" w:cs="Times New Roman"/>
          <w:color w:val="000000" w:themeColor="text1"/>
        </w:rPr>
        <w:t xml:space="preserve">Testing </w:t>
      </w:r>
      <w:r w:rsidRPr="004F5ABA" w:rsidR="45C2CABD">
        <w:rPr>
          <w:rFonts w:ascii="Times New Roman" w:hAnsi="Times New Roman" w:cs="Times New Roman"/>
          <w:color w:val="000000" w:themeColor="text1"/>
        </w:rPr>
        <w:t xml:space="preserve">new methodologies/strategies/projects before they are implemented in the main survey </w:t>
      </w:r>
      <w:r w:rsidRPr="004F5ABA">
        <w:rPr>
          <w:rFonts w:ascii="Times New Roman" w:hAnsi="Times New Roman" w:cs="Times New Roman"/>
          <w:color w:val="000000" w:themeColor="text1"/>
        </w:rPr>
        <w:t xml:space="preserve">allows NHANES staff to determine how long the protocol will take and </w:t>
      </w:r>
      <w:r w:rsidRPr="004F5ABA" w:rsidR="75C2C4DC">
        <w:rPr>
          <w:rFonts w:ascii="Times New Roman" w:hAnsi="Times New Roman" w:cs="Times New Roman"/>
          <w:color w:val="000000" w:themeColor="text1"/>
        </w:rPr>
        <w:t xml:space="preserve">how well received the </w:t>
      </w:r>
      <w:r w:rsidRPr="004F5ABA" w:rsidR="5B4DED72">
        <w:rPr>
          <w:rFonts w:ascii="Times New Roman" w:hAnsi="Times New Roman" w:cs="Times New Roman"/>
          <w:color w:val="000000" w:themeColor="text1"/>
        </w:rPr>
        <w:t xml:space="preserve">procedure </w:t>
      </w:r>
      <w:r w:rsidRPr="004F5ABA" w:rsidR="75C2C4DC">
        <w:rPr>
          <w:rFonts w:ascii="Times New Roman" w:hAnsi="Times New Roman" w:cs="Times New Roman"/>
          <w:color w:val="000000" w:themeColor="text1"/>
        </w:rPr>
        <w:t xml:space="preserve">will be among our participants. The results of such testing allow the NHANES program to make changes or adjustments to improve the </w:t>
      </w:r>
      <w:r w:rsidRPr="004F5ABA" w:rsidR="53320AF2">
        <w:rPr>
          <w:rFonts w:ascii="Times New Roman" w:hAnsi="Times New Roman" w:cs="Times New Roman"/>
          <w:color w:val="000000" w:themeColor="text1"/>
        </w:rPr>
        <w:t>methodology</w:t>
      </w:r>
      <w:r w:rsidRPr="004F5ABA">
        <w:rPr>
          <w:rFonts w:ascii="Times New Roman" w:hAnsi="Times New Roman" w:cs="Times New Roman"/>
          <w:color w:val="000000" w:themeColor="text1"/>
        </w:rPr>
        <w:t xml:space="preserve"> without affecting the results from the main study</w:t>
      </w:r>
      <w:r w:rsidRPr="004F5ABA" w:rsidR="4A263741">
        <w:rPr>
          <w:rFonts w:ascii="Times New Roman" w:hAnsi="Times New Roman" w:cs="Times New Roman"/>
          <w:color w:val="000000" w:themeColor="text1"/>
        </w:rPr>
        <w:t xml:space="preserve">. </w:t>
      </w:r>
      <w:r w:rsidR="00355691">
        <w:rPr>
          <w:rFonts w:ascii="Times New Roman" w:hAnsi="Times New Roman" w:cs="Times New Roman"/>
          <w:color w:val="000000" w:themeColor="text1"/>
        </w:rPr>
        <w:t xml:space="preserve">Testing also allows </w:t>
      </w:r>
      <w:r w:rsidR="009A655B">
        <w:rPr>
          <w:rFonts w:ascii="Times New Roman" w:hAnsi="Times New Roman" w:cs="Times New Roman"/>
          <w:color w:val="000000" w:themeColor="text1"/>
        </w:rPr>
        <w:t>us</w:t>
      </w:r>
      <w:r w:rsidR="00355691">
        <w:rPr>
          <w:rFonts w:ascii="Times New Roman" w:hAnsi="Times New Roman" w:cs="Times New Roman"/>
          <w:color w:val="000000" w:themeColor="text1"/>
        </w:rPr>
        <w:t xml:space="preserve"> to compare newer data collection methodologies to previously used methodologies, such that the data can be trended across time. </w:t>
      </w:r>
      <w:r w:rsidRPr="004F5ABA" w:rsidR="11A3D333">
        <w:rPr>
          <w:rFonts w:ascii="Times New Roman" w:hAnsi="Times New Roman" w:cs="Times New Roman"/>
          <w:color w:val="000000" w:themeColor="text1"/>
        </w:rPr>
        <w:t xml:space="preserve">Finally, </w:t>
      </w:r>
      <w:r w:rsidRPr="004F5ABA" w:rsidR="00CE3BB5">
        <w:rPr>
          <w:rFonts w:ascii="Times New Roman" w:hAnsi="Times New Roman" w:cs="Times New Roman"/>
          <w:color w:val="000000" w:themeColor="text1"/>
        </w:rPr>
        <w:t>testing</w:t>
      </w:r>
      <w:r w:rsidRPr="004F5ABA" w:rsidR="75C2C4DC">
        <w:rPr>
          <w:rFonts w:ascii="Times New Roman" w:hAnsi="Times New Roman" w:cs="Times New Roman"/>
          <w:color w:val="000000" w:themeColor="text1"/>
        </w:rPr>
        <w:t xml:space="preserve"> provides hands</w:t>
      </w:r>
      <w:r w:rsidRPr="004F5ABA" w:rsidR="5B77CEAB">
        <w:rPr>
          <w:rFonts w:ascii="Times New Roman" w:hAnsi="Times New Roman" w:cs="Times New Roman"/>
          <w:color w:val="000000" w:themeColor="text1"/>
        </w:rPr>
        <w:t>-</w:t>
      </w:r>
      <w:r w:rsidRPr="004F5ABA" w:rsidR="17BA8993">
        <w:rPr>
          <w:rFonts w:ascii="Times New Roman" w:hAnsi="Times New Roman" w:cs="Times New Roman"/>
          <w:color w:val="000000" w:themeColor="text1"/>
        </w:rPr>
        <w:t>on training</w:t>
      </w:r>
      <w:r w:rsidRPr="004F5ABA" w:rsidR="75C2C4DC">
        <w:rPr>
          <w:rFonts w:ascii="Times New Roman" w:hAnsi="Times New Roman" w:cs="Times New Roman"/>
          <w:color w:val="000000" w:themeColor="text1"/>
        </w:rPr>
        <w:t xml:space="preserve"> opportunities for NHANES survey staff responsible for collecting the data</w:t>
      </w:r>
      <w:r w:rsidR="00EE171C">
        <w:rPr>
          <w:rFonts w:ascii="Times New Roman" w:hAnsi="Times New Roman" w:cs="Times New Roman"/>
          <w:color w:val="000000" w:themeColor="text1"/>
        </w:rPr>
        <w:t xml:space="preserve"> and serves as </w:t>
      </w:r>
      <w:r w:rsidRPr="004F5ABA" w:rsidR="75C2C4DC">
        <w:rPr>
          <w:rFonts w:ascii="Times New Roman" w:hAnsi="Times New Roman" w:cs="Times New Roman"/>
          <w:color w:val="000000" w:themeColor="text1"/>
        </w:rPr>
        <w:t>a vital step in making sure NHANES is effective and effi</w:t>
      </w:r>
      <w:r w:rsidRPr="004F5ABA" w:rsidR="4A263741">
        <w:rPr>
          <w:rFonts w:ascii="Times New Roman" w:hAnsi="Times New Roman" w:cs="Times New Roman"/>
          <w:color w:val="000000" w:themeColor="text1"/>
        </w:rPr>
        <w:t xml:space="preserve">cient in its use of resources. </w:t>
      </w:r>
      <w:r w:rsidRPr="004F5ABA" w:rsidR="75C2C4DC">
        <w:rPr>
          <w:rFonts w:ascii="Times New Roman" w:hAnsi="Times New Roman" w:cs="Times New Roman"/>
          <w:color w:val="000000" w:themeColor="text1"/>
        </w:rPr>
        <w:t xml:space="preserve">Such measures promote improved data quality once the data is collected in </w:t>
      </w:r>
      <w:r w:rsidRPr="004F5ABA" w:rsidR="11A3D333">
        <w:rPr>
          <w:rFonts w:ascii="Times New Roman" w:hAnsi="Times New Roman" w:cs="Times New Roman"/>
          <w:color w:val="000000" w:themeColor="text1"/>
        </w:rPr>
        <w:t xml:space="preserve">the </w:t>
      </w:r>
      <w:r w:rsidRPr="004F5ABA" w:rsidR="75C2C4DC">
        <w:rPr>
          <w:rFonts w:ascii="Times New Roman" w:hAnsi="Times New Roman" w:cs="Times New Roman"/>
          <w:color w:val="000000" w:themeColor="text1"/>
        </w:rPr>
        <w:t xml:space="preserve">actual survey. </w:t>
      </w:r>
      <w:r w:rsidRPr="004F5ABA" w:rsidR="00903F4E">
        <w:rPr>
          <w:rFonts w:ascii="Times New Roman" w:hAnsi="Times New Roman" w:cs="Times New Roman"/>
          <w:color w:val="000000" w:themeColor="text1"/>
        </w:rPr>
        <w:t>This GenIC</w:t>
      </w:r>
      <w:r w:rsidRPr="004F5ABA" w:rsidR="00BA310D">
        <w:rPr>
          <w:rFonts w:ascii="Times New Roman" w:hAnsi="Times New Roman" w:cs="Times New Roman"/>
          <w:color w:val="000000" w:themeColor="text1"/>
        </w:rPr>
        <w:t xml:space="preserve"> </w:t>
      </w:r>
      <w:r w:rsidRPr="004F5ABA" w:rsidR="19A992FB">
        <w:rPr>
          <w:rFonts w:ascii="Times New Roman" w:hAnsi="Times New Roman" w:cs="Times New Roman"/>
          <w:color w:val="000000" w:themeColor="text1"/>
        </w:rPr>
        <w:t>capture</w:t>
      </w:r>
      <w:r w:rsidRPr="004F5ABA" w:rsidR="00BA310D">
        <w:rPr>
          <w:rFonts w:ascii="Times New Roman" w:hAnsi="Times New Roman" w:cs="Times New Roman"/>
          <w:color w:val="000000" w:themeColor="text1"/>
        </w:rPr>
        <w:t>s</w:t>
      </w:r>
      <w:r w:rsidRPr="004F5ABA" w:rsidR="19A992FB">
        <w:rPr>
          <w:rFonts w:ascii="Times New Roman" w:hAnsi="Times New Roman" w:cs="Times New Roman"/>
          <w:color w:val="000000" w:themeColor="text1"/>
        </w:rPr>
        <w:t xml:space="preserve"> </w:t>
      </w:r>
      <w:r w:rsidRPr="004F5ABA" w:rsidR="00BA310D">
        <w:rPr>
          <w:rFonts w:ascii="Times New Roman" w:hAnsi="Times New Roman" w:cs="Times New Roman"/>
          <w:color w:val="000000" w:themeColor="text1"/>
        </w:rPr>
        <w:t>two</w:t>
      </w:r>
      <w:r w:rsidRPr="004F5ABA" w:rsidR="009D674F">
        <w:rPr>
          <w:rFonts w:ascii="Times New Roman" w:hAnsi="Times New Roman" w:cs="Times New Roman"/>
          <w:color w:val="000000" w:themeColor="text1"/>
        </w:rPr>
        <w:t xml:space="preserve"> developmental</w:t>
      </w:r>
      <w:r w:rsidRPr="004F5ABA" w:rsidR="39804643">
        <w:rPr>
          <w:rFonts w:ascii="Times New Roman" w:hAnsi="Times New Roman" w:cs="Times New Roman"/>
          <w:color w:val="000000" w:themeColor="text1"/>
        </w:rPr>
        <w:t xml:space="preserve"> stud</w:t>
      </w:r>
      <w:r w:rsidRPr="004F5ABA" w:rsidR="00BA310D">
        <w:rPr>
          <w:rFonts w:ascii="Times New Roman" w:hAnsi="Times New Roman" w:cs="Times New Roman"/>
          <w:color w:val="000000" w:themeColor="text1"/>
        </w:rPr>
        <w:t>ies</w:t>
      </w:r>
      <w:r w:rsidRPr="004F5ABA" w:rsidR="0032322D">
        <w:rPr>
          <w:rFonts w:ascii="Times New Roman" w:hAnsi="Times New Roman" w:cs="Times New Roman"/>
          <w:color w:val="000000" w:themeColor="text1"/>
        </w:rPr>
        <w:t xml:space="preserve"> involving volunteers</w:t>
      </w:r>
      <w:r w:rsidRPr="004F5ABA" w:rsidR="19A992FB">
        <w:rPr>
          <w:rFonts w:ascii="Times New Roman" w:hAnsi="Times New Roman" w:cs="Times New Roman"/>
          <w:color w:val="000000" w:themeColor="text1"/>
        </w:rPr>
        <w:t xml:space="preserve">, the burden hours for which have already been approved on line </w:t>
      </w:r>
      <w:r w:rsidRPr="004F5ABA" w:rsidR="009D674F">
        <w:rPr>
          <w:rFonts w:ascii="Times New Roman" w:hAnsi="Times New Roman" w:cs="Times New Roman"/>
          <w:color w:val="000000" w:themeColor="text1"/>
        </w:rPr>
        <w:t>2</w:t>
      </w:r>
      <w:r w:rsidRPr="004F5ABA" w:rsidR="19A992FB">
        <w:rPr>
          <w:rFonts w:ascii="Times New Roman" w:hAnsi="Times New Roman" w:cs="Times New Roman"/>
          <w:color w:val="000000" w:themeColor="text1"/>
        </w:rPr>
        <w:t xml:space="preserve"> (Developmental Projects</w:t>
      </w:r>
      <w:r w:rsidRPr="004F5ABA" w:rsidR="009D674F">
        <w:rPr>
          <w:rFonts w:ascii="Times New Roman" w:hAnsi="Times New Roman" w:cs="Times New Roman"/>
          <w:color w:val="000000" w:themeColor="text1"/>
        </w:rPr>
        <w:t xml:space="preserve"> &amp; Focus Group documents</w:t>
      </w:r>
      <w:r w:rsidRPr="004F5ABA" w:rsidR="19A992FB">
        <w:rPr>
          <w:rFonts w:ascii="Times New Roman" w:hAnsi="Times New Roman" w:cs="Times New Roman"/>
          <w:color w:val="000000" w:themeColor="text1"/>
        </w:rPr>
        <w:t xml:space="preserve">) of the burden table within the current </w:t>
      </w:r>
      <w:r w:rsidRPr="004F5ABA" w:rsidR="4A83F3BB">
        <w:rPr>
          <w:rFonts w:ascii="Times New Roman" w:hAnsi="Times New Roman" w:cs="Times New Roman"/>
          <w:color w:val="000000" w:themeColor="text1"/>
        </w:rPr>
        <w:t xml:space="preserve">generic </w:t>
      </w:r>
      <w:r w:rsidRPr="004F5ABA" w:rsidR="005E320E">
        <w:rPr>
          <w:rFonts w:ascii="Times New Roman" w:hAnsi="Times New Roman" w:cs="Times New Roman"/>
          <w:color w:val="000000" w:themeColor="text1"/>
        </w:rPr>
        <w:t>clearance</w:t>
      </w:r>
      <w:r w:rsidRPr="004F5ABA" w:rsidR="19A992FB">
        <w:rPr>
          <w:rFonts w:ascii="Times New Roman" w:hAnsi="Times New Roman" w:cs="Times New Roman"/>
          <w:color w:val="000000" w:themeColor="text1"/>
        </w:rPr>
        <w:t xml:space="preserve"> (OMB No. 0920-</w:t>
      </w:r>
      <w:r w:rsidRPr="004F5ABA" w:rsidR="4A83F3BB">
        <w:rPr>
          <w:rFonts w:ascii="Times New Roman" w:hAnsi="Times New Roman" w:cs="Times New Roman"/>
          <w:color w:val="000000" w:themeColor="text1"/>
        </w:rPr>
        <w:t>1208</w:t>
      </w:r>
      <w:r w:rsidRPr="004F5ABA" w:rsidR="19A992FB">
        <w:rPr>
          <w:rFonts w:ascii="Times New Roman" w:hAnsi="Times New Roman" w:cs="Times New Roman"/>
          <w:color w:val="000000" w:themeColor="text1"/>
        </w:rPr>
        <w:t xml:space="preserve">, Exp. Date </w:t>
      </w:r>
      <w:r w:rsidRPr="004F5ABA" w:rsidR="7EC50A4C">
        <w:rPr>
          <w:rFonts w:ascii="Times New Roman" w:hAnsi="Times New Roman" w:cs="Times New Roman"/>
          <w:color w:val="000000" w:themeColor="text1"/>
        </w:rPr>
        <w:t>0</w:t>
      </w:r>
      <w:r w:rsidRPr="004F5ABA" w:rsidR="009D674F">
        <w:rPr>
          <w:rFonts w:ascii="Times New Roman" w:hAnsi="Times New Roman" w:cs="Times New Roman"/>
          <w:color w:val="000000" w:themeColor="text1"/>
        </w:rPr>
        <w:t>5/31</w:t>
      </w:r>
      <w:r w:rsidRPr="004F5ABA" w:rsidR="19A992FB">
        <w:rPr>
          <w:rFonts w:ascii="Times New Roman" w:hAnsi="Times New Roman" w:cs="Times New Roman"/>
          <w:color w:val="000000" w:themeColor="text1"/>
        </w:rPr>
        <w:t>/</w:t>
      </w:r>
      <w:r w:rsidRPr="004F5ABA" w:rsidR="4A83F3BB">
        <w:rPr>
          <w:rFonts w:ascii="Times New Roman" w:hAnsi="Times New Roman" w:cs="Times New Roman"/>
          <w:color w:val="000000" w:themeColor="text1"/>
        </w:rPr>
        <w:t>202</w:t>
      </w:r>
      <w:r w:rsidRPr="004F5ABA" w:rsidR="009D674F">
        <w:rPr>
          <w:rFonts w:ascii="Times New Roman" w:hAnsi="Times New Roman" w:cs="Times New Roman"/>
          <w:color w:val="000000" w:themeColor="text1"/>
        </w:rPr>
        <w:t>6</w:t>
      </w:r>
      <w:r w:rsidRPr="004F5ABA" w:rsidR="19A992FB">
        <w:rPr>
          <w:rFonts w:ascii="Times New Roman" w:hAnsi="Times New Roman" w:cs="Times New Roman"/>
          <w:color w:val="000000" w:themeColor="text1"/>
        </w:rPr>
        <w:t>)</w:t>
      </w:r>
      <w:r w:rsidRPr="004F5ABA" w:rsidR="470B97B7">
        <w:rPr>
          <w:rFonts w:ascii="Times New Roman" w:hAnsi="Times New Roman" w:cs="Times New Roman"/>
          <w:color w:val="000000" w:themeColor="text1"/>
        </w:rPr>
        <w:t>.</w:t>
      </w:r>
    </w:p>
    <w:p w:rsidR="004E004D" w:rsidP="008000CD" w14:paraId="53817FB0" w14:textId="77777777">
      <w:pPr>
        <w:rPr>
          <w:rFonts w:ascii="Times New Roman" w:hAnsi="Times New Roman" w:cs="Times New Roman"/>
          <w:color w:val="000000" w:themeColor="text1"/>
        </w:rPr>
      </w:pPr>
    </w:p>
    <w:p w:rsidR="00BF49AE" w:rsidRPr="00014454" w:rsidP="008000CD" w14:paraId="62A1413B" w14:textId="77777777">
      <w:pPr>
        <w:rPr>
          <w:rFonts w:ascii="Times New Roman" w:hAnsi="Times New Roman" w:cs="Times New Roman"/>
          <w:color w:val="000000" w:themeColor="text1"/>
        </w:rPr>
      </w:pPr>
    </w:p>
    <w:p w:rsidR="00371C08" w:rsidRPr="00014454" w:rsidP="008000CD" w14:paraId="6E24D9A5" w14:textId="658B8281">
      <w:pPr>
        <w:pStyle w:val="Heading1"/>
      </w:pPr>
      <w:bookmarkStart w:id="1" w:name="_Toc177134725"/>
      <w:r>
        <w:t>Purpose and Use of the Information Collection</w:t>
      </w:r>
      <w:bookmarkEnd w:id="1"/>
      <w:r>
        <w:t xml:space="preserve"> </w:t>
      </w:r>
    </w:p>
    <w:p w:rsidR="007136CD" w:rsidRPr="00014454" w:rsidP="007339CC" w14:paraId="0D415164" w14:textId="77777777">
      <w:pPr>
        <w:rPr>
          <w:rFonts w:ascii="Times New Roman" w:hAnsi="Times New Roman" w:cs="Times New Roman"/>
          <w:color w:val="000000" w:themeColor="text1"/>
        </w:rPr>
      </w:pPr>
    </w:p>
    <w:p w:rsidR="00351612" w:rsidP="001020C9" w14:paraId="30A9E9B5" w14:textId="34F2511C">
      <w:pPr>
        <w:rPr>
          <w:rFonts w:ascii="Times New Roman" w:hAnsi="Times New Roman" w:cs="Times New Roman"/>
        </w:rPr>
      </w:pPr>
      <w:r w:rsidRPr="65CEC15E">
        <w:rPr>
          <w:rFonts w:ascii="Times New Roman" w:hAnsi="Times New Roman" w:cs="Times New Roman"/>
        </w:rPr>
        <w:t xml:space="preserve">The Division of Health and Nutrition Examination Surveys (DHNES) would like to </w:t>
      </w:r>
      <w:r w:rsidR="00604D74">
        <w:rPr>
          <w:rFonts w:ascii="Times New Roman" w:hAnsi="Times New Roman" w:cs="Times New Roman"/>
        </w:rPr>
        <w:t>conduct</w:t>
      </w:r>
      <w:r w:rsidR="004F7E72">
        <w:rPr>
          <w:rFonts w:ascii="Times New Roman" w:hAnsi="Times New Roman" w:cs="Times New Roman"/>
        </w:rPr>
        <w:t xml:space="preserve"> </w:t>
      </w:r>
      <w:r w:rsidR="00DB412E">
        <w:rPr>
          <w:rFonts w:ascii="Times New Roman" w:hAnsi="Times New Roman" w:cs="Times New Roman"/>
        </w:rPr>
        <w:t>crossover stud</w:t>
      </w:r>
      <w:r w:rsidR="00A01699">
        <w:rPr>
          <w:rFonts w:ascii="Times New Roman" w:hAnsi="Times New Roman" w:cs="Times New Roman"/>
        </w:rPr>
        <w:t>ies</w:t>
      </w:r>
      <w:r w:rsidR="005A065A">
        <w:rPr>
          <w:rFonts w:ascii="Times New Roman" w:hAnsi="Times New Roman" w:cs="Times New Roman"/>
        </w:rPr>
        <w:t xml:space="preserve"> with human subjects</w:t>
      </w:r>
      <w:r w:rsidR="00DB412E">
        <w:rPr>
          <w:rFonts w:ascii="Times New Roman" w:hAnsi="Times New Roman" w:cs="Times New Roman"/>
        </w:rPr>
        <w:t xml:space="preserve"> to assess the impact of using</w:t>
      </w:r>
      <w:r w:rsidR="005A065A">
        <w:rPr>
          <w:rFonts w:ascii="Times New Roman" w:hAnsi="Times New Roman" w:cs="Times New Roman"/>
        </w:rPr>
        <w:t xml:space="preserve"> two new machines within the 2025 NHANES </w:t>
      </w:r>
      <w:r>
        <w:rPr>
          <w:rFonts w:ascii="Times New Roman" w:hAnsi="Times New Roman" w:cs="Times New Roman"/>
        </w:rPr>
        <w:t>MECs.</w:t>
      </w:r>
      <w:r w:rsidR="005A43CE">
        <w:rPr>
          <w:rFonts w:ascii="Times New Roman" w:hAnsi="Times New Roman" w:cs="Times New Roman"/>
        </w:rPr>
        <w:t xml:space="preserve"> </w:t>
      </w:r>
      <w:r w:rsidRPr="00D37961">
        <w:rPr>
          <w:rFonts w:ascii="Times New Roman" w:hAnsi="Times New Roman" w:cs="Times New Roman"/>
        </w:rPr>
        <w:t xml:space="preserve">NHANES seeks to use a new Dual Energy X-ray Absorptiometry (DXA) densitometer system and a new Hematology Analyzer. This </w:t>
      </w:r>
      <w:r w:rsidR="007D6DAE">
        <w:rPr>
          <w:rFonts w:ascii="Times New Roman" w:hAnsi="Times New Roman" w:cs="Times New Roman"/>
        </w:rPr>
        <w:t xml:space="preserve">generic information collection request </w:t>
      </w:r>
      <w:r w:rsidR="0029263A">
        <w:rPr>
          <w:rFonts w:ascii="Times New Roman" w:hAnsi="Times New Roman" w:cs="Times New Roman"/>
        </w:rPr>
        <w:t xml:space="preserve">details </w:t>
      </w:r>
      <w:r w:rsidR="00BC097D">
        <w:rPr>
          <w:rFonts w:ascii="Times New Roman" w:hAnsi="Times New Roman" w:cs="Times New Roman"/>
        </w:rPr>
        <w:t>both crossovers individually; h</w:t>
      </w:r>
      <w:r w:rsidR="0029263A">
        <w:rPr>
          <w:rFonts w:ascii="Times New Roman" w:hAnsi="Times New Roman" w:cs="Times New Roman"/>
        </w:rPr>
        <w:t>owever</w:t>
      </w:r>
      <w:r w:rsidR="007D6DAE">
        <w:rPr>
          <w:rFonts w:ascii="Times New Roman" w:hAnsi="Times New Roman" w:cs="Times New Roman"/>
        </w:rPr>
        <w:t xml:space="preserve">, both </w:t>
      </w:r>
      <w:r w:rsidR="00BC097D">
        <w:rPr>
          <w:rFonts w:ascii="Times New Roman" w:hAnsi="Times New Roman" w:cs="Times New Roman"/>
        </w:rPr>
        <w:t xml:space="preserve">studies </w:t>
      </w:r>
      <w:r w:rsidR="00433DB8">
        <w:rPr>
          <w:rFonts w:ascii="Times New Roman" w:hAnsi="Times New Roman" w:cs="Times New Roman"/>
        </w:rPr>
        <w:t>will be conducted concurrently with the same volunteer</w:t>
      </w:r>
      <w:r w:rsidR="004F54A2">
        <w:rPr>
          <w:rFonts w:ascii="Times New Roman" w:hAnsi="Times New Roman" w:cs="Times New Roman"/>
        </w:rPr>
        <w:t>s</w:t>
      </w:r>
      <w:r w:rsidR="00433DB8">
        <w:rPr>
          <w:rFonts w:ascii="Times New Roman" w:hAnsi="Times New Roman" w:cs="Times New Roman"/>
        </w:rPr>
        <w:t>.</w:t>
      </w:r>
    </w:p>
    <w:p w:rsidR="004F54A2" w:rsidP="001020C9" w14:paraId="54C3894C" w14:textId="2F66198A">
      <w:pPr>
        <w:rPr>
          <w:rFonts w:ascii="Times New Roman" w:hAnsi="Times New Roman" w:cs="Times New Roman"/>
        </w:rPr>
      </w:pPr>
    </w:p>
    <w:p w:rsidR="004F54A2" w:rsidRPr="005730EC" w:rsidP="005730EC" w14:paraId="2D344336" w14:textId="225E79BC">
      <w:pPr>
        <w:pStyle w:val="ListParagraph"/>
        <w:numPr>
          <w:ilvl w:val="0"/>
          <w:numId w:val="30"/>
        </w:numPr>
        <w:rPr>
          <w:rFonts w:ascii="Times New Roman" w:hAnsi="Times New Roman" w:cs="Times New Roman"/>
          <w:b/>
          <w:bCs/>
        </w:rPr>
      </w:pPr>
      <w:r w:rsidRPr="005730EC">
        <w:rPr>
          <w:rFonts w:ascii="Times New Roman" w:hAnsi="Times New Roman" w:cs="Times New Roman"/>
          <w:b/>
          <w:bCs/>
        </w:rPr>
        <w:t>Dual Energy X-ray Absorptiometry</w:t>
      </w:r>
      <w:r w:rsidRPr="005730EC" w:rsidR="008F24E8">
        <w:rPr>
          <w:rFonts w:ascii="Times New Roman" w:hAnsi="Times New Roman" w:cs="Times New Roman"/>
          <w:b/>
          <w:bCs/>
        </w:rPr>
        <w:t xml:space="preserve"> (DXA) Crossover St</w:t>
      </w:r>
      <w:r w:rsidRPr="005730EC" w:rsidR="002D4E0D">
        <w:rPr>
          <w:rFonts w:ascii="Times New Roman" w:hAnsi="Times New Roman" w:cs="Times New Roman"/>
          <w:b/>
          <w:bCs/>
        </w:rPr>
        <w:t>udy</w:t>
      </w:r>
    </w:p>
    <w:p w:rsidR="002D4E0D" w:rsidRPr="004F54A2" w:rsidP="004F54A2" w14:paraId="192F5394" w14:textId="77777777">
      <w:pPr>
        <w:rPr>
          <w:rFonts w:ascii="Times New Roman" w:hAnsi="Times New Roman" w:cs="Times New Roman"/>
          <w:b/>
          <w:bCs/>
        </w:rPr>
      </w:pPr>
    </w:p>
    <w:p w:rsidR="00B12D3F" w:rsidP="00B12D3F" w14:paraId="7B9CC641" w14:textId="3F5D14B0">
      <w:pPr>
        <w:rPr>
          <w:rFonts w:ascii="Times New Roman" w:hAnsi="Times New Roman"/>
        </w:rPr>
      </w:pPr>
      <w:r w:rsidRPr="004F5ABA">
        <w:rPr>
          <w:rFonts w:ascii="Times New Roman" w:hAnsi="Times New Roman" w:cs="Times New Roman"/>
        </w:rPr>
        <w:t xml:space="preserve">DXA was included for the first time in NHANES during NHANES III, 1988-94. Femoral bone mineral density was assessed at that time using pencil-beam bone densitometers (Hologic QDR 1000) in the MECs. In 1999, the DXA component included whole body scans using Hologic QDR 4500A fan-beam bone densitometers; and, in 2005, proximal femur (hip) and anterior/posterior (AP) lumbar spine scans were added to the survey. </w:t>
      </w:r>
      <w:r w:rsidRPr="004F5ABA">
        <w:rPr>
          <w:rFonts w:ascii="Times New Roman" w:hAnsi="Times New Roman"/>
        </w:rPr>
        <w:t>The current bone densitometers, Hologic Horizon model A (Hologic, Inc.)</w:t>
      </w:r>
      <w:r w:rsidRPr="004F5ABA" w:rsidR="002C073E">
        <w:rPr>
          <w:rFonts w:ascii="Times New Roman" w:hAnsi="Times New Roman"/>
        </w:rPr>
        <w:t>,</w:t>
      </w:r>
      <w:r w:rsidRPr="004F5ABA">
        <w:rPr>
          <w:rFonts w:ascii="Times New Roman" w:hAnsi="Times New Roman"/>
        </w:rPr>
        <w:t xml:space="preserve"> were purchased in 2018. There are three Hologic Horizon model A systems </w:t>
      </w:r>
      <w:r w:rsidRPr="004F5ABA" w:rsidR="4DE74008">
        <w:rPr>
          <w:rFonts w:ascii="Times New Roman" w:hAnsi="Times New Roman"/>
        </w:rPr>
        <w:t xml:space="preserve">previously </w:t>
      </w:r>
      <w:r w:rsidRPr="004F5ABA">
        <w:rPr>
          <w:rFonts w:ascii="Times New Roman" w:hAnsi="Times New Roman"/>
        </w:rPr>
        <w:t>used for DXA examination,</w:t>
      </w:r>
      <w:r w:rsidRPr="004F5ABA" w:rsidR="00E34CF3">
        <w:rPr>
          <w:rFonts w:ascii="Times New Roman" w:hAnsi="Times New Roman"/>
        </w:rPr>
        <w:t xml:space="preserve"> with</w:t>
      </w:r>
      <w:r w:rsidRPr="004F5ABA">
        <w:rPr>
          <w:rFonts w:ascii="Times New Roman" w:hAnsi="Times New Roman"/>
        </w:rPr>
        <w:t xml:space="preserve"> one in each of the three NHANES MECs used </w:t>
      </w:r>
      <w:r w:rsidRPr="004F5ABA" w:rsidR="00E34CF3">
        <w:rPr>
          <w:rFonts w:ascii="Times New Roman" w:hAnsi="Times New Roman"/>
        </w:rPr>
        <w:t>during</w:t>
      </w:r>
      <w:r w:rsidRPr="004F5ABA">
        <w:rPr>
          <w:rFonts w:ascii="Times New Roman" w:hAnsi="Times New Roman"/>
        </w:rPr>
        <w:t xml:space="preserve"> the August 2021-August 2023 cycle.</w:t>
      </w:r>
      <w:r w:rsidR="005351D0">
        <w:rPr>
          <w:rFonts w:ascii="Times New Roman" w:hAnsi="Times New Roman"/>
        </w:rPr>
        <w:t xml:space="preserve"> For the 2025-2026</w:t>
      </w:r>
      <w:r w:rsidR="005A70D1">
        <w:rPr>
          <w:rFonts w:ascii="Times New Roman" w:hAnsi="Times New Roman"/>
        </w:rPr>
        <w:t xml:space="preserve"> cycle</w:t>
      </w:r>
      <w:r w:rsidR="004C0B1F">
        <w:rPr>
          <w:rFonts w:ascii="Times New Roman" w:hAnsi="Times New Roman"/>
        </w:rPr>
        <w:t>, we will use five new</w:t>
      </w:r>
      <w:r w:rsidR="0033030E">
        <w:rPr>
          <w:rFonts w:ascii="Times New Roman" w:hAnsi="Times New Roman"/>
        </w:rPr>
        <w:t xml:space="preserve"> Hologic Horizon</w:t>
      </w:r>
      <w:r w:rsidR="001E0D2B">
        <w:rPr>
          <w:rFonts w:ascii="Times New Roman" w:hAnsi="Times New Roman"/>
        </w:rPr>
        <w:t xml:space="preserve"> model A </w:t>
      </w:r>
      <w:r w:rsidR="005A70D1">
        <w:rPr>
          <w:rFonts w:ascii="Times New Roman" w:hAnsi="Times New Roman"/>
        </w:rPr>
        <w:t>densitometers</w:t>
      </w:r>
      <w:r w:rsidR="00BE400C">
        <w:rPr>
          <w:rFonts w:ascii="Times New Roman" w:hAnsi="Times New Roman"/>
        </w:rPr>
        <w:t>, with one in each of the five</w:t>
      </w:r>
      <w:r w:rsidR="001E0D2B">
        <w:rPr>
          <w:rFonts w:ascii="Times New Roman" w:hAnsi="Times New Roman"/>
        </w:rPr>
        <w:t xml:space="preserve"> new</w:t>
      </w:r>
      <w:r w:rsidR="005A70D1">
        <w:rPr>
          <w:rFonts w:ascii="Times New Roman" w:hAnsi="Times New Roman"/>
        </w:rPr>
        <w:t>ly designed</w:t>
      </w:r>
      <w:r w:rsidR="001E0D2B">
        <w:rPr>
          <w:rFonts w:ascii="Times New Roman" w:hAnsi="Times New Roman"/>
        </w:rPr>
        <w:t xml:space="preserve"> MECs.</w:t>
      </w:r>
      <w:r w:rsidRPr="004F5ABA">
        <w:rPr>
          <w:rFonts w:ascii="Times New Roman" w:hAnsi="Times New Roman"/>
        </w:rPr>
        <w:t xml:space="preserve"> </w:t>
      </w:r>
    </w:p>
    <w:p w:rsidR="00B12D3F" w:rsidRPr="00A03A2F" w:rsidP="00B12D3F" w14:paraId="62F7B3D8" w14:textId="77777777">
      <w:pPr>
        <w:rPr>
          <w:rFonts w:ascii="Times New Roman" w:hAnsi="Times New Roman" w:cs="Times New Roman"/>
        </w:rPr>
      </w:pPr>
    </w:p>
    <w:p w:rsidR="00DB5675" w:rsidRPr="00A03A2F" w:rsidP="00B12D3F" w14:paraId="573257ED" w14:textId="76784170">
      <w:pPr>
        <w:rPr>
          <w:rFonts w:ascii="Times New Roman" w:hAnsi="Times New Roman" w:cs="Times New Roman"/>
        </w:rPr>
      </w:pPr>
      <w:r w:rsidRPr="00A03A2F">
        <w:rPr>
          <w:rFonts w:ascii="Times New Roman" w:hAnsi="Times New Roman" w:cs="Times New Roman"/>
        </w:rPr>
        <w:t>The information obtained by the scans provide nationally representative data on the following:</w:t>
      </w:r>
    </w:p>
    <w:p w:rsidR="00B12D3F" w:rsidRPr="00DB5675" w:rsidP="00DB5675" w14:paraId="556C8928" w14:textId="5A9AAD3E">
      <w:pPr>
        <w:numPr>
          <w:ilvl w:val="0"/>
          <w:numId w:val="25"/>
        </w:numPr>
        <w:contextualSpacing/>
        <w:rPr>
          <w:rFonts w:ascii="Times New Roman" w:hAnsi="Times New Roman" w:cs="Times New Roman"/>
        </w:rPr>
      </w:pPr>
      <w:r w:rsidRPr="00DB5675">
        <w:rPr>
          <w:rFonts w:ascii="Times New Roman" w:hAnsi="Times New Roman" w:cs="Times New Roman"/>
        </w:rPr>
        <w:t xml:space="preserve">Total and regional bone mineral content, lean mass, fat mass, and percentage of fat overall and for age, gender, and race and ethnicity; </w:t>
      </w:r>
    </w:p>
    <w:p w:rsidR="00B12D3F" w:rsidRPr="00DB5675" w:rsidP="00DB5675" w14:paraId="3FD6A730" w14:textId="091A96ED">
      <w:pPr>
        <w:numPr>
          <w:ilvl w:val="0"/>
          <w:numId w:val="25"/>
        </w:numPr>
        <w:contextualSpacing/>
        <w:rPr>
          <w:rFonts w:ascii="Times New Roman" w:hAnsi="Times New Roman" w:cs="Times New Roman"/>
        </w:rPr>
      </w:pPr>
      <w:r w:rsidRPr="00DB5675">
        <w:rPr>
          <w:rFonts w:ascii="Times New Roman" w:hAnsi="Times New Roman" w:cs="Times New Roman"/>
        </w:rPr>
        <w:t>Obesity, defined as an excess of body fat; and</w:t>
      </w:r>
    </w:p>
    <w:p w:rsidR="00B12D3F" w:rsidRPr="00A03A2F" w:rsidP="00DB5675" w14:paraId="28D8A63E" w14:textId="77777777">
      <w:pPr>
        <w:numPr>
          <w:ilvl w:val="0"/>
          <w:numId w:val="25"/>
        </w:numPr>
        <w:contextualSpacing/>
        <w:rPr>
          <w:rFonts w:ascii="Times New Roman" w:hAnsi="Times New Roman" w:cs="Times New Roman"/>
        </w:rPr>
      </w:pPr>
      <w:r w:rsidRPr="00A03A2F">
        <w:rPr>
          <w:rFonts w:ascii="Times New Roman" w:hAnsi="Times New Roman" w:cs="Times New Roman"/>
        </w:rPr>
        <w:t xml:space="preserve">Prevalence of osteoporosis and low bone mass. </w:t>
      </w:r>
    </w:p>
    <w:p w:rsidR="00B12D3F" w:rsidRPr="00A03A2F" w:rsidP="00B12D3F" w14:paraId="1A6E6F25" w14:textId="77777777">
      <w:pPr>
        <w:rPr>
          <w:rFonts w:ascii="Times New Roman" w:hAnsi="Times New Roman" w:cs="Times New Roman"/>
        </w:rPr>
      </w:pPr>
    </w:p>
    <w:p w:rsidR="00B12D3F" w:rsidP="00B12D3F" w14:paraId="19AA9105" w14:textId="0FE5A958">
      <w:pPr>
        <w:rPr>
          <w:rFonts w:ascii="Times New Roman" w:hAnsi="Times New Roman" w:cs="Times New Roman"/>
        </w:rPr>
      </w:pPr>
      <w:r w:rsidRPr="00A03A2F">
        <w:rPr>
          <w:rFonts w:ascii="Times New Roman" w:hAnsi="Times New Roman" w:cs="Times New Roman"/>
        </w:rPr>
        <w:t>The information obtained also allow for the study of the association between body composition and other health conditions and risk factors, such as cardiovascular disease, diabetes, hypertension, physical activity, and dietary patterns.</w:t>
      </w:r>
    </w:p>
    <w:p w:rsidR="00814F52" w:rsidP="00B12D3F" w14:paraId="5C0FFB09" w14:textId="77777777">
      <w:pPr>
        <w:rPr>
          <w:rFonts w:ascii="Times New Roman" w:hAnsi="Times New Roman" w:cs="Times New Roman"/>
        </w:rPr>
      </w:pPr>
    </w:p>
    <w:p w:rsidR="00597FC8" w:rsidRPr="00597FC8" w:rsidP="00814F52" w14:paraId="404FE080" w14:textId="60407DD2">
      <w:pPr>
        <w:rPr>
          <w:rFonts w:ascii="Times New Roman" w:hAnsi="Times New Roman"/>
          <w:bCs/>
        </w:rPr>
      </w:pPr>
      <w:r w:rsidRPr="00A03A2F">
        <w:rPr>
          <w:rFonts w:ascii="Times New Roman" w:hAnsi="Times New Roman"/>
          <w:bCs/>
        </w:rPr>
        <w:t>The NHANES DXA data are used to examine age, sex, and racial differences in body composition (bone mineral, lean soft tissue, and fat mass) during the life cycle and to explore the relationship between body composition and behavioral factors, such as diet and physical activity, and physiologic factors, such as diabetes and cardiovascular disease. Bone measurements from DXA enhance the evaluation of skeletal health in the U.S. population by providing estimates of osteoporosis and nationally representative data on bone mineral density (BMD) for participants ages 45 years and older. Femur BMD and questionnaire information on fracture history are used in a risk assessment model to assess absolute fracture risk.</w:t>
      </w:r>
    </w:p>
    <w:p w:rsidR="00814F52" w:rsidP="00B12D3F" w14:paraId="677DDD1F" w14:textId="77777777">
      <w:pPr>
        <w:rPr>
          <w:rFonts w:ascii="Times New Roman" w:hAnsi="Times New Roman" w:cs="Times New Roman"/>
        </w:rPr>
      </w:pPr>
    </w:p>
    <w:p w:rsidR="00591C1D" w:rsidRPr="00A03A2F" w:rsidP="00591C1D" w14:paraId="3C3FBD8F" w14:textId="6D1EB01E">
      <w:pPr>
        <w:spacing w:line="276" w:lineRule="auto"/>
        <w:contextualSpacing/>
        <w:rPr>
          <w:rFonts w:ascii="Times New Roman" w:hAnsi="Times New Roman" w:cs="Times New Roman"/>
        </w:rPr>
      </w:pPr>
      <w:r w:rsidRPr="00A03A2F">
        <w:rPr>
          <w:rFonts w:ascii="Times New Roman" w:hAnsi="Times New Roman" w:cs="Times New Roman"/>
        </w:rPr>
        <w:t xml:space="preserve">The purpose of the </w:t>
      </w:r>
      <w:r w:rsidR="00F35939">
        <w:rPr>
          <w:rFonts w:ascii="Times New Roman" w:hAnsi="Times New Roman" w:cs="Times New Roman"/>
        </w:rPr>
        <w:t xml:space="preserve">proposed </w:t>
      </w:r>
      <w:r w:rsidRPr="00A03A2F">
        <w:rPr>
          <w:rFonts w:ascii="Times New Roman" w:hAnsi="Times New Roman" w:cs="Times New Roman"/>
        </w:rPr>
        <w:t>DXA crossover study with participants is:</w:t>
      </w:r>
    </w:p>
    <w:p w:rsidR="00591C1D" w:rsidRPr="00A03A2F" w:rsidP="00DB5675" w14:paraId="7457F20F" w14:textId="77777777">
      <w:pPr>
        <w:numPr>
          <w:ilvl w:val="0"/>
          <w:numId w:val="33"/>
        </w:numPr>
        <w:contextualSpacing/>
        <w:rPr>
          <w:rFonts w:ascii="Times New Roman" w:hAnsi="Times New Roman" w:cs="Times New Roman"/>
        </w:rPr>
      </w:pPr>
      <w:r w:rsidRPr="004F5ABA">
        <w:rPr>
          <w:rFonts w:ascii="Times New Roman" w:hAnsi="Times New Roman" w:cs="Times New Roman"/>
        </w:rPr>
        <w:t xml:space="preserve">To compare results of participants’ scans between the new and the previous systems to </w:t>
      </w:r>
      <w:r w:rsidRPr="004F5ABA">
        <w:rPr>
          <w:rFonts w:ascii="Times New Roman" w:hAnsi="Times New Roman" w:cs="Times New Roman"/>
          <w:lang w:eastAsia="zh-TW"/>
        </w:rPr>
        <w:t xml:space="preserve">calibrate the new DXA densitometer system; and </w:t>
      </w:r>
    </w:p>
    <w:p w:rsidR="00591C1D" w:rsidRPr="00A03A2F" w:rsidP="00DB5675" w14:paraId="6CEE24DB" w14:textId="77777777">
      <w:pPr>
        <w:pStyle w:val="ListParagraph"/>
        <w:numPr>
          <w:ilvl w:val="0"/>
          <w:numId w:val="33"/>
        </w:numPr>
        <w:rPr>
          <w:rFonts w:ascii="Times New Roman" w:hAnsi="Times New Roman"/>
        </w:rPr>
      </w:pPr>
      <w:r w:rsidRPr="00A03A2F">
        <w:rPr>
          <w:rFonts w:ascii="Times New Roman" w:hAnsi="Times New Roman"/>
        </w:rPr>
        <w:t>To develop a conversion equation for future scan analysis.</w:t>
      </w:r>
    </w:p>
    <w:p w:rsidR="00C803CF" w:rsidRPr="00597FC8" w:rsidP="00C803CF" w14:paraId="3EFFED17" w14:textId="112EF710">
      <w:pPr>
        <w:rPr>
          <w:rFonts w:ascii="Times New Roman" w:hAnsi="Times New Roman" w:cs="Times New Roman"/>
        </w:rPr>
      </w:pPr>
    </w:p>
    <w:p w:rsidR="00814F52" w:rsidP="00B12D3F" w14:paraId="68340F7A" w14:textId="50D45848">
      <w:pPr>
        <w:rPr>
          <w:rFonts w:ascii="Times New Roman" w:hAnsi="Times New Roman" w:cs="Times New Roman"/>
        </w:rPr>
      </w:pPr>
      <w:r w:rsidRPr="004F5ABA">
        <w:rPr>
          <w:rFonts w:ascii="Times New Roman" w:hAnsi="Times New Roman" w:cs="Times New Roman"/>
        </w:rPr>
        <w:t>In this</w:t>
      </w:r>
      <w:r w:rsidRPr="004F5ABA" w:rsidR="00304722">
        <w:rPr>
          <w:rFonts w:ascii="Times New Roman" w:hAnsi="Times New Roman" w:cs="Times New Roman"/>
        </w:rPr>
        <w:t xml:space="preserve"> proposed crossover study</w:t>
      </w:r>
      <w:r w:rsidRPr="004F5ABA">
        <w:rPr>
          <w:rFonts w:ascii="Times New Roman" w:hAnsi="Times New Roman" w:cs="Times New Roman"/>
        </w:rPr>
        <w:t>, RTI International (i.e., DHNES’ contractor)</w:t>
      </w:r>
      <w:r w:rsidRPr="004F5ABA" w:rsidR="00304722">
        <w:rPr>
          <w:rFonts w:ascii="Times New Roman" w:hAnsi="Times New Roman" w:cs="Times New Roman"/>
        </w:rPr>
        <w:t xml:space="preserve"> </w:t>
      </w:r>
      <w:r w:rsidRPr="004F5ABA" w:rsidR="007D3A82">
        <w:rPr>
          <w:rFonts w:ascii="Times New Roman" w:hAnsi="Times New Roman" w:cs="Times New Roman"/>
        </w:rPr>
        <w:t>will</w:t>
      </w:r>
      <w:r w:rsidRPr="004F5ABA" w:rsidR="00233876">
        <w:rPr>
          <w:rFonts w:ascii="Times New Roman" w:hAnsi="Times New Roman" w:cs="Times New Roman"/>
        </w:rPr>
        <w:t xml:space="preserve"> </w:t>
      </w:r>
      <w:r w:rsidRPr="004F5ABA" w:rsidR="005C6900">
        <w:rPr>
          <w:rFonts w:ascii="Times New Roman" w:hAnsi="Times New Roman" w:cs="Times New Roman"/>
        </w:rPr>
        <w:t>lead the</w:t>
      </w:r>
      <w:r w:rsidRPr="004F5ABA" w:rsidR="007D3A82">
        <w:rPr>
          <w:rFonts w:ascii="Times New Roman" w:hAnsi="Times New Roman" w:cs="Times New Roman"/>
        </w:rPr>
        <w:t xml:space="preserve"> recruit</w:t>
      </w:r>
      <w:r w:rsidRPr="004F5ABA" w:rsidR="005C6900">
        <w:rPr>
          <w:rFonts w:ascii="Times New Roman" w:hAnsi="Times New Roman" w:cs="Times New Roman"/>
        </w:rPr>
        <w:t xml:space="preserve">ment </w:t>
      </w:r>
      <w:r w:rsidRPr="004F5ABA" w:rsidR="00F35939">
        <w:rPr>
          <w:rFonts w:ascii="Times New Roman" w:hAnsi="Times New Roman" w:cs="Times New Roman"/>
        </w:rPr>
        <w:t xml:space="preserve">efforts </w:t>
      </w:r>
      <w:r w:rsidRPr="004F5ABA" w:rsidR="005C6900">
        <w:rPr>
          <w:rFonts w:ascii="Times New Roman" w:hAnsi="Times New Roman" w:cs="Times New Roman"/>
        </w:rPr>
        <w:t>of</w:t>
      </w:r>
      <w:r w:rsidRPr="004F5ABA" w:rsidR="007D3A82">
        <w:rPr>
          <w:rFonts w:ascii="Times New Roman" w:hAnsi="Times New Roman" w:cs="Times New Roman"/>
        </w:rPr>
        <w:t xml:space="preserve"> a convenience sample </w:t>
      </w:r>
      <w:r w:rsidRPr="004F5ABA" w:rsidR="00870E4C">
        <w:rPr>
          <w:rFonts w:ascii="Times New Roman" w:hAnsi="Times New Roman" w:cs="Times New Roman"/>
        </w:rPr>
        <w:t xml:space="preserve">of 30 volunteers. </w:t>
      </w:r>
      <w:r w:rsidRPr="004F5ABA" w:rsidR="002032D1">
        <w:rPr>
          <w:rFonts w:ascii="Times New Roman" w:hAnsi="Times New Roman" w:cs="Times New Roman"/>
        </w:rPr>
        <w:t xml:space="preserve">Three men and three women will be recruited from each of the following age groups: 20-29, 30-39, 40-49, 50-59, and 60-70 years. Ten of the volunteers (one man and one woman in each age category) recruited </w:t>
      </w:r>
      <w:r w:rsidRPr="004F5ABA" w:rsidR="0044747F">
        <w:rPr>
          <w:rFonts w:ascii="Times New Roman" w:hAnsi="Times New Roman" w:cs="Times New Roman"/>
        </w:rPr>
        <w:t xml:space="preserve">will have </w:t>
      </w:r>
      <w:r w:rsidRPr="004F5ABA" w:rsidR="002032D1">
        <w:rPr>
          <w:rFonts w:ascii="Times New Roman" w:hAnsi="Times New Roman" w:cs="Times New Roman"/>
        </w:rPr>
        <w:t>a body mass index greater than 32 kg/m2.</w:t>
      </w:r>
      <w:r w:rsidRPr="004F5ABA" w:rsidR="00546D13">
        <w:rPr>
          <w:rFonts w:ascii="Times New Roman" w:hAnsi="Times New Roman" w:cs="Times New Roman"/>
        </w:rPr>
        <w:t xml:space="preserve"> DHNES</w:t>
      </w:r>
      <w:r w:rsidRPr="004F5ABA" w:rsidR="002032D1">
        <w:rPr>
          <w:rFonts w:ascii="Times New Roman" w:hAnsi="Times New Roman" w:cs="Times New Roman"/>
        </w:rPr>
        <w:t xml:space="preserve"> will not be using NCHS or RTI</w:t>
      </w:r>
      <w:r w:rsidRPr="004F5ABA" w:rsidR="00546D13">
        <w:rPr>
          <w:rFonts w:ascii="Times New Roman" w:hAnsi="Times New Roman" w:cs="Times New Roman"/>
        </w:rPr>
        <w:t xml:space="preserve"> International</w:t>
      </w:r>
      <w:r w:rsidRPr="004F5ABA" w:rsidR="002032D1">
        <w:rPr>
          <w:rFonts w:ascii="Times New Roman" w:hAnsi="Times New Roman" w:cs="Times New Roman"/>
        </w:rPr>
        <w:t xml:space="preserve"> staff as participants for th</w:t>
      </w:r>
      <w:r w:rsidRPr="004F5ABA" w:rsidR="00546D13">
        <w:rPr>
          <w:rFonts w:ascii="Times New Roman" w:hAnsi="Times New Roman" w:cs="Times New Roman"/>
        </w:rPr>
        <w:t>e study</w:t>
      </w:r>
      <w:r w:rsidRPr="004F5ABA" w:rsidR="002032D1">
        <w:rPr>
          <w:rFonts w:ascii="Times New Roman" w:hAnsi="Times New Roman" w:cs="Times New Roman"/>
        </w:rPr>
        <w:t>.</w:t>
      </w:r>
      <w:r w:rsidRPr="004F5ABA" w:rsidR="00060C23">
        <w:rPr>
          <w:rFonts w:ascii="Times New Roman" w:hAnsi="Times New Roman" w:cs="Times New Roman"/>
        </w:rPr>
        <w:t xml:space="preserve"> The study is planned to be performed in </w:t>
      </w:r>
      <w:r w:rsidRPr="004F5ABA" w:rsidR="00BF573A">
        <w:rPr>
          <w:rFonts w:ascii="Times New Roman" w:hAnsi="Times New Roman" w:cs="Times New Roman"/>
        </w:rPr>
        <w:t xml:space="preserve">the </w:t>
      </w:r>
      <w:r w:rsidRPr="004F5ABA" w:rsidR="00060C23">
        <w:rPr>
          <w:rFonts w:ascii="Times New Roman" w:hAnsi="Times New Roman" w:cs="Times New Roman"/>
        </w:rPr>
        <w:t xml:space="preserve">Fall </w:t>
      </w:r>
      <w:r w:rsidRPr="004F5ABA" w:rsidR="00BF573A">
        <w:rPr>
          <w:rFonts w:ascii="Times New Roman" w:hAnsi="Times New Roman" w:cs="Times New Roman"/>
        </w:rPr>
        <w:t xml:space="preserve">of </w:t>
      </w:r>
      <w:r w:rsidRPr="004F5ABA" w:rsidR="00060C23">
        <w:rPr>
          <w:rFonts w:ascii="Times New Roman" w:hAnsi="Times New Roman" w:cs="Times New Roman"/>
        </w:rPr>
        <w:t xml:space="preserve">2024 </w:t>
      </w:r>
      <w:r w:rsidRPr="004F5ABA" w:rsidR="004248BA">
        <w:rPr>
          <w:rFonts w:ascii="Times New Roman" w:hAnsi="Times New Roman" w:cs="Times New Roman"/>
        </w:rPr>
        <w:t xml:space="preserve">over the course of one week </w:t>
      </w:r>
      <w:r w:rsidRPr="004F5ABA" w:rsidR="00060C23">
        <w:rPr>
          <w:rFonts w:ascii="Times New Roman" w:hAnsi="Times New Roman" w:cs="Times New Roman"/>
        </w:rPr>
        <w:t xml:space="preserve">at the U.S. Department </w:t>
      </w:r>
      <w:r w:rsidRPr="004F5ABA" w:rsidR="00876F08">
        <w:rPr>
          <w:rFonts w:ascii="Times New Roman" w:hAnsi="Times New Roman" w:cs="Times New Roman"/>
        </w:rPr>
        <w:t>of Agriculture (USDA) campus in Maryland. During this time, the MEC will not be actively collecti</w:t>
      </w:r>
      <w:r w:rsidRPr="004F5ABA" w:rsidR="00BF573A">
        <w:rPr>
          <w:rFonts w:ascii="Times New Roman" w:hAnsi="Times New Roman" w:cs="Times New Roman"/>
        </w:rPr>
        <w:t>ng</w:t>
      </w:r>
      <w:r w:rsidRPr="004F5ABA" w:rsidR="00876F08">
        <w:rPr>
          <w:rFonts w:ascii="Times New Roman" w:hAnsi="Times New Roman" w:cs="Times New Roman"/>
        </w:rPr>
        <w:t xml:space="preserve"> data for NHANES as DHNES prepares for the start of the 2025-</w:t>
      </w:r>
      <w:r w:rsidRPr="004F5ABA" w:rsidR="008C3336">
        <w:rPr>
          <w:rFonts w:ascii="Times New Roman" w:hAnsi="Times New Roman" w:cs="Times New Roman"/>
        </w:rPr>
        <w:t xml:space="preserve">2026 NHANES in February </w:t>
      </w:r>
      <w:r w:rsidRPr="004F5ABA" w:rsidR="00BF573A">
        <w:rPr>
          <w:rFonts w:ascii="Times New Roman" w:hAnsi="Times New Roman" w:cs="Times New Roman"/>
        </w:rPr>
        <w:t xml:space="preserve">of </w:t>
      </w:r>
      <w:r w:rsidRPr="004F5ABA" w:rsidR="008C3336">
        <w:rPr>
          <w:rFonts w:ascii="Times New Roman" w:hAnsi="Times New Roman" w:cs="Times New Roman"/>
        </w:rPr>
        <w:t>2025.</w:t>
      </w:r>
    </w:p>
    <w:p w:rsidR="008C3336" w:rsidP="00B12D3F" w14:paraId="2A38F46E" w14:textId="77777777">
      <w:pPr>
        <w:rPr>
          <w:rFonts w:ascii="Times New Roman" w:hAnsi="Times New Roman" w:cs="Times New Roman"/>
        </w:rPr>
      </w:pPr>
    </w:p>
    <w:p w:rsidR="00993C92" w:rsidRPr="00A03A2F" w:rsidP="00993C92" w14:paraId="4811C868" w14:textId="5291D147">
      <w:pPr>
        <w:rPr>
          <w:rFonts w:ascii="Times New Roman" w:hAnsi="Times New Roman" w:cs="Times New Roman"/>
        </w:rPr>
      </w:pPr>
      <w:r w:rsidRPr="004F5ABA">
        <w:rPr>
          <w:rFonts w:ascii="Times New Roman" w:hAnsi="Times New Roman" w:cs="Times New Roman"/>
        </w:rPr>
        <w:t>Volunteers who meet any of the following criteria are not eligible for the DXA crossover</w:t>
      </w:r>
      <w:r w:rsidRPr="004F5ABA" w:rsidR="00B107FC">
        <w:rPr>
          <w:rFonts w:ascii="Times New Roman" w:hAnsi="Times New Roman" w:cs="Times New Roman"/>
        </w:rPr>
        <w:t xml:space="preserve"> </w:t>
      </w:r>
      <w:r w:rsidRPr="004F5ABA" w:rsidR="00BF573A">
        <w:rPr>
          <w:rFonts w:ascii="Times New Roman" w:hAnsi="Times New Roman" w:cs="Times New Roman"/>
        </w:rPr>
        <w:t>study</w:t>
      </w:r>
      <w:r w:rsidR="004E004D">
        <w:rPr>
          <w:rFonts w:ascii="Times New Roman" w:hAnsi="Times New Roman" w:cs="Times New Roman"/>
        </w:rPr>
        <w:t>:</w:t>
      </w:r>
      <w:r w:rsidRPr="004F5ABA" w:rsidR="00BF573A">
        <w:rPr>
          <w:rFonts w:ascii="Times New Roman" w:hAnsi="Times New Roman" w:cs="Times New Roman"/>
        </w:rPr>
        <w:t xml:space="preserve"> </w:t>
      </w:r>
    </w:p>
    <w:p w:rsidR="00993C92" w:rsidRPr="00993C92" w:rsidP="00993C92" w14:paraId="6D420868" w14:textId="5D604D6B">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Females who are pregnant (urine pregnancy testing will be conducted for volunteers</w:t>
      </w:r>
      <w:r w:rsidR="00611C91">
        <w:rPr>
          <w:rFonts w:ascii="Times New Roman" w:hAnsi="Times New Roman" w:cs="Times New Roman"/>
        </w:rPr>
        <w:t>,</w:t>
      </w:r>
      <w:r w:rsidRPr="00993C92">
        <w:rPr>
          <w:rFonts w:ascii="Times New Roman" w:hAnsi="Times New Roman" w:cs="Times New Roman"/>
        </w:rPr>
        <w:t xml:space="preserve"> ages 20-59 years);</w:t>
      </w:r>
    </w:p>
    <w:p w:rsidR="00993C92" w:rsidRPr="00993C92" w:rsidP="00993C92" w14:paraId="19497AB0" w14:textId="77777777">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A person who has had an X-ray or test with the use of contrast material, such as barium, in the past 7 days;</w:t>
      </w:r>
    </w:p>
    <w:p w:rsidR="00993C92" w:rsidRPr="00993C92" w:rsidP="00993C92" w14:paraId="32F483FC" w14:textId="77777777">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A person who weighs over 450 pounds (limitation for examination table);</w:t>
      </w:r>
    </w:p>
    <w:p w:rsidR="00993C92" w:rsidRPr="00993C92" w:rsidP="00993C92" w14:paraId="6978306A" w14:textId="77777777">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A person who is taller than 6’5”;</w:t>
      </w:r>
    </w:p>
    <w:p w:rsidR="00993C92" w:rsidRPr="00993C92" w:rsidP="00993C92" w14:paraId="42E6327E" w14:textId="77777777">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A person who has a Harrington Rod in the spine for scoliosis;  or</w:t>
      </w:r>
    </w:p>
    <w:p w:rsidR="00993C92" w:rsidRPr="00993C92" w:rsidP="00993C92" w14:paraId="142BD967" w14:textId="77777777">
      <w:pPr>
        <w:pStyle w:val="Footer"/>
        <w:numPr>
          <w:ilvl w:val="0"/>
          <w:numId w:val="26"/>
        </w:numPr>
        <w:tabs>
          <w:tab w:val="clear" w:pos="4320"/>
          <w:tab w:val="clear" w:pos="8640"/>
        </w:tabs>
        <w:rPr>
          <w:rFonts w:ascii="Times New Roman" w:hAnsi="Times New Roman" w:cs="Times New Roman"/>
        </w:rPr>
      </w:pPr>
      <w:r w:rsidRPr="004F5ABA">
        <w:rPr>
          <w:rFonts w:ascii="Times New Roman" w:hAnsi="Times New Roman" w:cs="Times New Roman"/>
        </w:rPr>
        <w:t>A person who has fractured the hip, had a hip replacement, or has a pin in both hips.</w:t>
      </w:r>
    </w:p>
    <w:p w:rsidR="00993C92" w:rsidRPr="00993C92" w:rsidP="00993C92" w14:paraId="713FFEC9" w14:textId="77777777">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Non-English speaking</w:t>
      </w:r>
    </w:p>
    <w:p w:rsidR="00993C92" w:rsidP="00B107FC" w14:paraId="093B4EC5" w14:textId="2982382B">
      <w:pPr>
        <w:pStyle w:val="Footer"/>
        <w:numPr>
          <w:ilvl w:val="0"/>
          <w:numId w:val="26"/>
        </w:numPr>
        <w:tabs>
          <w:tab w:val="clear" w:pos="4320"/>
          <w:tab w:val="clear" w:pos="8640"/>
        </w:tabs>
        <w:rPr>
          <w:rFonts w:ascii="Times New Roman" w:hAnsi="Times New Roman" w:cs="Times New Roman"/>
        </w:rPr>
      </w:pPr>
      <w:r w:rsidRPr="00993C92">
        <w:rPr>
          <w:rFonts w:ascii="Times New Roman" w:hAnsi="Times New Roman" w:cs="Times New Roman"/>
        </w:rPr>
        <w:t>Any condition for which the MEC physician deems to put the participant at significant risk</w:t>
      </w:r>
    </w:p>
    <w:p w:rsidR="00154E9D" w:rsidP="00622CCB" w14:paraId="48A8D71A" w14:textId="28273138">
      <w:pPr>
        <w:rPr>
          <w:rFonts w:ascii="Times New Roman" w:hAnsi="Times New Roman"/>
        </w:rPr>
      </w:pPr>
      <w:r>
        <w:rPr>
          <w:rFonts w:ascii="Times New Roman" w:hAnsi="Times New Roman"/>
        </w:rPr>
        <w:t>Note: Other metal devices, such as pacemakers or dental implants, do not exclude volunteers from the study.</w:t>
      </w:r>
    </w:p>
    <w:p w:rsidR="00CD5EE7" w:rsidP="00622CCB" w14:paraId="3CD5A5B0" w14:textId="77777777">
      <w:pPr>
        <w:rPr>
          <w:rFonts w:ascii="Times New Roman" w:hAnsi="Times New Roman"/>
        </w:rPr>
      </w:pPr>
    </w:p>
    <w:p w:rsidR="00BE2A1B" w:rsidRPr="00BE2A1B" w:rsidP="00BE2A1B" w14:paraId="3E135BF1" w14:textId="21CCE802">
      <w:pPr>
        <w:rPr>
          <w:rFonts w:ascii="Times New Roman" w:hAnsi="Times New Roman" w:cs="Times New Roman"/>
        </w:rPr>
      </w:pPr>
      <w:r w:rsidRPr="00A03A2F">
        <w:rPr>
          <w:rFonts w:ascii="Times New Roman" w:hAnsi="Times New Roman" w:cs="Times New Roman"/>
        </w:rPr>
        <w:t xml:space="preserve">Please see </w:t>
      </w:r>
      <w:r w:rsidRPr="00950038">
        <w:rPr>
          <w:rFonts w:ascii="Times New Roman" w:hAnsi="Times New Roman" w:cs="Times New Roman"/>
          <w:b/>
          <w:bCs/>
        </w:rPr>
        <w:t>Attachment 1</w:t>
      </w:r>
      <w:r w:rsidRPr="00A03A2F">
        <w:rPr>
          <w:rFonts w:ascii="Times New Roman" w:hAnsi="Times New Roman" w:cs="Times New Roman"/>
        </w:rPr>
        <w:t xml:space="preserve"> for a description of the study</w:t>
      </w:r>
      <w:r>
        <w:rPr>
          <w:rFonts w:ascii="Times New Roman" w:hAnsi="Times New Roman" w:cs="Times New Roman"/>
        </w:rPr>
        <w:t xml:space="preserve"> and eligibility </w:t>
      </w:r>
      <w:r w:rsidR="005B29FE">
        <w:rPr>
          <w:rFonts w:ascii="Times New Roman" w:hAnsi="Times New Roman" w:cs="Times New Roman"/>
        </w:rPr>
        <w:t xml:space="preserve">phone screening </w:t>
      </w:r>
      <w:r>
        <w:rPr>
          <w:rFonts w:ascii="Times New Roman" w:hAnsi="Times New Roman" w:cs="Times New Roman"/>
        </w:rPr>
        <w:t>questionnaire administered</w:t>
      </w:r>
      <w:r w:rsidRPr="00A03A2F">
        <w:rPr>
          <w:rFonts w:ascii="Times New Roman" w:hAnsi="Times New Roman" w:cs="Times New Roman"/>
        </w:rPr>
        <w:t xml:space="preserve"> to potential volunteers</w:t>
      </w:r>
      <w:r w:rsidR="005B29FE">
        <w:rPr>
          <w:rFonts w:ascii="Times New Roman" w:hAnsi="Times New Roman" w:cs="Times New Roman"/>
        </w:rPr>
        <w:t xml:space="preserve"> </w:t>
      </w:r>
      <w:r>
        <w:rPr>
          <w:rFonts w:ascii="Times New Roman" w:hAnsi="Times New Roman" w:cs="Times New Roman"/>
        </w:rPr>
        <w:t>(N</w:t>
      </w:r>
      <w:r w:rsidR="005B29FE">
        <w:rPr>
          <w:rFonts w:ascii="Times New Roman" w:hAnsi="Times New Roman" w:cs="Times New Roman"/>
        </w:rPr>
        <w:t>ote</w:t>
      </w:r>
      <w:r>
        <w:rPr>
          <w:rFonts w:ascii="Times New Roman" w:hAnsi="Times New Roman" w:cs="Times New Roman"/>
        </w:rPr>
        <w:t xml:space="preserve">: Description includes the DXA and </w:t>
      </w:r>
      <w:r w:rsidR="005B29FE">
        <w:rPr>
          <w:rFonts w:ascii="Times New Roman" w:hAnsi="Times New Roman" w:cs="Times New Roman"/>
        </w:rPr>
        <w:t>hematology</w:t>
      </w:r>
      <w:r>
        <w:rPr>
          <w:rFonts w:ascii="Times New Roman" w:hAnsi="Times New Roman" w:cs="Times New Roman"/>
        </w:rPr>
        <w:t xml:space="preserve"> crossovers as both studies will be offered to </w:t>
      </w:r>
      <w:r w:rsidR="00F84850">
        <w:rPr>
          <w:rFonts w:ascii="Times New Roman" w:hAnsi="Times New Roman" w:cs="Times New Roman"/>
        </w:rPr>
        <w:t xml:space="preserve">the </w:t>
      </w:r>
      <w:r>
        <w:rPr>
          <w:rFonts w:ascii="Times New Roman" w:hAnsi="Times New Roman" w:cs="Times New Roman"/>
        </w:rPr>
        <w:t>same volunteers</w:t>
      </w:r>
      <w:r w:rsidRPr="00A03A2F">
        <w:rPr>
          <w:rFonts w:ascii="Times New Roman" w:hAnsi="Times New Roman" w:cs="Times New Roman"/>
        </w:rPr>
        <w:t>.</w:t>
      </w:r>
      <w:r>
        <w:rPr>
          <w:rFonts w:ascii="Times New Roman" w:hAnsi="Times New Roman" w:cs="Times New Roman"/>
        </w:rPr>
        <w:t>)</w:t>
      </w:r>
      <w:r w:rsidR="005B29FE">
        <w:rPr>
          <w:rFonts w:ascii="Times New Roman" w:hAnsi="Times New Roman" w:cs="Times New Roman"/>
        </w:rPr>
        <w:t xml:space="preserve">. </w:t>
      </w:r>
      <w:r w:rsidRPr="00A03A2F" w:rsidR="008D23A3">
        <w:rPr>
          <w:rFonts w:ascii="Times New Roman" w:hAnsi="Times New Roman" w:cs="Times New Roman"/>
          <w:noProof/>
        </w:rPr>
        <w:t>Informed consent will be obtained using the attached form (</w:t>
      </w:r>
      <w:r w:rsidRPr="008D23A3" w:rsidR="008D23A3">
        <w:rPr>
          <w:rFonts w:ascii="Times New Roman" w:hAnsi="Times New Roman" w:cs="Times New Roman"/>
          <w:b/>
          <w:bCs/>
          <w:noProof/>
        </w:rPr>
        <w:t>Attachment 2a</w:t>
      </w:r>
      <w:r w:rsidRPr="00A03A2F" w:rsidR="008D23A3">
        <w:rPr>
          <w:rFonts w:ascii="Times New Roman" w:hAnsi="Times New Roman" w:cs="Times New Roman"/>
          <w:noProof/>
        </w:rPr>
        <w:t>).</w:t>
      </w:r>
      <w:r w:rsidR="008D23A3">
        <w:rPr>
          <w:rFonts w:ascii="Times New Roman" w:hAnsi="Times New Roman" w:cs="Times New Roman"/>
          <w:noProof/>
        </w:rPr>
        <w:t xml:space="preserve"> This form is administered to participants w</w:t>
      </w:r>
      <w:r w:rsidR="000B647C">
        <w:rPr>
          <w:rFonts w:ascii="Times New Roman" w:hAnsi="Times New Roman" w:cs="Times New Roman"/>
          <w:noProof/>
        </w:rPr>
        <w:t xml:space="preserve">ho </w:t>
      </w:r>
      <w:r w:rsidR="005B29FE">
        <w:rPr>
          <w:rFonts w:ascii="Times New Roman" w:hAnsi="Times New Roman" w:cs="Times New Roman"/>
          <w:noProof/>
        </w:rPr>
        <w:t>agree to only</w:t>
      </w:r>
      <w:r w:rsidR="000B647C">
        <w:rPr>
          <w:rFonts w:ascii="Times New Roman" w:hAnsi="Times New Roman" w:cs="Times New Roman"/>
          <w:noProof/>
        </w:rPr>
        <w:t xml:space="preserve"> </w:t>
      </w:r>
      <w:r w:rsidR="008D23A3">
        <w:rPr>
          <w:rFonts w:ascii="Times New Roman" w:hAnsi="Times New Roman" w:cs="Times New Roman"/>
          <w:noProof/>
        </w:rPr>
        <w:t xml:space="preserve">participate in the DXA crossover study. Participants </w:t>
      </w:r>
      <w:r w:rsidR="00B64E45">
        <w:rPr>
          <w:rFonts w:ascii="Times New Roman" w:hAnsi="Times New Roman" w:cs="Times New Roman"/>
          <w:noProof/>
        </w:rPr>
        <w:t>who participate</w:t>
      </w:r>
      <w:r w:rsidR="008D23A3">
        <w:rPr>
          <w:rFonts w:ascii="Times New Roman" w:hAnsi="Times New Roman" w:cs="Times New Roman"/>
          <w:noProof/>
        </w:rPr>
        <w:t xml:space="preserve"> i</w:t>
      </w:r>
      <w:r w:rsidR="00B64E45">
        <w:rPr>
          <w:rFonts w:ascii="Times New Roman" w:hAnsi="Times New Roman" w:cs="Times New Roman"/>
          <w:noProof/>
        </w:rPr>
        <w:t xml:space="preserve">n </w:t>
      </w:r>
      <w:r w:rsidR="008D23A3">
        <w:rPr>
          <w:rFonts w:ascii="Times New Roman" w:hAnsi="Times New Roman" w:cs="Times New Roman"/>
          <w:noProof/>
        </w:rPr>
        <w:t xml:space="preserve">both the DXA and </w:t>
      </w:r>
      <w:r w:rsidR="005B29FE">
        <w:rPr>
          <w:rFonts w:ascii="Times New Roman" w:hAnsi="Times New Roman" w:cs="Times New Roman"/>
          <w:noProof/>
        </w:rPr>
        <w:t>hematology</w:t>
      </w:r>
      <w:r w:rsidR="00E92C43">
        <w:rPr>
          <w:rFonts w:ascii="Times New Roman" w:hAnsi="Times New Roman" w:cs="Times New Roman"/>
          <w:noProof/>
        </w:rPr>
        <w:t xml:space="preserve"> crossovers will provide </w:t>
      </w:r>
      <w:r w:rsidR="00BE625C">
        <w:rPr>
          <w:rFonts w:ascii="Times New Roman" w:hAnsi="Times New Roman" w:cs="Times New Roman"/>
          <w:noProof/>
        </w:rPr>
        <w:t xml:space="preserve">consent using a separate </w:t>
      </w:r>
      <w:r w:rsidR="005B29FE">
        <w:rPr>
          <w:rFonts w:ascii="Times New Roman" w:hAnsi="Times New Roman" w:cs="Times New Roman"/>
          <w:noProof/>
        </w:rPr>
        <w:t xml:space="preserve">consent </w:t>
      </w:r>
      <w:r w:rsidR="00BE625C">
        <w:rPr>
          <w:rFonts w:ascii="Times New Roman" w:hAnsi="Times New Roman" w:cs="Times New Roman"/>
          <w:noProof/>
        </w:rPr>
        <w:t>form (</w:t>
      </w:r>
      <w:r w:rsidR="00BE625C">
        <w:rPr>
          <w:rFonts w:ascii="Times New Roman" w:hAnsi="Times New Roman" w:cs="Times New Roman"/>
          <w:b/>
          <w:bCs/>
          <w:noProof/>
        </w:rPr>
        <w:t>Attachment 2</w:t>
      </w:r>
      <w:r w:rsidR="003E1850">
        <w:rPr>
          <w:rFonts w:ascii="Times New Roman" w:hAnsi="Times New Roman" w:cs="Times New Roman"/>
          <w:b/>
          <w:bCs/>
          <w:noProof/>
        </w:rPr>
        <w:t>c</w:t>
      </w:r>
      <w:r w:rsidR="00BE625C">
        <w:rPr>
          <w:rFonts w:ascii="Times New Roman" w:hAnsi="Times New Roman" w:cs="Times New Roman"/>
          <w:noProof/>
        </w:rPr>
        <w:t>).</w:t>
      </w:r>
      <w:r w:rsidR="00690894">
        <w:rPr>
          <w:rFonts w:ascii="Times New Roman" w:hAnsi="Times New Roman" w:cs="Times New Roman"/>
          <w:noProof/>
        </w:rPr>
        <w:t xml:space="preserve"> </w:t>
      </w:r>
    </w:p>
    <w:p w:rsidR="009969FC" w:rsidP="008D23A3" w14:paraId="696DFD32" w14:textId="77777777">
      <w:pPr>
        <w:spacing w:line="276" w:lineRule="auto"/>
        <w:rPr>
          <w:rFonts w:ascii="Times New Roman" w:hAnsi="Times New Roman" w:cs="Times New Roman"/>
        </w:rPr>
      </w:pPr>
    </w:p>
    <w:p w:rsidR="00956F0B" w:rsidP="003B6DC0" w14:paraId="06BCF46A" w14:textId="3F8F32BD">
      <w:pPr>
        <w:pStyle w:val="BlockText"/>
        <w:spacing w:after="0"/>
        <w:ind w:left="0" w:right="0"/>
      </w:pPr>
      <w:r>
        <w:t xml:space="preserve">The DXA images will be transferred from the Hologic computer in the MEC to an RTI laptop via </w:t>
      </w:r>
      <w:r w:rsidR="007B6AF7">
        <w:t xml:space="preserve">an </w:t>
      </w:r>
      <w:r>
        <w:t>encrypted USB drive (note: The Hologic computer is standalone and not connected to the internet.). The images are saved on the RTI laptop in a secured environment for analysis by collaborators at the University of Hawaii (UH). The original images will be deleted from the Hologic computer in the MEC. UH collaborators will only access</w:t>
      </w:r>
      <w:r w:rsidR="00471DF1">
        <w:t xml:space="preserve"> and analyze</w:t>
      </w:r>
      <w:r>
        <w:t xml:space="preserve"> the images via RTI laptop and will no longer have access to the images once correction factors are calculated. </w:t>
      </w:r>
      <w:r w:rsidR="00471DF1">
        <w:t xml:space="preserve">Additionally, </w:t>
      </w:r>
      <w:r w:rsidR="00223869">
        <w:t>after</w:t>
      </w:r>
      <w:r w:rsidR="00471DF1">
        <w:t xml:space="preserve"> the correction factor calculations</w:t>
      </w:r>
      <w:r w:rsidR="00223869">
        <w:t xml:space="preserve"> are completed</w:t>
      </w:r>
      <w:r w:rsidR="00471DF1">
        <w:t>, t</w:t>
      </w:r>
      <w:r>
        <w:t xml:space="preserve">he original and analyzed scans will </w:t>
      </w:r>
      <w:r w:rsidR="00471DF1">
        <w:t xml:space="preserve">only </w:t>
      </w:r>
      <w:r>
        <w:t>be saved on the NCHS server</w:t>
      </w:r>
      <w:r w:rsidR="00C70850">
        <w:t>, indefinitely,</w:t>
      </w:r>
      <w:r>
        <w:t xml:space="preserve"> in case there is a need for future calculation</w:t>
      </w:r>
      <w:r w:rsidR="00471DF1">
        <w:t>s</w:t>
      </w:r>
      <w:r>
        <w:t xml:space="preserve">. </w:t>
      </w:r>
    </w:p>
    <w:p w:rsidR="00956F0B" w:rsidP="008D23A3" w14:paraId="723D98D2" w14:textId="77777777">
      <w:pPr>
        <w:spacing w:line="276" w:lineRule="auto"/>
        <w:rPr>
          <w:rFonts w:ascii="Times New Roman" w:hAnsi="Times New Roman" w:cs="Times New Roman"/>
        </w:rPr>
      </w:pPr>
    </w:p>
    <w:p w:rsidR="007C4E22" w:rsidP="004F5ABA" w14:paraId="309E49B2" w14:textId="57951CBF">
      <w:pPr>
        <w:pStyle w:val="BlockText"/>
        <w:spacing w:after="0"/>
        <w:ind w:left="0" w:right="0"/>
        <w:rPr>
          <w:rFonts w:cstheme="minorBidi"/>
        </w:rPr>
      </w:pPr>
      <w:r>
        <w:t>The</w:t>
      </w:r>
      <w:r w:rsidR="6F778204">
        <w:t xml:space="preserve"> total</w:t>
      </w:r>
      <w:r>
        <w:t xml:space="preserve"> radiation dose for </w:t>
      </w:r>
      <w:r w:rsidR="001C727B">
        <w:t xml:space="preserve">all the scans planned </w:t>
      </w:r>
      <w:r w:rsidR="00675B0D">
        <w:t xml:space="preserve">as part of </w:t>
      </w:r>
      <w:r>
        <w:t xml:space="preserve">this protocol is less than 60 </w:t>
      </w:r>
      <w:r w:rsidRPr="004F5ABA">
        <w:rPr>
          <w:rFonts w:cstheme="minorBidi"/>
        </w:rPr>
        <w:t>µ</w:t>
      </w:r>
      <w:r>
        <w:t xml:space="preserve">SV, which is considered low and within the range of background radiation. The average effective dose to an individual in the U.S. from background radiation is approximately 3600 μSv per year. </w:t>
      </w:r>
      <w:r w:rsidRPr="004F5ABA">
        <w:rPr>
          <w:rFonts w:cstheme="minorBidi"/>
        </w:rPr>
        <w:t xml:space="preserve">A standard diagnostic </w:t>
      </w:r>
      <w:r w:rsidRPr="004F5ABA" w:rsidR="004E004D">
        <w:rPr>
          <w:rFonts w:cstheme="minorBidi"/>
        </w:rPr>
        <w:t>x-ray</w:t>
      </w:r>
      <w:r w:rsidRPr="004F5ABA">
        <w:rPr>
          <w:rFonts w:cstheme="minorBidi"/>
        </w:rPr>
        <w:t xml:space="preserve"> of the spine, for example, delivers an effective radiation dose of 1100 µSv. </w:t>
      </w:r>
    </w:p>
    <w:p w:rsidR="00BE625C" w:rsidP="00993C92" w14:paraId="5E8B3142" w14:textId="77777777">
      <w:pPr>
        <w:rPr>
          <w:rFonts w:ascii="Times New Roman" w:hAnsi="Times New Roman" w:cs="Times New Roman"/>
        </w:rPr>
      </w:pPr>
    </w:p>
    <w:p w:rsidR="008C31A4" w:rsidP="00993C92" w14:paraId="12EBB823" w14:textId="42B9848B">
      <w:pPr>
        <w:rPr>
          <w:rFonts w:ascii="Times New Roman" w:hAnsi="Times New Roman" w:cs="Times New Roman"/>
        </w:rPr>
      </w:pPr>
      <w:r w:rsidRPr="00CB417B">
        <w:rPr>
          <w:rFonts w:ascii="Times New Roman" w:hAnsi="Times New Roman" w:cs="Times New Roman"/>
        </w:rPr>
        <w:t>A crossover study with participants’ data from the new and previous DXA systems will allow NHANES to develop a conversion equation to adjust future scan analysis to monitor trends in osteoporosis and body composition in the U.S. population. Additionally, comparing data from the new NHANES MEC densitometer system with data from the previous system will help assure that future measured changes in national osteoporosis prevalence and body composition will be due to population changes and not due to changes in scan acquisition hardware and software.</w:t>
      </w:r>
    </w:p>
    <w:p w:rsidR="00471DF1" w:rsidRPr="004E004D" w:rsidP="00993C92" w14:paraId="6D66C1B5" w14:textId="77777777">
      <w:pPr>
        <w:rPr>
          <w:rFonts w:ascii="Times New Roman" w:hAnsi="Times New Roman" w:cs="Times New Roman"/>
        </w:rPr>
      </w:pPr>
    </w:p>
    <w:p w:rsidR="005730EC" w:rsidP="005730EC" w14:paraId="2B72B0ED" w14:textId="66CA8B2D">
      <w:pPr>
        <w:pStyle w:val="ListParagraph"/>
        <w:numPr>
          <w:ilvl w:val="0"/>
          <w:numId w:val="30"/>
        </w:numPr>
        <w:rPr>
          <w:rFonts w:ascii="Times New Roman" w:hAnsi="Times New Roman"/>
          <w:b/>
        </w:rPr>
      </w:pPr>
      <w:r>
        <w:rPr>
          <w:rFonts w:ascii="Times New Roman" w:hAnsi="Times New Roman"/>
          <w:b/>
        </w:rPr>
        <w:t>Hematology Analyzer and Blood Collection Tube Comparison Study</w:t>
      </w:r>
      <w:r w:rsidR="00365968">
        <w:rPr>
          <w:rFonts w:ascii="Times New Roman" w:hAnsi="Times New Roman"/>
          <w:b/>
        </w:rPr>
        <w:t xml:space="preserve"> (</w:t>
      </w:r>
      <w:r w:rsidR="00955EA2">
        <w:rPr>
          <w:rFonts w:ascii="Times New Roman" w:hAnsi="Times New Roman"/>
          <w:b/>
        </w:rPr>
        <w:t>Part 1 &amp; Part 2</w:t>
      </w:r>
      <w:r w:rsidR="00365968">
        <w:rPr>
          <w:rFonts w:ascii="Times New Roman" w:hAnsi="Times New Roman"/>
          <w:b/>
        </w:rPr>
        <w:t>)</w:t>
      </w:r>
    </w:p>
    <w:p w:rsidR="002B27B6" w:rsidP="002B27B6" w14:paraId="64337E20" w14:textId="07D49D54">
      <w:pPr>
        <w:spacing w:before="200"/>
        <w:rPr>
          <w:rFonts w:ascii="Times New Roman" w:hAnsi="Times New Roman" w:cs="Times New Roman"/>
        </w:rPr>
      </w:pPr>
      <w:r w:rsidRPr="00D37961">
        <w:rPr>
          <w:rFonts w:ascii="Times New Roman" w:hAnsi="Times New Roman" w:cs="Times New Roman"/>
        </w:rPr>
        <w:t xml:space="preserve">The utilization of NHANES blood data remains a cornerstone of the program, facilitating pivotal contributions to public policy and health. Noteworthy achievements, such as the collection and analysis of blood lead data, have been </w:t>
      </w:r>
      <w:r w:rsidR="00213C63">
        <w:rPr>
          <w:rFonts w:ascii="Times New Roman" w:hAnsi="Times New Roman" w:cs="Times New Roman"/>
        </w:rPr>
        <w:t>important</w:t>
      </w:r>
      <w:r w:rsidRPr="00D37961">
        <w:rPr>
          <w:rFonts w:ascii="Times New Roman" w:hAnsi="Times New Roman" w:cs="Times New Roman"/>
        </w:rPr>
        <w:t xml:space="preserve"> in informing corrective adjustments to public health guidelines or recommendations.</w:t>
      </w:r>
      <w:r>
        <w:rPr>
          <w:rFonts w:ascii="Times New Roman" w:hAnsi="Times New Roman" w:cs="Times New Roman"/>
        </w:rPr>
        <w:t xml:space="preserve"> T</w:t>
      </w:r>
      <w:r w:rsidRPr="00D37961">
        <w:rPr>
          <w:rFonts w:ascii="Times New Roman" w:hAnsi="Times New Roman" w:cs="Times New Roman"/>
        </w:rPr>
        <w:t xml:space="preserve">he ongoing collection of blood from NHANES participants and the enhancement of NHANES laboratory practices are crucial for the continuous monitoring of national public health. </w:t>
      </w:r>
    </w:p>
    <w:p w:rsidR="002B27B6" w:rsidP="002B27B6" w14:paraId="7C9A793E" w14:textId="16C74A44">
      <w:pPr>
        <w:spacing w:before="200"/>
        <w:rPr>
          <w:rFonts w:ascii="Times New Roman" w:hAnsi="Times New Roman" w:cs="Times New Roman"/>
        </w:rPr>
      </w:pPr>
      <w:r>
        <w:rPr>
          <w:rFonts w:ascii="Times New Roman" w:hAnsi="Times New Roman" w:cs="Times New Roman"/>
        </w:rPr>
        <w:t>DH</w:t>
      </w:r>
      <w:r w:rsidRPr="00A03A2F" w:rsidR="00765630">
        <w:rPr>
          <w:rFonts w:ascii="Times New Roman" w:hAnsi="Times New Roman" w:cs="Times New Roman"/>
        </w:rPr>
        <w:t xml:space="preserve">NES </w:t>
      </w:r>
      <w:r>
        <w:rPr>
          <w:rFonts w:ascii="Times New Roman" w:hAnsi="Times New Roman" w:cs="Times New Roman"/>
        </w:rPr>
        <w:t>requests</w:t>
      </w:r>
      <w:r w:rsidRPr="00A03A2F" w:rsidR="00765630">
        <w:rPr>
          <w:rFonts w:ascii="Times New Roman" w:hAnsi="Times New Roman" w:cs="Times New Roman"/>
        </w:rPr>
        <w:t xml:space="preserve"> approval to </w:t>
      </w:r>
      <w:r>
        <w:rPr>
          <w:rFonts w:ascii="Times New Roman" w:hAnsi="Times New Roman" w:cs="Times New Roman"/>
        </w:rPr>
        <w:t xml:space="preserve">also </w:t>
      </w:r>
      <w:r w:rsidRPr="00A03A2F" w:rsidR="00765630">
        <w:rPr>
          <w:rFonts w:ascii="Times New Roman" w:hAnsi="Times New Roman" w:cs="Times New Roman"/>
        </w:rPr>
        <w:t xml:space="preserve">conduct a two-part </w:t>
      </w:r>
      <w:r w:rsidR="00365968">
        <w:rPr>
          <w:rFonts w:ascii="Times New Roman" w:hAnsi="Times New Roman" w:cs="Times New Roman"/>
        </w:rPr>
        <w:t xml:space="preserve">hematology </w:t>
      </w:r>
      <w:r>
        <w:rPr>
          <w:rFonts w:ascii="Times New Roman" w:hAnsi="Times New Roman" w:cs="Times New Roman"/>
        </w:rPr>
        <w:t xml:space="preserve">comparison </w:t>
      </w:r>
      <w:r w:rsidR="00365968">
        <w:rPr>
          <w:rFonts w:ascii="Times New Roman" w:hAnsi="Times New Roman" w:cs="Times New Roman"/>
        </w:rPr>
        <w:t>s</w:t>
      </w:r>
      <w:r w:rsidRPr="00A03A2F" w:rsidR="00765630">
        <w:rPr>
          <w:rFonts w:ascii="Times New Roman" w:hAnsi="Times New Roman" w:cs="Times New Roman"/>
        </w:rPr>
        <w:t xml:space="preserve">tudy with volunteer human subjects. The first part of the comparison study is </w:t>
      </w:r>
      <w:r w:rsidRPr="00D37961" w:rsidR="00765630">
        <w:rPr>
          <w:rFonts w:ascii="Times New Roman" w:hAnsi="Times New Roman" w:cs="Times New Roman"/>
        </w:rPr>
        <w:t>to assess the impact of using a new and smaller Beckman Coulter Hematology Analyzer (DxH560)</w:t>
      </w:r>
      <w:r w:rsidR="00744C41">
        <w:rPr>
          <w:rFonts w:ascii="Times New Roman" w:hAnsi="Times New Roman" w:cs="Times New Roman"/>
        </w:rPr>
        <w:t xml:space="preserve"> with an improved quality assurance application</w:t>
      </w:r>
      <w:r w:rsidRPr="00D37961" w:rsidR="00765630">
        <w:rPr>
          <w:rFonts w:ascii="Times New Roman" w:hAnsi="Times New Roman" w:cs="Times New Roman"/>
        </w:rPr>
        <w:t xml:space="preserve"> in lieu of the Beckman Coulter Hematology Analyzer (DxH800), which was used for NHANES data collection through 2023. Hematology analyzers are used to run complete blood counts (CBCs) in NHANES. The second part </w:t>
      </w:r>
      <w:r w:rsidR="00744C41">
        <w:rPr>
          <w:rFonts w:ascii="Times New Roman" w:hAnsi="Times New Roman" w:cs="Times New Roman"/>
        </w:rPr>
        <w:t xml:space="preserve">of the hematology study </w:t>
      </w:r>
      <w:r w:rsidRPr="00D37961" w:rsidR="00765630">
        <w:rPr>
          <w:rFonts w:ascii="Times New Roman" w:hAnsi="Times New Roman" w:cs="Times New Roman"/>
        </w:rPr>
        <w:t>is to assess the impact of using Serum Separator Tubes (SSTs) in lieu of Red Top Tubes for blood sample collection. The implementation of SSTs could help to speed up sample processing and improve both sample and data quality.</w:t>
      </w:r>
    </w:p>
    <w:p w:rsidR="00CB1A77" w:rsidRPr="00362F4F" w:rsidP="00765630" w14:paraId="004FFD41" w14:textId="1570A3B5">
      <w:pPr>
        <w:spacing w:before="200"/>
        <w:rPr>
          <w:rFonts w:ascii="Times New Roman" w:hAnsi="Times New Roman" w:cs="Times New Roman"/>
          <w:b/>
          <w:bCs/>
        </w:rPr>
      </w:pPr>
      <w:r w:rsidRPr="00362F4F">
        <w:rPr>
          <w:rFonts w:ascii="Times New Roman" w:hAnsi="Times New Roman" w:cs="Times New Roman"/>
          <w:b/>
          <w:bCs/>
        </w:rPr>
        <w:t>Part 1: Hematology Analyzer Comparison Study</w:t>
      </w:r>
    </w:p>
    <w:p w:rsidR="005730EC" w:rsidP="005730EC" w14:paraId="0E7F214A" w14:textId="77777777">
      <w:pPr>
        <w:rPr>
          <w:rFonts w:ascii="Times New Roman" w:hAnsi="Times New Roman"/>
          <w:bCs/>
        </w:rPr>
      </w:pPr>
    </w:p>
    <w:p w:rsidR="00811DD3" w:rsidRPr="00A03A2F" w:rsidP="00811DD3" w14:paraId="012B8C45" w14:textId="77777777">
      <w:pPr>
        <w:rPr>
          <w:rFonts w:ascii="Times New Roman" w:eastAsia="Calibri" w:hAnsi="Times New Roman" w:cs="Times New Roman"/>
        </w:rPr>
      </w:pPr>
      <w:r w:rsidRPr="00A03A2F">
        <w:rPr>
          <w:rFonts w:ascii="Times New Roman" w:hAnsi="Times New Roman" w:cs="Times New Roman"/>
        </w:rPr>
        <w:t>A CBC is a routine blood test used to evaluate overall health and detect a wide range of disorders, including anemia, infection, and leukemia. This comprehensive profile includes a measure of red blood cells (RBCs), including measure of hemoglobin and RBC volume, white blood cells (WBCs), and platelets.</w:t>
      </w:r>
      <w:r w:rsidR="00617C9A">
        <w:rPr>
          <w:rFonts w:ascii="Times New Roman" w:hAnsi="Times New Roman" w:cs="Times New Roman"/>
        </w:rPr>
        <w:t xml:space="preserve"> </w:t>
      </w:r>
      <w:r w:rsidRPr="00A03A2F" w:rsidR="00617C9A">
        <w:rPr>
          <w:rFonts w:ascii="Times New Roman" w:hAnsi="Times New Roman" w:cs="Times New Roman"/>
        </w:rPr>
        <w:t xml:space="preserve">A CBC was included for the first time in NHANES I, which was conducted from 1971-1974. In NHANES </w:t>
      </w:r>
      <w:r w:rsidRPr="00A03A2F" w:rsidR="00617C9A">
        <w:rPr>
          <w:rFonts w:ascii="Times New Roman" w:hAnsi="Times New Roman" w:cs="Times New Roman"/>
        </w:rPr>
        <w:t>I</w:t>
      </w:r>
      <w:r w:rsidRPr="00A03A2F" w:rsidR="00617C9A">
        <w:rPr>
          <w:rFonts w:ascii="Times New Roman" w:hAnsi="Times New Roman" w:cs="Times New Roman"/>
        </w:rPr>
        <w:t xml:space="preserve">, a basic blood draw and analysis in the form of a manual peripheral blood slide that included WBC differential and platelet estimate were included. </w:t>
      </w:r>
      <w:r w:rsidRPr="00A03A2F">
        <w:rPr>
          <w:rFonts w:ascii="Times New Roman" w:hAnsi="Times New Roman" w:cs="Times New Roman"/>
        </w:rPr>
        <w:t>In NHANES II, conducted from 1976-1980, the blood test included determinations of hemoglobin, hematocrit, red blood cell count, white blood cell count, and differential WBC analysis (to provide a percentage of each type of white blood cell in the blood), red blood cell morphology, and hemoglobin phenotyping performed on a Coulter Model FN. The RBC indices (MCV, MCH, MCHC) were calculated using manually spun microhematocrit value using formulas. RBC indices measure the size, shape, and quality of RBCs.</w:t>
      </w:r>
    </w:p>
    <w:p w:rsidR="00617C9A" w:rsidRPr="00A03A2F" w:rsidP="00617C9A" w14:paraId="14D8C97F" w14:textId="7EB0D215">
      <w:pPr>
        <w:rPr>
          <w:rFonts w:ascii="Times New Roman" w:hAnsi="Times New Roman" w:cs="Times New Roman"/>
        </w:rPr>
      </w:pPr>
    </w:p>
    <w:p w:rsidR="009E747A" w:rsidRPr="00A03A2F" w:rsidP="009E747A" w14:paraId="25F79362" w14:textId="77777777">
      <w:pPr>
        <w:rPr>
          <w:rFonts w:ascii="Times New Roman" w:hAnsi="Times New Roman" w:cs="Times New Roman"/>
        </w:rPr>
      </w:pPr>
      <w:r w:rsidRPr="00A03A2F">
        <w:rPr>
          <w:rFonts w:ascii="Times New Roman" w:hAnsi="Times New Roman" w:cs="Times New Roman"/>
        </w:rPr>
        <w:t>The information obtained by the CBC provides nationally representative data that will be able to:</w:t>
      </w:r>
    </w:p>
    <w:p w:rsidR="009E747A" w:rsidRPr="00A03A2F" w:rsidP="009E747A" w14:paraId="25DDD7DE" w14:textId="77777777">
      <w:pPr>
        <w:pStyle w:val="ListParagraph"/>
        <w:widowControl/>
        <w:numPr>
          <w:ilvl w:val="0"/>
          <w:numId w:val="31"/>
        </w:numPr>
        <w:autoSpaceDE/>
        <w:autoSpaceDN/>
        <w:adjustRightInd/>
        <w:spacing w:after="160" w:line="259" w:lineRule="auto"/>
        <w:rPr>
          <w:rFonts w:ascii="Times New Roman" w:hAnsi="Times New Roman"/>
        </w:rPr>
      </w:pPr>
      <w:r w:rsidRPr="00A03A2F">
        <w:rPr>
          <w:rFonts w:ascii="Times New Roman" w:hAnsi="Times New Roman"/>
        </w:rPr>
        <w:t>Estimate anemia from deficiencies and toxicities of specific nutrients in the population and subgroups;</w:t>
      </w:r>
    </w:p>
    <w:p w:rsidR="009E747A" w:rsidRPr="00A03A2F" w:rsidP="009E747A" w14:paraId="4AAF1B24" w14:textId="77777777">
      <w:pPr>
        <w:pStyle w:val="ListParagraph"/>
        <w:widowControl/>
        <w:numPr>
          <w:ilvl w:val="0"/>
          <w:numId w:val="31"/>
        </w:numPr>
        <w:autoSpaceDE/>
        <w:autoSpaceDN/>
        <w:adjustRightInd/>
        <w:spacing w:after="160" w:line="259" w:lineRule="auto"/>
        <w:rPr>
          <w:rFonts w:ascii="Times New Roman" w:hAnsi="Times New Roman"/>
        </w:rPr>
      </w:pPr>
      <w:r w:rsidRPr="00A03A2F">
        <w:rPr>
          <w:rFonts w:ascii="Times New Roman" w:hAnsi="Times New Roman"/>
        </w:rPr>
        <w:t>Provide population reference data on measures of RBCs, RBC indices, platelets, WBC, and five-part differential;</w:t>
      </w:r>
    </w:p>
    <w:p w:rsidR="009E747A" w:rsidRPr="00A03A2F" w:rsidP="009E747A" w14:paraId="3AB11676" w14:textId="77777777">
      <w:pPr>
        <w:pStyle w:val="ListParagraph"/>
        <w:widowControl/>
        <w:numPr>
          <w:ilvl w:val="0"/>
          <w:numId w:val="31"/>
        </w:numPr>
        <w:autoSpaceDE/>
        <w:autoSpaceDN/>
        <w:adjustRightInd/>
        <w:spacing w:after="160" w:line="259" w:lineRule="auto"/>
        <w:rPr>
          <w:rFonts w:ascii="Times New Roman" w:hAnsi="Times New Roman"/>
        </w:rPr>
      </w:pPr>
      <w:r w:rsidRPr="00A03A2F">
        <w:rPr>
          <w:rFonts w:ascii="Times New Roman" w:hAnsi="Times New Roman"/>
        </w:rPr>
        <w:t>Estimate the contribution of diet, supplements, and other factors to whole blood levels of nutrients; and</w:t>
      </w:r>
    </w:p>
    <w:p w:rsidR="009E747A" w:rsidRPr="00A03A2F" w:rsidP="009E747A" w14:paraId="36B7734D" w14:textId="77777777">
      <w:pPr>
        <w:pStyle w:val="ListParagraph"/>
        <w:widowControl/>
        <w:numPr>
          <w:ilvl w:val="0"/>
          <w:numId w:val="31"/>
        </w:numPr>
        <w:autoSpaceDE/>
        <w:autoSpaceDN/>
        <w:adjustRightInd/>
        <w:spacing w:after="160" w:line="259" w:lineRule="auto"/>
        <w:rPr>
          <w:rFonts w:ascii="Times New Roman" w:hAnsi="Times New Roman"/>
        </w:rPr>
      </w:pPr>
      <w:r w:rsidRPr="00A03A2F">
        <w:rPr>
          <w:rFonts w:ascii="Times New Roman" w:hAnsi="Times New Roman"/>
        </w:rPr>
        <w:t>Further define nutrient requirements as well as optimal levels for disease prevention and health promotion.</w:t>
      </w:r>
    </w:p>
    <w:p w:rsidR="001715DF" w:rsidRPr="00A03A2F" w:rsidP="001715DF" w14:paraId="3D021772" w14:textId="77777777">
      <w:pPr>
        <w:rPr>
          <w:rFonts w:ascii="Times New Roman" w:eastAsia="Calibri" w:hAnsi="Times New Roman" w:cs="Times New Roman"/>
        </w:rPr>
      </w:pPr>
      <w:r w:rsidRPr="00D37961">
        <w:rPr>
          <w:rFonts w:ascii="Times New Roman" w:hAnsi="Times New Roman" w:cs="Times New Roman"/>
        </w:rPr>
        <w:t>NHANES used the Beckman Coulter Hematology Analyzer (DxH800) to measure a participant’s CBC through the completion of data collection in 2023.</w:t>
      </w:r>
      <w:r w:rsidR="003C26A5">
        <w:rPr>
          <w:rFonts w:ascii="Times New Roman" w:hAnsi="Times New Roman" w:cs="Times New Roman"/>
        </w:rPr>
        <w:t xml:space="preserve"> </w:t>
      </w:r>
      <w:r w:rsidRPr="00A03A2F" w:rsidR="003C26A5">
        <w:rPr>
          <w:rFonts w:ascii="Times New Roman" w:hAnsi="Times New Roman" w:cs="Times New Roman"/>
        </w:rPr>
        <w:t>Three DxH800s (Beckman Coulter) were purchased in 2012</w:t>
      </w:r>
      <w:r w:rsidRPr="00A03A2F" w:rsidR="003C26A5">
        <w:rPr>
          <w:rFonts w:ascii="Times New Roman" w:eastAsia="Calibri" w:hAnsi="Times New Roman" w:cs="Times New Roman"/>
        </w:rPr>
        <w:t xml:space="preserve"> and have exceeded their expected lifespan</w:t>
      </w:r>
      <w:r w:rsidRPr="00A03A2F" w:rsidR="003C26A5">
        <w:rPr>
          <w:rFonts w:ascii="Times New Roman" w:hAnsi="Times New Roman" w:cs="Times New Roman"/>
        </w:rPr>
        <w:t>.</w:t>
      </w:r>
      <w:r w:rsidR="00447859">
        <w:rPr>
          <w:rFonts w:ascii="Times New Roman" w:hAnsi="Times New Roman" w:cs="Times New Roman"/>
        </w:rPr>
        <w:t xml:space="preserve"> </w:t>
      </w:r>
      <w:r w:rsidRPr="00D37961" w:rsidR="00447859">
        <w:rPr>
          <w:rFonts w:ascii="Times New Roman" w:hAnsi="Times New Roman" w:cs="Times New Roman"/>
        </w:rPr>
        <w:t>Beckman Coulter has since upgraded their technology to newer models with streamlined quality assurance application and smaller footprints.</w:t>
      </w:r>
      <w:r>
        <w:rPr>
          <w:rFonts w:ascii="Times New Roman" w:hAnsi="Times New Roman" w:cs="Times New Roman"/>
        </w:rPr>
        <w:t xml:space="preserve"> </w:t>
      </w:r>
      <w:r w:rsidRPr="00A03A2F">
        <w:rPr>
          <w:rFonts w:ascii="Times New Roman" w:hAnsi="Times New Roman" w:cs="Times New Roman"/>
        </w:rPr>
        <w:t xml:space="preserve">Six DxH560s will be purchased to continue reliable hematology testing in NHANES 2025 and beyond while still providing high-quality CBC results. The increase from three units to six units is because we have increased the number MECs in the field at any one time. The DxH560 specifically has enhanced capabilities to: </w:t>
      </w:r>
    </w:p>
    <w:p w:rsidR="001715DF" w:rsidRPr="00A03A2F" w:rsidP="001715DF" w14:paraId="144A4EFA" w14:textId="6124481B">
      <w:pPr>
        <w:pStyle w:val="ListParagraph"/>
        <w:widowControl/>
        <w:numPr>
          <w:ilvl w:val="0"/>
          <w:numId w:val="32"/>
        </w:numPr>
        <w:autoSpaceDE/>
        <w:autoSpaceDN/>
        <w:adjustRightInd/>
        <w:contextualSpacing w:val="0"/>
        <w:rPr>
          <w:rFonts w:ascii="Times New Roman" w:hAnsi="Times New Roman"/>
        </w:rPr>
      </w:pPr>
      <w:r w:rsidRPr="00A03A2F">
        <w:rPr>
          <w:rFonts w:ascii="Times New Roman" w:hAnsi="Times New Roman"/>
        </w:rPr>
        <w:t>Provide reliable, reportable WBC differential results on the first run through a combination of newer technology</w:t>
      </w:r>
      <w:r w:rsidR="00E20571">
        <w:rPr>
          <w:rFonts w:ascii="Times New Roman" w:hAnsi="Times New Roman"/>
        </w:rPr>
        <w:t>;</w:t>
      </w:r>
      <w:r w:rsidRPr="00A03A2F">
        <w:rPr>
          <w:rFonts w:ascii="Times New Roman" w:hAnsi="Times New Roman"/>
        </w:rPr>
        <w:t xml:space="preserve"> </w:t>
      </w:r>
    </w:p>
    <w:p w:rsidR="001715DF" w:rsidRPr="00A03A2F" w:rsidP="001715DF" w14:paraId="01C48924" w14:textId="3A0ADE0B">
      <w:pPr>
        <w:pStyle w:val="ListParagraph"/>
        <w:widowControl/>
        <w:numPr>
          <w:ilvl w:val="0"/>
          <w:numId w:val="32"/>
        </w:numPr>
        <w:autoSpaceDE/>
        <w:autoSpaceDN/>
        <w:adjustRightInd/>
        <w:contextualSpacing w:val="0"/>
        <w:rPr>
          <w:rFonts w:ascii="Times New Roman" w:hAnsi="Times New Roman"/>
        </w:rPr>
      </w:pPr>
      <w:r w:rsidRPr="00A03A2F">
        <w:rPr>
          <w:rFonts w:ascii="Times New Roman" w:hAnsi="Times New Roman"/>
        </w:rPr>
        <w:t>Assess anemia with improved accuracy through enhanced RBC characterization</w:t>
      </w:r>
      <w:r w:rsidR="00E20571">
        <w:rPr>
          <w:rFonts w:ascii="Times New Roman" w:hAnsi="Times New Roman"/>
        </w:rPr>
        <w:t>;</w:t>
      </w:r>
      <w:r w:rsidRPr="00A03A2F">
        <w:rPr>
          <w:rFonts w:ascii="Times New Roman" w:hAnsi="Times New Roman"/>
        </w:rPr>
        <w:t xml:space="preserve"> </w:t>
      </w:r>
    </w:p>
    <w:p w:rsidR="001715DF" w:rsidRPr="00A03A2F" w:rsidP="001715DF" w14:paraId="6BCDE605" w14:textId="40E21255">
      <w:pPr>
        <w:pStyle w:val="ListParagraph"/>
        <w:widowControl/>
        <w:numPr>
          <w:ilvl w:val="0"/>
          <w:numId w:val="32"/>
        </w:numPr>
        <w:autoSpaceDE/>
        <w:autoSpaceDN/>
        <w:adjustRightInd/>
        <w:contextualSpacing w:val="0"/>
        <w:rPr>
          <w:rFonts w:ascii="Times New Roman" w:hAnsi="Times New Roman"/>
        </w:rPr>
      </w:pPr>
      <w:r w:rsidRPr="00A03A2F">
        <w:rPr>
          <w:rFonts w:ascii="Times New Roman" w:hAnsi="Times New Roman"/>
        </w:rPr>
        <w:t>Improved abnormal results flagging and identification of interferences</w:t>
      </w:r>
      <w:r w:rsidR="00E20571">
        <w:rPr>
          <w:rFonts w:ascii="Times New Roman" w:hAnsi="Times New Roman"/>
        </w:rPr>
        <w:t>; and</w:t>
      </w:r>
      <w:r w:rsidRPr="00A03A2F">
        <w:rPr>
          <w:rFonts w:ascii="Times New Roman" w:hAnsi="Times New Roman"/>
        </w:rPr>
        <w:t xml:space="preserve"> </w:t>
      </w:r>
    </w:p>
    <w:p w:rsidR="001715DF" w:rsidP="001715DF" w14:paraId="54FE33A5" w14:textId="77777777">
      <w:pPr>
        <w:pStyle w:val="ListParagraph"/>
        <w:widowControl/>
        <w:numPr>
          <w:ilvl w:val="0"/>
          <w:numId w:val="32"/>
        </w:numPr>
        <w:autoSpaceDE/>
        <w:autoSpaceDN/>
        <w:adjustRightInd/>
        <w:contextualSpacing w:val="0"/>
        <w:rPr>
          <w:rFonts w:ascii="Times New Roman" w:hAnsi="Times New Roman"/>
        </w:rPr>
      </w:pPr>
      <w:r w:rsidRPr="00A03A2F">
        <w:rPr>
          <w:rFonts w:ascii="Times New Roman" w:hAnsi="Times New Roman"/>
        </w:rPr>
        <w:t xml:space="preserve">Improved concentrated reagents that can reduce laboratory waste. </w:t>
      </w:r>
    </w:p>
    <w:p w:rsidR="00D444FD" w:rsidP="00D444FD" w14:paraId="4E64ACEC" w14:textId="77777777">
      <w:pPr>
        <w:pStyle w:val="ListParagraph"/>
        <w:widowControl/>
        <w:autoSpaceDE/>
        <w:autoSpaceDN/>
        <w:adjustRightInd/>
        <w:contextualSpacing w:val="0"/>
        <w:rPr>
          <w:rFonts w:ascii="Times New Roman" w:hAnsi="Times New Roman"/>
        </w:rPr>
      </w:pPr>
    </w:p>
    <w:p w:rsidR="00DE24F0" w:rsidP="00DE24F0" w14:paraId="0161961A" w14:textId="47E5CEB7">
      <w:pPr>
        <w:rPr>
          <w:rFonts w:ascii="Times New Roman" w:eastAsia="Calibri" w:hAnsi="Times New Roman" w:cs="Times New Roman"/>
        </w:rPr>
      </w:pPr>
      <w:r>
        <w:rPr>
          <w:rFonts w:ascii="Times New Roman" w:hAnsi="Times New Roman" w:cs="Times New Roman"/>
        </w:rPr>
        <w:t>This comparison</w:t>
      </w:r>
      <w:r w:rsidRPr="00D37961">
        <w:rPr>
          <w:rFonts w:ascii="Times New Roman" w:hAnsi="Times New Roman" w:cs="Times New Roman"/>
        </w:rPr>
        <w:t xml:space="preserve"> study will be conducted by recruiting 40 volunteers age</w:t>
      </w:r>
      <w:r>
        <w:rPr>
          <w:rFonts w:ascii="Times New Roman" w:hAnsi="Times New Roman" w:cs="Times New Roman"/>
        </w:rPr>
        <w:t xml:space="preserve"> 20 </w:t>
      </w:r>
      <w:r w:rsidRPr="00D37961">
        <w:rPr>
          <w:rFonts w:ascii="Times New Roman" w:hAnsi="Times New Roman" w:cs="Times New Roman"/>
        </w:rPr>
        <w:t>and older</w:t>
      </w:r>
      <w:r w:rsidR="00125013">
        <w:rPr>
          <w:rFonts w:ascii="Times New Roman" w:hAnsi="Times New Roman" w:cs="Times New Roman"/>
        </w:rPr>
        <w:t xml:space="preserve"> </w:t>
      </w:r>
      <w:r w:rsidRPr="00D37961">
        <w:rPr>
          <w:rFonts w:ascii="Times New Roman" w:hAnsi="Times New Roman" w:cs="Times New Roman"/>
        </w:rPr>
        <w:t xml:space="preserve">and performing a venipuncture to obtain two Ethylenediaminetetraacetic acid (EDTA) lavender blood tubes of 4ml each. Volunteers’ blood will be analyzed on both the new (DxH560) and the current Coulter (DxH800) systems simultaneously. </w:t>
      </w:r>
      <w:r w:rsidR="004755DE">
        <w:rPr>
          <w:rFonts w:ascii="Times New Roman" w:hAnsi="Times New Roman" w:cs="Times New Roman"/>
        </w:rPr>
        <w:t xml:space="preserve">Once all the data </w:t>
      </w:r>
      <w:r w:rsidR="00072327">
        <w:rPr>
          <w:rFonts w:ascii="Times New Roman" w:hAnsi="Times New Roman" w:cs="Times New Roman"/>
        </w:rPr>
        <w:t>are</w:t>
      </w:r>
      <w:r w:rsidR="00081A79">
        <w:rPr>
          <w:rFonts w:ascii="Times New Roman" w:hAnsi="Times New Roman" w:cs="Times New Roman"/>
        </w:rPr>
        <w:t xml:space="preserve"> collected, t</w:t>
      </w:r>
      <w:r w:rsidRPr="00D37961">
        <w:rPr>
          <w:rFonts w:ascii="Times New Roman" w:hAnsi="Times New Roman" w:cs="Times New Roman"/>
        </w:rPr>
        <w:t xml:space="preserve">he results will be analyzed by the DHNES Method Validation Team to determine if the results are comparable or are statistically different. </w:t>
      </w:r>
      <w:r w:rsidR="006E360A">
        <w:rPr>
          <w:rFonts w:ascii="Times New Roman" w:hAnsi="Times New Roman" w:cs="Times New Roman"/>
        </w:rPr>
        <w:t>The</w:t>
      </w:r>
      <w:r w:rsidR="00223869">
        <w:rPr>
          <w:rFonts w:ascii="Times New Roman" w:hAnsi="Times New Roman" w:cs="Times New Roman"/>
        </w:rPr>
        <w:t xml:space="preserve"> Clinical Laboratory Improvement Amendments (CLIA) certified</w:t>
      </w:r>
      <w:r w:rsidR="006E360A">
        <w:rPr>
          <w:rFonts w:ascii="Times New Roman" w:hAnsi="Times New Roman" w:cs="Times New Roman"/>
        </w:rPr>
        <w:t xml:space="preserve"> testing lab</w:t>
      </w:r>
      <w:r w:rsidR="00223869">
        <w:rPr>
          <w:rFonts w:ascii="Times New Roman" w:hAnsi="Times New Roman" w:cs="Times New Roman"/>
        </w:rPr>
        <w:t>oratory</w:t>
      </w:r>
      <w:r w:rsidR="006E360A">
        <w:rPr>
          <w:rFonts w:ascii="Times New Roman" w:hAnsi="Times New Roman" w:cs="Times New Roman"/>
        </w:rPr>
        <w:t xml:space="preserve"> will be instructed to destroy all samples and sign a destruction form 30 days after the </w:t>
      </w:r>
      <w:r w:rsidR="00223869">
        <w:rPr>
          <w:rFonts w:ascii="Times New Roman" w:hAnsi="Times New Roman" w:cs="Times New Roman"/>
        </w:rPr>
        <w:t>DHNES Method Validation T</w:t>
      </w:r>
      <w:r w:rsidR="006E360A">
        <w:rPr>
          <w:rFonts w:ascii="Times New Roman" w:hAnsi="Times New Roman" w:cs="Times New Roman"/>
        </w:rPr>
        <w:t xml:space="preserve">eam completes their analysis. </w:t>
      </w:r>
      <w:r w:rsidRPr="00D37961">
        <w:rPr>
          <w:rFonts w:ascii="Times New Roman" w:hAnsi="Times New Roman" w:cs="Times New Roman"/>
        </w:rPr>
        <w:t>Monthly meetings are held to discuss analysis with statisticians, NHANES lead, and laboratory team. This is routinely done with any change regarding method or instrument change.</w:t>
      </w:r>
    </w:p>
    <w:p w:rsidR="00B341CD" w:rsidRPr="00D37961" w:rsidP="00DE24F0" w14:paraId="5AA6F19A" w14:textId="77777777">
      <w:pPr>
        <w:rPr>
          <w:rFonts w:ascii="Times New Roman" w:hAnsi="Times New Roman" w:cs="Times New Roman"/>
        </w:rPr>
      </w:pPr>
    </w:p>
    <w:p w:rsidR="00B341CD" w:rsidRPr="00A03A2F" w:rsidP="00DE24F0" w14:paraId="08840F9D" w14:textId="2E43B9C3">
      <w:pPr>
        <w:rPr>
          <w:rFonts w:ascii="Times New Roman" w:hAnsi="Times New Roman" w:cs="Times New Roman"/>
          <w:i/>
          <w:iCs/>
        </w:rPr>
      </w:pPr>
      <w:r>
        <w:rPr>
          <w:rFonts w:ascii="Times New Roman" w:hAnsi="Times New Roman" w:cs="Times New Roman"/>
          <w:i/>
          <w:iCs/>
        </w:rPr>
        <w:t xml:space="preserve">Part 1 </w:t>
      </w:r>
      <w:r w:rsidR="000E188F">
        <w:rPr>
          <w:rFonts w:ascii="Times New Roman" w:hAnsi="Times New Roman" w:cs="Times New Roman"/>
          <w:i/>
          <w:iCs/>
        </w:rPr>
        <w:t>study p</w:t>
      </w:r>
      <w:r w:rsidRPr="00A03A2F" w:rsidR="00DE24F0">
        <w:rPr>
          <w:rFonts w:ascii="Times New Roman" w:hAnsi="Times New Roman" w:cs="Times New Roman"/>
          <w:i/>
          <w:iCs/>
        </w:rPr>
        <w:t>urpose</w:t>
      </w:r>
    </w:p>
    <w:p w:rsidR="00DE24F0" w:rsidRPr="00A03A2F" w:rsidP="00F90346" w14:paraId="72B10711" w14:textId="77777777">
      <w:pPr>
        <w:numPr>
          <w:ilvl w:val="0"/>
          <w:numId w:val="34"/>
        </w:numPr>
        <w:contextualSpacing/>
        <w:rPr>
          <w:rFonts w:ascii="Times New Roman" w:hAnsi="Times New Roman" w:cs="Times New Roman"/>
        </w:rPr>
      </w:pPr>
      <w:r w:rsidRPr="00A03A2F">
        <w:rPr>
          <w:rFonts w:ascii="Times New Roman" w:hAnsi="Times New Roman" w:cs="Times New Roman"/>
        </w:rPr>
        <w:t xml:space="preserve">To compare the CBC results when run on the new DxH560 and the current DxH800 hematology analyzer to determine if there is a difference in the results. </w:t>
      </w:r>
      <w:r w:rsidRPr="00D37961">
        <w:rPr>
          <w:rFonts w:ascii="Times New Roman" w:hAnsi="Times New Roman" w:cs="Times New Roman"/>
          <w:lang w:eastAsia="zh-TW"/>
        </w:rPr>
        <w:t xml:space="preserve">Calibrate the new DxH560; and </w:t>
      </w:r>
    </w:p>
    <w:p w:rsidR="00F90346" w:rsidP="00F90346" w14:paraId="2D380104" w14:textId="5BFDD965">
      <w:pPr>
        <w:pStyle w:val="ListParagraph"/>
        <w:numPr>
          <w:ilvl w:val="0"/>
          <w:numId w:val="34"/>
        </w:numPr>
        <w:rPr>
          <w:rFonts w:ascii="Times New Roman" w:hAnsi="Times New Roman"/>
        </w:rPr>
      </w:pPr>
      <w:r w:rsidRPr="00A03A2F">
        <w:rPr>
          <w:rFonts w:ascii="Times New Roman" w:hAnsi="Times New Roman"/>
        </w:rPr>
        <w:t xml:space="preserve">If there is a statistical difference noted, a regression equation would be created and published in the laboratory documentation file for researchers and their ability to trend the data with confidence knowing that any differences in the results can be attributed to </w:t>
      </w:r>
      <w:r w:rsidRPr="00D37961">
        <w:rPr>
          <w:rFonts w:ascii="Times New Roman" w:hAnsi="Times New Roman"/>
        </w:rPr>
        <w:t>a true population change and not due to changes in new DxH560 hematology analyzer</w:t>
      </w:r>
      <w:r w:rsidRPr="00A03A2F">
        <w:rPr>
          <w:rFonts w:ascii="Times New Roman" w:hAnsi="Times New Roman"/>
        </w:rPr>
        <w:t>.</w:t>
      </w:r>
    </w:p>
    <w:p w:rsidR="00F90346" w:rsidP="00F90346" w14:paraId="278E30B1" w14:textId="77777777">
      <w:pPr>
        <w:rPr>
          <w:rFonts w:ascii="Times New Roman" w:hAnsi="Times New Roman"/>
        </w:rPr>
      </w:pPr>
    </w:p>
    <w:p w:rsidR="00223869" w:rsidP="00F90346" w14:paraId="5D12FED4" w14:textId="77777777">
      <w:pPr>
        <w:rPr>
          <w:rFonts w:ascii="Times New Roman" w:hAnsi="Times New Roman"/>
          <w:b/>
          <w:bCs/>
        </w:rPr>
      </w:pPr>
    </w:p>
    <w:p w:rsidR="00223869" w:rsidP="00F90346" w14:paraId="34E4BBA1" w14:textId="77777777">
      <w:pPr>
        <w:rPr>
          <w:rFonts w:ascii="Times New Roman" w:hAnsi="Times New Roman"/>
          <w:b/>
          <w:bCs/>
        </w:rPr>
      </w:pPr>
    </w:p>
    <w:p w:rsidR="003B6DC0" w:rsidP="00F90346" w14:paraId="0396B530" w14:textId="77777777">
      <w:pPr>
        <w:rPr>
          <w:rFonts w:ascii="Times New Roman" w:hAnsi="Times New Roman"/>
          <w:b/>
          <w:bCs/>
        </w:rPr>
      </w:pPr>
    </w:p>
    <w:p w:rsidR="00F90346" w:rsidP="00F90346" w14:paraId="64F91CE5" w14:textId="153A95EF">
      <w:pPr>
        <w:rPr>
          <w:rFonts w:ascii="Times New Roman" w:hAnsi="Times New Roman"/>
          <w:b/>
          <w:bCs/>
        </w:rPr>
      </w:pPr>
      <w:r>
        <w:rPr>
          <w:rFonts w:ascii="Times New Roman" w:hAnsi="Times New Roman"/>
          <w:b/>
          <w:bCs/>
        </w:rPr>
        <w:t>Part 2: Blood Collection Tube Type Comparison Study</w:t>
      </w:r>
    </w:p>
    <w:p w:rsidR="00744C41" w:rsidP="00F90346" w14:paraId="6F3D079F" w14:textId="3C74B3A1">
      <w:pPr>
        <w:rPr>
          <w:rFonts w:ascii="Times New Roman" w:hAnsi="Times New Roman"/>
        </w:rPr>
      </w:pPr>
    </w:p>
    <w:p w:rsidR="00B341CD" w:rsidRPr="00D37961" w:rsidP="00B341CD" w14:paraId="632C0813" w14:textId="77777777">
      <w:pPr>
        <w:rPr>
          <w:rFonts w:ascii="Times New Roman" w:hAnsi="Times New Roman" w:cs="Times New Roman"/>
        </w:rPr>
      </w:pPr>
      <w:r w:rsidRPr="00D37961">
        <w:rPr>
          <w:rFonts w:ascii="Times New Roman" w:hAnsi="Times New Roman" w:cs="Times New Roman"/>
        </w:rPr>
        <w:t xml:space="preserve">With the various laboratory analytical methods also comes multiple blood processing and sample type requirements. Whole blood comprises both the liquid component (plasma and serum) and the cellular elements (red blood cells, white blood cells, and platelets) and is used for various tests, including complete blood counts. Serum is the liquid portion of clotted blood, obtained by allowing whole blood to clot and then separating the serum, which can be used for detecting various antibodies, hormones, and metabolites. Typically, serum is obtained from whole blood using either the Red Top Tubes or the SSTs. SSTs contain a clot activator and polymer gel that, when centrifuged, forms a barrier between the serum and the blood cells, facilitating easy and more efficient separation. This innovation revolutionized diagnostic testing by providing a more effective and accurate means of collecting serum for a wide range of laboratory analyses. </w:t>
      </w:r>
    </w:p>
    <w:p w:rsidR="00B341CD" w:rsidRPr="00A03A2F" w:rsidP="00B341CD" w14:paraId="2B3EADC6" w14:textId="7CED2472">
      <w:pPr>
        <w:rPr>
          <w:rFonts w:ascii="Times New Roman" w:hAnsi="Times New Roman" w:cs="Times New Roman"/>
        </w:rPr>
      </w:pPr>
      <w:r w:rsidRPr="00D37961">
        <w:rPr>
          <w:rFonts w:ascii="Times New Roman" w:hAnsi="Times New Roman" w:cs="Times New Roman"/>
        </w:rPr>
        <w:t>As</w:t>
      </w:r>
      <w:r w:rsidRPr="00D37961">
        <w:rPr>
          <w:rFonts w:ascii="Times New Roman" w:hAnsi="Times New Roman" w:cs="Times New Roman"/>
        </w:rPr>
        <w:t xml:space="preserve"> </w:t>
      </w:r>
      <w:r w:rsidRPr="00D37961">
        <w:rPr>
          <w:rFonts w:ascii="Times New Roman" w:hAnsi="Times New Roman" w:cs="Times New Roman"/>
        </w:rPr>
        <w:t xml:space="preserve">NHANES moves forward with the 2025 redesign, several aspects of laboratory processing </w:t>
      </w:r>
      <w:r w:rsidR="009136CA">
        <w:rPr>
          <w:rFonts w:ascii="Times New Roman" w:hAnsi="Times New Roman" w:cs="Times New Roman"/>
        </w:rPr>
        <w:t xml:space="preserve">have </w:t>
      </w:r>
      <w:r w:rsidR="0039453B">
        <w:rPr>
          <w:rFonts w:ascii="Times New Roman" w:hAnsi="Times New Roman" w:cs="Times New Roman"/>
        </w:rPr>
        <w:t xml:space="preserve">also </w:t>
      </w:r>
      <w:r w:rsidR="009136CA">
        <w:rPr>
          <w:rFonts w:ascii="Times New Roman" w:hAnsi="Times New Roman" w:cs="Times New Roman"/>
        </w:rPr>
        <w:t xml:space="preserve">been </w:t>
      </w:r>
      <w:r w:rsidRPr="00D37961">
        <w:rPr>
          <w:rFonts w:ascii="Times New Roman" w:hAnsi="Times New Roman" w:cs="Times New Roman"/>
        </w:rPr>
        <w:t xml:space="preserve">redesigned. The implementation of SSTs could help to speed up sample processing and improve both sample and data quality.  </w:t>
      </w:r>
    </w:p>
    <w:p w:rsidR="00B341CD" w:rsidRPr="00A03A2F" w:rsidP="00B341CD" w14:paraId="1E9D5BD9" w14:textId="77777777">
      <w:pPr>
        <w:rPr>
          <w:rFonts w:ascii="Times New Roman" w:hAnsi="Times New Roman" w:cs="Times New Roman"/>
        </w:rPr>
      </w:pPr>
    </w:p>
    <w:p w:rsidR="00B341CD" w:rsidP="00B341CD" w14:paraId="15D96249" w14:textId="210AA3B8">
      <w:pPr>
        <w:rPr>
          <w:rFonts w:ascii="Times New Roman" w:hAnsi="Times New Roman" w:cs="Times New Roman"/>
          <w:i/>
          <w:iCs/>
        </w:rPr>
      </w:pPr>
      <w:r>
        <w:rPr>
          <w:rFonts w:ascii="Times New Roman" w:hAnsi="Times New Roman" w:cs="Times New Roman"/>
          <w:i/>
          <w:iCs/>
        </w:rPr>
        <w:t>Part 2 study p</w:t>
      </w:r>
      <w:r w:rsidRPr="00A03A2F">
        <w:rPr>
          <w:rFonts w:ascii="Times New Roman" w:hAnsi="Times New Roman" w:cs="Times New Roman"/>
          <w:i/>
          <w:iCs/>
        </w:rPr>
        <w:t xml:space="preserve">urpose </w:t>
      </w:r>
    </w:p>
    <w:p w:rsidR="00B341CD" w:rsidRPr="00B341CD" w:rsidP="00D9582D" w14:paraId="3908C58A" w14:textId="2BAC97DE">
      <w:pPr>
        <w:contextualSpacing/>
        <w:rPr>
          <w:rFonts w:ascii="Times New Roman" w:hAnsi="Times New Roman"/>
        </w:rPr>
      </w:pPr>
      <w:r w:rsidRPr="00A03A2F">
        <w:rPr>
          <w:rFonts w:ascii="Times New Roman" w:hAnsi="Times New Roman" w:cs="Times New Roman"/>
        </w:rPr>
        <w:t xml:space="preserve">To directly compare results of the biochemistry panel, </w:t>
      </w:r>
      <w:r w:rsidR="00BE799E">
        <w:rPr>
          <w:rFonts w:ascii="Times New Roman" w:hAnsi="Times New Roman" w:cs="Times New Roman"/>
        </w:rPr>
        <w:t>C-Reactive Protein (</w:t>
      </w:r>
      <w:r w:rsidRPr="00A03A2F">
        <w:rPr>
          <w:rFonts w:ascii="Times New Roman" w:hAnsi="Times New Roman" w:cs="Times New Roman"/>
        </w:rPr>
        <w:t>CRP</w:t>
      </w:r>
      <w:r w:rsidR="00BE799E">
        <w:rPr>
          <w:rFonts w:ascii="Times New Roman" w:hAnsi="Times New Roman" w:cs="Times New Roman"/>
        </w:rPr>
        <w:t>)</w:t>
      </w:r>
      <w:r w:rsidRPr="00A03A2F">
        <w:rPr>
          <w:rFonts w:ascii="Times New Roman" w:hAnsi="Times New Roman" w:cs="Times New Roman"/>
        </w:rPr>
        <w:t xml:space="preserve">, insulin, and </w:t>
      </w:r>
      <w:r w:rsidR="00BE799E">
        <w:rPr>
          <w:rFonts w:ascii="Times New Roman" w:hAnsi="Times New Roman" w:cs="Times New Roman"/>
        </w:rPr>
        <w:t>Per- and polyfluoroalkyl (</w:t>
      </w:r>
      <w:r w:rsidRPr="00A03A2F">
        <w:rPr>
          <w:rFonts w:ascii="Times New Roman" w:hAnsi="Times New Roman" w:cs="Times New Roman"/>
        </w:rPr>
        <w:t>PFAS</w:t>
      </w:r>
      <w:r w:rsidR="00BE799E">
        <w:rPr>
          <w:rFonts w:ascii="Times New Roman" w:hAnsi="Times New Roman" w:cs="Times New Roman"/>
        </w:rPr>
        <w:t>)</w:t>
      </w:r>
      <w:r w:rsidRPr="00A03A2F">
        <w:rPr>
          <w:rFonts w:ascii="Times New Roman" w:hAnsi="Times New Roman" w:cs="Times New Roman"/>
        </w:rPr>
        <w:t xml:space="preserve"> tests of volunteer participants between Red Top Tubes (old) and SSTs (new) to verify data consistency between collection tube types on current NHANES methods.</w:t>
      </w:r>
      <w:r w:rsidR="00F80D9F">
        <w:rPr>
          <w:rFonts w:ascii="Times New Roman" w:hAnsi="Times New Roman" w:cs="Times New Roman"/>
        </w:rPr>
        <w:t xml:space="preserve">  </w:t>
      </w:r>
      <w:r w:rsidRPr="00B341CD">
        <w:rPr>
          <w:rFonts w:ascii="Times New Roman" w:hAnsi="Times New Roman"/>
        </w:rPr>
        <w:t xml:space="preserve">This study will inform </w:t>
      </w:r>
      <w:r w:rsidR="000E188F">
        <w:rPr>
          <w:rFonts w:ascii="Times New Roman" w:hAnsi="Times New Roman"/>
        </w:rPr>
        <w:t>DHNES</w:t>
      </w:r>
      <w:r w:rsidRPr="00B341CD">
        <w:rPr>
          <w:rFonts w:ascii="Times New Roman" w:hAnsi="Times New Roman"/>
        </w:rPr>
        <w:t xml:space="preserve"> if SSTs are a feasible option to reduce processing time and maintain sample quality. For example, the study will inform us if the lab test results are comparable between the Red Top and SST serum and no statistical differences are noted. </w:t>
      </w:r>
    </w:p>
    <w:p w:rsidR="00BB4AEC" w:rsidP="00AF0286" w14:paraId="641E592E" w14:textId="77777777">
      <w:pPr>
        <w:rPr>
          <w:rFonts w:ascii="Times New Roman" w:hAnsi="Times New Roman"/>
        </w:rPr>
      </w:pPr>
    </w:p>
    <w:p w:rsidR="00861F76" w:rsidP="00861F76" w14:paraId="2E31C50F" w14:textId="309C19BC">
      <w:pPr>
        <w:rPr>
          <w:rFonts w:ascii="Times New Roman" w:hAnsi="Times New Roman" w:cs="Times New Roman"/>
        </w:rPr>
      </w:pPr>
      <w:r>
        <w:rPr>
          <w:rFonts w:ascii="Times New Roman" w:hAnsi="Times New Roman"/>
        </w:rPr>
        <w:t xml:space="preserve">As previously mentioned, </w:t>
      </w:r>
      <w:r w:rsidR="00BC71B4">
        <w:rPr>
          <w:rFonts w:ascii="Times New Roman" w:hAnsi="Times New Roman"/>
        </w:rPr>
        <w:t>a convenience sample of 40 volunteers will be recruited</w:t>
      </w:r>
      <w:r w:rsidR="0038340E">
        <w:rPr>
          <w:rFonts w:ascii="Times New Roman" w:hAnsi="Times New Roman"/>
        </w:rPr>
        <w:t xml:space="preserve"> for this proposed hematology </w:t>
      </w:r>
      <w:r w:rsidR="000E188F">
        <w:rPr>
          <w:rFonts w:ascii="Times New Roman" w:hAnsi="Times New Roman"/>
        </w:rPr>
        <w:t xml:space="preserve">comparison </w:t>
      </w:r>
      <w:r w:rsidR="0038340E">
        <w:rPr>
          <w:rFonts w:ascii="Times New Roman" w:hAnsi="Times New Roman"/>
        </w:rPr>
        <w:t>stud</w:t>
      </w:r>
      <w:r w:rsidR="000242DC">
        <w:rPr>
          <w:rFonts w:ascii="Times New Roman" w:hAnsi="Times New Roman"/>
        </w:rPr>
        <w:t>y</w:t>
      </w:r>
      <w:r w:rsidR="0038340E">
        <w:rPr>
          <w:rFonts w:ascii="Times New Roman" w:hAnsi="Times New Roman"/>
        </w:rPr>
        <w:t>.</w:t>
      </w:r>
      <w:r>
        <w:rPr>
          <w:rFonts w:ascii="Times New Roman" w:hAnsi="Times New Roman"/>
        </w:rPr>
        <w:t xml:space="preserve"> </w:t>
      </w:r>
      <w:r w:rsidRPr="00A03A2F">
        <w:rPr>
          <w:rFonts w:ascii="Times New Roman" w:hAnsi="Times New Roman" w:cs="Times New Roman"/>
        </w:rPr>
        <w:t>The study</w:t>
      </w:r>
      <w:r w:rsidR="00A9548F">
        <w:rPr>
          <w:rFonts w:ascii="Times New Roman" w:hAnsi="Times New Roman" w:cs="Times New Roman"/>
        </w:rPr>
        <w:t>, which includes these two sub-studies,</w:t>
      </w:r>
      <w:r w:rsidRPr="00A03A2F">
        <w:rPr>
          <w:rFonts w:ascii="Times New Roman" w:hAnsi="Times New Roman" w:cs="Times New Roman"/>
        </w:rPr>
        <w:t xml:space="preserve"> is planned to be performed </w:t>
      </w:r>
      <w:r w:rsidR="00615D1D">
        <w:rPr>
          <w:rFonts w:ascii="Times New Roman" w:hAnsi="Times New Roman" w:cs="Times New Roman"/>
        </w:rPr>
        <w:t>in</w:t>
      </w:r>
      <w:r w:rsidRPr="00A03A2F" w:rsidR="00615D1D">
        <w:rPr>
          <w:rFonts w:ascii="Times New Roman" w:hAnsi="Times New Roman" w:cs="Times New Roman"/>
        </w:rPr>
        <w:t xml:space="preserve"> </w:t>
      </w:r>
      <w:r w:rsidRPr="00A03A2F">
        <w:rPr>
          <w:rFonts w:ascii="Times New Roman" w:hAnsi="Times New Roman" w:cs="Times New Roman"/>
        </w:rPr>
        <w:t>one week</w:t>
      </w:r>
      <w:r>
        <w:rPr>
          <w:rFonts w:ascii="Times New Roman" w:hAnsi="Times New Roman" w:cs="Times New Roman"/>
        </w:rPr>
        <w:t xml:space="preserve">, </w:t>
      </w:r>
      <w:r w:rsidR="000C25DA">
        <w:rPr>
          <w:rFonts w:ascii="Times New Roman" w:hAnsi="Times New Roman" w:cs="Times New Roman"/>
        </w:rPr>
        <w:t>in conjunction with</w:t>
      </w:r>
      <w:r>
        <w:rPr>
          <w:rFonts w:ascii="Times New Roman" w:hAnsi="Times New Roman" w:cs="Times New Roman"/>
        </w:rPr>
        <w:t xml:space="preserve"> the DXA crossover study,</w:t>
      </w:r>
      <w:r w:rsidRPr="00A03A2F">
        <w:rPr>
          <w:rFonts w:ascii="Times New Roman" w:hAnsi="Times New Roman" w:cs="Times New Roman"/>
        </w:rPr>
        <w:t xml:space="preserve"> on the U.S. Department of Agriculture (USDA) campus in Maryland where inactive MECs are located. During this study, the MEC will not be actively collecting NHANES data. However, the lab will be open, and consenting volunteers will come at their scheduled appointment time during working hours to have a blood draw. Volunteers will have the equivalent of approximately 1.8 tablespoons of blood drawn. The MEC will be staffed with two Medical Laboratory Scientist (MLS) within DHNES to perform the venipuncture. A DHNES physician will also be present during the study.</w:t>
      </w:r>
    </w:p>
    <w:p w:rsidR="00680976" w:rsidP="00861F76" w14:paraId="701D8787" w14:textId="77777777">
      <w:pPr>
        <w:rPr>
          <w:rFonts w:ascii="Times New Roman" w:hAnsi="Times New Roman" w:cs="Times New Roman"/>
        </w:rPr>
      </w:pPr>
    </w:p>
    <w:p w:rsidR="00354566" w:rsidRPr="00354566" w:rsidP="00354566" w14:paraId="0DB84042" w14:textId="77777777">
      <w:pPr>
        <w:rPr>
          <w:rFonts w:ascii="Times New Roman" w:hAnsi="Times New Roman" w:cs="Times New Roman"/>
        </w:rPr>
      </w:pPr>
      <w:r w:rsidRPr="00A03A2F">
        <w:rPr>
          <w:rFonts w:ascii="Times New Roman" w:hAnsi="Times New Roman" w:cs="Times New Roman"/>
          <w:bCs/>
        </w:rPr>
        <w:t xml:space="preserve">Volunteers who meet any of the following criteria are not eligible for either the CBC component </w:t>
      </w:r>
      <w:r w:rsidRPr="00354566">
        <w:rPr>
          <w:rFonts w:ascii="Times New Roman" w:hAnsi="Times New Roman" w:cs="Times New Roman"/>
          <w:bCs/>
        </w:rPr>
        <w:t>or tube study:</w:t>
      </w:r>
    </w:p>
    <w:p w:rsidR="00354566" w:rsidRPr="00354566" w:rsidP="00354566" w14:paraId="7085D2A7" w14:textId="77777777">
      <w:pPr>
        <w:pStyle w:val="Footer"/>
        <w:numPr>
          <w:ilvl w:val="0"/>
          <w:numId w:val="26"/>
        </w:numPr>
        <w:tabs>
          <w:tab w:val="clear" w:pos="4320"/>
          <w:tab w:val="clear" w:pos="8640"/>
        </w:tabs>
        <w:rPr>
          <w:rFonts w:ascii="Times New Roman" w:hAnsi="Times New Roman" w:cs="Times New Roman"/>
        </w:rPr>
      </w:pPr>
      <w:r w:rsidRPr="00354566">
        <w:rPr>
          <w:rFonts w:ascii="Times New Roman" w:hAnsi="Times New Roman" w:cs="Times New Roman"/>
        </w:rPr>
        <w:t>Hemophilia; and</w:t>
      </w:r>
    </w:p>
    <w:p w:rsidR="00354566" w:rsidRPr="00A03A2F" w:rsidP="00354566" w14:paraId="58EF5717" w14:textId="77777777">
      <w:pPr>
        <w:pStyle w:val="ListParagraph"/>
        <w:widowControl/>
        <w:numPr>
          <w:ilvl w:val="0"/>
          <w:numId w:val="26"/>
        </w:numPr>
        <w:autoSpaceDE/>
        <w:autoSpaceDN/>
        <w:adjustRightInd/>
        <w:spacing w:line="276" w:lineRule="auto"/>
        <w:contextualSpacing w:val="0"/>
        <w:rPr>
          <w:rFonts w:ascii="Times New Roman" w:hAnsi="Times New Roman"/>
          <w:b/>
          <w:bCs/>
          <w:u w:val="single"/>
        </w:rPr>
      </w:pPr>
      <w:r w:rsidRPr="00A03A2F">
        <w:rPr>
          <w:rFonts w:ascii="Times New Roman" w:hAnsi="Times New Roman"/>
        </w:rPr>
        <w:t>Cancer chemotherapy within last 4 weeks</w:t>
      </w:r>
    </w:p>
    <w:p w:rsidR="00354566" w:rsidRPr="00A03A2F" w:rsidP="00354566" w14:paraId="70ECE219" w14:textId="77777777">
      <w:pPr>
        <w:pStyle w:val="ListParagraph"/>
        <w:widowControl/>
        <w:numPr>
          <w:ilvl w:val="0"/>
          <w:numId w:val="26"/>
        </w:numPr>
        <w:autoSpaceDE/>
        <w:autoSpaceDN/>
        <w:adjustRightInd/>
        <w:spacing w:line="276" w:lineRule="auto"/>
        <w:contextualSpacing w:val="0"/>
        <w:rPr>
          <w:rFonts w:ascii="Times New Roman" w:hAnsi="Times New Roman"/>
        </w:rPr>
      </w:pPr>
      <w:r w:rsidRPr="00A03A2F">
        <w:rPr>
          <w:rFonts w:ascii="Times New Roman" w:hAnsi="Times New Roman"/>
        </w:rPr>
        <w:t>Non-English speaking</w:t>
      </w:r>
    </w:p>
    <w:p w:rsidR="00680976" w:rsidRPr="00354566" w:rsidP="00354566" w14:paraId="1FB1B958" w14:textId="22ACAA12">
      <w:pPr>
        <w:pStyle w:val="ListParagraph"/>
        <w:widowControl/>
        <w:numPr>
          <w:ilvl w:val="0"/>
          <w:numId w:val="26"/>
        </w:numPr>
        <w:autoSpaceDE/>
        <w:autoSpaceDN/>
        <w:adjustRightInd/>
        <w:spacing w:line="276" w:lineRule="auto"/>
        <w:contextualSpacing w:val="0"/>
        <w:rPr>
          <w:rFonts w:ascii="Times New Roman" w:hAnsi="Times New Roman"/>
          <w:b/>
          <w:bCs/>
          <w:u w:val="single"/>
        </w:rPr>
      </w:pPr>
      <w:r w:rsidRPr="00A03A2F">
        <w:rPr>
          <w:rFonts w:ascii="Times New Roman" w:hAnsi="Times New Roman"/>
        </w:rPr>
        <w:t>Any condition for which the MEC physician deems to put the participant at significant risk.</w:t>
      </w:r>
    </w:p>
    <w:p w:rsidR="003E1850" w:rsidRPr="00A03A2F" w:rsidP="00861F76" w14:paraId="53EAA946" w14:textId="77777777">
      <w:pPr>
        <w:rPr>
          <w:rFonts w:ascii="Times New Roman" w:hAnsi="Times New Roman" w:cs="Times New Roman"/>
        </w:rPr>
      </w:pPr>
    </w:p>
    <w:p w:rsidR="005528F0" w:rsidP="00AF0286" w14:paraId="7042ACCC" w14:textId="421DA19F">
      <w:pPr>
        <w:rPr>
          <w:rFonts w:ascii="Times New Roman" w:hAnsi="Times New Roman" w:cs="Times New Roman"/>
        </w:rPr>
      </w:pPr>
      <w:r w:rsidRPr="004F5ABA">
        <w:rPr>
          <w:rFonts w:ascii="Times New Roman" w:hAnsi="Times New Roman"/>
        </w:rPr>
        <w:t>Informed consent will be obtained using the attached form (</w:t>
      </w:r>
      <w:r w:rsidRPr="004F5ABA" w:rsidR="00B20CCF">
        <w:rPr>
          <w:rFonts w:ascii="Times New Roman" w:hAnsi="Times New Roman"/>
          <w:b/>
          <w:bCs/>
        </w:rPr>
        <w:t>Attachment 2b</w:t>
      </w:r>
      <w:r w:rsidRPr="004F5ABA" w:rsidR="00B20CCF">
        <w:rPr>
          <w:rFonts w:ascii="Times New Roman" w:hAnsi="Times New Roman"/>
        </w:rPr>
        <w:t xml:space="preserve">). This consent form is administered to participants who </w:t>
      </w:r>
      <w:r w:rsidRPr="004F5ABA" w:rsidR="00CC049B">
        <w:rPr>
          <w:rFonts w:ascii="Times New Roman" w:hAnsi="Times New Roman"/>
        </w:rPr>
        <w:t>agree to only</w:t>
      </w:r>
      <w:r w:rsidRPr="004F5ABA" w:rsidR="00B20CCF">
        <w:rPr>
          <w:rFonts w:ascii="Times New Roman" w:hAnsi="Times New Roman"/>
        </w:rPr>
        <w:t xml:space="preserve"> participate in the </w:t>
      </w:r>
      <w:r w:rsidRPr="004F5ABA" w:rsidR="00DB315F">
        <w:rPr>
          <w:rFonts w:ascii="Times New Roman" w:hAnsi="Times New Roman"/>
        </w:rPr>
        <w:t>h</w:t>
      </w:r>
      <w:r w:rsidRPr="004F5ABA" w:rsidR="00B20CCF">
        <w:rPr>
          <w:rFonts w:ascii="Times New Roman" w:hAnsi="Times New Roman"/>
        </w:rPr>
        <w:t xml:space="preserve">ematology crossover study. </w:t>
      </w:r>
      <w:r w:rsidRPr="004F5ABA" w:rsidR="00B20CCF">
        <w:rPr>
          <w:rFonts w:ascii="Times New Roman" w:hAnsi="Times New Roman" w:cs="Times New Roman"/>
          <w:noProof/>
        </w:rPr>
        <w:t xml:space="preserve">Participants who </w:t>
      </w:r>
      <w:r w:rsidRPr="004F5ABA" w:rsidR="00DB315F">
        <w:rPr>
          <w:rFonts w:ascii="Times New Roman" w:hAnsi="Times New Roman" w:cs="Times New Roman"/>
          <w:noProof/>
        </w:rPr>
        <w:t xml:space="preserve">agree to </w:t>
      </w:r>
      <w:r w:rsidRPr="004F5ABA" w:rsidR="00B20CCF">
        <w:rPr>
          <w:rFonts w:ascii="Times New Roman" w:hAnsi="Times New Roman" w:cs="Times New Roman"/>
          <w:noProof/>
        </w:rPr>
        <w:t xml:space="preserve">participate in both the DXA and </w:t>
      </w:r>
      <w:r w:rsidRPr="004F5ABA" w:rsidR="00DB315F">
        <w:rPr>
          <w:rFonts w:ascii="Times New Roman" w:hAnsi="Times New Roman" w:cs="Times New Roman"/>
          <w:noProof/>
        </w:rPr>
        <w:t>hematology</w:t>
      </w:r>
      <w:r w:rsidRPr="004F5ABA" w:rsidR="00B20CCF">
        <w:rPr>
          <w:rFonts w:ascii="Times New Roman" w:hAnsi="Times New Roman" w:cs="Times New Roman"/>
          <w:noProof/>
        </w:rPr>
        <w:t xml:space="preserve"> crossovers will provide </w:t>
      </w:r>
      <w:r w:rsidRPr="004F5ABA" w:rsidR="00B20CCF">
        <w:rPr>
          <w:rFonts w:ascii="Times New Roman" w:hAnsi="Times New Roman" w:cs="Times New Roman"/>
          <w:noProof/>
        </w:rPr>
        <w:t>consent using a separate form (</w:t>
      </w:r>
      <w:r w:rsidRPr="004F5ABA" w:rsidR="00B20CCF">
        <w:rPr>
          <w:rFonts w:ascii="Times New Roman" w:hAnsi="Times New Roman" w:cs="Times New Roman"/>
          <w:b/>
          <w:bCs/>
          <w:noProof/>
        </w:rPr>
        <w:t>Attachment 2c</w:t>
      </w:r>
      <w:r w:rsidRPr="004F5ABA" w:rsidR="00B20CCF">
        <w:rPr>
          <w:rFonts w:ascii="Times New Roman" w:hAnsi="Times New Roman" w:cs="Times New Roman"/>
          <w:noProof/>
        </w:rPr>
        <w:t>).</w:t>
      </w:r>
      <w:r w:rsidRPr="004F5ABA" w:rsidR="00EA6B09">
        <w:rPr>
          <w:rFonts w:ascii="Times New Roman" w:hAnsi="Times New Roman" w:cs="Times New Roman"/>
          <w:noProof/>
        </w:rPr>
        <w:t xml:space="preserve"> Similar to the DXA </w:t>
      </w:r>
      <w:r w:rsidRPr="004F5ABA" w:rsidR="00DB315F">
        <w:rPr>
          <w:rFonts w:ascii="Times New Roman" w:hAnsi="Times New Roman" w:cs="Times New Roman"/>
          <w:noProof/>
        </w:rPr>
        <w:t xml:space="preserve">crossover </w:t>
      </w:r>
      <w:r w:rsidRPr="004F5ABA" w:rsidR="00EA6B09">
        <w:rPr>
          <w:rFonts w:ascii="Times New Roman" w:hAnsi="Times New Roman" w:cs="Times New Roman"/>
          <w:noProof/>
        </w:rPr>
        <w:t xml:space="preserve">study, recruiting </w:t>
      </w:r>
      <w:r w:rsidRPr="004F5ABA" w:rsidR="002D2E26">
        <w:rPr>
          <w:rFonts w:ascii="Times New Roman" w:hAnsi="Times New Roman" w:cs="Times New Roman"/>
          <w:noProof/>
        </w:rPr>
        <w:t xml:space="preserve">will be based on gender and age. </w:t>
      </w:r>
      <w:r w:rsidRPr="004F5ABA" w:rsidR="002D2E26">
        <w:rPr>
          <w:rFonts w:ascii="Times New Roman" w:hAnsi="Times New Roman" w:cs="Times New Roman"/>
        </w:rPr>
        <w:t xml:space="preserve">Please see </w:t>
      </w:r>
      <w:r w:rsidRPr="004F5ABA" w:rsidR="002D2E26">
        <w:rPr>
          <w:rFonts w:ascii="Times New Roman" w:hAnsi="Times New Roman" w:cs="Times New Roman"/>
          <w:b/>
          <w:bCs/>
        </w:rPr>
        <w:t>Attachment 1</w:t>
      </w:r>
      <w:r w:rsidRPr="004F5ABA" w:rsidR="002D2E26">
        <w:rPr>
          <w:rFonts w:ascii="Times New Roman" w:hAnsi="Times New Roman" w:cs="Times New Roman"/>
        </w:rPr>
        <w:t xml:space="preserve"> for a description of the </w:t>
      </w:r>
      <w:r w:rsidRPr="004F5ABA" w:rsidR="00DB315F">
        <w:rPr>
          <w:rFonts w:ascii="Times New Roman" w:hAnsi="Times New Roman" w:cs="Times New Roman"/>
        </w:rPr>
        <w:t xml:space="preserve">hematology </w:t>
      </w:r>
      <w:r w:rsidRPr="004F5ABA" w:rsidR="002D2E26">
        <w:rPr>
          <w:rFonts w:ascii="Times New Roman" w:hAnsi="Times New Roman" w:cs="Times New Roman"/>
        </w:rPr>
        <w:t>study and eligibility</w:t>
      </w:r>
      <w:r w:rsidRPr="004F5ABA" w:rsidR="00DB315F">
        <w:rPr>
          <w:rFonts w:ascii="Times New Roman" w:hAnsi="Times New Roman" w:cs="Times New Roman"/>
        </w:rPr>
        <w:t xml:space="preserve"> phone screening</w:t>
      </w:r>
      <w:r w:rsidRPr="004F5ABA" w:rsidR="002D2E26">
        <w:rPr>
          <w:rFonts w:ascii="Times New Roman" w:hAnsi="Times New Roman" w:cs="Times New Roman"/>
        </w:rPr>
        <w:t xml:space="preserve"> questionnaire administered to potential volunteers</w:t>
      </w:r>
      <w:r w:rsidRPr="004F5ABA" w:rsidR="00DB315F">
        <w:rPr>
          <w:rFonts w:ascii="Times New Roman" w:hAnsi="Times New Roman" w:cs="Times New Roman"/>
        </w:rPr>
        <w:t xml:space="preserve"> </w:t>
      </w:r>
      <w:r w:rsidRPr="004F5ABA" w:rsidR="002D2E26">
        <w:rPr>
          <w:rFonts w:ascii="Times New Roman" w:hAnsi="Times New Roman" w:cs="Times New Roman"/>
        </w:rPr>
        <w:t>(N</w:t>
      </w:r>
      <w:r w:rsidRPr="004F5ABA" w:rsidR="005B29FE">
        <w:rPr>
          <w:rFonts w:ascii="Times New Roman" w:hAnsi="Times New Roman" w:cs="Times New Roman"/>
        </w:rPr>
        <w:t>ote</w:t>
      </w:r>
      <w:r w:rsidRPr="004F5ABA" w:rsidR="002D2E26">
        <w:rPr>
          <w:rFonts w:ascii="Times New Roman" w:hAnsi="Times New Roman" w:cs="Times New Roman"/>
        </w:rPr>
        <w:t>: Description includes the DXA and Hematology Analyzer and Blood Tube crossovers as both studies will be offered to the same volunteers.)</w:t>
      </w:r>
      <w:r w:rsidRPr="004F5ABA" w:rsidR="00B54D72">
        <w:rPr>
          <w:rFonts w:ascii="Times New Roman" w:hAnsi="Times New Roman" w:cs="Times New Roman"/>
        </w:rPr>
        <w:t>.</w:t>
      </w:r>
      <w:r w:rsidR="006E360A">
        <w:rPr>
          <w:rFonts w:ascii="Times New Roman" w:hAnsi="Times New Roman" w:cs="Times New Roman"/>
        </w:rPr>
        <w:t xml:space="preserve"> As described in Part 1, samples will be destroyed by the</w:t>
      </w:r>
      <w:r w:rsidR="004B3BD3">
        <w:rPr>
          <w:rFonts w:ascii="Times New Roman" w:hAnsi="Times New Roman" w:cs="Times New Roman"/>
        </w:rPr>
        <w:t xml:space="preserve"> CLIA certified</w:t>
      </w:r>
      <w:r w:rsidR="006E360A">
        <w:rPr>
          <w:rFonts w:ascii="Times New Roman" w:hAnsi="Times New Roman" w:cs="Times New Roman"/>
        </w:rPr>
        <w:t xml:space="preserve"> testing lab 30 days after the data has been analyzed by the DHNES Method Validation Team.</w:t>
      </w:r>
    </w:p>
    <w:p w:rsidR="00B15BB1" w:rsidP="00AF0286" w14:paraId="2BCF19D5" w14:textId="77777777">
      <w:pPr>
        <w:rPr>
          <w:rFonts w:ascii="Times New Roman" w:hAnsi="Times New Roman" w:cs="Times New Roman"/>
        </w:rPr>
      </w:pPr>
    </w:p>
    <w:p w:rsidR="00305FFA" w:rsidRPr="00A03A2F" w:rsidP="00305FFA" w14:paraId="4AD6DADF" w14:textId="77777777">
      <w:pPr>
        <w:pStyle w:val="BlockText"/>
        <w:spacing w:after="0"/>
        <w:ind w:left="0" w:right="0"/>
      </w:pPr>
      <w:r w:rsidRPr="00A03A2F">
        <w:t xml:space="preserve">The following are known risks associate with venipuncture: </w:t>
      </w:r>
    </w:p>
    <w:p w:rsidR="00305FFA" w:rsidRPr="00A03A2F" w:rsidP="00305FFA" w14:paraId="2F977009" w14:textId="77777777">
      <w:pPr>
        <w:pStyle w:val="BlockText"/>
        <w:numPr>
          <w:ilvl w:val="0"/>
          <w:numId w:val="26"/>
        </w:numPr>
        <w:spacing w:after="0"/>
        <w:ind w:right="0"/>
      </w:pPr>
      <w:r w:rsidRPr="00A03A2F">
        <w:t>Hematoma (bruising);</w:t>
      </w:r>
    </w:p>
    <w:p w:rsidR="00305FFA" w:rsidRPr="00A03A2F" w:rsidP="00305FFA" w14:paraId="5FB1C6A2" w14:textId="77777777">
      <w:pPr>
        <w:pStyle w:val="BlockText"/>
        <w:numPr>
          <w:ilvl w:val="0"/>
          <w:numId w:val="26"/>
        </w:numPr>
        <w:spacing w:after="0"/>
        <w:ind w:right="0"/>
      </w:pPr>
      <w:r w:rsidRPr="00A03A2F">
        <w:t>Swelling, tenderness, and inflammation at the venipuncture site;</w:t>
      </w:r>
    </w:p>
    <w:p w:rsidR="00305FFA" w:rsidRPr="00A03A2F" w:rsidP="00305FFA" w14:paraId="421E2BFD" w14:textId="77777777">
      <w:pPr>
        <w:pStyle w:val="BlockText"/>
        <w:numPr>
          <w:ilvl w:val="0"/>
          <w:numId w:val="26"/>
        </w:numPr>
        <w:spacing w:after="0"/>
        <w:ind w:right="0"/>
      </w:pPr>
      <w:r w:rsidRPr="00A03A2F">
        <w:t>Persistent bleeding; and</w:t>
      </w:r>
    </w:p>
    <w:p w:rsidR="00305FFA" w:rsidP="004E004D" w14:paraId="7CE7D186" w14:textId="19EFB191">
      <w:pPr>
        <w:pStyle w:val="BlockText"/>
        <w:numPr>
          <w:ilvl w:val="0"/>
          <w:numId w:val="26"/>
        </w:numPr>
        <w:spacing w:after="0"/>
        <w:ind w:right="0"/>
      </w:pPr>
      <w:r w:rsidRPr="00A03A2F">
        <w:t>Vasovagal response: fainting, dizziness, sweating, coldness of skin, numbness and tingling of hands and feet, nausea, vomiting, possible visual disturbance, and or fall from fainting.</w:t>
      </w:r>
    </w:p>
    <w:p w:rsidR="006E360A" w:rsidP="006E360A" w14:paraId="23DBF2CE" w14:textId="77777777">
      <w:pPr>
        <w:pStyle w:val="BlockText"/>
        <w:spacing w:after="0"/>
        <w:ind w:left="720" w:right="0"/>
      </w:pPr>
    </w:p>
    <w:p w:rsidR="004F5ABA" w:rsidRPr="004E004D" w:rsidP="004F5ABA" w14:paraId="762B8870" w14:textId="1B7BBC34">
      <w:pPr>
        <w:spacing w:afterAutospacing="1"/>
        <w:rPr>
          <w:rFonts w:ascii="Times New Roman" w:hAnsi="Times New Roman" w:cs="Times New Roman"/>
        </w:rPr>
      </w:pPr>
      <w:r w:rsidRPr="004F5ABA">
        <w:rPr>
          <w:rFonts w:ascii="Times New Roman" w:hAnsi="Times New Roman" w:cs="Times New Roman"/>
        </w:rPr>
        <w:t>The</w:t>
      </w:r>
      <w:r w:rsidRPr="004F5ABA" w:rsidR="00553E16">
        <w:rPr>
          <w:rFonts w:ascii="Times New Roman" w:hAnsi="Times New Roman" w:cs="Times New Roman"/>
        </w:rPr>
        <w:t xml:space="preserve"> </w:t>
      </w:r>
      <w:r w:rsidRPr="004F5ABA" w:rsidR="00AC79DB">
        <w:rPr>
          <w:rFonts w:ascii="Times New Roman" w:hAnsi="Times New Roman"/>
        </w:rPr>
        <w:t>information gained from Part 1 of th</w:t>
      </w:r>
      <w:r w:rsidRPr="004F5ABA" w:rsidR="00E409F8">
        <w:rPr>
          <w:rFonts w:ascii="Times New Roman" w:hAnsi="Times New Roman"/>
        </w:rPr>
        <w:t xml:space="preserve">e </w:t>
      </w:r>
      <w:r w:rsidRPr="004F5ABA" w:rsidR="00B54D72">
        <w:rPr>
          <w:rFonts w:ascii="Times New Roman" w:hAnsi="Times New Roman"/>
        </w:rPr>
        <w:t>h</w:t>
      </w:r>
      <w:r w:rsidRPr="004F5ABA" w:rsidR="00E409F8">
        <w:rPr>
          <w:rFonts w:ascii="Times New Roman" w:hAnsi="Times New Roman"/>
        </w:rPr>
        <w:t xml:space="preserve">ematology </w:t>
      </w:r>
      <w:r w:rsidRPr="004F5ABA" w:rsidR="00AC79DB">
        <w:rPr>
          <w:rFonts w:ascii="Times New Roman" w:hAnsi="Times New Roman"/>
        </w:rPr>
        <w:t>stud</w:t>
      </w:r>
      <w:r w:rsidRPr="004F5ABA" w:rsidR="0070591B">
        <w:rPr>
          <w:rFonts w:ascii="Times New Roman" w:hAnsi="Times New Roman"/>
        </w:rPr>
        <w:t xml:space="preserve">y will </w:t>
      </w:r>
      <w:r w:rsidRPr="004F5ABA" w:rsidR="009F4846">
        <w:rPr>
          <w:rFonts w:ascii="Times New Roman" w:hAnsi="Times New Roman"/>
        </w:rPr>
        <w:t xml:space="preserve">confirm the utility of a new and smaller analyzer that is ideal for data quality and </w:t>
      </w:r>
      <w:r w:rsidRPr="004F5ABA" w:rsidR="00C11715">
        <w:rPr>
          <w:rFonts w:ascii="Times New Roman" w:hAnsi="Times New Roman"/>
        </w:rPr>
        <w:t>NHANES MEC operations. Results from Part 2 of th</w:t>
      </w:r>
      <w:r w:rsidRPr="004F5ABA" w:rsidR="00E409F8">
        <w:rPr>
          <w:rFonts w:ascii="Times New Roman" w:hAnsi="Times New Roman"/>
        </w:rPr>
        <w:t xml:space="preserve">is </w:t>
      </w:r>
      <w:r w:rsidRPr="004F5ABA" w:rsidR="00C11715">
        <w:rPr>
          <w:rFonts w:ascii="Times New Roman" w:hAnsi="Times New Roman"/>
        </w:rPr>
        <w:t>study will inform DHNES on the reliability and reproducibility of NHANES lab test results from differen</w:t>
      </w:r>
      <w:r w:rsidRPr="004F5ABA" w:rsidR="00601CB0">
        <w:rPr>
          <w:rFonts w:ascii="Times New Roman" w:hAnsi="Times New Roman"/>
        </w:rPr>
        <w:t>t</w:t>
      </w:r>
      <w:r w:rsidRPr="004F5ABA" w:rsidR="00C11715">
        <w:rPr>
          <w:rFonts w:ascii="Times New Roman" w:hAnsi="Times New Roman"/>
        </w:rPr>
        <w:t xml:space="preserve"> </w:t>
      </w:r>
      <w:r w:rsidRPr="004F5ABA" w:rsidR="00D044CA">
        <w:rPr>
          <w:rFonts w:ascii="Times New Roman" w:hAnsi="Times New Roman"/>
        </w:rPr>
        <w:t>source tubes. The change to SSTs will potentially help to increase efficiency of sample processing in the MEC while maintaining the highest data quality.</w:t>
      </w:r>
    </w:p>
    <w:p w:rsidR="0024793A" w:rsidRPr="00014454" w:rsidP="008000CD" w14:paraId="54235F31" w14:textId="4E20C1F7">
      <w:pPr>
        <w:pStyle w:val="Heading1"/>
        <w:rPr>
          <w:noProof/>
        </w:rPr>
      </w:pPr>
      <w:bookmarkStart w:id="2" w:name="_Toc177134726"/>
      <w:r w:rsidRPr="5249834F">
        <w:rPr>
          <w:noProof/>
        </w:rPr>
        <w:t>Use of Improved Information Technology and Burden Reduction</w:t>
      </w:r>
      <w:bookmarkEnd w:id="2"/>
    </w:p>
    <w:p w:rsidR="00143176" w:rsidRPr="00014454" w:rsidP="004608A0" w14:paraId="59BDFA7E" w14:textId="77777777"/>
    <w:p w:rsidR="00537CE5" w:rsidRPr="00014454" w:rsidP="004429A7" w14:paraId="630D3EEC" w14:textId="174CD60F">
      <w:pPr>
        <w:tabs>
          <w:tab w:val="right" w:leader="dot" w:pos="9350"/>
        </w:tabs>
        <w:rPr>
          <w:rFonts w:ascii="Times New Roman" w:hAnsi="Times New Roman" w:cs="Times New Roman"/>
          <w:noProof/>
        </w:rPr>
      </w:pPr>
      <w:r w:rsidRPr="00014454">
        <w:rPr>
          <w:rFonts w:ascii="Times New Roman" w:hAnsi="Times New Roman" w:cs="Times New Roman"/>
          <w:noProof/>
        </w:rPr>
        <w:t xml:space="preserve">The majority of NHANES data are collected from respondents electronically. NHANES uses survey information technology architecture (SITA) that supports fully automated and integrated information technology. SITA provides increased capabilities that allow processing of complex data with significantly less editing than in previous NHANES surveys.  </w:t>
      </w:r>
    </w:p>
    <w:p w:rsidR="00744187" w:rsidRPr="00014454" w:rsidP="008000CD" w14:paraId="3B31E87D" w14:textId="77777777">
      <w:pPr>
        <w:tabs>
          <w:tab w:val="right" w:leader="dot" w:pos="9350"/>
        </w:tabs>
        <w:ind w:left="360" w:hanging="360"/>
        <w:rPr>
          <w:rFonts w:ascii="Times New Roman" w:hAnsi="Times New Roman" w:cs="Times New Roman"/>
          <w:noProof/>
        </w:rPr>
      </w:pPr>
    </w:p>
    <w:p w:rsidR="00537CE5" w:rsidRPr="00014454" w:rsidP="00B922E9" w14:paraId="43D82674" w14:textId="1C5C0756">
      <w:pPr>
        <w:tabs>
          <w:tab w:val="right" w:leader="dot" w:pos="9350"/>
        </w:tabs>
        <w:rPr>
          <w:rFonts w:ascii="Times New Roman" w:hAnsi="Times New Roman" w:cs="Times New Roman"/>
          <w:noProof/>
        </w:rPr>
      </w:pPr>
      <w:r w:rsidRPr="00014454">
        <w:rPr>
          <w:rFonts w:ascii="Times New Roman" w:hAnsi="Times New Roman" w:cs="Times New Roman"/>
          <w:noProof/>
        </w:rPr>
        <w:t>SITA provides NHANES with access to all data that are collected, much of which is available in real-time. The nature of the survey requires that data be accessible at multiple sites including contractor facilities, MECs, field offices, laboratories, and NCHS headquarters. SITA supports: 1) survey planning and design, 2) data collection, 3) data receipt, control and quality assurance, 4) reporting of survey results to survey participants, 5) data review, editing and analysis, 6) generation and documentation of public use data products, 7) tracking of survey respondents</w:t>
      </w:r>
      <w:r w:rsidRPr="00014454" w:rsidR="19AAA676">
        <w:rPr>
          <w:rFonts w:ascii="Times New Roman" w:hAnsi="Times New Roman" w:cs="Times New Roman"/>
          <w:noProof/>
        </w:rPr>
        <w:t>;</w:t>
      </w:r>
      <w:r w:rsidRPr="00014454">
        <w:rPr>
          <w:rFonts w:ascii="Times New Roman" w:hAnsi="Times New Roman" w:cs="Times New Roman"/>
          <w:noProof/>
        </w:rPr>
        <w:t xml:space="preserve"> and 8) generation of status reports on all aspects of the survey.</w:t>
      </w:r>
    </w:p>
    <w:p w:rsidR="00537CE5" w:rsidRPr="00014454" w:rsidP="00263987" w14:paraId="2DDE94B8" w14:textId="6EAA5A2E">
      <w:pPr>
        <w:tabs>
          <w:tab w:val="right" w:leader="dot" w:pos="9350"/>
        </w:tabs>
        <w:ind w:left="360" w:hanging="360"/>
        <w:rPr>
          <w:rFonts w:ascii="Times New Roman" w:hAnsi="Times New Roman" w:cs="Times New Roman"/>
          <w:noProof/>
          <w:webHidden/>
        </w:rPr>
      </w:pPr>
      <w:r w:rsidRPr="00014454">
        <w:rPr>
          <w:rFonts w:ascii="Times New Roman" w:hAnsi="Times New Roman" w:cs="Times New Roman"/>
          <w:noProof/>
        </w:rPr>
        <w:tab/>
      </w:r>
    </w:p>
    <w:p w:rsidR="0024793A" w:rsidRPr="00014454" w14:paraId="6C07BD68" w14:textId="09FD2FA7">
      <w:pPr>
        <w:pStyle w:val="Heading1"/>
        <w:rPr>
          <w:noProof/>
        </w:rPr>
      </w:pPr>
      <w:bookmarkStart w:id="3" w:name="_Toc177134727"/>
      <w:r w:rsidRPr="5249834F">
        <w:rPr>
          <w:noProof/>
        </w:rPr>
        <w:t>Efforts to Identify Duplication and Use of Similar Information</w:t>
      </w:r>
      <w:bookmarkEnd w:id="3"/>
    </w:p>
    <w:p w:rsidR="009723B3" w:rsidP="004429A7" w14:paraId="379E35B8" w14:textId="77777777">
      <w:pPr>
        <w:rPr>
          <w:rFonts w:ascii="Times New Roman" w:hAnsi="Times New Roman" w:cs="Times New Roman"/>
          <w:color w:val="000000" w:themeColor="text1"/>
        </w:rPr>
      </w:pPr>
    </w:p>
    <w:p w:rsidR="003B6DC0" w:rsidP="004429A7" w14:paraId="06E8E028" w14:textId="77777777">
      <w:pPr>
        <w:rPr>
          <w:rFonts w:ascii="Times New Roman" w:hAnsi="Times New Roman" w:cs="Times New Roman"/>
          <w:color w:val="000000" w:themeColor="text1"/>
        </w:rPr>
      </w:pPr>
      <w:r w:rsidRPr="5249834F">
        <w:rPr>
          <w:rFonts w:ascii="Times New Roman" w:hAnsi="Times New Roman" w:cs="Times New Roman"/>
          <w:color w:val="000000" w:themeColor="text1"/>
        </w:rPr>
        <w:t>NHANES is a unique source of health information on the U.S. population. Each year</w:t>
      </w:r>
      <w:r w:rsidR="0041757F">
        <w:rPr>
          <w:rFonts w:ascii="Times New Roman" w:hAnsi="Times New Roman" w:cs="Times New Roman"/>
          <w:color w:val="000000" w:themeColor="text1"/>
        </w:rPr>
        <w:t>,</w:t>
      </w:r>
      <w:r w:rsidRPr="5249834F">
        <w:rPr>
          <w:rFonts w:ascii="Times New Roman" w:hAnsi="Times New Roman" w:cs="Times New Roman"/>
          <w:color w:val="000000" w:themeColor="text1"/>
        </w:rPr>
        <w:t xml:space="preserve"> health interview and examination data are obtained. There are no other studies that collect the detailed health, dietary, laboratory and examination data that NHANES does. Duplication of effort is avoided through contacts and discussions with numerous Federal Government agencies during the content development and planning stage of NHANES. </w:t>
      </w:r>
    </w:p>
    <w:p w:rsidR="00C57BB1" w:rsidRPr="00014454" w:rsidP="004429A7" w14:paraId="3D78CA23" w14:textId="47B1B13A">
      <w:pPr>
        <w:rPr>
          <w:rFonts w:ascii="Times New Roman" w:hAnsi="Times New Roman" w:cs="Times New Roman"/>
          <w:color w:val="000000"/>
        </w:rPr>
      </w:pPr>
      <w:r w:rsidRPr="5249834F">
        <w:rPr>
          <w:rFonts w:ascii="Times New Roman" w:hAnsi="Times New Roman" w:cs="Times New Roman"/>
          <w:color w:val="000000" w:themeColor="text1"/>
        </w:rPr>
        <w:t xml:space="preserve"> </w:t>
      </w:r>
    </w:p>
    <w:p w:rsidR="0024793A" w:rsidRPr="00014454" w:rsidP="0024793A" w14:paraId="0F8FB272" w14:textId="77777777">
      <w:pPr>
        <w:tabs>
          <w:tab w:val="right" w:leader="dot" w:pos="9350"/>
        </w:tabs>
        <w:spacing w:after="100"/>
        <w:ind w:left="360" w:hanging="360"/>
        <w:rPr>
          <w:rFonts w:ascii="Times New Roman" w:hAnsi="Times New Roman" w:cs="Times New Roman"/>
          <w:noProof/>
          <w:webHidden/>
        </w:rPr>
      </w:pPr>
    </w:p>
    <w:p w:rsidR="0024793A" w:rsidRPr="00014454" w:rsidP="5249834F" w14:paraId="7FFA2594" w14:textId="11C4B208">
      <w:pPr>
        <w:pStyle w:val="Heading1"/>
        <w:rPr>
          <w:noProof/>
        </w:rPr>
      </w:pPr>
      <w:bookmarkStart w:id="4" w:name="_Toc177134728"/>
      <w:r>
        <w:t>Impact on Small Businesses or Other Small Entities</w:t>
      </w:r>
      <w:bookmarkEnd w:id="4"/>
    </w:p>
    <w:p w:rsidR="009723B3" w:rsidP="004429A7" w14:paraId="78F549BF" w14:textId="77777777">
      <w:pPr>
        <w:rPr>
          <w:rFonts w:ascii="Times New Roman" w:hAnsi="Times New Roman" w:cs="Times New Roman"/>
        </w:rPr>
      </w:pPr>
    </w:p>
    <w:p w:rsidR="00835C3A" w:rsidRPr="00014454" w:rsidP="004429A7" w14:paraId="2B668D4C" w14:textId="4C6B8007">
      <w:pPr>
        <w:rPr>
          <w:rFonts w:ascii="Times New Roman" w:hAnsi="Times New Roman" w:cs="Times New Roman"/>
        </w:rPr>
      </w:pPr>
      <w:r w:rsidRPr="5249834F">
        <w:rPr>
          <w:rFonts w:ascii="Times New Roman" w:hAnsi="Times New Roman" w:cs="Times New Roman"/>
        </w:rPr>
        <w:t>No small businesses are affected.</w:t>
      </w:r>
      <w:r w:rsidR="003C0755">
        <w:rPr>
          <w:rFonts w:ascii="Times New Roman" w:hAnsi="Times New Roman" w:cs="Times New Roman"/>
        </w:rPr>
        <w:t xml:space="preserve">  </w:t>
      </w:r>
      <w:r w:rsidRPr="5249834F" w:rsidR="003C0755">
        <w:rPr>
          <w:rFonts w:ascii="Times New Roman" w:hAnsi="Times New Roman" w:cs="Times New Roman"/>
        </w:rPr>
        <w:t>Only individuals will be asked to participate.</w:t>
      </w:r>
    </w:p>
    <w:p w:rsidR="0024793A" w:rsidRPr="00014454" w:rsidP="0024793A" w14:paraId="1C63415A" w14:textId="77777777">
      <w:pPr>
        <w:tabs>
          <w:tab w:val="right" w:leader="dot" w:pos="9350"/>
        </w:tabs>
        <w:spacing w:after="100"/>
        <w:rPr>
          <w:rFonts w:ascii="Times New Roman" w:hAnsi="Times New Roman" w:cs="Times New Roman"/>
          <w:noProof/>
          <w:webHidden/>
        </w:rPr>
      </w:pPr>
    </w:p>
    <w:p w:rsidR="0024793A" w:rsidRPr="00014454" w:rsidP="008000CD" w14:paraId="3A80A710" w14:textId="38033CB6">
      <w:pPr>
        <w:pStyle w:val="Heading1"/>
        <w:rPr>
          <w:noProof/>
        </w:rPr>
      </w:pPr>
      <w:hyperlink w:anchor="_Toc477855254">
        <w:bookmarkStart w:id="5" w:name="_Toc177134729"/>
        <w:r w:rsidRPr="5249834F" w:rsidR="3FD6132A">
          <w:rPr>
            <w:noProof/>
          </w:rPr>
          <w:t>Consequences of Collecting the Information Less Frequently</w:t>
        </w:r>
        <w:bookmarkEnd w:id="5"/>
      </w:hyperlink>
    </w:p>
    <w:p w:rsidR="009723B3" w:rsidP="004429A7" w14:paraId="2E267D4B" w14:textId="77777777">
      <w:pPr>
        <w:pStyle w:val="BodyText"/>
        <w:keepLines w:val="0"/>
        <w:widowControl w:val="0"/>
        <w:rPr>
          <w:rFonts w:ascii="Times New Roman" w:hAnsi="Times New Roman"/>
          <w:sz w:val="24"/>
          <w:szCs w:val="24"/>
        </w:rPr>
      </w:pPr>
    </w:p>
    <w:p w:rsidR="0035270C" w:rsidRPr="00014454" w:rsidP="004429A7" w14:paraId="08E03C45" w14:textId="751B29FB">
      <w:pPr>
        <w:pStyle w:val="BodyText"/>
        <w:keepLines w:val="0"/>
        <w:widowControl w:val="0"/>
        <w:rPr>
          <w:rFonts w:ascii="Times New Roman" w:hAnsi="Times New Roman"/>
          <w:sz w:val="24"/>
          <w:szCs w:val="24"/>
        </w:rPr>
      </w:pPr>
      <w:r w:rsidRPr="5249834F">
        <w:rPr>
          <w:rFonts w:ascii="Times New Roman" w:hAnsi="Times New Roman"/>
          <w:sz w:val="24"/>
          <w:szCs w:val="24"/>
        </w:rPr>
        <w:t>The continuous nature of the NHANES is necessary for several reasons. First, many of the data items collected in the NHANES are used for annual tracking of health events and circumstances, including tracking of the National Objectives for Health Promotion and Disease Prevention. Second, the continuous design makes it possible to aggregate data over longer periods of time to include enough cases to study rare events and small populations. Third, nutrition monitoring legislation explicitly calls for continuous coverage to monitor nutrition changes as they occur.  Fourth, a continuous survey is more cost effective because it makes possible a stable field staff, which increases the quality of the data and avoids start-up and shut-down costs. Reducing the frequency of data collection would undermine all of these desirable features of the NHANES.</w:t>
      </w:r>
    </w:p>
    <w:p w:rsidR="0024793A" w:rsidRPr="00014454" w:rsidP="0024793A" w14:paraId="3201D83B" w14:textId="77777777">
      <w:pPr>
        <w:tabs>
          <w:tab w:val="right" w:leader="dot" w:pos="9350"/>
        </w:tabs>
        <w:spacing w:after="100"/>
        <w:ind w:left="360" w:hanging="360"/>
        <w:rPr>
          <w:rFonts w:ascii="Times New Roman" w:hAnsi="Times New Roman" w:cs="Times New Roman"/>
          <w:noProof/>
        </w:rPr>
      </w:pPr>
    </w:p>
    <w:p w:rsidR="0024793A" w:rsidRPr="00014454" w:rsidP="008000CD" w14:paraId="7495D3DF" w14:textId="770C5CE2">
      <w:pPr>
        <w:pStyle w:val="Heading1"/>
        <w:rPr>
          <w:noProof/>
        </w:rPr>
      </w:pPr>
      <w:hyperlink w:anchor="_Toc477855256">
        <w:bookmarkStart w:id="6" w:name="_Toc177134730"/>
        <w:r w:rsidRPr="5249834F" w:rsidR="3FD6132A">
          <w:rPr>
            <w:noProof/>
          </w:rPr>
          <w:t>Specific Circumstances Relating to the Guidelines of 5 CFR 1320.5</w:t>
        </w:r>
        <w:bookmarkEnd w:id="6"/>
      </w:hyperlink>
    </w:p>
    <w:p w:rsidR="009723B3" w:rsidP="004429A7" w14:paraId="6C7FC2E8" w14:textId="77777777">
      <w:pPr>
        <w:rPr>
          <w:rFonts w:ascii="Times New Roman" w:hAnsi="Times New Roman" w:cs="Times New Roman"/>
        </w:rPr>
      </w:pPr>
    </w:p>
    <w:p w:rsidR="00835C3A" w:rsidRPr="00014454" w:rsidP="004429A7" w14:paraId="096C00DB" w14:textId="15A16A82">
      <w:pPr>
        <w:rPr>
          <w:rFonts w:ascii="Times New Roman" w:hAnsi="Times New Roman" w:cs="Times New Roman"/>
        </w:rPr>
      </w:pPr>
      <w:r w:rsidRPr="5249834F">
        <w:rPr>
          <w:rFonts w:ascii="Times New Roman" w:hAnsi="Times New Roman" w:cs="Times New Roman"/>
        </w:rPr>
        <w:t>This request fully complies with the regulation 5 CFR 1320.5.</w:t>
      </w:r>
    </w:p>
    <w:p w:rsidR="00835C3A" w:rsidRPr="00014454" w:rsidP="0024793A" w14:paraId="3B7BA1F7" w14:textId="77777777">
      <w:pPr>
        <w:tabs>
          <w:tab w:val="right" w:leader="dot" w:pos="9350"/>
        </w:tabs>
        <w:spacing w:after="100"/>
        <w:ind w:left="360" w:hanging="360"/>
        <w:rPr>
          <w:rFonts w:ascii="Times New Roman" w:hAnsi="Times New Roman" w:cs="Times New Roman"/>
          <w:noProof/>
        </w:rPr>
      </w:pPr>
    </w:p>
    <w:p w:rsidR="00110B4E" w:rsidRPr="00014454" w:rsidP="008000CD" w14:paraId="18BDCF8A" w14:textId="09DB1F1A">
      <w:pPr>
        <w:pStyle w:val="Heading1"/>
      </w:pPr>
      <w:bookmarkStart w:id="7" w:name="_Toc177134731"/>
      <w:r>
        <w:t xml:space="preserve">Comments in Response to the Federal Register Notice and Efforts to Consult Outside </w:t>
      </w:r>
      <w:r w:rsidR="1937ABC0">
        <w:t>the Agency</w:t>
      </w:r>
      <w:bookmarkEnd w:id="7"/>
    </w:p>
    <w:p w:rsidR="002C2C4F" w:rsidRPr="00014454" w:rsidP="007D38DF" w14:paraId="39E04DA4" w14:textId="13EBFF6C"/>
    <w:p w:rsidR="002C2C4F" w:rsidRPr="00014454" w:rsidP="008000CD" w14:paraId="4B217F1E" w14:textId="77777777">
      <w:pPr>
        <w:rPr>
          <w:rFonts w:ascii="Times New Roman" w:hAnsi="Times New Roman" w:cs="Times New Roman"/>
        </w:rPr>
      </w:pPr>
      <w:r w:rsidRPr="00014454">
        <w:rPr>
          <w:rFonts w:ascii="Times New Roman" w:hAnsi="Times New Roman" w:cs="Times New Roman"/>
        </w:rPr>
        <w:t>a. Federal Register Notice</w:t>
      </w:r>
    </w:p>
    <w:p w:rsidR="002C2C4F" w:rsidRPr="00014454" w:rsidP="008000CD" w14:paraId="5F167BD0" w14:textId="77777777">
      <w:pPr>
        <w:rPr>
          <w:rFonts w:ascii="Times New Roman" w:hAnsi="Times New Roman" w:cs="Times New Roman"/>
        </w:rPr>
      </w:pPr>
    </w:p>
    <w:p w:rsidR="00A25FA6" w:rsidRPr="00014454" w:rsidP="00F5044D" w14:paraId="6C0AB49E" w14:textId="6A405CCA">
      <w:pPr>
        <w:spacing w:line="259" w:lineRule="auto"/>
        <w:rPr>
          <w:rFonts w:ascii="Times New Roman" w:hAnsi="Times New Roman" w:cs="Times New Roman"/>
        </w:rPr>
      </w:pPr>
      <w:bookmarkStart w:id="8" w:name="_Toc80019632"/>
      <w:bookmarkStart w:id="9" w:name="_Toc80020459"/>
      <w:bookmarkStart w:id="10" w:name="_Toc145333159"/>
      <w:bookmarkStart w:id="11" w:name="_Toc145333434"/>
      <w:bookmarkStart w:id="12" w:name="_Toc151958672"/>
      <w:r w:rsidRPr="008768C6">
        <w:rPr>
          <w:rFonts w:ascii="Times New Roman" w:hAnsi="Times New Roman"/>
        </w:rPr>
        <w:t xml:space="preserve">The 60-day notice was published in the </w:t>
      </w:r>
      <w:r w:rsidRPr="008768C6">
        <w:rPr>
          <w:rFonts w:ascii="Times New Roman" w:hAnsi="Times New Roman"/>
          <w:i/>
        </w:rPr>
        <w:t xml:space="preserve">Federal Register </w:t>
      </w:r>
      <w:r w:rsidRPr="008768C6">
        <w:rPr>
          <w:rFonts w:ascii="Times New Roman" w:hAnsi="Times New Roman"/>
          <w:iCs/>
        </w:rPr>
        <w:t xml:space="preserve">on </w:t>
      </w:r>
      <w:r w:rsidR="00571C57">
        <w:rPr>
          <w:rFonts w:ascii="Times New Roman" w:hAnsi="Times New Roman"/>
          <w:iCs/>
        </w:rPr>
        <w:t xml:space="preserve">October </w:t>
      </w:r>
      <w:r w:rsidRPr="008768C6">
        <w:rPr>
          <w:rFonts w:ascii="Times New Roman" w:hAnsi="Times New Roman"/>
          <w:iCs/>
        </w:rPr>
        <w:t>2</w:t>
      </w:r>
      <w:r w:rsidR="00571C57">
        <w:rPr>
          <w:rFonts w:ascii="Times New Roman" w:hAnsi="Times New Roman"/>
          <w:iCs/>
        </w:rPr>
        <w:t>1</w:t>
      </w:r>
      <w:r w:rsidRPr="008768C6">
        <w:rPr>
          <w:rFonts w:ascii="Times New Roman" w:hAnsi="Times New Roman"/>
          <w:iCs/>
        </w:rPr>
        <w:t>, 2022</w:t>
      </w:r>
      <w:r w:rsidRPr="008768C6">
        <w:rPr>
          <w:rFonts w:ascii="Times New Roman" w:hAnsi="Times New Roman"/>
        </w:rPr>
        <w:t xml:space="preserve">, Vol. 87, No. </w:t>
      </w:r>
      <w:r w:rsidR="00571C57">
        <w:rPr>
          <w:rFonts w:ascii="Times New Roman" w:hAnsi="Times New Roman"/>
        </w:rPr>
        <w:t>203</w:t>
      </w:r>
      <w:r w:rsidRPr="008768C6">
        <w:rPr>
          <w:rFonts w:ascii="Times New Roman" w:hAnsi="Times New Roman"/>
        </w:rPr>
        <w:t xml:space="preserve">, page </w:t>
      </w:r>
      <w:r w:rsidR="00EA32F8">
        <w:rPr>
          <w:rFonts w:ascii="Times New Roman" w:hAnsi="Times New Roman"/>
        </w:rPr>
        <w:t>64049</w:t>
      </w:r>
      <w:r w:rsidRPr="008768C6">
        <w:rPr>
          <w:rFonts w:ascii="Times New Roman" w:hAnsi="Times New Roman"/>
        </w:rPr>
        <w:t xml:space="preserve">.  No additional public comments are required for this GenIC. </w:t>
      </w:r>
    </w:p>
    <w:p w:rsidR="00A25FA6" w:rsidRPr="00014454" w:rsidP="00A25FA6" w14:paraId="71C00D67" w14:textId="77777777">
      <w:pPr>
        <w:rPr>
          <w:rFonts w:ascii="Times New Roman" w:hAnsi="Times New Roman" w:cs="Times New Roman"/>
        </w:rPr>
      </w:pPr>
    </w:p>
    <w:p w:rsidR="002C2C4F" w:rsidRPr="00014454" w:rsidP="008000CD" w14:paraId="1E5C9EA6" w14:textId="5153FEB9">
      <w:pPr>
        <w:rPr>
          <w:rFonts w:ascii="Times New Roman" w:hAnsi="Times New Roman" w:cs="Times New Roman"/>
        </w:rPr>
      </w:pPr>
      <w:r w:rsidRPr="00014454">
        <w:rPr>
          <w:rFonts w:ascii="Times New Roman" w:hAnsi="Times New Roman" w:cs="Times New Roman"/>
        </w:rPr>
        <w:t>b. Outside Consultation</w:t>
      </w:r>
      <w:bookmarkEnd w:id="8"/>
      <w:bookmarkEnd w:id="9"/>
      <w:bookmarkEnd w:id="10"/>
      <w:bookmarkEnd w:id="11"/>
      <w:bookmarkEnd w:id="12"/>
    </w:p>
    <w:p w:rsidR="002C2C4F" w:rsidRPr="00014454" w:rsidP="008000CD" w14:paraId="623EF61B" w14:textId="77777777">
      <w:pPr>
        <w:rPr>
          <w:rFonts w:ascii="Times New Roman" w:hAnsi="Times New Roman" w:cs="Times New Roman"/>
        </w:rPr>
      </w:pPr>
    </w:p>
    <w:p w:rsidR="002C2C4F" w:rsidRPr="00014454" w:rsidP="008000CD" w14:paraId="247465AB" w14:textId="620C5470">
      <w:pPr>
        <w:rPr>
          <w:rFonts w:ascii="Times New Roman" w:hAnsi="Times New Roman" w:cs="Times New Roman"/>
        </w:rPr>
      </w:pPr>
      <w:r w:rsidRPr="004F5ABA">
        <w:rPr>
          <w:rFonts w:ascii="Times New Roman" w:hAnsi="Times New Roman" w:cs="Times New Roman"/>
        </w:rPr>
        <w:t>The content of NHANES is developed with input from numerous DHHS agencies (including NIH, FDA, and CDC), several USDA entities (Agricultural Research Service (ARS), Economic Research Service (ERS), and Food and Nutrition Service (FNS)), other Federal agencies, non-government organizations, and individuals. The DHHS Data Council has been kept informed of the future NHANES plans. Additionally, NCHS’s Board of Scientific Counselors has been informed of future planning.</w:t>
      </w:r>
    </w:p>
    <w:p w:rsidR="002C2C4F" w:rsidRPr="00014454" w:rsidP="008000CD" w14:paraId="206D0E44" w14:textId="77777777">
      <w:pPr>
        <w:rPr>
          <w:rFonts w:ascii="Times New Roman" w:hAnsi="Times New Roman" w:cs="Times New Roman"/>
        </w:rPr>
      </w:pPr>
    </w:p>
    <w:p w:rsidR="002C2C4F" w:rsidRPr="00014454" w:rsidP="008000CD" w14:paraId="12C90293" w14:textId="10797581">
      <w:pPr>
        <w:rPr>
          <w:rFonts w:ascii="Times New Roman" w:hAnsi="Times New Roman" w:cs="Times New Roman"/>
        </w:rPr>
      </w:pPr>
      <w:r w:rsidRPr="00014454">
        <w:rPr>
          <w:rFonts w:ascii="Times New Roman" w:hAnsi="Times New Roman" w:cs="Times New Roman"/>
        </w:rPr>
        <w:t xml:space="preserve">NHANES is a collaborative undertaking. Broad input is sought from data users and interested parties to maximize the utility of the survey data. Extensive consultations occur in meetings with NHANES collaborators and interested agencies. A formal research proposal solicitation process occurs prior to content planning and development.  </w:t>
      </w:r>
    </w:p>
    <w:p w:rsidR="00453DAD" w:rsidRPr="00014454" w:rsidP="004429A7" w14:paraId="4865E4FD" w14:textId="77777777">
      <w:pPr>
        <w:rPr>
          <w:rFonts w:ascii="Times New Roman" w:hAnsi="Times New Roman" w:cs="Times New Roman"/>
          <w:color w:val="000000" w:themeColor="text1"/>
        </w:rPr>
      </w:pPr>
    </w:p>
    <w:p w:rsidR="00371C08" w:rsidRPr="00014454" w:rsidP="008000CD" w14:paraId="7BAC6C21" w14:textId="4FD0C702">
      <w:pPr>
        <w:pStyle w:val="Heading1"/>
      </w:pPr>
      <w:bookmarkStart w:id="13" w:name="_Toc177134732"/>
      <w:r>
        <w:t>Explanation of any payment or gift to respondents.</w:t>
      </w:r>
      <w:bookmarkEnd w:id="13"/>
    </w:p>
    <w:p w:rsidR="004A50D3" w:rsidRPr="00014454" w14:paraId="20BD1DC9" w14:textId="77777777">
      <w:pPr>
        <w:rPr>
          <w:rFonts w:ascii="Times New Roman" w:hAnsi="Times New Roman" w:cs="Times New Roman"/>
          <w:color w:val="000000" w:themeColor="text1"/>
        </w:rPr>
      </w:pPr>
    </w:p>
    <w:p w:rsidR="003C5940" w:rsidRPr="00D37961" w:rsidP="00F12BF5" w14:paraId="463DE9C9" w14:textId="652270C9">
      <w:pPr>
        <w:contextualSpacing/>
        <w:rPr>
          <w:rFonts w:ascii="Times New Roman" w:hAnsi="Times New Roman" w:cs="Times New Roman"/>
        </w:rPr>
      </w:pPr>
      <w:r w:rsidRPr="00A03A2F">
        <w:rPr>
          <w:rFonts w:ascii="Times New Roman" w:hAnsi="Times New Roman" w:cs="Times New Roman"/>
        </w:rPr>
        <w:t xml:space="preserve">Each </w:t>
      </w:r>
      <w:r w:rsidRPr="00D37961">
        <w:rPr>
          <w:rFonts w:ascii="Times New Roman" w:hAnsi="Times New Roman" w:cs="Times New Roman"/>
        </w:rPr>
        <w:t>participant in th</w:t>
      </w:r>
      <w:r w:rsidR="00B918E6">
        <w:rPr>
          <w:rFonts w:ascii="Times New Roman" w:hAnsi="Times New Roman" w:cs="Times New Roman"/>
        </w:rPr>
        <w:t>e</w:t>
      </w:r>
      <w:r w:rsidRPr="00D37961">
        <w:rPr>
          <w:rFonts w:ascii="Times New Roman" w:hAnsi="Times New Roman" w:cs="Times New Roman"/>
        </w:rPr>
        <w:t xml:space="preserve"> DXA study will receive a $100 gift card for their</w:t>
      </w:r>
      <w:r w:rsidR="00B918E6">
        <w:rPr>
          <w:rFonts w:ascii="Times New Roman" w:hAnsi="Times New Roman" w:cs="Times New Roman"/>
        </w:rPr>
        <w:t xml:space="preserve"> participation</w:t>
      </w:r>
      <w:r w:rsidRPr="00D37961">
        <w:rPr>
          <w:rFonts w:ascii="Times New Roman" w:hAnsi="Times New Roman" w:cs="Times New Roman"/>
        </w:rPr>
        <w:t>.</w:t>
      </w:r>
      <w:r w:rsidR="00293489">
        <w:rPr>
          <w:rFonts w:ascii="Times New Roman" w:hAnsi="Times New Roman" w:cs="Times New Roman"/>
        </w:rPr>
        <w:t xml:space="preserve"> </w:t>
      </w:r>
      <w:r w:rsidR="00F12BF5">
        <w:rPr>
          <w:rFonts w:ascii="Times New Roman" w:hAnsi="Times New Roman" w:cs="Times New Roman"/>
        </w:rPr>
        <w:t>Remuneration</w:t>
      </w:r>
      <w:r w:rsidR="002D71E7">
        <w:rPr>
          <w:rFonts w:ascii="Times New Roman" w:hAnsi="Times New Roman" w:cs="Times New Roman"/>
        </w:rPr>
        <w:t xml:space="preserve"> </w:t>
      </w:r>
      <w:r w:rsidR="00650FC4">
        <w:rPr>
          <w:rFonts w:ascii="Times New Roman" w:hAnsi="Times New Roman" w:cs="Times New Roman"/>
        </w:rPr>
        <w:t xml:space="preserve">in the amount of </w:t>
      </w:r>
      <w:r w:rsidR="002D71E7">
        <w:rPr>
          <w:rFonts w:ascii="Times New Roman" w:hAnsi="Times New Roman" w:cs="Times New Roman"/>
        </w:rPr>
        <w:t>$30</w:t>
      </w:r>
      <w:r w:rsidR="00650FC4">
        <w:rPr>
          <w:rFonts w:ascii="Times New Roman" w:hAnsi="Times New Roman" w:cs="Times New Roman"/>
        </w:rPr>
        <w:t xml:space="preserve"> </w:t>
      </w:r>
      <w:r w:rsidR="002D71E7">
        <w:rPr>
          <w:rFonts w:ascii="Times New Roman" w:hAnsi="Times New Roman" w:cs="Times New Roman"/>
        </w:rPr>
        <w:t xml:space="preserve">will </w:t>
      </w:r>
      <w:r w:rsidR="00650FC4">
        <w:rPr>
          <w:rFonts w:ascii="Times New Roman" w:hAnsi="Times New Roman" w:cs="Times New Roman"/>
        </w:rPr>
        <w:t xml:space="preserve">also </w:t>
      </w:r>
      <w:r w:rsidR="002D71E7">
        <w:rPr>
          <w:rFonts w:ascii="Times New Roman" w:hAnsi="Times New Roman" w:cs="Times New Roman"/>
        </w:rPr>
        <w:t>be given</w:t>
      </w:r>
      <w:r w:rsidR="00650FC4">
        <w:rPr>
          <w:rFonts w:ascii="Times New Roman" w:hAnsi="Times New Roman" w:cs="Times New Roman"/>
        </w:rPr>
        <w:t>, via gift card,</w:t>
      </w:r>
      <w:r w:rsidR="002D71E7">
        <w:rPr>
          <w:rFonts w:ascii="Times New Roman" w:hAnsi="Times New Roman" w:cs="Times New Roman"/>
        </w:rPr>
        <w:t xml:space="preserve"> to each </w:t>
      </w:r>
      <w:r w:rsidR="00B918E6">
        <w:rPr>
          <w:rFonts w:ascii="Times New Roman" w:hAnsi="Times New Roman" w:cs="Times New Roman"/>
        </w:rPr>
        <w:t xml:space="preserve">person </w:t>
      </w:r>
      <w:r w:rsidR="00B37BE6">
        <w:rPr>
          <w:rFonts w:ascii="Times New Roman" w:hAnsi="Times New Roman" w:cs="Times New Roman"/>
        </w:rPr>
        <w:t>who</w:t>
      </w:r>
      <w:r w:rsidR="002D71E7">
        <w:rPr>
          <w:rFonts w:ascii="Times New Roman" w:hAnsi="Times New Roman" w:cs="Times New Roman"/>
        </w:rPr>
        <w:t xml:space="preserve"> </w:t>
      </w:r>
      <w:r w:rsidR="002D71E7">
        <w:rPr>
          <w:rFonts w:ascii="Times New Roman" w:hAnsi="Times New Roman" w:cs="Times New Roman"/>
        </w:rPr>
        <w:t>participat</w:t>
      </w:r>
      <w:r w:rsidR="00B37BE6">
        <w:rPr>
          <w:rFonts w:ascii="Times New Roman" w:hAnsi="Times New Roman" w:cs="Times New Roman"/>
        </w:rPr>
        <w:t>es</w:t>
      </w:r>
      <w:r w:rsidR="002D71E7">
        <w:rPr>
          <w:rFonts w:ascii="Times New Roman" w:hAnsi="Times New Roman" w:cs="Times New Roman"/>
        </w:rPr>
        <w:t xml:space="preserve"> in the </w:t>
      </w:r>
      <w:r w:rsidR="00C03DB2">
        <w:rPr>
          <w:rFonts w:ascii="Times New Roman" w:hAnsi="Times New Roman" w:cs="Times New Roman"/>
        </w:rPr>
        <w:t>h</w:t>
      </w:r>
      <w:r w:rsidR="002D71E7">
        <w:rPr>
          <w:rFonts w:ascii="Times New Roman" w:hAnsi="Times New Roman" w:cs="Times New Roman"/>
        </w:rPr>
        <w:t>ematology study.</w:t>
      </w:r>
      <w:r w:rsidR="00B37BE6">
        <w:rPr>
          <w:rFonts w:ascii="Times New Roman" w:hAnsi="Times New Roman" w:cs="Times New Roman"/>
        </w:rPr>
        <w:t xml:space="preserve"> Participants w</w:t>
      </w:r>
      <w:r w:rsidR="00652D38">
        <w:rPr>
          <w:rFonts w:ascii="Times New Roman" w:hAnsi="Times New Roman" w:cs="Times New Roman"/>
        </w:rPr>
        <w:t xml:space="preserve">ho complete both crossover studies will receive </w:t>
      </w:r>
      <w:r w:rsidR="00C80481">
        <w:rPr>
          <w:rFonts w:ascii="Times New Roman" w:hAnsi="Times New Roman" w:cs="Times New Roman"/>
        </w:rPr>
        <w:t xml:space="preserve">remuneration in the total amount of </w:t>
      </w:r>
      <w:r w:rsidR="00652D38">
        <w:rPr>
          <w:rFonts w:ascii="Times New Roman" w:hAnsi="Times New Roman" w:cs="Times New Roman"/>
        </w:rPr>
        <w:t xml:space="preserve">$130. </w:t>
      </w:r>
    </w:p>
    <w:p w:rsidR="00E54003" w:rsidRPr="00014454" w14:paraId="1C6E7DD8" w14:textId="77777777">
      <w:pPr>
        <w:rPr>
          <w:rFonts w:ascii="Times New Roman" w:hAnsi="Times New Roman" w:cs="Times New Roman"/>
          <w:color w:val="000000" w:themeColor="text1"/>
        </w:rPr>
      </w:pPr>
    </w:p>
    <w:p w:rsidR="00643CE7" w:rsidRPr="00014454" w:rsidP="008000CD" w14:paraId="34B02A2A" w14:textId="1AC0FB54">
      <w:pPr>
        <w:pStyle w:val="Heading1"/>
      </w:pPr>
      <w:r>
        <w:t xml:space="preserve"> </w:t>
      </w:r>
      <w:bookmarkStart w:id="14" w:name="_Toc177134733"/>
      <w:r>
        <w:t>Protection of the Privacy and Confidentiality of Information Provided by Respondents</w:t>
      </w:r>
      <w:bookmarkEnd w:id="14"/>
    </w:p>
    <w:p w:rsidR="00643CE7" w:rsidRPr="00014454" w:rsidP="00643CE7" w14:paraId="654E6333" w14:textId="77777777">
      <w:pPr>
        <w:rPr>
          <w:rFonts w:ascii="Times New Roman" w:hAnsi="Times New Roman" w:cs="Times New Roman"/>
        </w:rPr>
      </w:pPr>
    </w:p>
    <w:p w:rsidR="00B542AE" w:rsidRPr="00D9582D" w:rsidP="006E360A" w14:paraId="57BB0D30" w14:textId="6B42378A">
      <w:pPr>
        <w:widowControl/>
        <w:tabs>
          <w:tab w:val="left" w:pos="0"/>
        </w:tabs>
        <w:rPr>
          <w:rFonts w:ascii="Times New Roman" w:hAnsi="Times New Roman" w:cs="Times New Roman"/>
        </w:rPr>
      </w:pPr>
      <w:r w:rsidRPr="00D9582D">
        <w:rPr>
          <w:rFonts w:ascii="Times New Roman" w:hAnsi="Times New Roman" w:cs="Times New Roman"/>
        </w:rPr>
        <w:t>Data will be kept private to the extent allowed by law.</w:t>
      </w:r>
    </w:p>
    <w:p w:rsidR="00C27DDC" w:rsidP="5249834F" w14:paraId="180F8105" w14:textId="77777777">
      <w:pPr>
        <w:rPr>
          <w:rFonts w:ascii="Times New Roman" w:hAnsi="Times New Roman" w:cs="Times New Roman"/>
        </w:rPr>
      </w:pPr>
    </w:p>
    <w:p w:rsidR="00643CE7" w:rsidRPr="00014454" w:rsidP="5249834F" w14:paraId="0B40827B" w14:textId="49DAA4E3">
      <w:pPr>
        <w:rPr>
          <w:rFonts w:ascii="Times New Roman" w:hAnsi="Times New Roman" w:cs="Times New Roman"/>
        </w:rPr>
      </w:pPr>
      <w:r w:rsidRPr="5249834F">
        <w:rPr>
          <w:rFonts w:ascii="Times New Roman" w:hAnsi="Times New Roman" w:cs="Times New Roman"/>
        </w:rPr>
        <w:t xml:space="preserve">The NCHS Privacy Act Coordinator and the NCHS Confidentiality Officer have reviewed this package and have determined that the Privacy Act is applicable. This study is covered under Privacy Act System of Records Notice 09-20-0164 (“Health and Demographic Surveys Conducted in Probability Samples of the U.S. Population”).  </w:t>
      </w:r>
    </w:p>
    <w:p w:rsidR="00643CE7" w:rsidRPr="00014454" w:rsidP="00643CE7" w14:paraId="44DA7230" w14:textId="77777777">
      <w:pPr>
        <w:rPr>
          <w:rFonts w:ascii="Times New Roman" w:hAnsi="Times New Roman" w:cs="Times New Roman"/>
        </w:rPr>
      </w:pPr>
    </w:p>
    <w:p w:rsidR="00643CE7" w:rsidRPr="00014454" w:rsidP="5249834F" w14:paraId="0B5B7C8C" w14:textId="360ED640">
      <w:pPr>
        <w:rPr>
          <w:rFonts w:ascii="Times New Roman" w:hAnsi="Times New Roman" w:cs="Times New Roman"/>
        </w:rPr>
      </w:pPr>
      <w:r w:rsidRPr="5249834F">
        <w:rPr>
          <w:rFonts w:ascii="Times New Roman" w:hAnsi="Times New Roman" w:cs="Times New Roman"/>
        </w:rPr>
        <w:t xml:space="preserve">The Privacy Act of 1974 (5 U.S.C. 552a) “requires the safeguarding of individuals”, and Section 308(d) of the Public Health Service Act (42 U.S.C. 242m(d))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w:t>
      </w:r>
      <w:r w:rsidRPr="5249834F" w:rsidR="6CC3BD06">
        <w:rPr>
          <w:rFonts w:ascii="Times New Roman" w:hAnsi="Times New Roman" w:cs="Times New Roman"/>
        </w:rPr>
        <w:t>f</w:t>
      </w:r>
      <w:r w:rsidRPr="5249834F">
        <w:rPr>
          <w:rFonts w:ascii="Times New Roman" w:hAnsi="Times New Roman" w:cs="Times New Roman"/>
        </w:rPr>
        <w:t>ederal agency according to either individual’s name or some other identifier. This law also requires that such records in NCHS be protected from “uses other than those purposes for which they were collected.”</w:t>
      </w:r>
    </w:p>
    <w:p w:rsidR="00643CE7" w:rsidRPr="00014454" w:rsidP="00643CE7" w14:paraId="4FC5C9EB" w14:textId="77777777">
      <w:pPr>
        <w:rPr>
          <w:rFonts w:ascii="Times New Roman" w:hAnsi="Times New Roman" w:cs="Times New Roman"/>
          <w:bCs/>
          <w:iCs/>
        </w:rPr>
      </w:pPr>
    </w:p>
    <w:p w:rsidR="00643CE7" w:rsidRPr="00014454" w:rsidP="00643CE7" w14:paraId="71E02C03" w14:textId="2F3B665C">
      <w:pPr>
        <w:rPr>
          <w:rFonts w:ascii="Times New Roman" w:hAnsi="Times New Roman" w:cs="Times New Roman"/>
          <w:bCs/>
          <w:iCs/>
        </w:rPr>
      </w:pPr>
      <w:r w:rsidRPr="00014454">
        <w:rPr>
          <w:rFonts w:ascii="Times New Roman" w:hAnsi="Times New Roman" w:cs="Times New Roman"/>
          <w:bCs/>
          <w:iCs/>
        </w:rPr>
        <w:t>The confidentiality of individuals participating in the GenICs under th</w:t>
      </w:r>
      <w:r w:rsidR="00DF2060">
        <w:rPr>
          <w:rFonts w:ascii="Times New Roman" w:hAnsi="Times New Roman" w:cs="Times New Roman"/>
          <w:bCs/>
          <w:iCs/>
        </w:rPr>
        <w:t>e</w:t>
      </w:r>
      <w:r w:rsidRPr="00014454">
        <w:rPr>
          <w:rFonts w:ascii="Times New Roman" w:hAnsi="Times New Roman" w:cs="Times New Roman"/>
          <w:bCs/>
          <w:iCs/>
        </w:rPr>
        <w:t xml:space="preserve"> Developmental Studies to Improve the National Health and Nutrition Examination Survey and </w:t>
      </w:r>
      <w:r w:rsidR="00361094">
        <w:rPr>
          <w:rFonts w:ascii="Times New Roman" w:hAnsi="Times New Roman" w:cs="Times New Roman"/>
          <w:bCs/>
          <w:iCs/>
        </w:rPr>
        <w:t>Similar</w:t>
      </w:r>
      <w:r w:rsidRPr="00014454">
        <w:rPr>
          <w:rFonts w:ascii="Times New Roman" w:hAnsi="Times New Roman" w:cs="Times New Roman"/>
          <w:bCs/>
          <w:iCs/>
        </w:rPr>
        <w:t xml:space="preserve"> Programs </w:t>
      </w:r>
      <w:r w:rsidR="00361094">
        <w:rPr>
          <w:rFonts w:ascii="Times New Roman" w:hAnsi="Times New Roman" w:cs="Times New Roman"/>
          <w:bCs/>
          <w:iCs/>
        </w:rPr>
        <w:t>g</w:t>
      </w:r>
      <w:r w:rsidRPr="00014454">
        <w:rPr>
          <w:rFonts w:ascii="Times New Roman" w:hAnsi="Times New Roman" w:cs="Times New Roman"/>
          <w:bCs/>
          <w:iCs/>
        </w:rPr>
        <w:t xml:space="preserve">eneric </w:t>
      </w:r>
      <w:r w:rsidR="00361094">
        <w:rPr>
          <w:rFonts w:ascii="Times New Roman" w:hAnsi="Times New Roman" w:cs="Times New Roman"/>
          <w:bCs/>
          <w:iCs/>
        </w:rPr>
        <w:t xml:space="preserve">package </w:t>
      </w:r>
      <w:r w:rsidRPr="00014454">
        <w:rPr>
          <w:rFonts w:ascii="Times New Roman" w:hAnsi="Times New Roman" w:cs="Times New Roman"/>
          <w:bCs/>
          <w:iCs/>
        </w:rPr>
        <w:t>are protected by section 308(d) of the Public Health Service Act (42 USC 242m(d)), which states:</w:t>
      </w:r>
    </w:p>
    <w:p w:rsidR="00643CE7" w:rsidRPr="00014454" w:rsidP="00643CE7" w14:paraId="400561A8" w14:textId="77777777">
      <w:pPr>
        <w:rPr>
          <w:rFonts w:ascii="Times New Roman" w:hAnsi="Times New Roman" w:cs="Times New Roman"/>
          <w:bCs/>
          <w:iCs/>
        </w:rPr>
      </w:pPr>
    </w:p>
    <w:p w:rsidR="00643CE7" w:rsidRPr="00014454" w:rsidP="5EC88010" w14:paraId="29803988" w14:textId="51E9E98E">
      <w:pPr>
        <w:rPr>
          <w:rFonts w:ascii="Times New Roman" w:hAnsi="Times New Roman" w:cs="Times New Roman"/>
        </w:rPr>
      </w:pPr>
      <w:r w:rsidRPr="00014454">
        <w:rPr>
          <w:rFonts w:ascii="Times New Roman" w:hAnsi="Times New Roman" w:cs="Times New Roman"/>
        </w:rPr>
        <w:t>"No information, if an establishment or person supplying the information or described in it is identifiable, obtained in the course of activities undertaken or supported under section</w:t>
      </w:r>
      <w:r w:rsidRPr="00014454" w:rsidR="43C5BC8E">
        <w:rPr>
          <w:rFonts w:ascii="Times New Roman" w:hAnsi="Times New Roman" w:cs="Times New Roman"/>
        </w:rPr>
        <w:t xml:space="preserve"> 304, 306, or 307 </w:t>
      </w:r>
      <w:r w:rsidRPr="00014454">
        <w:rPr>
          <w:rFonts w:ascii="Times New Roman" w:hAnsi="Times New Roman" w:cs="Times New Roman"/>
        </w:rPr>
        <w:t>may be used for any purpose other than the purpose for which it was supplied unless such establishment or person has consented (as determined under regulations of the Secretary) to its use for such other purpose and in the case of information obtained in the course of health statistical or epidemiological activities under section</w:t>
      </w:r>
      <w:r w:rsidRPr="00014454" w:rsidR="092BDBDD">
        <w:rPr>
          <w:rFonts w:ascii="Times New Roman" w:hAnsi="Times New Roman" w:cs="Times New Roman"/>
        </w:rPr>
        <w:t xml:space="preserve"> 304 or 306</w:t>
      </w:r>
      <w:r w:rsidRPr="00014454">
        <w:rPr>
          <w:rFonts w:ascii="Times New Roman" w:hAnsi="Times New Roman" w:cs="Times New Roman"/>
        </w:rPr>
        <w:t>,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643CE7" w:rsidRPr="00014454" w:rsidP="00643CE7" w14:paraId="372BE588" w14:textId="77777777">
      <w:pPr>
        <w:rPr>
          <w:rFonts w:ascii="Times New Roman" w:hAnsi="Times New Roman" w:cs="Times New Roman"/>
          <w:bCs/>
          <w:iCs/>
        </w:rPr>
      </w:pPr>
    </w:p>
    <w:p w:rsidR="00643CE7" w:rsidRPr="00014454" w:rsidP="5EC88010" w14:paraId="2A11650E" w14:textId="081FC75C">
      <w:pPr>
        <w:rPr>
          <w:rFonts w:ascii="Times New Roman" w:hAnsi="Times New Roman" w:cs="Times New Roman"/>
        </w:rPr>
      </w:pPr>
      <w:r w:rsidRPr="00014454">
        <w:rPr>
          <w:rFonts w:ascii="Times New Roman" w:hAnsi="Times New Roman" w:cs="Times New Roman"/>
        </w:rPr>
        <w:t>In addition, legislation covering confidentiality is provided according to the Confidential Information Protection and Statistical Efficiency Act o</w:t>
      </w:r>
      <w:r w:rsidR="00E75F9C">
        <w:rPr>
          <w:rFonts w:ascii="Times New Roman" w:hAnsi="Times New Roman" w:cs="Times New Roman"/>
        </w:rPr>
        <w:t>r</w:t>
      </w:r>
      <w:r w:rsidRPr="00014454">
        <w:rPr>
          <w:rFonts w:ascii="Times New Roman" w:hAnsi="Times New Roman" w:cs="Times New Roman"/>
        </w:rPr>
        <w:t xml:space="preserve"> </w:t>
      </w:r>
      <w:r w:rsidRPr="00E75F9C" w:rsidR="00E75F9C">
        <w:rPr>
          <w:rFonts w:ascii="Times New Roman" w:hAnsi="Times New Roman" w:cs="Times New Roman"/>
        </w:rPr>
        <w:t xml:space="preserve">CIPSEA (44 U.S.C. 3561-3583) </w:t>
      </w:r>
      <w:r w:rsidRPr="00014454">
        <w:rPr>
          <w:rFonts w:ascii="Times New Roman" w:hAnsi="Times New Roman" w:cs="Times New Roman"/>
        </w:rPr>
        <w:t>which states:</w:t>
      </w:r>
    </w:p>
    <w:p w:rsidR="00643CE7" w:rsidRPr="00014454" w:rsidP="00643CE7" w14:paraId="785E8AF9" w14:textId="77777777">
      <w:pPr>
        <w:rPr>
          <w:rFonts w:ascii="Times New Roman" w:hAnsi="Times New Roman" w:cs="Times New Roman"/>
          <w:bCs/>
          <w:iCs/>
        </w:rPr>
      </w:pPr>
    </w:p>
    <w:p w:rsidR="00643CE7" w:rsidRPr="00014454" w:rsidP="5EC88010" w14:paraId="5E0657D5" w14:textId="018E8FA0">
      <w:pPr>
        <w:rPr>
          <w:rFonts w:ascii="Times New Roman" w:hAnsi="Times New Roman" w:cs="Times New Roman"/>
          <w:i/>
          <w:iCs/>
        </w:rPr>
      </w:pPr>
      <w:r w:rsidRPr="00014454">
        <w:rPr>
          <w:rFonts w:ascii="Times New Roman" w:hAnsi="Times New Roman" w:cs="Times New Roman"/>
          <w:i/>
          <w:iCs/>
        </w:rPr>
        <w:t>“</w:t>
      </w:r>
      <w:r w:rsidRPr="00014454" w:rsidR="69B7929F">
        <w:rPr>
          <w:rFonts w:ascii="Times New Roman" w:hAnsi="Times New Roman" w:cs="Times New Roman"/>
          <w:i/>
          <w:iCs/>
        </w:rPr>
        <w:t xml:space="preserve">(f) Fines and Penalties. -- </w:t>
      </w:r>
      <w:r w:rsidRPr="00014454">
        <w:rPr>
          <w:rFonts w:ascii="Times New Roman" w:hAnsi="Times New Roman" w:cs="Times New Roman"/>
          <w:i/>
          <w:iCs/>
        </w:rPr>
        <w:t xml:space="preserve">Whoever, being an officer, employee, or agent of an agency acquiring information for exclusively statistical purposes, having taken and subscribed the oath of office, or having sworn to observe the limitations imposed by </w:t>
      </w:r>
      <w:r w:rsidRPr="00014454" w:rsidR="68CD69D6">
        <w:rPr>
          <w:rFonts w:ascii="Times New Roman" w:hAnsi="Times New Roman" w:cs="Times New Roman"/>
          <w:i/>
          <w:iCs/>
        </w:rPr>
        <w:t xml:space="preserve">this </w:t>
      </w:r>
      <w:r w:rsidRPr="00014454">
        <w:rPr>
          <w:rFonts w:ascii="Times New Roman" w:hAnsi="Times New Roman" w:cs="Times New Roman"/>
          <w:i/>
          <w:iCs/>
        </w:rPr>
        <w:t xml:space="preserve">section,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w:t>
      </w:r>
      <w:r w:rsidRPr="00014454">
        <w:rPr>
          <w:rFonts w:ascii="Times New Roman" w:hAnsi="Times New Roman" w:cs="Times New Roman"/>
          <w:i/>
          <w:iCs/>
        </w:rPr>
        <w:t>receive it, shall be guilty of a class E felony and imprisoned for not more than 5 years, or fined not more than $250,000, or both.”</w:t>
      </w:r>
    </w:p>
    <w:p w:rsidR="00643CE7" w:rsidRPr="00014454" w:rsidP="00643CE7" w14:paraId="34647D71" w14:textId="77777777">
      <w:pPr>
        <w:rPr>
          <w:rFonts w:ascii="Times New Roman" w:hAnsi="Times New Roman" w:cs="Times New Roman"/>
          <w:bCs/>
          <w:iCs/>
        </w:rPr>
      </w:pPr>
    </w:p>
    <w:p w:rsidR="00643CE7" w:rsidRPr="00014454" w:rsidP="00643CE7" w14:paraId="0E2D2395" w14:textId="77777777">
      <w:pPr>
        <w:rPr>
          <w:rFonts w:ascii="Times New Roman" w:hAnsi="Times New Roman" w:cs="Times New Roman"/>
          <w:bCs/>
          <w:iCs/>
        </w:rPr>
      </w:pPr>
      <w:r w:rsidRPr="00014454">
        <w:rPr>
          <w:rFonts w:ascii="Times New Roman" w:hAnsi="Times New Roman" w:cs="Times New Roman"/>
          <w:bCs/>
          <w:iCs/>
        </w:rPr>
        <w:t>NCHS also makes the following Confidentiality Pledge:</w:t>
      </w:r>
    </w:p>
    <w:p w:rsidR="00643CE7" w:rsidRPr="00014454" w:rsidP="00643CE7" w14:paraId="74BAC233" w14:textId="77777777">
      <w:pPr>
        <w:rPr>
          <w:rFonts w:ascii="Times New Roman" w:hAnsi="Times New Roman" w:cs="Times New Roman"/>
          <w:bCs/>
          <w:iCs/>
        </w:rPr>
      </w:pPr>
    </w:p>
    <w:p w:rsidR="00643CE7" w:rsidRPr="00014454" w:rsidP="5EC88010" w14:paraId="3BB90BC6" w14:textId="42FB8EA1">
      <w:pPr>
        <w:rPr>
          <w:rFonts w:ascii="Times New Roman" w:hAnsi="Times New Roman" w:cs="Times New Roman"/>
        </w:rPr>
      </w:pPr>
      <w:r w:rsidRPr="00014454">
        <w:rPr>
          <w:rFonts w:ascii="Times New Roman" w:hAnsi="Times New Roman" w:cs="Times New Roman"/>
          <w:b/>
          <w:bCs/>
        </w:rPr>
        <w:t>Assurance of confidentiality</w:t>
      </w:r>
      <w:r w:rsidRPr="00014454">
        <w:rPr>
          <w:rFonts w:ascii="Times New Roman" w:hAnsi="Times New Roman" w:cs="Times New Roman"/>
        </w:rPr>
        <w:t xml:space="preserve"> </w:t>
      </w:r>
      <w:r w:rsidRPr="00014454" w:rsidR="749090B5">
        <w:rPr>
          <w:rFonts w:ascii="Times New Roman" w:hAnsi="Times New Roman" w:cs="Times New Roman"/>
        </w:rPr>
        <w:t xml:space="preserve">(shown on all survey forms) </w:t>
      </w:r>
      <w:r w:rsidRPr="00014454">
        <w:rPr>
          <w:rFonts w:ascii="Times New Roman" w:hAnsi="Times New Roman" w:cs="Times New Roman"/>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8452F7">
        <w:rPr>
          <w:rFonts w:ascii="Times New Roman" w:hAnsi="Times New Roman" w:cs="Times New Roman"/>
        </w:rPr>
        <w:t xml:space="preserve"> </w:t>
      </w:r>
      <w:r w:rsidRPr="00014454">
        <w:rPr>
          <w:rFonts w:ascii="Times New Roman" w:hAnsi="Times New Roman" w:cs="Times New Roman"/>
        </w:rPr>
        <w:t>U</w:t>
      </w:r>
      <w:r w:rsidR="008452F7">
        <w:rPr>
          <w:rFonts w:ascii="Times New Roman" w:hAnsi="Times New Roman" w:cs="Times New Roman"/>
        </w:rPr>
        <w:t>.</w:t>
      </w:r>
      <w:r w:rsidRPr="00014454">
        <w:rPr>
          <w:rFonts w:ascii="Times New Roman" w:hAnsi="Times New Roman" w:cs="Times New Roman"/>
        </w:rPr>
        <w:t>S</w:t>
      </w:r>
      <w:r w:rsidR="008452F7">
        <w:rPr>
          <w:rFonts w:ascii="Times New Roman" w:hAnsi="Times New Roman" w:cs="Times New Roman"/>
        </w:rPr>
        <w:t>.</w:t>
      </w:r>
      <w:r w:rsidRPr="00014454">
        <w:rPr>
          <w:rFonts w:ascii="Times New Roman" w:hAnsi="Times New Roman" w:cs="Times New Roman"/>
        </w:rPr>
        <w:t>C</w:t>
      </w:r>
      <w:r w:rsidR="008452F7">
        <w:rPr>
          <w:rFonts w:ascii="Times New Roman" w:hAnsi="Times New Roman" w:cs="Times New Roman"/>
        </w:rPr>
        <w:t>.</w:t>
      </w:r>
      <w:r w:rsidRPr="00014454">
        <w:rPr>
          <w:rFonts w:ascii="Times New Roman" w:hAnsi="Times New Roman" w:cs="Times New Roman"/>
        </w:rPr>
        <w:t xml:space="preserve"> 242m(d)) and the Confidential Information Protection and Statistical Efficiency Act </w:t>
      </w:r>
      <w:r w:rsidR="00346FC2">
        <w:rPr>
          <w:rFonts w:ascii="Times New Roman" w:hAnsi="Times New Roman" w:cs="Times New Roman"/>
        </w:rPr>
        <w:t>or CIPSEA</w:t>
      </w:r>
      <w:r w:rsidRPr="00014454" w:rsidR="1B7A44D0">
        <w:rPr>
          <w:rFonts w:ascii="Times New Roman" w:hAnsi="Times New Roman" w:cs="Times New Roman"/>
        </w:rPr>
        <w:t xml:space="preserve"> </w:t>
      </w:r>
      <w:r w:rsidRPr="00B15862" w:rsidR="00B15862">
        <w:rPr>
          <w:rFonts w:ascii="Times New Roman" w:hAnsi="Times New Roman" w:cs="Times New Roman"/>
        </w:rPr>
        <w:t>(44 U.S.C. 3561- 3583).</w:t>
      </w:r>
      <w:r w:rsidRPr="004B104F" w:rsidR="00B15862">
        <w:rPr>
          <w:rFonts w:ascii="Times New Roman" w:hAnsi="Times New Roman" w:cs="Times New Roman"/>
          <w:spacing w:val="-1"/>
          <w:sz w:val="20"/>
          <w:szCs w:val="20"/>
        </w:rPr>
        <w:t xml:space="preserve"> </w:t>
      </w:r>
      <w:r w:rsidRPr="00014454">
        <w:rPr>
          <w:rFonts w:ascii="Times New Roman" w:hAnsi="Times New Roman" w:cs="Times New Roman"/>
        </w:rPr>
        <w:t>In accordance with CIPSEA, every NCHS employee, contractor, and agent has taken an oath and is subject to a jail term of up to five years, a fine of up to $250,000, or both if he or she willfully discloses ANY identifiable information about you.  In addition</w:t>
      </w:r>
      <w:r w:rsidR="00724A6F">
        <w:rPr>
          <w:rFonts w:ascii="Times New Roman" w:hAnsi="Times New Roman" w:cs="Times New Roman"/>
        </w:rPr>
        <w:t xml:space="preserve"> to the above cited laws</w:t>
      </w:r>
      <w:r w:rsidRPr="00014454">
        <w:rPr>
          <w:rFonts w:ascii="Times New Roman" w:hAnsi="Times New Roman" w:cs="Times New Roman"/>
        </w:rPr>
        <w:t>, NCHS complies with the Federal Cybersecurity Enhancement Act of 2015</w:t>
      </w:r>
      <w:r w:rsidRPr="00014454" w:rsidR="45B3FB59">
        <w:rPr>
          <w:rFonts w:ascii="Times New Roman" w:hAnsi="Times New Roman" w:cs="Times New Roman"/>
        </w:rPr>
        <w:t xml:space="preserve"> (6 U.S.C. §§ 151 and 151 note)</w:t>
      </w:r>
      <w:r w:rsidR="00E75F9C">
        <w:rPr>
          <w:rFonts w:ascii="Times New Roman" w:hAnsi="Times New Roman" w:cs="Times New Roman"/>
        </w:rPr>
        <w:t>,</w:t>
      </w:r>
      <w:r w:rsidRPr="00014454" w:rsidR="45B3FB59">
        <w:rPr>
          <w:rFonts w:ascii="Times New Roman" w:hAnsi="Times New Roman" w:cs="Times New Roman"/>
        </w:rPr>
        <w:t xml:space="preserve"> which protects Federal information systems from cybersecurity risks by screening their networks</w:t>
      </w:r>
      <w:r w:rsidRPr="00014454">
        <w:rPr>
          <w:rFonts w:ascii="Times New Roman" w:hAnsi="Times New Roman" w:cs="Times New Roman"/>
        </w:rPr>
        <w:t xml:space="preserve">. </w:t>
      </w:r>
    </w:p>
    <w:p w:rsidR="00643CE7" w:rsidRPr="00014454" w:rsidP="00643CE7" w14:paraId="7ED1D619" w14:textId="77777777">
      <w:pPr>
        <w:rPr>
          <w:rFonts w:ascii="Times New Roman" w:hAnsi="Times New Roman" w:cs="Times New Roman"/>
        </w:rPr>
      </w:pPr>
    </w:p>
    <w:p w:rsidR="00643CE7" w:rsidRPr="00014454" w:rsidP="00643CE7" w14:paraId="14576A7E" w14:textId="29EA98BC">
      <w:pPr>
        <w:rPr>
          <w:rFonts w:ascii="Times New Roman" w:hAnsi="Times New Roman" w:cs="Times New Roman"/>
        </w:rPr>
      </w:pPr>
      <w:r w:rsidRPr="5249834F">
        <w:rPr>
          <w:rFonts w:ascii="Times New Roman" w:hAnsi="Times New Roman" w:cs="Times New Roman"/>
        </w:rPr>
        <w:t>All study data will be collected under the pledge of confidentiality. Consequently, all information collected in Developmental</w:t>
      </w:r>
      <w:r w:rsidR="00FE7157">
        <w:rPr>
          <w:rFonts w:ascii="Times New Roman" w:hAnsi="Times New Roman" w:cs="Times New Roman"/>
        </w:rPr>
        <w:t xml:space="preserve"> Studies</w:t>
      </w:r>
      <w:r w:rsidRPr="5249834F">
        <w:rPr>
          <w:rFonts w:ascii="Times New Roman" w:hAnsi="Times New Roman" w:cs="Times New Roman"/>
        </w:rPr>
        <w:t xml:space="preserve"> to Improve the National Health and Nutrition Examination Survey and </w:t>
      </w:r>
      <w:r w:rsidR="00FE7157">
        <w:rPr>
          <w:rFonts w:ascii="Times New Roman" w:hAnsi="Times New Roman" w:cs="Times New Roman"/>
        </w:rPr>
        <w:t>Similar</w:t>
      </w:r>
      <w:r w:rsidRPr="5249834F">
        <w:rPr>
          <w:rFonts w:ascii="Times New Roman" w:hAnsi="Times New Roman" w:cs="Times New Roman"/>
        </w:rPr>
        <w:t xml:space="preserve"> Programs will be kept confidential, with an exception for suspected child abuse.</w:t>
      </w:r>
      <w:r w:rsidRPr="5249834F" w:rsidR="6D599A90">
        <w:rPr>
          <w:rFonts w:ascii="Times New Roman" w:hAnsi="Times New Roman" w:cs="Times New Roman"/>
        </w:rPr>
        <w:t xml:space="preserve"> </w:t>
      </w:r>
      <w:r w:rsidRPr="5249834F">
        <w:rPr>
          <w:rFonts w:ascii="Times New Roman" w:hAnsi="Times New Roman" w:cs="Times New Roman"/>
        </w:rPr>
        <w:t xml:space="preserve">When indicated, studies will collect, on a confidential basis, data needed to re-contact respondents for additional information and for participation in potential follow-back surveys, and possibly to match respondents to administrative records. The ability to track respondents and match to other records greatly expands the usefulness of these data at very low cost. </w:t>
      </w:r>
    </w:p>
    <w:p w:rsidR="00643CE7" w:rsidRPr="00014454" w:rsidP="00643CE7" w14:paraId="789D2B67" w14:textId="77777777">
      <w:pPr>
        <w:rPr>
          <w:rFonts w:ascii="Times New Roman" w:hAnsi="Times New Roman" w:cs="Times New Roman"/>
        </w:rPr>
      </w:pPr>
    </w:p>
    <w:p w:rsidR="00643CE7" w:rsidRPr="00014454" w:rsidP="00643CE7" w14:paraId="40970122" w14:textId="77777777">
      <w:pPr>
        <w:rPr>
          <w:rFonts w:ascii="Times New Roman" w:hAnsi="Times New Roman" w:cs="Times New Roman"/>
        </w:rPr>
      </w:pPr>
      <w:r w:rsidRPr="00014454">
        <w:rPr>
          <w:rFonts w:ascii="Times New Roman" w:hAnsi="Times New Roman" w:cs="Times New Roman"/>
        </w:rPr>
        <w:t xml:space="preserve">Only those NCHS employees, contract staff, and full research partners who must use the personal information for a specific purpose can access and use such data resulted from the studies. Everyone else who uses the data can do so only after all identifiable information is removed. </w:t>
      </w:r>
    </w:p>
    <w:p w:rsidR="00643CE7" w:rsidP="00643CE7" w14:paraId="7C1352C9" w14:textId="77777777">
      <w:pPr>
        <w:rPr>
          <w:rFonts w:ascii="Times New Roman" w:hAnsi="Times New Roman" w:cs="Times New Roman"/>
        </w:rPr>
      </w:pPr>
    </w:p>
    <w:p w:rsidR="00C27DDC" w:rsidP="00C27DDC" w14:paraId="07874175" w14:textId="5CE24062">
      <w:pPr>
        <w:rPr>
          <w:rFonts w:ascii="Times New Roman" w:hAnsi="Times New Roman" w:cs="Times New Roman"/>
        </w:rPr>
      </w:pPr>
      <w:r>
        <w:rPr>
          <w:rFonts w:ascii="Times New Roman" w:hAnsi="Times New Roman" w:cs="Times New Roman"/>
        </w:rPr>
        <w:t xml:space="preserve">As described in </w:t>
      </w:r>
      <w:r w:rsidR="004B3BD3">
        <w:rPr>
          <w:rFonts w:ascii="Times New Roman" w:hAnsi="Times New Roman" w:cs="Times New Roman"/>
        </w:rPr>
        <w:t xml:space="preserve">section 2 of this information collection request, </w:t>
      </w:r>
      <w:r>
        <w:rPr>
          <w:rFonts w:ascii="Times New Roman" w:hAnsi="Times New Roman" w:cs="Times New Roman"/>
        </w:rPr>
        <w:t>the DXA scans will be deleted from the Hologic computer in the MEC, and collaborators will only access</w:t>
      </w:r>
      <w:r w:rsidR="00471DF1">
        <w:rPr>
          <w:rFonts w:ascii="Times New Roman" w:hAnsi="Times New Roman" w:cs="Times New Roman"/>
        </w:rPr>
        <w:t xml:space="preserve"> and analyze</w:t>
      </w:r>
      <w:r>
        <w:rPr>
          <w:rFonts w:ascii="Times New Roman" w:hAnsi="Times New Roman" w:cs="Times New Roman"/>
        </w:rPr>
        <w:t xml:space="preserve"> the images via RTI laptop in a secured environment. Once correction factors are calculated, collaborators will no longer have access. The original and analyzed scans will be saved on the NCHS server</w:t>
      </w:r>
      <w:r w:rsidR="00C70850">
        <w:rPr>
          <w:rFonts w:ascii="Times New Roman" w:hAnsi="Times New Roman" w:cs="Times New Roman"/>
        </w:rPr>
        <w:t xml:space="preserve"> indefinitely</w:t>
      </w:r>
      <w:r>
        <w:rPr>
          <w:rFonts w:ascii="Times New Roman" w:hAnsi="Times New Roman" w:cs="Times New Roman"/>
        </w:rPr>
        <w:t xml:space="preserve">. For </w:t>
      </w:r>
      <w:r w:rsidR="00471DF1">
        <w:rPr>
          <w:rFonts w:ascii="Times New Roman" w:hAnsi="Times New Roman" w:cs="Times New Roman"/>
        </w:rPr>
        <w:t>Part 1 and Part 2 of the</w:t>
      </w:r>
      <w:r>
        <w:rPr>
          <w:rFonts w:ascii="Times New Roman" w:hAnsi="Times New Roman" w:cs="Times New Roman"/>
        </w:rPr>
        <w:t xml:space="preserve"> hematology stud</w:t>
      </w:r>
      <w:r w:rsidR="00471DF1">
        <w:rPr>
          <w:rFonts w:ascii="Times New Roman" w:hAnsi="Times New Roman" w:cs="Times New Roman"/>
        </w:rPr>
        <w:t>y</w:t>
      </w:r>
      <w:r>
        <w:rPr>
          <w:rFonts w:ascii="Times New Roman" w:hAnsi="Times New Roman" w:cs="Times New Roman"/>
        </w:rPr>
        <w:t>,</w:t>
      </w:r>
      <w:r w:rsidR="004B3BD3">
        <w:rPr>
          <w:rFonts w:ascii="Times New Roman" w:hAnsi="Times New Roman" w:cs="Times New Roman"/>
        </w:rPr>
        <w:t xml:space="preserve"> the CLIA certified</w:t>
      </w:r>
      <w:r>
        <w:rPr>
          <w:rFonts w:ascii="Times New Roman" w:hAnsi="Times New Roman" w:cs="Times New Roman"/>
        </w:rPr>
        <w:t xml:space="preserve"> testing lab will be instructed to destroy all samples and sign a destruction form 30 days after the DHNES Method Validation Team completes their analysis.</w:t>
      </w:r>
    </w:p>
    <w:p w:rsidR="00C27DDC" w:rsidRPr="00014454" w:rsidP="00643CE7" w14:paraId="631A9714" w14:textId="77777777">
      <w:pPr>
        <w:rPr>
          <w:rFonts w:ascii="Times New Roman" w:hAnsi="Times New Roman" w:cs="Times New Roman"/>
        </w:rPr>
      </w:pPr>
    </w:p>
    <w:p w:rsidR="00643CE7" w:rsidRPr="00014454" w:rsidP="00643CE7" w14:paraId="0C5BD645" w14:textId="7DF81514">
      <w:pPr>
        <w:rPr>
          <w:rFonts w:ascii="Times New Roman" w:hAnsi="Times New Roman" w:cs="Times New Roman"/>
        </w:rPr>
      </w:pPr>
      <w:r w:rsidRPr="5249834F">
        <w:rPr>
          <w:rFonts w:ascii="Times New Roman" w:hAnsi="Times New Roman" w:cs="Times New Roman"/>
        </w:rPr>
        <w:t xml:space="preserve">For more than 50 years, NCHS has protected confidential information collected in its surveys.  The collection of identifiable information requires strong measures to ensure that private information is not disclosed accidentally or deliberately in a breach of confidentiality. All NCHS employees, as well as all contract staff, receive appropriate confidentiality training and sign a “Nondisclosure Statement.”  Staff members of collaborating agencies are also required to sign this statement, and outside agencies are required to enter into a more formal agreement with </w:t>
      </w:r>
      <w:r w:rsidRPr="5249834F">
        <w:rPr>
          <w:rFonts w:ascii="Times New Roman" w:hAnsi="Times New Roman" w:cs="Times New Roman"/>
        </w:rPr>
        <w:t xml:space="preserve">NCHS. All contractor and NCHS project staff follow strict procedures to collect, monitor, and analyze these data. This procedure prevents information from being removed from the area for purposes other than official NCHS survey data collection. The transmission and storage of confidential data are protected through procedures such as encryption and carefully restricted access. Only those NCHS employees and our full research partners who must use the personal information for a specific purpose may have access to and use such data.  </w:t>
      </w:r>
    </w:p>
    <w:p w:rsidR="009846C6" w:rsidRPr="00014454" w:rsidP="00643CE7" w14:paraId="51250D0F" w14:textId="77777777">
      <w:pPr>
        <w:rPr>
          <w:rFonts w:ascii="Times New Roman" w:hAnsi="Times New Roman" w:cs="Times New Roman"/>
        </w:rPr>
      </w:pPr>
    </w:p>
    <w:p w:rsidR="00643CE7" w:rsidRPr="004429A7" w:rsidP="5249834F" w14:paraId="6249E231" w14:textId="31872631">
      <w:pPr>
        <w:pStyle w:val="Heading1"/>
      </w:pPr>
      <w:r>
        <w:t xml:space="preserve"> </w:t>
      </w:r>
      <w:bookmarkStart w:id="15" w:name="_Toc177134734"/>
      <w:r w:rsidR="00A54B0C">
        <w:t>Ethics</w:t>
      </w:r>
      <w:r>
        <w:t xml:space="preserve"> Review Board (</w:t>
      </w:r>
      <w:r w:rsidR="00E00C85">
        <w:t>E</w:t>
      </w:r>
      <w:r>
        <w:t>RB) and Justification for Sensitive Questions</w:t>
      </w:r>
      <w:bookmarkEnd w:id="15"/>
    </w:p>
    <w:p w:rsidR="5249834F" w:rsidRPr="004429A7" w:rsidP="004429A7" w14:paraId="43B952E2" w14:textId="08731785"/>
    <w:p w:rsidR="00643CE7" w:rsidRPr="00014454" w:rsidP="5EC88010" w14:paraId="47776D48" w14:textId="7F48FCF7">
      <w:pPr>
        <w:rPr>
          <w:rFonts w:ascii="Times New Roman" w:hAnsi="Times New Roman"/>
          <w:b/>
          <w:bCs/>
        </w:rPr>
      </w:pPr>
      <w:r w:rsidRPr="5249834F">
        <w:rPr>
          <w:rFonts w:ascii="Times New Roman" w:hAnsi="Times New Roman" w:cs="Times New Roman"/>
        </w:rPr>
        <w:t>The National Health and Nutrition Examination Survey is subject to review by NCHS’ Research Ethics Review Board (ERB). The NCHS Human Subjects C</w:t>
      </w:r>
      <w:r w:rsidR="00897182">
        <w:rPr>
          <w:rFonts w:ascii="Times New Roman" w:hAnsi="Times New Roman" w:cs="Times New Roman"/>
        </w:rPr>
        <w:t>oordinator</w:t>
      </w:r>
      <w:r w:rsidRPr="5249834F">
        <w:rPr>
          <w:rFonts w:ascii="Times New Roman" w:hAnsi="Times New Roman" w:cs="Times New Roman"/>
        </w:rPr>
        <w:t xml:space="preserve"> determined that </w:t>
      </w:r>
      <w:r w:rsidR="00F17306">
        <w:rPr>
          <w:rFonts w:ascii="Times New Roman" w:hAnsi="Times New Roman" w:cs="Times New Roman"/>
        </w:rPr>
        <w:t>NHANES</w:t>
      </w:r>
      <w:r w:rsidRPr="5249834F">
        <w:rPr>
          <w:rFonts w:ascii="Times New Roman" w:hAnsi="Times New Roman" w:cs="Times New Roman"/>
        </w:rPr>
        <w:t xml:space="preserve"> </w:t>
      </w:r>
      <w:r w:rsidR="000B039E">
        <w:rPr>
          <w:rFonts w:ascii="Times New Roman" w:hAnsi="Times New Roman" w:cs="Times New Roman"/>
        </w:rPr>
        <w:t xml:space="preserve">DXA and Hematology Crossover studies </w:t>
      </w:r>
      <w:r w:rsidRPr="5249834F">
        <w:rPr>
          <w:rFonts w:ascii="Times New Roman" w:hAnsi="Times New Roman" w:cs="Times New Roman"/>
        </w:rPr>
        <w:t>is a public health surveillance activity under the 2018 requirements of the Common Rule (45 CFR 46.102(</w:t>
      </w:r>
      <w:r w:rsidR="000B039E">
        <w:rPr>
          <w:rFonts w:ascii="Times New Roman" w:hAnsi="Times New Roman" w:cs="Times New Roman"/>
        </w:rPr>
        <w:t>I</w:t>
      </w:r>
      <w:r w:rsidRPr="5249834F">
        <w:rPr>
          <w:rFonts w:ascii="Times New Roman" w:hAnsi="Times New Roman" w:cs="Times New Roman"/>
        </w:rPr>
        <w:t xml:space="preserve">)(2)). </w:t>
      </w:r>
      <w:r w:rsidR="000B039E">
        <w:rPr>
          <w:rFonts w:ascii="Times New Roman" w:hAnsi="Times New Roman" w:cs="Times New Roman"/>
        </w:rPr>
        <w:t>On October 17</w:t>
      </w:r>
      <w:r w:rsidRPr="000B039E" w:rsidR="000B039E">
        <w:rPr>
          <w:rFonts w:ascii="Times New Roman" w:hAnsi="Times New Roman" w:cs="Times New Roman"/>
          <w:vertAlign w:val="superscript"/>
        </w:rPr>
        <w:t>th</w:t>
      </w:r>
      <w:r w:rsidR="000B039E">
        <w:rPr>
          <w:rFonts w:ascii="Times New Roman" w:hAnsi="Times New Roman" w:cs="Times New Roman"/>
        </w:rPr>
        <w:t>, 2024, t</w:t>
      </w:r>
      <w:r w:rsidRPr="5249834F" w:rsidR="3241A5AD">
        <w:rPr>
          <w:rFonts w:ascii="Times New Roman" w:hAnsi="Times New Roman" w:cs="Times New Roman"/>
        </w:rPr>
        <w:t>he NCHS ERB</w:t>
      </w:r>
      <w:r w:rsidRPr="5249834F" w:rsidR="05DDE4D2">
        <w:rPr>
          <w:rFonts w:ascii="Times New Roman" w:hAnsi="Times New Roman" w:cs="Times New Roman"/>
        </w:rPr>
        <w:t xml:space="preserve"> </w:t>
      </w:r>
      <w:r w:rsidRPr="5249834F" w:rsidR="3241A5AD">
        <w:rPr>
          <w:rFonts w:ascii="Times New Roman" w:hAnsi="Times New Roman" w:cs="Times New Roman"/>
        </w:rPr>
        <w:t>determined that</w:t>
      </w:r>
      <w:r w:rsidR="000B039E">
        <w:rPr>
          <w:rFonts w:ascii="Times New Roman" w:hAnsi="Times New Roman" w:cs="Times New Roman"/>
        </w:rPr>
        <w:t xml:space="preserve"> </w:t>
      </w:r>
      <w:r w:rsidRPr="000B039E" w:rsidR="000B039E">
        <w:rPr>
          <w:rFonts w:ascii="Times New Roman" w:hAnsi="Times New Roman" w:cs="Times New Roman"/>
        </w:rPr>
        <w:t>NHANES DXA and Hematology Crossover studies is approved</w:t>
      </w:r>
      <w:r w:rsidRPr="5249834F" w:rsidR="3241A5AD">
        <w:rPr>
          <w:rFonts w:ascii="Times New Roman" w:hAnsi="Times New Roman" w:cs="Times New Roman"/>
        </w:rPr>
        <w:t xml:space="preserve"> </w:t>
      </w:r>
      <w:r w:rsidRPr="000B039E" w:rsidR="000A66AA">
        <w:rPr>
          <w:rFonts w:ascii="Times New Roman" w:hAnsi="Times New Roman" w:cs="Times New Roman"/>
        </w:rPr>
        <w:t>(see</w:t>
      </w:r>
      <w:r w:rsidRPr="000B039E" w:rsidR="000A66AA">
        <w:rPr>
          <w:rFonts w:ascii="Times New Roman" w:hAnsi="Times New Roman" w:cs="Times New Roman"/>
          <w:b/>
          <w:bCs/>
        </w:rPr>
        <w:t xml:space="preserve"> Attachment 4</w:t>
      </w:r>
      <w:r w:rsidRPr="000B039E" w:rsidR="3241A5AD">
        <w:rPr>
          <w:rFonts w:ascii="Times New Roman" w:hAnsi="Times New Roman" w:cs="Times New Roman"/>
        </w:rPr>
        <w:t xml:space="preserve">). </w:t>
      </w:r>
      <w:r w:rsidRPr="000B039E" w:rsidR="021441C4">
        <w:rPr>
          <w:rFonts w:ascii="Times New Roman" w:hAnsi="Times New Roman" w:cs="Times New Roman"/>
        </w:rPr>
        <w:t>Th</w:t>
      </w:r>
      <w:r w:rsidRPr="000B039E" w:rsidR="00652D38">
        <w:rPr>
          <w:rFonts w:ascii="Times New Roman" w:hAnsi="Times New Roman" w:cs="Times New Roman"/>
        </w:rPr>
        <w:t>e</w:t>
      </w:r>
      <w:r w:rsidRPr="5249834F" w:rsidR="021441C4">
        <w:rPr>
          <w:rFonts w:ascii="Times New Roman" w:hAnsi="Times New Roman" w:cs="Times New Roman"/>
        </w:rPr>
        <w:t xml:space="preserve"> </w:t>
      </w:r>
      <w:r w:rsidRPr="5249834F" w:rsidR="06CF3826">
        <w:rPr>
          <w:rFonts w:ascii="Times New Roman" w:hAnsi="Times New Roman" w:cs="Times New Roman"/>
        </w:rPr>
        <w:t xml:space="preserve">voluntary </w:t>
      </w:r>
      <w:r w:rsidR="00E616BA">
        <w:rPr>
          <w:rFonts w:ascii="Times New Roman" w:hAnsi="Times New Roman" w:cs="Times New Roman"/>
        </w:rPr>
        <w:t>crossover studies</w:t>
      </w:r>
      <w:r w:rsidRPr="5249834F" w:rsidR="021441C4">
        <w:rPr>
          <w:rFonts w:ascii="Times New Roman" w:hAnsi="Times New Roman" w:cs="Times New Roman"/>
        </w:rPr>
        <w:t xml:space="preserve"> do not include sensitive questions.</w:t>
      </w:r>
    </w:p>
    <w:p w:rsidR="00805831" w:rsidRPr="00014454" w:rsidP="00E616BA" w14:paraId="3DA8641C" w14:textId="77777777">
      <w:pPr>
        <w:rPr>
          <w:rFonts w:ascii="Times New Roman" w:hAnsi="Times New Roman" w:cs="Times New Roman"/>
          <w:color w:val="000000" w:themeColor="text1"/>
        </w:rPr>
      </w:pPr>
    </w:p>
    <w:p w:rsidR="005719F9" w:rsidRPr="00014454" w14:paraId="22BB01E1" w14:textId="7B4F248F">
      <w:pPr>
        <w:pStyle w:val="Heading1"/>
      </w:pPr>
      <w:bookmarkStart w:id="16" w:name="_Toc177134735"/>
      <w:r>
        <w:t>Estimates of Annualized Burden Hours and Cost</w:t>
      </w:r>
      <w:bookmarkEnd w:id="16"/>
      <w:r>
        <w:t xml:space="preserve">  </w:t>
      </w:r>
      <w:r>
        <w:tab/>
      </w:r>
    </w:p>
    <w:p w:rsidR="00500846" w:rsidRPr="00014454" w14:paraId="7B43CFA1" w14:textId="77777777">
      <w:pPr>
        <w:rPr>
          <w:rFonts w:ascii="Times New Roman" w:hAnsi="Times New Roman" w:cs="Times New Roman"/>
          <w:color w:val="000000" w:themeColor="text1"/>
        </w:rPr>
      </w:pPr>
    </w:p>
    <w:p w:rsidR="0040297C" w:rsidRPr="00014454" w:rsidP="0040297C" w14:paraId="7868B0D0" w14:textId="77777777">
      <w:pPr>
        <w:rPr>
          <w:rFonts w:ascii="Times New Roman" w:hAnsi="Times New Roman" w:cs="Times New Roman"/>
          <w:bCs/>
        </w:rPr>
      </w:pPr>
      <w:r w:rsidRPr="00014454">
        <w:rPr>
          <w:rFonts w:ascii="Times New Roman" w:hAnsi="Times New Roman" w:cs="Times New Roman"/>
          <w:bCs/>
        </w:rPr>
        <w:t xml:space="preserve">a. Time Estimates </w:t>
      </w:r>
    </w:p>
    <w:p w:rsidR="0040297C" w:rsidRPr="00014454" w14:paraId="7E59603E" w14:textId="77777777">
      <w:pPr>
        <w:rPr>
          <w:rFonts w:ascii="Times New Roman" w:hAnsi="Times New Roman" w:cs="Times New Roman"/>
          <w:color w:val="000000" w:themeColor="text1"/>
        </w:rPr>
      </w:pPr>
    </w:p>
    <w:p w:rsidR="00187037" w:rsidP="00187037" w14:paraId="0CD3EDAD" w14:textId="009C3529">
      <w:pPr>
        <w:contextualSpacing/>
        <w:rPr>
          <w:rFonts w:ascii="Times New Roman" w:hAnsi="Times New Roman" w:cs="Times New Roman"/>
        </w:rPr>
      </w:pPr>
      <w:r w:rsidRPr="00A03A2F">
        <w:rPr>
          <w:rFonts w:ascii="Times New Roman" w:hAnsi="Times New Roman" w:cs="Times New Roman"/>
        </w:rPr>
        <w:t xml:space="preserve">The time allotment for the DXA crossover </w:t>
      </w:r>
      <w:r w:rsidR="00AB0296">
        <w:rPr>
          <w:rFonts w:ascii="Times New Roman" w:hAnsi="Times New Roman" w:cs="Times New Roman"/>
        </w:rPr>
        <w:t xml:space="preserve">study </w:t>
      </w:r>
      <w:r w:rsidRPr="00A03A2F">
        <w:rPr>
          <w:rFonts w:ascii="Times New Roman" w:hAnsi="Times New Roman" w:cs="Times New Roman"/>
        </w:rPr>
        <w:t>is approximately 40 minutes. To perform the DXA crossover on the two DXA machines (new machine and old machine) it will take approximately 20 minutes on each machine. The 20 minutes includes: time for the introduction, pre-exam questions, positioning and the whole-body scan (3 minutes each), and the femur and spine scans (1 minutes each). When all scans have been completed, the finding will be reviewed with the participant for an additional 5 minutes.</w:t>
      </w:r>
      <w:r w:rsidR="00E37A26">
        <w:rPr>
          <w:rFonts w:ascii="Times New Roman" w:hAnsi="Times New Roman" w:cs="Times New Roman"/>
        </w:rPr>
        <w:t xml:space="preserve"> The maximum number of respondents will be 30 volunteers ages 20-70 years. </w:t>
      </w:r>
      <w:r w:rsidR="0041341E">
        <w:rPr>
          <w:rFonts w:ascii="Times New Roman" w:hAnsi="Times New Roman" w:cs="Times New Roman"/>
        </w:rPr>
        <w:t>The maximum burden is</w:t>
      </w:r>
      <w:r w:rsidR="00A4366E">
        <w:rPr>
          <w:rFonts w:ascii="Times New Roman" w:hAnsi="Times New Roman" w:cs="Times New Roman"/>
        </w:rPr>
        <w:t xml:space="preserve"> 2</w:t>
      </w:r>
      <w:r w:rsidR="00F844EF">
        <w:rPr>
          <w:rFonts w:ascii="Times New Roman" w:hAnsi="Times New Roman" w:cs="Times New Roman"/>
        </w:rPr>
        <w:t>3</w:t>
      </w:r>
      <w:r w:rsidR="00297B29">
        <w:rPr>
          <w:rFonts w:ascii="Times New Roman" w:hAnsi="Times New Roman" w:cs="Times New Roman"/>
        </w:rPr>
        <w:t xml:space="preserve"> hours (30 respondents*45/60</w:t>
      </w:r>
      <w:r w:rsidR="00A4366E">
        <w:rPr>
          <w:rFonts w:ascii="Times New Roman" w:hAnsi="Times New Roman" w:cs="Times New Roman"/>
        </w:rPr>
        <w:t xml:space="preserve"> hours</w:t>
      </w:r>
      <w:r w:rsidR="00207C0C">
        <w:rPr>
          <w:rFonts w:ascii="Times New Roman" w:hAnsi="Times New Roman" w:cs="Times New Roman"/>
        </w:rPr>
        <w:t xml:space="preserve"> = </w:t>
      </w:r>
      <w:r w:rsidR="00206B3E">
        <w:rPr>
          <w:rFonts w:ascii="Times New Roman" w:hAnsi="Times New Roman" w:cs="Times New Roman"/>
        </w:rPr>
        <w:t>2</w:t>
      </w:r>
      <w:r w:rsidR="00F844EF">
        <w:rPr>
          <w:rFonts w:ascii="Times New Roman" w:hAnsi="Times New Roman" w:cs="Times New Roman"/>
        </w:rPr>
        <w:t>3</w:t>
      </w:r>
      <w:r w:rsidR="00F24A37">
        <w:rPr>
          <w:rFonts w:ascii="Times New Roman" w:hAnsi="Times New Roman" w:cs="Times New Roman"/>
        </w:rPr>
        <w:t xml:space="preserve"> hours).</w:t>
      </w:r>
    </w:p>
    <w:p w:rsidR="00AB0296" w:rsidP="00187037" w14:paraId="168ACF94" w14:textId="77777777">
      <w:pPr>
        <w:contextualSpacing/>
        <w:rPr>
          <w:rFonts w:ascii="Times New Roman" w:hAnsi="Times New Roman" w:cs="Times New Roman"/>
        </w:rPr>
      </w:pPr>
    </w:p>
    <w:p w:rsidR="00AB0296" w:rsidP="00187037" w14:paraId="4752AE04" w14:textId="0160C610">
      <w:pPr>
        <w:contextualSpacing/>
        <w:rPr>
          <w:rFonts w:ascii="Times New Roman" w:hAnsi="Times New Roman" w:cs="Times New Roman"/>
        </w:rPr>
      </w:pPr>
      <w:r>
        <w:rPr>
          <w:rFonts w:ascii="Times New Roman" w:hAnsi="Times New Roman" w:cs="Times New Roman"/>
        </w:rPr>
        <w:t xml:space="preserve">The time allotment for venipuncture in the </w:t>
      </w:r>
      <w:r w:rsidR="003756C3">
        <w:rPr>
          <w:rFonts w:ascii="Times New Roman" w:hAnsi="Times New Roman" w:cs="Times New Roman"/>
        </w:rPr>
        <w:t>h</w:t>
      </w:r>
      <w:r>
        <w:rPr>
          <w:rFonts w:ascii="Times New Roman" w:hAnsi="Times New Roman" w:cs="Times New Roman"/>
        </w:rPr>
        <w:t xml:space="preserve">ematology crossover study </w:t>
      </w:r>
      <w:r w:rsidR="00E743DF">
        <w:rPr>
          <w:rFonts w:ascii="Times New Roman" w:hAnsi="Times New Roman" w:cs="Times New Roman"/>
        </w:rPr>
        <w:t>is approximately 10 minutes. The maximum number of respondents will be 40 volunteers age 20 years and older</w:t>
      </w:r>
      <w:r w:rsidR="00475446">
        <w:rPr>
          <w:rFonts w:ascii="Times New Roman" w:hAnsi="Times New Roman" w:cs="Times New Roman"/>
        </w:rPr>
        <w:t xml:space="preserve">. The maximum burden is </w:t>
      </w:r>
      <w:r w:rsidR="005F2E08">
        <w:rPr>
          <w:rFonts w:ascii="Times New Roman" w:hAnsi="Times New Roman" w:cs="Times New Roman"/>
        </w:rPr>
        <w:t>7</w:t>
      </w:r>
      <w:r w:rsidR="00034095">
        <w:rPr>
          <w:rFonts w:ascii="Times New Roman" w:hAnsi="Times New Roman" w:cs="Times New Roman"/>
        </w:rPr>
        <w:t xml:space="preserve"> hours (</w:t>
      </w:r>
      <w:r w:rsidR="00CA29B2">
        <w:rPr>
          <w:rFonts w:ascii="Times New Roman" w:hAnsi="Times New Roman" w:cs="Times New Roman"/>
        </w:rPr>
        <w:t>40 respondents*10/60</w:t>
      </w:r>
      <w:r w:rsidR="0031455C">
        <w:rPr>
          <w:rFonts w:ascii="Times New Roman" w:hAnsi="Times New Roman" w:cs="Times New Roman"/>
        </w:rPr>
        <w:t xml:space="preserve"> hours = </w:t>
      </w:r>
      <w:r w:rsidR="005F2E08">
        <w:rPr>
          <w:rFonts w:ascii="Times New Roman" w:hAnsi="Times New Roman" w:cs="Times New Roman"/>
        </w:rPr>
        <w:t>7 hours)</w:t>
      </w:r>
      <w:r w:rsidR="00D9582D">
        <w:rPr>
          <w:rFonts w:ascii="Times New Roman" w:hAnsi="Times New Roman" w:cs="Times New Roman"/>
        </w:rPr>
        <w:t>.</w:t>
      </w:r>
    </w:p>
    <w:p w:rsidR="00F24A37" w:rsidP="00187037" w14:paraId="5D87CF4C" w14:textId="77777777">
      <w:pPr>
        <w:contextualSpacing/>
        <w:rPr>
          <w:rFonts w:ascii="Times New Roman" w:hAnsi="Times New Roman" w:cs="Times New Roman"/>
        </w:rPr>
      </w:pPr>
    </w:p>
    <w:p w:rsidR="006E0210" w:rsidRPr="00014454" w:rsidP="001860FD" w14:paraId="3D592BDB" w14:textId="789AF47A">
      <w:pPr>
        <w:rPr>
          <w:rFonts w:ascii="Times New Roman" w:hAnsi="Times New Roman" w:cs="Times New Roman"/>
          <w:color w:val="000000" w:themeColor="text1"/>
        </w:rPr>
      </w:pPr>
      <w:r>
        <w:rPr>
          <w:rFonts w:ascii="Times New Roman" w:hAnsi="Times New Roman" w:cs="Times New Roman"/>
        </w:rPr>
        <w:t xml:space="preserve">The total burden hours for the DXA and </w:t>
      </w:r>
      <w:r w:rsidR="00D8392A">
        <w:rPr>
          <w:rFonts w:ascii="Times New Roman" w:hAnsi="Times New Roman" w:cs="Times New Roman"/>
        </w:rPr>
        <w:t>h</w:t>
      </w:r>
      <w:r>
        <w:rPr>
          <w:rFonts w:ascii="Times New Roman" w:hAnsi="Times New Roman" w:cs="Times New Roman"/>
        </w:rPr>
        <w:t xml:space="preserve">ematology crossover studies, </w:t>
      </w:r>
      <w:r w:rsidR="00F844EF">
        <w:rPr>
          <w:rFonts w:ascii="Times New Roman" w:hAnsi="Times New Roman" w:cs="Times New Roman"/>
        </w:rPr>
        <w:t>30</w:t>
      </w:r>
      <w:r>
        <w:rPr>
          <w:rFonts w:ascii="Times New Roman" w:hAnsi="Times New Roman" w:cs="Times New Roman"/>
        </w:rPr>
        <w:t xml:space="preserve"> hours, </w:t>
      </w:r>
      <w:r w:rsidRPr="5249834F">
        <w:rPr>
          <w:rFonts w:ascii="Times New Roman" w:hAnsi="Times New Roman" w:cs="Times New Roman"/>
          <w:color w:val="000000" w:themeColor="text1"/>
        </w:rPr>
        <w:t xml:space="preserve">were already budgeted and approved in line </w:t>
      </w:r>
      <w:r w:rsidR="004241A9">
        <w:rPr>
          <w:rFonts w:ascii="Times New Roman" w:hAnsi="Times New Roman" w:cs="Times New Roman"/>
          <w:color w:val="000000" w:themeColor="text1"/>
        </w:rPr>
        <w:t>2</w:t>
      </w:r>
      <w:r w:rsidRPr="5249834F">
        <w:rPr>
          <w:rFonts w:ascii="Times New Roman" w:hAnsi="Times New Roman" w:cs="Times New Roman"/>
          <w:color w:val="000000" w:themeColor="text1"/>
        </w:rPr>
        <w:t xml:space="preserve"> (“Developmental Projects</w:t>
      </w:r>
      <w:r w:rsidR="004241A9">
        <w:rPr>
          <w:rFonts w:ascii="Times New Roman" w:hAnsi="Times New Roman" w:cs="Times New Roman"/>
          <w:color w:val="000000" w:themeColor="text1"/>
        </w:rPr>
        <w:t xml:space="preserve"> &amp; Focus Group documents</w:t>
      </w:r>
      <w:r w:rsidRPr="5249834F">
        <w:rPr>
          <w:rFonts w:ascii="Times New Roman" w:hAnsi="Times New Roman" w:cs="Times New Roman"/>
          <w:color w:val="000000" w:themeColor="text1"/>
        </w:rPr>
        <w:t>”) of the</w:t>
      </w:r>
      <w:r>
        <w:rPr>
          <w:rFonts w:ascii="Times New Roman" w:hAnsi="Times New Roman" w:cs="Times New Roman"/>
          <w:color w:val="000000" w:themeColor="text1"/>
        </w:rPr>
        <w:t xml:space="preserve"> </w:t>
      </w:r>
      <w:r w:rsidRPr="5249834F">
        <w:rPr>
          <w:rFonts w:ascii="Times New Roman" w:hAnsi="Times New Roman" w:cs="Times New Roman"/>
          <w:color w:val="000000" w:themeColor="text1"/>
        </w:rPr>
        <w:t xml:space="preserve">Developmental Projects to Improve the National Health and Nutrition Examination Survey and </w:t>
      </w:r>
      <w:r w:rsidR="007579AA">
        <w:rPr>
          <w:rFonts w:ascii="Times New Roman" w:hAnsi="Times New Roman" w:cs="Times New Roman"/>
          <w:color w:val="000000" w:themeColor="text1"/>
        </w:rPr>
        <w:t>Similar</w:t>
      </w:r>
      <w:r w:rsidRPr="5249834F">
        <w:rPr>
          <w:rFonts w:ascii="Times New Roman" w:hAnsi="Times New Roman" w:cs="Times New Roman"/>
          <w:color w:val="000000" w:themeColor="text1"/>
        </w:rPr>
        <w:t xml:space="preserve"> Programs (OMB No. 0920-1208, Exp. Date 0</w:t>
      </w:r>
      <w:r w:rsidR="00124E11">
        <w:rPr>
          <w:rFonts w:ascii="Times New Roman" w:hAnsi="Times New Roman" w:cs="Times New Roman"/>
          <w:color w:val="000000" w:themeColor="text1"/>
        </w:rPr>
        <w:t>5/31/26</w:t>
      </w:r>
      <w:r w:rsidRPr="5249834F">
        <w:rPr>
          <w:rFonts w:ascii="Times New Roman" w:hAnsi="Times New Roman" w:cs="Times New Roman"/>
          <w:color w:val="000000" w:themeColor="text1"/>
        </w:rPr>
        <w:t>). No additional burden is sought.</w:t>
      </w:r>
      <w:r w:rsidRPr="5249834F" w:rsidR="497EC3CD">
        <w:rPr>
          <w:rFonts w:ascii="Times New Roman" w:hAnsi="Times New Roman" w:cs="Times New Roman"/>
          <w:color w:val="000000" w:themeColor="text1"/>
        </w:rPr>
        <w:t xml:space="preserve"> </w:t>
      </w:r>
    </w:p>
    <w:p w:rsidR="00432DF8" w:rsidP="00462145" w14:paraId="11E1B1EF" w14:textId="77777777">
      <w:pPr>
        <w:widowControl/>
        <w:autoSpaceDE/>
        <w:autoSpaceDN/>
        <w:adjustRightInd/>
        <w:rPr>
          <w:rFonts w:ascii="Times New Roman" w:hAnsi="Times New Roman" w:cs="Times New Roman"/>
          <w:color w:val="000000" w:themeColor="text1"/>
        </w:rPr>
      </w:pPr>
    </w:p>
    <w:p w:rsidR="00462145" w:rsidRPr="00014454" w:rsidP="00462145" w14:paraId="03CFE12C" w14:textId="0D29A669">
      <w:pPr>
        <w:widowControl/>
        <w:autoSpaceDE/>
        <w:autoSpaceDN/>
        <w:adjustRightInd/>
        <w:rPr>
          <w:rFonts w:ascii="Times New Roman" w:hAnsi="Times New Roman" w:cs="Times New Roman"/>
          <w:color w:val="000000" w:themeColor="text1"/>
        </w:rPr>
      </w:pPr>
      <w:r w:rsidRPr="00014454">
        <w:rPr>
          <w:rFonts w:ascii="Times New Roman" w:hAnsi="Times New Roman" w:cs="Times New Roman"/>
          <w:color w:val="000000" w:themeColor="text1"/>
        </w:rPr>
        <w:t xml:space="preserve">TABLE </w:t>
      </w:r>
      <w:r w:rsidRPr="00014454" w:rsidR="00D71BDE">
        <w:rPr>
          <w:rFonts w:ascii="Times New Roman" w:hAnsi="Times New Roman" w:cs="Times New Roman"/>
          <w:color w:val="000000" w:themeColor="text1"/>
        </w:rPr>
        <w:t>1</w:t>
      </w:r>
      <w:r w:rsidRPr="00014454">
        <w:rPr>
          <w:rFonts w:ascii="Times New Roman" w:hAnsi="Times New Roman" w:cs="Times New Roman"/>
          <w:color w:val="000000" w:themeColor="text1"/>
        </w:rPr>
        <w:t xml:space="preserve"> – ANNUALIZED BURDEN HOURS AND COSTS</w:t>
      </w:r>
    </w:p>
    <w:tbl>
      <w:tblPr>
        <w:tblW w:w="10170" w:type="dxa"/>
        <w:jc w:val="center"/>
        <w:tblLayout w:type="fixed"/>
        <w:tblCellMar>
          <w:left w:w="120" w:type="dxa"/>
          <w:right w:w="120" w:type="dxa"/>
        </w:tblCellMar>
        <w:tblLook w:val="04A0"/>
      </w:tblPr>
      <w:tblGrid>
        <w:gridCol w:w="2520"/>
        <w:gridCol w:w="2160"/>
        <w:gridCol w:w="1620"/>
        <w:gridCol w:w="1530"/>
        <w:gridCol w:w="1170"/>
        <w:gridCol w:w="1170"/>
      </w:tblGrid>
      <w:tr w14:paraId="3441CED9" w14:textId="77777777" w:rsidTr="00AA1A68">
        <w:tblPrEx>
          <w:tblW w:w="10170" w:type="dxa"/>
          <w:jc w:val="center"/>
          <w:tblLayout w:type="fixed"/>
          <w:tblCellMar>
            <w:left w:w="120" w:type="dxa"/>
            <w:right w:w="120" w:type="dxa"/>
          </w:tblCellMar>
          <w:tblLook w:val="04A0"/>
        </w:tblPrEx>
        <w:trPr>
          <w:trHeight w:val="1184"/>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rsidR="00462145" w:rsidRPr="00014454" w:rsidP="00741057" w14:paraId="58FDFE0B"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Type of Respondent</w:t>
            </w:r>
          </w:p>
        </w:tc>
        <w:tc>
          <w:tcPr>
            <w:tcW w:w="2160" w:type="dxa"/>
            <w:tcBorders>
              <w:top w:val="single" w:sz="4" w:space="0" w:color="auto"/>
              <w:left w:val="single" w:sz="4" w:space="0" w:color="auto"/>
              <w:bottom w:val="single" w:sz="4" w:space="0" w:color="auto"/>
              <w:right w:val="single" w:sz="4" w:space="0" w:color="auto"/>
            </w:tcBorders>
            <w:vAlign w:val="center"/>
            <w:hideMark/>
          </w:tcPr>
          <w:p w:rsidR="00462145" w:rsidRPr="00014454" w:rsidP="5EC88010" w14:paraId="2307DA84" w14:textId="77777777">
            <w:pPr>
              <w:rPr>
                <w:rFonts w:ascii="Times New Roman" w:hAnsi="Times New Roman" w:cs="Times New Roman"/>
                <w:color w:val="000000" w:themeColor="text1"/>
              </w:rPr>
            </w:pPr>
            <w:r w:rsidRPr="00014454">
              <w:rPr>
                <w:rFonts w:ascii="Times New Roman" w:hAnsi="Times New Roman" w:cs="Times New Roman"/>
                <w:color w:val="000000" w:themeColor="text1"/>
              </w:rPr>
              <w:t>Form</w:t>
            </w:r>
          </w:p>
        </w:tc>
        <w:tc>
          <w:tcPr>
            <w:tcW w:w="1620" w:type="dxa"/>
            <w:tcBorders>
              <w:top w:val="single" w:sz="4" w:space="0" w:color="auto"/>
              <w:left w:val="single" w:sz="4" w:space="0" w:color="auto"/>
              <w:bottom w:val="single" w:sz="4" w:space="0" w:color="auto"/>
              <w:right w:val="single" w:sz="8" w:space="0" w:color="000000" w:themeColor="text1"/>
            </w:tcBorders>
            <w:vAlign w:val="center"/>
            <w:hideMark/>
          </w:tcPr>
          <w:p w:rsidR="00462145" w:rsidRPr="00014454" w:rsidP="00741057" w14:paraId="7F56D0B7"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Number of</w:t>
            </w:r>
          </w:p>
          <w:p w:rsidR="00462145" w:rsidRPr="00014454" w:rsidP="00741057" w14:paraId="409209B8"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Respondents</w:t>
            </w:r>
          </w:p>
        </w:tc>
        <w:tc>
          <w:tcPr>
            <w:tcW w:w="1530" w:type="dxa"/>
            <w:tcBorders>
              <w:top w:val="single" w:sz="4" w:space="0" w:color="auto"/>
              <w:left w:val="single" w:sz="8" w:space="0" w:color="000000" w:themeColor="text1"/>
              <w:bottom w:val="single" w:sz="4" w:space="0" w:color="auto"/>
              <w:right w:val="single" w:sz="8" w:space="0" w:color="000000" w:themeColor="text1"/>
            </w:tcBorders>
            <w:vAlign w:val="center"/>
            <w:hideMark/>
          </w:tcPr>
          <w:p w:rsidR="00462145" w:rsidRPr="00014454" w:rsidP="00741057" w14:paraId="3D8BC0D2"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Number of</w:t>
            </w:r>
          </w:p>
          <w:p w:rsidR="00462145" w:rsidRPr="00014454" w:rsidP="00741057" w14:paraId="3570FE20"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Responses per</w:t>
            </w:r>
          </w:p>
          <w:p w:rsidR="00462145" w:rsidRPr="00014454" w:rsidP="00741057" w14:paraId="4AD1D031" w14:textId="6EB967A8">
            <w:pPr>
              <w:rPr>
                <w:rFonts w:ascii="Times New Roman" w:hAnsi="Times New Roman" w:cs="Times New Roman"/>
                <w:bCs/>
                <w:color w:val="000000" w:themeColor="text1"/>
              </w:rPr>
            </w:pPr>
            <w:r>
              <w:rPr>
                <w:rFonts w:ascii="Times New Roman" w:hAnsi="Times New Roman" w:cs="Times New Roman"/>
                <w:bCs/>
                <w:color w:val="000000" w:themeColor="text1"/>
              </w:rPr>
              <w:t>R</w:t>
            </w:r>
            <w:r w:rsidRPr="00014454">
              <w:rPr>
                <w:rFonts w:ascii="Times New Roman" w:hAnsi="Times New Roman" w:cs="Times New Roman"/>
                <w:bCs/>
                <w:color w:val="000000" w:themeColor="text1"/>
              </w:rPr>
              <w:t>espondent</w:t>
            </w:r>
          </w:p>
        </w:tc>
        <w:tc>
          <w:tcPr>
            <w:tcW w:w="1170" w:type="dxa"/>
            <w:tcBorders>
              <w:top w:val="single" w:sz="4" w:space="0" w:color="auto"/>
              <w:left w:val="single" w:sz="8" w:space="0" w:color="000000" w:themeColor="text1"/>
              <w:bottom w:val="single" w:sz="4" w:space="0" w:color="auto"/>
              <w:right w:val="single" w:sz="8" w:space="0" w:color="000000" w:themeColor="text1"/>
            </w:tcBorders>
            <w:vAlign w:val="center"/>
            <w:hideMark/>
          </w:tcPr>
          <w:p w:rsidR="00462145" w:rsidRPr="00014454" w:rsidP="00741057" w14:paraId="6E2CB4F9"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Average Burden per Response</w:t>
            </w:r>
          </w:p>
          <w:p w:rsidR="00462145" w:rsidRPr="00014454" w:rsidP="00741057" w14:paraId="4427B81B"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(in hours)</w:t>
            </w:r>
          </w:p>
        </w:tc>
        <w:tc>
          <w:tcPr>
            <w:tcW w:w="1170" w:type="dxa"/>
            <w:tcBorders>
              <w:top w:val="single" w:sz="4" w:space="0" w:color="auto"/>
              <w:left w:val="single" w:sz="8" w:space="0" w:color="000000" w:themeColor="text1"/>
              <w:bottom w:val="single" w:sz="4" w:space="0" w:color="auto"/>
              <w:right w:val="single" w:sz="4" w:space="0" w:color="auto"/>
            </w:tcBorders>
            <w:vAlign w:val="center"/>
            <w:hideMark/>
          </w:tcPr>
          <w:p w:rsidR="00462145" w:rsidRPr="00014454" w:rsidP="00741057" w14:paraId="42CEC331"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Total</w:t>
            </w:r>
          </w:p>
          <w:p w:rsidR="00462145" w:rsidRPr="00014454" w:rsidP="00741057" w14:paraId="11231169"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Burden</w:t>
            </w:r>
          </w:p>
          <w:p w:rsidR="00462145" w:rsidRPr="00014454" w:rsidP="00741057" w14:paraId="095F9E1F"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Hours</w:t>
            </w:r>
          </w:p>
        </w:tc>
      </w:tr>
      <w:tr w14:paraId="1020E3C5" w14:textId="77777777" w:rsidTr="00AA1A68">
        <w:tblPrEx>
          <w:tblW w:w="10170" w:type="dxa"/>
          <w:jc w:val="center"/>
          <w:tblLayout w:type="fixed"/>
          <w:tblCellMar>
            <w:left w:w="120" w:type="dxa"/>
            <w:right w:w="120" w:type="dxa"/>
          </w:tblCellMar>
          <w:tblLook w:val="04A0"/>
        </w:tblPrEx>
        <w:trPr>
          <w:trHeight w:val="840"/>
          <w:jc w:val="center"/>
        </w:trPr>
        <w:tc>
          <w:tcPr>
            <w:tcW w:w="2520" w:type="dxa"/>
            <w:tcBorders>
              <w:top w:val="single" w:sz="4" w:space="0" w:color="auto"/>
              <w:left w:val="single" w:sz="4" w:space="0" w:color="auto"/>
              <w:bottom w:val="single" w:sz="4" w:space="0" w:color="auto"/>
              <w:right w:val="single" w:sz="4" w:space="0" w:color="auto"/>
            </w:tcBorders>
            <w:vAlign w:val="center"/>
          </w:tcPr>
          <w:p w:rsidR="00462145" w:rsidRPr="00014454" w:rsidP="00D26824" w14:paraId="046AC6C4" w14:textId="6F16017F">
            <w:pPr>
              <w:rPr>
                <w:rFonts w:ascii="Times New Roman" w:hAnsi="Times New Roman" w:cs="Times New Roman"/>
                <w:color w:val="000000" w:themeColor="text1"/>
              </w:rPr>
            </w:pPr>
            <w:r>
              <w:rPr>
                <w:rFonts w:ascii="Times New Roman" w:hAnsi="Times New Roman" w:cs="Times New Roman"/>
                <w:color w:val="000000" w:themeColor="text1"/>
              </w:rPr>
              <w:t>Volunteers, ages 20-70</w:t>
            </w:r>
          </w:p>
        </w:tc>
        <w:tc>
          <w:tcPr>
            <w:tcW w:w="2160" w:type="dxa"/>
            <w:tcBorders>
              <w:top w:val="single" w:sz="4" w:space="0" w:color="auto"/>
              <w:left w:val="single" w:sz="4" w:space="0" w:color="auto"/>
              <w:bottom w:val="single" w:sz="4" w:space="0" w:color="auto"/>
              <w:right w:val="single" w:sz="4" w:space="0" w:color="auto"/>
            </w:tcBorders>
            <w:vAlign w:val="center"/>
          </w:tcPr>
          <w:p w:rsidR="00462145" w:rsidRPr="00014454" w:rsidP="00626F7E" w14:paraId="3CF3F255" w14:textId="187C69C4">
            <w:pPr>
              <w:rPr>
                <w:rFonts w:ascii="Times New Roman" w:hAnsi="Times New Roman" w:cs="Times New Roman"/>
                <w:color w:val="000000" w:themeColor="text1"/>
              </w:rPr>
            </w:pPr>
            <w:r>
              <w:rPr>
                <w:rFonts w:ascii="Times New Roman" w:hAnsi="Times New Roman" w:cs="Times New Roman"/>
              </w:rPr>
              <w:t>D</w:t>
            </w:r>
            <w:r w:rsidR="00A64152">
              <w:rPr>
                <w:rFonts w:ascii="Times New Roman" w:hAnsi="Times New Roman" w:cs="Times New Roman"/>
              </w:rPr>
              <w:t xml:space="preserve">XA </w:t>
            </w:r>
            <w:r w:rsidR="00805530">
              <w:rPr>
                <w:rFonts w:ascii="Times New Roman" w:hAnsi="Times New Roman" w:cs="Times New Roman"/>
              </w:rPr>
              <w:t>c</w:t>
            </w:r>
            <w:r w:rsidR="00A64152">
              <w:rPr>
                <w:rFonts w:ascii="Times New Roman" w:hAnsi="Times New Roman" w:cs="Times New Roman"/>
              </w:rPr>
              <w:t>rossover</w:t>
            </w:r>
            <w:r w:rsidRPr="00014454" w:rsidR="075ECBFC">
              <w:rPr>
                <w:rFonts w:ascii="Times New Roman" w:hAnsi="Times New Roman" w:cs="Times New Roman"/>
              </w:rPr>
              <w:t xml:space="preserve"> </w:t>
            </w:r>
            <w:r w:rsidR="00805530">
              <w:rPr>
                <w:rFonts w:ascii="Times New Roman" w:hAnsi="Times New Roman" w:cs="Times New Roman"/>
              </w:rPr>
              <w:t>s</w:t>
            </w:r>
            <w:r w:rsidRPr="00014454" w:rsidR="075ECBFC">
              <w:rPr>
                <w:rFonts w:ascii="Times New Roman" w:hAnsi="Times New Roman" w:cs="Times New Roman"/>
              </w:rPr>
              <w:t xml:space="preserve">tudy </w:t>
            </w:r>
          </w:p>
        </w:tc>
        <w:tc>
          <w:tcPr>
            <w:tcW w:w="1620" w:type="dxa"/>
            <w:tcBorders>
              <w:top w:val="single" w:sz="4" w:space="0" w:color="auto"/>
              <w:left w:val="single" w:sz="4" w:space="0" w:color="auto"/>
              <w:bottom w:val="single" w:sz="4" w:space="0" w:color="auto"/>
              <w:right w:val="single" w:sz="8" w:space="0" w:color="000000" w:themeColor="text1"/>
            </w:tcBorders>
            <w:vAlign w:val="center"/>
          </w:tcPr>
          <w:p w:rsidR="00462145" w:rsidRPr="00014454" w:rsidP="00AA1A68" w14:paraId="75A486DC" w14:textId="77777777">
            <w:pPr>
              <w:jc w:val="center"/>
              <w:rPr>
                <w:rFonts w:ascii="Times New Roman" w:hAnsi="Times New Roman" w:cs="Times New Roman"/>
                <w:color w:val="000000" w:themeColor="text1"/>
              </w:rPr>
            </w:pPr>
          </w:p>
          <w:p w:rsidR="00462145" w:rsidRPr="00014454" w:rsidP="00AA1A68" w14:paraId="43D699E9" w14:textId="58679B4C">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30" w:type="dxa"/>
            <w:tcBorders>
              <w:top w:val="single" w:sz="4" w:space="0" w:color="auto"/>
              <w:left w:val="single" w:sz="8" w:space="0" w:color="000000" w:themeColor="text1"/>
              <w:bottom w:val="single" w:sz="4" w:space="0" w:color="auto"/>
              <w:right w:val="single" w:sz="8" w:space="0" w:color="000000" w:themeColor="text1"/>
            </w:tcBorders>
            <w:vAlign w:val="center"/>
          </w:tcPr>
          <w:p w:rsidR="00462145" w:rsidRPr="00014454" w:rsidP="00AA1A68" w14:paraId="1ADB6061" w14:textId="77777777">
            <w:pPr>
              <w:jc w:val="center"/>
              <w:rPr>
                <w:rFonts w:ascii="Times New Roman" w:hAnsi="Times New Roman" w:cs="Times New Roman"/>
                <w:color w:val="000000" w:themeColor="text1"/>
              </w:rPr>
            </w:pPr>
          </w:p>
          <w:p w:rsidR="00462145" w:rsidRPr="00014454" w:rsidP="00AA1A68" w14:paraId="6D0D2FD1" w14:textId="77777777">
            <w:pPr>
              <w:jc w:val="center"/>
              <w:rPr>
                <w:rFonts w:ascii="Times New Roman" w:hAnsi="Times New Roman" w:cs="Times New Roman"/>
                <w:color w:val="000000" w:themeColor="text1"/>
              </w:rPr>
            </w:pPr>
            <w:r w:rsidRPr="00014454">
              <w:rPr>
                <w:rFonts w:ascii="Times New Roman" w:hAnsi="Times New Roman" w:cs="Times New Roman"/>
                <w:color w:val="000000" w:themeColor="text1"/>
              </w:rPr>
              <w:t>1</w:t>
            </w:r>
          </w:p>
        </w:tc>
        <w:tc>
          <w:tcPr>
            <w:tcW w:w="1170" w:type="dxa"/>
            <w:tcBorders>
              <w:top w:val="single" w:sz="4" w:space="0" w:color="auto"/>
              <w:left w:val="single" w:sz="8" w:space="0" w:color="000000" w:themeColor="text1"/>
              <w:bottom w:val="single" w:sz="4" w:space="0" w:color="auto"/>
              <w:right w:val="single" w:sz="8" w:space="0" w:color="000000" w:themeColor="text1"/>
            </w:tcBorders>
            <w:vAlign w:val="center"/>
          </w:tcPr>
          <w:p w:rsidR="00462145" w:rsidRPr="00014454" w:rsidP="00AA1A68" w14:paraId="2DF0692D" w14:textId="77777777">
            <w:pPr>
              <w:jc w:val="center"/>
              <w:rPr>
                <w:rFonts w:ascii="Times New Roman" w:hAnsi="Times New Roman" w:cs="Times New Roman"/>
                <w:color w:val="000000" w:themeColor="text1"/>
              </w:rPr>
            </w:pPr>
          </w:p>
          <w:p w:rsidR="00462145" w:rsidRPr="00014454" w:rsidP="00AA1A68" w14:paraId="7AFFADC0" w14:textId="59146AA5">
            <w:pPr>
              <w:jc w:val="center"/>
              <w:rPr>
                <w:rFonts w:ascii="Times New Roman" w:hAnsi="Times New Roman" w:cs="Times New Roman"/>
                <w:color w:val="000000" w:themeColor="text1"/>
              </w:rPr>
            </w:pPr>
            <w:r>
              <w:rPr>
                <w:rFonts w:ascii="Times New Roman" w:hAnsi="Times New Roman" w:cs="Times New Roman"/>
                <w:color w:val="000000" w:themeColor="text1"/>
              </w:rPr>
              <w:t>4</w:t>
            </w:r>
            <w:r w:rsidRPr="00014454" w:rsidR="00AE1E8E">
              <w:rPr>
                <w:rFonts w:ascii="Times New Roman" w:hAnsi="Times New Roman" w:cs="Times New Roman"/>
                <w:color w:val="000000" w:themeColor="text1"/>
              </w:rPr>
              <w:t>5/60</w:t>
            </w:r>
          </w:p>
        </w:tc>
        <w:tc>
          <w:tcPr>
            <w:tcW w:w="1170" w:type="dxa"/>
            <w:tcBorders>
              <w:top w:val="single" w:sz="4" w:space="0" w:color="auto"/>
              <w:left w:val="single" w:sz="8" w:space="0" w:color="000000" w:themeColor="text1"/>
              <w:bottom w:val="single" w:sz="4" w:space="0" w:color="auto"/>
              <w:right w:val="single" w:sz="4" w:space="0" w:color="auto"/>
            </w:tcBorders>
            <w:vAlign w:val="center"/>
          </w:tcPr>
          <w:p w:rsidR="00462145" w:rsidRPr="00014454" w:rsidP="00741057" w14:paraId="3DB986C0" w14:textId="77777777">
            <w:pPr>
              <w:rPr>
                <w:rFonts w:ascii="Times New Roman" w:hAnsi="Times New Roman" w:cs="Times New Roman"/>
                <w:color w:val="000000" w:themeColor="text1"/>
              </w:rPr>
            </w:pPr>
          </w:p>
          <w:p w:rsidR="00462145" w:rsidRPr="00014454" w:rsidP="00AA1A68" w14:paraId="11735216" w14:textId="25AE375A">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F844EF">
              <w:rPr>
                <w:rFonts w:ascii="Times New Roman" w:hAnsi="Times New Roman" w:cs="Times New Roman"/>
                <w:color w:val="000000" w:themeColor="text1"/>
              </w:rPr>
              <w:t>3</w:t>
            </w:r>
          </w:p>
        </w:tc>
      </w:tr>
      <w:tr w14:paraId="28892DF8" w14:textId="77777777" w:rsidTr="00AA1A68">
        <w:tblPrEx>
          <w:tblW w:w="10170" w:type="dxa"/>
          <w:jc w:val="center"/>
          <w:tblLayout w:type="fixed"/>
          <w:tblCellMar>
            <w:left w:w="120" w:type="dxa"/>
            <w:right w:w="120" w:type="dxa"/>
          </w:tblCellMar>
          <w:tblLook w:val="04A0"/>
        </w:tblPrEx>
        <w:trPr>
          <w:trHeight w:val="710"/>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152" w:rsidP="00D26824" w14:paraId="03A63992" w14:textId="29AC1E85">
            <w:pPr>
              <w:rPr>
                <w:rFonts w:ascii="Times New Roman" w:hAnsi="Times New Roman" w:cs="Times New Roman"/>
                <w:color w:val="000000" w:themeColor="text1"/>
              </w:rPr>
            </w:pPr>
            <w:r>
              <w:rPr>
                <w:rFonts w:ascii="Times New Roman" w:hAnsi="Times New Roman" w:cs="Times New Roman"/>
                <w:color w:val="000000" w:themeColor="text1"/>
              </w:rPr>
              <w:t>Volunteers, age 20 and older</w:t>
            </w:r>
          </w:p>
        </w:tc>
        <w:tc>
          <w:tcPr>
            <w:tcW w:w="2160" w:type="dxa"/>
            <w:tcBorders>
              <w:top w:val="single" w:sz="4" w:space="0" w:color="auto"/>
              <w:left w:val="single" w:sz="4" w:space="0" w:color="auto"/>
              <w:bottom w:val="single" w:sz="4" w:space="0" w:color="auto"/>
              <w:right w:val="single" w:sz="4" w:space="0" w:color="auto"/>
            </w:tcBorders>
            <w:vAlign w:val="center"/>
          </w:tcPr>
          <w:p w:rsidR="00A64152" w:rsidP="00626F7E" w14:paraId="1AFB4579" w14:textId="3A749E59">
            <w:pPr>
              <w:rPr>
                <w:rFonts w:ascii="Times New Roman" w:hAnsi="Times New Roman" w:cs="Times New Roman"/>
              </w:rPr>
            </w:pPr>
            <w:r>
              <w:rPr>
                <w:rFonts w:ascii="Times New Roman" w:hAnsi="Times New Roman" w:cs="Times New Roman"/>
              </w:rPr>
              <w:t xml:space="preserve">Hematology </w:t>
            </w:r>
            <w:r w:rsidR="00805530">
              <w:rPr>
                <w:rFonts w:ascii="Times New Roman" w:hAnsi="Times New Roman" w:cs="Times New Roman"/>
              </w:rPr>
              <w:t>c</w:t>
            </w:r>
            <w:r>
              <w:rPr>
                <w:rFonts w:ascii="Times New Roman" w:hAnsi="Times New Roman" w:cs="Times New Roman"/>
              </w:rPr>
              <w:t xml:space="preserve">omparison </w:t>
            </w:r>
            <w:r w:rsidR="00805530">
              <w:rPr>
                <w:rFonts w:ascii="Times New Roman" w:hAnsi="Times New Roman" w:cs="Times New Roman"/>
              </w:rPr>
              <w:t>s</w:t>
            </w:r>
            <w:r>
              <w:rPr>
                <w:rFonts w:ascii="Times New Roman" w:hAnsi="Times New Roman" w:cs="Times New Roman"/>
              </w:rPr>
              <w:t>tudy</w:t>
            </w:r>
          </w:p>
        </w:tc>
        <w:tc>
          <w:tcPr>
            <w:tcW w:w="1620" w:type="dxa"/>
            <w:tcBorders>
              <w:top w:val="single" w:sz="4" w:space="0" w:color="auto"/>
              <w:left w:val="single" w:sz="4" w:space="0" w:color="auto"/>
              <w:bottom w:val="single" w:sz="4" w:space="0" w:color="auto"/>
              <w:right w:val="single" w:sz="8" w:space="0" w:color="000000" w:themeColor="text1"/>
            </w:tcBorders>
            <w:vAlign w:val="center"/>
          </w:tcPr>
          <w:p w:rsidR="00A64152" w:rsidRPr="00014454" w:rsidP="00AA1A68" w14:paraId="34A4F11B" w14:textId="2F2D54E9">
            <w:pPr>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530" w:type="dxa"/>
            <w:tcBorders>
              <w:top w:val="single" w:sz="4" w:space="0" w:color="auto"/>
              <w:left w:val="single" w:sz="8" w:space="0" w:color="000000" w:themeColor="text1"/>
              <w:bottom w:val="single" w:sz="4" w:space="0" w:color="auto"/>
              <w:right w:val="single" w:sz="8" w:space="0" w:color="000000" w:themeColor="text1"/>
            </w:tcBorders>
            <w:vAlign w:val="center"/>
          </w:tcPr>
          <w:p w:rsidR="00A64152" w:rsidRPr="00014454" w:rsidP="00AA1A68" w14:paraId="36C27190" w14:textId="791F2CE8">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70" w:type="dxa"/>
            <w:tcBorders>
              <w:top w:val="single" w:sz="4" w:space="0" w:color="auto"/>
              <w:left w:val="single" w:sz="8" w:space="0" w:color="000000" w:themeColor="text1"/>
              <w:bottom w:val="single" w:sz="4" w:space="0" w:color="auto"/>
              <w:right w:val="single" w:sz="8" w:space="0" w:color="000000" w:themeColor="text1"/>
            </w:tcBorders>
            <w:vAlign w:val="center"/>
          </w:tcPr>
          <w:p w:rsidR="00A64152" w:rsidRPr="00014454" w:rsidP="00AA1A68" w14:paraId="5C8B6DDA" w14:textId="2C6DA9A4">
            <w:pPr>
              <w:jc w:val="center"/>
              <w:rPr>
                <w:rFonts w:ascii="Times New Roman" w:hAnsi="Times New Roman" w:cs="Times New Roman"/>
                <w:color w:val="000000" w:themeColor="text1"/>
              </w:rPr>
            </w:pPr>
            <w:r>
              <w:rPr>
                <w:rFonts w:ascii="Times New Roman" w:hAnsi="Times New Roman" w:cs="Times New Roman"/>
                <w:color w:val="000000" w:themeColor="text1"/>
              </w:rPr>
              <w:t>10/60</w:t>
            </w:r>
          </w:p>
        </w:tc>
        <w:tc>
          <w:tcPr>
            <w:tcW w:w="1170" w:type="dxa"/>
            <w:tcBorders>
              <w:top w:val="single" w:sz="4" w:space="0" w:color="auto"/>
              <w:left w:val="single" w:sz="8" w:space="0" w:color="000000" w:themeColor="text1"/>
              <w:bottom w:val="single" w:sz="4" w:space="0" w:color="auto"/>
              <w:right w:val="single" w:sz="4" w:space="0" w:color="auto"/>
            </w:tcBorders>
            <w:vAlign w:val="center"/>
          </w:tcPr>
          <w:p w:rsidR="00A64152" w:rsidRPr="00014454" w:rsidP="00AA1A68" w14:paraId="6C021FC1" w14:textId="278E313E">
            <w:pPr>
              <w:jc w:val="center"/>
              <w:rPr>
                <w:rFonts w:ascii="Times New Roman" w:hAnsi="Times New Roman" w:cs="Times New Roman"/>
                <w:color w:val="000000" w:themeColor="text1"/>
              </w:rPr>
            </w:pPr>
            <w:r>
              <w:rPr>
                <w:rFonts w:ascii="Times New Roman" w:hAnsi="Times New Roman" w:cs="Times New Roman"/>
                <w:color w:val="000000" w:themeColor="text1"/>
              </w:rPr>
              <w:t>7</w:t>
            </w:r>
          </w:p>
        </w:tc>
      </w:tr>
      <w:tr w14:paraId="0B2C1546" w14:textId="77777777" w:rsidTr="00AA1A68">
        <w:tblPrEx>
          <w:tblW w:w="10170" w:type="dxa"/>
          <w:jc w:val="center"/>
          <w:tblLayout w:type="fixed"/>
          <w:tblCellMar>
            <w:left w:w="120" w:type="dxa"/>
            <w:right w:w="120" w:type="dxa"/>
          </w:tblCellMar>
          <w:tblLook w:val="04A0"/>
        </w:tblPrEx>
        <w:trPr>
          <w:trHeight w:val="522"/>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rsidR="00462145" w:rsidRPr="00014454" w:rsidP="00741057" w14:paraId="50111331" w14:textId="77777777">
            <w:pPr>
              <w:rPr>
                <w:rFonts w:ascii="Times New Roman" w:hAnsi="Times New Roman" w:cs="Times New Roman"/>
                <w:bCs/>
                <w:color w:val="000000" w:themeColor="text1"/>
              </w:rPr>
            </w:pPr>
            <w:r w:rsidRPr="00014454">
              <w:rPr>
                <w:rFonts w:ascii="Times New Roman" w:hAnsi="Times New Roman" w:cs="Times New Roman"/>
                <w:bCs/>
                <w:color w:val="000000" w:themeColor="text1"/>
              </w:rPr>
              <w:t>Total</w:t>
            </w:r>
          </w:p>
        </w:tc>
        <w:tc>
          <w:tcPr>
            <w:tcW w:w="2160" w:type="dxa"/>
            <w:tcBorders>
              <w:top w:val="single" w:sz="4" w:space="0" w:color="auto"/>
              <w:left w:val="single" w:sz="4" w:space="0" w:color="auto"/>
              <w:bottom w:val="single" w:sz="4" w:space="0" w:color="auto"/>
              <w:right w:val="nil"/>
            </w:tcBorders>
          </w:tcPr>
          <w:p w:rsidR="00462145" w:rsidRPr="00014454" w:rsidP="00741057" w14:paraId="3A1A0C47" w14:textId="77777777">
            <w:pPr>
              <w:rPr>
                <w:rFonts w:ascii="Times New Roman" w:hAnsi="Times New Roman" w:cs="Times New Roman"/>
                <w:color w:val="000000" w:themeColor="text1"/>
              </w:rPr>
            </w:pPr>
          </w:p>
        </w:tc>
        <w:tc>
          <w:tcPr>
            <w:tcW w:w="1620" w:type="dxa"/>
            <w:tcBorders>
              <w:top w:val="single" w:sz="4" w:space="0" w:color="auto"/>
              <w:left w:val="nil"/>
              <w:bottom w:val="single" w:sz="4" w:space="0" w:color="auto"/>
              <w:right w:val="nil"/>
            </w:tcBorders>
            <w:vAlign w:val="center"/>
          </w:tcPr>
          <w:p w:rsidR="00462145" w:rsidRPr="00014454" w:rsidP="00741057" w14:paraId="1455D297" w14:textId="77777777">
            <w:pPr>
              <w:rPr>
                <w:rFonts w:ascii="Times New Roman" w:hAnsi="Times New Roman" w:cs="Times New Roman"/>
                <w:color w:val="000000" w:themeColor="text1"/>
              </w:rPr>
            </w:pPr>
          </w:p>
        </w:tc>
        <w:tc>
          <w:tcPr>
            <w:tcW w:w="1530" w:type="dxa"/>
            <w:tcBorders>
              <w:top w:val="single" w:sz="4" w:space="0" w:color="auto"/>
              <w:left w:val="nil"/>
              <w:bottom w:val="single" w:sz="4" w:space="0" w:color="auto"/>
              <w:right w:val="nil"/>
            </w:tcBorders>
            <w:vAlign w:val="center"/>
          </w:tcPr>
          <w:p w:rsidR="00462145" w:rsidRPr="00014454" w:rsidP="00741057" w14:paraId="3B7CB9AE" w14:textId="77777777">
            <w:pPr>
              <w:rPr>
                <w:rFonts w:ascii="Times New Roman" w:hAnsi="Times New Roman" w:cs="Times New Roman"/>
                <w:color w:val="000000" w:themeColor="text1"/>
              </w:rPr>
            </w:pPr>
          </w:p>
        </w:tc>
        <w:tc>
          <w:tcPr>
            <w:tcW w:w="1170" w:type="dxa"/>
            <w:tcBorders>
              <w:top w:val="single" w:sz="4" w:space="0" w:color="auto"/>
              <w:left w:val="nil"/>
              <w:bottom w:val="single" w:sz="4" w:space="0" w:color="auto"/>
              <w:right w:val="single" w:sz="8" w:space="0" w:color="000000" w:themeColor="text1"/>
            </w:tcBorders>
            <w:vAlign w:val="center"/>
          </w:tcPr>
          <w:p w:rsidR="00462145" w:rsidRPr="00014454" w:rsidP="00741057" w14:paraId="3AEC2559" w14:textId="77777777">
            <w:pPr>
              <w:rPr>
                <w:rFonts w:ascii="Times New Roman" w:hAnsi="Times New Roman" w:cs="Times New Roman"/>
                <w:color w:val="000000" w:themeColor="text1"/>
              </w:rPr>
            </w:pPr>
          </w:p>
        </w:tc>
        <w:tc>
          <w:tcPr>
            <w:tcW w:w="1170" w:type="dxa"/>
            <w:tcBorders>
              <w:top w:val="single" w:sz="4" w:space="0" w:color="auto"/>
              <w:left w:val="single" w:sz="8" w:space="0" w:color="000000" w:themeColor="text1"/>
              <w:bottom w:val="single" w:sz="4" w:space="0" w:color="auto"/>
              <w:right w:val="single" w:sz="4" w:space="0" w:color="auto"/>
            </w:tcBorders>
            <w:vAlign w:val="center"/>
            <w:hideMark/>
          </w:tcPr>
          <w:p w:rsidR="00462145" w:rsidRPr="00014454" w:rsidP="005F53FC" w14:paraId="106198B5" w14:textId="1503DE2F">
            <w:pPr>
              <w:jc w:val="center"/>
              <w:rPr>
                <w:rFonts w:ascii="Times New Roman" w:hAnsi="Times New Roman" w:cs="Times New Roman"/>
                <w:bCs/>
                <w:color w:val="000000" w:themeColor="text1"/>
              </w:rPr>
            </w:pPr>
            <w:r>
              <w:rPr>
                <w:rFonts w:ascii="Times New Roman" w:hAnsi="Times New Roman" w:cs="Times New Roman"/>
                <w:bCs/>
                <w:color w:val="000000" w:themeColor="text1"/>
              </w:rPr>
              <w:t>30</w:t>
            </w:r>
          </w:p>
        </w:tc>
      </w:tr>
    </w:tbl>
    <w:p w:rsidR="001448F3" w:rsidP="0040297C" w14:paraId="19CE73B9" w14:textId="77777777">
      <w:pPr>
        <w:widowControl/>
        <w:autoSpaceDE/>
        <w:autoSpaceDN/>
        <w:adjustRightInd/>
        <w:rPr>
          <w:rFonts w:ascii="Times New Roman" w:eastAsia="Calibri" w:hAnsi="Times New Roman" w:cs="Times New Roman"/>
        </w:rPr>
      </w:pPr>
    </w:p>
    <w:p w:rsidR="001448F3" w:rsidP="0040297C" w14:paraId="7439999B" w14:textId="77777777">
      <w:pPr>
        <w:widowControl/>
        <w:autoSpaceDE/>
        <w:autoSpaceDN/>
        <w:adjustRightInd/>
        <w:rPr>
          <w:rFonts w:ascii="Times New Roman" w:eastAsia="Calibri" w:hAnsi="Times New Roman" w:cs="Times New Roman"/>
        </w:rPr>
      </w:pPr>
    </w:p>
    <w:p w:rsidR="0040297C" w:rsidRPr="00014454" w:rsidP="0040297C" w14:paraId="6A4FCB7D" w14:textId="203A3615">
      <w:pPr>
        <w:widowControl/>
        <w:autoSpaceDE/>
        <w:autoSpaceDN/>
        <w:adjustRightInd/>
        <w:rPr>
          <w:rFonts w:ascii="Times New Roman" w:eastAsia="Calibri" w:hAnsi="Times New Roman" w:cs="Times New Roman"/>
        </w:rPr>
      </w:pPr>
      <w:r w:rsidRPr="5249834F">
        <w:rPr>
          <w:rFonts w:ascii="Times New Roman" w:eastAsia="Calibri" w:hAnsi="Times New Roman" w:cs="Times New Roman"/>
        </w:rPr>
        <w:t>b</w:t>
      </w:r>
      <w:r w:rsidRPr="5249834F" w:rsidR="594BDD02">
        <w:rPr>
          <w:rFonts w:ascii="Times New Roman" w:eastAsia="Calibri" w:hAnsi="Times New Roman" w:cs="Times New Roman"/>
        </w:rPr>
        <w:t xml:space="preserve">.  Annualized Cost to Respondents  </w:t>
      </w:r>
    </w:p>
    <w:p w:rsidR="0040297C" w:rsidRPr="00014454" w:rsidP="0040297C" w14:paraId="123E6975" w14:textId="77777777">
      <w:pPr>
        <w:widowControl/>
        <w:autoSpaceDE/>
        <w:autoSpaceDN/>
        <w:adjustRightInd/>
        <w:rPr>
          <w:rFonts w:ascii="Times New Roman" w:eastAsia="Calibri" w:hAnsi="Times New Roman" w:cs="Times New Roman"/>
        </w:rPr>
      </w:pPr>
    </w:p>
    <w:p w:rsidR="004E004D" w:rsidRPr="003B6DC0" w:rsidP="003B6DC0" w14:paraId="76E8A1E4" w14:textId="2A5C4A9C">
      <w:pPr>
        <w:widowControl/>
        <w:autoSpaceDE/>
        <w:autoSpaceDN/>
        <w:adjustRightInd/>
        <w:rPr>
          <w:rFonts w:ascii="Times New Roman" w:eastAsia="Calibri" w:hAnsi="Times New Roman" w:cs="Times New Roman"/>
        </w:rPr>
      </w:pPr>
      <w:r w:rsidRPr="5249834F">
        <w:rPr>
          <w:rFonts w:ascii="Times New Roman" w:eastAsia="Calibri" w:hAnsi="Times New Roman" w:cs="Times New Roman"/>
        </w:rPr>
        <w:t>The hourly wage rate of $</w:t>
      </w:r>
      <w:r w:rsidR="00AF7FFE">
        <w:rPr>
          <w:rFonts w:ascii="Times New Roman" w:eastAsia="Calibri" w:hAnsi="Times New Roman" w:cs="Times New Roman"/>
        </w:rPr>
        <w:t>31.48</w:t>
      </w:r>
      <w:r w:rsidRPr="5249834F">
        <w:rPr>
          <w:rFonts w:ascii="Times New Roman" w:eastAsia="Calibri" w:hAnsi="Times New Roman" w:cs="Times New Roman"/>
        </w:rPr>
        <w:t xml:space="preserve"> is based on </w:t>
      </w:r>
      <w:r w:rsidR="00C660D7">
        <w:rPr>
          <w:rFonts w:ascii="Times New Roman" w:eastAsia="Calibri" w:hAnsi="Times New Roman" w:cs="Times New Roman"/>
        </w:rPr>
        <w:t>the latest</w:t>
      </w:r>
      <w:r w:rsidR="00221E83">
        <w:rPr>
          <w:rFonts w:ascii="Times New Roman" w:eastAsia="Calibri" w:hAnsi="Times New Roman" w:cs="Times New Roman"/>
        </w:rPr>
        <w:t xml:space="preserve"> income estimates</w:t>
      </w:r>
      <w:r w:rsidR="00402CE4">
        <w:rPr>
          <w:rFonts w:ascii="Times New Roman" w:eastAsia="Calibri" w:hAnsi="Times New Roman" w:cs="Times New Roman"/>
        </w:rPr>
        <w:t xml:space="preserve"> (i.e., </w:t>
      </w:r>
      <w:r w:rsidR="004D7969">
        <w:rPr>
          <w:rFonts w:ascii="Times New Roman" w:eastAsia="Calibri" w:hAnsi="Times New Roman" w:cs="Times New Roman"/>
        </w:rPr>
        <w:t xml:space="preserve">from </w:t>
      </w:r>
      <w:r w:rsidR="00402CE4">
        <w:rPr>
          <w:rFonts w:ascii="Times New Roman" w:eastAsia="Calibri" w:hAnsi="Times New Roman" w:cs="Times New Roman"/>
        </w:rPr>
        <w:t>May 2023)</w:t>
      </w:r>
      <w:r w:rsidR="00221E83">
        <w:rPr>
          <w:rFonts w:ascii="Times New Roman" w:eastAsia="Calibri" w:hAnsi="Times New Roman" w:cs="Times New Roman"/>
        </w:rPr>
        <w:t xml:space="preserve"> released on 04/03/24 </w:t>
      </w:r>
      <w:r w:rsidRPr="5249834F">
        <w:rPr>
          <w:rFonts w:ascii="Times New Roman" w:eastAsia="Calibri" w:hAnsi="Times New Roman" w:cs="Times New Roman"/>
        </w:rPr>
        <w:t xml:space="preserve">from the Bureau of Labor Statistics: </w:t>
      </w:r>
      <w:hyperlink r:id="rId11" w:history="1">
        <w:r w:rsidRPr="00642C3E" w:rsidR="00642C3E">
          <w:rPr>
            <w:rStyle w:val="Hyperlink"/>
            <w:rFonts w:ascii="Times New Roman" w:hAnsi="Times New Roman" w:cs="Times New Roman"/>
          </w:rPr>
          <w:t>Occupational Employment and Wages - May 2023 (bls.gov)</w:t>
        </w:r>
      </w:hyperlink>
      <w:r w:rsidRPr="5249834F" w:rsidR="4BEC35B6">
        <w:rPr>
          <w:rFonts w:ascii="Times New Roman" w:hAnsi="Times New Roman" w:cs="Times New Roman"/>
        </w:rPr>
        <w:t xml:space="preserve"> (last accessed </w:t>
      </w:r>
      <w:r w:rsidR="00642C3E">
        <w:rPr>
          <w:rFonts w:ascii="Times New Roman" w:hAnsi="Times New Roman" w:cs="Times New Roman"/>
        </w:rPr>
        <w:t>9/12/24</w:t>
      </w:r>
      <w:r w:rsidRPr="5249834F" w:rsidR="4BEC35B6">
        <w:rPr>
          <w:rFonts w:ascii="Times New Roman" w:hAnsi="Times New Roman" w:cs="Times New Roman"/>
        </w:rPr>
        <w:t>).</w:t>
      </w:r>
      <w:r w:rsidRPr="5249834F">
        <w:rPr>
          <w:rFonts w:ascii="Times New Roman" w:hAnsi="Times New Roman" w:cs="Times New Roman"/>
        </w:rPr>
        <w:t xml:space="preserve"> </w:t>
      </w:r>
      <w:r w:rsidRPr="5249834F">
        <w:rPr>
          <w:rFonts w:ascii="Times New Roman" w:eastAsia="Calibri" w:hAnsi="Times New Roman" w:cs="Times New Roman"/>
        </w:rPr>
        <w:t>This wage rate for the category “all occupations” was used since respondents do not fall into a single economic or occupational category</w:t>
      </w:r>
      <w:r w:rsidR="004E719A">
        <w:rPr>
          <w:rFonts w:ascii="Times New Roman" w:eastAsia="Calibri" w:hAnsi="Times New Roman" w:cs="Times New Roman"/>
        </w:rPr>
        <w:t xml:space="preserve"> </w:t>
      </w:r>
      <w:r w:rsidRPr="5249834F">
        <w:rPr>
          <w:rFonts w:ascii="Times New Roman" w:eastAsia="Calibri" w:hAnsi="Times New Roman" w:cs="Times New Roman"/>
        </w:rPr>
        <w:t>(N</w:t>
      </w:r>
      <w:r w:rsidR="005B29FE">
        <w:rPr>
          <w:rFonts w:ascii="Times New Roman" w:eastAsia="Calibri" w:hAnsi="Times New Roman" w:cs="Times New Roman"/>
        </w:rPr>
        <w:t>ote</w:t>
      </w:r>
      <w:r w:rsidRPr="5249834F">
        <w:rPr>
          <w:rFonts w:ascii="Times New Roman" w:eastAsia="Calibri" w:hAnsi="Times New Roman" w:cs="Times New Roman"/>
        </w:rPr>
        <w:t xml:space="preserve">: There are no costs for participants. </w:t>
      </w:r>
      <w:r w:rsidRPr="5249834F" w:rsidR="5A35C053">
        <w:rPr>
          <w:rFonts w:ascii="Times New Roman" w:eastAsia="Calibri" w:hAnsi="Times New Roman" w:cs="Times New Roman"/>
        </w:rPr>
        <w:t>They</w:t>
      </w:r>
      <w:r w:rsidR="004E719A">
        <w:rPr>
          <w:rFonts w:ascii="Times New Roman" w:eastAsia="Calibri" w:hAnsi="Times New Roman" w:cs="Times New Roman"/>
        </w:rPr>
        <w:t xml:space="preserve"> may</w:t>
      </w:r>
      <w:r w:rsidRPr="5249834F" w:rsidR="5A35C053">
        <w:rPr>
          <w:rFonts w:ascii="Times New Roman" w:eastAsia="Calibri" w:hAnsi="Times New Roman" w:cs="Times New Roman"/>
        </w:rPr>
        <w:t xml:space="preserve"> receive </w:t>
      </w:r>
      <w:r w:rsidR="006D70E5">
        <w:rPr>
          <w:rFonts w:ascii="Times New Roman" w:eastAsia="Calibri" w:hAnsi="Times New Roman" w:cs="Times New Roman"/>
        </w:rPr>
        <w:t xml:space="preserve">remuneration </w:t>
      </w:r>
      <w:r w:rsidRPr="5249834F" w:rsidR="5A35C053">
        <w:rPr>
          <w:rFonts w:ascii="Times New Roman" w:eastAsia="Calibri" w:hAnsi="Times New Roman" w:cs="Times New Roman"/>
        </w:rPr>
        <w:t xml:space="preserve">as a token of appreciation and to help with out-of-pocket expenses such as </w:t>
      </w:r>
      <w:r w:rsidRPr="5249834F" w:rsidR="00C14C86">
        <w:rPr>
          <w:rFonts w:ascii="Times New Roman" w:eastAsia="Calibri" w:hAnsi="Times New Roman" w:cs="Times New Roman"/>
        </w:rPr>
        <w:t>babysitting</w:t>
      </w:r>
      <w:r w:rsidRPr="5249834F" w:rsidR="5A35C053">
        <w:rPr>
          <w:rFonts w:ascii="Times New Roman" w:eastAsia="Calibri" w:hAnsi="Times New Roman" w:cs="Times New Roman"/>
        </w:rPr>
        <w:t>/childcare and transportation, when appropriate.)</w:t>
      </w:r>
      <w:r w:rsidR="004E719A">
        <w:rPr>
          <w:rFonts w:ascii="Times New Roman" w:eastAsia="Calibri" w:hAnsi="Times New Roman" w:cs="Times New Roman"/>
        </w:rPr>
        <w:t>.</w:t>
      </w:r>
    </w:p>
    <w:p w:rsidR="004E004D" w:rsidP="5249834F" w14:paraId="3310CF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themeColor="text1"/>
        </w:rPr>
      </w:pPr>
    </w:p>
    <w:p w:rsidR="00913D80" w:rsidRPr="00014454" w:rsidP="5249834F" w14:paraId="01887581" w14:textId="69AD97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5249834F">
        <w:rPr>
          <w:rFonts w:ascii="Times New Roman" w:hAnsi="Times New Roman" w:cs="Times New Roman"/>
          <w:color w:val="000000" w:themeColor="text1"/>
        </w:rPr>
        <w:t xml:space="preserve">TABLE 2 – </w:t>
      </w:r>
      <w:r w:rsidRPr="5249834F">
        <w:rPr>
          <w:rFonts w:ascii="Times New Roman" w:hAnsi="Times New Roman" w:cs="Times New Roman"/>
        </w:rPr>
        <w:t>A</w:t>
      </w:r>
      <w:r w:rsidRPr="5249834F" w:rsidR="5E1ECF20">
        <w:rPr>
          <w:rFonts w:ascii="Times New Roman" w:hAnsi="Times New Roman" w:cs="Times New Roman"/>
        </w:rPr>
        <w:t>NNUALIZED COST TO RESPONDENTS</w:t>
      </w:r>
      <w:r w:rsidRPr="5249834F">
        <w:rPr>
          <w:rFonts w:ascii="Times New Roman" w:hAnsi="Times New Roman" w:cs="Times New Roman"/>
        </w:rPr>
        <w:t xml:space="preserve">  </w:t>
      </w:r>
    </w:p>
    <w:p w:rsidR="0040297C" w:rsidRPr="00014454" w:rsidP="0040297C" w14:paraId="71D72244" w14:textId="1C1C1992">
      <w:pPr>
        <w:widowControl/>
        <w:autoSpaceDE/>
        <w:autoSpaceDN/>
        <w:adjustRightInd/>
        <w:rPr>
          <w:rFonts w:ascii="Times New Roman" w:eastAsia="Calibri" w:hAnsi="Times New Roman" w:cs="Times New Roman"/>
          <w:bCs/>
        </w:rPr>
      </w:pPr>
    </w:p>
    <w:tbl>
      <w:tblPr>
        <w:tblpPr w:leftFromText="180" w:rightFromText="180" w:vertAnchor="text" w:horzAnchor="margin" w:tblpXSpec="center" w:tblpY="-38"/>
        <w:tblW w:w="10425" w:type="dxa"/>
        <w:jc w:val="center"/>
        <w:tblLayout w:type="fixed"/>
        <w:tblCellMar>
          <w:left w:w="120" w:type="dxa"/>
          <w:right w:w="120" w:type="dxa"/>
        </w:tblCellMar>
        <w:tblLook w:val="0000"/>
      </w:tblPr>
      <w:tblGrid>
        <w:gridCol w:w="2520"/>
        <w:gridCol w:w="2335"/>
        <w:gridCol w:w="1260"/>
        <w:gridCol w:w="1620"/>
        <w:gridCol w:w="2690"/>
      </w:tblGrid>
      <w:tr w14:paraId="71EE8A9C" w14:textId="77777777" w:rsidTr="004E719A">
        <w:tblPrEx>
          <w:tblW w:w="10425" w:type="dxa"/>
          <w:jc w:val="center"/>
          <w:tblLayout w:type="fixed"/>
          <w:tblCellMar>
            <w:left w:w="120" w:type="dxa"/>
            <w:right w:w="120" w:type="dxa"/>
          </w:tblCellMar>
          <w:tblLook w:val="0000"/>
        </w:tblPrEx>
        <w:trPr>
          <w:trHeight w:val="1181"/>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40297C" w:rsidRPr="00014454" w:rsidP="004E719A" w14:paraId="1B2CE584"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Type of Respondent</w:t>
            </w:r>
          </w:p>
        </w:tc>
        <w:tc>
          <w:tcPr>
            <w:tcW w:w="2335" w:type="dxa"/>
            <w:tcBorders>
              <w:top w:val="single" w:sz="4" w:space="0" w:color="auto"/>
              <w:left w:val="single" w:sz="4" w:space="0" w:color="auto"/>
              <w:bottom w:val="single" w:sz="4" w:space="0" w:color="auto"/>
              <w:right w:val="single" w:sz="4" w:space="0" w:color="auto"/>
            </w:tcBorders>
          </w:tcPr>
          <w:p w:rsidR="0040297C" w:rsidRPr="00014454" w:rsidP="004E719A" w14:paraId="246DBB7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p w:rsidR="0040297C" w:rsidRPr="00014454" w:rsidP="004E719A" w14:paraId="20BE8FA4"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p w:rsidR="0040297C" w:rsidRPr="00014454" w:rsidP="004E719A" w14:paraId="49994944"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Form Name</w:t>
            </w:r>
          </w:p>
        </w:tc>
        <w:tc>
          <w:tcPr>
            <w:tcW w:w="1260" w:type="dxa"/>
            <w:tcBorders>
              <w:top w:val="single" w:sz="4" w:space="0" w:color="auto"/>
              <w:left w:val="single" w:sz="8" w:space="0" w:color="000000" w:themeColor="text1"/>
              <w:bottom w:val="single" w:sz="4" w:space="0" w:color="auto"/>
              <w:right w:val="single" w:sz="4" w:space="0" w:color="auto"/>
            </w:tcBorders>
            <w:shd w:val="clear" w:color="auto" w:fill="auto"/>
            <w:vAlign w:val="bottom"/>
          </w:tcPr>
          <w:p w:rsidR="0040297C" w:rsidRPr="00014454" w:rsidP="004E719A" w14:paraId="189C8282"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Total</w:t>
            </w:r>
          </w:p>
          <w:p w:rsidR="0040297C" w:rsidRPr="00014454" w:rsidP="004E719A" w14:paraId="47476FA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Burden</w:t>
            </w:r>
          </w:p>
          <w:p w:rsidR="0040297C" w:rsidRPr="00014454" w:rsidP="004E719A" w14:paraId="1A93E70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Hours</w:t>
            </w:r>
          </w:p>
        </w:tc>
        <w:tc>
          <w:tcPr>
            <w:tcW w:w="1620" w:type="dxa"/>
            <w:tcBorders>
              <w:top w:val="single" w:sz="4" w:space="0" w:color="auto"/>
              <w:left w:val="single" w:sz="8" w:space="0" w:color="000000" w:themeColor="text1"/>
              <w:bottom w:val="single" w:sz="4" w:space="0" w:color="auto"/>
              <w:right w:val="single" w:sz="4" w:space="0" w:color="auto"/>
            </w:tcBorders>
          </w:tcPr>
          <w:p w:rsidR="0040297C" w:rsidRPr="00014454" w:rsidP="004E719A" w14:paraId="37131E09"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p w:rsidR="0040297C" w:rsidRPr="00014454" w:rsidP="004E719A" w14:paraId="737409F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p w:rsidR="0040297C" w:rsidRPr="00014454" w:rsidP="004E719A" w14:paraId="45AF72F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 xml:space="preserve">Hourly </w:t>
            </w:r>
          </w:p>
          <w:p w:rsidR="0040297C" w:rsidRPr="00014454" w:rsidP="004E719A" w14:paraId="76DA61F1"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Wage Rate</w:t>
            </w:r>
          </w:p>
          <w:p w:rsidR="0040297C" w:rsidRPr="00014454" w:rsidP="004E719A" w14:paraId="32EC5030"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tc>
        <w:tc>
          <w:tcPr>
            <w:tcW w:w="2690" w:type="dxa"/>
            <w:tcBorders>
              <w:top w:val="single" w:sz="4" w:space="0" w:color="auto"/>
              <w:left w:val="single" w:sz="8" w:space="0" w:color="000000" w:themeColor="text1"/>
              <w:bottom w:val="single" w:sz="4" w:space="0" w:color="auto"/>
              <w:right w:val="single" w:sz="4" w:space="0" w:color="auto"/>
            </w:tcBorders>
          </w:tcPr>
          <w:p w:rsidR="0040297C" w:rsidRPr="00014454" w:rsidP="004E719A" w14:paraId="2ECD222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p>
          <w:p w:rsidR="0040297C" w:rsidRPr="00014454" w:rsidP="004E719A" w14:paraId="0EA4B892"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Total</w:t>
            </w:r>
          </w:p>
          <w:p w:rsidR="0040297C" w:rsidRPr="00014454" w:rsidP="004E719A" w14:paraId="6049708F"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Respondent</w:t>
            </w:r>
          </w:p>
          <w:p w:rsidR="0040297C" w:rsidRPr="00014454" w:rsidP="004E719A" w14:paraId="7C700EA3"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Costs</w:t>
            </w:r>
          </w:p>
        </w:tc>
      </w:tr>
      <w:tr w14:paraId="6309B6C1" w14:textId="77777777" w:rsidTr="004E719A">
        <w:tblPrEx>
          <w:tblW w:w="10425" w:type="dxa"/>
          <w:jc w:val="center"/>
          <w:tblLayout w:type="fixed"/>
          <w:tblCellMar>
            <w:left w:w="120" w:type="dxa"/>
            <w:right w:w="120" w:type="dxa"/>
          </w:tblCellMar>
          <w:tblLook w:val="0000"/>
        </w:tblPrEx>
        <w:trPr>
          <w:trHeight w:val="576"/>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E719A" w:rsidRPr="00014454" w:rsidP="004E719A" w14:paraId="5F5F5055" w14:textId="40A53A12">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color w:val="000000"/>
              </w:rPr>
            </w:pPr>
            <w:r>
              <w:rPr>
                <w:rFonts w:ascii="Times New Roman" w:hAnsi="Times New Roman" w:cs="Times New Roman"/>
                <w:color w:val="000000" w:themeColor="text1"/>
              </w:rPr>
              <w:t>Volunteers, ages 20-70</w:t>
            </w:r>
          </w:p>
        </w:tc>
        <w:tc>
          <w:tcPr>
            <w:tcW w:w="2335" w:type="dxa"/>
            <w:tcBorders>
              <w:top w:val="single" w:sz="4" w:space="0" w:color="auto"/>
              <w:left w:val="single" w:sz="4" w:space="0" w:color="auto"/>
              <w:bottom w:val="single" w:sz="4" w:space="0" w:color="auto"/>
              <w:right w:val="single" w:sz="4" w:space="0" w:color="auto"/>
            </w:tcBorders>
            <w:vAlign w:val="center"/>
          </w:tcPr>
          <w:p w:rsidR="004E719A" w:rsidRPr="00014454" w:rsidP="004E719A" w14:paraId="33B12392" w14:textId="470E9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color w:val="000000"/>
              </w:rPr>
            </w:pPr>
            <w:r>
              <w:rPr>
                <w:rFonts w:ascii="Times New Roman" w:hAnsi="Times New Roman" w:cs="Times New Roman"/>
              </w:rPr>
              <w:t xml:space="preserve">DXA </w:t>
            </w:r>
            <w:r w:rsidR="00781AB2">
              <w:rPr>
                <w:rFonts w:ascii="Times New Roman" w:hAnsi="Times New Roman" w:cs="Times New Roman"/>
              </w:rPr>
              <w:t>c</w:t>
            </w:r>
            <w:r>
              <w:rPr>
                <w:rFonts w:ascii="Times New Roman" w:hAnsi="Times New Roman" w:cs="Times New Roman"/>
              </w:rPr>
              <w:t>rossover</w:t>
            </w:r>
            <w:r w:rsidRPr="00014454">
              <w:rPr>
                <w:rFonts w:ascii="Times New Roman" w:hAnsi="Times New Roman" w:cs="Times New Roman"/>
              </w:rPr>
              <w:t xml:space="preserve"> </w:t>
            </w:r>
            <w:r w:rsidR="00781AB2">
              <w:rPr>
                <w:rFonts w:ascii="Times New Roman" w:hAnsi="Times New Roman" w:cs="Times New Roman"/>
              </w:rPr>
              <w:t>s</w:t>
            </w:r>
            <w:r w:rsidRPr="00014454">
              <w:rPr>
                <w:rFonts w:ascii="Times New Roman" w:hAnsi="Times New Roman" w:cs="Times New Roman"/>
              </w:rPr>
              <w:t xml:space="preserve">tudy </w:t>
            </w:r>
          </w:p>
        </w:tc>
        <w:tc>
          <w:tcPr>
            <w:tcW w:w="1260"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4E719A" w:rsidRPr="00014454" w:rsidP="002B799F" w14:paraId="2DAE71A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p>
          <w:p w:rsidR="004E719A" w:rsidRPr="00014454" w:rsidP="00A66755" w14:paraId="184AF6CD" w14:textId="0E5D5F00">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Pr>
                <w:rFonts w:ascii="Times New Roman" w:hAnsi="Times New Roman" w:cs="Times New Roman"/>
                <w:color w:val="000000"/>
              </w:rPr>
              <w:t>2</w:t>
            </w:r>
            <w:r w:rsidR="00F844EF">
              <w:rPr>
                <w:rFonts w:ascii="Times New Roman" w:hAnsi="Times New Roman" w:cs="Times New Roman"/>
                <w:color w:val="000000"/>
              </w:rPr>
              <w:t>3</w:t>
            </w:r>
          </w:p>
        </w:tc>
        <w:tc>
          <w:tcPr>
            <w:tcW w:w="1620" w:type="dxa"/>
            <w:tcBorders>
              <w:top w:val="single" w:sz="4" w:space="0" w:color="auto"/>
              <w:left w:val="single" w:sz="8" w:space="0" w:color="000000" w:themeColor="text1"/>
              <w:bottom w:val="single" w:sz="4" w:space="0" w:color="auto"/>
              <w:right w:val="single" w:sz="4" w:space="0" w:color="auto"/>
            </w:tcBorders>
            <w:vAlign w:val="center"/>
          </w:tcPr>
          <w:p w:rsidR="004E719A" w:rsidRPr="00014454" w:rsidP="002B799F" w14:paraId="0EEAD5DE"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p>
          <w:p w:rsidR="004E719A" w:rsidRPr="00014454" w:rsidP="002B799F" w14:paraId="621B4C62" w14:textId="03051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sidRPr="00014454">
              <w:rPr>
                <w:rFonts w:ascii="Times New Roman" w:hAnsi="Times New Roman" w:cs="Times New Roman"/>
                <w:color w:val="000000" w:themeColor="text1"/>
              </w:rPr>
              <w:t>$</w:t>
            </w:r>
            <w:r>
              <w:rPr>
                <w:rFonts w:ascii="Times New Roman" w:hAnsi="Times New Roman" w:cs="Times New Roman"/>
                <w:color w:val="000000" w:themeColor="text1"/>
              </w:rPr>
              <w:t>31.48</w:t>
            </w:r>
          </w:p>
        </w:tc>
        <w:tc>
          <w:tcPr>
            <w:tcW w:w="2690" w:type="dxa"/>
            <w:tcBorders>
              <w:top w:val="single" w:sz="4" w:space="0" w:color="auto"/>
              <w:left w:val="single" w:sz="8" w:space="0" w:color="000000" w:themeColor="text1"/>
              <w:bottom w:val="single" w:sz="4" w:space="0" w:color="auto"/>
              <w:right w:val="single" w:sz="4" w:space="0" w:color="auto"/>
            </w:tcBorders>
            <w:vAlign w:val="center"/>
          </w:tcPr>
          <w:p w:rsidR="004E719A" w:rsidRPr="00014454" w:rsidP="002B799F" w14:paraId="4C4E484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p>
          <w:p w:rsidR="004E719A" w:rsidRPr="00014454" w:rsidP="002B799F" w14:paraId="7237D595" w14:textId="2F12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sidRPr="00014454">
              <w:rPr>
                <w:rFonts w:ascii="Times New Roman" w:hAnsi="Times New Roman" w:cs="Times New Roman"/>
                <w:color w:val="000000" w:themeColor="text1"/>
              </w:rPr>
              <w:t>$</w:t>
            </w:r>
            <w:r w:rsidR="00404060">
              <w:rPr>
                <w:rFonts w:ascii="Times New Roman" w:hAnsi="Times New Roman" w:cs="Times New Roman"/>
                <w:color w:val="000000" w:themeColor="text1"/>
              </w:rPr>
              <w:t>7</w:t>
            </w:r>
            <w:r w:rsidR="00F844EF">
              <w:rPr>
                <w:rFonts w:ascii="Times New Roman" w:hAnsi="Times New Roman" w:cs="Times New Roman"/>
                <w:color w:val="000000" w:themeColor="text1"/>
              </w:rPr>
              <w:t>24</w:t>
            </w:r>
          </w:p>
        </w:tc>
      </w:tr>
      <w:tr w14:paraId="6B4D2904" w14:textId="77777777" w:rsidTr="004E719A">
        <w:tblPrEx>
          <w:tblW w:w="10425" w:type="dxa"/>
          <w:jc w:val="center"/>
          <w:tblLayout w:type="fixed"/>
          <w:tblCellMar>
            <w:left w:w="120" w:type="dxa"/>
            <w:right w:w="120" w:type="dxa"/>
          </w:tblCellMar>
          <w:tblLook w:val="0000"/>
        </w:tblPrEx>
        <w:trPr>
          <w:trHeight w:val="576"/>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E719A" w:rsidP="004E719A" w14:paraId="427443DA"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color w:val="000000" w:themeColor="text1"/>
              </w:rPr>
            </w:pPr>
            <w:r>
              <w:rPr>
                <w:rFonts w:ascii="Times New Roman" w:hAnsi="Times New Roman" w:cs="Times New Roman"/>
                <w:color w:val="000000" w:themeColor="text1"/>
              </w:rPr>
              <w:t xml:space="preserve">Volunteers, </w:t>
            </w:r>
          </w:p>
          <w:p w:rsidR="004E719A" w:rsidP="004E719A" w14:paraId="38C6AF35" w14:textId="70AD467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color w:val="000000" w:themeColor="text1"/>
              </w:rPr>
            </w:pPr>
            <w:r>
              <w:rPr>
                <w:rFonts w:ascii="Times New Roman" w:hAnsi="Times New Roman" w:cs="Times New Roman"/>
                <w:color w:val="000000" w:themeColor="text1"/>
              </w:rPr>
              <w:t>age 20 and older</w:t>
            </w:r>
          </w:p>
        </w:tc>
        <w:tc>
          <w:tcPr>
            <w:tcW w:w="2335" w:type="dxa"/>
            <w:tcBorders>
              <w:top w:val="single" w:sz="4" w:space="0" w:color="auto"/>
              <w:left w:val="single" w:sz="4" w:space="0" w:color="auto"/>
              <w:bottom w:val="single" w:sz="4" w:space="0" w:color="auto"/>
              <w:right w:val="single" w:sz="4" w:space="0" w:color="auto"/>
            </w:tcBorders>
            <w:vAlign w:val="center"/>
          </w:tcPr>
          <w:p w:rsidR="004E719A" w:rsidP="004E719A" w14:paraId="0DD648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rPr>
            </w:pPr>
            <w:r>
              <w:rPr>
                <w:rFonts w:ascii="Times New Roman" w:hAnsi="Times New Roman" w:cs="Times New Roman"/>
              </w:rPr>
              <w:t xml:space="preserve">Hematology </w:t>
            </w:r>
          </w:p>
          <w:p w:rsidR="004E719A" w:rsidP="004E719A" w14:paraId="393C4ECF" w14:textId="2042F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rPr>
            </w:pPr>
            <w:r>
              <w:rPr>
                <w:rFonts w:ascii="Times New Roman" w:hAnsi="Times New Roman" w:cs="Times New Roman"/>
              </w:rPr>
              <w:t>c</w:t>
            </w:r>
            <w:r>
              <w:rPr>
                <w:rFonts w:ascii="Times New Roman" w:hAnsi="Times New Roman" w:cs="Times New Roman"/>
              </w:rPr>
              <w:t xml:space="preserve">omparison </w:t>
            </w:r>
            <w:r>
              <w:rPr>
                <w:rFonts w:ascii="Times New Roman" w:hAnsi="Times New Roman" w:cs="Times New Roman"/>
              </w:rPr>
              <w:t>s</w:t>
            </w:r>
            <w:r>
              <w:rPr>
                <w:rFonts w:ascii="Times New Roman" w:hAnsi="Times New Roman" w:cs="Times New Roman"/>
              </w:rPr>
              <w:t>tudy</w:t>
            </w:r>
          </w:p>
        </w:tc>
        <w:tc>
          <w:tcPr>
            <w:tcW w:w="1260"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4E719A" w:rsidRPr="00014454" w:rsidP="002B799F" w14:paraId="59A82AC6" w14:textId="6BD7346D">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Pr>
                <w:rFonts w:ascii="Times New Roman" w:hAnsi="Times New Roman" w:cs="Times New Roman"/>
                <w:color w:val="000000"/>
              </w:rPr>
              <w:t>7</w:t>
            </w:r>
          </w:p>
        </w:tc>
        <w:tc>
          <w:tcPr>
            <w:tcW w:w="1620" w:type="dxa"/>
            <w:tcBorders>
              <w:top w:val="single" w:sz="4" w:space="0" w:color="auto"/>
              <w:left w:val="single" w:sz="8" w:space="0" w:color="000000" w:themeColor="text1"/>
              <w:bottom w:val="single" w:sz="4" w:space="0" w:color="auto"/>
              <w:right w:val="single" w:sz="4" w:space="0" w:color="auto"/>
            </w:tcBorders>
            <w:vAlign w:val="center"/>
          </w:tcPr>
          <w:p w:rsidR="004E719A" w:rsidRPr="00014454" w:rsidP="002B799F" w14:paraId="237DC406" w14:textId="41330371">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Pr>
                <w:rFonts w:ascii="Times New Roman" w:hAnsi="Times New Roman" w:cs="Times New Roman"/>
                <w:color w:val="000000"/>
              </w:rPr>
              <w:t>$31.48</w:t>
            </w:r>
          </w:p>
        </w:tc>
        <w:tc>
          <w:tcPr>
            <w:tcW w:w="2690" w:type="dxa"/>
            <w:tcBorders>
              <w:top w:val="single" w:sz="4" w:space="0" w:color="auto"/>
              <w:left w:val="single" w:sz="8" w:space="0" w:color="000000" w:themeColor="text1"/>
              <w:bottom w:val="single" w:sz="4" w:space="0" w:color="auto"/>
              <w:right w:val="single" w:sz="4" w:space="0" w:color="auto"/>
            </w:tcBorders>
            <w:vAlign w:val="center"/>
          </w:tcPr>
          <w:p w:rsidR="004E719A" w:rsidRPr="00014454" w:rsidP="002B799F" w14:paraId="2AD5E8B5" w14:textId="3A032499">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Pr>
                <w:rFonts w:ascii="Times New Roman" w:hAnsi="Times New Roman" w:cs="Times New Roman"/>
                <w:color w:val="000000"/>
              </w:rPr>
              <w:t>$2</w:t>
            </w:r>
            <w:r w:rsidR="00F844EF">
              <w:rPr>
                <w:rFonts w:ascii="Times New Roman" w:hAnsi="Times New Roman" w:cs="Times New Roman"/>
                <w:color w:val="000000"/>
              </w:rPr>
              <w:t>20</w:t>
            </w:r>
          </w:p>
        </w:tc>
      </w:tr>
      <w:tr w14:paraId="4A6F9410" w14:textId="77777777" w:rsidTr="004E719A">
        <w:tblPrEx>
          <w:tblW w:w="10425" w:type="dxa"/>
          <w:jc w:val="center"/>
          <w:tblLayout w:type="fixed"/>
          <w:tblCellMar>
            <w:left w:w="120" w:type="dxa"/>
            <w:right w:w="120" w:type="dxa"/>
          </w:tblCellMar>
          <w:tblLook w:val="0000"/>
        </w:tblPrEx>
        <w:trPr>
          <w:trHeight w:val="576"/>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0297C" w:rsidRPr="00014454" w:rsidP="004E719A" w14:paraId="37887AC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bCs/>
                <w:color w:val="000000"/>
              </w:rPr>
            </w:pPr>
            <w:r w:rsidRPr="00014454">
              <w:rPr>
                <w:rFonts w:ascii="Times New Roman" w:hAnsi="Times New Roman" w:cs="Times New Roman"/>
                <w:bCs/>
                <w:color w:val="000000"/>
              </w:rPr>
              <w:t>Total</w:t>
            </w:r>
          </w:p>
        </w:tc>
        <w:tc>
          <w:tcPr>
            <w:tcW w:w="2335" w:type="dxa"/>
            <w:tcBorders>
              <w:top w:val="single" w:sz="4" w:space="0" w:color="auto"/>
              <w:left w:val="single" w:sz="4" w:space="0" w:color="auto"/>
              <w:bottom w:val="single" w:sz="4" w:space="0" w:color="auto"/>
            </w:tcBorders>
          </w:tcPr>
          <w:p w:rsidR="0040297C" w:rsidRPr="00014454" w:rsidP="004E719A" w14:paraId="09DB2BD8"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rPr>
                <w:rFonts w:ascii="Times New Roman" w:hAnsi="Times New Roman" w:cs="Times New Roman"/>
                <w:color w:val="000000"/>
              </w:rPr>
            </w:pPr>
          </w:p>
        </w:tc>
        <w:tc>
          <w:tcPr>
            <w:tcW w:w="1260"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40297C" w:rsidRPr="00014454" w:rsidP="002B799F" w14:paraId="382DB823"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bCs/>
                <w:color w:val="000000"/>
              </w:rPr>
            </w:pPr>
          </w:p>
        </w:tc>
        <w:tc>
          <w:tcPr>
            <w:tcW w:w="1620" w:type="dxa"/>
            <w:tcBorders>
              <w:top w:val="single" w:sz="4" w:space="0" w:color="auto"/>
              <w:left w:val="single" w:sz="8" w:space="0" w:color="000000" w:themeColor="text1"/>
              <w:bottom w:val="single" w:sz="4" w:space="0" w:color="auto"/>
              <w:right w:val="single" w:sz="4" w:space="0" w:color="auto"/>
            </w:tcBorders>
            <w:vAlign w:val="center"/>
          </w:tcPr>
          <w:p w:rsidR="0040297C" w:rsidRPr="00014454" w:rsidP="002B799F" w14:paraId="4CFDF92C"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p>
          <w:p w:rsidR="0040297C" w:rsidRPr="00014454" w:rsidP="002B799F" w14:paraId="464CDA63" w14:textId="77777777">
            <w:pPr>
              <w:tabs>
                <w:tab w:val="left" w:pos="-31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bCs/>
                <w:color w:val="000000"/>
              </w:rPr>
            </w:pPr>
          </w:p>
        </w:tc>
        <w:tc>
          <w:tcPr>
            <w:tcW w:w="2690" w:type="dxa"/>
            <w:tcBorders>
              <w:top w:val="single" w:sz="4" w:space="0" w:color="auto"/>
              <w:left w:val="single" w:sz="8" w:space="0" w:color="000000" w:themeColor="text1"/>
              <w:bottom w:val="single" w:sz="4" w:space="0" w:color="auto"/>
              <w:right w:val="single" w:sz="4" w:space="0" w:color="auto"/>
            </w:tcBorders>
            <w:vAlign w:val="center"/>
          </w:tcPr>
          <w:p w:rsidR="0040297C" w:rsidRPr="00014454" w:rsidP="002B799F" w14:paraId="2363E5B2" w14:textId="259FC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right="-720"/>
              <w:jc w:val="center"/>
              <w:rPr>
                <w:rFonts w:ascii="Times New Roman" w:hAnsi="Times New Roman" w:cs="Times New Roman"/>
                <w:color w:val="000000"/>
              </w:rPr>
            </w:pPr>
            <w:r w:rsidRPr="00014454">
              <w:rPr>
                <w:rFonts w:ascii="Times New Roman" w:hAnsi="Times New Roman" w:cs="Times New Roman"/>
                <w:color w:val="000000" w:themeColor="text1"/>
              </w:rPr>
              <w:t>$</w:t>
            </w:r>
            <w:r w:rsidR="00CE578B">
              <w:rPr>
                <w:rFonts w:ascii="Times New Roman" w:hAnsi="Times New Roman" w:cs="Times New Roman"/>
                <w:color w:val="000000" w:themeColor="text1"/>
              </w:rPr>
              <w:t>9</w:t>
            </w:r>
            <w:r w:rsidR="00F844EF">
              <w:rPr>
                <w:rFonts w:ascii="Times New Roman" w:hAnsi="Times New Roman" w:cs="Times New Roman"/>
                <w:color w:val="000000" w:themeColor="text1"/>
              </w:rPr>
              <w:t>44</w:t>
            </w:r>
          </w:p>
        </w:tc>
      </w:tr>
    </w:tbl>
    <w:p w:rsidR="00490BA7" w:rsidRPr="00014454" w:rsidP="008000CD" w14:paraId="4E9E4984" w14:textId="08740873">
      <w:pPr>
        <w:pStyle w:val="Heading1"/>
      </w:pPr>
      <w:r>
        <w:t xml:space="preserve"> </w:t>
      </w:r>
      <w:bookmarkStart w:id="17" w:name="_Toc177134736"/>
      <w:r>
        <w:t>Estimates of Other Total Annual Cost Burden to Respondents and Record Keepers</w:t>
      </w:r>
      <w:bookmarkEnd w:id="17"/>
      <w:r>
        <w:t xml:space="preserve"> </w:t>
      </w:r>
    </w:p>
    <w:p w:rsidR="00490BA7" w:rsidRPr="00014454" w:rsidP="00490BA7" w14:paraId="297738C7" w14:textId="77777777">
      <w:pPr>
        <w:rPr>
          <w:rFonts w:ascii="Times New Roman" w:hAnsi="Times New Roman" w:cs="Times New Roman"/>
        </w:rPr>
      </w:pPr>
    </w:p>
    <w:p w:rsidR="00490BA7" w:rsidRPr="00014454" w:rsidP="00490BA7" w14:paraId="5DC9EC61" w14:textId="527DE48A">
      <w:pPr>
        <w:rPr>
          <w:rFonts w:ascii="Times New Roman" w:hAnsi="Times New Roman" w:cs="Times New Roman"/>
        </w:rPr>
      </w:pPr>
      <w:r w:rsidRPr="00014454">
        <w:rPr>
          <w:rFonts w:ascii="Times New Roman" w:hAnsi="Times New Roman" w:cs="Times New Roman"/>
        </w:rPr>
        <w:t>There are no additional costs.</w:t>
      </w:r>
    </w:p>
    <w:p w:rsidR="00256E1E" w:rsidRPr="00014454" w:rsidP="00490BA7" w14:paraId="42B56D95" w14:textId="7BA8A5DE">
      <w:pPr>
        <w:rPr>
          <w:rFonts w:ascii="Times New Roman" w:hAnsi="Times New Roman" w:cs="Times New Roman"/>
        </w:rPr>
      </w:pPr>
    </w:p>
    <w:p w:rsidR="00256E1E" w:rsidRPr="00014454" w:rsidP="008000CD" w14:paraId="23EA5DF4" w14:textId="5FA7C004">
      <w:pPr>
        <w:pStyle w:val="Heading1"/>
      </w:pPr>
      <w:r>
        <w:t xml:space="preserve"> </w:t>
      </w:r>
      <w:bookmarkStart w:id="18" w:name="_Toc177134737"/>
      <w:r w:rsidR="5A209E24">
        <w:t>Annualized Cost to the Federal Government</w:t>
      </w:r>
      <w:bookmarkEnd w:id="18"/>
      <w:r w:rsidR="5A209E24">
        <w:t xml:space="preserve"> </w:t>
      </w:r>
    </w:p>
    <w:p w:rsidR="00BB46B9" w:rsidP="00490BA7" w14:paraId="5841824C" w14:textId="77777777">
      <w:pPr>
        <w:rPr>
          <w:rFonts w:ascii="Times New Roman" w:hAnsi="Times New Roman" w:cs="Times New Roman"/>
        </w:rPr>
      </w:pPr>
    </w:p>
    <w:p w:rsidR="00256E1E" w:rsidRPr="00014454" w:rsidP="00490BA7" w14:paraId="0FF03F5F" w14:textId="6A5BA122">
      <w:pPr>
        <w:rPr>
          <w:rFonts w:ascii="Times New Roman" w:hAnsi="Times New Roman" w:cs="Times New Roman"/>
        </w:rPr>
      </w:pPr>
      <w:r w:rsidRPr="65CEC15E">
        <w:rPr>
          <w:rFonts w:ascii="Times New Roman" w:hAnsi="Times New Roman" w:cs="Times New Roman"/>
        </w:rPr>
        <w:t>While actual annualized costs will vary dependent on the scope of future survey submissions, it is anticipated that the costs related to staff salaries for planning and implementing the future surveys might average $</w:t>
      </w:r>
      <w:r w:rsidRPr="65CEC15E" w:rsidR="529A7CB5">
        <w:rPr>
          <w:rFonts w:ascii="Times New Roman" w:hAnsi="Times New Roman" w:cs="Times New Roman"/>
        </w:rPr>
        <w:t>10</w:t>
      </w:r>
      <w:r w:rsidRPr="65CEC15E" w:rsidR="394DCAC3">
        <w:rPr>
          <w:rFonts w:ascii="Times New Roman" w:hAnsi="Times New Roman" w:cs="Times New Roman"/>
        </w:rPr>
        <w:t>0,000</w:t>
      </w:r>
      <w:r w:rsidRPr="65CEC15E" w:rsidR="559FF28B">
        <w:rPr>
          <w:rFonts w:ascii="Times New Roman" w:hAnsi="Times New Roman" w:cs="Times New Roman"/>
        </w:rPr>
        <w:t>.</w:t>
      </w:r>
    </w:p>
    <w:p w:rsidR="007306B8" w:rsidRPr="00014454" w:rsidP="00490BA7" w14:paraId="4D76EDA8" w14:textId="77777777">
      <w:pPr>
        <w:rPr>
          <w:rFonts w:ascii="Times New Roman" w:hAnsi="Times New Roman" w:cs="Times New Roman"/>
        </w:rPr>
      </w:pPr>
    </w:p>
    <w:p w:rsidR="00B16EE8" w:rsidRPr="00014454" w:rsidP="008000CD" w14:paraId="03DB8207" w14:textId="259DEF2E">
      <w:pPr>
        <w:pStyle w:val="Heading1"/>
      </w:pPr>
      <w:bookmarkStart w:id="19" w:name="_Toc517163250"/>
      <w:bookmarkStart w:id="20" w:name="_Toc517163354"/>
      <w:bookmarkStart w:id="21" w:name="_Toc517172554"/>
      <w:bookmarkEnd w:id="19"/>
      <w:bookmarkEnd w:id="20"/>
      <w:bookmarkEnd w:id="21"/>
      <w:r>
        <w:t xml:space="preserve"> </w:t>
      </w:r>
      <w:bookmarkStart w:id="22" w:name="_Toc177134738"/>
      <w:r>
        <w:t>Explanation for Program Ch</w:t>
      </w:r>
      <w:r w:rsidR="1F40A79D">
        <w:t>anges and Adjustments</w:t>
      </w:r>
      <w:bookmarkEnd w:id="22"/>
    </w:p>
    <w:p w:rsidR="00B16EE8" w:rsidRPr="00014454" w:rsidP="00462145" w14:paraId="02CD02CF" w14:textId="77777777">
      <w:pPr>
        <w:tabs>
          <w:tab w:val="left" w:pos="-1440"/>
        </w:tabs>
        <w:rPr>
          <w:rFonts w:ascii="Times New Roman" w:hAnsi="Times New Roman" w:cs="Times New Roman"/>
          <w:color w:val="000000" w:themeColor="text1"/>
        </w:rPr>
      </w:pPr>
    </w:p>
    <w:p w:rsidR="00B542AE" w:rsidRPr="00FE6C76" w:rsidP="00B542AE" w14:paraId="2AE8B0D0" w14:textId="7D2538C5">
      <w:pPr>
        <w:outlineLvl w:val="0"/>
        <w:rPr>
          <w:rFonts w:ascii="Times New Roman" w:hAnsi="Times New Roman"/>
        </w:rPr>
      </w:pPr>
      <w:r w:rsidRPr="00FE6C76">
        <w:rPr>
          <w:rFonts w:ascii="Times New Roman" w:hAnsi="Times New Roman"/>
        </w:rPr>
        <w:t xml:space="preserve">This </w:t>
      </w:r>
      <w:r w:rsidR="00E54A67">
        <w:rPr>
          <w:rFonts w:ascii="Times New Roman" w:hAnsi="Times New Roman"/>
        </w:rPr>
        <w:t>GenIC</w:t>
      </w:r>
      <w:r>
        <w:rPr>
          <w:rFonts w:ascii="Times New Roman" w:hAnsi="Times New Roman"/>
        </w:rPr>
        <w:t xml:space="preserve"> will use </w:t>
      </w:r>
      <w:r w:rsidR="00F50F18">
        <w:rPr>
          <w:rFonts w:ascii="Times New Roman" w:hAnsi="Times New Roman"/>
        </w:rPr>
        <w:t>30</w:t>
      </w:r>
      <w:r>
        <w:rPr>
          <w:rFonts w:ascii="Times New Roman" w:hAnsi="Times New Roman"/>
        </w:rPr>
        <w:t xml:space="preserve"> hours.</w:t>
      </w:r>
    </w:p>
    <w:p w:rsidR="00226791" w:rsidRPr="00014454" w:rsidP="00462145" w14:paraId="3CF8CC7F" w14:textId="4C369E80">
      <w:pPr>
        <w:tabs>
          <w:tab w:val="left" w:pos="-1440"/>
        </w:tabs>
        <w:rPr>
          <w:rFonts w:ascii="Times New Roman" w:hAnsi="Times New Roman" w:cs="Times New Roman"/>
          <w:color w:val="000000" w:themeColor="text1"/>
        </w:rPr>
      </w:pPr>
    </w:p>
    <w:p w:rsidR="00226791" w:rsidRPr="00014454" w:rsidP="008000CD" w14:paraId="7D1BBFBC" w14:textId="0A9E2014">
      <w:pPr>
        <w:pStyle w:val="Heading1"/>
      </w:pPr>
      <w:bookmarkStart w:id="23" w:name="_Toc177134739"/>
      <w:r>
        <w:t>Plans for Tabulation and Publications and Project Time Schedule</w:t>
      </w:r>
      <w:bookmarkEnd w:id="23"/>
      <w:r>
        <w:t xml:space="preserve"> </w:t>
      </w:r>
    </w:p>
    <w:p w:rsidR="00BB46B9" w:rsidP="0040297C" w14:paraId="61FE0D93" w14:textId="77777777">
      <w:pPr>
        <w:widowControl/>
        <w:autoSpaceDE/>
        <w:autoSpaceDN/>
        <w:adjustRightInd/>
        <w:rPr>
          <w:rFonts w:ascii="Times New Roman" w:eastAsia="Calibri" w:hAnsi="Times New Roman" w:cs="Times New Roman"/>
          <w:bCs/>
        </w:rPr>
      </w:pPr>
    </w:p>
    <w:p w:rsidR="00B46B27" w:rsidRPr="00014454" w:rsidP="5EC88010" w14:paraId="407FBE95" w14:textId="3E7E19FA">
      <w:pPr>
        <w:widowControl/>
        <w:autoSpaceDE/>
        <w:autoSpaceDN/>
        <w:adjustRightInd/>
        <w:rPr>
          <w:rFonts w:ascii="Times New Roman" w:eastAsia="Calibri" w:hAnsi="Times New Roman" w:cs="Times New Roman"/>
        </w:rPr>
      </w:pPr>
      <w:r>
        <w:rPr>
          <w:rFonts w:ascii="Times New Roman" w:eastAsia="Calibri" w:hAnsi="Times New Roman" w:cs="Times New Roman"/>
        </w:rPr>
        <w:t xml:space="preserve">DHNES has no plans </w:t>
      </w:r>
      <w:r w:rsidR="0075084D">
        <w:rPr>
          <w:rFonts w:ascii="Times New Roman" w:eastAsia="Calibri" w:hAnsi="Times New Roman" w:cs="Times New Roman"/>
        </w:rPr>
        <w:t xml:space="preserve">for </w:t>
      </w:r>
      <w:r w:rsidR="001E0B0E">
        <w:rPr>
          <w:rFonts w:ascii="Times New Roman" w:eastAsia="Calibri" w:hAnsi="Times New Roman" w:cs="Times New Roman"/>
        </w:rPr>
        <w:t xml:space="preserve">publishing any analytic </w:t>
      </w:r>
      <w:r w:rsidR="00AD6E59">
        <w:rPr>
          <w:rFonts w:ascii="Times New Roman" w:eastAsia="Calibri" w:hAnsi="Times New Roman" w:cs="Times New Roman"/>
        </w:rPr>
        <w:t xml:space="preserve">work </w:t>
      </w:r>
      <w:r>
        <w:rPr>
          <w:rFonts w:ascii="Times New Roman" w:eastAsia="Calibri" w:hAnsi="Times New Roman" w:cs="Times New Roman"/>
        </w:rPr>
        <w:t xml:space="preserve">based on this data collection. Any </w:t>
      </w:r>
      <w:r w:rsidR="00384B48">
        <w:rPr>
          <w:rFonts w:ascii="Times New Roman" w:eastAsia="Calibri" w:hAnsi="Times New Roman" w:cs="Times New Roman"/>
        </w:rPr>
        <w:t>tabulations</w:t>
      </w:r>
      <w:r>
        <w:rPr>
          <w:rFonts w:ascii="Times New Roman" w:eastAsia="Calibri" w:hAnsi="Times New Roman" w:cs="Times New Roman"/>
        </w:rPr>
        <w:t xml:space="preserve"> </w:t>
      </w:r>
      <w:r w:rsidR="00384B48">
        <w:rPr>
          <w:rFonts w:ascii="Times New Roman" w:eastAsia="Calibri" w:hAnsi="Times New Roman" w:cs="Times New Roman"/>
        </w:rPr>
        <w:t>w</w:t>
      </w:r>
      <w:r w:rsidR="00AD6E59">
        <w:rPr>
          <w:rFonts w:ascii="Times New Roman" w:eastAsia="Calibri" w:hAnsi="Times New Roman" w:cs="Times New Roman"/>
        </w:rPr>
        <w:t xml:space="preserve">ill be </w:t>
      </w:r>
      <w:r w:rsidR="00F24858">
        <w:rPr>
          <w:rFonts w:ascii="Times New Roman" w:eastAsia="Calibri" w:hAnsi="Times New Roman" w:cs="Times New Roman"/>
        </w:rPr>
        <w:t>s</w:t>
      </w:r>
      <w:r w:rsidR="00384B48">
        <w:rPr>
          <w:rFonts w:ascii="Times New Roman" w:eastAsia="Calibri" w:hAnsi="Times New Roman" w:cs="Times New Roman"/>
        </w:rPr>
        <w:t xml:space="preserve">trictly limited to statistical work </w:t>
      </w:r>
      <w:r w:rsidR="00183707">
        <w:rPr>
          <w:rFonts w:ascii="Times New Roman" w:eastAsia="Calibri" w:hAnsi="Times New Roman" w:cs="Times New Roman"/>
        </w:rPr>
        <w:t xml:space="preserve">to make comparisons as described above. </w:t>
      </w:r>
      <w:r w:rsidR="005758A1">
        <w:rPr>
          <w:rFonts w:ascii="Times New Roman" w:eastAsia="Calibri" w:hAnsi="Times New Roman" w:cs="Times New Roman"/>
        </w:rPr>
        <w:t xml:space="preserve">The DXA and </w:t>
      </w:r>
      <w:r w:rsidR="002F053C">
        <w:rPr>
          <w:rFonts w:ascii="Times New Roman" w:eastAsia="Calibri" w:hAnsi="Times New Roman" w:cs="Times New Roman"/>
        </w:rPr>
        <w:t>h</w:t>
      </w:r>
      <w:r w:rsidR="005758A1">
        <w:rPr>
          <w:rFonts w:ascii="Times New Roman" w:eastAsia="Calibri" w:hAnsi="Times New Roman" w:cs="Times New Roman"/>
        </w:rPr>
        <w:t xml:space="preserve">ematology studies </w:t>
      </w:r>
      <w:r w:rsidRPr="00014454" w:rsidR="4A83F3BB">
        <w:rPr>
          <w:rFonts w:ascii="Times New Roman" w:eastAsia="Calibri" w:hAnsi="Times New Roman" w:cs="Times New Roman"/>
        </w:rPr>
        <w:t>would be conducted</w:t>
      </w:r>
      <w:r w:rsidR="00C03756">
        <w:rPr>
          <w:rFonts w:ascii="Times New Roman" w:eastAsia="Calibri" w:hAnsi="Times New Roman" w:cs="Times New Roman"/>
        </w:rPr>
        <w:t xml:space="preserve"> for one week</w:t>
      </w:r>
      <w:r w:rsidRPr="00014454" w:rsidR="4A83F3BB">
        <w:rPr>
          <w:rFonts w:ascii="Times New Roman" w:eastAsia="Calibri" w:hAnsi="Times New Roman" w:cs="Times New Roman"/>
        </w:rPr>
        <w:t xml:space="preserve"> </w:t>
      </w:r>
      <w:r w:rsidRPr="00014454" w:rsidR="721339D5">
        <w:rPr>
          <w:rFonts w:ascii="Times New Roman" w:eastAsia="Calibri" w:hAnsi="Times New Roman" w:cs="Times New Roman"/>
        </w:rPr>
        <w:t>immediately</w:t>
      </w:r>
      <w:r w:rsidRPr="00014454" w:rsidR="4A83F3BB">
        <w:rPr>
          <w:rFonts w:ascii="Times New Roman" w:eastAsia="Calibri" w:hAnsi="Times New Roman" w:cs="Times New Roman"/>
        </w:rPr>
        <w:t xml:space="preserve"> after clearance has been received.</w:t>
      </w:r>
      <w:r w:rsidR="00537AC0">
        <w:rPr>
          <w:rFonts w:ascii="Times New Roman" w:eastAsia="Calibri" w:hAnsi="Times New Roman" w:cs="Times New Roman"/>
        </w:rPr>
        <w:t xml:space="preserve"> T</w:t>
      </w:r>
      <w:r w:rsidR="00A62606">
        <w:rPr>
          <w:rFonts w:ascii="Times New Roman" w:eastAsia="Calibri" w:hAnsi="Times New Roman" w:cs="Times New Roman"/>
        </w:rPr>
        <w:t xml:space="preserve">he tentative start date is </w:t>
      </w:r>
      <w:r w:rsidR="00620395">
        <w:rPr>
          <w:rFonts w:ascii="Times New Roman" w:eastAsia="Calibri" w:hAnsi="Times New Roman" w:cs="Times New Roman"/>
        </w:rPr>
        <w:t xml:space="preserve">planned for a week in </w:t>
      </w:r>
      <w:r w:rsidR="009429A5">
        <w:rPr>
          <w:rFonts w:ascii="Times New Roman" w:eastAsia="Calibri" w:hAnsi="Times New Roman" w:cs="Times New Roman"/>
        </w:rPr>
        <w:t>early</w:t>
      </w:r>
      <w:r w:rsidR="00F21A83">
        <w:rPr>
          <w:rFonts w:ascii="Times New Roman" w:eastAsia="Calibri" w:hAnsi="Times New Roman" w:cs="Times New Roman"/>
        </w:rPr>
        <w:t>-</w:t>
      </w:r>
      <w:r w:rsidR="009429A5">
        <w:rPr>
          <w:rFonts w:ascii="Times New Roman" w:eastAsia="Calibri" w:hAnsi="Times New Roman" w:cs="Times New Roman"/>
        </w:rPr>
        <w:t>December</w:t>
      </w:r>
      <w:r w:rsidR="00A62606">
        <w:rPr>
          <w:rFonts w:ascii="Times New Roman" w:eastAsia="Calibri" w:hAnsi="Times New Roman" w:cs="Times New Roman"/>
        </w:rPr>
        <w:t>.</w:t>
      </w:r>
    </w:p>
    <w:p w:rsidR="00462145" w:rsidRPr="00014454" w:rsidP="00462145" w14:paraId="7CDEF24F" w14:textId="77777777">
      <w:pPr>
        <w:tabs>
          <w:tab w:val="left" w:pos="450"/>
        </w:tabs>
        <w:rPr>
          <w:rFonts w:ascii="Times New Roman" w:hAnsi="Times New Roman" w:cs="Times New Roman"/>
          <w:color w:val="000000" w:themeColor="text1"/>
        </w:rPr>
      </w:pPr>
    </w:p>
    <w:p w:rsidR="00074320" w:rsidRPr="00014454" w:rsidP="008000CD" w14:paraId="3E0B5496" w14:textId="16278BFA">
      <w:pPr>
        <w:pStyle w:val="Heading1"/>
      </w:pPr>
      <w:r>
        <w:t xml:space="preserve"> </w:t>
      </w:r>
      <w:bookmarkStart w:id="24" w:name="_Toc177134740"/>
      <w:r>
        <w:t>Reason(s) Display of OMB Expiration Date is Inappropriate</w:t>
      </w:r>
      <w:bookmarkEnd w:id="24"/>
    </w:p>
    <w:p w:rsidR="00074320" w:rsidRPr="00014454" w:rsidP="00074320" w14:paraId="53B8CCF1" w14:textId="77777777">
      <w:pPr>
        <w:rPr>
          <w:rFonts w:ascii="Times New Roman" w:hAnsi="Times New Roman" w:cs="Times New Roman"/>
        </w:rPr>
      </w:pPr>
    </w:p>
    <w:p w:rsidR="00074320" w:rsidRPr="00014454" w:rsidP="00074320" w14:paraId="739B1A35" w14:textId="319DF8E6">
      <w:pPr>
        <w:rPr>
          <w:rFonts w:ascii="Times New Roman" w:hAnsi="Times New Roman" w:cs="Times New Roman"/>
        </w:rPr>
      </w:pPr>
      <w:r>
        <w:rPr>
          <w:rFonts w:ascii="Times New Roman" w:hAnsi="Times New Roman" w:cs="Times New Roman"/>
        </w:rPr>
        <w:t>The expiration date will be displayed.</w:t>
      </w:r>
    </w:p>
    <w:p w:rsidR="00074320" w:rsidRPr="00014454" w:rsidP="00074320" w14:paraId="2049493C" w14:textId="77777777">
      <w:pPr>
        <w:rPr>
          <w:rFonts w:ascii="Times New Roman" w:hAnsi="Times New Roman" w:cs="Times New Roman"/>
        </w:rPr>
      </w:pPr>
    </w:p>
    <w:p w:rsidR="00074320" w:rsidRPr="00014454" w:rsidP="008000CD" w14:paraId="368B3E84" w14:textId="39B03A84">
      <w:pPr>
        <w:pStyle w:val="Heading1"/>
      </w:pPr>
      <w:bookmarkStart w:id="25" w:name="_Toc177134741"/>
      <w:r>
        <w:t>Exceptions to Certification for Paperwork Reduction Act Submission</w:t>
      </w:r>
      <w:bookmarkEnd w:id="25"/>
    </w:p>
    <w:p w:rsidR="00074320" w:rsidRPr="00014454" w:rsidP="00074320" w14:paraId="16EA1EE1" w14:textId="77777777">
      <w:pPr>
        <w:rPr>
          <w:rFonts w:ascii="Times New Roman" w:hAnsi="Times New Roman" w:cs="Times New Roman"/>
        </w:rPr>
      </w:pPr>
    </w:p>
    <w:p w:rsidR="00074320" w:rsidRPr="00014454" w:rsidP="00074320" w14:paraId="2EAF57CF" w14:textId="1D3307B9">
      <w:pPr>
        <w:rPr>
          <w:rFonts w:ascii="Times New Roman" w:hAnsi="Times New Roman" w:cs="Times New Roman"/>
        </w:rPr>
      </w:pPr>
      <w:r>
        <w:rPr>
          <w:rFonts w:ascii="Times New Roman" w:hAnsi="Times New Roman" w:cs="Times New Roman"/>
        </w:rPr>
        <w:t>The certifications are included in this submission.</w:t>
      </w:r>
    </w:p>
    <w:sectPr w:rsidSect="005D1EE6">
      <w:footerReference w:type="even" r:id="rId12"/>
      <w:footerReference w:type="default" r:id="rId13"/>
      <w:footnotePr>
        <w:numStart w:val="9"/>
      </w:footnotePr>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1044" w14:paraId="5E8CD2BB" w14:textId="77777777">
      <w:r>
        <w:separator/>
      </w:r>
    </w:p>
    <w:p w:rsidR="009A1044" w14:paraId="5B7D353C" w14:textId="77777777"/>
  </w:endnote>
  <w:endnote w:type="continuationSeparator" w:id="1">
    <w:p w:rsidR="009A1044" w14:paraId="03C0D09C" w14:textId="77777777">
      <w:r>
        <w:continuationSeparator/>
      </w:r>
    </w:p>
    <w:p w:rsidR="009A1044" w14:paraId="170FABA5" w14:textId="77777777"/>
  </w:endnote>
  <w:endnote w:type="continuationNotice" w:id="2">
    <w:p w:rsidR="009A1044" w14:paraId="4727D9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4037" w14:paraId="7CA899D1" w14:textId="7777777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sz w:val="24"/>
        <w:szCs w:val="24"/>
      </w:rPr>
      <w:fldChar w:fldCharType="end"/>
    </w:r>
  </w:p>
  <w:p w:rsidR="00B14037" w14:paraId="6B21F1EA" w14:textId="77777777">
    <w:pPr>
      <w:pStyle w:val="Footer"/>
      <w:ind w:right="360"/>
    </w:pPr>
  </w:p>
  <w:p w:rsidR="00555211" w14:paraId="5DB7370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4037" w:rsidRPr="002811C1" w14:paraId="1953D2FD" w14:textId="64B50808">
    <w:pPr>
      <w:pStyle w:val="Footer"/>
      <w:framePr w:wrap="auto" w:vAnchor="text" w:hAnchor="margin" w:xAlign="right" w:y="1"/>
      <w:rPr>
        <w:rStyle w:val="PageNumber"/>
        <w:rFonts w:ascii="Times New Roman" w:hAnsi="Times New Roman" w:cs="Times New Roman"/>
        <w:sz w:val="24"/>
        <w:szCs w:val="24"/>
      </w:rPr>
    </w:pPr>
    <w:r w:rsidRPr="002811C1">
      <w:rPr>
        <w:rStyle w:val="PageNumber"/>
        <w:rFonts w:ascii="Times New Roman" w:hAnsi="Times New Roman" w:cs="Times New Roman"/>
        <w:sz w:val="24"/>
        <w:szCs w:val="24"/>
      </w:rPr>
      <w:fldChar w:fldCharType="begin"/>
    </w:r>
    <w:r w:rsidRPr="002811C1">
      <w:rPr>
        <w:rStyle w:val="PageNumber"/>
        <w:rFonts w:ascii="Times New Roman" w:hAnsi="Times New Roman" w:cs="Times New Roman"/>
        <w:sz w:val="24"/>
        <w:szCs w:val="24"/>
      </w:rPr>
      <w:instrText xml:space="preserve">PAGE  </w:instrText>
    </w:r>
    <w:r w:rsidRPr="002811C1">
      <w:rPr>
        <w:rStyle w:val="PageNumber"/>
        <w:rFonts w:ascii="Times New Roman" w:hAnsi="Times New Roman" w:cs="Times New Roman"/>
        <w:sz w:val="24"/>
        <w:szCs w:val="24"/>
      </w:rPr>
      <w:fldChar w:fldCharType="separate"/>
    </w:r>
    <w:r w:rsidRPr="002811C1" w:rsidR="006634A6">
      <w:rPr>
        <w:rStyle w:val="PageNumber"/>
        <w:rFonts w:ascii="Times New Roman" w:hAnsi="Times New Roman" w:cs="Times New Roman"/>
        <w:noProof/>
        <w:sz w:val="24"/>
        <w:szCs w:val="24"/>
      </w:rPr>
      <w:t>7</w:t>
    </w:r>
    <w:r w:rsidRPr="002811C1">
      <w:rPr>
        <w:rStyle w:val="PageNumber"/>
        <w:rFonts w:ascii="Times New Roman" w:hAnsi="Times New Roman" w:cs="Times New Roman"/>
        <w:sz w:val="24"/>
        <w:szCs w:val="24"/>
      </w:rPr>
      <w:fldChar w:fldCharType="end"/>
    </w:r>
  </w:p>
  <w:p w:rsidR="00B14037" w:rsidP="00F0052E" w14:paraId="3FD1EE34" w14:textId="77777777">
    <w:pPr>
      <w:pStyle w:val="Footer"/>
      <w:ind w:right="360"/>
    </w:pPr>
  </w:p>
  <w:p w:rsidR="00555211" w14:paraId="03965FE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1044" w14:paraId="42940755" w14:textId="77777777">
      <w:r>
        <w:separator/>
      </w:r>
    </w:p>
    <w:p w:rsidR="009A1044" w14:paraId="43EA2564" w14:textId="77777777"/>
  </w:footnote>
  <w:footnote w:type="continuationSeparator" w:id="1">
    <w:p w:rsidR="009A1044" w14:paraId="5F5022FC" w14:textId="77777777">
      <w:r>
        <w:continuationSeparator/>
      </w:r>
    </w:p>
    <w:p w:rsidR="009A1044" w14:paraId="205AFE22" w14:textId="77777777"/>
  </w:footnote>
  <w:footnote w:type="continuationNotice" w:id="2">
    <w:p w:rsidR="009A1044" w14:paraId="2C831AC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DE1B"/>
    <w:multiLevelType w:val="hybridMultilevel"/>
    <w:tmpl w:val="FFFFFF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301CA5"/>
    <w:multiLevelType w:val="hybridMultilevel"/>
    <w:tmpl w:val="C7DCD940"/>
    <w:lvl w:ilvl="0">
      <w:start w:val="1"/>
      <w:numFmt w:val="decimal"/>
      <w:pStyle w:val="Heading1"/>
      <w:lvlText w:val="%1."/>
      <w:lvlJc w:val="left"/>
      <w:pPr>
        <w:ind w:left="0" w:hanging="360"/>
      </w:pPr>
      <w:rPr>
        <w:rFonts w:hint="default"/>
        <w:i w:val="0"/>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09FC2CCC"/>
    <w:multiLevelType w:val="hybridMultilevel"/>
    <w:tmpl w:val="82187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E3036"/>
    <w:multiLevelType w:val="hybridMultilevel"/>
    <w:tmpl w:val="48A43DF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9D103B"/>
    <w:multiLevelType w:val="hybridMultilevel"/>
    <w:tmpl w:val="B2526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1C5B58"/>
    <w:multiLevelType w:val="hybridMultilevel"/>
    <w:tmpl w:val="1840A4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3D900E4"/>
    <w:multiLevelType w:val="hybridMultilevel"/>
    <w:tmpl w:val="401E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C171B4"/>
    <w:multiLevelType w:val="hybridMultilevel"/>
    <w:tmpl w:val="17381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6C1224"/>
    <w:multiLevelType w:val="hybridMultilevel"/>
    <w:tmpl w:val="6A54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7C2FD0"/>
    <w:multiLevelType w:val="hybridMultilevel"/>
    <w:tmpl w:val="6A54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385018"/>
    <w:multiLevelType w:val="hybridMultilevel"/>
    <w:tmpl w:val="DEA29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9805E8"/>
    <w:multiLevelType w:val="hybridMultilevel"/>
    <w:tmpl w:val="EB887906"/>
    <w:lvl w:ilvl="0">
      <w:start w:val="1"/>
      <w:numFmt w:val="upp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7108E8"/>
    <w:multiLevelType w:val="hybridMultilevel"/>
    <w:tmpl w:val="0400BF2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C754DD"/>
    <w:multiLevelType w:val="hybridMultilevel"/>
    <w:tmpl w:val="374E2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0A6F9D"/>
    <w:multiLevelType w:val="hybridMultilevel"/>
    <w:tmpl w:val="3F2AACB2"/>
    <w:lvl w:ilvl="0">
      <w:start w:val="0"/>
      <w:numFmt w:val="bullet"/>
      <w:lvlText w:val="•"/>
      <w:lvlJc w:val="left"/>
      <w:pPr>
        <w:ind w:left="720" w:hanging="360"/>
      </w:pPr>
      <w:rPr>
        <w:rFonts w:ascii="Courier New" w:eastAsia="Calibri"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B2116C"/>
    <w:multiLevelType w:val="hybridMultilevel"/>
    <w:tmpl w:val="1BB69030"/>
    <w:lvl w:ilvl="0">
      <w:start w:val="1"/>
      <w:numFmt w:val="decimal"/>
      <w:lvlText w:val="%1)"/>
      <w:lvlJc w:val="left"/>
      <w:pPr>
        <w:tabs>
          <w:tab w:val="num" w:pos="1065"/>
        </w:tabs>
        <w:ind w:left="1065" w:hanging="1065"/>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72A6B7D"/>
    <w:multiLevelType w:val="hybridMultilevel"/>
    <w:tmpl w:val="6A54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D99897"/>
    <w:multiLevelType w:val="hybridMultilevel"/>
    <w:tmpl w:val="AC0E2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B6F14FF"/>
    <w:multiLevelType w:val="hybridMultilevel"/>
    <w:tmpl w:val="50AAE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D72318"/>
    <w:multiLevelType w:val="hybridMultilevel"/>
    <w:tmpl w:val="12686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1B14F0"/>
    <w:multiLevelType w:val="hybridMultilevel"/>
    <w:tmpl w:val="DF0A3A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0A5F38"/>
    <w:multiLevelType w:val="hybridMultilevel"/>
    <w:tmpl w:val="8604A758"/>
    <w:lvl w:ilvl="0">
      <w:start w:val="0"/>
      <w:numFmt w:val="bullet"/>
      <w:lvlText w:val="•"/>
      <w:lvlJc w:val="left"/>
      <w:pPr>
        <w:ind w:left="720" w:hanging="360"/>
      </w:pPr>
      <w:rPr>
        <w:rFonts w:ascii="Courier New" w:eastAsia="Calibri"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2503F2"/>
    <w:multiLevelType w:val="hybridMultilevel"/>
    <w:tmpl w:val="1FAA3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A0064C"/>
    <w:multiLevelType w:val="hybridMultilevel"/>
    <w:tmpl w:val="77D23C42"/>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DE2B1C"/>
    <w:multiLevelType w:val="hybridMultilevel"/>
    <w:tmpl w:val="2A206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3647A4"/>
    <w:multiLevelType w:val="hybridMultilevel"/>
    <w:tmpl w:val="350673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EA0236"/>
    <w:multiLevelType w:val="hybridMultilevel"/>
    <w:tmpl w:val="D536FF5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376044D"/>
    <w:multiLevelType w:val="hybridMultilevel"/>
    <w:tmpl w:val="D8D60772"/>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5C62DAF"/>
    <w:multiLevelType w:val="hybridMultilevel"/>
    <w:tmpl w:val="B3960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9212AC"/>
    <w:multiLevelType w:val="hybridMultilevel"/>
    <w:tmpl w:val="19228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E51246"/>
    <w:multiLevelType w:val="hybridMultilevel"/>
    <w:tmpl w:val="8152BDD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D3609A"/>
    <w:multiLevelType w:val="hybridMultilevel"/>
    <w:tmpl w:val="DC36B9B2"/>
    <w:lvl w:ilvl="0">
      <w:start w:val="0"/>
      <w:numFmt w:val="bullet"/>
      <w:lvlText w:val="•"/>
      <w:lvlJc w:val="left"/>
      <w:pPr>
        <w:ind w:left="720" w:hanging="360"/>
      </w:pPr>
      <w:rPr>
        <w:rFonts w:ascii="Courier New" w:eastAsia="Calibri"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6531E1"/>
    <w:multiLevelType w:val="hybridMultilevel"/>
    <w:tmpl w:val="6ACEF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B30590"/>
    <w:multiLevelType w:val="hybridMultilevel"/>
    <w:tmpl w:val="E0B63524"/>
    <w:lvl w:ilvl="0">
      <w:start w:val="716"/>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A01C14"/>
    <w:multiLevelType w:val="hybridMultilevel"/>
    <w:tmpl w:val="D1740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C9B2B83"/>
    <w:multiLevelType w:val="hybridMultilevel"/>
    <w:tmpl w:val="E04200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9804869">
    <w:abstractNumId w:val="17"/>
  </w:num>
  <w:num w:numId="2" w16cid:durableId="257447637">
    <w:abstractNumId w:val="34"/>
  </w:num>
  <w:num w:numId="3" w16cid:durableId="300379622">
    <w:abstractNumId w:val="31"/>
  </w:num>
  <w:num w:numId="4" w16cid:durableId="1084762734">
    <w:abstractNumId w:val="22"/>
  </w:num>
  <w:num w:numId="5" w16cid:durableId="514802926">
    <w:abstractNumId w:val="20"/>
  </w:num>
  <w:num w:numId="6" w16cid:durableId="661003540">
    <w:abstractNumId w:val="14"/>
  </w:num>
  <w:num w:numId="7" w16cid:durableId="1676418559">
    <w:abstractNumId w:val="21"/>
  </w:num>
  <w:num w:numId="8" w16cid:durableId="187182465">
    <w:abstractNumId w:val="25"/>
  </w:num>
  <w:num w:numId="9" w16cid:durableId="193541727">
    <w:abstractNumId w:val="5"/>
  </w:num>
  <w:num w:numId="10" w16cid:durableId="1953173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278519">
    <w:abstractNumId w:val="29"/>
  </w:num>
  <w:num w:numId="12" w16cid:durableId="18238263">
    <w:abstractNumId w:val="19"/>
  </w:num>
  <w:num w:numId="13" w16cid:durableId="1010983761">
    <w:abstractNumId w:val="6"/>
  </w:num>
  <w:num w:numId="14" w16cid:durableId="502010257">
    <w:abstractNumId w:val="12"/>
  </w:num>
  <w:num w:numId="15" w16cid:durableId="334496281">
    <w:abstractNumId w:val="2"/>
  </w:num>
  <w:num w:numId="16" w16cid:durableId="1199390693">
    <w:abstractNumId w:val="31"/>
  </w:num>
  <w:num w:numId="17" w16cid:durableId="2123573387">
    <w:abstractNumId w:val="28"/>
  </w:num>
  <w:num w:numId="18" w16cid:durableId="961963004">
    <w:abstractNumId w:val="30"/>
  </w:num>
  <w:num w:numId="19" w16cid:durableId="1382746816">
    <w:abstractNumId w:val="24"/>
  </w:num>
  <w:num w:numId="20" w16cid:durableId="1740636160">
    <w:abstractNumId w:val="32"/>
  </w:num>
  <w:num w:numId="21" w16cid:durableId="1455177984">
    <w:abstractNumId w:val="35"/>
  </w:num>
  <w:num w:numId="22" w16cid:durableId="1128083157">
    <w:abstractNumId w:val="1"/>
  </w:num>
  <w:num w:numId="23" w16cid:durableId="79913079">
    <w:abstractNumId w:val="3"/>
  </w:num>
  <w:num w:numId="24" w16cid:durableId="1851096264">
    <w:abstractNumId w:val="15"/>
  </w:num>
  <w:num w:numId="25" w16cid:durableId="1093547371">
    <w:abstractNumId w:val="8"/>
  </w:num>
  <w:num w:numId="26" w16cid:durableId="977027889">
    <w:abstractNumId w:val="4"/>
  </w:num>
  <w:num w:numId="27" w16cid:durableId="336931079">
    <w:abstractNumId w:val="33"/>
  </w:num>
  <w:num w:numId="28" w16cid:durableId="1901744967">
    <w:abstractNumId w:val="18"/>
  </w:num>
  <w:num w:numId="29" w16cid:durableId="98910724">
    <w:abstractNumId w:val="11"/>
  </w:num>
  <w:num w:numId="30" w16cid:durableId="1393387161">
    <w:abstractNumId w:val="27"/>
  </w:num>
  <w:num w:numId="31" w16cid:durableId="540676783">
    <w:abstractNumId w:val="10"/>
  </w:num>
  <w:num w:numId="32" w16cid:durableId="1952518034">
    <w:abstractNumId w:val="0"/>
  </w:num>
  <w:num w:numId="33" w16cid:durableId="1819692041">
    <w:abstractNumId w:val="9"/>
  </w:num>
  <w:num w:numId="34" w16cid:durableId="1689598580">
    <w:abstractNumId w:val="16"/>
  </w:num>
  <w:num w:numId="35" w16cid:durableId="2000766179">
    <w:abstractNumId w:val="26"/>
  </w:num>
  <w:num w:numId="36" w16cid:durableId="1704213234">
    <w:abstractNumId w:val="7"/>
  </w:num>
  <w:num w:numId="37" w16cid:durableId="1674529147">
    <w:abstractNumId w:val="13"/>
  </w:num>
  <w:num w:numId="38" w16cid:durableId="17666547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UseMarginsForDrawingGridOrigin/>
  <w:drawingGridHorizontalOrigin w:val="1440"/>
  <w:characterSpacingControl w:val="compressPunctuation"/>
  <w:doNotValidateAgainstSchema/>
  <w:doNotDemarcateInvalidXml/>
  <w:footnotePr>
    <w:numStart w:val="9"/>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70"/>
    <w:rsid w:val="00000D3F"/>
    <w:rsid w:val="00003FFA"/>
    <w:rsid w:val="000048CD"/>
    <w:rsid w:val="00005549"/>
    <w:rsid w:val="000064D3"/>
    <w:rsid w:val="00007A84"/>
    <w:rsid w:val="000108FB"/>
    <w:rsid w:val="0001253C"/>
    <w:rsid w:val="000126AF"/>
    <w:rsid w:val="000132B8"/>
    <w:rsid w:val="00014454"/>
    <w:rsid w:val="00016F2F"/>
    <w:rsid w:val="00017634"/>
    <w:rsid w:val="000177E5"/>
    <w:rsid w:val="000202B0"/>
    <w:rsid w:val="000203B7"/>
    <w:rsid w:val="000216F8"/>
    <w:rsid w:val="000226BB"/>
    <w:rsid w:val="00022B39"/>
    <w:rsid w:val="00022D61"/>
    <w:rsid w:val="00023AF2"/>
    <w:rsid w:val="00024290"/>
    <w:rsid w:val="000242DC"/>
    <w:rsid w:val="00025DF8"/>
    <w:rsid w:val="00025F62"/>
    <w:rsid w:val="000268E1"/>
    <w:rsid w:val="00027D77"/>
    <w:rsid w:val="0003010D"/>
    <w:rsid w:val="00031284"/>
    <w:rsid w:val="00031C53"/>
    <w:rsid w:val="00031D85"/>
    <w:rsid w:val="00034095"/>
    <w:rsid w:val="00035B68"/>
    <w:rsid w:val="00036071"/>
    <w:rsid w:val="000370D5"/>
    <w:rsid w:val="000373EA"/>
    <w:rsid w:val="00037ACD"/>
    <w:rsid w:val="00040B42"/>
    <w:rsid w:val="000413BA"/>
    <w:rsid w:val="0004251E"/>
    <w:rsid w:val="00043E3E"/>
    <w:rsid w:val="000446D5"/>
    <w:rsid w:val="00047475"/>
    <w:rsid w:val="000505F9"/>
    <w:rsid w:val="00050823"/>
    <w:rsid w:val="00052B25"/>
    <w:rsid w:val="00052B38"/>
    <w:rsid w:val="00054039"/>
    <w:rsid w:val="00055233"/>
    <w:rsid w:val="000561AF"/>
    <w:rsid w:val="0005660D"/>
    <w:rsid w:val="00056B90"/>
    <w:rsid w:val="00060C23"/>
    <w:rsid w:val="000613D2"/>
    <w:rsid w:val="00062A6F"/>
    <w:rsid w:val="00063B8B"/>
    <w:rsid w:val="000640BC"/>
    <w:rsid w:val="00064CB7"/>
    <w:rsid w:val="00064D67"/>
    <w:rsid w:val="00065AC5"/>
    <w:rsid w:val="00066983"/>
    <w:rsid w:val="00066D20"/>
    <w:rsid w:val="00067E21"/>
    <w:rsid w:val="00070129"/>
    <w:rsid w:val="00070852"/>
    <w:rsid w:val="00071381"/>
    <w:rsid w:val="00072327"/>
    <w:rsid w:val="000739EA"/>
    <w:rsid w:val="00074320"/>
    <w:rsid w:val="00075957"/>
    <w:rsid w:val="00075B66"/>
    <w:rsid w:val="00076235"/>
    <w:rsid w:val="0008049D"/>
    <w:rsid w:val="00081A79"/>
    <w:rsid w:val="000837C2"/>
    <w:rsid w:val="00083A0C"/>
    <w:rsid w:val="0008584D"/>
    <w:rsid w:val="00085E2E"/>
    <w:rsid w:val="000868D0"/>
    <w:rsid w:val="00090BAD"/>
    <w:rsid w:val="00090C7D"/>
    <w:rsid w:val="00090CAB"/>
    <w:rsid w:val="0009128F"/>
    <w:rsid w:val="00091FF2"/>
    <w:rsid w:val="00094388"/>
    <w:rsid w:val="00095E37"/>
    <w:rsid w:val="000960D7"/>
    <w:rsid w:val="000966F9"/>
    <w:rsid w:val="00097E59"/>
    <w:rsid w:val="000A03A3"/>
    <w:rsid w:val="000A1AE2"/>
    <w:rsid w:val="000A66AA"/>
    <w:rsid w:val="000A6FCB"/>
    <w:rsid w:val="000A7333"/>
    <w:rsid w:val="000A74A6"/>
    <w:rsid w:val="000B039E"/>
    <w:rsid w:val="000B619D"/>
    <w:rsid w:val="000B647C"/>
    <w:rsid w:val="000B6BC2"/>
    <w:rsid w:val="000B7F0D"/>
    <w:rsid w:val="000C031D"/>
    <w:rsid w:val="000C06CD"/>
    <w:rsid w:val="000C0A10"/>
    <w:rsid w:val="000C0C67"/>
    <w:rsid w:val="000C0C74"/>
    <w:rsid w:val="000C0F5F"/>
    <w:rsid w:val="000C1FB8"/>
    <w:rsid w:val="000C25DA"/>
    <w:rsid w:val="000C3FB6"/>
    <w:rsid w:val="000C4051"/>
    <w:rsid w:val="000C419C"/>
    <w:rsid w:val="000C479B"/>
    <w:rsid w:val="000C7D93"/>
    <w:rsid w:val="000D04FF"/>
    <w:rsid w:val="000D08C5"/>
    <w:rsid w:val="000D0F43"/>
    <w:rsid w:val="000D105D"/>
    <w:rsid w:val="000D1074"/>
    <w:rsid w:val="000D2FD2"/>
    <w:rsid w:val="000D43D4"/>
    <w:rsid w:val="000D503C"/>
    <w:rsid w:val="000D5400"/>
    <w:rsid w:val="000D5541"/>
    <w:rsid w:val="000D6889"/>
    <w:rsid w:val="000D6F80"/>
    <w:rsid w:val="000D7F1C"/>
    <w:rsid w:val="000E0A30"/>
    <w:rsid w:val="000E124E"/>
    <w:rsid w:val="000E188F"/>
    <w:rsid w:val="000E349C"/>
    <w:rsid w:val="000E3EF9"/>
    <w:rsid w:val="000E3FDA"/>
    <w:rsid w:val="000E4DA6"/>
    <w:rsid w:val="000E54E4"/>
    <w:rsid w:val="000E631E"/>
    <w:rsid w:val="000E7FEC"/>
    <w:rsid w:val="000F034F"/>
    <w:rsid w:val="000F20B3"/>
    <w:rsid w:val="000F3538"/>
    <w:rsid w:val="000F41E8"/>
    <w:rsid w:val="000F4883"/>
    <w:rsid w:val="000F5491"/>
    <w:rsid w:val="000F6646"/>
    <w:rsid w:val="000F66FB"/>
    <w:rsid w:val="000F7264"/>
    <w:rsid w:val="000F765D"/>
    <w:rsid w:val="0010042E"/>
    <w:rsid w:val="00100596"/>
    <w:rsid w:val="00100D53"/>
    <w:rsid w:val="00101A9A"/>
    <w:rsid w:val="001020C9"/>
    <w:rsid w:val="00102B9C"/>
    <w:rsid w:val="0010441D"/>
    <w:rsid w:val="00104D81"/>
    <w:rsid w:val="00107639"/>
    <w:rsid w:val="00110B4E"/>
    <w:rsid w:val="0011271A"/>
    <w:rsid w:val="00115190"/>
    <w:rsid w:val="001171C6"/>
    <w:rsid w:val="001177E6"/>
    <w:rsid w:val="00117CFE"/>
    <w:rsid w:val="00117DF6"/>
    <w:rsid w:val="001205DF"/>
    <w:rsid w:val="00121C73"/>
    <w:rsid w:val="00122564"/>
    <w:rsid w:val="0012317F"/>
    <w:rsid w:val="00124E11"/>
    <w:rsid w:val="00125013"/>
    <w:rsid w:val="00125B92"/>
    <w:rsid w:val="00125DC5"/>
    <w:rsid w:val="00125E70"/>
    <w:rsid w:val="0012693E"/>
    <w:rsid w:val="0013019E"/>
    <w:rsid w:val="00133655"/>
    <w:rsid w:val="00133A19"/>
    <w:rsid w:val="00134CCD"/>
    <w:rsid w:val="00135C37"/>
    <w:rsid w:val="00136514"/>
    <w:rsid w:val="00140969"/>
    <w:rsid w:val="0014246F"/>
    <w:rsid w:val="00143176"/>
    <w:rsid w:val="0014369F"/>
    <w:rsid w:val="00144866"/>
    <w:rsid w:val="001448F3"/>
    <w:rsid w:val="00144E1D"/>
    <w:rsid w:val="00144E97"/>
    <w:rsid w:val="0014504B"/>
    <w:rsid w:val="00146749"/>
    <w:rsid w:val="00152C4B"/>
    <w:rsid w:val="00153346"/>
    <w:rsid w:val="00154E9D"/>
    <w:rsid w:val="00154F11"/>
    <w:rsid w:val="001565F6"/>
    <w:rsid w:val="00156AAA"/>
    <w:rsid w:val="00156FE6"/>
    <w:rsid w:val="00157472"/>
    <w:rsid w:val="00157DC1"/>
    <w:rsid w:val="00161E57"/>
    <w:rsid w:val="0016226D"/>
    <w:rsid w:val="00162AA6"/>
    <w:rsid w:val="00162E93"/>
    <w:rsid w:val="001649E2"/>
    <w:rsid w:val="00164F0F"/>
    <w:rsid w:val="00165516"/>
    <w:rsid w:val="0016601C"/>
    <w:rsid w:val="001663F8"/>
    <w:rsid w:val="001674ED"/>
    <w:rsid w:val="00167C65"/>
    <w:rsid w:val="001715DF"/>
    <w:rsid w:val="001722FA"/>
    <w:rsid w:val="00172CF9"/>
    <w:rsid w:val="00172DB2"/>
    <w:rsid w:val="001730A4"/>
    <w:rsid w:val="00173312"/>
    <w:rsid w:val="00173710"/>
    <w:rsid w:val="00173885"/>
    <w:rsid w:val="00174FAD"/>
    <w:rsid w:val="001753B0"/>
    <w:rsid w:val="00176DAE"/>
    <w:rsid w:val="00180AAA"/>
    <w:rsid w:val="00180C16"/>
    <w:rsid w:val="0018195C"/>
    <w:rsid w:val="00182662"/>
    <w:rsid w:val="00182CAC"/>
    <w:rsid w:val="001831B1"/>
    <w:rsid w:val="00183707"/>
    <w:rsid w:val="00185AA2"/>
    <w:rsid w:val="001860BE"/>
    <w:rsid w:val="001860FD"/>
    <w:rsid w:val="00186404"/>
    <w:rsid w:val="00187037"/>
    <w:rsid w:val="001902AD"/>
    <w:rsid w:val="00190A5A"/>
    <w:rsid w:val="00190EDE"/>
    <w:rsid w:val="00191191"/>
    <w:rsid w:val="001931BC"/>
    <w:rsid w:val="00193EE6"/>
    <w:rsid w:val="00194735"/>
    <w:rsid w:val="001951CD"/>
    <w:rsid w:val="00195E4D"/>
    <w:rsid w:val="001970F4"/>
    <w:rsid w:val="001A0ECB"/>
    <w:rsid w:val="001A1013"/>
    <w:rsid w:val="001A2907"/>
    <w:rsid w:val="001A2B45"/>
    <w:rsid w:val="001A39FD"/>
    <w:rsid w:val="001A3C08"/>
    <w:rsid w:val="001A3EB6"/>
    <w:rsid w:val="001A5F6B"/>
    <w:rsid w:val="001A710D"/>
    <w:rsid w:val="001A7EC7"/>
    <w:rsid w:val="001B036F"/>
    <w:rsid w:val="001B3356"/>
    <w:rsid w:val="001B35F2"/>
    <w:rsid w:val="001B3B38"/>
    <w:rsid w:val="001B3F59"/>
    <w:rsid w:val="001B45AA"/>
    <w:rsid w:val="001B5AB3"/>
    <w:rsid w:val="001B69D0"/>
    <w:rsid w:val="001B7196"/>
    <w:rsid w:val="001B7619"/>
    <w:rsid w:val="001B7E98"/>
    <w:rsid w:val="001C137E"/>
    <w:rsid w:val="001C17E8"/>
    <w:rsid w:val="001C49B1"/>
    <w:rsid w:val="001C5FB8"/>
    <w:rsid w:val="001C727B"/>
    <w:rsid w:val="001C7E0C"/>
    <w:rsid w:val="001C7FAB"/>
    <w:rsid w:val="001D25C2"/>
    <w:rsid w:val="001D5841"/>
    <w:rsid w:val="001D71BC"/>
    <w:rsid w:val="001D7586"/>
    <w:rsid w:val="001E0B0E"/>
    <w:rsid w:val="001E0C41"/>
    <w:rsid w:val="001E0D2B"/>
    <w:rsid w:val="001E1846"/>
    <w:rsid w:val="001E3294"/>
    <w:rsid w:val="001E32AD"/>
    <w:rsid w:val="001E4175"/>
    <w:rsid w:val="001E484F"/>
    <w:rsid w:val="001E59AF"/>
    <w:rsid w:val="001E6BF5"/>
    <w:rsid w:val="001E77DC"/>
    <w:rsid w:val="001F2D7A"/>
    <w:rsid w:val="001F372D"/>
    <w:rsid w:val="001F4256"/>
    <w:rsid w:val="001F54FE"/>
    <w:rsid w:val="00200EFD"/>
    <w:rsid w:val="00202053"/>
    <w:rsid w:val="00202F40"/>
    <w:rsid w:val="002032D1"/>
    <w:rsid w:val="002036D3"/>
    <w:rsid w:val="00204B21"/>
    <w:rsid w:val="00205965"/>
    <w:rsid w:val="0020675E"/>
    <w:rsid w:val="00206B3E"/>
    <w:rsid w:val="00207412"/>
    <w:rsid w:val="00207C0C"/>
    <w:rsid w:val="00210006"/>
    <w:rsid w:val="00211C73"/>
    <w:rsid w:val="00213619"/>
    <w:rsid w:val="00213C63"/>
    <w:rsid w:val="00214868"/>
    <w:rsid w:val="002152AF"/>
    <w:rsid w:val="00221E83"/>
    <w:rsid w:val="0022295A"/>
    <w:rsid w:val="0022313A"/>
    <w:rsid w:val="00223220"/>
    <w:rsid w:val="00223354"/>
    <w:rsid w:val="00223869"/>
    <w:rsid w:val="00223F0E"/>
    <w:rsid w:val="002254FF"/>
    <w:rsid w:val="00225B02"/>
    <w:rsid w:val="00226791"/>
    <w:rsid w:val="00226F56"/>
    <w:rsid w:val="00227ABD"/>
    <w:rsid w:val="00230B59"/>
    <w:rsid w:val="0023324D"/>
    <w:rsid w:val="00233876"/>
    <w:rsid w:val="00233D0E"/>
    <w:rsid w:val="00235695"/>
    <w:rsid w:val="00235B0A"/>
    <w:rsid w:val="00236D4C"/>
    <w:rsid w:val="00240496"/>
    <w:rsid w:val="00240EF0"/>
    <w:rsid w:val="00241273"/>
    <w:rsid w:val="002426D6"/>
    <w:rsid w:val="002440BF"/>
    <w:rsid w:val="00245BC1"/>
    <w:rsid w:val="0024793A"/>
    <w:rsid w:val="00247FC6"/>
    <w:rsid w:val="002509B7"/>
    <w:rsid w:val="00251029"/>
    <w:rsid w:val="00251346"/>
    <w:rsid w:val="0025183A"/>
    <w:rsid w:val="00252077"/>
    <w:rsid w:val="002526ED"/>
    <w:rsid w:val="00252850"/>
    <w:rsid w:val="00254782"/>
    <w:rsid w:val="002558CA"/>
    <w:rsid w:val="00256E1E"/>
    <w:rsid w:val="002575A8"/>
    <w:rsid w:val="00260578"/>
    <w:rsid w:val="002629AF"/>
    <w:rsid w:val="00263987"/>
    <w:rsid w:val="002641B9"/>
    <w:rsid w:val="002665E1"/>
    <w:rsid w:val="00270676"/>
    <w:rsid w:val="00270D55"/>
    <w:rsid w:val="00270E42"/>
    <w:rsid w:val="00271158"/>
    <w:rsid w:val="002711C8"/>
    <w:rsid w:val="0027133A"/>
    <w:rsid w:val="00271808"/>
    <w:rsid w:val="00273463"/>
    <w:rsid w:val="00275CCC"/>
    <w:rsid w:val="0027669D"/>
    <w:rsid w:val="00277E16"/>
    <w:rsid w:val="002810FF"/>
    <w:rsid w:val="002811C1"/>
    <w:rsid w:val="00281700"/>
    <w:rsid w:val="00281DD9"/>
    <w:rsid w:val="0028216B"/>
    <w:rsid w:val="0028321F"/>
    <w:rsid w:val="00285820"/>
    <w:rsid w:val="00286711"/>
    <w:rsid w:val="002872F9"/>
    <w:rsid w:val="0028796A"/>
    <w:rsid w:val="00291ECD"/>
    <w:rsid w:val="0029263A"/>
    <w:rsid w:val="00293489"/>
    <w:rsid w:val="0029375B"/>
    <w:rsid w:val="00295141"/>
    <w:rsid w:val="002951A7"/>
    <w:rsid w:val="002951C1"/>
    <w:rsid w:val="002978B4"/>
    <w:rsid w:val="00297B29"/>
    <w:rsid w:val="002A06C0"/>
    <w:rsid w:val="002A109B"/>
    <w:rsid w:val="002A13B5"/>
    <w:rsid w:val="002A29A8"/>
    <w:rsid w:val="002A6CA4"/>
    <w:rsid w:val="002A7F32"/>
    <w:rsid w:val="002B0764"/>
    <w:rsid w:val="002B27B6"/>
    <w:rsid w:val="002B4399"/>
    <w:rsid w:val="002B5A65"/>
    <w:rsid w:val="002B64E4"/>
    <w:rsid w:val="002B6541"/>
    <w:rsid w:val="002B758B"/>
    <w:rsid w:val="002B799F"/>
    <w:rsid w:val="002C073E"/>
    <w:rsid w:val="002C0B1C"/>
    <w:rsid w:val="002C16FD"/>
    <w:rsid w:val="002C299D"/>
    <w:rsid w:val="002C2A68"/>
    <w:rsid w:val="002C2C4F"/>
    <w:rsid w:val="002C3DF6"/>
    <w:rsid w:val="002C3FAA"/>
    <w:rsid w:val="002C7D56"/>
    <w:rsid w:val="002D1B14"/>
    <w:rsid w:val="002D2E26"/>
    <w:rsid w:val="002D3A2E"/>
    <w:rsid w:val="002D4E0D"/>
    <w:rsid w:val="002D4EC6"/>
    <w:rsid w:val="002D572A"/>
    <w:rsid w:val="002D5C1D"/>
    <w:rsid w:val="002D71E7"/>
    <w:rsid w:val="002D73B9"/>
    <w:rsid w:val="002E2220"/>
    <w:rsid w:val="002E46F3"/>
    <w:rsid w:val="002E57AF"/>
    <w:rsid w:val="002F053C"/>
    <w:rsid w:val="002F0FC2"/>
    <w:rsid w:val="002F1E4A"/>
    <w:rsid w:val="002F2684"/>
    <w:rsid w:val="002F2B46"/>
    <w:rsid w:val="002F2B85"/>
    <w:rsid w:val="002F50CD"/>
    <w:rsid w:val="00301842"/>
    <w:rsid w:val="00301A16"/>
    <w:rsid w:val="00302C61"/>
    <w:rsid w:val="003034B6"/>
    <w:rsid w:val="00304722"/>
    <w:rsid w:val="0030511D"/>
    <w:rsid w:val="00305203"/>
    <w:rsid w:val="00305EF0"/>
    <w:rsid w:val="00305FFA"/>
    <w:rsid w:val="00306269"/>
    <w:rsid w:val="00306271"/>
    <w:rsid w:val="003063A7"/>
    <w:rsid w:val="00307280"/>
    <w:rsid w:val="00307399"/>
    <w:rsid w:val="00307B60"/>
    <w:rsid w:val="003104CF"/>
    <w:rsid w:val="00311234"/>
    <w:rsid w:val="00311FC1"/>
    <w:rsid w:val="00312A7E"/>
    <w:rsid w:val="0031455C"/>
    <w:rsid w:val="0031487F"/>
    <w:rsid w:val="003148CE"/>
    <w:rsid w:val="00315356"/>
    <w:rsid w:val="00315FB0"/>
    <w:rsid w:val="00316F56"/>
    <w:rsid w:val="00317869"/>
    <w:rsid w:val="00317D8B"/>
    <w:rsid w:val="003226AD"/>
    <w:rsid w:val="00322A09"/>
    <w:rsid w:val="0032322D"/>
    <w:rsid w:val="0032488D"/>
    <w:rsid w:val="003259C0"/>
    <w:rsid w:val="00325BAB"/>
    <w:rsid w:val="003264B9"/>
    <w:rsid w:val="00326DDD"/>
    <w:rsid w:val="0033030E"/>
    <w:rsid w:val="00331978"/>
    <w:rsid w:val="00332A94"/>
    <w:rsid w:val="00332AC4"/>
    <w:rsid w:val="00332E7F"/>
    <w:rsid w:val="0033387E"/>
    <w:rsid w:val="00333E48"/>
    <w:rsid w:val="00334547"/>
    <w:rsid w:val="00334C55"/>
    <w:rsid w:val="00337214"/>
    <w:rsid w:val="00337CBD"/>
    <w:rsid w:val="00337EFB"/>
    <w:rsid w:val="003410C7"/>
    <w:rsid w:val="00341B4E"/>
    <w:rsid w:val="00341CC6"/>
    <w:rsid w:val="00346FC2"/>
    <w:rsid w:val="00347338"/>
    <w:rsid w:val="00347B96"/>
    <w:rsid w:val="00347CCB"/>
    <w:rsid w:val="00350615"/>
    <w:rsid w:val="003512C3"/>
    <w:rsid w:val="00351612"/>
    <w:rsid w:val="0035270C"/>
    <w:rsid w:val="003533D1"/>
    <w:rsid w:val="003536F6"/>
    <w:rsid w:val="00353AAD"/>
    <w:rsid w:val="003541CF"/>
    <w:rsid w:val="003544D5"/>
    <w:rsid w:val="00354566"/>
    <w:rsid w:val="00354D78"/>
    <w:rsid w:val="00354D79"/>
    <w:rsid w:val="00355691"/>
    <w:rsid w:val="00355E47"/>
    <w:rsid w:val="00356108"/>
    <w:rsid w:val="00356479"/>
    <w:rsid w:val="0035685B"/>
    <w:rsid w:val="003601EA"/>
    <w:rsid w:val="00360F40"/>
    <w:rsid w:val="00361094"/>
    <w:rsid w:val="00361349"/>
    <w:rsid w:val="00361609"/>
    <w:rsid w:val="00361ECE"/>
    <w:rsid w:val="003627A5"/>
    <w:rsid w:val="00362F4F"/>
    <w:rsid w:val="003630F6"/>
    <w:rsid w:val="00363155"/>
    <w:rsid w:val="003646A5"/>
    <w:rsid w:val="00364A99"/>
    <w:rsid w:val="0036564B"/>
    <w:rsid w:val="00365968"/>
    <w:rsid w:val="003675F3"/>
    <w:rsid w:val="00367CB9"/>
    <w:rsid w:val="00370655"/>
    <w:rsid w:val="00370DF1"/>
    <w:rsid w:val="00370FB4"/>
    <w:rsid w:val="00371950"/>
    <w:rsid w:val="00371C08"/>
    <w:rsid w:val="00372E5A"/>
    <w:rsid w:val="0037366B"/>
    <w:rsid w:val="00373CFF"/>
    <w:rsid w:val="00374417"/>
    <w:rsid w:val="00374573"/>
    <w:rsid w:val="00375010"/>
    <w:rsid w:val="003756C3"/>
    <w:rsid w:val="00376520"/>
    <w:rsid w:val="00377B65"/>
    <w:rsid w:val="00381019"/>
    <w:rsid w:val="0038274B"/>
    <w:rsid w:val="0038340E"/>
    <w:rsid w:val="0038457F"/>
    <w:rsid w:val="00384B48"/>
    <w:rsid w:val="0038685F"/>
    <w:rsid w:val="00390456"/>
    <w:rsid w:val="00391A1A"/>
    <w:rsid w:val="00391C71"/>
    <w:rsid w:val="00392CB9"/>
    <w:rsid w:val="00392D06"/>
    <w:rsid w:val="00393EAB"/>
    <w:rsid w:val="0039453B"/>
    <w:rsid w:val="00397ACA"/>
    <w:rsid w:val="003A0C47"/>
    <w:rsid w:val="003A25F7"/>
    <w:rsid w:val="003A2A45"/>
    <w:rsid w:val="003A2B1C"/>
    <w:rsid w:val="003A2C67"/>
    <w:rsid w:val="003A2DAC"/>
    <w:rsid w:val="003A6A06"/>
    <w:rsid w:val="003A7681"/>
    <w:rsid w:val="003A7AC5"/>
    <w:rsid w:val="003B016E"/>
    <w:rsid w:val="003B2A0B"/>
    <w:rsid w:val="003B3A5B"/>
    <w:rsid w:val="003B4CE2"/>
    <w:rsid w:val="003B5514"/>
    <w:rsid w:val="003B6549"/>
    <w:rsid w:val="003B6DC0"/>
    <w:rsid w:val="003B6DD4"/>
    <w:rsid w:val="003B7CFC"/>
    <w:rsid w:val="003C0755"/>
    <w:rsid w:val="003C0E60"/>
    <w:rsid w:val="003C26A5"/>
    <w:rsid w:val="003C30D7"/>
    <w:rsid w:val="003C3C69"/>
    <w:rsid w:val="003C5940"/>
    <w:rsid w:val="003C5EC5"/>
    <w:rsid w:val="003C628A"/>
    <w:rsid w:val="003D10F4"/>
    <w:rsid w:val="003D15F4"/>
    <w:rsid w:val="003D1A66"/>
    <w:rsid w:val="003D2E29"/>
    <w:rsid w:val="003D4119"/>
    <w:rsid w:val="003D434C"/>
    <w:rsid w:val="003D531B"/>
    <w:rsid w:val="003D670C"/>
    <w:rsid w:val="003D7015"/>
    <w:rsid w:val="003E13AD"/>
    <w:rsid w:val="003E1850"/>
    <w:rsid w:val="003E2135"/>
    <w:rsid w:val="003E2579"/>
    <w:rsid w:val="003E5B76"/>
    <w:rsid w:val="003E6BD5"/>
    <w:rsid w:val="003E7A0E"/>
    <w:rsid w:val="003E7BA3"/>
    <w:rsid w:val="003F236F"/>
    <w:rsid w:val="003F3D0C"/>
    <w:rsid w:val="003F5E6B"/>
    <w:rsid w:val="003F6461"/>
    <w:rsid w:val="003F763F"/>
    <w:rsid w:val="004017C8"/>
    <w:rsid w:val="004021D3"/>
    <w:rsid w:val="0040297C"/>
    <w:rsid w:val="00402CE4"/>
    <w:rsid w:val="00404060"/>
    <w:rsid w:val="004046BF"/>
    <w:rsid w:val="004053DD"/>
    <w:rsid w:val="00406AB5"/>
    <w:rsid w:val="00406BCC"/>
    <w:rsid w:val="00407077"/>
    <w:rsid w:val="00407E1F"/>
    <w:rsid w:val="0041060B"/>
    <w:rsid w:val="00410BC7"/>
    <w:rsid w:val="00411CD5"/>
    <w:rsid w:val="00412443"/>
    <w:rsid w:val="00412A16"/>
    <w:rsid w:val="00412F8A"/>
    <w:rsid w:val="0041341E"/>
    <w:rsid w:val="00413BDB"/>
    <w:rsid w:val="0041555E"/>
    <w:rsid w:val="00415D49"/>
    <w:rsid w:val="0041757F"/>
    <w:rsid w:val="00417B14"/>
    <w:rsid w:val="004219C6"/>
    <w:rsid w:val="00422F02"/>
    <w:rsid w:val="00423117"/>
    <w:rsid w:val="0042315E"/>
    <w:rsid w:val="00423451"/>
    <w:rsid w:val="004241A9"/>
    <w:rsid w:val="004248BA"/>
    <w:rsid w:val="004249C2"/>
    <w:rsid w:val="00425C94"/>
    <w:rsid w:val="00425F2D"/>
    <w:rsid w:val="00426253"/>
    <w:rsid w:val="00430947"/>
    <w:rsid w:val="00430D6D"/>
    <w:rsid w:val="00431771"/>
    <w:rsid w:val="00432DF8"/>
    <w:rsid w:val="00432E62"/>
    <w:rsid w:val="00433164"/>
    <w:rsid w:val="00433DB8"/>
    <w:rsid w:val="004343D0"/>
    <w:rsid w:val="004343EC"/>
    <w:rsid w:val="00435D44"/>
    <w:rsid w:val="004362CD"/>
    <w:rsid w:val="00436F6A"/>
    <w:rsid w:val="004379E8"/>
    <w:rsid w:val="00437A99"/>
    <w:rsid w:val="004409AE"/>
    <w:rsid w:val="004429A7"/>
    <w:rsid w:val="0044485A"/>
    <w:rsid w:val="00445BD3"/>
    <w:rsid w:val="00447003"/>
    <w:rsid w:val="004473C8"/>
    <w:rsid w:val="0044747F"/>
    <w:rsid w:val="00447859"/>
    <w:rsid w:val="00452C81"/>
    <w:rsid w:val="00453168"/>
    <w:rsid w:val="0045372C"/>
    <w:rsid w:val="00453DAD"/>
    <w:rsid w:val="00453EFC"/>
    <w:rsid w:val="004549B2"/>
    <w:rsid w:val="0045512B"/>
    <w:rsid w:val="004576D8"/>
    <w:rsid w:val="00457B4D"/>
    <w:rsid w:val="004608A0"/>
    <w:rsid w:val="0046184A"/>
    <w:rsid w:val="00461C75"/>
    <w:rsid w:val="00462145"/>
    <w:rsid w:val="0046500B"/>
    <w:rsid w:val="0046690B"/>
    <w:rsid w:val="00466F53"/>
    <w:rsid w:val="004672EF"/>
    <w:rsid w:val="0046736F"/>
    <w:rsid w:val="004675F0"/>
    <w:rsid w:val="00467690"/>
    <w:rsid w:val="0047121F"/>
    <w:rsid w:val="0047138E"/>
    <w:rsid w:val="004716F5"/>
    <w:rsid w:val="00471D44"/>
    <w:rsid w:val="00471DF1"/>
    <w:rsid w:val="00473A63"/>
    <w:rsid w:val="0047511F"/>
    <w:rsid w:val="00475446"/>
    <w:rsid w:val="004755DE"/>
    <w:rsid w:val="004758DF"/>
    <w:rsid w:val="00475F44"/>
    <w:rsid w:val="00477127"/>
    <w:rsid w:val="00480082"/>
    <w:rsid w:val="00481359"/>
    <w:rsid w:val="0048140B"/>
    <w:rsid w:val="00482577"/>
    <w:rsid w:val="00484892"/>
    <w:rsid w:val="00485C65"/>
    <w:rsid w:val="004868DF"/>
    <w:rsid w:val="004873AB"/>
    <w:rsid w:val="00487FC3"/>
    <w:rsid w:val="00490BA7"/>
    <w:rsid w:val="00495EE4"/>
    <w:rsid w:val="004961C8"/>
    <w:rsid w:val="00497915"/>
    <w:rsid w:val="004A1226"/>
    <w:rsid w:val="004A22DF"/>
    <w:rsid w:val="004A2ABA"/>
    <w:rsid w:val="004A328E"/>
    <w:rsid w:val="004A50D3"/>
    <w:rsid w:val="004A518D"/>
    <w:rsid w:val="004A58E8"/>
    <w:rsid w:val="004A5D74"/>
    <w:rsid w:val="004B022F"/>
    <w:rsid w:val="004B104F"/>
    <w:rsid w:val="004B2C5A"/>
    <w:rsid w:val="004B2D3D"/>
    <w:rsid w:val="004B3BD3"/>
    <w:rsid w:val="004B472E"/>
    <w:rsid w:val="004B4DE9"/>
    <w:rsid w:val="004B7F59"/>
    <w:rsid w:val="004C0B1F"/>
    <w:rsid w:val="004C12C5"/>
    <w:rsid w:val="004C2ABA"/>
    <w:rsid w:val="004C3E62"/>
    <w:rsid w:val="004C4CCB"/>
    <w:rsid w:val="004C5BFC"/>
    <w:rsid w:val="004C5CDA"/>
    <w:rsid w:val="004C672D"/>
    <w:rsid w:val="004C6C68"/>
    <w:rsid w:val="004C7A7C"/>
    <w:rsid w:val="004D037A"/>
    <w:rsid w:val="004D18EA"/>
    <w:rsid w:val="004D1CDB"/>
    <w:rsid w:val="004D1D75"/>
    <w:rsid w:val="004D2A75"/>
    <w:rsid w:val="004D4128"/>
    <w:rsid w:val="004D6D46"/>
    <w:rsid w:val="004D75E7"/>
    <w:rsid w:val="004D7969"/>
    <w:rsid w:val="004E004D"/>
    <w:rsid w:val="004E0FA9"/>
    <w:rsid w:val="004E210E"/>
    <w:rsid w:val="004E2AC4"/>
    <w:rsid w:val="004E3164"/>
    <w:rsid w:val="004E38BB"/>
    <w:rsid w:val="004E3BFA"/>
    <w:rsid w:val="004E5554"/>
    <w:rsid w:val="004E6164"/>
    <w:rsid w:val="004E68A6"/>
    <w:rsid w:val="004E6B87"/>
    <w:rsid w:val="004E6DDA"/>
    <w:rsid w:val="004E719A"/>
    <w:rsid w:val="004F0398"/>
    <w:rsid w:val="004F1937"/>
    <w:rsid w:val="004F316F"/>
    <w:rsid w:val="004F540E"/>
    <w:rsid w:val="004F54A2"/>
    <w:rsid w:val="004F578E"/>
    <w:rsid w:val="004F5ABA"/>
    <w:rsid w:val="004F5D8D"/>
    <w:rsid w:val="004F64C0"/>
    <w:rsid w:val="004F771A"/>
    <w:rsid w:val="004F7E72"/>
    <w:rsid w:val="00500846"/>
    <w:rsid w:val="00500F0D"/>
    <w:rsid w:val="00501864"/>
    <w:rsid w:val="00501CE0"/>
    <w:rsid w:val="00502146"/>
    <w:rsid w:val="005022BB"/>
    <w:rsid w:val="005025D1"/>
    <w:rsid w:val="005029B6"/>
    <w:rsid w:val="00502DC3"/>
    <w:rsid w:val="00507B65"/>
    <w:rsid w:val="00507D1E"/>
    <w:rsid w:val="00510988"/>
    <w:rsid w:val="00510C9F"/>
    <w:rsid w:val="0051319C"/>
    <w:rsid w:val="00514106"/>
    <w:rsid w:val="00514CF9"/>
    <w:rsid w:val="00515F21"/>
    <w:rsid w:val="005168D6"/>
    <w:rsid w:val="00516A2C"/>
    <w:rsid w:val="0051737F"/>
    <w:rsid w:val="005209C8"/>
    <w:rsid w:val="00520FBD"/>
    <w:rsid w:val="0052147B"/>
    <w:rsid w:val="00521855"/>
    <w:rsid w:val="00521D1C"/>
    <w:rsid w:val="00521F0D"/>
    <w:rsid w:val="00523DB4"/>
    <w:rsid w:val="00526125"/>
    <w:rsid w:val="0052634F"/>
    <w:rsid w:val="00527651"/>
    <w:rsid w:val="005278B0"/>
    <w:rsid w:val="00527C35"/>
    <w:rsid w:val="00530D77"/>
    <w:rsid w:val="00531413"/>
    <w:rsid w:val="00533213"/>
    <w:rsid w:val="00533C89"/>
    <w:rsid w:val="00534FCC"/>
    <w:rsid w:val="005351D0"/>
    <w:rsid w:val="00536015"/>
    <w:rsid w:val="0053705B"/>
    <w:rsid w:val="00537AC0"/>
    <w:rsid w:val="00537CE5"/>
    <w:rsid w:val="0054067F"/>
    <w:rsid w:val="005406D7"/>
    <w:rsid w:val="00541A9B"/>
    <w:rsid w:val="00541E82"/>
    <w:rsid w:val="00542672"/>
    <w:rsid w:val="00542B7F"/>
    <w:rsid w:val="00543E10"/>
    <w:rsid w:val="005449E2"/>
    <w:rsid w:val="005452A9"/>
    <w:rsid w:val="00546D13"/>
    <w:rsid w:val="00547ADF"/>
    <w:rsid w:val="00547C05"/>
    <w:rsid w:val="0055025C"/>
    <w:rsid w:val="005507B2"/>
    <w:rsid w:val="00551507"/>
    <w:rsid w:val="005522BB"/>
    <w:rsid w:val="005528F0"/>
    <w:rsid w:val="00553650"/>
    <w:rsid w:val="00553E16"/>
    <w:rsid w:val="00555211"/>
    <w:rsid w:val="005556FC"/>
    <w:rsid w:val="005569FB"/>
    <w:rsid w:val="00557CB4"/>
    <w:rsid w:val="00562EB7"/>
    <w:rsid w:val="00563BA8"/>
    <w:rsid w:val="0056438B"/>
    <w:rsid w:val="00564F62"/>
    <w:rsid w:val="00567D24"/>
    <w:rsid w:val="00567D4B"/>
    <w:rsid w:val="005703EA"/>
    <w:rsid w:val="00571186"/>
    <w:rsid w:val="005719F9"/>
    <w:rsid w:val="00571C57"/>
    <w:rsid w:val="00571D7C"/>
    <w:rsid w:val="00572571"/>
    <w:rsid w:val="00572E32"/>
    <w:rsid w:val="005730EC"/>
    <w:rsid w:val="00574270"/>
    <w:rsid w:val="005749FF"/>
    <w:rsid w:val="00574B71"/>
    <w:rsid w:val="0057502A"/>
    <w:rsid w:val="00575302"/>
    <w:rsid w:val="005758A1"/>
    <w:rsid w:val="00576164"/>
    <w:rsid w:val="0058265A"/>
    <w:rsid w:val="00582807"/>
    <w:rsid w:val="00582C44"/>
    <w:rsid w:val="00582D62"/>
    <w:rsid w:val="00584586"/>
    <w:rsid w:val="00585F85"/>
    <w:rsid w:val="005864F9"/>
    <w:rsid w:val="00591C1D"/>
    <w:rsid w:val="005922E2"/>
    <w:rsid w:val="00593433"/>
    <w:rsid w:val="00593E67"/>
    <w:rsid w:val="00594ED3"/>
    <w:rsid w:val="00594EF6"/>
    <w:rsid w:val="00595877"/>
    <w:rsid w:val="005958B3"/>
    <w:rsid w:val="00596B09"/>
    <w:rsid w:val="00597FC8"/>
    <w:rsid w:val="005A065A"/>
    <w:rsid w:val="005A10EE"/>
    <w:rsid w:val="005A19A7"/>
    <w:rsid w:val="005A1C64"/>
    <w:rsid w:val="005A2BB0"/>
    <w:rsid w:val="005A2FAA"/>
    <w:rsid w:val="005A312C"/>
    <w:rsid w:val="005A36ED"/>
    <w:rsid w:val="005A3AB0"/>
    <w:rsid w:val="005A3FC3"/>
    <w:rsid w:val="005A43CE"/>
    <w:rsid w:val="005A479E"/>
    <w:rsid w:val="005A70D1"/>
    <w:rsid w:val="005A7D30"/>
    <w:rsid w:val="005B1434"/>
    <w:rsid w:val="005B179F"/>
    <w:rsid w:val="005B29FE"/>
    <w:rsid w:val="005B510D"/>
    <w:rsid w:val="005C0256"/>
    <w:rsid w:val="005C047C"/>
    <w:rsid w:val="005C0999"/>
    <w:rsid w:val="005C17CE"/>
    <w:rsid w:val="005C1B5D"/>
    <w:rsid w:val="005C242E"/>
    <w:rsid w:val="005C25DD"/>
    <w:rsid w:val="005C4209"/>
    <w:rsid w:val="005C43FE"/>
    <w:rsid w:val="005C61D0"/>
    <w:rsid w:val="005C63DE"/>
    <w:rsid w:val="005C645E"/>
    <w:rsid w:val="005C6900"/>
    <w:rsid w:val="005C76F0"/>
    <w:rsid w:val="005D093D"/>
    <w:rsid w:val="005D0F66"/>
    <w:rsid w:val="005D1EE6"/>
    <w:rsid w:val="005D57F9"/>
    <w:rsid w:val="005D5E1D"/>
    <w:rsid w:val="005E0792"/>
    <w:rsid w:val="005E0820"/>
    <w:rsid w:val="005E1825"/>
    <w:rsid w:val="005E2615"/>
    <w:rsid w:val="005E320E"/>
    <w:rsid w:val="005E343C"/>
    <w:rsid w:val="005E4761"/>
    <w:rsid w:val="005E4C79"/>
    <w:rsid w:val="005E608C"/>
    <w:rsid w:val="005E739D"/>
    <w:rsid w:val="005F0BC4"/>
    <w:rsid w:val="005F2AF5"/>
    <w:rsid w:val="005F2E08"/>
    <w:rsid w:val="005F463D"/>
    <w:rsid w:val="005F53FC"/>
    <w:rsid w:val="005F57ED"/>
    <w:rsid w:val="005F730D"/>
    <w:rsid w:val="00601CB0"/>
    <w:rsid w:val="00602EA8"/>
    <w:rsid w:val="00604660"/>
    <w:rsid w:val="00604D74"/>
    <w:rsid w:val="00604FB6"/>
    <w:rsid w:val="00605070"/>
    <w:rsid w:val="00606184"/>
    <w:rsid w:val="00607EF7"/>
    <w:rsid w:val="006109DF"/>
    <w:rsid w:val="00611C91"/>
    <w:rsid w:val="0061220F"/>
    <w:rsid w:val="006139CE"/>
    <w:rsid w:val="0061541E"/>
    <w:rsid w:val="00615D1D"/>
    <w:rsid w:val="006160C7"/>
    <w:rsid w:val="00617A3E"/>
    <w:rsid w:val="00617C9A"/>
    <w:rsid w:val="00620395"/>
    <w:rsid w:val="0062087E"/>
    <w:rsid w:val="00620FB4"/>
    <w:rsid w:val="00621CC3"/>
    <w:rsid w:val="006220DC"/>
    <w:rsid w:val="00622CCB"/>
    <w:rsid w:val="00622DCA"/>
    <w:rsid w:val="006236A0"/>
    <w:rsid w:val="00624862"/>
    <w:rsid w:val="00624A47"/>
    <w:rsid w:val="00625243"/>
    <w:rsid w:val="006258A0"/>
    <w:rsid w:val="00625DAE"/>
    <w:rsid w:val="00626F7E"/>
    <w:rsid w:val="00626FE5"/>
    <w:rsid w:val="00631323"/>
    <w:rsid w:val="0063171D"/>
    <w:rsid w:val="00632AC4"/>
    <w:rsid w:val="006333B6"/>
    <w:rsid w:val="006368BE"/>
    <w:rsid w:val="00636CC9"/>
    <w:rsid w:val="00642C3E"/>
    <w:rsid w:val="00643104"/>
    <w:rsid w:val="006435A5"/>
    <w:rsid w:val="006437E6"/>
    <w:rsid w:val="00643A95"/>
    <w:rsid w:val="00643CE7"/>
    <w:rsid w:val="00643FC2"/>
    <w:rsid w:val="00644BF4"/>
    <w:rsid w:val="00644CDE"/>
    <w:rsid w:val="0064501F"/>
    <w:rsid w:val="00646EFF"/>
    <w:rsid w:val="00647B72"/>
    <w:rsid w:val="00650ACB"/>
    <w:rsid w:val="00650FC4"/>
    <w:rsid w:val="00651D21"/>
    <w:rsid w:val="00652D38"/>
    <w:rsid w:val="006541AE"/>
    <w:rsid w:val="00654AB7"/>
    <w:rsid w:val="006554EA"/>
    <w:rsid w:val="00657909"/>
    <w:rsid w:val="00661250"/>
    <w:rsid w:val="006615A8"/>
    <w:rsid w:val="00663493"/>
    <w:rsid w:val="006634A6"/>
    <w:rsid w:val="00665209"/>
    <w:rsid w:val="00666A07"/>
    <w:rsid w:val="006701B9"/>
    <w:rsid w:val="00670673"/>
    <w:rsid w:val="0067291B"/>
    <w:rsid w:val="0067373B"/>
    <w:rsid w:val="006747CF"/>
    <w:rsid w:val="00674C99"/>
    <w:rsid w:val="006752C3"/>
    <w:rsid w:val="0067592C"/>
    <w:rsid w:val="00675B0D"/>
    <w:rsid w:val="00676AE1"/>
    <w:rsid w:val="006777E3"/>
    <w:rsid w:val="0068013C"/>
    <w:rsid w:val="00680976"/>
    <w:rsid w:val="0068230B"/>
    <w:rsid w:val="00683074"/>
    <w:rsid w:val="00683CD0"/>
    <w:rsid w:val="006847BC"/>
    <w:rsid w:val="00685853"/>
    <w:rsid w:val="006858C0"/>
    <w:rsid w:val="00685DD1"/>
    <w:rsid w:val="0068613E"/>
    <w:rsid w:val="006873F8"/>
    <w:rsid w:val="00687B78"/>
    <w:rsid w:val="0069022E"/>
    <w:rsid w:val="00690894"/>
    <w:rsid w:val="0069191C"/>
    <w:rsid w:val="00691CFE"/>
    <w:rsid w:val="006931DD"/>
    <w:rsid w:val="00695623"/>
    <w:rsid w:val="006960C9"/>
    <w:rsid w:val="00697DC3"/>
    <w:rsid w:val="006A0F96"/>
    <w:rsid w:val="006A2CC6"/>
    <w:rsid w:val="006A3723"/>
    <w:rsid w:val="006A3927"/>
    <w:rsid w:val="006A5761"/>
    <w:rsid w:val="006A6F93"/>
    <w:rsid w:val="006B0680"/>
    <w:rsid w:val="006B2002"/>
    <w:rsid w:val="006B23E9"/>
    <w:rsid w:val="006B3415"/>
    <w:rsid w:val="006B3D3A"/>
    <w:rsid w:val="006B568A"/>
    <w:rsid w:val="006B5D49"/>
    <w:rsid w:val="006B5D83"/>
    <w:rsid w:val="006B5F96"/>
    <w:rsid w:val="006B66A6"/>
    <w:rsid w:val="006B66D4"/>
    <w:rsid w:val="006B6D31"/>
    <w:rsid w:val="006B795C"/>
    <w:rsid w:val="006C1DA8"/>
    <w:rsid w:val="006C3301"/>
    <w:rsid w:val="006C3326"/>
    <w:rsid w:val="006C4F0B"/>
    <w:rsid w:val="006C5632"/>
    <w:rsid w:val="006C7437"/>
    <w:rsid w:val="006D2C52"/>
    <w:rsid w:val="006D3B00"/>
    <w:rsid w:val="006D53CD"/>
    <w:rsid w:val="006D5B15"/>
    <w:rsid w:val="006D6294"/>
    <w:rsid w:val="006D6B7C"/>
    <w:rsid w:val="006D70E5"/>
    <w:rsid w:val="006E0210"/>
    <w:rsid w:val="006E1897"/>
    <w:rsid w:val="006E360A"/>
    <w:rsid w:val="006E4670"/>
    <w:rsid w:val="006E4742"/>
    <w:rsid w:val="006E4B76"/>
    <w:rsid w:val="006E4F54"/>
    <w:rsid w:val="006E5DE5"/>
    <w:rsid w:val="006E64D4"/>
    <w:rsid w:val="006E76EA"/>
    <w:rsid w:val="006E7F72"/>
    <w:rsid w:val="006F1356"/>
    <w:rsid w:val="006F18EC"/>
    <w:rsid w:val="006F1B2F"/>
    <w:rsid w:val="006F2148"/>
    <w:rsid w:val="006F2B17"/>
    <w:rsid w:val="006F3785"/>
    <w:rsid w:val="006F3960"/>
    <w:rsid w:val="006F4A42"/>
    <w:rsid w:val="006F5F24"/>
    <w:rsid w:val="006F6F8A"/>
    <w:rsid w:val="006F7AFD"/>
    <w:rsid w:val="006F7BB8"/>
    <w:rsid w:val="007032C0"/>
    <w:rsid w:val="0070494E"/>
    <w:rsid w:val="00705691"/>
    <w:rsid w:val="0070591B"/>
    <w:rsid w:val="00705E26"/>
    <w:rsid w:val="007066A0"/>
    <w:rsid w:val="00706798"/>
    <w:rsid w:val="00706A20"/>
    <w:rsid w:val="00707437"/>
    <w:rsid w:val="00707586"/>
    <w:rsid w:val="00707B46"/>
    <w:rsid w:val="00710272"/>
    <w:rsid w:val="007136CD"/>
    <w:rsid w:val="0071394A"/>
    <w:rsid w:val="00713C84"/>
    <w:rsid w:val="00713E14"/>
    <w:rsid w:val="0071455E"/>
    <w:rsid w:val="00715897"/>
    <w:rsid w:val="00715C89"/>
    <w:rsid w:val="00717C10"/>
    <w:rsid w:val="00717ECC"/>
    <w:rsid w:val="0072198D"/>
    <w:rsid w:val="0072380B"/>
    <w:rsid w:val="007238C2"/>
    <w:rsid w:val="00724A6F"/>
    <w:rsid w:val="00725475"/>
    <w:rsid w:val="007259A5"/>
    <w:rsid w:val="007306B8"/>
    <w:rsid w:val="00730A92"/>
    <w:rsid w:val="00732EEC"/>
    <w:rsid w:val="00733395"/>
    <w:rsid w:val="007339CC"/>
    <w:rsid w:val="007346A4"/>
    <w:rsid w:val="00735742"/>
    <w:rsid w:val="00735B18"/>
    <w:rsid w:val="00736658"/>
    <w:rsid w:val="00736FE4"/>
    <w:rsid w:val="00737E0C"/>
    <w:rsid w:val="0074031A"/>
    <w:rsid w:val="00741057"/>
    <w:rsid w:val="00742409"/>
    <w:rsid w:val="00742D14"/>
    <w:rsid w:val="007431B9"/>
    <w:rsid w:val="00744187"/>
    <w:rsid w:val="00744364"/>
    <w:rsid w:val="00744C41"/>
    <w:rsid w:val="007451EE"/>
    <w:rsid w:val="0074665A"/>
    <w:rsid w:val="00746A21"/>
    <w:rsid w:val="00746F48"/>
    <w:rsid w:val="00747533"/>
    <w:rsid w:val="0075084D"/>
    <w:rsid w:val="0075203F"/>
    <w:rsid w:val="00752581"/>
    <w:rsid w:val="00752845"/>
    <w:rsid w:val="007528B4"/>
    <w:rsid w:val="00752DC7"/>
    <w:rsid w:val="00753F39"/>
    <w:rsid w:val="0075448E"/>
    <w:rsid w:val="00754985"/>
    <w:rsid w:val="00754C69"/>
    <w:rsid w:val="007550DD"/>
    <w:rsid w:val="00756C6B"/>
    <w:rsid w:val="00756F5F"/>
    <w:rsid w:val="007574AB"/>
    <w:rsid w:val="007579AA"/>
    <w:rsid w:val="00761E37"/>
    <w:rsid w:val="007624AA"/>
    <w:rsid w:val="00762C2C"/>
    <w:rsid w:val="00762DFF"/>
    <w:rsid w:val="00764089"/>
    <w:rsid w:val="00765630"/>
    <w:rsid w:val="00765906"/>
    <w:rsid w:val="00770345"/>
    <w:rsid w:val="00772055"/>
    <w:rsid w:val="00772EB8"/>
    <w:rsid w:val="00773744"/>
    <w:rsid w:val="00773F01"/>
    <w:rsid w:val="0077717D"/>
    <w:rsid w:val="007772FA"/>
    <w:rsid w:val="007804AE"/>
    <w:rsid w:val="00780C19"/>
    <w:rsid w:val="007817D3"/>
    <w:rsid w:val="00781AB2"/>
    <w:rsid w:val="00781E79"/>
    <w:rsid w:val="00783C96"/>
    <w:rsid w:val="0078508E"/>
    <w:rsid w:val="00785E64"/>
    <w:rsid w:val="0078747F"/>
    <w:rsid w:val="007921CF"/>
    <w:rsid w:val="00792860"/>
    <w:rsid w:val="00792909"/>
    <w:rsid w:val="00793925"/>
    <w:rsid w:val="007940CA"/>
    <w:rsid w:val="00794CD3"/>
    <w:rsid w:val="0079581F"/>
    <w:rsid w:val="007A022E"/>
    <w:rsid w:val="007A0A04"/>
    <w:rsid w:val="007A0B54"/>
    <w:rsid w:val="007A2A83"/>
    <w:rsid w:val="007A2DF4"/>
    <w:rsid w:val="007A5CE2"/>
    <w:rsid w:val="007A7B7B"/>
    <w:rsid w:val="007A7CC4"/>
    <w:rsid w:val="007B0836"/>
    <w:rsid w:val="007B1AE5"/>
    <w:rsid w:val="007B1C44"/>
    <w:rsid w:val="007B6AF7"/>
    <w:rsid w:val="007C10DA"/>
    <w:rsid w:val="007C1482"/>
    <w:rsid w:val="007C260D"/>
    <w:rsid w:val="007C2DE2"/>
    <w:rsid w:val="007C357D"/>
    <w:rsid w:val="007C38E5"/>
    <w:rsid w:val="007C4E22"/>
    <w:rsid w:val="007D1A3F"/>
    <w:rsid w:val="007D307B"/>
    <w:rsid w:val="007D31B7"/>
    <w:rsid w:val="007D38DF"/>
    <w:rsid w:val="007D3A82"/>
    <w:rsid w:val="007D3FF2"/>
    <w:rsid w:val="007D539E"/>
    <w:rsid w:val="007D6DAE"/>
    <w:rsid w:val="007E0F18"/>
    <w:rsid w:val="007E29F8"/>
    <w:rsid w:val="007E2AF1"/>
    <w:rsid w:val="007E489B"/>
    <w:rsid w:val="007E7F17"/>
    <w:rsid w:val="007F047E"/>
    <w:rsid w:val="007F2843"/>
    <w:rsid w:val="007F31E7"/>
    <w:rsid w:val="007F34B6"/>
    <w:rsid w:val="007F3717"/>
    <w:rsid w:val="007F386F"/>
    <w:rsid w:val="007F41D0"/>
    <w:rsid w:val="007F4F4B"/>
    <w:rsid w:val="007F543B"/>
    <w:rsid w:val="007F58CA"/>
    <w:rsid w:val="007F6E50"/>
    <w:rsid w:val="007F7831"/>
    <w:rsid w:val="007FD8C9"/>
    <w:rsid w:val="008000CD"/>
    <w:rsid w:val="00800726"/>
    <w:rsid w:val="00800959"/>
    <w:rsid w:val="00800A7A"/>
    <w:rsid w:val="00800CD3"/>
    <w:rsid w:val="00800E94"/>
    <w:rsid w:val="008012CC"/>
    <w:rsid w:val="008017A6"/>
    <w:rsid w:val="008017C8"/>
    <w:rsid w:val="00801C8D"/>
    <w:rsid w:val="00801DCF"/>
    <w:rsid w:val="008021F8"/>
    <w:rsid w:val="0080291F"/>
    <w:rsid w:val="00802B9C"/>
    <w:rsid w:val="0080421B"/>
    <w:rsid w:val="00805530"/>
    <w:rsid w:val="00805814"/>
    <w:rsid w:val="00805831"/>
    <w:rsid w:val="008058D6"/>
    <w:rsid w:val="00805CDE"/>
    <w:rsid w:val="00805D31"/>
    <w:rsid w:val="00806041"/>
    <w:rsid w:val="00806C72"/>
    <w:rsid w:val="00810011"/>
    <w:rsid w:val="00811DD3"/>
    <w:rsid w:val="00813F52"/>
    <w:rsid w:val="00814446"/>
    <w:rsid w:val="00814E04"/>
    <w:rsid w:val="00814F52"/>
    <w:rsid w:val="0081574A"/>
    <w:rsid w:val="008200B0"/>
    <w:rsid w:val="00821916"/>
    <w:rsid w:val="008236DD"/>
    <w:rsid w:val="008260E7"/>
    <w:rsid w:val="008274B2"/>
    <w:rsid w:val="0083196D"/>
    <w:rsid w:val="00831F60"/>
    <w:rsid w:val="008333C9"/>
    <w:rsid w:val="00834E0D"/>
    <w:rsid w:val="00835544"/>
    <w:rsid w:val="00835C3A"/>
    <w:rsid w:val="008368C6"/>
    <w:rsid w:val="00842929"/>
    <w:rsid w:val="0084319D"/>
    <w:rsid w:val="00843778"/>
    <w:rsid w:val="00843BBA"/>
    <w:rsid w:val="008452F7"/>
    <w:rsid w:val="00846597"/>
    <w:rsid w:val="00847B8A"/>
    <w:rsid w:val="0085234A"/>
    <w:rsid w:val="00852871"/>
    <w:rsid w:val="00853D7F"/>
    <w:rsid w:val="008551EF"/>
    <w:rsid w:val="0086131C"/>
    <w:rsid w:val="00861F76"/>
    <w:rsid w:val="008622A8"/>
    <w:rsid w:val="0086283E"/>
    <w:rsid w:val="008631CE"/>
    <w:rsid w:val="00863B61"/>
    <w:rsid w:val="008643E5"/>
    <w:rsid w:val="00864B9F"/>
    <w:rsid w:val="00864D5A"/>
    <w:rsid w:val="00865AC7"/>
    <w:rsid w:val="00866558"/>
    <w:rsid w:val="00866C0A"/>
    <w:rsid w:val="00866C7F"/>
    <w:rsid w:val="00867A30"/>
    <w:rsid w:val="00867B62"/>
    <w:rsid w:val="00867F1D"/>
    <w:rsid w:val="00870044"/>
    <w:rsid w:val="00870453"/>
    <w:rsid w:val="00870E4C"/>
    <w:rsid w:val="0087245C"/>
    <w:rsid w:val="00874F26"/>
    <w:rsid w:val="008768C6"/>
    <w:rsid w:val="00876F08"/>
    <w:rsid w:val="008800A0"/>
    <w:rsid w:val="0088020A"/>
    <w:rsid w:val="008802DF"/>
    <w:rsid w:val="00880989"/>
    <w:rsid w:val="00881FEC"/>
    <w:rsid w:val="0088209E"/>
    <w:rsid w:val="008825B9"/>
    <w:rsid w:val="00882AA6"/>
    <w:rsid w:val="0088350A"/>
    <w:rsid w:val="0088528A"/>
    <w:rsid w:val="00887C45"/>
    <w:rsid w:val="0089172C"/>
    <w:rsid w:val="008921E1"/>
    <w:rsid w:val="008930D1"/>
    <w:rsid w:val="00893718"/>
    <w:rsid w:val="008941C0"/>
    <w:rsid w:val="00894203"/>
    <w:rsid w:val="00894F48"/>
    <w:rsid w:val="008952BE"/>
    <w:rsid w:val="00895C4D"/>
    <w:rsid w:val="00897182"/>
    <w:rsid w:val="008A065B"/>
    <w:rsid w:val="008A090D"/>
    <w:rsid w:val="008A2609"/>
    <w:rsid w:val="008A2669"/>
    <w:rsid w:val="008A2BFE"/>
    <w:rsid w:val="008A2E30"/>
    <w:rsid w:val="008A5AB3"/>
    <w:rsid w:val="008A7E1D"/>
    <w:rsid w:val="008B04E9"/>
    <w:rsid w:val="008B06EF"/>
    <w:rsid w:val="008B0B6B"/>
    <w:rsid w:val="008B1605"/>
    <w:rsid w:val="008B269E"/>
    <w:rsid w:val="008B4541"/>
    <w:rsid w:val="008B466A"/>
    <w:rsid w:val="008B50B7"/>
    <w:rsid w:val="008B5518"/>
    <w:rsid w:val="008B62D8"/>
    <w:rsid w:val="008B7FE5"/>
    <w:rsid w:val="008C1010"/>
    <w:rsid w:val="008C3082"/>
    <w:rsid w:val="008C31A4"/>
    <w:rsid w:val="008C3336"/>
    <w:rsid w:val="008C3D10"/>
    <w:rsid w:val="008C5AB7"/>
    <w:rsid w:val="008C6876"/>
    <w:rsid w:val="008C6D0A"/>
    <w:rsid w:val="008C721F"/>
    <w:rsid w:val="008C73EC"/>
    <w:rsid w:val="008D1A5B"/>
    <w:rsid w:val="008D22F8"/>
    <w:rsid w:val="008D23A3"/>
    <w:rsid w:val="008D330E"/>
    <w:rsid w:val="008D365A"/>
    <w:rsid w:val="008D4044"/>
    <w:rsid w:val="008D409F"/>
    <w:rsid w:val="008D4803"/>
    <w:rsid w:val="008D7D28"/>
    <w:rsid w:val="008E14CE"/>
    <w:rsid w:val="008E288E"/>
    <w:rsid w:val="008E313A"/>
    <w:rsid w:val="008E7740"/>
    <w:rsid w:val="008F119A"/>
    <w:rsid w:val="008F2253"/>
    <w:rsid w:val="008F24E8"/>
    <w:rsid w:val="008F2CD5"/>
    <w:rsid w:val="008F302A"/>
    <w:rsid w:val="008F34A7"/>
    <w:rsid w:val="008F4BDB"/>
    <w:rsid w:val="008F515C"/>
    <w:rsid w:val="008F5551"/>
    <w:rsid w:val="008F5A2A"/>
    <w:rsid w:val="008F60F4"/>
    <w:rsid w:val="008F6E1B"/>
    <w:rsid w:val="00901764"/>
    <w:rsid w:val="00902436"/>
    <w:rsid w:val="0090263E"/>
    <w:rsid w:val="00902E04"/>
    <w:rsid w:val="00903F4E"/>
    <w:rsid w:val="0090446C"/>
    <w:rsid w:val="009044DB"/>
    <w:rsid w:val="009045BA"/>
    <w:rsid w:val="00907385"/>
    <w:rsid w:val="0091061B"/>
    <w:rsid w:val="00910DA7"/>
    <w:rsid w:val="00912B67"/>
    <w:rsid w:val="009136CA"/>
    <w:rsid w:val="00913801"/>
    <w:rsid w:val="00913D80"/>
    <w:rsid w:val="00921F1D"/>
    <w:rsid w:val="009244CA"/>
    <w:rsid w:val="00925B13"/>
    <w:rsid w:val="00925BB0"/>
    <w:rsid w:val="009275BC"/>
    <w:rsid w:val="009276B1"/>
    <w:rsid w:val="009316F0"/>
    <w:rsid w:val="00931A74"/>
    <w:rsid w:val="0093292B"/>
    <w:rsid w:val="00933D22"/>
    <w:rsid w:val="00934CFA"/>
    <w:rsid w:val="00935420"/>
    <w:rsid w:val="009361F9"/>
    <w:rsid w:val="009363DD"/>
    <w:rsid w:val="00937834"/>
    <w:rsid w:val="00937B6F"/>
    <w:rsid w:val="0094007E"/>
    <w:rsid w:val="0094015A"/>
    <w:rsid w:val="00940470"/>
    <w:rsid w:val="009418C9"/>
    <w:rsid w:val="009427FF"/>
    <w:rsid w:val="009429A5"/>
    <w:rsid w:val="00942C85"/>
    <w:rsid w:val="009434F6"/>
    <w:rsid w:val="00944F3F"/>
    <w:rsid w:val="00945984"/>
    <w:rsid w:val="009461E1"/>
    <w:rsid w:val="00947C28"/>
    <w:rsid w:val="00950038"/>
    <w:rsid w:val="009507B5"/>
    <w:rsid w:val="00951504"/>
    <w:rsid w:val="00952C96"/>
    <w:rsid w:val="00954282"/>
    <w:rsid w:val="0095458B"/>
    <w:rsid w:val="009548FF"/>
    <w:rsid w:val="00955EA2"/>
    <w:rsid w:val="00956F0B"/>
    <w:rsid w:val="0095780E"/>
    <w:rsid w:val="00957FB0"/>
    <w:rsid w:val="009601C8"/>
    <w:rsid w:val="00960594"/>
    <w:rsid w:val="00960B8C"/>
    <w:rsid w:val="0096125D"/>
    <w:rsid w:val="00962B5C"/>
    <w:rsid w:val="0096372E"/>
    <w:rsid w:val="00963739"/>
    <w:rsid w:val="00963777"/>
    <w:rsid w:val="00963925"/>
    <w:rsid w:val="00963E08"/>
    <w:rsid w:val="00966528"/>
    <w:rsid w:val="0096652A"/>
    <w:rsid w:val="00966816"/>
    <w:rsid w:val="00967241"/>
    <w:rsid w:val="0096727B"/>
    <w:rsid w:val="00967EB6"/>
    <w:rsid w:val="0097016E"/>
    <w:rsid w:val="0097064A"/>
    <w:rsid w:val="0097119E"/>
    <w:rsid w:val="00972024"/>
    <w:rsid w:val="009723B3"/>
    <w:rsid w:val="009723F9"/>
    <w:rsid w:val="00972F7A"/>
    <w:rsid w:val="0097319B"/>
    <w:rsid w:val="00974B9D"/>
    <w:rsid w:val="00975076"/>
    <w:rsid w:val="009775B7"/>
    <w:rsid w:val="00977938"/>
    <w:rsid w:val="009803CF"/>
    <w:rsid w:val="009804EE"/>
    <w:rsid w:val="0098125F"/>
    <w:rsid w:val="00981B95"/>
    <w:rsid w:val="00982446"/>
    <w:rsid w:val="009833EF"/>
    <w:rsid w:val="00983481"/>
    <w:rsid w:val="009846C6"/>
    <w:rsid w:val="0098572D"/>
    <w:rsid w:val="00985AAB"/>
    <w:rsid w:val="009920E8"/>
    <w:rsid w:val="00992C7E"/>
    <w:rsid w:val="00993603"/>
    <w:rsid w:val="00993C92"/>
    <w:rsid w:val="00995365"/>
    <w:rsid w:val="00995F7E"/>
    <w:rsid w:val="00996617"/>
    <w:rsid w:val="009969FC"/>
    <w:rsid w:val="00996DD3"/>
    <w:rsid w:val="009971AE"/>
    <w:rsid w:val="00997E25"/>
    <w:rsid w:val="009A0F1C"/>
    <w:rsid w:val="009A1044"/>
    <w:rsid w:val="009A1D33"/>
    <w:rsid w:val="009A2190"/>
    <w:rsid w:val="009A3122"/>
    <w:rsid w:val="009A3C34"/>
    <w:rsid w:val="009A4736"/>
    <w:rsid w:val="009A4DFE"/>
    <w:rsid w:val="009A537B"/>
    <w:rsid w:val="009A6216"/>
    <w:rsid w:val="009A655B"/>
    <w:rsid w:val="009A69A7"/>
    <w:rsid w:val="009A74A9"/>
    <w:rsid w:val="009A74C3"/>
    <w:rsid w:val="009B105E"/>
    <w:rsid w:val="009B15FD"/>
    <w:rsid w:val="009B265F"/>
    <w:rsid w:val="009B3E66"/>
    <w:rsid w:val="009B4051"/>
    <w:rsid w:val="009B6980"/>
    <w:rsid w:val="009B742D"/>
    <w:rsid w:val="009C0784"/>
    <w:rsid w:val="009C0A47"/>
    <w:rsid w:val="009C18F8"/>
    <w:rsid w:val="009C236C"/>
    <w:rsid w:val="009C3769"/>
    <w:rsid w:val="009C39E9"/>
    <w:rsid w:val="009C3C36"/>
    <w:rsid w:val="009C4167"/>
    <w:rsid w:val="009C4A7B"/>
    <w:rsid w:val="009D166C"/>
    <w:rsid w:val="009D1AF7"/>
    <w:rsid w:val="009D323D"/>
    <w:rsid w:val="009D34B0"/>
    <w:rsid w:val="009D3571"/>
    <w:rsid w:val="009D3A54"/>
    <w:rsid w:val="009D5321"/>
    <w:rsid w:val="009D646B"/>
    <w:rsid w:val="009D674F"/>
    <w:rsid w:val="009D78DA"/>
    <w:rsid w:val="009E1BAA"/>
    <w:rsid w:val="009E21D2"/>
    <w:rsid w:val="009E2335"/>
    <w:rsid w:val="009E2AD4"/>
    <w:rsid w:val="009E30CF"/>
    <w:rsid w:val="009E323F"/>
    <w:rsid w:val="009E3799"/>
    <w:rsid w:val="009E417C"/>
    <w:rsid w:val="009E492A"/>
    <w:rsid w:val="009E50D5"/>
    <w:rsid w:val="009E57C4"/>
    <w:rsid w:val="009E6291"/>
    <w:rsid w:val="009E64B9"/>
    <w:rsid w:val="009E681A"/>
    <w:rsid w:val="009E747A"/>
    <w:rsid w:val="009F0651"/>
    <w:rsid w:val="009F0714"/>
    <w:rsid w:val="009F2EF1"/>
    <w:rsid w:val="009F4846"/>
    <w:rsid w:val="009F54DF"/>
    <w:rsid w:val="009F5EE3"/>
    <w:rsid w:val="00A01699"/>
    <w:rsid w:val="00A016FE"/>
    <w:rsid w:val="00A02232"/>
    <w:rsid w:val="00A027C4"/>
    <w:rsid w:val="00A032BC"/>
    <w:rsid w:val="00A0336A"/>
    <w:rsid w:val="00A03A2F"/>
    <w:rsid w:val="00A03FF1"/>
    <w:rsid w:val="00A055A8"/>
    <w:rsid w:val="00A069F3"/>
    <w:rsid w:val="00A06CA7"/>
    <w:rsid w:val="00A06CCB"/>
    <w:rsid w:val="00A10478"/>
    <w:rsid w:val="00A12326"/>
    <w:rsid w:val="00A12953"/>
    <w:rsid w:val="00A14BA8"/>
    <w:rsid w:val="00A14D3C"/>
    <w:rsid w:val="00A15775"/>
    <w:rsid w:val="00A20B4F"/>
    <w:rsid w:val="00A2198F"/>
    <w:rsid w:val="00A244F6"/>
    <w:rsid w:val="00A2536A"/>
    <w:rsid w:val="00A25F64"/>
    <w:rsid w:val="00A25FA6"/>
    <w:rsid w:val="00A2662F"/>
    <w:rsid w:val="00A27024"/>
    <w:rsid w:val="00A273E2"/>
    <w:rsid w:val="00A2795B"/>
    <w:rsid w:val="00A27FF5"/>
    <w:rsid w:val="00A3034D"/>
    <w:rsid w:val="00A30AF0"/>
    <w:rsid w:val="00A31BE9"/>
    <w:rsid w:val="00A3315D"/>
    <w:rsid w:val="00A337F4"/>
    <w:rsid w:val="00A35B0B"/>
    <w:rsid w:val="00A36476"/>
    <w:rsid w:val="00A373C3"/>
    <w:rsid w:val="00A3757F"/>
    <w:rsid w:val="00A375CC"/>
    <w:rsid w:val="00A37A19"/>
    <w:rsid w:val="00A37DB9"/>
    <w:rsid w:val="00A37F4E"/>
    <w:rsid w:val="00A40976"/>
    <w:rsid w:val="00A40ADD"/>
    <w:rsid w:val="00A40EB9"/>
    <w:rsid w:val="00A429D4"/>
    <w:rsid w:val="00A4366E"/>
    <w:rsid w:val="00A458DC"/>
    <w:rsid w:val="00A45CD5"/>
    <w:rsid w:val="00A4673A"/>
    <w:rsid w:val="00A51B18"/>
    <w:rsid w:val="00A524FD"/>
    <w:rsid w:val="00A52A78"/>
    <w:rsid w:val="00A538A3"/>
    <w:rsid w:val="00A54977"/>
    <w:rsid w:val="00A54B0C"/>
    <w:rsid w:val="00A562F7"/>
    <w:rsid w:val="00A569BE"/>
    <w:rsid w:val="00A574B5"/>
    <w:rsid w:val="00A57512"/>
    <w:rsid w:val="00A57B51"/>
    <w:rsid w:val="00A62422"/>
    <w:rsid w:val="00A62606"/>
    <w:rsid w:val="00A64152"/>
    <w:rsid w:val="00A66755"/>
    <w:rsid w:val="00A703B2"/>
    <w:rsid w:val="00A71346"/>
    <w:rsid w:val="00A72E55"/>
    <w:rsid w:val="00A73F3E"/>
    <w:rsid w:val="00A7711B"/>
    <w:rsid w:val="00A77790"/>
    <w:rsid w:val="00A777BE"/>
    <w:rsid w:val="00A8027B"/>
    <w:rsid w:val="00A814B3"/>
    <w:rsid w:val="00A81AF1"/>
    <w:rsid w:val="00A834F2"/>
    <w:rsid w:val="00A83EA7"/>
    <w:rsid w:val="00A84A1D"/>
    <w:rsid w:val="00A84B4C"/>
    <w:rsid w:val="00A84EA4"/>
    <w:rsid w:val="00A85215"/>
    <w:rsid w:val="00A85E8D"/>
    <w:rsid w:val="00A860EF"/>
    <w:rsid w:val="00A86DF1"/>
    <w:rsid w:val="00A903A5"/>
    <w:rsid w:val="00A91493"/>
    <w:rsid w:val="00A925E9"/>
    <w:rsid w:val="00A940C2"/>
    <w:rsid w:val="00A953A8"/>
    <w:rsid w:val="00A9548F"/>
    <w:rsid w:val="00A96142"/>
    <w:rsid w:val="00A96A83"/>
    <w:rsid w:val="00A97518"/>
    <w:rsid w:val="00AA1A68"/>
    <w:rsid w:val="00AA23D6"/>
    <w:rsid w:val="00AA3570"/>
    <w:rsid w:val="00AA4FF0"/>
    <w:rsid w:val="00AA6D62"/>
    <w:rsid w:val="00AA7C4B"/>
    <w:rsid w:val="00AB0296"/>
    <w:rsid w:val="00AB09F8"/>
    <w:rsid w:val="00AB0ED0"/>
    <w:rsid w:val="00AB18B1"/>
    <w:rsid w:val="00AB1D4E"/>
    <w:rsid w:val="00AB2908"/>
    <w:rsid w:val="00AB2AE4"/>
    <w:rsid w:val="00AB6004"/>
    <w:rsid w:val="00AC01E9"/>
    <w:rsid w:val="00AC02DA"/>
    <w:rsid w:val="00AC3C51"/>
    <w:rsid w:val="00AC4A07"/>
    <w:rsid w:val="00AC51BC"/>
    <w:rsid w:val="00AC7670"/>
    <w:rsid w:val="00AC79DB"/>
    <w:rsid w:val="00AD01DE"/>
    <w:rsid w:val="00AD5735"/>
    <w:rsid w:val="00AD5770"/>
    <w:rsid w:val="00AD5E0F"/>
    <w:rsid w:val="00AD6E59"/>
    <w:rsid w:val="00AD7646"/>
    <w:rsid w:val="00AE1E8E"/>
    <w:rsid w:val="00AE4730"/>
    <w:rsid w:val="00AF0286"/>
    <w:rsid w:val="00AF1842"/>
    <w:rsid w:val="00AF20DC"/>
    <w:rsid w:val="00AF28AD"/>
    <w:rsid w:val="00AF3509"/>
    <w:rsid w:val="00AF4014"/>
    <w:rsid w:val="00AF5611"/>
    <w:rsid w:val="00AF576A"/>
    <w:rsid w:val="00AF65DD"/>
    <w:rsid w:val="00AF6ECB"/>
    <w:rsid w:val="00AF7A06"/>
    <w:rsid w:val="00AF7FFE"/>
    <w:rsid w:val="00B00783"/>
    <w:rsid w:val="00B00EDC"/>
    <w:rsid w:val="00B01254"/>
    <w:rsid w:val="00B0127A"/>
    <w:rsid w:val="00B025CD"/>
    <w:rsid w:val="00B04FA0"/>
    <w:rsid w:val="00B05651"/>
    <w:rsid w:val="00B05FCB"/>
    <w:rsid w:val="00B06BC6"/>
    <w:rsid w:val="00B06E15"/>
    <w:rsid w:val="00B07420"/>
    <w:rsid w:val="00B07ABF"/>
    <w:rsid w:val="00B07AFF"/>
    <w:rsid w:val="00B10164"/>
    <w:rsid w:val="00B107FC"/>
    <w:rsid w:val="00B11A87"/>
    <w:rsid w:val="00B12D3F"/>
    <w:rsid w:val="00B1396B"/>
    <w:rsid w:val="00B14037"/>
    <w:rsid w:val="00B14D56"/>
    <w:rsid w:val="00B15862"/>
    <w:rsid w:val="00B159B7"/>
    <w:rsid w:val="00B15BB1"/>
    <w:rsid w:val="00B16A9A"/>
    <w:rsid w:val="00B16C3F"/>
    <w:rsid w:val="00B16EE8"/>
    <w:rsid w:val="00B17A7C"/>
    <w:rsid w:val="00B20CCF"/>
    <w:rsid w:val="00B215A2"/>
    <w:rsid w:val="00B216D2"/>
    <w:rsid w:val="00B21BE4"/>
    <w:rsid w:val="00B24C96"/>
    <w:rsid w:val="00B24F73"/>
    <w:rsid w:val="00B25929"/>
    <w:rsid w:val="00B272C8"/>
    <w:rsid w:val="00B311C4"/>
    <w:rsid w:val="00B31E25"/>
    <w:rsid w:val="00B325AF"/>
    <w:rsid w:val="00B331D1"/>
    <w:rsid w:val="00B341CD"/>
    <w:rsid w:val="00B3787C"/>
    <w:rsid w:val="00B37BE6"/>
    <w:rsid w:val="00B4098F"/>
    <w:rsid w:val="00B410D2"/>
    <w:rsid w:val="00B410E7"/>
    <w:rsid w:val="00B413A5"/>
    <w:rsid w:val="00B415B9"/>
    <w:rsid w:val="00B434C7"/>
    <w:rsid w:val="00B43672"/>
    <w:rsid w:val="00B465E6"/>
    <w:rsid w:val="00B46B27"/>
    <w:rsid w:val="00B46EC8"/>
    <w:rsid w:val="00B46F31"/>
    <w:rsid w:val="00B46FB5"/>
    <w:rsid w:val="00B50678"/>
    <w:rsid w:val="00B50E4C"/>
    <w:rsid w:val="00B5223A"/>
    <w:rsid w:val="00B53C76"/>
    <w:rsid w:val="00B542AE"/>
    <w:rsid w:val="00B54D72"/>
    <w:rsid w:val="00B553E2"/>
    <w:rsid w:val="00B55634"/>
    <w:rsid w:val="00B565EC"/>
    <w:rsid w:val="00B57B55"/>
    <w:rsid w:val="00B61558"/>
    <w:rsid w:val="00B61A25"/>
    <w:rsid w:val="00B64E45"/>
    <w:rsid w:val="00B66E02"/>
    <w:rsid w:val="00B66E26"/>
    <w:rsid w:val="00B67150"/>
    <w:rsid w:val="00B67FAF"/>
    <w:rsid w:val="00B700F1"/>
    <w:rsid w:val="00B702E6"/>
    <w:rsid w:val="00B70A34"/>
    <w:rsid w:val="00B7204F"/>
    <w:rsid w:val="00B736C7"/>
    <w:rsid w:val="00B76E9D"/>
    <w:rsid w:val="00B80661"/>
    <w:rsid w:val="00B8103B"/>
    <w:rsid w:val="00B82D9B"/>
    <w:rsid w:val="00B83A24"/>
    <w:rsid w:val="00B844F0"/>
    <w:rsid w:val="00B85B40"/>
    <w:rsid w:val="00B86C9F"/>
    <w:rsid w:val="00B87330"/>
    <w:rsid w:val="00B9117B"/>
    <w:rsid w:val="00B918E6"/>
    <w:rsid w:val="00B922E9"/>
    <w:rsid w:val="00B930B7"/>
    <w:rsid w:val="00B943AA"/>
    <w:rsid w:val="00B952D6"/>
    <w:rsid w:val="00B9551A"/>
    <w:rsid w:val="00B95B50"/>
    <w:rsid w:val="00B95CD7"/>
    <w:rsid w:val="00B95F4D"/>
    <w:rsid w:val="00B966AE"/>
    <w:rsid w:val="00BA059B"/>
    <w:rsid w:val="00BA064C"/>
    <w:rsid w:val="00BA1CA5"/>
    <w:rsid w:val="00BA2194"/>
    <w:rsid w:val="00BA310D"/>
    <w:rsid w:val="00BA54B6"/>
    <w:rsid w:val="00BB2D00"/>
    <w:rsid w:val="00BB44C7"/>
    <w:rsid w:val="00BB4665"/>
    <w:rsid w:val="00BB46B9"/>
    <w:rsid w:val="00BB4AEC"/>
    <w:rsid w:val="00BB4FEE"/>
    <w:rsid w:val="00BB58CE"/>
    <w:rsid w:val="00BB5D69"/>
    <w:rsid w:val="00BB7CF0"/>
    <w:rsid w:val="00BC097D"/>
    <w:rsid w:val="00BC17B2"/>
    <w:rsid w:val="00BC40EF"/>
    <w:rsid w:val="00BC4A5C"/>
    <w:rsid w:val="00BC4E31"/>
    <w:rsid w:val="00BC596A"/>
    <w:rsid w:val="00BC5EB0"/>
    <w:rsid w:val="00BC5FBE"/>
    <w:rsid w:val="00BC71B4"/>
    <w:rsid w:val="00BC74D2"/>
    <w:rsid w:val="00BC7AEA"/>
    <w:rsid w:val="00BD06FA"/>
    <w:rsid w:val="00BD34FA"/>
    <w:rsid w:val="00BD4E15"/>
    <w:rsid w:val="00BD7FC1"/>
    <w:rsid w:val="00BE034D"/>
    <w:rsid w:val="00BE2308"/>
    <w:rsid w:val="00BE2A1B"/>
    <w:rsid w:val="00BE3580"/>
    <w:rsid w:val="00BE3D56"/>
    <w:rsid w:val="00BE400C"/>
    <w:rsid w:val="00BE625C"/>
    <w:rsid w:val="00BE67CE"/>
    <w:rsid w:val="00BE799E"/>
    <w:rsid w:val="00BE7A58"/>
    <w:rsid w:val="00BF0997"/>
    <w:rsid w:val="00BF3C9D"/>
    <w:rsid w:val="00BF49AE"/>
    <w:rsid w:val="00BF573A"/>
    <w:rsid w:val="00BF606F"/>
    <w:rsid w:val="00C002E6"/>
    <w:rsid w:val="00C02550"/>
    <w:rsid w:val="00C02B00"/>
    <w:rsid w:val="00C036BA"/>
    <w:rsid w:val="00C03756"/>
    <w:rsid w:val="00C03DB2"/>
    <w:rsid w:val="00C0513C"/>
    <w:rsid w:val="00C0740D"/>
    <w:rsid w:val="00C07B13"/>
    <w:rsid w:val="00C10960"/>
    <w:rsid w:val="00C10D5F"/>
    <w:rsid w:val="00C10D94"/>
    <w:rsid w:val="00C11715"/>
    <w:rsid w:val="00C1173F"/>
    <w:rsid w:val="00C117A3"/>
    <w:rsid w:val="00C1268E"/>
    <w:rsid w:val="00C12D6C"/>
    <w:rsid w:val="00C12F0F"/>
    <w:rsid w:val="00C1317F"/>
    <w:rsid w:val="00C138E0"/>
    <w:rsid w:val="00C13F6E"/>
    <w:rsid w:val="00C14B93"/>
    <w:rsid w:val="00C14C86"/>
    <w:rsid w:val="00C158B9"/>
    <w:rsid w:val="00C161A8"/>
    <w:rsid w:val="00C16DA0"/>
    <w:rsid w:val="00C17710"/>
    <w:rsid w:val="00C17FF9"/>
    <w:rsid w:val="00C21E0A"/>
    <w:rsid w:val="00C2301B"/>
    <w:rsid w:val="00C234F8"/>
    <w:rsid w:val="00C23A3A"/>
    <w:rsid w:val="00C255E2"/>
    <w:rsid w:val="00C26FE6"/>
    <w:rsid w:val="00C279D3"/>
    <w:rsid w:val="00C27DDC"/>
    <w:rsid w:val="00C305CE"/>
    <w:rsid w:val="00C3199B"/>
    <w:rsid w:val="00C32682"/>
    <w:rsid w:val="00C327B8"/>
    <w:rsid w:val="00C335C0"/>
    <w:rsid w:val="00C347B2"/>
    <w:rsid w:val="00C35272"/>
    <w:rsid w:val="00C3668F"/>
    <w:rsid w:val="00C367A8"/>
    <w:rsid w:val="00C369D0"/>
    <w:rsid w:val="00C36A86"/>
    <w:rsid w:val="00C4021F"/>
    <w:rsid w:val="00C419D0"/>
    <w:rsid w:val="00C429D4"/>
    <w:rsid w:val="00C445EA"/>
    <w:rsid w:val="00C44FA9"/>
    <w:rsid w:val="00C46A66"/>
    <w:rsid w:val="00C50229"/>
    <w:rsid w:val="00C516C4"/>
    <w:rsid w:val="00C530BF"/>
    <w:rsid w:val="00C543CF"/>
    <w:rsid w:val="00C54C96"/>
    <w:rsid w:val="00C5687B"/>
    <w:rsid w:val="00C573CC"/>
    <w:rsid w:val="00C57608"/>
    <w:rsid w:val="00C57BB1"/>
    <w:rsid w:val="00C57BF4"/>
    <w:rsid w:val="00C57F82"/>
    <w:rsid w:val="00C60D47"/>
    <w:rsid w:val="00C625F7"/>
    <w:rsid w:val="00C62B81"/>
    <w:rsid w:val="00C660D7"/>
    <w:rsid w:val="00C67279"/>
    <w:rsid w:val="00C70850"/>
    <w:rsid w:val="00C70A66"/>
    <w:rsid w:val="00C7131D"/>
    <w:rsid w:val="00C7365B"/>
    <w:rsid w:val="00C73E85"/>
    <w:rsid w:val="00C7483D"/>
    <w:rsid w:val="00C75498"/>
    <w:rsid w:val="00C76D20"/>
    <w:rsid w:val="00C76E53"/>
    <w:rsid w:val="00C803CF"/>
    <w:rsid w:val="00C803EB"/>
    <w:rsid w:val="00C80481"/>
    <w:rsid w:val="00C809E1"/>
    <w:rsid w:val="00C81D81"/>
    <w:rsid w:val="00C81FFA"/>
    <w:rsid w:val="00C82076"/>
    <w:rsid w:val="00C841B1"/>
    <w:rsid w:val="00C87EEF"/>
    <w:rsid w:val="00C87F13"/>
    <w:rsid w:val="00C907A0"/>
    <w:rsid w:val="00C91726"/>
    <w:rsid w:val="00C91CCD"/>
    <w:rsid w:val="00C92723"/>
    <w:rsid w:val="00C935F0"/>
    <w:rsid w:val="00C961D6"/>
    <w:rsid w:val="00C963A9"/>
    <w:rsid w:val="00C97B31"/>
    <w:rsid w:val="00C97F48"/>
    <w:rsid w:val="00CA073C"/>
    <w:rsid w:val="00CA0D0E"/>
    <w:rsid w:val="00CA29B2"/>
    <w:rsid w:val="00CA3E97"/>
    <w:rsid w:val="00CA413A"/>
    <w:rsid w:val="00CA47D0"/>
    <w:rsid w:val="00CA4D38"/>
    <w:rsid w:val="00CA4E7D"/>
    <w:rsid w:val="00CA5506"/>
    <w:rsid w:val="00CA7305"/>
    <w:rsid w:val="00CA742F"/>
    <w:rsid w:val="00CB1A77"/>
    <w:rsid w:val="00CB28CE"/>
    <w:rsid w:val="00CB417B"/>
    <w:rsid w:val="00CB4F55"/>
    <w:rsid w:val="00CB54F7"/>
    <w:rsid w:val="00CB5523"/>
    <w:rsid w:val="00CB66E8"/>
    <w:rsid w:val="00CC049B"/>
    <w:rsid w:val="00CC2AAD"/>
    <w:rsid w:val="00CC3857"/>
    <w:rsid w:val="00CC4978"/>
    <w:rsid w:val="00CC5038"/>
    <w:rsid w:val="00CC5274"/>
    <w:rsid w:val="00CC6020"/>
    <w:rsid w:val="00CD1122"/>
    <w:rsid w:val="00CD2A48"/>
    <w:rsid w:val="00CD46D6"/>
    <w:rsid w:val="00CD5EE7"/>
    <w:rsid w:val="00CE03DE"/>
    <w:rsid w:val="00CE03ED"/>
    <w:rsid w:val="00CE3537"/>
    <w:rsid w:val="00CE35A3"/>
    <w:rsid w:val="00CE3BB5"/>
    <w:rsid w:val="00CE4461"/>
    <w:rsid w:val="00CE455C"/>
    <w:rsid w:val="00CE4AB6"/>
    <w:rsid w:val="00CE578B"/>
    <w:rsid w:val="00CF0647"/>
    <w:rsid w:val="00CF26D2"/>
    <w:rsid w:val="00CF3F61"/>
    <w:rsid w:val="00CF422F"/>
    <w:rsid w:val="00D00AA8"/>
    <w:rsid w:val="00D01C66"/>
    <w:rsid w:val="00D044CA"/>
    <w:rsid w:val="00D047FC"/>
    <w:rsid w:val="00D05323"/>
    <w:rsid w:val="00D11B8C"/>
    <w:rsid w:val="00D12F7A"/>
    <w:rsid w:val="00D13C76"/>
    <w:rsid w:val="00D140EB"/>
    <w:rsid w:val="00D1508B"/>
    <w:rsid w:val="00D153AE"/>
    <w:rsid w:val="00D158A1"/>
    <w:rsid w:val="00D20704"/>
    <w:rsid w:val="00D21244"/>
    <w:rsid w:val="00D2126D"/>
    <w:rsid w:val="00D21FF9"/>
    <w:rsid w:val="00D22260"/>
    <w:rsid w:val="00D2260D"/>
    <w:rsid w:val="00D2292F"/>
    <w:rsid w:val="00D23180"/>
    <w:rsid w:val="00D235D2"/>
    <w:rsid w:val="00D257FB"/>
    <w:rsid w:val="00D26696"/>
    <w:rsid w:val="00D26824"/>
    <w:rsid w:val="00D304D2"/>
    <w:rsid w:val="00D32D72"/>
    <w:rsid w:val="00D3302B"/>
    <w:rsid w:val="00D37602"/>
    <w:rsid w:val="00D37961"/>
    <w:rsid w:val="00D40203"/>
    <w:rsid w:val="00D41018"/>
    <w:rsid w:val="00D419A6"/>
    <w:rsid w:val="00D444FD"/>
    <w:rsid w:val="00D45CFD"/>
    <w:rsid w:val="00D4671E"/>
    <w:rsid w:val="00D47D86"/>
    <w:rsid w:val="00D47F09"/>
    <w:rsid w:val="00D520BB"/>
    <w:rsid w:val="00D520C5"/>
    <w:rsid w:val="00D52320"/>
    <w:rsid w:val="00D524C2"/>
    <w:rsid w:val="00D5273B"/>
    <w:rsid w:val="00D53A9F"/>
    <w:rsid w:val="00D55E6B"/>
    <w:rsid w:val="00D5718B"/>
    <w:rsid w:val="00D577BE"/>
    <w:rsid w:val="00D60073"/>
    <w:rsid w:val="00D601C6"/>
    <w:rsid w:val="00D61468"/>
    <w:rsid w:val="00D615D9"/>
    <w:rsid w:val="00D61618"/>
    <w:rsid w:val="00D63ED8"/>
    <w:rsid w:val="00D71546"/>
    <w:rsid w:val="00D71BDE"/>
    <w:rsid w:val="00D7423C"/>
    <w:rsid w:val="00D743BB"/>
    <w:rsid w:val="00D75047"/>
    <w:rsid w:val="00D76015"/>
    <w:rsid w:val="00D77E16"/>
    <w:rsid w:val="00D80410"/>
    <w:rsid w:val="00D80450"/>
    <w:rsid w:val="00D80F7A"/>
    <w:rsid w:val="00D82DE8"/>
    <w:rsid w:val="00D8392A"/>
    <w:rsid w:val="00D843C4"/>
    <w:rsid w:val="00D8530C"/>
    <w:rsid w:val="00D85BE1"/>
    <w:rsid w:val="00D860E6"/>
    <w:rsid w:val="00D86233"/>
    <w:rsid w:val="00D8687C"/>
    <w:rsid w:val="00D87678"/>
    <w:rsid w:val="00D90EB7"/>
    <w:rsid w:val="00D91718"/>
    <w:rsid w:val="00D91B1B"/>
    <w:rsid w:val="00D91CA1"/>
    <w:rsid w:val="00D92CBD"/>
    <w:rsid w:val="00D94784"/>
    <w:rsid w:val="00D9582D"/>
    <w:rsid w:val="00D958A4"/>
    <w:rsid w:val="00D97ED3"/>
    <w:rsid w:val="00DA0A33"/>
    <w:rsid w:val="00DA10D6"/>
    <w:rsid w:val="00DA217C"/>
    <w:rsid w:val="00DA2AF1"/>
    <w:rsid w:val="00DA328D"/>
    <w:rsid w:val="00DA3DC7"/>
    <w:rsid w:val="00DA5660"/>
    <w:rsid w:val="00DA7C08"/>
    <w:rsid w:val="00DB08E2"/>
    <w:rsid w:val="00DB14AE"/>
    <w:rsid w:val="00DB315F"/>
    <w:rsid w:val="00DB3817"/>
    <w:rsid w:val="00DB412E"/>
    <w:rsid w:val="00DB4AE5"/>
    <w:rsid w:val="00DB5675"/>
    <w:rsid w:val="00DB6611"/>
    <w:rsid w:val="00DB6709"/>
    <w:rsid w:val="00DB7DF7"/>
    <w:rsid w:val="00DB7E6F"/>
    <w:rsid w:val="00DC0094"/>
    <w:rsid w:val="00DC0CDF"/>
    <w:rsid w:val="00DC1350"/>
    <w:rsid w:val="00DC1E0F"/>
    <w:rsid w:val="00DC2FB2"/>
    <w:rsid w:val="00DC30D3"/>
    <w:rsid w:val="00DC4C65"/>
    <w:rsid w:val="00DC611F"/>
    <w:rsid w:val="00DD04AA"/>
    <w:rsid w:val="00DD0D24"/>
    <w:rsid w:val="00DD21DD"/>
    <w:rsid w:val="00DD3362"/>
    <w:rsid w:val="00DD4CAB"/>
    <w:rsid w:val="00DD564D"/>
    <w:rsid w:val="00DD5934"/>
    <w:rsid w:val="00DD5EB6"/>
    <w:rsid w:val="00DD6ADA"/>
    <w:rsid w:val="00DD6E50"/>
    <w:rsid w:val="00DD7904"/>
    <w:rsid w:val="00DD7FA7"/>
    <w:rsid w:val="00DE04A2"/>
    <w:rsid w:val="00DE12B3"/>
    <w:rsid w:val="00DE1D5F"/>
    <w:rsid w:val="00DE24F0"/>
    <w:rsid w:val="00DE4621"/>
    <w:rsid w:val="00DE5765"/>
    <w:rsid w:val="00DE600B"/>
    <w:rsid w:val="00DE642C"/>
    <w:rsid w:val="00DE67CE"/>
    <w:rsid w:val="00DE6C79"/>
    <w:rsid w:val="00DF0967"/>
    <w:rsid w:val="00DF2060"/>
    <w:rsid w:val="00DF2E2D"/>
    <w:rsid w:val="00DF373A"/>
    <w:rsid w:val="00DF3796"/>
    <w:rsid w:val="00DF3958"/>
    <w:rsid w:val="00DF4AE3"/>
    <w:rsid w:val="00DF4E5E"/>
    <w:rsid w:val="00DF4FFA"/>
    <w:rsid w:val="00DF5AAE"/>
    <w:rsid w:val="00DF6391"/>
    <w:rsid w:val="00E000D5"/>
    <w:rsid w:val="00E00C85"/>
    <w:rsid w:val="00E0189F"/>
    <w:rsid w:val="00E01F09"/>
    <w:rsid w:val="00E0252C"/>
    <w:rsid w:val="00E02CB9"/>
    <w:rsid w:val="00E03461"/>
    <w:rsid w:val="00E049AE"/>
    <w:rsid w:val="00E04D70"/>
    <w:rsid w:val="00E04E85"/>
    <w:rsid w:val="00E04EFD"/>
    <w:rsid w:val="00E142A7"/>
    <w:rsid w:val="00E14C8E"/>
    <w:rsid w:val="00E150CA"/>
    <w:rsid w:val="00E15D4D"/>
    <w:rsid w:val="00E20571"/>
    <w:rsid w:val="00E20579"/>
    <w:rsid w:val="00E2124E"/>
    <w:rsid w:val="00E219AD"/>
    <w:rsid w:val="00E21EA2"/>
    <w:rsid w:val="00E22370"/>
    <w:rsid w:val="00E22A75"/>
    <w:rsid w:val="00E24A07"/>
    <w:rsid w:val="00E26126"/>
    <w:rsid w:val="00E26357"/>
    <w:rsid w:val="00E30D1B"/>
    <w:rsid w:val="00E32FCB"/>
    <w:rsid w:val="00E335B5"/>
    <w:rsid w:val="00E34CF3"/>
    <w:rsid w:val="00E34D9E"/>
    <w:rsid w:val="00E36B12"/>
    <w:rsid w:val="00E3709A"/>
    <w:rsid w:val="00E37A26"/>
    <w:rsid w:val="00E409F8"/>
    <w:rsid w:val="00E40B71"/>
    <w:rsid w:val="00E41495"/>
    <w:rsid w:val="00E42128"/>
    <w:rsid w:val="00E447E7"/>
    <w:rsid w:val="00E47427"/>
    <w:rsid w:val="00E4773C"/>
    <w:rsid w:val="00E47B61"/>
    <w:rsid w:val="00E52043"/>
    <w:rsid w:val="00E5269F"/>
    <w:rsid w:val="00E52D24"/>
    <w:rsid w:val="00E5346B"/>
    <w:rsid w:val="00E539E6"/>
    <w:rsid w:val="00E54003"/>
    <w:rsid w:val="00E54312"/>
    <w:rsid w:val="00E54653"/>
    <w:rsid w:val="00E546FD"/>
    <w:rsid w:val="00E54A67"/>
    <w:rsid w:val="00E5525C"/>
    <w:rsid w:val="00E575D6"/>
    <w:rsid w:val="00E57A9C"/>
    <w:rsid w:val="00E614B9"/>
    <w:rsid w:val="00E616BA"/>
    <w:rsid w:val="00E62AC1"/>
    <w:rsid w:val="00E62B92"/>
    <w:rsid w:val="00E63270"/>
    <w:rsid w:val="00E63859"/>
    <w:rsid w:val="00E64579"/>
    <w:rsid w:val="00E65528"/>
    <w:rsid w:val="00E671F0"/>
    <w:rsid w:val="00E70547"/>
    <w:rsid w:val="00E710AE"/>
    <w:rsid w:val="00E73258"/>
    <w:rsid w:val="00E739B5"/>
    <w:rsid w:val="00E743DF"/>
    <w:rsid w:val="00E75D81"/>
    <w:rsid w:val="00E75F9C"/>
    <w:rsid w:val="00E76534"/>
    <w:rsid w:val="00E767A2"/>
    <w:rsid w:val="00E774DB"/>
    <w:rsid w:val="00E80F52"/>
    <w:rsid w:val="00E81DB8"/>
    <w:rsid w:val="00E82DAD"/>
    <w:rsid w:val="00E84C85"/>
    <w:rsid w:val="00E8567B"/>
    <w:rsid w:val="00E86E66"/>
    <w:rsid w:val="00E907E8"/>
    <w:rsid w:val="00E90E90"/>
    <w:rsid w:val="00E910C3"/>
    <w:rsid w:val="00E919E5"/>
    <w:rsid w:val="00E92C43"/>
    <w:rsid w:val="00E935CA"/>
    <w:rsid w:val="00E97374"/>
    <w:rsid w:val="00E9795D"/>
    <w:rsid w:val="00E97E83"/>
    <w:rsid w:val="00EA0145"/>
    <w:rsid w:val="00EA07D0"/>
    <w:rsid w:val="00EA2A6A"/>
    <w:rsid w:val="00EA2FFE"/>
    <w:rsid w:val="00EA32F8"/>
    <w:rsid w:val="00EA35F3"/>
    <w:rsid w:val="00EA3A53"/>
    <w:rsid w:val="00EA3F78"/>
    <w:rsid w:val="00EA6B09"/>
    <w:rsid w:val="00EA6D63"/>
    <w:rsid w:val="00EB11DF"/>
    <w:rsid w:val="00EB4CAD"/>
    <w:rsid w:val="00EB5003"/>
    <w:rsid w:val="00EB61B4"/>
    <w:rsid w:val="00EB77D3"/>
    <w:rsid w:val="00EC0CB0"/>
    <w:rsid w:val="00EC1E63"/>
    <w:rsid w:val="00EC41A9"/>
    <w:rsid w:val="00EC454F"/>
    <w:rsid w:val="00EC4CF5"/>
    <w:rsid w:val="00EC5333"/>
    <w:rsid w:val="00EC6188"/>
    <w:rsid w:val="00ED0401"/>
    <w:rsid w:val="00ED0A05"/>
    <w:rsid w:val="00ED1B60"/>
    <w:rsid w:val="00ED21BB"/>
    <w:rsid w:val="00ED2260"/>
    <w:rsid w:val="00ED23DA"/>
    <w:rsid w:val="00ED2944"/>
    <w:rsid w:val="00ED556E"/>
    <w:rsid w:val="00ED6DFD"/>
    <w:rsid w:val="00ED769E"/>
    <w:rsid w:val="00EE0E87"/>
    <w:rsid w:val="00EE171C"/>
    <w:rsid w:val="00EE4FDE"/>
    <w:rsid w:val="00EE7928"/>
    <w:rsid w:val="00EE7AC5"/>
    <w:rsid w:val="00EF0F88"/>
    <w:rsid w:val="00EF1150"/>
    <w:rsid w:val="00EF3054"/>
    <w:rsid w:val="00EF6506"/>
    <w:rsid w:val="00EF6CE4"/>
    <w:rsid w:val="00F0052E"/>
    <w:rsid w:val="00F009F5"/>
    <w:rsid w:val="00F0487F"/>
    <w:rsid w:val="00F05C0A"/>
    <w:rsid w:val="00F05E97"/>
    <w:rsid w:val="00F0679C"/>
    <w:rsid w:val="00F07795"/>
    <w:rsid w:val="00F10C41"/>
    <w:rsid w:val="00F11EAF"/>
    <w:rsid w:val="00F120FE"/>
    <w:rsid w:val="00F12BF5"/>
    <w:rsid w:val="00F13574"/>
    <w:rsid w:val="00F137F2"/>
    <w:rsid w:val="00F15650"/>
    <w:rsid w:val="00F15F3F"/>
    <w:rsid w:val="00F16887"/>
    <w:rsid w:val="00F16A5A"/>
    <w:rsid w:val="00F17306"/>
    <w:rsid w:val="00F17528"/>
    <w:rsid w:val="00F17DCD"/>
    <w:rsid w:val="00F210AB"/>
    <w:rsid w:val="00F21A83"/>
    <w:rsid w:val="00F2222F"/>
    <w:rsid w:val="00F22395"/>
    <w:rsid w:val="00F22FE8"/>
    <w:rsid w:val="00F24858"/>
    <w:rsid w:val="00F24A37"/>
    <w:rsid w:val="00F27340"/>
    <w:rsid w:val="00F30756"/>
    <w:rsid w:val="00F30BEA"/>
    <w:rsid w:val="00F31A3D"/>
    <w:rsid w:val="00F327F7"/>
    <w:rsid w:val="00F33A2B"/>
    <w:rsid w:val="00F33E0E"/>
    <w:rsid w:val="00F35939"/>
    <w:rsid w:val="00F35F7B"/>
    <w:rsid w:val="00F36B90"/>
    <w:rsid w:val="00F409EF"/>
    <w:rsid w:val="00F424F1"/>
    <w:rsid w:val="00F42660"/>
    <w:rsid w:val="00F42C71"/>
    <w:rsid w:val="00F436F6"/>
    <w:rsid w:val="00F437DA"/>
    <w:rsid w:val="00F44016"/>
    <w:rsid w:val="00F4408C"/>
    <w:rsid w:val="00F45F0D"/>
    <w:rsid w:val="00F47394"/>
    <w:rsid w:val="00F4744D"/>
    <w:rsid w:val="00F47A4F"/>
    <w:rsid w:val="00F501D5"/>
    <w:rsid w:val="00F5044D"/>
    <w:rsid w:val="00F50F18"/>
    <w:rsid w:val="00F51694"/>
    <w:rsid w:val="00F51FD6"/>
    <w:rsid w:val="00F53432"/>
    <w:rsid w:val="00F53E74"/>
    <w:rsid w:val="00F549DC"/>
    <w:rsid w:val="00F5675C"/>
    <w:rsid w:val="00F5690F"/>
    <w:rsid w:val="00F57B39"/>
    <w:rsid w:val="00F64682"/>
    <w:rsid w:val="00F647BF"/>
    <w:rsid w:val="00F672ED"/>
    <w:rsid w:val="00F700DC"/>
    <w:rsid w:val="00F7088E"/>
    <w:rsid w:val="00F71481"/>
    <w:rsid w:val="00F71BA2"/>
    <w:rsid w:val="00F71DF3"/>
    <w:rsid w:val="00F7318E"/>
    <w:rsid w:val="00F74797"/>
    <w:rsid w:val="00F77279"/>
    <w:rsid w:val="00F778C3"/>
    <w:rsid w:val="00F77A3D"/>
    <w:rsid w:val="00F806AB"/>
    <w:rsid w:val="00F80D9F"/>
    <w:rsid w:val="00F82736"/>
    <w:rsid w:val="00F831F3"/>
    <w:rsid w:val="00F83D10"/>
    <w:rsid w:val="00F844EF"/>
    <w:rsid w:val="00F84850"/>
    <w:rsid w:val="00F84D23"/>
    <w:rsid w:val="00F85414"/>
    <w:rsid w:val="00F90346"/>
    <w:rsid w:val="00F9066A"/>
    <w:rsid w:val="00F91679"/>
    <w:rsid w:val="00F91922"/>
    <w:rsid w:val="00F93582"/>
    <w:rsid w:val="00F9358F"/>
    <w:rsid w:val="00F9472F"/>
    <w:rsid w:val="00F951FA"/>
    <w:rsid w:val="00F96706"/>
    <w:rsid w:val="00F96D00"/>
    <w:rsid w:val="00F9772E"/>
    <w:rsid w:val="00F97FE7"/>
    <w:rsid w:val="00FA1669"/>
    <w:rsid w:val="00FA21DB"/>
    <w:rsid w:val="00FA3F77"/>
    <w:rsid w:val="00FA47E4"/>
    <w:rsid w:val="00FA5B54"/>
    <w:rsid w:val="00FA6D40"/>
    <w:rsid w:val="00FA6E2E"/>
    <w:rsid w:val="00FA76F6"/>
    <w:rsid w:val="00FA7B0B"/>
    <w:rsid w:val="00FB103C"/>
    <w:rsid w:val="00FB14EC"/>
    <w:rsid w:val="00FB166D"/>
    <w:rsid w:val="00FB2296"/>
    <w:rsid w:val="00FB2438"/>
    <w:rsid w:val="00FB2444"/>
    <w:rsid w:val="00FB24EE"/>
    <w:rsid w:val="00FB70F7"/>
    <w:rsid w:val="00FC3F37"/>
    <w:rsid w:val="00FC4F17"/>
    <w:rsid w:val="00FC5634"/>
    <w:rsid w:val="00FC7472"/>
    <w:rsid w:val="00FD1AE5"/>
    <w:rsid w:val="00FD1CE4"/>
    <w:rsid w:val="00FD27A2"/>
    <w:rsid w:val="00FD34A9"/>
    <w:rsid w:val="00FD3A9F"/>
    <w:rsid w:val="00FD5ED1"/>
    <w:rsid w:val="00FD60F5"/>
    <w:rsid w:val="00FD695A"/>
    <w:rsid w:val="00FD76DD"/>
    <w:rsid w:val="00FE005C"/>
    <w:rsid w:val="00FE0AC3"/>
    <w:rsid w:val="00FE0AF9"/>
    <w:rsid w:val="00FE1C59"/>
    <w:rsid w:val="00FE205E"/>
    <w:rsid w:val="00FE24D2"/>
    <w:rsid w:val="00FE3CE9"/>
    <w:rsid w:val="00FE3E6E"/>
    <w:rsid w:val="00FE3FC1"/>
    <w:rsid w:val="00FE4958"/>
    <w:rsid w:val="00FE49BF"/>
    <w:rsid w:val="00FE54E1"/>
    <w:rsid w:val="00FE6C76"/>
    <w:rsid w:val="00FE7157"/>
    <w:rsid w:val="00FE7355"/>
    <w:rsid w:val="00FE7470"/>
    <w:rsid w:val="00FF35B8"/>
    <w:rsid w:val="00FF3B0F"/>
    <w:rsid w:val="00FF3CB2"/>
    <w:rsid w:val="00FF4F59"/>
    <w:rsid w:val="00FF660E"/>
    <w:rsid w:val="00FF6E6B"/>
    <w:rsid w:val="018B0DDF"/>
    <w:rsid w:val="01B3F72B"/>
    <w:rsid w:val="020BE244"/>
    <w:rsid w:val="021441C4"/>
    <w:rsid w:val="0251C16E"/>
    <w:rsid w:val="0273BA5C"/>
    <w:rsid w:val="02A0A468"/>
    <w:rsid w:val="02F31240"/>
    <w:rsid w:val="03753E02"/>
    <w:rsid w:val="037E771E"/>
    <w:rsid w:val="03E4503F"/>
    <w:rsid w:val="04531F80"/>
    <w:rsid w:val="0493A270"/>
    <w:rsid w:val="049F0D10"/>
    <w:rsid w:val="04C3CACD"/>
    <w:rsid w:val="04E8A559"/>
    <w:rsid w:val="054678E0"/>
    <w:rsid w:val="05A8753C"/>
    <w:rsid w:val="05CF58C7"/>
    <w:rsid w:val="05D3666E"/>
    <w:rsid w:val="05DDE4D2"/>
    <w:rsid w:val="06933DF6"/>
    <w:rsid w:val="06CF3826"/>
    <w:rsid w:val="072FF2C4"/>
    <w:rsid w:val="074EF4BA"/>
    <w:rsid w:val="075ECBFC"/>
    <w:rsid w:val="0795E4DD"/>
    <w:rsid w:val="092BDBDD"/>
    <w:rsid w:val="0953CD68"/>
    <w:rsid w:val="0964E1D3"/>
    <w:rsid w:val="09939470"/>
    <w:rsid w:val="09F9C91C"/>
    <w:rsid w:val="09FA0781"/>
    <w:rsid w:val="0B247A84"/>
    <w:rsid w:val="0B7721AE"/>
    <w:rsid w:val="0CC1DE3E"/>
    <w:rsid w:val="0D0D0B03"/>
    <w:rsid w:val="0D3F63DF"/>
    <w:rsid w:val="0D6125C0"/>
    <w:rsid w:val="0DDA6978"/>
    <w:rsid w:val="0E4DC3A2"/>
    <w:rsid w:val="0E582894"/>
    <w:rsid w:val="0EA1769E"/>
    <w:rsid w:val="0EAB5AB3"/>
    <w:rsid w:val="0F7C2612"/>
    <w:rsid w:val="0FA7D0C2"/>
    <w:rsid w:val="0FEB4859"/>
    <w:rsid w:val="104A5E89"/>
    <w:rsid w:val="1058EBEE"/>
    <w:rsid w:val="107C582C"/>
    <w:rsid w:val="107E3EFB"/>
    <w:rsid w:val="10CF760C"/>
    <w:rsid w:val="11377835"/>
    <w:rsid w:val="115572B0"/>
    <w:rsid w:val="11A3D333"/>
    <w:rsid w:val="11A7AE02"/>
    <w:rsid w:val="11ED7FF5"/>
    <w:rsid w:val="11FE8417"/>
    <w:rsid w:val="12DA12F8"/>
    <w:rsid w:val="133ED019"/>
    <w:rsid w:val="13607AE3"/>
    <w:rsid w:val="136C5CCE"/>
    <w:rsid w:val="136FC5DD"/>
    <w:rsid w:val="13848CB6"/>
    <w:rsid w:val="13B47F04"/>
    <w:rsid w:val="13F3F644"/>
    <w:rsid w:val="1408BED8"/>
    <w:rsid w:val="1414C5DB"/>
    <w:rsid w:val="141B0B7C"/>
    <w:rsid w:val="146DA56A"/>
    <w:rsid w:val="147EB9E3"/>
    <w:rsid w:val="148FF572"/>
    <w:rsid w:val="150D6CAE"/>
    <w:rsid w:val="152F3883"/>
    <w:rsid w:val="157E26E2"/>
    <w:rsid w:val="158FC6A5"/>
    <w:rsid w:val="15B17C66"/>
    <w:rsid w:val="15F2F458"/>
    <w:rsid w:val="1649498B"/>
    <w:rsid w:val="16597B90"/>
    <w:rsid w:val="165DB532"/>
    <w:rsid w:val="1774E862"/>
    <w:rsid w:val="1778EA81"/>
    <w:rsid w:val="17BA8993"/>
    <w:rsid w:val="17F1AF89"/>
    <w:rsid w:val="181AA0CC"/>
    <w:rsid w:val="18481986"/>
    <w:rsid w:val="1867468A"/>
    <w:rsid w:val="187ACB89"/>
    <w:rsid w:val="18AC00E6"/>
    <w:rsid w:val="18BEC3E1"/>
    <w:rsid w:val="18EA70CC"/>
    <w:rsid w:val="1937ABC0"/>
    <w:rsid w:val="194B764E"/>
    <w:rsid w:val="19520778"/>
    <w:rsid w:val="19A992FB"/>
    <w:rsid w:val="19AAA676"/>
    <w:rsid w:val="19B7FD91"/>
    <w:rsid w:val="19D0F206"/>
    <w:rsid w:val="19F008A6"/>
    <w:rsid w:val="1A091810"/>
    <w:rsid w:val="1A328ECE"/>
    <w:rsid w:val="1A647E84"/>
    <w:rsid w:val="1A891E3D"/>
    <w:rsid w:val="1A962711"/>
    <w:rsid w:val="1AA2469A"/>
    <w:rsid w:val="1AE914D8"/>
    <w:rsid w:val="1B0D16FE"/>
    <w:rsid w:val="1B22E68A"/>
    <w:rsid w:val="1B514014"/>
    <w:rsid w:val="1B7A44D0"/>
    <w:rsid w:val="1BC8E94E"/>
    <w:rsid w:val="1C681479"/>
    <w:rsid w:val="1C6C2DC5"/>
    <w:rsid w:val="1C77AB0F"/>
    <w:rsid w:val="1C7A761E"/>
    <w:rsid w:val="1CE1590C"/>
    <w:rsid w:val="1D0E8871"/>
    <w:rsid w:val="1D7D7BE0"/>
    <w:rsid w:val="1D867F88"/>
    <w:rsid w:val="1D88DB50"/>
    <w:rsid w:val="1DA7BCD4"/>
    <w:rsid w:val="1DAAFACC"/>
    <w:rsid w:val="1DFFD567"/>
    <w:rsid w:val="1E1617C4"/>
    <w:rsid w:val="1EB69870"/>
    <w:rsid w:val="1ED93B00"/>
    <w:rsid w:val="1F1B111A"/>
    <w:rsid w:val="1F40A79D"/>
    <w:rsid w:val="1FB44FCE"/>
    <w:rsid w:val="20738F90"/>
    <w:rsid w:val="20B197B4"/>
    <w:rsid w:val="21330015"/>
    <w:rsid w:val="2150B876"/>
    <w:rsid w:val="2150C774"/>
    <w:rsid w:val="215C2D3C"/>
    <w:rsid w:val="21AD365E"/>
    <w:rsid w:val="220F58A6"/>
    <w:rsid w:val="224D3536"/>
    <w:rsid w:val="227D583B"/>
    <w:rsid w:val="22943022"/>
    <w:rsid w:val="22A9BB24"/>
    <w:rsid w:val="22CB7CB4"/>
    <w:rsid w:val="22CED076"/>
    <w:rsid w:val="22EA1E04"/>
    <w:rsid w:val="230820C1"/>
    <w:rsid w:val="234A7C8F"/>
    <w:rsid w:val="235F8DBF"/>
    <w:rsid w:val="236AD449"/>
    <w:rsid w:val="237B61F0"/>
    <w:rsid w:val="239C83CB"/>
    <w:rsid w:val="23B8BA41"/>
    <w:rsid w:val="23EBC408"/>
    <w:rsid w:val="242B7931"/>
    <w:rsid w:val="243D50A5"/>
    <w:rsid w:val="2446F9B1"/>
    <w:rsid w:val="2472BDAB"/>
    <w:rsid w:val="2477B599"/>
    <w:rsid w:val="24A7D871"/>
    <w:rsid w:val="24C9F0EB"/>
    <w:rsid w:val="25856A77"/>
    <w:rsid w:val="25F2F2AF"/>
    <w:rsid w:val="25FF5221"/>
    <w:rsid w:val="260AC266"/>
    <w:rsid w:val="263FAFE3"/>
    <w:rsid w:val="2687C967"/>
    <w:rsid w:val="26D27F6E"/>
    <w:rsid w:val="26E1AECE"/>
    <w:rsid w:val="270DBC83"/>
    <w:rsid w:val="2720203B"/>
    <w:rsid w:val="27412308"/>
    <w:rsid w:val="274513E2"/>
    <w:rsid w:val="2752B937"/>
    <w:rsid w:val="27BAE0A3"/>
    <w:rsid w:val="27FF5EE8"/>
    <w:rsid w:val="27FF68EE"/>
    <w:rsid w:val="28074EC9"/>
    <w:rsid w:val="281CF95B"/>
    <w:rsid w:val="2820207F"/>
    <w:rsid w:val="2843F155"/>
    <w:rsid w:val="29099897"/>
    <w:rsid w:val="2963E7B1"/>
    <w:rsid w:val="29B30209"/>
    <w:rsid w:val="29EBDF3A"/>
    <w:rsid w:val="2ABB980A"/>
    <w:rsid w:val="2AC21370"/>
    <w:rsid w:val="2B61AD3D"/>
    <w:rsid w:val="2B974E1B"/>
    <w:rsid w:val="2B9CF483"/>
    <w:rsid w:val="2BDE16B5"/>
    <w:rsid w:val="2BE7EABA"/>
    <w:rsid w:val="2BEB5DAF"/>
    <w:rsid w:val="2C010747"/>
    <w:rsid w:val="2C2D0E2C"/>
    <w:rsid w:val="2C35512F"/>
    <w:rsid w:val="2C4BBDC0"/>
    <w:rsid w:val="2C7276E4"/>
    <w:rsid w:val="2CC6A7D1"/>
    <w:rsid w:val="2CC7C73B"/>
    <w:rsid w:val="2CED47A8"/>
    <w:rsid w:val="2D6621ED"/>
    <w:rsid w:val="2DAF980B"/>
    <w:rsid w:val="2DD47E7F"/>
    <w:rsid w:val="2E0029CC"/>
    <w:rsid w:val="2E20F7E3"/>
    <w:rsid w:val="2EA3DCA5"/>
    <w:rsid w:val="2EA5B1EE"/>
    <w:rsid w:val="2EB388E2"/>
    <w:rsid w:val="2EB4A69B"/>
    <w:rsid w:val="2EF1F358"/>
    <w:rsid w:val="2EF911FC"/>
    <w:rsid w:val="2F343226"/>
    <w:rsid w:val="2F36B8AD"/>
    <w:rsid w:val="2FA50D54"/>
    <w:rsid w:val="2FC1FDDE"/>
    <w:rsid w:val="2FD5FA79"/>
    <w:rsid w:val="2FDE6161"/>
    <w:rsid w:val="30017260"/>
    <w:rsid w:val="30249F26"/>
    <w:rsid w:val="302628E0"/>
    <w:rsid w:val="30655D8B"/>
    <w:rsid w:val="3097D3F9"/>
    <w:rsid w:val="30D4D77D"/>
    <w:rsid w:val="312DC5E3"/>
    <w:rsid w:val="313A5FD7"/>
    <w:rsid w:val="3140DDB5"/>
    <w:rsid w:val="31965CA6"/>
    <w:rsid w:val="31A24825"/>
    <w:rsid w:val="31B31F9C"/>
    <w:rsid w:val="31CD6F55"/>
    <w:rsid w:val="32305D48"/>
    <w:rsid w:val="3241A5AD"/>
    <w:rsid w:val="326856DC"/>
    <w:rsid w:val="32DF54E2"/>
    <w:rsid w:val="32E5A53E"/>
    <w:rsid w:val="33861D45"/>
    <w:rsid w:val="33B2B36D"/>
    <w:rsid w:val="33BE17B4"/>
    <w:rsid w:val="33DD4737"/>
    <w:rsid w:val="34B64C3F"/>
    <w:rsid w:val="34C8493E"/>
    <w:rsid w:val="34DD15DA"/>
    <w:rsid w:val="351F9593"/>
    <w:rsid w:val="35AA27DA"/>
    <w:rsid w:val="35C61136"/>
    <w:rsid w:val="35CF9CE0"/>
    <w:rsid w:val="35E615D8"/>
    <w:rsid w:val="3608D80F"/>
    <w:rsid w:val="36BD3C8E"/>
    <w:rsid w:val="36D18194"/>
    <w:rsid w:val="36FC9438"/>
    <w:rsid w:val="3703CE6B"/>
    <w:rsid w:val="372A76D4"/>
    <w:rsid w:val="372B3D42"/>
    <w:rsid w:val="3754EC67"/>
    <w:rsid w:val="37875C20"/>
    <w:rsid w:val="37A11996"/>
    <w:rsid w:val="37AE916F"/>
    <w:rsid w:val="37B19CDE"/>
    <w:rsid w:val="383176C4"/>
    <w:rsid w:val="389F9ECC"/>
    <w:rsid w:val="38DCDBD0"/>
    <w:rsid w:val="38DCF081"/>
    <w:rsid w:val="394DCAC3"/>
    <w:rsid w:val="39804643"/>
    <w:rsid w:val="39B1AD4A"/>
    <w:rsid w:val="39BF77A2"/>
    <w:rsid w:val="3A1B7C96"/>
    <w:rsid w:val="3A226F09"/>
    <w:rsid w:val="3A2F8615"/>
    <w:rsid w:val="3B488E95"/>
    <w:rsid w:val="3B4B2EA9"/>
    <w:rsid w:val="3B930C00"/>
    <w:rsid w:val="3BAF34FE"/>
    <w:rsid w:val="3BBBD90E"/>
    <w:rsid w:val="3BBC3A97"/>
    <w:rsid w:val="3BC55BEC"/>
    <w:rsid w:val="3BD62053"/>
    <w:rsid w:val="3C2FBC76"/>
    <w:rsid w:val="3D1059DF"/>
    <w:rsid w:val="3E7B8981"/>
    <w:rsid w:val="3ECD73BF"/>
    <w:rsid w:val="3EF98871"/>
    <w:rsid w:val="3F297CAC"/>
    <w:rsid w:val="3FA64DA7"/>
    <w:rsid w:val="3FD6132A"/>
    <w:rsid w:val="3FE18FF2"/>
    <w:rsid w:val="3FF855E0"/>
    <w:rsid w:val="408C9956"/>
    <w:rsid w:val="40EE7240"/>
    <w:rsid w:val="40FC4B28"/>
    <w:rsid w:val="411B8BAD"/>
    <w:rsid w:val="416E4AB1"/>
    <w:rsid w:val="41A01CAD"/>
    <w:rsid w:val="41B8DB7E"/>
    <w:rsid w:val="41ED9A0D"/>
    <w:rsid w:val="42155945"/>
    <w:rsid w:val="4280FF5A"/>
    <w:rsid w:val="429EEF6F"/>
    <w:rsid w:val="42A9C10A"/>
    <w:rsid w:val="42D65BA3"/>
    <w:rsid w:val="430367AF"/>
    <w:rsid w:val="432CC245"/>
    <w:rsid w:val="43C5BC8E"/>
    <w:rsid w:val="43E9AA26"/>
    <w:rsid w:val="448ED53F"/>
    <w:rsid w:val="44B321D5"/>
    <w:rsid w:val="44B4872A"/>
    <w:rsid w:val="44D74EB3"/>
    <w:rsid w:val="44D90698"/>
    <w:rsid w:val="44EC0466"/>
    <w:rsid w:val="4569894B"/>
    <w:rsid w:val="45A69064"/>
    <w:rsid w:val="45B3FB59"/>
    <w:rsid w:val="45C2CABD"/>
    <w:rsid w:val="45D6E6E5"/>
    <w:rsid w:val="4617BC68"/>
    <w:rsid w:val="46299AC9"/>
    <w:rsid w:val="46406BEB"/>
    <w:rsid w:val="46622031"/>
    <w:rsid w:val="4682FE55"/>
    <w:rsid w:val="46A56770"/>
    <w:rsid w:val="46AB33A9"/>
    <w:rsid w:val="46AEC24F"/>
    <w:rsid w:val="46B23D97"/>
    <w:rsid w:val="46ED3D4A"/>
    <w:rsid w:val="470B97B7"/>
    <w:rsid w:val="470E6A07"/>
    <w:rsid w:val="47208762"/>
    <w:rsid w:val="473D5602"/>
    <w:rsid w:val="47C56B2A"/>
    <w:rsid w:val="47F6DBF6"/>
    <w:rsid w:val="4826D0A8"/>
    <w:rsid w:val="4859DF1A"/>
    <w:rsid w:val="486B99B2"/>
    <w:rsid w:val="48A985E2"/>
    <w:rsid w:val="48CBC9BA"/>
    <w:rsid w:val="48EEDE4A"/>
    <w:rsid w:val="48F17EBC"/>
    <w:rsid w:val="497EC3CD"/>
    <w:rsid w:val="49D42A83"/>
    <w:rsid w:val="49DA1E50"/>
    <w:rsid w:val="49DF58C2"/>
    <w:rsid w:val="4A263741"/>
    <w:rsid w:val="4A50408A"/>
    <w:rsid w:val="4A75BA6A"/>
    <w:rsid w:val="4A77CBE0"/>
    <w:rsid w:val="4A83F3BB"/>
    <w:rsid w:val="4AABE5B1"/>
    <w:rsid w:val="4ABC82E7"/>
    <w:rsid w:val="4AF55137"/>
    <w:rsid w:val="4B055B2E"/>
    <w:rsid w:val="4BC3D802"/>
    <w:rsid w:val="4BEC35B6"/>
    <w:rsid w:val="4CA9DE55"/>
    <w:rsid w:val="4CAA1707"/>
    <w:rsid w:val="4CAB645B"/>
    <w:rsid w:val="4CE3C906"/>
    <w:rsid w:val="4CEDDCC8"/>
    <w:rsid w:val="4D49E218"/>
    <w:rsid w:val="4D888D5B"/>
    <w:rsid w:val="4DE0E658"/>
    <w:rsid w:val="4DE74008"/>
    <w:rsid w:val="4E2A9CDA"/>
    <w:rsid w:val="4E4D00F5"/>
    <w:rsid w:val="4EAEDB09"/>
    <w:rsid w:val="4ECC32A8"/>
    <w:rsid w:val="4F418598"/>
    <w:rsid w:val="4F73A169"/>
    <w:rsid w:val="4F7E0C60"/>
    <w:rsid w:val="508CA924"/>
    <w:rsid w:val="50976563"/>
    <w:rsid w:val="5122536F"/>
    <w:rsid w:val="515F0EDC"/>
    <w:rsid w:val="51604D22"/>
    <w:rsid w:val="51720902"/>
    <w:rsid w:val="523A7ECC"/>
    <w:rsid w:val="52492123"/>
    <w:rsid w:val="5249834F"/>
    <w:rsid w:val="5265D1DF"/>
    <w:rsid w:val="529372F5"/>
    <w:rsid w:val="529A7CB5"/>
    <w:rsid w:val="53293DAE"/>
    <w:rsid w:val="53320AF2"/>
    <w:rsid w:val="533CB9E8"/>
    <w:rsid w:val="5385BB09"/>
    <w:rsid w:val="538E0F6D"/>
    <w:rsid w:val="54578556"/>
    <w:rsid w:val="5458D3A8"/>
    <w:rsid w:val="5529FEA4"/>
    <w:rsid w:val="552EE0F4"/>
    <w:rsid w:val="5579E0F2"/>
    <w:rsid w:val="559FF28B"/>
    <w:rsid w:val="55C06EE0"/>
    <w:rsid w:val="55DB1382"/>
    <w:rsid w:val="55E3D66C"/>
    <w:rsid w:val="56019B68"/>
    <w:rsid w:val="5604EEF1"/>
    <w:rsid w:val="5698D17F"/>
    <w:rsid w:val="56C0D580"/>
    <w:rsid w:val="56C70659"/>
    <w:rsid w:val="5728E098"/>
    <w:rsid w:val="57A55CD0"/>
    <w:rsid w:val="57D19E62"/>
    <w:rsid w:val="57EC7FD3"/>
    <w:rsid w:val="59245262"/>
    <w:rsid w:val="593D9959"/>
    <w:rsid w:val="594BDD02"/>
    <w:rsid w:val="597073AF"/>
    <w:rsid w:val="59A7A54E"/>
    <w:rsid w:val="59F74329"/>
    <w:rsid w:val="5A209E24"/>
    <w:rsid w:val="5A2DE665"/>
    <w:rsid w:val="5A35C053"/>
    <w:rsid w:val="5A5ABF4A"/>
    <w:rsid w:val="5AB2F069"/>
    <w:rsid w:val="5ACE5A0F"/>
    <w:rsid w:val="5AE36AF8"/>
    <w:rsid w:val="5B00814B"/>
    <w:rsid w:val="5B4DED72"/>
    <w:rsid w:val="5B51D00B"/>
    <w:rsid w:val="5B77CEAB"/>
    <w:rsid w:val="5B972AD6"/>
    <w:rsid w:val="5B98C575"/>
    <w:rsid w:val="5BA62B6F"/>
    <w:rsid w:val="5C7413CF"/>
    <w:rsid w:val="5C9555F1"/>
    <w:rsid w:val="5CE27C5A"/>
    <w:rsid w:val="5D18AF73"/>
    <w:rsid w:val="5D31CC54"/>
    <w:rsid w:val="5D639768"/>
    <w:rsid w:val="5D7659AA"/>
    <w:rsid w:val="5E1ECF20"/>
    <w:rsid w:val="5E3BCF3B"/>
    <w:rsid w:val="5E7B0F8A"/>
    <w:rsid w:val="5EC88010"/>
    <w:rsid w:val="5EE3AA25"/>
    <w:rsid w:val="5EED0CAD"/>
    <w:rsid w:val="5F03E6E7"/>
    <w:rsid w:val="5F185384"/>
    <w:rsid w:val="5F70DF49"/>
    <w:rsid w:val="5F8C77AE"/>
    <w:rsid w:val="5F946071"/>
    <w:rsid w:val="5FAF3C17"/>
    <w:rsid w:val="601D9524"/>
    <w:rsid w:val="603EF57C"/>
    <w:rsid w:val="6116B744"/>
    <w:rsid w:val="6134344D"/>
    <w:rsid w:val="618B4CF1"/>
    <w:rsid w:val="6197FB8B"/>
    <w:rsid w:val="61A97814"/>
    <w:rsid w:val="61B95120"/>
    <w:rsid w:val="61CAC942"/>
    <w:rsid w:val="62317098"/>
    <w:rsid w:val="623AD874"/>
    <w:rsid w:val="624654B0"/>
    <w:rsid w:val="6261D648"/>
    <w:rsid w:val="62C2E733"/>
    <w:rsid w:val="62E5312E"/>
    <w:rsid w:val="62F6B17A"/>
    <w:rsid w:val="639D795C"/>
    <w:rsid w:val="64081910"/>
    <w:rsid w:val="6433B420"/>
    <w:rsid w:val="648EF8D7"/>
    <w:rsid w:val="64E4EF45"/>
    <w:rsid w:val="65CEC15E"/>
    <w:rsid w:val="65D868FA"/>
    <w:rsid w:val="65E646B3"/>
    <w:rsid w:val="65F07896"/>
    <w:rsid w:val="66536C88"/>
    <w:rsid w:val="6655B9E4"/>
    <w:rsid w:val="6679D9B4"/>
    <w:rsid w:val="669B4483"/>
    <w:rsid w:val="66E901B7"/>
    <w:rsid w:val="6712B95C"/>
    <w:rsid w:val="67142895"/>
    <w:rsid w:val="674485CB"/>
    <w:rsid w:val="678026FB"/>
    <w:rsid w:val="67E028F6"/>
    <w:rsid w:val="6878576B"/>
    <w:rsid w:val="68889C8E"/>
    <w:rsid w:val="68CD69D6"/>
    <w:rsid w:val="6905AE06"/>
    <w:rsid w:val="693BC56C"/>
    <w:rsid w:val="69B7929F"/>
    <w:rsid w:val="69C49246"/>
    <w:rsid w:val="6A00670C"/>
    <w:rsid w:val="6A1CD8D4"/>
    <w:rsid w:val="6A3EA7A2"/>
    <w:rsid w:val="6B0129E6"/>
    <w:rsid w:val="6B08D610"/>
    <w:rsid w:val="6B4EC91E"/>
    <w:rsid w:val="6BF640F1"/>
    <w:rsid w:val="6C251E0A"/>
    <w:rsid w:val="6C611ED3"/>
    <w:rsid w:val="6C667F50"/>
    <w:rsid w:val="6C70616C"/>
    <w:rsid w:val="6C8EE0D8"/>
    <w:rsid w:val="6CBF2E32"/>
    <w:rsid w:val="6CC3BD06"/>
    <w:rsid w:val="6D37DEA8"/>
    <w:rsid w:val="6D599A90"/>
    <w:rsid w:val="6D98371C"/>
    <w:rsid w:val="6DD9732A"/>
    <w:rsid w:val="6E1889C8"/>
    <w:rsid w:val="6E546866"/>
    <w:rsid w:val="6F19C5D6"/>
    <w:rsid w:val="6F3E033B"/>
    <w:rsid w:val="6F778204"/>
    <w:rsid w:val="702F6EAB"/>
    <w:rsid w:val="7097AAB7"/>
    <w:rsid w:val="70AE8095"/>
    <w:rsid w:val="70E72344"/>
    <w:rsid w:val="7104A570"/>
    <w:rsid w:val="7107CC83"/>
    <w:rsid w:val="71138E40"/>
    <w:rsid w:val="711E18B2"/>
    <w:rsid w:val="712F07B6"/>
    <w:rsid w:val="714FC34F"/>
    <w:rsid w:val="717A6681"/>
    <w:rsid w:val="71A01252"/>
    <w:rsid w:val="71BB14D4"/>
    <w:rsid w:val="71EFE01E"/>
    <w:rsid w:val="71F812BB"/>
    <w:rsid w:val="721339D5"/>
    <w:rsid w:val="724CAA65"/>
    <w:rsid w:val="7260BD60"/>
    <w:rsid w:val="730044A6"/>
    <w:rsid w:val="7303BFEE"/>
    <w:rsid w:val="731B6FD9"/>
    <w:rsid w:val="73A10059"/>
    <w:rsid w:val="73B060E3"/>
    <w:rsid w:val="73EE7C6F"/>
    <w:rsid w:val="748B3CBB"/>
    <w:rsid w:val="748F473D"/>
    <w:rsid w:val="749090B5"/>
    <w:rsid w:val="74B60EEF"/>
    <w:rsid w:val="74C7F34C"/>
    <w:rsid w:val="75723D5F"/>
    <w:rsid w:val="758C1F90"/>
    <w:rsid w:val="75B19C8B"/>
    <w:rsid w:val="75C2C4DC"/>
    <w:rsid w:val="76348B69"/>
    <w:rsid w:val="76445887"/>
    <w:rsid w:val="76C20D69"/>
    <w:rsid w:val="76C542EA"/>
    <w:rsid w:val="770BC28C"/>
    <w:rsid w:val="771951F1"/>
    <w:rsid w:val="7786DCBB"/>
    <w:rsid w:val="77A15284"/>
    <w:rsid w:val="77AA86B0"/>
    <w:rsid w:val="78706B5D"/>
    <w:rsid w:val="787218C4"/>
    <w:rsid w:val="7889106B"/>
    <w:rsid w:val="7897946D"/>
    <w:rsid w:val="78C55672"/>
    <w:rsid w:val="78D4968A"/>
    <w:rsid w:val="794579A7"/>
    <w:rsid w:val="7948F4B7"/>
    <w:rsid w:val="7950954D"/>
    <w:rsid w:val="7953F5B6"/>
    <w:rsid w:val="79A600D6"/>
    <w:rsid w:val="79DB5774"/>
    <w:rsid w:val="7A249884"/>
    <w:rsid w:val="7A3FF589"/>
    <w:rsid w:val="7A4CFE26"/>
    <w:rsid w:val="7A619612"/>
    <w:rsid w:val="7A7E7450"/>
    <w:rsid w:val="7AA3B653"/>
    <w:rsid w:val="7AAE662F"/>
    <w:rsid w:val="7AB550A6"/>
    <w:rsid w:val="7B3E51F9"/>
    <w:rsid w:val="7B5E826C"/>
    <w:rsid w:val="7B6DE050"/>
    <w:rsid w:val="7B72D8F7"/>
    <w:rsid w:val="7C2B0B8A"/>
    <w:rsid w:val="7C788FDE"/>
    <w:rsid w:val="7C7DCB6A"/>
    <w:rsid w:val="7CAAE337"/>
    <w:rsid w:val="7D25A87B"/>
    <w:rsid w:val="7D4A7DDA"/>
    <w:rsid w:val="7DC45315"/>
    <w:rsid w:val="7DC7CCAA"/>
    <w:rsid w:val="7DD79724"/>
    <w:rsid w:val="7E0E3552"/>
    <w:rsid w:val="7E199BCB"/>
    <w:rsid w:val="7E55AD35"/>
    <w:rsid w:val="7EA79F08"/>
    <w:rsid w:val="7EC46858"/>
    <w:rsid w:val="7EC50A4C"/>
    <w:rsid w:val="7EFB7F09"/>
    <w:rsid w:val="7F29EAB7"/>
    <w:rsid w:val="7FA6B2B4"/>
    <w:rsid w:val="7FB639DD"/>
    <w:rsid w:val="7FCACB5B"/>
    <w:rsid w:val="7FD21270"/>
    <w:rsid w:val="7FFBF13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FD79A19"/>
  <w15:chartTrackingRefBased/>
  <w15:docId w15:val="{4031C0A7-8918-4805-AFB7-8433CD39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1">
    <w:name w:val="heading 1"/>
    <w:basedOn w:val="ListParagraph"/>
    <w:next w:val="Normal"/>
    <w:link w:val="Heading1Char"/>
    <w:qFormat/>
    <w:rsid w:val="009846C6"/>
    <w:pPr>
      <w:numPr>
        <w:numId w:val="22"/>
      </w:numPr>
      <w:outlineLvl w:val="0"/>
    </w:pPr>
    <w:rPr>
      <w:rFonts w:ascii="Times New Roman" w:hAnsi="Times New Roman" w:cs="Times New Roman"/>
      <w:color w:val="000000" w:themeColor="text1"/>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paragraph" w:styleId="Heading3">
    <w:name w:val="heading 3"/>
    <w:basedOn w:val="Normal"/>
    <w:next w:val="Normal"/>
    <w:link w:val="Heading3Char"/>
    <w:semiHidden/>
    <w:unhideWhenUsed/>
    <w:qFormat/>
    <w:rsid w:val="002C2C4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5D1EE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rsid w:val="00DE67CE"/>
    <w:rPr>
      <w:sz w:val="16"/>
      <w:szCs w:val="16"/>
    </w:rPr>
  </w:style>
  <w:style w:type="paragraph" w:styleId="CommentText">
    <w:name w:val="annotation text"/>
    <w:basedOn w:val="Normal"/>
    <w:link w:val="CommentTextChar"/>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uiPriority w:val="99"/>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iPriority w:val="99"/>
    <w:unhideWhenUsed/>
    <w:rsid w:val="005922E2"/>
    <w:rPr>
      <w:vertAlign w:val="superscript"/>
    </w:rPr>
  </w:style>
  <w:style w:type="character" w:customStyle="1" w:styleId="CommentTextChar">
    <w:name w:val="Comment Text Char"/>
    <w:basedOn w:val="DefaultParagraphFont"/>
    <w:link w:val="CommentText"/>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hAnsi="Times New Roman" w:eastAsiaTheme="minorHAnsi"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 w:type="paragraph" w:styleId="NoSpacing">
    <w:name w:val="No Spacing"/>
    <w:uiPriority w:val="1"/>
    <w:qFormat/>
    <w:rsid w:val="00110B4E"/>
    <w:rPr>
      <w:rFonts w:asciiTheme="minorHAnsi" w:eastAsiaTheme="minorHAnsi" w:hAnsiTheme="minorHAnsi" w:cstheme="minorBidi"/>
      <w:sz w:val="22"/>
      <w:szCs w:val="22"/>
    </w:rPr>
  </w:style>
  <w:style w:type="character" w:styleId="Strong">
    <w:name w:val="Strong"/>
    <w:basedOn w:val="DefaultParagraphFont"/>
    <w:uiPriority w:val="22"/>
    <w:qFormat/>
    <w:rsid w:val="00E75D81"/>
    <w:rPr>
      <w:b/>
      <w:bCs/>
    </w:rPr>
  </w:style>
  <w:style w:type="character" w:customStyle="1" w:styleId="Heading1Char">
    <w:name w:val="Heading 1 Char"/>
    <w:basedOn w:val="DefaultParagraphFont"/>
    <w:link w:val="Heading1"/>
    <w:uiPriority w:val="1"/>
    <w:rsid w:val="009846C6"/>
    <w:rPr>
      <w:color w:val="000000" w:themeColor="text1"/>
      <w:sz w:val="24"/>
      <w:szCs w:val="24"/>
    </w:rPr>
  </w:style>
  <w:style w:type="character" w:customStyle="1" w:styleId="a1">
    <w:name w:val="a1"/>
    <w:basedOn w:val="DefaultParagraphFont"/>
    <w:rsid w:val="00BD34FA"/>
    <w:rPr>
      <w:rFonts w:ascii="Georgia" w:hAnsi="Georgia" w:hint="default"/>
      <w:b w:val="0"/>
      <w:bCs w:val="0"/>
      <w:i w:val="0"/>
      <w:iCs w:val="0"/>
      <w:bdr w:val="none" w:sz="0" w:space="0" w:color="auto" w:frame="1"/>
    </w:rPr>
  </w:style>
  <w:style w:type="character" w:styleId="FollowedHyperlink">
    <w:name w:val="FollowedHyperlink"/>
    <w:basedOn w:val="DefaultParagraphFont"/>
    <w:rsid w:val="004C5CDA"/>
    <w:rPr>
      <w:color w:val="954F72" w:themeColor="followedHyperlink"/>
      <w:u w:val="single"/>
    </w:rPr>
  </w:style>
  <w:style w:type="paragraph" w:styleId="BodyText">
    <w:name w:val="Body Text"/>
    <w:basedOn w:val="Normal"/>
    <w:link w:val="BodyTextChar"/>
    <w:uiPriority w:val="99"/>
    <w:rsid w:val="0035270C"/>
    <w:pPr>
      <w:keepLines/>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rPr>
      <w:rFonts w:ascii="Arial" w:hAnsi="Arial" w:cs="Times New Roman"/>
      <w:sz w:val="22"/>
      <w:szCs w:val="22"/>
    </w:rPr>
  </w:style>
  <w:style w:type="character" w:customStyle="1" w:styleId="BodyTextChar">
    <w:name w:val="Body Text Char"/>
    <w:basedOn w:val="DefaultParagraphFont"/>
    <w:link w:val="BodyText"/>
    <w:uiPriority w:val="99"/>
    <w:rsid w:val="0035270C"/>
    <w:rPr>
      <w:rFonts w:ascii="Arial" w:hAnsi="Arial"/>
      <w:sz w:val="22"/>
      <w:szCs w:val="22"/>
    </w:rPr>
  </w:style>
  <w:style w:type="character" w:customStyle="1" w:styleId="Heading3Char">
    <w:name w:val="Heading 3 Char"/>
    <w:basedOn w:val="DefaultParagraphFont"/>
    <w:link w:val="Heading3"/>
    <w:semiHidden/>
    <w:rsid w:val="002C2C4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F4256"/>
    <w:pPr>
      <w:keepNext/>
      <w:keepLines/>
      <w:widowControl/>
      <w:numPr>
        <w:numId w:val="0"/>
      </w:numPr>
      <w:autoSpaceDE/>
      <w:autoSpaceDN/>
      <w:adjustRightInd/>
      <w:spacing w:before="24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1F4256"/>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1F4256"/>
    <w:pPr>
      <w:widowControl/>
      <w:autoSpaceDE/>
      <w:autoSpaceDN/>
      <w:adjustRightInd/>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1F4256"/>
    <w:pPr>
      <w:widowControl/>
      <w:autoSpaceDE/>
      <w:autoSpaceDN/>
      <w:adjustRightInd/>
      <w:spacing w:after="100" w:line="259" w:lineRule="auto"/>
      <w:ind w:left="440"/>
    </w:pPr>
    <w:rPr>
      <w:rFonts w:asciiTheme="minorHAnsi" w:eastAsiaTheme="minorEastAsia" w:hAnsiTheme="minorHAnsi" w:cs="Times New Roman"/>
      <w:sz w:val="22"/>
      <w:szCs w:val="22"/>
    </w:rPr>
  </w:style>
  <w:style w:type="character" w:customStyle="1" w:styleId="Heading5Char">
    <w:name w:val="Heading 5 Char"/>
    <w:basedOn w:val="DefaultParagraphFont"/>
    <w:link w:val="Heading5"/>
    <w:semiHidden/>
    <w:rsid w:val="005D1EE6"/>
    <w:rPr>
      <w:rFonts w:asciiTheme="majorHAnsi" w:eastAsiaTheme="majorEastAsia" w:hAnsiTheme="majorHAnsi" w:cstheme="majorBidi"/>
      <w:color w:val="2E74B5" w:themeColor="accent1" w:themeShade="BF"/>
      <w:sz w:val="24"/>
      <w:szCs w:val="24"/>
    </w:rPr>
  </w:style>
  <w:style w:type="paragraph" w:customStyle="1" w:styleId="Default">
    <w:name w:val="Default"/>
    <w:basedOn w:val="Normal"/>
    <w:rsid w:val="29099897"/>
    <w:rPr>
      <w:rFonts w:ascii="Times New Roman" w:hAnsi="Times New Roman" w:cs="Times New Roman"/>
      <w:color w:val="000000" w:themeColor="text1"/>
    </w:rPr>
  </w:style>
  <w:style w:type="character" w:styleId="UnresolvedMention">
    <w:name w:val="Unresolved Mention"/>
    <w:basedOn w:val="DefaultParagraphFont"/>
    <w:uiPriority w:val="99"/>
    <w:unhideWhenUsed/>
    <w:rsid w:val="00D860E6"/>
    <w:rPr>
      <w:color w:val="605E5C"/>
      <w:shd w:val="clear" w:color="auto" w:fill="E1DFDD"/>
    </w:rPr>
  </w:style>
  <w:style w:type="character" w:styleId="Mention">
    <w:name w:val="Mention"/>
    <w:basedOn w:val="DefaultParagraphFont"/>
    <w:uiPriority w:val="99"/>
    <w:unhideWhenUsed/>
    <w:rsid w:val="00D860E6"/>
    <w:rPr>
      <w:color w:val="2B579A"/>
      <w:shd w:val="clear" w:color="auto" w:fill="E1DFDD"/>
    </w:rPr>
  </w:style>
  <w:style w:type="character" w:customStyle="1" w:styleId="FooterChar">
    <w:name w:val="Footer Char"/>
    <w:basedOn w:val="DefaultParagraphFont"/>
    <w:link w:val="Footer"/>
    <w:uiPriority w:val="99"/>
    <w:rsid w:val="00993C92"/>
    <w:rPr>
      <w:rFonts w:ascii="Courier" w:hAnsi="Courier" w:cs="Courier"/>
      <w:sz w:val="24"/>
      <w:szCs w:val="24"/>
    </w:rPr>
  </w:style>
  <w:style w:type="paragraph" w:styleId="BlockText">
    <w:name w:val="Block Text"/>
    <w:basedOn w:val="Normal"/>
    <w:rsid w:val="00F47394"/>
    <w:pPr>
      <w:widowControl/>
      <w:autoSpaceDE/>
      <w:autoSpaceDN/>
      <w:adjustRightInd/>
      <w:spacing w:after="120"/>
      <w:ind w:left="1440" w:right="1440"/>
    </w:pPr>
    <w:rPr>
      <w:rFonts w:ascii="Times New Roman" w:hAnsi="Times New Roman" w:cs="Times New Roman"/>
    </w:rPr>
  </w:style>
  <w:style w:type="paragraph" w:customStyle="1" w:styleId="paragraph">
    <w:name w:val="paragraph"/>
    <w:basedOn w:val="Normal"/>
    <w:rsid w:val="00801DCF"/>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Woodwell@cdc.gov" TargetMode="External" /><Relationship Id="rId11" Type="http://schemas.openxmlformats.org/officeDocument/2006/relationships/hyperlink" Target="https://www.bls.gov/news.release/pdf/ocwage.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DAA29431A8DA49804376CA5319AE7A" ma:contentTypeVersion="4" ma:contentTypeDescription="Create a new document." ma:contentTypeScope="" ma:versionID="0efa9b0b5231487dd80b35bd34f718e5">
  <xsd:schema xmlns:xsd="http://www.w3.org/2001/XMLSchema" xmlns:xs="http://www.w3.org/2001/XMLSchema" xmlns:p="http://schemas.microsoft.com/office/2006/metadata/properties" xmlns:ns2="1cb68687-f496-4db3-b5bd-c41440381a4a" xmlns:ns3="bd64ead2-f373-4c38-be2a-defab1dc671f" targetNamespace="http://schemas.microsoft.com/office/2006/metadata/properties" ma:root="true" ma:fieldsID="8e6b1f28d1779f572f3988e354a54102" ns2:_="" ns3:_="">
    <xsd:import namespace="1cb68687-f496-4db3-b5bd-c41440381a4a"/>
    <xsd:import namespace="bd64ead2-f373-4c38-be2a-defab1dc6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68687-f496-4db3-b5bd-c41440381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4ead2-f373-4c38-be2a-defab1dc6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9F8C6-25E2-4A1D-8ECE-D75C86516784}">
  <ds:schemaRefs>
    <ds:schemaRef ds:uri="http://schemas.openxmlformats.org/officeDocument/2006/bibliography"/>
  </ds:schemaRefs>
</ds:datastoreItem>
</file>

<file path=customXml/itemProps2.xml><?xml version="1.0" encoding="utf-8"?>
<ds:datastoreItem xmlns:ds="http://schemas.openxmlformats.org/officeDocument/2006/customXml" ds:itemID="{CEC87DAA-97F0-436A-AEDC-4B820F966858}">
  <ds:schemaRefs>
    <ds:schemaRef ds:uri="http://schemas.microsoft.com/sharepoint/v3/contenttype/forms"/>
  </ds:schemaRefs>
</ds:datastoreItem>
</file>

<file path=customXml/itemProps3.xml><?xml version="1.0" encoding="utf-8"?>
<ds:datastoreItem xmlns:ds="http://schemas.openxmlformats.org/officeDocument/2006/customXml" ds:itemID="{7E651A82-FC9D-471D-8A95-450938102B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7860E4-DC35-4401-8355-386FE167C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68687-f496-4db3-b5bd-c41440381a4a"/>
    <ds:schemaRef ds:uri="bd64ead2-f373-4c38-be2a-defab1dc6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5755</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National Health and Nutrition Examination Survey</vt:lpstr>
    </vt:vector>
  </TitlesOfParts>
  <Company>ITSO</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Nutrition Examination Survey</dc:title>
  <dc:creator>vlb2</dc:creator>
  <cp:lastModifiedBy>Joyce, Kevin J. (CDC/OD/OS)</cp:lastModifiedBy>
  <cp:revision>3</cp:revision>
  <cp:lastPrinted>2018-06-14T13:38:00Z</cp:lastPrinted>
  <dcterms:created xsi:type="dcterms:W3CDTF">2024-11-14T13:25:00Z</dcterms:created>
  <dcterms:modified xsi:type="dcterms:W3CDTF">2024-11-14T13:32:00Z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0x010100CFDAA29431A8DA49804376CA5319AE7A</vt:lpwstr>
  </property>
  <property fmtid="{D5CDD505-2E9C-101B-9397-08002B2CF9AE}" pid="3" name="MSIP_Label_8af03ff0-41c5-4c41-b55e-fabb8fae94be_ActionId">
    <vt:lpwstr>6efcf3e2-ad01-418f-a19d-8b8cc905e802</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2022-11-13T22:50:02Z</vt:lpwstr>
  </property>
  <property fmtid="{D5CDD505-2E9C-101B-9397-08002B2CF9AE}" pid="9" name="MSIP_Label_8af03ff0-41c5-4c41-b55e-fabb8fae94be_SiteId">
    <vt:lpwstr>9ce70869-60db-44fd-abe8-d2767077fc8f</vt:lpwstr>
  </property>
</Properties>
</file>