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5B7E" w:rsidRPr="005C5B7E" w:rsidP="005C5B7E" w14:paraId="071B816D" w14:textId="77777777">
      <w:pPr>
        <w:jc w:val="center"/>
        <w:rPr>
          <w:sz w:val="28"/>
          <w:szCs w:val="28"/>
        </w:rPr>
      </w:pPr>
      <w:bookmarkStart w:id="0" w:name="_Toc172096613"/>
    </w:p>
    <w:p w:rsidR="00C2519B" w:rsidP="00C2519B" w14:paraId="4540E579" w14:textId="77777777">
      <w:pPr>
        <w:jc w:val="center"/>
        <w:rPr>
          <w:rFonts w:ascii="Arial" w:hAnsi="Arial" w:cs="Arial"/>
          <w:bCs/>
        </w:rPr>
      </w:pPr>
    </w:p>
    <w:p w:rsidR="00C2519B" w:rsidP="00C2519B" w14:paraId="65B0399B" w14:textId="77777777">
      <w:pPr>
        <w:jc w:val="center"/>
        <w:rPr>
          <w:rFonts w:ascii="Arial" w:hAnsi="Arial" w:cs="Arial"/>
          <w:bCs/>
        </w:rPr>
      </w:pPr>
    </w:p>
    <w:p w:rsidR="00C2519B" w:rsidP="00C2519B" w14:paraId="349EE9AB" w14:textId="77777777">
      <w:pPr>
        <w:jc w:val="center"/>
        <w:rPr>
          <w:rFonts w:ascii="Arial" w:hAnsi="Arial" w:cs="Arial"/>
          <w:bCs/>
        </w:rPr>
      </w:pPr>
    </w:p>
    <w:p w:rsidR="00C2519B" w:rsidP="00C2519B" w14:paraId="4F771059" w14:textId="77777777">
      <w:pPr>
        <w:jc w:val="center"/>
        <w:rPr>
          <w:rFonts w:ascii="Arial" w:hAnsi="Arial" w:cs="Arial"/>
          <w:bCs/>
        </w:rPr>
      </w:pPr>
    </w:p>
    <w:p w:rsidR="00C2519B" w:rsidP="00C2519B" w14:paraId="25BB0E42" w14:textId="77777777">
      <w:pPr>
        <w:jc w:val="center"/>
        <w:rPr>
          <w:rFonts w:ascii="Arial" w:hAnsi="Arial" w:cs="Arial"/>
          <w:bCs/>
        </w:rPr>
      </w:pPr>
    </w:p>
    <w:p w:rsidR="00C2519B" w:rsidRPr="00616238" w:rsidP="4D920234" w14:paraId="141ED159" w14:textId="70C9B7F4">
      <w:pPr>
        <w:jc w:val="center"/>
        <w:rPr>
          <w:b/>
          <w:bCs/>
          <w:sz w:val="24"/>
        </w:rPr>
      </w:pPr>
      <w:r w:rsidRPr="00616238">
        <w:rPr>
          <w:b/>
          <w:bCs/>
          <w:sz w:val="24"/>
        </w:rPr>
        <w:t>Supporting Statement B for Request for Clearance</w:t>
      </w:r>
    </w:p>
    <w:p w:rsidR="00C2519B" w:rsidRPr="006A00DF" w:rsidP="00C2519B" w14:paraId="7D51EEDD" w14:textId="77777777">
      <w:pPr>
        <w:jc w:val="center"/>
        <w:rPr>
          <w:rFonts w:ascii="Arial" w:hAnsi="Arial" w:cs="Arial"/>
          <w:bCs/>
        </w:rPr>
      </w:pPr>
    </w:p>
    <w:p w:rsidR="00C2519B" w:rsidRPr="006A00DF" w:rsidP="00C2519B" w14:paraId="4B458294" w14:textId="77777777">
      <w:pPr>
        <w:jc w:val="center"/>
        <w:rPr>
          <w:rFonts w:ascii="Arial" w:hAnsi="Arial" w:cs="Arial"/>
          <w:bCs/>
        </w:rPr>
      </w:pPr>
    </w:p>
    <w:p w:rsidR="00C2519B" w:rsidRPr="006A00DF" w:rsidP="00C2519B" w14:paraId="149C9027" w14:textId="77777777">
      <w:pPr>
        <w:jc w:val="center"/>
        <w:rPr>
          <w:rFonts w:ascii="Arial" w:hAnsi="Arial" w:cs="Arial"/>
          <w:b/>
          <w:bCs/>
        </w:rPr>
      </w:pPr>
    </w:p>
    <w:p w:rsidR="00B935C2" w:rsidRPr="006A00DF" w:rsidP="4D920234" w14:paraId="466941B5" w14:textId="759D475A">
      <w:pPr>
        <w:jc w:val="center"/>
        <w:rPr>
          <w:b/>
          <w:bCs/>
          <w:sz w:val="24"/>
        </w:rPr>
      </w:pPr>
      <w:r w:rsidRPr="006A00DF">
        <w:rPr>
          <w:b/>
          <w:bCs/>
          <w:sz w:val="24"/>
        </w:rPr>
        <w:t>Developmenta</w:t>
      </w:r>
      <w:r w:rsidR="00BD76F6">
        <w:rPr>
          <w:b/>
          <w:bCs/>
          <w:sz w:val="24"/>
        </w:rPr>
        <w:t>l</w:t>
      </w:r>
      <w:r w:rsidRPr="006A00DF">
        <w:rPr>
          <w:b/>
          <w:bCs/>
          <w:sz w:val="24"/>
        </w:rPr>
        <w:t xml:space="preserve"> Projects to Improve the </w:t>
      </w:r>
    </w:p>
    <w:p w:rsidR="00B935C2" w:rsidRPr="006A00DF" w:rsidP="00B935C2" w14:paraId="4F0A856F" w14:textId="77777777">
      <w:pPr>
        <w:jc w:val="center"/>
        <w:rPr>
          <w:b/>
          <w:bCs/>
          <w:sz w:val="24"/>
        </w:rPr>
      </w:pPr>
      <w:r w:rsidRPr="006A00DF">
        <w:rPr>
          <w:b/>
          <w:bCs/>
          <w:sz w:val="24"/>
        </w:rPr>
        <w:t xml:space="preserve">National Health and Nutrition Examination Survey </w:t>
      </w:r>
    </w:p>
    <w:p w:rsidR="00B935C2" w:rsidP="00B935C2" w14:paraId="61ADD481" w14:textId="5FAB3A61">
      <w:pPr>
        <w:jc w:val="center"/>
        <w:rPr>
          <w:b/>
          <w:bCs/>
          <w:sz w:val="24"/>
        </w:rPr>
      </w:pPr>
      <w:r w:rsidRPr="006A00DF">
        <w:rPr>
          <w:b/>
          <w:bCs/>
          <w:sz w:val="24"/>
        </w:rPr>
        <w:t>And</w:t>
      </w:r>
      <w:r w:rsidRPr="006A00DF">
        <w:rPr>
          <w:b/>
          <w:bCs/>
          <w:sz w:val="24"/>
        </w:rPr>
        <w:t xml:space="preserve"> </w:t>
      </w:r>
      <w:r w:rsidR="00D057E3">
        <w:rPr>
          <w:b/>
          <w:bCs/>
          <w:sz w:val="24"/>
        </w:rPr>
        <w:t>Similar</w:t>
      </w:r>
      <w:r w:rsidRPr="006A00DF">
        <w:rPr>
          <w:b/>
          <w:bCs/>
          <w:sz w:val="24"/>
        </w:rPr>
        <w:t xml:space="preserve"> Programs</w:t>
      </w:r>
    </w:p>
    <w:p w:rsidR="00823501" w:rsidRPr="006A00DF" w:rsidP="00B935C2" w14:paraId="06C43BD7" w14:textId="77777777">
      <w:pPr>
        <w:jc w:val="center"/>
        <w:rPr>
          <w:b/>
          <w:bCs/>
        </w:rPr>
      </w:pPr>
    </w:p>
    <w:p w:rsidR="6FD05B7E" w:rsidP="4D920234" w14:paraId="29F0DB9C" w14:textId="301DAD95">
      <w:pPr>
        <w:jc w:val="center"/>
        <w:rPr>
          <w:b/>
        </w:rPr>
      </w:pPr>
      <w:r w:rsidRPr="006A00DF">
        <w:rPr>
          <w:b/>
          <w:bCs/>
          <w:sz w:val="24"/>
        </w:rPr>
        <w:t>OMB No. 0920-1208</w:t>
      </w:r>
    </w:p>
    <w:p w:rsidR="6FD05B7E" w:rsidRPr="006A00DF" w:rsidP="4D920234" w14:paraId="7CF0EFB7" w14:textId="50D9A3AF">
      <w:pPr>
        <w:jc w:val="center"/>
        <w:rPr>
          <w:b/>
          <w:bCs/>
          <w:sz w:val="24"/>
        </w:rPr>
      </w:pPr>
      <w:r w:rsidRPr="006A00DF">
        <w:rPr>
          <w:b/>
          <w:bCs/>
          <w:sz w:val="24"/>
        </w:rPr>
        <w:t>Expiration Date: 0</w:t>
      </w:r>
      <w:r w:rsidR="00D057E3">
        <w:rPr>
          <w:b/>
          <w:bCs/>
          <w:sz w:val="24"/>
        </w:rPr>
        <w:t>5/31/2026</w:t>
      </w:r>
    </w:p>
    <w:p w:rsidR="00227EEC" w:rsidRPr="006A00DF" w:rsidP="00227EEC" w14:paraId="68D7C28E" w14:textId="676E5040">
      <w:pPr>
        <w:jc w:val="center"/>
        <w:rPr>
          <w:b/>
          <w:bCs/>
        </w:rPr>
      </w:pPr>
    </w:p>
    <w:p w:rsidR="00227EEC" w:rsidRPr="006A00DF" w:rsidP="00227EEC" w14:paraId="384FC217" w14:textId="77777777">
      <w:pPr>
        <w:jc w:val="center"/>
        <w:rPr>
          <w:b/>
          <w:bCs/>
        </w:rPr>
      </w:pPr>
    </w:p>
    <w:p w:rsidR="00E55AFF" w:rsidRPr="00D12F7A" w:rsidP="00E55AFF" w14:paraId="7BE02A24" w14:textId="77777777">
      <w:pPr>
        <w:jc w:val="center"/>
        <w:rPr>
          <w:b/>
          <w:bCs/>
          <w:color w:val="000000" w:themeColor="text1"/>
        </w:rPr>
      </w:pPr>
      <w:r>
        <w:rPr>
          <w:b/>
          <w:bCs/>
          <w:color w:val="000000" w:themeColor="text1"/>
        </w:rPr>
        <w:t>Dual Energy X-ray Absorptiometry (DXA) and Hematology Analyzer and Blood Collection Tube Crossover Studies</w:t>
      </w:r>
    </w:p>
    <w:p w:rsidR="00227EEC" w:rsidRPr="006A00DF" w:rsidP="00227EEC" w14:paraId="7DD1155A" w14:textId="77777777">
      <w:pPr>
        <w:jc w:val="center"/>
        <w:rPr>
          <w:bCs/>
          <w:sz w:val="24"/>
          <w:u w:val="single"/>
        </w:rPr>
      </w:pPr>
    </w:p>
    <w:p w:rsidR="00227EEC" w:rsidRPr="006A00DF" w:rsidP="00227EEC" w14:paraId="6ECD868F" w14:textId="77777777">
      <w:pPr>
        <w:jc w:val="center"/>
        <w:rPr>
          <w:bCs/>
          <w:sz w:val="24"/>
        </w:rPr>
      </w:pPr>
    </w:p>
    <w:p w:rsidR="00227EEC" w:rsidRPr="006A00DF" w:rsidP="00227EEC" w14:paraId="5DAFFBDB" w14:textId="77777777">
      <w:pPr>
        <w:jc w:val="center"/>
        <w:rPr>
          <w:bCs/>
          <w:sz w:val="24"/>
        </w:rPr>
      </w:pPr>
    </w:p>
    <w:p w:rsidR="00227EEC" w:rsidRPr="006A00DF" w:rsidP="00227EEC" w14:paraId="435DED94" w14:textId="77777777">
      <w:pPr>
        <w:jc w:val="center"/>
        <w:rPr>
          <w:bCs/>
          <w:sz w:val="24"/>
        </w:rPr>
      </w:pPr>
    </w:p>
    <w:p w:rsidR="00227EEC" w:rsidRPr="006A00DF" w:rsidP="00227EEC" w14:paraId="05702B9F" w14:textId="77777777">
      <w:pPr>
        <w:jc w:val="center"/>
        <w:rPr>
          <w:bCs/>
          <w:sz w:val="24"/>
        </w:rPr>
      </w:pPr>
    </w:p>
    <w:p w:rsidR="00227EEC" w:rsidRPr="006A00DF" w:rsidP="00227EEC" w14:paraId="3B4638F8" w14:textId="77777777">
      <w:pPr>
        <w:jc w:val="center"/>
        <w:rPr>
          <w:bCs/>
          <w:sz w:val="24"/>
        </w:rPr>
      </w:pPr>
      <w:r w:rsidRPr="006A00DF">
        <w:rPr>
          <w:bCs/>
          <w:sz w:val="24"/>
        </w:rPr>
        <w:t>Contact Information:</w:t>
      </w:r>
    </w:p>
    <w:p w:rsidR="00227EEC" w:rsidRPr="006A00DF" w:rsidP="00227EEC" w14:paraId="10046381" w14:textId="77777777">
      <w:pPr>
        <w:jc w:val="center"/>
        <w:rPr>
          <w:bCs/>
          <w:sz w:val="24"/>
        </w:rPr>
      </w:pPr>
    </w:p>
    <w:p w:rsidR="00227EEC" w:rsidRPr="006A00DF" w:rsidP="00227EEC" w14:paraId="136A0470" w14:textId="77777777">
      <w:pPr>
        <w:jc w:val="center"/>
        <w:rPr>
          <w:bCs/>
          <w:sz w:val="24"/>
        </w:rPr>
      </w:pPr>
      <w:r w:rsidRPr="006A00DF">
        <w:rPr>
          <w:bCs/>
          <w:sz w:val="24"/>
        </w:rPr>
        <w:t>David Woodwell, MPH</w:t>
      </w:r>
    </w:p>
    <w:p w:rsidR="00227EEC" w:rsidRPr="006A00DF" w:rsidP="00227EEC" w14:paraId="6538F57B" w14:textId="77777777">
      <w:pPr>
        <w:jc w:val="center"/>
        <w:rPr>
          <w:bCs/>
          <w:sz w:val="24"/>
        </w:rPr>
      </w:pPr>
      <w:r w:rsidRPr="006A00DF">
        <w:rPr>
          <w:bCs/>
          <w:sz w:val="24"/>
        </w:rPr>
        <w:t>Chief, Planning Branch</w:t>
      </w:r>
    </w:p>
    <w:p w:rsidR="00227EEC" w:rsidRPr="006A00DF" w:rsidP="00227EEC" w14:paraId="552E63BF" w14:textId="77777777">
      <w:pPr>
        <w:jc w:val="center"/>
        <w:rPr>
          <w:bCs/>
          <w:sz w:val="24"/>
        </w:rPr>
      </w:pPr>
      <w:r w:rsidRPr="006A00DF">
        <w:rPr>
          <w:bCs/>
          <w:sz w:val="24"/>
        </w:rPr>
        <w:t>National Health and Nutrition Examination Survey</w:t>
      </w:r>
    </w:p>
    <w:p w:rsidR="00227EEC" w:rsidRPr="006A00DF" w:rsidP="4D920234" w14:paraId="5C5156C0" w14:textId="2D0FA480">
      <w:pPr>
        <w:jc w:val="center"/>
        <w:rPr>
          <w:sz w:val="24"/>
        </w:rPr>
      </w:pPr>
      <w:r w:rsidRPr="006A00DF">
        <w:rPr>
          <w:sz w:val="24"/>
        </w:rPr>
        <w:t>National Center for Health Statistics</w:t>
      </w:r>
    </w:p>
    <w:p w:rsidR="00227EEC" w:rsidRPr="006A00DF" w:rsidP="4D920234" w14:paraId="6FB57E16" w14:textId="3D54A703">
      <w:pPr>
        <w:jc w:val="center"/>
        <w:rPr>
          <w:sz w:val="24"/>
        </w:rPr>
      </w:pPr>
      <w:r w:rsidRPr="006A00DF">
        <w:rPr>
          <w:sz w:val="24"/>
        </w:rPr>
        <w:t>Centers for Disease Control and Prevention</w:t>
      </w:r>
    </w:p>
    <w:p w:rsidR="00227EEC" w:rsidRPr="006A00DF" w:rsidP="00227EEC" w14:paraId="20B2FAD2" w14:textId="77777777">
      <w:pPr>
        <w:jc w:val="center"/>
        <w:rPr>
          <w:bCs/>
          <w:sz w:val="24"/>
        </w:rPr>
      </w:pPr>
      <w:r w:rsidRPr="006A00DF">
        <w:rPr>
          <w:bCs/>
          <w:sz w:val="24"/>
        </w:rPr>
        <w:t>3311 Toledo Road</w:t>
      </w:r>
    </w:p>
    <w:p w:rsidR="00227EEC" w:rsidRPr="006A00DF" w:rsidP="00227EEC" w14:paraId="0D4D0244" w14:textId="77777777">
      <w:pPr>
        <w:jc w:val="center"/>
        <w:rPr>
          <w:bCs/>
          <w:sz w:val="24"/>
        </w:rPr>
      </w:pPr>
      <w:r w:rsidRPr="006A00DF">
        <w:rPr>
          <w:bCs/>
          <w:sz w:val="24"/>
        </w:rPr>
        <w:t>Hyattsville, MD 20782</w:t>
      </w:r>
    </w:p>
    <w:p w:rsidR="00227EEC" w:rsidRPr="006A00DF" w:rsidP="00227EEC" w14:paraId="5E5C921D" w14:textId="77777777">
      <w:pPr>
        <w:jc w:val="center"/>
        <w:rPr>
          <w:bCs/>
          <w:sz w:val="24"/>
        </w:rPr>
      </w:pPr>
    </w:p>
    <w:p w:rsidR="00227EEC" w:rsidRPr="006A00DF" w:rsidP="00227EEC" w14:paraId="205E5135" w14:textId="77777777">
      <w:pPr>
        <w:jc w:val="center"/>
        <w:rPr>
          <w:bCs/>
          <w:sz w:val="24"/>
        </w:rPr>
      </w:pPr>
      <w:r w:rsidRPr="006A00DF">
        <w:rPr>
          <w:bCs/>
          <w:sz w:val="24"/>
        </w:rPr>
        <w:t>Telephone: 301-458-4327</w:t>
      </w:r>
    </w:p>
    <w:p w:rsidR="00227EEC" w:rsidRPr="00C770D4" w:rsidP="00227EEC" w14:paraId="5D5E1C98" w14:textId="77777777">
      <w:pPr>
        <w:jc w:val="center"/>
        <w:rPr>
          <w:bCs/>
          <w:sz w:val="24"/>
        </w:rPr>
      </w:pPr>
      <w:r w:rsidRPr="00C770D4">
        <w:rPr>
          <w:bCs/>
          <w:sz w:val="24"/>
        </w:rPr>
        <w:t>FAX: 301-458-4028</w:t>
      </w:r>
    </w:p>
    <w:p w:rsidR="00C2519B" w:rsidRPr="00C770D4" w:rsidP="4D920234" w14:paraId="6F2E81D7" w14:textId="6FC48806">
      <w:pPr>
        <w:jc w:val="center"/>
        <w:rPr>
          <w:sz w:val="24"/>
        </w:rPr>
      </w:pPr>
      <w:hyperlink r:id="rId8" w:history="1">
        <w:r w:rsidRPr="00C770D4" w:rsidR="00C770D4">
          <w:rPr>
            <w:rStyle w:val="Hyperlink"/>
            <w:sz w:val="24"/>
          </w:rPr>
          <w:t>DWoodwell@cdc.gov</w:t>
        </w:r>
      </w:hyperlink>
    </w:p>
    <w:p w:rsidR="00C770D4" w:rsidP="4D920234" w14:paraId="52BFFB3B" w14:textId="77777777">
      <w:pPr>
        <w:jc w:val="center"/>
        <w:rPr>
          <w:sz w:val="24"/>
        </w:rPr>
      </w:pPr>
    </w:p>
    <w:p w:rsidR="00E55AFF" w:rsidP="4D920234" w14:paraId="08A098E2" w14:textId="77777777">
      <w:pPr>
        <w:jc w:val="center"/>
        <w:rPr>
          <w:sz w:val="24"/>
        </w:rPr>
      </w:pPr>
    </w:p>
    <w:p w:rsidR="00E55AFF" w:rsidRPr="00C770D4" w:rsidP="4D920234" w14:paraId="225BEA85" w14:textId="77777777">
      <w:pPr>
        <w:jc w:val="center"/>
        <w:rPr>
          <w:sz w:val="24"/>
        </w:rPr>
      </w:pPr>
    </w:p>
    <w:p w:rsidR="00C770D4" w:rsidP="00536C55" w14:paraId="6E5041EE" w14:textId="2B7E852B">
      <w:pPr>
        <w:jc w:val="center"/>
        <w:rPr>
          <w:i/>
          <w:sz w:val="28"/>
          <w:szCs w:val="28"/>
        </w:rPr>
      </w:pPr>
      <w:r>
        <w:rPr>
          <w:b/>
          <w:color w:val="000000" w:themeColor="text1"/>
        </w:rPr>
        <w:t xml:space="preserve">October </w:t>
      </w:r>
      <w:r w:rsidR="0014092B">
        <w:rPr>
          <w:b/>
          <w:color w:val="000000" w:themeColor="text1"/>
        </w:rPr>
        <w:t>31</w:t>
      </w:r>
      <w:r w:rsidR="00E55AFF">
        <w:rPr>
          <w:b/>
          <w:color w:val="000000" w:themeColor="text1"/>
        </w:rPr>
        <w:t>, 2024</w:t>
      </w:r>
      <w:r>
        <w:rPr>
          <w:i/>
          <w:sz w:val="28"/>
          <w:szCs w:val="28"/>
        </w:rPr>
        <w:br w:type="page"/>
      </w:r>
    </w:p>
    <w:p w:rsidR="0021329B" w:rsidRPr="00B53EE0" w14:paraId="490D4C36" w14:textId="2329C8EE">
      <w:pPr>
        <w:rPr>
          <w:sz w:val="24"/>
        </w:rPr>
      </w:pPr>
      <w:r w:rsidRPr="00616238">
        <w:rPr>
          <w:rFonts w:eastAsia="Calibri"/>
          <w:b/>
          <w:bCs/>
          <w:color w:val="365F91" w:themeColor="accent1" w:themeShade="BF"/>
          <w:sz w:val="24"/>
        </w:rPr>
        <w:t xml:space="preserve"> </w:t>
      </w:r>
    </w:p>
    <w:sdt>
      <w:sdtPr>
        <w:rPr>
          <w:rFonts w:ascii="Times New Roman" w:eastAsia="Times New Roman" w:hAnsi="Times New Roman" w:cs="Times New Roman"/>
          <w:color w:val="auto"/>
          <w:sz w:val="24"/>
          <w:szCs w:val="24"/>
        </w:rPr>
        <w:id w:val="866490357"/>
        <w:docPartObj>
          <w:docPartGallery w:val="Table of Contents"/>
          <w:docPartUnique/>
        </w:docPartObj>
      </w:sdtPr>
      <w:sdtEndPr>
        <w:rPr>
          <w:rFonts w:eastAsia="Calibri"/>
        </w:rPr>
      </w:sdtEndPr>
      <w:sdtContent>
        <w:p w:rsidR="00C770D4" w:rsidRPr="004B1C6A" w14:paraId="47C68A8C" w14:textId="67D60D8E">
          <w:pPr>
            <w:pStyle w:val="TOCHeading"/>
            <w:rPr>
              <w:rFonts w:ascii="Times New Roman" w:hAnsi="Times New Roman" w:cs="Times New Roman"/>
              <w:sz w:val="24"/>
              <w:szCs w:val="24"/>
            </w:rPr>
          </w:pPr>
          <w:r w:rsidRPr="004B1C6A">
            <w:rPr>
              <w:rFonts w:ascii="Times New Roman" w:hAnsi="Times New Roman" w:cs="Times New Roman"/>
              <w:sz w:val="24"/>
              <w:szCs w:val="24"/>
            </w:rPr>
            <w:t>Contents</w:t>
          </w:r>
        </w:p>
        <w:p w:rsidR="00773EF6" w:rsidRPr="004B1C6A" w14:paraId="27C361F8" w14:textId="6C1F650F">
          <w:pPr>
            <w:pStyle w:val="TOC2"/>
            <w:rPr>
              <w:rFonts w:asciiTheme="minorHAnsi" w:eastAsiaTheme="minorEastAsia" w:hAnsiTheme="minorHAnsi" w:cstheme="minorBidi"/>
              <w:noProof/>
              <w:kern w:val="2"/>
              <w:sz w:val="24"/>
              <w14:ligatures w14:val="standardContextual"/>
            </w:rPr>
          </w:pPr>
          <w:r w:rsidRPr="004B1C6A">
            <w:rPr>
              <w:sz w:val="24"/>
            </w:rPr>
            <w:fldChar w:fldCharType="begin"/>
          </w:r>
          <w:r w:rsidRPr="004B1C6A">
            <w:rPr>
              <w:sz w:val="24"/>
            </w:rPr>
            <w:instrText xml:space="preserve"> TOC \o "1-3" \h \z \u </w:instrText>
          </w:r>
          <w:r w:rsidRPr="004B1C6A">
            <w:rPr>
              <w:sz w:val="24"/>
            </w:rPr>
            <w:fldChar w:fldCharType="separate"/>
          </w:r>
          <w:hyperlink w:anchor="_Toc177120748" w:history="1">
            <w:r w:rsidRPr="004B1C6A">
              <w:rPr>
                <w:rStyle w:val="Hyperlink"/>
                <w:noProof/>
                <w:sz w:val="24"/>
              </w:rPr>
              <w:t>B. Collection of Information Employing Statistical Methods</w:t>
            </w:r>
            <w:r w:rsidRPr="004B1C6A">
              <w:rPr>
                <w:noProof/>
                <w:webHidden/>
                <w:sz w:val="24"/>
              </w:rPr>
              <w:tab/>
            </w:r>
            <w:r w:rsidRPr="004B1C6A">
              <w:rPr>
                <w:noProof/>
                <w:webHidden/>
                <w:sz w:val="24"/>
              </w:rPr>
              <w:fldChar w:fldCharType="begin"/>
            </w:r>
            <w:r w:rsidRPr="004B1C6A">
              <w:rPr>
                <w:noProof/>
                <w:webHidden/>
                <w:sz w:val="24"/>
              </w:rPr>
              <w:instrText xml:space="preserve"> PAGEREF _Toc177120748 \h </w:instrText>
            </w:r>
            <w:r w:rsidRPr="004B1C6A">
              <w:rPr>
                <w:noProof/>
                <w:webHidden/>
                <w:sz w:val="24"/>
              </w:rPr>
              <w:fldChar w:fldCharType="separate"/>
            </w:r>
            <w:r w:rsidR="0014092B">
              <w:rPr>
                <w:noProof/>
                <w:webHidden/>
                <w:sz w:val="24"/>
              </w:rPr>
              <w:t>3</w:t>
            </w:r>
            <w:r w:rsidRPr="004B1C6A">
              <w:rPr>
                <w:noProof/>
                <w:webHidden/>
                <w:sz w:val="24"/>
              </w:rPr>
              <w:fldChar w:fldCharType="end"/>
            </w:r>
          </w:hyperlink>
        </w:p>
        <w:p w:rsidR="00773EF6" w:rsidRPr="004B1C6A" w14:paraId="0D923553" w14:textId="2D877FFD">
          <w:pPr>
            <w:pStyle w:val="TOC2"/>
            <w:rPr>
              <w:rFonts w:asciiTheme="minorHAnsi" w:eastAsiaTheme="minorEastAsia" w:hAnsiTheme="minorHAnsi" w:cstheme="minorBidi"/>
              <w:noProof/>
              <w:kern w:val="2"/>
              <w:sz w:val="24"/>
              <w14:ligatures w14:val="standardContextual"/>
            </w:rPr>
          </w:pPr>
          <w:hyperlink w:anchor="_Toc177120749" w:history="1">
            <w:r w:rsidRPr="004B1C6A">
              <w:rPr>
                <w:rStyle w:val="Hyperlink"/>
                <w:noProof/>
                <w:sz w:val="24"/>
              </w:rPr>
              <w:t>1.</w:t>
            </w:r>
            <w:r w:rsidRPr="004B1C6A">
              <w:rPr>
                <w:rFonts w:asciiTheme="minorHAnsi" w:eastAsiaTheme="minorEastAsia" w:hAnsiTheme="minorHAnsi" w:cstheme="minorBidi"/>
                <w:noProof/>
                <w:kern w:val="2"/>
                <w:sz w:val="24"/>
                <w14:ligatures w14:val="standardContextual"/>
              </w:rPr>
              <w:tab/>
            </w:r>
            <w:r w:rsidRPr="004B1C6A">
              <w:rPr>
                <w:rStyle w:val="Hyperlink"/>
                <w:noProof/>
                <w:sz w:val="24"/>
              </w:rPr>
              <w:t>Respondent Universe and Sampling Methods</w:t>
            </w:r>
            <w:r w:rsidRPr="004B1C6A">
              <w:rPr>
                <w:noProof/>
                <w:webHidden/>
                <w:sz w:val="24"/>
              </w:rPr>
              <w:tab/>
            </w:r>
            <w:r w:rsidRPr="004B1C6A">
              <w:rPr>
                <w:noProof/>
                <w:webHidden/>
                <w:sz w:val="24"/>
              </w:rPr>
              <w:fldChar w:fldCharType="begin"/>
            </w:r>
            <w:r w:rsidRPr="004B1C6A">
              <w:rPr>
                <w:noProof/>
                <w:webHidden/>
                <w:sz w:val="24"/>
              </w:rPr>
              <w:instrText xml:space="preserve"> PAGEREF _Toc177120749 \h </w:instrText>
            </w:r>
            <w:r w:rsidRPr="004B1C6A">
              <w:rPr>
                <w:noProof/>
                <w:webHidden/>
                <w:sz w:val="24"/>
              </w:rPr>
              <w:fldChar w:fldCharType="separate"/>
            </w:r>
            <w:r>
              <w:rPr>
                <w:noProof/>
                <w:webHidden/>
                <w:sz w:val="24"/>
              </w:rPr>
              <w:t>3</w:t>
            </w:r>
            <w:r w:rsidRPr="004B1C6A">
              <w:rPr>
                <w:noProof/>
                <w:webHidden/>
                <w:sz w:val="24"/>
              </w:rPr>
              <w:fldChar w:fldCharType="end"/>
            </w:r>
          </w:hyperlink>
        </w:p>
        <w:p w:rsidR="00773EF6" w:rsidRPr="004B1C6A" w14:paraId="3D14568B" w14:textId="250CD9A6">
          <w:pPr>
            <w:pStyle w:val="TOC2"/>
            <w:rPr>
              <w:rFonts w:asciiTheme="minorHAnsi" w:eastAsiaTheme="minorEastAsia" w:hAnsiTheme="minorHAnsi" w:cstheme="minorBidi"/>
              <w:noProof/>
              <w:kern w:val="2"/>
              <w:sz w:val="24"/>
              <w14:ligatures w14:val="standardContextual"/>
            </w:rPr>
          </w:pPr>
          <w:hyperlink w:anchor="_Toc177120750" w:history="1">
            <w:r w:rsidRPr="004B1C6A">
              <w:rPr>
                <w:rStyle w:val="Hyperlink"/>
                <w:noProof/>
                <w:sz w:val="24"/>
              </w:rPr>
              <w:t>2.  Procedures for the Collection of Information</w:t>
            </w:r>
            <w:r w:rsidRPr="004B1C6A">
              <w:rPr>
                <w:noProof/>
                <w:webHidden/>
                <w:sz w:val="24"/>
              </w:rPr>
              <w:tab/>
            </w:r>
            <w:r w:rsidRPr="004B1C6A">
              <w:rPr>
                <w:noProof/>
                <w:webHidden/>
                <w:sz w:val="24"/>
              </w:rPr>
              <w:fldChar w:fldCharType="begin"/>
            </w:r>
            <w:r w:rsidRPr="004B1C6A">
              <w:rPr>
                <w:noProof/>
                <w:webHidden/>
                <w:sz w:val="24"/>
              </w:rPr>
              <w:instrText xml:space="preserve"> PAGEREF _Toc177120750 \h </w:instrText>
            </w:r>
            <w:r w:rsidRPr="004B1C6A">
              <w:rPr>
                <w:noProof/>
                <w:webHidden/>
                <w:sz w:val="24"/>
              </w:rPr>
              <w:fldChar w:fldCharType="separate"/>
            </w:r>
            <w:r>
              <w:rPr>
                <w:noProof/>
                <w:webHidden/>
                <w:sz w:val="24"/>
              </w:rPr>
              <w:t>3</w:t>
            </w:r>
            <w:r w:rsidRPr="004B1C6A">
              <w:rPr>
                <w:noProof/>
                <w:webHidden/>
                <w:sz w:val="24"/>
              </w:rPr>
              <w:fldChar w:fldCharType="end"/>
            </w:r>
          </w:hyperlink>
        </w:p>
        <w:p w:rsidR="00773EF6" w:rsidRPr="004B1C6A" w14:paraId="5048DE79" w14:textId="3746FBA3">
          <w:pPr>
            <w:pStyle w:val="TOC2"/>
            <w:rPr>
              <w:rFonts w:asciiTheme="minorHAnsi" w:eastAsiaTheme="minorEastAsia" w:hAnsiTheme="minorHAnsi" w:cstheme="minorBidi"/>
              <w:noProof/>
              <w:kern w:val="2"/>
              <w:sz w:val="24"/>
              <w14:ligatures w14:val="standardContextual"/>
            </w:rPr>
          </w:pPr>
          <w:hyperlink w:anchor="_Toc177120751" w:history="1">
            <w:r w:rsidRPr="004B1C6A">
              <w:rPr>
                <w:rStyle w:val="Hyperlink"/>
                <w:noProof/>
                <w:sz w:val="24"/>
              </w:rPr>
              <w:t>3.  Methods to Maximize Response Rates and Deal with Nonresponse</w:t>
            </w:r>
            <w:r w:rsidRPr="004B1C6A">
              <w:rPr>
                <w:noProof/>
                <w:webHidden/>
                <w:sz w:val="24"/>
              </w:rPr>
              <w:tab/>
            </w:r>
            <w:r w:rsidRPr="004B1C6A">
              <w:rPr>
                <w:noProof/>
                <w:webHidden/>
                <w:sz w:val="24"/>
              </w:rPr>
              <w:fldChar w:fldCharType="begin"/>
            </w:r>
            <w:r w:rsidRPr="004B1C6A">
              <w:rPr>
                <w:noProof/>
                <w:webHidden/>
                <w:sz w:val="24"/>
              </w:rPr>
              <w:instrText xml:space="preserve"> PAGEREF _Toc177120751 \h </w:instrText>
            </w:r>
            <w:r w:rsidRPr="004B1C6A">
              <w:rPr>
                <w:noProof/>
                <w:webHidden/>
                <w:sz w:val="24"/>
              </w:rPr>
              <w:fldChar w:fldCharType="separate"/>
            </w:r>
            <w:r>
              <w:rPr>
                <w:noProof/>
                <w:webHidden/>
                <w:sz w:val="24"/>
              </w:rPr>
              <w:t>8</w:t>
            </w:r>
            <w:r w:rsidRPr="004B1C6A">
              <w:rPr>
                <w:noProof/>
                <w:webHidden/>
                <w:sz w:val="24"/>
              </w:rPr>
              <w:fldChar w:fldCharType="end"/>
            </w:r>
          </w:hyperlink>
        </w:p>
        <w:p w:rsidR="00773EF6" w:rsidRPr="004B1C6A" w14:paraId="168BA8D8" w14:textId="1E7BF01B">
          <w:pPr>
            <w:pStyle w:val="TOC2"/>
            <w:rPr>
              <w:rFonts w:asciiTheme="minorHAnsi" w:eastAsiaTheme="minorEastAsia" w:hAnsiTheme="minorHAnsi" w:cstheme="minorBidi"/>
              <w:noProof/>
              <w:kern w:val="2"/>
              <w:sz w:val="24"/>
              <w14:ligatures w14:val="standardContextual"/>
            </w:rPr>
          </w:pPr>
          <w:hyperlink w:anchor="_Toc177120752" w:history="1">
            <w:r w:rsidRPr="004B1C6A">
              <w:rPr>
                <w:rStyle w:val="Hyperlink"/>
                <w:noProof/>
                <w:sz w:val="24"/>
              </w:rPr>
              <w:t>4.  Tests of Procedures or Methods to be Undertaken</w:t>
            </w:r>
            <w:r w:rsidRPr="004B1C6A">
              <w:rPr>
                <w:noProof/>
                <w:webHidden/>
                <w:sz w:val="24"/>
              </w:rPr>
              <w:tab/>
            </w:r>
            <w:r w:rsidRPr="004B1C6A">
              <w:rPr>
                <w:noProof/>
                <w:webHidden/>
                <w:sz w:val="24"/>
              </w:rPr>
              <w:fldChar w:fldCharType="begin"/>
            </w:r>
            <w:r w:rsidRPr="004B1C6A">
              <w:rPr>
                <w:noProof/>
                <w:webHidden/>
                <w:sz w:val="24"/>
              </w:rPr>
              <w:instrText xml:space="preserve"> PAGEREF _Toc177120752 \h </w:instrText>
            </w:r>
            <w:r w:rsidRPr="004B1C6A">
              <w:rPr>
                <w:noProof/>
                <w:webHidden/>
                <w:sz w:val="24"/>
              </w:rPr>
              <w:fldChar w:fldCharType="separate"/>
            </w:r>
            <w:r>
              <w:rPr>
                <w:noProof/>
                <w:webHidden/>
                <w:sz w:val="24"/>
              </w:rPr>
              <w:t>8</w:t>
            </w:r>
            <w:r w:rsidRPr="004B1C6A">
              <w:rPr>
                <w:noProof/>
                <w:webHidden/>
                <w:sz w:val="24"/>
              </w:rPr>
              <w:fldChar w:fldCharType="end"/>
            </w:r>
          </w:hyperlink>
        </w:p>
        <w:p w:rsidR="00C770D4" w14:paraId="26BE0277" w14:textId="06D914A1">
          <w:r w:rsidRPr="004B1C6A">
            <w:rPr>
              <w:b/>
              <w:bCs/>
              <w:noProof/>
              <w:sz w:val="24"/>
            </w:rPr>
            <w:fldChar w:fldCharType="end"/>
          </w:r>
        </w:p>
        <w:p w:rsidR="0021329B" w:rsidRPr="00B53EE0" w:rsidP="0021329B" w14:paraId="004E6567" w14:textId="097A461C">
          <w:pPr>
            <w:rPr>
              <w:rFonts w:eastAsia="Calibri"/>
              <w:sz w:val="24"/>
            </w:rPr>
          </w:pPr>
        </w:p>
      </w:sdtContent>
    </w:sdt>
    <w:p w:rsidR="00812385" w:rsidRPr="009B16D6" w:rsidP="00812385" w14:paraId="5AAF0DA3" w14:textId="77777777">
      <w:pPr>
        <w:rPr>
          <w:color w:val="000000" w:themeColor="text1"/>
          <w:sz w:val="24"/>
        </w:rPr>
      </w:pPr>
      <w:r w:rsidRPr="009B16D6">
        <w:rPr>
          <w:color w:val="000000" w:themeColor="text1"/>
          <w:sz w:val="24"/>
        </w:rPr>
        <w:t>List of attachments:</w:t>
      </w:r>
    </w:p>
    <w:p w:rsidR="00812385" w:rsidRPr="009B16D6" w:rsidP="00812385" w14:paraId="08AAF9EA" w14:textId="77777777">
      <w:pPr>
        <w:spacing w:line="259" w:lineRule="auto"/>
        <w:rPr>
          <w:sz w:val="24"/>
        </w:rPr>
      </w:pPr>
      <w:r w:rsidRPr="009B16D6">
        <w:rPr>
          <w:sz w:val="24"/>
        </w:rPr>
        <w:t>Attachment 1. Description of the study and eligibility phone screening questionnaire</w:t>
      </w:r>
    </w:p>
    <w:p w:rsidR="00812385" w:rsidRPr="009B16D6" w:rsidP="00812385" w14:paraId="2242355D" w14:textId="77777777">
      <w:pPr>
        <w:rPr>
          <w:sz w:val="24"/>
        </w:rPr>
      </w:pPr>
      <w:r w:rsidRPr="009B16D6">
        <w:rPr>
          <w:sz w:val="24"/>
        </w:rPr>
        <w:t>Attachment 2a. Informed Consent (DXA only)</w:t>
      </w:r>
    </w:p>
    <w:p w:rsidR="00812385" w:rsidRPr="009B16D6" w:rsidP="00812385" w14:paraId="610602D4" w14:textId="77777777">
      <w:pPr>
        <w:rPr>
          <w:sz w:val="24"/>
        </w:rPr>
      </w:pPr>
      <w:r w:rsidRPr="009B16D6">
        <w:rPr>
          <w:sz w:val="24"/>
        </w:rPr>
        <w:t>Attachment 2b. Informed Consent (Hematology only)</w:t>
      </w:r>
    </w:p>
    <w:p w:rsidR="00812385" w:rsidRPr="009B16D6" w:rsidP="00812385" w14:paraId="3EA77B3F" w14:textId="77777777">
      <w:pPr>
        <w:rPr>
          <w:sz w:val="24"/>
        </w:rPr>
      </w:pPr>
      <w:r w:rsidRPr="009B16D6">
        <w:rPr>
          <w:sz w:val="24"/>
        </w:rPr>
        <w:t>Attachment 2c. Informed Consent (DXA &amp; Hematology)</w:t>
      </w:r>
    </w:p>
    <w:p w:rsidR="00812385" w:rsidRPr="009B16D6" w:rsidP="00812385" w14:paraId="3A2FFFDF" w14:textId="77777777">
      <w:pPr>
        <w:rPr>
          <w:sz w:val="24"/>
        </w:rPr>
      </w:pPr>
      <w:r w:rsidRPr="009B16D6">
        <w:rPr>
          <w:sz w:val="24"/>
        </w:rPr>
        <w:t>Attachment 3. Cover letter and Report of Findings</w:t>
      </w:r>
    </w:p>
    <w:p w:rsidR="00812385" w:rsidRPr="009B16D6" w:rsidP="00812385" w14:paraId="5E77DBA3" w14:textId="77777777">
      <w:pPr>
        <w:rPr>
          <w:color w:val="000000" w:themeColor="text1"/>
          <w:sz w:val="24"/>
        </w:rPr>
      </w:pPr>
      <w:r w:rsidRPr="009B16D6">
        <w:rPr>
          <w:sz w:val="24"/>
        </w:rPr>
        <w:t>Attachment 4. ERB approval</w:t>
      </w:r>
    </w:p>
    <w:p w:rsidR="001901ED" w:rsidP="00FD0B6E" w14:paraId="648A3680" w14:textId="77777777">
      <w:pPr>
        <w:rPr>
          <w:color w:val="000000" w:themeColor="text1"/>
          <w:sz w:val="24"/>
        </w:rPr>
      </w:pPr>
    </w:p>
    <w:p w:rsidR="0021329B" w:rsidRPr="00445B32" w:rsidP="0021329B" w14:paraId="7A17A20E" w14:textId="74F1C9AE">
      <w:pPr>
        <w:rPr>
          <w:b/>
          <w:bCs/>
          <w:sz w:val="28"/>
          <w:szCs w:val="28"/>
        </w:rPr>
      </w:pPr>
      <w:r>
        <w:rPr>
          <w:i/>
          <w:sz w:val="28"/>
          <w:szCs w:val="28"/>
        </w:rPr>
        <w:br w:type="page"/>
      </w:r>
    </w:p>
    <w:p w:rsidR="00F72BAD" w:rsidRPr="00442699" w:rsidP="004262B9" w14:paraId="4F346F76" w14:textId="441B971F">
      <w:pPr>
        <w:pStyle w:val="Heading2"/>
        <w:ind w:hanging="2880"/>
        <w:rPr>
          <w:b w:val="0"/>
          <w:bCs w:val="0"/>
        </w:rPr>
      </w:pPr>
      <w:bookmarkStart w:id="1" w:name="_Toc177120748"/>
      <w:r w:rsidRPr="00442699">
        <w:rPr>
          <w:b w:val="0"/>
          <w:bCs w:val="0"/>
          <w:color w:val="000000" w:themeColor="text1"/>
        </w:rPr>
        <w:t>B. Collection of Information Employing Statistical Methods</w:t>
      </w:r>
      <w:bookmarkEnd w:id="0"/>
      <w:bookmarkEnd w:id="1"/>
    </w:p>
    <w:p w:rsidR="00845646" w:rsidRPr="00442699" w:rsidP="00616238" w14:paraId="410714D9" w14:textId="77777777">
      <w:pPr>
        <w:rPr>
          <w:b/>
          <w:sz w:val="24"/>
        </w:rPr>
      </w:pPr>
      <w:bookmarkStart w:id="2" w:name="_Toc172096615"/>
    </w:p>
    <w:p w:rsidR="00F72BAD" w:rsidRPr="00442699" w:rsidP="00845646" w14:paraId="29A4D989" w14:textId="6D274F8F">
      <w:pPr>
        <w:pStyle w:val="Heading2"/>
        <w:numPr>
          <w:ilvl w:val="0"/>
          <w:numId w:val="12"/>
        </w:numPr>
        <w:tabs>
          <w:tab w:val="left" w:pos="360"/>
          <w:tab w:val="clear" w:pos="720"/>
        </w:tabs>
        <w:ind w:left="360"/>
        <w:rPr>
          <w:b w:val="0"/>
        </w:rPr>
      </w:pPr>
      <w:bookmarkStart w:id="3" w:name="_Toc177120749"/>
      <w:r w:rsidRPr="00442699">
        <w:rPr>
          <w:b w:val="0"/>
        </w:rPr>
        <w:t>Respondent Universe and Sampling Methods</w:t>
      </w:r>
      <w:bookmarkEnd w:id="2"/>
      <w:bookmarkEnd w:id="3"/>
    </w:p>
    <w:p w:rsidR="00845646" w:rsidRPr="00442699" w:rsidP="00616238" w14:paraId="1824128B" w14:textId="77777777">
      <w:pPr>
        <w:rPr>
          <w:sz w:val="24"/>
        </w:rPr>
      </w:pPr>
    </w:p>
    <w:p w:rsidR="0001788D" w:rsidRPr="00442699" w:rsidP="00D555BD" w14:paraId="534705FF" w14:textId="5FBF360D">
      <w:pPr>
        <w:widowControl w:val="0"/>
        <w:tabs>
          <w:tab w:val="left" w:pos="450"/>
        </w:tabs>
        <w:autoSpaceDE w:val="0"/>
        <w:autoSpaceDN w:val="0"/>
        <w:adjustRightInd w:val="0"/>
        <w:rPr>
          <w:color w:val="000000" w:themeColor="text1"/>
          <w:sz w:val="24"/>
        </w:rPr>
      </w:pPr>
      <w:r w:rsidRPr="00442699">
        <w:rPr>
          <w:color w:val="000000" w:themeColor="text1"/>
          <w:sz w:val="24"/>
        </w:rPr>
        <w:t>In 1999, NHANES became a continuous ongoing survey to provide more timely data on the health and nutritional status of the U.S. population and to allow more flexibility in response to the need for data to address emerging public health concerns. From 1999 to 2018, NHANES used multiyear sample designs with varied lengths for 2-year data collection and release cycles. Because of the COVID-19 pandemic, the NHANES 2019–2020 data collection could not be completed. In August 2021, NHANES went back into the field with a new</w:t>
      </w:r>
      <w:r w:rsidRPr="00442699" w:rsidR="00662ACA">
        <w:rPr>
          <w:color w:val="000000" w:themeColor="text1"/>
          <w:sz w:val="24"/>
        </w:rPr>
        <w:t>ly designed</w:t>
      </w:r>
      <w:r w:rsidRPr="00442699">
        <w:rPr>
          <w:color w:val="000000" w:themeColor="text1"/>
          <w:sz w:val="24"/>
        </w:rPr>
        <w:t xml:space="preserve"> 2-year </w:t>
      </w:r>
      <w:r w:rsidRPr="00442699" w:rsidR="00662ACA">
        <w:rPr>
          <w:color w:val="000000" w:themeColor="text1"/>
          <w:sz w:val="24"/>
        </w:rPr>
        <w:t>cycle, which ended</w:t>
      </w:r>
      <w:r w:rsidRPr="00442699" w:rsidR="00CB74D9">
        <w:rPr>
          <w:color w:val="000000" w:themeColor="text1"/>
          <w:sz w:val="24"/>
        </w:rPr>
        <w:t xml:space="preserve"> in August 2023</w:t>
      </w:r>
      <w:r w:rsidRPr="00442699">
        <w:rPr>
          <w:color w:val="000000" w:themeColor="text1"/>
          <w:sz w:val="24"/>
        </w:rPr>
        <w:t>.</w:t>
      </w:r>
      <w:r w:rsidRPr="00442699" w:rsidR="003C07BF">
        <w:rPr>
          <w:color w:val="000000" w:themeColor="text1"/>
          <w:sz w:val="24"/>
        </w:rPr>
        <w:t xml:space="preserve"> </w:t>
      </w:r>
      <w:r w:rsidR="00A43E0A">
        <w:rPr>
          <w:color w:val="000000" w:themeColor="text1"/>
          <w:sz w:val="24"/>
        </w:rPr>
        <w:t>During this cycle, only minors (i.e., 0-19 years) and older people (60+) were oversampled</w:t>
      </w:r>
      <w:r w:rsidR="00FB0E4A">
        <w:rPr>
          <w:color w:val="000000" w:themeColor="text1"/>
          <w:sz w:val="24"/>
        </w:rPr>
        <w:t>, and there was no oversampling for any racial/ethnic group.</w:t>
      </w:r>
    </w:p>
    <w:p w:rsidR="00D555BD" w:rsidRPr="00442699" w:rsidP="00D555BD" w14:paraId="50EB835C" w14:textId="77777777">
      <w:pPr>
        <w:widowControl w:val="0"/>
        <w:tabs>
          <w:tab w:val="left" w:pos="450"/>
        </w:tabs>
        <w:autoSpaceDE w:val="0"/>
        <w:autoSpaceDN w:val="0"/>
        <w:adjustRightInd w:val="0"/>
        <w:rPr>
          <w:color w:val="000000" w:themeColor="text1"/>
          <w:sz w:val="24"/>
        </w:rPr>
      </w:pPr>
    </w:p>
    <w:p w:rsidR="0070615D" w:rsidRPr="00442699" w:rsidP="36BB35F2" w14:paraId="6E8365E0" w14:textId="066559C9">
      <w:pPr>
        <w:widowControl w:val="0"/>
        <w:tabs>
          <w:tab w:val="left" w:pos="450"/>
        </w:tabs>
        <w:autoSpaceDE w:val="0"/>
        <w:autoSpaceDN w:val="0"/>
        <w:adjustRightInd w:val="0"/>
        <w:rPr>
          <w:color w:val="000000" w:themeColor="text1"/>
          <w:sz w:val="24"/>
        </w:rPr>
      </w:pPr>
      <w:r w:rsidRPr="36BB35F2">
        <w:rPr>
          <w:color w:val="000000" w:themeColor="text1"/>
          <w:sz w:val="24"/>
        </w:rPr>
        <w:t>The</w:t>
      </w:r>
      <w:r w:rsidRPr="36BB35F2">
        <w:rPr>
          <w:color w:val="000000" w:themeColor="text1"/>
          <w:sz w:val="24"/>
        </w:rPr>
        <w:t xml:space="preserve"> 2025</w:t>
      </w:r>
      <w:r w:rsidRPr="36BB35F2" w:rsidR="003D4CE4">
        <w:rPr>
          <w:color w:val="000000" w:themeColor="text1"/>
          <w:sz w:val="24"/>
        </w:rPr>
        <w:t>-</w:t>
      </w:r>
      <w:r w:rsidRPr="36BB35F2">
        <w:rPr>
          <w:color w:val="000000" w:themeColor="text1"/>
          <w:sz w:val="24"/>
        </w:rPr>
        <w:t>2026 NHANES</w:t>
      </w:r>
      <w:r w:rsidRPr="36BB35F2" w:rsidR="0001788D">
        <w:rPr>
          <w:color w:val="000000" w:themeColor="text1"/>
          <w:sz w:val="24"/>
        </w:rPr>
        <w:t xml:space="preserve"> design remains a stratified, multistage probability sample of the civilian non-institutionalized population of the United States. In hierarchical order, the stages of the sample selection are first: selection of Primary Sampling Units (PSUs) (public use microdata areas [PUMAs]); second: Secondary Sampling Units (SSUs) within PSU (Census block groups [CBGs] or a collection of CBGs containing a cluster of DUs</w:t>
      </w:r>
      <w:r w:rsidRPr="36BB35F2" w:rsidR="03919284">
        <w:rPr>
          <w:color w:val="000000" w:themeColor="text1"/>
          <w:sz w:val="24"/>
        </w:rPr>
        <w:t xml:space="preserve"> [dwelling units]</w:t>
      </w:r>
      <w:r w:rsidRPr="36BB35F2" w:rsidR="0001788D">
        <w:rPr>
          <w:color w:val="000000" w:themeColor="text1"/>
          <w:sz w:val="24"/>
        </w:rPr>
        <w:t xml:space="preserve">); third: DUs within SSUs; and fourth: one or more survey participants within DUs. The field operations include five Mobile Examination Center (MEC) teams in operation and approximately 5,000 </w:t>
      </w:r>
      <w:r w:rsidRPr="36BB35F2" w:rsidR="004A43C2">
        <w:rPr>
          <w:color w:val="000000" w:themeColor="text1"/>
          <w:sz w:val="24"/>
        </w:rPr>
        <w:t>s</w:t>
      </w:r>
      <w:r w:rsidRPr="36BB35F2" w:rsidR="0001788D">
        <w:rPr>
          <w:color w:val="000000" w:themeColor="text1"/>
          <w:sz w:val="24"/>
        </w:rPr>
        <w:t xml:space="preserve">urvey </w:t>
      </w:r>
      <w:r w:rsidRPr="36BB35F2" w:rsidR="004A43C2">
        <w:rPr>
          <w:color w:val="000000" w:themeColor="text1"/>
          <w:sz w:val="24"/>
        </w:rPr>
        <w:t>p</w:t>
      </w:r>
      <w:r w:rsidRPr="36BB35F2" w:rsidR="0001788D">
        <w:rPr>
          <w:color w:val="000000" w:themeColor="text1"/>
          <w:sz w:val="24"/>
        </w:rPr>
        <w:t>articipants examined in 20 PSUs per year compared to 15 PSUs per year in the August 2021-August 2023 NHANES cycle.</w:t>
      </w:r>
      <w:r w:rsidRPr="36BB35F2">
        <w:rPr>
          <w:color w:val="000000" w:themeColor="text1"/>
          <w:sz w:val="24"/>
        </w:rPr>
        <w:t xml:space="preserve"> </w:t>
      </w:r>
      <w:r w:rsidRPr="36BB35F2" w:rsidR="00415B0A">
        <w:rPr>
          <w:color w:val="000000" w:themeColor="text1"/>
          <w:sz w:val="24"/>
        </w:rPr>
        <w:t>For the 2025-2026 cycle, NHANES will oversample children 0-17 years of age</w:t>
      </w:r>
      <w:r w:rsidRPr="36BB35F2" w:rsidR="00D1593A">
        <w:rPr>
          <w:color w:val="000000" w:themeColor="text1"/>
          <w:sz w:val="24"/>
        </w:rPr>
        <w:t>, older persons age 65 and older, and non-Hispanic Black persons.</w:t>
      </w:r>
    </w:p>
    <w:p w:rsidR="003D4CE4" w:rsidRPr="00D555BD" w:rsidP="00D555BD" w14:paraId="4003A5AC" w14:textId="77777777">
      <w:pPr>
        <w:widowControl w:val="0"/>
        <w:tabs>
          <w:tab w:val="left" w:pos="450"/>
        </w:tabs>
        <w:autoSpaceDE w:val="0"/>
        <w:autoSpaceDN w:val="0"/>
        <w:adjustRightInd w:val="0"/>
        <w:rPr>
          <w:color w:val="000000" w:themeColor="text1"/>
          <w:sz w:val="24"/>
        </w:rPr>
      </w:pPr>
    </w:p>
    <w:p w:rsidR="000C036E" w:rsidRPr="00527DD3" w:rsidP="36BB35F2" w14:paraId="58376F43" w14:textId="35E2091E">
      <w:pPr>
        <w:rPr>
          <w:b/>
          <w:bCs/>
          <w:color w:val="000000" w:themeColor="text1"/>
          <w:sz w:val="24"/>
        </w:rPr>
      </w:pPr>
      <w:r w:rsidRPr="36BB35F2">
        <w:rPr>
          <w:color w:val="000000" w:themeColor="text1"/>
          <w:sz w:val="24"/>
        </w:rPr>
        <w:t>D</w:t>
      </w:r>
      <w:r w:rsidRPr="36BB35F2" w:rsidR="00E540BC">
        <w:rPr>
          <w:color w:val="000000" w:themeColor="text1"/>
          <w:sz w:val="24"/>
        </w:rPr>
        <w:t xml:space="preserve">HNES proposes two crossover studies with </w:t>
      </w:r>
      <w:r w:rsidRPr="36BB35F2" w:rsidR="00054730">
        <w:rPr>
          <w:color w:val="000000" w:themeColor="text1"/>
          <w:sz w:val="24"/>
        </w:rPr>
        <w:t xml:space="preserve">human subjects (i.e., </w:t>
      </w:r>
      <w:r w:rsidRPr="36BB35F2" w:rsidR="00370882">
        <w:rPr>
          <w:color w:val="000000" w:themeColor="text1"/>
          <w:sz w:val="24"/>
        </w:rPr>
        <w:t>volunteers</w:t>
      </w:r>
      <w:r w:rsidRPr="36BB35F2" w:rsidR="00054730">
        <w:rPr>
          <w:color w:val="000000" w:themeColor="text1"/>
          <w:sz w:val="24"/>
        </w:rPr>
        <w:t>)</w:t>
      </w:r>
      <w:r w:rsidRPr="36BB35F2" w:rsidR="00914A9C">
        <w:rPr>
          <w:color w:val="000000" w:themeColor="text1"/>
          <w:sz w:val="24"/>
        </w:rPr>
        <w:t xml:space="preserve"> </w:t>
      </w:r>
      <w:r w:rsidRPr="36BB35F2" w:rsidR="00162A48">
        <w:rPr>
          <w:color w:val="000000" w:themeColor="text1"/>
          <w:sz w:val="24"/>
        </w:rPr>
        <w:t>recruited</w:t>
      </w:r>
      <w:r w:rsidRPr="36BB35F2" w:rsidR="00F845C7">
        <w:rPr>
          <w:color w:val="000000" w:themeColor="text1"/>
          <w:sz w:val="24"/>
        </w:rPr>
        <w:t xml:space="preserve"> by RTI International (i.e., DHNES contractor) </w:t>
      </w:r>
      <w:r w:rsidRPr="36BB35F2" w:rsidR="00914A9C">
        <w:rPr>
          <w:color w:val="000000" w:themeColor="text1"/>
          <w:sz w:val="24"/>
        </w:rPr>
        <w:t>to assess the impact of using</w:t>
      </w:r>
      <w:r w:rsidRPr="36BB35F2" w:rsidR="00CD15E9">
        <w:rPr>
          <w:color w:val="000000" w:themeColor="text1"/>
          <w:sz w:val="24"/>
        </w:rPr>
        <w:t xml:space="preserve"> 1)</w:t>
      </w:r>
      <w:r w:rsidRPr="36BB35F2" w:rsidR="00914A9C">
        <w:rPr>
          <w:color w:val="000000" w:themeColor="text1"/>
          <w:sz w:val="24"/>
        </w:rPr>
        <w:t xml:space="preserve"> a new Dual Energy X-ray Absorptio</w:t>
      </w:r>
      <w:r w:rsidRPr="36BB35F2" w:rsidR="002F4A39">
        <w:rPr>
          <w:color w:val="000000" w:themeColor="text1"/>
          <w:sz w:val="24"/>
        </w:rPr>
        <w:t>metry (DXA) densitometer system</w:t>
      </w:r>
      <w:r w:rsidRPr="36BB35F2" w:rsidR="00CD15E9">
        <w:rPr>
          <w:color w:val="000000" w:themeColor="text1"/>
          <w:sz w:val="24"/>
        </w:rPr>
        <w:t xml:space="preserve"> among</w:t>
      </w:r>
      <w:r w:rsidRPr="36BB35F2" w:rsidR="00216EC3">
        <w:rPr>
          <w:color w:val="000000" w:themeColor="text1"/>
          <w:sz w:val="24"/>
        </w:rPr>
        <w:t xml:space="preserve"> 30</w:t>
      </w:r>
      <w:r w:rsidRPr="36BB35F2" w:rsidR="00CD15E9">
        <w:rPr>
          <w:color w:val="000000" w:themeColor="text1"/>
          <w:sz w:val="24"/>
        </w:rPr>
        <w:t xml:space="preserve"> p</w:t>
      </w:r>
      <w:r w:rsidRPr="36BB35F2" w:rsidR="00001CC0">
        <w:rPr>
          <w:color w:val="000000" w:themeColor="text1"/>
          <w:sz w:val="24"/>
        </w:rPr>
        <w:t>articipants</w:t>
      </w:r>
      <w:r w:rsidRPr="36BB35F2" w:rsidR="00CD15E9">
        <w:rPr>
          <w:color w:val="000000" w:themeColor="text1"/>
          <w:sz w:val="24"/>
        </w:rPr>
        <w:t xml:space="preserve"> ages 20-70, </w:t>
      </w:r>
      <w:r w:rsidRPr="36BB35F2" w:rsidR="002F4A39">
        <w:rPr>
          <w:color w:val="000000" w:themeColor="text1"/>
          <w:sz w:val="24"/>
        </w:rPr>
        <w:t xml:space="preserve">and </w:t>
      </w:r>
      <w:r w:rsidRPr="36BB35F2" w:rsidR="00CD15E9">
        <w:rPr>
          <w:color w:val="000000" w:themeColor="text1"/>
          <w:sz w:val="24"/>
        </w:rPr>
        <w:t xml:space="preserve">2) </w:t>
      </w:r>
      <w:r w:rsidRPr="36BB35F2" w:rsidR="002F4A39">
        <w:rPr>
          <w:color w:val="000000" w:themeColor="text1"/>
          <w:sz w:val="24"/>
        </w:rPr>
        <w:t xml:space="preserve">a new Hematology </w:t>
      </w:r>
      <w:r w:rsidRPr="36BB35F2" w:rsidR="00086511">
        <w:rPr>
          <w:color w:val="000000" w:themeColor="text1"/>
          <w:sz w:val="24"/>
        </w:rPr>
        <w:t>Analyzer</w:t>
      </w:r>
      <w:r w:rsidRPr="36BB35F2" w:rsidR="00CD15E9">
        <w:rPr>
          <w:color w:val="000000" w:themeColor="text1"/>
          <w:sz w:val="24"/>
        </w:rPr>
        <w:t xml:space="preserve"> among</w:t>
      </w:r>
      <w:r w:rsidRPr="36BB35F2" w:rsidR="00216EC3">
        <w:rPr>
          <w:color w:val="000000" w:themeColor="text1"/>
          <w:sz w:val="24"/>
        </w:rPr>
        <w:t xml:space="preserve"> 40</w:t>
      </w:r>
      <w:r w:rsidRPr="36BB35F2" w:rsidR="00CD15E9">
        <w:rPr>
          <w:color w:val="000000" w:themeColor="text1"/>
          <w:sz w:val="24"/>
        </w:rPr>
        <w:t xml:space="preserve"> </w:t>
      </w:r>
      <w:r w:rsidRPr="36BB35F2" w:rsidR="00001CC0">
        <w:rPr>
          <w:color w:val="000000" w:themeColor="text1"/>
          <w:sz w:val="24"/>
        </w:rPr>
        <w:t>participants</w:t>
      </w:r>
      <w:r w:rsidRPr="36BB35F2" w:rsidR="00F61524">
        <w:rPr>
          <w:color w:val="000000" w:themeColor="text1"/>
          <w:sz w:val="24"/>
        </w:rPr>
        <w:t xml:space="preserve"> age 20 and older</w:t>
      </w:r>
      <w:r w:rsidRPr="36BB35F2" w:rsidR="00086511">
        <w:rPr>
          <w:color w:val="000000" w:themeColor="text1"/>
          <w:sz w:val="24"/>
        </w:rPr>
        <w:t>.</w:t>
      </w:r>
      <w:r w:rsidR="00F15044">
        <w:rPr>
          <w:color w:val="000000" w:themeColor="text1"/>
          <w:sz w:val="24"/>
        </w:rPr>
        <w:t xml:space="preserve"> </w:t>
      </w:r>
      <w:r w:rsidRPr="36BB35F2" w:rsidR="00EA42B2">
        <w:rPr>
          <w:color w:val="000000" w:themeColor="text1"/>
          <w:sz w:val="24"/>
        </w:rPr>
        <w:t xml:space="preserve"> </w:t>
      </w:r>
      <w:r w:rsidRPr="36BB35F2" w:rsidR="0087438D">
        <w:rPr>
          <w:color w:val="000000" w:themeColor="text1"/>
          <w:sz w:val="24"/>
        </w:rPr>
        <w:t xml:space="preserve">Additionally, </w:t>
      </w:r>
      <w:r w:rsidRPr="36BB35F2" w:rsidR="00237C51">
        <w:rPr>
          <w:color w:val="000000" w:themeColor="text1"/>
          <w:sz w:val="24"/>
        </w:rPr>
        <w:t xml:space="preserve">the reliability and reproducibility of NHANES lab test results from different </w:t>
      </w:r>
      <w:r w:rsidRPr="36BB35F2" w:rsidR="00521A0C">
        <w:rPr>
          <w:color w:val="000000" w:themeColor="text1"/>
          <w:sz w:val="24"/>
        </w:rPr>
        <w:t>source tubes will be assessed</w:t>
      </w:r>
      <w:r w:rsidRPr="36BB35F2" w:rsidR="004D35BF">
        <w:rPr>
          <w:color w:val="000000" w:themeColor="text1"/>
          <w:sz w:val="24"/>
        </w:rPr>
        <w:t xml:space="preserve"> in the hematology study.</w:t>
      </w:r>
      <w:r w:rsidRPr="36BB35F2" w:rsidR="001D02B2">
        <w:rPr>
          <w:color w:val="000000" w:themeColor="text1"/>
          <w:sz w:val="24"/>
        </w:rPr>
        <w:t xml:space="preserve"> </w:t>
      </w:r>
      <w:r w:rsidRPr="36BB35F2" w:rsidR="00D10C04">
        <w:rPr>
          <w:color w:val="000000" w:themeColor="text1"/>
          <w:sz w:val="24"/>
        </w:rPr>
        <w:t>W</w:t>
      </w:r>
      <w:r w:rsidRPr="36BB35F2" w:rsidR="0064332A">
        <w:rPr>
          <w:color w:val="000000" w:themeColor="text1"/>
          <w:sz w:val="24"/>
        </w:rPr>
        <w:t xml:space="preserve">hile the proposed crossovers are described separately, both studies will be conducted concurrently </w:t>
      </w:r>
      <w:r w:rsidR="00BF6366">
        <w:rPr>
          <w:color w:val="000000" w:themeColor="text1"/>
          <w:sz w:val="24"/>
        </w:rPr>
        <w:t xml:space="preserve">outside of the main NHANES study design </w:t>
      </w:r>
      <w:r w:rsidRPr="36BB35F2" w:rsidR="00216EC3">
        <w:rPr>
          <w:color w:val="000000" w:themeColor="text1"/>
          <w:sz w:val="24"/>
        </w:rPr>
        <w:t>using</w:t>
      </w:r>
      <w:r w:rsidRPr="36BB35F2" w:rsidR="0064332A">
        <w:rPr>
          <w:color w:val="000000" w:themeColor="text1"/>
          <w:sz w:val="24"/>
        </w:rPr>
        <w:t xml:space="preserve"> the same </w:t>
      </w:r>
      <w:r w:rsidRPr="36BB35F2" w:rsidR="00B77B5F">
        <w:rPr>
          <w:color w:val="000000" w:themeColor="text1"/>
          <w:sz w:val="24"/>
        </w:rPr>
        <w:t>volunteers.</w:t>
      </w:r>
      <w:r w:rsidRPr="36BB35F2" w:rsidR="00F61524">
        <w:rPr>
          <w:color w:val="000000" w:themeColor="text1"/>
          <w:sz w:val="24"/>
        </w:rPr>
        <w:t xml:space="preserve"> </w:t>
      </w:r>
      <w:r w:rsidRPr="36BB35F2" w:rsidR="00B77B5F">
        <w:rPr>
          <w:color w:val="000000" w:themeColor="text1"/>
          <w:sz w:val="24"/>
        </w:rPr>
        <w:t>These projects are submitted as one GenIC under the previously approved Developmental Projects to Improve the National Health and Nutrition Examination Survey and Similar Programs (</w:t>
      </w:r>
      <w:r w:rsidRPr="36BB35F2" w:rsidR="00E10118">
        <w:rPr>
          <w:color w:val="000000" w:themeColor="text1"/>
          <w:sz w:val="24"/>
        </w:rPr>
        <w:t>OMB No. 0920-1208, Exp. Date 05/</w:t>
      </w:r>
      <w:r w:rsidRPr="36BB35F2" w:rsidR="00527DD3">
        <w:rPr>
          <w:color w:val="000000" w:themeColor="text1"/>
          <w:sz w:val="24"/>
        </w:rPr>
        <w:t>31/26</w:t>
      </w:r>
      <w:r w:rsidRPr="36BB35F2" w:rsidR="00E10118">
        <w:rPr>
          <w:color w:val="000000" w:themeColor="text1"/>
          <w:sz w:val="24"/>
        </w:rPr>
        <w:t>)</w:t>
      </w:r>
      <w:r w:rsidRPr="36BB35F2" w:rsidR="002E5C7D">
        <w:rPr>
          <w:color w:val="000000" w:themeColor="text1"/>
          <w:sz w:val="24"/>
        </w:rPr>
        <w:t xml:space="preserve"> generic clearance</w:t>
      </w:r>
      <w:r w:rsidRPr="36BB35F2" w:rsidR="00E10118">
        <w:rPr>
          <w:color w:val="000000" w:themeColor="text1"/>
          <w:sz w:val="24"/>
        </w:rPr>
        <w:t>.</w:t>
      </w:r>
      <w:r w:rsidRPr="36BB35F2" w:rsidR="00527DD3">
        <w:rPr>
          <w:b/>
          <w:bCs/>
          <w:color w:val="000000" w:themeColor="text1"/>
          <w:sz w:val="24"/>
        </w:rPr>
        <w:t xml:space="preserve"> </w:t>
      </w:r>
      <w:r w:rsidRPr="36BB35F2" w:rsidR="00122823">
        <w:rPr>
          <w:color w:val="000000" w:themeColor="text1"/>
          <w:sz w:val="24"/>
        </w:rPr>
        <w:t xml:space="preserve">Results </w:t>
      </w:r>
      <w:r w:rsidRPr="36BB35F2" w:rsidR="00527DD3">
        <w:rPr>
          <w:color w:val="000000" w:themeColor="text1"/>
          <w:sz w:val="24"/>
        </w:rPr>
        <w:t xml:space="preserve">from both crossover studies </w:t>
      </w:r>
      <w:r w:rsidRPr="36BB35F2" w:rsidR="00122823">
        <w:rPr>
          <w:color w:val="000000" w:themeColor="text1"/>
          <w:sz w:val="24"/>
        </w:rPr>
        <w:t xml:space="preserve">will allow </w:t>
      </w:r>
      <w:r w:rsidRPr="36BB35F2" w:rsidR="00527DD3">
        <w:rPr>
          <w:color w:val="000000" w:themeColor="text1"/>
          <w:sz w:val="24"/>
        </w:rPr>
        <w:t>DHNES</w:t>
      </w:r>
      <w:r w:rsidRPr="36BB35F2" w:rsidR="00122823">
        <w:rPr>
          <w:color w:val="000000" w:themeColor="text1"/>
          <w:sz w:val="24"/>
        </w:rPr>
        <w:t xml:space="preserve"> to assess new methodologies</w:t>
      </w:r>
      <w:r w:rsidRPr="36BB35F2" w:rsidR="00134B43">
        <w:rPr>
          <w:color w:val="000000" w:themeColor="text1"/>
          <w:sz w:val="24"/>
        </w:rPr>
        <w:t xml:space="preserve"> prior to the start of the 2025-2026 cycle.  </w:t>
      </w:r>
    </w:p>
    <w:p w:rsidR="00C2519B" w:rsidRPr="005529A5" w:rsidP="004262B9" w14:paraId="1C77F836" w14:textId="77777777">
      <w:pPr>
        <w:rPr>
          <w:sz w:val="24"/>
        </w:rPr>
      </w:pPr>
    </w:p>
    <w:p w:rsidR="00F72BAD" w:rsidRPr="005529A5" w:rsidP="004262B9" w14:paraId="4179E065" w14:textId="4D749A5D">
      <w:pPr>
        <w:pStyle w:val="Heading2"/>
        <w:ind w:hanging="2880"/>
        <w:rPr>
          <w:b w:val="0"/>
        </w:rPr>
      </w:pPr>
      <w:bookmarkStart w:id="4" w:name="_Toc172096616"/>
      <w:bookmarkStart w:id="5" w:name="_Toc177120750"/>
      <w:r w:rsidRPr="005529A5">
        <w:rPr>
          <w:b w:val="0"/>
        </w:rPr>
        <w:t xml:space="preserve">2.  Procedures for the </w:t>
      </w:r>
      <w:r w:rsidR="009E6C92">
        <w:rPr>
          <w:b w:val="0"/>
        </w:rPr>
        <w:t>C</w:t>
      </w:r>
      <w:r w:rsidRPr="005529A5">
        <w:rPr>
          <w:b w:val="0"/>
        </w:rPr>
        <w:t xml:space="preserve">ollection of </w:t>
      </w:r>
      <w:r w:rsidR="009E6C92">
        <w:rPr>
          <w:b w:val="0"/>
        </w:rPr>
        <w:t>I</w:t>
      </w:r>
      <w:r w:rsidRPr="005529A5">
        <w:rPr>
          <w:b w:val="0"/>
        </w:rPr>
        <w:t>nformation</w:t>
      </w:r>
      <w:bookmarkEnd w:id="4"/>
      <w:bookmarkEnd w:id="5"/>
    </w:p>
    <w:p w:rsidR="005714CD" w:rsidP="005714CD" w14:paraId="7CABB462" w14:textId="77777777">
      <w:pPr>
        <w:keepNext/>
        <w:rPr>
          <w:color w:val="000000" w:themeColor="text1"/>
          <w:sz w:val="24"/>
        </w:rPr>
      </w:pPr>
    </w:p>
    <w:p w:rsidR="007828C8" w:rsidP="005714CD" w14:paraId="199B36F4" w14:textId="5E6A4691">
      <w:pPr>
        <w:keepNext/>
        <w:rPr>
          <w:b/>
          <w:bCs/>
          <w:color w:val="000000" w:themeColor="text1"/>
          <w:sz w:val="24"/>
        </w:rPr>
      </w:pPr>
      <w:r>
        <w:rPr>
          <w:b/>
          <w:bCs/>
          <w:color w:val="000000" w:themeColor="text1"/>
          <w:sz w:val="24"/>
        </w:rPr>
        <w:t>Dual Energy X-ray Absorptiometry (DXA) Crossover Study</w:t>
      </w:r>
    </w:p>
    <w:p w:rsidR="007828C8" w:rsidRPr="007828C8" w:rsidP="005714CD" w14:paraId="6DA42722" w14:textId="77777777">
      <w:pPr>
        <w:keepNext/>
        <w:rPr>
          <w:b/>
          <w:bCs/>
          <w:color w:val="000000" w:themeColor="text1"/>
          <w:sz w:val="24"/>
        </w:rPr>
      </w:pPr>
    </w:p>
    <w:p w:rsidR="008E6257" w:rsidRPr="008E6257" w:rsidP="008E6257" w14:paraId="65A6FECC" w14:textId="1E567D1E">
      <w:pPr>
        <w:rPr>
          <w:sz w:val="24"/>
        </w:rPr>
      </w:pPr>
      <w:r>
        <w:rPr>
          <w:color w:val="000000" w:themeColor="text1"/>
          <w:sz w:val="24"/>
        </w:rPr>
        <w:t>As previous</w:t>
      </w:r>
      <w:r w:rsidR="002E5C7D">
        <w:rPr>
          <w:color w:val="000000" w:themeColor="text1"/>
          <w:sz w:val="24"/>
        </w:rPr>
        <w:t>ly</w:t>
      </w:r>
      <w:r>
        <w:rPr>
          <w:color w:val="000000" w:themeColor="text1"/>
          <w:sz w:val="24"/>
        </w:rPr>
        <w:t xml:space="preserve"> mentioned in Supporting Statement A, f</w:t>
      </w:r>
      <w:r w:rsidR="00492781">
        <w:rPr>
          <w:color w:val="000000" w:themeColor="text1"/>
          <w:sz w:val="24"/>
        </w:rPr>
        <w:t xml:space="preserve">or the DXA crossover study, RTI International will </w:t>
      </w:r>
      <w:r w:rsidR="009839D8">
        <w:rPr>
          <w:color w:val="000000" w:themeColor="text1"/>
          <w:sz w:val="24"/>
        </w:rPr>
        <w:t>lead recruitment efforts</w:t>
      </w:r>
      <w:r w:rsidR="00336CE7">
        <w:rPr>
          <w:color w:val="000000" w:themeColor="text1"/>
          <w:sz w:val="24"/>
        </w:rPr>
        <w:t xml:space="preserve"> of </w:t>
      </w:r>
      <w:r w:rsidR="00F12EAC">
        <w:rPr>
          <w:color w:val="000000" w:themeColor="text1"/>
          <w:sz w:val="24"/>
        </w:rPr>
        <w:t>a conveni</w:t>
      </w:r>
      <w:r w:rsidR="00CA77A7">
        <w:rPr>
          <w:color w:val="000000" w:themeColor="text1"/>
          <w:sz w:val="24"/>
        </w:rPr>
        <w:t xml:space="preserve">ence sample of 30 </w:t>
      </w:r>
      <w:r w:rsidR="00336CE7">
        <w:rPr>
          <w:color w:val="000000" w:themeColor="text1"/>
          <w:sz w:val="24"/>
        </w:rPr>
        <w:t>volunteer</w:t>
      </w:r>
      <w:r w:rsidR="00CA77A7">
        <w:rPr>
          <w:color w:val="000000" w:themeColor="text1"/>
          <w:sz w:val="24"/>
        </w:rPr>
        <w:t xml:space="preserve">s </w:t>
      </w:r>
      <w:r w:rsidR="00336CE7">
        <w:rPr>
          <w:color w:val="000000" w:themeColor="text1"/>
          <w:sz w:val="24"/>
        </w:rPr>
        <w:t xml:space="preserve">from </w:t>
      </w:r>
      <w:r w:rsidR="00336CE7">
        <w:rPr>
          <w:color w:val="000000" w:themeColor="text1"/>
          <w:sz w:val="24"/>
        </w:rPr>
        <w:t xml:space="preserve">the </w:t>
      </w:r>
      <w:r w:rsidR="001A0AE1">
        <w:rPr>
          <w:color w:val="000000" w:themeColor="text1"/>
          <w:sz w:val="24"/>
        </w:rPr>
        <w:t>area where the study will take place (i.e.,</w:t>
      </w:r>
      <w:r w:rsidR="00CA77A7">
        <w:rPr>
          <w:color w:val="000000" w:themeColor="text1"/>
          <w:sz w:val="24"/>
        </w:rPr>
        <w:t xml:space="preserve"> USDA campus in </w:t>
      </w:r>
      <w:r w:rsidR="002E5C7D">
        <w:rPr>
          <w:color w:val="000000" w:themeColor="text1"/>
          <w:sz w:val="24"/>
        </w:rPr>
        <w:t>Maryland</w:t>
      </w:r>
      <w:r w:rsidR="00CA77A7">
        <w:rPr>
          <w:color w:val="000000" w:themeColor="text1"/>
          <w:sz w:val="24"/>
        </w:rPr>
        <w:t>)</w:t>
      </w:r>
      <w:r w:rsidR="00F81985">
        <w:rPr>
          <w:color w:val="000000" w:themeColor="text1"/>
          <w:sz w:val="24"/>
        </w:rPr>
        <w:t xml:space="preserve"> in the Fall of 2024</w:t>
      </w:r>
      <w:r w:rsidR="001A0AE1">
        <w:rPr>
          <w:color w:val="000000" w:themeColor="text1"/>
          <w:sz w:val="24"/>
        </w:rPr>
        <w:t xml:space="preserve">. </w:t>
      </w:r>
      <w:r w:rsidR="00604F40">
        <w:rPr>
          <w:sz w:val="24"/>
        </w:rPr>
        <w:t>A</w:t>
      </w:r>
      <w:r w:rsidRPr="008E6257">
        <w:rPr>
          <w:sz w:val="24"/>
        </w:rPr>
        <w:t xml:space="preserve"> recruiting agency </w:t>
      </w:r>
      <w:r w:rsidR="00604F40">
        <w:rPr>
          <w:sz w:val="24"/>
        </w:rPr>
        <w:t xml:space="preserve">identified by RTI International </w:t>
      </w:r>
      <w:r w:rsidRPr="008E6257">
        <w:rPr>
          <w:sz w:val="24"/>
        </w:rPr>
        <w:t>will share the following information for recruiting the volunteers:</w:t>
      </w:r>
    </w:p>
    <w:p w:rsidR="008E6257" w:rsidRPr="008E6257" w:rsidP="36BB35F2" w14:paraId="5289BAA4" w14:textId="79E7C3C7">
      <w:pPr>
        <w:pStyle w:val="ListParagraph"/>
        <w:numPr>
          <w:ilvl w:val="0"/>
          <w:numId w:val="13"/>
        </w:numPr>
        <w:rPr>
          <w:sz w:val="24"/>
        </w:rPr>
      </w:pPr>
      <w:r w:rsidRPr="36BB35F2">
        <w:rPr>
          <w:sz w:val="24"/>
        </w:rPr>
        <w:t xml:space="preserve">This is for a </w:t>
      </w:r>
      <w:r w:rsidRPr="36BB35F2" w:rsidR="00FF736C">
        <w:rPr>
          <w:sz w:val="24"/>
        </w:rPr>
        <w:t xml:space="preserve">health </w:t>
      </w:r>
      <w:r w:rsidRPr="36BB35F2">
        <w:rPr>
          <w:sz w:val="24"/>
        </w:rPr>
        <w:t>study</w:t>
      </w:r>
      <w:r w:rsidR="00402CEF">
        <w:rPr>
          <w:sz w:val="24"/>
        </w:rPr>
        <w:t xml:space="preserve"> being conducted by</w:t>
      </w:r>
      <w:r w:rsidR="005826F4">
        <w:rPr>
          <w:sz w:val="24"/>
        </w:rPr>
        <w:t xml:space="preserve"> the Department of Health and Human Services</w:t>
      </w:r>
      <w:r w:rsidRPr="36BB35F2">
        <w:rPr>
          <w:sz w:val="24"/>
        </w:rPr>
        <w:t>.</w:t>
      </w:r>
    </w:p>
    <w:p w:rsidR="008E6257" w:rsidRPr="008E6257" w:rsidP="008E6257" w14:paraId="08C9F9F3" w14:textId="77777777">
      <w:pPr>
        <w:pStyle w:val="ListParagraph"/>
        <w:numPr>
          <w:ilvl w:val="0"/>
          <w:numId w:val="13"/>
        </w:numPr>
        <w:contextualSpacing w:val="0"/>
        <w:rPr>
          <w:sz w:val="24"/>
        </w:rPr>
      </w:pPr>
      <w:r w:rsidRPr="008E6257">
        <w:rPr>
          <w:sz w:val="24"/>
        </w:rPr>
        <w:t>Volunteers are needed for 1 hour (with date and time of appointment).</w:t>
      </w:r>
    </w:p>
    <w:p w:rsidR="008E6257" w:rsidRPr="008E6257" w:rsidP="008E6257" w14:paraId="4786A6FC" w14:textId="77777777">
      <w:pPr>
        <w:pStyle w:val="ListParagraph"/>
        <w:numPr>
          <w:ilvl w:val="0"/>
          <w:numId w:val="13"/>
        </w:numPr>
        <w:contextualSpacing w:val="0"/>
        <w:rPr>
          <w:sz w:val="24"/>
        </w:rPr>
      </w:pPr>
      <w:r w:rsidRPr="008E6257">
        <w:rPr>
          <w:sz w:val="24"/>
        </w:rPr>
        <w:t>Volunteers will get a total 6 DXA scans that look at bone density and body composition.</w:t>
      </w:r>
    </w:p>
    <w:p w:rsidR="008E6257" w:rsidP="008E6257" w14:paraId="10234F36" w14:textId="77777777">
      <w:pPr>
        <w:rPr>
          <w:sz w:val="24"/>
        </w:rPr>
      </w:pPr>
    </w:p>
    <w:p w:rsidR="00C71265" w:rsidP="00C71265" w14:paraId="33573089" w14:textId="571EC788">
      <w:pPr>
        <w:rPr>
          <w:sz w:val="24"/>
        </w:rPr>
      </w:pPr>
      <w:r w:rsidRPr="00A03A2F">
        <w:rPr>
          <w:sz w:val="24"/>
        </w:rPr>
        <w:t xml:space="preserve">Recruiting will be based on gender and age. A set of screening questions will be asked over the telephone with interested </w:t>
      </w:r>
      <w:r w:rsidR="00FA64D9">
        <w:rPr>
          <w:sz w:val="24"/>
        </w:rPr>
        <w:t xml:space="preserve">potential </w:t>
      </w:r>
      <w:r w:rsidRPr="00A03A2F">
        <w:rPr>
          <w:sz w:val="24"/>
        </w:rPr>
        <w:t>participants. The screening questions include age, gender, primary spoken language, and additional exclusion questions to ensure they will be able to complete the whole body, spine, and femur scans (</w:t>
      </w:r>
      <w:r w:rsidR="006C1381">
        <w:rPr>
          <w:sz w:val="24"/>
        </w:rPr>
        <w:t xml:space="preserve">see </w:t>
      </w:r>
      <w:r w:rsidRPr="006C1381">
        <w:rPr>
          <w:b/>
          <w:bCs/>
          <w:sz w:val="24"/>
        </w:rPr>
        <w:t xml:space="preserve">Attachment </w:t>
      </w:r>
      <w:r w:rsidR="006C1381">
        <w:rPr>
          <w:b/>
          <w:bCs/>
          <w:sz w:val="24"/>
        </w:rPr>
        <w:t>1</w:t>
      </w:r>
      <w:r w:rsidRPr="00A03A2F">
        <w:rPr>
          <w:sz w:val="24"/>
        </w:rPr>
        <w:t>).</w:t>
      </w:r>
    </w:p>
    <w:p w:rsidR="00511B30" w:rsidP="00C71265" w14:paraId="5B8E9C49" w14:textId="77777777">
      <w:pPr>
        <w:rPr>
          <w:sz w:val="24"/>
        </w:rPr>
      </w:pPr>
    </w:p>
    <w:p w:rsidR="00511B30" w:rsidP="00C71265" w14:paraId="0B389517" w14:textId="2C9290EB">
      <w:pPr>
        <w:rPr>
          <w:sz w:val="24"/>
        </w:rPr>
      </w:pPr>
      <w:r>
        <w:rPr>
          <w:sz w:val="24"/>
        </w:rPr>
        <w:t xml:space="preserve">After providing consent (see </w:t>
      </w:r>
      <w:r w:rsidRPr="0014759A">
        <w:rPr>
          <w:b/>
          <w:bCs/>
          <w:sz w:val="24"/>
        </w:rPr>
        <w:t>Attachments 2a and 2c</w:t>
      </w:r>
      <w:r>
        <w:rPr>
          <w:sz w:val="24"/>
        </w:rPr>
        <w:t>), p</w:t>
      </w:r>
      <w:r w:rsidRPr="00511B30">
        <w:rPr>
          <w:sz w:val="24"/>
        </w:rPr>
        <w:t>articipants will complete three DXA scans (whole body, spine, and femur) on the Hologic Horizon A Fan Beam Bone Densitometer (SN 301832M). Then participants will receive the same three scans using the new Hologic Horizon A Fan Beam Bone Densitometer. All scans will be taken with participants laying on their backs. All scans will be administered by the DXA consultant contractor from the University of Hawaii</w:t>
      </w:r>
      <w:r w:rsidR="008252E3">
        <w:rPr>
          <w:sz w:val="24"/>
        </w:rPr>
        <w:t xml:space="preserve"> (UH)</w:t>
      </w:r>
      <w:r w:rsidRPr="00511B30">
        <w:rPr>
          <w:sz w:val="24"/>
        </w:rPr>
        <w:t>, who holds a radiology certification from the American Registry of Radiologic Technologists (ARRT). The ARRT certification is recognized in all 50 states. During the study, one DHNES physician will be present in MEC as well. The DXA consultant has extensive experience with DXA systems and for the past 9 years has been training radiology technologists for DHNES.</w:t>
      </w:r>
    </w:p>
    <w:p w:rsidR="008252E3" w:rsidP="00C71265" w14:paraId="3B2CD0D3" w14:textId="77777777">
      <w:pPr>
        <w:rPr>
          <w:sz w:val="24"/>
        </w:rPr>
      </w:pPr>
    </w:p>
    <w:p w:rsidR="008252E3" w:rsidRPr="00511B30" w:rsidP="00C71265" w14:paraId="11B73D52" w14:textId="5F7E3245">
      <w:pPr>
        <w:rPr>
          <w:sz w:val="24"/>
        </w:rPr>
      </w:pPr>
      <w:r>
        <w:rPr>
          <w:sz w:val="24"/>
        </w:rPr>
        <w:t xml:space="preserve">The DXA images will be transferred from the Hologic computer to an RTI laptop </w:t>
      </w:r>
      <w:r w:rsidR="00354B7B">
        <w:rPr>
          <w:sz w:val="24"/>
        </w:rPr>
        <w:t>with</w:t>
      </w:r>
      <w:r>
        <w:rPr>
          <w:sz w:val="24"/>
        </w:rPr>
        <w:t xml:space="preserve"> a secured environment via an encrypted USB drive. UH collaborators will only access and analyze the images using the RTI laptop and will lose access once correction factors are calculated during analysis. No image will be stored on the Hologic computer and once the analysis is completed using the secured RTI laptop, the original and analyzed scans will only be stored on the NCHS server</w:t>
      </w:r>
      <w:r w:rsidR="0014092B">
        <w:rPr>
          <w:sz w:val="24"/>
        </w:rPr>
        <w:t>, indefinitely,</w:t>
      </w:r>
      <w:r>
        <w:rPr>
          <w:sz w:val="24"/>
        </w:rPr>
        <w:t xml:space="preserve"> in case there is a need for future calculations.</w:t>
      </w:r>
    </w:p>
    <w:p w:rsidR="00C71265" w:rsidRPr="00A03A2F" w:rsidP="00C71265" w14:paraId="7FB3F083" w14:textId="77777777">
      <w:pPr>
        <w:pStyle w:val="BlockText"/>
        <w:spacing w:after="0" w:line="276" w:lineRule="auto"/>
        <w:ind w:left="0" w:right="0"/>
      </w:pPr>
    </w:p>
    <w:p w:rsidR="00E30DC2" w:rsidRPr="00E30DC2" w:rsidP="000C7851" w14:paraId="15B5CE7A" w14:textId="607C8F2F">
      <w:pPr>
        <w:pStyle w:val="BlockText"/>
        <w:spacing w:after="0"/>
        <w:ind w:left="0" w:right="0"/>
      </w:pPr>
      <w:r>
        <w:t>A</w:t>
      </w:r>
      <w:r w:rsidRPr="00A03A2F" w:rsidR="00C71265">
        <w:t xml:space="preserve"> urine sample will be collected from people who were born female and are of childbearing age (20-59 years old).  A urine pregnancy test will be performed in the MEC to determine pregnancy status. A certified medical laboratory scientist will perform the pregnancy test. Urine pregnancy test results will be reported to participants. Females of childbearing age will be excluded from the study if their urine pregnancy test is positive, if they say they are pregnant, or if they decline to take the pregnancy test.  </w:t>
      </w:r>
    </w:p>
    <w:p w:rsidR="00492781" w:rsidP="005714CD" w14:paraId="7B123592" w14:textId="4B25E39F">
      <w:pPr>
        <w:rPr>
          <w:color w:val="000000" w:themeColor="text1"/>
          <w:sz w:val="24"/>
        </w:rPr>
      </w:pPr>
    </w:p>
    <w:p w:rsidR="000C7851" w:rsidRPr="000C7851" w:rsidP="000C7851" w14:paraId="5AF55585" w14:textId="1C23769F">
      <w:pPr>
        <w:tabs>
          <w:tab w:val="left" w:pos="-1440"/>
        </w:tabs>
        <w:rPr>
          <w:sz w:val="24"/>
        </w:rPr>
      </w:pPr>
      <w:r w:rsidRPr="000C7851">
        <w:rPr>
          <w:sz w:val="24"/>
        </w:rPr>
        <w:t>NHANES will provide a cover letter and report of findings (</w:t>
      </w:r>
      <w:r w:rsidRPr="000C7851">
        <w:rPr>
          <w:b/>
          <w:bCs/>
          <w:sz w:val="24"/>
        </w:rPr>
        <w:t>Attachment 3</w:t>
      </w:r>
      <w:r w:rsidRPr="000C7851">
        <w:rPr>
          <w:sz w:val="24"/>
        </w:rPr>
        <w:t>) containing the following results to the volunteers prior to leaving the MEC (N</w:t>
      </w:r>
      <w:r w:rsidR="00457E26">
        <w:rPr>
          <w:sz w:val="24"/>
        </w:rPr>
        <w:t>ote</w:t>
      </w:r>
      <w:r w:rsidRPr="000C7851">
        <w:rPr>
          <w:sz w:val="24"/>
        </w:rPr>
        <w:t>: The cover letter and report of findings are provided to participants for participation in the DXA and/or Hematology Analyzer Blood Tube studies):</w:t>
      </w:r>
    </w:p>
    <w:p w:rsidR="000C7851" w:rsidRPr="000C7851" w:rsidP="000C7851" w14:paraId="10DEA616" w14:textId="77777777">
      <w:pPr>
        <w:pStyle w:val="ListParagraph"/>
        <w:numPr>
          <w:ilvl w:val="0"/>
          <w:numId w:val="14"/>
        </w:numPr>
        <w:tabs>
          <w:tab w:val="left" w:pos="-1440"/>
        </w:tabs>
        <w:contextualSpacing w:val="0"/>
        <w:rPr>
          <w:sz w:val="24"/>
        </w:rPr>
      </w:pPr>
      <w:r w:rsidRPr="000C7851">
        <w:rPr>
          <w:sz w:val="24"/>
        </w:rPr>
        <w:t>Total body fat percent;</w:t>
      </w:r>
    </w:p>
    <w:p w:rsidR="000C7851" w:rsidRPr="000C7851" w:rsidP="000C7851" w14:paraId="48965A81" w14:textId="77777777">
      <w:pPr>
        <w:pStyle w:val="ListParagraph"/>
        <w:numPr>
          <w:ilvl w:val="0"/>
          <w:numId w:val="14"/>
        </w:numPr>
        <w:tabs>
          <w:tab w:val="left" w:pos="-1440"/>
        </w:tabs>
        <w:contextualSpacing w:val="0"/>
        <w:rPr>
          <w:sz w:val="24"/>
        </w:rPr>
      </w:pPr>
      <w:r w:rsidRPr="000C7851">
        <w:rPr>
          <w:sz w:val="24"/>
        </w:rPr>
        <w:t>Hip and spine bone mineral density (BMD) with interpretations using T-scores; and</w:t>
      </w:r>
    </w:p>
    <w:p w:rsidR="00492781" w:rsidRPr="00B6691F" w:rsidP="000C7851" w14:paraId="412FDAB9" w14:textId="4B1AEFC3">
      <w:pPr>
        <w:pStyle w:val="ListParagraph"/>
        <w:numPr>
          <w:ilvl w:val="0"/>
          <w:numId w:val="14"/>
        </w:numPr>
        <w:rPr>
          <w:color w:val="000000" w:themeColor="text1"/>
          <w:sz w:val="24"/>
        </w:rPr>
      </w:pPr>
      <w:r w:rsidRPr="000C7851">
        <w:rPr>
          <w:sz w:val="24"/>
        </w:rPr>
        <w:t>Urine pregnancy results (when applicable).</w:t>
      </w:r>
    </w:p>
    <w:p w:rsidR="00B6691F" w:rsidP="00B6691F" w14:paraId="06951462" w14:textId="77777777">
      <w:pPr>
        <w:rPr>
          <w:color w:val="000000" w:themeColor="text1"/>
          <w:sz w:val="24"/>
        </w:rPr>
      </w:pPr>
    </w:p>
    <w:p w:rsidR="00B6691F" w:rsidP="00B6691F" w14:paraId="21A8CDC0" w14:textId="5785BE17">
      <w:pPr>
        <w:rPr>
          <w:b/>
          <w:bCs/>
          <w:color w:val="000000" w:themeColor="text1"/>
          <w:sz w:val="24"/>
        </w:rPr>
      </w:pPr>
      <w:r>
        <w:rPr>
          <w:b/>
          <w:bCs/>
          <w:color w:val="000000" w:themeColor="text1"/>
          <w:sz w:val="24"/>
        </w:rPr>
        <w:t>Hematology Analyzer and Blood Collection Tube Comparison Study</w:t>
      </w:r>
    </w:p>
    <w:p w:rsidR="00F145D6" w:rsidP="00B6691F" w14:paraId="16251095" w14:textId="77777777">
      <w:pPr>
        <w:rPr>
          <w:b/>
          <w:bCs/>
          <w:color w:val="000000" w:themeColor="text1"/>
          <w:sz w:val="24"/>
        </w:rPr>
      </w:pPr>
    </w:p>
    <w:p w:rsidR="00F145D6" w:rsidRPr="00B50A39" w:rsidP="00B50A39" w14:paraId="5DF5D742" w14:textId="395514F2">
      <w:pPr>
        <w:rPr>
          <w:i/>
          <w:iCs/>
          <w:color w:val="000000" w:themeColor="text1"/>
          <w:sz w:val="24"/>
        </w:rPr>
      </w:pPr>
      <w:r w:rsidRPr="00B50A39">
        <w:rPr>
          <w:i/>
          <w:iCs/>
          <w:color w:val="000000" w:themeColor="text1"/>
          <w:sz w:val="24"/>
        </w:rPr>
        <w:t xml:space="preserve">Part 1: Hematology Analyzer </w:t>
      </w:r>
      <w:r w:rsidR="00457E26">
        <w:rPr>
          <w:i/>
          <w:iCs/>
          <w:color w:val="000000" w:themeColor="text1"/>
          <w:sz w:val="24"/>
        </w:rPr>
        <w:t>c</w:t>
      </w:r>
      <w:r w:rsidRPr="00B50A39">
        <w:rPr>
          <w:i/>
          <w:iCs/>
          <w:color w:val="000000" w:themeColor="text1"/>
          <w:sz w:val="24"/>
        </w:rPr>
        <w:t xml:space="preserve">omparison </w:t>
      </w:r>
      <w:r w:rsidR="00457E26">
        <w:rPr>
          <w:i/>
          <w:iCs/>
          <w:color w:val="000000" w:themeColor="text1"/>
          <w:sz w:val="24"/>
        </w:rPr>
        <w:t>s</w:t>
      </w:r>
      <w:r w:rsidRPr="00B50A39">
        <w:rPr>
          <w:i/>
          <w:iCs/>
          <w:color w:val="000000" w:themeColor="text1"/>
          <w:sz w:val="24"/>
        </w:rPr>
        <w:t>tudy</w:t>
      </w:r>
    </w:p>
    <w:p w:rsidR="00F145D6" w:rsidP="00B6691F" w14:paraId="5EB97F9B" w14:textId="77777777">
      <w:pPr>
        <w:rPr>
          <w:b/>
          <w:bCs/>
          <w:color w:val="000000" w:themeColor="text1"/>
          <w:sz w:val="24"/>
        </w:rPr>
      </w:pPr>
    </w:p>
    <w:p w:rsidR="00F145D6" w:rsidP="00B6691F" w14:paraId="67BB2563" w14:textId="7C5458B0">
      <w:pPr>
        <w:rPr>
          <w:sz w:val="24"/>
        </w:rPr>
      </w:pPr>
      <w:r>
        <w:rPr>
          <w:color w:val="000000" w:themeColor="text1"/>
          <w:sz w:val="24"/>
        </w:rPr>
        <w:t xml:space="preserve">This comparison </w:t>
      </w:r>
      <w:r w:rsidR="00457E26">
        <w:rPr>
          <w:color w:val="000000" w:themeColor="text1"/>
          <w:sz w:val="24"/>
        </w:rPr>
        <w:t>study</w:t>
      </w:r>
      <w:r>
        <w:rPr>
          <w:color w:val="000000" w:themeColor="text1"/>
          <w:sz w:val="24"/>
        </w:rPr>
        <w:t xml:space="preserve"> will be conducted by recruiting 40 volunteers age 20 and older u</w:t>
      </w:r>
      <w:r w:rsidR="00BB6B7E">
        <w:rPr>
          <w:color w:val="000000" w:themeColor="text1"/>
          <w:sz w:val="24"/>
        </w:rPr>
        <w:t>sing</w:t>
      </w:r>
      <w:r>
        <w:rPr>
          <w:color w:val="000000" w:themeColor="text1"/>
          <w:sz w:val="24"/>
        </w:rPr>
        <w:t xml:space="preserve"> the same recruitment strategy proposed for the DXA crossover study.</w:t>
      </w:r>
      <w:r w:rsidR="0087347C">
        <w:rPr>
          <w:color w:val="000000" w:themeColor="text1"/>
          <w:sz w:val="24"/>
        </w:rPr>
        <w:t xml:space="preserve"> As </w:t>
      </w:r>
      <w:r w:rsidRPr="008064E1" w:rsidR="0087347C">
        <w:rPr>
          <w:color w:val="000000" w:themeColor="text1"/>
          <w:sz w:val="24"/>
        </w:rPr>
        <w:t xml:space="preserve">previously mentioned in Supporting Statement A, a venipuncture </w:t>
      </w:r>
      <w:r w:rsidRPr="008064E1" w:rsidR="00040A2A">
        <w:rPr>
          <w:color w:val="000000" w:themeColor="text1"/>
          <w:sz w:val="24"/>
        </w:rPr>
        <w:t xml:space="preserve">will be performed to obtain </w:t>
      </w:r>
      <w:r w:rsidRPr="008064E1" w:rsidR="008064E1">
        <w:rPr>
          <w:sz w:val="24"/>
        </w:rPr>
        <w:t>two Ethylenediaminetetraacetic acid (EDTA) lavender blood tubes of 4ml each. Volunteers’ blood will be analyzed on both the new (DxH560) and the current Coulter (DxH800) systems simultaneously. The results will be analyzed by the DHNES Method Validation Team to determine if the results are comparable or are statistically different.</w:t>
      </w:r>
      <w:r w:rsidR="008252E3">
        <w:rPr>
          <w:sz w:val="24"/>
        </w:rPr>
        <w:t xml:space="preserve"> T</w:t>
      </w:r>
      <w:r w:rsidR="00354B7B">
        <w:rPr>
          <w:sz w:val="24"/>
        </w:rPr>
        <w:t>he t</w:t>
      </w:r>
      <w:r w:rsidR="008252E3">
        <w:rPr>
          <w:sz w:val="24"/>
        </w:rPr>
        <w:t>esting lab will be instructed to destroy all samples and sign a destruction form 30 days after the</w:t>
      </w:r>
      <w:r w:rsidR="00354B7B">
        <w:rPr>
          <w:sz w:val="24"/>
        </w:rPr>
        <w:t xml:space="preserve"> DHNES Method Validation</w:t>
      </w:r>
      <w:r w:rsidR="008252E3">
        <w:rPr>
          <w:sz w:val="24"/>
        </w:rPr>
        <w:t xml:space="preserve"> </w:t>
      </w:r>
      <w:r w:rsidR="00354B7B">
        <w:rPr>
          <w:sz w:val="24"/>
        </w:rPr>
        <w:t>T</w:t>
      </w:r>
      <w:r w:rsidR="008252E3">
        <w:rPr>
          <w:sz w:val="24"/>
        </w:rPr>
        <w:t>eam completes their analysis.</w:t>
      </w:r>
    </w:p>
    <w:p w:rsidR="002A05F3" w:rsidP="00B6691F" w14:paraId="723E4066" w14:textId="77777777">
      <w:pPr>
        <w:rPr>
          <w:sz w:val="24"/>
        </w:rPr>
      </w:pPr>
    </w:p>
    <w:p w:rsidR="002A05F3" w:rsidRPr="00B50A39" w:rsidP="00B6691F" w14:paraId="0D67F0C4" w14:textId="21B0097F">
      <w:pPr>
        <w:rPr>
          <w:i/>
          <w:iCs/>
          <w:sz w:val="24"/>
        </w:rPr>
      </w:pPr>
      <w:r w:rsidRPr="00B50A39">
        <w:rPr>
          <w:i/>
          <w:iCs/>
          <w:sz w:val="24"/>
        </w:rPr>
        <w:t xml:space="preserve">Part 2: Blood Collection Tube Type </w:t>
      </w:r>
      <w:r w:rsidR="00457E26">
        <w:rPr>
          <w:i/>
          <w:iCs/>
          <w:sz w:val="24"/>
        </w:rPr>
        <w:t>c</w:t>
      </w:r>
      <w:r w:rsidRPr="00B50A39">
        <w:rPr>
          <w:i/>
          <w:iCs/>
          <w:sz w:val="24"/>
        </w:rPr>
        <w:t xml:space="preserve">omparison </w:t>
      </w:r>
      <w:r w:rsidR="00457E26">
        <w:rPr>
          <w:i/>
          <w:iCs/>
          <w:sz w:val="24"/>
        </w:rPr>
        <w:t>s</w:t>
      </w:r>
      <w:r w:rsidRPr="00B50A39">
        <w:rPr>
          <w:i/>
          <w:iCs/>
          <w:sz w:val="24"/>
        </w:rPr>
        <w:t>tudy</w:t>
      </w:r>
    </w:p>
    <w:p w:rsidR="002A05F3" w:rsidP="00B6691F" w14:paraId="19139321" w14:textId="77777777">
      <w:pPr>
        <w:rPr>
          <w:sz w:val="24"/>
        </w:rPr>
      </w:pPr>
    </w:p>
    <w:p w:rsidR="002A05F3" w:rsidP="00B6691F" w14:paraId="6451D034" w14:textId="62134FE8">
      <w:pPr>
        <w:rPr>
          <w:sz w:val="24"/>
        </w:rPr>
      </w:pPr>
      <w:r w:rsidRPr="00582FD2">
        <w:rPr>
          <w:sz w:val="24"/>
        </w:rPr>
        <w:t>The same</w:t>
      </w:r>
      <w:r w:rsidR="002156EE">
        <w:rPr>
          <w:sz w:val="24"/>
        </w:rPr>
        <w:t xml:space="preserve"> convenience sample of</w:t>
      </w:r>
      <w:r w:rsidRPr="00582FD2">
        <w:rPr>
          <w:sz w:val="24"/>
        </w:rPr>
        <w:t xml:space="preserve"> 40 volunteers recruited for Part 1 of the </w:t>
      </w:r>
      <w:r w:rsidR="00A549F4">
        <w:rPr>
          <w:sz w:val="24"/>
        </w:rPr>
        <w:t>h</w:t>
      </w:r>
      <w:r w:rsidRPr="00582FD2">
        <w:rPr>
          <w:sz w:val="24"/>
        </w:rPr>
        <w:t xml:space="preserve">ematology study </w:t>
      </w:r>
      <w:r w:rsidRPr="00582FD2" w:rsidR="005825D0">
        <w:rPr>
          <w:sz w:val="24"/>
        </w:rPr>
        <w:t>will participate in</w:t>
      </w:r>
      <w:r w:rsidR="00457E26">
        <w:rPr>
          <w:sz w:val="24"/>
        </w:rPr>
        <w:t xml:space="preserve"> </w:t>
      </w:r>
      <w:r w:rsidRPr="00582FD2" w:rsidR="005825D0">
        <w:rPr>
          <w:sz w:val="24"/>
        </w:rPr>
        <w:t xml:space="preserve">Part 2, where </w:t>
      </w:r>
      <w:r w:rsidRPr="00582FD2" w:rsidR="00420748">
        <w:rPr>
          <w:sz w:val="24"/>
        </w:rPr>
        <w:t xml:space="preserve">the results </w:t>
      </w:r>
      <w:r w:rsidRPr="00582FD2" w:rsidR="00711862">
        <w:rPr>
          <w:sz w:val="24"/>
        </w:rPr>
        <w:t xml:space="preserve">of the biochemistry panel, C-Reactive Protein (CRP), insulin, and Per- and polyfluoroalkyl (PFAS) tests </w:t>
      </w:r>
      <w:r w:rsidRPr="00582FD2" w:rsidR="00BD0C4C">
        <w:rPr>
          <w:sz w:val="24"/>
        </w:rPr>
        <w:t>using Red Top Tubes will be compared to resul</w:t>
      </w:r>
      <w:r w:rsidRPr="00582FD2" w:rsidR="002E658B">
        <w:rPr>
          <w:sz w:val="24"/>
        </w:rPr>
        <w:t xml:space="preserve">ts using SSTs to </w:t>
      </w:r>
      <w:r w:rsidR="00770E54">
        <w:rPr>
          <w:sz w:val="24"/>
        </w:rPr>
        <w:t>verify</w:t>
      </w:r>
      <w:r w:rsidRPr="00582FD2" w:rsidR="002E658B">
        <w:rPr>
          <w:sz w:val="24"/>
        </w:rPr>
        <w:t xml:space="preserve"> data consistency between collection tube types</w:t>
      </w:r>
      <w:r w:rsidRPr="00582FD2" w:rsidR="00314D73">
        <w:rPr>
          <w:sz w:val="24"/>
        </w:rPr>
        <w:t xml:space="preserve">. As previously mentioned, </w:t>
      </w:r>
      <w:r w:rsidR="00770E54">
        <w:rPr>
          <w:sz w:val="24"/>
        </w:rPr>
        <w:t xml:space="preserve">this </w:t>
      </w:r>
      <w:r w:rsidRPr="00582FD2" w:rsidR="00582FD2">
        <w:rPr>
          <w:sz w:val="24"/>
        </w:rPr>
        <w:t xml:space="preserve">study will inform </w:t>
      </w:r>
      <w:r w:rsidR="00A549F4">
        <w:rPr>
          <w:sz w:val="24"/>
        </w:rPr>
        <w:t>DHNES</w:t>
      </w:r>
      <w:r w:rsidRPr="00582FD2" w:rsidR="00582FD2">
        <w:rPr>
          <w:sz w:val="24"/>
        </w:rPr>
        <w:t xml:space="preserve"> if SSTs are a feasible option to reduce processing time and maintain sample quality</w:t>
      </w:r>
      <w:r w:rsidR="005F4F1B">
        <w:rPr>
          <w:sz w:val="24"/>
        </w:rPr>
        <w:t>.</w:t>
      </w:r>
    </w:p>
    <w:p w:rsidR="005F4F1B" w:rsidP="00B6691F" w14:paraId="503B6244" w14:textId="77777777">
      <w:pPr>
        <w:rPr>
          <w:sz w:val="24"/>
        </w:rPr>
      </w:pPr>
    </w:p>
    <w:p w:rsidR="009416CD" w:rsidRPr="009416CD" w:rsidP="009416CD" w14:paraId="535D84FA" w14:textId="6EDE9904">
      <w:pPr>
        <w:rPr>
          <w:sz w:val="24"/>
        </w:rPr>
      </w:pPr>
      <w:r w:rsidRPr="009416CD">
        <w:rPr>
          <w:sz w:val="24"/>
        </w:rPr>
        <w:t>Volunteers who meet any of the following criteria are not eligible for either the CBC component</w:t>
      </w:r>
      <w:r w:rsidR="00A549F4">
        <w:rPr>
          <w:sz w:val="24"/>
        </w:rPr>
        <w:t xml:space="preserve"> (i.e., Part 1)</w:t>
      </w:r>
      <w:r w:rsidRPr="009416CD">
        <w:rPr>
          <w:sz w:val="24"/>
        </w:rPr>
        <w:t xml:space="preserve"> or tube study</w:t>
      </w:r>
      <w:r w:rsidR="00A549F4">
        <w:rPr>
          <w:sz w:val="24"/>
        </w:rPr>
        <w:t xml:space="preserve"> (i.e., Part 2)</w:t>
      </w:r>
      <w:r w:rsidRPr="009416CD">
        <w:rPr>
          <w:sz w:val="24"/>
        </w:rPr>
        <w:t>:</w:t>
      </w:r>
    </w:p>
    <w:p w:rsidR="009416CD" w:rsidRPr="009416CD" w:rsidP="009416CD" w14:paraId="45C340FD" w14:textId="77777777">
      <w:pPr>
        <w:pStyle w:val="ListParagraph"/>
        <w:widowControl w:val="0"/>
        <w:numPr>
          <w:ilvl w:val="0"/>
          <w:numId w:val="15"/>
        </w:numPr>
        <w:autoSpaceDE w:val="0"/>
        <w:autoSpaceDN w:val="0"/>
        <w:adjustRightInd w:val="0"/>
        <w:rPr>
          <w:sz w:val="24"/>
        </w:rPr>
      </w:pPr>
      <w:r w:rsidRPr="009416CD">
        <w:rPr>
          <w:sz w:val="24"/>
        </w:rPr>
        <w:t>Hemophilia; and</w:t>
      </w:r>
    </w:p>
    <w:p w:rsidR="009416CD" w:rsidRPr="009416CD" w:rsidP="009416CD" w14:paraId="6EA0FF67" w14:textId="77777777">
      <w:pPr>
        <w:pStyle w:val="ListParagraph"/>
        <w:widowControl w:val="0"/>
        <w:numPr>
          <w:ilvl w:val="0"/>
          <w:numId w:val="15"/>
        </w:numPr>
        <w:autoSpaceDE w:val="0"/>
        <w:autoSpaceDN w:val="0"/>
        <w:adjustRightInd w:val="0"/>
        <w:rPr>
          <w:sz w:val="24"/>
        </w:rPr>
      </w:pPr>
      <w:r w:rsidRPr="009416CD">
        <w:rPr>
          <w:sz w:val="24"/>
        </w:rPr>
        <w:t>Cancer chemotherapy within last 4 weeks</w:t>
      </w:r>
    </w:p>
    <w:p w:rsidR="009416CD" w:rsidRPr="009416CD" w:rsidP="009416CD" w14:paraId="3172F5ED" w14:textId="77777777">
      <w:pPr>
        <w:pStyle w:val="ListParagraph"/>
        <w:widowControl w:val="0"/>
        <w:numPr>
          <w:ilvl w:val="0"/>
          <w:numId w:val="15"/>
        </w:numPr>
        <w:autoSpaceDE w:val="0"/>
        <w:autoSpaceDN w:val="0"/>
        <w:adjustRightInd w:val="0"/>
        <w:rPr>
          <w:sz w:val="24"/>
        </w:rPr>
      </w:pPr>
      <w:r w:rsidRPr="009416CD">
        <w:rPr>
          <w:sz w:val="24"/>
        </w:rPr>
        <w:t>Non-English speaking</w:t>
      </w:r>
    </w:p>
    <w:p w:rsidR="009416CD" w:rsidP="009416CD" w14:paraId="225140F8" w14:textId="77777777">
      <w:pPr>
        <w:pStyle w:val="ListParagraph"/>
        <w:widowControl w:val="0"/>
        <w:numPr>
          <w:ilvl w:val="0"/>
          <w:numId w:val="15"/>
        </w:numPr>
        <w:autoSpaceDE w:val="0"/>
        <w:autoSpaceDN w:val="0"/>
        <w:adjustRightInd w:val="0"/>
        <w:rPr>
          <w:sz w:val="24"/>
        </w:rPr>
      </w:pPr>
      <w:r w:rsidRPr="009416CD">
        <w:rPr>
          <w:sz w:val="24"/>
        </w:rPr>
        <w:t>Any condition for which the MEC physician deems to put the participant at significant risk.</w:t>
      </w:r>
    </w:p>
    <w:p w:rsidR="00A549F4" w:rsidRPr="009416CD" w:rsidP="00A549F4" w14:paraId="5356AB85" w14:textId="77777777">
      <w:pPr>
        <w:pStyle w:val="ListParagraph"/>
        <w:widowControl w:val="0"/>
        <w:autoSpaceDE w:val="0"/>
        <w:autoSpaceDN w:val="0"/>
        <w:adjustRightInd w:val="0"/>
        <w:rPr>
          <w:sz w:val="24"/>
        </w:rPr>
      </w:pPr>
    </w:p>
    <w:p w:rsidR="009416CD" w:rsidRPr="009416CD" w:rsidP="009416CD" w14:paraId="22362298" w14:textId="4B4EB017">
      <w:pPr>
        <w:rPr>
          <w:sz w:val="24"/>
        </w:rPr>
      </w:pPr>
      <w:r w:rsidRPr="009416CD">
        <w:rPr>
          <w:sz w:val="24"/>
        </w:rPr>
        <w:t xml:space="preserve">The recruiting agency </w:t>
      </w:r>
      <w:r w:rsidR="00180A8C">
        <w:rPr>
          <w:sz w:val="24"/>
        </w:rPr>
        <w:t xml:space="preserve">identified by RTI International </w:t>
      </w:r>
      <w:r w:rsidRPr="009416CD">
        <w:rPr>
          <w:sz w:val="24"/>
        </w:rPr>
        <w:t>will share the following information for recruiting the volunteer</w:t>
      </w:r>
      <w:r w:rsidR="006718B7">
        <w:rPr>
          <w:sz w:val="24"/>
        </w:rPr>
        <w:t>s</w:t>
      </w:r>
      <w:r w:rsidRPr="009416CD">
        <w:rPr>
          <w:sz w:val="24"/>
        </w:rPr>
        <w:t>:</w:t>
      </w:r>
    </w:p>
    <w:p w:rsidR="009416CD" w:rsidRPr="009416CD" w:rsidP="36BB35F2" w14:paraId="11D9D30D" w14:textId="24C63381">
      <w:pPr>
        <w:pStyle w:val="ListParagraph"/>
        <w:numPr>
          <w:ilvl w:val="0"/>
          <w:numId w:val="13"/>
        </w:numPr>
        <w:rPr>
          <w:sz w:val="24"/>
        </w:rPr>
      </w:pPr>
      <w:r w:rsidRPr="36BB35F2">
        <w:rPr>
          <w:sz w:val="24"/>
        </w:rPr>
        <w:t>This is for a</w:t>
      </w:r>
      <w:r w:rsidRPr="36BB35F2" w:rsidR="000C3381">
        <w:rPr>
          <w:sz w:val="24"/>
        </w:rPr>
        <w:t xml:space="preserve"> health</w:t>
      </w:r>
      <w:r w:rsidRPr="36BB35F2">
        <w:rPr>
          <w:sz w:val="24"/>
        </w:rPr>
        <w:t xml:space="preserve"> study</w:t>
      </w:r>
      <w:r w:rsidR="007C3B7D">
        <w:rPr>
          <w:sz w:val="24"/>
        </w:rPr>
        <w:t xml:space="preserve"> being conducted by </w:t>
      </w:r>
      <w:r w:rsidR="005F48FD">
        <w:rPr>
          <w:sz w:val="24"/>
        </w:rPr>
        <w:t>the Department of Health and Human Services</w:t>
      </w:r>
      <w:r w:rsidRPr="36BB35F2">
        <w:rPr>
          <w:sz w:val="24"/>
        </w:rPr>
        <w:t>.</w:t>
      </w:r>
    </w:p>
    <w:p w:rsidR="009416CD" w:rsidRPr="009416CD" w:rsidP="009416CD" w14:paraId="6C82452E" w14:textId="77777777">
      <w:pPr>
        <w:pStyle w:val="ListParagraph"/>
        <w:numPr>
          <w:ilvl w:val="0"/>
          <w:numId w:val="13"/>
        </w:numPr>
        <w:contextualSpacing w:val="0"/>
        <w:rPr>
          <w:sz w:val="24"/>
        </w:rPr>
      </w:pPr>
      <w:r w:rsidRPr="009416CD">
        <w:rPr>
          <w:sz w:val="24"/>
        </w:rPr>
        <w:t xml:space="preserve">Volunteers are needed for 10 minutes (with date and time of appointments). </w:t>
      </w:r>
    </w:p>
    <w:p w:rsidR="009416CD" w:rsidRPr="009416CD" w:rsidP="009416CD" w14:paraId="5CA4DD09" w14:textId="77777777">
      <w:pPr>
        <w:pStyle w:val="ListParagraph"/>
        <w:numPr>
          <w:ilvl w:val="0"/>
          <w:numId w:val="13"/>
        </w:numPr>
        <w:contextualSpacing w:val="0"/>
        <w:rPr>
          <w:sz w:val="24"/>
        </w:rPr>
      </w:pPr>
      <w:r w:rsidRPr="009416CD">
        <w:rPr>
          <w:sz w:val="24"/>
        </w:rPr>
        <w:t>Volunteers will get a total of 4 tubes drawn.</w:t>
      </w:r>
    </w:p>
    <w:p w:rsidR="00DA4954" w:rsidP="009416CD" w14:paraId="22E46883" w14:textId="77777777">
      <w:pPr>
        <w:pStyle w:val="ListParagraph"/>
        <w:numPr>
          <w:ilvl w:val="0"/>
          <w:numId w:val="13"/>
        </w:numPr>
        <w:contextualSpacing w:val="0"/>
        <w:rPr>
          <w:sz w:val="24"/>
        </w:rPr>
      </w:pPr>
      <w:r w:rsidRPr="009416CD">
        <w:rPr>
          <w:sz w:val="24"/>
        </w:rPr>
        <w:t>The study will be conducted at the USDA campus in Beltsville, MD</w:t>
      </w:r>
    </w:p>
    <w:p w:rsidR="009416CD" w:rsidP="009416CD" w14:paraId="652EEFC5" w14:textId="77777777">
      <w:pPr>
        <w:rPr>
          <w:sz w:val="24"/>
        </w:rPr>
      </w:pPr>
    </w:p>
    <w:p w:rsidR="009D5DE4" w:rsidRPr="00023AAF" w:rsidP="009416CD" w14:paraId="300D520D" w14:textId="45F0CC66">
      <w:pPr>
        <w:rPr>
          <w:sz w:val="24"/>
        </w:rPr>
      </w:pPr>
      <w:r w:rsidRPr="00023AAF">
        <w:rPr>
          <w:sz w:val="24"/>
        </w:rPr>
        <w:t xml:space="preserve">Please see </w:t>
      </w:r>
      <w:r w:rsidRPr="00023AAF">
        <w:rPr>
          <w:b/>
          <w:bCs/>
          <w:sz w:val="24"/>
        </w:rPr>
        <w:t>Attachment 1</w:t>
      </w:r>
      <w:r w:rsidRPr="00023AAF">
        <w:rPr>
          <w:sz w:val="24"/>
        </w:rPr>
        <w:t xml:space="preserve"> for </w:t>
      </w:r>
      <w:r w:rsidRPr="00023AAF" w:rsidR="003514D1">
        <w:rPr>
          <w:sz w:val="24"/>
        </w:rPr>
        <w:t xml:space="preserve">a description of the </w:t>
      </w:r>
      <w:r w:rsidR="0074379F">
        <w:rPr>
          <w:sz w:val="24"/>
        </w:rPr>
        <w:t>h</w:t>
      </w:r>
      <w:r w:rsidR="00023AAF">
        <w:rPr>
          <w:sz w:val="24"/>
        </w:rPr>
        <w:t xml:space="preserve">ematology </w:t>
      </w:r>
      <w:r w:rsidRPr="00023AAF" w:rsidR="003514D1">
        <w:rPr>
          <w:sz w:val="24"/>
        </w:rPr>
        <w:t xml:space="preserve">study and eligibility </w:t>
      </w:r>
      <w:r w:rsidR="0074379F">
        <w:rPr>
          <w:sz w:val="24"/>
        </w:rPr>
        <w:t xml:space="preserve">phone screening </w:t>
      </w:r>
      <w:r w:rsidRPr="00023AAF" w:rsidR="003514D1">
        <w:rPr>
          <w:sz w:val="24"/>
        </w:rPr>
        <w:t>questionnaire administered to potential volunteers.</w:t>
      </w:r>
      <w:r w:rsidRPr="00023AAF" w:rsidR="00023AAF">
        <w:rPr>
          <w:sz w:val="24"/>
        </w:rPr>
        <w:t xml:space="preserve"> </w:t>
      </w:r>
      <w:r w:rsidRPr="00023AAF" w:rsidR="00023AAF">
        <w:rPr>
          <w:noProof/>
          <w:sz w:val="24"/>
        </w:rPr>
        <w:t>Informed consent will be obtained</w:t>
      </w:r>
      <w:r w:rsidR="00310F16">
        <w:rPr>
          <w:noProof/>
          <w:sz w:val="24"/>
        </w:rPr>
        <w:t xml:space="preserve"> for the hematology study</w:t>
      </w:r>
      <w:r w:rsidR="00A8233E">
        <w:rPr>
          <w:noProof/>
          <w:sz w:val="24"/>
        </w:rPr>
        <w:t xml:space="preserve"> upon participant’s </w:t>
      </w:r>
      <w:r w:rsidR="00B53297">
        <w:rPr>
          <w:noProof/>
          <w:sz w:val="24"/>
        </w:rPr>
        <w:t xml:space="preserve">arrival to the MEC after reading </w:t>
      </w:r>
      <w:r w:rsidR="00B53297">
        <w:rPr>
          <w:noProof/>
          <w:sz w:val="24"/>
        </w:rPr>
        <w:t>and reviewing</w:t>
      </w:r>
      <w:r w:rsidRPr="00023AAF" w:rsidR="00023AAF">
        <w:rPr>
          <w:noProof/>
          <w:sz w:val="24"/>
        </w:rPr>
        <w:t xml:space="preserve"> the attached form (</w:t>
      </w:r>
      <w:r w:rsidRPr="00023AAF" w:rsidR="00023AAF">
        <w:rPr>
          <w:b/>
          <w:bCs/>
          <w:noProof/>
          <w:sz w:val="24"/>
        </w:rPr>
        <w:t xml:space="preserve">Attachment </w:t>
      </w:r>
      <w:r w:rsidRPr="008716B6" w:rsidR="00023AAF">
        <w:rPr>
          <w:b/>
          <w:bCs/>
          <w:noProof/>
          <w:sz w:val="24"/>
        </w:rPr>
        <w:t>2b</w:t>
      </w:r>
      <w:r w:rsidRPr="008716B6" w:rsidR="00023AAF">
        <w:rPr>
          <w:noProof/>
          <w:sz w:val="24"/>
        </w:rPr>
        <w:t>).</w:t>
      </w:r>
      <w:r w:rsidRPr="008716B6" w:rsidR="008716B6">
        <w:rPr>
          <w:noProof/>
          <w:sz w:val="24"/>
        </w:rPr>
        <w:t xml:space="preserve"> Participants who </w:t>
      </w:r>
      <w:r w:rsidR="00310F16">
        <w:rPr>
          <w:noProof/>
          <w:sz w:val="24"/>
        </w:rPr>
        <w:t xml:space="preserve">agree to </w:t>
      </w:r>
      <w:r w:rsidRPr="008716B6" w:rsidR="008716B6">
        <w:rPr>
          <w:noProof/>
          <w:sz w:val="24"/>
        </w:rPr>
        <w:t xml:space="preserve">participate in both the DXA and </w:t>
      </w:r>
      <w:r w:rsidR="00310F16">
        <w:rPr>
          <w:noProof/>
          <w:sz w:val="24"/>
        </w:rPr>
        <w:t>hematology</w:t>
      </w:r>
      <w:r w:rsidRPr="008716B6" w:rsidR="008716B6">
        <w:rPr>
          <w:noProof/>
          <w:sz w:val="24"/>
        </w:rPr>
        <w:t xml:space="preserve"> crossovers will provide consent using a separate form (</w:t>
      </w:r>
      <w:r w:rsidRPr="008716B6" w:rsidR="008716B6">
        <w:rPr>
          <w:b/>
          <w:bCs/>
          <w:noProof/>
          <w:sz w:val="24"/>
        </w:rPr>
        <w:t>Attachment 2c</w:t>
      </w:r>
      <w:r w:rsidRPr="008716B6" w:rsidR="008716B6">
        <w:rPr>
          <w:noProof/>
          <w:sz w:val="24"/>
        </w:rPr>
        <w:t>).</w:t>
      </w:r>
    </w:p>
    <w:p w:rsidR="003514D1" w:rsidRPr="003514D1" w:rsidP="009416CD" w14:paraId="27E37625" w14:textId="77777777">
      <w:pPr>
        <w:rPr>
          <w:sz w:val="24"/>
        </w:rPr>
      </w:pPr>
    </w:p>
    <w:p w:rsidR="009416CD" w:rsidRPr="009416CD" w:rsidP="009416CD" w14:paraId="77B98911" w14:textId="62B2AAD6">
      <w:pPr>
        <w:rPr>
          <w:sz w:val="24"/>
        </w:rPr>
      </w:pPr>
      <w:r w:rsidRPr="009416CD">
        <w:rPr>
          <w:sz w:val="24"/>
        </w:rPr>
        <w:t xml:space="preserve">Safe blood draw limits were verified using the World Health Organization's safe blood draw limits. </w:t>
      </w:r>
      <w:r w:rsidRPr="009416CD">
        <w:rPr>
          <w:rFonts w:eastAsia="Calibri"/>
          <w:sz w:val="24"/>
        </w:rPr>
        <w:t>We determined the minimum weight in kilograms from several NHANES cycles to determine the amount of blood being drawn was less than 5% of total blood volume (TBV).</w:t>
      </w:r>
      <w:r w:rsidR="00BE7058">
        <w:rPr>
          <w:sz w:val="24"/>
        </w:rPr>
        <w:t xml:space="preserve"> </w:t>
      </w:r>
      <w:r w:rsidRPr="009416CD">
        <w:rPr>
          <w:sz w:val="24"/>
        </w:rPr>
        <w:t xml:space="preserve">Each volunteer will go through a venipuncture to collect a total of four tubes. Part 1 requires two 4mL EDTA tubes and Part 2 requires one 10mL Red Top tube and one 8.5mL SST. Total blood drawn, including both Parts 1 and 2, is 26.5mL of blood, which is equivalent to 0.90 ounces or 1.8 tablespoons. </w:t>
      </w:r>
    </w:p>
    <w:p w:rsidR="009416CD" w:rsidRPr="009416CD" w:rsidP="009416CD" w14:paraId="23CC3BBA" w14:textId="77777777">
      <w:pPr>
        <w:rPr>
          <w:sz w:val="24"/>
        </w:rPr>
      </w:pPr>
    </w:p>
    <w:p w:rsidR="009416CD" w:rsidP="009416CD" w14:paraId="6D1C0D6F" w14:textId="77777777">
      <w:pPr>
        <w:rPr>
          <w:sz w:val="24"/>
        </w:rPr>
      </w:pPr>
      <w:r w:rsidRPr="009416CD">
        <w:rPr>
          <w:sz w:val="24"/>
        </w:rPr>
        <w:t>Venipuncture will be performed primarily using the median cubital vein at the elbow. The DHNES Lab Team staff, which consists of two Medical Laboratory Scientists (MLS), will instruct the volunteer to sit in the phlebotomy chair and prepare them for venipuncture. The MLS will inspect the volunteer's arm, apply a tourniquet several inches above the selected site. The applied tourniquet will not be in position for more than one minute while searching for a vein. Next, the MLS will reapply the tourniquet to prepare the site for the venipuncture, by cleansing the site with an alcohol wipe using a scrubbing back and forth motion and wait for the cleansed area to dry. The MLS will perform the venipuncture and fill four blood tubes. When the last tube is filled, the tourniquet will be removed followed by the needle in a smooth quick motion avoiding heavy pressure. The MLS will discard the entire blood collection set, including needle and adapter, into a biohazard sharps container. The MLS will check the venipuncture site for clotting. The MLS will apply a CoFlex dressing over the gauze pad and instruct the volunteer to remove the bandage no less than 45 minutes from the completion of the procedure if bleeding has stopped.</w:t>
      </w:r>
    </w:p>
    <w:p w:rsidR="00DA4954" w:rsidP="009416CD" w14:paraId="6A9848DE" w14:textId="77777777">
      <w:pPr>
        <w:rPr>
          <w:sz w:val="24"/>
        </w:rPr>
      </w:pPr>
    </w:p>
    <w:p w:rsidR="00DA4954" w:rsidRPr="00DA4954" w:rsidP="00DA4954" w14:paraId="79BA933E" w14:textId="74CEA857">
      <w:pPr>
        <w:rPr>
          <w:sz w:val="24"/>
        </w:rPr>
      </w:pPr>
      <w:r w:rsidRPr="00DA4954">
        <w:rPr>
          <w:sz w:val="24"/>
        </w:rPr>
        <w:t xml:space="preserve">CBC results from DxH800 will be reported to volunteers before leaving the MEC. Additionally, a second report of findings will be mailed to the participants within three weeks of their appointment for the biochemistry panel. Reported results sent to volunteers are from a Clinical Laboratory Improvement Amendments (CLIA) certified laboratory. CLIA requires any facility performing examination to be certified. </w:t>
      </w:r>
      <w:r w:rsidR="004E0595">
        <w:rPr>
          <w:sz w:val="24"/>
        </w:rPr>
        <w:t>As described in Part 1 of this study, all samples will be destroyed by the testing laborator</w:t>
      </w:r>
      <w:r w:rsidR="00354B7B">
        <w:rPr>
          <w:sz w:val="24"/>
        </w:rPr>
        <w:t>y</w:t>
      </w:r>
      <w:r w:rsidR="004E0595">
        <w:rPr>
          <w:sz w:val="24"/>
        </w:rPr>
        <w:t xml:space="preserve"> 30 days after the data has been analyzed by the DHNES Method Validation Team. </w:t>
      </w:r>
      <w:r w:rsidRPr="00DA4954">
        <w:rPr>
          <w:sz w:val="24"/>
        </w:rPr>
        <w:t>In all cases, volunteers can refuse to receive any or all test results by informing the MLS or contacting the DHNES Chief Medical Officer (CMO).</w:t>
      </w:r>
    </w:p>
    <w:p w:rsidR="00DA4954" w:rsidRPr="00DA4954" w:rsidP="00DA4954" w14:paraId="05AFB840" w14:textId="77777777">
      <w:pPr>
        <w:rPr>
          <w:sz w:val="24"/>
        </w:rPr>
      </w:pPr>
    </w:p>
    <w:p w:rsidR="00DA4954" w:rsidRPr="00DA4954" w:rsidP="00DA4954" w14:paraId="413C1324" w14:textId="77777777">
      <w:pPr>
        <w:rPr>
          <w:sz w:val="24"/>
        </w:rPr>
      </w:pPr>
      <w:r w:rsidRPr="00DA4954">
        <w:rPr>
          <w:sz w:val="24"/>
        </w:rPr>
        <w:t xml:space="preserve">Following what has been approved in the NHANES main study, the following tests will not be reported in the report of findings: hs-CRP, insulin, or PFAS. Any form of hs-CRP has limited clinical significance if not interpreted alongside other variables, the result of this test is not reported. Insulin levels are used to assess the body’s ability to regulate blood sugar and to aid in the diagnoses of insulin resistance, prediabetes, and type 2 diabetes. However, the clinical significance of these levels is not yet known, thus, results will not be reported. PFAS does not have an established threshold that can be used to </w:t>
      </w:r>
      <w:r w:rsidRPr="00DA4954">
        <w:rPr>
          <w:sz w:val="24"/>
        </w:rPr>
        <w:t xml:space="preserve">define health effects; thus, the measurement cannot be interpreted and thus are not clinically actionable and will not be reported. </w:t>
      </w:r>
    </w:p>
    <w:p w:rsidR="00DA4954" w:rsidRPr="00DA4954" w:rsidP="00DA4954" w14:paraId="38B72625" w14:textId="77777777">
      <w:pPr>
        <w:rPr>
          <w:sz w:val="24"/>
        </w:rPr>
      </w:pPr>
    </w:p>
    <w:p w:rsidR="00DA4954" w:rsidRPr="00DA4954" w:rsidP="00DA4954" w14:paraId="653F19A7" w14:textId="77777777">
      <w:pPr>
        <w:rPr>
          <w:sz w:val="24"/>
        </w:rPr>
      </w:pPr>
      <w:r w:rsidRPr="00DA4954">
        <w:rPr>
          <w:sz w:val="24"/>
        </w:rPr>
        <w:t>For each reported result, specific language has been prescribed to present an interpretation of the finding, provide relevant information and, if appropriate, recommend further medical evaluation. All test results clearly emphasize “These measurements were obtained as part of a study to test accuracy of laboratory equipment and do not represent a medical diagnosis. Interpretation of these results must be made by an appropriately licensed healthcare provider.” Further, any test results that includes laboratory results will include laboratory information detailing where each test was run.</w:t>
      </w:r>
    </w:p>
    <w:p w:rsidR="00DA4954" w:rsidRPr="00DA4954" w:rsidP="00DA4954" w14:paraId="40C80F0F" w14:textId="77777777">
      <w:pPr>
        <w:rPr>
          <w:sz w:val="24"/>
        </w:rPr>
      </w:pPr>
    </w:p>
    <w:p w:rsidR="00DA4954" w:rsidRPr="00DA4954" w:rsidP="00DA4954" w14:paraId="55F681CC" w14:textId="77777777">
      <w:pPr>
        <w:pStyle w:val="paragraph"/>
        <w:spacing w:before="0" w:beforeAutospacing="0" w:after="0" w:afterAutospacing="0"/>
        <w:textAlignment w:val="baseline"/>
        <w:rPr>
          <w:rFonts w:eastAsiaTheme="minorHAnsi"/>
        </w:rPr>
      </w:pPr>
      <w:r w:rsidRPr="00DA4954">
        <w:rPr>
          <w:rFonts w:eastAsiaTheme="minorHAnsi"/>
        </w:rPr>
        <w:t>When volunteers are notified of an abnormal result, they may be encouraged to seek further medical evaluation. The specific process will vary based on the potential severity of the abnormal result and when it is discovered, as outlined below.  </w:t>
      </w:r>
    </w:p>
    <w:p w:rsidR="00DA4954" w:rsidRPr="00DA4954" w:rsidP="00DA4954" w14:paraId="6CDE56A8" w14:textId="77777777">
      <w:pPr>
        <w:pStyle w:val="paragraph"/>
        <w:numPr>
          <w:ilvl w:val="0"/>
          <w:numId w:val="16"/>
        </w:numPr>
        <w:spacing w:before="0" w:beforeAutospacing="0" w:after="0" w:afterAutospacing="0"/>
        <w:textAlignment w:val="baseline"/>
        <w:rPr>
          <w:rFonts w:eastAsiaTheme="minorHAnsi"/>
        </w:rPr>
      </w:pPr>
      <w:r w:rsidRPr="00DA4954">
        <w:rPr>
          <w:rFonts w:eastAsiaTheme="minorHAnsi"/>
        </w:rPr>
        <w:t>For abnormal CBC results identi</w:t>
      </w:r>
      <w:r w:rsidRPr="00DA4954">
        <w:t>fied in the MEC</w:t>
      </w:r>
      <w:r w:rsidRPr="00DA4954">
        <w:rPr>
          <w:rFonts w:eastAsiaTheme="minorHAnsi"/>
        </w:rPr>
        <w:t xml:space="preserve">, the MLS will inform DHNES CMO so they can: </w:t>
      </w:r>
    </w:p>
    <w:p w:rsidR="00DA4954" w:rsidRPr="00DA4954" w:rsidP="00DA4954" w14:paraId="28AF6C49" w14:textId="77777777">
      <w:pPr>
        <w:pStyle w:val="paragraph"/>
        <w:numPr>
          <w:ilvl w:val="0"/>
          <w:numId w:val="17"/>
        </w:numPr>
        <w:spacing w:before="0" w:beforeAutospacing="0" w:after="0" w:afterAutospacing="0"/>
        <w:textAlignment w:val="baseline"/>
        <w:rPr>
          <w:rFonts w:eastAsiaTheme="minorHAnsi"/>
        </w:rPr>
      </w:pPr>
      <w:r w:rsidRPr="00DA4954">
        <w:rPr>
          <w:rFonts w:eastAsiaTheme="minorHAnsi"/>
        </w:rPr>
        <w:t>counsel the volunteer regarding the abnormal reportable result,  </w:t>
      </w:r>
    </w:p>
    <w:p w:rsidR="00DA4954" w:rsidRPr="00DA4954" w:rsidP="00DA4954" w14:paraId="6CD9ECBB" w14:textId="77777777">
      <w:pPr>
        <w:pStyle w:val="paragraph"/>
        <w:numPr>
          <w:ilvl w:val="0"/>
          <w:numId w:val="17"/>
        </w:numPr>
        <w:spacing w:before="0" w:beforeAutospacing="0" w:after="0" w:afterAutospacing="0"/>
        <w:textAlignment w:val="baseline"/>
        <w:rPr>
          <w:rFonts w:eastAsiaTheme="minorHAnsi"/>
        </w:rPr>
      </w:pPr>
      <w:r w:rsidRPr="00DA4954">
        <w:rPr>
          <w:rFonts w:eastAsiaTheme="minorHAnsi"/>
        </w:rPr>
        <w:t xml:space="preserve">provide the volunteer with a written report detailing the result (in the Report of Findings – </w:t>
      </w:r>
      <w:r w:rsidRPr="00A44FE8">
        <w:rPr>
          <w:rFonts w:eastAsiaTheme="minorHAnsi"/>
        </w:rPr>
        <w:t>see</w:t>
      </w:r>
      <w:r w:rsidRPr="00DA4954">
        <w:rPr>
          <w:rFonts w:eastAsiaTheme="minorHAnsi"/>
          <w:b/>
          <w:bCs/>
        </w:rPr>
        <w:t xml:space="preserve"> Attachment 3</w:t>
      </w:r>
      <w:r w:rsidRPr="00DA4954">
        <w:rPr>
          <w:rFonts w:eastAsiaTheme="minorHAnsi"/>
        </w:rPr>
        <w:t>), and </w:t>
      </w:r>
    </w:p>
    <w:p w:rsidR="00DA4954" w:rsidRPr="00DA4954" w:rsidP="00DA4954" w14:paraId="7F5BB552" w14:textId="77777777">
      <w:pPr>
        <w:pStyle w:val="paragraph"/>
        <w:numPr>
          <w:ilvl w:val="0"/>
          <w:numId w:val="17"/>
        </w:numPr>
        <w:spacing w:before="0" w:beforeAutospacing="0" w:after="0" w:afterAutospacing="0"/>
        <w:textAlignment w:val="baseline"/>
        <w:rPr>
          <w:rFonts w:eastAsiaTheme="minorHAnsi"/>
        </w:rPr>
      </w:pPr>
      <w:r w:rsidRPr="00DA4954">
        <w:rPr>
          <w:rFonts w:eastAsiaTheme="minorHAnsi"/>
        </w:rPr>
        <w:t>provide recommendations that may include following up with their healthcare provider (as applicable).</w:t>
      </w:r>
    </w:p>
    <w:p w:rsidR="00DA4954" w:rsidRPr="00DA4954" w:rsidP="00DA4954" w14:paraId="7C480080" w14:textId="77777777">
      <w:pPr>
        <w:pStyle w:val="paragraph"/>
        <w:spacing w:before="0" w:beforeAutospacing="0" w:after="0" w:afterAutospacing="0"/>
        <w:ind w:left="2160"/>
        <w:textAlignment w:val="baseline"/>
        <w:rPr>
          <w:rFonts w:eastAsiaTheme="minorHAnsi"/>
        </w:rPr>
      </w:pPr>
    </w:p>
    <w:p w:rsidR="00DA4954" w:rsidRPr="00DA4954" w:rsidP="00DA4954" w14:paraId="71481620" w14:textId="573BB23D">
      <w:pPr>
        <w:pStyle w:val="paragraph"/>
        <w:spacing w:before="0" w:beforeAutospacing="0" w:after="0" w:afterAutospacing="0"/>
        <w:ind w:left="720"/>
        <w:textAlignment w:val="baseline"/>
        <w:rPr>
          <w:rFonts w:eastAsiaTheme="minorEastAsia"/>
        </w:rPr>
      </w:pPr>
      <w:r w:rsidRPr="00DA4954">
        <w:rPr>
          <w:rFonts w:eastAsiaTheme="minorEastAsia"/>
        </w:rPr>
        <w:t>The volunteer will also receive a cover sheet that states they should follow up with their medical providers for any questions or abnormal results (</w:t>
      </w:r>
      <w:r w:rsidRPr="00A44FE8" w:rsidR="00A44FE8">
        <w:rPr>
          <w:rFonts w:eastAsiaTheme="minorEastAsia"/>
        </w:rPr>
        <w:t>see</w:t>
      </w:r>
      <w:r w:rsidR="00A44FE8">
        <w:rPr>
          <w:rFonts w:eastAsiaTheme="minorEastAsia"/>
          <w:b/>
          <w:bCs/>
        </w:rPr>
        <w:t xml:space="preserve"> </w:t>
      </w:r>
      <w:r w:rsidRPr="00DA4954">
        <w:rPr>
          <w:rFonts w:eastAsiaTheme="minorEastAsia"/>
          <w:b/>
          <w:bCs/>
        </w:rPr>
        <w:t>Attachment 3</w:t>
      </w:r>
      <w:r w:rsidRPr="00DA4954">
        <w:rPr>
          <w:rFonts w:eastAsiaTheme="minorEastAsia"/>
        </w:rPr>
        <w:t xml:space="preserve">). The cover letter will also have contact information for the DHNES CMO if the evaluating provider requires additional information.  </w:t>
      </w:r>
    </w:p>
    <w:p w:rsidR="00DA4954" w:rsidRPr="00DA4954" w:rsidP="00DA4954" w14:paraId="7585AB8E" w14:textId="77777777">
      <w:pPr>
        <w:pStyle w:val="paragraph"/>
        <w:spacing w:before="0" w:beforeAutospacing="0" w:after="0" w:afterAutospacing="0"/>
        <w:ind w:left="1080"/>
        <w:textAlignment w:val="baseline"/>
        <w:rPr>
          <w:rFonts w:eastAsiaTheme="minorHAnsi"/>
        </w:rPr>
      </w:pPr>
    </w:p>
    <w:p w:rsidR="00DA4954" w:rsidRPr="00DA4954" w:rsidP="00DA4954" w14:paraId="24135003" w14:textId="77777777">
      <w:pPr>
        <w:pStyle w:val="paragraph"/>
        <w:numPr>
          <w:ilvl w:val="0"/>
          <w:numId w:val="16"/>
        </w:numPr>
        <w:spacing w:before="0" w:beforeAutospacing="0" w:after="0" w:afterAutospacing="0"/>
        <w:textAlignment w:val="baseline"/>
        <w:rPr>
          <w:rFonts w:eastAsiaTheme="minorEastAsia"/>
        </w:rPr>
      </w:pPr>
      <w:r w:rsidRPr="00DA4954">
        <w:rPr>
          <w:rFonts w:eastAsiaTheme="minorEastAsia"/>
        </w:rPr>
        <w:t xml:space="preserve">Abnormal results identified by the laboratory running the test. </w:t>
      </w:r>
    </w:p>
    <w:p w:rsidR="00DA4954" w:rsidRPr="00DA4954" w:rsidP="00DA4954" w14:paraId="13F14C73" w14:textId="54D294E0">
      <w:pPr>
        <w:pStyle w:val="BlockText"/>
        <w:spacing w:after="0"/>
        <w:ind w:left="720" w:right="0"/>
      </w:pPr>
      <w:r w:rsidRPr="00DA4954">
        <w:rPr>
          <w:rFonts w:eastAsiaTheme="minorEastAsia"/>
        </w:rPr>
        <w:t>During the analysis of the tube study, abnormal results that have immediate impact on the health of the volunteer may be identified. Based on reference ranges set by the lab assay, the appropriate reference ranges are set within the Laboratory Information Management System (LIMS). The testing laboratories transmit results once they are available, to be uploaded on the NHANES secure File Transfer Protocol site where abnormal results will be flagged. For any immediate clinically concerning results, the DHNES CMO will be made aware via alerts sent from Subject Matter Experts (SMEs) at the testing laboratories who are assigned to review these data. All results (both normal and abnormal) will be mailed out in the second report of findings within 21 days of the labs receiving the samples.  This is consistent with the NHANES main study of sending “Early Reports” for results that may be more clinically urgent.</w:t>
      </w:r>
    </w:p>
    <w:p w:rsidR="00DA4954" w:rsidRPr="00DA4954" w:rsidP="00DA4954" w14:paraId="2B0E8496" w14:textId="77777777">
      <w:pPr>
        <w:rPr>
          <w:sz w:val="24"/>
        </w:rPr>
      </w:pPr>
    </w:p>
    <w:p w:rsidR="00DA4954" w:rsidRPr="00DA4954" w:rsidP="00DA4954" w14:paraId="670139CB" w14:textId="77777777">
      <w:pPr>
        <w:pStyle w:val="paragraph"/>
        <w:spacing w:before="0" w:beforeAutospacing="0" w:after="0" w:afterAutospacing="0"/>
        <w:textAlignment w:val="baseline"/>
        <w:rPr>
          <w:rFonts w:eastAsiaTheme="minorHAnsi"/>
        </w:rPr>
      </w:pPr>
      <w:r w:rsidRPr="00DA4954">
        <w:rPr>
          <w:rFonts w:eastAsiaTheme="minorHAnsi"/>
        </w:rPr>
        <w:t>NHANES volunteers can speak to the DHNES CMO (or if unavailable, another DHNES medical officer) regarding questions about results from their test results by calling a toll-free telephone number, 1-800-452-6115, during regularly scheduled business hours, Monday–Friday, 9 am–5 pm Eastern Time.  </w:t>
      </w:r>
    </w:p>
    <w:p w:rsidR="00DA4954" w:rsidRPr="00DA4954" w:rsidP="00DA4954" w14:paraId="35130FA4" w14:textId="77777777">
      <w:pPr>
        <w:rPr>
          <w:sz w:val="24"/>
        </w:rPr>
      </w:pPr>
    </w:p>
    <w:p w:rsidR="000C7851" w:rsidRPr="00DA4954" w:rsidP="009416CD" w14:paraId="2739E274" w14:textId="549F58A5">
      <w:pPr>
        <w:spacing w:afterAutospacing="1"/>
        <w:rPr>
          <w:sz w:val="24"/>
        </w:rPr>
      </w:pPr>
      <w:r w:rsidRPr="00DA4954">
        <w:rPr>
          <w:sz w:val="24"/>
        </w:rPr>
        <w:t>The results from hematology analyzer and tube stud</w:t>
      </w:r>
      <w:r w:rsidR="00611455">
        <w:rPr>
          <w:sz w:val="24"/>
        </w:rPr>
        <w:t>ies</w:t>
      </w:r>
      <w:r w:rsidRPr="00DA4954">
        <w:rPr>
          <w:sz w:val="24"/>
        </w:rPr>
        <w:t xml:space="preserve"> </w:t>
      </w:r>
      <w:r w:rsidR="00CA2A06">
        <w:rPr>
          <w:sz w:val="24"/>
        </w:rPr>
        <w:t xml:space="preserve">for the </w:t>
      </w:r>
      <w:r w:rsidRPr="00DA4954" w:rsidR="00615010">
        <w:rPr>
          <w:sz w:val="24"/>
        </w:rPr>
        <w:t>volunteer</w:t>
      </w:r>
      <w:r w:rsidR="00615010">
        <w:rPr>
          <w:sz w:val="24"/>
        </w:rPr>
        <w:t xml:space="preserve">s </w:t>
      </w:r>
      <w:r w:rsidRPr="00DA4954">
        <w:rPr>
          <w:sz w:val="24"/>
        </w:rPr>
        <w:t>will be contained within a restricted Excel file accessed only by the NHANES study team working on this project. Copies of the signed consent documents will be stored in a secure, locked file cabinet. Documents will be shredded at the conclusion of the study. There are no plans to publish the results of this two-part study at any conference or in any journal</w:t>
      </w:r>
      <w:r>
        <w:rPr>
          <w:sz w:val="24"/>
        </w:rPr>
        <w:t>.</w:t>
      </w:r>
    </w:p>
    <w:p w:rsidR="00136C45" w:rsidRPr="000C7851" w:rsidP="00136C45" w14:paraId="53826F03" w14:textId="77777777">
      <w:pPr>
        <w:rPr>
          <w:color w:val="000000" w:themeColor="text1"/>
          <w:sz w:val="24"/>
        </w:rPr>
      </w:pPr>
      <w:r w:rsidRPr="000C7851">
        <w:rPr>
          <w:color w:val="000000" w:themeColor="text1"/>
          <w:sz w:val="24"/>
        </w:rPr>
        <w:t xml:space="preserve">RTI International </w:t>
      </w:r>
      <w:r w:rsidRPr="000C7851" w:rsidR="005714CD">
        <w:rPr>
          <w:color w:val="000000" w:themeColor="text1"/>
          <w:sz w:val="24"/>
        </w:rPr>
        <w:t>is responsible for data collection procedures</w:t>
      </w:r>
      <w:r w:rsidRPr="000C7851" w:rsidR="00611C02">
        <w:rPr>
          <w:color w:val="000000" w:themeColor="text1"/>
          <w:sz w:val="24"/>
        </w:rPr>
        <w:t xml:space="preserve"> </w:t>
      </w:r>
      <w:r w:rsidRPr="000C7851">
        <w:rPr>
          <w:color w:val="000000" w:themeColor="text1"/>
          <w:sz w:val="24"/>
        </w:rPr>
        <w:t>for these crossover studies</w:t>
      </w:r>
      <w:r w:rsidRPr="000C7851" w:rsidR="005714CD">
        <w:rPr>
          <w:color w:val="000000" w:themeColor="text1"/>
          <w:sz w:val="24"/>
        </w:rPr>
        <w:t xml:space="preserve">. </w:t>
      </w:r>
      <w:r w:rsidRPr="000C7851">
        <w:rPr>
          <w:color w:val="000000" w:themeColor="text1"/>
          <w:sz w:val="24"/>
        </w:rPr>
        <w:t>The responsibilities of the contractor</w:t>
      </w:r>
      <w:r>
        <w:rPr>
          <w:color w:val="000000" w:themeColor="text1"/>
          <w:sz w:val="24"/>
        </w:rPr>
        <w:t xml:space="preserve"> will be</w:t>
      </w:r>
      <w:r w:rsidRPr="000C7851">
        <w:rPr>
          <w:color w:val="000000" w:themeColor="text1"/>
          <w:sz w:val="24"/>
        </w:rPr>
        <w:t>:</w:t>
      </w:r>
    </w:p>
    <w:p w:rsidR="00136C45" w:rsidRPr="00616238" w:rsidP="00136C45" w14:paraId="4DE9B9EE" w14:textId="77777777">
      <w:pPr>
        <w:rPr>
          <w:color w:val="000000" w:themeColor="text1"/>
          <w:sz w:val="24"/>
        </w:rPr>
      </w:pPr>
    </w:p>
    <w:p w:rsidR="00136C45" w:rsidP="00136C45" w14:paraId="1A8EB242" w14:textId="25F5061C">
      <w:pPr>
        <w:pStyle w:val="ListParagraph"/>
        <w:widowControl w:val="0"/>
        <w:numPr>
          <w:ilvl w:val="0"/>
          <w:numId w:val="9"/>
        </w:numPr>
        <w:autoSpaceDE w:val="0"/>
        <w:autoSpaceDN w:val="0"/>
        <w:adjustRightInd w:val="0"/>
        <w:contextualSpacing w:val="0"/>
        <w:rPr>
          <w:bCs/>
          <w:color w:val="000000" w:themeColor="text1"/>
          <w:sz w:val="24"/>
        </w:rPr>
      </w:pPr>
      <w:r>
        <w:rPr>
          <w:bCs/>
          <w:color w:val="000000" w:themeColor="text1"/>
          <w:sz w:val="24"/>
        </w:rPr>
        <w:t>Identify local recruiting agency</w:t>
      </w:r>
      <w:r w:rsidR="0034373C">
        <w:rPr>
          <w:bCs/>
          <w:color w:val="000000" w:themeColor="text1"/>
          <w:sz w:val="24"/>
        </w:rPr>
        <w:t>,</w:t>
      </w:r>
    </w:p>
    <w:p w:rsidR="00136C45" w:rsidRPr="00775DB5" w:rsidP="00136C45" w14:paraId="6F595CCC" w14:textId="4555A529">
      <w:pPr>
        <w:pStyle w:val="ListParagraph"/>
        <w:widowControl w:val="0"/>
        <w:numPr>
          <w:ilvl w:val="0"/>
          <w:numId w:val="9"/>
        </w:numPr>
        <w:autoSpaceDE w:val="0"/>
        <w:autoSpaceDN w:val="0"/>
        <w:adjustRightInd w:val="0"/>
        <w:contextualSpacing w:val="0"/>
        <w:rPr>
          <w:bCs/>
          <w:color w:val="000000" w:themeColor="text1"/>
          <w:sz w:val="24"/>
        </w:rPr>
      </w:pPr>
      <w:r>
        <w:rPr>
          <w:bCs/>
          <w:color w:val="000000" w:themeColor="text1"/>
          <w:sz w:val="24"/>
        </w:rPr>
        <w:t>Recruit participants via the phone and administer the screening questions</w:t>
      </w:r>
      <w:r w:rsidR="00587C30">
        <w:rPr>
          <w:bCs/>
          <w:color w:val="000000" w:themeColor="text1"/>
          <w:sz w:val="24"/>
        </w:rPr>
        <w:t>,</w:t>
      </w:r>
    </w:p>
    <w:p w:rsidR="00136C45" w:rsidRPr="00775DB5" w:rsidP="00136C45" w14:paraId="524A019C" w14:textId="0002E12C">
      <w:pPr>
        <w:pStyle w:val="ListParagraph"/>
        <w:widowControl w:val="0"/>
        <w:numPr>
          <w:ilvl w:val="0"/>
          <w:numId w:val="9"/>
        </w:numPr>
        <w:autoSpaceDE w:val="0"/>
        <w:autoSpaceDN w:val="0"/>
        <w:adjustRightInd w:val="0"/>
        <w:contextualSpacing w:val="0"/>
        <w:rPr>
          <w:bCs/>
          <w:color w:val="000000" w:themeColor="text1"/>
          <w:sz w:val="24"/>
        </w:rPr>
      </w:pPr>
      <w:r w:rsidRPr="00616238">
        <w:rPr>
          <w:color w:val="000000" w:themeColor="text1"/>
          <w:sz w:val="24"/>
        </w:rPr>
        <w:t>Set up</w:t>
      </w:r>
      <w:r>
        <w:rPr>
          <w:color w:val="000000" w:themeColor="text1"/>
          <w:sz w:val="24"/>
        </w:rPr>
        <w:t>, conduct</w:t>
      </w:r>
      <w:r w:rsidR="00B0264E">
        <w:rPr>
          <w:color w:val="000000" w:themeColor="text1"/>
          <w:sz w:val="24"/>
        </w:rPr>
        <w:t>,</w:t>
      </w:r>
      <w:r>
        <w:rPr>
          <w:color w:val="000000" w:themeColor="text1"/>
          <w:sz w:val="24"/>
        </w:rPr>
        <w:t xml:space="preserve"> </w:t>
      </w:r>
      <w:r w:rsidRPr="00616238">
        <w:rPr>
          <w:color w:val="000000" w:themeColor="text1"/>
          <w:sz w:val="24"/>
        </w:rPr>
        <w:t xml:space="preserve">and maintain </w:t>
      </w:r>
      <w:r>
        <w:rPr>
          <w:color w:val="000000" w:themeColor="text1"/>
          <w:sz w:val="24"/>
        </w:rPr>
        <w:t xml:space="preserve">data collection </w:t>
      </w:r>
      <w:r w:rsidRPr="00616238">
        <w:rPr>
          <w:color w:val="000000" w:themeColor="text1"/>
          <w:sz w:val="24"/>
        </w:rPr>
        <w:t>activities</w:t>
      </w:r>
      <w:r w:rsidR="00587C30">
        <w:rPr>
          <w:color w:val="000000" w:themeColor="text1"/>
          <w:sz w:val="24"/>
        </w:rPr>
        <w:t>,</w:t>
      </w:r>
      <w:r>
        <w:rPr>
          <w:color w:val="000000" w:themeColor="text1"/>
          <w:sz w:val="24"/>
        </w:rPr>
        <w:t xml:space="preserve"> </w:t>
      </w:r>
    </w:p>
    <w:p w:rsidR="00136C45" w:rsidRPr="00D61238" w:rsidP="00136C45" w14:paraId="7C2C8F1E" w14:textId="7E0CAD57">
      <w:pPr>
        <w:pStyle w:val="ListParagraph"/>
        <w:widowControl w:val="0"/>
        <w:numPr>
          <w:ilvl w:val="0"/>
          <w:numId w:val="9"/>
        </w:numPr>
        <w:autoSpaceDE w:val="0"/>
        <w:autoSpaceDN w:val="0"/>
        <w:adjustRightInd w:val="0"/>
        <w:contextualSpacing w:val="0"/>
        <w:rPr>
          <w:bCs/>
          <w:color w:val="000000" w:themeColor="text1"/>
          <w:sz w:val="24"/>
        </w:rPr>
      </w:pPr>
      <w:r>
        <w:rPr>
          <w:color w:val="000000" w:themeColor="text1"/>
          <w:sz w:val="24"/>
        </w:rPr>
        <w:t>Greet and check participant into the crossover when they arrive</w:t>
      </w:r>
      <w:r w:rsidR="00587C30">
        <w:rPr>
          <w:color w:val="000000" w:themeColor="text1"/>
          <w:sz w:val="24"/>
        </w:rPr>
        <w:t>,</w:t>
      </w:r>
    </w:p>
    <w:p w:rsidR="00136C45" w:rsidRPr="00775DB5" w:rsidP="00136C45" w14:paraId="547B5CBF" w14:textId="01ADFB34">
      <w:pPr>
        <w:pStyle w:val="ListParagraph"/>
        <w:widowControl w:val="0"/>
        <w:numPr>
          <w:ilvl w:val="0"/>
          <w:numId w:val="9"/>
        </w:numPr>
        <w:autoSpaceDE w:val="0"/>
        <w:autoSpaceDN w:val="0"/>
        <w:adjustRightInd w:val="0"/>
        <w:contextualSpacing w:val="0"/>
        <w:rPr>
          <w:bCs/>
          <w:color w:val="000000" w:themeColor="text1"/>
          <w:sz w:val="24"/>
        </w:rPr>
      </w:pPr>
      <w:r>
        <w:rPr>
          <w:color w:val="000000" w:themeColor="text1"/>
          <w:sz w:val="24"/>
        </w:rPr>
        <w:t>Collect and secure volunteer data</w:t>
      </w:r>
      <w:r w:rsidR="00142933">
        <w:rPr>
          <w:color w:val="000000" w:themeColor="text1"/>
          <w:sz w:val="24"/>
        </w:rPr>
        <w:t xml:space="preserve">, and </w:t>
      </w:r>
    </w:p>
    <w:p w:rsidR="00435C48" w:rsidRPr="00142933" w:rsidP="00142933" w14:paraId="628C4956" w14:textId="124B9764">
      <w:pPr>
        <w:pStyle w:val="ListParagraph"/>
        <w:numPr>
          <w:ilvl w:val="0"/>
          <w:numId w:val="9"/>
        </w:numPr>
        <w:rPr>
          <w:bCs/>
          <w:color w:val="000000" w:themeColor="text1"/>
          <w:sz w:val="24"/>
        </w:rPr>
      </w:pPr>
      <w:r w:rsidRPr="00142933">
        <w:rPr>
          <w:bCs/>
          <w:color w:val="000000" w:themeColor="text1"/>
          <w:sz w:val="24"/>
        </w:rPr>
        <w:t>Check out and pay remuneration when participant is done</w:t>
      </w:r>
      <w:r w:rsidR="00142933">
        <w:rPr>
          <w:bCs/>
          <w:color w:val="000000" w:themeColor="text1"/>
          <w:sz w:val="24"/>
        </w:rPr>
        <w:t>.</w:t>
      </w:r>
    </w:p>
    <w:p w:rsidR="008758AE" w:rsidRPr="005529A5" w:rsidP="00530284" w14:paraId="302DD37C" w14:textId="77777777">
      <w:pPr>
        <w:rPr>
          <w:sz w:val="24"/>
        </w:rPr>
      </w:pPr>
    </w:p>
    <w:p w:rsidR="00F72BAD" w:rsidRPr="005529A5" w:rsidP="004262B9" w14:paraId="61AC766F" w14:textId="7AB75CD8">
      <w:pPr>
        <w:pStyle w:val="Heading2"/>
        <w:ind w:hanging="2880"/>
        <w:rPr>
          <w:b w:val="0"/>
        </w:rPr>
      </w:pPr>
      <w:bookmarkStart w:id="6" w:name="_Toc172096617"/>
      <w:bookmarkStart w:id="7" w:name="_Toc177120751"/>
      <w:r w:rsidRPr="005529A5">
        <w:rPr>
          <w:b w:val="0"/>
        </w:rPr>
        <w:t xml:space="preserve">3.  Methods to </w:t>
      </w:r>
      <w:r w:rsidR="009E6C92">
        <w:rPr>
          <w:b w:val="0"/>
        </w:rPr>
        <w:t>M</w:t>
      </w:r>
      <w:r w:rsidRPr="005529A5">
        <w:rPr>
          <w:b w:val="0"/>
        </w:rPr>
        <w:t xml:space="preserve">aximize </w:t>
      </w:r>
      <w:r w:rsidR="009E6C92">
        <w:rPr>
          <w:b w:val="0"/>
        </w:rPr>
        <w:t>R</w:t>
      </w:r>
      <w:r w:rsidRPr="005529A5">
        <w:rPr>
          <w:b w:val="0"/>
        </w:rPr>
        <w:t xml:space="preserve">esponse </w:t>
      </w:r>
      <w:r w:rsidR="009E6C92">
        <w:rPr>
          <w:b w:val="0"/>
        </w:rPr>
        <w:t>R</w:t>
      </w:r>
      <w:r w:rsidRPr="005529A5">
        <w:rPr>
          <w:b w:val="0"/>
        </w:rPr>
        <w:t xml:space="preserve">ates and </w:t>
      </w:r>
      <w:r w:rsidR="009E6C92">
        <w:rPr>
          <w:b w:val="0"/>
        </w:rPr>
        <w:t>D</w:t>
      </w:r>
      <w:r w:rsidRPr="005529A5">
        <w:rPr>
          <w:b w:val="0"/>
        </w:rPr>
        <w:t xml:space="preserve">eal with </w:t>
      </w:r>
      <w:r w:rsidR="009E6C92">
        <w:rPr>
          <w:b w:val="0"/>
        </w:rPr>
        <w:t>N</w:t>
      </w:r>
      <w:r w:rsidRPr="005529A5">
        <w:rPr>
          <w:b w:val="0"/>
        </w:rPr>
        <w:t>onresponse</w:t>
      </w:r>
      <w:bookmarkEnd w:id="6"/>
      <w:bookmarkEnd w:id="7"/>
    </w:p>
    <w:p w:rsidR="00F72BAD" w:rsidRPr="005529A5" w:rsidP="004262B9" w14:paraId="30486062" w14:textId="0460660D">
      <w:pPr>
        <w:rPr>
          <w:sz w:val="24"/>
        </w:rPr>
      </w:pPr>
    </w:p>
    <w:p w:rsidR="00CC7F5B" w:rsidP="00411269" w14:paraId="5DCD7327" w14:textId="5AC4F6DB">
      <w:pPr>
        <w:rPr>
          <w:color w:val="000000" w:themeColor="text1"/>
          <w:sz w:val="24"/>
        </w:rPr>
      </w:pPr>
      <w:r>
        <w:rPr>
          <w:sz w:val="24"/>
        </w:rPr>
        <w:t xml:space="preserve">RTI will </w:t>
      </w:r>
      <w:r w:rsidR="007A386A">
        <w:rPr>
          <w:sz w:val="24"/>
        </w:rPr>
        <w:t xml:space="preserve">work with </w:t>
      </w:r>
      <w:r w:rsidR="00C92AB8">
        <w:rPr>
          <w:sz w:val="24"/>
        </w:rPr>
        <w:t xml:space="preserve">recruiting agency </w:t>
      </w:r>
      <w:r w:rsidR="00426D48">
        <w:rPr>
          <w:sz w:val="24"/>
        </w:rPr>
        <w:t>to</w:t>
      </w:r>
      <w:r w:rsidR="00D57C48">
        <w:rPr>
          <w:sz w:val="24"/>
        </w:rPr>
        <w:t xml:space="preserve"> </w:t>
      </w:r>
      <w:r w:rsidR="00165957">
        <w:rPr>
          <w:sz w:val="24"/>
        </w:rPr>
        <w:t>contin</w:t>
      </w:r>
      <w:r w:rsidR="007B2939">
        <w:rPr>
          <w:sz w:val="24"/>
        </w:rPr>
        <w:t xml:space="preserve">ually advertise until all cells </w:t>
      </w:r>
      <w:r w:rsidR="00E30582">
        <w:rPr>
          <w:sz w:val="24"/>
        </w:rPr>
        <w:t>have reached minimum size.</w:t>
      </w:r>
    </w:p>
    <w:p w:rsidR="00147379" w:rsidRPr="005529A5" w:rsidP="005C363C" w14:paraId="0137B27B" w14:textId="77777777">
      <w:pPr>
        <w:rPr>
          <w:sz w:val="24"/>
        </w:rPr>
      </w:pPr>
    </w:p>
    <w:p w:rsidR="00252EA0" w:rsidRPr="00616238" w:rsidP="00536C55" w14:paraId="662EE1D4" w14:textId="42FF3F0E">
      <w:pPr>
        <w:rPr>
          <w:color w:val="000000" w:themeColor="text1"/>
          <w:sz w:val="24"/>
        </w:rPr>
      </w:pPr>
      <w:r w:rsidRPr="00616238">
        <w:rPr>
          <w:color w:val="000000" w:themeColor="text1"/>
          <w:sz w:val="24"/>
        </w:rPr>
        <w:t xml:space="preserve">Other methods to maximize response </w:t>
      </w:r>
      <w:r w:rsidR="001C79D5">
        <w:rPr>
          <w:color w:val="000000" w:themeColor="text1"/>
          <w:sz w:val="24"/>
        </w:rPr>
        <w:t xml:space="preserve">in </w:t>
      </w:r>
      <w:r w:rsidR="00484338">
        <w:rPr>
          <w:color w:val="000000" w:themeColor="text1"/>
          <w:sz w:val="24"/>
        </w:rPr>
        <w:t>these crossover studies</w:t>
      </w:r>
      <w:r w:rsidR="001C79D5">
        <w:rPr>
          <w:color w:val="000000" w:themeColor="text1"/>
          <w:sz w:val="24"/>
        </w:rPr>
        <w:t xml:space="preserve"> </w:t>
      </w:r>
      <w:r w:rsidRPr="00616238">
        <w:rPr>
          <w:color w:val="000000" w:themeColor="text1"/>
          <w:sz w:val="24"/>
        </w:rPr>
        <w:t>include:</w:t>
      </w:r>
    </w:p>
    <w:p w:rsidR="00252EA0" w:rsidRPr="00616238" w:rsidP="00616238" w14:paraId="2F9A685E" w14:textId="5522C776">
      <w:pPr>
        <w:pStyle w:val="ListParagraph"/>
        <w:widowControl w:val="0"/>
        <w:numPr>
          <w:ilvl w:val="0"/>
          <w:numId w:val="10"/>
        </w:numPr>
        <w:autoSpaceDE w:val="0"/>
        <w:autoSpaceDN w:val="0"/>
        <w:adjustRightInd w:val="0"/>
        <w:spacing w:before="240"/>
        <w:contextualSpacing w:val="0"/>
        <w:rPr>
          <w:color w:val="000000" w:themeColor="text1"/>
          <w:sz w:val="24"/>
        </w:rPr>
      </w:pPr>
      <w:r>
        <w:rPr>
          <w:color w:val="000000" w:themeColor="text1"/>
          <w:sz w:val="24"/>
        </w:rPr>
        <w:t xml:space="preserve">Remuneration </w:t>
      </w:r>
      <w:r w:rsidRPr="00616238">
        <w:rPr>
          <w:color w:val="000000" w:themeColor="text1"/>
          <w:sz w:val="24"/>
        </w:rPr>
        <w:t>to help cover out of pocket expenses</w:t>
      </w:r>
      <w:r>
        <w:rPr>
          <w:color w:val="000000" w:themeColor="text1"/>
          <w:sz w:val="24"/>
        </w:rPr>
        <w:t xml:space="preserve"> such as travel or childcare</w:t>
      </w:r>
      <w:r w:rsidR="001C79D5">
        <w:rPr>
          <w:color w:val="000000" w:themeColor="text1"/>
          <w:sz w:val="24"/>
        </w:rPr>
        <w:t>;</w:t>
      </w:r>
    </w:p>
    <w:p w:rsidR="00252EA0" w:rsidRPr="00616238" w:rsidP="00616238" w14:paraId="51A2BCA2" w14:textId="7BC691FC">
      <w:pPr>
        <w:pStyle w:val="ListParagraph"/>
        <w:widowControl w:val="0"/>
        <w:numPr>
          <w:ilvl w:val="0"/>
          <w:numId w:val="10"/>
        </w:numPr>
        <w:autoSpaceDE w:val="0"/>
        <w:autoSpaceDN w:val="0"/>
        <w:adjustRightInd w:val="0"/>
        <w:spacing w:before="240"/>
        <w:contextualSpacing w:val="0"/>
        <w:rPr>
          <w:color w:val="000000" w:themeColor="text1"/>
          <w:sz w:val="24"/>
        </w:rPr>
      </w:pPr>
      <w:r w:rsidRPr="00616238">
        <w:rPr>
          <w:color w:val="000000" w:themeColor="text1"/>
          <w:sz w:val="24"/>
        </w:rPr>
        <w:t>Allow a companion (parent, caregiver, etc.) to accompany participant</w:t>
      </w:r>
      <w:r w:rsidR="001C79D5">
        <w:rPr>
          <w:color w:val="000000" w:themeColor="text1"/>
          <w:sz w:val="24"/>
        </w:rPr>
        <w:t>;</w:t>
      </w:r>
    </w:p>
    <w:p w:rsidR="00252EA0" w:rsidRPr="00616238" w:rsidP="00616238" w14:paraId="6B2B6E90" w14:textId="1233BC97">
      <w:pPr>
        <w:pStyle w:val="ListParagraph"/>
        <w:widowControl w:val="0"/>
        <w:numPr>
          <w:ilvl w:val="0"/>
          <w:numId w:val="10"/>
        </w:numPr>
        <w:autoSpaceDE w:val="0"/>
        <w:autoSpaceDN w:val="0"/>
        <w:adjustRightInd w:val="0"/>
        <w:spacing w:before="240"/>
        <w:contextualSpacing w:val="0"/>
        <w:rPr>
          <w:color w:val="000000" w:themeColor="text1"/>
          <w:sz w:val="24"/>
        </w:rPr>
      </w:pPr>
      <w:r w:rsidRPr="00616238">
        <w:rPr>
          <w:color w:val="000000" w:themeColor="text1"/>
          <w:sz w:val="24"/>
        </w:rPr>
        <w:t>Provide a report of examination findings</w:t>
      </w:r>
      <w:r w:rsidR="001C79D5">
        <w:rPr>
          <w:color w:val="000000" w:themeColor="text1"/>
          <w:sz w:val="24"/>
        </w:rPr>
        <w:t>;</w:t>
      </w:r>
    </w:p>
    <w:p w:rsidR="00252EA0" w:rsidRPr="00616238" w:rsidP="00616238" w14:paraId="4D3ED39F" w14:textId="7A82879F">
      <w:pPr>
        <w:pStyle w:val="ListParagraph"/>
        <w:widowControl w:val="0"/>
        <w:numPr>
          <w:ilvl w:val="0"/>
          <w:numId w:val="10"/>
        </w:numPr>
        <w:autoSpaceDE w:val="0"/>
        <w:autoSpaceDN w:val="0"/>
        <w:adjustRightInd w:val="0"/>
        <w:spacing w:before="240"/>
        <w:contextualSpacing w:val="0"/>
        <w:rPr>
          <w:color w:val="000000" w:themeColor="text1"/>
          <w:sz w:val="24"/>
        </w:rPr>
      </w:pPr>
      <w:r w:rsidRPr="00616238">
        <w:rPr>
          <w:color w:val="000000" w:themeColor="text1"/>
          <w:sz w:val="24"/>
        </w:rPr>
        <w:t>Flexible</w:t>
      </w:r>
      <w:r w:rsidR="0022736E">
        <w:rPr>
          <w:color w:val="000000" w:themeColor="text1"/>
          <w:sz w:val="24"/>
        </w:rPr>
        <w:t xml:space="preserve"> appointment</w:t>
      </w:r>
      <w:r w:rsidRPr="00616238">
        <w:rPr>
          <w:color w:val="000000" w:themeColor="text1"/>
          <w:sz w:val="24"/>
        </w:rPr>
        <w:t xml:space="preserve"> schedule</w:t>
      </w:r>
      <w:r w:rsidR="001C79D5">
        <w:rPr>
          <w:color w:val="000000" w:themeColor="text1"/>
          <w:sz w:val="24"/>
        </w:rPr>
        <w:t>;</w:t>
      </w:r>
    </w:p>
    <w:p w:rsidR="00252EA0" w:rsidRPr="00616238" w:rsidP="00616238" w14:paraId="7E4960F6" w14:textId="2FA374BA">
      <w:pPr>
        <w:pStyle w:val="ListParagraph"/>
        <w:widowControl w:val="0"/>
        <w:numPr>
          <w:ilvl w:val="0"/>
          <w:numId w:val="10"/>
        </w:numPr>
        <w:autoSpaceDE w:val="0"/>
        <w:autoSpaceDN w:val="0"/>
        <w:adjustRightInd w:val="0"/>
        <w:spacing w:before="240"/>
        <w:contextualSpacing w:val="0"/>
        <w:rPr>
          <w:color w:val="000000" w:themeColor="text1"/>
          <w:sz w:val="24"/>
        </w:rPr>
      </w:pPr>
      <w:r w:rsidRPr="00616238">
        <w:rPr>
          <w:color w:val="000000" w:themeColor="text1"/>
          <w:sz w:val="24"/>
        </w:rPr>
        <w:t xml:space="preserve">Telephone </w:t>
      </w:r>
      <w:r w:rsidR="001C79D5">
        <w:rPr>
          <w:color w:val="000000" w:themeColor="text1"/>
          <w:sz w:val="24"/>
        </w:rPr>
        <w:t xml:space="preserve">and text </w:t>
      </w:r>
      <w:r w:rsidRPr="00616238">
        <w:rPr>
          <w:color w:val="000000" w:themeColor="text1"/>
          <w:sz w:val="24"/>
        </w:rPr>
        <w:t>reminders before scheduled appointments</w:t>
      </w:r>
      <w:r w:rsidR="001C79D5">
        <w:rPr>
          <w:color w:val="000000" w:themeColor="text1"/>
          <w:sz w:val="24"/>
        </w:rPr>
        <w:t>;</w:t>
      </w:r>
      <w:r w:rsidR="00B0264E">
        <w:rPr>
          <w:color w:val="000000" w:themeColor="text1"/>
          <w:sz w:val="24"/>
        </w:rPr>
        <w:t xml:space="preserve"> and</w:t>
      </w:r>
    </w:p>
    <w:p w:rsidR="00E7433F" w:rsidRPr="00B0264E" w:rsidP="00E7433F" w14:paraId="5F0EACCC" w14:textId="16C4535B">
      <w:pPr>
        <w:pStyle w:val="ListParagraph"/>
        <w:widowControl w:val="0"/>
        <w:numPr>
          <w:ilvl w:val="0"/>
          <w:numId w:val="10"/>
        </w:numPr>
        <w:autoSpaceDE w:val="0"/>
        <w:autoSpaceDN w:val="0"/>
        <w:adjustRightInd w:val="0"/>
        <w:spacing w:before="240"/>
        <w:contextualSpacing w:val="0"/>
        <w:rPr>
          <w:color w:val="000000" w:themeColor="text1"/>
          <w:sz w:val="24"/>
        </w:rPr>
      </w:pPr>
      <w:r w:rsidRPr="00616238">
        <w:rPr>
          <w:color w:val="000000" w:themeColor="text1"/>
          <w:sz w:val="24"/>
        </w:rPr>
        <w:t xml:space="preserve">Customized follow-up </w:t>
      </w:r>
      <w:r w:rsidRPr="00616238" w:rsidR="00A90424">
        <w:rPr>
          <w:color w:val="000000" w:themeColor="text1"/>
          <w:sz w:val="24"/>
        </w:rPr>
        <w:t>efforts</w:t>
      </w:r>
      <w:r w:rsidR="00B0264E">
        <w:rPr>
          <w:color w:val="000000" w:themeColor="text1"/>
          <w:sz w:val="24"/>
        </w:rPr>
        <w:t>.</w:t>
      </w:r>
    </w:p>
    <w:p w:rsidR="00F72BAD" w:rsidRPr="005529A5" w:rsidP="00616238" w14:paraId="3127A9C3" w14:textId="39C9FF65">
      <w:pPr>
        <w:pStyle w:val="Heading2"/>
        <w:spacing w:before="240"/>
        <w:ind w:hanging="2880"/>
        <w:rPr>
          <w:b w:val="0"/>
        </w:rPr>
      </w:pPr>
      <w:bookmarkStart w:id="8" w:name="_Toc172096618"/>
      <w:bookmarkStart w:id="9" w:name="_Toc177120752"/>
      <w:r w:rsidRPr="005529A5">
        <w:rPr>
          <w:b w:val="0"/>
        </w:rPr>
        <w:t xml:space="preserve">4.  Tests of </w:t>
      </w:r>
      <w:r w:rsidR="002470CD">
        <w:rPr>
          <w:b w:val="0"/>
        </w:rPr>
        <w:t>P</w:t>
      </w:r>
      <w:r w:rsidRPr="005529A5">
        <w:rPr>
          <w:b w:val="0"/>
        </w:rPr>
        <w:t xml:space="preserve">rocedures or </w:t>
      </w:r>
      <w:r w:rsidR="002470CD">
        <w:rPr>
          <w:b w:val="0"/>
        </w:rPr>
        <w:t>M</w:t>
      </w:r>
      <w:r w:rsidRPr="005529A5">
        <w:rPr>
          <w:b w:val="0"/>
        </w:rPr>
        <w:t xml:space="preserve">ethods to be </w:t>
      </w:r>
      <w:r w:rsidR="002470CD">
        <w:rPr>
          <w:b w:val="0"/>
        </w:rPr>
        <w:t>U</w:t>
      </w:r>
      <w:r w:rsidRPr="005529A5">
        <w:rPr>
          <w:b w:val="0"/>
        </w:rPr>
        <w:t>ndertaken</w:t>
      </w:r>
      <w:bookmarkEnd w:id="8"/>
      <w:bookmarkEnd w:id="9"/>
    </w:p>
    <w:p w:rsidR="00930E1C" w:rsidRPr="002B0278" w:rsidP="0013672B" w14:paraId="4AB79AF6" w14:textId="77777777">
      <w:pPr>
        <w:rPr>
          <w:color w:val="000000" w:themeColor="text1"/>
          <w:sz w:val="24"/>
        </w:rPr>
      </w:pPr>
    </w:p>
    <w:p w:rsidR="00357ED1" w:rsidRPr="002B0278" w:rsidP="0013672B" w14:paraId="60C480C0" w14:textId="6A64346E">
      <w:pPr>
        <w:rPr>
          <w:b/>
          <w:bCs/>
          <w:color w:val="000000" w:themeColor="text1"/>
          <w:sz w:val="24"/>
        </w:rPr>
      </w:pPr>
      <w:r w:rsidRPr="002B0278">
        <w:rPr>
          <w:b/>
          <w:bCs/>
          <w:color w:val="000000" w:themeColor="text1"/>
          <w:sz w:val="24"/>
        </w:rPr>
        <w:t xml:space="preserve">DXA </w:t>
      </w:r>
      <w:r w:rsidR="007456A1">
        <w:rPr>
          <w:b/>
          <w:bCs/>
          <w:color w:val="000000" w:themeColor="text1"/>
          <w:sz w:val="24"/>
        </w:rPr>
        <w:t>studies</w:t>
      </w:r>
    </w:p>
    <w:p w:rsidR="00390387" w:rsidRPr="002B0278" w:rsidP="00390387" w14:paraId="7B95F9AF" w14:textId="738E26AA">
      <w:pPr>
        <w:rPr>
          <w:sz w:val="24"/>
        </w:rPr>
      </w:pPr>
      <w:bookmarkStart w:id="10" w:name="_Toc172096619"/>
      <w:r w:rsidRPr="002B0278">
        <w:rPr>
          <w:sz w:val="24"/>
        </w:rPr>
        <w:t xml:space="preserve">Comparisons using the scans between the old and new systems will be undertaken in the DXA </w:t>
      </w:r>
      <w:r w:rsidR="007456A1">
        <w:rPr>
          <w:sz w:val="24"/>
        </w:rPr>
        <w:t>c</w:t>
      </w:r>
      <w:r w:rsidRPr="002B0278">
        <w:rPr>
          <w:sz w:val="24"/>
        </w:rPr>
        <w:t xml:space="preserve">rossover </w:t>
      </w:r>
      <w:r w:rsidR="007456A1">
        <w:rPr>
          <w:sz w:val="24"/>
        </w:rPr>
        <w:t>s</w:t>
      </w:r>
      <w:r w:rsidRPr="002B0278">
        <w:rPr>
          <w:sz w:val="24"/>
        </w:rPr>
        <w:t>tudy. Using a Deming regression, conversion equations will be derived. These equations will be used to calibrate the new system so DXA comparisons over time can be made.</w:t>
      </w:r>
    </w:p>
    <w:p w:rsidR="00390387" w:rsidRPr="002B0278" w:rsidP="00390387" w14:paraId="42771C85" w14:textId="77777777">
      <w:pPr>
        <w:rPr>
          <w:sz w:val="24"/>
        </w:rPr>
      </w:pPr>
    </w:p>
    <w:p w:rsidR="00390387" w:rsidRPr="002B0278" w:rsidP="00390387" w14:paraId="4398B06D" w14:textId="1792E490">
      <w:pPr>
        <w:rPr>
          <w:b/>
          <w:bCs/>
          <w:sz w:val="24"/>
        </w:rPr>
      </w:pPr>
      <w:r w:rsidRPr="002B0278">
        <w:rPr>
          <w:b/>
          <w:bCs/>
          <w:sz w:val="24"/>
        </w:rPr>
        <w:t xml:space="preserve">Hematology </w:t>
      </w:r>
      <w:r w:rsidR="007456A1">
        <w:rPr>
          <w:b/>
          <w:bCs/>
          <w:sz w:val="24"/>
        </w:rPr>
        <w:t>s</w:t>
      </w:r>
      <w:r w:rsidRPr="002B0278">
        <w:rPr>
          <w:b/>
          <w:bCs/>
          <w:sz w:val="24"/>
        </w:rPr>
        <w:t>tud</w:t>
      </w:r>
      <w:r w:rsidR="007456A1">
        <w:rPr>
          <w:b/>
          <w:bCs/>
          <w:sz w:val="24"/>
        </w:rPr>
        <w:t>ies</w:t>
      </w:r>
    </w:p>
    <w:p w:rsidR="00EE12A8" w:rsidRPr="002B0278" w:rsidP="00C2519B" w14:paraId="24F3C7B6" w14:textId="5C5C83CA">
      <w:pPr>
        <w:spacing w:afterAutospacing="1"/>
        <w:rPr>
          <w:sz w:val="24"/>
        </w:rPr>
      </w:pPr>
      <w:r w:rsidRPr="002B0278">
        <w:rPr>
          <w:sz w:val="24"/>
        </w:rPr>
        <w:t xml:space="preserve">The results from both parts of the Hematology Comparison Study will be analyzed using a correlation plot with regression analysis.  Plots will be examined for outliers and </w:t>
      </w:r>
      <w:r w:rsidRPr="002B0278">
        <w:rPr>
          <w:sz w:val="24"/>
        </w:rPr>
        <w:t xml:space="preserve">outliers will be excluded. Outliers will be determined using an assumption of normal distribution, results greater than 3 standard deviations from the mean will be flagged for follow-up. Further investigation of the measurement process will determine the outlier to be true or not. True outliers will be removed from analysis. Regression, summary statistics, and 95% confidence intervals will be calculated. Results will be reviewed with the NHANES method validation team to determine appropriate next steps. </w:t>
      </w:r>
    </w:p>
    <w:p w:rsidR="00F72BAD" w:rsidRPr="00616238" w:rsidP="00C2519B" w14:paraId="05BF709C" w14:textId="022D7525">
      <w:pPr>
        <w:rPr>
          <w:sz w:val="24"/>
        </w:rPr>
      </w:pPr>
      <w:r w:rsidRPr="00616238">
        <w:rPr>
          <w:sz w:val="24"/>
        </w:rPr>
        <w:t>5.  Individuals Consulted on Statistical Aspects and Individuals Collecting and/or Analyzing Data</w:t>
      </w:r>
      <w:bookmarkEnd w:id="10"/>
    </w:p>
    <w:p w:rsidR="00F72BAD" w:rsidRPr="005529A5" w:rsidP="004262B9" w14:paraId="1C4FC413" w14:textId="77777777">
      <w:pPr>
        <w:rPr>
          <w:b/>
          <w:sz w:val="24"/>
        </w:rPr>
      </w:pPr>
    </w:p>
    <w:p w:rsidR="00BD7ABC" w:rsidRPr="005529A5" w:rsidP="00BD7ABC" w14:paraId="3B21D79B" w14:textId="3DA1C1B8">
      <w:pPr>
        <w:rPr>
          <w:sz w:val="24"/>
        </w:rPr>
      </w:pPr>
      <w:r w:rsidRPr="005529A5">
        <w:rPr>
          <w:sz w:val="24"/>
        </w:rPr>
        <w:t xml:space="preserve">1) The following person </w:t>
      </w:r>
      <w:r w:rsidRPr="005529A5" w:rsidR="00132800">
        <w:rPr>
          <w:sz w:val="24"/>
        </w:rPr>
        <w:t>was</w:t>
      </w:r>
      <w:r w:rsidRPr="005529A5" w:rsidR="001059EE">
        <w:rPr>
          <w:sz w:val="24"/>
        </w:rPr>
        <w:t xml:space="preserve"> </w:t>
      </w:r>
      <w:r w:rsidRPr="005529A5">
        <w:rPr>
          <w:sz w:val="24"/>
        </w:rPr>
        <w:t xml:space="preserve">consulted in the statistical aspects of the design of </w:t>
      </w:r>
      <w:r w:rsidRPr="005529A5" w:rsidR="00132800">
        <w:rPr>
          <w:sz w:val="24"/>
        </w:rPr>
        <w:t>this</w:t>
      </w:r>
      <w:r w:rsidR="0013672B">
        <w:rPr>
          <w:sz w:val="24"/>
        </w:rPr>
        <w:t xml:space="preserve"> project</w:t>
      </w:r>
      <w:r w:rsidRPr="005529A5">
        <w:rPr>
          <w:sz w:val="24"/>
        </w:rPr>
        <w:t>:</w:t>
      </w:r>
    </w:p>
    <w:p w:rsidR="00BD7ABC" w:rsidRPr="005529A5" w:rsidP="00BD7ABC" w14:paraId="1C5932D2" w14:textId="77777777">
      <w:pPr>
        <w:rPr>
          <w:sz w:val="24"/>
        </w:rPr>
      </w:pPr>
    </w:p>
    <w:p w:rsidR="007202B6" w:rsidRPr="005529A5" w:rsidP="4D920234" w14:paraId="378E058B" w14:textId="1292B572">
      <w:pPr>
        <w:ind w:left="720"/>
        <w:rPr>
          <w:sz w:val="24"/>
        </w:rPr>
      </w:pPr>
      <w:r>
        <w:rPr>
          <w:sz w:val="24"/>
        </w:rPr>
        <w:t>Te-Ching Chen</w:t>
      </w:r>
      <w:r w:rsidRPr="005529A5" w:rsidR="6D85D4BD">
        <w:rPr>
          <w:sz w:val="24"/>
        </w:rPr>
        <w:t>, PhD</w:t>
      </w:r>
    </w:p>
    <w:p w:rsidR="4402D2D0" w:rsidRPr="00616238" w:rsidP="4D920234" w14:paraId="0D3FF598" w14:textId="21479881">
      <w:pPr>
        <w:ind w:left="720"/>
        <w:rPr>
          <w:sz w:val="24"/>
        </w:rPr>
      </w:pPr>
      <w:r>
        <w:rPr>
          <w:sz w:val="24"/>
        </w:rPr>
        <w:t>Mathematical</w:t>
      </w:r>
      <w:r w:rsidRPr="005529A5">
        <w:rPr>
          <w:sz w:val="24"/>
        </w:rPr>
        <w:t xml:space="preserve"> Statistician</w:t>
      </w:r>
    </w:p>
    <w:p w:rsidR="004C1118" w:rsidRPr="005529A5" w:rsidP="004C1118" w14:paraId="5C70BFC3" w14:textId="77777777">
      <w:pPr>
        <w:ind w:left="720"/>
        <w:rPr>
          <w:sz w:val="24"/>
        </w:rPr>
      </w:pPr>
      <w:r w:rsidRPr="005529A5">
        <w:rPr>
          <w:sz w:val="24"/>
        </w:rPr>
        <w:t>Division of the National Health and Nutrition Examination Surveys</w:t>
      </w:r>
    </w:p>
    <w:p w:rsidR="004C1118" w:rsidRPr="005529A5" w:rsidP="004C1118" w14:paraId="6C798869" w14:textId="77777777">
      <w:pPr>
        <w:ind w:left="720"/>
        <w:rPr>
          <w:sz w:val="24"/>
        </w:rPr>
      </w:pPr>
      <w:r w:rsidRPr="005529A5">
        <w:rPr>
          <w:sz w:val="24"/>
        </w:rPr>
        <w:t>National Center for Health Statistics</w:t>
      </w:r>
    </w:p>
    <w:p w:rsidR="004C1118" w:rsidRPr="005529A5" w:rsidP="4D920234" w14:paraId="0D73058E" w14:textId="77777777">
      <w:pPr>
        <w:ind w:left="720"/>
        <w:rPr>
          <w:sz w:val="24"/>
        </w:rPr>
      </w:pPr>
      <w:r w:rsidRPr="005529A5">
        <w:rPr>
          <w:sz w:val="24"/>
        </w:rPr>
        <w:t>Centers for Disease Control and Prevention</w:t>
      </w:r>
    </w:p>
    <w:p w:rsidR="5E519000" w:rsidRPr="00616238" w:rsidP="4D920234" w14:paraId="094B955C" w14:textId="52B24848">
      <w:pPr>
        <w:ind w:left="720"/>
        <w:rPr>
          <w:sz w:val="24"/>
        </w:rPr>
      </w:pPr>
      <w:r w:rsidRPr="005529A5">
        <w:rPr>
          <w:sz w:val="24"/>
        </w:rPr>
        <w:t xml:space="preserve">Email: </w:t>
      </w:r>
      <w:r w:rsidR="000A41C5">
        <w:rPr>
          <w:sz w:val="24"/>
        </w:rPr>
        <w:t>hsw3</w:t>
      </w:r>
      <w:r w:rsidRPr="005529A5">
        <w:rPr>
          <w:sz w:val="24"/>
        </w:rPr>
        <w:t>@cdc.gov</w:t>
      </w:r>
    </w:p>
    <w:p w:rsidR="004C63D8" w:rsidRPr="005529A5" w:rsidP="4D920234" w14:paraId="6A7F5CA8" w14:textId="1C8BCD92">
      <w:pPr>
        <w:ind w:left="720"/>
        <w:rPr>
          <w:sz w:val="24"/>
        </w:rPr>
      </w:pPr>
      <w:r w:rsidRPr="005529A5">
        <w:rPr>
          <w:sz w:val="24"/>
        </w:rPr>
        <w:t>Phone</w:t>
      </w:r>
      <w:r w:rsidRPr="005529A5" w:rsidR="004C1118">
        <w:rPr>
          <w:sz w:val="24"/>
        </w:rPr>
        <w:t>: 301-458-</w:t>
      </w:r>
      <w:r w:rsidRPr="00616238" w:rsidR="008D6533">
        <w:rPr>
          <w:rFonts w:eastAsiaTheme="minorEastAsia"/>
          <w:noProof/>
          <w:color w:val="000000" w:themeColor="text1"/>
          <w:sz w:val="24"/>
        </w:rPr>
        <w:t>4</w:t>
      </w:r>
      <w:r w:rsidR="000A41C5">
        <w:rPr>
          <w:rFonts w:eastAsiaTheme="minorEastAsia"/>
          <w:noProof/>
          <w:color w:val="000000" w:themeColor="text1"/>
          <w:sz w:val="24"/>
        </w:rPr>
        <w:t>751</w:t>
      </w:r>
    </w:p>
    <w:p w:rsidR="00BD7ABC" w:rsidRPr="005529A5" w:rsidP="00BD7ABC" w14:paraId="3D1A2EF5" w14:textId="77777777">
      <w:pPr>
        <w:rPr>
          <w:sz w:val="24"/>
        </w:rPr>
      </w:pPr>
    </w:p>
    <w:p w:rsidR="00BD7ABC" w:rsidRPr="005529A5" w:rsidP="00BD7ABC" w14:paraId="30884EC9" w14:textId="314CD71D">
      <w:pPr>
        <w:rPr>
          <w:sz w:val="24"/>
        </w:rPr>
      </w:pPr>
      <w:r w:rsidRPr="005529A5">
        <w:rPr>
          <w:sz w:val="24"/>
        </w:rPr>
        <w:t xml:space="preserve">2) The following person is responsible </w:t>
      </w:r>
      <w:r w:rsidRPr="005529A5" w:rsidR="00EE21C8">
        <w:rPr>
          <w:sz w:val="24"/>
        </w:rPr>
        <w:t xml:space="preserve">for the </w:t>
      </w:r>
      <w:r w:rsidRPr="005529A5">
        <w:rPr>
          <w:sz w:val="24"/>
        </w:rPr>
        <w:t>data collection activities:</w:t>
      </w:r>
    </w:p>
    <w:p w:rsidR="00BD7ABC" w:rsidRPr="005529A5" w:rsidP="00BD7ABC" w14:paraId="7843506E" w14:textId="77777777">
      <w:pPr>
        <w:rPr>
          <w:sz w:val="24"/>
        </w:rPr>
      </w:pPr>
    </w:p>
    <w:p w:rsidR="004C63D8" w:rsidRPr="005529A5" w:rsidP="4D920234" w14:paraId="721C0080" w14:textId="413DB303">
      <w:pPr>
        <w:ind w:left="720"/>
        <w:rPr>
          <w:sz w:val="24"/>
        </w:rPr>
      </w:pPr>
      <w:r w:rsidRPr="005529A5">
        <w:rPr>
          <w:sz w:val="24"/>
        </w:rPr>
        <w:t>David Woodwell</w:t>
      </w:r>
      <w:r w:rsidRPr="005529A5" w:rsidR="43B44AF7">
        <w:rPr>
          <w:sz w:val="24"/>
        </w:rPr>
        <w:t>, MPH</w:t>
      </w:r>
    </w:p>
    <w:p w:rsidR="004C63D8" w:rsidRPr="005529A5" w:rsidP="004C63D8" w14:paraId="374C12E8" w14:textId="77777777">
      <w:pPr>
        <w:ind w:left="720"/>
        <w:rPr>
          <w:sz w:val="24"/>
        </w:rPr>
      </w:pPr>
      <w:r w:rsidRPr="005529A5">
        <w:rPr>
          <w:sz w:val="24"/>
        </w:rPr>
        <w:t>Chief, Planning Branch</w:t>
      </w:r>
    </w:p>
    <w:p w:rsidR="004C63D8" w:rsidRPr="005529A5" w:rsidP="004C63D8" w14:paraId="0ED5FEF0" w14:textId="216B945F">
      <w:pPr>
        <w:ind w:left="720"/>
        <w:rPr>
          <w:sz w:val="24"/>
        </w:rPr>
      </w:pPr>
      <w:r w:rsidRPr="005529A5">
        <w:rPr>
          <w:sz w:val="24"/>
        </w:rPr>
        <w:t>Division of Health and Nutrition Examination Surveys</w:t>
      </w:r>
    </w:p>
    <w:p w:rsidR="00BD7ABC" w:rsidRPr="005529A5" w:rsidP="0088215B" w14:paraId="46FA48F2" w14:textId="77777777">
      <w:pPr>
        <w:ind w:left="720"/>
        <w:rPr>
          <w:sz w:val="24"/>
        </w:rPr>
      </w:pPr>
      <w:r w:rsidRPr="005529A5">
        <w:rPr>
          <w:sz w:val="24"/>
        </w:rPr>
        <w:t>National Center for Health Statistics</w:t>
      </w:r>
    </w:p>
    <w:p w:rsidR="00BD7ABC" w:rsidRPr="005529A5" w:rsidP="0088215B" w14:paraId="0ACD53EB" w14:textId="77777777">
      <w:pPr>
        <w:ind w:left="720"/>
        <w:rPr>
          <w:sz w:val="24"/>
        </w:rPr>
      </w:pPr>
      <w:r w:rsidRPr="005529A5">
        <w:rPr>
          <w:sz w:val="24"/>
        </w:rPr>
        <w:t>Centers for Disease Control and Prevention</w:t>
      </w:r>
    </w:p>
    <w:p w:rsidR="00BD7ABC" w:rsidRPr="005529A5" w:rsidP="00027904" w14:paraId="02191659" w14:textId="1947637A">
      <w:pPr>
        <w:spacing w:line="259" w:lineRule="auto"/>
        <w:ind w:left="720"/>
        <w:rPr>
          <w:sz w:val="24"/>
        </w:rPr>
      </w:pPr>
      <w:r w:rsidRPr="005529A5">
        <w:rPr>
          <w:sz w:val="24"/>
        </w:rPr>
        <w:t xml:space="preserve">Email: </w:t>
      </w:r>
      <w:hyperlink r:id="rId8" w:history="1">
        <w:r w:rsidRPr="005529A5">
          <w:rPr>
            <w:rStyle w:val="Hyperlink"/>
            <w:sz w:val="24"/>
          </w:rPr>
          <w:t>dwoodwell@cdc.gov</w:t>
        </w:r>
      </w:hyperlink>
    </w:p>
    <w:p w:rsidR="37A5271A" w:rsidRPr="00616238" w:rsidP="4D920234" w14:paraId="72B6B4D4" w14:textId="1ED82B62">
      <w:pPr>
        <w:spacing w:line="259" w:lineRule="auto"/>
        <w:ind w:left="720"/>
        <w:rPr>
          <w:sz w:val="24"/>
        </w:rPr>
      </w:pPr>
      <w:r w:rsidRPr="005529A5">
        <w:rPr>
          <w:sz w:val="24"/>
        </w:rPr>
        <w:t>Phone: 301-458-4327</w:t>
      </w:r>
    </w:p>
    <w:p w:rsidR="00BD7ABC" w:rsidRPr="005529A5" w:rsidP="00BD7ABC" w14:paraId="177AFBBF" w14:textId="77777777">
      <w:pPr>
        <w:rPr>
          <w:sz w:val="24"/>
        </w:rPr>
      </w:pPr>
    </w:p>
    <w:p w:rsidR="00BD7ABC" w:rsidRPr="005529A5" w:rsidP="00BD7ABC" w14:paraId="641896B1" w14:textId="37FE356A">
      <w:pPr>
        <w:rPr>
          <w:sz w:val="24"/>
        </w:rPr>
      </w:pPr>
      <w:r w:rsidRPr="005529A5">
        <w:rPr>
          <w:sz w:val="24"/>
        </w:rPr>
        <w:t xml:space="preserve">3) The following person is responsible for </w:t>
      </w:r>
      <w:r w:rsidRPr="005529A5" w:rsidR="00EE21C8">
        <w:rPr>
          <w:sz w:val="24"/>
        </w:rPr>
        <w:t xml:space="preserve">the </w:t>
      </w:r>
      <w:r w:rsidRPr="005529A5">
        <w:rPr>
          <w:sz w:val="24"/>
        </w:rPr>
        <w:t>analysis of th</w:t>
      </w:r>
      <w:r w:rsidRPr="005529A5" w:rsidR="00EE21C8">
        <w:rPr>
          <w:sz w:val="24"/>
        </w:rPr>
        <w:t xml:space="preserve">is </w:t>
      </w:r>
      <w:r w:rsidRPr="005529A5">
        <w:rPr>
          <w:sz w:val="24"/>
        </w:rPr>
        <w:t>data:</w:t>
      </w:r>
    </w:p>
    <w:p w:rsidR="00BD7ABC" w:rsidRPr="005529A5" w:rsidP="00BD7ABC" w14:paraId="1E5A0003" w14:textId="77777777">
      <w:pPr>
        <w:rPr>
          <w:sz w:val="24"/>
        </w:rPr>
      </w:pPr>
    </w:p>
    <w:p w:rsidR="007054EE" w:rsidRPr="005529A5" w:rsidP="4D920234" w14:paraId="77FBC09B" w14:textId="79CF1476">
      <w:pPr>
        <w:ind w:left="720"/>
        <w:rPr>
          <w:sz w:val="24"/>
        </w:rPr>
      </w:pPr>
      <w:r w:rsidRPr="005529A5">
        <w:rPr>
          <w:sz w:val="24"/>
        </w:rPr>
        <w:t xml:space="preserve">Alan </w:t>
      </w:r>
      <w:r w:rsidRPr="005529A5" w:rsidR="2BB114E7">
        <w:rPr>
          <w:sz w:val="24"/>
        </w:rPr>
        <w:t xml:space="preserve">E. </w:t>
      </w:r>
      <w:r w:rsidRPr="005529A5">
        <w:rPr>
          <w:sz w:val="24"/>
        </w:rPr>
        <w:t>Simon</w:t>
      </w:r>
      <w:r w:rsidRPr="005529A5" w:rsidR="736F7FA8">
        <w:rPr>
          <w:sz w:val="24"/>
        </w:rPr>
        <w:t>, MD</w:t>
      </w:r>
    </w:p>
    <w:p w:rsidR="3FF7B9B3" w:rsidRPr="005529A5" w:rsidP="4D920234" w14:paraId="58F5E432" w14:textId="309F9A78">
      <w:pPr>
        <w:ind w:left="720"/>
        <w:rPr>
          <w:sz w:val="24"/>
        </w:rPr>
      </w:pPr>
      <w:r w:rsidRPr="005529A5">
        <w:rPr>
          <w:sz w:val="24"/>
        </w:rPr>
        <w:t>Division Director</w:t>
      </w:r>
    </w:p>
    <w:p w:rsidR="007054EE" w:rsidRPr="005529A5" w:rsidP="007054EE" w14:paraId="27FC1499" w14:textId="77777777">
      <w:pPr>
        <w:ind w:left="720"/>
        <w:rPr>
          <w:sz w:val="24"/>
        </w:rPr>
      </w:pPr>
      <w:r w:rsidRPr="005529A5">
        <w:rPr>
          <w:sz w:val="24"/>
        </w:rPr>
        <w:t>Division of Health and Nutrition Examination Surveys</w:t>
      </w:r>
    </w:p>
    <w:p w:rsidR="007054EE" w:rsidRPr="005529A5" w:rsidP="007054EE" w14:paraId="0CAF0581" w14:textId="77777777">
      <w:pPr>
        <w:ind w:left="720"/>
        <w:rPr>
          <w:sz w:val="24"/>
        </w:rPr>
      </w:pPr>
      <w:r w:rsidRPr="005529A5">
        <w:rPr>
          <w:sz w:val="24"/>
        </w:rPr>
        <w:t>National Center for Health Statistics</w:t>
      </w:r>
    </w:p>
    <w:p w:rsidR="007054EE" w:rsidRPr="005529A5" w:rsidP="007054EE" w14:paraId="3172EA20" w14:textId="77777777">
      <w:pPr>
        <w:ind w:left="720"/>
        <w:rPr>
          <w:sz w:val="24"/>
        </w:rPr>
      </w:pPr>
      <w:r w:rsidRPr="005529A5">
        <w:rPr>
          <w:sz w:val="24"/>
        </w:rPr>
        <w:t>Centers for Disease Control and Prevention</w:t>
      </w:r>
    </w:p>
    <w:p w:rsidR="5992390D" w:rsidRPr="005529A5" w:rsidP="4D920234" w14:paraId="57D9CD04" w14:textId="62BFF155">
      <w:pPr>
        <w:ind w:firstLine="720"/>
        <w:rPr>
          <w:sz w:val="24"/>
        </w:rPr>
      </w:pPr>
      <w:r w:rsidRPr="005529A5">
        <w:rPr>
          <w:sz w:val="24"/>
        </w:rPr>
        <w:t xml:space="preserve">Email: </w:t>
      </w:r>
      <w:r w:rsidRPr="005529A5" w:rsidR="00BC48B5">
        <w:rPr>
          <w:sz w:val="24"/>
        </w:rPr>
        <w:t>f</w:t>
      </w:r>
      <w:r w:rsidRPr="005529A5">
        <w:rPr>
          <w:sz w:val="24"/>
        </w:rPr>
        <w:t>pa8@cdc.gov</w:t>
      </w:r>
    </w:p>
    <w:p w:rsidR="007054EE" w:rsidRPr="00616238" w:rsidP="007054EE" w14:paraId="208C9350" w14:textId="02071A7E">
      <w:pPr>
        <w:ind w:firstLine="720"/>
        <w:rPr>
          <w:sz w:val="24"/>
        </w:rPr>
      </w:pPr>
      <w:r w:rsidRPr="005529A5">
        <w:rPr>
          <w:sz w:val="24"/>
        </w:rPr>
        <w:t>Phone:  301-458-</w:t>
      </w:r>
      <w:r w:rsidRPr="005529A5" w:rsidR="00943818">
        <w:rPr>
          <w:sz w:val="24"/>
        </w:rPr>
        <w:t xml:space="preserve">4626 </w:t>
      </w:r>
    </w:p>
    <w:p w:rsidR="00042542" w:rsidRPr="00616238" w:rsidP="00042542" w14:paraId="772D8AD7" w14:textId="77777777">
      <w:pPr>
        <w:jc w:val="center"/>
        <w:rPr>
          <w:b/>
          <w:sz w:val="24"/>
        </w:rPr>
      </w:pPr>
      <w:bookmarkStart w:id="11" w:name="_Toc71518911"/>
      <w:bookmarkEnd w:id="11"/>
    </w:p>
    <w:sectPr w:rsidSect="004A290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06D" w:rsidP="00455FB6" w14:paraId="519578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506D" w14:paraId="6E31C1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06D" w:rsidP="00455FB6" w14:paraId="1DB06D2D" w14:textId="1459F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6EB">
      <w:rPr>
        <w:rStyle w:val="PageNumber"/>
        <w:noProof/>
      </w:rPr>
      <w:t>6</w:t>
    </w:r>
    <w:r>
      <w:rPr>
        <w:rStyle w:val="PageNumber"/>
      </w:rPr>
      <w:fldChar w:fldCharType="end"/>
    </w:r>
  </w:p>
  <w:p w:rsidR="00AB506D" w14:paraId="14590A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19C" w14:paraId="34AB31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19C" w14:paraId="27A1A5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19C" w14:paraId="378A65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19C" w14:paraId="6D77FA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F0877"/>
    <w:multiLevelType w:val="hybridMultilevel"/>
    <w:tmpl w:val="F63C2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07F4E"/>
    <w:multiLevelType w:val="hybridMultilevel"/>
    <w:tmpl w:val="3918A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0A6FDD"/>
    <w:multiLevelType w:val="hybridMultilevel"/>
    <w:tmpl w:val="9EAE1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285B70"/>
    <w:multiLevelType w:val="hybridMultilevel"/>
    <w:tmpl w:val="551EE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9D103B"/>
    <w:multiLevelType w:val="hybridMultilevel"/>
    <w:tmpl w:val="B2526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3E1F2A"/>
    <w:multiLevelType w:val="hybridMultilevel"/>
    <w:tmpl w:val="37F89C2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353D5B"/>
    <w:multiLevelType w:val="hybridMultilevel"/>
    <w:tmpl w:val="DE12E1D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B1D1787"/>
    <w:multiLevelType w:val="hybridMultilevel"/>
    <w:tmpl w:val="90044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C754DD"/>
    <w:multiLevelType w:val="hybridMultilevel"/>
    <w:tmpl w:val="374E2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9F311C"/>
    <w:multiLevelType w:val="hybridMultilevel"/>
    <w:tmpl w:val="5E44C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AEC007A"/>
    <w:multiLevelType w:val="hybridMultilevel"/>
    <w:tmpl w:val="90044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6F14FF"/>
    <w:multiLevelType w:val="hybridMultilevel"/>
    <w:tmpl w:val="9AB20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9A0064C"/>
    <w:multiLevelType w:val="hybridMultilevel"/>
    <w:tmpl w:val="77D23C42"/>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715E65F0"/>
    <w:multiLevelType w:val="hybridMultilevel"/>
    <w:tmpl w:val="CD548F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2B30590"/>
    <w:multiLevelType w:val="hybridMultilevel"/>
    <w:tmpl w:val="E0B63524"/>
    <w:lvl w:ilvl="0">
      <w:start w:val="716"/>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6A26878"/>
    <w:multiLevelType w:val="hybridMultilevel"/>
    <w:tmpl w:val="2AA6A0A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6">
    <w:nsid w:val="777E623C"/>
    <w:multiLevelType w:val="hybridMultilevel"/>
    <w:tmpl w:val="B6A8F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836148">
    <w:abstractNumId w:val="15"/>
  </w:num>
  <w:num w:numId="2" w16cid:durableId="75832502">
    <w:abstractNumId w:val="5"/>
  </w:num>
  <w:num w:numId="3" w16cid:durableId="695010420">
    <w:abstractNumId w:val="9"/>
  </w:num>
  <w:num w:numId="4" w16cid:durableId="389113509">
    <w:abstractNumId w:val="1"/>
  </w:num>
  <w:num w:numId="5" w16cid:durableId="1377196384">
    <w:abstractNumId w:val="0"/>
  </w:num>
  <w:num w:numId="6" w16cid:durableId="333647263">
    <w:abstractNumId w:val="3"/>
  </w:num>
  <w:num w:numId="7" w16cid:durableId="1624456613">
    <w:abstractNumId w:val="16"/>
  </w:num>
  <w:num w:numId="8" w16cid:durableId="781386582">
    <w:abstractNumId w:val="10"/>
  </w:num>
  <w:num w:numId="9" w16cid:durableId="394737770">
    <w:abstractNumId w:val="6"/>
  </w:num>
  <w:num w:numId="10" w16cid:durableId="1825465437">
    <w:abstractNumId w:val="2"/>
  </w:num>
  <w:num w:numId="11" w16cid:durableId="123154986">
    <w:abstractNumId w:val="13"/>
  </w:num>
  <w:num w:numId="12" w16cid:durableId="373623763">
    <w:abstractNumId w:val="7"/>
  </w:num>
  <w:num w:numId="13" w16cid:durableId="336931079">
    <w:abstractNumId w:val="14"/>
  </w:num>
  <w:num w:numId="14" w16cid:durableId="1901744967">
    <w:abstractNumId w:val="11"/>
  </w:num>
  <w:num w:numId="15" w16cid:durableId="1674529147">
    <w:abstractNumId w:val="8"/>
  </w:num>
  <w:num w:numId="16" w16cid:durableId="977027889">
    <w:abstractNumId w:val="4"/>
  </w:num>
  <w:num w:numId="17" w16cid:durableId="17666547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AD"/>
    <w:rsid w:val="00001CC0"/>
    <w:rsid w:val="000020B6"/>
    <w:rsid w:val="0001420E"/>
    <w:rsid w:val="00014F15"/>
    <w:rsid w:val="00017757"/>
    <w:rsid w:val="0001788D"/>
    <w:rsid w:val="00023AAF"/>
    <w:rsid w:val="00027904"/>
    <w:rsid w:val="0003628B"/>
    <w:rsid w:val="00040A2A"/>
    <w:rsid w:val="000421EC"/>
    <w:rsid w:val="00042542"/>
    <w:rsid w:val="00043412"/>
    <w:rsid w:val="00053FF2"/>
    <w:rsid w:val="00054730"/>
    <w:rsid w:val="0005591B"/>
    <w:rsid w:val="000574F4"/>
    <w:rsid w:val="00062432"/>
    <w:rsid w:val="0006639B"/>
    <w:rsid w:val="0006714F"/>
    <w:rsid w:val="00074420"/>
    <w:rsid w:val="00083AFA"/>
    <w:rsid w:val="00086149"/>
    <w:rsid w:val="00086511"/>
    <w:rsid w:val="000918FB"/>
    <w:rsid w:val="000932F8"/>
    <w:rsid w:val="000A1A2E"/>
    <w:rsid w:val="000A41C5"/>
    <w:rsid w:val="000B1877"/>
    <w:rsid w:val="000B2025"/>
    <w:rsid w:val="000B2DB3"/>
    <w:rsid w:val="000B43CB"/>
    <w:rsid w:val="000C036E"/>
    <w:rsid w:val="000C2826"/>
    <w:rsid w:val="000C3381"/>
    <w:rsid w:val="000C7851"/>
    <w:rsid w:val="000D1CBA"/>
    <w:rsid w:val="000D4963"/>
    <w:rsid w:val="00104049"/>
    <w:rsid w:val="001059EE"/>
    <w:rsid w:val="00107D41"/>
    <w:rsid w:val="001111A6"/>
    <w:rsid w:val="00114BEB"/>
    <w:rsid w:val="00116447"/>
    <w:rsid w:val="00122823"/>
    <w:rsid w:val="00132800"/>
    <w:rsid w:val="00134B43"/>
    <w:rsid w:val="001357D2"/>
    <w:rsid w:val="0013672B"/>
    <w:rsid w:val="00136C45"/>
    <w:rsid w:val="001408EB"/>
    <w:rsid w:val="0014092B"/>
    <w:rsid w:val="00142933"/>
    <w:rsid w:val="001435D7"/>
    <w:rsid w:val="00144802"/>
    <w:rsid w:val="00147379"/>
    <w:rsid w:val="0014759A"/>
    <w:rsid w:val="001570C6"/>
    <w:rsid w:val="00161656"/>
    <w:rsid w:val="00162A48"/>
    <w:rsid w:val="00165957"/>
    <w:rsid w:val="00165B6A"/>
    <w:rsid w:val="00170786"/>
    <w:rsid w:val="001715E0"/>
    <w:rsid w:val="00176944"/>
    <w:rsid w:val="00180A8C"/>
    <w:rsid w:val="00180D15"/>
    <w:rsid w:val="001901ED"/>
    <w:rsid w:val="00191194"/>
    <w:rsid w:val="0019149B"/>
    <w:rsid w:val="00192B8B"/>
    <w:rsid w:val="001956B8"/>
    <w:rsid w:val="001A0AE1"/>
    <w:rsid w:val="001A2FBF"/>
    <w:rsid w:val="001A7410"/>
    <w:rsid w:val="001A7DF0"/>
    <w:rsid w:val="001B4186"/>
    <w:rsid w:val="001C66E2"/>
    <w:rsid w:val="001C79D5"/>
    <w:rsid w:val="001D02B2"/>
    <w:rsid w:val="001D3A63"/>
    <w:rsid w:val="001D4148"/>
    <w:rsid w:val="001E6954"/>
    <w:rsid w:val="001EE935"/>
    <w:rsid w:val="001F1A87"/>
    <w:rsid w:val="001F5938"/>
    <w:rsid w:val="00202487"/>
    <w:rsid w:val="002058EB"/>
    <w:rsid w:val="002078D9"/>
    <w:rsid w:val="0021329B"/>
    <w:rsid w:val="002156EE"/>
    <w:rsid w:val="00215C33"/>
    <w:rsid w:val="00216EC3"/>
    <w:rsid w:val="00222C85"/>
    <w:rsid w:val="00223988"/>
    <w:rsid w:val="0022736E"/>
    <w:rsid w:val="00227EEC"/>
    <w:rsid w:val="0023180F"/>
    <w:rsid w:val="00231CE5"/>
    <w:rsid w:val="002372D2"/>
    <w:rsid w:val="00237C51"/>
    <w:rsid w:val="00242C60"/>
    <w:rsid w:val="002465D4"/>
    <w:rsid w:val="002470CD"/>
    <w:rsid w:val="0024797C"/>
    <w:rsid w:val="002517EF"/>
    <w:rsid w:val="00252EA0"/>
    <w:rsid w:val="00263283"/>
    <w:rsid w:val="00266564"/>
    <w:rsid w:val="00283A86"/>
    <w:rsid w:val="00291CB5"/>
    <w:rsid w:val="002969B2"/>
    <w:rsid w:val="002A05F3"/>
    <w:rsid w:val="002A0A1C"/>
    <w:rsid w:val="002A5544"/>
    <w:rsid w:val="002A55E2"/>
    <w:rsid w:val="002B0278"/>
    <w:rsid w:val="002B177E"/>
    <w:rsid w:val="002B2046"/>
    <w:rsid w:val="002B2291"/>
    <w:rsid w:val="002B293E"/>
    <w:rsid w:val="002B681E"/>
    <w:rsid w:val="002C0EDC"/>
    <w:rsid w:val="002C1D74"/>
    <w:rsid w:val="002D56FB"/>
    <w:rsid w:val="002E35DE"/>
    <w:rsid w:val="002E3734"/>
    <w:rsid w:val="002E4BA7"/>
    <w:rsid w:val="002E4C6F"/>
    <w:rsid w:val="002E5C7D"/>
    <w:rsid w:val="002E658B"/>
    <w:rsid w:val="002E7CAE"/>
    <w:rsid w:val="002F4A39"/>
    <w:rsid w:val="002F738E"/>
    <w:rsid w:val="00304B32"/>
    <w:rsid w:val="00307F0B"/>
    <w:rsid w:val="00310E4D"/>
    <w:rsid w:val="00310F16"/>
    <w:rsid w:val="00314D73"/>
    <w:rsid w:val="003172C8"/>
    <w:rsid w:val="00317583"/>
    <w:rsid w:val="003268BF"/>
    <w:rsid w:val="00326CB9"/>
    <w:rsid w:val="00333403"/>
    <w:rsid w:val="00333D2E"/>
    <w:rsid w:val="00333EEF"/>
    <w:rsid w:val="00336CE7"/>
    <w:rsid w:val="00341AA6"/>
    <w:rsid w:val="0034373C"/>
    <w:rsid w:val="00344913"/>
    <w:rsid w:val="003452FF"/>
    <w:rsid w:val="00347BB8"/>
    <w:rsid w:val="00350E92"/>
    <w:rsid w:val="003514D1"/>
    <w:rsid w:val="00354B7B"/>
    <w:rsid w:val="00354FFB"/>
    <w:rsid w:val="00355BBE"/>
    <w:rsid w:val="00357ED1"/>
    <w:rsid w:val="003641A9"/>
    <w:rsid w:val="00366D3D"/>
    <w:rsid w:val="00370882"/>
    <w:rsid w:val="003711C6"/>
    <w:rsid w:val="00375C48"/>
    <w:rsid w:val="00381B90"/>
    <w:rsid w:val="00387DB9"/>
    <w:rsid w:val="00390387"/>
    <w:rsid w:val="00393338"/>
    <w:rsid w:val="0039376C"/>
    <w:rsid w:val="003A0864"/>
    <w:rsid w:val="003A4CBC"/>
    <w:rsid w:val="003A78FE"/>
    <w:rsid w:val="003B07BD"/>
    <w:rsid w:val="003B654D"/>
    <w:rsid w:val="003C07BF"/>
    <w:rsid w:val="003C31EA"/>
    <w:rsid w:val="003D2044"/>
    <w:rsid w:val="003D4CE4"/>
    <w:rsid w:val="003D5357"/>
    <w:rsid w:val="003D6392"/>
    <w:rsid w:val="003E1F3A"/>
    <w:rsid w:val="003E2249"/>
    <w:rsid w:val="003E3B1B"/>
    <w:rsid w:val="003E455A"/>
    <w:rsid w:val="003F113C"/>
    <w:rsid w:val="003F2511"/>
    <w:rsid w:val="003F39C2"/>
    <w:rsid w:val="003F5020"/>
    <w:rsid w:val="00402CEF"/>
    <w:rsid w:val="00404FB6"/>
    <w:rsid w:val="00411269"/>
    <w:rsid w:val="00412C11"/>
    <w:rsid w:val="00415B0A"/>
    <w:rsid w:val="00417562"/>
    <w:rsid w:val="00420748"/>
    <w:rsid w:val="00422223"/>
    <w:rsid w:val="004262B9"/>
    <w:rsid w:val="00426D48"/>
    <w:rsid w:val="00427E06"/>
    <w:rsid w:val="00435C48"/>
    <w:rsid w:val="00442699"/>
    <w:rsid w:val="00445B32"/>
    <w:rsid w:val="0045326B"/>
    <w:rsid w:val="00455E60"/>
    <w:rsid w:val="00455FB6"/>
    <w:rsid w:val="00457E26"/>
    <w:rsid w:val="00466FFE"/>
    <w:rsid w:val="004723A3"/>
    <w:rsid w:val="00472A86"/>
    <w:rsid w:val="00474446"/>
    <w:rsid w:val="004762BC"/>
    <w:rsid w:val="004766B2"/>
    <w:rsid w:val="00483C03"/>
    <w:rsid w:val="00484338"/>
    <w:rsid w:val="00492781"/>
    <w:rsid w:val="004A04E1"/>
    <w:rsid w:val="004A0996"/>
    <w:rsid w:val="004A290B"/>
    <w:rsid w:val="004A43C2"/>
    <w:rsid w:val="004A552B"/>
    <w:rsid w:val="004B1426"/>
    <w:rsid w:val="004B1C6A"/>
    <w:rsid w:val="004B49D0"/>
    <w:rsid w:val="004C1118"/>
    <w:rsid w:val="004C226C"/>
    <w:rsid w:val="004C2C07"/>
    <w:rsid w:val="004C35D6"/>
    <w:rsid w:val="004C430A"/>
    <w:rsid w:val="004C5E27"/>
    <w:rsid w:val="004C605E"/>
    <w:rsid w:val="004C63D8"/>
    <w:rsid w:val="004D35BF"/>
    <w:rsid w:val="004D3EDE"/>
    <w:rsid w:val="004E0595"/>
    <w:rsid w:val="004E3741"/>
    <w:rsid w:val="004E38B5"/>
    <w:rsid w:val="004E496D"/>
    <w:rsid w:val="004F397B"/>
    <w:rsid w:val="004F5E6E"/>
    <w:rsid w:val="005018FB"/>
    <w:rsid w:val="00502D68"/>
    <w:rsid w:val="005054FB"/>
    <w:rsid w:val="00511B30"/>
    <w:rsid w:val="00514AB9"/>
    <w:rsid w:val="0051683E"/>
    <w:rsid w:val="00521A0C"/>
    <w:rsid w:val="00524B38"/>
    <w:rsid w:val="00527DD3"/>
    <w:rsid w:val="00530284"/>
    <w:rsid w:val="0053560C"/>
    <w:rsid w:val="00536C55"/>
    <w:rsid w:val="00537953"/>
    <w:rsid w:val="00537EFB"/>
    <w:rsid w:val="005433C9"/>
    <w:rsid w:val="005506EB"/>
    <w:rsid w:val="00550B0F"/>
    <w:rsid w:val="005529A5"/>
    <w:rsid w:val="00556C50"/>
    <w:rsid w:val="00565470"/>
    <w:rsid w:val="005714CD"/>
    <w:rsid w:val="005806BC"/>
    <w:rsid w:val="005825D0"/>
    <w:rsid w:val="005826F4"/>
    <w:rsid w:val="00582FD2"/>
    <w:rsid w:val="0058494E"/>
    <w:rsid w:val="005850A5"/>
    <w:rsid w:val="00587C30"/>
    <w:rsid w:val="0059606C"/>
    <w:rsid w:val="005A61D7"/>
    <w:rsid w:val="005B0747"/>
    <w:rsid w:val="005B4FC2"/>
    <w:rsid w:val="005C0932"/>
    <w:rsid w:val="005C363C"/>
    <w:rsid w:val="005C4D7A"/>
    <w:rsid w:val="005C5B7E"/>
    <w:rsid w:val="005C7CF3"/>
    <w:rsid w:val="005D0F74"/>
    <w:rsid w:val="005D280B"/>
    <w:rsid w:val="005E03A4"/>
    <w:rsid w:val="005E099A"/>
    <w:rsid w:val="005E563C"/>
    <w:rsid w:val="005F24BD"/>
    <w:rsid w:val="005F3B23"/>
    <w:rsid w:val="005F48FD"/>
    <w:rsid w:val="005F4F1B"/>
    <w:rsid w:val="00604F40"/>
    <w:rsid w:val="00606A75"/>
    <w:rsid w:val="0061140C"/>
    <w:rsid w:val="00611455"/>
    <w:rsid w:val="00611C02"/>
    <w:rsid w:val="006127B9"/>
    <w:rsid w:val="006137C9"/>
    <w:rsid w:val="00615010"/>
    <w:rsid w:val="00615BB1"/>
    <w:rsid w:val="00616238"/>
    <w:rsid w:val="00623FCE"/>
    <w:rsid w:val="006250C8"/>
    <w:rsid w:val="006256ED"/>
    <w:rsid w:val="006265B2"/>
    <w:rsid w:val="00631B82"/>
    <w:rsid w:val="006373A9"/>
    <w:rsid w:val="00640B31"/>
    <w:rsid w:val="0064332A"/>
    <w:rsid w:val="00650002"/>
    <w:rsid w:val="0065233F"/>
    <w:rsid w:val="006523B8"/>
    <w:rsid w:val="00662ACA"/>
    <w:rsid w:val="00664F16"/>
    <w:rsid w:val="0066531C"/>
    <w:rsid w:val="006718B7"/>
    <w:rsid w:val="00676D3B"/>
    <w:rsid w:val="006819B8"/>
    <w:rsid w:val="00681FCC"/>
    <w:rsid w:val="00684CBD"/>
    <w:rsid w:val="00686FC5"/>
    <w:rsid w:val="0069500F"/>
    <w:rsid w:val="0069629E"/>
    <w:rsid w:val="006A00DF"/>
    <w:rsid w:val="006A4DB5"/>
    <w:rsid w:val="006A50CE"/>
    <w:rsid w:val="006A667C"/>
    <w:rsid w:val="006B1553"/>
    <w:rsid w:val="006B1C2B"/>
    <w:rsid w:val="006B23D8"/>
    <w:rsid w:val="006B2805"/>
    <w:rsid w:val="006B56C9"/>
    <w:rsid w:val="006C1381"/>
    <w:rsid w:val="006C5A82"/>
    <w:rsid w:val="006C6BA7"/>
    <w:rsid w:val="006D4075"/>
    <w:rsid w:val="006D6DB3"/>
    <w:rsid w:val="006E00D7"/>
    <w:rsid w:val="006E7C4A"/>
    <w:rsid w:val="007003C4"/>
    <w:rsid w:val="00701510"/>
    <w:rsid w:val="00702FA7"/>
    <w:rsid w:val="007054EE"/>
    <w:rsid w:val="00705513"/>
    <w:rsid w:val="0070615D"/>
    <w:rsid w:val="00711862"/>
    <w:rsid w:val="00714891"/>
    <w:rsid w:val="0071591B"/>
    <w:rsid w:val="0071595D"/>
    <w:rsid w:val="007202B6"/>
    <w:rsid w:val="00721486"/>
    <w:rsid w:val="00725C64"/>
    <w:rsid w:val="00737540"/>
    <w:rsid w:val="007406F1"/>
    <w:rsid w:val="0074379F"/>
    <w:rsid w:val="007456A1"/>
    <w:rsid w:val="007502A8"/>
    <w:rsid w:val="00755ECD"/>
    <w:rsid w:val="007617A1"/>
    <w:rsid w:val="00770E54"/>
    <w:rsid w:val="00772544"/>
    <w:rsid w:val="00773EF6"/>
    <w:rsid w:val="00774BA7"/>
    <w:rsid w:val="00775DB5"/>
    <w:rsid w:val="00780BD8"/>
    <w:rsid w:val="007828C8"/>
    <w:rsid w:val="00782903"/>
    <w:rsid w:val="00782DB0"/>
    <w:rsid w:val="00783275"/>
    <w:rsid w:val="00786089"/>
    <w:rsid w:val="00795A35"/>
    <w:rsid w:val="007A12F2"/>
    <w:rsid w:val="007A386A"/>
    <w:rsid w:val="007A546D"/>
    <w:rsid w:val="007B1229"/>
    <w:rsid w:val="007B2939"/>
    <w:rsid w:val="007B4139"/>
    <w:rsid w:val="007B61A9"/>
    <w:rsid w:val="007B7FA9"/>
    <w:rsid w:val="007C3B7D"/>
    <w:rsid w:val="007D0006"/>
    <w:rsid w:val="007D6C04"/>
    <w:rsid w:val="007E2FA2"/>
    <w:rsid w:val="007E613B"/>
    <w:rsid w:val="007F38F6"/>
    <w:rsid w:val="007F69A4"/>
    <w:rsid w:val="007F6ADE"/>
    <w:rsid w:val="008034A4"/>
    <w:rsid w:val="008064E1"/>
    <w:rsid w:val="0080694F"/>
    <w:rsid w:val="00810FB8"/>
    <w:rsid w:val="0081215E"/>
    <w:rsid w:val="00812385"/>
    <w:rsid w:val="00815F1E"/>
    <w:rsid w:val="00820C48"/>
    <w:rsid w:val="00821924"/>
    <w:rsid w:val="00823501"/>
    <w:rsid w:val="008252E3"/>
    <w:rsid w:val="008311F2"/>
    <w:rsid w:val="00832EFE"/>
    <w:rsid w:val="00833938"/>
    <w:rsid w:val="008357F4"/>
    <w:rsid w:val="00844310"/>
    <w:rsid w:val="00845646"/>
    <w:rsid w:val="008479E1"/>
    <w:rsid w:val="00870719"/>
    <w:rsid w:val="008716B6"/>
    <w:rsid w:val="008723D8"/>
    <w:rsid w:val="0087272F"/>
    <w:rsid w:val="0087347C"/>
    <w:rsid w:val="0087438D"/>
    <w:rsid w:val="008758AE"/>
    <w:rsid w:val="00876821"/>
    <w:rsid w:val="00881F3E"/>
    <w:rsid w:val="0088215B"/>
    <w:rsid w:val="008905E2"/>
    <w:rsid w:val="00891EF6"/>
    <w:rsid w:val="008955C1"/>
    <w:rsid w:val="008A1806"/>
    <w:rsid w:val="008B0B58"/>
    <w:rsid w:val="008B5772"/>
    <w:rsid w:val="008B7082"/>
    <w:rsid w:val="008B7306"/>
    <w:rsid w:val="008D0E6B"/>
    <w:rsid w:val="008D6533"/>
    <w:rsid w:val="008E1217"/>
    <w:rsid w:val="008E6257"/>
    <w:rsid w:val="008E6DDC"/>
    <w:rsid w:val="008F0EB8"/>
    <w:rsid w:val="008F2302"/>
    <w:rsid w:val="00900ACC"/>
    <w:rsid w:val="00901789"/>
    <w:rsid w:val="009118A9"/>
    <w:rsid w:val="00913C2A"/>
    <w:rsid w:val="00914A9C"/>
    <w:rsid w:val="0092336E"/>
    <w:rsid w:val="00930C84"/>
    <w:rsid w:val="00930E1C"/>
    <w:rsid w:val="00932C01"/>
    <w:rsid w:val="00936871"/>
    <w:rsid w:val="00936A26"/>
    <w:rsid w:val="009400E8"/>
    <w:rsid w:val="009405B4"/>
    <w:rsid w:val="009416CD"/>
    <w:rsid w:val="00943818"/>
    <w:rsid w:val="00945731"/>
    <w:rsid w:val="00952BA9"/>
    <w:rsid w:val="0095768C"/>
    <w:rsid w:val="00964B08"/>
    <w:rsid w:val="0096679C"/>
    <w:rsid w:val="00966A19"/>
    <w:rsid w:val="00974D77"/>
    <w:rsid w:val="00975465"/>
    <w:rsid w:val="0097602A"/>
    <w:rsid w:val="00976AA8"/>
    <w:rsid w:val="009839D8"/>
    <w:rsid w:val="00992F03"/>
    <w:rsid w:val="0099739F"/>
    <w:rsid w:val="009A3AB2"/>
    <w:rsid w:val="009A4167"/>
    <w:rsid w:val="009A7542"/>
    <w:rsid w:val="009B16D6"/>
    <w:rsid w:val="009B3E9C"/>
    <w:rsid w:val="009C1808"/>
    <w:rsid w:val="009C6C6B"/>
    <w:rsid w:val="009C77AE"/>
    <w:rsid w:val="009D00FC"/>
    <w:rsid w:val="009D5042"/>
    <w:rsid w:val="009D5DE4"/>
    <w:rsid w:val="009E0EE3"/>
    <w:rsid w:val="009E3DD0"/>
    <w:rsid w:val="009E6C92"/>
    <w:rsid w:val="009E7E35"/>
    <w:rsid w:val="00A03A2F"/>
    <w:rsid w:val="00A1116F"/>
    <w:rsid w:val="00A12AE9"/>
    <w:rsid w:val="00A14DDC"/>
    <w:rsid w:val="00A24340"/>
    <w:rsid w:val="00A25484"/>
    <w:rsid w:val="00A30BF3"/>
    <w:rsid w:val="00A330A5"/>
    <w:rsid w:val="00A40E2E"/>
    <w:rsid w:val="00A43E0A"/>
    <w:rsid w:val="00A44FE8"/>
    <w:rsid w:val="00A46FE9"/>
    <w:rsid w:val="00A52771"/>
    <w:rsid w:val="00A52837"/>
    <w:rsid w:val="00A549F4"/>
    <w:rsid w:val="00A55D03"/>
    <w:rsid w:val="00A5744B"/>
    <w:rsid w:val="00A608B0"/>
    <w:rsid w:val="00A61ADA"/>
    <w:rsid w:val="00A6419C"/>
    <w:rsid w:val="00A65857"/>
    <w:rsid w:val="00A67790"/>
    <w:rsid w:val="00A72F4C"/>
    <w:rsid w:val="00A77B69"/>
    <w:rsid w:val="00A8233E"/>
    <w:rsid w:val="00A85079"/>
    <w:rsid w:val="00A90424"/>
    <w:rsid w:val="00A91047"/>
    <w:rsid w:val="00A969C8"/>
    <w:rsid w:val="00AA0EDD"/>
    <w:rsid w:val="00AA1554"/>
    <w:rsid w:val="00AA558E"/>
    <w:rsid w:val="00AA7BA1"/>
    <w:rsid w:val="00AB506D"/>
    <w:rsid w:val="00AC113F"/>
    <w:rsid w:val="00AC4EF0"/>
    <w:rsid w:val="00AD02F9"/>
    <w:rsid w:val="00AD1398"/>
    <w:rsid w:val="00AD2585"/>
    <w:rsid w:val="00AD41C1"/>
    <w:rsid w:val="00AE0308"/>
    <w:rsid w:val="00AE2685"/>
    <w:rsid w:val="00AF17A8"/>
    <w:rsid w:val="00AF18C8"/>
    <w:rsid w:val="00AF2B14"/>
    <w:rsid w:val="00AF5FB8"/>
    <w:rsid w:val="00B000C4"/>
    <w:rsid w:val="00B0264E"/>
    <w:rsid w:val="00B049A6"/>
    <w:rsid w:val="00B1162D"/>
    <w:rsid w:val="00B15BFC"/>
    <w:rsid w:val="00B217D9"/>
    <w:rsid w:val="00B22FBC"/>
    <w:rsid w:val="00B26426"/>
    <w:rsid w:val="00B326F7"/>
    <w:rsid w:val="00B32899"/>
    <w:rsid w:val="00B3594C"/>
    <w:rsid w:val="00B366B6"/>
    <w:rsid w:val="00B50A39"/>
    <w:rsid w:val="00B53297"/>
    <w:rsid w:val="00B53EE0"/>
    <w:rsid w:val="00B54B07"/>
    <w:rsid w:val="00B56CB0"/>
    <w:rsid w:val="00B603ED"/>
    <w:rsid w:val="00B6691F"/>
    <w:rsid w:val="00B66FFA"/>
    <w:rsid w:val="00B72E4C"/>
    <w:rsid w:val="00B7391F"/>
    <w:rsid w:val="00B76BB6"/>
    <w:rsid w:val="00B76CFE"/>
    <w:rsid w:val="00B77B5F"/>
    <w:rsid w:val="00B8137F"/>
    <w:rsid w:val="00B90DF5"/>
    <w:rsid w:val="00B935C2"/>
    <w:rsid w:val="00BA0663"/>
    <w:rsid w:val="00BB0733"/>
    <w:rsid w:val="00BB6B7E"/>
    <w:rsid w:val="00BC48B5"/>
    <w:rsid w:val="00BC4A27"/>
    <w:rsid w:val="00BC5315"/>
    <w:rsid w:val="00BC5B15"/>
    <w:rsid w:val="00BC67C5"/>
    <w:rsid w:val="00BC6DFE"/>
    <w:rsid w:val="00BD0C4C"/>
    <w:rsid w:val="00BD3920"/>
    <w:rsid w:val="00BD62E4"/>
    <w:rsid w:val="00BD66E5"/>
    <w:rsid w:val="00BD76F6"/>
    <w:rsid w:val="00BD7ABC"/>
    <w:rsid w:val="00BE6EB4"/>
    <w:rsid w:val="00BE7058"/>
    <w:rsid w:val="00BF537C"/>
    <w:rsid w:val="00BF6366"/>
    <w:rsid w:val="00C06434"/>
    <w:rsid w:val="00C071A9"/>
    <w:rsid w:val="00C1127F"/>
    <w:rsid w:val="00C21B5D"/>
    <w:rsid w:val="00C2519B"/>
    <w:rsid w:val="00C26652"/>
    <w:rsid w:val="00C32265"/>
    <w:rsid w:val="00C62A20"/>
    <w:rsid w:val="00C62AAA"/>
    <w:rsid w:val="00C662BD"/>
    <w:rsid w:val="00C67D29"/>
    <w:rsid w:val="00C70764"/>
    <w:rsid w:val="00C71265"/>
    <w:rsid w:val="00C74811"/>
    <w:rsid w:val="00C770D4"/>
    <w:rsid w:val="00C839B2"/>
    <w:rsid w:val="00C84BEB"/>
    <w:rsid w:val="00C86FCB"/>
    <w:rsid w:val="00C92AB8"/>
    <w:rsid w:val="00C971F9"/>
    <w:rsid w:val="00CA2A06"/>
    <w:rsid w:val="00CA2E5E"/>
    <w:rsid w:val="00CA329F"/>
    <w:rsid w:val="00CA4071"/>
    <w:rsid w:val="00CA4EF2"/>
    <w:rsid w:val="00CA77A7"/>
    <w:rsid w:val="00CB03CD"/>
    <w:rsid w:val="00CB21E4"/>
    <w:rsid w:val="00CB74D9"/>
    <w:rsid w:val="00CC7F5B"/>
    <w:rsid w:val="00CD15E9"/>
    <w:rsid w:val="00CD3834"/>
    <w:rsid w:val="00CD4112"/>
    <w:rsid w:val="00CD461C"/>
    <w:rsid w:val="00CE1785"/>
    <w:rsid w:val="00CE44BC"/>
    <w:rsid w:val="00CE7B0B"/>
    <w:rsid w:val="00CE7FFB"/>
    <w:rsid w:val="00CF2B82"/>
    <w:rsid w:val="00CF7FD1"/>
    <w:rsid w:val="00D02BD7"/>
    <w:rsid w:val="00D0314E"/>
    <w:rsid w:val="00D03603"/>
    <w:rsid w:val="00D04052"/>
    <w:rsid w:val="00D04343"/>
    <w:rsid w:val="00D04FD3"/>
    <w:rsid w:val="00D057E3"/>
    <w:rsid w:val="00D1040C"/>
    <w:rsid w:val="00D10C04"/>
    <w:rsid w:val="00D11882"/>
    <w:rsid w:val="00D12F7A"/>
    <w:rsid w:val="00D1593A"/>
    <w:rsid w:val="00D22969"/>
    <w:rsid w:val="00D238BC"/>
    <w:rsid w:val="00D2717D"/>
    <w:rsid w:val="00D374F5"/>
    <w:rsid w:val="00D40731"/>
    <w:rsid w:val="00D471CF"/>
    <w:rsid w:val="00D47EF5"/>
    <w:rsid w:val="00D52571"/>
    <w:rsid w:val="00D555BD"/>
    <w:rsid w:val="00D561C2"/>
    <w:rsid w:val="00D57C48"/>
    <w:rsid w:val="00D61238"/>
    <w:rsid w:val="00D66672"/>
    <w:rsid w:val="00D66A8F"/>
    <w:rsid w:val="00D74A2B"/>
    <w:rsid w:val="00D75431"/>
    <w:rsid w:val="00D77BDF"/>
    <w:rsid w:val="00D829B0"/>
    <w:rsid w:val="00D83D50"/>
    <w:rsid w:val="00D860B4"/>
    <w:rsid w:val="00D865FF"/>
    <w:rsid w:val="00D86DC4"/>
    <w:rsid w:val="00D8720A"/>
    <w:rsid w:val="00D92407"/>
    <w:rsid w:val="00D947DF"/>
    <w:rsid w:val="00DA0763"/>
    <w:rsid w:val="00DA257F"/>
    <w:rsid w:val="00DA4954"/>
    <w:rsid w:val="00DC019C"/>
    <w:rsid w:val="00DC0B78"/>
    <w:rsid w:val="00DC20C0"/>
    <w:rsid w:val="00DC2FFA"/>
    <w:rsid w:val="00DD1C5B"/>
    <w:rsid w:val="00DE70B0"/>
    <w:rsid w:val="00DF5C0C"/>
    <w:rsid w:val="00E05066"/>
    <w:rsid w:val="00E10118"/>
    <w:rsid w:val="00E14A26"/>
    <w:rsid w:val="00E17A88"/>
    <w:rsid w:val="00E22684"/>
    <w:rsid w:val="00E233BA"/>
    <w:rsid w:val="00E2554E"/>
    <w:rsid w:val="00E265EA"/>
    <w:rsid w:val="00E26B53"/>
    <w:rsid w:val="00E27D84"/>
    <w:rsid w:val="00E30582"/>
    <w:rsid w:val="00E3067B"/>
    <w:rsid w:val="00E30DC2"/>
    <w:rsid w:val="00E30E8C"/>
    <w:rsid w:val="00E31644"/>
    <w:rsid w:val="00E356B8"/>
    <w:rsid w:val="00E371E6"/>
    <w:rsid w:val="00E46034"/>
    <w:rsid w:val="00E540BC"/>
    <w:rsid w:val="00E54FD7"/>
    <w:rsid w:val="00E55AFF"/>
    <w:rsid w:val="00E56101"/>
    <w:rsid w:val="00E60EEB"/>
    <w:rsid w:val="00E70DD7"/>
    <w:rsid w:val="00E72249"/>
    <w:rsid w:val="00E7433F"/>
    <w:rsid w:val="00E76DDA"/>
    <w:rsid w:val="00E77024"/>
    <w:rsid w:val="00E8218B"/>
    <w:rsid w:val="00E85816"/>
    <w:rsid w:val="00E87748"/>
    <w:rsid w:val="00E93F06"/>
    <w:rsid w:val="00E954BB"/>
    <w:rsid w:val="00EA42B2"/>
    <w:rsid w:val="00EC70BE"/>
    <w:rsid w:val="00ED307E"/>
    <w:rsid w:val="00ED4AB0"/>
    <w:rsid w:val="00ED5F44"/>
    <w:rsid w:val="00ED6552"/>
    <w:rsid w:val="00EE12A8"/>
    <w:rsid w:val="00EE21C8"/>
    <w:rsid w:val="00EE4F3B"/>
    <w:rsid w:val="00EF4AE1"/>
    <w:rsid w:val="00F0308E"/>
    <w:rsid w:val="00F0376E"/>
    <w:rsid w:val="00F06ACA"/>
    <w:rsid w:val="00F12EAC"/>
    <w:rsid w:val="00F145D6"/>
    <w:rsid w:val="00F15044"/>
    <w:rsid w:val="00F26861"/>
    <w:rsid w:val="00F305C7"/>
    <w:rsid w:val="00F314B2"/>
    <w:rsid w:val="00F33DAC"/>
    <w:rsid w:val="00F407A0"/>
    <w:rsid w:val="00F41791"/>
    <w:rsid w:val="00F4561B"/>
    <w:rsid w:val="00F55174"/>
    <w:rsid w:val="00F60420"/>
    <w:rsid w:val="00F608A1"/>
    <w:rsid w:val="00F61524"/>
    <w:rsid w:val="00F64C42"/>
    <w:rsid w:val="00F7264C"/>
    <w:rsid w:val="00F72866"/>
    <w:rsid w:val="00F72BAD"/>
    <w:rsid w:val="00F72F86"/>
    <w:rsid w:val="00F73895"/>
    <w:rsid w:val="00F7444F"/>
    <w:rsid w:val="00F81985"/>
    <w:rsid w:val="00F82E5B"/>
    <w:rsid w:val="00F845C7"/>
    <w:rsid w:val="00F845EC"/>
    <w:rsid w:val="00F849FC"/>
    <w:rsid w:val="00FA569F"/>
    <w:rsid w:val="00FA64D9"/>
    <w:rsid w:val="00FA65DA"/>
    <w:rsid w:val="00FA7CAE"/>
    <w:rsid w:val="00FB0E4A"/>
    <w:rsid w:val="00FB20B2"/>
    <w:rsid w:val="00FB7E05"/>
    <w:rsid w:val="00FC22B3"/>
    <w:rsid w:val="00FD0B6E"/>
    <w:rsid w:val="00FD2BA8"/>
    <w:rsid w:val="00FD447A"/>
    <w:rsid w:val="00FF736C"/>
    <w:rsid w:val="0173ABAB"/>
    <w:rsid w:val="03919284"/>
    <w:rsid w:val="05FBA194"/>
    <w:rsid w:val="08462185"/>
    <w:rsid w:val="0A3AD9D8"/>
    <w:rsid w:val="0F86E406"/>
    <w:rsid w:val="123A95CF"/>
    <w:rsid w:val="13C9E8A5"/>
    <w:rsid w:val="1906F5DA"/>
    <w:rsid w:val="1941FA11"/>
    <w:rsid w:val="1A604388"/>
    <w:rsid w:val="1CFCF14D"/>
    <w:rsid w:val="1DB8A7C7"/>
    <w:rsid w:val="2559E5E8"/>
    <w:rsid w:val="261F2CF2"/>
    <w:rsid w:val="274A5690"/>
    <w:rsid w:val="2A0AB0CE"/>
    <w:rsid w:val="2BB114E7"/>
    <w:rsid w:val="2FF3999A"/>
    <w:rsid w:val="30AE7489"/>
    <w:rsid w:val="36BB35F2"/>
    <w:rsid w:val="3788F2C1"/>
    <w:rsid w:val="37A5271A"/>
    <w:rsid w:val="3AE34C41"/>
    <w:rsid w:val="3D79AA19"/>
    <w:rsid w:val="3E2982F4"/>
    <w:rsid w:val="3FF7B9B3"/>
    <w:rsid w:val="40E034AD"/>
    <w:rsid w:val="41FA368C"/>
    <w:rsid w:val="434A019F"/>
    <w:rsid w:val="43B44AF7"/>
    <w:rsid w:val="43D97AAF"/>
    <w:rsid w:val="4402D2D0"/>
    <w:rsid w:val="448D46C1"/>
    <w:rsid w:val="46A49011"/>
    <w:rsid w:val="4791E802"/>
    <w:rsid w:val="4A8B3A40"/>
    <w:rsid w:val="4BED8582"/>
    <w:rsid w:val="4C0532A5"/>
    <w:rsid w:val="4D920234"/>
    <w:rsid w:val="50FB6D4B"/>
    <w:rsid w:val="513A4F54"/>
    <w:rsid w:val="51684CE8"/>
    <w:rsid w:val="51709F15"/>
    <w:rsid w:val="536434D3"/>
    <w:rsid w:val="5612A66D"/>
    <w:rsid w:val="57F66DAD"/>
    <w:rsid w:val="58ED17DC"/>
    <w:rsid w:val="594D1FE1"/>
    <w:rsid w:val="5992390D"/>
    <w:rsid w:val="59D134DA"/>
    <w:rsid w:val="5ACB6755"/>
    <w:rsid w:val="5E519000"/>
    <w:rsid w:val="609E4676"/>
    <w:rsid w:val="6561F3B3"/>
    <w:rsid w:val="65D43C39"/>
    <w:rsid w:val="671F3E59"/>
    <w:rsid w:val="686557C3"/>
    <w:rsid w:val="6948C520"/>
    <w:rsid w:val="6BDB5EDF"/>
    <w:rsid w:val="6C796ADE"/>
    <w:rsid w:val="6CFF3B50"/>
    <w:rsid w:val="6D31B704"/>
    <w:rsid w:val="6D85D4BD"/>
    <w:rsid w:val="6D959AFD"/>
    <w:rsid w:val="6E34D82F"/>
    <w:rsid w:val="6FD05B7E"/>
    <w:rsid w:val="736F7FA8"/>
    <w:rsid w:val="759274BE"/>
    <w:rsid w:val="7C885540"/>
    <w:rsid w:val="7D777E31"/>
    <w:rsid w:val="7E8726EB"/>
    <w:rsid w:val="7F2A9A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E1E72A"/>
  <w15:docId w15:val="{A8E1E95A-52D8-41D7-92CD-B6C5AFBF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19B"/>
    <w:rPr>
      <w:sz w:val="22"/>
      <w:szCs w:val="24"/>
    </w:rPr>
  </w:style>
  <w:style w:type="paragraph" w:styleId="Heading1">
    <w:name w:val="heading 1"/>
    <w:basedOn w:val="Normal"/>
    <w:next w:val="Normal"/>
    <w:link w:val="Heading1Char"/>
    <w:qFormat/>
    <w:rsid w:val="00F72BAD"/>
    <w:pPr>
      <w:keepNext/>
      <w:widowControl w:val="0"/>
      <w:autoSpaceDE w:val="0"/>
      <w:autoSpaceDN w:val="0"/>
      <w:adjustRightInd w:val="0"/>
      <w:outlineLvl w:val="0"/>
    </w:pPr>
    <w:rPr>
      <w:b/>
      <w:bCs/>
      <w:sz w:val="24"/>
    </w:rPr>
  </w:style>
  <w:style w:type="paragraph" w:styleId="Heading2">
    <w:name w:val="heading 2"/>
    <w:basedOn w:val="Normal"/>
    <w:next w:val="Normal"/>
    <w:link w:val="Heading2Char"/>
    <w:qFormat/>
    <w:rsid w:val="00F72BAD"/>
    <w:pPr>
      <w:keepNext/>
      <w:tabs>
        <w:tab w:val="left" w:pos="720"/>
        <w:tab w:val="left" w:pos="1440"/>
        <w:tab w:val="left" w:pos="2160"/>
      </w:tabs>
      <w:ind w:left="2880" w:hanging="2160"/>
      <w:outlineLvl w:val="1"/>
    </w:pPr>
    <w:rPr>
      <w:b/>
      <w:bCs/>
      <w:sz w:val="24"/>
    </w:rPr>
  </w:style>
  <w:style w:type="paragraph" w:styleId="Heading7">
    <w:name w:val="heading 7"/>
    <w:basedOn w:val="Normal"/>
    <w:next w:val="Normal"/>
    <w:qFormat/>
    <w:rsid w:val="00F72BAD"/>
    <w:pPr>
      <w:keepNext/>
      <w:outlineLvl w:val="6"/>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BAD"/>
    <w:rPr>
      <w:b/>
      <w:bCs/>
      <w:sz w:val="24"/>
      <w:szCs w:val="24"/>
      <w:lang w:val="en-US" w:eastAsia="en-US" w:bidi="ar-SA"/>
    </w:rPr>
  </w:style>
  <w:style w:type="paragraph" w:customStyle="1" w:styleId="QuickFormat">
    <w:name w:val="QuickFormat:"/>
    <w:rsid w:val="00F72BAD"/>
    <w:pPr>
      <w:widowControl w:val="0"/>
      <w:autoSpaceDE w:val="0"/>
      <w:autoSpaceDN w:val="0"/>
      <w:adjustRightInd w:val="0"/>
    </w:pPr>
    <w:rPr>
      <w:rFonts w:ascii="Courier" w:hAnsi="Courier"/>
      <w:sz w:val="24"/>
      <w:szCs w:val="24"/>
    </w:rPr>
  </w:style>
  <w:style w:type="character" w:customStyle="1" w:styleId="AbtHeadE">
    <w:name w:val="AbtHead E"/>
    <w:rsid w:val="00F72BAD"/>
    <w:rPr>
      <w:rFonts w:ascii="Arial" w:hAnsi="Arial" w:cs="Arial"/>
      <w:sz w:val="20"/>
      <w:szCs w:val="20"/>
    </w:rPr>
  </w:style>
  <w:style w:type="character" w:customStyle="1" w:styleId="QuickFormat9">
    <w:name w:val="QuickFormat9"/>
    <w:rsid w:val="00F72BAD"/>
    <w:rPr>
      <w:sz w:val="22"/>
      <w:szCs w:val="22"/>
    </w:rPr>
  </w:style>
  <w:style w:type="paragraph" w:styleId="BodyText">
    <w:name w:val="Body Text"/>
    <w:aliases w:val="Body Text Char Char,Body Text Char Char Char Char,Body Text Char Char1,Body Text Char1,Body Text Char1 Char Char"/>
    <w:basedOn w:val="Normal"/>
    <w:link w:val="BodyTextChar"/>
    <w:rsid w:val="00F72BAD"/>
    <w:rPr>
      <w:sz w:val="20"/>
    </w:rPr>
  </w:style>
  <w:style w:type="character" w:customStyle="1" w:styleId="BodyTextChar">
    <w:name w:val="Body Text Char"/>
    <w:aliases w:val="Body Text Char Char Char,Body Text Char Char Char Char Char,Body Text Char Char1 Char,Body Text Char1 Char,Body Text Char1 Char Char Char"/>
    <w:basedOn w:val="DefaultParagraphFont"/>
    <w:link w:val="BodyText"/>
    <w:rsid w:val="00F72BAD"/>
    <w:rPr>
      <w:szCs w:val="24"/>
      <w:lang w:val="en-US" w:eastAsia="en-US" w:bidi="ar-SA"/>
    </w:rPr>
  </w:style>
  <w:style w:type="paragraph" w:styleId="List2">
    <w:name w:val="List 2"/>
    <w:basedOn w:val="Normal"/>
    <w:rsid w:val="00F72BAD"/>
    <w:pPr>
      <w:ind w:left="720" w:hanging="360"/>
    </w:pPr>
    <w:rPr>
      <w:rFonts w:ascii="Arial" w:hAnsi="Arial"/>
      <w:sz w:val="20"/>
      <w:szCs w:val="20"/>
    </w:rPr>
  </w:style>
  <w:style w:type="paragraph" w:customStyle="1" w:styleId="ReturnAddress">
    <w:name w:val="Return Address"/>
    <w:basedOn w:val="Normal"/>
    <w:rsid w:val="00F72BAD"/>
    <w:rPr>
      <w:rFonts w:ascii="Arial" w:hAnsi="Arial"/>
      <w:sz w:val="20"/>
      <w:szCs w:val="20"/>
    </w:rPr>
  </w:style>
  <w:style w:type="paragraph" w:customStyle="1" w:styleId="a">
    <w:name w:val="_"/>
    <w:rsid w:val="00F72BAD"/>
    <w:pPr>
      <w:widowControl w:val="0"/>
      <w:autoSpaceDE w:val="0"/>
      <w:autoSpaceDN w:val="0"/>
      <w:adjustRightInd w:val="0"/>
      <w:ind w:left="-1440"/>
      <w:jc w:val="both"/>
    </w:pPr>
    <w:rPr>
      <w:sz w:val="24"/>
      <w:szCs w:val="24"/>
    </w:rPr>
  </w:style>
  <w:style w:type="character" w:styleId="Hyperlink">
    <w:name w:val="Hyperlink"/>
    <w:basedOn w:val="DefaultParagraphFont"/>
    <w:uiPriority w:val="99"/>
    <w:rsid w:val="00F72BAD"/>
    <w:rPr>
      <w:color w:val="0000A0"/>
      <w:u w:val="single"/>
    </w:rPr>
  </w:style>
  <w:style w:type="paragraph" w:styleId="TOC3">
    <w:name w:val="toc 3"/>
    <w:basedOn w:val="Normal"/>
    <w:next w:val="Normal"/>
    <w:autoRedefine/>
    <w:semiHidden/>
    <w:rsid w:val="00F72BAD"/>
    <w:pPr>
      <w:ind w:left="440"/>
    </w:pPr>
  </w:style>
  <w:style w:type="paragraph" w:styleId="FootnoteText">
    <w:name w:val="footnote text"/>
    <w:basedOn w:val="Normal"/>
    <w:semiHidden/>
    <w:rsid w:val="00F72BAD"/>
    <w:rPr>
      <w:sz w:val="20"/>
      <w:szCs w:val="20"/>
    </w:rPr>
  </w:style>
  <w:style w:type="character" w:styleId="FootnoteReference">
    <w:name w:val="footnote reference"/>
    <w:basedOn w:val="DefaultParagraphFont"/>
    <w:semiHidden/>
    <w:rsid w:val="00F72BAD"/>
    <w:rPr>
      <w:vertAlign w:val="superscript"/>
    </w:rPr>
  </w:style>
  <w:style w:type="paragraph" w:styleId="Footer">
    <w:name w:val="footer"/>
    <w:basedOn w:val="Normal"/>
    <w:rsid w:val="00042542"/>
    <w:pPr>
      <w:tabs>
        <w:tab w:val="center" w:pos="4320"/>
        <w:tab w:val="right" w:pos="8640"/>
      </w:tabs>
    </w:pPr>
  </w:style>
  <w:style w:type="character" w:styleId="PageNumber">
    <w:name w:val="page number"/>
    <w:basedOn w:val="DefaultParagraphFont"/>
    <w:rsid w:val="00042542"/>
  </w:style>
  <w:style w:type="paragraph" w:styleId="DocumentMap">
    <w:name w:val="Document Map"/>
    <w:basedOn w:val="Normal"/>
    <w:semiHidden/>
    <w:rsid w:val="00E26B53"/>
    <w:pPr>
      <w:shd w:val="clear" w:color="auto" w:fill="000080"/>
    </w:pPr>
    <w:rPr>
      <w:rFonts w:ascii="Tahoma" w:hAnsi="Tahoma" w:cs="Tahoma"/>
      <w:sz w:val="20"/>
      <w:szCs w:val="20"/>
    </w:rPr>
  </w:style>
  <w:style w:type="table" w:styleId="TableGrid">
    <w:name w:val="Table Grid"/>
    <w:basedOn w:val="TableNormal"/>
    <w:rsid w:val="00B000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65470"/>
    <w:pPr>
      <w:tabs>
        <w:tab w:val="center" w:pos="4680"/>
        <w:tab w:val="right" w:pos="9360"/>
      </w:tabs>
    </w:pPr>
  </w:style>
  <w:style w:type="character" w:customStyle="1" w:styleId="HeaderChar">
    <w:name w:val="Header Char"/>
    <w:basedOn w:val="DefaultParagraphFont"/>
    <w:link w:val="Header"/>
    <w:rsid w:val="00565470"/>
    <w:rPr>
      <w:sz w:val="22"/>
      <w:szCs w:val="24"/>
    </w:rPr>
  </w:style>
  <w:style w:type="paragraph" w:customStyle="1" w:styleId="Default">
    <w:name w:val="Default"/>
    <w:rsid w:val="00936A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F537C"/>
    <w:pPr>
      <w:ind w:left="720"/>
      <w:contextualSpacing/>
    </w:pPr>
  </w:style>
  <w:style w:type="character" w:styleId="CommentReference">
    <w:name w:val="annotation reference"/>
    <w:basedOn w:val="DefaultParagraphFont"/>
    <w:rsid w:val="009A7542"/>
    <w:rPr>
      <w:sz w:val="16"/>
      <w:szCs w:val="16"/>
    </w:rPr>
  </w:style>
  <w:style w:type="paragraph" w:styleId="CommentText">
    <w:name w:val="annotation text"/>
    <w:basedOn w:val="Normal"/>
    <w:link w:val="CommentTextChar"/>
    <w:rsid w:val="009A7542"/>
    <w:rPr>
      <w:sz w:val="20"/>
      <w:szCs w:val="20"/>
    </w:rPr>
  </w:style>
  <w:style w:type="character" w:customStyle="1" w:styleId="CommentTextChar">
    <w:name w:val="Comment Text Char"/>
    <w:basedOn w:val="DefaultParagraphFont"/>
    <w:link w:val="CommentText"/>
    <w:rsid w:val="009A7542"/>
  </w:style>
  <w:style w:type="paragraph" w:styleId="CommentSubject">
    <w:name w:val="annotation subject"/>
    <w:basedOn w:val="CommentText"/>
    <w:next w:val="CommentText"/>
    <w:link w:val="CommentSubjectChar"/>
    <w:rsid w:val="009A7542"/>
    <w:rPr>
      <w:b/>
      <w:bCs/>
    </w:rPr>
  </w:style>
  <w:style w:type="character" w:customStyle="1" w:styleId="CommentSubjectChar">
    <w:name w:val="Comment Subject Char"/>
    <w:basedOn w:val="CommentTextChar"/>
    <w:link w:val="CommentSubject"/>
    <w:rsid w:val="009A7542"/>
    <w:rPr>
      <w:b/>
      <w:bCs/>
    </w:rPr>
  </w:style>
  <w:style w:type="paragraph" w:styleId="BalloonText">
    <w:name w:val="Balloon Text"/>
    <w:basedOn w:val="Normal"/>
    <w:link w:val="BalloonTextChar"/>
    <w:rsid w:val="009A7542"/>
    <w:rPr>
      <w:rFonts w:ascii="Tahoma" w:hAnsi="Tahoma" w:cs="Tahoma"/>
      <w:sz w:val="16"/>
      <w:szCs w:val="16"/>
    </w:rPr>
  </w:style>
  <w:style w:type="character" w:customStyle="1" w:styleId="BalloonTextChar">
    <w:name w:val="Balloon Text Char"/>
    <w:basedOn w:val="DefaultParagraphFont"/>
    <w:link w:val="BalloonText"/>
    <w:rsid w:val="009A7542"/>
    <w:rPr>
      <w:rFonts w:ascii="Tahoma" w:hAnsi="Tahoma" w:cs="Tahoma"/>
      <w:sz w:val="16"/>
      <w:szCs w:val="16"/>
    </w:rPr>
  </w:style>
  <w:style w:type="paragraph" w:styleId="Revision">
    <w:name w:val="Revision"/>
    <w:hidden/>
    <w:uiPriority w:val="99"/>
    <w:semiHidden/>
    <w:rsid w:val="00132800"/>
    <w:rPr>
      <w:sz w:val="22"/>
      <w:szCs w:val="24"/>
    </w:rPr>
  </w:style>
  <w:style w:type="character" w:customStyle="1" w:styleId="Heading1Char">
    <w:name w:val="Heading 1 Char"/>
    <w:basedOn w:val="DefaultParagraphFont"/>
    <w:link w:val="Heading1"/>
    <w:uiPriority w:val="1"/>
    <w:rsid w:val="005D0F74"/>
    <w:rPr>
      <w:b/>
      <w:bCs/>
      <w:sz w:val="24"/>
      <w:szCs w:val="24"/>
    </w:rPr>
  </w:style>
  <w:style w:type="character" w:styleId="UnresolvedMention">
    <w:name w:val="Unresolved Mention"/>
    <w:basedOn w:val="DefaultParagraphFont"/>
    <w:uiPriority w:val="99"/>
    <w:semiHidden/>
    <w:unhideWhenUsed/>
    <w:rsid w:val="00AD02F9"/>
    <w:rPr>
      <w:color w:val="605E5C"/>
      <w:shd w:val="clear" w:color="auto" w:fill="E1DFDD"/>
    </w:rPr>
  </w:style>
  <w:style w:type="paragraph" w:customStyle="1" w:styleId="paragraph">
    <w:name w:val="paragraph"/>
    <w:basedOn w:val="Normal"/>
    <w:rsid w:val="006E00D7"/>
    <w:pPr>
      <w:spacing w:before="100" w:beforeAutospacing="1" w:after="100" w:afterAutospacing="1"/>
    </w:pPr>
    <w:rPr>
      <w:sz w:val="24"/>
    </w:rPr>
  </w:style>
  <w:style w:type="character" w:customStyle="1" w:styleId="normaltextrun">
    <w:name w:val="normaltextrun"/>
    <w:basedOn w:val="DefaultParagraphFont"/>
    <w:rsid w:val="006E00D7"/>
  </w:style>
  <w:style w:type="character" w:customStyle="1" w:styleId="eop">
    <w:name w:val="eop"/>
    <w:basedOn w:val="DefaultParagraphFont"/>
    <w:rsid w:val="006E00D7"/>
  </w:style>
  <w:style w:type="paragraph" w:styleId="TOCHeading">
    <w:name w:val="TOC Heading"/>
    <w:basedOn w:val="Heading1"/>
    <w:next w:val="Normal"/>
    <w:uiPriority w:val="39"/>
    <w:unhideWhenUsed/>
    <w:qFormat/>
    <w:rsid w:val="00C770D4"/>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C770D4"/>
    <w:pPr>
      <w:tabs>
        <w:tab w:val="right" w:leader="dot" w:pos="8630"/>
      </w:tabs>
      <w:spacing w:after="100"/>
      <w:ind w:left="360" w:hanging="360"/>
    </w:pPr>
  </w:style>
  <w:style w:type="paragraph" w:styleId="BlockText">
    <w:name w:val="Block Text"/>
    <w:basedOn w:val="Normal"/>
    <w:rsid w:val="00C71265"/>
    <w:pPr>
      <w:spacing w:after="120"/>
      <w:ind w:left="1440" w:righ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Woodwell@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AA29431A8DA49804376CA5319AE7A" ma:contentTypeVersion="4" ma:contentTypeDescription="Create a new document." ma:contentTypeScope="" ma:versionID="0efa9b0b5231487dd80b35bd34f718e5">
  <xsd:schema xmlns:xsd="http://www.w3.org/2001/XMLSchema" xmlns:xs="http://www.w3.org/2001/XMLSchema" xmlns:p="http://schemas.microsoft.com/office/2006/metadata/properties" xmlns:ns2="1cb68687-f496-4db3-b5bd-c41440381a4a" xmlns:ns3="bd64ead2-f373-4c38-be2a-defab1dc671f" targetNamespace="http://schemas.microsoft.com/office/2006/metadata/properties" ma:root="true" ma:fieldsID="8e6b1f28d1779f572f3988e354a54102" ns2:_="" ns3:_="">
    <xsd:import namespace="1cb68687-f496-4db3-b5bd-c41440381a4a"/>
    <xsd:import namespace="bd64ead2-f373-4c38-be2a-defab1dc6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68687-f496-4db3-b5bd-c41440381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64ead2-f373-4c38-be2a-defab1dc6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64ead2-f373-4c38-be2a-defab1dc671f">
      <UserInfo>
        <DisplayName>Woodwell, David A. (CDC/DDPHSS/NCHS/DHNES)</DisplayName>
        <AccountId>14</AccountId>
        <AccountType/>
      </UserInfo>
      <UserInfo>
        <DisplayName>Ogburn, Damon (CDC/DDPHSS/NCHS/DHNES)</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82D4-0B2E-44C9-96D4-72192C59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68687-f496-4db3-b5bd-c41440381a4a"/>
    <ds:schemaRef ds:uri="bd64ead2-f373-4c38-be2a-defab1dc6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46914-7D21-4A2F-8EC9-85C54A02FAEA}">
  <ds:schemaRefs>
    <ds:schemaRef ds:uri="http://schemas.microsoft.com/sharepoint/v3/contenttype/forms"/>
  </ds:schemaRefs>
</ds:datastoreItem>
</file>

<file path=customXml/itemProps3.xml><?xml version="1.0" encoding="utf-8"?>
<ds:datastoreItem xmlns:ds="http://schemas.openxmlformats.org/officeDocument/2006/customXml" ds:itemID="{BD4B1D5B-0784-4232-910E-4040D2D9D8EF}">
  <ds:schemaRefs>
    <ds:schemaRef ds:uri="http://schemas.microsoft.com/office/2006/metadata/properties"/>
    <ds:schemaRef ds:uri="http://schemas.microsoft.com/office/infopath/2007/PartnerControls"/>
    <ds:schemaRef ds:uri="bd64ead2-f373-4c38-be2a-defab1dc671f"/>
  </ds:schemaRefs>
</ds:datastoreItem>
</file>

<file path=customXml/itemProps4.xml><?xml version="1.0" encoding="utf-8"?>
<ds:datastoreItem xmlns:ds="http://schemas.openxmlformats.org/officeDocument/2006/customXml" ds:itemID="{6DB9E45A-5DA4-4D25-902B-79CFEF85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Ogburn, Damon (CDC/IOD/OPHDST/NCHS)</dc:creator>
  <cp:lastModifiedBy>Ogburn, Damon (CDC/IOD/OPHDST/NCHS)</cp:lastModifiedBy>
  <cp:revision>3</cp:revision>
  <dcterms:created xsi:type="dcterms:W3CDTF">2024-10-31T15:25:00Z</dcterms:created>
  <dcterms:modified xsi:type="dcterms:W3CDTF">2024-10-31T15:25:00Z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0x010100CFDAA29431A8DA49804376CA5319AE7A</vt:lpwstr>
  </property>
  <property fmtid="{D5CDD505-2E9C-101B-9397-08002B2CF9AE}" pid="3" name="MSIP_Label_8af03ff0-41c5-4c41-b55e-fabb8fae94be_ActionId">
    <vt:lpwstr>ef52c2c6-d2dd-41e9-b3e3-2c1e6d30aa03</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2022-11-14T18:04:27Z</vt:lpwstr>
  </property>
  <property fmtid="{D5CDD505-2E9C-101B-9397-08002B2CF9AE}" pid="9" name="MSIP_Label_8af03ff0-41c5-4c41-b55e-fabb8fae94be_SiteId">
    <vt:lpwstr>9ce70869-60db-44fd-abe8-d2767077fc8f</vt:lpwstr>
  </property>
</Properties>
</file>