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5680D" w:rsidRPr="00296EA3" w:rsidP="0005680D" w14:paraId="7B098020" w14:textId="4349E91E">
      <w:pPr>
        <w:tabs>
          <w:tab w:val="left" w:pos="1080"/>
        </w:tabs>
        <w:ind w:left="1080" w:hanging="1080"/>
        <w:rPr>
          <w:sz w:val="22"/>
          <w:szCs w:val="22"/>
        </w:rPr>
      </w:pPr>
      <w:r w:rsidRPr="00296EA3">
        <w:rPr>
          <w:b/>
          <w:bCs/>
          <w:sz w:val="22"/>
          <w:szCs w:val="22"/>
        </w:rPr>
        <w:t>To:</w:t>
      </w:r>
      <w:r w:rsidRPr="00296EA3">
        <w:rPr>
          <w:sz w:val="22"/>
          <w:szCs w:val="22"/>
        </w:rPr>
        <w:tab/>
      </w:r>
      <w:r w:rsidR="003E0B10">
        <w:rPr>
          <w:sz w:val="22"/>
          <w:szCs w:val="22"/>
        </w:rPr>
        <w:t>Joshua Brammer</w:t>
      </w:r>
    </w:p>
    <w:p w:rsidR="0005680D" w:rsidRPr="00296EA3" w:rsidP="0005680D" w14:paraId="36853E0B" w14:textId="77777777">
      <w:pPr>
        <w:tabs>
          <w:tab w:val="left" w:pos="1080"/>
        </w:tabs>
        <w:ind w:left="1080" w:hanging="1080"/>
        <w:rPr>
          <w:sz w:val="22"/>
          <w:szCs w:val="22"/>
        </w:rPr>
      </w:pPr>
      <w:r w:rsidRPr="00296EA3">
        <w:rPr>
          <w:b/>
          <w:bCs/>
          <w:sz w:val="22"/>
          <w:szCs w:val="22"/>
        </w:rPr>
        <w:tab/>
      </w:r>
      <w:r w:rsidRPr="00296EA3">
        <w:rPr>
          <w:sz w:val="22"/>
          <w:szCs w:val="22"/>
        </w:rPr>
        <w:t>Office of Information and Regulatory Affairs (OIRA)</w:t>
      </w:r>
    </w:p>
    <w:p w:rsidR="0005680D" w:rsidRPr="00296EA3" w:rsidP="0005680D" w14:paraId="30A9ED8F" w14:textId="77777777">
      <w:pPr>
        <w:tabs>
          <w:tab w:val="left" w:pos="1080"/>
        </w:tabs>
        <w:ind w:left="1080" w:hanging="1080"/>
        <w:rPr>
          <w:sz w:val="22"/>
          <w:szCs w:val="22"/>
        </w:rPr>
      </w:pPr>
      <w:r w:rsidRPr="00296EA3">
        <w:rPr>
          <w:sz w:val="22"/>
          <w:szCs w:val="22"/>
        </w:rPr>
        <w:tab/>
        <w:t>Office of Management and Budget (OMB)</w:t>
      </w:r>
    </w:p>
    <w:p w:rsidR="0005680D" w:rsidRPr="00296EA3" w:rsidP="0005680D" w14:paraId="020B5E52" w14:textId="77777777">
      <w:pPr>
        <w:tabs>
          <w:tab w:val="left" w:pos="1080"/>
        </w:tabs>
        <w:ind w:left="1080" w:hanging="1080"/>
        <w:rPr>
          <w:sz w:val="22"/>
          <w:szCs w:val="22"/>
        </w:rPr>
      </w:pPr>
    </w:p>
    <w:p w:rsidR="0005680D" w:rsidRPr="00296EA3" w:rsidP="0005680D" w14:paraId="092E1B53" w14:textId="4C1FB49A">
      <w:pPr>
        <w:tabs>
          <w:tab w:val="left" w:pos="1080"/>
        </w:tabs>
        <w:ind w:left="1080" w:hanging="1080"/>
        <w:rPr>
          <w:sz w:val="22"/>
          <w:szCs w:val="22"/>
        </w:rPr>
      </w:pPr>
      <w:r w:rsidRPr="00296EA3">
        <w:rPr>
          <w:b/>
          <w:bCs/>
          <w:sz w:val="22"/>
          <w:szCs w:val="22"/>
        </w:rPr>
        <w:t>From:</w:t>
      </w:r>
      <w:r w:rsidRPr="00296EA3">
        <w:rPr>
          <w:sz w:val="22"/>
          <w:szCs w:val="22"/>
        </w:rPr>
        <w:tab/>
      </w:r>
      <w:r w:rsidRPr="00296EA3" w:rsidR="00C162C9">
        <w:rPr>
          <w:sz w:val="22"/>
          <w:szCs w:val="22"/>
        </w:rPr>
        <w:t>Leslie Wagstaffe</w:t>
      </w:r>
    </w:p>
    <w:p w:rsidR="0005680D" w:rsidRPr="00296EA3" w:rsidP="003777EB" w14:paraId="15ABAFDA" w14:textId="4E25C5F7">
      <w:pPr>
        <w:tabs>
          <w:tab w:val="left" w:pos="1080"/>
        </w:tabs>
        <w:ind w:left="1080" w:hanging="1080"/>
        <w:rPr>
          <w:sz w:val="22"/>
          <w:szCs w:val="22"/>
          <w:highlight w:val="green"/>
        </w:rPr>
      </w:pPr>
      <w:r w:rsidRPr="00296EA3">
        <w:rPr>
          <w:b/>
          <w:bCs/>
          <w:sz w:val="22"/>
          <w:szCs w:val="22"/>
        </w:rPr>
        <w:tab/>
      </w:r>
      <w:r w:rsidRPr="00296EA3" w:rsidR="003777EB">
        <w:rPr>
          <w:sz w:val="22"/>
          <w:szCs w:val="22"/>
        </w:rPr>
        <w:t xml:space="preserve">Center for Consumer Information and Insurance Oversight </w:t>
      </w:r>
    </w:p>
    <w:p w:rsidR="003777EB" w:rsidRPr="00296EA3" w:rsidP="003777EB" w14:paraId="1A286A00" w14:textId="305417FA">
      <w:pPr>
        <w:tabs>
          <w:tab w:val="left" w:pos="1080"/>
        </w:tabs>
        <w:ind w:left="1080" w:hanging="1080"/>
        <w:rPr>
          <w:sz w:val="22"/>
          <w:szCs w:val="22"/>
        </w:rPr>
      </w:pPr>
      <w:r w:rsidRPr="00296EA3">
        <w:rPr>
          <w:sz w:val="22"/>
          <w:szCs w:val="22"/>
        </w:rPr>
        <w:tab/>
        <w:t>Centers for Medicare &amp; Medicaid Services</w:t>
      </w:r>
    </w:p>
    <w:p w:rsidR="0005680D" w:rsidRPr="00296EA3" w:rsidP="0005680D" w14:paraId="7685F2B8" w14:textId="77777777">
      <w:pPr>
        <w:tabs>
          <w:tab w:val="left" w:pos="1080"/>
        </w:tabs>
        <w:ind w:left="1080" w:hanging="1080"/>
        <w:rPr>
          <w:sz w:val="22"/>
          <w:szCs w:val="22"/>
        </w:rPr>
      </w:pPr>
    </w:p>
    <w:p w:rsidR="0005680D" w:rsidRPr="00296EA3" w:rsidP="0005680D" w14:paraId="0BBD6359" w14:textId="2FF0FF39">
      <w:pPr>
        <w:tabs>
          <w:tab w:val="left" w:pos="1080"/>
        </w:tabs>
        <w:rPr>
          <w:sz w:val="22"/>
          <w:szCs w:val="22"/>
        </w:rPr>
      </w:pPr>
      <w:r w:rsidRPr="00296EA3">
        <w:rPr>
          <w:b/>
          <w:bCs/>
          <w:sz w:val="22"/>
          <w:szCs w:val="22"/>
        </w:rPr>
        <w:t>Date:</w:t>
      </w:r>
      <w:r w:rsidRPr="00296EA3">
        <w:rPr>
          <w:sz w:val="22"/>
          <w:szCs w:val="22"/>
        </w:rPr>
        <w:tab/>
      </w:r>
      <w:r w:rsidRPr="00296EA3" w:rsidR="00C162C9">
        <w:rPr>
          <w:sz w:val="22"/>
          <w:szCs w:val="22"/>
        </w:rPr>
        <w:t xml:space="preserve">March </w:t>
      </w:r>
      <w:r w:rsidR="003E0B10">
        <w:rPr>
          <w:sz w:val="22"/>
          <w:szCs w:val="22"/>
        </w:rPr>
        <w:t>21</w:t>
      </w:r>
      <w:bookmarkStart w:id="0" w:name="_GoBack"/>
      <w:bookmarkEnd w:id="0"/>
      <w:r w:rsidRPr="00296EA3" w:rsidR="00C162C9">
        <w:rPr>
          <w:sz w:val="22"/>
          <w:szCs w:val="22"/>
        </w:rPr>
        <w:t>, 2023</w:t>
      </w:r>
    </w:p>
    <w:p w:rsidR="0005680D" w:rsidRPr="00296EA3" w:rsidP="0005680D" w14:paraId="7B991363" w14:textId="77777777">
      <w:pPr>
        <w:tabs>
          <w:tab w:val="left" w:pos="1080"/>
        </w:tabs>
        <w:rPr>
          <w:sz w:val="22"/>
          <w:szCs w:val="22"/>
        </w:rPr>
      </w:pPr>
    </w:p>
    <w:p w:rsidR="0005680D" w:rsidRPr="00296EA3" w:rsidP="0005680D" w14:paraId="3A89B6CD" w14:textId="0F8011CB">
      <w:pPr>
        <w:pBdr>
          <w:bottom w:val="single" w:sz="12" w:space="1" w:color="auto"/>
        </w:pBdr>
        <w:tabs>
          <w:tab w:val="left" w:pos="1080"/>
        </w:tabs>
        <w:ind w:left="1080" w:hanging="1080"/>
        <w:rPr>
          <w:sz w:val="22"/>
          <w:szCs w:val="22"/>
        </w:rPr>
      </w:pPr>
      <w:r w:rsidRPr="00296EA3">
        <w:rPr>
          <w:b/>
          <w:bCs/>
          <w:sz w:val="22"/>
          <w:szCs w:val="22"/>
        </w:rPr>
        <w:t>Subject:</w:t>
      </w:r>
      <w:r w:rsidRPr="00296EA3">
        <w:rPr>
          <w:sz w:val="22"/>
          <w:szCs w:val="22"/>
        </w:rPr>
        <w:tab/>
        <w:t>Non</w:t>
      </w:r>
      <w:r w:rsidRPr="00296EA3" w:rsidR="009759BB">
        <w:rPr>
          <w:sz w:val="22"/>
          <w:szCs w:val="22"/>
        </w:rPr>
        <w:t>-</w:t>
      </w:r>
      <w:r w:rsidRPr="00296EA3">
        <w:rPr>
          <w:sz w:val="22"/>
          <w:szCs w:val="22"/>
        </w:rPr>
        <w:t xml:space="preserve">Substantive Change Request – </w:t>
      </w:r>
      <w:r w:rsidRPr="00296EA3" w:rsidR="00B3081D">
        <w:rPr>
          <w:rFonts w:eastAsiaTheme="minorHAnsi"/>
          <w:kern w:val="0"/>
          <w:sz w:val="22"/>
          <w:szCs w:val="22"/>
        </w:rPr>
        <w:t xml:space="preserve">Requirements Related to Surprise Billing; Part II </w:t>
      </w:r>
    </w:p>
    <w:p w:rsidR="0005680D" w:rsidRPr="00296EA3" w:rsidP="0005680D" w14:paraId="5036976F" w14:textId="77777777">
      <w:pPr>
        <w:pBdr>
          <w:bottom w:val="single" w:sz="12" w:space="1" w:color="auto"/>
        </w:pBdr>
        <w:tabs>
          <w:tab w:val="left" w:pos="1080"/>
        </w:tabs>
        <w:ind w:left="1080" w:hanging="1080"/>
        <w:rPr>
          <w:sz w:val="22"/>
          <w:szCs w:val="22"/>
        </w:rPr>
      </w:pPr>
    </w:p>
    <w:p w:rsidR="0005680D" w:rsidRPr="00296EA3" w:rsidP="0005680D" w14:paraId="595C69AB" w14:textId="77777777">
      <w:pPr>
        <w:tabs>
          <w:tab w:val="left" w:pos="1080"/>
        </w:tabs>
        <w:ind w:left="1080" w:hanging="1080"/>
        <w:rPr>
          <w:sz w:val="22"/>
          <w:szCs w:val="22"/>
        </w:rPr>
      </w:pPr>
    </w:p>
    <w:p w:rsidR="00E525D4" w:rsidRPr="00296EA3" w:rsidP="0005680D" w14:paraId="494EB7FC" w14:textId="304FBE84">
      <w:pPr>
        <w:rPr>
          <w:sz w:val="22"/>
          <w:szCs w:val="22"/>
        </w:rPr>
      </w:pPr>
      <w:r w:rsidRPr="00296EA3">
        <w:rPr>
          <w:sz w:val="22"/>
          <w:szCs w:val="22"/>
        </w:rPr>
        <w:t xml:space="preserve">This memo requests approval of </w:t>
      </w:r>
      <w:r w:rsidRPr="00296EA3" w:rsidR="000071AB">
        <w:rPr>
          <w:sz w:val="22"/>
          <w:szCs w:val="22"/>
        </w:rPr>
        <w:t>a non</w:t>
      </w:r>
      <w:r w:rsidRPr="00296EA3" w:rsidR="009759BB">
        <w:rPr>
          <w:sz w:val="22"/>
          <w:szCs w:val="22"/>
        </w:rPr>
        <w:t>-</w:t>
      </w:r>
      <w:r w:rsidRPr="00296EA3" w:rsidR="000071AB">
        <w:rPr>
          <w:sz w:val="22"/>
          <w:szCs w:val="22"/>
        </w:rPr>
        <w:t>substantive change</w:t>
      </w:r>
      <w:r w:rsidRPr="00296EA3">
        <w:rPr>
          <w:sz w:val="22"/>
          <w:szCs w:val="22"/>
        </w:rPr>
        <w:t xml:space="preserve"> to the approved information collection, </w:t>
      </w:r>
      <w:r w:rsidRPr="00296EA3" w:rsidR="00B3081D">
        <w:rPr>
          <w:sz w:val="22"/>
          <w:szCs w:val="22"/>
        </w:rPr>
        <w:t>Requirements Related to Surprise Billing; Part II (CMS-10791)</w:t>
      </w:r>
      <w:r w:rsidRPr="00296EA3" w:rsidR="00B3081D">
        <w:rPr>
          <w:sz w:val="22"/>
          <w:szCs w:val="22"/>
        </w:rPr>
        <w:t xml:space="preserve"> </w:t>
      </w:r>
      <w:r w:rsidRPr="00296EA3" w:rsidR="00E60251">
        <w:rPr>
          <w:sz w:val="22"/>
          <w:szCs w:val="22"/>
        </w:rPr>
        <w:t>(OMB #09</w:t>
      </w:r>
      <w:r w:rsidRPr="00296EA3" w:rsidR="00B3081D">
        <w:rPr>
          <w:sz w:val="22"/>
          <w:szCs w:val="22"/>
        </w:rPr>
        <w:t>38</w:t>
      </w:r>
      <w:r w:rsidRPr="00296EA3" w:rsidR="00040754">
        <w:rPr>
          <w:sz w:val="22"/>
          <w:szCs w:val="22"/>
        </w:rPr>
        <w:t>-</w:t>
      </w:r>
      <w:r w:rsidRPr="00296EA3" w:rsidR="00B3081D">
        <w:rPr>
          <w:sz w:val="22"/>
          <w:szCs w:val="22"/>
        </w:rPr>
        <w:t>1433</w:t>
      </w:r>
      <w:r w:rsidRPr="00296EA3" w:rsidR="00E60251">
        <w:rPr>
          <w:sz w:val="22"/>
          <w:szCs w:val="22"/>
        </w:rPr>
        <w:t>)</w:t>
      </w:r>
      <w:r w:rsidRPr="00296EA3">
        <w:rPr>
          <w:sz w:val="22"/>
          <w:szCs w:val="22"/>
        </w:rPr>
        <w:t xml:space="preserve">. </w:t>
      </w:r>
    </w:p>
    <w:p w:rsidR="0005680D" w:rsidRPr="00296EA3" w:rsidP="0005680D" w14:paraId="6BF529D8" w14:textId="77777777">
      <w:pPr>
        <w:rPr>
          <w:sz w:val="22"/>
          <w:szCs w:val="22"/>
        </w:rPr>
      </w:pPr>
    </w:p>
    <w:p w:rsidR="0005680D" w:rsidRPr="00296EA3" w:rsidP="0005680D" w14:paraId="37532181" w14:textId="77777777">
      <w:pPr>
        <w:spacing w:after="120"/>
        <w:rPr>
          <w:caps/>
          <w:kern w:val="24"/>
          <w:sz w:val="22"/>
          <w:szCs w:val="22"/>
        </w:rPr>
      </w:pPr>
      <w:r w:rsidRPr="00296EA3">
        <w:rPr>
          <w:b/>
          <w:caps/>
          <w:kern w:val="24"/>
          <w:sz w:val="22"/>
          <w:szCs w:val="22"/>
        </w:rPr>
        <w:t>Background</w:t>
      </w:r>
    </w:p>
    <w:p w:rsidR="00A31206" w:rsidRPr="00296EA3" w:rsidP="007E4AF7" w14:paraId="1552E159" w14:textId="437F3117">
      <w:pPr>
        <w:pStyle w:val="BodyText"/>
        <w:spacing w:before="158" w:line="256" w:lineRule="auto"/>
        <w:ind w:right="667"/>
      </w:pPr>
      <w:r w:rsidRPr="00296EA3">
        <w:t>The Consolidated Appropriations Act, 2021 (CAA), which includes the No Surprises Act, adds a new Part E of title XXVII of the Public Health Service Act establishing requirements applicable to providers, and facilities. These include provisions at new PHS Act sections 2799B-6 which</w:t>
      </w:r>
      <w:r w:rsidRPr="00296EA3">
        <w:rPr>
          <w:spacing w:val="-1"/>
        </w:rPr>
        <w:t xml:space="preserve"> </w:t>
      </w:r>
      <w:r w:rsidRPr="00296EA3">
        <w:t>requires providers and facilities to</w:t>
      </w:r>
      <w:r w:rsidRPr="00296EA3">
        <w:rPr>
          <w:spacing w:val="-1"/>
        </w:rPr>
        <w:t xml:space="preserve"> </w:t>
      </w:r>
      <w:r w:rsidRPr="00296EA3">
        <w:t>furnish</w:t>
      </w:r>
      <w:r w:rsidRPr="00296EA3">
        <w:rPr>
          <w:spacing w:val="-1"/>
        </w:rPr>
        <w:t xml:space="preserve"> </w:t>
      </w:r>
      <w:r w:rsidRPr="00296EA3">
        <w:t>a good</w:t>
      </w:r>
      <w:r w:rsidRPr="00296EA3">
        <w:rPr>
          <w:spacing w:val="-1"/>
        </w:rPr>
        <w:t xml:space="preserve"> </w:t>
      </w:r>
      <w:r w:rsidRPr="00296EA3">
        <w:t>faith</w:t>
      </w:r>
      <w:r w:rsidRPr="00296EA3">
        <w:rPr>
          <w:spacing w:val="-1"/>
        </w:rPr>
        <w:t xml:space="preserve"> </w:t>
      </w:r>
      <w:r w:rsidRPr="00296EA3">
        <w:t>estimate of expected charges upon request or upon scheduling an item or service for an individual. Providers and facilities are required to inquire</w:t>
      </w:r>
      <w:r w:rsidRPr="00296EA3">
        <w:rPr>
          <w:spacing w:val="-2"/>
        </w:rPr>
        <w:t xml:space="preserve"> </w:t>
      </w:r>
      <w:r w:rsidRPr="00296EA3">
        <w:t>if</w:t>
      </w:r>
      <w:r w:rsidRPr="00296EA3">
        <w:rPr>
          <w:spacing w:val="-2"/>
        </w:rPr>
        <w:t xml:space="preserve"> </w:t>
      </w:r>
      <w:r w:rsidRPr="00296EA3">
        <w:t>an</w:t>
      </w:r>
      <w:r w:rsidRPr="00296EA3">
        <w:rPr>
          <w:spacing w:val="-3"/>
        </w:rPr>
        <w:t xml:space="preserve"> </w:t>
      </w:r>
      <w:r w:rsidRPr="00296EA3">
        <w:t>individual</w:t>
      </w:r>
      <w:r w:rsidRPr="00296EA3">
        <w:rPr>
          <w:spacing w:val="-2"/>
        </w:rPr>
        <w:t xml:space="preserve"> </w:t>
      </w:r>
      <w:r w:rsidRPr="00296EA3">
        <w:t>is</w:t>
      </w:r>
      <w:r w:rsidRPr="00296EA3">
        <w:rPr>
          <w:spacing w:val="-2"/>
        </w:rPr>
        <w:t xml:space="preserve"> </w:t>
      </w:r>
      <w:r w:rsidRPr="00296EA3">
        <w:t>enrolled</w:t>
      </w:r>
      <w:r w:rsidRPr="00296EA3">
        <w:rPr>
          <w:spacing w:val="-3"/>
        </w:rPr>
        <w:t xml:space="preserve"> </w:t>
      </w:r>
      <w:r w:rsidRPr="00296EA3">
        <w:t>in a</w:t>
      </w:r>
      <w:r w:rsidRPr="00296EA3">
        <w:rPr>
          <w:spacing w:val="-2"/>
        </w:rPr>
        <w:t xml:space="preserve"> </w:t>
      </w:r>
      <w:r w:rsidRPr="00296EA3">
        <w:t>group health plan, group or</w:t>
      </w:r>
      <w:r w:rsidRPr="00296EA3">
        <w:rPr>
          <w:spacing w:val="-2"/>
        </w:rPr>
        <w:t xml:space="preserve"> </w:t>
      </w:r>
      <w:r w:rsidRPr="00296EA3">
        <w:t>individual health insurance coverage, a Federal Employees Health Benefits (FEHB) plan,</w:t>
      </w:r>
      <w:r w:rsidRPr="00296EA3" w:rsidR="00C162C9">
        <w:t xml:space="preserve"> </w:t>
      </w:r>
      <w:r w:rsidRPr="00296EA3">
        <w:t>or a Federal health care program</w:t>
      </w:r>
      <w:r w:rsidRPr="00296EA3" w:rsidR="00F82B2D">
        <w:t>,</w:t>
      </w:r>
      <w:r w:rsidRPr="00296EA3">
        <w:t xml:space="preserve"> and if enrolled in a group health plan, or group or individual health insurance coverage, or a health benefits plan under chapter 89 of title 5,</w:t>
      </w:r>
      <w:r w:rsidRPr="00296EA3" w:rsidR="00C162C9">
        <w:t xml:space="preserve"> </w:t>
      </w:r>
      <w:r w:rsidRPr="00296EA3">
        <w:t>whether the individual is seeking to have a claim for such item or service submitted to such plan or coverage (hereafter referred to as an “uninsured (or self-pay) individual”). In the case that an uninsured (or self-pay) individual requesting a good faith estimate for an item or service or schedules an item or service to be furnished, PHS Act section 2799B-6(2)(B) and the October 2021 interim final rules</w:t>
      </w:r>
      <w:r w:rsidRPr="00296EA3">
        <w:rPr>
          <w:spacing w:val="-1"/>
        </w:rPr>
        <w:t xml:space="preserve"> </w:t>
      </w:r>
      <w:r w:rsidRPr="00296EA3">
        <w:t>at 45</w:t>
      </w:r>
      <w:r w:rsidRPr="00296EA3">
        <w:rPr>
          <w:spacing w:val="-1"/>
        </w:rPr>
        <w:t xml:space="preserve"> </w:t>
      </w:r>
      <w:r w:rsidRPr="00296EA3">
        <w:t>CFR</w:t>
      </w:r>
      <w:r w:rsidRPr="00296EA3">
        <w:rPr>
          <w:spacing w:val="-2"/>
        </w:rPr>
        <w:t xml:space="preserve"> </w:t>
      </w:r>
      <w:r w:rsidRPr="00296EA3">
        <w:t>149.610</w:t>
      </w:r>
      <w:r w:rsidRPr="00296EA3">
        <w:rPr>
          <w:spacing w:val="-4"/>
        </w:rPr>
        <w:t xml:space="preserve"> </w:t>
      </w:r>
      <w:r w:rsidRPr="00296EA3">
        <w:t>require</w:t>
      </w:r>
      <w:r w:rsidRPr="00296EA3">
        <w:rPr>
          <w:spacing w:val="-1"/>
        </w:rPr>
        <w:t xml:space="preserve"> </w:t>
      </w:r>
      <w:r w:rsidRPr="00296EA3">
        <w:t>providers</w:t>
      </w:r>
      <w:r w:rsidRPr="00296EA3">
        <w:rPr>
          <w:spacing w:val="-3"/>
        </w:rPr>
        <w:t xml:space="preserve"> </w:t>
      </w:r>
      <w:r w:rsidRPr="00296EA3">
        <w:t>and</w:t>
      </w:r>
      <w:r w:rsidRPr="00296EA3">
        <w:rPr>
          <w:spacing w:val="-4"/>
        </w:rPr>
        <w:t xml:space="preserve"> </w:t>
      </w:r>
      <w:r w:rsidRPr="00296EA3">
        <w:t>facilities</w:t>
      </w:r>
      <w:r w:rsidRPr="00296EA3">
        <w:rPr>
          <w:spacing w:val="-1"/>
        </w:rPr>
        <w:t xml:space="preserve"> </w:t>
      </w:r>
      <w:r w:rsidRPr="00296EA3">
        <w:t>to</w:t>
      </w:r>
      <w:r w:rsidRPr="00296EA3">
        <w:rPr>
          <w:spacing w:val="-4"/>
        </w:rPr>
        <w:t xml:space="preserve"> </w:t>
      </w:r>
      <w:r w:rsidRPr="00296EA3">
        <w:t>furnish</w:t>
      </w:r>
      <w:r w:rsidRPr="00296EA3">
        <w:rPr>
          <w:spacing w:val="-4"/>
        </w:rPr>
        <w:t xml:space="preserve"> </w:t>
      </w:r>
      <w:r w:rsidRPr="00296EA3">
        <w:t>the</w:t>
      </w:r>
      <w:r w:rsidRPr="00296EA3">
        <w:rPr>
          <w:spacing w:val="-1"/>
        </w:rPr>
        <w:t xml:space="preserve"> </w:t>
      </w:r>
      <w:r w:rsidRPr="00296EA3">
        <w:t>good</w:t>
      </w:r>
      <w:r w:rsidRPr="00296EA3">
        <w:rPr>
          <w:spacing w:val="-4"/>
        </w:rPr>
        <w:t xml:space="preserve"> </w:t>
      </w:r>
      <w:r w:rsidRPr="00296EA3">
        <w:t>faith</w:t>
      </w:r>
      <w:r w:rsidRPr="00296EA3">
        <w:rPr>
          <w:spacing w:val="-4"/>
        </w:rPr>
        <w:t xml:space="preserve"> </w:t>
      </w:r>
      <w:r w:rsidRPr="00296EA3">
        <w:t>estimate</w:t>
      </w:r>
      <w:r w:rsidRPr="00296EA3">
        <w:rPr>
          <w:spacing w:val="-3"/>
        </w:rPr>
        <w:t xml:space="preserve"> </w:t>
      </w:r>
      <w:r w:rsidRPr="00296EA3">
        <w:t>to</w:t>
      </w:r>
      <w:r w:rsidRPr="00296EA3">
        <w:rPr>
          <w:spacing w:val="-4"/>
        </w:rPr>
        <w:t xml:space="preserve"> </w:t>
      </w:r>
      <w:r w:rsidRPr="00296EA3">
        <w:t>the</w:t>
      </w:r>
      <w:r w:rsidRPr="00296EA3">
        <w:rPr>
          <w:spacing w:val="-1"/>
        </w:rPr>
        <w:t xml:space="preserve"> </w:t>
      </w:r>
      <w:r w:rsidRPr="00296EA3">
        <w:t>uninsured (or self-pay) individual.</w:t>
      </w:r>
      <w:r w:rsidRPr="00296EA3" w:rsidR="007E4AF7">
        <w:t xml:space="preserve"> </w:t>
      </w:r>
      <w:r w:rsidRPr="00296EA3" w:rsidR="00730683">
        <w:t xml:space="preserve">The collection was last approved by OMB on </w:t>
      </w:r>
      <w:r w:rsidRPr="00296EA3">
        <w:t>November</w:t>
      </w:r>
      <w:r w:rsidRPr="00296EA3" w:rsidR="00C13A48">
        <w:t xml:space="preserve"> </w:t>
      </w:r>
      <w:r w:rsidRPr="00296EA3">
        <w:t>15</w:t>
      </w:r>
      <w:r w:rsidRPr="00296EA3" w:rsidR="00C13A48">
        <w:t>, 2022</w:t>
      </w:r>
      <w:r w:rsidRPr="00296EA3" w:rsidR="00730683">
        <w:t xml:space="preserve"> and expires on </w:t>
      </w:r>
      <w:r w:rsidRPr="00296EA3">
        <w:t>November</w:t>
      </w:r>
      <w:r w:rsidRPr="00296EA3" w:rsidR="00C13A48">
        <w:t xml:space="preserve"> 30, 2025</w:t>
      </w:r>
      <w:r w:rsidRPr="00296EA3" w:rsidR="00730683">
        <w:t>.</w:t>
      </w:r>
    </w:p>
    <w:p w:rsidR="00A31206" w:rsidRPr="00296EA3" w:rsidP="00C13A48" w14:paraId="1EDBDCBA" w14:textId="77777777">
      <w:pPr>
        <w:rPr>
          <w:sz w:val="22"/>
          <w:szCs w:val="22"/>
        </w:rPr>
      </w:pPr>
    </w:p>
    <w:p w:rsidR="00542130" w:rsidRPr="00296EA3" w:rsidP="00542130" w14:paraId="5A0B0C3C" w14:textId="70ADA5FE">
      <w:pPr>
        <w:rPr>
          <w:rFonts w:eastAsiaTheme="minorHAnsi"/>
          <w:spacing w:val="-1"/>
          <w:kern w:val="0"/>
          <w:sz w:val="22"/>
          <w:szCs w:val="22"/>
        </w:rPr>
      </w:pPr>
      <w:r w:rsidRPr="00296EA3">
        <w:rPr>
          <w:sz w:val="22"/>
          <w:szCs w:val="22"/>
        </w:rPr>
        <w:t xml:space="preserve">In the </w:t>
      </w:r>
      <w:r w:rsidRPr="00296EA3" w:rsidR="00B3081D">
        <w:rPr>
          <w:sz w:val="22"/>
          <w:szCs w:val="22"/>
        </w:rPr>
        <w:t>change request</w:t>
      </w:r>
      <w:r w:rsidRPr="00296EA3">
        <w:rPr>
          <w:sz w:val="22"/>
          <w:szCs w:val="22"/>
        </w:rPr>
        <w:t xml:space="preserve"> approved by OMB on November 15, 2022, CCIIO requested approval to incorporate an abbreviated Good Faith Estimate model notice to be included in the Standard Form: </w:t>
      </w:r>
      <w:r w:rsidRPr="00296EA3" w:rsidR="00F82B2D">
        <w:rPr>
          <w:sz w:val="22"/>
          <w:szCs w:val="22"/>
        </w:rPr>
        <w:t>“</w:t>
      </w:r>
      <w:r w:rsidRPr="00296EA3">
        <w:rPr>
          <w:sz w:val="22"/>
          <w:szCs w:val="22"/>
        </w:rPr>
        <w:t xml:space="preserve">Good Faith Estimate for Health Care Items and Services” </w:t>
      </w:r>
      <w:r w:rsidRPr="00296EA3" w:rsidR="007E4AF7">
        <w:rPr>
          <w:sz w:val="22"/>
          <w:szCs w:val="22"/>
        </w:rPr>
        <w:t>u</w:t>
      </w:r>
      <w:r w:rsidRPr="00296EA3">
        <w:rPr>
          <w:sz w:val="22"/>
          <w:szCs w:val="22"/>
        </w:rPr>
        <w:t xml:space="preserve">nder the No Surprises Act. The abbreviated form </w:t>
      </w:r>
      <w:r w:rsidRPr="00296EA3">
        <w:rPr>
          <w:spacing w:val="-1"/>
          <w:sz w:val="22"/>
          <w:szCs w:val="22"/>
        </w:rPr>
        <w:t xml:space="preserve">reduces burden on providers and facilities who do not expect to bill an individual for items and services. It is to be used only by providers and facilities that do not expect to bill uninsured (or self-pay) individuals for scheduled (or requested) items or services, in place of the original model notice. </w:t>
      </w:r>
      <w:r w:rsidRPr="00296EA3">
        <w:rPr>
          <w:bCs/>
          <w:spacing w:val="-1"/>
          <w:sz w:val="22"/>
          <w:szCs w:val="22"/>
        </w:rPr>
        <w:t xml:space="preserve">The fields required to be included in this abbreviated GFE are a subset of the fields required in the original GFE. </w:t>
      </w:r>
    </w:p>
    <w:p w:rsidR="000071AB" w:rsidRPr="00296EA3" w:rsidP="0005680D" w14:paraId="0E87DF53" w14:textId="0D8F3851">
      <w:pPr>
        <w:rPr>
          <w:sz w:val="22"/>
          <w:szCs w:val="22"/>
        </w:rPr>
      </w:pPr>
    </w:p>
    <w:p w:rsidR="0005680D" w:rsidRPr="00296EA3" w:rsidP="00D36E10" w14:paraId="5CC77B63" w14:textId="39B2D859">
      <w:pPr>
        <w:tabs>
          <w:tab w:val="left" w:pos="6588"/>
        </w:tabs>
        <w:spacing w:after="120"/>
        <w:rPr>
          <w:b/>
          <w:caps/>
          <w:kern w:val="24"/>
          <w:sz w:val="22"/>
          <w:szCs w:val="22"/>
        </w:rPr>
      </w:pPr>
      <w:r w:rsidRPr="00296EA3">
        <w:rPr>
          <w:b/>
          <w:caps/>
          <w:kern w:val="24"/>
          <w:sz w:val="22"/>
          <w:szCs w:val="22"/>
        </w:rPr>
        <w:t>Overview of Requested Changes</w:t>
      </w:r>
      <w:r w:rsidRPr="00296EA3" w:rsidR="00D36E10">
        <w:rPr>
          <w:b/>
          <w:caps/>
          <w:kern w:val="24"/>
          <w:sz w:val="22"/>
          <w:szCs w:val="22"/>
        </w:rPr>
        <w:tab/>
      </w:r>
    </w:p>
    <w:p w:rsidR="002B27D6" w:rsidRPr="00296EA3" w:rsidP="00A82AB9" w14:paraId="248DCE40" w14:textId="03579571">
      <w:pPr>
        <w:pStyle w:val="ListParagraph"/>
        <w:numPr>
          <w:ilvl w:val="0"/>
          <w:numId w:val="11"/>
        </w:numPr>
        <w:rPr>
          <w:sz w:val="22"/>
          <w:szCs w:val="22"/>
        </w:rPr>
      </w:pPr>
      <w:r w:rsidRPr="00296EA3">
        <w:rPr>
          <w:sz w:val="22"/>
          <w:szCs w:val="22"/>
        </w:rPr>
        <w:t>A</w:t>
      </w:r>
      <w:r w:rsidRPr="00296EA3" w:rsidR="007E4AF7">
        <w:rPr>
          <w:sz w:val="22"/>
          <w:szCs w:val="22"/>
        </w:rPr>
        <w:t>dded abbreviated GFE template</w:t>
      </w:r>
      <w:r w:rsidRPr="00296EA3" w:rsidR="00A82AB9">
        <w:rPr>
          <w:sz w:val="22"/>
          <w:szCs w:val="22"/>
        </w:rPr>
        <w:t xml:space="preserve"> for </w:t>
      </w:r>
      <w:r w:rsidRPr="00296EA3" w:rsidR="00A82AB9">
        <w:rPr>
          <w:bCs/>
          <w:sz w:val="22"/>
          <w:szCs w:val="22"/>
          <w:u w:val="single"/>
        </w:rPr>
        <w:t>no-cost</w:t>
      </w:r>
      <w:r w:rsidRPr="00296EA3" w:rsidR="00A82AB9">
        <w:rPr>
          <w:bCs/>
          <w:sz w:val="22"/>
          <w:szCs w:val="22"/>
        </w:rPr>
        <w:t xml:space="preserve"> health care items &amp; services</w:t>
      </w:r>
      <w:r w:rsidRPr="00296EA3">
        <w:rPr>
          <w:sz w:val="22"/>
          <w:szCs w:val="22"/>
        </w:rPr>
        <w:t>, which:</w:t>
      </w:r>
    </w:p>
    <w:p w:rsidR="002B27D6" w:rsidRPr="00296EA3" w:rsidP="002B27D6" w14:paraId="73CB19C3" w14:textId="366B15BC">
      <w:pPr>
        <w:pStyle w:val="ListParagraph"/>
        <w:numPr>
          <w:ilvl w:val="1"/>
          <w:numId w:val="11"/>
        </w:numPr>
        <w:rPr>
          <w:sz w:val="22"/>
          <w:szCs w:val="22"/>
        </w:rPr>
      </w:pPr>
      <w:r w:rsidRPr="00296EA3">
        <w:rPr>
          <w:sz w:val="22"/>
          <w:szCs w:val="22"/>
        </w:rPr>
        <w:t>Omits rows for provider or facility to list items and services</w:t>
      </w:r>
    </w:p>
    <w:p w:rsidR="00A82AB9" w:rsidRPr="00296EA3" w:rsidP="002B27D6" w14:paraId="452D98D3" w14:textId="611F8388">
      <w:pPr>
        <w:pStyle w:val="ListParagraph"/>
        <w:numPr>
          <w:ilvl w:val="1"/>
          <w:numId w:val="11"/>
        </w:numPr>
        <w:rPr>
          <w:sz w:val="22"/>
          <w:szCs w:val="22"/>
        </w:rPr>
      </w:pPr>
      <w:r w:rsidRPr="00296EA3">
        <w:rPr>
          <w:sz w:val="22"/>
          <w:szCs w:val="22"/>
        </w:rPr>
        <w:t>Omits rows for provider or facility to list diagnoses</w:t>
      </w:r>
    </w:p>
    <w:p w:rsidR="00A82AB9" w:rsidRPr="00296EA3" w:rsidP="002B27D6" w14:paraId="1105F265" w14:textId="5A72C97E">
      <w:pPr>
        <w:pStyle w:val="ListParagraph"/>
        <w:numPr>
          <w:ilvl w:val="1"/>
          <w:numId w:val="11"/>
        </w:numPr>
        <w:rPr>
          <w:sz w:val="22"/>
          <w:szCs w:val="22"/>
        </w:rPr>
      </w:pPr>
      <w:r w:rsidRPr="00296EA3">
        <w:rPr>
          <w:sz w:val="22"/>
          <w:szCs w:val="22"/>
        </w:rPr>
        <w:t>Omits rows for provider or facility to list expected charges, because no charges are expected</w:t>
      </w:r>
    </w:p>
    <w:p w:rsidR="002B27D6" w:rsidRPr="00296EA3" w:rsidP="002B27D6" w14:paraId="58705AF6" w14:textId="1E5D1409">
      <w:pPr>
        <w:pStyle w:val="ListParagraph"/>
        <w:numPr>
          <w:ilvl w:val="1"/>
          <w:numId w:val="11"/>
        </w:numPr>
        <w:rPr>
          <w:sz w:val="22"/>
          <w:szCs w:val="22"/>
        </w:rPr>
      </w:pPr>
      <w:r w:rsidRPr="00296EA3">
        <w:rPr>
          <w:sz w:val="22"/>
          <w:szCs w:val="22"/>
        </w:rPr>
        <w:t>Adjusts the consumer disclaimer consistent with an estimate that indicates no charges</w:t>
      </w:r>
    </w:p>
    <w:p w:rsidR="00A64203" w:rsidRPr="00296EA3" w:rsidP="008F7D07" w14:paraId="2428E534" w14:textId="52E215AC">
      <w:pPr>
        <w:rPr>
          <w:sz w:val="22"/>
          <w:szCs w:val="22"/>
        </w:rPr>
      </w:pPr>
    </w:p>
    <w:sectPr w:rsidSect="00E10D15">
      <w:pgSz w:w="12240" w:h="15840"/>
      <w:pgMar w:top="1080" w:right="1260"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JMABN O+ Courier New,">
    <w:altName w:val="Courier New"/>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FF56E6"/>
    <w:multiLevelType w:val="hybridMultilevel"/>
    <w:tmpl w:val="98D6B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EC5242"/>
    <w:multiLevelType w:val="hybridMultilevel"/>
    <w:tmpl w:val="02B42E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8DB4177"/>
    <w:multiLevelType w:val="hybridMultilevel"/>
    <w:tmpl w:val="6082D0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E366E92"/>
    <w:multiLevelType w:val="hybridMultilevel"/>
    <w:tmpl w:val="374CD6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9201F0F"/>
    <w:multiLevelType w:val="hybridMultilevel"/>
    <w:tmpl w:val="98D6B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C443ACE"/>
    <w:multiLevelType w:val="hybridMultilevel"/>
    <w:tmpl w:val="723837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2CC3E0D"/>
    <w:multiLevelType w:val="hybridMultilevel"/>
    <w:tmpl w:val="73142E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65B3FDA"/>
    <w:multiLevelType w:val="hybridMultilevel"/>
    <w:tmpl w:val="98B4D9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BB23226"/>
    <w:multiLevelType w:val="hybridMultilevel"/>
    <w:tmpl w:val="99C22E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630"/>
        </w:tabs>
        <w:ind w:left="630" w:hanging="360"/>
      </w:pPr>
    </w:lvl>
    <w:lvl w:ilvl="2">
      <w:start w:val="1"/>
      <w:numFmt w:val="bullet"/>
      <w:lvlText w:val="o"/>
      <w:lvlJc w:val="left"/>
      <w:pPr>
        <w:tabs>
          <w:tab w:val="num" w:pos="1350"/>
        </w:tabs>
        <w:ind w:left="1350" w:hanging="360"/>
      </w:pPr>
      <w:rPr>
        <w:rFonts w:ascii="Courier New" w:hAnsi="Courier New" w:cs="Courier New" w:hint="default"/>
      </w:rPr>
    </w:lvl>
    <w:lvl w:ilvl="3">
      <w:start w:val="1"/>
      <w:numFmt w:val="bullet"/>
      <w:lvlText w:val=""/>
      <w:lvlJc w:val="left"/>
      <w:pPr>
        <w:tabs>
          <w:tab w:val="num" w:pos="2070"/>
        </w:tabs>
        <w:ind w:left="2070" w:hanging="360"/>
      </w:pPr>
      <w:rPr>
        <w:rFonts w:ascii="Wingdings" w:hAnsi="Wingdings" w:hint="default"/>
      </w:rPr>
    </w:lvl>
    <w:lvl w:ilvl="4" w:tentative="1">
      <w:start w:val="1"/>
      <w:numFmt w:val="decimal"/>
      <w:lvlText w:val="%5."/>
      <w:lvlJc w:val="left"/>
      <w:pPr>
        <w:tabs>
          <w:tab w:val="num" w:pos="2790"/>
        </w:tabs>
        <w:ind w:left="2790" w:hanging="360"/>
      </w:pPr>
    </w:lvl>
    <w:lvl w:ilvl="5" w:tentative="1">
      <w:start w:val="1"/>
      <w:numFmt w:val="decimal"/>
      <w:lvlText w:val="%6."/>
      <w:lvlJc w:val="left"/>
      <w:pPr>
        <w:tabs>
          <w:tab w:val="num" w:pos="3510"/>
        </w:tabs>
        <w:ind w:left="3510" w:hanging="360"/>
      </w:pPr>
    </w:lvl>
    <w:lvl w:ilvl="6" w:tentative="1">
      <w:start w:val="1"/>
      <w:numFmt w:val="decimal"/>
      <w:lvlText w:val="%7."/>
      <w:lvlJc w:val="left"/>
      <w:pPr>
        <w:tabs>
          <w:tab w:val="num" w:pos="4230"/>
        </w:tabs>
        <w:ind w:left="4230" w:hanging="360"/>
      </w:pPr>
    </w:lvl>
    <w:lvl w:ilvl="7" w:tentative="1">
      <w:start w:val="1"/>
      <w:numFmt w:val="decimal"/>
      <w:lvlText w:val="%8."/>
      <w:lvlJc w:val="left"/>
      <w:pPr>
        <w:tabs>
          <w:tab w:val="num" w:pos="4950"/>
        </w:tabs>
        <w:ind w:left="4950" w:hanging="360"/>
      </w:pPr>
    </w:lvl>
    <w:lvl w:ilvl="8" w:tentative="1">
      <w:start w:val="1"/>
      <w:numFmt w:val="decimal"/>
      <w:lvlText w:val="%9."/>
      <w:lvlJc w:val="left"/>
      <w:pPr>
        <w:tabs>
          <w:tab w:val="num" w:pos="5670"/>
        </w:tabs>
        <w:ind w:left="5670" w:hanging="36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0"/>
  </w:num>
  <w:num w:numId="6">
    <w:abstractNumId w:val="4"/>
  </w:num>
  <w:num w:numId="7">
    <w:abstractNumId w:val="1"/>
  </w:num>
  <w:num w:numId="8">
    <w:abstractNumId w:val="7"/>
  </w:num>
  <w:num w:numId="9">
    <w:abstractNumId w:val="8"/>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0478D"/>
    <w:rsid w:val="000071AB"/>
    <w:rsid w:val="00040754"/>
    <w:rsid w:val="00047392"/>
    <w:rsid w:val="00053E66"/>
    <w:rsid w:val="0005680D"/>
    <w:rsid w:val="000D4E1A"/>
    <w:rsid w:val="000E540A"/>
    <w:rsid w:val="00116024"/>
    <w:rsid w:val="0018117E"/>
    <w:rsid w:val="00201D4A"/>
    <w:rsid w:val="00296EA3"/>
    <w:rsid w:val="002B27D6"/>
    <w:rsid w:val="002E4435"/>
    <w:rsid w:val="003777EB"/>
    <w:rsid w:val="003D66DB"/>
    <w:rsid w:val="003E0B10"/>
    <w:rsid w:val="003F0568"/>
    <w:rsid w:val="003F44A4"/>
    <w:rsid w:val="003F6D98"/>
    <w:rsid w:val="00400F25"/>
    <w:rsid w:val="00416E1B"/>
    <w:rsid w:val="004235C1"/>
    <w:rsid w:val="00462BAB"/>
    <w:rsid w:val="00476FDE"/>
    <w:rsid w:val="004874ED"/>
    <w:rsid w:val="004C14EF"/>
    <w:rsid w:val="004C6ADE"/>
    <w:rsid w:val="004D1EAE"/>
    <w:rsid w:val="00542130"/>
    <w:rsid w:val="00556035"/>
    <w:rsid w:val="00594597"/>
    <w:rsid w:val="00620609"/>
    <w:rsid w:val="00636ECD"/>
    <w:rsid w:val="00644844"/>
    <w:rsid w:val="00647C4E"/>
    <w:rsid w:val="00651482"/>
    <w:rsid w:val="006558C9"/>
    <w:rsid w:val="00690DBA"/>
    <w:rsid w:val="00696C0E"/>
    <w:rsid w:val="006A2A23"/>
    <w:rsid w:val="006A755C"/>
    <w:rsid w:val="006B0572"/>
    <w:rsid w:val="006B6AF3"/>
    <w:rsid w:val="00730683"/>
    <w:rsid w:val="00784D4A"/>
    <w:rsid w:val="007D30CE"/>
    <w:rsid w:val="007E4AF7"/>
    <w:rsid w:val="00831674"/>
    <w:rsid w:val="00871771"/>
    <w:rsid w:val="00885C38"/>
    <w:rsid w:val="008A537D"/>
    <w:rsid w:val="008C40B2"/>
    <w:rsid w:val="008F0401"/>
    <w:rsid w:val="008F7D07"/>
    <w:rsid w:val="00901FB1"/>
    <w:rsid w:val="00912B16"/>
    <w:rsid w:val="009759BB"/>
    <w:rsid w:val="00995018"/>
    <w:rsid w:val="009A34BC"/>
    <w:rsid w:val="009C500E"/>
    <w:rsid w:val="009E0D9C"/>
    <w:rsid w:val="00A23BC5"/>
    <w:rsid w:val="00A31206"/>
    <w:rsid w:val="00A31FEE"/>
    <w:rsid w:val="00A3295D"/>
    <w:rsid w:val="00A3543A"/>
    <w:rsid w:val="00A44387"/>
    <w:rsid w:val="00A64203"/>
    <w:rsid w:val="00A700E7"/>
    <w:rsid w:val="00A82AB9"/>
    <w:rsid w:val="00A90B63"/>
    <w:rsid w:val="00AB179D"/>
    <w:rsid w:val="00B3081D"/>
    <w:rsid w:val="00B62893"/>
    <w:rsid w:val="00B70695"/>
    <w:rsid w:val="00BA4433"/>
    <w:rsid w:val="00BC7DE9"/>
    <w:rsid w:val="00BF5D57"/>
    <w:rsid w:val="00C13A48"/>
    <w:rsid w:val="00C162C9"/>
    <w:rsid w:val="00C23F07"/>
    <w:rsid w:val="00C371FD"/>
    <w:rsid w:val="00CA376A"/>
    <w:rsid w:val="00CD08DE"/>
    <w:rsid w:val="00D36E10"/>
    <w:rsid w:val="00D6798D"/>
    <w:rsid w:val="00DE3201"/>
    <w:rsid w:val="00DF7525"/>
    <w:rsid w:val="00E10D15"/>
    <w:rsid w:val="00E13250"/>
    <w:rsid w:val="00E25AAA"/>
    <w:rsid w:val="00E525D4"/>
    <w:rsid w:val="00E570FE"/>
    <w:rsid w:val="00E60251"/>
    <w:rsid w:val="00EA1517"/>
    <w:rsid w:val="00ED7EDE"/>
    <w:rsid w:val="00F61B23"/>
    <w:rsid w:val="00F74303"/>
    <w:rsid w:val="00F82B2D"/>
    <w:rsid w:val="00FB70DB"/>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FootnoteText">
    <w:name w:val="footnote text"/>
    <w:basedOn w:val="Normal"/>
    <w:link w:val="FootnoteTextChar"/>
    <w:uiPriority w:val="99"/>
    <w:semiHidden/>
    <w:unhideWhenUsed/>
    <w:rsid w:val="00784D4A"/>
    <w:pPr>
      <w:widowControl/>
      <w:suppressAutoHyphens w:val="0"/>
      <w:spacing w:after="200" w:line="276" w:lineRule="auto"/>
    </w:pPr>
    <w:rPr>
      <w:rFonts w:asciiTheme="minorHAnsi" w:eastAsiaTheme="minorEastAsia" w:hAnsiTheme="minorHAnsi" w:cstheme="minorBidi"/>
      <w:kern w:val="0"/>
      <w:sz w:val="20"/>
      <w:szCs w:val="20"/>
    </w:rPr>
  </w:style>
  <w:style w:type="character" w:customStyle="1" w:styleId="FootnoteTextChar">
    <w:name w:val="Footnote Text Char"/>
    <w:basedOn w:val="DefaultParagraphFont"/>
    <w:link w:val="FootnoteText"/>
    <w:uiPriority w:val="99"/>
    <w:semiHidden/>
    <w:rsid w:val="00784D4A"/>
    <w:rPr>
      <w:rFonts w:eastAsiaTheme="minorEastAsia"/>
      <w:sz w:val="20"/>
      <w:szCs w:val="20"/>
    </w:rPr>
  </w:style>
  <w:style w:type="paragraph" w:customStyle="1" w:styleId="CM19">
    <w:name w:val="CM19"/>
    <w:basedOn w:val="Normal"/>
    <w:next w:val="Normal"/>
    <w:uiPriority w:val="99"/>
    <w:rsid w:val="00784D4A"/>
    <w:pPr>
      <w:suppressAutoHyphens w:val="0"/>
      <w:autoSpaceDE w:val="0"/>
      <w:autoSpaceDN w:val="0"/>
      <w:adjustRightInd w:val="0"/>
    </w:pPr>
    <w:rPr>
      <w:rFonts w:ascii="JMABN O+ Courier New," w:hAnsi="JMABN O+ Courier New," w:eastAsiaTheme="minorEastAsia" w:cstheme="minorBidi"/>
      <w:kern w:val="0"/>
    </w:rPr>
  </w:style>
  <w:style w:type="character" w:styleId="FootnoteReference">
    <w:name w:val="footnote reference"/>
    <w:basedOn w:val="DefaultParagraphFont"/>
    <w:uiPriority w:val="99"/>
    <w:semiHidden/>
    <w:unhideWhenUsed/>
    <w:rsid w:val="00784D4A"/>
    <w:rPr>
      <w:vertAlign w:val="superscript"/>
    </w:rPr>
  </w:style>
  <w:style w:type="paragraph" w:customStyle="1" w:styleId="CM15">
    <w:name w:val="CM15"/>
    <w:basedOn w:val="Normal"/>
    <w:next w:val="Normal"/>
    <w:uiPriority w:val="99"/>
    <w:rsid w:val="000071AB"/>
    <w:pPr>
      <w:suppressAutoHyphens w:val="0"/>
      <w:autoSpaceDE w:val="0"/>
      <w:autoSpaceDN w:val="0"/>
      <w:adjustRightInd w:val="0"/>
    </w:pPr>
    <w:rPr>
      <w:rFonts w:ascii="JMABN O+ Courier New," w:hAnsi="JMABN O+ Courier New," w:eastAsiaTheme="minorEastAsia" w:cstheme="minorBidi"/>
      <w:kern w:val="0"/>
    </w:rPr>
  </w:style>
  <w:style w:type="paragraph" w:styleId="ListParagraph">
    <w:name w:val="List Paragraph"/>
    <w:basedOn w:val="Normal"/>
    <w:uiPriority w:val="34"/>
    <w:qFormat/>
    <w:rsid w:val="00556035"/>
    <w:pPr>
      <w:ind w:left="720"/>
      <w:contextualSpacing/>
    </w:pPr>
  </w:style>
  <w:style w:type="paragraph" w:customStyle="1" w:styleId="Default">
    <w:name w:val="Default"/>
    <w:rsid w:val="00A64203"/>
    <w:pPr>
      <w:widowControl w:val="0"/>
      <w:autoSpaceDE w:val="0"/>
      <w:autoSpaceDN w:val="0"/>
      <w:adjustRightInd w:val="0"/>
      <w:spacing w:after="0" w:line="240" w:lineRule="auto"/>
    </w:pPr>
    <w:rPr>
      <w:rFonts w:ascii="JMABN O+ Courier New," w:hAnsi="JMABN O+ Courier New," w:eastAsiaTheme="minorEastAsia" w:cs="JMABN O+ Courier New,"/>
      <w:color w:val="000000"/>
      <w:sz w:val="24"/>
      <w:szCs w:val="24"/>
    </w:rPr>
  </w:style>
  <w:style w:type="character" w:styleId="Hyperlink">
    <w:name w:val="Hyperlink"/>
    <w:basedOn w:val="DefaultParagraphFont"/>
    <w:uiPriority w:val="99"/>
    <w:semiHidden/>
    <w:unhideWhenUsed/>
    <w:rsid w:val="00B3081D"/>
    <w:rPr>
      <w:color w:val="0563C1" w:themeColor="hyperlink"/>
      <w:u w:val="single"/>
    </w:rPr>
  </w:style>
  <w:style w:type="paragraph" w:styleId="BodyText">
    <w:name w:val="Body Text"/>
    <w:basedOn w:val="Normal"/>
    <w:link w:val="BodyTextChar"/>
    <w:uiPriority w:val="1"/>
    <w:unhideWhenUsed/>
    <w:qFormat/>
    <w:rsid w:val="00B3081D"/>
    <w:pPr>
      <w:suppressAutoHyphens w:val="0"/>
      <w:autoSpaceDE w:val="0"/>
      <w:autoSpaceDN w:val="0"/>
    </w:pPr>
    <w:rPr>
      <w:rFonts w:eastAsia="Times New Roman"/>
      <w:kern w:val="0"/>
      <w:sz w:val="22"/>
      <w:szCs w:val="22"/>
    </w:rPr>
  </w:style>
  <w:style w:type="character" w:customStyle="1" w:styleId="BodyTextChar">
    <w:name w:val="Body Text Char"/>
    <w:basedOn w:val="DefaultParagraphFont"/>
    <w:link w:val="BodyText"/>
    <w:uiPriority w:val="1"/>
    <w:rsid w:val="00B3081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1F563A434FC1438657F9F23EA1D451" ma:contentTypeVersion="12" ma:contentTypeDescription="Create a new document." ma:contentTypeScope="" ma:versionID="069da5b1e320ef53f99aee9c57643fb2">
  <xsd:schema xmlns:xsd="http://www.w3.org/2001/XMLSchema" xmlns:xs="http://www.w3.org/2001/XMLSchema" xmlns:p="http://schemas.microsoft.com/office/2006/metadata/properties" xmlns:ns2="8fe0b574-49e2-476e-a625-b7910d8ad736" targetNamespace="http://schemas.microsoft.com/office/2006/metadata/properties" ma:root="true" ma:fieldsID="eb9a83e043ccd227ec9c4114c7f8200f" ns2:_="">
    <xsd:import namespace="8fe0b574-49e2-476e-a625-b7910d8ad73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0b574-49e2-476e-a625-b7910d8ad73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haredContentType xmlns="Microsoft.SharePoint.Taxonomy.ContentTypeSync" SourceId="86a8e296-5f29-4af2-954b-0de0d1e1f8bc" ContentTypeId="0x0101" PreviousValue="false"/>
</file>

<file path=customXml/itemProps1.xml><?xml version="1.0" encoding="utf-8"?>
<ds:datastoreItem xmlns:ds="http://schemas.openxmlformats.org/officeDocument/2006/customXml" ds:itemID="{591BCCBA-FE36-4B71-B5CD-A2716B801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0b574-49e2-476e-a625-b7910d8ad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3.xml><?xml version="1.0" encoding="utf-8"?>
<ds:datastoreItem xmlns:ds="http://schemas.openxmlformats.org/officeDocument/2006/customXml" ds:itemID="{793568A4-45DA-4380-8069-A4BE1C54E8FB}">
  <ds:schemaRefs>
    <ds:schemaRef ds:uri="http://schemas.microsoft.com/sharepoint/events"/>
  </ds:schemaRefs>
</ds:datastoreItem>
</file>

<file path=customXml/itemProps4.xml><?xml version="1.0" encoding="utf-8"?>
<ds:datastoreItem xmlns:ds="http://schemas.openxmlformats.org/officeDocument/2006/customXml" ds:itemID="{69427763-6C17-4683-BE66-D42E977DCA4F}">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8fe0b574-49e2-476e-a625-b7910d8ad736"/>
    <ds:schemaRef ds:uri="http://www.w3.org/XML/1998/namespace"/>
    <ds:schemaRef ds:uri="http://purl.org/dc/dcmitype/"/>
  </ds:schemaRefs>
</ds:datastoreItem>
</file>

<file path=customXml/itemProps5.xml><?xml version="1.0" encoding="utf-8"?>
<ds:datastoreItem xmlns:ds="http://schemas.openxmlformats.org/officeDocument/2006/customXml" ds:itemID="{740205A3-5026-4CC1-9BF8-702181900C2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JAMAA HILL</cp:lastModifiedBy>
  <cp:revision>2</cp:revision>
  <dcterms:created xsi:type="dcterms:W3CDTF">2023-03-21T22:40:00Z</dcterms:created>
  <dcterms:modified xsi:type="dcterms:W3CDTF">2023-03-21T22:40:00Z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0x010100231F563A434FC1438657F9F23EA1D451</vt:lpwstr>
  </property>
  <property fmtid="{D5CDD505-2E9C-101B-9397-08002B2CF9AE}" pid="3" name="_dlc_DocId">
    <vt:lpwstr>QSXZK4DW25JC-2088971228-9141</vt:lpwstr>
  </property>
  <property fmtid="{D5CDD505-2E9C-101B-9397-08002B2CF9AE}" pid="4" name="_dlc_DocIdItemGuid">
    <vt:lpwstr>740d8c0f-f4bf-4c0c-ba79-69f87bcb4fb5</vt:lpwstr>
  </property>
  <property fmtid="{D5CDD505-2E9C-101B-9397-08002B2CF9AE}" pid="5" name="_dlc_DocIdUrl">
    <vt:lpwstr>https://share.cms.gov/center/cciio/CSG/TranDisc/_layouts/15/DocIdRedir.aspx?ID=QSXZK4DW25JC-2088971228-9141, QSXZK4DW25JC-2088971228-9141</vt:lpwstr>
  </property>
</Properties>
</file>