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5D4864" w14:paraId="2028BD17" w14:textId="77777777">
      <w:pPr>
        <w:spacing w:after="374" w:line="259" w:lineRule="auto"/>
        <w:ind w:firstLine="0"/>
      </w:pPr>
      <w:r>
        <w:rPr>
          <w:sz w:val="9"/>
        </w:rPr>
        <w:t xml:space="preserve"> </w:t>
      </w:r>
      <w:r>
        <w:t xml:space="preserve"> </w:t>
      </w:r>
    </w:p>
    <w:p w:rsidR="005D4864" w14:paraId="55EAE8E8" w14:textId="778BA653">
      <w:pPr>
        <w:spacing w:after="73" w:line="259" w:lineRule="auto"/>
        <w:ind w:left="544" w:right="480" w:hanging="10"/>
        <w:jc w:val="center"/>
      </w:pPr>
      <w:r>
        <w:rPr>
          <w:b/>
          <w:sz w:val="32"/>
        </w:rPr>
        <w:t>Supporting Statement Part</w:t>
      </w:r>
      <w:r w:rsidR="00986D0F">
        <w:rPr>
          <w:b/>
          <w:sz w:val="32"/>
        </w:rPr>
        <w:t>-</w:t>
      </w:r>
      <w:r>
        <w:rPr>
          <w:b/>
          <w:sz w:val="32"/>
        </w:rPr>
        <w:t xml:space="preserve">A </w:t>
      </w:r>
      <w:r>
        <w:t xml:space="preserve"> </w:t>
      </w:r>
    </w:p>
    <w:p w:rsidR="00F646EC" w14:paraId="65A6A45F" w14:textId="2F9288AA">
      <w:pPr>
        <w:spacing w:after="73" w:line="259" w:lineRule="auto"/>
        <w:ind w:left="544" w:right="339" w:hanging="10"/>
        <w:jc w:val="center"/>
      </w:pPr>
      <w:r>
        <w:rPr>
          <w:b/>
          <w:sz w:val="32"/>
        </w:rPr>
        <w:t>Medicare Plan Performance Warning Information</w:t>
      </w:r>
    </w:p>
    <w:p w:rsidR="005D4864" w14:paraId="2FF5E60C" w14:textId="66B5C07F">
      <w:pPr>
        <w:spacing w:after="73" w:line="259" w:lineRule="auto"/>
        <w:ind w:left="544" w:right="339" w:hanging="10"/>
        <w:jc w:val="center"/>
      </w:pPr>
      <w:r>
        <w:rPr>
          <w:b/>
          <w:sz w:val="32"/>
        </w:rPr>
        <w:t xml:space="preserve">(CMS-10836, OMB 0938-xxxx) </w:t>
      </w:r>
      <w:r>
        <w:t xml:space="preserve"> </w:t>
      </w:r>
    </w:p>
    <w:p w:rsidR="005D4864" w14:paraId="07872511" w14:textId="77777777">
      <w:pPr>
        <w:spacing w:after="30" w:line="259" w:lineRule="auto"/>
        <w:ind w:left="1856" w:firstLine="0"/>
      </w:pPr>
      <w:r>
        <w:rPr>
          <w:b/>
        </w:rPr>
        <w:t xml:space="preserve"> </w:t>
      </w:r>
      <w:r>
        <w:t xml:space="preserve"> </w:t>
      </w:r>
    </w:p>
    <w:p w:rsidR="005D4864" w14:paraId="66A5B452" w14:textId="77777777">
      <w:pPr>
        <w:pStyle w:val="Heading1"/>
        <w:tabs>
          <w:tab w:val="center" w:pos="1818"/>
        </w:tabs>
        <w:ind w:left="0" w:firstLine="0"/>
      </w:pPr>
      <w:r>
        <w:rPr>
          <w:rFonts w:ascii="Calibri" w:eastAsia="Calibri" w:hAnsi="Calibri" w:cs="Calibri"/>
          <w:b w:val="0"/>
          <w:sz w:val="22"/>
        </w:rPr>
        <w:t xml:space="preserve"> </w:t>
      </w:r>
      <w:r>
        <w:t>A.</w:t>
      </w:r>
      <w:r>
        <w:rPr>
          <w:rFonts w:ascii="Arial" w:eastAsia="Arial" w:hAnsi="Arial" w:cs="Arial"/>
        </w:rPr>
        <w:t xml:space="preserve">  </w:t>
      </w:r>
      <w:r>
        <w:rPr>
          <w:rFonts w:ascii="Arial" w:eastAsia="Arial" w:hAnsi="Arial" w:cs="Arial"/>
        </w:rPr>
        <w:tab/>
      </w:r>
      <w:r>
        <w:t xml:space="preserve">BACKGROUND  </w:t>
      </w:r>
    </w:p>
    <w:p w:rsidR="005D4864" w14:paraId="7E03A200" w14:textId="77777777">
      <w:pPr>
        <w:spacing w:after="108" w:line="259" w:lineRule="auto"/>
        <w:ind w:left="216" w:firstLine="0"/>
      </w:pPr>
      <w:r>
        <w:rPr>
          <w:b/>
        </w:rPr>
        <w:t xml:space="preserve"> </w:t>
      </w:r>
      <w:r>
        <w:t xml:space="preserve"> </w:t>
      </w:r>
    </w:p>
    <w:p w:rsidR="005D4864" w14:paraId="6C6ACFA3" w14:textId="18106A6A">
      <w:pPr>
        <w:ind w:right="167"/>
      </w:pPr>
      <w:r>
        <w:t>The Centers for Medicare &amp; Medicaid Services (CMS) is seeking approval</w:t>
      </w:r>
      <w:r w:rsidR="00692011">
        <w:t xml:space="preserve"> for this new collection</w:t>
      </w:r>
      <w:r>
        <w:t xml:space="preserve"> to collect information to assist in the Agency’s response to two reports from the Department of Health and Human Services Office of the Inspector General (OIG) related to how the agency conveys information on plan performance</w:t>
      </w:r>
      <w:r w:rsidR="005427FF">
        <w:t xml:space="preserve"> (the reports are described below)</w:t>
      </w:r>
      <w:r>
        <w:t xml:space="preserve">.  </w:t>
      </w:r>
    </w:p>
    <w:p w:rsidR="005D4864" w14:paraId="58AC80F2" w14:textId="77777777">
      <w:pPr>
        <w:spacing w:after="122"/>
        <w:ind w:left="185" w:right="167"/>
      </w:pPr>
      <w:r>
        <w:t xml:space="preserve">As a payor and regulator of healthcare for more than 63 million Americans, CMS has an essential role in ensuring that high quality care is delivered by the estimated 3,550 Medicare Advantage (Part C) plans and the estimated 1,439 prescription drug (Part D) plans. To ensure the quality of plans and a high level of care for beneficiaries, CMS oversees and monitors the day- to-day performance of health and drug plans. As part of this oversight, CMS also warns and/or penalizes plans when they violate rules.  </w:t>
      </w:r>
    </w:p>
    <w:p w:rsidR="005D4864" w14:paraId="6CDBB0EF" w14:textId="77777777">
      <w:pPr>
        <w:ind w:left="185" w:right="167"/>
      </w:pPr>
      <w:r>
        <w:t xml:space="preserve">CMS works to make information about plan quality public, both for public accountability and for beneficiary use when making decisions about health and drug plans. CMS has a responsibility to share information about poor plan performance to help beneficiaries — as well as caregivers and other intermediaries who help them, such as State Health Insurance Assistance Program (SHIP) counselors, brokers, and advocacy groups — make informed choices. This work is vitally important.  </w:t>
      </w:r>
    </w:p>
    <w:p w:rsidR="005D4864" w14:paraId="431FA5AE" w14:textId="77777777">
      <w:pPr>
        <w:spacing w:after="149" w:line="259" w:lineRule="auto"/>
        <w:ind w:left="937" w:firstLine="0"/>
      </w:pPr>
      <w:r>
        <w:t xml:space="preserve">  </w:t>
      </w:r>
    </w:p>
    <w:p w:rsidR="005D4864" w:rsidP="001D61AF" w14:paraId="3023CA92" w14:textId="77777777">
      <w:pPr>
        <w:keepNext/>
        <w:keepLines/>
        <w:tabs>
          <w:tab w:val="center" w:pos="1878"/>
        </w:tabs>
        <w:spacing w:after="9" w:line="259" w:lineRule="auto"/>
        <w:ind w:left="0" w:firstLine="0"/>
      </w:pPr>
      <w:r>
        <w:rPr>
          <w:rFonts w:ascii="Calibri" w:eastAsia="Calibri" w:hAnsi="Calibri" w:cs="Calibri"/>
          <w:sz w:val="22"/>
        </w:rPr>
        <w:t xml:space="preserve"> </w:t>
      </w:r>
      <w:r>
        <w:rPr>
          <w:b/>
        </w:rPr>
        <w:t>B.</w:t>
      </w:r>
      <w:r>
        <w:rPr>
          <w:rFonts w:ascii="Arial" w:eastAsia="Arial" w:hAnsi="Arial" w:cs="Arial"/>
          <w:b/>
        </w:rPr>
        <w:t xml:space="preserve">  </w:t>
      </w:r>
      <w:r>
        <w:rPr>
          <w:rFonts w:ascii="Arial" w:eastAsia="Arial" w:hAnsi="Arial" w:cs="Arial"/>
          <w:b/>
        </w:rPr>
        <w:tab/>
      </w:r>
      <w:r>
        <w:rPr>
          <w:b/>
        </w:rPr>
        <w:t xml:space="preserve">JUSTIFICATION </w:t>
      </w:r>
      <w:r>
        <w:t xml:space="preserve"> </w:t>
      </w:r>
    </w:p>
    <w:p w:rsidR="005D4864" w:rsidP="001D61AF" w14:paraId="681F0C04" w14:textId="77777777">
      <w:pPr>
        <w:keepNext/>
        <w:keepLines/>
        <w:spacing w:after="155" w:line="259" w:lineRule="auto"/>
        <w:ind w:firstLine="0"/>
      </w:pPr>
      <w:r>
        <w:rPr>
          <w:b/>
          <w:sz w:val="22"/>
        </w:rPr>
        <w:t xml:space="preserve"> </w:t>
      </w:r>
      <w:r>
        <w:t xml:space="preserve"> </w:t>
      </w:r>
    </w:p>
    <w:p w:rsidR="005D4864" w:rsidP="001D61AF" w14:paraId="0A1CF283" w14:textId="77777777">
      <w:pPr>
        <w:pStyle w:val="Heading1"/>
        <w:tabs>
          <w:tab w:val="center" w:pos="4196"/>
        </w:tabs>
        <w:ind w:left="0" w:firstLine="0"/>
      </w:pPr>
      <w:r>
        <w:rPr>
          <w:rFonts w:ascii="Calibri" w:eastAsia="Calibri" w:hAnsi="Calibri" w:cs="Calibri"/>
          <w:b w:val="0"/>
          <w:sz w:val="22"/>
        </w:rPr>
        <w:t xml:space="preserve"> </w:t>
      </w:r>
      <w:r>
        <w:t>B.1</w:t>
      </w:r>
      <w:r>
        <w:rPr>
          <w:rFonts w:ascii="Arial" w:eastAsia="Arial" w:hAnsi="Arial" w:cs="Arial"/>
        </w:rPr>
        <w:t xml:space="preserve">  </w:t>
      </w:r>
      <w:r>
        <w:rPr>
          <w:rFonts w:ascii="Arial" w:eastAsia="Arial" w:hAnsi="Arial" w:cs="Arial"/>
        </w:rPr>
        <w:tab/>
      </w:r>
      <w:r>
        <w:t xml:space="preserve">Circumstances Making the Collection of Information Necessary  </w:t>
      </w:r>
    </w:p>
    <w:p w:rsidR="00744BD3" w:rsidP="001D61AF" w14:paraId="5445456F" w14:textId="35B772FD">
      <w:pPr>
        <w:keepNext/>
        <w:keepLines/>
        <w:spacing w:after="117" w:line="259" w:lineRule="auto"/>
        <w:ind w:firstLine="0"/>
      </w:pPr>
      <w:r>
        <w:rPr>
          <w:b/>
          <w:sz w:val="22"/>
        </w:rPr>
        <w:t xml:space="preserve"> </w:t>
      </w:r>
      <w:r>
        <w:t xml:space="preserve"> </w:t>
      </w:r>
    </w:p>
    <w:p w:rsidR="00744BD3" w:rsidP="001D61AF" w14:paraId="1EAAB440" w14:textId="0925E681">
      <w:pPr>
        <w:keepNext/>
        <w:keepLines/>
        <w:spacing w:after="127"/>
        <w:ind w:left="0" w:right="302" w:firstLine="720"/>
      </w:pPr>
      <w:r>
        <w:t xml:space="preserve">As required by the </w:t>
      </w:r>
      <w:r w:rsidRPr="00744BD3">
        <w:t>Medicare Prescription Drug, Improvement, and Modernization Act</w:t>
      </w:r>
      <w:r>
        <w:t xml:space="preserve"> (</w:t>
      </w:r>
      <w:r w:rsidRPr="00744BD3">
        <w:t>722(a)(3)(A)(i)</w:t>
      </w:r>
      <w:r>
        <w:t>),</w:t>
      </w:r>
      <w:r w:rsidRPr="00744BD3">
        <w:t> </w:t>
      </w:r>
      <w:r>
        <w:t xml:space="preserve">Medicare Advantage plans “shall provide for the collection, analysis, and reporting of data that permits the measurement of health outcomes and other indices of quality.” </w:t>
      </w:r>
      <w:r>
        <w:t xml:space="preserve">Thus, Medicare collects a substantial volume of information about each MA plan. Medicare shares some of this information with the public. The </w:t>
      </w:r>
      <w:r w:rsidRPr="00744BD3">
        <w:t>Medicare Advantage Quality Rating System</w:t>
      </w:r>
      <w:r>
        <w:t xml:space="preserve"> (as defined at </w:t>
      </w:r>
      <w:r w:rsidRPr="00744BD3">
        <w:t>42 CFR § 422.162</w:t>
      </w:r>
      <w:r>
        <w:t>), is one</w:t>
      </w:r>
      <w:r w:rsidR="00986D0F">
        <w:t>-</w:t>
      </w:r>
      <w:r>
        <w:t xml:space="preserve">way Medicare rates MA plans. </w:t>
      </w:r>
      <w:r w:rsidR="00B1273A">
        <w:t>Star Ratings</w:t>
      </w:r>
      <w:r>
        <w:t xml:space="preserve"> information is also shared with the public.</w:t>
      </w:r>
    </w:p>
    <w:p w:rsidR="005D4864" w:rsidP="00F646EC" w14:paraId="3B6C1F5B" w14:textId="0A3DA4FB">
      <w:pPr>
        <w:spacing w:after="127"/>
        <w:ind w:left="0" w:right="302" w:firstLine="720"/>
      </w:pPr>
      <w:r>
        <w:t>In two recent reports</w:t>
      </w:r>
      <w:r>
        <w:rPr>
          <w:rStyle w:val="FootnoteReference"/>
        </w:rPr>
        <w:footnoteReference w:id="2"/>
      </w:r>
      <w:r>
        <w:t xml:space="preserve">, the Department of Health and Human Services (DHHS) Office of the Inspector General (OIG) suggested CMS needs to enhance how it conveys this information for both Part C and Part D plans, including sharing more information when plans have serious violations or performance problems.  </w:t>
      </w:r>
    </w:p>
    <w:p w:rsidR="005D4864" w:rsidP="00F646EC" w14:paraId="3DFBC78A" w14:textId="77777777">
      <w:pPr>
        <w:spacing w:after="127"/>
        <w:ind w:left="187" w:right="173" w:firstLine="720"/>
      </w:pPr>
      <w:r>
        <w:t xml:space="preserve">In a 2018 report, OIG found evidence suggesting that Medicare Advantage beneficiaries were being inappropriately denied services and payments. For example, during 2014-2016, Medicare Advantage Organizations (MAOs) overturned 75 percent of their own denials each year when beneficiaries appealed, and independent reviewers overturned additional denials. OIG also noted that beneficiaries rarely use the appeals process; during 2014-2016, beneficiaries and providers appealed only 1 percent of denials. Furthermore, OIG observed that while CMS’ audits identified performance problems related to denials, CMS continues to see these violations every year. OIG recommended CMS “provide beneficiaries with clear, easily accessible information about serious violations by MAOs.”  </w:t>
      </w:r>
    </w:p>
    <w:p w:rsidR="005D4864" w14:paraId="7F22DF08" w14:textId="77777777">
      <w:pPr>
        <w:spacing w:after="152"/>
        <w:ind w:left="185" w:right="167"/>
      </w:pPr>
      <w:r>
        <w:t xml:space="preserve">In 2019, OIG issued a second report that studied data and oversight related to Part D pharmacy rejections and coverage denials. When issued for avoidable or inappropriate reasons, such rejections and denials could lead to delays in beneficiary access to needed drugs. OIG found </w:t>
      </w:r>
      <w:r>
        <w:t xml:space="preserve">that when beneficiaries appealed coverage denials at the first level of appeal, they were overturned at least 73% of the time. Additionally, OIG noted that in 2017, CMS cited 53% of Part D contracts for at least one coverage determination process violation that prevented beneficiaries from receiving drugs or led to delays in access to drugs or reimbursement. OIG recommended CMS “provide beneficiaries with clear, easily accessible information about sponsor performance problems, including those related to inappropriate pharmacy rejections and coverage denials.”  </w:t>
      </w:r>
    </w:p>
    <w:p w:rsidR="005D4864" w14:paraId="77D3374E" w14:textId="77777777">
      <w:pPr>
        <w:ind w:left="185" w:right="167"/>
      </w:pPr>
      <w:r>
        <w:t xml:space="preserve">CMS is conducting this research to respond to OIG’s recommendations related to sharing additional information with beneficiaries on plan performance in a clear and accessible format, particularly related to information which may warn or caution beneficiaries about plan performance issues. CMS is seeking to learn more about how beneficiaries, caregivers, and the intermediaries who assist them use and understand the information CMS currently makes (or  </w:t>
      </w:r>
    </w:p>
    <w:p w:rsidR="005D4864" w:rsidP="00F646EC" w14:paraId="3BB5773A" w14:textId="4F018978">
      <w:pPr>
        <w:spacing w:after="174" w:line="309" w:lineRule="auto"/>
        <w:ind w:left="0" w:right="352" w:firstLine="0"/>
      </w:pPr>
      <w:hyperlink r:id="rId6">
        <w:r w:rsidR="0053641B">
          <w:rPr>
            <w:sz w:val="13"/>
          </w:rPr>
          <w:t xml:space="preserve"> </w:t>
        </w:r>
      </w:hyperlink>
      <w:hyperlink r:id="rId6">
        <w:r w:rsidR="0053641B">
          <w:t xml:space="preserve"> </w:t>
        </w:r>
      </w:hyperlink>
      <w:r w:rsidR="0053641B">
        <w:t xml:space="preserve">may make) available, as well as to assess their interest in accessing this information.  </w:t>
      </w:r>
    </w:p>
    <w:p w:rsidR="005D4864" w14:paraId="3BABCF6D" w14:textId="77777777">
      <w:pPr>
        <w:pStyle w:val="Heading1"/>
        <w:tabs>
          <w:tab w:val="center" w:pos="2583"/>
        </w:tabs>
        <w:ind w:left="0" w:firstLine="0"/>
      </w:pPr>
      <w:r>
        <w:rPr>
          <w:rFonts w:ascii="Calibri" w:eastAsia="Calibri" w:hAnsi="Calibri" w:cs="Calibri"/>
          <w:b w:val="0"/>
          <w:sz w:val="22"/>
        </w:rPr>
        <w:t xml:space="preserve"> </w:t>
      </w:r>
      <w:r>
        <w:t>B.2</w:t>
      </w:r>
      <w:r>
        <w:rPr>
          <w:rFonts w:ascii="Arial" w:eastAsia="Arial" w:hAnsi="Arial" w:cs="Arial"/>
        </w:rPr>
        <w:t xml:space="preserve">  </w:t>
      </w:r>
      <w:r>
        <w:rPr>
          <w:rFonts w:ascii="Arial" w:eastAsia="Arial" w:hAnsi="Arial" w:cs="Arial"/>
        </w:rPr>
        <w:tab/>
      </w:r>
      <w:r>
        <w:t xml:space="preserve">Purpose and Use of Information  </w:t>
      </w:r>
    </w:p>
    <w:p w:rsidR="005D4864" w14:paraId="49415CE4" w14:textId="77777777">
      <w:pPr>
        <w:spacing w:after="0" w:line="259" w:lineRule="auto"/>
        <w:ind w:firstLine="0"/>
      </w:pPr>
      <w:r>
        <w:rPr>
          <w:b/>
          <w:sz w:val="22"/>
        </w:rPr>
        <w:t xml:space="preserve"> </w:t>
      </w:r>
      <w:r>
        <w:t xml:space="preserve"> </w:t>
      </w:r>
    </w:p>
    <w:p w:rsidR="005D4864" w14:paraId="6B957DED" w14:textId="77777777">
      <w:pPr>
        <w:ind w:left="185" w:right="167"/>
      </w:pPr>
      <w:r>
        <w:t xml:space="preserve">The feedback CMS is seeking related to how beneficiaries and caregivers use and understand poor plan performance relates to three main types of information:  </w:t>
      </w:r>
    </w:p>
    <w:p w:rsidR="005D4864" w14:paraId="610CEAE7" w14:textId="77777777">
      <w:pPr>
        <w:numPr>
          <w:ilvl w:val="0"/>
          <w:numId w:val="1"/>
        </w:numPr>
        <w:ind w:right="167" w:hanging="360"/>
      </w:pPr>
      <w:r>
        <w:rPr>
          <w:b/>
        </w:rPr>
        <w:t xml:space="preserve">Audits and denial and </w:t>
      </w:r>
      <w:r>
        <w:rPr>
          <w:b/>
        </w:rPr>
        <w:t>appeals</w:t>
      </w:r>
      <w:r>
        <w:rPr>
          <w:b/>
        </w:rPr>
        <w:t xml:space="preserve"> letters: </w:t>
      </w:r>
      <w:r>
        <w:t>This includes information CMS shares now on annual plan audits as well as sample letters CMS generates related to denials and appeals.</w:t>
      </w:r>
      <w:r>
        <w:rPr>
          <w:rFonts w:ascii="Calibri" w:eastAsia="Calibri" w:hAnsi="Calibri" w:cs="Calibri"/>
        </w:rPr>
        <w:t xml:space="preserve"> </w:t>
      </w:r>
      <w:r>
        <w:t xml:space="preserve"> </w:t>
      </w:r>
    </w:p>
    <w:p w:rsidR="005D4864" w14:paraId="479C78DC" w14:textId="77777777">
      <w:pPr>
        <w:numPr>
          <w:ilvl w:val="0"/>
          <w:numId w:val="1"/>
        </w:numPr>
        <w:ind w:right="167" w:hanging="360"/>
      </w:pPr>
      <w:r>
        <w:rPr>
          <w:b/>
        </w:rPr>
        <w:t xml:space="preserve">Enforcement and compliance information: </w:t>
      </w:r>
      <w:r>
        <w:t>This includes information CMS shares now related to enforcement and compliance, including information related to notices of noncompliance, warning letters, sanctions, and civil monetary penalties.</w:t>
      </w:r>
      <w:r>
        <w:rPr>
          <w:rFonts w:ascii="Calibri" w:eastAsia="Calibri" w:hAnsi="Calibri" w:cs="Calibri"/>
        </w:rPr>
        <w:t xml:space="preserve"> </w:t>
      </w:r>
      <w:r>
        <w:t xml:space="preserve"> </w:t>
      </w:r>
    </w:p>
    <w:p w:rsidR="005D4864" w14:paraId="58D55AB3" w14:textId="77777777">
      <w:pPr>
        <w:numPr>
          <w:ilvl w:val="0"/>
          <w:numId w:val="1"/>
        </w:numPr>
        <w:spacing w:after="130"/>
        <w:ind w:right="167" w:hanging="360"/>
      </w:pPr>
      <w:r>
        <w:rPr>
          <w:b/>
        </w:rPr>
        <w:t xml:space="preserve">Other potential indicators of poor plan performance: </w:t>
      </w:r>
      <w:r>
        <w:t>This includes information CMS collects on other indicators of plan performance which CMS may or may not share now, such as complaints, grievances, denials, appeals, and others.</w:t>
      </w:r>
      <w:r>
        <w:rPr>
          <w:rFonts w:ascii="Calibri" w:eastAsia="Calibri" w:hAnsi="Calibri" w:cs="Calibri"/>
        </w:rPr>
        <w:t xml:space="preserve"> </w:t>
      </w:r>
      <w:r>
        <w:t xml:space="preserve"> </w:t>
      </w:r>
    </w:p>
    <w:p w:rsidR="005D4864" w14:paraId="0C056982" w14:textId="77777777">
      <w:pPr>
        <w:spacing w:after="0" w:line="259" w:lineRule="auto"/>
        <w:ind w:firstLine="0"/>
      </w:pPr>
      <w:r>
        <w:rPr>
          <w:sz w:val="37"/>
        </w:rPr>
        <w:t xml:space="preserve"> </w:t>
      </w:r>
      <w:r>
        <w:t xml:space="preserve"> </w:t>
      </w:r>
    </w:p>
    <w:p w:rsidR="005D4864" w14:paraId="46AD69F5" w14:textId="77777777">
      <w:pPr>
        <w:ind w:left="185" w:right="167"/>
      </w:pPr>
      <w:r>
        <w:t xml:space="preserve">Because of the large volume of information being shared, CMS is planning to collect this information via three separate projects. (The volume of information is equivalent to three </w:t>
      </w:r>
      <w:r>
        <w:t>90 minute</w:t>
      </w:r>
      <w:r>
        <w:t xml:space="preserve"> interviews, and is therefore too large to be shared in a single interview.) CMS intends to </w:t>
      </w:r>
      <w:r>
        <w:t xml:space="preserve">share example information on these topics with a qualitative sample of beneficiaries/caregivers and intermediaries (including SHIP counselors, brokers, and advocates) who assist beneficiaries. Audiences will review existing information CMS makes public on each topic in 1) its current format (which is typically not designed for broad access), and 2) reformatted information created for the purposes of this research. Interviewees will be asked to review and assess the information, including how interested they are in it and how they may use it, including impact on enrollment intentions. They will also provide input on various options to present or share the information, including where or if the information should be made available.  </w:t>
      </w:r>
    </w:p>
    <w:p w:rsidR="005D4864" w14:paraId="05C6ABA8" w14:textId="77777777">
      <w:pPr>
        <w:ind w:left="185" w:right="167"/>
      </w:pPr>
      <w:r>
        <w:t xml:space="preserve">CMS will use this feedback to inform its response to OIG’s recommendation that it share additional information on plan performance. Due to the large number of topics CMS is seeking input on, CMS is proposing to conduct this research as a series of individual interviews (IDIs) focused on each of the three topics noted above. The following types of respondents will be included for each topic:  </w:t>
      </w:r>
    </w:p>
    <w:p w:rsidR="005D4864" w14:paraId="31B402BB" w14:textId="77777777">
      <w:pPr>
        <w:numPr>
          <w:ilvl w:val="0"/>
          <w:numId w:val="1"/>
        </w:numPr>
        <w:ind w:right="167" w:hanging="360"/>
      </w:pPr>
      <w:r>
        <w:t xml:space="preserve">Medicare beneficiaries, including individuals with a Medicare Advantage Plan or Original Medicare with a Part D prescription drug plan.  </w:t>
      </w:r>
    </w:p>
    <w:p w:rsidR="005D4864" w14:paraId="61D98A56" w14:textId="77777777">
      <w:pPr>
        <w:numPr>
          <w:ilvl w:val="0"/>
          <w:numId w:val="1"/>
        </w:numPr>
        <w:spacing w:after="143" w:line="260" w:lineRule="auto"/>
        <w:ind w:right="167" w:hanging="360"/>
      </w:pPr>
      <w:r>
        <w:t xml:space="preserve">Caregivers or family members of those with a Medicare Advantage Plan or Original Medicare with a Part D prescription drug plan.  </w:t>
      </w:r>
    </w:p>
    <w:p w:rsidR="005D4864" w14:paraId="719CED3D" w14:textId="77777777">
      <w:pPr>
        <w:numPr>
          <w:ilvl w:val="0"/>
          <w:numId w:val="1"/>
        </w:numPr>
        <w:spacing w:after="43"/>
        <w:ind w:right="167" w:hanging="360"/>
      </w:pPr>
      <w:r>
        <w:t xml:space="preserve">More engaged Medicare beneficiaries (defined as those who seek additional information when selecting a plan and who may be interested in plan performance information), including individuals with a Medicare Advantage Plan or Original Medicare with a Part D prescription drug plan.  </w:t>
      </w:r>
    </w:p>
    <w:p w:rsidR="005D4864" w14:paraId="2C4641DC" w14:textId="77777777">
      <w:pPr>
        <w:numPr>
          <w:ilvl w:val="0"/>
          <w:numId w:val="1"/>
        </w:numPr>
        <w:ind w:right="167" w:hanging="360"/>
      </w:pPr>
      <w:r>
        <w:t xml:space="preserve">Intermediaries who assist beneficiaries with making decisions about Medicare plans, including SHIP counselors, brokers, and advocacy groups.  </w:t>
      </w:r>
    </w:p>
    <w:p w:rsidR="005D4864" w14:paraId="1E5962C6" w14:textId="77777777">
      <w:pPr>
        <w:numPr>
          <w:ilvl w:val="0"/>
          <w:numId w:val="1"/>
        </w:numPr>
        <w:ind w:right="167" w:hanging="360"/>
      </w:pPr>
      <w:r>
        <w:t xml:space="preserve">Spanish-speaking Medicare beneficiaries, including individuals with a Medicare Advantage Plan or Original Medicare with a Part D prescription drug plan.  </w:t>
      </w:r>
    </w:p>
    <w:p w:rsidR="005D4864" w14:paraId="662F1534" w14:textId="77777777">
      <w:pPr>
        <w:numPr>
          <w:ilvl w:val="0"/>
          <w:numId w:val="1"/>
        </w:numPr>
        <w:ind w:right="167" w:hanging="360"/>
      </w:pPr>
      <w:r>
        <w:t xml:space="preserve">Spanish-speaking caregivers or family members of those with a Medicare Advantage Plan or Original Medicare with a Part D prescription drug plan.  </w:t>
      </w:r>
    </w:p>
    <w:p w:rsidR="005D4864" w14:paraId="374D4C79" w14:textId="77777777">
      <w:pPr>
        <w:numPr>
          <w:ilvl w:val="0"/>
          <w:numId w:val="1"/>
        </w:numPr>
        <w:spacing w:after="147"/>
        <w:ind w:right="167" w:hanging="360"/>
      </w:pPr>
      <w:r>
        <w:t xml:space="preserve">Spanish-speaking more engaged Medicare beneficiaries (defined as those who seek additional information when selecting a plan and who may be more interested in plan </w:t>
      </w:r>
      <w:r>
        <w:t xml:space="preserve">performance information), including individuals with a Medicare Advantage Plan or Original Medicare with a Part D prescription drug plan.  </w:t>
      </w:r>
    </w:p>
    <w:p w:rsidR="005D4864" w14:paraId="2B7B9CF8" w14:textId="77777777">
      <w:pPr>
        <w:spacing w:after="0" w:line="259" w:lineRule="auto"/>
        <w:ind w:firstLine="0"/>
      </w:pPr>
      <w:r>
        <w:rPr>
          <w:sz w:val="37"/>
        </w:rPr>
        <w:t xml:space="preserve"> </w:t>
      </w:r>
      <w:r>
        <w:t xml:space="preserve"> </w:t>
      </w:r>
    </w:p>
    <w:p w:rsidR="005D4864" w14:paraId="404195DC" w14:textId="77777777">
      <w:pPr>
        <w:spacing w:line="259" w:lineRule="auto"/>
        <w:ind w:left="737" w:right="167" w:firstLine="0"/>
      </w:pPr>
      <w:r>
        <w:t xml:space="preserve">Information will be collected via individual interviews that will last 90 minutes.  </w:t>
      </w:r>
    </w:p>
    <w:p w:rsidR="005D4864" w14:paraId="2F1EE281" w14:textId="77777777">
      <w:pPr>
        <w:spacing w:after="5" w:line="259" w:lineRule="auto"/>
        <w:ind w:firstLine="0"/>
      </w:pPr>
      <w:r>
        <w:t xml:space="preserve">  </w:t>
      </w:r>
    </w:p>
    <w:p w:rsidR="005D4864" w14:paraId="4EE43093" w14:textId="77777777">
      <w:pPr>
        <w:spacing w:after="35" w:line="259" w:lineRule="auto"/>
        <w:ind w:firstLine="0"/>
      </w:pPr>
      <w:r>
        <w:rPr>
          <w:sz w:val="22"/>
        </w:rPr>
        <w:t xml:space="preserve"> </w:t>
      </w:r>
      <w:r>
        <w:t xml:space="preserve"> </w:t>
      </w:r>
    </w:p>
    <w:p w:rsidR="005D4864" w14:paraId="23285CB5" w14:textId="77777777">
      <w:pPr>
        <w:pStyle w:val="Heading1"/>
        <w:tabs>
          <w:tab w:val="center" w:pos="3070"/>
        </w:tabs>
        <w:ind w:left="0" w:firstLine="0"/>
      </w:pPr>
      <w:r>
        <w:rPr>
          <w:rFonts w:ascii="Calibri" w:eastAsia="Calibri" w:hAnsi="Calibri" w:cs="Calibri"/>
          <w:b w:val="0"/>
          <w:sz w:val="22"/>
        </w:rPr>
        <w:t xml:space="preserve"> </w:t>
      </w:r>
      <w:r>
        <w:t>B.3</w:t>
      </w:r>
      <w:r>
        <w:rPr>
          <w:rFonts w:ascii="Arial" w:eastAsia="Arial" w:hAnsi="Arial" w:cs="Arial"/>
        </w:rPr>
        <w:t xml:space="preserve">  </w:t>
      </w:r>
      <w:r>
        <w:rPr>
          <w:rFonts w:ascii="Arial" w:eastAsia="Arial" w:hAnsi="Arial" w:cs="Arial"/>
        </w:rPr>
        <w:tab/>
      </w:r>
      <w:r>
        <w:t xml:space="preserve">Use of Improved Information Technology  </w:t>
      </w:r>
    </w:p>
    <w:p w:rsidR="005D4864" w14:paraId="5E795568" w14:textId="77777777">
      <w:pPr>
        <w:spacing w:after="0" w:line="259" w:lineRule="auto"/>
        <w:ind w:firstLine="0"/>
      </w:pPr>
      <w:r>
        <w:rPr>
          <w:b/>
          <w:sz w:val="22"/>
        </w:rPr>
        <w:t xml:space="preserve"> </w:t>
      </w:r>
      <w:r>
        <w:t xml:space="preserve"> </w:t>
      </w:r>
    </w:p>
    <w:p w:rsidR="005D4864" w14:paraId="6FCE65D3" w14:textId="77777777">
      <w:pPr>
        <w:spacing w:after="166"/>
        <w:ind w:left="185" w:right="167"/>
      </w:pPr>
      <w:r>
        <w:t xml:space="preserve">Individual interviews will primarily take place in a virtual setting via an online platform that allows for screen sharing. Screen sharing will allow respondents to review and comment on plan warning information. Allowing interviews to take place virtually will reduce the burden of participation. However, to ensure the perspectives are captured of beneficiaries who do not have access to adequate internet or technology, up to n=18 interviews may also be conducted in research facilities to reduce the barrier of technological access. These participants would also take part online, and the protocol would remain identical.  </w:t>
      </w:r>
    </w:p>
    <w:p w:rsidR="005D4864" w14:paraId="5C2530D5" w14:textId="77777777">
      <w:pPr>
        <w:pStyle w:val="Heading1"/>
        <w:tabs>
          <w:tab w:val="center" w:pos="2493"/>
        </w:tabs>
        <w:ind w:left="0" w:firstLine="0"/>
      </w:pPr>
      <w:r>
        <w:rPr>
          <w:rFonts w:ascii="Calibri" w:eastAsia="Calibri" w:hAnsi="Calibri" w:cs="Calibri"/>
          <w:b w:val="0"/>
          <w:sz w:val="22"/>
        </w:rPr>
        <w:t xml:space="preserve"> </w:t>
      </w:r>
      <w:r>
        <w:t>B.4</w:t>
      </w:r>
      <w:r>
        <w:rPr>
          <w:rFonts w:ascii="Arial" w:eastAsia="Arial" w:hAnsi="Arial" w:cs="Arial"/>
        </w:rPr>
        <w:t xml:space="preserve">  </w:t>
      </w:r>
      <w:r>
        <w:rPr>
          <w:rFonts w:ascii="Arial" w:eastAsia="Arial" w:hAnsi="Arial" w:cs="Arial"/>
        </w:rPr>
        <w:tab/>
      </w:r>
      <w:r>
        <w:t xml:space="preserve">Efforts to Identify Duplication  </w:t>
      </w:r>
    </w:p>
    <w:p w:rsidR="005D4864" w14:paraId="19CF4BD9" w14:textId="77777777">
      <w:pPr>
        <w:spacing w:after="0" w:line="259" w:lineRule="auto"/>
        <w:ind w:firstLine="0"/>
      </w:pPr>
      <w:r>
        <w:rPr>
          <w:b/>
          <w:sz w:val="22"/>
        </w:rPr>
        <w:t xml:space="preserve"> </w:t>
      </w:r>
      <w:r>
        <w:t xml:space="preserve"> </w:t>
      </w:r>
    </w:p>
    <w:p w:rsidR="005D4864" w14:paraId="409D8FF6" w14:textId="77777777">
      <w:pPr>
        <w:spacing w:after="159" w:line="259" w:lineRule="auto"/>
        <w:ind w:left="937" w:right="167" w:firstLine="0"/>
      </w:pPr>
      <w:r>
        <w:t xml:space="preserve">CMS is the only Cabinet Department with statutory responsibility for Medicare. Within  </w:t>
      </w:r>
    </w:p>
    <w:p w:rsidR="005D4864" w14:paraId="77A898D2" w14:textId="77777777">
      <w:pPr>
        <w:spacing w:after="161"/>
        <w:ind w:left="196" w:right="167" w:hanging="11"/>
      </w:pPr>
      <w:r>
        <w:t xml:space="preserve">CMS, responsibility for responding to OIG’s concerns about beneficiary communication is being led by the Medicare Drug Benefit and C and D Data Group, which is sponsoring this request. To the best of our knowledge, no other entity within the Federal Government has gathered or is planning to gather similar data. The attached qualitative instruments have been reviewed carefully to avoid potential duplication.  </w:t>
      </w:r>
    </w:p>
    <w:p w:rsidR="005D4864" w14:paraId="19FBA2EF" w14:textId="77777777">
      <w:pPr>
        <w:tabs>
          <w:tab w:val="center" w:pos="2450"/>
        </w:tabs>
        <w:spacing w:after="9" w:line="259" w:lineRule="auto"/>
        <w:ind w:left="0" w:firstLine="0"/>
      </w:pPr>
      <w:r>
        <w:rPr>
          <w:rFonts w:ascii="Calibri" w:eastAsia="Calibri" w:hAnsi="Calibri" w:cs="Calibri"/>
          <w:sz w:val="22"/>
        </w:rPr>
        <w:t xml:space="preserve"> </w:t>
      </w:r>
      <w:r>
        <w:rPr>
          <w:b/>
        </w:rPr>
        <w:t>B.5</w:t>
      </w:r>
      <w:r>
        <w:rPr>
          <w:rFonts w:ascii="Arial" w:eastAsia="Arial" w:hAnsi="Arial" w:cs="Arial"/>
          <w:b/>
        </w:rPr>
        <w:t xml:space="preserve">  </w:t>
      </w:r>
      <w:r>
        <w:rPr>
          <w:rFonts w:ascii="Arial" w:eastAsia="Arial" w:hAnsi="Arial" w:cs="Arial"/>
          <w:b/>
        </w:rPr>
        <w:tab/>
      </w:r>
      <w:r>
        <w:rPr>
          <w:b/>
        </w:rPr>
        <w:t xml:space="preserve">Involvement of Small Entities </w:t>
      </w:r>
      <w:r>
        <w:t xml:space="preserve"> </w:t>
      </w:r>
    </w:p>
    <w:p w:rsidR="005D4864" w14:paraId="65A65B00" w14:textId="77777777">
      <w:pPr>
        <w:spacing w:after="0" w:line="259" w:lineRule="auto"/>
        <w:ind w:firstLine="0"/>
      </w:pPr>
      <w:r>
        <w:rPr>
          <w:b/>
          <w:sz w:val="22"/>
        </w:rPr>
        <w:t xml:space="preserve"> </w:t>
      </w:r>
      <w:r>
        <w:t xml:space="preserve"> </w:t>
      </w:r>
    </w:p>
    <w:p w:rsidR="005D4864" w14:paraId="39FE0756" w14:textId="77777777">
      <w:pPr>
        <w:spacing w:line="259" w:lineRule="auto"/>
        <w:ind w:left="937" w:right="167" w:firstLine="0"/>
      </w:pPr>
      <w:r>
        <w:t xml:space="preserve">This information collection request does not </w:t>
      </w:r>
      <w:r>
        <w:t>involve</w:t>
      </w:r>
      <w:r>
        <w:t xml:space="preserve"> any small businesses.  </w:t>
      </w:r>
    </w:p>
    <w:p w:rsidR="005D4864" w14:paraId="616C3D24" w14:textId="77777777">
      <w:pPr>
        <w:spacing w:after="35" w:line="259" w:lineRule="auto"/>
        <w:ind w:firstLine="0"/>
      </w:pPr>
      <w:r>
        <w:rPr>
          <w:sz w:val="22"/>
        </w:rPr>
        <w:t xml:space="preserve"> </w:t>
      </w:r>
      <w:r>
        <w:t xml:space="preserve"> </w:t>
      </w:r>
    </w:p>
    <w:p w:rsidR="005D4864" w14:paraId="10727230" w14:textId="77777777">
      <w:pPr>
        <w:pStyle w:val="Heading1"/>
        <w:tabs>
          <w:tab w:val="center" w:pos="3887"/>
        </w:tabs>
        <w:ind w:left="0" w:firstLine="0"/>
      </w:pPr>
      <w:r>
        <w:rPr>
          <w:rFonts w:ascii="Calibri" w:eastAsia="Calibri" w:hAnsi="Calibri" w:cs="Calibri"/>
          <w:b w:val="0"/>
          <w:sz w:val="22"/>
        </w:rPr>
        <w:t xml:space="preserve"> </w:t>
      </w:r>
      <w:r>
        <w:t>B.6</w:t>
      </w:r>
      <w:r>
        <w:rPr>
          <w:rFonts w:ascii="Arial" w:eastAsia="Arial" w:hAnsi="Arial" w:cs="Arial"/>
        </w:rPr>
        <w:t xml:space="preserve">  </w:t>
      </w:r>
      <w:r>
        <w:rPr>
          <w:rFonts w:ascii="Arial" w:eastAsia="Arial" w:hAnsi="Arial" w:cs="Arial"/>
        </w:rPr>
        <w:tab/>
      </w:r>
      <w:r>
        <w:t xml:space="preserve">Consequences if Information is Collected Less Frequently  </w:t>
      </w:r>
    </w:p>
    <w:p w:rsidR="005D4864" w14:paraId="11934254" w14:textId="77777777">
      <w:pPr>
        <w:spacing w:after="1" w:line="259" w:lineRule="auto"/>
        <w:ind w:firstLine="0"/>
      </w:pPr>
      <w:r>
        <w:rPr>
          <w:b/>
          <w:sz w:val="22"/>
        </w:rPr>
        <w:t xml:space="preserve"> </w:t>
      </w:r>
      <w:r>
        <w:t xml:space="preserve"> </w:t>
      </w:r>
    </w:p>
    <w:p w:rsidR="005D4864" w14:paraId="59644E68" w14:textId="77777777">
      <w:pPr>
        <w:spacing w:after="167"/>
        <w:ind w:left="185" w:right="167"/>
      </w:pPr>
      <w:r>
        <w:t xml:space="preserve">OIG has asked CMS to respond to its recommendations. CMS needs to collect data to ensure its response is appropriate. This is a single, point-in-time collection to inform CMS’s response.  </w:t>
      </w:r>
    </w:p>
    <w:p w:rsidR="005D4864" w14:paraId="7820C6F7" w14:textId="77777777">
      <w:pPr>
        <w:pStyle w:val="Heading1"/>
        <w:tabs>
          <w:tab w:val="center" w:pos="2090"/>
        </w:tabs>
        <w:ind w:left="0" w:firstLine="0"/>
      </w:pPr>
      <w:r>
        <w:rPr>
          <w:rFonts w:ascii="Calibri" w:eastAsia="Calibri" w:hAnsi="Calibri" w:cs="Calibri"/>
          <w:b w:val="0"/>
          <w:sz w:val="22"/>
        </w:rPr>
        <w:t xml:space="preserve"> </w:t>
      </w:r>
      <w:r>
        <w:t>B.7</w:t>
      </w:r>
      <w:r>
        <w:rPr>
          <w:rFonts w:ascii="Arial" w:eastAsia="Arial" w:hAnsi="Arial" w:cs="Arial"/>
        </w:rPr>
        <w:t xml:space="preserve">  </w:t>
      </w:r>
      <w:r>
        <w:rPr>
          <w:rFonts w:ascii="Arial" w:eastAsia="Arial" w:hAnsi="Arial" w:cs="Arial"/>
        </w:rPr>
        <w:tab/>
      </w:r>
      <w:r>
        <w:t xml:space="preserve">Special Circumstances  </w:t>
      </w:r>
    </w:p>
    <w:p w:rsidR="005D4864" w:rsidP="001D61AF" w14:paraId="270A8BBF" w14:textId="53323D4E">
      <w:pPr>
        <w:spacing w:after="1" w:line="259" w:lineRule="auto"/>
        <w:ind w:left="376" w:firstLine="704"/>
      </w:pPr>
      <w:r>
        <w:t xml:space="preserve">There are no special circumstances that would require an information collection to be conducted in a manner that requires respondents to:  </w:t>
      </w:r>
    </w:p>
    <w:p w:rsidR="005D4864" w14:paraId="5A9FF35B" w14:textId="77777777">
      <w:pPr>
        <w:numPr>
          <w:ilvl w:val="0"/>
          <w:numId w:val="2"/>
        </w:numPr>
        <w:spacing w:after="124" w:line="259" w:lineRule="auto"/>
        <w:ind w:right="167" w:hanging="361"/>
      </w:pPr>
      <w:r>
        <w:t xml:space="preserve">Report information to the agency more often than quarterly;  </w:t>
      </w:r>
    </w:p>
    <w:p w:rsidR="005D4864" w14:paraId="4547C326" w14:textId="77777777">
      <w:pPr>
        <w:numPr>
          <w:ilvl w:val="0"/>
          <w:numId w:val="2"/>
        </w:numPr>
        <w:spacing w:line="259" w:lineRule="auto"/>
        <w:ind w:right="167" w:hanging="361"/>
      </w:pPr>
      <w:r>
        <w:t xml:space="preserve">Prepare a written response to a collection of information in fewer than 30 days after receipt </w:t>
      </w:r>
    </w:p>
    <w:p w:rsidR="005D4864" w14:paraId="6D166184" w14:textId="77777777">
      <w:pPr>
        <w:spacing w:after="126" w:line="259" w:lineRule="auto"/>
        <w:ind w:left="746" w:right="167" w:firstLine="0"/>
      </w:pPr>
      <w:r>
        <w:t xml:space="preserve">of it;   </w:t>
      </w:r>
    </w:p>
    <w:p w:rsidR="005D4864" w14:paraId="0EA8078E" w14:textId="77777777">
      <w:pPr>
        <w:numPr>
          <w:ilvl w:val="0"/>
          <w:numId w:val="2"/>
        </w:numPr>
        <w:spacing w:line="259" w:lineRule="auto"/>
        <w:ind w:right="167" w:hanging="361"/>
      </w:pPr>
      <w:r>
        <w:t xml:space="preserve">Submit more than an original and two copies of any document;  </w:t>
      </w:r>
    </w:p>
    <w:p w:rsidR="005D4864" w14:paraId="5F369D23" w14:textId="77777777">
      <w:pPr>
        <w:numPr>
          <w:ilvl w:val="0"/>
          <w:numId w:val="2"/>
        </w:numPr>
        <w:ind w:right="167" w:hanging="361"/>
      </w:pPr>
      <w:r>
        <w:t xml:space="preserve">Retain records, other than health, medical, government contract, grant-in-aid, or tax records for more than three years;  </w:t>
      </w:r>
    </w:p>
    <w:p w:rsidR="005D4864" w14:paraId="4D373DA7" w14:textId="77777777">
      <w:pPr>
        <w:numPr>
          <w:ilvl w:val="0"/>
          <w:numId w:val="2"/>
        </w:numPr>
        <w:spacing w:after="127" w:line="257" w:lineRule="auto"/>
        <w:ind w:right="167" w:hanging="361"/>
      </w:pPr>
      <w:r>
        <w:t xml:space="preserve">Collect data in connection with a statistical survey that is not designed to produce valid and reliable results that can be generalized to the universe of study;  </w:t>
      </w:r>
    </w:p>
    <w:p w:rsidR="005D4864" w14:paraId="5B4505C2" w14:textId="77777777">
      <w:pPr>
        <w:numPr>
          <w:ilvl w:val="0"/>
          <w:numId w:val="2"/>
        </w:numPr>
        <w:spacing w:after="126" w:line="259" w:lineRule="auto"/>
        <w:ind w:right="167" w:hanging="361"/>
      </w:pPr>
      <w:r>
        <w:t xml:space="preserve">Use a statistical data classification that has not been reviewed and approved by OMB;  </w:t>
      </w:r>
    </w:p>
    <w:p w:rsidR="005D4864" w14:paraId="01FAD85E" w14:textId="77777777">
      <w:pPr>
        <w:numPr>
          <w:ilvl w:val="0"/>
          <w:numId w:val="2"/>
        </w:numPr>
        <w:ind w:right="167" w:hanging="361"/>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5D4864" w14:paraId="0F4B4F6A" w14:textId="77777777">
      <w:pPr>
        <w:numPr>
          <w:ilvl w:val="0"/>
          <w:numId w:val="2"/>
        </w:numPr>
        <w:ind w:right="167" w:hanging="361"/>
      </w:pPr>
      <w:r>
        <w:t xml:space="preserve">Submit proprietary trade secrets, or other confidential information unless the agency can demonstrate that it has instituted procedures to protect the information's confidentiality to the extent permitted by law.  </w:t>
      </w:r>
    </w:p>
    <w:p w:rsidR="005D4864" w14:paraId="57325101" w14:textId="77777777">
      <w:pPr>
        <w:spacing w:after="34" w:line="259" w:lineRule="auto"/>
        <w:ind w:firstLine="0"/>
      </w:pPr>
      <w:r>
        <w:rPr>
          <w:sz w:val="22"/>
        </w:rPr>
        <w:t xml:space="preserve"> </w:t>
      </w:r>
      <w:r>
        <w:t xml:space="preserve"> </w:t>
      </w:r>
    </w:p>
    <w:p w:rsidR="005D4864" w14:paraId="405A6662" w14:textId="77777777">
      <w:pPr>
        <w:pStyle w:val="Heading1"/>
        <w:tabs>
          <w:tab w:val="center" w:pos="2138"/>
        </w:tabs>
        <w:ind w:left="0" w:firstLine="0"/>
      </w:pPr>
      <w:r>
        <w:rPr>
          <w:rFonts w:ascii="Calibri" w:eastAsia="Calibri" w:hAnsi="Calibri" w:cs="Calibri"/>
          <w:b w:val="0"/>
          <w:sz w:val="22"/>
        </w:rPr>
        <w:t xml:space="preserve"> </w:t>
      </w:r>
      <w:r>
        <w:t>B.8</w:t>
      </w:r>
      <w:r>
        <w:rPr>
          <w:rFonts w:ascii="Arial" w:eastAsia="Arial" w:hAnsi="Arial" w:cs="Arial"/>
        </w:rPr>
        <w:t xml:space="preserve">  </w:t>
      </w:r>
      <w:r>
        <w:rPr>
          <w:rFonts w:ascii="Arial" w:eastAsia="Arial" w:hAnsi="Arial" w:cs="Arial"/>
        </w:rPr>
        <w:tab/>
      </w:r>
      <w:r>
        <w:t xml:space="preserve">Federal Register Notice </w:t>
      </w:r>
      <w:r>
        <w:rPr>
          <w:b w:val="0"/>
        </w:rPr>
        <w:t xml:space="preserve"> </w:t>
      </w:r>
    </w:p>
    <w:p w:rsidR="005D4864" w14:paraId="6716A154" w14:textId="77777777">
      <w:pPr>
        <w:spacing w:after="109" w:line="259" w:lineRule="auto"/>
        <w:ind w:firstLine="0"/>
      </w:pPr>
      <w:r>
        <w:rPr>
          <w:b/>
          <w:sz w:val="22"/>
        </w:rPr>
        <w:t xml:space="preserve"> </w:t>
      </w:r>
      <w:r>
        <w:t xml:space="preserve"> </w:t>
      </w:r>
    </w:p>
    <w:p w:rsidR="005D4864" w14:paraId="6A380AA6" w14:textId="77777777">
      <w:pPr>
        <w:spacing w:after="108" w:line="259" w:lineRule="auto"/>
        <w:ind w:left="736" w:right="167" w:firstLine="0"/>
      </w:pPr>
      <w:r>
        <w:t xml:space="preserve">The 60-day Federal Register notice was published on 12/15/2022 (87 FR 76626).  </w:t>
      </w:r>
    </w:p>
    <w:p w:rsidR="005D4864" w14:paraId="02FD7B2B" w14:textId="77777777">
      <w:pPr>
        <w:spacing w:line="259" w:lineRule="auto"/>
        <w:ind w:left="937" w:right="167" w:firstLine="0"/>
      </w:pPr>
      <w:r>
        <w:t xml:space="preserve">No comments were received during the comment period. </w:t>
      </w:r>
    </w:p>
    <w:p w:rsidR="005D4864" w14:paraId="516AD392" w14:textId="77777777">
      <w:pPr>
        <w:spacing w:after="1" w:line="259" w:lineRule="auto"/>
        <w:ind w:left="937" w:firstLine="0"/>
      </w:pPr>
      <w:r>
        <w:t xml:space="preserve"> </w:t>
      </w:r>
    </w:p>
    <w:p w:rsidR="005D4864" w:rsidP="00F646EC" w14:paraId="0A4375AA" w14:textId="77777777">
      <w:pPr>
        <w:spacing w:line="259" w:lineRule="auto"/>
        <w:ind w:right="167"/>
      </w:pPr>
      <w:r>
        <w:t xml:space="preserve">The 30-day Federal Register notice was published on </w:t>
      </w:r>
      <w:r w:rsidR="008115EE">
        <w:t>3/10/2023</w:t>
      </w:r>
      <w:r>
        <w:t xml:space="preserve"> (</w:t>
      </w:r>
      <w:r w:rsidRPr="008115EE" w:rsidR="008115EE">
        <w:t>88 FR 15036</w:t>
      </w:r>
      <w:r>
        <w:t xml:space="preserve">). </w:t>
      </w:r>
    </w:p>
    <w:p w:rsidR="005D4864" w14:paraId="5905BB45" w14:textId="77777777">
      <w:pPr>
        <w:spacing w:after="36" w:line="259" w:lineRule="auto"/>
        <w:ind w:firstLine="0"/>
      </w:pPr>
      <w:r>
        <w:rPr>
          <w:sz w:val="22"/>
        </w:rPr>
        <w:t xml:space="preserve"> </w:t>
      </w:r>
      <w:r>
        <w:t xml:space="preserve"> </w:t>
      </w:r>
    </w:p>
    <w:p w:rsidR="005D4864" w14:paraId="4BEE2EF7" w14:textId="77777777">
      <w:pPr>
        <w:pStyle w:val="Heading1"/>
        <w:tabs>
          <w:tab w:val="center" w:pos="2537"/>
        </w:tabs>
        <w:ind w:left="0" w:firstLine="0"/>
      </w:pPr>
      <w:r>
        <w:rPr>
          <w:rFonts w:ascii="Calibri" w:eastAsia="Calibri" w:hAnsi="Calibri" w:cs="Calibri"/>
          <w:b w:val="0"/>
          <w:sz w:val="22"/>
        </w:rPr>
        <w:t xml:space="preserve"> </w:t>
      </w:r>
      <w:r>
        <w:t>B.9</w:t>
      </w:r>
      <w:r>
        <w:rPr>
          <w:rFonts w:ascii="Arial" w:eastAsia="Arial" w:hAnsi="Arial" w:cs="Arial"/>
        </w:rPr>
        <w:t xml:space="preserve">  </w:t>
      </w:r>
      <w:r>
        <w:rPr>
          <w:rFonts w:ascii="Arial" w:eastAsia="Arial" w:hAnsi="Arial" w:cs="Arial"/>
        </w:rPr>
        <w:tab/>
      </w:r>
      <w:r>
        <w:t xml:space="preserve">Payments/Gifts to Respondents  </w:t>
      </w:r>
    </w:p>
    <w:p w:rsidR="005D4864" w14:paraId="0B8C9EF6" w14:textId="77777777">
      <w:pPr>
        <w:spacing w:after="0" w:line="259" w:lineRule="auto"/>
        <w:ind w:firstLine="0"/>
      </w:pPr>
      <w:r>
        <w:rPr>
          <w:b/>
          <w:sz w:val="22"/>
        </w:rPr>
        <w:t xml:space="preserve"> </w:t>
      </w:r>
      <w:r>
        <w:t xml:space="preserve"> </w:t>
      </w:r>
    </w:p>
    <w:p w:rsidR="005D4864" w14:paraId="2CBB060E" w14:textId="77777777">
      <w:pPr>
        <w:spacing w:after="140"/>
        <w:ind w:left="185" w:right="167"/>
      </w:pPr>
      <w:r>
        <w:t xml:space="preserve">This request involves online individual interviews. CMS will provide a stipend of $125 for beneficiaries/caregivers in 90-minute individual interviews. These stipends are necessary to ensure the validity of research findings as potential respondents are likely to be unwilling to </w:t>
      </w:r>
      <w:r>
        <w:t xml:space="preserve">participate in these research activities without receiving compensation for their time. No stipend will be provided to intermediaries.  </w:t>
      </w:r>
    </w:p>
    <w:p w:rsidR="005D4864" w14:paraId="1DE413E4" w14:textId="77777777">
      <w:pPr>
        <w:pStyle w:val="Heading1"/>
        <w:ind w:left="210"/>
      </w:pPr>
      <w:r>
        <w:t>B.10</w:t>
      </w:r>
      <w:r>
        <w:rPr>
          <w:rFonts w:ascii="Arial" w:eastAsia="Arial" w:hAnsi="Arial" w:cs="Arial"/>
        </w:rPr>
        <w:t xml:space="preserve">   </w:t>
      </w:r>
      <w:r>
        <w:t xml:space="preserve">Assurance of Confidentiality  </w:t>
      </w:r>
    </w:p>
    <w:p w:rsidR="005D4864" w14:paraId="51DBCC45" w14:textId="77777777">
      <w:pPr>
        <w:spacing w:after="1" w:line="259" w:lineRule="auto"/>
        <w:ind w:left="937" w:firstLine="0"/>
      </w:pPr>
      <w:r>
        <w:rPr>
          <w:sz w:val="22"/>
        </w:rPr>
        <w:t xml:space="preserve"> </w:t>
      </w:r>
      <w:r>
        <w:t xml:space="preserve"> </w:t>
      </w:r>
    </w:p>
    <w:p w:rsidR="005D4864" w14:paraId="783866FA" w14:textId="77777777">
      <w:pPr>
        <w:ind w:left="185" w:right="167"/>
      </w:pPr>
      <w:r>
        <w:t xml:space="preserve">Data will be kept private to the extent allowed by law. Individuals contacted as part of this data collection are assured of the confidentiality of their replies under 42 U.S.C. 1306, 20 CFR 401 and 422, 5 U.S.C. 552 (Freedom of Information Act), 5 U.S.C. 552a (Privacy Act of 1974), and OMB Circular A-130.  </w:t>
      </w:r>
    </w:p>
    <w:p w:rsidR="005D4864" w14:paraId="26D384F3" w14:textId="77777777">
      <w:pPr>
        <w:spacing w:after="117" w:line="259" w:lineRule="auto"/>
        <w:ind w:left="937" w:firstLine="0"/>
      </w:pPr>
      <w:r>
        <w:t xml:space="preserve">  </w:t>
      </w:r>
    </w:p>
    <w:p w:rsidR="005D4864" w14:paraId="1BA02922" w14:textId="77777777">
      <w:pPr>
        <w:pStyle w:val="Heading1"/>
        <w:ind w:left="11"/>
      </w:pPr>
      <w:r>
        <w:t xml:space="preserve">B. 11    Questions of a Sensitive Nature  </w:t>
      </w:r>
    </w:p>
    <w:p w:rsidR="005D4864" w14:paraId="6A56C26F" w14:textId="77777777">
      <w:pPr>
        <w:spacing w:after="108" w:line="259" w:lineRule="auto"/>
        <w:ind w:firstLine="0"/>
      </w:pPr>
      <w:r>
        <w:t xml:space="preserve"> </w:t>
      </w:r>
    </w:p>
    <w:p w:rsidR="005D4864" w14:paraId="1D6E084C" w14:textId="77777777">
      <w:pPr>
        <w:ind w:left="185" w:right="167"/>
      </w:pPr>
      <w:r>
        <w:t xml:space="preserve">There are no questions of a sensitive nature included in these interviews; that is, there are no questions that ask about what is typically considered “sensitive,” such as questions about illegal or criminal activities, sexual behavior or orientation, or income.  </w:t>
      </w:r>
    </w:p>
    <w:p w:rsidR="005D4864" w14:paraId="21411BA3" w14:textId="77777777">
      <w:pPr>
        <w:spacing w:after="131"/>
        <w:ind w:left="185" w:right="167"/>
      </w:pPr>
      <w:r>
        <w:t xml:space="preserve">As a part of the screening process for selecting beneficiary/caregiver participants, our screener will ask for information on race, gender identity and ethnicity. This information is necessary since it is important for CMS to get feedback from diverse audiences and will be used to ensure the study is composed of participants who represent various perspectives. All recruiting is conducted by a third-party vendor (such as Schlesinger Research) who specializes in qualitative recruiting. Vendor records for participants will already include information on race and ethnicity – it will not be collected specifically for this study. The vendor will use its own internal database to recruit and invite participants who have agreed to be contacted for studies such as these.   </w:t>
      </w:r>
    </w:p>
    <w:p w:rsidR="005D4864" w14:paraId="59CDEF64" w14:textId="77777777">
      <w:pPr>
        <w:spacing w:after="131"/>
        <w:ind w:left="185" w:right="167"/>
      </w:pPr>
      <w:r>
        <w:t xml:space="preserve">Participant information is never transferred to an information system where it can be retrieved by a personal identifier by CMS. The recruiting vendor will provide remuneration, using its own data systems. No PII is ever transmitted to CMS, nor is new PII collected specifically for this collection. Our recruiting vendor will already store and own the PII necessary to track remuneration and completions.  </w:t>
      </w:r>
    </w:p>
    <w:p w:rsidR="005D4864" w14:paraId="4C65AB7D" w14:textId="77777777">
      <w:pPr>
        <w:spacing w:after="127"/>
        <w:ind w:left="185" w:right="167"/>
      </w:pPr>
      <w:r>
        <w:t xml:space="preserve">No research vendor has been selected to date, but will be selected upon project approval based on project need and cost efficiency to the government.  </w:t>
      </w:r>
    </w:p>
    <w:p w:rsidR="005D4864" w14:paraId="7370C448" w14:textId="77777777">
      <w:pPr>
        <w:spacing w:after="258" w:line="259" w:lineRule="auto"/>
        <w:ind w:left="937" w:firstLine="0"/>
      </w:pPr>
      <w:r>
        <w:t xml:space="preserve">  </w:t>
      </w:r>
    </w:p>
    <w:p w:rsidR="005D4864" w14:paraId="4826F13F" w14:textId="77777777">
      <w:pPr>
        <w:pStyle w:val="Heading1"/>
        <w:ind w:left="210"/>
      </w:pPr>
      <w:r>
        <w:t>B.12</w:t>
      </w:r>
      <w:r>
        <w:rPr>
          <w:rFonts w:ascii="Arial" w:eastAsia="Arial" w:hAnsi="Arial" w:cs="Arial"/>
        </w:rPr>
        <w:t xml:space="preserve"> </w:t>
      </w:r>
      <w:r>
        <w:t xml:space="preserve">Estimates of Annualized Burden Hours and Costs  </w:t>
      </w:r>
    </w:p>
    <w:p w:rsidR="005D4864" w14:paraId="1901D7BA" w14:textId="77777777">
      <w:pPr>
        <w:spacing w:after="0" w:line="259" w:lineRule="auto"/>
        <w:ind w:firstLine="0"/>
      </w:pPr>
      <w:r>
        <w:rPr>
          <w:b/>
          <w:sz w:val="22"/>
        </w:rPr>
        <w:t xml:space="preserve"> </w:t>
      </w:r>
      <w:r>
        <w:t xml:space="preserve"> </w:t>
      </w:r>
    </w:p>
    <w:p w:rsidR="005D4864" w14:paraId="76BDCC3D" w14:textId="77777777">
      <w:pPr>
        <w:spacing w:after="131"/>
        <w:ind w:left="185" w:right="167"/>
      </w:pPr>
      <w:r>
        <w:t xml:space="preserve">Individual interviews will be used to collect information from respondents. The annual burden hours requested (561.3 hours) are based on the number of collections we expect to conduct over the requested period for this clearance.  </w:t>
      </w:r>
    </w:p>
    <w:p w:rsidR="005D4864" w:rsidP="00F646EC" w14:paraId="6A513FE9" w14:textId="77777777">
      <w:pPr>
        <w:keepNext/>
        <w:keepLines/>
        <w:widowControl w:val="0"/>
        <w:spacing w:after="2" w:line="259" w:lineRule="auto"/>
        <w:ind w:left="201" w:hanging="14"/>
      </w:pPr>
      <w:r>
        <w:rPr>
          <w:i/>
          <w:u w:val="single" w:color="000000"/>
        </w:rPr>
        <w:t>Respondents:</w:t>
      </w:r>
      <w:r>
        <w:rPr>
          <w:i/>
        </w:rPr>
        <w:t xml:space="preserve"> </w:t>
      </w:r>
      <w:r>
        <w:t xml:space="preserve"> </w:t>
      </w:r>
    </w:p>
    <w:p w:rsidR="005D4864" w:rsidP="00F646EC" w14:paraId="4A0DC24F" w14:textId="77777777">
      <w:pPr>
        <w:keepNext/>
        <w:keepLines/>
        <w:widowControl w:val="0"/>
        <w:spacing w:after="0" w:line="259" w:lineRule="auto"/>
        <w:ind w:firstLine="0"/>
      </w:pPr>
      <w:r>
        <w:rPr>
          <w:i/>
          <w:sz w:val="22"/>
        </w:rPr>
        <w:t xml:space="preserve"> </w:t>
      </w:r>
      <w:r>
        <w:t xml:space="preserve"> </w:t>
      </w:r>
    </w:p>
    <w:p w:rsidR="005D4864" w:rsidP="00F646EC" w14:paraId="0CE4236C" w14:textId="77777777">
      <w:pPr>
        <w:keepNext/>
        <w:keepLines/>
        <w:widowControl w:val="0"/>
        <w:spacing w:after="112" w:line="259" w:lineRule="auto"/>
        <w:ind w:left="10" w:right="343" w:hanging="10"/>
        <w:jc w:val="center"/>
      </w:pPr>
      <w:r>
        <w:t xml:space="preserve">Respondents will consist of three main types of individuals (described below).  </w:t>
      </w:r>
    </w:p>
    <w:p w:rsidR="005D4864" w14:paraId="272FAE18" w14:textId="77777777">
      <w:pPr>
        <w:spacing w:after="146"/>
        <w:ind w:left="196" w:right="167" w:hanging="11"/>
      </w:pPr>
      <w:r>
        <w:t xml:space="preserve">Respondents across all studies will represent a mixture of gender identities and racial and ethnic backgrounds. Each respondent will take part in a 90-minute session, plus 6-15 minutes for scheduling/screening (there is no screening required for intermediaries; the only qualification is job title). A small number of interviewees (n=18) will also have 15 minutes of travel time because they will participate online at a research facility. We assume, on average, we will need to screen two people to find one qualified respondent, so we have doubled the assumed screening time to 30 minutes to account for that need; scheduling time for intermediaries remains 6 minutes. Each respondent will participate once. Interviews will be conducted in both English and Spanish for beneficiary and caregiver audiences. Intermediary interviews will only be conducted in English.  </w:t>
      </w:r>
    </w:p>
    <w:p w:rsidR="005D4864" w:rsidP="00986D0F" w14:paraId="264A1D09" w14:textId="0E088D47">
      <w:pPr>
        <w:spacing w:after="247" w:line="259" w:lineRule="auto"/>
        <w:ind w:left="216" w:firstLine="0"/>
      </w:pPr>
      <w:r>
        <w:t xml:space="preserve">  Research audiences will include the following groups:  </w:t>
      </w:r>
    </w:p>
    <w:p w:rsidR="005D4864" w14:paraId="0448A363" w14:textId="77777777">
      <w:pPr>
        <w:spacing w:after="13" w:line="259" w:lineRule="auto"/>
        <w:ind w:firstLine="0"/>
      </w:pPr>
      <w:r>
        <w:rPr>
          <w:sz w:val="22"/>
        </w:rPr>
        <w:t xml:space="preserve"> </w:t>
      </w:r>
      <w:r>
        <w:t xml:space="preserve"> </w:t>
      </w:r>
      <w:bookmarkStart w:id="0" w:name="_GoBack"/>
      <w:bookmarkEnd w:id="0"/>
    </w:p>
    <w:p w:rsidR="005D4864" w14:paraId="71B0BA85" w14:textId="77777777">
      <w:pPr>
        <w:spacing w:after="141"/>
        <w:ind w:left="185" w:right="167"/>
      </w:pPr>
      <w:r>
        <w:rPr>
          <w:i/>
        </w:rPr>
        <w:t xml:space="preserve">“Typical” beneficiaries: </w:t>
      </w:r>
      <w:r>
        <w:t xml:space="preserve">Medicare Advantage and Part D enrollees who are enrolling for the first time and/or considering a change in coverage, as well as caregivers or family members who may assist them in selecting a plan. This audience represents “typical” Medicare beneficiaries who are seeking information on coverage options and serves as a benchmark for how to present and frame information on plan performance in a way that is accessible and meaningful for all beneficiaries. We will aim to include beneficiaries of different race/ethnicities, </w:t>
      </w:r>
      <w:r>
        <w:t xml:space="preserve">and include both dual eligible and under-65 disabled populations, and listen for differences along the lines of these variables.  </w:t>
      </w:r>
    </w:p>
    <w:p w:rsidR="005D4864" w14:paraId="23F06AF1" w14:textId="77777777">
      <w:pPr>
        <w:spacing w:after="124"/>
        <w:ind w:left="185" w:right="167"/>
      </w:pPr>
      <w:r>
        <w:rPr>
          <w:i/>
        </w:rPr>
        <w:t xml:space="preserve">“Engaged” beneficiaries: </w:t>
      </w:r>
      <w:r>
        <w:t xml:space="preserve">Medicare Advantage and Part D enrollees who engage in a more extensive or detailed review process before selecting a plan. This audience represents the most likely users of plan warning information. Research with this audience will enable Medicare to understand how to meet this audience’s information needs and preferences.  </w:t>
      </w:r>
    </w:p>
    <w:p w:rsidR="005D4864" w14:paraId="5943654F" w14:textId="77777777">
      <w:pPr>
        <w:spacing w:after="125"/>
        <w:ind w:left="185" w:right="167"/>
      </w:pPr>
      <w:r>
        <w:rPr>
          <w:i/>
        </w:rPr>
        <w:t xml:space="preserve">Intermediaries: </w:t>
      </w:r>
      <w:r>
        <w:t xml:space="preserve">Those who assist beneficiaries in enrolling in plans or in reviewing Medicare coverage options, including SHIP counselors, brokers, and advocacy groups. These individuals represent frequent users of Medicare information, who also direct others to information sources. Research with this audience will ensure information is accessible and meaningful for these critical users.  </w:t>
      </w:r>
    </w:p>
    <w:p w:rsidR="005D4864" w14:paraId="099265AA" w14:textId="0352D082">
      <w:pPr>
        <w:spacing w:after="2" w:line="259" w:lineRule="auto"/>
        <w:ind w:left="195" w:hanging="10"/>
      </w:pPr>
      <w:r>
        <w:rPr>
          <w:i/>
          <w:u w:val="single" w:color="000000"/>
        </w:rPr>
        <w:t>Hourly rate:</w:t>
      </w:r>
      <w:r>
        <w:rPr>
          <w:i/>
        </w:rPr>
        <w:t xml:space="preserve"> </w:t>
      </w:r>
      <w:r>
        <w:t xml:space="preserve"> </w:t>
      </w:r>
    </w:p>
    <w:p w:rsidR="00F646EC" w14:paraId="1B15C260" w14:textId="77777777">
      <w:pPr>
        <w:spacing w:after="2" w:line="259" w:lineRule="auto"/>
        <w:ind w:left="195" w:hanging="10"/>
      </w:pPr>
    </w:p>
    <w:p w:rsidR="005D4864" w14:paraId="14DCC437" w14:textId="77777777">
      <w:pPr>
        <w:ind w:left="185" w:right="167"/>
      </w:pPr>
      <w:r>
        <w:t xml:space="preserve">The estimated annualized costs to respondents is based on Bureau of Labor </w:t>
      </w:r>
      <w:r>
        <w:t>Statistics  (</w:t>
      </w:r>
      <w:r>
        <w:t xml:space="preserve">BLS) data from November 2021 (“Average hourly and weekly earnings of all employees on private nonfarm payrolls by industry sector, seasonally adjusted,” U.S. Department of Labor,  </w:t>
      </w:r>
    </w:p>
    <w:p w:rsidR="005D4864" w14:paraId="74602E72" w14:textId="77777777">
      <w:pPr>
        <w:ind w:right="167" w:firstLine="200"/>
      </w:pPr>
      <w:r>
        <w:t xml:space="preserve">Bureau of Labor Statistics, </w:t>
      </w:r>
      <w:hyperlink r:id="rId7">
        <w:r>
          <w:rPr>
            <w:color w:val="0000FF"/>
            <w:u w:val="single" w:color="0000FF"/>
          </w:rPr>
          <w:t>https://www.bls.gov/news.release/empsit.t19.ht</w:t>
        </w:r>
      </w:hyperlink>
      <w:hyperlink r:id="rId7">
        <w:r>
          <w:rPr>
            <w:color w:val="0000FF"/>
            <w:u w:val="single" w:color="0000FF"/>
          </w:rPr>
          <w:t>m</w:t>
        </w:r>
      </w:hyperlink>
      <w:hyperlink r:id="rId7">
        <w:r>
          <w:t xml:space="preserve">, </w:t>
        </w:r>
      </w:hyperlink>
      <w:hyperlink r:id="rId7">
        <w:r>
          <w:t>a</w:t>
        </w:r>
      </w:hyperlink>
      <w:r>
        <w:t xml:space="preserve">ccessed February 16, 2022). The mean hourly wage for all occupations is $31.23. The employee hourly wage estimates are then adjusted by a factor of 100 percent to account for fringe benefit costs (totaling $62.46 for wage plus fringe benefits). This is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 </w:t>
      </w:r>
      <w:r>
        <w:rPr>
          <w:sz w:val="35"/>
        </w:rPr>
        <w:t xml:space="preserve"> </w:t>
      </w:r>
      <w:r>
        <w:t xml:space="preserve"> </w:t>
      </w:r>
    </w:p>
    <w:p w:rsidR="005D4864" w14:paraId="28E2BBA9" w14:textId="77777777">
      <w:pPr>
        <w:spacing w:after="2" w:line="259" w:lineRule="auto"/>
        <w:ind w:left="195" w:hanging="10"/>
      </w:pPr>
      <w:r>
        <w:rPr>
          <w:i/>
          <w:u w:val="single" w:color="000000"/>
        </w:rPr>
        <w:t>Annual burden estimates:</w:t>
      </w:r>
      <w:r>
        <w:rPr>
          <w:i/>
        </w:rPr>
        <w:t xml:space="preserve"> </w:t>
      </w:r>
      <w:r>
        <w:t xml:space="preserve"> </w:t>
      </w:r>
    </w:p>
    <w:p w:rsidR="005D4864" w14:paraId="1D45F9C5" w14:textId="77777777">
      <w:pPr>
        <w:spacing w:after="31" w:line="236" w:lineRule="auto"/>
        <w:ind w:left="216" w:firstLine="0"/>
      </w:pPr>
      <w:r>
        <w:rPr>
          <w:i/>
        </w:rPr>
        <w:t xml:space="preserve">Numbers reflect calculated totals for all three research projects described above. All three projects will include three respondent groups. The respondent groups listed below have burden totals across the three groups. </w:t>
      </w:r>
      <w:r>
        <w:t xml:space="preserve"> </w:t>
      </w:r>
    </w:p>
    <w:p w:rsidR="005D4864" w14:paraId="208BB6F6" w14:textId="77777777">
      <w:pPr>
        <w:spacing w:after="0" w:line="259" w:lineRule="auto"/>
        <w:ind w:firstLine="0"/>
      </w:pPr>
      <w:r>
        <w:rPr>
          <w:i/>
          <w:sz w:val="11"/>
        </w:rPr>
        <w:t xml:space="preserve"> </w:t>
      </w:r>
      <w:r>
        <w:t xml:space="preserve"> </w:t>
      </w:r>
    </w:p>
    <w:tbl>
      <w:tblPr>
        <w:tblStyle w:val="TableGrid"/>
        <w:tblW w:w="9541" w:type="dxa"/>
        <w:tblInd w:w="137" w:type="dxa"/>
        <w:tblCellMar>
          <w:top w:w="54" w:type="dxa"/>
        </w:tblCellMar>
        <w:tblLook w:val="04A0"/>
      </w:tblPr>
      <w:tblGrid>
        <w:gridCol w:w="2021"/>
        <w:gridCol w:w="162"/>
        <w:gridCol w:w="1225"/>
        <w:gridCol w:w="1225"/>
        <w:gridCol w:w="1225"/>
        <w:gridCol w:w="1226"/>
        <w:gridCol w:w="1235"/>
        <w:gridCol w:w="1222"/>
      </w:tblGrid>
      <w:tr w14:paraId="507F430E" w14:textId="77777777" w:rsidTr="001D61AF">
        <w:tblPrEx>
          <w:tblW w:w="9541" w:type="dxa"/>
          <w:tblInd w:w="137" w:type="dxa"/>
          <w:tblCellMar>
            <w:top w:w="54" w:type="dxa"/>
          </w:tblCellMar>
          <w:tblLook w:val="04A0"/>
        </w:tblPrEx>
        <w:trPr>
          <w:cantSplit/>
          <w:trHeight w:val="1290"/>
        </w:trPr>
        <w:tc>
          <w:tcPr>
            <w:tcW w:w="9541" w:type="dxa"/>
            <w:gridSpan w:val="8"/>
            <w:tcBorders>
              <w:top w:val="nil"/>
              <w:left w:val="nil"/>
              <w:bottom w:val="nil"/>
              <w:right w:val="nil"/>
            </w:tcBorders>
            <w:shd w:val="clear" w:color="auto" w:fill="000000"/>
            <w:vAlign w:val="center"/>
          </w:tcPr>
          <w:p w:rsidR="005D4864" w14:paraId="2AF6BE48" w14:textId="77777777">
            <w:pPr>
              <w:tabs>
                <w:tab w:val="center" w:pos="719"/>
                <w:tab w:val="center" w:pos="1439"/>
                <w:tab w:val="center" w:pos="2159"/>
                <w:tab w:val="center" w:pos="2879"/>
                <w:tab w:val="center" w:pos="3599"/>
                <w:tab w:val="center" w:pos="5394"/>
                <w:tab w:val="center" w:pos="7700"/>
              </w:tabs>
              <w:spacing w:after="0" w:line="259" w:lineRule="auto"/>
              <w:ind w:left="0" w:firstLine="0"/>
            </w:pPr>
            <w:r>
              <w:rPr>
                <w:i/>
              </w:rPr>
              <w:t xml:space="preserve">  </w:t>
            </w:r>
            <w:r>
              <w:rPr>
                <w:i/>
              </w:rPr>
              <w:tab/>
            </w:r>
            <w:r>
              <w:rPr>
                <w:i/>
                <w:sz w:val="22"/>
              </w:rPr>
              <w:t xml:space="preserve">  </w:t>
            </w:r>
            <w:r>
              <w:rPr>
                <w:i/>
                <w:sz w:val="22"/>
              </w:rPr>
              <w:tab/>
            </w:r>
            <w:r>
              <w:rPr>
                <w:sz w:val="22"/>
              </w:rPr>
              <w:t xml:space="preserve">  </w:t>
            </w:r>
            <w:r>
              <w:rPr>
                <w:sz w:val="22"/>
              </w:rPr>
              <w:tab/>
            </w:r>
            <w:r>
              <w:rPr>
                <w:i/>
                <w:sz w:val="33"/>
              </w:rPr>
              <w:t xml:space="preserve">  </w:t>
            </w:r>
            <w:r>
              <w:rPr>
                <w:i/>
                <w:sz w:val="33"/>
              </w:rPr>
              <w:tab/>
            </w:r>
            <w:r>
              <w:rPr>
                <w:i/>
                <w:sz w:val="22"/>
              </w:rPr>
              <w:t xml:space="preserve">  </w:t>
            </w:r>
            <w:r>
              <w:rPr>
                <w:i/>
                <w:sz w:val="22"/>
              </w:rPr>
              <w:tab/>
            </w:r>
            <w:r>
              <w:rPr>
                <w:b/>
                <w:color w:val="FFFFFF"/>
                <w:sz w:val="22"/>
              </w:rPr>
              <w:t xml:space="preserve"> </w:t>
            </w:r>
            <w:r>
              <w:rPr>
                <w:i/>
                <w:sz w:val="20"/>
              </w:rPr>
              <w:t xml:space="preserve">  </w:t>
            </w:r>
            <w:r>
              <w:rPr>
                <w:i/>
                <w:sz w:val="20"/>
              </w:rPr>
              <w:tab/>
            </w:r>
            <w:r>
              <w:rPr>
                <w:b/>
                <w:color w:val="FFFFFF"/>
                <w:sz w:val="22"/>
              </w:rPr>
              <w:t xml:space="preserve">                              </w:t>
            </w:r>
            <w:r>
              <w:rPr>
                <w:b/>
                <w:color w:val="FFFFFF"/>
                <w:sz w:val="22"/>
              </w:rPr>
              <w:t xml:space="preserve">Total  </w:t>
            </w:r>
            <w:r>
              <w:rPr>
                <w:b/>
                <w:color w:val="FFFFFF"/>
                <w:sz w:val="22"/>
              </w:rPr>
              <w:tab/>
            </w:r>
            <w:r>
              <w:rPr>
                <w:b/>
                <w:color w:val="FFFFFF"/>
                <w:sz w:val="22"/>
              </w:rPr>
              <w:t xml:space="preserve">    Average</w:t>
            </w:r>
            <w:r>
              <w:rPr>
                <w:sz w:val="37"/>
                <w:vertAlign w:val="superscript"/>
              </w:rPr>
              <w:t xml:space="preserve"> </w:t>
            </w:r>
            <w:r>
              <w:rPr>
                <w:i/>
                <w:sz w:val="37"/>
                <w:vertAlign w:val="superscript"/>
              </w:rPr>
              <w:t xml:space="preserve"> </w:t>
            </w:r>
            <w:r>
              <w:rPr>
                <w:sz w:val="37"/>
                <w:vertAlign w:val="superscript"/>
              </w:rPr>
              <w:t xml:space="preserve"> </w:t>
            </w:r>
          </w:p>
          <w:p w:rsidR="005D4864" w14:paraId="56EE8B80" w14:textId="77777777">
            <w:pPr>
              <w:tabs>
                <w:tab w:val="center" w:pos="2954"/>
                <w:tab w:val="center" w:pos="5251"/>
                <w:tab w:val="center" w:pos="7704"/>
              </w:tabs>
              <w:spacing w:after="0" w:line="259" w:lineRule="auto"/>
              <w:ind w:left="-1" w:firstLine="0"/>
            </w:pPr>
            <w:r>
              <w:rPr>
                <w:rFonts w:ascii="Calibri" w:eastAsia="Calibri" w:hAnsi="Calibri" w:cs="Calibri"/>
                <w:sz w:val="22"/>
              </w:rPr>
              <w:t xml:space="preserve"> </w:t>
            </w:r>
            <w:r>
              <w:rPr>
                <w:rFonts w:ascii="Calibri" w:eastAsia="Calibri" w:hAnsi="Calibri" w:cs="Calibri"/>
                <w:sz w:val="22"/>
              </w:rPr>
              <w:tab/>
            </w:r>
            <w:r>
              <w:rPr>
                <w:b/>
                <w:color w:val="FFFFFF"/>
                <w:sz w:val="22"/>
              </w:rPr>
              <w:t># of</w:t>
            </w:r>
            <w:r>
              <w:rPr>
                <w:rFonts w:ascii="Calibri" w:eastAsia="Calibri" w:hAnsi="Calibri" w:cs="Calibri"/>
                <w:sz w:val="22"/>
              </w:rPr>
              <w:t xml:space="preserve"> </w:t>
            </w:r>
            <w:r>
              <w:rPr>
                <w:rFonts w:ascii="Calibri" w:eastAsia="Calibri" w:hAnsi="Calibri" w:cs="Calibri"/>
                <w:sz w:val="22"/>
              </w:rPr>
              <w:tab/>
              <w:t xml:space="preserve">             </w:t>
            </w:r>
            <w:r>
              <w:rPr>
                <w:b/>
                <w:color w:val="FFFFFF"/>
                <w:sz w:val="22"/>
              </w:rPr>
              <w:t xml:space="preserve">Hours per     Burden </w:t>
            </w:r>
            <w:r>
              <w:rPr>
                <w:b/>
                <w:color w:val="FFFFFF"/>
                <w:sz w:val="22"/>
              </w:rPr>
              <w:tab/>
              <w:t xml:space="preserve">Hourly </w:t>
            </w:r>
            <w:r>
              <w:t xml:space="preserve"> </w:t>
            </w:r>
            <w:r>
              <w:rPr>
                <w:i/>
                <w:sz w:val="31"/>
                <w:vertAlign w:val="superscript"/>
              </w:rPr>
              <w:t xml:space="preserve"> </w:t>
            </w:r>
            <w:r>
              <w:rPr>
                <w:sz w:val="37"/>
                <w:vertAlign w:val="superscript"/>
              </w:rPr>
              <w:t xml:space="preserve"> </w:t>
            </w:r>
          </w:p>
          <w:p w:rsidR="005D4864" w14:paraId="186A81F2" w14:textId="77777777">
            <w:pPr>
              <w:tabs>
                <w:tab w:val="center" w:pos="1818"/>
                <w:tab w:val="right" w:pos="9541"/>
              </w:tabs>
              <w:spacing w:after="0" w:line="259" w:lineRule="auto"/>
              <w:ind w:left="-1" w:firstLine="0"/>
            </w:pPr>
            <w:r>
              <w:rPr>
                <w:rFonts w:ascii="Calibri" w:eastAsia="Calibri" w:hAnsi="Calibri" w:cs="Calibri"/>
                <w:sz w:val="22"/>
              </w:rPr>
              <w:t xml:space="preserve"> </w:t>
            </w:r>
            <w:r>
              <w:rPr>
                <w:rFonts w:ascii="Calibri" w:eastAsia="Calibri" w:hAnsi="Calibri" w:cs="Calibri"/>
                <w:sz w:val="22"/>
              </w:rPr>
              <w:tab/>
            </w:r>
            <w:r>
              <w:rPr>
                <w:b/>
                <w:color w:val="FFFFFF"/>
                <w:sz w:val="22"/>
              </w:rPr>
              <w:t xml:space="preserve">Type of </w:t>
            </w:r>
            <w:r>
              <w:rPr>
                <w:b/>
                <w:color w:val="FFFFFF"/>
                <w:sz w:val="22"/>
              </w:rPr>
              <w:t>Collection</w:t>
            </w:r>
            <w:r>
              <w:rPr>
                <w:b/>
                <w:sz w:val="22"/>
              </w:rPr>
              <w:t xml:space="preserve">  </w:t>
            </w:r>
            <w:r>
              <w:rPr>
                <w:b/>
                <w:color w:val="FFFFFF"/>
                <w:sz w:val="22"/>
              </w:rPr>
              <w:t>Respondents</w:t>
            </w:r>
            <w:r>
              <w:rPr>
                <w:b/>
                <w:color w:val="FFFFFF"/>
                <w:sz w:val="22"/>
              </w:rPr>
              <w:t xml:space="preserve"> </w:t>
            </w:r>
            <w:r>
              <w:rPr>
                <w:b/>
                <w:color w:val="FFFFFF"/>
                <w:sz w:val="22"/>
              </w:rPr>
              <w:tab/>
              <w:t xml:space="preserve">               Response     Hours</w:t>
            </w:r>
            <w:r>
              <w:rPr>
                <w:b/>
                <w:sz w:val="22"/>
              </w:rPr>
              <w:t xml:space="preserve">  </w:t>
            </w:r>
            <w:r>
              <w:rPr>
                <w:b/>
                <w:color w:val="FFFFFF"/>
                <w:sz w:val="22"/>
              </w:rPr>
              <w:t xml:space="preserve">                  Rate + </w:t>
            </w:r>
            <w:r>
              <w:t xml:space="preserve"> </w:t>
            </w:r>
            <w:r>
              <w:rPr>
                <w:b/>
                <w:color w:val="FFFFFF"/>
                <w:sz w:val="34"/>
                <w:vertAlign w:val="superscript"/>
              </w:rPr>
              <w:t>Total Cost</w:t>
            </w:r>
            <w:r>
              <w:rPr>
                <w:b/>
                <w:sz w:val="34"/>
                <w:vertAlign w:val="superscript"/>
              </w:rPr>
              <w:t xml:space="preserve"> </w:t>
            </w:r>
            <w:r>
              <w:rPr>
                <w:sz w:val="37"/>
                <w:vertAlign w:val="superscript"/>
              </w:rPr>
              <w:t xml:space="preserve"> </w:t>
            </w:r>
          </w:p>
          <w:p w:rsidR="005D4864" w14:paraId="4907EF97" w14:textId="77777777">
            <w:pPr>
              <w:tabs>
                <w:tab w:val="center" w:pos="3522"/>
                <w:tab w:val="center" w:pos="6186"/>
              </w:tabs>
              <w:spacing w:after="0" w:line="259" w:lineRule="auto"/>
              <w:ind w:left="0" w:firstLine="0"/>
            </w:pPr>
            <w:r>
              <w:rPr>
                <w:rFonts w:ascii="Calibri" w:eastAsia="Calibri" w:hAnsi="Calibri" w:cs="Calibri"/>
                <w:sz w:val="22"/>
              </w:rPr>
              <w:tab/>
            </w:r>
            <w:r>
              <w:rPr>
                <w:b/>
                <w:sz w:val="22"/>
              </w:rPr>
              <w:t xml:space="preserve">  </w:t>
            </w:r>
            <w:r>
              <w:rPr>
                <w:b/>
                <w:sz w:val="22"/>
              </w:rPr>
              <w:tab/>
              <w:t xml:space="preserve">                                                     </w:t>
            </w:r>
            <w:r>
              <w:rPr>
                <w:b/>
                <w:color w:val="FFFFFF"/>
                <w:sz w:val="22"/>
              </w:rPr>
              <w:t>Fringe</w:t>
            </w:r>
            <w:r>
              <w:rPr>
                <w:b/>
                <w:sz w:val="22"/>
              </w:rPr>
              <w:t xml:space="preserve">  </w:t>
            </w:r>
            <w:r>
              <w:t xml:space="preserve"> </w:t>
            </w:r>
          </w:p>
        </w:tc>
      </w:tr>
      <w:tr w14:paraId="6ABE5348" w14:textId="77777777" w:rsidTr="001D61AF">
        <w:tblPrEx>
          <w:tblW w:w="9541" w:type="dxa"/>
          <w:tblInd w:w="137" w:type="dxa"/>
          <w:tblCellMar>
            <w:top w:w="54" w:type="dxa"/>
          </w:tblCellMar>
          <w:tblLook w:val="04A0"/>
        </w:tblPrEx>
        <w:trPr>
          <w:cantSplit/>
          <w:trHeight w:val="462"/>
        </w:trPr>
        <w:tc>
          <w:tcPr>
            <w:tcW w:w="8320" w:type="dxa"/>
            <w:gridSpan w:val="7"/>
            <w:tcBorders>
              <w:top w:val="nil"/>
              <w:left w:val="single" w:sz="4" w:space="0" w:color="000000"/>
              <w:bottom w:val="single" w:sz="4" w:space="0" w:color="000000"/>
              <w:right w:val="nil"/>
            </w:tcBorders>
            <w:shd w:val="clear" w:color="auto" w:fill="D9D9D9"/>
          </w:tcPr>
          <w:p w:rsidR="005D4864" w14:paraId="3D3C49B3" w14:textId="77777777">
            <w:pPr>
              <w:spacing w:after="0" w:line="259" w:lineRule="auto"/>
              <w:ind w:left="2015" w:firstLine="0"/>
            </w:pPr>
            <w:r>
              <w:rPr>
                <w:b/>
                <w:sz w:val="22"/>
              </w:rPr>
              <w:t xml:space="preserve">Beneficiaries and Caregivers (English language interviews) </w:t>
            </w:r>
            <w:r>
              <w:t xml:space="preserve"> </w:t>
            </w:r>
          </w:p>
        </w:tc>
        <w:tc>
          <w:tcPr>
            <w:tcW w:w="1222" w:type="dxa"/>
            <w:tcBorders>
              <w:top w:val="nil"/>
              <w:left w:val="nil"/>
              <w:bottom w:val="single" w:sz="4" w:space="0" w:color="000000"/>
              <w:right w:val="single" w:sz="4" w:space="0" w:color="000000"/>
            </w:tcBorders>
            <w:shd w:val="clear" w:color="auto" w:fill="D9D9D9"/>
          </w:tcPr>
          <w:p w:rsidR="005D4864" w14:paraId="4CE43B28" w14:textId="77777777">
            <w:pPr>
              <w:spacing w:after="0" w:line="259" w:lineRule="auto"/>
              <w:ind w:left="-2" w:firstLine="0"/>
            </w:pPr>
            <w:r>
              <w:t xml:space="preserve"> </w:t>
            </w:r>
          </w:p>
        </w:tc>
      </w:tr>
      <w:tr w14:paraId="4F8CE5DB" w14:textId="77777777" w:rsidTr="001D61AF">
        <w:tblPrEx>
          <w:tblW w:w="9541" w:type="dxa"/>
          <w:tblInd w:w="137" w:type="dxa"/>
          <w:tblCellMar>
            <w:top w:w="54" w:type="dxa"/>
          </w:tblCellMar>
          <w:tblLook w:val="04A0"/>
        </w:tblPrEx>
        <w:trPr>
          <w:cantSplit/>
          <w:trHeight w:val="655"/>
        </w:trPr>
        <w:tc>
          <w:tcPr>
            <w:tcW w:w="2022" w:type="dxa"/>
            <w:tcBorders>
              <w:top w:val="single" w:sz="4" w:space="0" w:color="000000"/>
              <w:left w:val="single" w:sz="4" w:space="0" w:color="000000"/>
              <w:bottom w:val="single" w:sz="4" w:space="0" w:color="000000"/>
              <w:right w:val="nil"/>
            </w:tcBorders>
          </w:tcPr>
          <w:p w:rsidR="005D4864" w14:paraId="228DE49F" w14:textId="77777777">
            <w:pPr>
              <w:spacing w:after="0" w:line="259" w:lineRule="auto"/>
              <w:ind w:left="119" w:firstLine="0"/>
            </w:pPr>
            <w:r>
              <w:t xml:space="preserve">Screening instrument  </w:t>
            </w:r>
          </w:p>
        </w:tc>
        <w:tc>
          <w:tcPr>
            <w:tcW w:w="162" w:type="dxa"/>
            <w:tcBorders>
              <w:top w:val="single" w:sz="4" w:space="0" w:color="000000"/>
              <w:left w:val="nil"/>
              <w:bottom w:val="single" w:sz="4" w:space="0" w:color="000000"/>
              <w:right w:val="single" w:sz="4" w:space="0" w:color="000000"/>
            </w:tcBorders>
          </w:tcPr>
          <w:p w:rsidR="005D4864" w14:paraId="38887E14" w14:textId="77777777">
            <w:pPr>
              <w:spacing w:after="160" w:line="259" w:lineRule="auto"/>
              <w:ind w:left="0" w:firstLine="0"/>
            </w:pPr>
          </w:p>
        </w:tc>
        <w:tc>
          <w:tcPr>
            <w:tcW w:w="1225" w:type="dxa"/>
            <w:tcBorders>
              <w:top w:val="single" w:sz="4" w:space="0" w:color="000000"/>
              <w:left w:val="single" w:sz="4" w:space="0" w:color="000000"/>
              <w:bottom w:val="single" w:sz="4" w:space="0" w:color="000000"/>
              <w:right w:val="single" w:sz="4" w:space="0" w:color="000000"/>
            </w:tcBorders>
            <w:vAlign w:val="center"/>
          </w:tcPr>
          <w:p w:rsidR="005D4864" w14:paraId="6759A8B2" w14:textId="77777777">
            <w:pPr>
              <w:spacing w:after="0" w:line="259" w:lineRule="auto"/>
              <w:ind w:left="13" w:firstLine="0"/>
              <w:jc w:val="center"/>
            </w:pPr>
            <w:r>
              <w:rPr>
                <w:sz w:val="22"/>
              </w:rPr>
              <w:t xml:space="preserve">156 </w:t>
            </w:r>
            <w:r>
              <w:t xml:space="preserve"> </w:t>
            </w:r>
          </w:p>
        </w:tc>
        <w:tc>
          <w:tcPr>
            <w:tcW w:w="1225" w:type="dxa"/>
            <w:tcBorders>
              <w:top w:val="single" w:sz="4" w:space="0" w:color="000000"/>
              <w:left w:val="single" w:sz="4" w:space="0" w:color="000000"/>
              <w:bottom w:val="single" w:sz="4" w:space="0" w:color="000000"/>
              <w:right w:val="single" w:sz="4" w:space="0" w:color="000000"/>
            </w:tcBorders>
            <w:vAlign w:val="center"/>
          </w:tcPr>
          <w:p w:rsidR="005D4864" w14:paraId="75A98FEC" w14:textId="77777777">
            <w:pPr>
              <w:spacing w:after="0" w:line="259" w:lineRule="auto"/>
              <w:ind w:left="15" w:firstLine="0"/>
              <w:jc w:val="center"/>
            </w:pPr>
            <w:r>
              <w:rPr>
                <w:sz w:val="22"/>
              </w:rPr>
              <w:t xml:space="preserve">1 </w:t>
            </w:r>
            <w:r>
              <w:t xml:space="preserve"> </w:t>
            </w:r>
          </w:p>
        </w:tc>
        <w:tc>
          <w:tcPr>
            <w:tcW w:w="1225" w:type="dxa"/>
            <w:tcBorders>
              <w:top w:val="single" w:sz="4" w:space="0" w:color="000000"/>
              <w:left w:val="single" w:sz="4" w:space="0" w:color="000000"/>
              <w:bottom w:val="single" w:sz="4" w:space="0" w:color="000000"/>
              <w:right w:val="single" w:sz="4" w:space="0" w:color="000000"/>
            </w:tcBorders>
            <w:vAlign w:val="center"/>
          </w:tcPr>
          <w:p w:rsidR="005D4864" w14:paraId="05035A15" w14:textId="77777777">
            <w:pPr>
              <w:spacing w:after="0" w:line="259" w:lineRule="auto"/>
              <w:ind w:left="20" w:firstLine="0"/>
              <w:jc w:val="center"/>
            </w:pPr>
            <w:r>
              <w:rPr>
                <w:sz w:val="22"/>
              </w:rPr>
              <w:t xml:space="preserve">0.5 </w:t>
            </w:r>
            <w:r>
              <w:t xml:space="preserve"> </w:t>
            </w:r>
          </w:p>
        </w:tc>
        <w:tc>
          <w:tcPr>
            <w:tcW w:w="1226" w:type="dxa"/>
            <w:tcBorders>
              <w:top w:val="single" w:sz="4" w:space="0" w:color="000000"/>
              <w:left w:val="single" w:sz="4" w:space="0" w:color="000000"/>
              <w:bottom w:val="single" w:sz="4" w:space="0" w:color="000000"/>
              <w:right w:val="single" w:sz="4" w:space="0" w:color="000000"/>
            </w:tcBorders>
            <w:vAlign w:val="center"/>
          </w:tcPr>
          <w:p w:rsidR="005D4864" w14:paraId="6CA38927" w14:textId="77777777">
            <w:pPr>
              <w:spacing w:after="0" w:line="259" w:lineRule="auto"/>
              <w:ind w:left="26" w:firstLine="0"/>
              <w:jc w:val="center"/>
            </w:pPr>
            <w:r>
              <w:rPr>
                <w:sz w:val="22"/>
              </w:rPr>
              <w:t xml:space="preserve">78 </w:t>
            </w:r>
            <w:r>
              <w:t xml:space="preserve"> </w:t>
            </w:r>
          </w:p>
        </w:tc>
        <w:tc>
          <w:tcPr>
            <w:tcW w:w="1234" w:type="dxa"/>
            <w:tcBorders>
              <w:top w:val="single" w:sz="4" w:space="0" w:color="000000"/>
              <w:left w:val="single" w:sz="4" w:space="0" w:color="000000"/>
              <w:bottom w:val="single" w:sz="4" w:space="0" w:color="000000"/>
              <w:right w:val="single" w:sz="4" w:space="0" w:color="000000"/>
            </w:tcBorders>
            <w:vAlign w:val="center"/>
          </w:tcPr>
          <w:p w:rsidR="005D4864" w14:paraId="58D19FD7" w14:textId="77777777">
            <w:pPr>
              <w:spacing w:after="0" w:line="259" w:lineRule="auto"/>
              <w:ind w:left="12" w:firstLine="0"/>
              <w:jc w:val="center"/>
            </w:pPr>
            <w:r>
              <w:rPr>
                <w:sz w:val="22"/>
              </w:rPr>
              <w:t xml:space="preserve">$62.46 </w:t>
            </w:r>
            <w:r>
              <w:t xml:space="preserve"> </w:t>
            </w:r>
          </w:p>
        </w:tc>
        <w:tc>
          <w:tcPr>
            <w:tcW w:w="1222" w:type="dxa"/>
            <w:tcBorders>
              <w:top w:val="single" w:sz="4" w:space="0" w:color="000000"/>
              <w:left w:val="single" w:sz="4" w:space="0" w:color="000000"/>
              <w:bottom w:val="single" w:sz="4" w:space="0" w:color="000000"/>
              <w:right w:val="single" w:sz="4" w:space="0" w:color="000000"/>
            </w:tcBorders>
            <w:vAlign w:val="center"/>
          </w:tcPr>
          <w:p w:rsidR="005D4864" w14:paraId="7CEDF2EA" w14:textId="77777777">
            <w:pPr>
              <w:spacing w:after="0" w:line="259" w:lineRule="auto"/>
              <w:ind w:left="179" w:firstLine="0"/>
            </w:pPr>
            <w:r>
              <w:rPr>
                <w:b/>
                <w:sz w:val="22"/>
              </w:rPr>
              <w:t xml:space="preserve">$4,871.88 </w:t>
            </w:r>
            <w:r>
              <w:t xml:space="preserve"> </w:t>
            </w:r>
          </w:p>
        </w:tc>
      </w:tr>
      <w:tr w14:paraId="6E90B2E3" w14:textId="77777777" w:rsidTr="001D61AF">
        <w:tblPrEx>
          <w:tblW w:w="9541" w:type="dxa"/>
          <w:tblInd w:w="137" w:type="dxa"/>
          <w:tblCellMar>
            <w:top w:w="54" w:type="dxa"/>
          </w:tblCellMar>
          <w:tblLook w:val="04A0"/>
        </w:tblPrEx>
        <w:trPr>
          <w:cantSplit/>
          <w:trHeight w:val="971"/>
        </w:trPr>
        <w:tc>
          <w:tcPr>
            <w:tcW w:w="2022" w:type="dxa"/>
            <w:tcBorders>
              <w:top w:val="single" w:sz="4" w:space="0" w:color="000000"/>
              <w:left w:val="single" w:sz="4" w:space="0" w:color="000000"/>
              <w:bottom w:val="single" w:sz="4" w:space="0" w:color="000000"/>
              <w:right w:val="nil"/>
            </w:tcBorders>
          </w:tcPr>
          <w:p w:rsidR="005D4864" w14:paraId="6B5ADD4B" w14:textId="77777777">
            <w:pPr>
              <w:spacing w:after="0" w:line="259" w:lineRule="auto"/>
              <w:ind w:left="119" w:right="62" w:firstLine="0"/>
            </w:pPr>
            <w:r>
              <w:t>Travel to in</w:t>
            </w:r>
            <w:r w:rsidR="009E7A21">
              <w:t xml:space="preserve"> </w:t>
            </w:r>
            <w:r>
              <w:t xml:space="preserve">person facility  </w:t>
            </w:r>
          </w:p>
        </w:tc>
        <w:tc>
          <w:tcPr>
            <w:tcW w:w="162" w:type="dxa"/>
            <w:tcBorders>
              <w:top w:val="single" w:sz="4" w:space="0" w:color="000000"/>
              <w:left w:val="nil"/>
              <w:bottom w:val="single" w:sz="4" w:space="0" w:color="000000"/>
              <w:right w:val="single" w:sz="4" w:space="0" w:color="000000"/>
            </w:tcBorders>
          </w:tcPr>
          <w:p w:rsidR="005D4864" w14:paraId="17E8852D" w14:textId="77777777">
            <w:pPr>
              <w:spacing w:after="160" w:line="259" w:lineRule="auto"/>
              <w:ind w:left="0" w:firstLine="0"/>
            </w:pPr>
          </w:p>
        </w:tc>
        <w:tc>
          <w:tcPr>
            <w:tcW w:w="1225" w:type="dxa"/>
            <w:tcBorders>
              <w:top w:val="single" w:sz="4" w:space="0" w:color="000000"/>
              <w:left w:val="single" w:sz="4" w:space="0" w:color="000000"/>
              <w:bottom w:val="single" w:sz="4" w:space="0" w:color="000000"/>
              <w:right w:val="single" w:sz="4" w:space="0" w:color="000000"/>
            </w:tcBorders>
          </w:tcPr>
          <w:p w:rsidR="005D4864" w14:paraId="4E49DDCC" w14:textId="77777777">
            <w:pPr>
              <w:spacing w:after="0" w:line="259" w:lineRule="auto"/>
              <w:ind w:left="0" w:right="98" w:firstLine="0"/>
              <w:jc w:val="center"/>
            </w:pPr>
            <w:r>
              <w:rPr>
                <w:sz w:val="22"/>
              </w:rPr>
              <w:t xml:space="preserve">12 </w:t>
            </w:r>
            <w:r>
              <w:t xml:space="preserve"> </w:t>
            </w:r>
          </w:p>
        </w:tc>
        <w:tc>
          <w:tcPr>
            <w:tcW w:w="1225" w:type="dxa"/>
            <w:tcBorders>
              <w:top w:val="single" w:sz="4" w:space="0" w:color="000000"/>
              <w:left w:val="single" w:sz="4" w:space="0" w:color="000000"/>
              <w:bottom w:val="single" w:sz="4" w:space="0" w:color="000000"/>
              <w:right w:val="single" w:sz="4" w:space="0" w:color="000000"/>
            </w:tcBorders>
          </w:tcPr>
          <w:p w:rsidR="005D4864" w14:paraId="02CEBBC5" w14:textId="77777777">
            <w:pPr>
              <w:spacing w:after="0" w:line="259" w:lineRule="auto"/>
              <w:ind w:left="15" w:firstLine="0"/>
              <w:jc w:val="center"/>
            </w:pPr>
            <w:r>
              <w:rPr>
                <w:sz w:val="22"/>
              </w:rPr>
              <w:t xml:space="preserve">1 </w:t>
            </w:r>
            <w:r>
              <w:t xml:space="preserve"> </w:t>
            </w:r>
          </w:p>
        </w:tc>
        <w:tc>
          <w:tcPr>
            <w:tcW w:w="1225" w:type="dxa"/>
            <w:tcBorders>
              <w:top w:val="single" w:sz="4" w:space="0" w:color="000000"/>
              <w:left w:val="single" w:sz="4" w:space="0" w:color="000000"/>
              <w:bottom w:val="single" w:sz="4" w:space="0" w:color="000000"/>
              <w:right w:val="single" w:sz="4" w:space="0" w:color="000000"/>
            </w:tcBorders>
          </w:tcPr>
          <w:p w:rsidR="005D4864" w14:paraId="5006342E" w14:textId="77777777">
            <w:pPr>
              <w:spacing w:after="0" w:line="259" w:lineRule="auto"/>
              <w:ind w:left="485" w:firstLine="0"/>
            </w:pPr>
            <w:r>
              <w:rPr>
                <w:sz w:val="22"/>
              </w:rPr>
              <w:t xml:space="preserve">0.25 </w:t>
            </w:r>
            <w:r>
              <w:t xml:space="preserve"> </w:t>
            </w:r>
          </w:p>
        </w:tc>
        <w:tc>
          <w:tcPr>
            <w:tcW w:w="1226" w:type="dxa"/>
            <w:tcBorders>
              <w:top w:val="single" w:sz="4" w:space="0" w:color="000000"/>
              <w:left w:val="single" w:sz="4" w:space="0" w:color="000000"/>
              <w:bottom w:val="single" w:sz="4" w:space="0" w:color="000000"/>
              <w:right w:val="single" w:sz="4" w:space="0" w:color="000000"/>
            </w:tcBorders>
          </w:tcPr>
          <w:p w:rsidR="005D4864" w14:paraId="190CAAB9" w14:textId="77777777">
            <w:pPr>
              <w:spacing w:after="0" w:line="259" w:lineRule="auto"/>
              <w:ind w:left="26" w:firstLine="0"/>
              <w:jc w:val="center"/>
            </w:pPr>
            <w:r>
              <w:rPr>
                <w:sz w:val="22"/>
              </w:rPr>
              <w:t xml:space="preserve">3 </w:t>
            </w:r>
            <w:r>
              <w:t xml:space="preserve"> </w:t>
            </w:r>
          </w:p>
        </w:tc>
        <w:tc>
          <w:tcPr>
            <w:tcW w:w="1234" w:type="dxa"/>
            <w:tcBorders>
              <w:top w:val="single" w:sz="4" w:space="0" w:color="000000"/>
              <w:left w:val="single" w:sz="4" w:space="0" w:color="000000"/>
              <w:bottom w:val="single" w:sz="4" w:space="0" w:color="000000"/>
              <w:right w:val="single" w:sz="4" w:space="0" w:color="000000"/>
            </w:tcBorders>
          </w:tcPr>
          <w:p w:rsidR="005D4864" w14:paraId="15FE35CE" w14:textId="77777777">
            <w:pPr>
              <w:spacing w:after="0" w:line="259" w:lineRule="auto"/>
              <w:ind w:left="12" w:firstLine="0"/>
              <w:jc w:val="center"/>
            </w:pPr>
            <w:r>
              <w:rPr>
                <w:sz w:val="22"/>
              </w:rPr>
              <w:t xml:space="preserve">$62.46 </w:t>
            </w:r>
            <w:r>
              <w:t xml:space="preserve"> </w:t>
            </w:r>
          </w:p>
        </w:tc>
        <w:tc>
          <w:tcPr>
            <w:tcW w:w="1222" w:type="dxa"/>
            <w:tcBorders>
              <w:top w:val="single" w:sz="4" w:space="0" w:color="000000"/>
              <w:left w:val="single" w:sz="4" w:space="0" w:color="000000"/>
              <w:bottom w:val="single" w:sz="4" w:space="0" w:color="000000"/>
              <w:right w:val="single" w:sz="4" w:space="0" w:color="000000"/>
            </w:tcBorders>
          </w:tcPr>
          <w:p w:rsidR="005D4864" w14:paraId="5462D4F6" w14:textId="77777777">
            <w:pPr>
              <w:spacing w:after="0" w:line="259" w:lineRule="auto"/>
              <w:ind w:left="19" w:firstLine="0"/>
              <w:jc w:val="center"/>
            </w:pPr>
            <w:r>
              <w:rPr>
                <w:b/>
                <w:sz w:val="22"/>
              </w:rPr>
              <w:t xml:space="preserve">$187.38 </w:t>
            </w:r>
            <w:r>
              <w:t xml:space="preserve"> </w:t>
            </w:r>
          </w:p>
        </w:tc>
      </w:tr>
      <w:tr w14:paraId="1F5B1114" w14:textId="77777777" w:rsidTr="001D61AF">
        <w:tblPrEx>
          <w:tblW w:w="9541" w:type="dxa"/>
          <w:tblInd w:w="137" w:type="dxa"/>
          <w:tblCellMar>
            <w:top w:w="54" w:type="dxa"/>
          </w:tblCellMar>
          <w:tblLook w:val="04A0"/>
        </w:tblPrEx>
        <w:trPr>
          <w:cantSplit/>
          <w:trHeight w:val="312"/>
        </w:trPr>
        <w:tc>
          <w:tcPr>
            <w:tcW w:w="2022" w:type="dxa"/>
            <w:tcBorders>
              <w:top w:val="single" w:sz="4" w:space="0" w:color="000000"/>
              <w:left w:val="single" w:sz="4" w:space="0" w:color="000000"/>
              <w:bottom w:val="single" w:sz="4" w:space="0" w:color="000000"/>
              <w:right w:val="nil"/>
            </w:tcBorders>
          </w:tcPr>
          <w:p w:rsidR="005D4864" w14:paraId="402BA048" w14:textId="77777777">
            <w:pPr>
              <w:spacing w:after="0" w:line="259" w:lineRule="auto"/>
              <w:ind w:left="119" w:firstLine="0"/>
            </w:pPr>
            <w:r>
              <w:t xml:space="preserve">90-minute IDIs  </w:t>
            </w:r>
          </w:p>
        </w:tc>
        <w:tc>
          <w:tcPr>
            <w:tcW w:w="162" w:type="dxa"/>
            <w:tcBorders>
              <w:top w:val="single" w:sz="4" w:space="0" w:color="000000"/>
              <w:left w:val="nil"/>
              <w:bottom w:val="single" w:sz="4" w:space="0" w:color="000000"/>
              <w:right w:val="single" w:sz="4" w:space="0" w:color="000000"/>
            </w:tcBorders>
          </w:tcPr>
          <w:p w:rsidR="005D4864" w14:paraId="64B0C0B2" w14:textId="77777777">
            <w:pPr>
              <w:spacing w:after="160" w:line="259" w:lineRule="auto"/>
              <w:ind w:left="0" w:firstLine="0"/>
            </w:pPr>
          </w:p>
        </w:tc>
        <w:tc>
          <w:tcPr>
            <w:tcW w:w="1225" w:type="dxa"/>
            <w:tcBorders>
              <w:top w:val="single" w:sz="4" w:space="0" w:color="000000"/>
              <w:left w:val="single" w:sz="4" w:space="0" w:color="000000"/>
              <w:bottom w:val="single" w:sz="4" w:space="0" w:color="000000"/>
              <w:right w:val="single" w:sz="4" w:space="0" w:color="000000"/>
            </w:tcBorders>
          </w:tcPr>
          <w:p w:rsidR="005D4864" w14:paraId="6BDD64FF" w14:textId="77777777">
            <w:pPr>
              <w:spacing w:after="0" w:line="259" w:lineRule="auto"/>
              <w:ind w:left="13" w:firstLine="0"/>
              <w:jc w:val="center"/>
            </w:pPr>
            <w:r>
              <w:rPr>
                <w:sz w:val="22"/>
              </w:rPr>
              <w:t xml:space="preserve">156 </w:t>
            </w:r>
            <w:r>
              <w:t xml:space="preserve"> </w:t>
            </w:r>
          </w:p>
        </w:tc>
        <w:tc>
          <w:tcPr>
            <w:tcW w:w="1225" w:type="dxa"/>
            <w:tcBorders>
              <w:top w:val="single" w:sz="4" w:space="0" w:color="000000"/>
              <w:left w:val="single" w:sz="4" w:space="0" w:color="000000"/>
              <w:bottom w:val="single" w:sz="4" w:space="0" w:color="000000"/>
              <w:right w:val="single" w:sz="4" w:space="0" w:color="000000"/>
            </w:tcBorders>
          </w:tcPr>
          <w:p w:rsidR="005D4864" w14:paraId="27787FE7" w14:textId="77777777">
            <w:pPr>
              <w:spacing w:after="0" w:line="259" w:lineRule="auto"/>
              <w:ind w:left="15" w:firstLine="0"/>
              <w:jc w:val="center"/>
            </w:pPr>
            <w:r>
              <w:rPr>
                <w:sz w:val="22"/>
              </w:rPr>
              <w:t xml:space="preserve">1 </w:t>
            </w:r>
            <w:r>
              <w:t xml:space="preserve"> </w:t>
            </w:r>
          </w:p>
        </w:tc>
        <w:tc>
          <w:tcPr>
            <w:tcW w:w="1225" w:type="dxa"/>
            <w:tcBorders>
              <w:top w:val="single" w:sz="4" w:space="0" w:color="000000"/>
              <w:left w:val="single" w:sz="4" w:space="0" w:color="000000"/>
              <w:bottom w:val="single" w:sz="4" w:space="0" w:color="000000"/>
              <w:right w:val="single" w:sz="4" w:space="0" w:color="000000"/>
            </w:tcBorders>
          </w:tcPr>
          <w:p w:rsidR="005D4864" w14:paraId="54CF7EBC" w14:textId="77777777">
            <w:pPr>
              <w:spacing w:after="0" w:line="259" w:lineRule="auto"/>
              <w:ind w:left="20" w:firstLine="0"/>
              <w:jc w:val="center"/>
            </w:pPr>
            <w:r>
              <w:rPr>
                <w:sz w:val="22"/>
              </w:rPr>
              <w:t xml:space="preserve">1.50 </w:t>
            </w:r>
            <w:r>
              <w:t xml:space="preserve"> </w:t>
            </w:r>
          </w:p>
        </w:tc>
        <w:tc>
          <w:tcPr>
            <w:tcW w:w="1226" w:type="dxa"/>
            <w:tcBorders>
              <w:top w:val="single" w:sz="4" w:space="0" w:color="000000"/>
              <w:left w:val="single" w:sz="4" w:space="0" w:color="000000"/>
              <w:bottom w:val="single" w:sz="4" w:space="0" w:color="000000"/>
              <w:right w:val="single" w:sz="4" w:space="0" w:color="000000"/>
            </w:tcBorders>
          </w:tcPr>
          <w:p w:rsidR="005D4864" w14:paraId="373DC684" w14:textId="77777777">
            <w:pPr>
              <w:spacing w:after="0" w:line="259" w:lineRule="auto"/>
              <w:ind w:left="26" w:firstLine="0"/>
              <w:jc w:val="center"/>
            </w:pPr>
            <w:r>
              <w:rPr>
                <w:sz w:val="22"/>
              </w:rPr>
              <w:t xml:space="preserve">234 </w:t>
            </w:r>
            <w:r>
              <w:t xml:space="preserve"> </w:t>
            </w:r>
          </w:p>
        </w:tc>
        <w:tc>
          <w:tcPr>
            <w:tcW w:w="1234" w:type="dxa"/>
            <w:tcBorders>
              <w:top w:val="single" w:sz="4" w:space="0" w:color="000000"/>
              <w:left w:val="single" w:sz="4" w:space="0" w:color="000000"/>
              <w:bottom w:val="single" w:sz="4" w:space="0" w:color="000000"/>
              <w:right w:val="single" w:sz="4" w:space="0" w:color="000000"/>
            </w:tcBorders>
          </w:tcPr>
          <w:p w:rsidR="005D4864" w14:paraId="57F59616" w14:textId="77777777">
            <w:pPr>
              <w:spacing w:after="0" w:line="259" w:lineRule="auto"/>
              <w:ind w:left="12" w:firstLine="0"/>
              <w:jc w:val="center"/>
            </w:pPr>
            <w:r>
              <w:rPr>
                <w:sz w:val="22"/>
              </w:rPr>
              <w:t xml:space="preserve">$62.46 </w:t>
            </w:r>
            <w:r>
              <w:t xml:space="preserve"> </w:t>
            </w:r>
          </w:p>
        </w:tc>
        <w:tc>
          <w:tcPr>
            <w:tcW w:w="1222" w:type="dxa"/>
            <w:tcBorders>
              <w:top w:val="single" w:sz="4" w:space="0" w:color="000000"/>
              <w:left w:val="single" w:sz="4" w:space="0" w:color="000000"/>
              <w:bottom w:val="single" w:sz="4" w:space="0" w:color="000000"/>
              <w:right w:val="single" w:sz="4" w:space="0" w:color="000000"/>
            </w:tcBorders>
          </w:tcPr>
          <w:p w:rsidR="005D4864" w14:paraId="038BA58F" w14:textId="77777777">
            <w:pPr>
              <w:spacing w:after="0" w:line="259" w:lineRule="auto"/>
              <w:ind w:left="124" w:firstLine="0"/>
            </w:pPr>
            <w:r>
              <w:rPr>
                <w:b/>
                <w:sz w:val="22"/>
              </w:rPr>
              <w:t xml:space="preserve">$14,615.64 </w:t>
            </w:r>
            <w:r>
              <w:t xml:space="preserve"> </w:t>
            </w:r>
          </w:p>
        </w:tc>
      </w:tr>
      <w:tr w14:paraId="22E9100C" w14:textId="77777777" w:rsidTr="001D61AF">
        <w:tblPrEx>
          <w:tblW w:w="9541" w:type="dxa"/>
          <w:tblInd w:w="137" w:type="dxa"/>
          <w:tblCellMar>
            <w:top w:w="54" w:type="dxa"/>
          </w:tblCellMar>
          <w:tblLook w:val="04A0"/>
        </w:tblPrEx>
        <w:trPr>
          <w:cantSplit/>
          <w:trHeight w:val="510"/>
        </w:trPr>
        <w:tc>
          <w:tcPr>
            <w:tcW w:w="2022" w:type="dxa"/>
            <w:tcBorders>
              <w:top w:val="single" w:sz="4" w:space="0" w:color="000000"/>
              <w:left w:val="single" w:sz="4" w:space="0" w:color="000000"/>
              <w:bottom w:val="single" w:sz="4" w:space="0" w:color="000000"/>
              <w:right w:val="nil"/>
            </w:tcBorders>
            <w:shd w:val="clear" w:color="auto" w:fill="D9D9D9"/>
          </w:tcPr>
          <w:p w:rsidR="005D4864" w14:paraId="03AAF39A" w14:textId="77777777">
            <w:pPr>
              <w:spacing w:after="160" w:line="259" w:lineRule="auto"/>
              <w:ind w:left="0" w:firstLine="0"/>
            </w:pPr>
          </w:p>
        </w:tc>
        <w:tc>
          <w:tcPr>
            <w:tcW w:w="6298" w:type="dxa"/>
            <w:gridSpan w:val="6"/>
            <w:tcBorders>
              <w:top w:val="single" w:sz="4" w:space="0" w:color="000000"/>
              <w:left w:val="nil"/>
              <w:bottom w:val="single" w:sz="4" w:space="0" w:color="000000"/>
              <w:right w:val="nil"/>
            </w:tcBorders>
            <w:shd w:val="clear" w:color="auto" w:fill="D9D9D9"/>
          </w:tcPr>
          <w:p w:rsidR="005D4864" w14:paraId="50500B6C" w14:textId="77777777">
            <w:pPr>
              <w:spacing w:after="0" w:line="259" w:lineRule="auto"/>
              <w:ind w:left="0" w:firstLine="0"/>
            </w:pPr>
            <w:r>
              <w:rPr>
                <w:b/>
                <w:sz w:val="22"/>
              </w:rPr>
              <w:t xml:space="preserve">Beneficiaries and Caregivers (Spanish language interviews) </w:t>
            </w:r>
            <w:r>
              <w:t xml:space="preserve"> </w:t>
            </w:r>
          </w:p>
        </w:tc>
        <w:tc>
          <w:tcPr>
            <w:tcW w:w="1222" w:type="dxa"/>
            <w:tcBorders>
              <w:top w:val="single" w:sz="4" w:space="0" w:color="000000"/>
              <w:left w:val="nil"/>
              <w:bottom w:val="single" w:sz="4" w:space="0" w:color="000000"/>
              <w:right w:val="single" w:sz="4" w:space="0" w:color="000000"/>
            </w:tcBorders>
            <w:shd w:val="clear" w:color="auto" w:fill="D9D9D9"/>
          </w:tcPr>
          <w:p w:rsidR="005D4864" w14:paraId="29D31C15" w14:textId="77777777">
            <w:pPr>
              <w:spacing w:after="0" w:line="259" w:lineRule="auto"/>
              <w:ind w:left="-1" w:firstLine="0"/>
            </w:pPr>
            <w:r>
              <w:t xml:space="preserve"> </w:t>
            </w:r>
          </w:p>
        </w:tc>
      </w:tr>
      <w:tr w14:paraId="67209255" w14:textId="77777777" w:rsidTr="001D61AF">
        <w:tblPrEx>
          <w:tblW w:w="9541" w:type="dxa"/>
          <w:tblInd w:w="137" w:type="dxa"/>
          <w:tblCellMar>
            <w:top w:w="54" w:type="dxa"/>
          </w:tblCellMar>
          <w:tblLook w:val="04A0"/>
        </w:tblPrEx>
        <w:trPr>
          <w:cantSplit/>
          <w:trHeight w:val="659"/>
        </w:trPr>
        <w:tc>
          <w:tcPr>
            <w:tcW w:w="2022" w:type="dxa"/>
            <w:tcBorders>
              <w:top w:val="single" w:sz="4" w:space="0" w:color="000000"/>
              <w:left w:val="single" w:sz="4" w:space="0" w:color="000000"/>
              <w:bottom w:val="single" w:sz="4" w:space="0" w:color="000000"/>
              <w:right w:val="nil"/>
            </w:tcBorders>
          </w:tcPr>
          <w:p w:rsidR="005D4864" w14:paraId="62195B99" w14:textId="77777777">
            <w:pPr>
              <w:spacing w:after="0" w:line="259" w:lineRule="auto"/>
              <w:ind w:left="119" w:firstLine="0"/>
            </w:pPr>
            <w:r>
              <w:t xml:space="preserve">Screening instrument  </w:t>
            </w:r>
          </w:p>
        </w:tc>
        <w:tc>
          <w:tcPr>
            <w:tcW w:w="162" w:type="dxa"/>
            <w:tcBorders>
              <w:top w:val="single" w:sz="4" w:space="0" w:color="000000"/>
              <w:left w:val="nil"/>
              <w:bottom w:val="single" w:sz="4" w:space="0" w:color="000000"/>
              <w:right w:val="single" w:sz="4" w:space="0" w:color="000000"/>
            </w:tcBorders>
          </w:tcPr>
          <w:p w:rsidR="005D4864" w14:paraId="01DBE21D" w14:textId="77777777">
            <w:pPr>
              <w:spacing w:after="160" w:line="259" w:lineRule="auto"/>
              <w:ind w:left="0" w:firstLine="0"/>
            </w:pPr>
          </w:p>
        </w:tc>
        <w:tc>
          <w:tcPr>
            <w:tcW w:w="1225" w:type="dxa"/>
            <w:tcBorders>
              <w:top w:val="single" w:sz="4" w:space="0" w:color="000000"/>
              <w:left w:val="single" w:sz="4" w:space="0" w:color="000000"/>
              <w:bottom w:val="single" w:sz="4" w:space="0" w:color="000000"/>
              <w:right w:val="single" w:sz="4" w:space="0" w:color="000000"/>
            </w:tcBorders>
            <w:vAlign w:val="center"/>
          </w:tcPr>
          <w:p w:rsidR="005D4864" w14:paraId="6B7E2ABB" w14:textId="77777777">
            <w:pPr>
              <w:spacing w:after="0" w:line="259" w:lineRule="auto"/>
              <w:ind w:left="13" w:firstLine="0"/>
              <w:jc w:val="center"/>
            </w:pPr>
            <w:r>
              <w:rPr>
                <w:sz w:val="22"/>
              </w:rPr>
              <w:t xml:space="preserve">84 </w:t>
            </w:r>
            <w:r>
              <w:t xml:space="preserve"> </w:t>
            </w:r>
          </w:p>
        </w:tc>
        <w:tc>
          <w:tcPr>
            <w:tcW w:w="1225" w:type="dxa"/>
            <w:tcBorders>
              <w:top w:val="single" w:sz="4" w:space="0" w:color="000000"/>
              <w:left w:val="single" w:sz="4" w:space="0" w:color="000000"/>
              <w:bottom w:val="single" w:sz="4" w:space="0" w:color="000000"/>
              <w:right w:val="single" w:sz="4" w:space="0" w:color="000000"/>
            </w:tcBorders>
            <w:vAlign w:val="center"/>
          </w:tcPr>
          <w:p w:rsidR="005D4864" w14:paraId="623A2A9D" w14:textId="77777777">
            <w:pPr>
              <w:spacing w:after="0" w:line="259" w:lineRule="auto"/>
              <w:ind w:left="15" w:firstLine="0"/>
              <w:jc w:val="center"/>
            </w:pPr>
            <w:r>
              <w:rPr>
                <w:sz w:val="22"/>
              </w:rPr>
              <w:t xml:space="preserve">1 </w:t>
            </w:r>
            <w:r>
              <w:t xml:space="preserve"> </w:t>
            </w:r>
          </w:p>
        </w:tc>
        <w:tc>
          <w:tcPr>
            <w:tcW w:w="1225" w:type="dxa"/>
            <w:tcBorders>
              <w:top w:val="single" w:sz="4" w:space="0" w:color="000000"/>
              <w:left w:val="single" w:sz="4" w:space="0" w:color="000000"/>
              <w:bottom w:val="single" w:sz="4" w:space="0" w:color="000000"/>
              <w:right w:val="single" w:sz="4" w:space="0" w:color="000000"/>
            </w:tcBorders>
            <w:vAlign w:val="center"/>
          </w:tcPr>
          <w:p w:rsidR="005D4864" w14:paraId="6C81C257" w14:textId="77777777">
            <w:pPr>
              <w:spacing w:after="0" w:line="259" w:lineRule="auto"/>
              <w:ind w:left="20" w:firstLine="0"/>
              <w:jc w:val="center"/>
            </w:pPr>
            <w:r>
              <w:rPr>
                <w:sz w:val="22"/>
              </w:rPr>
              <w:t xml:space="preserve">0.5 </w:t>
            </w:r>
            <w:r>
              <w:t xml:space="preserve"> </w:t>
            </w:r>
          </w:p>
        </w:tc>
        <w:tc>
          <w:tcPr>
            <w:tcW w:w="1226" w:type="dxa"/>
            <w:tcBorders>
              <w:top w:val="single" w:sz="4" w:space="0" w:color="000000"/>
              <w:left w:val="single" w:sz="4" w:space="0" w:color="000000"/>
              <w:bottom w:val="single" w:sz="4" w:space="0" w:color="000000"/>
              <w:right w:val="single" w:sz="4" w:space="0" w:color="000000"/>
            </w:tcBorders>
            <w:vAlign w:val="center"/>
          </w:tcPr>
          <w:p w:rsidR="005D4864" w14:paraId="490986BB" w14:textId="77777777">
            <w:pPr>
              <w:spacing w:after="0" w:line="259" w:lineRule="auto"/>
              <w:ind w:left="26" w:firstLine="0"/>
              <w:jc w:val="center"/>
            </w:pPr>
            <w:r>
              <w:rPr>
                <w:sz w:val="22"/>
              </w:rPr>
              <w:t xml:space="preserve">42 </w:t>
            </w:r>
            <w:r>
              <w:t xml:space="preserve"> </w:t>
            </w:r>
          </w:p>
        </w:tc>
        <w:tc>
          <w:tcPr>
            <w:tcW w:w="1234" w:type="dxa"/>
            <w:tcBorders>
              <w:top w:val="single" w:sz="4" w:space="0" w:color="000000"/>
              <w:left w:val="single" w:sz="4" w:space="0" w:color="000000"/>
              <w:bottom w:val="single" w:sz="4" w:space="0" w:color="000000"/>
              <w:right w:val="single" w:sz="4" w:space="0" w:color="000000"/>
            </w:tcBorders>
            <w:vAlign w:val="center"/>
          </w:tcPr>
          <w:p w:rsidR="005D4864" w14:paraId="0D8288FB" w14:textId="77777777">
            <w:pPr>
              <w:spacing w:after="0" w:line="259" w:lineRule="auto"/>
              <w:ind w:left="12" w:firstLine="0"/>
              <w:jc w:val="center"/>
            </w:pPr>
            <w:r>
              <w:rPr>
                <w:sz w:val="22"/>
              </w:rPr>
              <w:t xml:space="preserve">$62.46 </w:t>
            </w:r>
            <w:r>
              <w:t xml:space="preserve"> </w:t>
            </w:r>
          </w:p>
        </w:tc>
        <w:tc>
          <w:tcPr>
            <w:tcW w:w="1222" w:type="dxa"/>
            <w:tcBorders>
              <w:top w:val="single" w:sz="4" w:space="0" w:color="000000"/>
              <w:left w:val="single" w:sz="4" w:space="0" w:color="000000"/>
              <w:bottom w:val="single" w:sz="4" w:space="0" w:color="000000"/>
              <w:right w:val="single" w:sz="4" w:space="0" w:color="000000"/>
            </w:tcBorders>
            <w:vAlign w:val="center"/>
          </w:tcPr>
          <w:p w:rsidR="005D4864" w14:paraId="63CDBEE0" w14:textId="77777777">
            <w:pPr>
              <w:spacing w:after="0" w:line="259" w:lineRule="auto"/>
              <w:ind w:left="179" w:firstLine="0"/>
            </w:pPr>
            <w:r>
              <w:rPr>
                <w:b/>
                <w:sz w:val="22"/>
              </w:rPr>
              <w:t xml:space="preserve">$2,623.32 </w:t>
            </w:r>
            <w:r>
              <w:t xml:space="preserve"> </w:t>
            </w:r>
          </w:p>
        </w:tc>
      </w:tr>
      <w:tr w14:paraId="3B4A4EAA" w14:textId="77777777" w:rsidTr="001D61AF">
        <w:tblPrEx>
          <w:tblW w:w="9541" w:type="dxa"/>
          <w:tblInd w:w="137" w:type="dxa"/>
          <w:tblCellMar>
            <w:top w:w="54" w:type="dxa"/>
          </w:tblCellMar>
          <w:tblLook w:val="04A0"/>
        </w:tblPrEx>
        <w:trPr>
          <w:cantSplit/>
          <w:trHeight w:val="974"/>
        </w:trPr>
        <w:tc>
          <w:tcPr>
            <w:tcW w:w="2022" w:type="dxa"/>
            <w:tcBorders>
              <w:top w:val="single" w:sz="4" w:space="0" w:color="000000"/>
              <w:left w:val="single" w:sz="4" w:space="0" w:color="000000"/>
              <w:bottom w:val="single" w:sz="4" w:space="0" w:color="000000"/>
              <w:right w:val="nil"/>
            </w:tcBorders>
          </w:tcPr>
          <w:p w:rsidR="005D4864" w14:paraId="679AA37D" w14:textId="3152F1D3">
            <w:pPr>
              <w:spacing w:after="0" w:line="259" w:lineRule="auto"/>
              <w:ind w:left="119" w:right="62" w:firstLine="0"/>
            </w:pPr>
            <w:r>
              <w:t>Travel to in</w:t>
            </w:r>
            <w:r w:rsidR="00F646EC">
              <w:t xml:space="preserve"> </w:t>
            </w:r>
            <w:r>
              <w:t xml:space="preserve">person facility  </w:t>
            </w:r>
          </w:p>
        </w:tc>
        <w:tc>
          <w:tcPr>
            <w:tcW w:w="162" w:type="dxa"/>
            <w:tcBorders>
              <w:top w:val="single" w:sz="4" w:space="0" w:color="000000"/>
              <w:left w:val="nil"/>
              <w:bottom w:val="single" w:sz="4" w:space="0" w:color="000000"/>
              <w:right w:val="single" w:sz="4" w:space="0" w:color="000000"/>
            </w:tcBorders>
          </w:tcPr>
          <w:p w:rsidR="005D4864" w14:paraId="327EDFBB" w14:textId="77777777">
            <w:pPr>
              <w:spacing w:after="160" w:line="259" w:lineRule="auto"/>
              <w:ind w:left="0" w:firstLine="0"/>
            </w:pPr>
          </w:p>
        </w:tc>
        <w:tc>
          <w:tcPr>
            <w:tcW w:w="1225" w:type="dxa"/>
            <w:tcBorders>
              <w:top w:val="single" w:sz="4" w:space="0" w:color="000000"/>
              <w:left w:val="single" w:sz="4" w:space="0" w:color="000000"/>
              <w:bottom w:val="single" w:sz="4" w:space="0" w:color="000000"/>
              <w:right w:val="single" w:sz="4" w:space="0" w:color="000000"/>
            </w:tcBorders>
          </w:tcPr>
          <w:p w:rsidR="005D4864" w14:paraId="4859E34C" w14:textId="77777777">
            <w:pPr>
              <w:spacing w:after="0" w:line="259" w:lineRule="auto"/>
              <w:ind w:left="0" w:right="206" w:firstLine="0"/>
              <w:jc w:val="center"/>
            </w:pPr>
            <w:r>
              <w:rPr>
                <w:sz w:val="22"/>
              </w:rPr>
              <w:t xml:space="preserve">6 </w:t>
            </w:r>
            <w:r>
              <w:t xml:space="preserve"> </w:t>
            </w:r>
          </w:p>
        </w:tc>
        <w:tc>
          <w:tcPr>
            <w:tcW w:w="1225" w:type="dxa"/>
            <w:tcBorders>
              <w:top w:val="single" w:sz="4" w:space="0" w:color="000000"/>
              <w:left w:val="single" w:sz="4" w:space="0" w:color="000000"/>
              <w:bottom w:val="single" w:sz="4" w:space="0" w:color="000000"/>
              <w:right w:val="single" w:sz="4" w:space="0" w:color="000000"/>
            </w:tcBorders>
          </w:tcPr>
          <w:p w:rsidR="005D4864" w14:paraId="3B71B6B2" w14:textId="77777777">
            <w:pPr>
              <w:spacing w:after="0" w:line="259" w:lineRule="auto"/>
              <w:ind w:left="15" w:firstLine="0"/>
              <w:jc w:val="center"/>
            </w:pPr>
            <w:r>
              <w:rPr>
                <w:sz w:val="22"/>
              </w:rPr>
              <w:t xml:space="preserve">1 </w:t>
            </w:r>
            <w:r>
              <w:t xml:space="preserve"> </w:t>
            </w:r>
          </w:p>
        </w:tc>
        <w:tc>
          <w:tcPr>
            <w:tcW w:w="1225" w:type="dxa"/>
            <w:tcBorders>
              <w:top w:val="single" w:sz="4" w:space="0" w:color="000000"/>
              <w:left w:val="single" w:sz="4" w:space="0" w:color="000000"/>
              <w:bottom w:val="single" w:sz="4" w:space="0" w:color="000000"/>
              <w:right w:val="single" w:sz="4" w:space="0" w:color="000000"/>
            </w:tcBorders>
          </w:tcPr>
          <w:p w:rsidR="005D4864" w14:paraId="147AAD93" w14:textId="77777777">
            <w:pPr>
              <w:spacing w:after="0" w:line="259" w:lineRule="auto"/>
              <w:ind w:left="485" w:firstLine="0"/>
            </w:pPr>
            <w:r>
              <w:rPr>
                <w:sz w:val="22"/>
              </w:rPr>
              <w:t xml:space="preserve">0.25 </w:t>
            </w:r>
            <w:r>
              <w:t xml:space="preserve"> </w:t>
            </w:r>
          </w:p>
        </w:tc>
        <w:tc>
          <w:tcPr>
            <w:tcW w:w="1226" w:type="dxa"/>
            <w:tcBorders>
              <w:top w:val="single" w:sz="4" w:space="0" w:color="000000"/>
              <w:left w:val="single" w:sz="4" w:space="0" w:color="000000"/>
              <w:bottom w:val="single" w:sz="4" w:space="0" w:color="000000"/>
              <w:right w:val="single" w:sz="4" w:space="0" w:color="000000"/>
            </w:tcBorders>
          </w:tcPr>
          <w:p w:rsidR="005D4864" w14:paraId="41618AE3" w14:textId="77777777">
            <w:pPr>
              <w:spacing w:after="0" w:line="259" w:lineRule="auto"/>
              <w:ind w:left="21" w:firstLine="0"/>
              <w:jc w:val="center"/>
            </w:pPr>
            <w:r>
              <w:rPr>
                <w:sz w:val="22"/>
              </w:rPr>
              <w:t xml:space="preserve">1.5 </w:t>
            </w:r>
            <w:r>
              <w:t xml:space="preserve"> </w:t>
            </w:r>
          </w:p>
        </w:tc>
        <w:tc>
          <w:tcPr>
            <w:tcW w:w="1234" w:type="dxa"/>
            <w:tcBorders>
              <w:top w:val="single" w:sz="4" w:space="0" w:color="000000"/>
              <w:left w:val="single" w:sz="4" w:space="0" w:color="000000"/>
              <w:bottom w:val="single" w:sz="4" w:space="0" w:color="000000"/>
              <w:right w:val="single" w:sz="4" w:space="0" w:color="000000"/>
            </w:tcBorders>
          </w:tcPr>
          <w:p w:rsidR="005D4864" w14:paraId="5619FFEE" w14:textId="77777777">
            <w:pPr>
              <w:spacing w:after="0" w:line="259" w:lineRule="auto"/>
              <w:ind w:left="12" w:firstLine="0"/>
              <w:jc w:val="center"/>
            </w:pPr>
            <w:r>
              <w:rPr>
                <w:sz w:val="22"/>
              </w:rPr>
              <w:t xml:space="preserve">$62.46 </w:t>
            </w:r>
            <w:r>
              <w:t xml:space="preserve"> </w:t>
            </w:r>
          </w:p>
        </w:tc>
        <w:tc>
          <w:tcPr>
            <w:tcW w:w="1222" w:type="dxa"/>
            <w:tcBorders>
              <w:top w:val="single" w:sz="4" w:space="0" w:color="000000"/>
              <w:left w:val="single" w:sz="4" w:space="0" w:color="000000"/>
              <w:bottom w:val="single" w:sz="4" w:space="0" w:color="000000"/>
              <w:right w:val="single" w:sz="4" w:space="0" w:color="000000"/>
            </w:tcBorders>
          </w:tcPr>
          <w:p w:rsidR="005D4864" w14:paraId="3E7C22A8" w14:textId="77777777">
            <w:pPr>
              <w:spacing w:after="0" w:line="259" w:lineRule="auto"/>
              <w:ind w:left="19" w:firstLine="0"/>
              <w:jc w:val="center"/>
            </w:pPr>
            <w:r>
              <w:rPr>
                <w:b/>
                <w:sz w:val="22"/>
              </w:rPr>
              <w:t xml:space="preserve">$93.69 </w:t>
            </w:r>
            <w:r>
              <w:t xml:space="preserve"> </w:t>
            </w:r>
          </w:p>
        </w:tc>
      </w:tr>
      <w:tr w14:paraId="3925F20A" w14:textId="77777777" w:rsidTr="001D61AF">
        <w:tblPrEx>
          <w:tblW w:w="9541" w:type="dxa"/>
          <w:tblInd w:w="137" w:type="dxa"/>
          <w:tblCellMar>
            <w:top w:w="54" w:type="dxa"/>
          </w:tblCellMar>
          <w:tblLook w:val="04A0"/>
        </w:tblPrEx>
        <w:trPr>
          <w:cantSplit/>
          <w:trHeight w:val="314"/>
        </w:trPr>
        <w:tc>
          <w:tcPr>
            <w:tcW w:w="2022" w:type="dxa"/>
            <w:tcBorders>
              <w:top w:val="single" w:sz="4" w:space="0" w:color="000000"/>
              <w:left w:val="single" w:sz="4" w:space="0" w:color="000000"/>
              <w:bottom w:val="single" w:sz="4" w:space="0" w:color="000000"/>
              <w:right w:val="nil"/>
            </w:tcBorders>
          </w:tcPr>
          <w:p w:rsidR="005D4864" w14:paraId="2CB89C1C" w14:textId="77777777">
            <w:pPr>
              <w:spacing w:after="0" w:line="259" w:lineRule="auto"/>
              <w:ind w:left="119" w:firstLine="0"/>
            </w:pPr>
            <w:r>
              <w:t xml:space="preserve">90-minute IDIs  </w:t>
            </w:r>
          </w:p>
        </w:tc>
        <w:tc>
          <w:tcPr>
            <w:tcW w:w="162" w:type="dxa"/>
            <w:tcBorders>
              <w:top w:val="single" w:sz="4" w:space="0" w:color="000000"/>
              <w:left w:val="nil"/>
              <w:bottom w:val="single" w:sz="4" w:space="0" w:color="000000"/>
              <w:right w:val="single" w:sz="4" w:space="0" w:color="000000"/>
            </w:tcBorders>
          </w:tcPr>
          <w:p w:rsidR="005D4864" w14:paraId="4149BB88" w14:textId="77777777">
            <w:pPr>
              <w:spacing w:after="160" w:line="259" w:lineRule="auto"/>
              <w:ind w:left="0" w:firstLine="0"/>
            </w:pPr>
          </w:p>
        </w:tc>
        <w:tc>
          <w:tcPr>
            <w:tcW w:w="1225" w:type="dxa"/>
            <w:tcBorders>
              <w:top w:val="single" w:sz="4" w:space="0" w:color="000000"/>
              <w:left w:val="single" w:sz="4" w:space="0" w:color="000000"/>
              <w:bottom w:val="single" w:sz="4" w:space="0" w:color="000000"/>
              <w:right w:val="single" w:sz="4" w:space="0" w:color="000000"/>
            </w:tcBorders>
          </w:tcPr>
          <w:p w:rsidR="005D4864" w14:paraId="44AC36AF" w14:textId="77777777">
            <w:pPr>
              <w:spacing w:after="0" w:line="259" w:lineRule="auto"/>
              <w:ind w:left="13" w:firstLine="0"/>
              <w:jc w:val="center"/>
            </w:pPr>
            <w:r>
              <w:rPr>
                <w:sz w:val="22"/>
              </w:rPr>
              <w:t xml:space="preserve">84 </w:t>
            </w:r>
            <w:r>
              <w:t xml:space="preserve"> </w:t>
            </w:r>
          </w:p>
        </w:tc>
        <w:tc>
          <w:tcPr>
            <w:tcW w:w="1225" w:type="dxa"/>
            <w:tcBorders>
              <w:top w:val="single" w:sz="4" w:space="0" w:color="000000"/>
              <w:left w:val="single" w:sz="4" w:space="0" w:color="000000"/>
              <w:bottom w:val="single" w:sz="4" w:space="0" w:color="000000"/>
              <w:right w:val="single" w:sz="4" w:space="0" w:color="000000"/>
            </w:tcBorders>
          </w:tcPr>
          <w:p w:rsidR="005D4864" w14:paraId="1DBAAF18" w14:textId="77777777">
            <w:pPr>
              <w:spacing w:after="0" w:line="259" w:lineRule="auto"/>
              <w:ind w:left="15" w:firstLine="0"/>
              <w:jc w:val="center"/>
            </w:pPr>
            <w:r>
              <w:rPr>
                <w:sz w:val="22"/>
              </w:rPr>
              <w:t xml:space="preserve">1 </w:t>
            </w:r>
            <w:r>
              <w:t xml:space="preserve"> </w:t>
            </w:r>
          </w:p>
        </w:tc>
        <w:tc>
          <w:tcPr>
            <w:tcW w:w="1225" w:type="dxa"/>
            <w:tcBorders>
              <w:top w:val="single" w:sz="4" w:space="0" w:color="000000"/>
              <w:left w:val="single" w:sz="4" w:space="0" w:color="000000"/>
              <w:bottom w:val="single" w:sz="4" w:space="0" w:color="000000"/>
              <w:right w:val="single" w:sz="4" w:space="0" w:color="000000"/>
            </w:tcBorders>
          </w:tcPr>
          <w:p w:rsidR="005D4864" w14:paraId="1DDBE531" w14:textId="77777777">
            <w:pPr>
              <w:spacing w:after="0" w:line="259" w:lineRule="auto"/>
              <w:ind w:left="20" w:firstLine="0"/>
              <w:jc w:val="center"/>
            </w:pPr>
            <w:r>
              <w:rPr>
                <w:sz w:val="22"/>
              </w:rPr>
              <w:t xml:space="preserve">1.50 </w:t>
            </w:r>
            <w:r>
              <w:t xml:space="preserve"> </w:t>
            </w:r>
          </w:p>
        </w:tc>
        <w:tc>
          <w:tcPr>
            <w:tcW w:w="1226" w:type="dxa"/>
            <w:tcBorders>
              <w:top w:val="single" w:sz="4" w:space="0" w:color="000000"/>
              <w:left w:val="single" w:sz="4" w:space="0" w:color="000000"/>
              <w:bottom w:val="single" w:sz="4" w:space="0" w:color="000000"/>
              <w:right w:val="single" w:sz="4" w:space="0" w:color="000000"/>
            </w:tcBorders>
          </w:tcPr>
          <w:p w:rsidR="005D4864" w14:paraId="17F4487E" w14:textId="77777777">
            <w:pPr>
              <w:spacing w:after="0" w:line="259" w:lineRule="auto"/>
              <w:ind w:left="26" w:firstLine="0"/>
              <w:jc w:val="center"/>
            </w:pPr>
            <w:r>
              <w:rPr>
                <w:sz w:val="22"/>
              </w:rPr>
              <w:t xml:space="preserve">126 </w:t>
            </w:r>
            <w:r>
              <w:t xml:space="preserve"> </w:t>
            </w:r>
          </w:p>
        </w:tc>
        <w:tc>
          <w:tcPr>
            <w:tcW w:w="1234" w:type="dxa"/>
            <w:tcBorders>
              <w:top w:val="single" w:sz="4" w:space="0" w:color="000000"/>
              <w:left w:val="single" w:sz="4" w:space="0" w:color="000000"/>
              <w:bottom w:val="single" w:sz="4" w:space="0" w:color="000000"/>
              <w:right w:val="single" w:sz="4" w:space="0" w:color="000000"/>
            </w:tcBorders>
          </w:tcPr>
          <w:p w:rsidR="005D4864" w14:paraId="118DCC63" w14:textId="77777777">
            <w:pPr>
              <w:spacing w:after="0" w:line="259" w:lineRule="auto"/>
              <w:ind w:left="12" w:firstLine="0"/>
              <w:jc w:val="center"/>
            </w:pPr>
            <w:r>
              <w:rPr>
                <w:sz w:val="22"/>
              </w:rPr>
              <w:t xml:space="preserve">$62.46 </w:t>
            </w:r>
            <w:r>
              <w:t xml:space="preserve"> </w:t>
            </w:r>
          </w:p>
        </w:tc>
        <w:tc>
          <w:tcPr>
            <w:tcW w:w="1222" w:type="dxa"/>
            <w:tcBorders>
              <w:top w:val="single" w:sz="4" w:space="0" w:color="000000"/>
              <w:left w:val="single" w:sz="4" w:space="0" w:color="000000"/>
              <w:bottom w:val="single" w:sz="4" w:space="0" w:color="000000"/>
              <w:right w:val="single" w:sz="4" w:space="0" w:color="000000"/>
            </w:tcBorders>
          </w:tcPr>
          <w:p w:rsidR="005D4864" w14:paraId="07E6B7CD" w14:textId="77777777">
            <w:pPr>
              <w:spacing w:after="0" w:line="259" w:lineRule="auto"/>
              <w:ind w:left="179" w:firstLine="0"/>
            </w:pPr>
            <w:r>
              <w:rPr>
                <w:b/>
                <w:sz w:val="22"/>
              </w:rPr>
              <w:t xml:space="preserve">$7,869.96 </w:t>
            </w:r>
            <w:r>
              <w:t xml:space="preserve"> </w:t>
            </w:r>
          </w:p>
        </w:tc>
      </w:tr>
      <w:tr w14:paraId="7D1102A3" w14:textId="77777777" w:rsidTr="001D61AF">
        <w:tblPrEx>
          <w:tblW w:w="9541" w:type="dxa"/>
          <w:tblInd w:w="137" w:type="dxa"/>
          <w:tblCellMar>
            <w:top w:w="54" w:type="dxa"/>
          </w:tblCellMar>
          <w:tblLook w:val="04A0"/>
        </w:tblPrEx>
        <w:trPr>
          <w:cantSplit/>
          <w:trHeight w:val="465"/>
        </w:trPr>
        <w:tc>
          <w:tcPr>
            <w:tcW w:w="2022" w:type="dxa"/>
            <w:tcBorders>
              <w:top w:val="single" w:sz="4" w:space="0" w:color="000000"/>
              <w:left w:val="single" w:sz="4" w:space="0" w:color="000000"/>
              <w:bottom w:val="single" w:sz="4" w:space="0" w:color="000000"/>
              <w:right w:val="nil"/>
            </w:tcBorders>
            <w:shd w:val="clear" w:color="auto" w:fill="D9D9D9"/>
          </w:tcPr>
          <w:p w:rsidR="005D4864" w14:paraId="7FC336CE" w14:textId="77777777">
            <w:pPr>
              <w:spacing w:after="160" w:line="259" w:lineRule="auto"/>
              <w:ind w:left="0" w:firstLine="0"/>
            </w:pPr>
          </w:p>
        </w:tc>
        <w:tc>
          <w:tcPr>
            <w:tcW w:w="6298" w:type="dxa"/>
            <w:gridSpan w:val="6"/>
            <w:tcBorders>
              <w:top w:val="single" w:sz="4" w:space="0" w:color="000000"/>
              <w:left w:val="nil"/>
              <w:bottom w:val="single" w:sz="4" w:space="0" w:color="000000"/>
              <w:right w:val="nil"/>
            </w:tcBorders>
            <w:shd w:val="clear" w:color="auto" w:fill="D9D9D9"/>
          </w:tcPr>
          <w:p w:rsidR="005D4864" w14:paraId="7F1A807B" w14:textId="77777777">
            <w:pPr>
              <w:spacing w:after="0" w:line="259" w:lineRule="auto"/>
              <w:ind w:left="2064" w:firstLine="0"/>
            </w:pPr>
            <w:r>
              <w:rPr>
                <w:b/>
                <w:sz w:val="22"/>
              </w:rPr>
              <w:t xml:space="preserve">Intermediaries </w:t>
            </w:r>
            <w:r>
              <w:t xml:space="preserve"> </w:t>
            </w:r>
          </w:p>
        </w:tc>
        <w:tc>
          <w:tcPr>
            <w:tcW w:w="1222" w:type="dxa"/>
            <w:tcBorders>
              <w:top w:val="single" w:sz="4" w:space="0" w:color="000000"/>
              <w:left w:val="nil"/>
              <w:bottom w:val="single" w:sz="4" w:space="0" w:color="000000"/>
              <w:right w:val="single" w:sz="4" w:space="0" w:color="000000"/>
            </w:tcBorders>
            <w:shd w:val="clear" w:color="auto" w:fill="D9D9D9"/>
          </w:tcPr>
          <w:p w:rsidR="005D4864" w14:paraId="36BFF46E" w14:textId="77777777">
            <w:pPr>
              <w:spacing w:after="0" w:line="259" w:lineRule="auto"/>
              <w:ind w:left="-1" w:firstLine="0"/>
            </w:pPr>
            <w:r>
              <w:t xml:space="preserve"> </w:t>
            </w:r>
          </w:p>
        </w:tc>
      </w:tr>
      <w:tr w14:paraId="159945E0" w14:textId="77777777" w:rsidTr="001D61AF">
        <w:tblPrEx>
          <w:tblW w:w="9541" w:type="dxa"/>
          <w:tblInd w:w="137" w:type="dxa"/>
          <w:tblCellMar>
            <w:top w:w="54" w:type="dxa"/>
          </w:tblCellMar>
          <w:tblLook w:val="04A0"/>
        </w:tblPrEx>
        <w:trPr>
          <w:cantSplit/>
          <w:trHeight w:val="656"/>
        </w:trPr>
        <w:tc>
          <w:tcPr>
            <w:tcW w:w="2022" w:type="dxa"/>
            <w:tcBorders>
              <w:top w:val="single" w:sz="4" w:space="0" w:color="000000"/>
              <w:left w:val="single" w:sz="4" w:space="0" w:color="000000"/>
              <w:bottom w:val="single" w:sz="4" w:space="0" w:color="000000"/>
              <w:right w:val="nil"/>
            </w:tcBorders>
          </w:tcPr>
          <w:p w:rsidR="005D4864" w14:paraId="109F2FE3" w14:textId="77777777">
            <w:pPr>
              <w:spacing w:after="0" w:line="259" w:lineRule="auto"/>
              <w:ind w:left="4" w:firstLine="0"/>
            </w:pPr>
            <w:r>
              <w:t xml:space="preserve">Scheduling (no screener)  </w:t>
            </w:r>
          </w:p>
        </w:tc>
        <w:tc>
          <w:tcPr>
            <w:tcW w:w="162" w:type="dxa"/>
            <w:tcBorders>
              <w:top w:val="single" w:sz="4" w:space="0" w:color="000000"/>
              <w:left w:val="nil"/>
              <w:bottom w:val="single" w:sz="4" w:space="0" w:color="000000"/>
              <w:right w:val="single" w:sz="4" w:space="0" w:color="000000"/>
            </w:tcBorders>
          </w:tcPr>
          <w:p w:rsidR="005D4864" w14:paraId="45FCD6EE" w14:textId="77777777">
            <w:pPr>
              <w:spacing w:after="160" w:line="259" w:lineRule="auto"/>
              <w:ind w:left="0" w:firstLine="0"/>
            </w:pPr>
          </w:p>
        </w:tc>
        <w:tc>
          <w:tcPr>
            <w:tcW w:w="1225" w:type="dxa"/>
            <w:tcBorders>
              <w:top w:val="single" w:sz="4" w:space="0" w:color="000000"/>
              <w:left w:val="single" w:sz="4" w:space="0" w:color="000000"/>
              <w:bottom w:val="single" w:sz="4" w:space="0" w:color="000000"/>
              <w:right w:val="single" w:sz="4" w:space="0" w:color="000000"/>
            </w:tcBorders>
            <w:vAlign w:val="center"/>
          </w:tcPr>
          <w:p w:rsidR="005D4864" w14:paraId="0FCE3C89" w14:textId="77777777">
            <w:pPr>
              <w:spacing w:after="0" w:line="259" w:lineRule="auto"/>
              <w:ind w:left="0" w:right="103" w:firstLine="0"/>
              <w:jc w:val="center"/>
            </w:pPr>
            <w:r>
              <w:rPr>
                <w:sz w:val="22"/>
              </w:rPr>
              <w:t xml:space="preserve">48 </w:t>
            </w:r>
            <w:r>
              <w:t xml:space="preserve"> </w:t>
            </w:r>
          </w:p>
        </w:tc>
        <w:tc>
          <w:tcPr>
            <w:tcW w:w="1225" w:type="dxa"/>
            <w:tcBorders>
              <w:top w:val="single" w:sz="4" w:space="0" w:color="000000"/>
              <w:left w:val="single" w:sz="4" w:space="0" w:color="000000"/>
              <w:bottom w:val="single" w:sz="4" w:space="0" w:color="000000"/>
              <w:right w:val="single" w:sz="4" w:space="0" w:color="000000"/>
            </w:tcBorders>
            <w:vAlign w:val="center"/>
          </w:tcPr>
          <w:p w:rsidR="005D4864" w14:paraId="75F4FF9A" w14:textId="77777777">
            <w:pPr>
              <w:spacing w:after="0" w:line="259" w:lineRule="auto"/>
              <w:ind w:left="0" w:right="100" w:firstLine="0"/>
              <w:jc w:val="center"/>
            </w:pPr>
            <w:r>
              <w:rPr>
                <w:sz w:val="22"/>
              </w:rPr>
              <w:t xml:space="preserve">1 </w:t>
            </w:r>
            <w:r>
              <w:t xml:space="preserve"> </w:t>
            </w:r>
          </w:p>
        </w:tc>
        <w:tc>
          <w:tcPr>
            <w:tcW w:w="1225" w:type="dxa"/>
            <w:tcBorders>
              <w:top w:val="single" w:sz="4" w:space="0" w:color="000000"/>
              <w:left w:val="single" w:sz="4" w:space="0" w:color="000000"/>
              <w:bottom w:val="single" w:sz="4" w:space="0" w:color="000000"/>
              <w:right w:val="single" w:sz="4" w:space="0" w:color="000000"/>
            </w:tcBorders>
            <w:vAlign w:val="center"/>
          </w:tcPr>
          <w:p w:rsidR="005D4864" w14:paraId="52FE9AC0" w14:textId="77777777">
            <w:pPr>
              <w:spacing w:after="0" w:line="259" w:lineRule="auto"/>
              <w:ind w:left="0" w:right="95" w:firstLine="0"/>
              <w:jc w:val="center"/>
            </w:pPr>
            <w:r>
              <w:rPr>
                <w:sz w:val="22"/>
              </w:rPr>
              <w:t xml:space="preserve">0.10 </w:t>
            </w:r>
            <w:r>
              <w:t xml:space="preserve"> </w:t>
            </w:r>
          </w:p>
        </w:tc>
        <w:tc>
          <w:tcPr>
            <w:tcW w:w="1226" w:type="dxa"/>
            <w:tcBorders>
              <w:top w:val="single" w:sz="4" w:space="0" w:color="000000"/>
              <w:left w:val="single" w:sz="4" w:space="0" w:color="000000"/>
              <w:bottom w:val="single" w:sz="4" w:space="0" w:color="000000"/>
              <w:right w:val="single" w:sz="4" w:space="0" w:color="000000"/>
            </w:tcBorders>
            <w:vAlign w:val="center"/>
          </w:tcPr>
          <w:p w:rsidR="005D4864" w14:paraId="0C838F7F" w14:textId="77777777">
            <w:pPr>
              <w:spacing w:after="0" w:line="259" w:lineRule="auto"/>
              <w:ind w:left="0" w:right="94" w:firstLine="0"/>
              <w:jc w:val="center"/>
            </w:pPr>
            <w:r>
              <w:rPr>
                <w:sz w:val="22"/>
              </w:rPr>
              <w:t xml:space="preserve">4.8 </w:t>
            </w:r>
            <w:r>
              <w:t xml:space="preserve"> </w:t>
            </w:r>
          </w:p>
        </w:tc>
        <w:tc>
          <w:tcPr>
            <w:tcW w:w="1234" w:type="dxa"/>
            <w:tcBorders>
              <w:top w:val="single" w:sz="4" w:space="0" w:color="000000"/>
              <w:left w:val="single" w:sz="4" w:space="0" w:color="000000"/>
              <w:bottom w:val="single" w:sz="4" w:space="0" w:color="000000"/>
              <w:right w:val="single" w:sz="4" w:space="0" w:color="000000"/>
            </w:tcBorders>
            <w:vAlign w:val="center"/>
          </w:tcPr>
          <w:p w:rsidR="005D4864" w14:paraId="2E24A326" w14:textId="77777777">
            <w:pPr>
              <w:spacing w:after="0" w:line="259" w:lineRule="auto"/>
              <w:ind w:left="0" w:right="104" w:firstLine="0"/>
              <w:jc w:val="center"/>
            </w:pPr>
            <w:r>
              <w:rPr>
                <w:sz w:val="22"/>
              </w:rPr>
              <w:t xml:space="preserve">$62.46 </w:t>
            </w:r>
            <w:r>
              <w:t xml:space="preserve"> </w:t>
            </w:r>
          </w:p>
        </w:tc>
        <w:tc>
          <w:tcPr>
            <w:tcW w:w="1222" w:type="dxa"/>
            <w:tcBorders>
              <w:top w:val="single" w:sz="4" w:space="0" w:color="000000"/>
              <w:left w:val="single" w:sz="4" w:space="0" w:color="000000"/>
              <w:bottom w:val="single" w:sz="4" w:space="0" w:color="000000"/>
              <w:right w:val="single" w:sz="4" w:space="0" w:color="000000"/>
            </w:tcBorders>
            <w:vAlign w:val="center"/>
          </w:tcPr>
          <w:p w:rsidR="005D4864" w14:paraId="4E93C27E" w14:textId="77777777">
            <w:pPr>
              <w:spacing w:after="0" w:line="259" w:lineRule="auto"/>
              <w:ind w:left="0" w:right="106" w:firstLine="0"/>
              <w:jc w:val="center"/>
            </w:pPr>
            <w:r>
              <w:rPr>
                <w:b/>
                <w:sz w:val="22"/>
              </w:rPr>
              <w:t xml:space="preserve">$299.81 </w:t>
            </w:r>
            <w:r>
              <w:t xml:space="preserve"> </w:t>
            </w:r>
          </w:p>
        </w:tc>
      </w:tr>
      <w:tr w14:paraId="57FE1039" w14:textId="77777777" w:rsidTr="001D61AF">
        <w:tblPrEx>
          <w:tblW w:w="9541" w:type="dxa"/>
          <w:tblInd w:w="137" w:type="dxa"/>
          <w:tblCellMar>
            <w:top w:w="54" w:type="dxa"/>
          </w:tblCellMar>
          <w:tblLook w:val="04A0"/>
        </w:tblPrEx>
        <w:trPr>
          <w:cantSplit/>
          <w:trHeight w:val="310"/>
        </w:trPr>
        <w:tc>
          <w:tcPr>
            <w:tcW w:w="2022" w:type="dxa"/>
            <w:tcBorders>
              <w:top w:val="single" w:sz="4" w:space="0" w:color="000000"/>
              <w:left w:val="single" w:sz="4" w:space="0" w:color="000000"/>
              <w:bottom w:val="single" w:sz="4" w:space="0" w:color="000000"/>
              <w:right w:val="nil"/>
            </w:tcBorders>
          </w:tcPr>
          <w:p w:rsidR="005D4864" w14:paraId="341A5DA5" w14:textId="77777777">
            <w:pPr>
              <w:spacing w:after="0" w:line="259" w:lineRule="auto"/>
              <w:ind w:left="4" w:firstLine="0"/>
            </w:pPr>
            <w:r>
              <w:t xml:space="preserve">90-minute IDIs  </w:t>
            </w:r>
          </w:p>
        </w:tc>
        <w:tc>
          <w:tcPr>
            <w:tcW w:w="162" w:type="dxa"/>
            <w:tcBorders>
              <w:top w:val="single" w:sz="4" w:space="0" w:color="000000"/>
              <w:left w:val="nil"/>
              <w:bottom w:val="single" w:sz="4" w:space="0" w:color="000000"/>
              <w:right w:val="single" w:sz="4" w:space="0" w:color="000000"/>
            </w:tcBorders>
          </w:tcPr>
          <w:p w:rsidR="005D4864" w14:paraId="7287506A" w14:textId="77777777">
            <w:pPr>
              <w:spacing w:after="160" w:line="259" w:lineRule="auto"/>
              <w:ind w:left="0" w:firstLine="0"/>
            </w:pPr>
          </w:p>
        </w:tc>
        <w:tc>
          <w:tcPr>
            <w:tcW w:w="1225" w:type="dxa"/>
            <w:tcBorders>
              <w:top w:val="single" w:sz="4" w:space="0" w:color="000000"/>
              <w:left w:val="single" w:sz="4" w:space="0" w:color="000000"/>
              <w:bottom w:val="single" w:sz="4" w:space="0" w:color="000000"/>
              <w:right w:val="single" w:sz="4" w:space="0" w:color="000000"/>
            </w:tcBorders>
          </w:tcPr>
          <w:p w:rsidR="005D4864" w14:paraId="4C24EBAB" w14:textId="77777777">
            <w:pPr>
              <w:spacing w:after="0" w:line="259" w:lineRule="auto"/>
              <w:ind w:left="0" w:right="103" w:firstLine="0"/>
              <w:jc w:val="center"/>
            </w:pPr>
            <w:r>
              <w:rPr>
                <w:sz w:val="22"/>
              </w:rPr>
              <w:t xml:space="preserve">48 </w:t>
            </w:r>
            <w:r>
              <w:t xml:space="preserve"> </w:t>
            </w:r>
          </w:p>
        </w:tc>
        <w:tc>
          <w:tcPr>
            <w:tcW w:w="1225" w:type="dxa"/>
            <w:tcBorders>
              <w:top w:val="single" w:sz="4" w:space="0" w:color="000000"/>
              <w:left w:val="single" w:sz="4" w:space="0" w:color="000000"/>
              <w:bottom w:val="single" w:sz="4" w:space="0" w:color="000000"/>
              <w:right w:val="single" w:sz="4" w:space="0" w:color="000000"/>
            </w:tcBorders>
          </w:tcPr>
          <w:p w:rsidR="005D4864" w14:paraId="3F71CE05" w14:textId="77777777">
            <w:pPr>
              <w:spacing w:after="0" w:line="259" w:lineRule="auto"/>
              <w:ind w:left="0" w:right="100" w:firstLine="0"/>
              <w:jc w:val="center"/>
            </w:pPr>
            <w:r>
              <w:rPr>
                <w:sz w:val="22"/>
              </w:rPr>
              <w:t xml:space="preserve">1 </w:t>
            </w:r>
            <w:r>
              <w:t xml:space="preserve"> </w:t>
            </w:r>
          </w:p>
        </w:tc>
        <w:tc>
          <w:tcPr>
            <w:tcW w:w="1225" w:type="dxa"/>
            <w:tcBorders>
              <w:top w:val="single" w:sz="4" w:space="0" w:color="000000"/>
              <w:left w:val="single" w:sz="4" w:space="0" w:color="000000"/>
              <w:bottom w:val="single" w:sz="4" w:space="0" w:color="000000"/>
              <w:right w:val="single" w:sz="4" w:space="0" w:color="000000"/>
            </w:tcBorders>
          </w:tcPr>
          <w:p w:rsidR="005D4864" w14:paraId="0BF979ED" w14:textId="77777777">
            <w:pPr>
              <w:spacing w:after="0" w:line="259" w:lineRule="auto"/>
              <w:ind w:left="0" w:right="95" w:firstLine="0"/>
              <w:jc w:val="center"/>
            </w:pPr>
            <w:r>
              <w:rPr>
                <w:sz w:val="22"/>
              </w:rPr>
              <w:t xml:space="preserve">1.50 </w:t>
            </w:r>
            <w:r>
              <w:t xml:space="preserve"> </w:t>
            </w:r>
          </w:p>
        </w:tc>
        <w:tc>
          <w:tcPr>
            <w:tcW w:w="1226" w:type="dxa"/>
            <w:tcBorders>
              <w:top w:val="single" w:sz="4" w:space="0" w:color="000000"/>
              <w:left w:val="single" w:sz="4" w:space="0" w:color="000000"/>
              <w:bottom w:val="single" w:sz="4" w:space="0" w:color="000000"/>
              <w:right w:val="single" w:sz="4" w:space="0" w:color="000000"/>
            </w:tcBorders>
          </w:tcPr>
          <w:p w:rsidR="005D4864" w14:paraId="7CC71FFB" w14:textId="77777777">
            <w:pPr>
              <w:spacing w:after="0" w:line="259" w:lineRule="auto"/>
              <w:ind w:left="0" w:right="89" w:firstLine="0"/>
              <w:jc w:val="center"/>
            </w:pPr>
            <w:r>
              <w:rPr>
                <w:sz w:val="22"/>
              </w:rPr>
              <w:t xml:space="preserve">72 </w:t>
            </w:r>
            <w:r>
              <w:t xml:space="preserve"> </w:t>
            </w:r>
          </w:p>
        </w:tc>
        <w:tc>
          <w:tcPr>
            <w:tcW w:w="1234" w:type="dxa"/>
            <w:tcBorders>
              <w:top w:val="single" w:sz="4" w:space="0" w:color="000000"/>
              <w:left w:val="single" w:sz="4" w:space="0" w:color="000000"/>
              <w:bottom w:val="single" w:sz="4" w:space="0" w:color="000000"/>
              <w:right w:val="single" w:sz="4" w:space="0" w:color="000000"/>
            </w:tcBorders>
          </w:tcPr>
          <w:p w:rsidR="005D4864" w14:paraId="7E22EACC" w14:textId="77777777">
            <w:pPr>
              <w:spacing w:after="0" w:line="259" w:lineRule="auto"/>
              <w:ind w:left="0" w:right="104" w:firstLine="0"/>
              <w:jc w:val="center"/>
            </w:pPr>
            <w:r>
              <w:rPr>
                <w:sz w:val="22"/>
              </w:rPr>
              <w:t xml:space="preserve">$62.46 </w:t>
            </w:r>
            <w:r>
              <w:t xml:space="preserve"> </w:t>
            </w:r>
          </w:p>
        </w:tc>
        <w:tc>
          <w:tcPr>
            <w:tcW w:w="1222" w:type="dxa"/>
            <w:tcBorders>
              <w:top w:val="single" w:sz="4" w:space="0" w:color="000000"/>
              <w:left w:val="single" w:sz="4" w:space="0" w:color="000000"/>
              <w:bottom w:val="single" w:sz="4" w:space="0" w:color="000000"/>
              <w:right w:val="single" w:sz="4" w:space="0" w:color="000000"/>
            </w:tcBorders>
          </w:tcPr>
          <w:p w:rsidR="005D4864" w14:paraId="1C9695D0" w14:textId="77777777">
            <w:pPr>
              <w:spacing w:after="0" w:line="259" w:lineRule="auto"/>
              <w:ind w:left="64" w:firstLine="0"/>
            </w:pPr>
            <w:r>
              <w:rPr>
                <w:b/>
                <w:sz w:val="22"/>
              </w:rPr>
              <w:t xml:space="preserve">$4,497.12 </w:t>
            </w:r>
            <w:r>
              <w:t xml:space="preserve"> </w:t>
            </w:r>
          </w:p>
        </w:tc>
      </w:tr>
      <w:tr w14:paraId="7C022869" w14:textId="77777777" w:rsidTr="001D61AF">
        <w:tblPrEx>
          <w:tblW w:w="9541" w:type="dxa"/>
          <w:tblInd w:w="137" w:type="dxa"/>
          <w:tblCellMar>
            <w:top w:w="54" w:type="dxa"/>
          </w:tblCellMar>
          <w:tblLook w:val="04A0"/>
        </w:tblPrEx>
        <w:trPr>
          <w:cantSplit/>
          <w:trHeight w:val="284"/>
        </w:trPr>
        <w:tc>
          <w:tcPr>
            <w:tcW w:w="2022" w:type="dxa"/>
            <w:tcBorders>
              <w:top w:val="single" w:sz="4" w:space="0" w:color="000000"/>
              <w:left w:val="single" w:sz="4" w:space="0" w:color="000000"/>
              <w:bottom w:val="single" w:sz="4" w:space="0" w:color="000000"/>
              <w:right w:val="nil"/>
            </w:tcBorders>
          </w:tcPr>
          <w:p w:rsidR="005D4864" w14:paraId="48C1355F" w14:textId="77777777">
            <w:pPr>
              <w:spacing w:after="0" w:line="259" w:lineRule="auto"/>
              <w:ind w:left="61" w:firstLine="0"/>
              <w:jc w:val="center"/>
            </w:pPr>
            <w:r>
              <w:rPr>
                <w:b/>
                <w:sz w:val="22"/>
              </w:rPr>
              <w:t xml:space="preserve">Total </w:t>
            </w:r>
            <w:r>
              <w:t xml:space="preserve"> </w:t>
            </w:r>
          </w:p>
        </w:tc>
        <w:tc>
          <w:tcPr>
            <w:tcW w:w="162" w:type="dxa"/>
            <w:tcBorders>
              <w:top w:val="single" w:sz="4" w:space="0" w:color="000000"/>
              <w:left w:val="nil"/>
              <w:bottom w:val="single" w:sz="4" w:space="0" w:color="000000"/>
              <w:right w:val="single" w:sz="4" w:space="0" w:color="000000"/>
            </w:tcBorders>
          </w:tcPr>
          <w:p w:rsidR="005D4864" w14:paraId="37294F1C" w14:textId="77777777">
            <w:pPr>
              <w:spacing w:after="160" w:line="259" w:lineRule="auto"/>
              <w:ind w:left="0" w:firstLine="0"/>
            </w:pPr>
          </w:p>
        </w:tc>
        <w:tc>
          <w:tcPr>
            <w:tcW w:w="1225" w:type="dxa"/>
            <w:tcBorders>
              <w:top w:val="single" w:sz="4" w:space="0" w:color="000000"/>
              <w:left w:val="single" w:sz="4" w:space="0" w:color="000000"/>
              <w:bottom w:val="single" w:sz="4" w:space="0" w:color="000000"/>
              <w:right w:val="single" w:sz="4" w:space="0" w:color="000000"/>
            </w:tcBorders>
          </w:tcPr>
          <w:p w:rsidR="005D4864" w14:paraId="46CCB798" w14:textId="77777777">
            <w:pPr>
              <w:spacing w:after="0" w:line="259" w:lineRule="auto"/>
              <w:ind w:left="0" w:right="102" w:firstLine="0"/>
              <w:jc w:val="center"/>
            </w:pPr>
            <w:r>
              <w:rPr>
                <w:b/>
                <w:sz w:val="22"/>
              </w:rPr>
              <w:t xml:space="preserve">288 </w:t>
            </w:r>
            <w:r>
              <w:t xml:space="preserve"> </w:t>
            </w:r>
          </w:p>
        </w:tc>
        <w:tc>
          <w:tcPr>
            <w:tcW w:w="1225" w:type="dxa"/>
            <w:tcBorders>
              <w:top w:val="single" w:sz="4" w:space="0" w:color="000000"/>
              <w:left w:val="single" w:sz="4" w:space="0" w:color="000000"/>
              <w:bottom w:val="single" w:sz="4" w:space="0" w:color="000000"/>
              <w:right w:val="single" w:sz="4" w:space="0" w:color="000000"/>
            </w:tcBorders>
          </w:tcPr>
          <w:p w:rsidR="005D4864" w14:paraId="36AC1491" w14:textId="77777777">
            <w:pPr>
              <w:spacing w:after="0" w:line="259" w:lineRule="auto"/>
              <w:ind w:left="0" w:right="100" w:firstLine="0"/>
              <w:jc w:val="center"/>
            </w:pPr>
            <w:r>
              <w:rPr>
                <w:b/>
                <w:sz w:val="22"/>
              </w:rPr>
              <w:t xml:space="preserve">1 </w:t>
            </w:r>
            <w:r>
              <w:t xml:space="preserve"> </w:t>
            </w:r>
          </w:p>
        </w:tc>
        <w:tc>
          <w:tcPr>
            <w:tcW w:w="1225" w:type="dxa"/>
            <w:tcBorders>
              <w:top w:val="single" w:sz="4" w:space="0" w:color="000000"/>
              <w:left w:val="single" w:sz="4" w:space="0" w:color="000000"/>
              <w:bottom w:val="single" w:sz="4" w:space="0" w:color="000000"/>
              <w:right w:val="single" w:sz="4" w:space="0" w:color="000000"/>
            </w:tcBorders>
          </w:tcPr>
          <w:p w:rsidR="005D4864" w14:paraId="029DCA0F" w14:textId="77777777">
            <w:pPr>
              <w:spacing w:after="0" w:line="259" w:lineRule="auto"/>
              <w:ind w:left="0" w:right="95" w:firstLine="0"/>
              <w:jc w:val="center"/>
            </w:pPr>
            <w:r>
              <w:rPr>
                <w:b/>
                <w:sz w:val="22"/>
              </w:rPr>
              <w:t xml:space="preserve">1.95 </w:t>
            </w:r>
            <w:r>
              <w:t xml:space="preserve"> </w:t>
            </w:r>
          </w:p>
        </w:tc>
        <w:tc>
          <w:tcPr>
            <w:tcW w:w="1226" w:type="dxa"/>
            <w:tcBorders>
              <w:top w:val="single" w:sz="4" w:space="0" w:color="000000"/>
              <w:left w:val="single" w:sz="4" w:space="0" w:color="000000"/>
              <w:bottom w:val="single" w:sz="4" w:space="0" w:color="000000"/>
              <w:right w:val="single" w:sz="4" w:space="0" w:color="000000"/>
            </w:tcBorders>
          </w:tcPr>
          <w:p w:rsidR="005D4864" w14:paraId="7A5D4A95" w14:textId="77777777">
            <w:pPr>
              <w:spacing w:after="0" w:line="259" w:lineRule="auto"/>
              <w:ind w:left="0" w:right="95" w:firstLine="0"/>
              <w:jc w:val="center"/>
            </w:pPr>
            <w:r>
              <w:rPr>
                <w:b/>
                <w:sz w:val="22"/>
              </w:rPr>
              <w:t xml:space="preserve">561.3 </w:t>
            </w:r>
            <w:r>
              <w:t xml:space="preserve"> </w:t>
            </w:r>
          </w:p>
        </w:tc>
        <w:tc>
          <w:tcPr>
            <w:tcW w:w="1234" w:type="dxa"/>
            <w:tcBorders>
              <w:top w:val="single" w:sz="4" w:space="0" w:color="000000"/>
              <w:left w:val="single" w:sz="4" w:space="0" w:color="000000"/>
              <w:bottom w:val="single" w:sz="4" w:space="0" w:color="000000"/>
              <w:right w:val="single" w:sz="4" w:space="0" w:color="000000"/>
            </w:tcBorders>
          </w:tcPr>
          <w:p w:rsidR="005D4864" w14:paraId="68032B9E" w14:textId="77777777">
            <w:pPr>
              <w:spacing w:after="0" w:line="259" w:lineRule="auto"/>
              <w:ind w:left="0" w:right="104" w:firstLine="0"/>
              <w:jc w:val="center"/>
            </w:pPr>
            <w:r>
              <w:rPr>
                <w:b/>
                <w:sz w:val="22"/>
              </w:rPr>
              <w:t xml:space="preserve">$62.46 </w:t>
            </w:r>
            <w:r>
              <w:t xml:space="preserve"> </w:t>
            </w:r>
          </w:p>
        </w:tc>
        <w:tc>
          <w:tcPr>
            <w:tcW w:w="1222" w:type="dxa"/>
            <w:tcBorders>
              <w:top w:val="single" w:sz="4" w:space="0" w:color="000000"/>
              <w:left w:val="single" w:sz="4" w:space="0" w:color="000000"/>
              <w:bottom w:val="single" w:sz="4" w:space="0" w:color="000000"/>
              <w:right w:val="single" w:sz="4" w:space="0" w:color="000000"/>
            </w:tcBorders>
          </w:tcPr>
          <w:p w:rsidR="005D4864" w14:paraId="5CAD361F" w14:textId="77777777">
            <w:pPr>
              <w:spacing w:after="0" w:line="259" w:lineRule="auto"/>
              <w:ind w:left="8" w:firstLine="0"/>
            </w:pPr>
            <w:r>
              <w:rPr>
                <w:b/>
                <w:sz w:val="22"/>
              </w:rPr>
              <w:t xml:space="preserve">$35,059.07 </w:t>
            </w:r>
            <w:r>
              <w:t xml:space="preserve"> </w:t>
            </w:r>
          </w:p>
        </w:tc>
      </w:tr>
    </w:tbl>
    <w:p w:rsidR="005D4864" w14:paraId="79D54C96" w14:textId="77777777">
      <w:pPr>
        <w:spacing w:after="0" w:line="259" w:lineRule="auto"/>
        <w:ind w:firstLine="0"/>
      </w:pPr>
      <w:r>
        <w:rPr>
          <w:i/>
          <w:sz w:val="36"/>
        </w:rPr>
        <w:t xml:space="preserve"> </w:t>
      </w:r>
      <w:r>
        <w:t xml:space="preserve"> </w:t>
      </w:r>
    </w:p>
    <w:p w:rsidR="005D4864" w14:paraId="06E80DDB" w14:textId="77777777">
      <w:pPr>
        <w:spacing w:after="0" w:line="331" w:lineRule="auto"/>
        <w:ind w:left="1" w:right="614" w:firstLine="631"/>
        <w:jc w:val="both"/>
      </w:pPr>
      <w:r>
        <w:t xml:space="preserve">The anticipated burden is 561.3 hours, comprising 90 minutes of interview time per participant, 30 minutes to be scheduled and screened (beneficiaries and caregivers, including additional time for screening since not all will qualify), and 6 minutes to be scheduled for intermediaries. Additionally, 15 minutes is included to account for average travel time to the facility for some participants. </w:t>
      </w:r>
      <w:r>
        <w:rPr>
          <w:sz w:val="36"/>
        </w:rPr>
        <w:t xml:space="preserve"> </w:t>
      </w:r>
      <w:r>
        <w:t xml:space="preserve"> </w:t>
      </w:r>
    </w:p>
    <w:p w:rsidR="005D4864" w14:paraId="0F684BAD" w14:textId="77777777">
      <w:pPr>
        <w:spacing w:after="2" w:line="259" w:lineRule="auto"/>
        <w:ind w:left="195" w:hanging="10"/>
      </w:pPr>
      <w:r>
        <w:rPr>
          <w:i/>
          <w:u w:val="single" w:color="000000"/>
        </w:rPr>
        <w:t>Planned frequency of information collection:</w:t>
      </w:r>
      <w:r>
        <w:rPr>
          <w:i/>
        </w:rPr>
        <w:t xml:space="preserve"> </w:t>
      </w:r>
      <w:r>
        <w:t xml:space="preserve"> </w:t>
      </w:r>
    </w:p>
    <w:p w:rsidR="005D4864" w14:paraId="2F2BD968" w14:textId="77777777">
      <w:pPr>
        <w:spacing w:after="176" w:line="259" w:lineRule="auto"/>
        <w:ind w:firstLine="0"/>
      </w:pPr>
      <w:r>
        <w:rPr>
          <w:i/>
          <w:sz w:val="14"/>
        </w:rPr>
        <w:t xml:space="preserve"> </w:t>
      </w:r>
      <w:r>
        <w:t xml:space="preserve"> </w:t>
      </w:r>
    </w:p>
    <w:p w:rsidR="005D4864" w14:paraId="40402F0B" w14:textId="77777777">
      <w:pPr>
        <w:spacing w:after="62" w:line="259" w:lineRule="auto"/>
        <w:ind w:left="937" w:right="167" w:firstLine="0"/>
      </w:pPr>
      <w:r>
        <w:t xml:space="preserve">These are one-time data collection activities. Each participant will take part once.  </w:t>
      </w:r>
    </w:p>
    <w:p w:rsidR="005D4864" w14:paraId="79597EAD" w14:textId="77777777">
      <w:pPr>
        <w:spacing w:after="4" w:line="259" w:lineRule="auto"/>
        <w:ind w:left="937" w:firstLine="0"/>
      </w:pPr>
      <w:r>
        <w:t xml:space="preserve">  </w:t>
      </w:r>
    </w:p>
    <w:p w:rsidR="005D4864" w14:paraId="795DB033" w14:textId="77777777">
      <w:pPr>
        <w:spacing w:after="15" w:line="259" w:lineRule="auto"/>
        <w:ind w:firstLine="0"/>
      </w:pPr>
      <w:r>
        <w:rPr>
          <w:sz w:val="22"/>
        </w:rPr>
        <w:t xml:space="preserve"> </w:t>
      </w:r>
      <w:r>
        <w:t xml:space="preserve"> </w:t>
      </w:r>
    </w:p>
    <w:p w:rsidR="005D4864" w14:paraId="1A3D9063" w14:textId="77777777">
      <w:pPr>
        <w:spacing w:after="9" w:line="259" w:lineRule="auto"/>
        <w:ind w:left="210" w:hanging="10"/>
      </w:pPr>
      <w:r>
        <w:rPr>
          <w:b/>
        </w:rPr>
        <w:t>B.12</w:t>
      </w:r>
      <w:r>
        <w:rPr>
          <w:rFonts w:ascii="Arial" w:eastAsia="Arial" w:hAnsi="Arial" w:cs="Arial"/>
          <w:b/>
        </w:rPr>
        <w:t xml:space="preserve"> </w:t>
      </w:r>
      <w:r>
        <w:rPr>
          <w:b/>
        </w:rPr>
        <w:t xml:space="preserve">Estimates of Annualized Respondent Capital and Maintenance Cost </w:t>
      </w:r>
      <w:r>
        <w:t xml:space="preserve"> </w:t>
      </w:r>
    </w:p>
    <w:p w:rsidR="005D4864" w14:paraId="46D8E32E" w14:textId="77777777">
      <w:pPr>
        <w:spacing w:after="0" w:line="259" w:lineRule="auto"/>
        <w:ind w:firstLine="0"/>
      </w:pPr>
      <w:r>
        <w:rPr>
          <w:b/>
          <w:sz w:val="22"/>
        </w:rPr>
        <w:t xml:space="preserve"> </w:t>
      </w:r>
      <w:r>
        <w:t xml:space="preserve"> </w:t>
      </w:r>
    </w:p>
    <w:p w:rsidR="005D4864" w14:paraId="099044EA" w14:textId="77777777">
      <w:pPr>
        <w:spacing w:after="1" w:line="259" w:lineRule="auto"/>
        <w:ind w:left="10" w:right="865" w:hanging="10"/>
        <w:jc w:val="center"/>
      </w:pPr>
      <w:r>
        <w:t xml:space="preserve">There are no capital or maintenance costs associated with this collection.   </w:t>
      </w:r>
    </w:p>
    <w:p w:rsidR="005D4864" w14:paraId="7EB07961" w14:textId="77777777">
      <w:pPr>
        <w:spacing w:after="68" w:line="259" w:lineRule="auto"/>
        <w:ind w:left="937" w:firstLine="0"/>
      </w:pPr>
      <w:r>
        <w:t xml:space="preserve">  </w:t>
      </w:r>
    </w:p>
    <w:p w:rsidR="005D4864" w14:paraId="532D7D2A" w14:textId="77777777">
      <w:pPr>
        <w:pStyle w:val="Heading1"/>
        <w:ind w:left="210"/>
      </w:pPr>
      <w:r>
        <w:t>B.14</w:t>
      </w:r>
      <w:r>
        <w:rPr>
          <w:rFonts w:ascii="Arial" w:eastAsia="Arial" w:hAnsi="Arial" w:cs="Arial"/>
        </w:rPr>
        <w:t xml:space="preserve"> </w:t>
      </w:r>
      <w:r>
        <w:t xml:space="preserve">Estimates of Annualized Cost to the Government  </w:t>
      </w:r>
    </w:p>
    <w:p w:rsidR="005D4864" w14:paraId="1327A913" w14:textId="77777777">
      <w:pPr>
        <w:spacing w:after="0" w:line="259" w:lineRule="auto"/>
        <w:ind w:firstLine="0"/>
      </w:pPr>
      <w:r>
        <w:rPr>
          <w:b/>
          <w:sz w:val="22"/>
        </w:rPr>
        <w:t xml:space="preserve"> </w:t>
      </w:r>
      <w:r>
        <w:t xml:space="preserve"> </w:t>
      </w:r>
    </w:p>
    <w:p w:rsidR="005D4864" w14:paraId="738DF832" w14:textId="77777777">
      <w:pPr>
        <w:spacing w:after="122"/>
        <w:ind w:left="185" w:right="167"/>
      </w:pPr>
      <w:r>
        <w:t xml:space="preserve">The anticipated cost to the Federal Government is approximately $767,713 and is broken out into contract costs and personnel costs of Federal employees.  </w:t>
      </w:r>
    </w:p>
    <w:p w:rsidR="005D4864" w14:paraId="28777C25" w14:textId="77777777">
      <w:pPr>
        <w:spacing w:after="130"/>
        <w:ind w:left="185" w:right="167"/>
      </w:pPr>
      <w:r>
        <w:t xml:space="preserve">Contract costs are $755,090 and are comprised of: contractor payments for staff time to conduct and analyze the research, recruitment of participants, participant stipends, transcription, translation, and recordings and electronic remote feeds for offsite viewing.  </w:t>
      </w:r>
    </w:p>
    <w:p w:rsidR="005D4864" w14:paraId="0AE2532A" w14:textId="77777777">
      <w:pPr>
        <w:spacing w:line="259" w:lineRule="auto"/>
        <w:ind w:left="937" w:right="167" w:firstLine="0"/>
      </w:pPr>
      <w:r>
        <w:t xml:space="preserve">Personnel costs from Federal employees are $12,623 which includes 10% from GS14.  </w:t>
      </w:r>
    </w:p>
    <w:p w:rsidR="005D4864" w14:paraId="279D1CD2" w14:textId="77777777">
      <w:pPr>
        <w:spacing w:after="14" w:line="259" w:lineRule="auto"/>
        <w:ind w:firstLine="0"/>
      </w:pPr>
      <w:r>
        <w:rPr>
          <w:sz w:val="22"/>
        </w:rPr>
        <w:t xml:space="preserve"> </w:t>
      </w:r>
      <w:r>
        <w:t xml:space="preserve"> </w:t>
      </w:r>
    </w:p>
    <w:p w:rsidR="005D4864" w14:paraId="51675E5C" w14:textId="77777777">
      <w:pPr>
        <w:spacing w:after="9" w:line="259" w:lineRule="auto"/>
        <w:ind w:left="210" w:hanging="10"/>
      </w:pPr>
      <w:r>
        <w:rPr>
          <w:b/>
        </w:rPr>
        <w:t>B.15</w:t>
      </w:r>
      <w:r>
        <w:rPr>
          <w:rFonts w:ascii="Arial" w:eastAsia="Arial" w:hAnsi="Arial" w:cs="Arial"/>
          <w:b/>
        </w:rPr>
        <w:t xml:space="preserve"> </w:t>
      </w:r>
      <w:r>
        <w:rPr>
          <w:b/>
        </w:rPr>
        <w:t xml:space="preserve">Changes in Hour Burden </w:t>
      </w:r>
      <w:r>
        <w:t xml:space="preserve"> </w:t>
      </w:r>
    </w:p>
    <w:p w:rsidR="005D4864" w14:paraId="059BC080" w14:textId="77777777">
      <w:pPr>
        <w:spacing w:after="0" w:line="259" w:lineRule="auto"/>
        <w:ind w:firstLine="0"/>
      </w:pPr>
      <w:r>
        <w:rPr>
          <w:b/>
          <w:sz w:val="22"/>
        </w:rPr>
        <w:t xml:space="preserve"> </w:t>
      </w:r>
      <w:r>
        <w:t xml:space="preserve"> </w:t>
      </w:r>
    </w:p>
    <w:p w:rsidR="005D4864" w14:paraId="43349025" w14:textId="77777777">
      <w:pPr>
        <w:spacing w:line="259" w:lineRule="auto"/>
        <w:ind w:left="937" w:right="167" w:firstLine="0"/>
      </w:pPr>
      <w:r>
        <w:t xml:space="preserve">Not Applicable. This is a new activity.  </w:t>
      </w:r>
    </w:p>
    <w:p w:rsidR="005D4864" w14:paraId="528AA445" w14:textId="77777777">
      <w:pPr>
        <w:spacing w:after="15" w:line="259" w:lineRule="auto"/>
        <w:ind w:firstLine="0"/>
      </w:pPr>
      <w:r>
        <w:rPr>
          <w:sz w:val="22"/>
        </w:rPr>
        <w:t xml:space="preserve"> </w:t>
      </w:r>
      <w:r>
        <w:t xml:space="preserve"> </w:t>
      </w:r>
    </w:p>
    <w:p w:rsidR="005D4864" w14:paraId="2BCCDA30" w14:textId="77777777">
      <w:pPr>
        <w:pStyle w:val="Heading1"/>
        <w:ind w:left="210"/>
      </w:pPr>
      <w:r>
        <w:t>B.16</w:t>
      </w:r>
      <w:r>
        <w:rPr>
          <w:rFonts w:ascii="Arial" w:eastAsia="Arial" w:hAnsi="Arial" w:cs="Arial"/>
        </w:rPr>
        <w:t xml:space="preserve"> </w:t>
      </w:r>
      <w:r>
        <w:t xml:space="preserve">Time Schedule, Publication, and Analysis Plan  </w:t>
      </w:r>
    </w:p>
    <w:p w:rsidR="005D4864" w14:paraId="6CDB2539" w14:textId="77777777">
      <w:pPr>
        <w:spacing w:after="1" w:line="259" w:lineRule="auto"/>
        <w:ind w:firstLine="0"/>
      </w:pPr>
      <w:r>
        <w:rPr>
          <w:b/>
          <w:sz w:val="22"/>
        </w:rPr>
        <w:t xml:space="preserve"> </w:t>
      </w:r>
      <w:r>
        <w:t xml:space="preserve"> </w:t>
      </w:r>
    </w:p>
    <w:p w:rsidR="005D4864" w14:paraId="2E2FE7FB" w14:textId="77777777">
      <w:pPr>
        <w:ind w:left="185" w:right="167"/>
      </w:pPr>
      <w:r>
        <w:t xml:space="preserve">Data from individual interviews will be collected and analyzed over a 12-month </w:t>
      </w:r>
      <w:r>
        <w:t>period,  conducted</w:t>
      </w:r>
      <w:r>
        <w:t xml:space="preserve"> as three separate four-month periods (one period for each of the three research topics). For each topic, we anticipate one month to plan the research, two months to field the research, and one month to analyze and report on findings. We will repeat this process three times for each of the unique topics we are investigating: “Audits and Existing Letters for Denials and Appeals;”  </w:t>
      </w:r>
    </w:p>
    <w:p w:rsidR="005D4864" w14:paraId="7EE34DCA" w14:textId="77777777">
      <w:pPr>
        <w:spacing w:after="120"/>
        <w:ind w:left="185" w:right="167" w:firstLine="0"/>
      </w:pPr>
      <w:r>
        <w:t xml:space="preserve">“Enforcement and Compliance Information;” and “Desired Content Related to Poor </w:t>
      </w:r>
      <w:r>
        <w:t>Plan  Performance</w:t>
      </w:r>
      <w:r>
        <w:t xml:space="preserve">.”  </w:t>
      </w:r>
    </w:p>
    <w:p w:rsidR="005D4864" w14:paraId="712C34C4" w14:textId="77777777">
      <w:pPr>
        <w:spacing w:after="147"/>
        <w:ind w:left="185" w:right="167"/>
      </w:pPr>
      <w:r>
        <w:t xml:space="preserve">Feedback will inform CMS’s response to OIG and planned sharing of information. CMS may publish or distribute select findings from the research in its response to OIG, to explain its </w:t>
      </w:r>
      <w:r>
        <w:t xml:space="preserve">decision-making process to interested stakeholders, or to advance scientific knowledge on how best to share this kind of plan warning information. No information released will include publicly identifiable information, including first names of research respondents or organizations they work for.  </w:t>
      </w:r>
    </w:p>
    <w:p w:rsidR="005D4864" w:rsidP="00F646EC" w14:paraId="47F1431B" w14:textId="77777777">
      <w:pPr>
        <w:pStyle w:val="Heading1"/>
        <w:widowControl w:val="0"/>
        <w:ind w:left="216" w:hanging="14"/>
      </w:pPr>
      <w:r>
        <w:t>B.17</w:t>
      </w:r>
      <w:r>
        <w:rPr>
          <w:rFonts w:ascii="Arial" w:eastAsia="Arial" w:hAnsi="Arial" w:cs="Arial"/>
        </w:rPr>
        <w:t xml:space="preserve"> </w:t>
      </w:r>
      <w:r>
        <w:t xml:space="preserve">Exemption for Display of Expiration Date  </w:t>
      </w:r>
    </w:p>
    <w:p w:rsidR="005D4864" w:rsidP="00F646EC" w14:paraId="0DA83F0C" w14:textId="77777777">
      <w:pPr>
        <w:keepNext/>
        <w:keepLines/>
        <w:widowControl w:val="0"/>
        <w:spacing w:after="0" w:line="259" w:lineRule="auto"/>
        <w:ind w:firstLine="0"/>
      </w:pPr>
      <w:r>
        <w:rPr>
          <w:b/>
          <w:sz w:val="22"/>
        </w:rPr>
        <w:t xml:space="preserve"> </w:t>
      </w:r>
      <w:r>
        <w:t xml:space="preserve"> </w:t>
      </w:r>
    </w:p>
    <w:p w:rsidR="005D4864" w:rsidP="00F646EC" w14:paraId="0A8779D7" w14:textId="77777777">
      <w:pPr>
        <w:keepNext/>
        <w:keepLines/>
        <w:widowControl w:val="0"/>
        <w:spacing w:line="236" w:lineRule="auto"/>
        <w:ind w:right="167"/>
      </w:pPr>
      <w:r>
        <w:t xml:space="preserve">CMS does not seek this exemption. The Expiration Date and OMB control number will be displayed at the top of every survey.  </w:t>
      </w:r>
    </w:p>
    <w:p w:rsidR="005D4864" w14:paraId="0A59F5B7" w14:textId="77777777">
      <w:pPr>
        <w:spacing w:after="0" w:line="259" w:lineRule="auto"/>
        <w:ind w:firstLine="0"/>
      </w:pPr>
      <w:r>
        <w:rPr>
          <w:sz w:val="22"/>
        </w:rPr>
        <w:t xml:space="preserve"> </w:t>
      </w:r>
      <w:r>
        <w:t xml:space="preserve"> </w:t>
      </w:r>
    </w:p>
    <w:p w:rsidR="005D4864" w14:paraId="38342155" w14:textId="77777777">
      <w:pPr>
        <w:pStyle w:val="Heading1"/>
        <w:ind w:left="210"/>
      </w:pPr>
      <w:r>
        <w:t>B.18</w:t>
      </w:r>
      <w:r>
        <w:rPr>
          <w:rFonts w:ascii="Arial" w:eastAsia="Arial" w:hAnsi="Arial" w:cs="Arial"/>
        </w:rPr>
        <w:t xml:space="preserve"> </w:t>
      </w:r>
      <w:r>
        <w:t xml:space="preserve">Exceptions to Certification Statement 19  </w:t>
      </w:r>
    </w:p>
    <w:p w:rsidR="005D4864" w14:paraId="42EF8807" w14:textId="77777777">
      <w:pPr>
        <w:spacing w:after="0" w:line="259" w:lineRule="auto"/>
        <w:ind w:firstLine="0"/>
      </w:pPr>
      <w:r>
        <w:rPr>
          <w:b/>
          <w:sz w:val="22"/>
        </w:rPr>
        <w:t xml:space="preserve"> </w:t>
      </w:r>
      <w:r>
        <w:t xml:space="preserve"> </w:t>
      </w:r>
    </w:p>
    <w:p w:rsidR="005D4864" w14:paraId="7A425FB0" w14:textId="77777777">
      <w:pPr>
        <w:spacing w:line="259" w:lineRule="auto"/>
        <w:ind w:left="937" w:right="167" w:firstLine="0"/>
      </w:pPr>
      <w:r>
        <w:t xml:space="preserve">There are no exceptions taken to item 19 of OMB Form 83-1.  </w:t>
      </w:r>
    </w:p>
    <w:p w:rsidR="005D4864" w14:paraId="5F5DD966" w14:textId="77777777">
      <w:pPr>
        <w:spacing w:after="0" w:line="259" w:lineRule="auto"/>
        <w:ind w:firstLine="0"/>
      </w:pPr>
      <w:r>
        <w:rPr>
          <w:sz w:val="26"/>
        </w:rPr>
        <w:t xml:space="preserve"> </w:t>
      </w:r>
      <w:r>
        <w:t xml:space="preserve"> </w:t>
      </w:r>
    </w:p>
    <w:p w:rsidR="005D4864" w14:paraId="2E69FEA3" w14:textId="77777777">
      <w:pPr>
        <w:spacing w:after="128" w:line="259" w:lineRule="auto"/>
        <w:ind w:firstLine="0"/>
      </w:pPr>
      <w:r>
        <w:rPr>
          <w:sz w:val="26"/>
        </w:rPr>
        <w:t xml:space="preserve"> </w:t>
      </w:r>
      <w:r>
        <w:t xml:space="preserve"> </w:t>
      </w:r>
    </w:p>
    <w:p w:rsidR="005D4864" w14:paraId="335A923A" w14:textId="77777777">
      <w:pPr>
        <w:spacing w:after="9" w:line="259" w:lineRule="auto"/>
        <w:ind w:left="210" w:hanging="10"/>
      </w:pPr>
      <w:r>
        <w:rPr>
          <w:b/>
        </w:rPr>
        <w:t xml:space="preserve">LIST OF ATTACHMENTS: </w:t>
      </w:r>
      <w:r>
        <w:t xml:space="preserve"> </w:t>
      </w:r>
    </w:p>
    <w:p w:rsidR="005D4864" w14:paraId="34A87AD6" w14:textId="77777777">
      <w:pPr>
        <w:spacing w:after="28" w:line="259" w:lineRule="auto"/>
        <w:ind w:firstLine="0"/>
      </w:pPr>
      <w:r>
        <w:rPr>
          <w:b/>
          <w:sz w:val="22"/>
        </w:rPr>
        <w:t xml:space="preserve"> </w:t>
      </w:r>
      <w:r>
        <w:t xml:space="preserve"> </w:t>
      </w:r>
    </w:p>
    <w:p w:rsidR="005D4864" w14:paraId="3E7D2D52" w14:textId="77777777">
      <w:pPr>
        <w:numPr>
          <w:ilvl w:val="0"/>
          <w:numId w:val="3"/>
        </w:numPr>
        <w:spacing w:line="259" w:lineRule="auto"/>
        <w:ind w:right="167" w:hanging="360"/>
      </w:pPr>
      <w:r>
        <w:rPr>
          <w:b/>
        </w:rPr>
        <w:t xml:space="preserve">Attachment A: </w:t>
      </w:r>
      <w:r>
        <w:t>Beneficiary Screener</w:t>
      </w:r>
      <w:r>
        <w:rPr>
          <w:sz w:val="22"/>
        </w:rPr>
        <w:t xml:space="preserve"> </w:t>
      </w:r>
      <w:r>
        <w:t xml:space="preserve"> </w:t>
      </w:r>
    </w:p>
    <w:p w:rsidR="005D4864" w14:paraId="63408ADD" w14:textId="77777777">
      <w:pPr>
        <w:numPr>
          <w:ilvl w:val="0"/>
          <w:numId w:val="3"/>
        </w:numPr>
        <w:spacing w:line="259" w:lineRule="auto"/>
        <w:ind w:right="167" w:hanging="360"/>
      </w:pPr>
      <w:r>
        <w:rPr>
          <w:b/>
        </w:rPr>
        <w:t xml:space="preserve">Attachment B: </w:t>
      </w:r>
      <w:r>
        <w:t>Caregiver Screener</w:t>
      </w:r>
      <w:r>
        <w:rPr>
          <w:sz w:val="22"/>
        </w:rPr>
        <w:t xml:space="preserve"> </w:t>
      </w:r>
      <w:r>
        <w:t xml:space="preserve"> </w:t>
      </w:r>
    </w:p>
    <w:p w:rsidR="005D4864" w14:paraId="3E1C2597" w14:textId="77777777">
      <w:pPr>
        <w:numPr>
          <w:ilvl w:val="0"/>
          <w:numId w:val="3"/>
        </w:numPr>
        <w:spacing w:line="245" w:lineRule="auto"/>
        <w:ind w:right="167" w:hanging="360"/>
      </w:pPr>
      <w:r>
        <w:rPr>
          <w:b/>
        </w:rPr>
        <w:t xml:space="preserve">Attachment C: </w:t>
      </w:r>
      <w:r>
        <w:t xml:space="preserve">Beneficiary and Caregiver Guide: Audits and Existing Letters for Denials and Appeals  </w:t>
      </w:r>
    </w:p>
    <w:p w:rsidR="005D4864" w14:paraId="58DADB82" w14:textId="77777777">
      <w:pPr>
        <w:numPr>
          <w:ilvl w:val="0"/>
          <w:numId w:val="3"/>
        </w:numPr>
        <w:spacing w:after="38" w:line="259" w:lineRule="auto"/>
        <w:ind w:right="167" w:hanging="360"/>
      </w:pPr>
      <w:r>
        <w:rPr>
          <w:b/>
        </w:rPr>
        <w:t xml:space="preserve">Attachment D: </w:t>
      </w:r>
      <w:r>
        <w:t xml:space="preserve">Intermediary Guide: Audits and Existing Letters for Denials and Appeals  </w:t>
      </w:r>
    </w:p>
    <w:p w:rsidR="005D4864" w14:paraId="5F23F945" w14:textId="77777777">
      <w:pPr>
        <w:numPr>
          <w:ilvl w:val="0"/>
          <w:numId w:val="3"/>
        </w:numPr>
        <w:spacing w:line="245" w:lineRule="auto"/>
        <w:ind w:right="167" w:hanging="360"/>
      </w:pPr>
      <w:r>
        <w:rPr>
          <w:b/>
        </w:rPr>
        <w:t xml:space="preserve">Attachment E: </w:t>
      </w:r>
      <w:r>
        <w:t xml:space="preserve">Beneficiary and Caregiver Guide: Enforcement and Compliance Information  </w:t>
      </w:r>
    </w:p>
    <w:p w:rsidR="005D4864" w14:paraId="021EAD41" w14:textId="77777777">
      <w:pPr>
        <w:numPr>
          <w:ilvl w:val="0"/>
          <w:numId w:val="3"/>
        </w:numPr>
        <w:spacing w:after="38" w:line="259" w:lineRule="auto"/>
        <w:ind w:right="167" w:hanging="360"/>
      </w:pPr>
      <w:r>
        <w:rPr>
          <w:b/>
        </w:rPr>
        <w:t xml:space="preserve">Attachment F: </w:t>
      </w:r>
      <w:r>
        <w:t xml:space="preserve">Intermediary Guide: Enforcement and Compliance Information  </w:t>
      </w:r>
    </w:p>
    <w:p w:rsidR="005D4864" w14:paraId="6DE93A47" w14:textId="77777777">
      <w:pPr>
        <w:numPr>
          <w:ilvl w:val="0"/>
          <w:numId w:val="3"/>
        </w:numPr>
        <w:spacing w:line="245" w:lineRule="auto"/>
        <w:ind w:right="167" w:hanging="360"/>
      </w:pPr>
      <w:r>
        <w:rPr>
          <w:b/>
        </w:rPr>
        <w:t xml:space="preserve">Attachment G: </w:t>
      </w:r>
      <w:r>
        <w:t xml:space="preserve">Beneficiary and Caregiver Guide: Desired Content Related to Poor Plan Performance  </w:t>
      </w:r>
    </w:p>
    <w:p w:rsidR="005D4864" w14:paraId="276DA152" w14:textId="77777777">
      <w:pPr>
        <w:numPr>
          <w:ilvl w:val="0"/>
          <w:numId w:val="3"/>
        </w:numPr>
        <w:spacing w:line="259" w:lineRule="auto"/>
        <w:ind w:right="167" w:hanging="360"/>
      </w:pPr>
      <w:r>
        <w:rPr>
          <w:b/>
        </w:rPr>
        <w:t xml:space="preserve">Attachment H: </w:t>
      </w:r>
      <w:r>
        <w:t xml:space="preserve">Intermediary Guide: Desired Content Related to Poor Plan Performance  </w:t>
      </w:r>
    </w:p>
    <w:sectPr>
      <w:headerReference w:type="even" r:id="rId8"/>
      <w:headerReference w:type="default" r:id="rId9"/>
      <w:footerReference w:type="even" r:id="rId10"/>
      <w:footerReference w:type="default" r:id="rId11"/>
      <w:headerReference w:type="first" r:id="rId12"/>
      <w:footerReference w:type="first" r:id="rId13"/>
      <w:pgSz w:w="12240" w:h="15840"/>
      <w:pgMar w:top="1831" w:right="1284" w:bottom="2060" w:left="1225" w:header="1168" w:footer="174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D4864" w14:paraId="77E7EE9B" w14:textId="77777777">
    <w:pPr>
      <w:spacing w:after="0" w:line="259" w:lineRule="auto"/>
      <w:ind w:left="0" w:right="-49" w:firstLine="0"/>
      <w:jc w:val="right"/>
    </w:pPr>
    <w:r>
      <w:fldChar w:fldCharType="begin"/>
    </w:r>
    <w:r>
      <w:instrText xml:space="preserve"> PAGE   \* MERGEFORMAT </w:instrText>
    </w:r>
    <w:r>
      <w:fldChar w:fldCharType="separate"/>
    </w:r>
    <w:r>
      <w:t>1</w:t>
    </w:r>
    <w:r>
      <w:fldChar w:fldCharType="end"/>
    </w:r>
    <w:r>
      <w:rPr>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D4864" w14:paraId="481D35B3" w14:textId="77777777">
    <w:pPr>
      <w:spacing w:after="0" w:line="259" w:lineRule="auto"/>
      <w:ind w:left="0" w:right="-49" w:firstLine="0"/>
      <w:jc w:val="right"/>
    </w:pPr>
    <w:r>
      <w:fldChar w:fldCharType="begin"/>
    </w:r>
    <w:r>
      <w:instrText xml:space="preserve"> PAGE   \* MERGEFORMAT </w:instrText>
    </w:r>
    <w:r>
      <w:fldChar w:fldCharType="separate"/>
    </w:r>
    <w:r>
      <w:t>1</w:t>
    </w:r>
    <w:r>
      <w:fldChar w:fldCharType="end"/>
    </w:r>
    <w:r>
      <w:rPr>
        <w:sz w:val="20"/>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D4864" w14:paraId="77526202" w14:textId="77777777">
    <w:pPr>
      <w:spacing w:after="0" w:line="259" w:lineRule="auto"/>
      <w:ind w:left="0" w:right="-49" w:firstLine="0"/>
      <w:jc w:val="right"/>
    </w:pPr>
    <w:r>
      <w:fldChar w:fldCharType="begin"/>
    </w:r>
    <w:r>
      <w:instrText xml:space="preserve"> PAGE   \* MERGEFORMAT </w:instrText>
    </w:r>
    <w:r>
      <w:fldChar w:fldCharType="separate"/>
    </w:r>
    <w:r>
      <w:t>1</w:t>
    </w:r>
    <w:r>
      <w:fldChar w:fldCharType="end"/>
    </w:r>
    <w:r>
      <w:rPr>
        <w:sz w:val="20"/>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CC5E0D" w14:paraId="736EDC52" w14:textId="77777777">
      <w:pPr>
        <w:spacing w:after="0" w:line="240" w:lineRule="auto"/>
      </w:pPr>
      <w:r>
        <w:separator/>
      </w:r>
    </w:p>
  </w:footnote>
  <w:footnote w:type="continuationSeparator" w:id="1">
    <w:p w:rsidR="00CC5E0D" w14:paraId="519B2F6F" w14:textId="77777777">
      <w:pPr>
        <w:spacing w:after="0" w:line="240" w:lineRule="auto"/>
      </w:pPr>
      <w:r>
        <w:continuationSeparator/>
      </w:r>
    </w:p>
  </w:footnote>
  <w:footnote w:id="2">
    <w:p w:rsidR="00F646EC" w14:paraId="1A0CBEA7" w14:textId="0EDD5E3B">
      <w:pPr>
        <w:pStyle w:val="FootnoteText"/>
      </w:pPr>
      <w:r>
        <w:rPr>
          <w:rStyle w:val="FootnoteReference"/>
        </w:rPr>
        <w:footnoteRef/>
      </w:r>
      <w:r>
        <w:t xml:space="preserve"> </w:t>
      </w:r>
      <w:r>
        <w:rPr>
          <w:sz w:val="13"/>
        </w:rPr>
        <w:t xml:space="preserve">See “Medicare Advantage Appeal Outcomes and Audit Findings Raise Concerns About Service and Payment Denials” </w:t>
      </w:r>
      <w:hyperlink r:id="rId1">
        <w:r>
          <w:rPr>
            <w:sz w:val="13"/>
          </w:rPr>
          <w:t>at</w:t>
        </w:r>
      </w:hyperlink>
      <w:hyperlink r:id="rId1">
        <w:r>
          <w:rPr>
            <w:sz w:val="13"/>
          </w:rPr>
          <w:t xml:space="preserve"> </w:t>
        </w:r>
      </w:hyperlink>
      <w:hyperlink r:id="rId1">
        <w:r>
          <w:rPr>
            <w:color w:val="1155CC"/>
            <w:sz w:val="13"/>
            <w:u w:val="single" w:color="1155CC"/>
          </w:rPr>
          <w:t>https://oig.hhs.gov/oei/reports/o</w:t>
        </w:r>
      </w:hyperlink>
      <w:hyperlink r:id="rId1">
        <w:r>
          <w:rPr>
            <w:color w:val="1155CC"/>
            <w:sz w:val="13"/>
            <w:u w:val="single" w:color="1155CC"/>
          </w:rPr>
          <w:t>ei-</w:t>
        </w:r>
      </w:hyperlink>
      <w:hyperlink r:id="rId1">
        <w:r>
          <w:rPr>
            <w:color w:val="1155CC"/>
            <w:sz w:val="13"/>
            <w:u w:val="single" w:color="1155CC"/>
          </w:rPr>
          <w:t>0</w:t>
        </w:r>
      </w:hyperlink>
      <w:hyperlink r:id="rId1">
        <w:r>
          <w:rPr>
            <w:color w:val="1155CC"/>
            <w:sz w:val="13"/>
            <w:u w:val="single" w:color="1155CC"/>
          </w:rPr>
          <w:t>9-1</w:t>
        </w:r>
      </w:hyperlink>
      <w:hyperlink r:id="rId1">
        <w:r>
          <w:rPr>
            <w:color w:val="1155CC"/>
            <w:sz w:val="13"/>
            <w:u w:val="single" w:color="1155CC"/>
          </w:rPr>
          <w:t>6-00410.as</w:t>
        </w:r>
      </w:hyperlink>
      <w:hyperlink r:id="rId1">
        <w:r>
          <w:rPr>
            <w:color w:val="1155CC"/>
            <w:sz w:val="13"/>
            <w:u w:val="single" w:color="1155CC"/>
          </w:rPr>
          <w:t>p</w:t>
        </w:r>
      </w:hyperlink>
      <w:hyperlink r:id="rId1">
        <w:r>
          <w:rPr>
            <w:sz w:val="13"/>
          </w:rPr>
          <w:t xml:space="preserve"> an</w:t>
        </w:r>
      </w:hyperlink>
      <w:r>
        <w:rPr>
          <w:sz w:val="13"/>
        </w:rPr>
        <w:t>d “Some Medicare Part D Beneficiaries Face Avoidable Extra Steps That Can Delay or Prevent Access to Prescribed Drugs</w:t>
      </w:r>
      <w:hyperlink r:id="rId2">
        <w:r>
          <w:rPr>
            <w:sz w:val="13"/>
          </w:rPr>
          <w:t>” a</w:t>
        </w:r>
      </w:hyperlink>
      <w:hyperlink r:id="rId2">
        <w:r>
          <w:rPr>
            <w:sz w:val="13"/>
          </w:rPr>
          <w:t>t</w:t>
        </w:r>
      </w:hyperlink>
      <w:hyperlink r:id="rId2">
        <w:r>
          <w:rPr>
            <w:color w:val="1155CC"/>
            <w:sz w:val="13"/>
            <w:u w:val="single" w:color="1155CC"/>
          </w:rPr>
          <w:t xml:space="preserve"> https://oig.hhs.gov/oei/reports/o</w:t>
        </w:r>
      </w:hyperlink>
      <w:hyperlink r:id="rId2">
        <w:r>
          <w:rPr>
            <w:color w:val="1155CC"/>
            <w:sz w:val="13"/>
            <w:u w:val="single" w:color="1155CC"/>
          </w:rPr>
          <w:t>e</w:t>
        </w:r>
      </w:hyperlink>
      <w:hyperlink r:id="rId2">
        <w:r>
          <w:rPr>
            <w:color w:val="1155CC"/>
            <w:sz w:val="13"/>
            <w:u w:val="single" w:color="1155CC"/>
          </w:rPr>
          <w:t>i-0</w:t>
        </w:r>
      </w:hyperlink>
      <w:hyperlink r:id="rId2">
        <w:r>
          <w:rPr>
            <w:color w:val="1155CC"/>
            <w:sz w:val="13"/>
            <w:u w:val="single" w:color="1155CC"/>
          </w:rPr>
          <w:t>9-1</w:t>
        </w:r>
      </w:hyperlink>
      <w:hyperlink r:id="rId2">
        <w:r>
          <w:rPr>
            <w:color w:val="1155CC"/>
            <w:sz w:val="13"/>
            <w:u w:val="single" w:color="1155CC"/>
          </w:rPr>
          <w:t>6-00411.asp</w:t>
        </w:r>
      </w:hyperlink>
      <w:hyperlink r:id="rId2">
        <w:r>
          <w:rPr>
            <w:color w:val="1155CC"/>
            <w:sz w:val="13"/>
            <w:u w:val="single" w:color="1155CC"/>
          </w:rPr>
          <w:t>.</w:t>
        </w:r>
      </w:hyperlink>
      <w:r>
        <w:rPr>
          <w:sz w:val="13"/>
        </w:rPr>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D4864" w14:paraId="4A2C4C24" w14:textId="77777777">
    <w:pPr>
      <w:spacing w:after="0" w:line="259" w:lineRule="auto"/>
      <w:ind w:left="371" w:firstLine="0"/>
    </w:pPr>
    <w:r>
      <w:rPr>
        <w:sz w:val="20"/>
      </w:rPr>
      <w:t xml:space="preserve">Medicare Plan Warning Information </w:t>
    </w:r>
    <w:r>
      <w:t xml:space="preserve"> </w:t>
    </w:r>
  </w:p>
  <w:p w:rsidR="005D4864" w14:paraId="2071D779" w14:textId="77777777">
    <w:pPr>
      <w:tabs>
        <w:tab w:val="center" w:pos="608"/>
        <w:tab w:val="center" w:pos="4280"/>
      </w:tabs>
      <w:spacing w:after="0" w:line="259" w:lineRule="auto"/>
      <w:ind w:left="0" w:firstLine="0"/>
    </w:pPr>
    <w:r>
      <w:rPr>
        <w:sz w:val="20"/>
      </w:rPr>
      <w:t xml:space="preserve">  </w:t>
    </w:r>
    <w:r>
      <w:rPr>
        <w:sz w:val="20"/>
      </w:rPr>
      <w:tab/>
      <w:t xml:space="preserve">Part </w:t>
    </w:r>
    <w:r>
      <w:rPr>
        <w:sz w:val="20"/>
      </w:rPr>
      <w:t>A</w:t>
    </w:r>
    <w:r>
      <w:rPr>
        <w:sz w:val="22"/>
      </w:rPr>
      <w:t xml:space="preserve">  </w:t>
    </w:r>
    <w:r>
      <w:rPr>
        <w:sz w:val="22"/>
      </w:rPr>
      <w:tab/>
    </w:r>
    <w:r>
      <w:rPr>
        <w:sz w:val="20"/>
      </w:rPr>
      <w:t xml:space="preserve">– Supporting Statement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D4864" w14:paraId="7986E769" w14:textId="77777777">
    <w:pPr>
      <w:spacing w:after="0" w:line="259" w:lineRule="auto"/>
      <w:ind w:left="371" w:firstLine="0"/>
    </w:pPr>
    <w:r>
      <w:rPr>
        <w:sz w:val="20"/>
      </w:rPr>
      <w:t xml:space="preserve">Medicare Plan Warning Information </w:t>
    </w:r>
    <w:r>
      <w:t xml:space="preserve"> </w:t>
    </w:r>
  </w:p>
  <w:p w:rsidR="005D4864" w14:paraId="4768B0DD" w14:textId="77777777">
    <w:pPr>
      <w:tabs>
        <w:tab w:val="center" w:pos="608"/>
        <w:tab w:val="center" w:pos="4280"/>
      </w:tabs>
      <w:spacing w:after="0" w:line="259" w:lineRule="auto"/>
      <w:ind w:left="0" w:firstLine="0"/>
    </w:pPr>
    <w:r>
      <w:rPr>
        <w:sz w:val="20"/>
      </w:rPr>
      <w:t xml:space="preserve">  </w:t>
    </w:r>
    <w:r>
      <w:rPr>
        <w:sz w:val="20"/>
      </w:rPr>
      <w:tab/>
      <w:t xml:space="preserve">Part </w:t>
    </w:r>
    <w:r>
      <w:rPr>
        <w:sz w:val="20"/>
      </w:rPr>
      <w:t>A</w:t>
    </w:r>
    <w:r>
      <w:rPr>
        <w:sz w:val="22"/>
      </w:rPr>
      <w:t xml:space="preserve">  </w:t>
    </w:r>
    <w:r>
      <w:rPr>
        <w:sz w:val="22"/>
      </w:rPr>
      <w:tab/>
    </w:r>
    <w:r>
      <w:rPr>
        <w:sz w:val="20"/>
      </w:rPr>
      <w:t xml:space="preserve">– Supporting Statement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D4864" w14:paraId="189EF342" w14:textId="77777777">
    <w:pPr>
      <w:spacing w:after="0" w:line="259" w:lineRule="auto"/>
      <w:ind w:left="371" w:firstLine="0"/>
    </w:pPr>
    <w:r>
      <w:rPr>
        <w:sz w:val="20"/>
      </w:rPr>
      <w:t xml:space="preserve">Medicare Plan Warning Information </w:t>
    </w:r>
    <w:r>
      <w:t xml:space="preserve"> </w:t>
    </w:r>
  </w:p>
  <w:p w:rsidR="005D4864" w14:paraId="24E6F874" w14:textId="77777777">
    <w:pPr>
      <w:tabs>
        <w:tab w:val="center" w:pos="608"/>
        <w:tab w:val="center" w:pos="4280"/>
      </w:tabs>
      <w:spacing w:after="0" w:line="259" w:lineRule="auto"/>
      <w:ind w:left="0" w:firstLine="0"/>
    </w:pPr>
    <w:r>
      <w:rPr>
        <w:sz w:val="20"/>
      </w:rPr>
      <w:t xml:space="preserve">  </w:t>
    </w:r>
    <w:r>
      <w:rPr>
        <w:sz w:val="20"/>
      </w:rPr>
      <w:tab/>
      <w:t xml:space="preserve">Part </w:t>
    </w:r>
    <w:r>
      <w:rPr>
        <w:sz w:val="20"/>
      </w:rPr>
      <w:t>A</w:t>
    </w:r>
    <w:r>
      <w:rPr>
        <w:sz w:val="22"/>
      </w:rPr>
      <w:t xml:space="preserve">  </w:t>
    </w:r>
    <w:r>
      <w:rPr>
        <w:sz w:val="22"/>
      </w:rPr>
      <w:tab/>
    </w:r>
    <w:r>
      <w:rPr>
        <w:sz w:val="20"/>
      </w:rPr>
      <w:t xml:space="preserve">– Supporting Statement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48E7754"/>
    <w:multiLevelType w:val="hybridMultilevel"/>
    <w:tmpl w:val="4B880B06"/>
    <w:lvl w:ilvl="0">
      <w:start w:val="1"/>
      <w:numFmt w:val="bullet"/>
      <w:lvlText w:val="●"/>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450808E1"/>
    <w:multiLevelType w:val="hybridMultilevel"/>
    <w:tmpl w:val="BD10C16A"/>
    <w:lvl w:ilvl="0">
      <w:start w:val="1"/>
      <w:numFmt w:val="bullet"/>
      <w:lvlText w:val="●"/>
      <w:lvlJc w:val="left"/>
      <w:pPr>
        <w:ind w:left="9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nsid w:val="54034BB7"/>
    <w:multiLevelType w:val="hybridMultilevel"/>
    <w:tmpl w:val="EB385390"/>
    <w:lvl w:ilvl="0">
      <w:start w:val="1"/>
      <w:numFmt w:val="bullet"/>
      <w:lvlText w:val="●"/>
      <w:lvlJc w:val="left"/>
      <w:pPr>
        <w:ind w:left="9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864"/>
    <w:rsid w:val="000D7ACA"/>
    <w:rsid w:val="001C2D30"/>
    <w:rsid w:val="001D61AF"/>
    <w:rsid w:val="0053641B"/>
    <w:rsid w:val="005427FF"/>
    <w:rsid w:val="005D4864"/>
    <w:rsid w:val="00692011"/>
    <w:rsid w:val="00744BD3"/>
    <w:rsid w:val="008115EE"/>
    <w:rsid w:val="008A30FA"/>
    <w:rsid w:val="00986D0F"/>
    <w:rsid w:val="009A4430"/>
    <w:rsid w:val="009E7A21"/>
    <w:rsid w:val="00B1273A"/>
    <w:rsid w:val="00CC5E0D"/>
    <w:rsid w:val="00EB2D3D"/>
    <w:rsid w:val="00EC559F"/>
    <w:rsid w:val="00F50E24"/>
    <w:rsid w:val="00F646EC"/>
    <w:rsid w:val="00F92A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0B09B3"/>
  <w15:docId w15:val="{92811B99-CECC-42B3-A3AA-679AF0B87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8" w:line="350" w:lineRule="auto"/>
      <w:ind w:left="16" w:firstLine="727"/>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9"/>
      <w:ind w:left="26"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0D7ACA"/>
    <w:rPr>
      <w:sz w:val="16"/>
      <w:szCs w:val="16"/>
    </w:rPr>
  </w:style>
  <w:style w:type="paragraph" w:styleId="CommentText">
    <w:name w:val="annotation text"/>
    <w:basedOn w:val="Normal"/>
    <w:link w:val="CommentTextChar"/>
    <w:uiPriority w:val="99"/>
    <w:semiHidden/>
    <w:unhideWhenUsed/>
    <w:rsid w:val="000D7ACA"/>
    <w:pPr>
      <w:spacing w:line="240" w:lineRule="auto"/>
    </w:pPr>
    <w:rPr>
      <w:sz w:val="20"/>
      <w:szCs w:val="20"/>
    </w:rPr>
  </w:style>
  <w:style w:type="character" w:customStyle="1" w:styleId="CommentTextChar">
    <w:name w:val="Comment Text Char"/>
    <w:basedOn w:val="DefaultParagraphFont"/>
    <w:link w:val="CommentText"/>
    <w:uiPriority w:val="99"/>
    <w:semiHidden/>
    <w:rsid w:val="000D7AC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D7ACA"/>
    <w:rPr>
      <w:b/>
      <w:bCs/>
    </w:rPr>
  </w:style>
  <w:style w:type="character" w:customStyle="1" w:styleId="CommentSubjectChar">
    <w:name w:val="Comment Subject Char"/>
    <w:basedOn w:val="CommentTextChar"/>
    <w:link w:val="CommentSubject"/>
    <w:uiPriority w:val="99"/>
    <w:semiHidden/>
    <w:rsid w:val="000D7ACA"/>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0D7A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ACA"/>
    <w:rPr>
      <w:rFonts w:ascii="Segoe UI" w:eastAsia="Times New Roman" w:hAnsi="Segoe UI" w:cs="Segoe UI"/>
      <w:color w:val="000000"/>
      <w:sz w:val="18"/>
      <w:szCs w:val="18"/>
    </w:rPr>
  </w:style>
  <w:style w:type="paragraph" w:styleId="FootnoteText">
    <w:name w:val="footnote text"/>
    <w:basedOn w:val="Normal"/>
    <w:link w:val="FootnoteTextChar"/>
    <w:uiPriority w:val="99"/>
    <w:semiHidden/>
    <w:unhideWhenUsed/>
    <w:rsid w:val="00F646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46EC"/>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F646EC"/>
    <w:rPr>
      <w:vertAlign w:val="superscript"/>
    </w:rPr>
  </w:style>
  <w:style w:type="paragraph" w:styleId="Revision">
    <w:name w:val="Revision"/>
    <w:hidden/>
    <w:uiPriority w:val="99"/>
    <w:semiHidden/>
    <w:rsid w:val="00744BD3"/>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oig.hhs.gov/oei/reports/oei-09-16-00411.asp." TargetMode="External" /><Relationship Id="rId7" Type="http://schemas.openxmlformats.org/officeDocument/2006/relationships/hyperlink" Target="https://www.bls.gov/news.release/empsit.t19.htm" TargetMode="External" /><Relationship Id="rId8" Type="http://schemas.openxmlformats.org/officeDocument/2006/relationships/header" Target="header1.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oig.hhs.gov/oei/reports/oei-09-16-00410.asp" TargetMode="External" /><Relationship Id="rId2" Type="http://schemas.openxmlformats.org/officeDocument/2006/relationships/hyperlink" Target="https://oig.hhs.gov/oei/reports/oei-09-16-00411.a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B845C-BD94-403E-AA36-B24F5CA28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3394</Words>
  <Characters>19352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Supporting Statement Part A Medicare Plan Performance Warning Information</vt:lpstr>
    </vt:vector>
  </TitlesOfParts>
  <Company/>
  <LinksUpToDate>false</LinksUpToDate>
  <CharactersWithSpaces>22701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 Medicare Plan Performance Warning Information</dc:title>
  <dc:creator>Christos Mantzanas</dc:creator>
  <cp:lastModifiedBy>Stephan McKenzie</cp:lastModifiedBy>
  <cp:revision>3</cp:revision>
  <dcterms:created xsi:type="dcterms:W3CDTF">2023-03-15T02:09:00Z</dcterms:created>
  <dcterms:modified xsi:type="dcterms:W3CDTF">2023-03-15T15:06:00Z</dcterms:modified>
</cp:coreProperties>
</file>