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7755" w:rsidRPr="006E151E" w:rsidP="000718E1" w14:paraId="7E10AF1F" w14:textId="77777777">
      <w:pPr>
        <w:spacing w:after="0"/>
        <w:jc w:val="center"/>
        <w:rPr>
          <w:rFonts w:ascii="Times New Roman" w:hAnsi="Times New Roman"/>
          <w:b/>
          <w:bCs/>
          <w:szCs w:val="24"/>
        </w:rPr>
      </w:pPr>
      <w:r w:rsidRPr="006E151E">
        <w:rPr>
          <w:rFonts w:ascii="Times New Roman" w:hAnsi="Times New Roman"/>
          <w:b/>
          <w:bCs/>
          <w:szCs w:val="24"/>
        </w:rPr>
        <w:t xml:space="preserve">Justification for the Non-Substantive Changes for </w:t>
      </w:r>
    </w:p>
    <w:p w:rsidR="000718E1" w:rsidRPr="000718E1" w:rsidP="000718E1" w14:paraId="503DAFF6" w14:textId="676A2F28">
      <w:pPr>
        <w:spacing w:after="0"/>
        <w:jc w:val="center"/>
        <w:rPr>
          <w:rFonts w:ascii="Times New Roman" w:eastAsia="SimSun" w:hAnsi="Times New Roman"/>
          <w:b/>
          <w:bCs/>
          <w:szCs w:val="24"/>
          <w:lang w:eastAsia="zh-CN"/>
        </w:rPr>
      </w:pPr>
      <w:r w:rsidRPr="000718E1">
        <w:rPr>
          <w:rFonts w:ascii="Times New Roman" w:eastAsia="SimSun" w:hAnsi="Times New Roman"/>
          <w:b/>
          <w:bCs/>
          <w:szCs w:val="24"/>
          <w:lang w:eastAsia="zh-CN"/>
        </w:rPr>
        <w:t>Integrated Registration Services (IRES) System</w:t>
      </w:r>
    </w:p>
    <w:p w:rsidR="000718E1" w:rsidRPr="000718E1" w:rsidP="000718E1" w14:paraId="69944A6E" w14:textId="77777777">
      <w:pPr>
        <w:spacing w:after="0"/>
        <w:jc w:val="center"/>
        <w:rPr>
          <w:rFonts w:ascii="Times New Roman" w:eastAsia="SimSun" w:hAnsi="Times New Roman"/>
          <w:b/>
          <w:bCs/>
          <w:szCs w:val="24"/>
          <w:lang w:eastAsia="zh-CN"/>
        </w:rPr>
      </w:pPr>
      <w:r w:rsidRPr="000718E1">
        <w:rPr>
          <w:rFonts w:ascii="Times New Roman" w:eastAsia="SimSun" w:hAnsi="Times New Roman"/>
          <w:b/>
          <w:bCs/>
          <w:szCs w:val="24"/>
          <w:lang w:eastAsia="zh-CN"/>
        </w:rPr>
        <w:t>20 CFR 401.45</w:t>
      </w:r>
    </w:p>
    <w:p w:rsidR="000718E1" w:rsidRPr="000718E1" w:rsidP="000718E1" w14:paraId="78F84489" w14:textId="77777777">
      <w:pPr>
        <w:spacing w:after="0"/>
        <w:jc w:val="center"/>
        <w:rPr>
          <w:rFonts w:ascii="Times New Roman" w:eastAsia="SimSun" w:hAnsi="Times New Roman"/>
          <w:b/>
          <w:bCs/>
          <w:szCs w:val="24"/>
          <w:lang w:eastAsia="zh-CN"/>
        </w:rPr>
      </w:pPr>
      <w:r w:rsidRPr="000718E1">
        <w:rPr>
          <w:rFonts w:ascii="Times New Roman" w:eastAsia="SimSun" w:hAnsi="Times New Roman"/>
          <w:b/>
          <w:bCs/>
          <w:szCs w:val="24"/>
          <w:lang w:eastAsia="zh-CN"/>
        </w:rPr>
        <w:t>OMB No. 0960-0626</w:t>
      </w:r>
    </w:p>
    <w:p w:rsidR="00166C6D" w:rsidP="00166C6D" w14:paraId="6779E2BC" w14:textId="77777777">
      <w:pPr>
        <w:contextualSpacing/>
        <w:rPr>
          <w:rFonts w:ascii="Times New Roman" w:hAnsi="Times New Roman"/>
          <w:b/>
          <w:bCs/>
          <w:szCs w:val="24"/>
          <w:u w:val="single"/>
        </w:rPr>
      </w:pPr>
    </w:p>
    <w:p w:rsidR="008D7755" w:rsidRPr="006E151E" w:rsidP="00166C6D" w14:paraId="200AE615" w14:textId="38E94146">
      <w:pPr>
        <w:contextualSpacing/>
        <w:rPr>
          <w:rFonts w:ascii="Times New Roman" w:hAnsi="Times New Roman"/>
          <w:b/>
          <w:bCs/>
          <w:szCs w:val="24"/>
          <w:u w:val="single"/>
        </w:rPr>
      </w:pPr>
      <w:r w:rsidRPr="006E151E">
        <w:rPr>
          <w:rFonts w:ascii="Times New Roman" w:hAnsi="Times New Roman"/>
          <w:b/>
          <w:bCs/>
          <w:szCs w:val="24"/>
          <w:u w:val="single"/>
        </w:rPr>
        <w:t>Background</w:t>
      </w:r>
    </w:p>
    <w:p w:rsidR="005B3265" w:rsidRPr="005B3265" w:rsidP="00166C6D" w14:paraId="540B957F" w14:textId="5DEFDFE8">
      <w:pPr>
        <w:pStyle w:val="NormalWeb"/>
        <w:rPr>
          <w:bCs/>
          <w:color w:val="000000"/>
        </w:rPr>
      </w:pPr>
      <w:r w:rsidRPr="005B3265">
        <w:rPr>
          <w:bCs/>
          <w:color w:val="000000"/>
        </w:rPr>
        <w:t xml:space="preserve">The Integrated Registration Services (IRES) system is an electronic authentication process by which the Social Security Administration (SSA) registers and authenticates users of our online business services. </w:t>
      </w:r>
      <w:r w:rsidR="00885ABC">
        <w:rPr>
          <w:bCs/>
          <w:color w:val="000000"/>
        </w:rPr>
        <w:t xml:space="preserve"> </w:t>
      </w:r>
      <w:r w:rsidRPr="005B3265">
        <w:rPr>
          <w:bCs/>
          <w:color w:val="000000"/>
        </w:rPr>
        <w:t>We collect the</w:t>
      </w:r>
      <w:r w:rsidR="0091781F">
        <w:rPr>
          <w:bCs/>
          <w:color w:val="000000"/>
        </w:rPr>
        <w:t xml:space="preserve"> respondent’s</w:t>
      </w:r>
      <w:r w:rsidRPr="005B3265">
        <w:rPr>
          <w:bCs/>
          <w:color w:val="000000"/>
        </w:rPr>
        <w:t xml:space="preserve"> personal information one time only when the individual registers to use our online business services.</w:t>
      </w:r>
      <w:r>
        <w:rPr>
          <w:bCs/>
          <w:color w:val="000000"/>
        </w:rPr>
        <w:t xml:space="preserve"> </w:t>
      </w:r>
      <w:r w:rsidR="00885ABC">
        <w:rPr>
          <w:bCs/>
          <w:color w:val="000000"/>
        </w:rPr>
        <w:t xml:space="preserve"> </w:t>
      </w:r>
      <w:r w:rsidRPr="005B3265">
        <w:rPr>
          <w:bCs/>
          <w:color w:val="000000"/>
        </w:rPr>
        <w:t>Respondents are employers; employees; third party submitters of wage data</w:t>
      </w:r>
      <w:r w:rsidR="00E57184">
        <w:rPr>
          <w:bCs/>
          <w:color w:val="000000"/>
        </w:rPr>
        <w:t>;</w:t>
      </w:r>
      <w:r w:rsidRPr="005B3265">
        <w:rPr>
          <w:bCs/>
          <w:color w:val="000000"/>
        </w:rPr>
        <w:t xml:space="preserve"> business entities providing taxpayer identification information; appointed</w:t>
      </w:r>
      <w:r>
        <w:rPr>
          <w:bCs/>
          <w:color w:val="000000"/>
        </w:rPr>
        <w:t xml:space="preserve"> </w:t>
      </w:r>
      <w:r w:rsidRPr="005B3265">
        <w:rPr>
          <w:bCs/>
          <w:color w:val="000000"/>
        </w:rPr>
        <w:t>representatives; representative payees; and data exchange partners conducting business in support of SSA programs.</w:t>
      </w:r>
    </w:p>
    <w:p w:rsidR="005B3265" w:rsidRPr="005B3265" w:rsidP="00166C6D" w14:paraId="34D30263" w14:textId="20F0B9B2">
      <w:pPr>
        <w:pStyle w:val="NormalWeb"/>
        <w:rPr>
          <w:bCs/>
          <w:color w:val="000000"/>
        </w:rPr>
      </w:pPr>
      <w:r>
        <w:rPr>
          <w:bCs/>
          <w:color w:val="000000"/>
        </w:rPr>
        <w:t>We are updat</w:t>
      </w:r>
      <w:r w:rsidR="0091781F">
        <w:rPr>
          <w:bCs/>
          <w:color w:val="000000"/>
        </w:rPr>
        <w:t>ing</w:t>
      </w:r>
      <w:r>
        <w:rPr>
          <w:bCs/>
          <w:color w:val="000000"/>
        </w:rPr>
        <w:t xml:space="preserve"> IRES to </w:t>
      </w:r>
      <w:r w:rsidR="000F7BCA">
        <w:rPr>
          <w:bCs/>
          <w:color w:val="000000"/>
        </w:rPr>
        <w:t xml:space="preserve">enhance the digital identity authentication process needed to access </w:t>
      </w:r>
      <w:r w:rsidR="0091781F">
        <w:rPr>
          <w:bCs/>
          <w:color w:val="000000"/>
        </w:rPr>
        <w:t xml:space="preserve">SSA’s </w:t>
      </w:r>
      <w:r w:rsidR="000F7BCA">
        <w:rPr>
          <w:bCs/>
          <w:color w:val="000000"/>
        </w:rPr>
        <w:t>business services</w:t>
      </w:r>
      <w:r>
        <w:rPr>
          <w:bCs/>
          <w:color w:val="000000"/>
        </w:rPr>
        <w:t xml:space="preserve">. </w:t>
      </w:r>
      <w:bookmarkStart w:id="0" w:name="_Hlk128043916"/>
      <w:r w:rsidR="00885ABC">
        <w:rPr>
          <w:bCs/>
          <w:color w:val="000000"/>
        </w:rPr>
        <w:t xml:space="preserve"> </w:t>
      </w:r>
      <w:r w:rsidR="0091781F">
        <w:rPr>
          <w:bCs/>
          <w:color w:val="000000"/>
        </w:rPr>
        <w:t>We will now require u</w:t>
      </w:r>
      <w:r w:rsidR="00DB729B">
        <w:rPr>
          <w:bCs/>
          <w:color w:val="000000"/>
        </w:rPr>
        <w:t xml:space="preserve">sers that need access to the Employer Wage Reporting (EWR) </w:t>
      </w:r>
      <w:r w:rsidR="00DA7F58">
        <w:rPr>
          <w:bCs/>
          <w:color w:val="000000"/>
        </w:rPr>
        <w:t>o</w:t>
      </w:r>
      <w:r w:rsidR="00DB729B">
        <w:rPr>
          <w:bCs/>
          <w:color w:val="000000"/>
        </w:rPr>
        <w:t xml:space="preserve">r </w:t>
      </w:r>
      <w:r w:rsidRPr="00DB729B" w:rsidR="00DB729B">
        <w:rPr>
          <w:bCs/>
          <w:color w:val="000000"/>
        </w:rPr>
        <w:t xml:space="preserve">Social Security </w:t>
      </w:r>
      <w:r w:rsidR="00DB729B">
        <w:rPr>
          <w:bCs/>
          <w:color w:val="000000"/>
        </w:rPr>
        <w:t>Number Verification Service (SSNVS) applications to authenticate through our</w:t>
      </w:r>
      <w:r w:rsidR="00D47C58">
        <w:rPr>
          <w:bCs/>
          <w:color w:val="000000"/>
        </w:rPr>
        <w:t xml:space="preserve"> </w:t>
      </w:r>
      <w:r w:rsidRPr="005B3265" w:rsidR="00D47C58">
        <w:rPr>
          <w:bCs/>
          <w:color w:val="000000"/>
        </w:rPr>
        <w:t>Public Credentialing and Authentication Process (OMB Clearance No. 0960-0789</w:t>
      </w:r>
      <w:r w:rsidR="00D47C58">
        <w:rPr>
          <w:bCs/>
          <w:color w:val="000000"/>
        </w:rPr>
        <w:t>), known as eAccess</w:t>
      </w:r>
      <w:bookmarkEnd w:id="0"/>
      <w:r w:rsidR="0091781F">
        <w:rPr>
          <w:bCs/>
          <w:color w:val="000000"/>
        </w:rPr>
        <w:t>, rather than using IRES for authentication</w:t>
      </w:r>
      <w:r w:rsidR="00DB729B">
        <w:rPr>
          <w:bCs/>
          <w:color w:val="000000"/>
        </w:rPr>
        <w:t>.</w:t>
      </w:r>
      <w:r w:rsidR="00D47C58">
        <w:rPr>
          <w:bCs/>
          <w:color w:val="000000"/>
        </w:rPr>
        <w:t xml:space="preserve"> The other applications behind IRES will </w:t>
      </w:r>
      <w:r w:rsidR="000F7BCA">
        <w:rPr>
          <w:bCs/>
          <w:color w:val="000000"/>
        </w:rPr>
        <w:t>continue to follow the current authentication process</w:t>
      </w:r>
      <w:r w:rsidR="00D47C58">
        <w:rPr>
          <w:bCs/>
          <w:color w:val="000000"/>
        </w:rPr>
        <w:t>, until a later release when we migrate more applications</w:t>
      </w:r>
      <w:r w:rsidR="00DA7F58">
        <w:rPr>
          <w:bCs/>
          <w:color w:val="000000"/>
        </w:rPr>
        <w:t xml:space="preserve"> to</w:t>
      </w:r>
      <w:r w:rsidR="007D4BF8">
        <w:rPr>
          <w:bCs/>
          <w:color w:val="000000"/>
        </w:rPr>
        <w:t xml:space="preserve"> </w:t>
      </w:r>
      <w:r w:rsidR="000F7BCA">
        <w:rPr>
          <w:bCs/>
          <w:color w:val="000000"/>
        </w:rPr>
        <w:t>eAccess</w:t>
      </w:r>
      <w:r w:rsidR="00DA7F58">
        <w:rPr>
          <w:bCs/>
          <w:color w:val="000000"/>
        </w:rPr>
        <w:t>.</w:t>
      </w:r>
    </w:p>
    <w:p w:rsidR="004F544E" w:rsidRPr="00863E47" w:rsidP="00166C6D" w14:paraId="48028B5C" w14:textId="70AB1A9D">
      <w:pPr>
        <w:pStyle w:val="NormalWeb"/>
      </w:pPr>
      <w:r>
        <w:t xml:space="preserve">We will implement </w:t>
      </w:r>
      <w:r w:rsidR="005512D6">
        <w:t>this</w:t>
      </w:r>
      <w:r>
        <w:t xml:space="preserve"> new, non-substantive revision </w:t>
      </w:r>
      <w:r w:rsidR="00D47C58">
        <w:t>on March 25, 2023</w:t>
      </w:r>
      <w:r w:rsidR="00E57184">
        <w:rPr>
          <w:b/>
        </w:rPr>
        <w:t xml:space="preserve">.  </w:t>
      </w:r>
      <w:r>
        <w:t>Therefore, we are asking for OMB’s approval of th</w:t>
      </w:r>
      <w:r w:rsidR="00EB0D20">
        <w:t>ese</w:t>
      </w:r>
      <w:r>
        <w:t xml:space="preserve"> revision </w:t>
      </w:r>
      <w:r w:rsidR="00CF7CB8">
        <w:t>as soon as possible</w:t>
      </w:r>
      <w:r>
        <w:t>, to ensure we can implement on time.</w:t>
      </w:r>
    </w:p>
    <w:p w:rsidR="008D7755" w:rsidRPr="00B12139" w:rsidP="00166C6D" w14:paraId="24A931FF" w14:textId="77777777">
      <w:pPr>
        <w:spacing w:after="0"/>
        <w:rPr>
          <w:rFonts w:ascii="Times New Roman" w:hAnsi="Times New Roman"/>
          <w:b/>
          <w:bCs/>
          <w:szCs w:val="24"/>
          <w:u w:val="single"/>
        </w:rPr>
      </w:pPr>
      <w:r w:rsidRPr="00B12139">
        <w:rPr>
          <w:rFonts w:ascii="Times New Roman" w:hAnsi="Times New Roman"/>
          <w:b/>
          <w:bCs/>
          <w:szCs w:val="24"/>
          <w:u w:val="single"/>
        </w:rPr>
        <w:t>Revisions to the Collection Instrument</w:t>
      </w:r>
    </w:p>
    <w:p w:rsidR="00F32DE5" w:rsidRPr="00B12139" w:rsidP="008D7755" w14:paraId="09EFDADB" w14:textId="77777777">
      <w:pPr>
        <w:spacing w:after="0"/>
        <w:rPr>
          <w:rFonts w:ascii="Times New Roman" w:hAnsi="Times New Roman"/>
          <w:bCs/>
          <w:szCs w:val="24"/>
        </w:rPr>
      </w:pPr>
    </w:p>
    <w:p w:rsidR="00712E30" w:rsidRPr="00E57184" w:rsidP="00712E30" w14:paraId="6B16B22C" w14:textId="7D3C6D37">
      <w:pPr>
        <w:pStyle w:val="ListParagraph"/>
        <w:numPr>
          <w:ilvl w:val="0"/>
          <w:numId w:val="16"/>
        </w:numPr>
        <w:rPr>
          <w:rFonts w:ascii="Times New Roman" w:eastAsia="Times New Roman" w:hAnsi="Times New Roman" w:cs="Times New Roman"/>
          <w:sz w:val="24"/>
          <w:szCs w:val="24"/>
        </w:rPr>
      </w:pPr>
      <w:r w:rsidRPr="00EC22EA">
        <w:rPr>
          <w:rFonts w:ascii="Times New Roman" w:eastAsia="Times New Roman" w:hAnsi="Times New Roman" w:cs="Times New Roman"/>
          <w:b/>
          <w:sz w:val="24"/>
          <w:szCs w:val="24"/>
          <w:u w:val="single"/>
        </w:rPr>
        <w:t>Change #1:</w:t>
      </w:r>
      <w:r w:rsidRPr="00721421">
        <w:rPr>
          <w:rFonts w:ascii="Times New Roman" w:eastAsia="Times New Roman" w:hAnsi="Times New Roman"/>
          <w:b/>
          <w:bCs/>
          <w:szCs w:val="24"/>
        </w:rPr>
        <w:t xml:space="preserve"> </w:t>
      </w:r>
      <w:r w:rsidRPr="00ED7618">
        <w:t xml:space="preserve"> </w:t>
      </w:r>
      <w:r w:rsidRPr="00E57184" w:rsidR="00885ABC">
        <w:rPr>
          <w:rFonts w:ascii="Times New Roman" w:hAnsi="Times New Roman" w:cs="Times New Roman"/>
          <w:sz w:val="24"/>
          <w:szCs w:val="24"/>
        </w:rPr>
        <w:t xml:space="preserve"> We are adding new screens that </w:t>
      </w:r>
      <w:r w:rsidRPr="00E57184" w:rsidR="00532385">
        <w:rPr>
          <w:rFonts w:ascii="Times New Roman" w:hAnsi="Times New Roman" w:cs="Times New Roman"/>
          <w:sz w:val="24"/>
          <w:szCs w:val="24"/>
        </w:rPr>
        <w:t>the system will</w:t>
      </w:r>
      <w:r w:rsidRPr="00E57184" w:rsidR="00885ABC">
        <w:rPr>
          <w:rFonts w:ascii="Times New Roman" w:hAnsi="Times New Roman" w:cs="Times New Roman"/>
          <w:sz w:val="24"/>
          <w:szCs w:val="24"/>
        </w:rPr>
        <w:t xml:space="preserve"> di</w:t>
      </w:r>
      <w:r w:rsidRPr="00E57184">
        <w:rPr>
          <w:rFonts w:ascii="Times New Roman" w:eastAsia="Times New Roman" w:hAnsi="Times New Roman" w:cs="Times New Roman"/>
          <w:sz w:val="24"/>
          <w:szCs w:val="24"/>
        </w:rPr>
        <w:t>play for EWR and SSNVS users</w:t>
      </w:r>
      <w:r w:rsidRPr="00E57184" w:rsidR="00885ABC">
        <w:rPr>
          <w:rFonts w:ascii="Times New Roman" w:eastAsia="Times New Roman" w:hAnsi="Times New Roman" w:cs="Times New Roman"/>
          <w:sz w:val="24"/>
          <w:szCs w:val="24"/>
        </w:rPr>
        <w:t xml:space="preserve"> who must now</w:t>
      </w:r>
      <w:r w:rsidRPr="00E57184">
        <w:rPr>
          <w:rFonts w:ascii="Times New Roman" w:eastAsia="Times New Roman" w:hAnsi="Times New Roman" w:cs="Times New Roman"/>
          <w:sz w:val="24"/>
          <w:szCs w:val="24"/>
        </w:rPr>
        <w:t xml:space="preserve"> create an eAccess credential to access those services. </w:t>
      </w:r>
    </w:p>
    <w:p w:rsidR="00712E30" w:rsidRPr="00E57184" w:rsidP="00712E30" w14:paraId="60BE4302" w14:textId="77777777">
      <w:pPr>
        <w:pStyle w:val="ListParagraph"/>
        <w:ind w:left="360"/>
        <w:rPr>
          <w:rFonts w:ascii="Times New Roman" w:eastAsia="Times New Roman" w:hAnsi="Times New Roman" w:cs="Times New Roman"/>
          <w:sz w:val="24"/>
          <w:szCs w:val="24"/>
        </w:rPr>
      </w:pPr>
    </w:p>
    <w:p w:rsidR="00712E30" w:rsidRPr="00710D77" w:rsidP="00712E30" w14:paraId="7E1D9BD5" w14:textId="09D57ED2">
      <w:pPr>
        <w:pStyle w:val="ListParagraph"/>
        <w:ind w:left="360"/>
        <w:rPr>
          <w:rFonts w:ascii="Times New Roman" w:hAnsi="Times New Roman"/>
          <w:szCs w:val="24"/>
        </w:rPr>
      </w:pPr>
      <w:r w:rsidRPr="00434D5C">
        <w:rPr>
          <w:rFonts w:ascii="Times New Roman" w:hAnsi="Times New Roman"/>
          <w:b/>
          <w:sz w:val="24"/>
          <w:szCs w:val="24"/>
          <w:u w:val="single"/>
        </w:rPr>
        <w:t>Justification #1:</w:t>
      </w:r>
      <w:r>
        <w:rPr>
          <w:rFonts w:ascii="Times New Roman" w:hAnsi="Times New Roman"/>
          <w:b/>
          <w:szCs w:val="24"/>
        </w:rPr>
        <w:t xml:space="preserve">  </w:t>
      </w:r>
      <w:r w:rsidRPr="00E964BF" w:rsidR="00885ABC">
        <w:rPr>
          <w:rFonts w:ascii="Times New Roman" w:hAnsi="Times New Roman"/>
          <w:bCs/>
          <w:sz w:val="24"/>
          <w:szCs w:val="24"/>
        </w:rPr>
        <w:t>SSA</w:t>
      </w:r>
      <w:r w:rsidR="00885ABC">
        <w:rPr>
          <w:rFonts w:ascii="Times New Roman" w:hAnsi="Times New Roman"/>
          <w:bCs/>
          <w:sz w:val="24"/>
          <w:szCs w:val="24"/>
        </w:rPr>
        <w:t xml:space="preserve"> will</w:t>
      </w:r>
      <w:r w:rsidRPr="00E964BF" w:rsidR="00885ABC">
        <w:rPr>
          <w:rFonts w:ascii="Times New Roman" w:hAnsi="Times New Roman"/>
          <w:bCs/>
          <w:sz w:val="24"/>
          <w:szCs w:val="24"/>
        </w:rPr>
        <w:t xml:space="preserve"> require EWR and SSNV</w:t>
      </w:r>
      <w:r w:rsidR="0091781F">
        <w:rPr>
          <w:rFonts w:ascii="Times New Roman" w:hAnsi="Times New Roman"/>
          <w:bCs/>
          <w:sz w:val="24"/>
          <w:szCs w:val="24"/>
        </w:rPr>
        <w:t>S</w:t>
      </w:r>
      <w:r w:rsidRPr="00E964BF" w:rsidR="00885ABC">
        <w:rPr>
          <w:rFonts w:ascii="Times New Roman" w:hAnsi="Times New Roman"/>
          <w:bCs/>
          <w:sz w:val="24"/>
          <w:szCs w:val="24"/>
        </w:rPr>
        <w:t xml:space="preserve"> users </w:t>
      </w:r>
      <w:r w:rsidRPr="00E964BF" w:rsidR="00885ABC">
        <w:rPr>
          <w:rFonts w:ascii="Times New Roman" w:eastAsia="Times New Roman" w:hAnsi="Times New Roman" w:cs="Times New Roman"/>
          <w:sz w:val="24"/>
          <w:szCs w:val="24"/>
        </w:rPr>
        <w:t>to register for an advanced account, using eAccess, to access those business services.</w:t>
      </w:r>
      <w:r w:rsidR="0091781F">
        <w:rPr>
          <w:rFonts w:ascii="Times New Roman" w:eastAsia="Times New Roman" w:hAnsi="Times New Roman" w:cs="Times New Roman"/>
          <w:sz w:val="24"/>
          <w:szCs w:val="24"/>
        </w:rPr>
        <w:t xml:space="preserve">  </w:t>
      </w:r>
      <w:bookmarkStart w:id="1" w:name="_Hlk129697324"/>
      <w:r w:rsidR="0091781F">
        <w:rPr>
          <w:rFonts w:ascii="Times New Roman" w:eastAsia="Times New Roman" w:hAnsi="Times New Roman" w:cs="Times New Roman"/>
          <w:sz w:val="24"/>
          <w:szCs w:val="24"/>
        </w:rPr>
        <w:t>We are making this change to allow for enhanced security for the user before they access these services</w:t>
      </w:r>
      <w:bookmarkEnd w:id="1"/>
      <w:r w:rsidR="0091781F">
        <w:rPr>
          <w:rFonts w:ascii="Times New Roman" w:eastAsia="Times New Roman" w:hAnsi="Times New Roman" w:cs="Times New Roman"/>
          <w:sz w:val="24"/>
          <w:szCs w:val="24"/>
        </w:rPr>
        <w:t>.</w:t>
      </w:r>
      <w:r w:rsidRPr="00E964BF" w:rsidR="00885ABC">
        <w:rPr>
          <w:rFonts w:ascii="Times New Roman" w:eastAsia="Times New Roman" w:hAnsi="Times New Roman"/>
          <w:sz w:val="24"/>
          <w:szCs w:val="24"/>
        </w:rPr>
        <w:br/>
      </w:r>
      <w:r w:rsidR="00885ABC">
        <w:rPr>
          <w:rFonts w:ascii="Times New Roman" w:eastAsia="Times New Roman" w:hAnsi="Times New Roman" w:cs="Times New Roman"/>
          <w:sz w:val="24"/>
          <w:szCs w:val="24"/>
        </w:rPr>
        <w:t xml:space="preserve"> </w:t>
      </w:r>
      <w:r w:rsidRPr="0098451F">
        <w:rPr>
          <w:rFonts w:ascii="Times New Roman" w:hAnsi="Times New Roman"/>
          <w:szCs w:val="24"/>
        </w:rPr>
        <w:t xml:space="preserve"> </w:t>
      </w:r>
    </w:p>
    <w:p w:rsidR="00712E30" w:rsidRPr="000162BD" w:rsidP="00712E30" w14:paraId="50F04119" w14:textId="3B903696">
      <w:pPr>
        <w:pStyle w:val="ListParagraph"/>
        <w:numPr>
          <w:ilvl w:val="0"/>
          <w:numId w:val="16"/>
        </w:numPr>
        <w:rPr>
          <w:rFonts w:ascii="Times New Roman" w:hAnsi="Times New Roman" w:cs="Times New Roman"/>
          <w:sz w:val="24"/>
          <w:szCs w:val="24"/>
        </w:rPr>
      </w:pPr>
      <w:r w:rsidRPr="00A60928">
        <w:rPr>
          <w:rFonts w:ascii="Times New Roman" w:eastAsia="Times New Roman" w:hAnsi="Times New Roman" w:cs="Times New Roman"/>
          <w:b/>
          <w:sz w:val="24"/>
          <w:szCs w:val="24"/>
          <w:u w:val="single"/>
        </w:rPr>
        <w:t>Change #</w:t>
      </w:r>
      <w:r>
        <w:rPr>
          <w:rFonts w:ascii="Times New Roman" w:eastAsia="Times New Roman" w:hAnsi="Times New Roman" w:cs="Times New Roman"/>
          <w:b/>
          <w:sz w:val="24"/>
          <w:szCs w:val="24"/>
          <w:u w:val="single"/>
        </w:rPr>
        <w:t>2</w:t>
      </w:r>
      <w:r w:rsidRPr="00A60928">
        <w:rPr>
          <w:rFonts w:ascii="Times New Roman" w:eastAsia="Times New Roman" w:hAnsi="Times New Roman" w:cs="Times New Roman"/>
          <w:b/>
          <w:sz w:val="24"/>
          <w:szCs w:val="24"/>
          <w:u w:val="single"/>
        </w:rPr>
        <w:t>:</w:t>
      </w:r>
      <w:r w:rsidRPr="00A60928">
        <w:rPr>
          <w:rFonts w:ascii="Times New Roman" w:hAnsi="Times New Roman"/>
          <w:b/>
          <w:bCs/>
          <w:szCs w:val="24"/>
        </w:rPr>
        <w:t xml:space="preserve">  </w:t>
      </w:r>
      <w:bookmarkStart w:id="2" w:name="_Hlk128141279"/>
      <w:r w:rsidRPr="000162BD">
        <w:rPr>
          <w:rFonts w:ascii="Times New Roman" w:hAnsi="Times New Roman" w:cs="Times New Roman"/>
          <w:sz w:val="24"/>
          <w:szCs w:val="24"/>
        </w:rPr>
        <w:t xml:space="preserve">We </w:t>
      </w:r>
      <w:r w:rsidR="00885ABC">
        <w:rPr>
          <w:rFonts w:ascii="Times New Roman" w:hAnsi="Times New Roman" w:cs="Times New Roman"/>
          <w:sz w:val="24"/>
          <w:szCs w:val="24"/>
        </w:rPr>
        <w:t>are revising</w:t>
      </w:r>
      <w:r>
        <w:rPr>
          <w:rFonts w:ascii="Times New Roman" w:hAnsi="Times New Roman" w:cs="Times New Roman"/>
          <w:sz w:val="24"/>
          <w:szCs w:val="24"/>
        </w:rPr>
        <w:t xml:space="preserve"> the Terms of Service language</w:t>
      </w:r>
      <w:r w:rsidRPr="00A60928">
        <w:rPr>
          <w:rFonts w:ascii="Times New Roman" w:hAnsi="Times New Roman" w:cs="Times New Roman"/>
          <w:sz w:val="24"/>
          <w:szCs w:val="24"/>
        </w:rPr>
        <w:t xml:space="preserve">. </w:t>
      </w:r>
      <w:bookmarkEnd w:id="2"/>
    </w:p>
    <w:p w:rsidR="00712E30" w:rsidRPr="00A60928" w:rsidP="00712E30" w14:paraId="2BFE4CB3" w14:textId="77777777">
      <w:pPr>
        <w:pStyle w:val="ListParagraph"/>
        <w:ind w:left="360"/>
        <w:rPr>
          <w:rFonts w:ascii="Times New Roman" w:hAnsi="Times New Roman"/>
          <w:sz w:val="24"/>
          <w:szCs w:val="24"/>
        </w:rPr>
      </w:pPr>
    </w:p>
    <w:p w:rsidR="00712E30" w:rsidP="00712E30" w14:paraId="55D14917" w14:textId="3393D952">
      <w:pPr>
        <w:spacing w:after="0"/>
        <w:ind w:left="360"/>
        <w:rPr>
          <w:rFonts w:ascii="Times New Roman" w:hAnsi="Times New Roman"/>
          <w:bCs/>
          <w:color w:val="000000"/>
          <w:szCs w:val="24"/>
        </w:rPr>
      </w:pPr>
      <w:r w:rsidRPr="00B12139">
        <w:rPr>
          <w:rFonts w:ascii="Times New Roman" w:hAnsi="Times New Roman"/>
          <w:b/>
          <w:szCs w:val="24"/>
          <w:u w:val="single"/>
        </w:rPr>
        <w:t>Justification #</w:t>
      </w:r>
      <w:r>
        <w:rPr>
          <w:rFonts w:ascii="Times New Roman" w:hAnsi="Times New Roman"/>
          <w:b/>
          <w:szCs w:val="24"/>
          <w:u w:val="single"/>
        </w:rPr>
        <w:t>2</w:t>
      </w:r>
      <w:r w:rsidRPr="00B12139">
        <w:rPr>
          <w:rFonts w:ascii="Times New Roman" w:hAnsi="Times New Roman"/>
          <w:b/>
          <w:szCs w:val="24"/>
          <w:u w:val="single"/>
        </w:rPr>
        <w:t>:</w:t>
      </w:r>
      <w:r w:rsidRPr="00B12139">
        <w:rPr>
          <w:rFonts w:ascii="Times New Roman" w:hAnsi="Times New Roman"/>
          <w:szCs w:val="24"/>
        </w:rPr>
        <w:t xml:space="preserve">  </w:t>
      </w:r>
      <w:bookmarkStart w:id="3" w:name="_Hlk128044520"/>
      <w:r w:rsidR="00E57184">
        <w:rPr>
          <w:rFonts w:ascii="Times New Roman" w:hAnsi="Times New Roman"/>
          <w:szCs w:val="24"/>
        </w:rPr>
        <w:t>We are updating the language, because we are moving EWR and SSNVS behind eAccess.</w:t>
      </w:r>
    </w:p>
    <w:bookmarkEnd w:id="3"/>
    <w:p w:rsidR="00712E30" w:rsidP="00712E30" w14:paraId="58EDDDEE" w14:textId="77777777">
      <w:pPr>
        <w:spacing w:after="0"/>
        <w:ind w:left="360"/>
        <w:rPr>
          <w:rFonts w:ascii="Times New Roman" w:hAnsi="Times New Roman"/>
          <w:bCs/>
          <w:color w:val="000000"/>
          <w:szCs w:val="24"/>
        </w:rPr>
      </w:pPr>
    </w:p>
    <w:p w:rsidR="00712E30" w:rsidRPr="000162BD" w:rsidP="00712E30" w14:paraId="3867E6DA" w14:textId="5E6EF549">
      <w:pPr>
        <w:pStyle w:val="ListParagraph"/>
        <w:numPr>
          <w:ilvl w:val="0"/>
          <w:numId w:val="16"/>
        </w:numPr>
        <w:rPr>
          <w:rFonts w:ascii="Times New Roman" w:hAnsi="Times New Roman" w:cs="Times New Roman"/>
          <w:sz w:val="24"/>
          <w:szCs w:val="24"/>
        </w:rPr>
      </w:pPr>
      <w:bookmarkStart w:id="4" w:name="_Hlk128141660"/>
      <w:r w:rsidRPr="00A60928">
        <w:rPr>
          <w:rFonts w:ascii="Times New Roman" w:eastAsia="Times New Roman" w:hAnsi="Times New Roman" w:cs="Times New Roman"/>
          <w:b/>
          <w:sz w:val="24"/>
          <w:szCs w:val="24"/>
          <w:u w:val="single"/>
        </w:rPr>
        <w:t>Change #</w:t>
      </w:r>
      <w:r>
        <w:rPr>
          <w:rFonts w:ascii="Times New Roman" w:eastAsia="Times New Roman" w:hAnsi="Times New Roman" w:cs="Times New Roman"/>
          <w:b/>
          <w:sz w:val="24"/>
          <w:szCs w:val="24"/>
          <w:u w:val="single"/>
        </w:rPr>
        <w:t>3</w:t>
      </w:r>
      <w:r w:rsidRPr="00A60928">
        <w:rPr>
          <w:rFonts w:ascii="Times New Roman" w:eastAsia="Times New Roman" w:hAnsi="Times New Roman" w:cs="Times New Roman"/>
          <w:b/>
          <w:sz w:val="24"/>
          <w:szCs w:val="24"/>
          <w:u w:val="single"/>
        </w:rPr>
        <w:t>:</w:t>
      </w:r>
      <w:r w:rsidRPr="00A60928">
        <w:rPr>
          <w:rFonts w:ascii="Times New Roman" w:hAnsi="Times New Roman"/>
          <w:b/>
          <w:bCs/>
          <w:szCs w:val="24"/>
        </w:rPr>
        <w:t xml:space="preserve">  </w:t>
      </w:r>
      <w:r w:rsidRPr="000162BD">
        <w:rPr>
          <w:rFonts w:ascii="Times New Roman" w:hAnsi="Times New Roman" w:cs="Times New Roman"/>
          <w:sz w:val="24"/>
          <w:szCs w:val="24"/>
        </w:rPr>
        <w:t xml:space="preserve">We </w:t>
      </w:r>
      <w:r w:rsidR="00885ABC">
        <w:rPr>
          <w:rFonts w:ascii="Times New Roman" w:hAnsi="Times New Roman" w:cs="Times New Roman"/>
          <w:sz w:val="24"/>
          <w:szCs w:val="24"/>
        </w:rPr>
        <w:t xml:space="preserve">are adding </w:t>
      </w:r>
      <w:r>
        <w:rPr>
          <w:rFonts w:ascii="Times New Roman" w:hAnsi="Times New Roman" w:cs="Times New Roman"/>
          <w:sz w:val="24"/>
          <w:szCs w:val="24"/>
        </w:rPr>
        <w:t>error message screens.</w:t>
      </w:r>
    </w:p>
    <w:p w:rsidR="00712E30" w:rsidRPr="00A60928" w:rsidP="00712E30" w14:paraId="0510088C" w14:textId="77777777">
      <w:pPr>
        <w:pStyle w:val="ListParagraph"/>
        <w:ind w:left="360"/>
        <w:rPr>
          <w:rFonts w:ascii="Times New Roman" w:hAnsi="Times New Roman"/>
          <w:sz w:val="24"/>
          <w:szCs w:val="24"/>
        </w:rPr>
      </w:pPr>
    </w:p>
    <w:p w:rsidR="00712E30" w:rsidP="00712E30" w14:paraId="5324A40C" w14:textId="6AC7CDF5">
      <w:pPr>
        <w:spacing w:after="0"/>
        <w:ind w:left="360"/>
        <w:rPr>
          <w:rFonts w:ascii="Times New Roman" w:hAnsi="Times New Roman"/>
          <w:szCs w:val="24"/>
        </w:rPr>
      </w:pPr>
      <w:r w:rsidRPr="00B12139">
        <w:rPr>
          <w:rFonts w:ascii="Times New Roman" w:hAnsi="Times New Roman"/>
          <w:b/>
          <w:szCs w:val="24"/>
          <w:u w:val="single"/>
        </w:rPr>
        <w:t>Justification #</w:t>
      </w:r>
      <w:r>
        <w:rPr>
          <w:rFonts w:ascii="Times New Roman" w:hAnsi="Times New Roman"/>
          <w:b/>
          <w:szCs w:val="24"/>
          <w:u w:val="single"/>
        </w:rPr>
        <w:t>3</w:t>
      </w:r>
      <w:r w:rsidRPr="00B12139">
        <w:rPr>
          <w:rFonts w:ascii="Times New Roman" w:hAnsi="Times New Roman"/>
          <w:b/>
          <w:szCs w:val="24"/>
          <w:u w:val="single"/>
        </w:rPr>
        <w:t>:</w:t>
      </w:r>
      <w:r w:rsidRPr="00B12139">
        <w:rPr>
          <w:rFonts w:ascii="Times New Roman" w:hAnsi="Times New Roman"/>
          <w:szCs w:val="24"/>
        </w:rPr>
        <w:t xml:space="preserve">  </w:t>
      </w:r>
      <w:r>
        <w:rPr>
          <w:rFonts w:ascii="Times New Roman" w:hAnsi="Times New Roman"/>
          <w:bCs/>
          <w:color w:val="000000"/>
          <w:szCs w:val="24"/>
        </w:rPr>
        <w:t xml:space="preserve">This change </w:t>
      </w:r>
      <w:r w:rsidR="00532385">
        <w:rPr>
          <w:rFonts w:ascii="Times New Roman" w:hAnsi="Times New Roman"/>
          <w:szCs w:val="24"/>
        </w:rPr>
        <w:t>will</w:t>
      </w:r>
      <w:r>
        <w:rPr>
          <w:rFonts w:ascii="Times New Roman" w:hAnsi="Times New Roman"/>
          <w:szCs w:val="24"/>
        </w:rPr>
        <w:t xml:space="preserve"> assist customers that may make error</w:t>
      </w:r>
      <w:r w:rsidR="00532385">
        <w:rPr>
          <w:rFonts w:ascii="Times New Roman" w:hAnsi="Times New Roman"/>
          <w:szCs w:val="24"/>
        </w:rPr>
        <w:t>s</w:t>
      </w:r>
      <w:r>
        <w:rPr>
          <w:rFonts w:ascii="Times New Roman" w:hAnsi="Times New Roman"/>
          <w:szCs w:val="24"/>
        </w:rPr>
        <w:t xml:space="preserve"> during registration. </w:t>
      </w:r>
      <w:r w:rsidRPr="00A60928">
        <w:rPr>
          <w:rFonts w:ascii="Times New Roman" w:hAnsi="Times New Roman"/>
          <w:szCs w:val="24"/>
        </w:rPr>
        <w:t xml:space="preserve"> </w:t>
      </w:r>
    </w:p>
    <w:bookmarkEnd w:id="4"/>
    <w:p w:rsidR="00712E30" w:rsidRPr="00712E30" w:rsidP="00712E30" w14:paraId="49F5F386" w14:textId="77777777">
      <w:pPr>
        <w:pStyle w:val="ListParagraph"/>
        <w:ind w:left="360"/>
        <w:rPr>
          <w:rFonts w:ascii="Times New Roman" w:hAnsi="Times New Roman" w:cs="Times New Roman"/>
          <w:sz w:val="24"/>
          <w:szCs w:val="24"/>
        </w:rPr>
      </w:pPr>
    </w:p>
    <w:p w:rsidR="00712E30" w:rsidP="00712E30" w14:paraId="78948B0A" w14:textId="6CF464DB">
      <w:pPr>
        <w:pStyle w:val="ListParagraph"/>
        <w:numPr>
          <w:ilvl w:val="0"/>
          <w:numId w:val="16"/>
        </w:numPr>
        <w:rPr>
          <w:rFonts w:ascii="Times New Roman" w:hAnsi="Times New Roman" w:cs="Times New Roman"/>
          <w:sz w:val="24"/>
          <w:szCs w:val="24"/>
        </w:rPr>
      </w:pPr>
      <w:r w:rsidRPr="00A60928">
        <w:rPr>
          <w:rFonts w:ascii="Times New Roman" w:eastAsia="Times New Roman" w:hAnsi="Times New Roman" w:cs="Times New Roman"/>
          <w:b/>
          <w:sz w:val="24"/>
          <w:szCs w:val="24"/>
          <w:u w:val="single"/>
        </w:rPr>
        <w:t>Change #</w:t>
      </w:r>
      <w:r>
        <w:rPr>
          <w:rFonts w:ascii="Times New Roman" w:eastAsia="Times New Roman" w:hAnsi="Times New Roman" w:cs="Times New Roman"/>
          <w:b/>
          <w:sz w:val="24"/>
          <w:szCs w:val="24"/>
          <w:u w:val="single"/>
        </w:rPr>
        <w:t>4</w:t>
      </w:r>
      <w:r w:rsidRPr="00A60928">
        <w:rPr>
          <w:rFonts w:ascii="Times New Roman" w:eastAsia="Times New Roman" w:hAnsi="Times New Roman" w:cs="Times New Roman"/>
          <w:b/>
          <w:sz w:val="24"/>
          <w:szCs w:val="24"/>
          <w:u w:val="single"/>
        </w:rPr>
        <w:t>:</w:t>
      </w:r>
      <w:r w:rsidRPr="00A60928">
        <w:rPr>
          <w:rFonts w:ascii="Times New Roman" w:hAnsi="Times New Roman"/>
          <w:b/>
          <w:bCs/>
          <w:szCs w:val="24"/>
        </w:rPr>
        <w:t xml:space="preserve">  </w:t>
      </w:r>
      <w:r w:rsidRPr="000162BD">
        <w:rPr>
          <w:rFonts w:ascii="Times New Roman" w:hAnsi="Times New Roman" w:cs="Times New Roman"/>
          <w:sz w:val="24"/>
          <w:szCs w:val="24"/>
        </w:rPr>
        <w:t xml:space="preserve">We </w:t>
      </w:r>
      <w:r w:rsidR="00885ABC">
        <w:rPr>
          <w:rFonts w:ascii="Times New Roman" w:hAnsi="Times New Roman" w:cs="Times New Roman"/>
          <w:sz w:val="24"/>
          <w:szCs w:val="24"/>
        </w:rPr>
        <w:t>are updating and enhancing</w:t>
      </w:r>
      <w:r w:rsidR="000F7BCA">
        <w:rPr>
          <w:rFonts w:ascii="Times New Roman" w:hAnsi="Times New Roman" w:cs="Times New Roman"/>
          <w:sz w:val="24"/>
          <w:szCs w:val="24"/>
        </w:rPr>
        <w:t xml:space="preserve"> the current</w:t>
      </w:r>
      <w:r>
        <w:rPr>
          <w:rFonts w:ascii="Times New Roman" w:hAnsi="Times New Roman" w:cs="Times New Roman"/>
          <w:sz w:val="24"/>
          <w:szCs w:val="24"/>
        </w:rPr>
        <w:t xml:space="preserve"> B</w:t>
      </w:r>
      <w:r w:rsidR="00EB7A83">
        <w:rPr>
          <w:rFonts w:ascii="Times New Roman" w:hAnsi="Times New Roman" w:cs="Times New Roman"/>
          <w:sz w:val="24"/>
          <w:szCs w:val="24"/>
        </w:rPr>
        <w:t xml:space="preserve">usiness </w:t>
      </w:r>
      <w:r>
        <w:rPr>
          <w:rFonts w:ascii="Times New Roman" w:hAnsi="Times New Roman" w:cs="Times New Roman"/>
          <w:sz w:val="24"/>
          <w:szCs w:val="24"/>
        </w:rPr>
        <w:t>S</w:t>
      </w:r>
      <w:r w:rsidR="00EB7A83">
        <w:rPr>
          <w:rFonts w:ascii="Times New Roman" w:hAnsi="Times New Roman" w:cs="Times New Roman"/>
          <w:sz w:val="24"/>
          <w:szCs w:val="24"/>
        </w:rPr>
        <w:t xml:space="preserve">ervices </w:t>
      </w:r>
      <w:r>
        <w:rPr>
          <w:rFonts w:ascii="Times New Roman" w:hAnsi="Times New Roman" w:cs="Times New Roman"/>
          <w:sz w:val="24"/>
          <w:szCs w:val="24"/>
        </w:rPr>
        <w:t>O</w:t>
      </w:r>
      <w:r w:rsidR="00EB7A83">
        <w:rPr>
          <w:rFonts w:ascii="Times New Roman" w:hAnsi="Times New Roman" w:cs="Times New Roman"/>
          <w:sz w:val="24"/>
          <w:szCs w:val="24"/>
        </w:rPr>
        <w:t>nline (BSO)</w:t>
      </w:r>
      <w:r>
        <w:rPr>
          <w:rFonts w:ascii="Times New Roman" w:hAnsi="Times New Roman" w:cs="Times New Roman"/>
          <w:sz w:val="24"/>
          <w:szCs w:val="24"/>
        </w:rPr>
        <w:t xml:space="preserve"> Welcome screen.</w:t>
      </w:r>
    </w:p>
    <w:p w:rsidR="00E57184" w:rsidRPr="000162BD" w:rsidP="00E57184" w14:paraId="76CE0936" w14:textId="77777777">
      <w:pPr>
        <w:pStyle w:val="ListParagraph"/>
        <w:ind w:left="360"/>
        <w:rPr>
          <w:rFonts w:ascii="Times New Roman" w:hAnsi="Times New Roman" w:cs="Times New Roman"/>
          <w:sz w:val="24"/>
          <w:szCs w:val="24"/>
        </w:rPr>
      </w:pPr>
    </w:p>
    <w:p w:rsidR="00712E30" w:rsidP="00712E30" w14:paraId="1F384FC6" w14:textId="54E2D825">
      <w:pPr>
        <w:spacing w:after="0"/>
        <w:ind w:left="360"/>
        <w:rPr>
          <w:rFonts w:ascii="Times New Roman" w:hAnsi="Times New Roman"/>
          <w:bCs/>
          <w:color w:val="000000"/>
          <w:szCs w:val="24"/>
        </w:rPr>
      </w:pPr>
      <w:r w:rsidRPr="00B12139">
        <w:rPr>
          <w:rFonts w:ascii="Times New Roman" w:hAnsi="Times New Roman"/>
          <w:b/>
          <w:szCs w:val="24"/>
          <w:u w:val="single"/>
        </w:rPr>
        <w:t>Justification #</w:t>
      </w:r>
      <w:r>
        <w:rPr>
          <w:rFonts w:ascii="Times New Roman" w:hAnsi="Times New Roman"/>
          <w:b/>
          <w:szCs w:val="24"/>
          <w:u w:val="single"/>
        </w:rPr>
        <w:t>4</w:t>
      </w:r>
      <w:r w:rsidRPr="00B12139">
        <w:rPr>
          <w:rFonts w:ascii="Times New Roman" w:hAnsi="Times New Roman"/>
          <w:b/>
          <w:szCs w:val="24"/>
          <w:u w:val="single"/>
        </w:rPr>
        <w:t>:</w:t>
      </w:r>
      <w:r w:rsidRPr="00B12139">
        <w:rPr>
          <w:rFonts w:ascii="Times New Roman" w:hAnsi="Times New Roman"/>
          <w:szCs w:val="24"/>
        </w:rPr>
        <w:t xml:space="preserve">  </w:t>
      </w:r>
      <w:r>
        <w:rPr>
          <w:rFonts w:ascii="Times New Roman" w:hAnsi="Times New Roman"/>
          <w:bCs/>
          <w:color w:val="000000"/>
          <w:szCs w:val="24"/>
        </w:rPr>
        <w:t xml:space="preserve">This change is </w:t>
      </w:r>
      <w:r>
        <w:rPr>
          <w:rFonts w:ascii="Times New Roman" w:hAnsi="Times New Roman"/>
          <w:szCs w:val="24"/>
        </w:rPr>
        <w:t>to provide the proper log in links for customers based on which services they need to access</w:t>
      </w:r>
      <w:r w:rsidR="000F7BCA">
        <w:rPr>
          <w:rFonts w:ascii="Times New Roman" w:hAnsi="Times New Roman"/>
          <w:szCs w:val="24"/>
        </w:rPr>
        <w:t xml:space="preserve"> and to better align the BSO Welcome page design with SSA.gov</w:t>
      </w:r>
      <w:r>
        <w:rPr>
          <w:rFonts w:ascii="Times New Roman" w:hAnsi="Times New Roman"/>
          <w:szCs w:val="24"/>
        </w:rPr>
        <w:t xml:space="preserve">. </w:t>
      </w:r>
    </w:p>
    <w:p w:rsidR="00712E30" w:rsidP="00712E30" w14:paraId="6EBD8B43" w14:textId="6FB46B09">
      <w:pPr>
        <w:spacing w:after="0"/>
        <w:ind w:left="360"/>
        <w:rPr>
          <w:rFonts w:ascii="Times New Roman" w:hAnsi="Times New Roman"/>
          <w:bCs/>
          <w:color w:val="000000"/>
          <w:szCs w:val="24"/>
        </w:rPr>
      </w:pPr>
    </w:p>
    <w:p w:rsidR="00712E30" w:rsidP="00712E30" w14:paraId="48DCBDA0" w14:textId="28F1C78A">
      <w:pPr>
        <w:spacing w:after="0"/>
        <w:rPr>
          <w:rFonts w:ascii="Times New Roman" w:hAnsi="Times New Roman"/>
          <w:b/>
          <w:szCs w:val="24"/>
          <w:u w:val="single"/>
        </w:rPr>
      </w:pPr>
      <w:r>
        <w:rPr>
          <w:rFonts w:ascii="Times New Roman" w:hAnsi="Times New Roman"/>
          <w:b/>
          <w:szCs w:val="24"/>
          <w:u w:val="single"/>
        </w:rPr>
        <w:t>Estimates of Public Reporting Burden</w:t>
      </w:r>
    </w:p>
    <w:p w:rsidR="00041317" w:rsidP="00712E30" w14:paraId="5E80C988" w14:textId="0DC03C6D">
      <w:pPr>
        <w:spacing w:after="0"/>
        <w:rPr>
          <w:rFonts w:ascii="Times New Roman" w:hAnsi="Times New Roman"/>
          <w:b/>
          <w:szCs w:val="24"/>
          <w:u w:val="single"/>
        </w:rPr>
      </w:pPr>
    </w:p>
    <w:p w:rsidR="00291E69" w:rsidP="00291E69" w14:paraId="5256A5F0" w14:textId="77777777">
      <w:pPr>
        <w:spacing w:after="0"/>
        <w:rPr>
          <w:rFonts w:ascii="Times New Roman" w:hAnsi="Times New Roman"/>
          <w:szCs w:val="24"/>
        </w:rPr>
      </w:pPr>
      <w:r>
        <w:rPr>
          <w:rFonts w:ascii="Times New Roman" w:hAnsi="Times New Roman"/>
          <w:szCs w:val="24"/>
        </w:rPr>
        <w:t xml:space="preserve">We are adjusting the reporting burden to this information collection because customers can no </w:t>
      </w:r>
    </w:p>
    <w:p w:rsidR="00041317" w:rsidP="00885ABC" w14:paraId="22DAE928" w14:textId="486CB7F1">
      <w:pPr>
        <w:spacing w:after="0"/>
        <w:rPr>
          <w:rFonts w:ascii="Times New Roman" w:hAnsi="Times New Roman"/>
          <w:szCs w:val="24"/>
        </w:rPr>
      </w:pPr>
      <w:r>
        <w:rPr>
          <w:rFonts w:ascii="Times New Roman" w:hAnsi="Times New Roman"/>
          <w:szCs w:val="24"/>
        </w:rPr>
        <w:t>longer register through IRES for the EWR and SSNVS applications.  We estimate we need to remove 408,357 respondents from the current pool of Internet Requestors as we anticipate those users will need to register and use eAccess instead.</w:t>
      </w:r>
    </w:p>
    <w:p w:rsidR="00E57184" w:rsidP="00885ABC" w14:paraId="213F066D" w14:textId="09E63C52">
      <w:pPr>
        <w:spacing w:after="0"/>
        <w:rPr>
          <w:rFonts w:ascii="Times New Roman" w:hAnsi="Times New Roman"/>
          <w:szCs w:val="24"/>
        </w:rPr>
      </w:pPr>
    </w:p>
    <w:tbl>
      <w:tblPr>
        <w:tblStyle w:val="GridTableLight"/>
        <w:tblW w:w="10080" w:type="dxa"/>
        <w:tblInd w:w="85" w:type="dxa"/>
        <w:tblLook w:val="04A0"/>
      </w:tblPr>
      <w:tblGrid>
        <w:gridCol w:w="1483"/>
        <w:gridCol w:w="1523"/>
        <w:gridCol w:w="1310"/>
        <w:gridCol w:w="1190"/>
        <w:gridCol w:w="1256"/>
        <w:gridCol w:w="1389"/>
        <w:gridCol w:w="1929"/>
      </w:tblGrid>
      <w:tr w14:paraId="33CCD39E" w14:textId="77777777" w:rsidTr="001A0603">
        <w:tblPrEx>
          <w:tblW w:w="10080" w:type="dxa"/>
          <w:tblInd w:w="85" w:type="dxa"/>
          <w:tblLook w:val="04A0"/>
        </w:tblPrEx>
        <w:tc>
          <w:tcPr>
            <w:tcW w:w="1403" w:type="dxa"/>
            <w:tcBorders>
              <w:top w:val="single" w:sz="4" w:space="0" w:color="000000"/>
              <w:left w:val="single" w:sz="4" w:space="0" w:color="000000"/>
              <w:bottom w:val="single" w:sz="4" w:space="0" w:color="000000"/>
              <w:right w:val="nil"/>
            </w:tcBorders>
          </w:tcPr>
          <w:p w:rsidR="001A0603" w:rsidP="001A0603" w14:paraId="739A0A4F" w14:textId="421D02AE">
            <w:pPr>
              <w:spacing w:after="0"/>
              <w:rPr>
                <w:rFonts w:ascii="Times New Roman" w:hAnsi="Times New Roman"/>
                <w:szCs w:val="24"/>
              </w:rPr>
            </w:pPr>
            <w:r>
              <w:rPr>
                <w:rFonts w:ascii="Times New Roman" w:eastAsia="Calibri" w:hAnsi="Times New Roman"/>
                <w:b/>
              </w:rPr>
              <w:t>Modality of Completion</w:t>
            </w:r>
          </w:p>
        </w:tc>
        <w:tc>
          <w:tcPr>
            <w:tcW w:w="1523" w:type="dxa"/>
            <w:tcBorders>
              <w:top w:val="single" w:sz="4" w:space="0" w:color="000000"/>
              <w:left w:val="single" w:sz="4" w:space="0" w:color="000000"/>
              <w:bottom w:val="single" w:sz="4" w:space="0" w:color="000000"/>
              <w:right w:val="nil"/>
            </w:tcBorders>
          </w:tcPr>
          <w:p w:rsidR="001A0603" w:rsidP="001A0603" w14:paraId="778A62DF" w14:textId="6DFCA355">
            <w:pPr>
              <w:spacing w:after="0"/>
              <w:rPr>
                <w:rFonts w:ascii="Times New Roman" w:hAnsi="Times New Roman"/>
                <w:szCs w:val="24"/>
              </w:rPr>
            </w:pPr>
            <w:r>
              <w:rPr>
                <w:rFonts w:ascii="Times New Roman" w:eastAsia="Calibri" w:hAnsi="Times New Roman"/>
                <w:b/>
              </w:rPr>
              <w:t>Number of Respondents</w:t>
            </w:r>
          </w:p>
        </w:tc>
        <w:tc>
          <w:tcPr>
            <w:tcW w:w="1310" w:type="dxa"/>
            <w:tcBorders>
              <w:top w:val="single" w:sz="4" w:space="0" w:color="000000"/>
              <w:left w:val="single" w:sz="4" w:space="0" w:color="000000"/>
              <w:bottom w:val="single" w:sz="4" w:space="0" w:color="000000"/>
              <w:right w:val="single" w:sz="4" w:space="0" w:color="000000"/>
            </w:tcBorders>
          </w:tcPr>
          <w:p w:rsidR="001A0603" w:rsidP="001A0603" w14:paraId="12FFEDB1" w14:textId="1012F7D5">
            <w:pPr>
              <w:spacing w:after="0"/>
              <w:rPr>
                <w:rFonts w:ascii="Times New Roman" w:hAnsi="Times New Roman"/>
                <w:szCs w:val="24"/>
              </w:rPr>
            </w:pPr>
            <w:r>
              <w:rPr>
                <w:rFonts w:ascii="Times New Roman" w:eastAsia="Calibri" w:hAnsi="Times New Roman"/>
                <w:b/>
              </w:rPr>
              <w:t>Frequency of Response</w:t>
            </w:r>
          </w:p>
        </w:tc>
        <w:tc>
          <w:tcPr>
            <w:tcW w:w="1190" w:type="dxa"/>
            <w:tcBorders>
              <w:top w:val="single" w:sz="4" w:space="0" w:color="000000"/>
              <w:left w:val="single" w:sz="4" w:space="0" w:color="000000"/>
              <w:bottom w:val="single" w:sz="4" w:space="0" w:color="000000"/>
              <w:right w:val="nil"/>
            </w:tcBorders>
          </w:tcPr>
          <w:p w:rsidR="001A0603" w:rsidP="001A0603" w14:paraId="7F4E4955" w14:textId="42BA54E9">
            <w:pPr>
              <w:spacing w:after="0"/>
              <w:rPr>
                <w:rFonts w:ascii="Times New Roman" w:hAnsi="Times New Roman"/>
                <w:szCs w:val="24"/>
              </w:rPr>
            </w:pPr>
            <w:r>
              <w:rPr>
                <w:rFonts w:ascii="Times New Roman" w:eastAsia="Calibri" w:hAnsi="Times New Roman"/>
                <w:b/>
              </w:rPr>
              <w:t>Average Burden Per Response (minutes)</w:t>
            </w:r>
          </w:p>
        </w:tc>
        <w:tc>
          <w:tcPr>
            <w:tcW w:w="1256" w:type="dxa"/>
            <w:tcBorders>
              <w:top w:val="single" w:sz="4" w:space="0" w:color="000000"/>
              <w:left w:val="single" w:sz="4" w:space="0" w:color="000000"/>
              <w:bottom w:val="single" w:sz="4" w:space="0" w:color="000000"/>
              <w:right w:val="single" w:sz="4" w:space="0" w:color="000000"/>
            </w:tcBorders>
          </w:tcPr>
          <w:p w:rsidR="001A0603" w:rsidP="001A0603" w14:paraId="79603E42" w14:textId="015840C5">
            <w:pPr>
              <w:spacing w:after="0"/>
              <w:rPr>
                <w:rFonts w:ascii="Times New Roman" w:hAnsi="Times New Roman"/>
                <w:szCs w:val="24"/>
              </w:rPr>
            </w:pPr>
            <w:r>
              <w:rPr>
                <w:rFonts w:ascii="Times New Roman" w:eastAsia="Calibri" w:hAnsi="Times New Roman"/>
                <w:b/>
              </w:rPr>
              <w:t>Estimated Total Annual Burden (hours)</w:t>
            </w:r>
          </w:p>
        </w:tc>
        <w:tc>
          <w:tcPr>
            <w:tcW w:w="1389" w:type="dxa"/>
            <w:tcBorders>
              <w:top w:val="single" w:sz="4" w:space="0" w:color="000000"/>
              <w:left w:val="single" w:sz="4" w:space="0" w:color="000000"/>
              <w:bottom w:val="single" w:sz="4" w:space="0" w:color="000000"/>
              <w:right w:val="single" w:sz="4" w:space="0" w:color="000000"/>
            </w:tcBorders>
          </w:tcPr>
          <w:p w:rsidR="001A0603" w:rsidP="001A0603" w14:paraId="7C4157E5" w14:textId="31B97C0A">
            <w:pPr>
              <w:spacing w:after="0"/>
              <w:rPr>
                <w:rFonts w:ascii="Times New Roman" w:hAnsi="Times New Roman"/>
                <w:szCs w:val="24"/>
              </w:rPr>
            </w:pPr>
            <w:r>
              <w:rPr>
                <w:rFonts w:ascii="Times New Roman" w:hAnsi="Times New Roman"/>
                <w:b/>
                <w:szCs w:val="24"/>
              </w:rPr>
              <w:t>Average Theoretical Hourly Cost Amount (dollars)*</w:t>
            </w:r>
          </w:p>
        </w:tc>
        <w:tc>
          <w:tcPr>
            <w:tcW w:w="2009" w:type="dxa"/>
            <w:tcBorders>
              <w:top w:val="single" w:sz="4" w:space="0" w:color="000000"/>
              <w:left w:val="single" w:sz="4" w:space="0" w:color="000000"/>
              <w:bottom w:val="single" w:sz="4" w:space="0" w:color="000000"/>
              <w:right w:val="single" w:sz="4" w:space="0" w:color="000000"/>
            </w:tcBorders>
          </w:tcPr>
          <w:p w:rsidR="001A0603" w:rsidP="001A0603" w14:paraId="71D5D803" w14:textId="47DD36EC">
            <w:pPr>
              <w:autoSpaceDE w:val="0"/>
              <w:autoSpaceDN w:val="0"/>
              <w:adjustRightInd w:val="0"/>
              <w:rPr>
                <w:rFonts w:ascii="Times New Roman" w:hAnsi="Times New Roman"/>
                <w:szCs w:val="24"/>
              </w:rPr>
            </w:pPr>
            <w:r>
              <w:rPr>
                <w:rFonts w:ascii="Times New Roman" w:hAnsi="Times New Roman"/>
                <w:b/>
                <w:szCs w:val="24"/>
              </w:rPr>
              <w:t>Total Annual Opportunity Cost (dollars) **</w:t>
            </w:r>
          </w:p>
        </w:tc>
      </w:tr>
      <w:tr w14:paraId="02EECB26" w14:textId="77777777" w:rsidTr="001A0603">
        <w:tblPrEx>
          <w:tblW w:w="10080" w:type="dxa"/>
          <w:tblInd w:w="85" w:type="dxa"/>
          <w:tblLook w:val="04A0"/>
        </w:tblPrEx>
        <w:tc>
          <w:tcPr>
            <w:tcW w:w="1403" w:type="dxa"/>
            <w:tcBorders>
              <w:top w:val="single" w:sz="4" w:space="0" w:color="000000"/>
              <w:left w:val="single" w:sz="4" w:space="0" w:color="000000"/>
              <w:bottom w:val="single" w:sz="4" w:space="0" w:color="000000"/>
              <w:right w:val="nil"/>
            </w:tcBorders>
            <w:vAlign w:val="bottom"/>
          </w:tcPr>
          <w:p w:rsidR="001A0603" w:rsidP="001A0603" w14:paraId="53DF16DC" w14:textId="4BFA3A4F">
            <w:pPr>
              <w:spacing w:after="0"/>
              <w:rPr>
                <w:rFonts w:ascii="Times New Roman" w:hAnsi="Times New Roman"/>
                <w:szCs w:val="24"/>
              </w:rPr>
            </w:pPr>
            <w:r>
              <w:rPr>
                <w:rFonts w:ascii="Times New Roman" w:eastAsia="Calibri" w:hAnsi="Times New Roman"/>
              </w:rPr>
              <w:t>IRES Internet Registrations</w:t>
            </w:r>
          </w:p>
        </w:tc>
        <w:tc>
          <w:tcPr>
            <w:tcW w:w="1523" w:type="dxa"/>
            <w:tcBorders>
              <w:top w:val="single" w:sz="4" w:space="0" w:color="000000"/>
              <w:left w:val="single" w:sz="4" w:space="0" w:color="000000"/>
              <w:bottom w:val="single" w:sz="4" w:space="0" w:color="000000"/>
              <w:right w:val="nil"/>
            </w:tcBorders>
          </w:tcPr>
          <w:p w:rsidR="001A0603" w:rsidP="001A0603" w14:paraId="307CD42F" w14:textId="599BCCBA">
            <w:pPr>
              <w:spacing w:after="0"/>
              <w:jc w:val="right"/>
              <w:rPr>
                <w:rFonts w:ascii="Times New Roman" w:hAnsi="Times New Roman"/>
                <w:szCs w:val="24"/>
              </w:rPr>
            </w:pPr>
            <w:r>
              <w:rPr>
                <w:rFonts w:ascii="Times New Roman" w:eastAsia="Calibri" w:hAnsi="Times New Roman"/>
              </w:rPr>
              <w:t>266,210</w:t>
            </w:r>
          </w:p>
        </w:tc>
        <w:tc>
          <w:tcPr>
            <w:tcW w:w="1310" w:type="dxa"/>
            <w:tcBorders>
              <w:top w:val="single" w:sz="4" w:space="0" w:color="000000"/>
              <w:left w:val="single" w:sz="4" w:space="0" w:color="000000"/>
              <w:bottom w:val="single" w:sz="4" w:space="0" w:color="000000"/>
              <w:right w:val="single" w:sz="4" w:space="0" w:color="000000"/>
            </w:tcBorders>
          </w:tcPr>
          <w:p w:rsidR="001A0603" w:rsidP="001A0603" w14:paraId="3FE4D5E2" w14:textId="4909E837">
            <w:pPr>
              <w:spacing w:after="0"/>
              <w:jc w:val="right"/>
              <w:rPr>
                <w:rFonts w:ascii="Times New Roman" w:hAnsi="Times New Roman"/>
                <w:szCs w:val="24"/>
              </w:rPr>
            </w:pPr>
            <w:r>
              <w:rPr>
                <w:rFonts w:ascii="Times New Roman" w:eastAsia="Calibri" w:hAnsi="Times New Roman"/>
              </w:rPr>
              <w:t>1</w:t>
            </w:r>
          </w:p>
        </w:tc>
        <w:tc>
          <w:tcPr>
            <w:tcW w:w="1190" w:type="dxa"/>
            <w:tcBorders>
              <w:top w:val="single" w:sz="4" w:space="0" w:color="000000"/>
              <w:left w:val="single" w:sz="4" w:space="0" w:color="000000"/>
              <w:bottom w:val="single" w:sz="4" w:space="0" w:color="000000"/>
              <w:right w:val="nil"/>
            </w:tcBorders>
          </w:tcPr>
          <w:p w:rsidR="001A0603" w:rsidP="001A0603" w14:paraId="48EE0B87" w14:textId="1C1E6E5C">
            <w:pPr>
              <w:spacing w:after="0"/>
              <w:jc w:val="right"/>
              <w:rPr>
                <w:rFonts w:ascii="Times New Roman" w:hAnsi="Times New Roman"/>
                <w:szCs w:val="24"/>
              </w:rPr>
            </w:pPr>
            <w:r>
              <w:rPr>
                <w:rFonts w:ascii="Times New Roman" w:eastAsia="Calibri" w:hAnsi="Times New Roman"/>
              </w:rPr>
              <w:t>5</w:t>
            </w:r>
          </w:p>
        </w:tc>
        <w:tc>
          <w:tcPr>
            <w:tcW w:w="1256" w:type="dxa"/>
            <w:tcBorders>
              <w:top w:val="single" w:sz="4" w:space="0" w:color="000000"/>
              <w:left w:val="single" w:sz="4" w:space="0" w:color="000000"/>
              <w:bottom w:val="single" w:sz="4" w:space="0" w:color="000000"/>
              <w:right w:val="single" w:sz="4" w:space="0" w:color="000000"/>
            </w:tcBorders>
          </w:tcPr>
          <w:p w:rsidR="001A0603" w:rsidP="001A0603" w14:paraId="6F3D1E5F" w14:textId="567C73DF">
            <w:pPr>
              <w:spacing w:after="0"/>
              <w:jc w:val="right"/>
              <w:rPr>
                <w:rFonts w:ascii="Times New Roman" w:hAnsi="Times New Roman"/>
                <w:szCs w:val="24"/>
              </w:rPr>
            </w:pPr>
            <w:r>
              <w:rPr>
                <w:rFonts w:ascii="Times New Roman" w:eastAsia="Calibri" w:hAnsi="Times New Roman"/>
              </w:rPr>
              <w:t>22,184</w:t>
            </w:r>
          </w:p>
        </w:tc>
        <w:tc>
          <w:tcPr>
            <w:tcW w:w="1389" w:type="dxa"/>
            <w:tcBorders>
              <w:top w:val="single" w:sz="4" w:space="0" w:color="000000"/>
              <w:left w:val="single" w:sz="4" w:space="0" w:color="000000"/>
              <w:bottom w:val="single" w:sz="4" w:space="0" w:color="000000"/>
              <w:right w:val="single" w:sz="4" w:space="0" w:color="000000"/>
            </w:tcBorders>
          </w:tcPr>
          <w:p w:rsidR="001A0603" w:rsidP="001A0603" w14:paraId="16C304AC" w14:textId="42348533">
            <w:pPr>
              <w:spacing w:after="0"/>
              <w:jc w:val="right"/>
              <w:rPr>
                <w:rFonts w:ascii="Times New Roman" w:hAnsi="Times New Roman"/>
                <w:szCs w:val="24"/>
              </w:rPr>
            </w:pPr>
            <w:r>
              <w:rPr>
                <w:rFonts w:ascii="Times New Roman" w:eastAsia="Calibri" w:hAnsi="Times New Roman"/>
              </w:rPr>
              <w:t>$2</w:t>
            </w:r>
            <w:r w:rsidR="00F04549">
              <w:rPr>
                <w:rFonts w:ascii="Times New Roman" w:eastAsia="Calibri" w:hAnsi="Times New Roman"/>
              </w:rPr>
              <w:t>8.01</w:t>
            </w:r>
            <w:r>
              <w:rPr>
                <w:rFonts w:ascii="Times New Roman" w:eastAsia="Calibri" w:hAnsi="Times New Roman"/>
              </w:rPr>
              <w:t>*</w:t>
            </w:r>
          </w:p>
        </w:tc>
        <w:tc>
          <w:tcPr>
            <w:tcW w:w="2009" w:type="dxa"/>
            <w:tcBorders>
              <w:top w:val="single" w:sz="4" w:space="0" w:color="000000"/>
              <w:left w:val="single" w:sz="4" w:space="0" w:color="000000"/>
              <w:bottom w:val="single" w:sz="4" w:space="0" w:color="000000"/>
              <w:right w:val="single" w:sz="4" w:space="0" w:color="000000"/>
            </w:tcBorders>
          </w:tcPr>
          <w:p w:rsidR="001A0603" w:rsidP="001A0603" w14:paraId="5296EC29" w14:textId="25A34ECC">
            <w:pPr>
              <w:spacing w:after="0"/>
              <w:jc w:val="right"/>
              <w:rPr>
                <w:rFonts w:ascii="Times New Roman" w:hAnsi="Times New Roman"/>
                <w:szCs w:val="24"/>
              </w:rPr>
            </w:pPr>
            <w:r>
              <w:rPr>
                <w:rFonts w:ascii="Times New Roman" w:eastAsia="Calibri" w:hAnsi="Times New Roman"/>
              </w:rPr>
              <w:t>$</w:t>
            </w:r>
            <w:r w:rsidR="00F04549">
              <w:rPr>
                <w:rFonts w:ascii="Times New Roman" w:eastAsia="Calibri" w:hAnsi="Times New Roman"/>
              </w:rPr>
              <w:t>621,374</w:t>
            </w:r>
            <w:r>
              <w:rPr>
                <w:rFonts w:ascii="Times New Roman" w:eastAsia="Calibri" w:hAnsi="Times New Roman"/>
              </w:rPr>
              <w:t>**</w:t>
            </w:r>
          </w:p>
        </w:tc>
      </w:tr>
      <w:tr w14:paraId="107FF6F1" w14:textId="77777777" w:rsidTr="001A0603">
        <w:tblPrEx>
          <w:tblW w:w="10080" w:type="dxa"/>
          <w:tblInd w:w="85" w:type="dxa"/>
          <w:tblLook w:val="04A0"/>
        </w:tblPrEx>
        <w:tc>
          <w:tcPr>
            <w:tcW w:w="1403" w:type="dxa"/>
            <w:tcBorders>
              <w:top w:val="single" w:sz="4" w:space="0" w:color="000000"/>
              <w:left w:val="single" w:sz="4" w:space="0" w:color="000000"/>
              <w:bottom w:val="single" w:sz="4" w:space="0" w:color="000000"/>
              <w:right w:val="nil"/>
            </w:tcBorders>
            <w:vAlign w:val="bottom"/>
          </w:tcPr>
          <w:p w:rsidR="001A0603" w:rsidP="001A0603" w14:paraId="1DF413A6" w14:textId="102A2810">
            <w:pPr>
              <w:spacing w:after="0"/>
              <w:rPr>
                <w:rFonts w:ascii="Times New Roman" w:hAnsi="Times New Roman"/>
                <w:szCs w:val="24"/>
              </w:rPr>
            </w:pPr>
            <w:r>
              <w:rPr>
                <w:rFonts w:ascii="Times New Roman" w:eastAsia="Calibri" w:hAnsi="Times New Roman"/>
              </w:rPr>
              <w:t>IRES Internet Requestors</w:t>
            </w:r>
          </w:p>
        </w:tc>
        <w:tc>
          <w:tcPr>
            <w:tcW w:w="1523" w:type="dxa"/>
            <w:tcBorders>
              <w:top w:val="single" w:sz="4" w:space="0" w:color="000000"/>
              <w:left w:val="single" w:sz="4" w:space="0" w:color="000000"/>
              <w:bottom w:val="single" w:sz="4" w:space="0" w:color="000000"/>
              <w:right w:val="nil"/>
            </w:tcBorders>
          </w:tcPr>
          <w:p w:rsidR="001A0603" w:rsidP="001A0603" w14:paraId="37A28C8B" w14:textId="0F891B0A">
            <w:pPr>
              <w:spacing w:after="0"/>
              <w:jc w:val="right"/>
              <w:rPr>
                <w:rFonts w:ascii="Times New Roman" w:hAnsi="Times New Roman"/>
                <w:szCs w:val="24"/>
              </w:rPr>
            </w:pPr>
            <w:r>
              <w:rPr>
                <w:rFonts w:ascii="Times New Roman" w:eastAsia="Calibri" w:hAnsi="Times New Roman"/>
              </w:rPr>
              <w:t>14,064,353</w:t>
            </w:r>
          </w:p>
        </w:tc>
        <w:tc>
          <w:tcPr>
            <w:tcW w:w="1310" w:type="dxa"/>
            <w:tcBorders>
              <w:top w:val="single" w:sz="4" w:space="0" w:color="000000"/>
              <w:left w:val="single" w:sz="4" w:space="0" w:color="000000"/>
              <w:bottom w:val="single" w:sz="4" w:space="0" w:color="000000"/>
              <w:right w:val="single" w:sz="4" w:space="0" w:color="000000"/>
            </w:tcBorders>
          </w:tcPr>
          <w:p w:rsidR="001A0603" w:rsidP="001A0603" w14:paraId="71F674AE" w14:textId="59B9D9B6">
            <w:pPr>
              <w:spacing w:after="0"/>
              <w:jc w:val="right"/>
              <w:rPr>
                <w:rFonts w:ascii="Times New Roman" w:hAnsi="Times New Roman"/>
                <w:szCs w:val="24"/>
              </w:rPr>
            </w:pPr>
            <w:r>
              <w:rPr>
                <w:rFonts w:ascii="Times New Roman" w:eastAsia="Calibri" w:hAnsi="Times New Roman"/>
              </w:rPr>
              <w:t>1</w:t>
            </w:r>
          </w:p>
        </w:tc>
        <w:tc>
          <w:tcPr>
            <w:tcW w:w="1190" w:type="dxa"/>
            <w:tcBorders>
              <w:top w:val="single" w:sz="4" w:space="0" w:color="000000"/>
              <w:left w:val="single" w:sz="4" w:space="0" w:color="000000"/>
              <w:bottom w:val="single" w:sz="4" w:space="0" w:color="000000"/>
              <w:right w:val="nil"/>
            </w:tcBorders>
          </w:tcPr>
          <w:p w:rsidR="001A0603" w:rsidP="001A0603" w14:paraId="16E71C4B" w14:textId="49E20AE9">
            <w:pPr>
              <w:spacing w:after="0"/>
              <w:jc w:val="right"/>
              <w:rPr>
                <w:rFonts w:ascii="Times New Roman" w:hAnsi="Times New Roman"/>
                <w:szCs w:val="24"/>
              </w:rPr>
            </w:pPr>
            <w:r>
              <w:rPr>
                <w:rFonts w:ascii="Times New Roman" w:eastAsia="Calibri" w:hAnsi="Times New Roman"/>
              </w:rPr>
              <w:t>2</w:t>
            </w:r>
          </w:p>
        </w:tc>
        <w:tc>
          <w:tcPr>
            <w:tcW w:w="1256" w:type="dxa"/>
            <w:tcBorders>
              <w:top w:val="single" w:sz="4" w:space="0" w:color="000000"/>
              <w:left w:val="single" w:sz="4" w:space="0" w:color="000000"/>
              <w:bottom w:val="single" w:sz="4" w:space="0" w:color="000000"/>
              <w:right w:val="single" w:sz="4" w:space="0" w:color="000000"/>
            </w:tcBorders>
          </w:tcPr>
          <w:p w:rsidR="001A0603" w:rsidP="001A0603" w14:paraId="3B351E12" w14:textId="4C1B4614">
            <w:pPr>
              <w:spacing w:after="0"/>
              <w:jc w:val="right"/>
              <w:rPr>
                <w:rFonts w:ascii="Times New Roman" w:hAnsi="Times New Roman"/>
                <w:szCs w:val="24"/>
              </w:rPr>
            </w:pPr>
            <w:r>
              <w:rPr>
                <w:rFonts w:ascii="Times New Roman" w:eastAsia="Calibri" w:hAnsi="Times New Roman"/>
              </w:rPr>
              <w:t>4</w:t>
            </w:r>
            <w:r w:rsidR="003D0552">
              <w:rPr>
                <w:rFonts w:ascii="Times New Roman" w:eastAsia="Calibri" w:hAnsi="Times New Roman"/>
              </w:rPr>
              <w:t>68,812</w:t>
            </w:r>
          </w:p>
        </w:tc>
        <w:tc>
          <w:tcPr>
            <w:tcW w:w="1389" w:type="dxa"/>
            <w:tcBorders>
              <w:top w:val="single" w:sz="4" w:space="0" w:color="000000"/>
              <w:left w:val="single" w:sz="4" w:space="0" w:color="000000"/>
              <w:bottom w:val="single" w:sz="4" w:space="0" w:color="000000"/>
              <w:right w:val="single" w:sz="4" w:space="0" w:color="000000"/>
            </w:tcBorders>
          </w:tcPr>
          <w:p w:rsidR="001A0603" w:rsidP="001A0603" w14:paraId="7FCF748C" w14:textId="457160B3">
            <w:pPr>
              <w:spacing w:after="0"/>
              <w:jc w:val="right"/>
              <w:rPr>
                <w:rFonts w:ascii="Times New Roman" w:hAnsi="Times New Roman"/>
                <w:szCs w:val="24"/>
              </w:rPr>
            </w:pPr>
            <w:r>
              <w:rPr>
                <w:rFonts w:ascii="Times New Roman" w:eastAsia="Calibri" w:hAnsi="Times New Roman"/>
              </w:rPr>
              <w:t>$2</w:t>
            </w:r>
            <w:r w:rsidR="00F04549">
              <w:rPr>
                <w:rFonts w:ascii="Times New Roman" w:eastAsia="Calibri" w:hAnsi="Times New Roman"/>
              </w:rPr>
              <w:t>8.01</w:t>
            </w:r>
            <w:r>
              <w:rPr>
                <w:rFonts w:ascii="Times New Roman" w:eastAsia="Calibri" w:hAnsi="Times New Roman"/>
              </w:rPr>
              <w:t>*</w:t>
            </w:r>
          </w:p>
        </w:tc>
        <w:tc>
          <w:tcPr>
            <w:tcW w:w="2009" w:type="dxa"/>
            <w:tcBorders>
              <w:top w:val="single" w:sz="4" w:space="0" w:color="000000"/>
              <w:left w:val="single" w:sz="4" w:space="0" w:color="000000"/>
              <w:bottom w:val="single" w:sz="4" w:space="0" w:color="000000"/>
              <w:right w:val="single" w:sz="4" w:space="0" w:color="000000"/>
            </w:tcBorders>
          </w:tcPr>
          <w:p w:rsidR="001A0603" w:rsidP="001A0603" w14:paraId="54B72129" w14:textId="48D1DCB7">
            <w:pPr>
              <w:spacing w:after="0"/>
              <w:jc w:val="right"/>
              <w:rPr>
                <w:rFonts w:ascii="Times New Roman" w:hAnsi="Times New Roman"/>
                <w:szCs w:val="24"/>
              </w:rPr>
            </w:pPr>
            <w:r>
              <w:rPr>
                <w:rFonts w:ascii="Times New Roman" w:eastAsia="Calibri" w:hAnsi="Times New Roman"/>
              </w:rPr>
              <w:t>$</w:t>
            </w:r>
            <w:r w:rsidR="00F04549">
              <w:rPr>
                <w:rFonts w:ascii="Times New Roman" w:eastAsia="Calibri" w:hAnsi="Times New Roman"/>
              </w:rPr>
              <w:t>13,131,424</w:t>
            </w:r>
            <w:r>
              <w:rPr>
                <w:rFonts w:ascii="Times New Roman" w:eastAsia="Calibri" w:hAnsi="Times New Roman"/>
              </w:rPr>
              <w:t>**</w:t>
            </w:r>
          </w:p>
        </w:tc>
      </w:tr>
      <w:tr w14:paraId="7C114298" w14:textId="77777777" w:rsidTr="001A0603">
        <w:tblPrEx>
          <w:tblW w:w="10080" w:type="dxa"/>
          <w:tblInd w:w="85" w:type="dxa"/>
          <w:tblLook w:val="04A0"/>
        </w:tblPrEx>
        <w:tc>
          <w:tcPr>
            <w:tcW w:w="1403" w:type="dxa"/>
            <w:tcBorders>
              <w:top w:val="single" w:sz="4" w:space="0" w:color="000000"/>
              <w:left w:val="single" w:sz="4" w:space="0" w:color="000000"/>
              <w:bottom w:val="single" w:sz="4" w:space="0" w:color="000000"/>
              <w:right w:val="nil"/>
            </w:tcBorders>
            <w:vAlign w:val="bottom"/>
          </w:tcPr>
          <w:p w:rsidR="001A0603" w:rsidP="001A0603" w14:paraId="18313540" w14:textId="667FC692">
            <w:pPr>
              <w:spacing w:after="0"/>
              <w:rPr>
                <w:rFonts w:ascii="Times New Roman" w:hAnsi="Times New Roman"/>
                <w:szCs w:val="24"/>
              </w:rPr>
            </w:pPr>
            <w:r>
              <w:rPr>
                <w:rFonts w:ascii="Times New Roman" w:eastAsia="Calibri" w:hAnsi="Times New Roman"/>
              </w:rPr>
              <w:t>IRES CS (CSA) Registrations</w:t>
            </w:r>
          </w:p>
        </w:tc>
        <w:tc>
          <w:tcPr>
            <w:tcW w:w="1523" w:type="dxa"/>
            <w:tcBorders>
              <w:top w:val="single" w:sz="4" w:space="0" w:color="000000"/>
              <w:left w:val="single" w:sz="4" w:space="0" w:color="000000"/>
              <w:bottom w:val="single" w:sz="4" w:space="0" w:color="000000"/>
              <w:right w:val="nil"/>
            </w:tcBorders>
          </w:tcPr>
          <w:p w:rsidR="001A0603" w:rsidP="001A0603" w14:paraId="32D4867B" w14:textId="4EF1B58A">
            <w:pPr>
              <w:spacing w:after="0"/>
              <w:jc w:val="right"/>
              <w:rPr>
                <w:rFonts w:ascii="Times New Roman" w:hAnsi="Times New Roman"/>
                <w:szCs w:val="24"/>
              </w:rPr>
            </w:pPr>
            <w:r>
              <w:rPr>
                <w:rFonts w:ascii="Times New Roman" w:eastAsia="Calibri" w:hAnsi="Times New Roman"/>
              </w:rPr>
              <w:t>15,247</w:t>
            </w:r>
          </w:p>
        </w:tc>
        <w:tc>
          <w:tcPr>
            <w:tcW w:w="1310" w:type="dxa"/>
            <w:tcBorders>
              <w:top w:val="single" w:sz="4" w:space="0" w:color="000000"/>
              <w:left w:val="single" w:sz="4" w:space="0" w:color="000000"/>
              <w:bottom w:val="single" w:sz="4" w:space="0" w:color="000000"/>
              <w:right w:val="single" w:sz="4" w:space="0" w:color="000000"/>
            </w:tcBorders>
          </w:tcPr>
          <w:p w:rsidR="001A0603" w:rsidP="001A0603" w14:paraId="1E37F94C" w14:textId="29CE5B8E">
            <w:pPr>
              <w:spacing w:after="0"/>
              <w:jc w:val="right"/>
              <w:rPr>
                <w:rFonts w:ascii="Times New Roman" w:hAnsi="Times New Roman"/>
                <w:szCs w:val="24"/>
              </w:rPr>
            </w:pPr>
            <w:r>
              <w:rPr>
                <w:rFonts w:ascii="Times New Roman" w:eastAsia="Calibri" w:hAnsi="Times New Roman"/>
              </w:rPr>
              <w:t>1</w:t>
            </w:r>
          </w:p>
        </w:tc>
        <w:tc>
          <w:tcPr>
            <w:tcW w:w="1190" w:type="dxa"/>
            <w:tcBorders>
              <w:top w:val="single" w:sz="4" w:space="0" w:color="000000"/>
              <w:left w:val="single" w:sz="4" w:space="0" w:color="000000"/>
              <w:bottom w:val="single" w:sz="4" w:space="0" w:color="000000"/>
              <w:right w:val="nil"/>
            </w:tcBorders>
          </w:tcPr>
          <w:p w:rsidR="001A0603" w:rsidP="001A0603" w14:paraId="64639F91" w14:textId="6C9B2A0E">
            <w:pPr>
              <w:spacing w:after="0"/>
              <w:jc w:val="right"/>
              <w:rPr>
                <w:rFonts w:ascii="Times New Roman" w:hAnsi="Times New Roman"/>
                <w:szCs w:val="24"/>
              </w:rPr>
            </w:pPr>
            <w:r>
              <w:rPr>
                <w:rFonts w:ascii="Times New Roman" w:eastAsia="Calibri" w:hAnsi="Times New Roman"/>
              </w:rPr>
              <w:t>11</w:t>
            </w:r>
          </w:p>
        </w:tc>
        <w:tc>
          <w:tcPr>
            <w:tcW w:w="1256" w:type="dxa"/>
            <w:tcBorders>
              <w:top w:val="single" w:sz="4" w:space="0" w:color="000000"/>
              <w:left w:val="single" w:sz="4" w:space="0" w:color="000000"/>
              <w:bottom w:val="single" w:sz="4" w:space="0" w:color="000000"/>
              <w:right w:val="single" w:sz="4" w:space="0" w:color="000000"/>
            </w:tcBorders>
          </w:tcPr>
          <w:p w:rsidR="001A0603" w:rsidP="001A0603" w14:paraId="5CED580A" w14:textId="17A94244">
            <w:pPr>
              <w:spacing w:after="0"/>
              <w:jc w:val="right"/>
              <w:rPr>
                <w:rFonts w:ascii="Times New Roman" w:hAnsi="Times New Roman"/>
                <w:szCs w:val="24"/>
              </w:rPr>
            </w:pPr>
            <w:r>
              <w:rPr>
                <w:rFonts w:ascii="Times New Roman" w:eastAsia="Calibri" w:hAnsi="Times New Roman"/>
              </w:rPr>
              <w:t>2,795</w:t>
            </w:r>
          </w:p>
        </w:tc>
        <w:tc>
          <w:tcPr>
            <w:tcW w:w="1389" w:type="dxa"/>
            <w:tcBorders>
              <w:top w:val="single" w:sz="4" w:space="0" w:color="000000"/>
              <w:left w:val="single" w:sz="4" w:space="0" w:color="000000"/>
              <w:bottom w:val="single" w:sz="4" w:space="0" w:color="000000"/>
              <w:right w:val="single" w:sz="4" w:space="0" w:color="000000"/>
            </w:tcBorders>
          </w:tcPr>
          <w:p w:rsidR="001A0603" w:rsidP="001A0603" w14:paraId="185753B9" w14:textId="69237F69">
            <w:pPr>
              <w:spacing w:after="0"/>
              <w:jc w:val="right"/>
              <w:rPr>
                <w:rFonts w:ascii="Times New Roman" w:hAnsi="Times New Roman"/>
                <w:szCs w:val="24"/>
              </w:rPr>
            </w:pPr>
            <w:r>
              <w:rPr>
                <w:rFonts w:ascii="Times New Roman" w:eastAsia="Calibri" w:hAnsi="Times New Roman"/>
              </w:rPr>
              <w:t>$2</w:t>
            </w:r>
            <w:r w:rsidR="00F04549">
              <w:rPr>
                <w:rFonts w:ascii="Times New Roman" w:eastAsia="Calibri" w:hAnsi="Times New Roman"/>
              </w:rPr>
              <w:t>8.01</w:t>
            </w:r>
            <w:r>
              <w:rPr>
                <w:rFonts w:ascii="Times New Roman" w:eastAsia="Calibri" w:hAnsi="Times New Roman"/>
              </w:rPr>
              <w:t>*</w:t>
            </w:r>
          </w:p>
        </w:tc>
        <w:tc>
          <w:tcPr>
            <w:tcW w:w="2009" w:type="dxa"/>
            <w:tcBorders>
              <w:top w:val="single" w:sz="4" w:space="0" w:color="000000"/>
              <w:left w:val="single" w:sz="4" w:space="0" w:color="000000"/>
              <w:bottom w:val="single" w:sz="4" w:space="0" w:color="000000"/>
              <w:right w:val="single" w:sz="4" w:space="0" w:color="000000"/>
            </w:tcBorders>
          </w:tcPr>
          <w:p w:rsidR="001A0603" w:rsidP="001A0603" w14:paraId="69339CBF" w14:textId="5ADD38DE">
            <w:pPr>
              <w:spacing w:after="0"/>
              <w:jc w:val="right"/>
              <w:rPr>
                <w:rFonts w:ascii="Times New Roman" w:hAnsi="Times New Roman"/>
                <w:szCs w:val="24"/>
              </w:rPr>
            </w:pPr>
            <w:r>
              <w:rPr>
                <w:rFonts w:ascii="Times New Roman" w:eastAsia="Calibri" w:hAnsi="Times New Roman"/>
              </w:rPr>
              <w:t>$</w:t>
            </w:r>
            <w:r w:rsidR="00F04549">
              <w:rPr>
                <w:rFonts w:ascii="Times New Roman" w:eastAsia="Calibri" w:hAnsi="Times New Roman"/>
              </w:rPr>
              <w:t>78,298</w:t>
            </w:r>
            <w:r>
              <w:rPr>
                <w:rFonts w:ascii="Times New Roman" w:eastAsia="Calibri" w:hAnsi="Times New Roman"/>
              </w:rPr>
              <w:t>**</w:t>
            </w:r>
          </w:p>
        </w:tc>
      </w:tr>
      <w:tr w14:paraId="6BB05B66" w14:textId="77777777" w:rsidTr="001A0603">
        <w:tblPrEx>
          <w:tblW w:w="10080" w:type="dxa"/>
          <w:tblInd w:w="85" w:type="dxa"/>
          <w:tblLook w:val="04A0"/>
        </w:tblPrEx>
        <w:tc>
          <w:tcPr>
            <w:tcW w:w="1403" w:type="dxa"/>
            <w:tcBorders>
              <w:top w:val="single" w:sz="4" w:space="0" w:color="000000"/>
              <w:left w:val="single" w:sz="4" w:space="0" w:color="000000"/>
              <w:bottom w:val="single" w:sz="4" w:space="0" w:color="000000"/>
              <w:right w:val="nil"/>
            </w:tcBorders>
            <w:vAlign w:val="bottom"/>
          </w:tcPr>
          <w:p w:rsidR="001A0603" w:rsidP="001A0603" w14:paraId="02FEE3AB" w14:textId="56D2079E">
            <w:pPr>
              <w:spacing w:after="0"/>
              <w:rPr>
                <w:rFonts w:ascii="Times New Roman" w:eastAsia="Calibri" w:hAnsi="Times New Roman"/>
              </w:rPr>
            </w:pPr>
            <w:r>
              <w:rPr>
                <w:rFonts w:ascii="Times New Roman" w:eastAsia="Calibri" w:hAnsi="Times New Roman"/>
                <w:b/>
              </w:rPr>
              <w:t>Totals</w:t>
            </w:r>
          </w:p>
        </w:tc>
        <w:tc>
          <w:tcPr>
            <w:tcW w:w="1523" w:type="dxa"/>
            <w:tcBorders>
              <w:top w:val="single" w:sz="4" w:space="0" w:color="000000"/>
              <w:left w:val="single" w:sz="4" w:space="0" w:color="000000"/>
              <w:bottom w:val="single" w:sz="4" w:space="0" w:color="000000"/>
              <w:right w:val="nil"/>
            </w:tcBorders>
            <w:vAlign w:val="bottom"/>
          </w:tcPr>
          <w:p w:rsidR="001A0603" w:rsidP="001A0603" w14:paraId="0770D132" w14:textId="4C44F0C6">
            <w:pPr>
              <w:spacing w:after="0"/>
              <w:jc w:val="right"/>
              <w:rPr>
                <w:rFonts w:ascii="Times New Roman" w:eastAsia="Calibri" w:hAnsi="Times New Roman"/>
              </w:rPr>
            </w:pPr>
            <w:r>
              <w:rPr>
                <w:rFonts w:ascii="Times New Roman" w:eastAsia="Calibri" w:hAnsi="Times New Roman"/>
                <w:b/>
              </w:rPr>
              <w:t>14,</w:t>
            </w:r>
            <w:r w:rsidR="00F77CD9">
              <w:rPr>
                <w:rFonts w:ascii="Times New Roman" w:eastAsia="Calibri" w:hAnsi="Times New Roman"/>
                <w:b/>
              </w:rPr>
              <w:t>345,810</w:t>
            </w:r>
          </w:p>
        </w:tc>
        <w:tc>
          <w:tcPr>
            <w:tcW w:w="1310" w:type="dxa"/>
            <w:tcBorders>
              <w:top w:val="single" w:sz="4" w:space="0" w:color="000000"/>
              <w:left w:val="single" w:sz="4" w:space="0" w:color="000000"/>
              <w:bottom w:val="single" w:sz="4" w:space="0" w:color="000000"/>
              <w:right w:val="single" w:sz="4" w:space="0" w:color="000000"/>
            </w:tcBorders>
          </w:tcPr>
          <w:p w:rsidR="001A0603" w:rsidP="001A0603" w14:paraId="0E1615E1" w14:textId="77777777">
            <w:pPr>
              <w:spacing w:after="0"/>
              <w:jc w:val="right"/>
              <w:rPr>
                <w:rFonts w:ascii="Times New Roman" w:eastAsia="Calibri" w:hAnsi="Times New Roman"/>
              </w:rPr>
            </w:pPr>
          </w:p>
        </w:tc>
        <w:tc>
          <w:tcPr>
            <w:tcW w:w="1190" w:type="dxa"/>
            <w:tcBorders>
              <w:top w:val="single" w:sz="4" w:space="0" w:color="000000"/>
              <w:left w:val="single" w:sz="4" w:space="0" w:color="000000"/>
              <w:bottom w:val="single" w:sz="4" w:space="0" w:color="000000"/>
              <w:right w:val="nil"/>
            </w:tcBorders>
            <w:vAlign w:val="bottom"/>
          </w:tcPr>
          <w:p w:rsidR="001A0603" w:rsidP="001A0603" w14:paraId="00521161" w14:textId="77777777">
            <w:pPr>
              <w:spacing w:after="0"/>
              <w:jc w:val="right"/>
              <w:rPr>
                <w:rFonts w:ascii="Times New Roman" w:eastAsia="Calibri" w:hAnsi="Times New Roman"/>
              </w:rPr>
            </w:pPr>
          </w:p>
        </w:tc>
        <w:tc>
          <w:tcPr>
            <w:tcW w:w="1256" w:type="dxa"/>
            <w:tcBorders>
              <w:top w:val="single" w:sz="4" w:space="0" w:color="000000"/>
              <w:left w:val="single" w:sz="4" w:space="0" w:color="000000"/>
              <w:bottom w:val="single" w:sz="4" w:space="0" w:color="000000"/>
              <w:right w:val="single" w:sz="4" w:space="0" w:color="000000"/>
            </w:tcBorders>
            <w:vAlign w:val="bottom"/>
          </w:tcPr>
          <w:p w:rsidR="001A0603" w:rsidP="001A0603" w14:paraId="677166C1" w14:textId="31327051">
            <w:pPr>
              <w:spacing w:after="0"/>
              <w:jc w:val="right"/>
              <w:rPr>
                <w:rFonts w:ascii="Times New Roman" w:eastAsia="Calibri" w:hAnsi="Times New Roman"/>
              </w:rPr>
            </w:pPr>
            <w:r>
              <w:rPr>
                <w:rFonts w:ascii="Times New Roman" w:eastAsia="Calibri" w:hAnsi="Times New Roman"/>
                <w:b/>
              </w:rPr>
              <w:t>493,791</w:t>
            </w:r>
          </w:p>
        </w:tc>
        <w:tc>
          <w:tcPr>
            <w:tcW w:w="1389" w:type="dxa"/>
            <w:tcBorders>
              <w:top w:val="single" w:sz="4" w:space="0" w:color="000000"/>
              <w:left w:val="single" w:sz="4" w:space="0" w:color="000000"/>
              <w:bottom w:val="single" w:sz="4" w:space="0" w:color="000000"/>
              <w:right w:val="single" w:sz="4" w:space="0" w:color="000000"/>
            </w:tcBorders>
          </w:tcPr>
          <w:p w:rsidR="001A0603" w:rsidP="001A0603" w14:paraId="047FD844" w14:textId="77777777">
            <w:pPr>
              <w:spacing w:after="0"/>
              <w:jc w:val="right"/>
              <w:rPr>
                <w:rFonts w:ascii="Times New Roman" w:eastAsia="Calibri" w:hAnsi="Times New Roman"/>
              </w:rPr>
            </w:pPr>
          </w:p>
        </w:tc>
        <w:tc>
          <w:tcPr>
            <w:tcW w:w="2009" w:type="dxa"/>
            <w:tcBorders>
              <w:top w:val="single" w:sz="4" w:space="0" w:color="000000"/>
              <w:left w:val="single" w:sz="4" w:space="0" w:color="000000"/>
              <w:bottom w:val="single" w:sz="4" w:space="0" w:color="000000"/>
              <w:right w:val="single" w:sz="4" w:space="0" w:color="000000"/>
            </w:tcBorders>
          </w:tcPr>
          <w:p w:rsidR="001A0603" w:rsidP="001A0603" w14:paraId="3798603A" w14:textId="098CD424">
            <w:pPr>
              <w:spacing w:after="0"/>
              <w:jc w:val="right"/>
              <w:rPr>
                <w:rFonts w:ascii="Times New Roman" w:eastAsia="Calibri" w:hAnsi="Times New Roman"/>
              </w:rPr>
            </w:pPr>
            <w:r>
              <w:rPr>
                <w:rFonts w:ascii="Times New Roman" w:eastAsia="Calibri" w:hAnsi="Times New Roman"/>
                <w:b/>
              </w:rPr>
              <w:t>$</w:t>
            </w:r>
            <w:r w:rsidR="00F04549">
              <w:rPr>
                <w:rFonts w:ascii="Times New Roman" w:eastAsia="Calibri" w:hAnsi="Times New Roman"/>
                <w:b/>
              </w:rPr>
              <w:t>13,831,096</w:t>
            </w:r>
            <w:r>
              <w:rPr>
                <w:rFonts w:ascii="Times New Roman" w:eastAsia="Calibri" w:hAnsi="Times New Roman"/>
                <w:b/>
              </w:rPr>
              <w:t>**</w:t>
            </w:r>
          </w:p>
        </w:tc>
      </w:tr>
    </w:tbl>
    <w:p w:rsidR="00041317" w:rsidRPr="0034603E" w:rsidP="00041317" w14:paraId="62FF8CDB" w14:textId="03B901D3">
      <w:pPr>
        <w:pStyle w:val="ListParagraph"/>
        <w:ind w:left="900"/>
        <w:rPr>
          <w:rFonts w:ascii="Times New Roman" w:hAnsi="Times New Roman" w:cs="Times New Roman"/>
          <w:sz w:val="24"/>
          <w:szCs w:val="24"/>
        </w:rPr>
      </w:pPr>
      <w:r w:rsidRPr="0034603E">
        <w:rPr>
          <w:rFonts w:ascii="Times New Roman" w:hAnsi="Times New Roman" w:cs="Times New Roman"/>
          <w:sz w:val="24"/>
          <w:szCs w:val="24"/>
        </w:rPr>
        <w:t>* We based this figure on average U.S. citizen’s hourly salary, as reported by Bureau of Labor Statistics data (</w:t>
      </w:r>
      <w:hyperlink r:id="rId5" w:history="1">
        <w:r w:rsidRPr="0034603E">
          <w:rPr>
            <w:rStyle w:val="Hyperlink"/>
            <w:rFonts w:ascii="Times New Roman" w:hAnsi="Times New Roman"/>
            <w:sz w:val="24"/>
            <w:szCs w:val="24"/>
          </w:rPr>
          <w:t>https://www.bls.gov/oes/current/oes_stru.htm</w:t>
        </w:r>
      </w:hyperlink>
      <w:r w:rsidRPr="0034603E">
        <w:rPr>
          <w:rStyle w:val="Hyperlink"/>
          <w:rFonts w:ascii="Times New Roman" w:hAnsi="Times New Roman"/>
          <w:sz w:val="24"/>
          <w:szCs w:val="24"/>
        </w:rPr>
        <w:t>)</w:t>
      </w:r>
      <w:r w:rsidRPr="0034603E">
        <w:rPr>
          <w:rFonts w:ascii="Times New Roman" w:hAnsi="Times New Roman" w:cs="Times New Roman"/>
          <w:sz w:val="24"/>
          <w:szCs w:val="24"/>
        </w:rPr>
        <w:t>.</w:t>
      </w:r>
    </w:p>
    <w:p w:rsidR="00041317" w:rsidRPr="0034603E" w:rsidP="00041317" w14:paraId="00CB9903" w14:textId="77777777">
      <w:pPr>
        <w:pStyle w:val="ListParagraph"/>
        <w:ind w:left="0"/>
        <w:rPr>
          <w:rFonts w:ascii="Times New Roman" w:hAnsi="Times New Roman" w:cs="Times New Roman"/>
          <w:sz w:val="24"/>
          <w:szCs w:val="24"/>
        </w:rPr>
      </w:pPr>
    </w:p>
    <w:p w:rsidR="00041317" w:rsidRPr="0034603E" w:rsidP="00472CF4" w14:paraId="1DB9A756" w14:textId="77777777">
      <w:pPr>
        <w:pStyle w:val="ListParagraph"/>
        <w:ind w:left="900"/>
        <w:rPr>
          <w:rFonts w:ascii="Times New Roman" w:hAnsi="Times New Roman" w:cs="Times New Roman"/>
          <w:b/>
          <w:sz w:val="24"/>
          <w:szCs w:val="24"/>
          <w:u w:val="single"/>
        </w:rPr>
      </w:pPr>
      <w:r w:rsidRPr="0034603E">
        <w:rPr>
          <w:rFonts w:ascii="Times New Roman"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4603E">
        <w:rPr>
          <w:rFonts w:ascii="Times New Roman" w:hAnsi="Times New Roman" w:cs="Times New Roman"/>
          <w:b/>
          <w:sz w:val="24"/>
          <w:szCs w:val="24"/>
          <w:u w:val="single"/>
        </w:rPr>
        <w:t>There is no actual charge to respondents to complete the application.</w:t>
      </w:r>
    </w:p>
    <w:p w:rsidR="00041317" w:rsidP="00041317" w14:paraId="76555E44" w14:textId="77777777">
      <w:pPr>
        <w:pStyle w:val="ListParagraph"/>
        <w:ind w:left="360"/>
        <w:rPr>
          <w:b/>
          <w:u w:val="single"/>
        </w:rPr>
      </w:pPr>
    </w:p>
    <w:p w:rsidR="0017271A" w:rsidRPr="00411DD3" w:rsidP="00166C6D" w14:paraId="2B37CCB3" w14:textId="1116103C">
      <w:pPr>
        <w:spacing w:after="0"/>
        <w:rPr>
          <w:rFonts w:ascii="Times New Roman" w:hAnsi="Times New Roman"/>
          <w:szCs w:val="24"/>
        </w:rPr>
      </w:pPr>
      <w:r>
        <w:rPr>
          <w:rFonts w:ascii="Times New Roman" w:hAnsi="Times New Roman"/>
          <w:bCs/>
          <w:color w:val="000000"/>
        </w:rPr>
        <w:t>Per our current MI data, the total number of active users of EWR and SSNVS is 408,357</w:t>
      </w:r>
      <w:r w:rsidR="00535B4C">
        <w:rPr>
          <w:rFonts w:ascii="Times New Roman" w:hAnsi="Times New Roman"/>
          <w:bCs/>
          <w:color w:val="000000"/>
        </w:rPr>
        <w:t xml:space="preserve">.  </w:t>
      </w:r>
      <w:r w:rsidR="00EC426F">
        <w:rPr>
          <w:rFonts w:ascii="Times New Roman" w:hAnsi="Times New Roman"/>
          <w:bCs/>
          <w:color w:val="000000"/>
        </w:rPr>
        <w:t xml:space="preserve">We are only removing this amount from the number of respondents. </w:t>
      </w:r>
      <w:r w:rsidR="0034603E">
        <w:rPr>
          <w:rFonts w:ascii="Times New Roman" w:hAnsi="Times New Roman"/>
          <w:bCs/>
          <w:color w:val="000000"/>
        </w:rPr>
        <w:t xml:space="preserve"> We are adding t</w:t>
      </w:r>
      <w:r w:rsidR="00EC426F">
        <w:rPr>
          <w:rFonts w:ascii="Times New Roman" w:hAnsi="Times New Roman"/>
          <w:bCs/>
          <w:color w:val="000000"/>
        </w:rPr>
        <w:t>his amount to the number of respondents for the eAccess package</w:t>
      </w:r>
      <w:r>
        <w:rPr>
          <w:rFonts w:ascii="Times New Roman" w:hAnsi="Times New Roman"/>
          <w:bCs/>
          <w:color w:val="000000"/>
        </w:rPr>
        <w:t xml:space="preserve">, OMB No. </w:t>
      </w:r>
      <w:r w:rsidR="00EC426F">
        <w:rPr>
          <w:rFonts w:ascii="Times New Roman" w:hAnsi="Times New Roman"/>
          <w:bCs/>
          <w:color w:val="000000"/>
        </w:rPr>
        <w:t xml:space="preserve">0960-0789. </w:t>
      </w:r>
      <w:r w:rsidR="00172064">
        <w:rPr>
          <w:rFonts w:ascii="Times New Roman" w:hAnsi="Times New Roman"/>
          <w:bCs/>
          <w:color w:val="000000"/>
        </w:rPr>
        <w:t xml:space="preserve"> We will update </w:t>
      </w:r>
      <w:r>
        <w:rPr>
          <w:rFonts w:ascii="Times New Roman" w:hAnsi="Times New Roman"/>
          <w:bCs/>
          <w:color w:val="000000"/>
        </w:rPr>
        <w:t xml:space="preserve">this figure </w:t>
      </w:r>
      <w:r w:rsidR="00172064">
        <w:rPr>
          <w:rFonts w:ascii="Times New Roman" w:hAnsi="Times New Roman"/>
          <w:bCs/>
          <w:color w:val="000000"/>
        </w:rPr>
        <w:t>as needed when we next renew this information collection,</w:t>
      </w:r>
      <w:r>
        <w:rPr>
          <w:rFonts w:ascii="Times New Roman" w:hAnsi="Times New Roman"/>
          <w:bCs/>
          <w:color w:val="000000"/>
        </w:rPr>
        <w:t xml:space="preserve"> since we expect we </w:t>
      </w:r>
      <w:r w:rsidR="00172064">
        <w:rPr>
          <w:rFonts w:ascii="Times New Roman" w:hAnsi="Times New Roman"/>
          <w:bCs/>
          <w:color w:val="000000"/>
        </w:rPr>
        <w:t xml:space="preserve">will have more accurate </w:t>
      </w:r>
      <w:r>
        <w:rPr>
          <w:rFonts w:ascii="Times New Roman" w:hAnsi="Times New Roman"/>
          <w:bCs/>
          <w:color w:val="000000"/>
        </w:rPr>
        <w:t>MI</w:t>
      </w:r>
      <w:r w:rsidR="00172064">
        <w:rPr>
          <w:rFonts w:ascii="Times New Roman" w:hAnsi="Times New Roman"/>
          <w:bCs/>
          <w:color w:val="000000"/>
        </w:rPr>
        <w:t xml:space="preserve"> data reflecting this change</w:t>
      </w:r>
      <w:r>
        <w:rPr>
          <w:rFonts w:ascii="Times New Roman" w:hAnsi="Times New Roman"/>
          <w:bCs/>
          <w:color w:val="000000"/>
        </w:rPr>
        <w:t xml:space="preserve"> after we implement it</w:t>
      </w:r>
      <w:r w:rsidR="00172064">
        <w:rPr>
          <w:rFonts w:ascii="Times New Roman" w:hAnsi="Times New Roman"/>
          <w:bCs/>
          <w:color w:val="000000"/>
        </w:rPr>
        <w:t>.</w:t>
      </w:r>
      <w:r w:rsidR="0034603E">
        <w:rPr>
          <w:rFonts w:ascii="Times New Roman" w:hAnsi="Times New Roman"/>
          <w:bCs/>
          <w:color w:val="000000"/>
        </w:rPr>
        <w:t xml:space="preserve"> </w:t>
      </w:r>
      <w:r w:rsidR="00411DD3">
        <w:rPr>
          <w:rFonts w:ascii="Times New Roman" w:hAnsi="Times New Roman"/>
          <w:bCs/>
          <w:color w:val="000000"/>
        </w:rPr>
        <w:t xml:space="preserve"> </w:t>
      </w:r>
      <w:r w:rsidR="00411DD3">
        <w:rPr>
          <w:rFonts w:ascii="Times New Roman" w:hAnsi="Times New Roman"/>
          <w:szCs w:val="24"/>
        </w:rPr>
        <w:t xml:space="preserve">We also expect the number of respondents or burden hours we reported in our existing burden estimate </w:t>
      </w:r>
      <w:r w:rsidR="00411DD3">
        <w:rPr>
          <w:rFonts w:ascii="Times New Roman" w:hAnsi="Times New Roman"/>
          <w:szCs w:val="24"/>
        </w:rPr>
        <w:t xml:space="preserve">may </w:t>
      </w:r>
      <w:r w:rsidR="00411DD3">
        <w:rPr>
          <w:rFonts w:ascii="Times New Roman" w:hAnsi="Times New Roman"/>
          <w:szCs w:val="24"/>
        </w:rPr>
        <w:t>change</w:t>
      </w:r>
      <w:r w:rsidR="00411DD3">
        <w:rPr>
          <w:rFonts w:ascii="Times New Roman" w:hAnsi="Times New Roman"/>
          <w:szCs w:val="24"/>
        </w:rPr>
        <w:t>, which is why we monitor the MI data and update it when we next renew or revise this information collection</w:t>
      </w:r>
      <w:r w:rsidR="00411DD3">
        <w:rPr>
          <w:rFonts w:ascii="Times New Roman" w:hAnsi="Times New Roman"/>
          <w:szCs w:val="24"/>
        </w:rPr>
        <w:t>.  OMB approved the current burden estimate on 3/11/2022.</w:t>
      </w:r>
    </w:p>
    <w:p w:rsidR="005B7247" w:rsidP="00166C6D" w14:paraId="16B4BDEE" w14:textId="77777777">
      <w:pPr>
        <w:widowControl w:val="0"/>
        <w:spacing w:after="0"/>
        <w:rPr>
          <w:rFonts w:ascii="Times New Roman" w:hAnsi="Times New Roman"/>
          <w:b/>
          <w:szCs w:val="24"/>
          <w:u w:val="single"/>
        </w:rPr>
      </w:pPr>
      <w:r>
        <w:rPr>
          <w:rFonts w:ascii="Times New Roman" w:hAnsi="Times New Roman"/>
          <w:b/>
          <w:szCs w:val="24"/>
          <w:u w:val="single"/>
        </w:rPr>
        <w:t xml:space="preserve">Future </w:t>
      </w:r>
      <w:r w:rsidRPr="007B70B0">
        <w:rPr>
          <w:rFonts w:ascii="Times New Roman" w:hAnsi="Times New Roman"/>
          <w:b/>
          <w:szCs w:val="24"/>
          <w:u w:val="single"/>
        </w:rPr>
        <w:t>Plans</w:t>
      </w:r>
    </w:p>
    <w:p w:rsidR="005B7247" w:rsidRPr="007B70B0" w:rsidP="00166C6D" w14:paraId="2EE71134" w14:textId="77777777">
      <w:pPr>
        <w:widowControl w:val="0"/>
        <w:spacing w:after="0"/>
        <w:rPr>
          <w:rFonts w:ascii="Times New Roman" w:hAnsi="Times New Roman"/>
          <w:b/>
          <w:szCs w:val="24"/>
          <w:u w:val="single"/>
        </w:rPr>
      </w:pPr>
    </w:p>
    <w:p w:rsidR="008A5B78" w:rsidRPr="00F50CD6" w:rsidP="00166C6D" w14:paraId="718BC524" w14:textId="26E1DA55">
      <w:pPr>
        <w:widowControl w:val="0"/>
        <w:spacing w:after="0"/>
        <w:rPr>
          <w:rFonts w:ascii="Times New Roman" w:hAnsi="Times New Roman"/>
          <w:szCs w:val="24"/>
        </w:rPr>
      </w:pPr>
      <w:r w:rsidRPr="007B70B0">
        <w:rPr>
          <w:rFonts w:ascii="Times New Roman" w:hAnsi="Times New Roman"/>
          <w:bCs/>
          <w:color w:val="000000"/>
        </w:rPr>
        <w:t xml:space="preserve">Due to the agile nature of our projects, </w:t>
      </w:r>
      <w:r>
        <w:rPr>
          <w:rFonts w:ascii="Times New Roman" w:hAnsi="Times New Roman"/>
          <w:bCs/>
          <w:color w:val="000000"/>
        </w:rPr>
        <w:t xml:space="preserve">we expect to </w:t>
      </w:r>
      <w:r w:rsidR="00166C6D">
        <w:rPr>
          <w:rFonts w:ascii="Times New Roman" w:hAnsi="Times New Roman"/>
          <w:bCs/>
          <w:color w:val="000000"/>
        </w:rPr>
        <w:t>eventually</w:t>
      </w:r>
      <w:r>
        <w:rPr>
          <w:rFonts w:ascii="Times New Roman" w:hAnsi="Times New Roman"/>
          <w:bCs/>
          <w:color w:val="000000"/>
        </w:rPr>
        <w:t xml:space="preserve"> mo</w:t>
      </w:r>
      <w:r w:rsidR="00166C6D">
        <w:rPr>
          <w:rFonts w:ascii="Times New Roman" w:hAnsi="Times New Roman"/>
          <w:bCs/>
          <w:color w:val="000000"/>
        </w:rPr>
        <w:t>v</w:t>
      </w:r>
      <w:r>
        <w:rPr>
          <w:rFonts w:ascii="Times New Roman" w:hAnsi="Times New Roman"/>
          <w:bCs/>
          <w:color w:val="000000"/>
        </w:rPr>
        <w:t xml:space="preserve">e </w:t>
      </w:r>
      <w:r w:rsidR="00172064">
        <w:rPr>
          <w:rFonts w:ascii="Times New Roman" w:hAnsi="Times New Roman"/>
          <w:bCs/>
          <w:color w:val="000000"/>
        </w:rPr>
        <w:t xml:space="preserve">more </w:t>
      </w:r>
      <w:r>
        <w:rPr>
          <w:rFonts w:ascii="Times New Roman" w:hAnsi="Times New Roman"/>
          <w:bCs/>
          <w:color w:val="000000"/>
        </w:rPr>
        <w:t>applications</w:t>
      </w:r>
      <w:r w:rsidR="00166C6D">
        <w:rPr>
          <w:rFonts w:ascii="Times New Roman" w:hAnsi="Times New Roman"/>
          <w:bCs/>
          <w:color w:val="000000"/>
        </w:rPr>
        <w:t xml:space="preserve"> from IRES</w:t>
      </w:r>
      <w:r>
        <w:rPr>
          <w:rFonts w:ascii="Times New Roman" w:hAnsi="Times New Roman"/>
          <w:bCs/>
          <w:color w:val="000000"/>
        </w:rPr>
        <w:t xml:space="preserve"> to </w:t>
      </w:r>
      <w:r w:rsidR="000F7BCA">
        <w:rPr>
          <w:rFonts w:ascii="Times New Roman" w:hAnsi="Times New Roman"/>
          <w:bCs/>
          <w:color w:val="000000"/>
        </w:rPr>
        <w:t xml:space="preserve">the eAccess </w:t>
      </w:r>
      <w:r w:rsidR="00166C6D">
        <w:rPr>
          <w:rFonts w:ascii="Times New Roman" w:hAnsi="Times New Roman"/>
          <w:bCs/>
          <w:color w:val="000000"/>
        </w:rPr>
        <w:t>platform</w:t>
      </w:r>
      <w:r w:rsidR="00F50CD6">
        <w:rPr>
          <w:rFonts w:ascii="Times New Roman" w:hAnsi="Times New Roman"/>
          <w:bCs/>
          <w:color w:val="000000"/>
        </w:rPr>
        <w:t>.</w:t>
      </w:r>
      <w:r w:rsidR="00CF7CB8">
        <w:rPr>
          <w:rFonts w:ascii="Times New Roman" w:hAnsi="Times New Roman"/>
          <w:bCs/>
          <w:color w:val="000000"/>
        </w:rPr>
        <w:t xml:space="preserve"> </w:t>
      </w:r>
      <w:r w:rsidR="0034603E">
        <w:rPr>
          <w:rFonts w:ascii="Times New Roman" w:hAnsi="Times New Roman"/>
          <w:bCs/>
          <w:color w:val="000000"/>
        </w:rPr>
        <w:t xml:space="preserve"> </w:t>
      </w:r>
      <w:r>
        <w:rPr>
          <w:rFonts w:ascii="Times New Roman" w:hAnsi="Times New Roman"/>
          <w:bCs/>
          <w:color w:val="000000"/>
        </w:rPr>
        <w:t>At this time, we are still finalizing our IT moderniz</w:t>
      </w:r>
      <w:r w:rsidR="00F50CD6">
        <w:rPr>
          <w:rFonts w:ascii="Times New Roman" w:hAnsi="Times New Roman"/>
          <w:bCs/>
          <w:color w:val="000000"/>
        </w:rPr>
        <w:t xml:space="preserve">ation plans for these changes. </w:t>
      </w:r>
      <w:r w:rsidR="0034603E">
        <w:rPr>
          <w:rFonts w:ascii="Times New Roman" w:hAnsi="Times New Roman"/>
          <w:bCs/>
          <w:color w:val="000000"/>
        </w:rPr>
        <w:t xml:space="preserve"> </w:t>
      </w:r>
      <w:r>
        <w:rPr>
          <w:rFonts w:ascii="Times New Roman" w:hAnsi="Times New Roman"/>
          <w:bCs/>
          <w:color w:val="000000"/>
        </w:rPr>
        <w:t xml:space="preserve">We expect to submit </w:t>
      </w:r>
      <w:r w:rsidRPr="007B70B0">
        <w:rPr>
          <w:rFonts w:ascii="Times New Roman" w:hAnsi="Times New Roman"/>
          <w:bCs/>
          <w:color w:val="000000"/>
        </w:rPr>
        <w:t>another change request within six to n</w:t>
      </w:r>
      <w:r>
        <w:rPr>
          <w:rFonts w:ascii="Times New Roman" w:hAnsi="Times New Roman"/>
          <w:bCs/>
          <w:color w:val="000000"/>
        </w:rPr>
        <w:t>ine months to request approval for</w:t>
      </w:r>
      <w:r w:rsidRPr="007B70B0">
        <w:rPr>
          <w:rFonts w:ascii="Times New Roman" w:hAnsi="Times New Roman"/>
          <w:bCs/>
          <w:color w:val="000000"/>
        </w:rPr>
        <w:t xml:space="preserve"> additional updates to the system</w:t>
      </w:r>
      <w:r>
        <w:rPr>
          <w:rFonts w:ascii="Times New Roman" w:hAnsi="Times New Roman"/>
          <w:bCs/>
          <w:color w:val="000000"/>
        </w:rPr>
        <w:t xml:space="preserve">, and potentially, update the burden to include </w:t>
      </w:r>
      <w:r w:rsidR="00EC426F">
        <w:rPr>
          <w:rFonts w:ascii="Times New Roman" w:hAnsi="Times New Roman"/>
          <w:bCs/>
          <w:color w:val="000000"/>
        </w:rPr>
        <w:t xml:space="preserve">the removal of </w:t>
      </w:r>
      <w:r>
        <w:rPr>
          <w:rFonts w:ascii="Times New Roman" w:hAnsi="Times New Roman"/>
          <w:bCs/>
          <w:color w:val="000000"/>
        </w:rPr>
        <w:t>more users if we are able to move applications</w:t>
      </w:r>
      <w:r w:rsidR="005512D6">
        <w:rPr>
          <w:rFonts w:ascii="Times New Roman" w:hAnsi="Times New Roman"/>
          <w:bCs/>
          <w:color w:val="000000"/>
        </w:rPr>
        <w:t xml:space="preserve"> to </w:t>
      </w:r>
      <w:r w:rsidR="00172064">
        <w:rPr>
          <w:rFonts w:ascii="Times New Roman" w:hAnsi="Times New Roman"/>
          <w:bCs/>
          <w:color w:val="000000"/>
        </w:rPr>
        <w:t xml:space="preserve">the eAccess </w:t>
      </w:r>
      <w:r w:rsidR="005512D6">
        <w:rPr>
          <w:rFonts w:ascii="Times New Roman" w:hAnsi="Times New Roman"/>
          <w:bCs/>
          <w:color w:val="000000"/>
        </w:rPr>
        <w:t>platform.</w:t>
      </w:r>
    </w:p>
    <w:sectPr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E5433D"/>
    <w:multiLevelType w:val="hybridMultilevel"/>
    <w:tmpl w:val="5942B7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81525F0"/>
    <w:multiLevelType w:val="hybridMultilevel"/>
    <w:tmpl w:val="C8D8B2D4"/>
    <w:lvl w:ilvl="0">
      <w:start w:val="1"/>
      <w:numFmt w:val="decimal"/>
      <w:lvlText w:val="%1."/>
      <w:lvlJc w:val="left"/>
      <w:pPr>
        <w:tabs>
          <w:tab w:val="num" w:pos="1080"/>
        </w:tabs>
        <w:ind w:left="1080" w:hanging="360"/>
      </w:pPr>
      <w:rPr>
        <w:b/>
        <w:color w:val="auto"/>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F873A9E"/>
    <w:multiLevelType w:val="multilevel"/>
    <w:tmpl w:val="1A3A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C5E2A"/>
    <w:multiLevelType w:val="hybridMultilevel"/>
    <w:tmpl w:val="972842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2F67E7A"/>
    <w:multiLevelType w:val="multilevel"/>
    <w:tmpl w:val="AFC23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9347CCC"/>
    <w:multiLevelType w:val="hybridMultilevel"/>
    <w:tmpl w:val="F7A04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A37E04"/>
    <w:multiLevelType w:val="hybridMultilevel"/>
    <w:tmpl w:val="82487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B36E97"/>
    <w:multiLevelType w:val="hybridMultilevel"/>
    <w:tmpl w:val="522827A4"/>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6731D3"/>
    <w:multiLevelType w:val="hybridMultilevel"/>
    <w:tmpl w:val="124C42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433C2996"/>
    <w:multiLevelType w:val="hybridMultilevel"/>
    <w:tmpl w:val="47D4F51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4AF3689"/>
    <w:multiLevelType w:val="hybridMultilevel"/>
    <w:tmpl w:val="A9941C98"/>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1">
    <w:nsid w:val="47734DEB"/>
    <w:multiLevelType w:val="hybridMultilevel"/>
    <w:tmpl w:val="0B50669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BE66E7A"/>
    <w:multiLevelType w:val="hybridMultilevel"/>
    <w:tmpl w:val="0810B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1664D3"/>
    <w:multiLevelType w:val="hybridMultilevel"/>
    <w:tmpl w:val="56E4D1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6E3741"/>
    <w:multiLevelType w:val="hybridMultilevel"/>
    <w:tmpl w:val="148EF4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59F69BC"/>
    <w:multiLevelType w:val="hybridMultilevel"/>
    <w:tmpl w:val="557CEBE6"/>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13B6A6A"/>
    <w:multiLevelType w:val="hybridMultilevel"/>
    <w:tmpl w:val="5FB878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6F4DFD"/>
    <w:multiLevelType w:val="hybridMultilevel"/>
    <w:tmpl w:val="1F988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6236242"/>
    <w:multiLevelType w:val="hybridMultilevel"/>
    <w:tmpl w:val="BD9E03A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774B49"/>
    <w:multiLevelType w:val="hybridMultilevel"/>
    <w:tmpl w:val="D1B80C70"/>
    <w:name w:val="WW8Num102"/>
    <w:lvl w:ilvl="0">
      <w:start w:val="0"/>
      <w:numFmt w:val="bullet"/>
      <w:lvlText w:val=""/>
      <w:lvlJc w:val="left"/>
      <w:pPr>
        <w:tabs>
          <w:tab w:val="num" w:pos="1080"/>
        </w:tabs>
        <w:ind w:left="1080" w:hanging="360"/>
      </w:pPr>
      <w:rPr>
        <w:rFonts w:ascii="Symbol" w:eastAsia="Courier New" w:hAnsi="Symbol" w:cs="Courier New" w:hint="default"/>
        <w:color w:val="auto"/>
      </w:rPr>
    </w:lvl>
    <w:lvl w:ilvl="1" w:tentative="1">
      <w:start w:val="1"/>
      <w:numFmt w:val="bullet"/>
      <w:lvlText w:val="o"/>
      <w:lvlJc w:val="left"/>
      <w:pPr>
        <w:tabs>
          <w:tab w:val="num" w:pos="180"/>
        </w:tabs>
        <w:ind w:left="180" w:hanging="360"/>
      </w:pPr>
      <w:rPr>
        <w:rFonts w:ascii="Courier New" w:hAnsi="Courier New" w:cs="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620"/>
        </w:tabs>
        <w:ind w:left="1620" w:hanging="360"/>
      </w:pPr>
      <w:rPr>
        <w:rFonts w:ascii="Symbol" w:hAnsi="Symbol" w:hint="default"/>
      </w:rPr>
    </w:lvl>
    <w:lvl w:ilvl="4" w:tentative="1">
      <w:start w:val="1"/>
      <w:numFmt w:val="bullet"/>
      <w:lvlText w:val="o"/>
      <w:lvlJc w:val="left"/>
      <w:pPr>
        <w:tabs>
          <w:tab w:val="num" w:pos="2340"/>
        </w:tabs>
        <w:ind w:left="2340" w:hanging="360"/>
      </w:pPr>
      <w:rPr>
        <w:rFonts w:ascii="Courier New" w:hAnsi="Courier New" w:cs="Courier New" w:hint="default"/>
      </w:rPr>
    </w:lvl>
    <w:lvl w:ilvl="5" w:tentative="1">
      <w:start w:val="1"/>
      <w:numFmt w:val="bullet"/>
      <w:lvlText w:val=""/>
      <w:lvlJc w:val="left"/>
      <w:pPr>
        <w:tabs>
          <w:tab w:val="num" w:pos="3060"/>
        </w:tabs>
        <w:ind w:left="3060" w:hanging="360"/>
      </w:pPr>
      <w:rPr>
        <w:rFonts w:ascii="Wingdings" w:hAnsi="Wingdings" w:hint="default"/>
      </w:rPr>
    </w:lvl>
    <w:lvl w:ilvl="6" w:tentative="1">
      <w:start w:val="1"/>
      <w:numFmt w:val="bullet"/>
      <w:lvlText w:val=""/>
      <w:lvlJc w:val="left"/>
      <w:pPr>
        <w:tabs>
          <w:tab w:val="num" w:pos="3780"/>
        </w:tabs>
        <w:ind w:left="3780" w:hanging="360"/>
      </w:pPr>
      <w:rPr>
        <w:rFonts w:ascii="Symbol" w:hAnsi="Symbol" w:hint="default"/>
      </w:rPr>
    </w:lvl>
    <w:lvl w:ilvl="7" w:tentative="1">
      <w:start w:val="1"/>
      <w:numFmt w:val="bullet"/>
      <w:lvlText w:val="o"/>
      <w:lvlJc w:val="left"/>
      <w:pPr>
        <w:tabs>
          <w:tab w:val="num" w:pos="4500"/>
        </w:tabs>
        <w:ind w:left="4500" w:hanging="360"/>
      </w:pPr>
      <w:rPr>
        <w:rFonts w:ascii="Courier New" w:hAnsi="Courier New" w:cs="Courier New" w:hint="default"/>
      </w:rPr>
    </w:lvl>
    <w:lvl w:ilvl="8" w:tentative="1">
      <w:start w:val="1"/>
      <w:numFmt w:val="bullet"/>
      <w:lvlText w:val=""/>
      <w:lvlJc w:val="left"/>
      <w:pPr>
        <w:tabs>
          <w:tab w:val="num" w:pos="5220"/>
        </w:tabs>
        <w:ind w:left="5220" w:hanging="360"/>
      </w:pPr>
      <w:rPr>
        <w:rFonts w:ascii="Wingdings" w:hAnsi="Wingdings" w:hint="default"/>
      </w:rPr>
    </w:lvl>
  </w:abstractNum>
  <w:abstractNum w:abstractNumId="20">
    <w:nsid w:val="7CF649D0"/>
    <w:multiLevelType w:val="hybridMultilevel"/>
    <w:tmpl w:val="51D26D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0"/>
  </w:num>
  <w:num w:numId="2">
    <w:abstractNumId w:val="9"/>
  </w:num>
  <w:num w:numId="3">
    <w:abstractNumId w:val="19"/>
  </w:num>
  <w:num w:numId="4">
    <w:abstractNumId w:val="13"/>
  </w:num>
  <w:num w:numId="5">
    <w:abstractNumId w:val="18"/>
  </w:num>
  <w:num w:numId="6">
    <w:abstractNumId w:val="2"/>
  </w:num>
  <w:num w:numId="7">
    <w:abstractNumId w:val="16"/>
  </w:num>
  <w:num w:numId="8">
    <w:abstractNumId w:val="5"/>
  </w:num>
  <w:num w:numId="9">
    <w:abstractNumId w:val="14"/>
  </w:num>
  <w:num w:numId="10">
    <w:abstractNumId w:val="12"/>
  </w:num>
  <w:num w:numId="11">
    <w:abstractNumId w:val="6"/>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num>
  <w:num w:numId="15">
    <w:abstractNumId w:val="7"/>
  </w:num>
  <w:num w:numId="16">
    <w:abstractNumId w:val="8"/>
  </w:num>
  <w:num w:numId="17">
    <w:abstractNumId w:val="15"/>
  </w:num>
  <w:num w:numId="18">
    <w:abstractNumId w:val="10"/>
  </w:num>
  <w:num w:numId="19">
    <w:abstractNumId w:val="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755"/>
    <w:rsid w:val="000162BD"/>
    <w:rsid w:val="00022EE1"/>
    <w:rsid w:val="00026103"/>
    <w:rsid w:val="00026BC3"/>
    <w:rsid w:val="00034B5C"/>
    <w:rsid w:val="00036C68"/>
    <w:rsid w:val="00041317"/>
    <w:rsid w:val="000432CC"/>
    <w:rsid w:val="000437A0"/>
    <w:rsid w:val="00044D23"/>
    <w:rsid w:val="00044EE6"/>
    <w:rsid w:val="00056602"/>
    <w:rsid w:val="000718E1"/>
    <w:rsid w:val="00081675"/>
    <w:rsid w:val="0008167D"/>
    <w:rsid w:val="000A2965"/>
    <w:rsid w:val="000A4E49"/>
    <w:rsid w:val="000A726B"/>
    <w:rsid w:val="000B503F"/>
    <w:rsid w:val="000C7CC1"/>
    <w:rsid w:val="000D01DF"/>
    <w:rsid w:val="000E1790"/>
    <w:rsid w:val="000E3ECE"/>
    <w:rsid w:val="000E417D"/>
    <w:rsid w:val="000E520C"/>
    <w:rsid w:val="000E62C2"/>
    <w:rsid w:val="000F60DE"/>
    <w:rsid w:val="000F6F1E"/>
    <w:rsid w:val="000F7BCA"/>
    <w:rsid w:val="00105268"/>
    <w:rsid w:val="001068CC"/>
    <w:rsid w:val="00111A98"/>
    <w:rsid w:val="00115661"/>
    <w:rsid w:val="00116572"/>
    <w:rsid w:val="00117D09"/>
    <w:rsid w:val="00124A51"/>
    <w:rsid w:val="00124E1D"/>
    <w:rsid w:val="001266FD"/>
    <w:rsid w:val="00142976"/>
    <w:rsid w:val="00146383"/>
    <w:rsid w:val="00153D38"/>
    <w:rsid w:val="00154820"/>
    <w:rsid w:val="001559C9"/>
    <w:rsid w:val="00160000"/>
    <w:rsid w:val="00161604"/>
    <w:rsid w:val="00162AC0"/>
    <w:rsid w:val="00166B43"/>
    <w:rsid w:val="00166C6D"/>
    <w:rsid w:val="00171BAC"/>
    <w:rsid w:val="00172064"/>
    <w:rsid w:val="0017271A"/>
    <w:rsid w:val="0018191A"/>
    <w:rsid w:val="00181D38"/>
    <w:rsid w:val="0018516A"/>
    <w:rsid w:val="00187F94"/>
    <w:rsid w:val="00190F6D"/>
    <w:rsid w:val="001A0603"/>
    <w:rsid w:val="001A126A"/>
    <w:rsid w:val="001A2B6C"/>
    <w:rsid w:val="001A2FA2"/>
    <w:rsid w:val="001A7922"/>
    <w:rsid w:val="001B48E4"/>
    <w:rsid w:val="001B5190"/>
    <w:rsid w:val="001C0729"/>
    <w:rsid w:val="001C3D2F"/>
    <w:rsid w:val="001D404C"/>
    <w:rsid w:val="001E0643"/>
    <w:rsid w:val="001E0A31"/>
    <w:rsid w:val="001E46DC"/>
    <w:rsid w:val="001E5ABA"/>
    <w:rsid w:val="002003FE"/>
    <w:rsid w:val="002016CA"/>
    <w:rsid w:val="00205447"/>
    <w:rsid w:val="002062AB"/>
    <w:rsid w:val="00206907"/>
    <w:rsid w:val="0021137A"/>
    <w:rsid w:val="00211484"/>
    <w:rsid w:val="00213440"/>
    <w:rsid w:val="002236DE"/>
    <w:rsid w:val="00223737"/>
    <w:rsid w:val="00232737"/>
    <w:rsid w:val="002361C9"/>
    <w:rsid w:val="00236899"/>
    <w:rsid w:val="00247C57"/>
    <w:rsid w:val="00252154"/>
    <w:rsid w:val="00254BAB"/>
    <w:rsid w:val="002571B7"/>
    <w:rsid w:val="002624A4"/>
    <w:rsid w:val="002672CE"/>
    <w:rsid w:val="00270A3E"/>
    <w:rsid w:val="00271D2E"/>
    <w:rsid w:val="00280A23"/>
    <w:rsid w:val="00282841"/>
    <w:rsid w:val="00286931"/>
    <w:rsid w:val="00291E69"/>
    <w:rsid w:val="00294DAB"/>
    <w:rsid w:val="002B14FE"/>
    <w:rsid w:val="002C16BC"/>
    <w:rsid w:val="002D092E"/>
    <w:rsid w:val="002D1087"/>
    <w:rsid w:val="002D29B2"/>
    <w:rsid w:val="002D43F4"/>
    <w:rsid w:val="002D6B14"/>
    <w:rsid w:val="00312118"/>
    <w:rsid w:val="00312719"/>
    <w:rsid w:val="00313237"/>
    <w:rsid w:val="00316F10"/>
    <w:rsid w:val="00320082"/>
    <w:rsid w:val="0034143F"/>
    <w:rsid w:val="003442F3"/>
    <w:rsid w:val="0034603E"/>
    <w:rsid w:val="003511F6"/>
    <w:rsid w:val="003541C0"/>
    <w:rsid w:val="0035556B"/>
    <w:rsid w:val="00360D1A"/>
    <w:rsid w:val="003623EB"/>
    <w:rsid w:val="00363AA7"/>
    <w:rsid w:val="00364E4D"/>
    <w:rsid w:val="00372CD3"/>
    <w:rsid w:val="00390A9C"/>
    <w:rsid w:val="00392616"/>
    <w:rsid w:val="0039682A"/>
    <w:rsid w:val="003A28ED"/>
    <w:rsid w:val="003B00C6"/>
    <w:rsid w:val="003B0EA1"/>
    <w:rsid w:val="003B38AD"/>
    <w:rsid w:val="003B7D6D"/>
    <w:rsid w:val="003C6B46"/>
    <w:rsid w:val="003D0552"/>
    <w:rsid w:val="003D5CA4"/>
    <w:rsid w:val="003E0CB0"/>
    <w:rsid w:val="003E13C4"/>
    <w:rsid w:val="003E65AB"/>
    <w:rsid w:val="003F49AE"/>
    <w:rsid w:val="003F7F73"/>
    <w:rsid w:val="00406ABE"/>
    <w:rsid w:val="00407915"/>
    <w:rsid w:val="00411DD3"/>
    <w:rsid w:val="00416AE0"/>
    <w:rsid w:val="00416DCC"/>
    <w:rsid w:val="00421047"/>
    <w:rsid w:val="0042526C"/>
    <w:rsid w:val="004255E7"/>
    <w:rsid w:val="00426DE9"/>
    <w:rsid w:val="00431D20"/>
    <w:rsid w:val="00432A5D"/>
    <w:rsid w:val="004332A6"/>
    <w:rsid w:val="00434D5C"/>
    <w:rsid w:val="00446DD8"/>
    <w:rsid w:val="00453E1F"/>
    <w:rsid w:val="00460D87"/>
    <w:rsid w:val="00464448"/>
    <w:rsid w:val="00464BA0"/>
    <w:rsid w:val="004659A8"/>
    <w:rsid w:val="00466114"/>
    <w:rsid w:val="00471F3C"/>
    <w:rsid w:val="00472CF4"/>
    <w:rsid w:val="004859BE"/>
    <w:rsid w:val="00486597"/>
    <w:rsid w:val="0049471E"/>
    <w:rsid w:val="0049595A"/>
    <w:rsid w:val="004A18BD"/>
    <w:rsid w:val="004A7D4E"/>
    <w:rsid w:val="004B5B94"/>
    <w:rsid w:val="004C0A58"/>
    <w:rsid w:val="004C43DD"/>
    <w:rsid w:val="004D2B9F"/>
    <w:rsid w:val="004E19ED"/>
    <w:rsid w:val="004E6764"/>
    <w:rsid w:val="004F013E"/>
    <w:rsid w:val="004F141B"/>
    <w:rsid w:val="004F2E20"/>
    <w:rsid w:val="004F544E"/>
    <w:rsid w:val="004F6613"/>
    <w:rsid w:val="005072E4"/>
    <w:rsid w:val="00527293"/>
    <w:rsid w:val="00532385"/>
    <w:rsid w:val="00532627"/>
    <w:rsid w:val="00535B4C"/>
    <w:rsid w:val="00536B38"/>
    <w:rsid w:val="0054195B"/>
    <w:rsid w:val="0054452C"/>
    <w:rsid w:val="005512D6"/>
    <w:rsid w:val="00551AE0"/>
    <w:rsid w:val="00560022"/>
    <w:rsid w:val="0056285B"/>
    <w:rsid w:val="00563231"/>
    <w:rsid w:val="0056581D"/>
    <w:rsid w:val="00571320"/>
    <w:rsid w:val="00582474"/>
    <w:rsid w:val="0058295F"/>
    <w:rsid w:val="00583A8D"/>
    <w:rsid w:val="005841E7"/>
    <w:rsid w:val="005961BF"/>
    <w:rsid w:val="005A724D"/>
    <w:rsid w:val="005B3265"/>
    <w:rsid w:val="005B4871"/>
    <w:rsid w:val="005B7247"/>
    <w:rsid w:val="005C25D5"/>
    <w:rsid w:val="005C6F87"/>
    <w:rsid w:val="00604C3D"/>
    <w:rsid w:val="0061170A"/>
    <w:rsid w:val="00613DB9"/>
    <w:rsid w:val="0061692B"/>
    <w:rsid w:val="00623095"/>
    <w:rsid w:val="006230B7"/>
    <w:rsid w:val="0063017F"/>
    <w:rsid w:val="00631B75"/>
    <w:rsid w:val="0063340C"/>
    <w:rsid w:val="006341FB"/>
    <w:rsid w:val="00637882"/>
    <w:rsid w:val="006379BF"/>
    <w:rsid w:val="00642EC5"/>
    <w:rsid w:val="00645DFE"/>
    <w:rsid w:val="00650C20"/>
    <w:rsid w:val="0067117F"/>
    <w:rsid w:val="006726B2"/>
    <w:rsid w:val="00672D9C"/>
    <w:rsid w:val="00675D9F"/>
    <w:rsid w:val="00677568"/>
    <w:rsid w:val="0068222E"/>
    <w:rsid w:val="006848DB"/>
    <w:rsid w:val="006924DB"/>
    <w:rsid w:val="006A21C4"/>
    <w:rsid w:val="006A61F3"/>
    <w:rsid w:val="006B585D"/>
    <w:rsid w:val="006D1A94"/>
    <w:rsid w:val="006D3D17"/>
    <w:rsid w:val="006E074C"/>
    <w:rsid w:val="006E0997"/>
    <w:rsid w:val="006E151E"/>
    <w:rsid w:val="006E4ED0"/>
    <w:rsid w:val="0070035E"/>
    <w:rsid w:val="0070270E"/>
    <w:rsid w:val="00710D77"/>
    <w:rsid w:val="00712E30"/>
    <w:rsid w:val="0072001C"/>
    <w:rsid w:val="00721421"/>
    <w:rsid w:val="0072417D"/>
    <w:rsid w:val="00725528"/>
    <w:rsid w:val="0073226F"/>
    <w:rsid w:val="007401FE"/>
    <w:rsid w:val="00741CD6"/>
    <w:rsid w:val="00760CF6"/>
    <w:rsid w:val="00766A56"/>
    <w:rsid w:val="007729EF"/>
    <w:rsid w:val="007735F0"/>
    <w:rsid w:val="007749D9"/>
    <w:rsid w:val="007811C8"/>
    <w:rsid w:val="00781405"/>
    <w:rsid w:val="00783C56"/>
    <w:rsid w:val="00794759"/>
    <w:rsid w:val="00795B9F"/>
    <w:rsid w:val="007A5795"/>
    <w:rsid w:val="007A624D"/>
    <w:rsid w:val="007B3D42"/>
    <w:rsid w:val="007B6069"/>
    <w:rsid w:val="007B70B0"/>
    <w:rsid w:val="007C0967"/>
    <w:rsid w:val="007C755E"/>
    <w:rsid w:val="007C7DDC"/>
    <w:rsid w:val="007D2DB8"/>
    <w:rsid w:val="007D4BF8"/>
    <w:rsid w:val="007D6782"/>
    <w:rsid w:val="007E4925"/>
    <w:rsid w:val="007F0E37"/>
    <w:rsid w:val="007F38F2"/>
    <w:rsid w:val="0080085D"/>
    <w:rsid w:val="008026A1"/>
    <w:rsid w:val="00820162"/>
    <w:rsid w:val="00823C3E"/>
    <w:rsid w:val="00837D04"/>
    <w:rsid w:val="00857928"/>
    <w:rsid w:val="00863E47"/>
    <w:rsid w:val="0086408D"/>
    <w:rsid w:val="00866C05"/>
    <w:rsid w:val="00876E96"/>
    <w:rsid w:val="008818E7"/>
    <w:rsid w:val="00885ABC"/>
    <w:rsid w:val="008862CA"/>
    <w:rsid w:val="008A2871"/>
    <w:rsid w:val="008A5B78"/>
    <w:rsid w:val="008B318F"/>
    <w:rsid w:val="008D40B6"/>
    <w:rsid w:val="008D7755"/>
    <w:rsid w:val="008E7683"/>
    <w:rsid w:val="008F4A10"/>
    <w:rsid w:val="008F51F6"/>
    <w:rsid w:val="009010E8"/>
    <w:rsid w:val="00901B5B"/>
    <w:rsid w:val="0090405F"/>
    <w:rsid w:val="00904F48"/>
    <w:rsid w:val="00911695"/>
    <w:rsid w:val="009177D9"/>
    <w:rsid w:val="0091781F"/>
    <w:rsid w:val="00921110"/>
    <w:rsid w:val="00934EA1"/>
    <w:rsid w:val="009466AC"/>
    <w:rsid w:val="0095686A"/>
    <w:rsid w:val="00963259"/>
    <w:rsid w:val="00964966"/>
    <w:rsid w:val="00971E9E"/>
    <w:rsid w:val="009728CD"/>
    <w:rsid w:val="009837D6"/>
    <w:rsid w:val="0098451F"/>
    <w:rsid w:val="00985658"/>
    <w:rsid w:val="00986741"/>
    <w:rsid w:val="00997B2A"/>
    <w:rsid w:val="009A191D"/>
    <w:rsid w:val="009A446A"/>
    <w:rsid w:val="009B0A25"/>
    <w:rsid w:val="009B12EE"/>
    <w:rsid w:val="009B71CC"/>
    <w:rsid w:val="009C5F4B"/>
    <w:rsid w:val="009D0655"/>
    <w:rsid w:val="009D3265"/>
    <w:rsid w:val="009D5DC3"/>
    <w:rsid w:val="009E4E2E"/>
    <w:rsid w:val="009F11F9"/>
    <w:rsid w:val="009F76EF"/>
    <w:rsid w:val="00A048B6"/>
    <w:rsid w:val="00A11A87"/>
    <w:rsid w:val="00A15B47"/>
    <w:rsid w:val="00A260E2"/>
    <w:rsid w:val="00A41674"/>
    <w:rsid w:val="00A4318E"/>
    <w:rsid w:val="00A46A16"/>
    <w:rsid w:val="00A47774"/>
    <w:rsid w:val="00A47F7E"/>
    <w:rsid w:val="00A51F00"/>
    <w:rsid w:val="00A60928"/>
    <w:rsid w:val="00A67C9B"/>
    <w:rsid w:val="00A70B9A"/>
    <w:rsid w:val="00A73664"/>
    <w:rsid w:val="00A82790"/>
    <w:rsid w:val="00A828E9"/>
    <w:rsid w:val="00A97FD8"/>
    <w:rsid w:val="00AA4394"/>
    <w:rsid w:val="00AB6901"/>
    <w:rsid w:val="00AC02E5"/>
    <w:rsid w:val="00AD36BB"/>
    <w:rsid w:val="00AD757E"/>
    <w:rsid w:val="00AE0485"/>
    <w:rsid w:val="00AF6505"/>
    <w:rsid w:val="00B005F1"/>
    <w:rsid w:val="00B07EBF"/>
    <w:rsid w:val="00B12139"/>
    <w:rsid w:val="00B143A8"/>
    <w:rsid w:val="00B16045"/>
    <w:rsid w:val="00B20BA8"/>
    <w:rsid w:val="00B235D8"/>
    <w:rsid w:val="00B2383D"/>
    <w:rsid w:val="00B24D76"/>
    <w:rsid w:val="00B2554F"/>
    <w:rsid w:val="00B3366A"/>
    <w:rsid w:val="00B35D13"/>
    <w:rsid w:val="00B50F0D"/>
    <w:rsid w:val="00B66E42"/>
    <w:rsid w:val="00B73F81"/>
    <w:rsid w:val="00B761A6"/>
    <w:rsid w:val="00B91D12"/>
    <w:rsid w:val="00B94AB9"/>
    <w:rsid w:val="00BA5B9A"/>
    <w:rsid w:val="00BB40AA"/>
    <w:rsid w:val="00BC54A3"/>
    <w:rsid w:val="00BD1F78"/>
    <w:rsid w:val="00BD57B4"/>
    <w:rsid w:val="00BE60CA"/>
    <w:rsid w:val="00BF60CC"/>
    <w:rsid w:val="00C03946"/>
    <w:rsid w:val="00C05400"/>
    <w:rsid w:val="00C1425A"/>
    <w:rsid w:val="00C1569F"/>
    <w:rsid w:val="00C15937"/>
    <w:rsid w:val="00C239E0"/>
    <w:rsid w:val="00C35C0B"/>
    <w:rsid w:val="00C517E3"/>
    <w:rsid w:val="00C52DC4"/>
    <w:rsid w:val="00C56FE2"/>
    <w:rsid w:val="00C57720"/>
    <w:rsid w:val="00C677D3"/>
    <w:rsid w:val="00C756CC"/>
    <w:rsid w:val="00C75C49"/>
    <w:rsid w:val="00C7695C"/>
    <w:rsid w:val="00C83F37"/>
    <w:rsid w:val="00C8434F"/>
    <w:rsid w:val="00C90326"/>
    <w:rsid w:val="00C9728E"/>
    <w:rsid w:val="00CB051F"/>
    <w:rsid w:val="00CB69DD"/>
    <w:rsid w:val="00CC0452"/>
    <w:rsid w:val="00CC1815"/>
    <w:rsid w:val="00CE0EC2"/>
    <w:rsid w:val="00CF3451"/>
    <w:rsid w:val="00CF4C12"/>
    <w:rsid w:val="00CF6B93"/>
    <w:rsid w:val="00CF6BD5"/>
    <w:rsid w:val="00CF7CB8"/>
    <w:rsid w:val="00D00A44"/>
    <w:rsid w:val="00D061BD"/>
    <w:rsid w:val="00D07BCC"/>
    <w:rsid w:val="00D108F6"/>
    <w:rsid w:val="00D17DC6"/>
    <w:rsid w:val="00D31C30"/>
    <w:rsid w:val="00D339E9"/>
    <w:rsid w:val="00D342C4"/>
    <w:rsid w:val="00D34531"/>
    <w:rsid w:val="00D4098B"/>
    <w:rsid w:val="00D47C58"/>
    <w:rsid w:val="00D63AD7"/>
    <w:rsid w:val="00D73222"/>
    <w:rsid w:val="00D73D1A"/>
    <w:rsid w:val="00D82230"/>
    <w:rsid w:val="00D93738"/>
    <w:rsid w:val="00D9599D"/>
    <w:rsid w:val="00D95FE5"/>
    <w:rsid w:val="00D964A5"/>
    <w:rsid w:val="00D966EE"/>
    <w:rsid w:val="00DA34F4"/>
    <w:rsid w:val="00DA4D88"/>
    <w:rsid w:val="00DA7F58"/>
    <w:rsid w:val="00DB729B"/>
    <w:rsid w:val="00DC133E"/>
    <w:rsid w:val="00DC6A2C"/>
    <w:rsid w:val="00DC7AF3"/>
    <w:rsid w:val="00DD37B5"/>
    <w:rsid w:val="00DE393E"/>
    <w:rsid w:val="00DE5FB5"/>
    <w:rsid w:val="00DE6320"/>
    <w:rsid w:val="00DF576C"/>
    <w:rsid w:val="00E1051F"/>
    <w:rsid w:val="00E10AF1"/>
    <w:rsid w:val="00E11DC4"/>
    <w:rsid w:val="00E2070B"/>
    <w:rsid w:val="00E22069"/>
    <w:rsid w:val="00E2389F"/>
    <w:rsid w:val="00E307CA"/>
    <w:rsid w:val="00E30EC4"/>
    <w:rsid w:val="00E47019"/>
    <w:rsid w:val="00E5707B"/>
    <w:rsid w:val="00E57184"/>
    <w:rsid w:val="00E6672F"/>
    <w:rsid w:val="00E71715"/>
    <w:rsid w:val="00E76BB5"/>
    <w:rsid w:val="00E904C6"/>
    <w:rsid w:val="00E90C94"/>
    <w:rsid w:val="00E93925"/>
    <w:rsid w:val="00E964BF"/>
    <w:rsid w:val="00EA2ECA"/>
    <w:rsid w:val="00EB0D20"/>
    <w:rsid w:val="00EB3738"/>
    <w:rsid w:val="00EB7A83"/>
    <w:rsid w:val="00EC03E2"/>
    <w:rsid w:val="00EC22EA"/>
    <w:rsid w:val="00EC426F"/>
    <w:rsid w:val="00ED7618"/>
    <w:rsid w:val="00EE0B46"/>
    <w:rsid w:val="00EE1B23"/>
    <w:rsid w:val="00EE41DD"/>
    <w:rsid w:val="00EE73FD"/>
    <w:rsid w:val="00F043FF"/>
    <w:rsid w:val="00F04549"/>
    <w:rsid w:val="00F153EE"/>
    <w:rsid w:val="00F16A85"/>
    <w:rsid w:val="00F218AF"/>
    <w:rsid w:val="00F22A10"/>
    <w:rsid w:val="00F23393"/>
    <w:rsid w:val="00F23D0F"/>
    <w:rsid w:val="00F31A57"/>
    <w:rsid w:val="00F32DE5"/>
    <w:rsid w:val="00F37BAD"/>
    <w:rsid w:val="00F47FEC"/>
    <w:rsid w:val="00F50CD6"/>
    <w:rsid w:val="00F5797B"/>
    <w:rsid w:val="00F63579"/>
    <w:rsid w:val="00F76673"/>
    <w:rsid w:val="00F77CD9"/>
    <w:rsid w:val="00F81125"/>
    <w:rsid w:val="00F84D3F"/>
    <w:rsid w:val="00F86D3B"/>
    <w:rsid w:val="00F8746E"/>
    <w:rsid w:val="00F95F7A"/>
    <w:rsid w:val="00FA139B"/>
    <w:rsid w:val="00FA2738"/>
    <w:rsid w:val="00FA3462"/>
    <w:rsid w:val="00FA3941"/>
    <w:rsid w:val="00FA3C86"/>
    <w:rsid w:val="00FA5ADF"/>
    <w:rsid w:val="00FA60CD"/>
    <w:rsid w:val="00FB18B4"/>
    <w:rsid w:val="00FB2E00"/>
    <w:rsid w:val="00FB623A"/>
    <w:rsid w:val="00FC324A"/>
    <w:rsid w:val="00FC7C12"/>
    <w:rsid w:val="00FD6C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66D40A"/>
  <w15:chartTrackingRefBased/>
  <w15:docId w15:val="{6F7428A0-B1EA-414A-9759-74E9F6B0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link w:val="NoSpacingChar"/>
    <w:uiPriority w:val="1"/>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NoSpacingChar">
    <w:name w:val="No Spacing Char"/>
    <w:link w:val="NoSpacing"/>
    <w:rsid w:val="008D7755"/>
    <w:rPr>
      <w:rFonts w:cs="Times New Roman"/>
      <w:sz w:val="24"/>
    </w:rPr>
  </w:style>
  <w:style w:type="paragraph" w:styleId="ListParagraph">
    <w:name w:val="List Paragraph"/>
    <w:basedOn w:val="Normal"/>
    <w:uiPriority w:val="34"/>
    <w:qFormat/>
    <w:rsid w:val="008D7755"/>
    <w:pPr>
      <w:spacing w:after="0"/>
      <w:ind w:left="720"/>
    </w:pPr>
    <w:rPr>
      <w:rFonts w:eastAsia="Calibri" w:cs="Calibri"/>
      <w:sz w:val="22"/>
      <w:szCs w:val="22"/>
    </w:rPr>
  </w:style>
  <w:style w:type="paragraph" w:styleId="HTMLPreformatted">
    <w:name w:val="HTML Preformatted"/>
    <w:basedOn w:val="Normal"/>
    <w:link w:val="HTMLPreformattedChar"/>
    <w:rsid w:val="00E1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sz w:val="20"/>
      <w:lang w:eastAsia="zh-CN"/>
    </w:rPr>
  </w:style>
  <w:style w:type="character" w:customStyle="1" w:styleId="HTMLPreformattedChar">
    <w:name w:val="HTML Preformatted Char"/>
    <w:link w:val="HTMLPreformatted"/>
    <w:rsid w:val="00E1051F"/>
    <w:rPr>
      <w:rFonts w:ascii="Courier New" w:eastAsia="SimSun" w:hAnsi="Courier New" w:cs="Courier New"/>
      <w:lang w:eastAsia="zh-CN"/>
    </w:rPr>
  </w:style>
  <w:style w:type="character" w:styleId="CommentReference">
    <w:name w:val="annotation reference"/>
    <w:uiPriority w:val="99"/>
    <w:semiHidden/>
    <w:unhideWhenUsed/>
    <w:rsid w:val="004F6613"/>
    <w:rPr>
      <w:sz w:val="16"/>
      <w:szCs w:val="16"/>
    </w:rPr>
  </w:style>
  <w:style w:type="paragraph" w:styleId="CommentText">
    <w:name w:val="annotation text"/>
    <w:basedOn w:val="Normal"/>
    <w:link w:val="CommentTextChar"/>
    <w:uiPriority w:val="99"/>
    <w:semiHidden/>
    <w:unhideWhenUsed/>
    <w:rsid w:val="004F6613"/>
    <w:rPr>
      <w:sz w:val="20"/>
    </w:rPr>
  </w:style>
  <w:style w:type="character" w:customStyle="1" w:styleId="CommentTextChar">
    <w:name w:val="Comment Text Char"/>
    <w:link w:val="CommentText"/>
    <w:uiPriority w:val="99"/>
    <w:semiHidden/>
    <w:rsid w:val="004F6613"/>
    <w:rPr>
      <w:rFonts w:cs="Times New Roman"/>
    </w:rPr>
  </w:style>
  <w:style w:type="paragraph" w:styleId="CommentSubject">
    <w:name w:val="annotation subject"/>
    <w:basedOn w:val="CommentText"/>
    <w:next w:val="CommentText"/>
    <w:link w:val="CommentSubjectChar"/>
    <w:uiPriority w:val="99"/>
    <w:semiHidden/>
    <w:unhideWhenUsed/>
    <w:rsid w:val="004F6613"/>
    <w:rPr>
      <w:b/>
      <w:bCs/>
    </w:rPr>
  </w:style>
  <w:style w:type="character" w:customStyle="1" w:styleId="CommentSubjectChar">
    <w:name w:val="Comment Subject Char"/>
    <w:link w:val="CommentSubject"/>
    <w:uiPriority w:val="99"/>
    <w:semiHidden/>
    <w:rsid w:val="004F6613"/>
    <w:rPr>
      <w:rFonts w:cs="Times New Roman"/>
      <w:b/>
      <w:bCs/>
    </w:rPr>
  </w:style>
  <w:style w:type="paragraph" w:styleId="NormalWeb">
    <w:name w:val="Normal (Web)"/>
    <w:basedOn w:val="Normal"/>
    <w:uiPriority w:val="99"/>
    <w:unhideWhenUsed/>
    <w:rsid w:val="0070270E"/>
    <w:pPr>
      <w:spacing w:before="100" w:beforeAutospacing="1" w:after="100" w:afterAutospacing="1"/>
    </w:pPr>
    <w:rPr>
      <w:rFonts w:ascii="Times New Roman" w:hAnsi="Times New Roman"/>
      <w:szCs w:val="24"/>
    </w:rPr>
  </w:style>
  <w:style w:type="character" w:styleId="Hyperlink">
    <w:name w:val="Hyperlink"/>
    <w:rsid w:val="005B7247"/>
    <w:rPr>
      <w:rFonts w:cs="Times New Roman"/>
      <w:color w:val="0000FF"/>
      <w:u w:val="single"/>
    </w:rPr>
  </w:style>
  <w:style w:type="paragraph" w:styleId="Revision">
    <w:name w:val="Revision"/>
    <w:hidden/>
    <w:uiPriority w:val="99"/>
    <w:semiHidden/>
    <w:rsid w:val="003623EB"/>
    <w:rPr>
      <w:rFonts w:cs="Times New Roman"/>
      <w:sz w:val="24"/>
    </w:rPr>
  </w:style>
  <w:style w:type="table" w:styleId="GridTableLight">
    <w:name w:val="Grid Table Light"/>
    <w:basedOn w:val="TableNormal"/>
    <w:uiPriority w:val="40"/>
    <w:rsid w:val="001A06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3D0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stru.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D4F6-D71D-4F7F-BE3C-6B62DD57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Chatel Madison, OEST, DSA</dc:creator>
  <cp:lastModifiedBy>Naomi Sipple</cp:lastModifiedBy>
  <cp:revision>3</cp:revision>
  <cp:lastPrinted>2016-02-23T20:49:00Z</cp:lastPrinted>
  <dcterms:created xsi:type="dcterms:W3CDTF">2023-03-15T17:31:00Z</dcterms:created>
  <dcterms:modified xsi:type="dcterms:W3CDTF">2023-03-15T17:41:00Z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-1682967118</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IRES and eAccess Change Requests (0626 and 0789) Revisions</vt:lpwstr>
  </property>
  <property fmtid="{D5CDD505-2E9C-101B-9397-08002B2CF9AE}" pid="6" name="_NewReviewCycle">
    <vt:lpwstr/>
  </property>
  <property fmtid="{D5CDD505-2E9C-101B-9397-08002B2CF9AE}" pid="7" name="_PreviousAdHocReviewCycleID">
    <vt:i4>1273764714</vt:i4>
  </property>
  <property fmtid="{D5CDD505-2E9C-101B-9397-08002B2CF9AE}" pid="8" name="_ReviewingToolsShownOnce">
    <vt:lpwstr/>
  </property>
</Properties>
</file>