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8647E" w:rsidR="0005680D" w:rsidP="0005680D" w:rsidRDefault="0005680D" w14:paraId="7B098020" w14:textId="7F1E70F1">
      <w:pPr>
        <w:tabs>
          <w:tab w:val="left" w:pos="1080"/>
        </w:tabs>
        <w:ind w:left="1080" w:hanging="1080"/>
        <w:rPr>
          <w:sz w:val="22"/>
          <w:szCs w:val="22"/>
        </w:rPr>
      </w:pPr>
      <w:r w:rsidRPr="0078647E">
        <w:rPr>
          <w:b/>
          <w:bCs/>
          <w:sz w:val="22"/>
          <w:szCs w:val="22"/>
        </w:rPr>
        <w:t>To:</w:t>
      </w:r>
      <w:r w:rsidRPr="0078647E">
        <w:rPr>
          <w:sz w:val="22"/>
          <w:szCs w:val="22"/>
        </w:rPr>
        <w:tab/>
      </w:r>
      <w:r w:rsidRPr="0078647E" w:rsidR="00B72639">
        <w:rPr>
          <w:sz w:val="22"/>
          <w:szCs w:val="22"/>
        </w:rPr>
        <w:t>Jordan Cohen</w:t>
      </w:r>
    </w:p>
    <w:p w:rsidRPr="0078647E" w:rsidR="0005680D" w:rsidP="0005680D" w:rsidRDefault="0005680D" w14:paraId="36853E0B" w14:textId="77777777">
      <w:pPr>
        <w:tabs>
          <w:tab w:val="left" w:pos="1080"/>
        </w:tabs>
        <w:ind w:left="1080" w:hanging="1080"/>
        <w:rPr>
          <w:sz w:val="22"/>
          <w:szCs w:val="22"/>
        </w:rPr>
      </w:pPr>
      <w:r w:rsidRPr="0078647E">
        <w:rPr>
          <w:b/>
          <w:bCs/>
          <w:sz w:val="22"/>
          <w:szCs w:val="22"/>
        </w:rPr>
        <w:tab/>
      </w:r>
      <w:r w:rsidRPr="0078647E">
        <w:rPr>
          <w:sz w:val="22"/>
          <w:szCs w:val="22"/>
        </w:rPr>
        <w:t>Office of Information and Regulatory Affairs (OIRA)</w:t>
      </w:r>
    </w:p>
    <w:p w:rsidRPr="0078647E" w:rsidR="0005680D" w:rsidP="0005680D" w:rsidRDefault="0005680D" w14:paraId="30A9ED8F" w14:textId="77777777">
      <w:pPr>
        <w:tabs>
          <w:tab w:val="left" w:pos="1080"/>
        </w:tabs>
        <w:ind w:left="1080" w:hanging="1080"/>
        <w:rPr>
          <w:sz w:val="22"/>
          <w:szCs w:val="22"/>
        </w:rPr>
      </w:pPr>
      <w:r w:rsidRPr="0078647E">
        <w:rPr>
          <w:sz w:val="22"/>
          <w:szCs w:val="22"/>
        </w:rPr>
        <w:tab/>
        <w:t>Office of Management and Budget (OMB)</w:t>
      </w:r>
    </w:p>
    <w:p w:rsidRPr="0078647E" w:rsidR="0005680D" w:rsidP="0005680D" w:rsidRDefault="0005680D" w14:paraId="020B5E52" w14:textId="77777777">
      <w:pPr>
        <w:tabs>
          <w:tab w:val="left" w:pos="1080"/>
        </w:tabs>
        <w:ind w:left="1080" w:hanging="1080"/>
        <w:rPr>
          <w:sz w:val="22"/>
          <w:szCs w:val="22"/>
        </w:rPr>
      </w:pPr>
    </w:p>
    <w:p w:rsidRPr="0078647E" w:rsidR="0005680D" w:rsidP="0005680D" w:rsidRDefault="0005680D" w14:paraId="092E1B53" w14:textId="10491586">
      <w:pPr>
        <w:tabs>
          <w:tab w:val="left" w:pos="1080"/>
        </w:tabs>
        <w:ind w:left="1080" w:hanging="1080"/>
        <w:rPr>
          <w:sz w:val="22"/>
          <w:szCs w:val="22"/>
        </w:rPr>
      </w:pPr>
      <w:r w:rsidRPr="0078647E">
        <w:rPr>
          <w:b/>
          <w:bCs/>
          <w:sz w:val="22"/>
          <w:szCs w:val="22"/>
        </w:rPr>
        <w:t>From:</w:t>
      </w:r>
      <w:r w:rsidRPr="0078647E">
        <w:rPr>
          <w:sz w:val="22"/>
          <w:szCs w:val="22"/>
        </w:rPr>
        <w:tab/>
      </w:r>
      <w:r w:rsidRPr="0078647E" w:rsidR="0078647E">
        <w:rPr>
          <w:sz w:val="22"/>
          <w:szCs w:val="22"/>
        </w:rPr>
        <w:t>Edward Pniak</w:t>
      </w:r>
    </w:p>
    <w:p w:rsidRPr="0078647E" w:rsidR="0078647E" w:rsidP="0005680D" w:rsidRDefault="0005680D" w14:paraId="069EB318" w14:textId="5AA70AFF">
      <w:pPr>
        <w:tabs>
          <w:tab w:val="left" w:pos="1080"/>
        </w:tabs>
        <w:ind w:left="1080" w:hanging="1080"/>
        <w:rPr>
          <w:color w:val="000000"/>
          <w:sz w:val="22"/>
          <w:szCs w:val="22"/>
        </w:rPr>
      </w:pPr>
      <w:r w:rsidRPr="0078647E">
        <w:rPr>
          <w:b/>
          <w:bCs/>
          <w:sz w:val="22"/>
          <w:szCs w:val="22"/>
        </w:rPr>
        <w:tab/>
      </w:r>
      <w:r w:rsidRPr="0078647E" w:rsidR="0078647E">
        <w:rPr>
          <w:color w:val="000000"/>
          <w:sz w:val="22"/>
          <w:szCs w:val="22"/>
        </w:rPr>
        <w:t>Office of Administration (OA)</w:t>
      </w:r>
    </w:p>
    <w:p w:rsidRPr="007528A8" w:rsidR="0005680D" w:rsidP="0005680D" w:rsidRDefault="0005680D" w14:paraId="15ABAFDA" w14:textId="08217553">
      <w:pPr>
        <w:tabs>
          <w:tab w:val="left" w:pos="1080"/>
        </w:tabs>
        <w:ind w:left="1080" w:hanging="1080"/>
        <w:rPr>
          <w:sz w:val="22"/>
          <w:szCs w:val="22"/>
        </w:rPr>
      </w:pPr>
      <w:r w:rsidRPr="0078647E">
        <w:rPr>
          <w:sz w:val="22"/>
          <w:szCs w:val="22"/>
        </w:rPr>
        <w:tab/>
      </w:r>
      <w:r w:rsidRPr="007528A8">
        <w:rPr>
          <w:sz w:val="22"/>
          <w:szCs w:val="22"/>
        </w:rPr>
        <w:t>Administration for Children and Families (ACF)</w:t>
      </w:r>
    </w:p>
    <w:p w:rsidRPr="007528A8" w:rsidR="0005680D" w:rsidP="0005680D" w:rsidRDefault="0005680D" w14:paraId="7685F2B8" w14:textId="77777777">
      <w:pPr>
        <w:tabs>
          <w:tab w:val="left" w:pos="1080"/>
        </w:tabs>
        <w:ind w:left="1080" w:hanging="1080"/>
        <w:rPr>
          <w:sz w:val="22"/>
          <w:szCs w:val="22"/>
        </w:rPr>
      </w:pPr>
    </w:p>
    <w:p w:rsidRPr="007528A8" w:rsidR="0005680D" w:rsidP="0005680D" w:rsidRDefault="0005680D" w14:paraId="0BBD6359" w14:textId="1900F473">
      <w:pPr>
        <w:tabs>
          <w:tab w:val="left" w:pos="1080"/>
        </w:tabs>
        <w:rPr>
          <w:sz w:val="22"/>
          <w:szCs w:val="22"/>
        </w:rPr>
      </w:pPr>
      <w:r w:rsidRPr="007528A8">
        <w:rPr>
          <w:b/>
          <w:bCs/>
          <w:sz w:val="22"/>
          <w:szCs w:val="22"/>
        </w:rPr>
        <w:t>Date:</w:t>
      </w:r>
      <w:r w:rsidRPr="007528A8">
        <w:rPr>
          <w:sz w:val="22"/>
          <w:szCs w:val="22"/>
        </w:rPr>
        <w:tab/>
      </w:r>
      <w:r w:rsidRPr="007528A8" w:rsidR="0078647E">
        <w:rPr>
          <w:sz w:val="22"/>
          <w:szCs w:val="22"/>
        </w:rPr>
        <w:t>September</w:t>
      </w:r>
      <w:r w:rsidRPr="007528A8">
        <w:rPr>
          <w:sz w:val="22"/>
          <w:szCs w:val="22"/>
        </w:rPr>
        <w:t xml:space="preserve"> </w:t>
      </w:r>
      <w:r w:rsidRPr="007528A8" w:rsidR="007528A8">
        <w:rPr>
          <w:sz w:val="22"/>
          <w:szCs w:val="22"/>
        </w:rPr>
        <w:t>16</w:t>
      </w:r>
      <w:r w:rsidRPr="007528A8" w:rsidR="0078647E">
        <w:rPr>
          <w:sz w:val="22"/>
          <w:szCs w:val="22"/>
        </w:rPr>
        <w:t>,</w:t>
      </w:r>
      <w:r w:rsidRPr="007528A8">
        <w:rPr>
          <w:sz w:val="22"/>
          <w:szCs w:val="22"/>
        </w:rPr>
        <w:t xml:space="preserve"> 20</w:t>
      </w:r>
      <w:r w:rsidRPr="007528A8" w:rsidR="0078647E">
        <w:rPr>
          <w:sz w:val="22"/>
          <w:szCs w:val="22"/>
        </w:rPr>
        <w:t>21</w:t>
      </w:r>
    </w:p>
    <w:p w:rsidRPr="007528A8" w:rsidR="0005680D" w:rsidP="0005680D" w:rsidRDefault="0005680D" w14:paraId="7B991363" w14:textId="77777777">
      <w:pPr>
        <w:tabs>
          <w:tab w:val="left" w:pos="1080"/>
        </w:tabs>
        <w:rPr>
          <w:sz w:val="22"/>
          <w:szCs w:val="22"/>
        </w:rPr>
      </w:pPr>
    </w:p>
    <w:p w:rsidRPr="0078647E" w:rsidR="0005680D" w:rsidP="0005680D" w:rsidRDefault="0005680D" w14:paraId="3A89B6CD" w14:textId="643A4774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22"/>
          <w:szCs w:val="22"/>
        </w:rPr>
      </w:pPr>
      <w:r w:rsidRPr="007528A8">
        <w:rPr>
          <w:b/>
          <w:bCs/>
          <w:sz w:val="22"/>
          <w:szCs w:val="22"/>
        </w:rPr>
        <w:t>Subject:</w:t>
      </w:r>
      <w:r w:rsidRPr="007528A8">
        <w:rPr>
          <w:sz w:val="22"/>
          <w:szCs w:val="22"/>
        </w:rPr>
        <w:tab/>
      </w:r>
      <w:proofErr w:type="spellStart"/>
      <w:r w:rsidRPr="007528A8">
        <w:rPr>
          <w:sz w:val="22"/>
          <w:szCs w:val="22"/>
        </w:rPr>
        <w:t>NonSubstantive</w:t>
      </w:r>
      <w:proofErr w:type="spellEnd"/>
      <w:r w:rsidRPr="007528A8">
        <w:rPr>
          <w:sz w:val="22"/>
          <w:szCs w:val="22"/>
        </w:rPr>
        <w:t xml:space="preserve"> Change Request – </w:t>
      </w:r>
      <w:r w:rsidRPr="007528A8" w:rsidR="0078647E">
        <w:rPr>
          <w:rFonts w:eastAsiaTheme="minorHAnsi"/>
          <w:kern w:val="0"/>
          <w:sz w:val="22"/>
          <w:szCs w:val="22"/>
        </w:rPr>
        <w:t>Child Support Enforcement Program Financial Reporting Forms</w:t>
      </w:r>
      <w:r w:rsidRPr="007528A8" w:rsidR="0078647E">
        <w:rPr>
          <w:sz w:val="22"/>
          <w:szCs w:val="22"/>
        </w:rPr>
        <w:t xml:space="preserve"> </w:t>
      </w:r>
      <w:r w:rsidRPr="007528A8">
        <w:rPr>
          <w:sz w:val="22"/>
          <w:szCs w:val="22"/>
        </w:rPr>
        <w:t>(</w:t>
      </w:r>
      <w:proofErr w:type="spellStart"/>
      <w:r w:rsidRPr="007528A8" w:rsidR="0078647E">
        <w:rPr>
          <w:sz w:val="22"/>
          <w:szCs w:val="22"/>
        </w:rPr>
        <w:t>GenIC</w:t>
      </w:r>
      <w:proofErr w:type="spellEnd"/>
      <w:r w:rsidRPr="007528A8" w:rsidR="0078647E">
        <w:rPr>
          <w:sz w:val="22"/>
          <w:szCs w:val="22"/>
        </w:rPr>
        <w:t xml:space="preserve">; </w:t>
      </w:r>
      <w:r w:rsidRPr="007528A8">
        <w:rPr>
          <w:sz w:val="22"/>
          <w:szCs w:val="22"/>
        </w:rPr>
        <w:t>OMB #0970-0</w:t>
      </w:r>
      <w:r w:rsidRPr="007528A8" w:rsidR="0078647E">
        <w:rPr>
          <w:sz w:val="22"/>
          <w:szCs w:val="22"/>
        </w:rPr>
        <w:t>510</w:t>
      </w:r>
      <w:r w:rsidRPr="007528A8">
        <w:rPr>
          <w:sz w:val="22"/>
          <w:szCs w:val="22"/>
        </w:rPr>
        <w:t>)</w:t>
      </w:r>
      <w:r w:rsidRPr="0078647E">
        <w:rPr>
          <w:sz w:val="22"/>
          <w:szCs w:val="22"/>
        </w:rPr>
        <w:t xml:space="preserve"> </w:t>
      </w:r>
    </w:p>
    <w:p w:rsidRPr="0078647E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22"/>
          <w:szCs w:val="22"/>
        </w:rPr>
      </w:pPr>
    </w:p>
    <w:p w:rsidRPr="0078647E" w:rsidR="0005680D" w:rsidP="0005680D" w:rsidRDefault="0005680D" w14:paraId="595C69AB" w14:textId="77777777">
      <w:pPr>
        <w:tabs>
          <w:tab w:val="left" w:pos="1080"/>
        </w:tabs>
        <w:ind w:left="1080" w:hanging="1080"/>
        <w:rPr>
          <w:sz w:val="22"/>
          <w:szCs w:val="22"/>
        </w:rPr>
      </w:pPr>
    </w:p>
    <w:p w:rsidRPr="0078647E" w:rsidR="00E525D4" w:rsidP="0005680D" w:rsidRDefault="0005680D" w14:paraId="494EB7FC" w14:textId="784291B1">
      <w:pPr>
        <w:rPr>
          <w:sz w:val="22"/>
          <w:szCs w:val="22"/>
        </w:rPr>
      </w:pPr>
      <w:r w:rsidRPr="0078647E">
        <w:rPr>
          <w:sz w:val="22"/>
          <w:szCs w:val="22"/>
        </w:rPr>
        <w:t xml:space="preserve">This memo requests approval of nonsubstantive changes to the approved information collection, </w:t>
      </w:r>
      <w:r w:rsidRPr="0078647E" w:rsidR="0078647E">
        <w:rPr>
          <w:sz w:val="22"/>
          <w:szCs w:val="22"/>
        </w:rPr>
        <w:t xml:space="preserve">approved under the </w:t>
      </w:r>
      <w:r w:rsidRPr="0078647E" w:rsidR="0078647E">
        <w:rPr>
          <w:rFonts w:eastAsiaTheme="minorHAnsi"/>
          <w:kern w:val="0"/>
          <w:sz w:val="22"/>
          <w:szCs w:val="22"/>
        </w:rPr>
        <w:t>Generic Clearance for Financial Reports</w:t>
      </w:r>
      <w:r w:rsidRPr="0078647E">
        <w:rPr>
          <w:sz w:val="22"/>
          <w:szCs w:val="22"/>
        </w:rPr>
        <w:t xml:space="preserve"> (OMB #0970-0</w:t>
      </w:r>
      <w:r w:rsidRPr="0078647E" w:rsidR="0078647E">
        <w:rPr>
          <w:sz w:val="22"/>
          <w:szCs w:val="22"/>
        </w:rPr>
        <w:t>510</w:t>
      </w:r>
      <w:r w:rsidRPr="0078647E">
        <w:rPr>
          <w:sz w:val="22"/>
          <w:szCs w:val="22"/>
        </w:rPr>
        <w:t xml:space="preserve">). </w:t>
      </w:r>
    </w:p>
    <w:p w:rsidRPr="0078647E" w:rsidR="0005680D" w:rsidP="0005680D" w:rsidRDefault="0005680D" w14:paraId="6BF529D8" w14:textId="77777777">
      <w:pPr>
        <w:rPr>
          <w:sz w:val="22"/>
          <w:szCs w:val="22"/>
        </w:rPr>
      </w:pPr>
    </w:p>
    <w:p w:rsidRPr="0078647E" w:rsidR="0005680D" w:rsidP="0005680D" w:rsidRDefault="0005680D" w14:paraId="37532181" w14:textId="77777777">
      <w:pPr>
        <w:spacing w:after="120"/>
        <w:rPr>
          <w:sz w:val="22"/>
          <w:szCs w:val="22"/>
        </w:rPr>
      </w:pPr>
      <w:r w:rsidRPr="0078647E">
        <w:rPr>
          <w:b/>
          <w:i/>
          <w:sz w:val="22"/>
          <w:szCs w:val="22"/>
        </w:rPr>
        <w:t>Background</w:t>
      </w:r>
    </w:p>
    <w:p w:rsidR="0005680D" w:rsidP="0005680D" w:rsidRDefault="0078647E" w14:paraId="0B392A35" w14:textId="1D18B325">
      <w:pPr>
        <w:rPr>
          <w:rFonts w:eastAsiaTheme="minorHAnsi"/>
          <w:kern w:val="0"/>
          <w:sz w:val="22"/>
          <w:szCs w:val="22"/>
        </w:rPr>
      </w:pPr>
      <w:r>
        <w:rPr>
          <w:sz w:val="22"/>
          <w:szCs w:val="22"/>
        </w:rPr>
        <w:t xml:space="preserve">The OCSE-34 and OCSE-396 </w:t>
      </w:r>
      <w:r w:rsidRPr="0078647E">
        <w:rPr>
          <w:rFonts w:eastAsiaTheme="minorHAnsi"/>
          <w:kern w:val="0"/>
          <w:sz w:val="22"/>
          <w:szCs w:val="22"/>
        </w:rPr>
        <w:t>Child Support Enforcement Program Financial Reporting Forms</w:t>
      </w:r>
      <w:r>
        <w:rPr>
          <w:rFonts w:eastAsiaTheme="minorHAnsi"/>
          <w:kern w:val="0"/>
          <w:sz w:val="22"/>
          <w:szCs w:val="22"/>
        </w:rPr>
        <w:t xml:space="preserve"> were approved </w:t>
      </w:r>
      <w:r w:rsidRPr="0078647E">
        <w:rPr>
          <w:sz w:val="22"/>
          <w:szCs w:val="22"/>
        </w:rPr>
        <w:t xml:space="preserve">under the </w:t>
      </w:r>
      <w:r w:rsidRPr="0078647E">
        <w:rPr>
          <w:rFonts w:eastAsiaTheme="minorHAnsi"/>
          <w:kern w:val="0"/>
          <w:sz w:val="22"/>
          <w:szCs w:val="22"/>
        </w:rPr>
        <w:t>Generic Clearance for Financial Reports</w:t>
      </w:r>
      <w:r>
        <w:rPr>
          <w:rFonts w:eastAsiaTheme="minorHAnsi"/>
          <w:kern w:val="0"/>
          <w:sz w:val="22"/>
          <w:szCs w:val="22"/>
        </w:rPr>
        <w:t xml:space="preserve"> in July 2018. In 2020, due to uncertainty of renewing the umbrella </w:t>
      </w:r>
      <w:r w:rsidRPr="0078647E">
        <w:rPr>
          <w:rFonts w:eastAsiaTheme="minorHAnsi"/>
          <w:kern w:val="0"/>
          <w:sz w:val="22"/>
          <w:szCs w:val="22"/>
        </w:rPr>
        <w:t>Generic Clearance for Financial Reports</w:t>
      </w:r>
      <w:r>
        <w:rPr>
          <w:rFonts w:eastAsiaTheme="minorHAnsi"/>
          <w:kern w:val="0"/>
          <w:sz w:val="22"/>
          <w:szCs w:val="22"/>
        </w:rPr>
        <w:t xml:space="preserve"> prior to expiration, ACF</w:t>
      </w:r>
      <w:r w:rsidR="00BD54B9">
        <w:rPr>
          <w:rFonts w:eastAsiaTheme="minorHAnsi"/>
          <w:kern w:val="0"/>
          <w:sz w:val="22"/>
          <w:szCs w:val="22"/>
        </w:rPr>
        <w:t xml:space="preserve"> </w:t>
      </w:r>
      <w:r>
        <w:rPr>
          <w:rFonts w:eastAsiaTheme="minorHAnsi"/>
          <w:kern w:val="0"/>
          <w:sz w:val="22"/>
          <w:szCs w:val="22"/>
        </w:rPr>
        <w:t xml:space="preserve">prepared for the potential of a full request package for these forms and published a Federal Register </w:t>
      </w:r>
      <w:r w:rsidR="00BD54B9">
        <w:rPr>
          <w:rFonts w:eastAsiaTheme="minorHAnsi"/>
          <w:kern w:val="0"/>
          <w:sz w:val="22"/>
          <w:szCs w:val="22"/>
        </w:rPr>
        <w:t>n</w:t>
      </w:r>
      <w:r>
        <w:rPr>
          <w:rFonts w:eastAsiaTheme="minorHAnsi"/>
          <w:kern w:val="0"/>
          <w:sz w:val="22"/>
          <w:szCs w:val="22"/>
        </w:rPr>
        <w:t xml:space="preserve">otice on March 18, 2021 (86 FR 14756). ACF was able to receive approval for the umbrella </w:t>
      </w:r>
      <w:r w:rsidRPr="0078647E">
        <w:rPr>
          <w:rFonts w:eastAsiaTheme="minorHAnsi"/>
          <w:kern w:val="0"/>
          <w:sz w:val="22"/>
          <w:szCs w:val="22"/>
        </w:rPr>
        <w:t>Generic Clearance for Financial Reports</w:t>
      </w:r>
      <w:r>
        <w:rPr>
          <w:rFonts w:eastAsiaTheme="minorHAnsi"/>
          <w:kern w:val="0"/>
          <w:sz w:val="22"/>
          <w:szCs w:val="22"/>
        </w:rPr>
        <w:t xml:space="preserve"> prior to expiration, and the OCSE-34 and OCSE-396 were included in that renewal request. Therefore, the forms are currently approved under the umbrella generic (0970-0510) through June 30, 2024. </w:t>
      </w:r>
    </w:p>
    <w:p w:rsidR="00BD54B9" w:rsidP="0005680D" w:rsidRDefault="00BD54B9" w14:paraId="30D203AC" w14:textId="03E3A8DE">
      <w:pPr>
        <w:rPr>
          <w:rFonts w:eastAsiaTheme="minorHAnsi"/>
          <w:kern w:val="0"/>
          <w:sz w:val="22"/>
          <w:szCs w:val="22"/>
        </w:rPr>
      </w:pPr>
    </w:p>
    <w:p w:rsidR="00BD54B9" w:rsidP="00BD54B9" w:rsidRDefault="00BD54B9" w14:paraId="45855735" w14:textId="38F687CC">
      <w:r>
        <w:rPr>
          <w:rFonts w:eastAsiaTheme="minorHAnsi"/>
          <w:kern w:val="0"/>
          <w:sz w:val="22"/>
          <w:szCs w:val="22"/>
        </w:rPr>
        <w:t xml:space="preserve">In </w:t>
      </w:r>
      <w:r w:rsidRPr="00CD5B15">
        <w:rPr>
          <w:rFonts w:eastAsiaTheme="minorHAnsi"/>
          <w:kern w:val="0"/>
          <w:sz w:val="22"/>
          <w:szCs w:val="22"/>
        </w:rPr>
        <w:t xml:space="preserve">response to the notice published in March 2021, ACF received comments from 5 states. As a result, ACF has made </w:t>
      </w:r>
      <w:r w:rsidRPr="00CD5B15">
        <w:rPr>
          <w:sz w:val="22"/>
          <w:szCs w:val="22"/>
        </w:rPr>
        <w:t>updates to the OCSE-34 and OCSE-396 Form Instructions.</w:t>
      </w:r>
      <w:r>
        <w:t xml:space="preserve"> </w:t>
      </w:r>
    </w:p>
    <w:p w:rsidRPr="0078647E" w:rsidR="0005680D" w:rsidP="0005680D" w:rsidRDefault="0005680D" w14:paraId="2B14ECA7" w14:textId="276F5F34">
      <w:pPr>
        <w:rPr>
          <w:sz w:val="22"/>
          <w:szCs w:val="22"/>
        </w:rPr>
      </w:pPr>
    </w:p>
    <w:p w:rsidRPr="0078647E" w:rsidR="0005680D" w:rsidP="00BD54B9" w:rsidRDefault="0005680D" w14:paraId="5CC77B63" w14:textId="77777777">
      <w:pPr>
        <w:spacing w:after="120"/>
        <w:rPr>
          <w:b/>
          <w:i/>
          <w:sz w:val="22"/>
          <w:szCs w:val="22"/>
        </w:rPr>
      </w:pPr>
      <w:r w:rsidRPr="0078647E">
        <w:rPr>
          <w:b/>
          <w:i/>
          <w:sz w:val="22"/>
          <w:szCs w:val="22"/>
        </w:rPr>
        <w:t>Overview of Requested Changes</w:t>
      </w:r>
    </w:p>
    <w:p w:rsidRPr="00CD5B15" w:rsidR="0005680D" w:rsidP="0005680D" w:rsidRDefault="00BD54B9" w14:paraId="6BD5720F" w14:textId="5E2AB13A">
      <w:pPr>
        <w:rPr>
          <w:sz w:val="22"/>
          <w:szCs w:val="22"/>
        </w:rPr>
      </w:pPr>
      <w:r w:rsidRPr="00CD5B15">
        <w:rPr>
          <w:sz w:val="22"/>
          <w:szCs w:val="22"/>
        </w:rPr>
        <w:t xml:space="preserve">ACF proposes minor updates to the instruction documents related to the OCSE-34 and OCSE-396 forms. </w:t>
      </w:r>
      <w:r w:rsidRPr="00CD5B15" w:rsidR="00A50625">
        <w:rPr>
          <w:sz w:val="22"/>
          <w:szCs w:val="22"/>
        </w:rPr>
        <w:t xml:space="preserve">These changes are primarily for clarification and are based on comments received during a 60-day comment period. </w:t>
      </w:r>
      <w:r w:rsidR="000569F9">
        <w:rPr>
          <w:sz w:val="22"/>
          <w:szCs w:val="22"/>
        </w:rPr>
        <w:t xml:space="preserve">ACF is also revising the burden hours of the OCSE-396 form from 6 hours to 14 hours. </w:t>
      </w:r>
      <w:r w:rsidRPr="00CD5B15" w:rsidR="00A50625">
        <w:rPr>
          <w:sz w:val="22"/>
          <w:szCs w:val="22"/>
        </w:rPr>
        <w:t xml:space="preserve">An overview of the comments received and ACF’s responses to the comments is included as Attachment F. </w:t>
      </w:r>
    </w:p>
    <w:p w:rsidRPr="0078647E" w:rsidR="0005680D" w:rsidP="0005680D" w:rsidRDefault="0005680D" w14:paraId="76859545" w14:textId="77777777">
      <w:pPr>
        <w:rPr>
          <w:sz w:val="22"/>
          <w:szCs w:val="22"/>
        </w:rPr>
      </w:pPr>
    </w:p>
    <w:p w:rsidRPr="0078647E" w:rsidR="0005680D" w:rsidP="0005680D" w:rsidRDefault="0005680D" w14:paraId="7DBC6097" w14:textId="0B45D878">
      <w:pPr>
        <w:rPr>
          <w:b/>
          <w:i/>
          <w:sz w:val="22"/>
          <w:szCs w:val="22"/>
        </w:rPr>
      </w:pPr>
    </w:p>
    <w:sectPr w:rsidRPr="0078647E"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569F9"/>
    <w:rsid w:val="000C43BB"/>
    <w:rsid w:val="001109BD"/>
    <w:rsid w:val="001406C4"/>
    <w:rsid w:val="00201D4A"/>
    <w:rsid w:val="00416E1B"/>
    <w:rsid w:val="007528A8"/>
    <w:rsid w:val="0078647E"/>
    <w:rsid w:val="00995018"/>
    <w:rsid w:val="00A44387"/>
    <w:rsid w:val="00A50625"/>
    <w:rsid w:val="00B72639"/>
    <w:rsid w:val="00B7588F"/>
    <w:rsid w:val="00BD54B9"/>
    <w:rsid w:val="00CD5B15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2021-09-16T14:09:00Z</dcterms:created>
  <dcterms:modified xsi:type="dcterms:W3CDTF">2021-09-16T15:59:00Z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