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sidRPr="7240DDD9">
        <w:rPr>
          <w:sz w:val="28"/>
          <w:szCs w:val="28"/>
        </w:rPr>
        <w:t xml:space="preserve">Request for Approval under the “Generic Clearance for the Collection of Routine Customer Feedback” (OMB Control Number: </w:t>
      </w:r>
      <w:r w:rsidRPr="7240DDD9" w:rsidR="00691AE3">
        <w:rPr>
          <w:sz w:val="28"/>
          <w:szCs w:val="28"/>
        </w:rPr>
        <w:t>0970-0401</w:t>
      </w:r>
      <w:r w:rsidRPr="7240DDD9">
        <w:rPr>
          <w:sz w:val="28"/>
          <w:szCs w:val="28"/>
        </w:rPr>
        <w:t>)</w:t>
      </w:r>
    </w:p>
    <w:p w:rsidR="7240DDD9" w:rsidP="7240DDD9" w:rsidRDefault="7240DDD9" w14:paraId="03F18E7C" w14:textId="1659CEAF">
      <w:pPr>
        <w:rPr>
          <w:b/>
          <w:bCs/>
        </w:rPr>
      </w:pPr>
    </w:p>
    <w:p w:rsidR="005E714A" w:rsidRDefault="00DE227A" w14:paraId="15D04838" w14:textId="7CC71AD1">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1ECDD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15AD140E" w:rsidR="005E714A">
        <w:rPr>
          <w:b/>
          <w:bCs/>
        </w:rPr>
        <w:t>TITLE OF INFORMATION COLLECTION</w:t>
      </w:r>
      <w:r w:rsidRPr="00042BDD" w:rsidR="30CE0B1A">
        <w:t>: 202</w:t>
      </w:r>
      <w:r w:rsidR="00201BC6">
        <w:t>3</w:t>
      </w:r>
      <w:r w:rsidRPr="00042BDD" w:rsidR="00042BDD">
        <w:t xml:space="preserve"> </w:t>
      </w:r>
      <w:r w:rsidR="00CC6E4D">
        <w:t xml:space="preserve">Child Welfare Information </w:t>
      </w:r>
      <w:r w:rsidRPr="00042BDD" w:rsidR="00042BDD">
        <w:t>Gateway Website Survey</w:t>
      </w:r>
    </w:p>
    <w:p w:rsidR="00340E84" w:rsidRDefault="00340E84" w14:paraId="5D046B21" w14:textId="77777777"/>
    <w:p w:rsidRPr="00E10780" w:rsidR="00E10780" w:rsidP="00E10780" w:rsidRDefault="00F15956" w14:paraId="4DA507EC" w14:textId="27D2FBA9">
      <w:pPr>
        <w:rPr>
          <w:color w:val="000000" w:themeColor="text1"/>
        </w:rPr>
      </w:pPr>
      <w:r w:rsidRPr="7240DDD9">
        <w:rPr>
          <w:b/>
          <w:bCs/>
        </w:rPr>
        <w:t>PURPOSE:</w:t>
      </w:r>
      <w:r w:rsidRPr="7240DDD9" w:rsidR="00C14CC4">
        <w:rPr>
          <w:b/>
          <w:bCs/>
        </w:rPr>
        <w:t xml:space="preserve">  </w:t>
      </w:r>
      <w:r w:rsidRPr="7240DDD9" w:rsidR="0093340C">
        <w:rPr>
          <w:color w:val="000000" w:themeColor="text1"/>
        </w:rPr>
        <w:t xml:space="preserve">Child Welfare Information Gateway (CWIG) is a national information clearinghouse and service of the Children’s Bureau, Administration for Children and Families, U.S. Department of Health and Human Services. </w:t>
      </w:r>
      <w:r w:rsidRPr="7240DDD9" w:rsidR="00694748">
        <w:rPr>
          <w:color w:val="000000" w:themeColor="text1"/>
        </w:rPr>
        <w:t>The Information Gateway website (</w:t>
      </w:r>
      <w:hyperlink r:id="rId12">
        <w:r w:rsidRPr="7240DDD9" w:rsidR="00201BC6">
          <w:rPr>
            <w:rStyle w:val="Hyperlink"/>
          </w:rPr>
          <w:t>childwelfare.gov</w:t>
        </w:r>
      </w:hyperlink>
      <w:r w:rsidRPr="7240DDD9" w:rsidR="00694748">
        <w:rPr>
          <w:color w:val="000000" w:themeColor="text1"/>
        </w:rPr>
        <w:t>)</w:t>
      </w:r>
      <w:r w:rsidRPr="7240DDD9" w:rsidR="0093340C">
        <w:rPr>
          <w:color w:val="000000" w:themeColor="text1"/>
        </w:rPr>
        <w:t xml:space="preserve"> connects professionals and concerned citizens to resources and information on programs, research, legislation, and statistics regarding child maltreatment, child abuse prevention, and child welfare services designed to achieve the safety, permanency, and well-being of children and families. </w:t>
      </w:r>
      <w:r w:rsidRPr="00E10780" w:rsidR="00685743">
        <w:rPr>
          <w:color w:val="000000" w:themeColor="text1"/>
        </w:rPr>
        <w:t xml:space="preserve">Since </w:t>
      </w:r>
      <w:r w:rsidRPr="00E10780" w:rsidR="00E10780">
        <w:rPr>
          <w:color w:val="000000" w:themeColor="text1"/>
        </w:rPr>
        <w:t>its</w:t>
      </w:r>
      <w:r w:rsidRPr="00E10780" w:rsidR="00685743">
        <w:rPr>
          <w:color w:val="000000" w:themeColor="text1"/>
        </w:rPr>
        <w:t xml:space="preserve"> inception in 2006, Child welfare Information Gateway has been collecting feedback from customers who visit the website to learn about the types of customers who visit the website,</w:t>
      </w:r>
      <w:r w:rsidR="00E10780">
        <w:rPr>
          <w:color w:val="000000" w:themeColor="text1"/>
        </w:rPr>
        <w:t xml:space="preserve"> their</w:t>
      </w:r>
      <w:r w:rsidRPr="00E10780" w:rsidR="00685743">
        <w:rPr>
          <w:color w:val="000000" w:themeColor="text1"/>
        </w:rPr>
        <w:t xml:space="preserve"> information needs, and their experience on the </w:t>
      </w:r>
      <w:r w:rsidRPr="0054490D" w:rsidR="00685743">
        <w:rPr>
          <w:color w:val="000000" w:themeColor="text1"/>
        </w:rPr>
        <w:t>website</w:t>
      </w:r>
      <w:r w:rsidRPr="0054490D" w:rsidR="00405393">
        <w:rPr>
          <w:rStyle w:val="FootnoteReference"/>
          <w:color w:val="000000" w:themeColor="text1"/>
        </w:rPr>
        <w:footnoteReference w:id="2"/>
      </w:r>
      <w:r w:rsidRPr="0054490D" w:rsidR="00685743">
        <w:rPr>
          <w:color w:val="000000" w:themeColor="text1"/>
        </w:rPr>
        <w:t>.</w:t>
      </w:r>
      <w:r w:rsidRPr="00E10780" w:rsidR="00685743">
        <w:rPr>
          <w:color w:val="000000" w:themeColor="text1"/>
        </w:rPr>
        <w:t xml:space="preserve"> Information has been and will continue to be used to improve the website experience and ensure that products and services meet evolving customer needs. This request for the 2023 survey is very similar to the survey currently in use for 2022. </w:t>
      </w:r>
      <w:r w:rsidRPr="00E10780" w:rsidR="00E10780">
        <w:rPr>
          <w:color w:val="000000" w:themeColor="text1"/>
        </w:rPr>
        <w:t>Based on feedback from staff, we removed questions no longer needed for continuous quality improvement of Information Gateway products and services and added/updated several questions</w:t>
      </w:r>
      <w:r w:rsidR="0029119C">
        <w:rPr>
          <w:color w:val="000000" w:themeColor="text1"/>
        </w:rPr>
        <w:t>. Revised questions focus</w:t>
      </w:r>
      <w:r w:rsidR="00ED681D">
        <w:rPr>
          <w:color w:val="000000" w:themeColor="text1"/>
        </w:rPr>
        <w:t xml:space="preserve">ed </w:t>
      </w:r>
      <w:r w:rsidR="0029119C">
        <w:rPr>
          <w:color w:val="000000" w:themeColor="text1"/>
        </w:rPr>
        <w:t>on</w:t>
      </w:r>
      <w:r w:rsidRPr="00E10780" w:rsidR="00E10780">
        <w:rPr>
          <w:color w:val="000000" w:themeColor="text1"/>
        </w:rPr>
        <w:t xml:space="preserve"> understanding the information needs</w:t>
      </w:r>
      <w:r w:rsidR="00E10780">
        <w:rPr>
          <w:color w:val="000000" w:themeColor="text1"/>
        </w:rPr>
        <w:t xml:space="preserve"> of child welfare professionals</w:t>
      </w:r>
      <w:r w:rsidRPr="00E10780" w:rsidR="00E10780">
        <w:rPr>
          <w:color w:val="000000" w:themeColor="text1"/>
        </w:rPr>
        <w:t xml:space="preserve"> related to racial equity, diversity, and inclusion topics, their experience with the website design, and feedback on website content related to direct resources for clients/families. </w:t>
      </w:r>
    </w:p>
    <w:p w:rsidR="007F15D1" w:rsidP="7240DDD9" w:rsidRDefault="007F15D1" w14:paraId="26522F47" w14:textId="0C269D29">
      <w:pPr>
        <w:pStyle w:val="BodyTextIndent2"/>
        <w:autoSpaceDE w:val="0"/>
        <w:autoSpaceDN w:val="0"/>
        <w:adjustRightInd w:val="0"/>
        <w:spacing w:after="0" w:line="240" w:lineRule="auto"/>
        <w:ind w:left="0"/>
        <w:rPr>
          <w:color w:val="000000" w:themeColor="text1"/>
        </w:rPr>
      </w:pPr>
    </w:p>
    <w:p w:rsidR="00434E33" w:rsidP="00815C8B" w:rsidRDefault="00434E33" w14:paraId="54BBAB52" w14:textId="6F2073F7">
      <w:pPr>
        <w:pStyle w:val="Header"/>
        <w:tabs>
          <w:tab w:val="clear" w:pos="4320"/>
          <w:tab w:val="clear" w:pos="8640"/>
        </w:tabs>
      </w:pPr>
      <w:r w:rsidRPr="00434E33">
        <w:rPr>
          <w:b/>
        </w:rPr>
        <w:t>DESCRIPTION OF RESPONDENTS</w:t>
      </w:r>
      <w:r>
        <w:t xml:space="preserve">: </w:t>
      </w:r>
      <w:r w:rsidR="00A5346A">
        <w:t>The survey will be offered to visitors to the CWIG website</w:t>
      </w:r>
      <w:r w:rsidR="004422C6">
        <w:t>, including professionals, students, and personal customers</w:t>
      </w:r>
      <w:r w:rsidR="00815C8B">
        <w:t>.</w:t>
      </w:r>
    </w:p>
    <w:p w:rsidR="00E26329" w:rsidP="7240DDD9" w:rsidRDefault="00E26329" w14:paraId="5A2A73FA" w14:textId="5A3403EF">
      <w:pPr>
        <w:rPr>
          <w:b/>
          <w:bCs/>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0C6B88B">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4F39F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33F441FA">
      <w:r>
        <w:lastRenderedPageBreak/>
        <w:t>Name</w:t>
      </w:r>
      <w:r w:rsidR="00340E84">
        <w:t xml:space="preserve"> and affiliation: </w:t>
      </w:r>
      <w:r w:rsidRPr="7240DDD9" w:rsidR="00340E84">
        <w:rPr>
          <w:u w:val="single"/>
        </w:rPr>
        <w:t>Beth</w:t>
      </w:r>
      <w:r w:rsidRPr="7240DDD9" w:rsidR="00F969CA">
        <w:rPr>
          <w:u w:val="single"/>
        </w:rPr>
        <w:t xml:space="preserve"> Claxon, Child Welfare Program Specialist, ACF Administration on Children, Youth and Families (ACYF)</w:t>
      </w:r>
      <w:r w:rsidRPr="7240DDD9" w:rsidR="004422C6">
        <w:rPr>
          <w:u w:val="single"/>
        </w:rPr>
        <w:t>, Children’s Bureau (CB)</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5CA542CE">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4F39F5">
        <w:t>X</w:t>
      </w:r>
      <w:r w:rsidR="009239AA">
        <w:t xml:space="preserve">]  No </w:t>
      </w:r>
    </w:p>
    <w:p w:rsidR="00C86E91" w:rsidP="00C86E91" w:rsidRDefault="009C13B9" w14:paraId="744BD79D"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7A6ADDAA">
      <w:r>
        <w:t xml:space="preserve">Is an incentive (e.g., money or reimbursement of expenses, token of appreciation) provided to participants?  </w:t>
      </w:r>
      <w:proofErr w:type="gramStart"/>
      <w:r>
        <w:t>[  ]</w:t>
      </w:r>
      <w:proofErr w:type="gramEnd"/>
      <w:r>
        <w:t xml:space="preserve"> Yes [</w:t>
      </w:r>
      <w:r w:rsidR="004F39F5">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9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5"/>
        <w:gridCol w:w="1620"/>
        <w:gridCol w:w="1530"/>
        <w:gridCol w:w="1530"/>
        <w:gridCol w:w="1260"/>
        <w:gridCol w:w="990"/>
      </w:tblGrid>
      <w:tr w:rsidR="00340E84" w:rsidTr="00383AFC" w14:paraId="14D0480D" w14:textId="77777777">
        <w:trPr>
          <w:trHeight w:val="274"/>
        </w:trPr>
        <w:tc>
          <w:tcPr>
            <w:tcW w:w="2515" w:type="dxa"/>
          </w:tcPr>
          <w:p w:rsidRPr="0001027E" w:rsidR="00340E84" w:rsidP="00C8488C" w:rsidRDefault="00340E84" w14:paraId="674C58C3" w14:textId="6D90EE58">
            <w:pPr>
              <w:rPr>
                <w:b/>
              </w:rPr>
            </w:pPr>
            <w:r>
              <w:rPr>
                <w:b/>
              </w:rPr>
              <w:t>Information Collection</w:t>
            </w:r>
          </w:p>
        </w:tc>
        <w:tc>
          <w:tcPr>
            <w:tcW w:w="162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53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990"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383AFC" w14:paraId="1F158995" w14:textId="77777777">
        <w:trPr>
          <w:trHeight w:val="274"/>
        </w:trPr>
        <w:tc>
          <w:tcPr>
            <w:tcW w:w="2515" w:type="dxa"/>
          </w:tcPr>
          <w:p w:rsidRPr="003F1318" w:rsidR="00340E84" w:rsidP="00843796" w:rsidRDefault="003F1318" w14:paraId="585F12D8" w14:textId="71D4434D">
            <w:pPr>
              <w:rPr>
                <w:b/>
              </w:rPr>
            </w:pPr>
            <w:r w:rsidRPr="00042BDD">
              <w:t>202</w:t>
            </w:r>
            <w:r w:rsidR="007B3FEE">
              <w:t>3</w:t>
            </w:r>
            <w:r w:rsidRPr="00042BDD">
              <w:t xml:space="preserve"> </w:t>
            </w:r>
            <w:r>
              <w:t xml:space="preserve">Child Welfare Information </w:t>
            </w:r>
            <w:r w:rsidRPr="00042BDD">
              <w:t>Gateway Website Survey</w:t>
            </w:r>
          </w:p>
        </w:tc>
        <w:tc>
          <w:tcPr>
            <w:tcW w:w="1620" w:type="dxa"/>
            <w:vAlign w:val="center"/>
          </w:tcPr>
          <w:p w:rsidR="00340E84" w:rsidP="00383AFC" w:rsidRDefault="00C86A3F" w14:paraId="1568D5FE" w14:textId="2A29283E">
            <w:pPr>
              <w:jc w:val="center"/>
            </w:pPr>
            <w:r>
              <w:t>Individual</w:t>
            </w:r>
          </w:p>
        </w:tc>
        <w:tc>
          <w:tcPr>
            <w:tcW w:w="1530" w:type="dxa"/>
            <w:vAlign w:val="center"/>
          </w:tcPr>
          <w:p w:rsidR="00340E84" w:rsidP="00383AFC" w:rsidRDefault="00C86A3F" w14:paraId="71E63EBF" w14:textId="29208566">
            <w:pPr>
              <w:jc w:val="center"/>
            </w:pPr>
            <w:r>
              <w:t>1400</w:t>
            </w:r>
          </w:p>
        </w:tc>
        <w:tc>
          <w:tcPr>
            <w:tcW w:w="1530" w:type="dxa"/>
            <w:vAlign w:val="center"/>
          </w:tcPr>
          <w:p w:rsidR="00340E84" w:rsidP="00383AFC" w:rsidRDefault="00C86A3F" w14:paraId="593F10F4" w14:textId="5FAA6C66">
            <w:pPr>
              <w:jc w:val="center"/>
            </w:pPr>
            <w:r>
              <w:t>1</w:t>
            </w:r>
          </w:p>
        </w:tc>
        <w:tc>
          <w:tcPr>
            <w:tcW w:w="1260" w:type="dxa"/>
            <w:vAlign w:val="center"/>
          </w:tcPr>
          <w:p w:rsidR="00340E84" w:rsidP="00383AFC" w:rsidRDefault="1D2ABD36" w14:paraId="29021E8C" w14:textId="3972F295">
            <w:pPr>
              <w:jc w:val="center"/>
            </w:pPr>
            <w:r>
              <w:t>.083</w:t>
            </w:r>
          </w:p>
        </w:tc>
        <w:tc>
          <w:tcPr>
            <w:tcW w:w="990" w:type="dxa"/>
            <w:vAlign w:val="center"/>
          </w:tcPr>
          <w:p w:rsidR="00340E84" w:rsidP="00383AFC" w:rsidRDefault="7240DDD9" w14:paraId="515AAFC2" w14:textId="73B2EFD3">
            <w:pPr>
              <w:jc w:val="center"/>
            </w:pPr>
            <w:r>
              <w:t>117</w:t>
            </w:r>
          </w:p>
        </w:tc>
      </w:tr>
      <w:tr w:rsidR="00340E84" w:rsidTr="00383AFC" w14:paraId="7DE107E6" w14:textId="77777777">
        <w:trPr>
          <w:trHeight w:val="289"/>
        </w:trPr>
        <w:tc>
          <w:tcPr>
            <w:tcW w:w="413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530" w:type="dxa"/>
          </w:tcPr>
          <w:p w:rsidR="00340E84" w:rsidP="00843796" w:rsidRDefault="00340E84" w14:paraId="1DB2365D" w14:textId="77777777"/>
        </w:tc>
        <w:tc>
          <w:tcPr>
            <w:tcW w:w="1260" w:type="dxa"/>
          </w:tcPr>
          <w:p w:rsidR="00340E84" w:rsidP="00843796" w:rsidRDefault="00340E84" w14:paraId="39DC28AB" w14:textId="3CD049F6"/>
        </w:tc>
        <w:tc>
          <w:tcPr>
            <w:tcW w:w="990" w:type="dxa"/>
          </w:tcPr>
          <w:p w:rsidRPr="0001027E" w:rsidR="00340E84" w:rsidP="7240DDD9" w:rsidRDefault="00AD213E" w14:paraId="4E11045B" w14:textId="545A9818">
            <w:pPr>
              <w:rPr>
                <w:b/>
                <w:bCs/>
              </w:rPr>
            </w:pPr>
            <w:r w:rsidRPr="7240DDD9">
              <w:rPr>
                <w:b/>
                <w:bCs/>
              </w:rPr>
              <w:t>117</w:t>
            </w:r>
          </w:p>
        </w:tc>
      </w:tr>
    </w:tbl>
    <w:p w:rsidR="00F3170F" w:rsidP="00F3170F" w:rsidRDefault="00F3170F" w14:paraId="3CF8F186" w14:textId="77777777"/>
    <w:p w:rsidR="005E714A" w:rsidP="6427541F" w:rsidRDefault="001C39F7" w14:paraId="35567BF8" w14:textId="513F6839">
      <w:r w:rsidRPr="7240DDD9">
        <w:rPr>
          <w:b/>
          <w:bCs/>
        </w:rPr>
        <w:t xml:space="preserve">FEDERAL </w:t>
      </w:r>
      <w:r w:rsidRPr="7240DDD9" w:rsidR="009F5923">
        <w:rPr>
          <w:b/>
          <w:bCs/>
        </w:rPr>
        <w:t>COST</w:t>
      </w:r>
      <w:r w:rsidRPr="7240DDD9" w:rsidR="00F06866">
        <w:rPr>
          <w:b/>
          <w:bCs/>
        </w:rPr>
        <w:t>:</w:t>
      </w:r>
      <w:r w:rsidRPr="7240DDD9" w:rsidR="00895229">
        <w:rPr>
          <w:b/>
          <w:bCs/>
        </w:rPr>
        <w:t xml:space="preserve"> </w:t>
      </w:r>
      <w:r w:rsidRPr="7240DDD9" w:rsidR="00C86E91">
        <w:rPr>
          <w:b/>
          <w:bCs/>
        </w:rPr>
        <w:t xml:space="preserve"> </w:t>
      </w:r>
      <w:r w:rsidR="00C86E91">
        <w:t xml:space="preserve">The estimated annual cost to the Federal government </w:t>
      </w:r>
      <w:proofErr w:type="gramStart"/>
      <w:r w:rsidR="00C86E91">
        <w:t xml:space="preserve">is  </w:t>
      </w:r>
      <w:r w:rsidRPr="7240DDD9" w:rsidR="00AD213E">
        <w:rPr>
          <w:u w:val="single"/>
        </w:rPr>
        <w:t>$</w:t>
      </w:r>
      <w:proofErr w:type="gramEnd"/>
      <w:r w:rsidRPr="7240DDD9" w:rsidR="00AD213E">
        <w:rPr>
          <w:u w:val="single"/>
        </w:rPr>
        <w:t>2,922.50</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2107B03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AD213E">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815C8B" w14:paraId="794D6777" w14:textId="3506B65E">
      <w:r>
        <w:t xml:space="preserve">Visitors to </w:t>
      </w:r>
      <w:r w:rsidR="00FF6D4D">
        <w:t xml:space="preserve">Information Gateway’s website </w:t>
      </w:r>
      <w:r w:rsidR="00D37CB9">
        <w:t xml:space="preserve">will be offered the survey after </w:t>
      </w:r>
      <w:r w:rsidR="0058274C">
        <w:t>visiting</w:t>
      </w:r>
      <w:r w:rsidR="00D37CB9">
        <w:t xml:space="preserve"> the third </w:t>
      </w:r>
      <w:r w:rsidR="0058274C">
        <w:t>page</w:t>
      </w:r>
      <w:r w:rsidR="00D37CB9">
        <w:t xml:space="preserve"> and again after the </w:t>
      </w:r>
      <w:r w:rsidR="00C94F0D">
        <w:t>sixth page</w:t>
      </w:r>
      <w:r w:rsidR="002944A5">
        <w:t xml:space="preserve"> in the general sections of the site</w:t>
      </w:r>
      <w:r w:rsidR="00D37CB9">
        <w:t xml:space="preserve">. </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6B0AF526">
      <w:pPr>
        <w:ind w:left="720"/>
      </w:pPr>
      <w:r>
        <w:t>[</w:t>
      </w:r>
      <w:proofErr w:type="gramStart"/>
      <w:r w:rsidR="00AD213E">
        <w:t>X</w:t>
      </w:r>
      <w:r>
        <w:t xml:space="preserve"> ]</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lastRenderedPageBreak/>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4B00B55F">
      <w:pPr>
        <w:pStyle w:val="ListParagraph"/>
        <w:numPr>
          <w:ilvl w:val="0"/>
          <w:numId w:val="17"/>
        </w:numPr>
      </w:pPr>
      <w:r>
        <w:t xml:space="preserve">Will interviewers or facilitators be used?  </w:t>
      </w:r>
      <w:proofErr w:type="gramStart"/>
      <w:r>
        <w:t>[  ]</w:t>
      </w:r>
      <w:proofErr w:type="gramEnd"/>
      <w:r>
        <w:t xml:space="preserve"> Yes [</w:t>
      </w:r>
      <w:r w:rsidR="00AD213E">
        <w:t>X</w:t>
      </w:r>
      <w:r>
        <w:t>] No</w:t>
      </w:r>
    </w:p>
    <w:p w:rsidR="00F24CFC" w:rsidP="00F24CFC" w:rsidRDefault="00F24CFC" w14:paraId="4F6EB0D0" w14:textId="77777777">
      <w:pPr>
        <w:pStyle w:val="ListParagraph"/>
        <w:ind w:left="360"/>
      </w:pPr>
      <w:r>
        <w:t xml:space="preserve"> </w:t>
      </w:r>
    </w:p>
    <w:p w:rsidRPr="00AD213E" w:rsidR="005E714A" w:rsidP="00AD213E" w:rsidRDefault="00F24CFC" w14:paraId="52A67A55" w14:textId="041A0888">
      <w:pPr>
        <w:rPr>
          <w:b/>
        </w:rPr>
      </w:pPr>
      <w:r w:rsidRPr="00F24CFC">
        <w:rPr>
          <w:b/>
        </w:rPr>
        <w:t>Please make sure that all instruments, instructions, and scripts are submitted with the request.</w:t>
      </w:r>
    </w:p>
    <w:sectPr w:rsidRPr="00AD213E"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71902" w14:textId="77777777" w:rsidR="005E079B" w:rsidRDefault="005E079B">
      <w:r>
        <w:separator/>
      </w:r>
    </w:p>
  </w:endnote>
  <w:endnote w:type="continuationSeparator" w:id="0">
    <w:p w14:paraId="5A92C35D" w14:textId="77777777" w:rsidR="005E079B" w:rsidRDefault="005E079B">
      <w:r>
        <w:continuationSeparator/>
      </w:r>
    </w:p>
  </w:endnote>
  <w:endnote w:type="continuationNotice" w:id="1">
    <w:p w14:paraId="65A240DC" w14:textId="77777777" w:rsidR="005E079B" w:rsidRDefault="005E0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0A3C" w14:textId="77777777" w:rsidR="005E079B" w:rsidRDefault="005E079B">
      <w:r>
        <w:separator/>
      </w:r>
    </w:p>
  </w:footnote>
  <w:footnote w:type="continuationSeparator" w:id="0">
    <w:p w14:paraId="4D170420" w14:textId="77777777" w:rsidR="005E079B" w:rsidRDefault="005E079B">
      <w:r>
        <w:continuationSeparator/>
      </w:r>
    </w:p>
  </w:footnote>
  <w:footnote w:type="continuationNotice" w:id="1">
    <w:p w14:paraId="1061F807" w14:textId="77777777" w:rsidR="005E079B" w:rsidRDefault="005E079B"/>
  </w:footnote>
  <w:footnote w:id="2">
    <w:p w14:paraId="640D429B" w14:textId="46C2F546" w:rsidR="00405393" w:rsidRDefault="00405393">
      <w:pPr>
        <w:pStyle w:val="FootnoteText"/>
      </w:pPr>
      <w:r w:rsidRPr="0054490D">
        <w:rPr>
          <w:rStyle w:val="FootnoteReference"/>
        </w:rPr>
        <w:footnoteRef/>
      </w:r>
      <w:r w:rsidRPr="0054490D">
        <w:t xml:space="preserve"> Various feedback activities that were subject to the Paperwork Reduction Act have been approved under a number of different OMB #s over the years: 0970-0303 (2006-2013); 0970-0431 (2013-2016); 0970-0518 (</w:t>
      </w:r>
      <w:r w:rsidR="000035DA" w:rsidRPr="0054490D">
        <w:t>2018-2021</w:t>
      </w:r>
      <w:r w:rsidRPr="0054490D">
        <w:t>); and 097</w:t>
      </w:r>
      <w:r w:rsidR="0043290A">
        <w:t>0</w:t>
      </w:r>
      <w:r w:rsidRPr="0054490D">
        <w:t>-0401 (2012-present).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5DA"/>
    <w:rsid w:val="0001027E"/>
    <w:rsid w:val="00023A57"/>
    <w:rsid w:val="00042BDD"/>
    <w:rsid w:val="00047A64"/>
    <w:rsid w:val="000572DE"/>
    <w:rsid w:val="0006200A"/>
    <w:rsid w:val="00067329"/>
    <w:rsid w:val="0007468A"/>
    <w:rsid w:val="000A071D"/>
    <w:rsid w:val="000B2838"/>
    <w:rsid w:val="000D44CA"/>
    <w:rsid w:val="000E200B"/>
    <w:rsid w:val="000F68BE"/>
    <w:rsid w:val="001263B3"/>
    <w:rsid w:val="00176A3C"/>
    <w:rsid w:val="001927A4"/>
    <w:rsid w:val="00194AC6"/>
    <w:rsid w:val="001A1A5A"/>
    <w:rsid w:val="001A23B0"/>
    <w:rsid w:val="001A25CC"/>
    <w:rsid w:val="001B0AAA"/>
    <w:rsid w:val="001C39F7"/>
    <w:rsid w:val="001E5DD6"/>
    <w:rsid w:val="002001A0"/>
    <w:rsid w:val="00201BC6"/>
    <w:rsid w:val="00237B48"/>
    <w:rsid w:val="0024521E"/>
    <w:rsid w:val="00263C3D"/>
    <w:rsid w:val="00274D0B"/>
    <w:rsid w:val="0029119C"/>
    <w:rsid w:val="002944A5"/>
    <w:rsid w:val="002B052D"/>
    <w:rsid w:val="002B1009"/>
    <w:rsid w:val="002B34CD"/>
    <w:rsid w:val="002B3C95"/>
    <w:rsid w:val="002D0B92"/>
    <w:rsid w:val="002E0CED"/>
    <w:rsid w:val="00340E84"/>
    <w:rsid w:val="003746A6"/>
    <w:rsid w:val="00383AFC"/>
    <w:rsid w:val="003B72A1"/>
    <w:rsid w:val="003D137A"/>
    <w:rsid w:val="003D5BBE"/>
    <w:rsid w:val="003E3C61"/>
    <w:rsid w:val="003F1318"/>
    <w:rsid w:val="003F1C5B"/>
    <w:rsid w:val="003F78EE"/>
    <w:rsid w:val="00405393"/>
    <w:rsid w:val="0043290A"/>
    <w:rsid w:val="00434E33"/>
    <w:rsid w:val="00441434"/>
    <w:rsid w:val="004422C6"/>
    <w:rsid w:val="004446DB"/>
    <w:rsid w:val="0045264C"/>
    <w:rsid w:val="004876EC"/>
    <w:rsid w:val="004A5467"/>
    <w:rsid w:val="004D46E9"/>
    <w:rsid w:val="004D6E14"/>
    <w:rsid w:val="004F39F5"/>
    <w:rsid w:val="0050035A"/>
    <w:rsid w:val="005009B0"/>
    <w:rsid w:val="0054490D"/>
    <w:rsid w:val="00554438"/>
    <w:rsid w:val="0058274C"/>
    <w:rsid w:val="005A1006"/>
    <w:rsid w:val="005B7AD4"/>
    <w:rsid w:val="005D68B0"/>
    <w:rsid w:val="005E079B"/>
    <w:rsid w:val="005E714A"/>
    <w:rsid w:val="005F693D"/>
    <w:rsid w:val="006140A0"/>
    <w:rsid w:val="00636621"/>
    <w:rsid w:val="00642B49"/>
    <w:rsid w:val="00673A41"/>
    <w:rsid w:val="006832D9"/>
    <w:rsid w:val="00685743"/>
    <w:rsid w:val="00691AE3"/>
    <w:rsid w:val="0069403B"/>
    <w:rsid w:val="00694748"/>
    <w:rsid w:val="006F068C"/>
    <w:rsid w:val="006F3DDE"/>
    <w:rsid w:val="00704678"/>
    <w:rsid w:val="007425E7"/>
    <w:rsid w:val="007B3FEE"/>
    <w:rsid w:val="007F15D1"/>
    <w:rsid w:val="007F2BF5"/>
    <w:rsid w:val="007F7080"/>
    <w:rsid w:val="00802607"/>
    <w:rsid w:val="008101A5"/>
    <w:rsid w:val="00815C8B"/>
    <w:rsid w:val="00822664"/>
    <w:rsid w:val="00830827"/>
    <w:rsid w:val="00843796"/>
    <w:rsid w:val="00895229"/>
    <w:rsid w:val="008B2EB3"/>
    <w:rsid w:val="008F0203"/>
    <w:rsid w:val="008F50D4"/>
    <w:rsid w:val="009239AA"/>
    <w:rsid w:val="009270FC"/>
    <w:rsid w:val="0093340C"/>
    <w:rsid w:val="00935ADA"/>
    <w:rsid w:val="00937920"/>
    <w:rsid w:val="00946B6C"/>
    <w:rsid w:val="00955A71"/>
    <w:rsid w:val="0096108F"/>
    <w:rsid w:val="009C13B9"/>
    <w:rsid w:val="009C1904"/>
    <w:rsid w:val="009D01A2"/>
    <w:rsid w:val="009D5EB4"/>
    <w:rsid w:val="009F5923"/>
    <w:rsid w:val="00A27048"/>
    <w:rsid w:val="00A403BB"/>
    <w:rsid w:val="00A4421F"/>
    <w:rsid w:val="00A52551"/>
    <w:rsid w:val="00A5346A"/>
    <w:rsid w:val="00A674DF"/>
    <w:rsid w:val="00A83AA6"/>
    <w:rsid w:val="00A934D6"/>
    <w:rsid w:val="00A96D01"/>
    <w:rsid w:val="00AD213E"/>
    <w:rsid w:val="00AE1809"/>
    <w:rsid w:val="00B70BFF"/>
    <w:rsid w:val="00B80D76"/>
    <w:rsid w:val="00BA2105"/>
    <w:rsid w:val="00BA7E06"/>
    <w:rsid w:val="00BB43B5"/>
    <w:rsid w:val="00BB6219"/>
    <w:rsid w:val="00BD290F"/>
    <w:rsid w:val="00C14CC4"/>
    <w:rsid w:val="00C27787"/>
    <w:rsid w:val="00C33C52"/>
    <w:rsid w:val="00C40D8B"/>
    <w:rsid w:val="00C561B7"/>
    <w:rsid w:val="00C8407A"/>
    <w:rsid w:val="00C8488C"/>
    <w:rsid w:val="00C86A3F"/>
    <w:rsid w:val="00C86E91"/>
    <w:rsid w:val="00C94F0D"/>
    <w:rsid w:val="00CA2650"/>
    <w:rsid w:val="00CB1078"/>
    <w:rsid w:val="00CC6E4D"/>
    <w:rsid w:val="00CC6FAF"/>
    <w:rsid w:val="00CE5BCE"/>
    <w:rsid w:val="00CF0622"/>
    <w:rsid w:val="00CF6542"/>
    <w:rsid w:val="00D24698"/>
    <w:rsid w:val="00D37CB9"/>
    <w:rsid w:val="00D6383F"/>
    <w:rsid w:val="00D84F84"/>
    <w:rsid w:val="00DB59D0"/>
    <w:rsid w:val="00DC33D3"/>
    <w:rsid w:val="00DE227A"/>
    <w:rsid w:val="00E10780"/>
    <w:rsid w:val="00E26329"/>
    <w:rsid w:val="00E402A1"/>
    <w:rsid w:val="00E40B50"/>
    <w:rsid w:val="00E43ADF"/>
    <w:rsid w:val="00E50293"/>
    <w:rsid w:val="00E530B9"/>
    <w:rsid w:val="00E65FFC"/>
    <w:rsid w:val="00E744EA"/>
    <w:rsid w:val="00E80951"/>
    <w:rsid w:val="00E86CC6"/>
    <w:rsid w:val="00EB56B3"/>
    <w:rsid w:val="00ED6492"/>
    <w:rsid w:val="00ED681D"/>
    <w:rsid w:val="00EF2095"/>
    <w:rsid w:val="00F06866"/>
    <w:rsid w:val="00F15956"/>
    <w:rsid w:val="00F16B38"/>
    <w:rsid w:val="00F24CFC"/>
    <w:rsid w:val="00F2736A"/>
    <w:rsid w:val="00F3170F"/>
    <w:rsid w:val="00F525AD"/>
    <w:rsid w:val="00F83A28"/>
    <w:rsid w:val="00F969CA"/>
    <w:rsid w:val="00F976B0"/>
    <w:rsid w:val="00FA6DE7"/>
    <w:rsid w:val="00FA79EB"/>
    <w:rsid w:val="00FC0A8E"/>
    <w:rsid w:val="00FE2FA6"/>
    <w:rsid w:val="00FE3DF2"/>
    <w:rsid w:val="00FF6D4D"/>
    <w:rsid w:val="05552F6A"/>
    <w:rsid w:val="0F2449D5"/>
    <w:rsid w:val="10C01A36"/>
    <w:rsid w:val="12EC9D2A"/>
    <w:rsid w:val="159499AD"/>
    <w:rsid w:val="15AD140E"/>
    <w:rsid w:val="1D2ABD36"/>
    <w:rsid w:val="30CE0B1A"/>
    <w:rsid w:val="3E539D9C"/>
    <w:rsid w:val="6427541F"/>
    <w:rsid w:val="6ABD8EC3"/>
    <w:rsid w:val="6E29742E"/>
    <w:rsid w:val="7240DDD9"/>
    <w:rsid w:val="78C1C9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047F7FAA-A6FD-4E9E-A433-74CE8301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318"/>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93340C"/>
    <w:pPr>
      <w:spacing w:after="120" w:line="480" w:lineRule="auto"/>
      <w:ind w:left="360"/>
    </w:pPr>
  </w:style>
  <w:style w:type="character" w:customStyle="1" w:styleId="BodyTextIndent2Char">
    <w:name w:val="Body Text Indent 2 Char"/>
    <w:basedOn w:val="DefaultParagraphFont"/>
    <w:link w:val="BodyTextIndent2"/>
    <w:rsid w:val="0093340C"/>
    <w:rPr>
      <w:sz w:val="24"/>
      <w:szCs w:val="24"/>
    </w:rPr>
  </w:style>
  <w:style w:type="character" w:styleId="Hyperlink">
    <w:name w:val="Hyperlink"/>
    <w:basedOn w:val="DefaultParagraphFont"/>
    <w:rsid w:val="00B70BFF"/>
    <w:rPr>
      <w:color w:val="0563C1" w:themeColor="hyperlink"/>
      <w:u w:val="single"/>
    </w:rPr>
  </w:style>
  <w:style w:type="character" w:styleId="UnresolvedMention">
    <w:name w:val="Unresolved Mention"/>
    <w:basedOn w:val="DefaultParagraphFont"/>
    <w:uiPriority w:val="99"/>
    <w:semiHidden/>
    <w:unhideWhenUsed/>
    <w:rsid w:val="00B70BFF"/>
    <w:rPr>
      <w:color w:val="605E5C"/>
      <w:shd w:val="clear" w:color="auto" w:fill="E1DFDD"/>
    </w:rPr>
  </w:style>
  <w:style w:type="paragraph" w:customStyle="1" w:styleId="pf0">
    <w:name w:val="pf0"/>
    <w:basedOn w:val="Normal"/>
    <w:rsid w:val="00685743"/>
    <w:pPr>
      <w:spacing w:before="100" w:beforeAutospacing="1" w:after="100" w:afterAutospacing="1"/>
    </w:pPr>
  </w:style>
  <w:style w:type="character" w:customStyle="1" w:styleId="cf01">
    <w:name w:val="cf01"/>
    <w:basedOn w:val="DefaultParagraphFont"/>
    <w:rsid w:val="00685743"/>
    <w:rPr>
      <w:rFonts w:ascii="Segoe UI" w:hAnsi="Segoe UI" w:cs="Segoe UI" w:hint="default"/>
      <w:sz w:val="18"/>
      <w:szCs w:val="18"/>
    </w:rPr>
  </w:style>
  <w:style w:type="paragraph" w:styleId="FootnoteText">
    <w:name w:val="footnote text"/>
    <w:basedOn w:val="Normal"/>
    <w:link w:val="FootnoteTextChar"/>
    <w:rsid w:val="00405393"/>
    <w:rPr>
      <w:sz w:val="20"/>
      <w:szCs w:val="20"/>
    </w:rPr>
  </w:style>
  <w:style w:type="character" w:customStyle="1" w:styleId="FootnoteTextChar">
    <w:name w:val="Footnote Text Char"/>
    <w:basedOn w:val="DefaultParagraphFont"/>
    <w:link w:val="FootnoteText"/>
    <w:rsid w:val="00405393"/>
  </w:style>
  <w:style w:type="character" w:styleId="FootnoteReference">
    <w:name w:val="footnote reference"/>
    <w:basedOn w:val="DefaultParagraphFont"/>
    <w:rsid w:val="00405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01350">
      <w:bodyDiv w:val="1"/>
      <w:marLeft w:val="0"/>
      <w:marRight w:val="0"/>
      <w:marTop w:val="0"/>
      <w:marBottom w:val="0"/>
      <w:divBdr>
        <w:top w:val="none" w:sz="0" w:space="0" w:color="auto"/>
        <w:left w:val="none" w:sz="0" w:space="0" w:color="auto"/>
        <w:bottom w:val="none" w:sz="0" w:space="0" w:color="auto"/>
        <w:right w:val="none" w:sz="0" w:space="0" w:color="auto"/>
      </w:divBdr>
    </w:div>
    <w:div w:id="72738731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hildwelfa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CA8D3D2F-468A-4CDF-A24F-5543F68453F5}">
  <ds:schemaRefs>
    <ds:schemaRef ds:uri="http://schemas.openxmlformats.org/officeDocument/2006/bibliography"/>
  </ds:schemaRefs>
</ds:datastoreItem>
</file>

<file path=customXml/itemProps4.xml><?xml version="1.0" encoding="utf-8"?>
<ds:datastoreItem xmlns:ds="http://schemas.openxmlformats.org/officeDocument/2006/customXml" ds:itemID="{59259ADA-04AE-4AE1-B39A-D9783E3D1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ACF PRA</cp:lastModifiedBy>
  <cp:revision>2</cp:revision>
  <cp:lastPrinted>2010-10-04T12:59:00Z</cp:lastPrinted>
  <dcterms:created xsi:type="dcterms:W3CDTF">2022-08-09T17:08:00Z</dcterms:created>
  <dcterms:modified xsi:type="dcterms:W3CDTF">2022-08-09T17:08:00Z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