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054EE" w:rsidP="005054EE" w14:paraId="76235F21" w14:textId="6AFA2EA5">
      <w:pPr>
        <w:pStyle w:val="H2"/>
      </w:pPr>
      <w:r>
        <w:t>Child Care Policy Research Partnerships (</w:t>
      </w:r>
      <w:r w:rsidR="00C90BE8">
        <w:t xml:space="preserve">2019 </w:t>
      </w:r>
      <w:r>
        <w:t>CCPRP) Community of Practice (CoP</w:t>
      </w:r>
      <w:r w:rsidR="00C90BE8">
        <w:t>)</w:t>
      </w:r>
      <w:r>
        <w:t xml:space="preserve"> </w:t>
      </w:r>
      <w:r w:rsidR="00394B8A">
        <w:t>Feedback Survey</w:t>
      </w:r>
    </w:p>
    <w:p w:rsidR="00DB1246" w:rsidRPr="00DB1246" w:rsidP="00160E92" w14:paraId="24CA4C30" w14:textId="77777777"/>
    <w:p w:rsidR="00B5447C" w14:paraId="3EB618B2" w14:textId="7D2B0D5B">
      <w:pPr>
        <w:keepNext/>
      </w:pPr>
      <w:r>
        <w:t xml:space="preserve">Please </w:t>
      </w:r>
      <w:r w:rsidR="00DB1246">
        <w:t xml:space="preserve">complete this survey to </w:t>
      </w:r>
      <w:r>
        <w:t xml:space="preserve">help us evaluate </w:t>
      </w:r>
      <w:r w:rsidR="00DB1246">
        <w:t xml:space="preserve">2019 </w:t>
      </w:r>
      <w:r w:rsidR="55FDEADF">
        <w:t>Child Care Policy Research Partnerships Community of Practice</w:t>
      </w:r>
      <w:r w:rsidR="00ED6DB0">
        <w:t xml:space="preserve"> </w:t>
      </w:r>
      <w:r w:rsidR="00DB1246">
        <w:t xml:space="preserve">(CoP) </w:t>
      </w:r>
      <w:r w:rsidR="00ED6DB0">
        <w:t xml:space="preserve">meetings </w:t>
      </w:r>
      <w:r w:rsidR="00DB1246">
        <w:t>from the past</w:t>
      </w:r>
      <w:r w:rsidR="00ED6DB0">
        <w:t xml:space="preserve"> year</w:t>
      </w:r>
      <w:r>
        <w:t xml:space="preserve">. Your responses will help </w:t>
      </w:r>
      <w:r w:rsidR="00DB1246">
        <w:t xml:space="preserve">as we plan for </w:t>
      </w:r>
      <w:r w:rsidR="55FDEADF">
        <w:t xml:space="preserve">next year. This survey will take about </w:t>
      </w:r>
      <w:r w:rsidR="00DB1246">
        <w:t>5</w:t>
      </w:r>
      <w:r w:rsidR="55FDEADF">
        <w:t xml:space="preserve"> minutes to complete</w:t>
      </w:r>
      <w:r w:rsidR="00C90BE8">
        <w:t xml:space="preserve">. </w:t>
      </w:r>
    </w:p>
    <w:p w:rsidR="00DB1246" w14:paraId="773C6199" w14:textId="77777777">
      <w:pPr>
        <w:keepNext/>
      </w:pPr>
    </w:p>
    <w:p w:rsidR="00DB1246" w14:paraId="0602A6D6" w14:textId="07AE1E58">
      <w:pPr>
        <w:keepNext/>
      </w:pPr>
      <w:r>
        <w:t>Each member of your team is invited to complete the evaluation. Please complete and submit today, or no later than December 5, 2022.</w:t>
      </w:r>
      <w:r w:rsidR="00C90BE8">
        <w:t xml:space="preserve"> Once you start the survey you may come back to it until that date.</w:t>
      </w:r>
    </w:p>
    <w:p w:rsidR="00DB1246" w14:paraId="6D57E465" w14:textId="77777777">
      <w:r>
        <w:br w:type="page"/>
      </w:r>
    </w:p>
    <w:p w:rsidR="00B5447C" w14:paraId="6B0DCCAA" w14:textId="77777777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8"/>
        <w:gridCol w:w="8002"/>
      </w:tblGrid>
      <w:tr w14:paraId="5B33AF68" w14:textId="77777777">
        <w:tblPrEx>
          <w:tblW w:w="0" w:type="auto"/>
          <w:tblInd w:w="10" w:type="dxa"/>
          <w:tblCellMar>
            <w:left w:w="10" w:type="dxa"/>
            <w:right w:w="10" w:type="dxa"/>
          </w:tblCellMar>
          <w:tblLook w:val="04A0"/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B5447C" w14:paraId="0B717359" w14:textId="77777777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B5447C" w14:paraId="1A62CBDD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B5447C" w14:paraId="022D5A44" w14:textId="77777777"/>
    <w:p w:rsidR="00B5447C" w14:paraId="20EC8A58" w14:textId="26BC3DAC">
      <w:pPr>
        <w:keepNext/>
      </w:pPr>
      <w:r>
        <w:rPr>
          <w:b/>
        </w:rPr>
        <w:t xml:space="preserve">A. </w:t>
      </w:r>
      <w:r w:rsidR="00DB1246">
        <w:rPr>
          <w:b/>
        </w:rPr>
        <w:t xml:space="preserve"> What did you most </w:t>
      </w:r>
      <w:r>
        <w:rPr>
          <w:b/>
        </w:rPr>
        <w:t>like or value about th</w:t>
      </w:r>
      <w:r w:rsidR="00DB1246">
        <w:rPr>
          <w:b/>
        </w:rPr>
        <w:t>is</w:t>
      </w:r>
      <w:r>
        <w:rPr>
          <w:b/>
        </w:rPr>
        <w:t xml:space="preserve"> Community of Practice</w:t>
      </w:r>
      <w:r w:rsidR="00DB1246">
        <w:rPr>
          <w:b/>
        </w:rPr>
        <w:t xml:space="preserve">? </w:t>
      </w:r>
      <w:r>
        <w:rPr>
          <w:b/>
        </w:rPr>
        <w:t xml:space="preserve"> </w:t>
      </w:r>
      <w:r w:rsidR="00DB1246">
        <w:rPr>
          <w:b/>
        </w:rPr>
        <w:t>W</w:t>
      </w:r>
      <w:r>
        <w:rPr>
          <w:b/>
        </w:rPr>
        <w:t>hy</w:t>
      </w:r>
      <w:r w:rsidR="00C90BE8">
        <w:rPr>
          <w:b/>
        </w:rPr>
        <w:t>?</w:t>
      </w:r>
      <w:r>
        <w:t xml:space="preserve"> </w:t>
      </w:r>
      <w:r w:rsidR="00DB1246">
        <w:t>(</w:t>
      </w:r>
      <w:r>
        <w:t>Below is a list of sessions held during our Community of Practice this year.</w:t>
      </w:r>
      <w:r w:rsidR="00DB1246">
        <w:t>)</w:t>
      </w:r>
    </w:p>
    <w:p w:rsidR="00B5447C" w14:paraId="2D8408D2" w14:textId="77777777"/>
    <w:p w:rsidR="00B5447C" w14:paraId="3D532945" w14:textId="77777777">
      <w:pPr>
        <w:pStyle w:val="QuestionSeparator"/>
      </w:pPr>
    </w:p>
    <w:tbl>
      <w:tblPr>
        <w:tblStyle w:val="QQuestionIconTable"/>
        <w:tblW w:w="50" w:type="auto"/>
        <w:tblLook w:val="07E0"/>
      </w:tblPr>
      <w:tblGrid>
        <w:gridCol w:w="50"/>
      </w:tblGrid>
      <w:tr w14:paraId="05D37C63" w14:textId="77777777">
        <w:tblPrEx>
          <w:tblW w:w="50" w:type="auto"/>
          <w:tblLook w:val="07E0"/>
        </w:tblPrEx>
        <w:tc>
          <w:tcPr>
            <w:tcW w:w="50" w:type="dxa"/>
          </w:tcPr>
          <w:p w:rsidR="00B5447C" w14:paraId="3A6312C2" w14:textId="0BA95238">
            <w:pPr>
              <w:keepNext/>
            </w:pPr>
          </w:p>
        </w:tc>
      </w:tr>
      <w:tr w14:paraId="1A9FEF4E" w14:textId="77777777">
        <w:tblPrEx>
          <w:tblW w:w="50" w:type="auto"/>
          <w:tblLook w:val="07E0"/>
        </w:tblPrEx>
        <w:tc>
          <w:tcPr>
            <w:tcW w:w="50" w:type="dxa"/>
          </w:tcPr>
          <w:p w:rsidR="00DB1246" w14:paraId="58504625" w14:textId="77777777">
            <w:pPr>
              <w:keepNext/>
            </w:pPr>
          </w:p>
        </w:tc>
      </w:tr>
    </w:tbl>
    <w:p w:rsidR="00B5447C" w14:paraId="46ECC09D" w14:textId="76C82BA0">
      <w:pPr>
        <w:keepNext/>
      </w:pPr>
      <w:r>
        <w:t xml:space="preserve">Q1. </w:t>
      </w:r>
      <w:r w:rsidR="001717A8">
        <w:t xml:space="preserve">What were your top two favorite CoP sessions this year? </w:t>
      </w:r>
      <w:r w:rsidR="00DB1246">
        <w:t>(</w:t>
      </w:r>
      <w:r w:rsidR="001717A8">
        <w:t>Please</w:t>
      </w:r>
      <w:r w:rsidR="00C3383E">
        <w:t xml:space="preserve"> </w:t>
      </w:r>
      <w:r w:rsidR="00DB1246">
        <w:t xml:space="preserve">select up to </w:t>
      </w:r>
      <w:r w:rsidR="00BA3648">
        <w:t xml:space="preserve">two </w:t>
      </w:r>
      <w:r w:rsidR="00C3383E">
        <w:t>sessions</w:t>
      </w:r>
      <w:r w:rsidR="001717A8">
        <w:t>.</w:t>
      </w:r>
      <w:r w:rsidR="00DB1246">
        <w:t>)</w:t>
      </w:r>
    </w:p>
    <w:p w:rsidR="00DB1246" w:rsidRPr="00370B7A" w:rsidP="00DB1246" w14:paraId="0B49769D" w14:textId="77777777">
      <w:pPr>
        <w:keepNext/>
        <w:rPr>
          <w:i/>
          <w:iCs/>
        </w:rPr>
      </w:pPr>
      <w:r w:rsidRPr="00370B7A">
        <w:rPr>
          <w:i/>
          <w:iCs/>
        </w:rPr>
        <w:t>Breakout Sessions</w:t>
      </w:r>
    </w:p>
    <w:p w:rsidR="00640C88" w:rsidP="00C10AC2" w14:paraId="24CEA4C0" w14:textId="783E822C">
      <w:pPr>
        <w:pStyle w:val="ListParagraph"/>
        <w:keepNext/>
        <w:ind w:hanging="720"/>
      </w:pPr>
      <w:r>
        <w:t xml:space="preserve">______ </w:t>
      </w:r>
      <w:r>
        <w:t>Quant team (January, March, July</w:t>
      </w:r>
      <w:r w:rsidR="00806432">
        <w:t>, November</w:t>
      </w:r>
      <w:r>
        <w:t>)</w:t>
      </w:r>
    </w:p>
    <w:p w:rsidR="00C10AC2" w:rsidP="00C10AC2" w14:paraId="1FCFF1D4" w14:textId="64E1E36D">
      <w:pPr>
        <w:pStyle w:val="ListParagraph"/>
        <w:keepNext/>
        <w:ind w:hanging="720"/>
      </w:pPr>
      <w:r>
        <w:t xml:space="preserve">______ </w:t>
      </w:r>
      <w:r w:rsidR="00DB1246">
        <w:t>P</w:t>
      </w:r>
      <w:r>
        <w:t>rimary data collection (January, March, July</w:t>
      </w:r>
      <w:r w:rsidR="00806432">
        <w:t>, November</w:t>
      </w:r>
      <w:r>
        <w:t>)</w:t>
      </w:r>
    </w:p>
    <w:p w:rsidR="00C10AC2" w:rsidP="00C10AC2" w14:paraId="64AFA8C5" w14:textId="245B5D8E">
      <w:pPr>
        <w:pStyle w:val="ListParagraph"/>
        <w:keepNext/>
        <w:ind w:left="0"/>
      </w:pPr>
      <w:r>
        <w:t xml:space="preserve">______ </w:t>
      </w:r>
      <w:r w:rsidR="00806432">
        <w:t>D</w:t>
      </w:r>
      <w:r>
        <w:t xml:space="preserve">issemination strategies (January) </w:t>
      </w:r>
    </w:p>
    <w:p w:rsidR="00806432" w:rsidP="00806432" w14:paraId="53C8E0BB" w14:textId="6689AEE7">
      <w:pPr>
        <w:pStyle w:val="ListParagraph"/>
        <w:keepNext/>
        <w:ind w:left="810" w:hanging="810"/>
      </w:pPr>
      <w:r>
        <w:t>______ Learning from large scale policy changes (July)</w:t>
      </w:r>
    </w:p>
    <w:p w:rsidR="00806432" w:rsidP="00806432" w14:paraId="51E92F8E" w14:textId="083AC1BB">
      <w:pPr>
        <w:pStyle w:val="ListParagraph"/>
        <w:keepNext/>
        <w:ind w:left="810" w:hanging="810"/>
      </w:pPr>
      <w:r>
        <w:t>______ ECE workforce (November)</w:t>
      </w:r>
    </w:p>
    <w:p w:rsidR="00806432" w:rsidP="00806432" w14:paraId="5126E59E" w14:textId="513A9E38">
      <w:pPr>
        <w:pStyle w:val="ListParagraph"/>
        <w:keepNext/>
        <w:ind w:left="810" w:hanging="810"/>
      </w:pPr>
    </w:p>
    <w:p w:rsidR="004D0348" w:rsidP="00196FEC" w14:paraId="16C47A7F" w14:textId="77777777">
      <w:pPr>
        <w:pStyle w:val="ListParagraph"/>
        <w:keepNext/>
        <w:tabs>
          <w:tab w:val="left" w:pos="810"/>
        </w:tabs>
        <w:ind w:left="810" w:hanging="810"/>
        <w:rPr>
          <w:i/>
          <w:iCs/>
        </w:rPr>
      </w:pPr>
      <w:r w:rsidRPr="00370B7A">
        <w:rPr>
          <w:i/>
          <w:iCs/>
        </w:rPr>
        <w:t>Expert Presentations</w:t>
      </w:r>
    </w:p>
    <w:p w:rsidR="00B5447C" w:rsidP="00196FEC" w14:paraId="03A6339C" w14:textId="1BB55682">
      <w:pPr>
        <w:pStyle w:val="ListParagraph"/>
        <w:keepNext/>
        <w:tabs>
          <w:tab w:val="left" w:pos="810"/>
        </w:tabs>
        <w:ind w:left="810" w:hanging="810"/>
      </w:pPr>
      <w:r>
        <w:t>______</w:t>
      </w:r>
      <w:r w:rsidR="00640C88">
        <w:t xml:space="preserve"> </w:t>
      </w:r>
      <w:r w:rsidR="00806432">
        <w:t>A</w:t>
      </w:r>
      <w:r w:rsidR="00196FEC">
        <w:t>ssessing survey data for racial bias (Aida Pacheco-Applegate and Tiffany Burkhardt</w:t>
      </w:r>
      <w:r w:rsidR="00C10AC2">
        <w:t xml:space="preserve"> of Chapin Hall</w:t>
      </w:r>
      <w:r w:rsidR="00196FEC">
        <w:t xml:space="preserve">—February) </w:t>
      </w:r>
    </w:p>
    <w:p w:rsidR="00B5447C" w:rsidP="00053C48" w14:paraId="1A16A2B8" w14:textId="0B8D26F1">
      <w:pPr>
        <w:pStyle w:val="ListParagraph"/>
        <w:keepNext/>
        <w:ind w:left="792" w:hanging="792"/>
      </w:pPr>
      <w:r>
        <w:t xml:space="preserve">______ </w:t>
      </w:r>
      <w:r w:rsidR="00806432">
        <w:t>D</w:t>
      </w:r>
      <w:r w:rsidR="00196FEC">
        <w:t xml:space="preserve">ecline of FCC supply (Juliet </w:t>
      </w:r>
      <w:r w:rsidR="00196FEC">
        <w:t>Bromer</w:t>
      </w:r>
      <w:r w:rsidR="00196FEC">
        <w:t xml:space="preserve">—April) </w:t>
      </w:r>
    </w:p>
    <w:p w:rsidR="007D2F81" w:rsidP="00196FEC" w14:paraId="25BCADC9" w14:textId="07BB5B80">
      <w:pPr>
        <w:pStyle w:val="ListParagraph"/>
        <w:keepNext/>
        <w:ind w:left="810" w:hanging="810"/>
      </w:pPr>
      <w:r>
        <w:t xml:space="preserve">______ </w:t>
      </w:r>
      <w:r w:rsidR="00806432">
        <w:t>U</w:t>
      </w:r>
      <w:r w:rsidR="00196FEC">
        <w:t>nderstanding agency coordination (Colleen Graber and Nathan Burroughs</w:t>
      </w:r>
      <w:r w:rsidR="00C10AC2">
        <w:t xml:space="preserve"> of Public Policy Associates</w:t>
      </w:r>
      <w:r w:rsidR="00196FEC">
        <w:t xml:space="preserve">—May) </w:t>
      </w:r>
    </w:p>
    <w:p w:rsidR="00806432" w:rsidRPr="00806432" w:rsidP="00196FEC" w14:paraId="2D9A813A" w14:textId="38279C25">
      <w:pPr>
        <w:pStyle w:val="ListParagraph"/>
        <w:keepNext/>
        <w:ind w:left="810" w:hanging="810"/>
        <w:rPr>
          <w:i/>
          <w:iCs/>
        </w:rPr>
      </w:pPr>
      <w:r w:rsidRPr="00806432">
        <w:rPr>
          <w:i/>
          <w:iCs/>
        </w:rPr>
        <w:t>Other</w:t>
      </w:r>
    </w:p>
    <w:p w:rsidR="00B5447C" w:rsidP="00196FEC" w14:paraId="24F2CF99" w14:textId="0BB5AC3A">
      <w:pPr>
        <w:pStyle w:val="ListParagraph"/>
        <w:keepNext/>
        <w:ind w:left="810" w:hanging="810"/>
      </w:pPr>
      <w:r>
        <w:t xml:space="preserve">______ </w:t>
      </w:r>
      <w:r w:rsidR="00806432">
        <w:t>T</w:t>
      </w:r>
      <w:r w:rsidR="00640C88">
        <w:t xml:space="preserve">ips for </w:t>
      </w:r>
      <w:r w:rsidR="00196FEC">
        <w:t xml:space="preserve">presenting to policymakers </w:t>
      </w:r>
      <w:r w:rsidR="00640C88">
        <w:t>(Jo</w:t>
      </w:r>
      <w:r w:rsidR="00196FEC">
        <w:t xml:space="preserve">n </w:t>
      </w:r>
      <w:r w:rsidR="00196FEC">
        <w:t>Schwabis</w:t>
      </w:r>
      <w:r w:rsidR="00640C88">
        <w:t>h</w:t>
      </w:r>
      <w:r w:rsidR="00DC2D1C">
        <w:t>, and time to meet with peers</w:t>
      </w:r>
      <w:r w:rsidR="004D32B5">
        <w:t>—August</w:t>
      </w:r>
      <w:r w:rsidR="00196FEC">
        <w:t xml:space="preserve">) </w:t>
      </w:r>
    </w:p>
    <w:p w:rsidR="0041146E" w:rsidP="00BA771D" w14:paraId="3158707B" w14:textId="581B27F9">
      <w:pPr>
        <w:pStyle w:val="ListParagraph"/>
        <w:keepNext/>
        <w:ind w:left="810" w:hanging="720"/>
      </w:pPr>
      <w:r>
        <w:t>_____</w:t>
      </w:r>
      <w:r w:rsidR="00BA771D">
        <w:t xml:space="preserve"> </w:t>
      </w:r>
      <w:r w:rsidR="00640C88">
        <w:t>T</w:t>
      </w:r>
      <w:r w:rsidR="00C10AC2">
        <w:t>he</w:t>
      </w:r>
      <w:r w:rsidR="00640C88">
        <w:t xml:space="preserve"> two-session </w:t>
      </w:r>
      <w:r>
        <w:t xml:space="preserve">annual meeting </w:t>
      </w:r>
      <w:r w:rsidR="00640C88">
        <w:t xml:space="preserve">on sharing emerging findings and hearing updates   </w:t>
      </w:r>
      <w:r w:rsidR="00BA771D">
        <w:t xml:space="preserve"> </w:t>
      </w:r>
      <w:r w:rsidR="00640C88">
        <w:t xml:space="preserve">from OCC </w:t>
      </w:r>
      <w:r w:rsidR="00A45EF4">
        <w:t>(September)</w:t>
      </w:r>
    </w:p>
    <w:p w:rsidR="00640C88" w:rsidP="0041146E" w14:paraId="5F8CBA15" w14:textId="171C628B">
      <w:pPr>
        <w:pStyle w:val="ListParagraph"/>
        <w:keepNext/>
        <w:ind w:hanging="720"/>
      </w:pPr>
      <w:r>
        <w:t xml:space="preserve">______ </w:t>
      </w:r>
      <w:r w:rsidR="00DC2D1C">
        <w:t xml:space="preserve">Small- </w:t>
      </w:r>
      <w:r>
        <w:t xml:space="preserve">and large-group discussion on researcher-agency partnerships </w:t>
      </w:r>
      <w:r w:rsidR="00C90BE8">
        <w:t>and advice to OPRE</w:t>
      </w:r>
      <w:r>
        <w:t>(October)</w:t>
      </w:r>
    </w:p>
    <w:p w:rsidR="001973C0" w:rsidP="001973C0" w14:paraId="3FF1D60B" w14:textId="77777777">
      <w:pPr>
        <w:pStyle w:val="ListParagraph"/>
        <w:keepNext/>
        <w:ind w:hanging="720"/>
      </w:pPr>
    </w:p>
    <w:p w:rsidR="00DE08DF" w:rsidP="00DE08DF" w14:paraId="318BF6A8" w14:textId="3A67AF20">
      <w:r>
        <w:t>Q2.</w:t>
      </w:r>
      <w:r w:rsidR="007F2802">
        <w:t xml:space="preserve"> </w:t>
      </w:r>
      <w:r w:rsidR="00806432">
        <w:t>I</w:t>
      </w:r>
      <w:r>
        <w:t>n the text box below</w:t>
      </w:r>
      <w:r w:rsidR="00806432">
        <w:t>, feel free to say why a particular session was useful</w:t>
      </w:r>
      <w:r>
        <w:t>.</w:t>
      </w:r>
      <w:r w:rsidR="00DC2D1C">
        <w:t xml:space="preserve"> Please </w:t>
      </w:r>
      <w:r w:rsidR="00ED6DB0">
        <w:t xml:space="preserve">note which </w:t>
      </w:r>
      <w:r w:rsidR="00DC2D1C">
        <w:t xml:space="preserve">session </w:t>
      </w:r>
      <w:r w:rsidR="00ED6DB0">
        <w:t xml:space="preserve">or speaker </w:t>
      </w:r>
      <w:r w:rsidR="00DC2D1C">
        <w:t xml:space="preserve">you are commenting on. </w:t>
      </w:r>
    </w:p>
    <w:p w:rsidR="00DE08DF" w:rsidP="00DE08DF" w14:paraId="6182682A" w14:textId="77777777">
      <w:pPr>
        <w:pStyle w:val="ListParagraph"/>
        <w:keepNext/>
        <w:ind w:left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64135</wp:posOffset>
                </wp:positionV>
                <wp:extent cx="4220210" cy="843915"/>
                <wp:effectExtent l="0" t="0" r="27940" b="13335"/>
                <wp:wrapSquare wrapText="bothSides"/>
                <wp:docPr id="1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21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61C" w:rsidP="00DE08DF" w14:textId="027C8D06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332.3pt;height:66.45pt;margin-top:5.05pt;margin-left:19.9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5408">
                <v:textbox>
                  <w:txbxContent>
                    <w:p w:rsidR="009B661C" w:rsidP="00DE08DF" w14:paraId="1AE85671" w14:textId="027C8D06"/>
                  </w:txbxContent>
                </v:textbox>
                <w10:wrap type="square"/>
              </v:shape>
            </w:pict>
          </mc:Fallback>
        </mc:AlternateContent>
      </w:r>
    </w:p>
    <w:p w:rsidR="00DE08DF" w:rsidP="00DE08DF" w14:paraId="62E30AFE" w14:textId="77777777">
      <w:pPr>
        <w:pStyle w:val="ListParagraph"/>
        <w:keepNext/>
        <w:ind w:left="1440"/>
      </w:pPr>
    </w:p>
    <w:p w:rsidR="00DE08DF" w:rsidP="00DE08DF" w14:paraId="3B299627" w14:textId="77777777">
      <w:pPr>
        <w:pStyle w:val="ListParagraph"/>
        <w:keepNext/>
        <w:ind w:left="1440"/>
      </w:pPr>
    </w:p>
    <w:p w:rsidR="00DE08DF" w:rsidP="00DE08DF" w14:paraId="457234E1" w14:textId="77777777">
      <w:pPr>
        <w:pStyle w:val="ListParagraph"/>
        <w:keepNext/>
        <w:ind w:left="1440"/>
      </w:pPr>
    </w:p>
    <w:p w:rsidR="00DE08DF" w:rsidP="00DE08DF" w14:paraId="496365FE" w14:textId="459FEC0C">
      <w:pPr>
        <w:pStyle w:val="ListParagraph"/>
        <w:keepNext/>
        <w:ind w:left="1440"/>
      </w:pPr>
    </w:p>
    <w:p w:rsidR="00B61D2F" w:rsidP="00DE08DF" w14:paraId="232F5311" w14:textId="77777777">
      <w:pPr>
        <w:pStyle w:val="ListParagraph"/>
        <w:keepNext/>
        <w:ind w:left="1440"/>
      </w:pPr>
    </w:p>
    <w:p w:rsidR="00806432" w14:paraId="4AEDDC54" w14:textId="0DE22331">
      <w:r>
        <w:br w:type="page"/>
      </w:r>
    </w:p>
    <w:p w:rsidR="00356A04" w:rsidP="00356A04" w14:paraId="376CD77B" w14:textId="77777777">
      <w:pPr>
        <w:pStyle w:val="ListParagraph"/>
        <w:keepNext/>
        <w:ind w:left="1440"/>
      </w:pPr>
    </w:p>
    <w:p w:rsidR="00B5447C" w14:paraId="5BE11BE3" w14:textId="1FD3E92D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8"/>
        <w:gridCol w:w="8002"/>
      </w:tblGrid>
      <w:tr w14:paraId="63BCB473" w14:textId="77777777" w:rsidTr="004A6A13">
        <w:tblPrEx>
          <w:tblW w:w="0" w:type="auto"/>
          <w:tblInd w:w="10" w:type="dxa"/>
          <w:tblCellMar>
            <w:left w:w="10" w:type="dxa"/>
            <w:right w:w="10" w:type="dxa"/>
          </w:tblCellMar>
          <w:tblLook w:val="04A0"/>
        </w:tblPrEx>
        <w:trPr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B5447C" w14:paraId="65F7BEC0" w14:textId="77777777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002" w:type="dxa"/>
            <w:tcBorders>
              <w:top w:val="nil"/>
              <w:left w:val="nil"/>
              <w:bottom w:val="nil"/>
              <w:right w:val="nil"/>
            </w:tcBorders>
          </w:tcPr>
          <w:p w:rsidR="00B5447C" w14:paraId="6C5DC0DC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8D3158" w:rsidP="004A6A13" w14:paraId="32B9C2C3" w14:textId="77777777">
      <w:pPr>
        <w:keepNext/>
      </w:pPr>
    </w:p>
    <w:p w:rsidR="00A45EF4" w:rsidP="00B61D2F" w14:paraId="615FD0B0" w14:textId="01962240">
      <w:r>
        <w:t>Q</w:t>
      </w:r>
      <w:r w:rsidR="002F363C">
        <w:t>3</w:t>
      </w:r>
      <w:r>
        <w:t xml:space="preserve">. </w:t>
      </w:r>
      <w:r w:rsidR="004C1A93">
        <w:t xml:space="preserve">Were there any CoP sessions you did not find effective or did not enjoy this year? </w:t>
      </w:r>
      <w:r w:rsidR="00806432">
        <w:t>(</w:t>
      </w:r>
      <w:r w:rsidR="004C1A93">
        <w:t xml:space="preserve">Please </w:t>
      </w:r>
      <w:r w:rsidR="00806432">
        <w:t xml:space="preserve">select </w:t>
      </w:r>
      <w:r w:rsidR="009B69AB">
        <w:t xml:space="preserve">up to two </w:t>
      </w:r>
      <w:r w:rsidR="004C1A93">
        <w:t>sessions.</w:t>
      </w:r>
      <w:r w:rsidR="00806432">
        <w:t>)</w:t>
      </w:r>
    </w:p>
    <w:p w:rsidR="00806432" w:rsidRPr="00370B7A" w:rsidP="00806432" w14:paraId="247805C3" w14:textId="77777777">
      <w:pPr>
        <w:keepNext/>
        <w:rPr>
          <w:i/>
          <w:iCs/>
        </w:rPr>
      </w:pPr>
      <w:r w:rsidRPr="00370B7A">
        <w:rPr>
          <w:i/>
          <w:iCs/>
        </w:rPr>
        <w:t>Breakout Sessions</w:t>
      </w:r>
    </w:p>
    <w:p w:rsidR="00806432" w:rsidP="00806432" w14:paraId="2D59864E" w14:textId="40804868">
      <w:pPr>
        <w:pStyle w:val="ListParagraph"/>
        <w:keepNext/>
        <w:ind w:hanging="720"/>
      </w:pPr>
      <w:r>
        <w:t>______ Quant team (January, March, July, November)</w:t>
      </w:r>
    </w:p>
    <w:p w:rsidR="00806432" w:rsidP="00806432" w14:paraId="5E821A5A" w14:textId="3D1E9417">
      <w:pPr>
        <w:pStyle w:val="ListParagraph"/>
        <w:keepNext/>
        <w:ind w:hanging="720"/>
      </w:pPr>
      <w:r>
        <w:t>______ Primary data collection (January, March, July, November)</w:t>
      </w:r>
    </w:p>
    <w:p w:rsidR="00806432" w:rsidP="00806432" w14:paraId="4039DB7E" w14:textId="595FCAE2">
      <w:pPr>
        <w:pStyle w:val="ListParagraph"/>
        <w:keepNext/>
        <w:ind w:left="0"/>
      </w:pPr>
      <w:r>
        <w:t xml:space="preserve">______ Dissemination strategies (January) </w:t>
      </w:r>
    </w:p>
    <w:p w:rsidR="00806432" w:rsidP="00806432" w14:paraId="06A640BA" w14:textId="08095D6E">
      <w:pPr>
        <w:pStyle w:val="ListParagraph"/>
        <w:keepNext/>
        <w:ind w:left="810" w:hanging="810"/>
      </w:pPr>
      <w:r>
        <w:t>______ Learning from large scale policy changes (July)</w:t>
      </w:r>
    </w:p>
    <w:p w:rsidR="00806432" w:rsidP="00806432" w14:paraId="330DCBC7" w14:textId="77777777">
      <w:pPr>
        <w:pStyle w:val="ListParagraph"/>
        <w:keepNext/>
        <w:ind w:left="810" w:hanging="810"/>
      </w:pPr>
      <w:r>
        <w:t>______ ECE workforce (November)</w:t>
      </w:r>
    </w:p>
    <w:p w:rsidR="00806432" w:rsidP="00806432" w14:paraId="334F7194" w14:textId="77777777">
      <w:pPr>
        <w:pStyle w:val="ListParagraph"/>
        <w:keepNext/>
        <w:ind w:left="810" w:hanging="810"/>
      </w:pPr>
    </w:p>
    <w:p w:rsidR="004D0348" w:rsidP="00806432" w14:paraId="1EA95E62" w14:textId="77777777">
      <w:pPr>
        <w:pStyle w:val="ListParagraph"/>
        <w:keepNext/>
        <w:tabs>
          <w:tab w:val="left" w:pos="810"/>
        </w:tabs>
        <w:ind w:left="810" w:hanging="810"/>
        <w:rPr>
          <w:i/>
          <w:iCs/>
        </w:rPr>
      </w:pPr>
      <w:r w:rsidRPr="00370B7A">
        <w:rPr>
          <w:i/>
          <w:iCs/>
        </w:rPr>
        <w:t>Expert Presentations</w:t>
      </w:r>
    </w:p>
    <w:p w:rsidR="00806432" w:rsidP="00806432" w14:paraId="654D572A" w14:textId="0A9C0646">
      <w:pPr>
        <w:pStyle w:val="ListParagraph"/>
        <w:keepNext/>
        <w:tabs>
          <w:tab w:val="left" w:pos="810"/>
        </w:tabs>
        <w:ind w:left="810" w:hanging="810"/>
      </w:pPr>
      <w:r>
        <w:t xml:space="preserve">______ Assessing survey data for racial bias (Aida Pacheco-Applegate and Tiffany Burkhardt of Chapin Hall—February) </w:t>
      </w:r>
    </w:p>
    <w:p w:rsidR="00806432" w:rsidP="00806432" w14:paraId="6315D4B3" w14:textId="058E8F1F">
      <w:pPr>
        <w:pStyle w:val="ListParagraph"/>
        <w:keepNext/>
        <w:ind w:left="792" w:hanging="792"/>
      </w:pPr>
      <w:r>
        <w:t xml:space="preserve">______ Decline of FCC supply (Juliet </w:t>
      </w:r>
      <w:r>
        <w:t>Bromer</w:t>
      </w:r>
      <w:r>
        <w:t xml:space="preserve">—April) </w:t>
      </w:r>
    </w:p>
    <w:p w:rsidR="00806432" w:rsidP="00806432" w14:paraId="7605956F" w14:textId="1DB7B15E">
      <w:pPr>
        <w:pStyle w:val="ListParagraph"/>
        <w:keepNext/>
        <w:ind w:left="810" w:hanging="810"/>
      </w:pPr>
      <w:r>
        <w:t xml:space="preserve">______ Understanding agency coordination (Colleen Graber and Nathan Burroughs of Public Policy Associates—May) </w:t>
      </w:r>
    </w:p>
    <w:p w:rsidR="00806432" w:rsidRPr="00806432" w:rsidP="00806432" w14:paraId="4F42ABD9" w14:textId="77777777">
      <w:pPr>
        <w:pStyle w:val="ListParagraph"/>
        <w:keepNext/>
        <w:ind w:left="810" w:hanging="810"/>
        <w:rPr>
          <w:i/>
          <w:iCs/>
        </w:rPr>
      </w:pPr>
      <w:r w:rsidRPr="00806432">
        <w:rPr>
          <w:i/>
          <w:iCs/>
        </w:rPr>
        <w:t>Other</w:t>
      </w:r>
    </w:p>
    <w:p w:rsidR="00806432" w:rsidP="00806432" w14:paraId="4BC78CA8" w14:textId="0E594C52">
      <w:pPr>
        <w:pStyle w:val="ListParagraph"/>
        <w:keepNext/>
        <w:ind w:left="810" w:hanging="810"/>
      </w:pPr>
      <w:r>
        <w:t xml:space="preserve">______ Tips for presenting to policymakers (Jon </w:t>
      </w:r>
      <w:r>
        <w:t>Schwabish</w:t>
      </w:r>
      <w:r>
        <w:t xml:space="preserve">, and time to meet with peers—August) </w:t>
      </w:r>
    </w:p>
    <w:p w:rsidR="00806432" w:rsidP="00806432" w14:paraId="416BE74B" w14:textId="77777777">
      <w:pPr>
        <w:pStyle w:val="ListParagraph"/>
        <w:keepNext/>
        <w:ind w:left="810" w:hanging="720"/>
      </w:pPr>
      <w:r>
        <w:t>_____ The two-session annual meeting on sharing emerging findings and hearing updates    from OCC (September)</w:t>
      </w:r>
    </w:p>
    <w:p w:rsidR="00806432" w:rsidP="00806432" w14:paraId="6394EF0D" w14:textId="76785044">
      <w:pPr>
        <w:pStyle w:val="ListParagraph"/>
        <w:keepNext/>
        <w:ind w:hanging="720"/>
      </w:pPr>
      <w:r>
        <w:t>______ Small- and large-group discussion on researcher-agency partnerships</w:t>
      </w:r>
      <w:r w:rsidR="00C90BE8">
        <w:t xml:space="preserve"> and advice to OPRE</w:t>
      </w:r>
      <w:r>
        <w:t xml:space="preserve"> (October)</w:t>
      </w:r>
    </w:p>
    <w:p w:rsidR="00806432" w:rsidP="00B61D2F" w14:paraId="52AD4473" w14:textId="5C27BF33"/>
    <w:p w:rsidR="00B61D2F" w:rsidP="004A6A13" w14:paraId="7C02DB26" w14:textId="77777777"/>
    <w:p w:rsidR="009B69AB" w:rsidP="004A6A13" w14:paraId="54FE0F32" w14:textId="2DBA3FA5">
      <w:r>
        <w:t>Q</w:t>
      </w:r>
      <w:r w:rsidR="002F363C">
        <w:t>4</w:t>
      </w:r>
      <w:r>
        <w:t xml:space="preserve">. </w:t>
      </w:r>
      <w:r w:rsidR="00C62B9F">
        <w:t>I</w:t>
      </w:r>
      <w:r>
        <w:t>n the text box below</w:t>
      </w:r>
      <w:r w:rsidR="00C62B9F">
        <w:t>, feel free to say why a particular session was either not effective or not enjoyable</w:t>
      </w:r>
      <w:r w:rsidR="002F5678">
        <w:t>.</w:t>
      </w:r>
      <w:r w:rsidRPr="00DC2D1C" w:rsidR="00DC2D1C">
        <w:t xml:space="preserve"> </w:t>
      </w:r>
      <w:r w:rsidR="00ED6DB0">
        <w:t xml:space="preserve">Please note which session or speaker you are commenting on. </w:t>
      </w:r>
      <w:r w:rsidR="00C62B9F">
        <w:t>Please note these comments will not be shared with the speakers themselves.</w:t>
      </w:r>
    </w:p>
    <w:p w:rsidR="004A6A13" w:rsidP="004A6A13" w14:paraId="73B9000E" w14:textId="77777777">
      <w:pPr>
        <w:pStyle w:val="ListParagraph"/>
        <w:keepNext/>
        <w:ind w:left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62865</wp:posOffset>
                </wp:positionV>
                <wp:extent cx="4824730" cy="688975"/>
                <wp:effectExtent l="0" t="0" r="13970" b="15875"/>
                <wp:wrapSquare wrapText="bothSides"/>
                <wp:docPr id="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73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61C" w:rsidP="004A6A13" w14:textId="5E9DD244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379.9pt;height:54.25pt;margin-top:4.95pt;margin-left:19.9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9B661C" w:rsidP="004A6A13" w14:paraId="655A8641" w14:textId="5E9DD244"/>
                  </w:txbxContent>
                </v:textbox>
                <w10:wrap type="square"/>
              </v:shape>
            </w:pict>
          </mc:Fallback>
        </mc:AlternateContent>
      </w:r>
    </w:p>
    <w:p w:rsidR="004A6A13" w:rsidP="004A6A13" w14:paraId="1B441CE3" w14:textId="77777777">
      <w:pPr>
        <w:pStyle w:val="ListParagraph"/>
        <w:keepNext/>
        <w:ind w:left="1440"/>
      </w:pPr>
    </w:p>
    <w:p w:rsidR="004A6A13" w:rsidP="004A6A13" w14:paraId="1F14F76D" w14:textId="6A21F8CE">
      <w:pPr>
        <w:pStyle w:val="ListParagraph"/>
        <w:keepNext/>
        <w:ind w:left="1440"/>
      </w:pPr>
    </w:p>
    <w:p w:rsidR="00721D5B" w:rsidP="004A6A13" w14:paraId="3452DF23" w14:textId="6A47158F">
      <w:pPr>
        <w:pStyle w:val="ListParagraph"/>
        <w:keepNext/>
        <w:ind w:left="1440"/>
      </w:pPr>
    </w:p>
    <w:p w:rsidR="000369E6" w:rsidP="004A6A13" w14:paraId="43181DBD" w14:textId="77777777">
      <w:pPr>
        <w:pStyle w:val="ListParagraph"/>
        <w:keepNext/>
        <w:ind w:left="1440"/>
      </w:pPr>
    </w:p>
    <w:p w:rsidR="004A6A13" w:rsidP="004A6A13" w14:paraId="0264C49A" w14:textId="77777777">
      <w:pPr>
        <w:pStyle w:val="ListParagraph"/>
        <w:keepNext/>
        <w:ind w:left="1440"/>
      </w:pPr>
    </w:p>
    <w:p w:rsidR="004A6A13" w:rsidP="004A6A13" w14:paraId="6ED6FDAB" w14:textId="77777777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8"/>
        <w:gridCol w:w="8002"/>
      </w:tblGrid>
      <w:tr w14:paraId="253742F6" w14:textId="77777777" w:rsidTr="001C05B1">
        <w:tblPrEx>
          <w:tblW w:w="0" w:type="auto"/>
          <w:tblInd w:w="10" w:type="dxa"/>
          <w:tblCellMar>
            <w:left w:w="10" w:type="dxa"/>
            <w:right w:w="10" w:type="dxa"/>
          </w:tblCellMar>
          <w:tblLook w:val="04A0"/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A6A13" w:rsidP="001C05B1" w14:paraId="48CE6C07" w14:textId="77777777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4A6A13" w:rsidP="001C05B1" w14:paraId="32133078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D2130A" w:rsidP="00B61D2F" w14:paraId="14035628" w14:textId="77777777"/>
    <w:p w:rsidR="00D2130A" w14:paraId="0E7D0D1C" w14:textId="7E3BEF33">
      <w:r>
        <w:br w:type="page"/>
      </w:r>
    </w:p>
    <w:p w:rsidR="000369E6" w:rsidP="00B61D2F" w14:paraId="2B35BDB0" w14:textId="36B6438E">
      <w:r>
        <w:t xml:space="preserve">We provide </w:t>
      </w:r>
      <w:r>
        <w:rPr>
          <w:b/>
        </w:rPr>
        <w:t>various formats to support you in learning</w:t>
      </w:r>
      <w:r>
        <w:t xml:space="preserve"> from each other and experts during the CoP meetings. During</w:t>
      </w:r>
      <w:r w:rsidR="00BA3648">
        <w:t xml:space="preserve"> </w:t>
      </w:r>
      <w:r>
        <w:t>monthly CoP meetings</w:t>
      </w:r>
      <w:r w:rsidR="002F0D67">
        <w:t xml:space="preserve"> in 20</w:t>
      </w:r>
      <w:r w:rsidR="009C0388">
        <w:t>2</w:t>
      </w:r>
      <w:r w:rsidR="008F3877">
        <w:t>2</w:t>
      </w:r>
      <w:r>
        <w:t xml:space="preserve">, we had </w:t>
      </w:r>
      <w:r w:rsidR="00DC2D1C">
        <w:t>3</w:t>
      </w:r>
      <w:r w:rsidRPr="00E77335" w:rsidR="00084BD0">
        <w:t xml:space="preserve"> </w:t>
      </w:r>
      <w:r w:rsidR="00BA771D">
        <w:t xml:space="preserve">expert presentations to the </w:t>
      </w:r>
      <w:r w:rsidRPr="00E77335" w:rsidR="00471328">
        <w:t>full group</w:t>
      </w:r>
      <w:r w:rsidR="00DC2D1C">
        <w:t xml:space="preserve">, </w:t>
      </w:r>
      <w:r w:rsidR="00C62B9F">
        <w:t>5</w:t>
      </w:r>
      <w:r w:rsidRPr="00E77335" w:rsidR="00084BD0">
        <w:t xml:space="preserve"> </w:t>
      </w:r>
      <w:r>
        <w:t>times to break into small groups,</w:t>
      </w:r>
      <w:r w:rsidR="00DC2D1C">
        <w:t xml:space="preserve"> </w:t>
      </w:r>
      <w:r w:rsidR="00BA771D">
        <w:t xml:space="preserve">and 1 meeting </w:t>
      </w:r>
      <w:r w:rsidR="00C62B9F">
        <w:t xml:space="preserve">(in October) </w:t>
      </w:r>
      <w:r w:rsidR="00BA771D">
        <w:t>combining small- and large-group discussions</w:t>
      </w:r>
      <w:r w:rsidR="00DC2D1C">
        <w:t>.</w:t>
      </w:r>
      <w:r w:rsidR="004C4303">
        <w:t xml:space="preserve"> </w:t>
      </w:r>
      <w:r>
        <w:t xml:space="preserve">We also had </w:t>
      </w:r>
      <w:r w:rsidR="00ED6DB0">
        <w:t xml:space="preserve">an </w:t>
      </w:r>
      <w:r>
        <w:t>annual meeting</w:t>
      </w:r>
      <w:r w:rsidR="008F3877">
        <w:t xml:space="preserve"> with </w:t>
      </w:r>
      <w:r w:rsidR="00ED6DB0">
        <w:t xml:space="preserve">four hours </w:t>
      </w:r>
      <w:r w:rsidR="004D32B5">
        <w:t>to</w:t>
      </w:r>
      <w:r w:rsidR="00ED6DB0">
        <w:t xml:space="preserve"> </w:t>
      </w:r>
      <w:r w:rsidR="004D32B5">
        <w:t>share</w:t>
      </w:r>
      <w:r w:rsidR="00ED6DB0">
        <w:t xml:space="preserve"> </w:t>
      </w:r>
      <w:r w:rsidR="00DC2D1C">
        <w:t xml:space="preserve">grant teams’ findings and </w:t>
      </w:r>
      <w:r w:rsidR="004D32B5">
        <w:t>hear from</w:t>
      </w:r>
      <w:r w:rsidR="00ED6DB0">
        <w:t xml:space="preserve"> federal </w:t>
      </w:r>
      <w:r w:rsidR="00DC2D1C">
        <w:t xml:space="preserve">staff. </w:t>
      </w:r>
    </w:p>
    <w:p w:rsidR="0091465A" w:rsidP="0091465A" w14:paraId="49E29D7F" w14:textId="77777777">
      <w:pPr>
        <w:pStyle w:val="ListParagraph"/>
        <w:keepNext/>
        <w:ind w:left="0"/>
      </w:pPr>
    </w:p>
    <w:p w:rsidR="00B5447C" w14:paraId="36074E12" w14:textId="15C0F77E">
      <w:pPr>
        <w:keepNext/>
      </w:pPr>
      <w:r>
        <w:t>Please let us know if we got the balance “right” from your perspective. </w:t>
      </w:r>
    </w:p>
    <w:p w:rsidR="00B5447C" w14:paraId="514AE826" w14:textId="77777777"/>
    <w:p w:rsidR="00B5447C" w14:paraId="41B8CAF4" w14:textId="77777777">
      <w:pPr>
        <w:pStyle w:val="QuestionSeparator"/>
      </w:pPr>
    </w:p>
    <w:p w:rsidR="00B5447C" w14:paraId="694EC19D" w14:textId="77777777"/>
    <w:p w:rsidR="00B5447C" w14:paraId="0D668F1C" w14:textId="0EC187EF">
      <w:pPr>
        <w:keepNext/>
      </w:pPr>
      <w:r>
        <w:t>Q</w:t>
      </w:r>
      <w:r w:rsidR="00A15169">
        <w:t>5</w:t>
      </w:r>
      <w:r>
        <w:t xml:space="preserve">. </w:t>
      </w:r>
      <w:r w:rsidR="001717A8">
        <w:t xml:space="preserve">Reflecting across the year, please </w:t>
      </w:r>
      <w:r w:rsidR="001418A6">
        <w:t>mark the circle</w:t>
      </w:r>
      <w:r w:rsidR="001717A8">
        <w:t xml:space="preserve"> that best reflects your perspective on </w:t>
      </w:r>
      <w:r w:rsidRPr="00160E92" w:rsidR="001717A8">
        <w:rPr>
          <w:b/>
          <w:bCs/>
        </w:rPr>
        <w:t>the amount of time</w:t>
      </w:r>
      <w:r w:rsidR="001717A8">
        <w:t xml:space="preserve"> scheduled for each format.</w:t>
      </w:r>
    </w:p>
    <w:tbl>
      <w:tblPr>
        <w:tblStyle w:val="QQuestionTable"/>
        <w:tblW w:w="9576" w:type="auto"/>
        <w:tblLook w:val="07E0"/>
      </w:tblPr>
      <w:tblGrid>
        <w:gridCol w:w="2357"/>
        <w:gridCol w:w="2333"/>
        <w:gridCol w:w="2330"/>
        <w:gridCol w:w="2340"/>
      </w:tblGrid>
      <w:tr w14:paraId="03CF19DD" w14:textId="77777777" w:rsidTr="00B5447C">
        <w:tblPrEx>
          <w:tblW w:w="9576" w:type="auto"/>
          <w:tblLook w:val="07E0"/>
        </w:tblPrEx>
        <w:tc>
          <w:tcPr>
            <w:tcW w:w="2394" w:type="dxa"/>
          </w:tcPr>
          <w:p w:rsidR="00B5447C" w:rsidRPr="00312F07" w14:paraId="328CEE4E" w14:textId="77777777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B5447C" w:rsidRPr="00312F07" w14:paraId="639EE499" w14:textId="4C0F396C">
            <w:pPr>
              <w:rPr>
                <w:sz w:val="20"/>
                <w:szCs w:val="20"/>
              </w:rPr>
            </w:pPr>
            <w:r w:rsidRPr="00312F07">
              <w:rPr>
                <w:sz w:val="20"/>
                <w:szCs w:val="20"/>
              </w:rPr>
              <w:t>Too much</w:t>
            </w:r>
          </w:p>
        </w:tc>
        <w:tc>
          <w:tcPr>
            <w:tcW w:w="2394" w:type="dxa"/>
          </w:tcPr>
          <w:p w:rsidR="00B5447C" w:rsidRPr="00312F07" w14:paraId="61B4BF9C" w14:textId="2DCDC49E">
            <w:pPr>
              <w:rPr>
                <w:sz w:val="20"/>
                <w:szCs w:val="20"/>
              </w:rPr>
            </w:pPr>
            <w:r w:rsidRPr="00312F07">
              <w:rPr>
                <w:sz w:val="20"/>
                <w:szCs w:val="20"/>
              </w:rPr>
              <w:t>Just righ</w:t>
            </w:r>
            <w:r w:rsidRPr="00312F07" w:rsidR="00356A04">
              <w:rPr>
                <w:sz w:val="20"/>
                <w:szCs w:val="20"/>
              </w:rPr>
              <w:t>t</w:t>
            </w:r>
          </w:p>
        </w:tc>
        <w:tc>
          <w:tcPr>
            <w:tcW w:w="2394" w:type="dxa"/>
          </w:tcPr>
          <w:p w:rsidR="00B5447C" w:rsidRPr="00312F07" w14:paraId="6E27B170" w14:textId="152BD657">
            <w:pPr>
              <w:rPr>
                <w:sz w:val="20"/>
                <w:szCs w:val="20"/>
              </w:rPr>
            </w:pPr>
            <w:r w:rsidRPr="00312F07">
              <w:rPr>
                <w:sz w:val="20"/>
                <w:szCs w:val="20"/>
              </w:rPr>
              <w:t>Not enough</w:t>
            </w:r>
          </w:p>
        </w:tc>
      </w:tr>
      <w:tr w14:paraId="3A4A8320" w14:textId="77777777" w:rsidTr="00B5447C">
        <w:tblPrEx>
          <w:tblW w:w="9576" w:type="auto"/>
          <w:tblLook w:val="07E0"/>
        </w:tblPrEx>
        <w:tc>
          <w:tcPr>
            <w:tcW w:w="2394" w:type="dxa"/>
          </w:tcPr>
          <w:p w:rsidR="00B5447C" w:rsidRPr="00312F07" w14:paraId="3B1FF6A5" w14:textId="3D4EC5CE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312F07" w:rsidR="001717A8">
              <w:rPr>
                <w:sz w:val="20"/>
                <w:szCs w:val="20"/>
              </w:rPr>
              <w:t xml:space="preserve">earing from experts </w:t>
            </w:r>
          </w:p>
        </w:tc>
        <w:tc>
          <w:tcPr>
            <w:tcW w:w="2394" w:type="dxa"/>
          </w:tcPr>
          <w:p w:rsidR="00B5447C" w:rsidRPr="00312F07" w14:paraId="5445FD18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B5447C" w:rsidRPr="00312F07" w14:paraId="1C0B63CD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B5447C" w:rsidRPr="00312F07" w14:paraId="7C008064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  <w:tr w14:paraId="1DFCF60D" w14:textId="77777777" w:rsidTr="00B5447C">
        <w:tblPrEx>
          <w:tblW w:w="9576" w:type="auto"/>
          <w:tblLook w:val="07E0"/>
        </w:tblPrEx>
        <w:tc>
          <w:tcPr>
            <w:tcW w:w="2394" w:type="dxa"/>
          </w:tcPr>
          <w:p w:rsidR="00B5447C" w:rsidRPr="00312F07" w14:paraId="579533C5" w14:textId="5585648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12F07" w:rsidR="001717A8">
              <w:rPr>
                <w:sz w:val="20"/>
                <w:szCs w:val="20"/>
              </w:rPr>
              <w:t>iscuss</w:t>
            </w:r>
            <w:r>
              <w:rPr>
                <w:sz w:val="20"/>
                <w:szCs w:val="20"/>
              </w:rPr>
              <w:t>ing</w:t>
            </w:r>
            <w:r w:rsidRPr="00312F07" w:rsidR="001717A8">
              <w:rPr>
                <w:sz w:val="20"/>
                <w:szCs w:val="20"/>
              </w:rPr>
              <w:t xml:space="preserve"> challenges and solutions as a whole group </w:t>
            </w:r>
          </w:p>
        </w:tc>
        <w:tc>
          <w:tcPr>
            <w:tcW w:w="2394" w:type="dxa"/>
          </w:tcPr>
          <w:p w:rsidR="00B5447C" w:rsidRPr="00312F07" w14:paraId="11F001E8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B5447C" w:rsidRPr="00312F07" w14:paraId="3F85E5FE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B5447C" w:rsidRPr="00312F07" w14:paraId="0ED50A68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  <w:tr w14:paraId="3FA7DBA2" w14:textId="77777777" w:rsidTr="00B5447C">
        <w:tblPrEx>
          <w:tblW w:w="9576" w:type="auto"/>
          <w:tblLook w:val="07E0"/>
        </w:tblPrEx>
        <w:tc>
          <w:tcPr>
            <w:tcW w:w="2394" w:type="dxa"/>
          </w:tcPr>
          <w:p w:rsidR="00B5447C" w:rsidRPr="00312F07" w14:paraId="0C780207" w14:textId="10C9705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12F07" w:rsidR="001717A8">
              <w:rPr>
                <w:sz w:val="20"/>
                <w:szCs w:val="20"/>
              </w:rPr>
              <w:t>iscuss</w:t>
            </w:r>
            <w:r>
              <w:rPr>
                <w:sz w:val="20"/>
                <w:szCs w:val="20"/>
              </w:rPr>
              <w:t>ing</w:t>
            </w:r>
            <w:r w:rsidRPr="00312F07" w:rsidR="001717A8">
              <w:rPr>
                <w:sz w:val="20"/>
                <w:szCs w:val="20"/>
              </w:rPr>
              <w:t xml:space="preserve"> challenges and solutions in small groups </w:t>
            </w:r>
          </w:p>
        </w:tc>
        <w:tc>
          <w:tcPr>
            <w:tcW w:w="2394" w:type="dxa"/>
          </w:tcPr>
          <w:p w:rsidR="00B5447C" w:rsidRPr="00312F07" w14:paraId="72F28DF2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B5447C" w:rsidRPr="00312F07" w14:paraId="5E3C8116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B5447C" w:rsidRPr="00312F07" w14:paraId="523112B7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  <w:tr w14:paraId="09FCA2B7" w14:textId="77777777" w:rsidTr="00B5447C">
        <w:tblPrEx>
          <w:tblW w:w="9576" w:type="auto"/>
          <w:tblLook w:val="07E0"/>
        </w:tblPrEx>
        <w:tc>
          <w:tcPr>
            <w:tcW w:w="2394" w:type="dxa"/>
          </w:tcPr>
          <w:p w:rsidR="00C62B9F" w:rsidRPr="00312F07" w14:paraId="7FC603F4" w14:textId="7C4131B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from OPRE project officers</w:t>
            </w:r>
          </w:p>
        </w:tc>
        <w:tc>
          <w:tcPr>
            <w:tcW w:w="2394" w:type="dxa"/>
          </w:tcPr>
          <w:p w:rsidR="00C62B9F" w:rsidRPr="00312F07" w14:paraId="6A929A94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C62B9F" w:rsidRPr="00312F07" w14:paraId="1541122F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C62B9F" w:rsidRPr="00312F07" w14:paraId="7C63568F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  <w:tr w14:paraId="26C17FCB" w14:textId="77777777" w:rsidTr="00B5447C">
        <w:tblPrEx>
          <w:tblW w:w="9576" w:type="auto"/>
          <w:tblLook w:val="07E0"/>
        </w:tblPrEx>
        <w:tc>
          <w:tcPr>
            <w:tcW w:w="2394" w:type="dxa"/>
          </w:tcPr>
          <w:p w:rsidR="00B5447C" w:rsidRPr="00312F07" w14:paraId="25A1B7EF" w14:textId="657D5662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312F07" w:rsidR="001717A8">
              <w:rPr>
                <w:sz w:val="20"/>
                <w:szCs w:val="20"/>
              </w:rPr>
              <w:t xml:space="preserve">eeting with </w:t>
            </w:r>
            <w:r>
              <w:rPr>
                <w:sz w:val="20"/>
                <w:szCs w:val="20"/>
              </w:rPr>
              <w:t xml:space="preserve">other </w:t>
            </w:r>
            <w:r w:rsidRPr="00312F07" w:rsidR="001717A8">
              <w:rPr>
                <w:sz w:val="20"/>
                <w:szCs w:val="20"/>
              </w:rPr>
              <w:t xml:space="preserve">federal staff </w:t>
            </w:r>
          </w:p>
        </w:tc>
        <w:tc>
          <w:tcPr>
            <w:tcW w:w="2394" w:type="dxa"/>
          </w:tcPr>
          <w:p w:rsidR="00B5447C" w:rsidRPr="00312F07" w14:paraId="481A1CBF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B5447C" w:rsidRPr="00312F07" w14:paraId="2CCDABD2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B5447C" w:rsidRPr="00312F07" w14:paraId="6945685C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  <w:tr w14:paraId="2ABA12C6" w14:textId="77777777" w:rsidTr="00B5447C">
        <w:tblPrEx>
          <w:tblW w:w="9576" w:type="auto"/>
          <w:tblLook w:val="07E0"/>
        </w:tblPrEx>
        <w:tc>
          <w:tcPr>
            <w:tcW w:w="2394" w:type="dxa"/>
          </w:tcPr>
          <w:p w:rsidR="004A6A13" w:rsidRPr="00312F07" w14:paraId="74AA4B9B" w14:textId="2C28930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etwork</w:t>
            </w:r>
            <w:r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and collaborat</w:t>
            </w:r>
            <w:r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with other grantees</w:t>
            </w:r>
          </w:p>
        </w:tc>
        <w:tc>
          <w:tcPr>
            <w:tcW w:w="2394" w:type="dxa"/>
          </w:tcPr>
          <w:p w:rsidR="004A6A13" w:rsidRPr="00312F07" w14:paraId="44237F48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4A6A13" w:rsidRPr="00312F07" w14:paraId="20D6BE4E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4A6A13" w:rsidRPr="00312F07" w14:paraId="694F854F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  <w:tr w14:paraId="3A5859DE" w14:textId="77777777" w:rsidTr="00B5447C">
        <w:tblPrEx>
          <w:tblW w:w="9576" w:type="auto"/>
          <w:tblLook w:val="07E0"/>
        </w:tblPrEx>
        <w:tc>
          <w:tcPr>
            <w:tcW w:w="2394" w:type="dxa"/>
          </w:tcPr>
          <w:p w:rsidR="004A6A13" w:rsidRPr="00312F07" w14:paraId="0E27823B" w14:textId="61DCC033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har</w:t>
            </w:r>
            <w:r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and discuss</w:t>
            </w:r>
            <w:r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my project </w:t>
            </w:r>
          </w:p>
        </w:tc>
        <w:tc>
          <w:tcPr>
            <w:tcW w:w="2394" w:type="dxa"/>
          </w:tcPr>
          <w:p w:rsidR="004A6A13" w:rsidRPr="00312F07" w14:paraId="1CBBDBB1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4A6A13" w:rsidRPr="00312F07" w14:paraId="6DE7C900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4A6A13" w:rsidRPr="00312F07" w14:paraId="7016EB93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  <w:tr w14:paraId="50849356" w14:textId="77777777" w:rsidTr="00B5447C">
        <w:tblPrEx>
          <w:tblW w:w="9576" w:type="auto"/>
          <w:tblLook w:val="07E0"/>
        </w:tblPrEx>
        <w:tc>
          <w:tcPr>
            <w:tcW w:w="2394" w:type="dxa"/>
          </w:tcPr>
          <w:p w:rsidR="004A6A13" w:rsidRPr="00312F07" w14:paraId="579F2FC6" w14:textId="1AFCF9DE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earn</w:t>
            </w:r>
            <w:r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about other projects </w:t>
            </w:r>
          </w:p>
        </w:tc>
        <w:tc>
          <w:tcPr>
            <w:tcW w:w="2394" w:type="dxa"/>
          </w:tcPr>
          <w:p w:rsidR="004A6A13" w:rsidRPr="00312F07" w14:paraId="10F8A609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4A6A13" w:rsidRPr="00312F07" w14:paraId="2E065859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4A6A13" w:rsidRPr="00312F07" w14:paraId="44782732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</w:tbl>
    <w:p w:rsidR="00B5447C" w14:paraId="71C767BD" w14:textId="77777777">
      <w:r>
        <w:br w:type="page"/>
      </w:r>
    </w:p>
    <w:p w:rsidR="00B5447C" w14:paraId="09E3A105" w14:textId="77777777"/>
    <w:p w:rsidR="00B5447C" w14:paraId="07D02DB1" w14:textId="77777777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8"/>
        <w:gridCol w:w="8002"/>
      </w:tblGrid>
      <w:tr w14:paraId="68E58ED0" w14:textId="77777777" w:rsidTr="00805ED5">
        <w:tblPrEx>
          <w:tblW w:w="0" w:type="auto"/>
          <w:tblInd w:w="10" w:type="dxa"/>
          <w:tblCellMar>
            <w:left w:w="10" w:type="dxa"/>
            <w:right w:w="10" w:type="dxa"/>
          </w:tblCellMar>
          <w:tblLook w:val="04A0"/>
        </w:tblPrEx>
        <w:trPr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B5447C" w14:paraId="5875A26B" w14:textId="77777777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002" w:type="dxa"/>
            <w:tcBorders>
              <w:top w:val="nil"/>
              <w:left w:val="nil"/>
              <w:bottom w:val="nil"/>
              <w:right w:val="nil"/>
            </w:tcBorders>
          </w:tcPr>
          <w:p w:rsidR="00B5447C" w14:paraId="33E4BAF8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805ED5" w:rsidP="00805ED5" w14:paraId="1EC0B4AD" w14:textId="0134D28F">
      <w:pPr>
        <w:keepNext/>
      </w:pPr>
      <w:r>
        <w:t>Q</w:t>
      </w:r>
      <w:r w:rsidR="007D75C6">
        <w:t>6</w:t>
      </w:r>
      <w:r>
        <w:t xml:space="preserve">. Reflecting across the </w:t>
      </w:r>
      <w:r w:rsidR="00C90BE8">
        <w:t xml:space="preserve">past </w:t>
      </w:r>
      <w:r>
        <w:t xml:space="preserve">year, please mark the circle below that best reflects your perspective on the </w:t>
      </w:r>
      <w:r>
        <w:t>CoP</w:t>
      </w:r>
      <w:r w:rsidR="00BB7E04">
        <w:t>.</w:t>
      </w:r>
      <w:r w:rsidR="00BB7E04">
        <w:t xml:space="preserve"> </w:t>
      </w:r>
      <w:r w:rsidR="007A144D">
        <w:t>[If you did not attend the annual meeting, please leave blank]</w:t>
      </w:r>
    </w:p>
    <w:tbl>
      <w:tblPr>
        <w:tblStyle w:val="QQuestionTable"/>
        <w:tblW w:w="0" w:type="auto"/>
        <w:tblLook w:val="07E0"/>
      </w:tblPr>
      <w:tblGrid>
        <w:gridCol w:w="1890"/>
        <w:gridCol w:w="1260"/>
        <w:gridCol w:w="1170"/>
        <w:gridCol w:w="2070"/>
        <w:gridCol w:w="1350"/>
        <w:gridCol w:w="1620"/>
      </w:tblGrid>
      <w:tr w14:paraId="5EFBFE8A" w14:textId="6D2C34B0" w:rsidTr="00DF744B">
        <w:tblPrEx>
          <w:tblW w:w="0" w:type="auto"/>
          <w:tblLook w:val="07E0"/>
        </w:tblPrEx>
        <w:tc>
          <w:tcPr>
            <w:tcW w:w="1890" w:type="dxa"/>
          </w:tcPr>
          <w:p w:rsidR="00935A2F" w:rsidRPr="00312F07" w:rsidP="001C05B1" w14:paraId="61E00213" w14:textId="77777777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35A2F" w:rsidRPr="00312F07" w:rsidP="001C05B1" w14:paraId="69BC79B4" w14:textId="1903F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Strongly agree</w:t>
            </w:r>
          </w:p>
        </w:tc>
        <w:tc>
          <w:tcPr>
            <w:tcW w:w="1170" w:type="dxa"/>
          </w:tcPr>
          <w:p w:rsidR="00935A2F" w:rsidRPr="00312F07" w:rsidP="001C05B1" w14:paraId="7E95D052" w14:textId="2A920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2070" w:type="dxa"/>
          </w:tcPr>
          <w:p w:rsidR="00935A2F" w:rsidRPr="00312F07" w:rsidP="001C05B1" w14:paraId="5465C323" w14:textId="506BC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Neither agree nor disagree</w:t>
            </w:r>
          </w:p>
        </w:tc>
        <w:tc>
          <w:tcPr>
            <w:tcW w:w="1350" w:type="dxa"/>
          </w:tcPr>
          <w:p w:rsidR="00935A2F" w:rsidRPr="00312F07" w:rsidP="001C05B1" w14:paraId="7BFCC189" w14:textId="1AB66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Disagree</w:t>
            </w:r>
          </w:p>
        </w:tc>
        <w:tc>
          <w:tcPr>
            <w:tcW w:w="1620" w:type="dxa"/>
          </w:tcPr>
          <w:p w:rsidR="00935A2F" w:rsidRPr="00312F07" w:rsidP="001C05B1" w14:paraId="53EE245F" w14:textId="05772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Strongly Disagree</w:t>
            </w:r>
          </w:p>
        </w:tc>
      </w:tr>
      <w:tr w14:paraId="40ED48C1" w14:textId="71F621A8" w:rsidTr="00DF744B">
        <w:tblPrEx>
          <w:tblW w:w="0" w:type="auto"/>
          <w:tblLook w:val="07E0"/>
        </w:tblPrEx>
        <w:tc>
          <w:tcPr>
            <w:tcW w:w="1890" w:type="dxa"/>
          </w:tcPr>
          <w:p w:rsidR="00935A2F" w:rsidRPr="00312F07" w:rsidP="001C05B1" w14:paraId="0460D266" w14:textId="61839249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Overall, I felt that the monthly CoP was a good use of my time</w:t>
            </w:r>
          </w:p>
        </w:tc>
        <w:tc>
          <w:tcPr>
            <w:tcW w:w="1260" w:type="dxa"/>
          </w:tcPr>
          <w:p w:rsidR="00935A2F" w:rsidRPr="00312F07" w:rsidP="001C05B1" w14:paraId="11743380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35A2F" w:rsidRPr="00312F07" w:rsidP="001C05B1" w14:paraId="31E881EE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935A2F" w:rsidRPr="00312F07" w:rsidP="001C05B1" w14:paraId="3FCD456D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35A2F" w:rsidRPr="00312F07" w:rsidP="001C05B1" w14:paraId="6326F888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35A2F" w:rsidRPr="00312F07" w:rsidP="001C05B1" w14:paraId="0A761F5F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  <w:tr w14:paraId="56C2D559" w14:textId="77777777" w:rsidTr="007A144D">
        <w:tblPrEx>
          <w:tblW w:w="0" w:type="auto"/>
          <w:tblLook w:val="04A0"/>
        </w:tblPrEx>
        <w:tc>
          <w:tcPr>
            <w:tcW w:w="1890" w:type="dxa"/>
          </w:tcPr>
          <w:p w:rsidR="007A144D" w:rsidRPr="00312F07" w:rsidP="002F4CDE" w14:paraId="6E06CC97" w14:textId="2DAF03EA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Overall, I felt that the </w:t>
            </w:r>
            <w:r w:rsidR="00000D9E">
              <w:rPr>
                <w:sz w:val="20"/>
                <w:szCs w:val="20"/>
              </w:rPr>
              <w:t xml:space="preserve">September four-hour </w:t>
            </w:r>
            <w:r>
              <w:rPr>
                <w:sz w:val="20"/>
                <w:szCs w:val="20"/>
              </w:rPr>
              <w:t>virtual annual meeting (with OCC) was a good use of my time</w:t>
            </w:r>
          </w:p>
        </w:tc>
        <w:tc>
          <w:tcPr>
            <w:tcW w:w="1260" w:type="dxa"/>
          </w:tcPr>
          <w:p w:rsidR="007A144D" w:rsidRPr="00312F07" w:rsidP="002F4CDE" w14:paraId="15E3A8D5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A144D" w:rsidRPr="00312F07" w:rsidP="002F4CDE" w14:paraId="59D0A8A7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7A144D" w:rsidRPr="00312F07" w:rsidP="002F4CDE" w14:paraId="34E2EE21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A144D" w:rsidRPr="00312F07" w:rsidP="002F4CDE" w14:paraId="00D62B34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A144D" w:rsidRPr="00312F07" w:rsidP="002F4CDE" w14:paraId="33441ABF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  <w:tr w14:paraId="72339FB1" w14:textId="77777777" w:rsidTr="002F4CDE">
        <w:tblPrEx>
          <w:tblW w:w="0" w:type="auto"/>
          <w:tblLook w:val="04A0"/>
        </w:tblPrEx>
        <w:tc>
          <w:tcPr>
            <w:tcW w:w="1890" w:type="dxa"/>
          </w:tcPr>
          <w:p w:rsidR="007A144D" w:rsidRPr="00312F07" w:rsidP="002F4CDE" w14:paraId="15685140" w14:textId="4A01DFFE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Overall, </w:t>
            </w:r>
            <w:r w:rsidR="00061A27">
              <w:rPr>
                <w:sz w:val="20"/>
                <w:szCs w:val="20"/>
              </w:rPr>
              <w:t>I like having 3</w:t>
            </w:r>
            <w:r w:rsidR="001C6297">
              <w:rPr>
                <w:sz w:val="20"/>
                <w:szCs w:val="20"/>
              </w:rPr>
              <w:t>-4</w:t>
            </w:r>
            <w:r w:rsidR="00061A27">
              <w:rPr>
                <w:sz w:val="20"/>
                <w:szCs w:val="20"/>
              </w:rPr>
              <w:t xml:space="preserve"> meetings a year set aside for </w:t>
            </w:r>
            <w:r w:rsidR="00097907">
              <w:rPr>
                <w:sz w:val="20"/>
                <w:szCs w:val="20"/>
              </w:rPr>
              <w:t xml:space="preserve">concurrent meetings of </w:t>
            </w:r>
            <w:r w:rsidR="00061A27">
              <w:rPr>
                <w:sz w:val="20"/>
                <w:szCs w:val="20"/>
              </w:rPr>
              <w:t xml:space="preserve">the Quant Team, Primary Data Collection </w:t>
            </w:r>
            <w:r w:rsidR="00097907">
              <w:rPr>
                <w:sz w:val="20"/>
                <w:szCs w:val="20"/>
              </w:rPr>
              <w:t>t</w:t>
            </w:r>
            <w:r w:rsidR="00061A27">
              <w:rPr>
                <w:sz w:val="20"/>
                <w:szCs w:val="20"/>
              </w:rPr>
              <w:t>eam, and discussions o</w:t>
            </w:r>
            <w:r w:rsidR="00097907">
              <w:rPr>
                <w:sz w:val="20"/>
                <w:szCs w:val="20"/>
              </w:rPr>
              <w:t>f</w:t>
            </w:r>
            <w:r w:rsidR="00061A27">
              <w:rPr>
                <w:sz w:val="20"/>
                <w:szCs w:val="20"/>
              </w:rPr>
              <w:t xml:space="preserve"> emerging issues</w:t>
            </w:r>
          </w:p>
        </w:tc>
        <w:tc>
          <w:tcPr>
            <w:tcW w:w="1260" w:type="dxa"/>
          </w:tcPr>
          <w:p w:rsidR="007A144D" w:rsidRPr="00312F07" w:rsidP="002F4CDE" w14:paraId="5E01AF8F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A144D" w:rsidRPr="00312F07" w:rsidP="002F4CDE" w14:paraId="01B8DA58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7A144D" w:rsidRPr="00312F07" w:rsidP="002F4CDE" w14:paraId="2B9D09D5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A144D" w:rsidRPr="00312F07" w:rsidP="002F4CDE" w14:paraId="428EFC22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A144D" w:rsidRPr="00312F07" w:rsidP="002F4CDE" w14:paraId="026B8756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</w:tbl>
    <w:p w:rsidR="00935A2F" w:rsidP="00935A2F" w14:paraId="1D875039" w14:textId="53CCD833">
      <w:pPr>
        <w:keepNext/>
      </w:pPr>
    </w:p>
    <w:p w:rsidR="00BB7E04" w:rsidP="00BB7E04" w14:paraId="58C31E63" w14:textId="77777777">
      <w:pPr>
        <w:pStyle w:val="QuestionSeparator"/>
      </w:pPr>
    </w:p>
    <w:p w:rsidR="005816BE" w:rsidP="00BB7E04" w14:paraId="5CE19B2A" w14:textId="3D0B8169">
      <w:pPr>
        <w:keepNext/>
      </w:pPr>
      <w:r>
        <w:t>Q</w:t>
      </w:r>
      <w:r w:rsidR="005B5AEE">
        <w:t>7</w:t>
      </w:r>
      <w:r>
        <w:t xml:space="preserve">. </w:t>
      </w:r>
      <w:r>
        <w:t>In the text box below, p</w:t>
      </w:r>
      <w:r w:rsidR="001717A8">
        <w:t xml:space="preserve">lease </w:t>
      </w:r>
      <w:r w:rsidR="00C62B9F">
        <w:t xml:space="preserve">let us know what you would find useful to support you in the upcoming year.  For example, you might </w:t>
      </w:r>
      <w:r w:rsidR="00CD5C1B">
        <w:t xml:space="preserve">share </w:t>
      </w:r>
      <w:r w:rsidR="00C62B9F">
        <w:t>a</w:t>
      </w:r>
      <w:r w:rsidR="00CD5C1B">
        <w:t xml:space="preserve"> </w:t>
      </w:r>
      <w:r w:rsidR="001717A8">
        <w:t xml:space="preserve">topic </w:t>
      </w:r>
      <w:r w:rsidR="00C62B9F">
        <w:t xml:space="preserve">for an expert presenter.  You also might express interest in a particular content or format for our </w:t>
      </w:r>
      <w:r w:rsidR="001717A8">
        <w:t>monthly CoP meetings between January 202</w:t>
      </w:r>
      <w:r w:rsidR="00C515D5">
        <w:t>3</w:t>
      </w:r>
      <w:r w:rsidR="001717A8">
        <w:t>-</w:t>
      </w:r>
      <w:r w:rsidR="009B661C">
        <w:t xml:space="preserve">November </w:t>
      </w:r>
      <w:r w:rsidR="001717A8">
        <w:t>202</w:t>
      </w:r>
      <w:r w:rsidR="00C515D5">
        <w:t>3</w:t>
      </w:r>
      <w:r w:rsidR="001717A8">
        <w:t>.</w:t>
      </w:r>
      <w:r w:rsidR="000D24A8">
        <w:t xml:space="preserve"> </w:t>
      </w:r>
      <w:r w:rsidR="00CD5C1B">
        <w:t xml:space="preserve"> </w:t>
      </w:r>
    </w:p>
    <w:p w:rsidR="00CD5C1B" w14:paraId="7A9122FF" w14:textId="77777777">
      <w:pPr>
        <w:keepNext/>
        <w:rPr>
          <w:rStyle w:val="CommentReference"/>
        </w:rPr>
      </w:pPr>
    </w:p>
    <w:p w:rsidR="00312F07" w:rsidP="00312F07" w14:paraId="17A460F2" w14:textId="58F671AE">
      <w:pPr>
        <w:keepNext/>
        <w:ind w:left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92710</wp:posOffset>
                </wp:positionV>
                <wp:extent cx="4456430" cy="399415"/>
                <wp:effectExtent l="0" t="0" r="20320" b="19685"/>
                <wp:wrapSquare wrapText="bothSides"/>
                <wp:docPr id="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643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61C" w:rsidP="00312F07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width:350.9pt;height:31.45pt;margin-top:7.3pt;margin-left:19.0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9B661C" w:rsidP="00312F07" w14:paraId="36AA3174" w14:textId="77777777"/>
                  </w:txbxContent>
                </v:textbox>
                <w10:wrap type="square"/>
              </v:shape>
            </w:pict>
          </mc:Fallback>
        </mc:AlternateContent>
      </w:r>
    </w:p>
    <w:p w:rsidR="00312F07" w:rsidP="00312F07" w14:paraId="49D68808" w14:textId="462D6F47">
      <w:pPr>
        <w:keepNext/>
      </w:pPr>
    </w:p>
    <w:p w:rsidR="00312F07" w:rsidP="00312F07" w14:paraId="5812BE80" w14:textId="77777777">
      <w:pPr>
        <w:keepNext/>
      </w:pPr>
    </w:p>
    <w:p w:rsidR="00B5447C" w14:paraId="23D4C950" w14:textId="2A620AAC"/>
    <w:p w:rsidR="00BB7E04" w:rsidP="00BB7E04" w14:paraId="4A2CEA59" w14:textId="77777777">
      <w:pPr>
        <w:pStyle w:val="QuestionSeparator"/>
      </w:pPr>
    </w:p>
    <w:p w:rsidR="001C6297" w14:paraId="6761DA7C" w14:textId="77777777">
      <w:r>
        <w:br w:type="page"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8"/>
        <w:gridCol w:w="8002"/>
      </w:tblGrid>
      <w:tr w14:paraId="40EDB0E5" w14:textId="77777777" w:rsidTr="003A37A4">
        <w:tblPrEx>
          <w:tblW w:w="0" w:type="auto"/>
          <w:tblInd w:w="10" w:type="dxa"/>
          <w:tblCellMar>
            <w:left w:w="10" w:type="dxa"/>
            <w:right w:w="10" w:type="dxa"/>
          </w:tblCellMar>
          <w:tblLook w:val="04A0"/>
        </w:tblPrEx>
        <w:trPr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BB7E04" w:rsidP="003A37A4" w14:paraId="38273804" w14:textId="44FADFA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002" w:type="dxa"/>
            <w:tcBorders>
              <w:top w:val="nil"/>
              <w:left w:val="nil"/>
              <w:bottom w:val="nil"/>
              <w:right w:val="nil"/>
            </w:tcBorders>
          </w:tcPr>
          <w:p w:rsidR="00BB7E04" w:rsidP="003A37A4" w14:paraId="539CC991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5B5AEE" w14:paraId="6B2A2CE8" w14:textId="2EE131F6">
      <w:r>
        <w:t xml:space="preserve">Q8. We are </w:t>
      </w:r>
      <w:r w:rsidR="00FD413A">
        <w:t xml:space="preserve">considering whether next year’s annual meeting should be </w:t>
      </w:r>
      <w:r>
        <w:t>virtual or hybrid</w:t>
      </w:r>
      <w:r w:rsidR="00D60767">
        <w:t xml:space="preserve"> (</w:t>
      </w:r>
      <w:r>
        <w:t>with a</w:t>
      </w:r>
      <w:r w:rsidR="00FD413A">
        <w:t xml:space="preserve">n </w:t>
      </w:r>
      <w:r>
        <w:t>in-person component and a virtual component</w:t>
      </w:r>
      <w:r w:rsidR="00D60767">
        <w:t>)</w:t>
      </w:r>
      <w:r>
        <w:t xml:space="preserve">. Please indicate your interest in attending </w:t>
      </w:r>
      <w:r w:rsidR="00D60767">
        <w:t>a</w:t>
      </w:r>
      <w:r>
        <w:t>n in-person meeting.</w:t>
      </w:r>
      <w:r w:rsidR="0065327D">
        <w:t xml:space="preserve"> </w:t>
      </w:r>
      <w:r w:rsidR="00FD413A">
        <w:t>For purposes of responding to the survey, assume COVID conditions are similar to what they are now and that the meeting follows COVID precautions such as masks, vaccinations and/or testing.</w:t>
      </w:r>
      <w:r w:rsidR="0047181A">
        <w:t xml:space="preserve"> Please click one answer. </w:t>
      </w:r>
    </w:p>
    <w:p w:rsidR="005B5AEE" w14:paraId="51DD2509" w14:textId="2BE2B51E"/>
    <w:p w:rsidR="00FD413A" w:rsidRPr="004C4303" w:rsidP="00060E8D" w14:paraId="5D255EF4" w14:textId="37374FC7">
      <w:pPr>
        <w:spacing w:before="120" w:line="360" w:lineRule="auto"/>
        <w:ind w:left="1080"/>
        <w:rPr>
          <w:rFonts w:asciiTheme="majorHAnsi" w:hAnsiTheme="majorHAnsi" w:cstheme="majorHAnsi"/>
        </w:rPr>
      </w:pPr>
      <w:r w:rsidRPr="004C4303">
        <w:rPr>
          <w:rFonts w:asciiTheme="majorHAnsi" w:hAnsiTheme="majorHAnsi" w:cstheme="majorHAnsi"/>
        </w:rPr>
        <w:t>I would likely attend a day-long in-person meeting in DC</w:t>
      </w:r>
      <w:r w:rsidR="0047181A">
        <w:rPr>
          <w:rFonts w:asciiTheme="majorHAnsi" w:hAnsiTheme="majorHAnsi" w:cstheme="majorHAnsi"/>
        </w:rPr>
        <w:t>.</w:t>
      </w:r>
    </w:p>
    <w:p w:rsidR="004C4303" w:rsidP="00060E8D" w14:paraId="0FB30F28" w14:textId="77777777">
      <w:pPr>
        <w:spacing w:line="360" w:lineRule="auto"/>
        <w:ind w:left="1080"/>
        <w:rPr>
          <w:rFonts w:asciiTheme="majorHAnsi" w:hAnsiTheme="majorHAnsi" w:cstheme="majorHAnsi"/>
        </w:rPr>
      </w:pPr>
      <w:r w:rsidRPr="004C4303">
        <w:rPr>
          <w:rFonts w:eastAsia="Calibri" w:asciiTheme="majorHAnsi" w:hAnsiTheme="majorHAnsi" w:cstheme="majorHAnsi"/>
          <w:bCs/>
        </w:rPr>
        <w:t xml:space="preserve">I would only be interested in attending in-person if </w:t>
      </w:r>
      <w:r w:rsidRPr="004C4303" w:rsidR="00D2130A">
        <w:rPr>
          <w:rFonts w:eastAsia="Calibri" w:asciiTheme="majorHAnsi" w:hAnsiTheme="majorHAnsi" w:cstheme="majorHAnsi"/>
          <w:bCs/>
        </w:rPr>
        <w:t xml:space="preserve">at least </w:t>
      </w:r>
      <w:r w:rsidRPr="004C4303">
        <w:rPr>
          <w:rFonts w:eastAsia="Calibri" w:asciiTheme="majorHAnsi" w:hAnsiTheme="majorHAnsi" w:cstheme="majorHAnsi"/>
          <w:bCs/>
        </w:rPr>
        <w:t>half o</w:t>
      </w:r>
      <w:r w:rsidRPr="004C4303" w:rsidR="00D2130A">
        <w:rPr>
          <w:rFonts w:eastAsia="Calibri" w:asciiTheme="majorHAnsi" w:hAnsiTheme="majorHAnsi" w:cstheme="majorHAnsi"/>
          <w:bCs/>
        </w:rPr>
        <w:t>f</w:t>
      </w:r>
      <w:r w:rsidRPr="004C4303">
        <w:rPr>
          <w:rFonts w:eastAsia="Calibri" w:asciiTheme="majorHAnsi" w:hAnsiTheme="majorHAnsi" w:cstheme="majorHAnsi"/>
          <w:bCs/>
        </w:rPr>
        <w:t xml:space="preserve"> </w:t>
      </w:r>
      <w:r w:rsidRPr="004C4303" w:rsidR="00D2130A">
        <w:rPr>
          <w:rFonts w:eastAsia="Calibri" w:asciiTheme="majorHAnsi" w:hAnsiTheme="majorHAnsi" w:cstheme="majorHAnsi"/>
          <w:bCs/>
        </w:rPr>
        <w:t xml:space="preserve">other attendees </w:t>
      </w:r>
      <w:r w:rsidRPr="004C4303">
        <w:rPr>
          <w:rFonts w:eastAsia="Calibri" w:asciiTheme="majorHAnsi" w:hAnsiTheme="majorHAnsi" w:cstheme="majorHAnsi"/>
          <w:bCs/>
        </w:rPr>
        <w:t xml:space="preserve">are also planning to attend in-person. </w:t>
      </w:r>
    </w:p>
    <w:p w:rsidR="004C4303" w:rsidP="00060E8D" w14:paraId="513595A8" w14:textId="77777777">
      <w:pPr>
        <w:spacing w:line="360" w:lineRule="auto"/>
        <w:ind w:left="1080"/>
        <w:rPr>
          <w:rFonts w:asciiTheme="majorHAnsi" w:hAnsiTheme="majorHAnsi" w:cstheme="majorHAnsi"/>
        </w:rPr>
      </w:pPr>
      <w:r w:rsidRPr="004C4303">
        <w:rPr>
          <w:rFonts w:asciiTheme="majorHAnsi" w:hAnsiTheme="majorHAnsi" w:cstheme="majorHAnsi"/>
        </w:rPr>
        <w:t>I would support a hybrid meeting</w:t>
      </w:r>
      <w:r w:rsidRPr="004C4303" w:rsidR="00D60767">
        <w:rPr>
          <w:rFonts w:asciiTheme="majorHAnsi" w:hAnsiTheme="majorHAnsi" w:cstheme="majorHAnsi"/>
        </w:rPr>
        <w:t xml:space="preserve"> </w:t>
      </w:r>
      <w:r w:rsidRPr="004C4303">
        <w:rPr>
          <w:rFonts w:asciiTheme="majorHAnsi" w:hAnsiTheme="majorHAnsi" w:cstheme="majorHAnsi"/>
        </w:rPr>
        <w:t xml:space="preserve">but would likely attend virtually. </w:t>
      </w:r>
    </w:p>
    <w:p w:rsidR="004C4303" w:rsidP="00060E8D" w14:paraId="72B569DB" w14:textId="6D9E9657">
      <w:pPr>
        <w:spacing w:line="360" w:lineRule="auto"/>
        <w:ind w:left="1080"/>
        <w:rPr>
          <w:rFonts w:asciiTheme="majorHAnsi" w:hAnsiTheme="majorHAnsi" w:cstheme="majorHAnsi"/>
        </w:rPr>
      </w:pPr>
      <w:r w:rsidRPr="004C4303">
        <w:rPr>
          <w:rFonts w:asciiTheme="majorHAnsi" w:hAnsiTheme="majorHAnsi" w:cstheme="majorHAnsi"/>
        </w:rPr>
        <w:t xml:space="preserve">I would prefer a virtual </w:t>
      </w:r>
      <w:r w:rsidR="00553251">
        <w:rPr>
          <w:rFonts w:asciiTheme="majorHAnsi" w:hAnsiTheme="majorHAnsi" w:cstheme="majorHAnsi"/>
        </w:rPr>
        <w:t xml:space="preserve">annual </w:t>
      </w:r>
      <w:r w:rsidRPr="004C4303">
        <w:rPr>
          <w:rFonts w:asciiTheme="majorHAnsi" w:hAnsiTheme="majorHAnsi" w:cstheme="majorHAnsi"/>
        </w:rPr>
        <w:t xml:space="preserve">meeting </w:t>
      </w:r>
      <w:r w:rsidRPr="004C4303" w:rsidR="00D0765E">
        <w:rPr>
          <w:rFonts w:asciiTheme="majorHAnsi" w:hAnsiTheme="majorHAnsi" w:cstheme="majorHAnsi"/>
        </w:rPr>
        <w:t xml:space="preserve">such as the one held </w:t>
      </w:r>
      <w:r w:rsidR="00553251">
        <w:rPr>
          <w:rFonts w:asciiTheme="majorHAnsi" w:hAnsiTheme="majorHAnsi" w:cstheme="majorHAnsi"/>
        </w:rPr>
        <w:t>in September</w:t>
      </w:r>
      <w:r w:rsidRPr="004C4303" w:rsidR="00D0765E">
        <w:rPr>
          <w:rFonts w:asciiTheme="majorHAnsi" w:hAnsiTheme="majorHAnsi" w:cstheme="majorHAnsi"/>
        </w:rPr>
        <w:t xml:space="preserve">. </w:t>
      </w:r>
    </w:p>
    <w:p w:rsidR="00FD413A" w:rsidRPr="004C4303" w:rsidP="00060E8D" w14:paraId="1DFF733D" w14:textId="078D8460">
      <w:pPr>
        <w:spacing w:line="360" w:lineRule="auto"/>
        <w:ind w:left="1080"/>
        <w:rPr>
          <w:rFonts w:asciiTheme="majorHAnsi" w:hAnsiTheme="majorHAnsi" w:cstheme="majorHAnsi"/>
        </w:rPr>
      </w:pPr>
      <w:r w:rsidRPr="004C4303">
        <w:rPr>
          <w:rFonts w:asciiTheme="majorHAnsi" w:hAnsiTheme="majorHAnsi" w:cstheme="majorHAnsi"/>
        </w:rPr>
        <w:t>Other</w:t>
      </w:r>
      <w:r w:rsidR="004C4303">
        <w:rPr>
          <w:rFonts w:asciiTheme="majorHAnsi" w:hAnsiTheme="majorHAnsi" w:cstheme="majorHAnsi"/>
        </w:rPr>
        <w:t xml:space="preserve">. </w:t>
      </w:r>
    </w:p>
    <w:p w:rsidR="005B5AEE" w:rsidP="00060E8D" w14:paraId="37EDBFE1" w14:textId="692F220F">
      <w:pPr>
        <w:pStyle w:val="ListParagraph"/>
        <w:numPr>
          <w:ilvl w:val="4"/>
          <w:numId w:val="4"/>
        </w:numPr>
        <w:spacing w:line="360" w:lineRule="auto"/>
      </w:pPr>
      <w:r w:rsidRPr="00D60767">
        <w:rPr>
          <w:rFonts w:asciiTheme="majorHAnsi" w:hAnsiTheme="majorHAnsi" w:cstheme="majorHAnsi"/>
        </w:rPr>
        <w:t>If other, please specify</w:t>
      </w:r>
      <w:r>
        <w:t xml:space="preserve">. </w:t>
      </w:r>
    </w:p>
    <w:p w:rsidR="005B5AEE" w14:paraId="2BB197A9" w14:textId="77777777"/>
    <w:p w:rsidR="00494616" w:rsidP="00494616" w14:paraId="136CA812" w14:textId="77777777">
      <w:pPr>
        <w:pStyle w:val="QuestionSeparator"/>
      </w:pPr>
    </w:p>
    <w:p w:rsidR="001C6297" w14:paraId="4409A779" w14:textId="77777777">
      <w:r>
        <w:br w:type="page"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8"/>
        <w:gridCol w:w="8002"/>
      </w:tblGrid>
      <w:tr w14:paraId="528CF6ED" w14:textId="77777777" w:rsidTr="00160E92">
        <w:tblPrEx>
          <w:tblW w:w="0" w:type="auto"/>
          <w:tblInd w:w="10" w:type="dxa"/>
          <w:tblCellMar>
            <w:left w:w="10" w:type="dxa"/>
            <w:right w:w="10" w:type="dxa"/>
          </w:tblCellMar>
          <w:tblLook w:val="04A0"/>
        </w:tblPrEx>
        <w:trPr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494616" w:rsidP="00121B8D" w14:paraId="4A78785B" w14:textId="5609763B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002" w:type="dxa"/>
            <w:tcBorders>
              <w:top w:val="nil"/>
              <w:left w:val="nil"/>
              <w:bottom w:val="nil"/>
              <w:right w:val="nil"/>
            </w:tcBorders>
          </w:tcPr>
          <w:p w:rsidR="00494616" w:rsidP="00121B8D" w14:paraId="0AAE0F48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494616" w14:paraId="46000D55" w14:textId="77777777">
      <w:pPr>
        <w:keepNext/>
      </w:pPr>
    </w:p>
    <w:p w:rsidR="00B5447C" w14:paraId="162CF628" w14:textId="3268457F">
      <w:pPr>
        <w:keepNext/>
      </w:pPr>
      <w:r>
        <w:t>Q</w:t>
      </w:r>
      <w:r w:rsidR="00D0765E">
        <w:t>9</w:t>
      </w:r>
      <w:r>
        <w:t xml:space="preserve">. </w:t>
      </w:r>
      <w:r w:rsidR="001717A8">
        <w:t xml:space="preserve">What is your grantee role? Please </w:t>
      </w:r>
      <w:r w:rsidR="001418A6">
        <w:t xml:space="preserve">click on </w:t>
      </w:r>
      <w:r w:rsidR="001717A8">
        <w:t>one answer.</w:t>
      </w:r>
    </w:p>
    <w:p w:rsidR="004C4303" w:rsidP="009223C2" w14:paraId="726709D0" w14:textId="77777777">
      <w:pPr>
        <w:pStyle w:val="ListParagraph"/>
        <w:keepNext/>
        <w:spacing w:before="120" w:line="240" w:lineRule="auto"/>
        <w:ind w:left="360"/>
      </w:pPr>
      <w:r>
        <w:t>CCDF Lead Agency staff</w:t>
      </w:r>
    </w:p>
    <w:p w:rsidR="00DE4D8C" w:rsidP="009223C2" w14:paraId="0189E5C2" w14:textId="54F5BD2B">
      <w:pPr>
        <w:pStyle w:val="ListParagraph"/>
        <w:keepNext/>
        <w:spacing w:before="120" w:line="240" w:lineRule="auto"/>
        <w:ind w:left="360"/>
      </w:pPr>
      <w:r>
        <w:t>Principal Investigator or co-PI on grantee external research team</w:t>
      </w:r>
    </w:p>
    <w:p w:rsidR="00DE4D8C" w:rsidP="009223C2" w14:paraId="205F2D26" w14:textId="75F05FAE">
      <w:pPr>
        <w:pStyle w:val="ListParagraph"/>
        <w:keepNext/>
        <w:spacing w:before="120" w:line="240" w:lineRule="auto"/>
        <w:ind w:left="360"/>
      </w:pPr>
      <w:r>
        <w:t>Other staff (</w:t>
      </w:r>
      <w:r w:rsidR="00C27EF0">
        <w:t>non-PI</w:t>
      </w:r>
      <w:r>
        <w:t xml:space="preserve"> </w:t>
      </w:r>
      <w:r w:rsidR="00C27EF0">
        <w:t>and non-</w:t>
      </w:r>
      <w:r>
        <w:t>co-PI) on grantee external research team</w:t>
      </w:r>
    </w:p>
    <w:p w:rsidR="004C4303" w:rsidP="009223C2" w14:paraId="21937E70" w14:textId="77777777">
      <w:pPr>
        <w:pStyle w:val="ListParagraph"/>
        <w:keepNext/>
        <w:spacing w:before="120" w:line="240" w:lineRule="auto"/>
        <w:ind w:left="360"/>
      </w:pPr>
    </w:p>
    <w:p w:rsidR="00E47A80" w:rsidP="00E47A80" w14:paraId="4B40C9B6" w14:textId="77777777">
      <w:pPr>
        <w:pStyle w:val="QuestionSeparator"/>
      </w:pPr>
    </w:p>
    <w:p w:rsidR="00E47A80" w:rsidP="002F5678" w14:paraId="2045CAC1" w14:textId="1C4BFCD4">
      <w:pPr>
        <w:keepNext/>
      </w:pPr>
      <w:r>
        <w:t>Q</w:t>
      </w:r>
      <w:r w:rsidR="008E0FC9">
        <w:t>1</w:t>
      </w:r>
      <w:r w:rsidR="00D0765E">
        <w:t>0</w:t>
      </w:r>
      <w:r>
        <w:t xml:space="preserve">. </w:t>
      </w:r>
      <w:r w:rsidR="00D37837">
        <w:t>If you have any additional comments</w:t>
      </w:r>
      <w:r>
        <w:t xml:space="preserve"> regarding year </w:t>
      </w:r>
      <w:r w:rsidR="00D0765E">
        <w:t>3</w:t>
      </w:r>
      <w:r>
        <w:t xml:space="preserve"> of the Community of Practice (e.g. things that worked well or things that did not work well)</w:t>
      </w:r>
      <w:r w:rsidR="00D37837">
        <w:t xml:space="preserve">, </w:t>
      </w:r>
      <w:r w:rsidR="00C90BE8">
        <w:t xml:space="preserve">or hopes for the future, </w:t>
      </w:r>
      <w:r w:rsidR="00D37837">
        <w:t>please write them in the text box below.</w:t>
      </w:r>
    </w:p>
    <w:p w:rsidR="00E47A80" w:rsidP="00E47A80" w14:paraId="30800004" w14:textId="3D9A79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242329</wp:posOffset>
                </wp:positionH>
                <wp:positionV relativeFrom="paragraph">
                  <wp:posOffset>88900</wp:posOffset>
                </wp:positionV>
                <wp:extent cx="4166870" cy="682625"/>
                <wp:effectExtent l="0" t="0" r="24130" b="22225"/>
                <wp:wrapSquare wrapText="bothSides"/>
                <wp:docPr id="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61C" w:rsidP="00E47A80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328.1pt;height:53.75pt;margin-top:7pt;margin-left:19.1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>
                <v:textbox>
                  <w:txbxContent>
                    <w:p w:rsidR="009B661C" w:rsidP="00E47A80" w14:paraId="115E2C52" w14:textId="77777777"/>
                  </w:txbxContent>
                </v:textbox>
                <w10:wrap type="square"/>
              </v:shape>
            </w:pict>
          </mc:Fallback>
        </mc:AlternateContent>
      </w:r>
    </w:p>
    <w:p w:rsidR="00E47A80" w:rsidP="00E47A80" w14:paraId="398D723E" w14:textId="6563B819">
      <w:pPr>
        <w:pStyle w:val="ListParagraph"/>
        <w:keepNext/>
        <w:ind w:left="1440"/>
      </w:pPr>
    </w:p>
    <w:p w:rsidR="00E47A80" w:rsidP="00E47A80" w14:paraId="026497BC" w14:textId="77777777">
      <w:pPr>
        <w:pStyle w:val="ListParagraph"/>
        <w:keepNext/>
        <w:ind w:left="1440"/>
      </w:pPr>
    </w:p>
    <w:p w:rsidR="00E47A80" w:rsidP="00E47A80" w14:paraId="681DA74A" w14:textId="77777777">
      <w:pPr>
        <w:pStyle w:val="ListParagraph"/>
        <w:keepNext/>
        <w:ind w:left="1440"/>
      </w:pPr>
    </w:p>
    <w:p w:rsidR="00E47A80" w14:paraId="50C42F7A" w14:textId="77777777"/>
    <w:p w:rsidR="00B5447C" w14:paraId="27487346" w14:textId="77777777">
      <w:pPr>
        <w:pStyle w:val="BlockSeparator"/>
      </w:pPr>
    </w:p>
    <w:p w:rsidR="00B5447C" w14:paraId="217B1DE5" w14:textId="3AFF7922"/>
    <w:p w:rsidR="00312F07" w:rsidP="00494616" w14:paraId="2B5C13B9" w14:textId="28AD9866">
      <w:pPr>
        <w:jc w:val="center"/>
        <w:rPr>
          <w:rFonts w:ascii="Arial" w:hAnsi="Arial" w:cs="Arial"/>
          <w:color w:val="43464D"/>
          <w:shd w:val="clear" w:color="auto" w:fill="FFFFFF"/>
        </w:rPr>
      </w:pPr>
      <w:r w:rsidRPr="00312F07">
        <w:rPr>
          <w:rFonts w:ascii="Arial" w:hAnsi="Arial" w:cs="Arial"/>
          <w:color w:val="43464D"/>
          <w:shd w:val="clear" w:color="auto" w:fill="FFFFFF"/>
        </w:rPr>
        <w:t>We thank you for your time spent taking this survey.</w:t>
      </w:r>
      <w:r w:rsidRPr="00312F07">
        <w:rPr>
          <w:rFonts w:ascii="Arial" w:hAnsi="Arial" w:cs="Arial"/>
          <w:color w:val="43464D"/>
        </w:rPr>
        <w:br/>
      </w:r>
      <w:r w:rsidRPr="00312F07">
        <w:rPr>
          <w:rFonts w:ascii="Arial" w:hAnsi="Arial" w:cs="Arial"/>
          <w:color w:val="43464D"/>
          <w:shd w:val="clear" w:color="auto" w:fill="FFFFFF"/>
        </w:rPr>
        <w:t>Your response has been recorded.</w:t>
      </w:r>
    </w:p>
    <w:p w:rsidR="00C31F0B" w:rsidP="00494616" w14:paraId="5154254E" w14:textId="2CE73E81">
      <w:pPr>
        <w:jc w:val="center"/>
        <w:rPr>
          <w:rFonts w:ascii="Arial" w:hAnsi="Arial" w:cs="Arial"/>
          <w:color w:val="43464D"/>
          <w:shd w:val="clear" w:color="auto" w:fill="FFFFFF"/>
        </w:rPr>
      </w:pPr>
    </w:p>
    <w:p w:rsidR="00C31F0B" w:rsidRPr="00494616" w:rsidP="00494616" w14:paraId="3E55A3C5" w14:textId="77777777">
      <w:pPr>
        <w:jc w:val="center"/>
        <w:rPr>
          <w:rFonts w:ascii="Arial" w:hAnsi="Arial" w:cs="Arial"/>
          <w:color w:val="43464D"/>
          <w:shd w:val="clear" w:color="auto" w:fill="FFFFFF"/>
        </w:rPr>
      </w:pPr>
    </w:p>
    <w:sectPr w:rsidSect="0053012F">
      <w:headerReference w:type="default" r:id="rId5"/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661C" w:rsidP="001C05B1" w14:paraId="06917528" w14:textId="77777777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B661C" w:rsidP="001C05B1" w14:paraId="15483D5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661C" w:rsidP="001C05B1" w14:paraId="63A0285B" w14:textId="0CF862C2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53012F" w:rsidP="0053012F" w14:paraId="5E8D235B" w14:textId="77777777">
    <w:pPr>
      <w:spacing w:line="216" w:lineRule="auto"/>
      <w:rPr>
        <w:b/>
        <w:sz w:val="18"/>
        <w:szCs w:val="18"/>
      </w:rPr>
    </w:pPr>
  </w:p>
  <w:p w:rsidR="0053012F" w:rsidP="0053012F" w14:paraId="71CEEE57" w14:textId="77777777">
    <w:pPr>
      <w:spacing w:line="216" w:lineRule="auto"/>
      <w:rPr>
        <w:b/>
        <w:sz w:val="18"/>
        <w:szCs w:val="18"/>
      </w:rPr>
    </w:pPr>
  </w:p>
  <w:p w:rsidR="009B661C" w:rsidP="00C31F0B" w14:paraId="164F7719" w14:textId="6C7F45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012F" w:rsidRPr="00BE4A5E" w:rsidP="0053012F" w14:paraId="33E741D1" w14:textId="59185B62">
    <w:pPr>
      <w:spacing w:line="216" w:lineRule="auto"/>
      <w:rPr>
        <w:sz w:val="18"/>
        <w:szCs w:val="18"/>
      </w:rPr>
    </w:pPr>
    <w:r w:rsidRPr="00BE4A5E">
      <w:rPr>
        <w:b/>
        <w:sz w:val="18"/>
        <w:szCs w:val="18"/>
      </w:rPr>
      <w:t>Paperwork Reduction Act Statement:</w:t>
    </w:r>
    <w:r w:rsidRPr="00BE4A5E">
      <w:rPr>
        <w:sz w:val="18"/>
        <w:szCs w:val="18"/>
      </w:rPr>
      <w:t xml:space="preserve"> This collection of information is voluntary and will be used to collect participant feedback to shape future meetings.  Public reporting burden for this collection of information is estimated to </w:t>
    </w:r>
    <w:r>
      <w:rPr>
        <w:sz w:val="18"/>
        <w:szCs w:val="18"/>
      </w:rPr>
      <w:t>take 5</w:t>
    </w:r>
    <w:r w:rsidRPr="00BE4A5E">
      <w:rPr>
        <w:sz w:val="18"/>
        <w:szCs w:val="18"/>
      </w:rPr>
      <w:t xml:space="preserve"> minutes per response</w:t>
    </w:r>
    <w:r>
      <w:rPr>
        <w:sz w:val="18"/>
        <w:szCs w:val="18"/>
      </w:rPr>
      <w:t xml:space="preserve">. </w:t>
    </w:r>
    <w:r w:rsidRPr="00BE4A5E">
      <w:rPr>
        <w:sz w:val="18"/>
        <w:szCs w:val="18"/>
      </w:rPr>
      <w:t xml:space="preserve">An agency may not conduct or sponsor, and a person is not required to respond to, a collection of information unless it displays a currently valid OMB control number. The OMB number and expiration date for this </w:t>
    </w:r>
    <w:r w:rsidRPr="00022567">
      <w:rPr>
        <w:sz w:val="18"/>
        <w:szCs w:val="18"/>
      </w:rPr>
      <w:t>collection are OMB #:</w:t>
    </w:r>
    <w:r>
      <w:rPr>
        <w:sz w:val="18"/>
        <w:szCs w:val="18"/>
      </w:rPr>
      <w:t xml:space="preserve"> </w:t>
    </w:r>
    <w:r>
      <w:rPr>
        <w:sz w:val="18"/>
        <w:szCs w:val="18"/>
      </w:rPr>
      <w:t>0970-0401</w:t>
    </w:r>
    <w:r w:rsidRPr="00022567">
      <w:rPr>
        <w:sz w:val="18"/>
        <w:szCs w:val="18"/>
      </w:rPr>
      <w:t xml:space="preserve">, Exp: </w:t>
    </w:r>
    <w:r>
      <w:rPr>
        <w:sz w:val="18"/>
        <w:szCs w:val="18"/>
      </w:rPr>
      <w:t>06/30/2024</w:t>
    </w:r>
    <w:r w:rsidRPr="00022567">
      <w:rPr>
        <w:sz w:val="18"/>
        <w:szCs w:val="18"/>
      </w:rPr>
      <w:t>.</w:t>
    </w:r>
    <w:r w:rsidRPr="00BE4A5E">
      <w:rPr>
        <w:sz w:val="18"/>
        <w:szCs w:val="18"/>
      </w:rPr>
      <w:t xml:space="preserve"> Send comments regarding this burden estimate or any other aspect of this collection of information, including suggesti</w:t>
    </w:r>
    <w:r>
      <w:rPr>
        <w:sz w:val="18"/>
        <w:szCs w:val="18"/>
      </w:rPr>
      <w:t>ons for reducing this burden to jisaacs</w:t>
    </w:r>
    <w:r w:rsidRPr="00BE4A5E">
      <w:rPr>
        <w:sz w:val="18"/>
        <w:szCs w:val="18"/>
      </w:rPr>
      <w:t>@urban.org.</w:t>
    </w:r>
  </w:p>
  <w:p w:rsidR="0053012F" w14:paraId="29D08DD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1F0B" w:rsidP="0053012F" w14:paraId="62639EF0" w14:textId="77777777">
    <w:pPr>
      <w:pStyle w:val="Footer"/>
      <w:jc w:val="right"/>
    </w:pPr>
    <w:r>
      <w:t>OMB Control #: 0970-0401</w:t>
    </w:r>
  </w:p>
  <w:p w:rsidR="00C31F0B" w:rsidP="0053012F" w14:paraId="22D5506E" w14:textId="77777777">
    <w:pPr>
      <w:pStyle w:val="Footer"/>
      <w:jc w:val="right"/>
    </w:pPr>
    <w:r>
      <w:t>Expiration Date: 06/30/2024</w:t>
    </w:r>
  </w:p>
  <w:p w:rsidR="00C31F0B" w14:paraId="0798E03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EA0BF6"/>
    <w:multiLevelType w:val="multilevel"/>
    <w:tmpl w:val="0409001D"/>
    <w:numStyleLink w:val="Singlepunch"/>
  </w:abstractNum>
  <w:abstractNum w:abstractNumId="1">
    <w:nsid w:val="0FF552F1"/>
    <w:multiLevelType w:val="hybridMultilevel"/>
    <w:tmpl w:val="DAE2C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1CE2"/>
    <w:multiLevelType w:val="multilevel"/>
    <w:tmpl w:val="0409001D"/>
    <w:numStyleLink w:val="Multipunch"/>
  </w:abstractNum>
  <w:abstractNum w:abstractNumId="3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7AE4DDA"/>
    <w:multiLevelType w:val="hybridMultilevel"/>
    <w:tmpl w:val="091CD8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FC34CC"/>
    <w:multiLevelType w:val="hybridMultilevel"/>
    <w:tmpl w:val="851AB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21FAB"/>
    <w:multiLevelType w:val="hybridMultilevel"/>
    <w:tmpl w:val="557E1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E4E4D57"/>
    <w:multiLevelType w:val="hybridMultilevel"/>
    <w:tmpl w:val="A060F7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F31AD"/>
    <w:multiLevelType w:val="hybridMultilevel"/>
    <w:tmpl w:val="FEE2A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D72BE"/>
    <w:multiLevelType w:val="hybridMultilevel"/>
    <w:tmpl w:val="ABF2CD3E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EastAsia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E35AD"/>
    <w:multiLevelType w:val="hybridMultilevel"/>
    <w:tmpl w:val="27729A74"/>
    <w:lvl w:ilvl="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8B75F8E"/>
    <w:multiLevelType w:val="hybridMultilevel"/>
    <w:tmpl w:val="07A0E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15"/>
    <w:rsid w:val="0000091D"/>
    <w:rsid w:val="00000D9E"/>
    <w:rsid w:val="0000323E"/>
    <w:rsid w:val="00012F7F"/>
    <w:rsid w:val="00022567"/>
    <w:rsid w:val="0002526E"/>
    <w:rsid w:val="000326B7"/>
    <w:rsid w:val="000369E6"/>
    <w:rsid w:val="00050D17"/>
    <w:rsid w:val="00053C48"/>
    <w:rsid w:val="00060E8D"/>
    <w:rsid w:val="00061A27"/>
    <w:rsid w:val="00063EAB"/>
    <w:rsid w:val="00073D1E"/>
    <w:rsid w:val="00084BD0"/>
    <w:rsid w:val="00095093"/>
    <w:rsid w:val="00097907"/>
    <w:rsid w:val="000A145C"/>
    <w:rsid w:val="000C3EA3"/>
    <w:rsid w:val="000C6A42"/>
    <w:rsid w:val="000D0952"/>
    <w:rsid w:val="000D24A8"/>
    <w:rsid w:val="000D5CB4"/>
    <w:rsid w:val="000E0D68"/>
    <w:rsid w:val="0010773F"/>
    <w:rsid w:val="00114588"/>
    <w:rsid w:val="00121B8D"/>
    <w:rsid w:val="001418A6"/>
    <w:rsid w:val="001563BC"/>
    <w:rsid w:val="0015696B"/>
    <w:rsid w:val="00160E92"/>
    <w:rsid w:val="001717A8"/>
    <w:rsid w:val="00172D95"/>
    <w:rsid w:val="00193A85"/>
    <w:rsid w:val="00194B10"/>
    <w:rsid w:val="00196FEC"/>
    <w:rsid w:val="001973C0"/>
    <w:rsid w:val="001C05B1"/>
    <w:rsid w:val="001C2F96"/>
    <w:rsid w:val="001C6297"/>
    <w:rsid w:val="001F5B86"/>
    <w:rsid w:val="00213BC6"/>
    <w:rsid w:val="00243101"/>
    <w:rsid w:val="00243A45"/>
    <w:rsid w:val="00250F23"/>
    <w:rsid w:val="00253E1A"/>
    <w:rsid w:val="00273AE5"/>
    <w:rsid w:val="0027415F"/>
    <w:rsid w:val="00281F0E"/>
    <w:rsid w:val="002A066C"/>
    <w:rsid w:val="002A0B9D"/>
    <w:rsid w:val="002A6E36"/>
    <w:rsid w:val="002F0BB4"/>
    <w:rsid w:val="002F0D67"/>
    <w:rsid w:val="002F363C"/>
    <w:rsid w:val="002F4CDE"/>
    <w:rsid w:val="002F5678"/>
    <w:rsid w:val="00306CD9"/>
    <w:rsid w:val="00312F07"/>
    <w:rsid w:val="003242F6"/>
    <w:rsid w:val="00356A04"/>
    <w:rsid w:val="00360194"/>
    <w:rsid w:val="00370B7A"/>
    <w:rsid w:val="00392F22"/>
    <w:rsid w:val="00394B8A"/>
    <w:rsid w:val="00395EDE"/>
    <w:rsid w:val="003A37A4"/>
    <w:rsid w:val="003A79AF"/>
    <w:rsid w:val="003B5010"/>
    <w:rsid w:val="003C6F08"/>
    <w:rsid w:val="003F13A4"/>
    <w:rsid w:val="00401EB9"/>
    <w:rsid w:val="0041146E"/>
    <w:rsid w:val="00414366"/>
    <w:rsid w:val="00421BFE"/>
    <w:rsid w:val="00443EB1"/>
    <w:rsid w:val="004645BB"/>
    <w:rsid w:val="00470BA0"/>
    <w:rsid w:val="00471328"/>
    <w:rsid w:val="0047181A"/>
    <w:rsid w:val="0047223C"/>
    <w:rsid w:val="004771F4"/>
    <w:rsid w:val="00494616"/>
    <w:rsid w:val="004A6A13"/>
    <w:rsid w:val="004C1A93"/>
    <w:rsid w:val="004C310F"/>
    <w:rsid w:val="004C3597"/>
    <w:rsid w:val="004C4303"/>
    <w:rsid w:val="004D0348"/>
    <w:rsid w:val="004D32B5"/>
    <w:rsid w:val="005041DE"/>
    <w:rsid w:val="005054EE"/>
    <w:rsid w:val="00507048"/>
    <w:rsid w:val="005151A4"/>
    <w:rsid w:val="0053012F"/>
    <w:rsid w:val="00553251"/>
    <w:rsid w:val="00554337"/>
    <w:rsid w:val="00555EA6"/>
    <w:rsid w:val="00561A4B"/>
    <w:rsid w:val="0057316D"/>
    <w:rsid w:val="005816BE"/>
    <w:rsid w:val="0058493D"/>
    <w:rsid w:val="005B5AEE"/>
    <w:rsid w:val="005B6B3A"/>
    <w:rsid w:val="005E3B99"/>
    <w:rsid w:val="005E4590"/>
    <w:rsid w:val="00612C99"/>
    <w:rsid w:val="006342C3"/>
    <w:rsid w:val="00640C88"/>
    <w:rsid w:val="00650552"/>
    <w:rsid w:val="0065327D"/>
    <w:rsid w:val="00663C29"/>
    <w:rsid w:val="0069793A"/>
    <w:rsid w:val="006A3ADF"/>
    <w:rsid w:val="006B70FE"/>
    <w:rsid w:val="006D065A"/>
    <w:rsid w:val="006E3C30"/>
    <w:rsid w:val="006E4639"/>
    <w:rsid w:val="006F4F43"/>
    <w:rsid w:val="00707069"/>
    <w:rsid w:val="00711DDA"/>
    <w:rsid w:val="00721D5B"/>
    <w:rsid w:val="0072658D"/>
    <w:rsid w:val="0074597B"/>
    <w:rsid w:val="0075023C"/>
    <w:rsid w:val="00771B9B"/>
    <w:rsid w:val="007865BA"/>
    <w:rsid w:val="007A144D"/>
    <w:rsid w:val="007A16B1"/>
    <w:rsid w:val="007A1C64"/>
    <w:rsid w:val="007A1FDB"/>
    <w:rsid w:val="007A3A5E"/>
    <w:rsid w:val="007C06AC"/>
    <w:rsid w:val="007C4D56"/>
    <w:rsid w:val="007D2F81"/>
    <w:rsid w:val="007D75C6"/>
    <w:rsid w:val="007F2802"/>
    <w:rsid w:val="008000F6"/>
    <w:rsid w:val="0080047A"/>
    <w:rsid w:val="00805ED5"/>
    <w:rsid w:val="00806432"/>
    <w:rsid w:val="00850251"/>
    <w:rsid w:val="008556F8"/>
    <w:rsid w:val="008632D5"/>
    <w:rsid w:val="008664FC"/>
    <w:rsid w:val="008715CE"/>
    <w:rsid w:val="00874CCB"/>
    <w:rsid w:val="008810BD"/>
    <w:rsid w:val="0089714A"/>
    <w:rsid w:val="008B0748"/>
    <w:rsid w:val="008B39E3"/>
    <w:rsid w:val="008C0D3B"/>
    <w:rsid w:val="008D3158"/>
    <w:rsid w:val="008E0FC9"/>
    <w:rsid w:val="008F3877"/>
    <w:rsid w:val="008F4E50"/>
    <w:rsid w:val="0091465A"/>
    <w:rsid w:val="009223C2"/>
    <w:rsid w:val="00935A2F"/>
    <w:rsid w:val="009612C4"/>
    <w:rsid w:val="009627E5"/>
    <w:rsid w:val="00973444"/>
    <w:rsid w:val="0097524A"/>
    <w:rsid w:val="00984EF2"/>
    <w:rsid w:val="009B661C"/>
    <w:rsid w:val="009B69AB"/>
    <w:rsid w:val="009C0388"/>
    <w:rsid w:val="009D418B"/>
    <w:rsid w:val="009D7AE1"/>
    <w:rsid w:val="009F4AF6"/>
    <w:rsid w:val="00A02184"/>
    <w:rsid w:val="00A0243A"/>
    <w:rsid w:val="00A04BC6"/>
    <w:rsid w:val="00A15169"/>
    <w:rsid w:val="00A20D06"/>
    <w:rsid w:val="00A2216B"/>
    <w:rsid w:val="00A23910"/>
    <w:rsid w:val="00A40A5D"/>
    <w:rsid w:val="00A45EF4"/>
    <w:rsid w:val="00A47C4F"/>
    <w:rsid w:val="00A51C78"/>
    <w:rsid w:val="00A656C4"/>
    <w:rsid w:val="00A66045"/>
    <w:rsid w:val="00A66A12"/>
    <w:rsid w:val="00A7028E"/>
    <w:rsid w:val="00AA40C5"/>
    <w:rsid w:val="00AB5F78"/>
    <w:rsid w:val="00AC054B"/>
    <w:rsid w:val="00AE7211"/>
    <w:rsid w:val="00AF4459"/>
    <w:rsid w:val="00AF66FC"/>
    <w:rsid w:val="00AF6B54"/>
    <w:rsid w:val="00AF7417"/>
    <w:rsid w:val="00B01645"/>
    <w:rsid w:val="00B024B2"/>
    <w:rsid w:val="00B17DC9"/>
    <w:rsid w:val="00B5447C"/>
    <w:rsid w:val="00B61D2F"/>
    <w:rsid w:val="00B70267"/>
    <w:rsid w:val="00B71EDF"/>
    <w:rsid w:val="00B86255"/>
    <w:rsid w:val="00B96E08"/>
    <w:rsid w:val="00BA3648"/>
    <w:rsid w:val="00BA771D"/>
    <w:rsid w:val="00BB104A"/>
    <w:rsid w:val="00BB6573"/>
    <w:rsid w:val="00BB7E04"/>
    <w:rsid w:val="00BC0833"/>
    <w:rsid w:val="00BC0928"/>
    <w:rsid w:val="00BC1D9D"/>
    <w:rsid w:val="00BC34BD"/>
    <w:rsid w:val="00BC4643"/>
    <w:rsid w:val="00BD7644"/>
    <w:rsid w:val="00BE0CF5"/>
    <w:rsid w:val="00BE4A5E"/>
    <w:rsid w:val="00BF3251"/>
    <w:rsid w:val="00C041AA"/>
    <w:rsid w:val="00C0487E"/>
    <w:rsid w:val="00C10AC2"/>
    <w:rsid w:val="00C11319"/>
    <w:rsid w:val="00C27EF0"/>
    <w:rsid w:val="00C31F0B"/>
    <w:rsid w:val="00C3383E"/>
    <w:rsid w:val="00C47335"/>
    <w:rsid w:val="00C515D5"/>
    <w:rsid w:val="00C541D1"/>
    <w:rsid w:val="00C62B9F"/>
    <w:rsid w:val="00C90BE8"/>
    <w:rsid w:val="00C92996"/>
    <w:rsid w:val="00CA6F75"/>
    <w:rsid w:val="00CA791C"/>
    <w:rsid w:val="00CD5C1B"/>
    <w:rsid w:val="00D0265F"/>
    <w:rsid w:val="00D054B1"/>
    <w:rsid w:val="00D0765E"/>
    <w:rsid w:val="00D2130A"/>
    <w:rsid w:val="00D30E5F"/>
    <w:rsid w:val="00D37837"/>
    <w:rsid w:val="00D60767"/>
    <w:rsid w:val="00D84AA4"/>
    <w:rsid w:val="00DA62C8"/>
    <w:rsid w:val="00DB1246"/>
    <w:rsid w:val="00DB4327"/>
    <w:rsid w:val="00DC2D1C"/>
    <w:rsid w:val="00DD1C48"/>
    <w:rsid w:val="00DE08DF"/>
    <w:rsid w:val="00DE4D8C"/>
    <w:rsid w:val="00DE6201"/>
    <w:rsid w:val="00DF744B"/>
    <w:rsid w:val="00E10F44"/>
    <w:rsid w:val="00E31FDB"/>
    <w:rsid w:val="00E344F5"/>
    <w:rsid w:val="00E41A40"/>
    <w:rsid w:val="00E463B7"/>
    <w:rsid w:val="00E47A80"/>
    <w:rsid w:val="00E655BF"/>
    <w:rsid w:val="00E77335"/>
    <w:rsid w:val="00E86918"/>
    <w:rsid w:val="00EA4B03"/>
    <w:rsid w:val="00EB158D"/>
    <w:rsid w:val="00EB5C62"/>
    <w:rsid w:val="00ED6DB0"/>
    <w:rsid w:val="00EE1798"/>
    <w:rsid w:val="00EE7988"/>
    <w:rsid w:val="00F16690"/>
    <w:rsid w:val="00F2222E"/>
    <w:rsid w:val="00F22B15"/>
    <w:rsid w:val="00F30774"/>
    <w:rsid w:val="00F35F05"/>
    <w:rsid w:val="00F45472"/>
    <w:rsid w:val="00F45693"/>
    <w:rsid w:val="00F533CD"/>
    <w:rsid w:val="00F53E92"/>
    <w:rsid w:val="00F5716A"/>
    <w:rsid w:val="00F67074"/>
    <w:rsid w:val="00F91B7D"/>
    <w:rsid w:val="00FA5740"/>
    <w:rsid w:val="00FD413A"/>
    <w:rsid w:val="55FDEA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0D31F6"/>
  <w15:docId w15:val="{08737BC5-1AED-4006-B04A-9E4F3A2D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0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="0" w:leftChars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F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5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4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66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7C167-5075-4CDB-8AF3-D8CFFBC6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CCPRP CoP Year 1 Evaluation Form</vt:lpstr>
    </vt:vector>
  </TitlesOfParts>
  <Company>Qualtrics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CCPRP CoP Year 1 Evaluation Form</dc:title>
  <dc:creator>Qualtrics</dc:creator>
  <cp:lastModifiedBy>Bichay-Awadalla, Krystal (ACF) (CTR)</cp:lastModifiedBy>
  <cp:revision>3</cp:revision>
  <dcterms:created xsi:type="dcterms:W3CDTF">2022-11-17T14:14:00Z</dcterms:created>
  <dcterms:modified xsi:type="dcterms:W3CDTF">2022-11-17T14:19:00Z</dcterms:modified>
</cp:coreProperties>
</file>