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27EC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00237168" w:rsidP="65075A7C" w:rsidRDefault="00237168" w14:paraId="6842CA1A" w14:textId="4A596EB8">
      <w:pPr>
        <w:pStyle w:val="paragraph"/>
        <w:spacing w:before="0" w:beforeAutospacing="0" w:after="0" w:afterAutospacing="0"/>
        <w:textAlignment w:val="baseline"/>
        <w:rPr>
          <w:rFonts w:ascii="Segoe UI" w:hAnsi="Segoe UI" w:cs="Segoe UI"/>
          <w:sz w:val="18"/>
          <w:szCs w:val="18"/>
        </w:rPr>
      </w:pPr>
      <w:r w:rsidRPr="65075A7C">
        <w:rPr>
          <w:rStyle w:val="normaltextrun"/>
          <w:b/>
          <w:bCs/>
        </w:rPr>
        <w:t>TITLE OF INFORMATION COLLECTION:</w:t>
      </w:r>
      <w:r w:rsidRPr="65075A7C">
        <w:rPr>
          <w:rStyle w:val="normaltextrun"/>
        </w:rPr>
        <w:t> Child Welfare Information Gateway’s </w:t>
      </w:r>
      <w:r w:rsidRPr="65075A7C" w:rsidR="0028384F">
        <w:rPr>
          <w:rStyle w:val="normaltextrun"/>
        </w:rPr>
        <w:t xml:space="preserve">Grantee Exchange Platform </w:t>
      </w:r>
      <w:r w:rsidR="00ED4639">
        <w:rPr>
          <w:rStyle w:val="normaltextrun"/>
        </w:rPr>
        <w:t xml:space="preserve">Feedback </w:t>
      </w:r>
      <w:r w:rsidRPr="65075A7C" w:rsidR="0028384F">
        <w:rPr>
          <w:rStyle w:val="normaltextrun"/>
        </w:rPr>
        <w:t>Survey</w:t>
      </w:r>
      <w:r w:rsidR="00ED4639">
        <w:rPr>
          <w:rStyle w:val="normaltextrun"/>
        </w:rPr>
        <w:t>s</w:t>
      </w:r>
    </w:p>
    <w:p w:rsidR="00237168" w:rsidP="00237168" w:rsidRDefault="00237168" w14:paraId="65504493" w14:textId="728A8E5C">
      <w:pPr>
        <w:pStyle w:val="paragraph"/>
        <w:spacing w:before="0" w:beforeAutospacing="0" w:after="0" w:afterAutospacing="0"/>
        <w:textAlignment w:val="baseline"/>
        <w:rPr>
          <w:rStyle w:val="eop"/>
        </w:rPr>
      </w:pPr>
      <w:r>
        <w:rPr>
          <w:rStyle w:val="eop"/>
        </w:rPr>
        <w:t> </w:t>
      </w:r>
    </w:p>
    <w:p w:rsidR="0020364A" w:rsidP="00237168" w:rsidRDefault="0020364A" w14:paraId="48844433" w14:textId="77777777">
      <w:pPr>
        <w:pStyle w:val="paragraph"/>
        <w:spacing w:before="0" w:beforeAutospacing="0" w:after="0" w:afterAutospacing="0"/>
        <w:textAlignment w:val="baseline"/>
        <w:rPr>
          <w:rFonts w:ascii="Segoe UI" w:hAnsi="Segoe UI" w:cs="Segoe UI"/>
          <w:sz w:val="18"/>
          <w:szCs w:val="18"/>
        </w:rPr>
      </w:pPr>
    </w:p>
    <w:p w:rsidR="00237168" w:rsidP="00237168" w:rsidRDefault="00237168" w14:paraId="5363A247" w14:textId="77777777">
      <w:pPr>
        <w:pStyle w:val="paragraph"/>
        <w:spacing w:before="0" w:beforeAutospacing="0" w:after="0" w:afterAutospacing="0"/>
        <w:textAlignment w:val="baseline"/>
        <w:rPr>
          <w:rFonts w:ascii="Segoe UI" w:hAnsi="Segoe UI" w:cs="Segoe UI"/>
          <w:sz w:val="18"/>
          <w:szCs w:val="18"/>
        </w:rPr>
      </w:pPr>
      <w:r>
        <w:rPr>
          <w:rStyle w:val="normaltextrun"/>
          <w:b/>
          <w:bCs/>
        </w:rPr>
        <w:t>PURPOSE:  </w:t>
      </w:r>
      <w:r>
        <w:rPr>
          <w:rStyle w:val="normaltextrun"/>
        </w:rPr>
        <w:t>Child Welfare Information Gateway (Information Gateway) is a service of the Children’s Bureau (CB), a component within the Administration for Children and Families, and is dedicated to the mission of connecting professionals and concerned citizens to information on programs, research, legislation, and statistics regarding the safety, permanency, and well-being of children and families. </w:t>
      </w:r>
      <w:r>
        <w:rPr>
          <w:rStyle w:val="eop"/>
        </w:rPr>
        <w:t> </w:t>
      </w:r>
    </w:p>
    <w:p w:rsidR="00237168" w:rsidP="00237168" w:rsidRDefault="00237168" w14:paraId="305566B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8384F" w:rsidP="36FDCF46" w:rsidRDefault="00ED4639" w14:paraId="1C272FDE" w14:textId="696FEDC8">
      <w:pPr>
        <w:pStyle w:val="paragraph"/>
        <w:spacing w:before="0" w:beforeAutospacing="0" w:after="0" w:afterAutospacing="0"/>
        <w:textAlignment w:val="baseline"/>
        <w:rPr>
          <w:color w:val="000000" w:themeColor="text1"/>
        </w:rPr>
      </w:pPr>
      <w:r>
        <w:rPr>
          <w:rFonts w:cstheme="minorHAnsi"/>
        </w:rPr>
        <w:t xml:space="preserve">Information Gateway has developed the Grantee Exchange platform to support collaboration, learning, and information sharing among grant recipients. </w:t>
      </w:r>
      <w:r>
        <w:rPr>
          <w:color w:val="000000" w:themeColor="text1"/>
        </w:rPr>
        <w:t>It</w:t>
      </w:r>
      <w:r w:rsidRPr="00561AF4" w:rsidR="00561AF4">
        <w:rPr>
          <w:color w:val="000000" w:themeColor="text1"/>
        </w:rPr>
        <w:t xml:space="preserve"> is an online community for grantees to connect, ask questions, share resources, and leverage collective learning in the service of achieving grant goals.</w:t>
      </w:r>
      <w:r w:rsidR="00561AF4">
        <w:rPr>
          <w:color w:val="000000" w:themeColor="text1"/>
        </w:rPr>
        <w:t xml:space="preserve"> </w:t>
      </w:r>
      <w:r>
        <w:rPr>
          <w:color w:val="000000" w:themeColor="text1"/>
        </w:rPr>
        <w:t xml:space="preserve">To inform enhancements to the Grantee Exchange platform, these surveys will collect feedback from two respondent groups: one with familiarity with the platform and one without much familiarity. </w:t>
      </w:r>
      <w:r w:rsidRPr="36FDCF46">
        <w:rPr>
          <w:color w:val="000000" w:themeColor="text1"/>
        </w:rPr>
        <w:t>The</w:t>
      </w:r>
      <w:r>
        <w:rPr>
          <w:color w:val="000000" w:themeColor="text1"/>
        </w:rPr>
        <w:t xml:space="preserve"> overall</w:t>
      </w:r>
      <w:r w:rsidRPr="36FDCF46">
        <w:rPr>
          <w:color w:val="000000" w:themeColor="text1"/>
        </w:rPr>
        <w:t xml:space="preserve"> purpose of th</w:t>
      </w:r>
      <w:r>
        <w:rPr>
          <w:color w:val="000000" w:themeColor="text1"/>
        </w:rPr>
        <w:t>ese</w:t>
      </w:r>
      <w:r w:rsidRPr="36FDCF46">
        <w:rPr>
          <w:color w:val="000000" w:themeColor="text1"/>
        </w:rPr>
        <w:t xml:space="preserve"> survey</w:t>
      </w:r>
      <w:r>
        <w:rPr>
          <w:color w:val="000000" w:themeColor="text1"/>
        </w:rPr>
        <w:t>s</w:t>
      </w:r>
      <w:r w:rsidRPr="36FDCF46">
        <w:rPr>
          <w:color w:val="000000" w:themeColor="text1"/>
        </w:rPr>
        <w:t xml:space="preserve"> is to </w:t>
      </w:r>
      <w:r>
        <w:rPr>
          <w:color w:val="000000" w:themeColor="text1"/>
        </w:rPr>
        <w:t xml:space="preserve">gather feedback from users with different experience levels with </w:t>
      </w:r>
      <w:r w:rsidRPr="36FDCF46">
        <w:rPr>
          <w:color w:val="000000" w:themeColor="text1"/>
        </w:rPr>
        <w:t xml:space="preserve"> the Grantee Exchange. </w:t>
      </w:r>
      <w:r w:rsidRPr="36FDCF46" w:rsidR="00363E22">
        <w:rPr>
          <w:color w:val="000000" w:themeColor="text1"/>
        </w:rPr>
        <w:t xml:space="preserve">Information </w:t>
      </w:r>
      <w:r w:rsidR="00561AF4">
        <w:rPr>
          <w:color w:val="000000" w:themeColor="text1"/>
        </w:rPr>
        <w:t xml:space="preserve">collected </w:t>
      </w:r>
      <w:r w:rsidRPr="36FDCF46" w:rsidR="00363E22">
        <w:rPr>
          <w:color w:val="000000" w:themeColor="text1"/>
        </w:rPr>
        <w:t xml:space="preserve">will be used </w:t>
      </w:r>
      <w:r w:rsidR="00F07B44">
        <w:rPr>
          <w:color w:val="000000" w:themeColor="text1"/>
        </w:rPr>
        <w:t xml:space="preserve">to </w:t>
      </w:r>
      <w:r w:rsidRPr="36FDCF46" w:rsidR="00363E22">
        <w:rPr>
          <w:color w:val="000000" w:themeColor="text1"/>
        </w:rPr>
        <w:t xml:space="preserve">make modifications to the Grantee Exchange platform so </w:t>
      </w:r>
      <w:r w:rsidRPr="36FDCF46" w:rsidR="00B17DD3">
        <w:rPr>
          <w:color w:val="000000" w:themeColor="text1"/>
        </w:rPr>
        <w:t xml:space="preserve">that </w:t>
      </w:r>
      <w:r w:rsidRPr="36FDCF46" w:rsidR="00363E22">
        <w:rPr>
          <w:color w:val="000000" w:themeColor="text1"/>
        </w:rPr>
        <w:t xml:space="preserve">it can better meet </w:t>
      </w:r>
      <w:r>
        <w:rPr>
          <w:color w:val="000000" w:themeColor="text1"/>
        </w:rPr>
        <w:t xml:space="preserve">all </w:t>
      </w:r>
      <w:r w:rsidRPr="36FDCF46" w:rsidR="00363E22">
        <w:rPr>
          <w:color w:val="000000" w:themeColor="text1"/>
        </w:rPr>
        <w:t>user needs.</w:t>
      </w:r>
    </w:p>
    <w:p w:rsidR="00237168" w:rsidP="00237168" w:rsidRDefault="00237168" w14:paraId="6C178000" w14:textId="130A57A2">
      <w:pPr>
        <w:pStyle w:val="paragraph"/>
        <w:spacing w:before="0" w:beforeAutospacing="0" w:after="0" w:afterAutospacing="0"/>
        <w:textAlignment w:val="baseline"/>
        <w:rPr>
          <w:rStyle w:val="eop"/>
        </w:rPr>
      </w:pPr>
      <w:r>
        <w:rPr>
          <w:rStyle w:val="eop"/>
        </w:rPr>
        <w:t> </w:t>
      </w:r>
    </w:p>
    <w:p w:rsidR="0020364A" w:rsidP="00237168" w:rsidRDefault="0020364A" w14:paraId="0ED09255" w14:textId="77777777">
      <w:pPr>
        <w:pStyle w:val="paragraph"/>
        <w:spacing w:before="0" w:beforeAutospacing="0" w:after="0" w:afterAutospacing="0"/>
        <w:textAlignment w:val="baseline"/>
        <w:rPr>
          <w:rFonts w:ascii="Segoe UI" w:hAnsi="Segoe UI" w:cs="Segoe UI"/>
          <w:sz w:val="18"/>
          <w:szCs w:val="18"/>
        </w:rPr>
      </w:pPr>
    </w:p>
    <w:p w:rsidR="00ED4639" w:rsidP="0020364A" w:rsidRDefault="00237168" w14:paraId="1159A309" w14:textId="77777777">
      <w:pPr>
        <w:pStyle w:val="paragraph"/>
        <w:spacing w:before="0" w:beforeAutospacing="0" w:after="120" w:afterAutospacing="0"/>
        <w:textAlignment w:val="baseline"/>
        <w:rPr>
          <w:rStyle w:val="normaltextrun"/>
        </w:rPr>
      </w:pPr>
      <w:r w:rsidRPr="1CC6D98A">
        <w:rPr>
          <w:rStyle w:val="normaltextrun"/>
          <w:b/>
          <w:bCs/>
        </w:rPr>
        <w:t>DESCRIPTION OF RESPONDENTS</w:t>
      </w:r>
      <w:r w:rsidRPr="1CC6D98A">
        <w:rPr>
          <w:rStyle w:val="normaltextrun"/>
        </w:rPr>
        <w:t>: </w:t>
      </w:r>
    </w:p>
    <w:p w:rsidR="00237168" w:rsidP="1CC6D98A" w:rsidRDefault="00ED4639" w14:paraId="5C967171" w14:textId="1B98D7FF">
      <w:pPr>
        <w:pStyle w:val="paragraph"/>
        <w:spacing w:before="0" w:beforeAutospacing="0" w:after="0" w:afterAutospacing="0"/>
        <w:textAlignment w:val="baseline"/>
      </w:pPr>
      <w:r w:rsidRPr="0020364A">
        <w:rPr>
          <w:rStyle w:val="normaltextrun"/>
          <w:u w:val="single"/>
        </w:rPr>
        <w:t>Newer Users:</w:t>
      </w:r>
      <w:r>
        <w:rPr>
          <w:rStyle w:val="normaltextrun"/>
        </w:rPr>
        <w:t xml:space="preserve"> </w:t>
      </w:r>
      <w:r w:rsidRPr="009B5631" w:rsidR="00237168">
        <w:rPr>
          <w:rStyle w:val="normaltextrun"/>
        </w:rPr>
        <w:t>Respondents</w:t>
      </w:r>
      <w:r>
        <w:rPr>
          <w:rStyle w:val="normaltextrun"/>
        </w:rPr>
        <w:t xml:space="preserve"> to the </w:t>
      </w:r>
      <w:r w:rsidR="004125DF">
        <w:rPr>
          <w:rStyle w:val="normaltextrun"/>
        </w:rPr>
        <w:t>N</w:t>
      </w:r>
      <w:r>
        <w:rPr>
          <w:rStyle w:val="normaltextrun"/>
        </w:rPr>
        <w:t xml:space="preserve">ew </w:t>
      </w:r>
      <w:r w:rsidR="004125DF">
        <w:rPr>
          <w:rStyle w:val="normaltextrun"/>
        </w:rPr>
        <w:t>U</w:t>
      </w:r>
      <w:r>
        <w:rPr>
          <w:rStyle w:val="normaltextrun"/>
        </w:rPr>
        <w:t xml:space="preserve">ser </w:t>
      </w:r>
      <w:r w:rsidR="004125DF">
        <w:rPr>
          <w:rStyle w:val="normaltextrun"/>
        </w:rPr>
        <w:t>S</w:t>
      </w:r>
      <w:r>
        <w:rPr>
          <w:rStyle w:val="normaltextrun"/>
        </w:rPr>
        <w:t>urvey</w:t>
      </w:r>
      <w:r w:rsidRPr="009B5631" w:rsidR="00237168">
        <w:rPr>
          <w:rStyle w:val="normaltextrun"/>
        </w:rPr>
        <w:t xml:space="preserve"> will </w:t>
      </w:r>
      <w:r w:rsidR="004125DF">
        <w:rPr>
          <w:rStyle w:val="normaltextrun"/>
        </w:rPr>
        <w:t>include</w:t>
      </w:r>
      <w:r w:rsidRPr="009B5631" w:rsidR="00237168">
        <w:rPr>
          <w:rStyle w:val="normaltextrun"/>
        </w:rPr>
        <w:t xml:space="preserve"> </w:t>
      </w:r>
      <w:r w:rsidRPr="009B5631" w:rsidR="003D3E32">
        <w:t xml:space="preserve">Fiscal Year </w:t>
      </w:r>
      <w:r w:rsidRPr="009B5631" w:rsidR="00545EF7">
        <w:t xml:space="preserve">(FY) </w:t>
      </w:r>
      <w:r w:rsidRPr="009B5631" w:rsidR="003D3E32">
        <w:t>2021 Family Support Through Primary Prevention grantees with Grantee Exchange license</w:t>
      </w:r>
      <w:r w:rsidR="002D13FB">
        <w:t>s</w:t>
      </w:r>
      <w:r w:rsidRPr="009B5631" w:rsidR="00656035">
        <w:t>.</w:t>
      </w:r>
    </w:p>
    <w:p w:rsidR="004125DF" w:rsidP="1CC6D98A" w:rsidRDefault="004125DF" w14:paraId="717EFD0C" w14:textId="2FBEB3D7">
      <w:pPr>
        <w:pStyle w:val="paragraph"/>
        <w:spacing w:before="0" w:beforeAutospacing="0" w:after="0" w:afterAutospacing="0"/>
        <w:textAlignment w:val="baseline"/>
      </w:pPr>
    </w:p>
    <w:p w:rsidRPr="00016370" w:rsidR="004125DF" w:rsidP="1CC6D98A" w:rsidRDefault="004125DF" w14:paraId="420609F6" w14:textId="79035E4C">
      <w:pPr>
        <w:pStyle w:val="paragraph"/>
        <w:spacing w:before="0" w:beforeAutospacing="0" w:after="0" w:afterAutospacing="0"/>
        <w:textAlignment w:val="baseline"/>
      </w:pPr>
      <w:r w:rsidRPr="0020364A">
        <w:rPr>
          <w:u w:val="single"/>
        </w:rPr>
        <w:t>Experienced Users:</w:t>
      </w:r>
      <w:r>
        <w:t xml:space="preserve"> Respondents to the Experienced User Survey will include </w:t>
      </w:r>
      <w:r>
        <w:rPr>
          <w:rStyle w:val="normaltextrun"/>
        </w:rPr>
        <w:t>FY</w:t>
      </w:r>
      <w:r w:rsidRPr="00A77942">
        <w:rPr>
          <w:rStyle w:val="normaltextrun"/>
        </w:rPr>
        <w:t xml:space="preserve"> </w:t>
      </w:r>
      <w:r>
        <w:rPr>
          <w:rStyle w:val="normaltextrun"/>
        </w:rPr>
        <w:t>20</w:t>
      </w:r>
      <w:r w:rsidRPr="00A77942">
        <w:rPr>
          <w:rStyle w:val="normaltextrun"/>
        </w:rPr>
        <w:t xml:space="preserve">18 and FY </w:t>
      </w:r>
      <w:r>
        <w:rPr>
          <w:rStyle w:val="normaltextrun"/>
        </w:rPr>
        <w:t>20</w:t>
      </w:r>
      <w:r w:rsidRPr="00A77942">
        <w:rPr>
          <w:rStyle w:val="normaltextrun"/>
        </w:rPr>
        <w:t xml:space="preserve">19 Family Support Through Primary Prevention grantees and FY </w:t>
      </w:r>
      <w:r>
        <w:rPr>
          <w:rStyle w:val="normaltextrun"/>
        </w:rPr>
        <w:t>20</w:t>
      </w:r>
      <w:r w:rsidRPr="00A77942">
        <w:rPr>
          <w:rStyle w:val="normaltextrun"/>
        </w:rPr>
        <w:t xml:space="preserve">18 </w:t>
      </w:r>
      <w:r>
        <w:rPr>
          <w:rStyle w:val="normaltextrun"/>
        </w:rPr>
        <w:t xml:space="preserve">and </w:t>
      </w:r>
      <w:r w:rsidRPr="00A77942">
        <w:rPr>
          <w:rStyle w:val="normaltextrun"/>
        </w:rPr>
        <w:t xml:space="preserve">FY </w:t>
      </w:r>
      <w:r>
        <w:rPr>
          <w:rStyle w:val="normaltextrun"/>
        </w:rPr>
        <w:t>20</w:t>
      </w:r>
      <w:r w:rsidRPr="00A77942">
        <w:rPr>
          <w:rStyle w:val="normaltextrun"/>
        </w:rPr>
        <w:t>19 Community Collaborations to Strengthen and Preserve Families grantees with Grantee Exchange licenses</w:t>
      </w:r>
      <w:r>
        <w:rPr>
          <w:rStyle w:val="normaltextrun"/>
        </w:rPr>
        <w:t>.</w:t>
      </w:r>
    </w:p>
    <w:p w:rsidR="00E26329" w:rsidRDefault="00E26329" w14:paraId="5A2A73FA" w14:textId="323D70BB">
      <w:pPr>
        <w:rPr>
          <w:b/>
        </w:rPr>
      </w:pPr>
    </w:p>
    <w:p w:rsidR="0020364A" w:rsidRDefault="0020364A" w14:paraId="7A1A8EB8"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43CD76F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D635C">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67E23269">
      <w:pPr>
        <w:pStyle w:val="Header"/>
        <w:tabs>
          <w:tab w:val="clear" w:pos="4320"/>
          <w:tab w:val="clear" w:pos="8640"/>
        </w:tabs>
      </w:pPr>
    </w:p>
    <w:p w:rsidR="0020364A" w:rsidRDefault="0020364A" w14:paraId="6BB4D2DD"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E96D01" w:rsidP="00C86E91" w:rsidRDefault="00E96D01" w14:paraId="7986B6FB" w14:textId="77777777">
      <w:pPr>
        <w:rPr>
          <w:b/>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7D1DC60">
      <w:r>
        <w:t xml:space="preserve">Is an incentive (e.g., money or reimbursement of expenses, token of appreciation) provided to participants?  [  ] Yes [ </w:t>
      </w:r>
      <w:r w:rsidR="007D635C">
        <w:t>X</w:t>
      </w:r>
      <w:r>
        <w:t xml:space="preserve"> ] No  </w:t>
      </w:r>
    </w:p>
    <w:p w:rsidR="004D6E14" w:rsidRDefault="004D6E14" w14:paraId="1700CE24" w14:textId="15393E35">
      <w:pPr>
        <w:rPr>
          <w:b/>
        </w:rPr>
      </w:pPr>
    </w:p>
    <w:p w:rsidR="0020364A" w:rsidRDefault="0020364A" w14:paraId="50143D63"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81"/>
        <w:gridCol w:w="1526"/>
        <w:gridCol w:w="1496"/>
        <w:gridCol w:w="1274"/>
        <w:gridCol w:w="1063"/>
      </w:tblGrid>
      <w:tr w:rsidR="00340E84" w:rsidTr="004125DF" w14:paraId="14D0480D" w14:textId="77777777">
        <w:trPr>
          <w:trHeight w:val="274"/>
        </w:trPr>
        <w:tc>
          <w:tcPr>
            <w:tcW w:w="2515" w:type="dxa"/>
          </w:tcPr>
          <w:p w:rsidRPr="0001027E" w:rsidR="00340E84" w:rsidP="00C8488C" w:rsidRDefault="00340E84" w14:paraId="674C58C3" w14:textId="6D90EE58">
            <w:pPr>
              <w:rPr>
                <w:b/>
              </w:rPr>
            </w:pPr>
            <w:r>
              <w:rPr>
                <w:b/>
              </w:rPr>
              <w:t>Information Collection</w:t>
            </w:r>
          </w:p>
        </w:tc>
        <w:tc>
          <w:tcPr>
            <w:tcW w:w="1481" w:type="dxa"/>
          </w:tcPr>
          <w:p w:rsidRPr="0001027E" w:rsidR="00340E84" w:rsidP="00C8488C" w:rsidRDefault="00340E84" w14:paraId="432BD2DC" w14:textId="11A0F7BA">
            <w:pPr>
              <w:rPr>
                <w:b/>
              </w:rPr>
            </w:pPr>
            <w:r w:rsidRPr="0001027E">
              <w:rPr>
                <w:b/>
              </w:rPr>
              <w:t xml:space="preserve">Category of Respondent </w:t>
            </w:r>
          </w:p>
        </w:tc>
        <w:tc>
          <w:tcPr>
            <w:tcW w:w="1526" w:type="dxa"/>
          </w:tcPr>
          <w:p w:rsidRPr="0001027E" w:rsidR="00340E84" w:rsidP="00843796" w:rsidRDefault="00340E84" w14:paraId="03451CBD" w14:textId="77777777">
            <w:pPr>
              <w:rPr>
                <w:b/>
              </w:rPr>
            </w:pPr>
            <w:r w:rsidRPr="0001027E">
              <w:rPr>
                <w:b/>
              </w:rPr>
              <w:t>No. of Respondents</w:t>
            </w:r>
          </w:p>
        </w:tc>
        <w:tc>
          <w:tcPr>
            <w:tcW w:w="1496" w:type="dxa"/>
          </w:tcPr>
          <w:p w:rsidRPr="0001027E" w:rsidR="00340E84" w:rsidP="00843796" w:rsidRDefault="00340E84" w14:paraId="3F9470DC" w14:textId="5E8AEB1B">
            <w:pPr>
              <w:rPr>
                <w:b/>
              </w:rPr>
            </w:pPr>
            <w:r>
              <w:rPr>
                <w:b/>
              </w:rPr>
              <w:t>No. of Responses per Respondent</w:t>
            </w:r>
          </w:p>
        </w:tc>
        <w:tc>
          <w:tcPr>
            <w:tcW w:w="1274"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63"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4125DF" w14:paraId="1F158995" w14:textId="77777777">
        <w:trPr>
          <w:trHeight w:val="274"/>
        </w:trPr>
        <w:tc>
          <w:tcPr>
            <w:tcW w:w="2515" w:type="dxa"/>
          </w:tcPr>
          <w:p w:rsidRPr="007D635C" w:rsidR="00340E84" w:rsidP="54694436" w:rsidRDefault="007D635C" w14:paraId="585F12D8" w14:textId="6828EF63">
            <w:pPr>
              <w:rPr>
                <w:b/>
                <w:bCs/>
              </w:rPr>
            </w:pPr>
            <w:r>
              <w:t xml:space="preserve">Child Welfare Information Gateway’s </w:t>
            </w:r>
            <w:r w:rsidRPr="0028384F" w:rsidR="00896A38">
              <w:rPr>
                <w:rStyle w:val="normaltextrun"/>
              </w:rPr>
              <w:t xml:space="preserve">Grantee Exchange Platform </w:t>
            </w:r>
            <w:r w:rsidR="004125DF">
              <w:rPr>
                <w:rStyle w:val="normaltextrun"/>
              </w:rPr>
              <w:t>New User</w:t>
            </w:r>
            <w:r w:rsidRPr="0028384F" w:rsidR="004125DF">
              <w:rPr>
                <w:rStyle w:val="normaltextrun"/>
              </w:rPr>
              <w:t xml:space="preserve"> </w:t>
            </w:r>
            <w:r w:rsidRPr="0028384F" w:rsidR="00896A38">
              <w:rPr>
                <w:rStyle w:val="normaltextrun"/>
              </w:rPr>
              <w:t>Survey</w:t>
            </w:r>
          </w:p>
        </w:tc>
        <w:tc>
          <w:tcPr>
            <w:tcW w:w="1481" w:type="dxa"/>
            <w:vAlign w:val="center"/>
          </w:tcPr>
          <w:p w:rsidR="00340E84" w:rsidP="54694436" w:rsidRDefault="26F94C1F" w14:paraId="1568D5FE" w14:textId="2CB2DC24">
            <w:pPr>
              <w:jc w:val="center"/>
            </w:pPr>
            <w:r>
              <w:t>Individuals</w:t>
            </w:r>
          </w:p>
        </w:tc>
        <w:tc>
          <w:tcPr>
            <w:tcW w:w="1526" w:type="dxa"/>
            <w:vAlign w:val="center"/>
          </w:tcPr>
          <w:p w:rsidR="00340E84" w:rsidP="54694436" w:rsidRDefault="00092984" w14:paraId="71E63EBF" w14:textId="59ABFB37">
            <w:pPr>
              <w:jc w:val="center"/>
            </w:pPr>
            <w:r>
              <w:t>50</w:t>
            </w:r>
          </w:p>
        </w:tc>
        <w:tc>
          <w:tcPr>
            <w:tcW w:w="1496" w:type="dxa"/>
            <w:vAlign w:val="center"/>
          </w:tcPr>
          <w:p w:rsidR="00340E84" w:rsidP="54694436" w:rsidRDefault="26F94C1F" w14:paraId="593F10F4" w14:textId="066AC4D4">
            <w:pPr>
              <w:jc w:val="center"/>
            </w:pPr>
            <w:r>
              <w:t>1</w:t>
            </w:r>
          </w:p>
        </w:tc>
        <w:tc>
          <w:tcPr>
            <w:tcW w:w="1274" w:type="dxa"/>
            <w:vAlign w:val="center"/>
          </w:tcPr>
          <w:p w:rsidR="00340E84" w:rsidP="54694436" w:rsidRDefault="01745721" w14:paraId="29021E8C" w14:textId="2CDAF4FE">
            <w:pPr>
              <w:jc w:val="center"/>
            </w:pPr>
            <w:r>
              <w:t>0.0833</w:t>
            </w:r>
          </w:p>
        </w:tc>
        <w:tc>
          <w:tcPr>
            <w:tcW w:w="1063" w:type="dxa"/>
            <w:vAlign w:val="center"/>
          </w:tcPr>
          <w:p w:rsidRPr="002819DD" w:rsidR="00340E84" w:rsidP="54694436" w:rsidRDefault="005913DA" w14:paraId="515AAFC2" w14:textId="71EAEE3A">
            <w:pPr>
              <w:jc w:val="center"/>
            </w:pPr>
            <w:r>
              <w:t>4.17</w:t>
            </w:r>
          </w:p>
        </w:tc>
      </w:tr>
      <w:tr w:rsidR="004125DF" w:rsidTr="004125DF" w14:paraId="2202173C" w14:textId="77777777">
        <w:trPr>
          <w:trHeight w:val="274"/>
        </w:trPr>
        <w:tc>
          <w:tcPr>
            <w:tcW w:w="2515" w:type="dxa"/>
          </w:tcPr>
          <w:p w:rsidR="004125DF" w:rsidP="004125DF" w:rsidRDefault="004125DF" w14:paraId="2E0BF6A2" w14:textId="764621A8">
            <w:r>
              <w:t xml:space="preserve">Child Welfare Information Gateway’s </w:t>
            </w:r>
            <w:r w:rsidRPr="0028384F">
              <w:rPr>
                <w:rStyle w:val="normaltextrun"/>
              </w:rPr>
              <w:t xml:space="preserve">Grantee Exchange Platform </w:t>
            </w:r>
            <w:r>
              <w:rPr>
                <w:rStyle w:val="normaltextrun"/>
              </w:rPr>
              <w:t>Experienced User</w:t>
            </w:r>
            <w:r w:rsidRPr="0028384F">
              <w:rPr>
                <w:rStyle w:val="normaltextrun"/>
              </w:rPr>
              <w:t xml:space="preserve"> Survey</w:t>
            </w:r>
          </w:p>
        </w:tc>
        <w:tc>
          <w:tcPr>
            <w:tcW w:w="1481" w:type="dxa"/>
            <w:vAlign w:val="center"/>
          </w:tcPr>
          <w:p w:rsidR="004125DF" w:rsidP="004125DF" w:rsidRDefault="004125DF" w14:paraId="1C015E2D" w14:textId="7A2576F0">
            <w:pPr>
              <w:jc w:val="center"/>
            </w:pPr>
            <w:r>
              <w:t>Individuals</w:t>
            </w:r>
          </w:p>
        </w:tc>
        <w:tc>
          <w:tcPr>
            <w:tcW w:w="1526" w:type="dxa"/>
            <w:vAlign w:val="center"/>
          </w:tcPr>
          <w:p w:rsidR="004125DF" w:rsidP="004125DF" w:rsidRDefault="004125DF" w14:paraId="7B869619" w14:textId="0A50E055">
            <w:pPr>
              <w:jc w:val="center"/>
            </w:pPr>
            <w:r>
              <w:t>50</w:t>
            </w:r>
          </w:p>
        </w:tc>
        <w:tc>
          <w:tcPr>
            <w:tcW w:w="1496" w:type="dxa"/>
            <w:vAlign w:val="center"/>
          </w:tcPr>
          <w:p w:rsidR="004125DF" w:rsidP="004125DF" w:rsidRDefault="004125DF" w14:paraId="75392E4C" w14:textId="5BBADC31">
            <w:pPr>
              <w:jc w:val="center"/>
            </w:pPr>
            <w:r>
              <w:t>1</w:t>
            </w:r>
          </w:p>
        </w:tc>
        <w:tc>
          <w:tcPr>
            <w:tcW w:w="1274" w:type="dxa"/>
            <w:vAlign w:val="center"/>
          </w:tcPr>
          <w:p w:rsidR="004125DF" w:rsidP="004125DF" w:rsidRDefault="004125DF" w14:paraId="2DB20522" w14:textId="2A9E304C">
            <w:pPr>
              <w:jc w:val="center"/>
            </w:pPr>
            <w:r>
              <w:t>0.0833</w:t>
            </w:r>
          </w:p>
        </w:tc>
        <w:tc>
          <w:tcPr>
            <w:tcW w:w="1063" w:type="dxa"/>
            <w:vAlign w:val="center"/>
          </w:tcPr>
          <w:p w:rsidR="004125DF" w:rsidP="004125DF" w:rsidRDefault="004125DF" w14:paraId="217BB601" w14:textId="11AFAE0D">
            <w:pPr>
              <w:jc w:val="center"/>
            </w:pPr>
            <w:r>
              <w:t>4.17</w:t>
            </w:r>
          </w:p>
        </w:tc>
      </w:tr>
      <w:tr w:rsidR="00340E84" w:rsidTr="004125DF" w14:paraId="7DE107E6" w14:textId="77777777">
        <w:trPr>
          <w:trHeight w:val="289"/>
        </w:trPr>
        <w:tc>
          <w:tcPr>
            <w:tcW w:w="3996" w:type="dxa"/>
            <w:gridSpan w:val="2"/>
            <w:vAlign w:val="center"/>
          </w:tcPr>
          <w:p w:rsidRPr="0001027E" w:rsidR="00340E84" w:rsidP="004D46E9" w:rsidRDefault="00340E84" w14:paraId="3B8E1C51" w14:textId="4CAFB0FA">
            <w:pPr>
              <w:jc w:val="right"/>
              <w:rPr>
                <w:b/>
              </w:rPr>
            </w:pPr>
            <w:r w:rsidRPr="0001027E">
              <w:rPr>
                <w:b/>
              </w:rPr>
              <w:t>Totals</w:t>
            </w:r>
          </w:p>
        </w:tc>
        <w:tc>
          <w:tcPr>
            <w:tcW w:w="1526" w:type="dxa"/>
            <w:vAlign w:val="center"/>
          </w:tcPr>
          <w:p w:rsidRPr="0001027E" w:rsidR="00340E84" w:rsidP="004125DF" w:rsidRDefault="004125DF" w14:paraId="55E12884" w14:textId="3437922E">
            <w:pPr>
              <w:jc w:val="center"/>
              <w:rPr>
                <w:b/>
              </w:rPr>
            </w:pPr>
            <w:r>
              <w:rPr>
                <w:b/>
              </w:rPr>
              <w:t>100</w:t>
            </w:r>
          </w:p>
        </w:tc>
        <w:tc>
          <w:tcPr>
            <w:tcW w:w="1496" w:type="dxa"/>
            <w:vAlign w:val="center"/>
          </w:tcPr>
          <w:p w:rsidR="00340E84" w:rsidP="004125DF" w:rsidRDefault="004125DF" w14:paraId="1DB2365D" w14:textId="52EFAD80">
            <w:pPr>
              <w:jc w:val="center"/>
            </w:pPr>
            <w:r>
              <w:t>1</w:t>
            </w:r>
          </w:p>
        </w:tc>
        <w:tc>
          <w:tcPr>
            <w:tcW w:w="1274" w:type="dxa"/>
            <w:vAlign w:val="center"/>
          </w:tcPr>
          <w:p w:rsidR="00340E84" w:rsidP="004125DF" w:rsidRDefault="004125DF" w14:paraId="39DC28AB" w14:textId="4141D251">
            <w:pPr>
              <w:jc w:val="center"/>
            </w:pPr>
            <w:r>
              <w:t>.0833</w:t>
            </w:r>
          </w:p>
        </w:tc>
        <w:tc>
          <w:tcPr>
            <w:tcW w:w="1063" w:type="dxa"/>
            <w:vAlign w:val="center"/>
          </w:tcPr>
          <w:p w:rsidRPr="002819DD" w:rsidR="00340E84" w:rsidP="004125DF" w:rsidRDefault="004125DF" w14:paraId="4E11045B" w14:textId="05749D7B">
            <w:pPr>
              <w:jc w:val="center"/>
              <w:rPr>
                <w:b/>
                <w:bCs/>
              </w:rPr>
            </w:pPr>
            <w:r>
              <w:rPr>
                <w:b/>
                <w:bCs/>
              </w:rPr>
              <w:t>8</w:t>
            </w:r>
          </w:p>
        </w:tc>
      </w:tr>
    </w:tbl>
    <w:p w:rsidR="00F3170F" w:rsidP="00F3170F" w:rsidRDefault="00F3170F" w14:paraId="3CF8F186" w14:textId="77777777"/>
    <w:p w:rsidR="005E714A" w:rsidP="00E1666F" w:rsidRDefault="001C39F7" w14:paraId="35567BF8" w14:textId="01A4AE45">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004125DF">
        <w:rPr>
          <w:u w:val="single"/>
        </w:rPr>
        <w:t>1,316.40</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174E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1900FC">
        <w:t>X</w:t>
      </w:r>
      <w:r>
        <w:t>] Yes</w:t>
      </w:r>
      <w:r>
        <w:tab/>
        <w:t>[</w:t>
      </w:r>
      <w:r w:rsidR="795CE816">
        <w:t xml:space="preserve"> </w:t>
      </w:r>
      <w:r>
        <w:t>] No</w:t>
      </w:r>
    </w:p>
    <w:p w:rsidR="00636621" w:rsidP="00EA16B9" w:rsidRDefault="00636621" w14:paraId="3036A929" w14:textId="77777777"/>
    <w:p w:rsidR="00636621" w:rsidP="001B0AAA" w:rsidRDefault="00636621" w14:paraId="3C0467DB" w14:textId="13BC4529">
      <w:r>
        <w:lastRenderedPageBreak/>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A403BB" w:rsidP="00A403BB" w:rsidRDefault="00A403BB" w14:paraId="10110DDC" w14:textId="77777777">
      <w:pPr>
        <w:pStyle w:val="ListParagraph"/>
      </w:pPr>
    </w:p>
    <w:p w:rsidRPr="006461FD" w:rsidR="00894FBB" w:rsidP="00A403BB" w:rsidRDefault="00621837" w14:paraId="68989E04" w14:textId="6E3D2126">
      <w:r>
        <w:t>Survey r</w:t>
      </w:r>
      <w:r w:rsidRPr="006461FD" w:rsidR="006461FD">
        <w:t>ecipients will include those grantees in the F</w:t>
      </w:r>
      <w:r w:rsidR="00545EF7">
        <w:t>Y</w:t>
      </w:r>
      <w:r w:rsidRPr="006461FD" w:rsidR="006461FD">
        <w:t>2021 Family Support Through Primary Prevention Program with a Grantee Exchange license</w:t>
      </w:r>
      <w:r w:rsidR="004125DF">
        <w:t xml:space="preserve">, </w:t>
      </w:r>
      <w:r w:rsidR="004125DF">
        <w:rPr>
          <w:rStyle w:val="normaltextrun"/>
        </w:rPr>
        <w:t>FY</w:t>
      </w:r>
      <w:r w:rsidRPr="00A77942" w:rsidR="004125DF">
        <w:rPr>
          <w:rStyle w:val="normaltextrun"/>
        </w:rPr>
        <w:t xml:space="preserve"> </w:t>
      </w:r>
      <w:r w:rsidR="004125DF">
        <w:rPr>
          <w:rStyle w:val="normaltextrun"/>
        </w:rPr>
        <w:t>20</w:t>
      </w:r>
      <w:r w:rsidRPr="00A77942" w:rsidR="004125DF">
        <w:rPr>
          <w:rStyle w:val="normaltextrun"/>
        </w:rPr>
        <w:t xml:space="preserve">18 and FY </w:t>
      </w:r>
      <w:r w:rsidR="004125DF">
        <w:rPr>
          <w:rStyle w:val="normaltextrun"/>
        </w:rPr>
        <w:t>20</w:t>
      </w:r>
      <w:r w:rsidRPr="00A77942" w:rsidR="004125DF">
        <w:rPr>
          <w:rStyle w:val="normaltextrun"/>
        </w:rPr>
        <w:t>19 Family Support Through Primary Prevention grantees</w:t>
      </w:r>
      <w:r w:rsidR="004125DF">
        <w:rPr>
          <w:rStyle w:val="normaltextrun"/>
        </w:rPr>
        <w:t>,</w:t>
      </w:r>
      <w:r w:rsidRPr="00A77942" w:rsidR="004125DF">
        <w:rPr>
          <w:rStyle w:val="normaltextrun"/>
        </w:rPr>
        <w:t xml:space="preserve"> and FY </w:t>
      </w:r>
      <w:r w:rsidR="004125DF">
        <w:rPr>
          <w:rStyle w:val="normaltextrun"/>
        </w:rPr>
        <w:t>20</w:t>
      </w:r>
      <w:r w:rsidRPr="00A77942" w:rsidR="004125DF">
        <w:rPr>
          <w:rStyle w:val="normaltextrun"/>
        </w:rPr>
        <w:t xml:space="preserve">18 </w:t>
      </w:r>
      <w:r w:rsidR="004125DF">
        <w:rPr>
          <w:rStyle w:val="normaltextrun"/>
        </w:rPr>
        <w:t xml:space="preserve">and </w:t>
      </w:r>
      <w:r w:rsidRPr="00A77942" w:rsidR="004125DF">
        <w:rPr>
          <w:rStyle w:val="normaltextrun"/>
        </w:rPr>
        <w:t xml:space="preserve">FY </w:t>
      </w:r>
      <w:r w:rsidR="004125DF">
        <w:rPr>
          <w:rStyle w:val="normaltextrun"/>
        </w:rPr>
        <w:t>20</w:t>
      </w:r>
      <w:r w:rsidRPr="00A77942" w:rsidR="004125DF">
        <w:rPr>
          <w:rStyle w:val="normaltextrun"/>
        </w:rPr>
        <w:t>19 Community Collaborations to Strengthen and Preserve Families grantees with Grantee Exchange licenses</w:t>
      </w:r>
      <w:r w:rsidR="004125DF">
        <w:rPr>
          <w:rStyle w:val="normaltextrun"/>
        </w:rPr>
        <w:t>.</w:t>
      </w:r>
    </w:p>
    <w:p w:rsidR="006461FD" w:rsidP="00A403BB" w:rsidRDefault="006461FD" w14:paraId="3413FB72"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Social Media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0AB8BFD9">
      <w:pPr>
        <w:ind w:left="720"/>
      </w:pPr>
      <w:r>
        <w:t>[</w:t>
      </w:r>
      <w:r w:rsidR="000E79C6">
        <w:t xml:space="preserve"> </w:t>
      </w:r>
      <w:r w:rsidR="6ABB0C20">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P="29296930" w:rsidRDefault="00CE5BCE" w14:paraId="66D211AF" w14:textId="6E470D8D">
      <w:pPr>
        <w:rPr>
          <w:sz w:val="28"/>
          <w:szCs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38868" w14:textId="77777777" w:rsidR="002E2F73" w:rsidRDefault="002E2F73">
      <w:r>
        <w:separator/>
      </w:r>
    </w:p>
  </w:endnote>
  <w:endnote w:type="continuationSeparator" w:id="0">
    <w:p w14:paraId="574DA03F" w14:textId="77777777" w:rsidR="002E2F73" w:rsidRDefault="002E2F73">
      <w:r>
        <w:continuationSeparator/>
      </w:r>
    </w:p>
  </w:endnote>
  <w:endnote w:type="continuationNotice" w:id="1">
    <w:p w14:paraId="7EB197D2" w14:textId="77777777" w:rsidR="002E2F73" w:rsidRDefault="002E2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5721E" w14:textId="77777777" w:rsidR="002E2F73" w:rsidRDefault="002E2F73">
      <w:r>
        <w:separator/>
      </w:r>
    </w:p>
  </w:footnote>
  <w:footnote w:type="continuationSeparator" w:id="0">
    <w:p w14:paraId="7A2EED12" w14:textId="77777777" w:rsidR="002E2F73" w:rsidRDefault="002E2F73">
      <w:r>
        <w:continuationSeparator/>
      </w:r>
    </w:p>
  </w:footnote>
  <w:footnote w:type="continuationNotice" w:id="1">
    <w:p w14:paraId="2C72FA41" w14:textId="77777777" w:rsidR="002E2F73" w:rsidRDefault="002E2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4E"/>
    <w:rsid w:val="00013AC1"/>
    <w:rsid w:val="00016370"/>
    <w:rsid w:val="00023A57"/>
    <w:rsid w:val="00032A57"/>
    <w:rsid w:val="00047A64"/>
    <w:rsid w:val="0005086B"/>
    <w:rsid w:val="000519D4"/>
    <w:rsid w:val="00062208"/>
    <w:rsid w:val="00062B52"/>
    <w:rsid w:val="00062EF4"/>
    <w:rsid w:val="000646A1"/>
    <w:rsid w:val="00065350"/>
    <w:rsid w:val="00067329"/>
    <w:rsid w:val="00083E5E"/>
    <w:rsid w:val="00085716"/>
    <w:rsid w:val="00092984"/>
    <w:rsid w:val="000B2838"/>
    <w:rsid w:val="000B38AE"/>
    <w:rsid w:val="000C64A9"/>
    <w:rsid w:val="000D44CA"/>
    <w:rsid w:val="000D5D3B"/>
    <w:rsid w:val="000E0C08"/>
    <w:rsid w:val="000E200B"/>
    <w:rsid w:val="000E79C6"/>
    <w:rsid w:val="000F1F36"/>
    <w:rsid w:val="000F5EC9"/>
    <w:rsid w:val="000F68BE"/>
    <w:rsid w:val="00115D1D"/>
    <w:rsid w:val="00130020"/>
    <w:rsid w:val="001321C7"/>
    <w:rsid w:val="00132F5D"/>
    <w:rsid w:val="00137CF0"/>
    <w:rsid w:val="0014647B"/>
    <w:rsid w:val="00147296"/>
    <w:rsid w:val="001900FC"/>
    <w:rsid w:val="001927A4"/>
    <w:rsid w:val="00194AC6"/>
    <w:rsid w:val="001954B2"/>
    <w:rsid w:val="001A23B0"/>
    <w:rsid w:val="001A25CC"/>
    <w:rsid w:val="001B0AAA"/>
    <w:rsid w:val="001B45F9"/>
    <w:rsid w:val="001B6C22"/>
    <w:rsid w:val="001C39F7"/>
    <w:rsid w:val="001E5676"/>
    <w:rsid w:val="001F7829"/>
    <w:rsid w:val="0020110A"/>
    <w:rsid w:val="00201735"/>
    <w:rsid w:val="0020364A"/>
    <w:rsid w:val="0022935E"/>
    <w:rsid w:val="00237168"/>
    <w:rsid w:val="00237B48"/>
    <w:rsid w:val="0024521E"/>
    <w:rsid w:val="002558A9"/>
    <w:rsid w:val="00257AF2"/>
    <w:rsid w:val="00263C3D"/>
    <w:rsid w:val="002676E6"/>
    <w:rsid w:val="00273D86"/>
    <w:rsid w:val="00274D0B"/>
    <w:rsid w:val="002819DD"/>
    <w:rsid w:val="0028384F"/>
    <w:rsid w:val="002B052D"/>
    <w:rsid w:val="002B34CD"/>
    <w:rsid w:val="002B3C95"/>
    <w:rsid w:val="002C376B"/>
    <w:rsid w:val="002C3A81"/>
    <w:rsid w:val="002D0B92"/>
    <w:rsid w:val="002D13FB"/>
    <w:rsid w:val="002D1FE7"/>
    <w:rsid w:val="002E1229"/>
    <w:rsid w:val="002E2F73"/>
    <w:rsid w:val="002E3703"/>
    <w:rsid w:val="00322DBA"/>
    <w:rsid w:val="00325D6A"/>
    <w:rsid w:val="00327649"/>
    <w:rsid w:val="00327BD7"/>
    <w:rsid w:val="00340E84"/>
    <w:rsid w:val="003429F8"/>
    <w:rsid w:val="00363E22"/>
    <w:rsid w:val="003746A6"/>
    <w:rsid w:val="00381184"/>
    <w:rsid w:val="003925F5"/>
    <w:rsid w:val="003A046A"/>
    <w:rsid w:val="003A0860"/>
    <w:rsid w:val="003A51D3"/>
    <w:rsid w:val="003C4688"/>
    <w:rsid w:val="003D137A"/>
    <w:rsid w:val="003D3E32"/>
    <w:rsid w:val="003D5BBE"/>
    <w:rsid w:val="003E3C61"/>
    <w:rsid w:val="003E55C5"/>
    <w:rsid w:val="003F1C5B"/>
    <w:rsid w:val="003F6773"/>
    <w:rsid w:val="00406DA6"/>
    <w:rsid w:val="00407F6E"/>
    <w:rsid w:val="004125DF"/>
    <w:rsid w:val="00414E52"/>
    <w:rsid w:val="00434E33"/>
    <w:rsid w:val="00441434"/>
    <w:rsid w:val="0045264C"/>
    <w:rsid w:val="00456C6A"/>
    <w:rsid w:val="004777B7"/>
    <w:rsid w:val="004858D5"/>
    <w:rsid w:val="004876EC"/>
    <w:rsid w:val="00491C1D"/>
    <w:rsid w:val="00496B77"/>
    <w:rsid w:val="004A781C"/>
    <w:rsid w:val="004C6870"/>
    <w:rsid w:val="004D02C3"/>
    <w:rsid w:val="004D46E9"/>
    <w:rsid w:val="004D5C4E"/>
    <w:rsid w:val="004D6E14"/>
    <w:rsid w:val="004E47C1"/>
    <w:rsid w:val="004E605E"/>
    <w:rsid w:val="004F65AF"/>
    <w:rsid w:val="0050035A"/>
    <w:rsid w:val="005009B0"/>
    <w:rsid w:val="00506233"/>
    <w:rsid w:val="00513B83"/>
    <w:rsid w:val="00513D99"/>
    <w:rsid w:val="005166C8"/>
    <w:rsid w:val="00521A8E"/>
    <w:rsid w:val="00522A1F"/>
    <w:rsid w:val="00545EF7"/>
    <w:rsid w:val="00561AF4"/>
    <w:rsid w:val="005752F2"/>
    <w:rsid w:val="005913DA"/>
    <w:rsid w:val="0059170C"/>
    <w:rsid w:val="00593587"/>
    <w:rsid w:val="005A1006"/>
    <w:rsid w:val="005D4289"/>
    <w:rsid w:val="005D6F94"/>
    <w:rsid w:val="005E714A"/>
    <w:rsid w:val="005F2897"/>
    <w:rsid w:val="005F6692"/>
    <w:rsid w:val="005F693D"/>
    <w:rsid w:val="00603BA6"/>
    <w:rsid w:val="006140A0"/>
    <w:rsid w:val="00621837"/>
    <w:rsid w:val="00622663"/>
    <w:rsid w:val="00626723"/>
    <w:rsid w:val="00627084"/>
    <w:rsid w:val="00634C63"/>
    <w:rsid w:val="00636621"/>
    <w:rsid w:val="0064237A"/>
    <w:rsid w:val="00642B49"/>
    <w:rsid w:val="006461FD"/>
    <w:rsid w:val="00655C91"/>
    <w:rsid w:val="00656035"/>
    <w:rsid w:val="00673A41"/>
    <w:rsid w:val="00673B66"/>
    <w:rsid w:val="0068089F"/>
    <w:rsid w:val="006832D9"/>
    <w:rsid w:val="00684A3E"/>
    <w:rsid w:val="00691AE3"/>
    <w:rsid w:val="0069403B"/>
    <w:rsid w:val="006C2B59"/>
    <w:rsid w:val="006E1FE8"/>
    <w:rsid w:val="006E2012"/>
    <w:rsid w:val="006E26A1"/>
    <w:rsid w:val="006E6D9B"/>
    <w:rsid w:val="006F3244"/>
    <w:rsid w:val="006F3D28"/>
    <w:rsid w:val="006F3DDE"/>
    <w:rsid w:val="00704678"/>
    <w:rsid w:val="0071625E"/>
    <w:rsid w:val="00717E4F"/>
    <w:rsid w:val="007425E7"/>
    <w:rsid w:val="00742C01"/>
    <w:rsid w:val="00747723"/>
    <w:rsid w:val="007512CA"/>
    <w:rsid w:val="007601A8"/>
    <w:rsid w:val="0077222B"/>
    <w:rsid w:val="00773335"/>
    <w:rsid w:val="00792AB1"/>
    <w:rsid w:val="007953D2"/>
    <w:rsid w:val="007A3A26"/>
    <w:rsid w:val="007D16B6"/>
    <w:rsid w:val="007D2783"/>
    <w:rsid w:val="007D635C"/>
    <w:rsid w:val="007E1975"/>
    <w:rsid w:val="007E52AB"/>
    <w:rsid w:val="007E73B5"/>
    <w:rsid w:val="007F7080"/>
    <w:rsid w:val="00802607"/>
    <w:rsid w:val="008101A5"/>
    <w:rsid w:val="00822664"/>
    <w:rsid w:val="00825D75"/>
    <w:rsid w:val="008260B9"/>
    <w:rsid w:val="00830827"/>
    <w:rsid w:val="00832A20"/>
    <w:rsid w:val="00834944"/>
    <w:rsid w:val="00843796"/>
    <w:rsid w:val="00894FBB"/>
    <w:rsid w:val="00895229"/>
    <w:rsid w:val="00896A38"/>
    <w:rsid w:val="008A0ED8"/>
    <w:rsid w:val="008B26BC"/>
    <w:rsid w:val="008B26C2"/>
    <w:rsid w:val="008B2785"/>
    <w:rsid w:val="008B2EB3"/>
    <w:rsid w:val="008B6676"/>
    <w:rsid w:val="008B6C72"/>
    <w:rsid w:val="008C1F0E"/>
    <w:rsid w:val="008F0203"/>
    <w:rsid w:val="008F0911"/>
    <w:rsid w:val="008F50D4"/>
    <w:rsid w:val="008F7D77"/>
    <w:rsid w:val="009239AA"/>
    <w:rsid w:val="00935ADA"/>
    <w:rsid w:val="00946B6C"/>
    <w:rsid w:val="00955A71"/>
    <w:rsid w:val="0096108F"/>
    <w:rsid w:val="00987D3C"/>
    <w:rsid w:val="009A25F7"/>
    <w:rsid w:val="009B5631"/>
    <w:rsid w:val="009C13B9"/>
    <w:rsid w:val="009C1904"/>
    <w:rsid w:val="009C263C"/>
    <w:rsid w:val="009C2E66"/>
    <w:rsid w:val="009D01A2"/>
    <w:rsid w:val="009E1E02"/>
    <w:rsid w:val="009E6B5D"/>
    <w:rsid w:val="009F5923"/>
    <w:rsid w:val="00A006AF"/>
    <w:rsid w:val="00A0155E"/>
    <w:rsid w:val="00A05AA3"/>
    <w:rsid w:val="00A12496"/>
    <w:rsid w:val="00A13B39"/>
    <w:rsid w:val="00A14995"/>
    <w:rsid w:val="00A14B51"/>
    <w:rsid w:val="00A33927"/>
    <w:rsid w:val="00A403BB"/>
    <w:rsid w:val="00A4421F"/>
    <w:rsid w:val="00A56BAA"/>
    <w:rsid w:val="00A674DF"/>
    <w:rsid w:val="00A7427C"/>
    <w:rsid w:val="00A83AA6"/>
    <w:rsid w:val="00A9125C"/>
    <w:rsid w:val="00A934D6"/>
    <w:rsid w:val="00A9745F"/>
    <w:rsid w:val="00AB4A7A"/>
    <w:rsid w:val="00AC0DF1"/>
    <w:rsid w:val="00AD0291"/>
    <w:rsid w:val="00AD385E"/>
    <w:rsid w:val="00ADB3D7"/>
    <w:rsid w:val="00AE057E"/>
    <w:rsid w:val="00AE1809"/>
    <w:rsid w:val="00AE788E"/>
    <w:rsid w:val="00AF2573"/>
    <w:rsid w:val="00AF73CC"/>
    <w:rsid w:val="00B07CBE"/>
    <w:rsid w:val="00B16C60"/>
    <w:rsid w:val="00B17DD3"/>
    <w:rsid w:val="00B22ABC"/>
    <w:rsid w:val="00B23F5F"/>
    <w:rsid w:val="00B2620C"/>
    <w:rsid w:val="00B30B51"/>
    <w:rsid w:val="00B30FB8"/>
    <w:rsid w:val="00B314B0"/>
    <w:rsid w:val="00B404D6"/>
    <w:rsid w:val="00B41D18"/>
    <w:rsid w:val="00B463C4"/>
    <w:rsid w:val="00B7108F"/>
    <w:rsid w:val="00B74007"/>
    <w:rsid w:val="00B76176"/>
    <w:rsid w:val="00B80D76"/>
    <w:rsid w:val="00BA1837"/>
    <w:rsid w:val="00BA2105"/>
    <w:rsid w:val="00BA32F9"/>
    <w:rsid w:val="00BA7E06"/>
    <w:rsid w:val="00BB43B5"/>
    <w:rsid w:val="00BB6219"/>
    <w:rsid w:val="00BC27ED"/>
    <w:rsid w:val="00BD290F"/>
    <w:rsid w:val="00BD4762"/>
    <w:rsid w:val="00BD7892"/>
    <w:rsid w:val="00BF0BF2"/>
    <w:rsid w:val="00BF381D"/>
    <w:rsid w:val="00C00488"/>
    <w:rsid w:val="00C038F9"/>
    <w:rsid w:val="00C042D4"/>
    <w:rsid w:val="00C11AB6"/>
    <w:rsid w:val="00C14CC4"/>
    <w:rsid w:val="00C14DF7"/>
    <w:rsid w:val="00C20DA9"/>
    <w:rsid w:val="00C33C52"/>
    <w:rsid w:val="00C40D8B"/>
    <w:rsid w:val="00C47CA8"/>
    <w:rsid w:val="00C52F99"/>
    <w:rsid w:val="00C557EE"/>
    <w:rsid w:val="00C6793C"/>
    <w:rsid w:val="00C72C10"/>
    <w:rsid w:val="00C8407A"/>
    <w:rsid w:val="00C8488C"/>
    <w:rsid w:val="00C86E91"/>
    <w:rsid w:val="00CA06D3"/>
    <w:rsid w:val="00CA2650"/>
    <w:rsid w:val="00CB1078"/>
    <w:rsid w:val="00CB3E25"/>
    <w:rsid w:val="00CB3F93"/>
    <w:rsid w:val="00CC577F"/>
    <w:rsid w:val="00CC5ECF"/>
    <w:rsid w:val="00CC6FAF"/>
    <w:rsid w:val="00CC7AD8"/>
    <w:rsid w:val="00CE0A3B"/>
    <w:rsid w:val="00CE4EBA"/>
    <w:rsid w:val="00CE5BCE"/>
    <w:rsid w:val="00CF06DF"/>
    <w:rsid w:val="00CF24D5"/>
    <w:rsid w:val="00CF6542"/>
    <w:rsid w:val="00D0377C"/>
    <w:rsid w:val="00D13071"/>
    <w:rsid w:val="00D1422E"/>
    <w:rsid w:val="00D24698"/>
    <w:rsid w:val="00D37CE9"/>
    <w:rsid w:val="00D40A5D"/>
    <w:rsid w:val="00D4486D"/>
    <w:rsid w:val="00D45239"/>
    <w:rsid w:val="00D56C22"/>
    <w:rsid w:val="00D6383F"/>
    <w:rsid w:val="00D83B1B"/>
    <w:rsid w:val="00DB11F8"/>
    <w:rsid w:val="00DB59D0"/>
    <w:rsid w:val="00DC33D3"/>
    <w:rsid w:val="00DC61B2"/>
    <w:rsid w:val="00DD78D9"/>
    <w:rsid w:val="00DE1BE8"/>
    <w:rsid w:val="00DE227A"/>
    <w:rsid w:val="00DF1E73"/>
    <w:rsid w:val="00DF7652"/>
    <w:rsid w:val="00E026B1"/>
    <w:rsid w:val="00E05C1E"/>
    <w:rsid w:val="00E11203"/>
    <w:rsid w:val="00E152D9"/>
    <w:rsid w:val="00E1666F"/>
    <w:rsid w:val="00E20647"/>
    <w:rsid w:val="00E26329"/>
    <w:rsid w:val="00E371C9"/>
    <w:rsid w:val="00E40B50"/>
    <w:rsid w:val="00E43ADF"/>
    <w:rsid w:val="00E50293"/>
    <w:rsid w:val="00E55D6A"/>
    <w:rsid w:val="00E56700"/>
    <w:rsid w:val="00E65FFC"/>
    <w:rsid w:val="00E66221"/>
    <w:rsid w:val="00E744EA"/>
    <w:rsid w:val="00E80951"/>
    <w:rsid w:val="00E86CC6"/>
    <w:rsid w:val="00E96D01"/>
    <w:rsid w:val="00EA1563"/>
    <w:rsid w:val="00EA16B9"/>
    <w:rsid w:val="00EB56B3"/>
    <w:rsid w:val="00EC517D"/>
    <w:rsid w:val="00EC528C"/>
    <w:rsid w:val="00ED1BCB"/>
    <w:rsid w:val="00ED4639"/>
    <w:rsid w:val="00ED6492"/>
    <w:rsid w:val="00EE6623"/>
    <w:rsid w:val="00EF2095"/>
    <w:rsid w:val="00EF42CB"/>
    <w:rsid w:val="00EF63E1"/>
    <w:rsid w:val="00F06866"/>
    <w:rsid w:val="00F07B44"/>
    <w:rsid w:val="00F15956"/>
    <w:rsid w:val="00F16B38"/>
    <w:rsid w:val="00F24CFC"/>
    <w:rsid w:val="00F2736A"/>
    <w:rsid w:val="00F3034E"/>
    <w:rsid w:val="00F3170F"/>
    <w:rsid w:val="00F31EF7"/>
    <w:rsid w:val="00F33B76"/>
    <w:rsid w:val="00F35C72"/>
    <w:rsid w:val="00F40F5B"/>
    <w:rsid w:val="00F41EAA"/>
    <w:rsid w:val="00F433DA"/>
    <w:rsid w:val="00F62C22"/>
    <w:rsid w:val="00F66A80"/>
    <w:rsid w:val="00F72F93"/>
    <w:rsid w:val="00F7473D"/>
    <w:rsid w:val="00F82601"/>
    <w:rsid w:val="00F83A28"/>
    <w:rsid w:val="00F916D3"/>
    <w:rsid w:val="00F976B0"/>
    <w:rsid w:val="00FA6DE7"/>
    <w:rsid w:val="00FA79EB"/>
    <w:rsid w:val="00FB3E2E"/>
    <w:rsid w:val="00FC0A8E"/>
    <w:rsid w:val="00FE2FA6"/>
    <w:rsid w:val="00FE3DF2"/>
    <w:rsid w:val="00FF5B25"/>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6FDCF46"/>
    <w:rsid w:val="386A4A3A"/>
    <w:rsid w:val="38ED5607"/>
    <w:rsid w:val="3C21BE8B"/>
    <w:rsid w:val="3E334CBD"/>
    <w:rsid w:val="3EDD66C7"/>
    <w:rsid w:val="3FCA3019"/>
    <w:rsid w:val="3FD665B8"/>
    <w:rsid w:val="4002AFF4"/>
    <w:rsid w:val="40F6C770"/>
    <w:rsid w:val="42D8004C"/>
    <w:rsid w:val="43942143"/>
    <w:rsid w:val="444410D1"/>
    <w:rsid w:val="44C86F09"/>
    <w:rsid w:val="45F87CBD"/>
    <w:rsid w:val="477C8ED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5075A7C"/>
    <w:rsid w:val="67AEC96F"/>
    <w:rsid w:val="697F07B6"/>
    <w:rsid w:val="6A0A80DB"/>
    <w:rsid w:val="6A4FC8D2"/>
    <w:rsid w:val="6ABB0C20"/>
    <w:rsid w:val="73074A74"/>
    <w:rsid w:val="75481DE8"/>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semiHidden/>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2" ma:contentTypeDescription="Create a new document." ma:contentTypeScope="" ma:versionID="2e0be0961360f52ac1fd8e984f3b7270">
  <xsd:schema xmlns:xsd="http://www.w3.org/2001/XMLSchema" xmlns:xs="http://www.w3.org/2001/XMLSchema" xmlns:p="http://schemas.microsoft.com/office/2006/metadata/properties" xmlns:ns2="e847b06d-a24a-40c6-8f2a-5006865b8fb4" xmlns:ns3="6be3f7aa-bab6-45d2-bd26-3c6f37cf46aa" targetNamespace="http://schemas.microsoft.com/office/2006/metadata/properties" ma:root="true" ma:fieldsID="f6bd3a65221e053c399b06c2a525821f" ns2:_="" ns3:_="">
    <xsd:import namespace="e847b06d-a24a-40c6-8f2a-5006865b8fb4"/>
    <xsd:import namespace="6be3f7aa-bab6-45d2-bd26-3c6f37cf46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6be3f7aa-bab6-45d2-bd26-3c6f37cf46aa">
      <UserInfo>
        <DisplayName>Shelley, Brooke</DisplayName>
        <AccountId>12</AccountId>
        <AccountType/>
      </UserInfo>
      <UserInfo>
        <DisplayName>Wallin-Miller, Helena</DisplayName>
        <AccountId>14</AccountId>
        <AccountType/>
      </UserInfo>
    </SharedWithUsers>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658EAA7-0673-47AD-95E4-C1C8A9E5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be3f7aa-bab6-45d2-bd26-3c6f37cf46a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793</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13</cp:revision>
  <cp:lastPrinted>2022-04-01T22:34:00Z</cp:lastPrinted>
  <dcterms:created xsi:type="dcterms:W3CDTF">2022-04-01T22:29:00Z</dcterms:created>
  <dcterms:modified xsi:type="dcterms:W3CDTF">2022-04-04T10:36:00Z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0x010100636D340073D92D4190D7790942D4EE51</vt:lpwstr>
  </property>
</Properties>
</file>