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5CF8" w:rsidRPr="005777ED" w:rsidP="00E360A4" w14:paraId="73A06630" w14:textId="77777777">
      <w:pPr>
        <w:spacing w:after="160" w:line="259" w:lineRule="auto"/>
        <w:rPr>
          <w:rFonts w:ascii="Times New Roman" w:hAnsi="Times New Roman" w:eastAsiaTheme="minorHAnsi"/>
          <w:sz w:val="24"/>
          <w:szCs w:val="24"/>
        </w:rPr>
      </w:pPr>
      <w:r w:rsidRPr="005777ED">
        <w:rPr>
          <w:rFonts w:ascii="Times New Roman" w:hAnsi="Times New Roman" w:eastAsiaTheme="minorHAnsi"/>
          <w:sz w:val="24"/>
          <w:szCs w:val="24"/>
        </w:rPr>
        <w:t>TO:</w:t>
      </w:r>
      <w:r w:rsidRPr="005777ED">
        <w:rPr>
          <w:rFonts w:ascii="Times New Roman" w:hAnsi="Times New Roman" w:eastAsiaTheme="minorHAnsi"/>
          <w:sz w:val="24"/>
          <w:szCs w:val="24"/>
        </w:rPr>
        <w:tab/>
      </w:r>
      <w:r w:rsidRPr="005777ED">
        <w:rPr>
          <w:rFonts w:ascii="Times New Roman" w:hAnsi="Times New Roman" w:eastAsiaTheme="minorHAnsi"/>
          <w:sz w:val="24"/>
          <w:szCs w:val="24"/>
        </w:rPr>
        <w:tab/>
        <w:t>Josh Brammer, OMB Desk Officer</w:t>
      </w:r>
    </w:p>
    <w:p w:rsidR="00BE5CF8" w:rsidRPr="005777ED" w:rsidP="00BE5CF8" w14:paraId="6B7D31B3" w14:textId="77777777">
      <w:pPr>
        <w:spacing w:after="160" w:line="259" w:lineRule="auto"/>
        <w:ind w:left="1440" w:hanging="1440"/>
        <w:rPr>
          <w:rFonts w:ascii="Times New Roman" w:hAnsi="Times New Roman" w:eastAsiaTheme="minorHAnsi"/>
          <w:sz w:val="24"/>
          <w:szCs w:val="24"/>
        </w:rPr>
      </w:pPr>
      <w:r w:rsidRPr="005777ED">
        <w:rPr>
          <w:rFonts w:ascii="Times New Roman" w:hAnsi="Times New Roman" w:eastAsiaTheme="minorHAnsi"/>
          <w:sz w:val="24"/>
          <w:szCs w:val="24"/>
        </w:rPr>
        <w:t>FROM:</w:t>
      </w:r>
      <w:r w:rsidRPr="005777ED">
        <w:rPr>
          <w:rFonts w:ascii="Times New Roman" w:hAnsi="Times New Roman" w:eastAsiaTheme="minorHAnsi"/>
          <w:sz w:val="24"/>
          <w:szCs w:val="24"/>
        </w:rPr>
        <w:tab/>
        <w:t>Hilary Duke, Assistant General Counsel for Regulatory Affairs, Office of the General Counsel, PBGC</w:t>
      </w:r>
    </w:p>
    <w:p w:rsidR="00BE5CF8" w:rsidRPr="005777ED" w:rsidP="00BE5CF8" w14:paraId="3CE8A061" w14:textId="373A3C33">
      <w:pPr>
        <w:spacing w:after="160" w:line="259" w:lineRule="auto"/>
        <w:ind w:left="1440" w:hanging="1440"/>
        <w:rPr>
          <w:rFonts w:ascii="Times New Roman" w:hAnsi="Times New Roman" w:eastAsiaTheme="minorHAnsi"/>
          <w:sz w:val="24"/>
          <w:szCs w:val="24"/>
        </w:rPr>
      </w:pPr>
      <w:r w:rsidRPr="005777ED">
        <w:rPr>
          <w:rFonts w:ascii="Times New Roman" w:hAnsi="Times New Roman" w:eastAsiaTheme="minorHAnsi"/>
          <w:sz w:val="24"/>
          <w:szCs w:val="24"/>
        </w:rPr>
        <w:t>RE:</w:t>
      </w:r>
      <w:r w:rsidRPr="005777ED">
        <w:rPr>
          <w:rFonts w:ascii="Times New Roman" w:hAnsi="Times New Roman" w:eastAsiaTheme="minorHAnsi"/>
          <w:sz w:val="24"/>
          <w:szCs w:val="24"/>
        </w:rPr>
        <w:tab/>
        <w:t xml:space="preserve">Request for </w:t>
      </w:r>
      <w:r w:rsidR="00114BA0">
        <w:rPr>
          <w:rFonts w:ascii="Times New Roman" w:hAnsi="Times New Roman" w:eastAsiaTheme="minorHAnsi"/>
          <w:sz w:val="24"/>
          <w:szCs w:val="24"/>
        </w:rPr>
        <w:t>e</w:t>
      </w:r>
      <w:r w:rsidRPr="005777ED">
        <w:rPr>
          <w:rFonts w:ascii="Times New Roman" w:hAnsi="Times New Roman" w:eastAsiaTheme="minorHAnsi"/>
          <w:sz w:val="24"/>
          <w:szCs w:val="24"/>
        </w:rPr>
        <w:t xml:space="preserve">mergency </w:t>
      </w:r>
      <w:r w:rsidR="00114BA0">
        <w:rPr>
          <w:rFonts w:ascii="Times New Roman" w:hAnsi="Times New Roman" w:eastAsiaTheme="minorHAnsi"/>
          <w:sz w:val="24"/>
          <w:szCs w:val="24"/>
        </w:rPr>
        <w:t>p</w:t>
      </w:r>
      <w:r w:rsidRPr="005777ED">
        <w:rPr>
          <w:rFonts w:ascii="Times New Roman" w:hAnsi="Times New Roman" w:eastAsiaTheme="minorHAnsi"/>
          <w:sz w:val="24"/>
          <w:szCs w:val="24"/>
        </w:rPr>
        <w:t xml:space="preserve">rocessing of </w:t>
      </w:r>
      <w:r>
        <w:rPr>
          <w:rFonts w:ascii="Times New Roman" w:hAnsi="Times New Roman" w:eastAsiaTheme="minorHAnsi"/>
          <w:sz w:val="24"/>
          <w:szCs w:val="24"/>
        </w:rPr>
        <w:t xml:space="preserve">revised </w:t>
      </w:r>
      <w:r w:rsidRPr="005777ED">
        <w:rPr>
          <w:rFonts w:ascii="Times New Roman" w:hAnsi="Times New Roman" w:eastAsiaTheme="minorHAnsi"/>
          <w:sz w:val="24"/>
          <w:szCs w:val="24"/>
        </w:rPr>
        <w:t>information collection under the Paperwork Reduction Act related to the Special Financial Assistance by PBGC</w:t>
      </w:r>
      <w:r w:rsidRPr="00A42D06" w:rsidR="00FE0F1C">
        <w:rPr>
          <w:rFonts w:ascii="Times New Roman" w:hAnsi="Times New Roman"/>
          <w:sz w:val="24"/>
          <w:szCs w:val="24"/>
        </w:rPr>
        <w:t>—Withdrawal Liability Condition Exception</w:t>
      </w:r>
      <w:r w:rsidRPr="005777ED">
        <w:rPr>
          <w:rFonts w:ascii="Times New Roman" w:hAnsi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>final rule (OMB control number 1212-0074)</w:t>
      </w:r>
      <w:r w:rsidRPr="005777ED">
        <w:rPr>
          <w:rFonts w:ascii="Times New Roman" w:hAnsi="Times New Roman" w:eastAsiaTheme="minorHAnsi"/>
          <w:sz w:val="24"/>
          <w:szCs w:val="24"/>
        </w:rPr>
        <w:t>.</w:t>
      </w:r>
    </w:p>
    <w:p w:rsidR="00C04614" w:rsidP="00BE5CF8" w14:paraId="5D41EC41" w14:textId="4828C0B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On July 9, 2021, PBGC issued an interim final rule </w:t>
      </w:r>
      <w:r w:rsidR="003E25DB">
        <w:rPr>
          <w:rFonts w:ascii="Times New Roman" w:hAnsi="Times New Roman" w:eastAsiaTheme="minorHAnsi"/>
          <w:sz w:val="24"/>
          <w:szCs w:val="24"/>
        </w:rPr>
        <w:t xml:space="preserve">with a request for comment, </w:t>
      </w:r>
      <w:r>
        <w:rPr>
          <w:rFonts w:ascii="Times New Roman" w:hAnsi="Times New Roman" w:eastAsiaTheme="minorHAnsi"/>
          <w:sz w:val="24"/>
          <w:szCs w:val="24"/>
        </w:rPr>
        <w:t xml:space="preserve">adding to its regulations a new part 4262 to implement the requirements under section 9704 of the American Rescue Plan (ARP) Act of 2021 </w:t>
      </w:r>
      <w:r w:rsidRPr="005777ED">
        <w:rPr>
          <w:rFonts w:ascii="Times New Roman" w:hAnsi="Times New Roman" w:eastAsiaTheme="minorHAnsi"/>
          <w:sz w:val="24"/>
          <w:szCs w:val="24"/>
        </w:rPr>
        <w:t>(P.L. 117-2</w:t>
      </w:r>
      <w:r>
        <w:rPr>
          <w:rFonts w:ascii="Times New Roman" w:hAnsi="Times New Roman" w:eastAsiaTheme="minorHAnsi"/>
          <w:sz w:val="24"/>
          <w:szCs w:val="24"/>
        </w:rPr>
        <w:t xml:space="preserve">), “Special Financial Assistance Program for Financially Troubled Multiemployer Plans.”  </w:t>
      </w:r>
      <w:r w:rsidR="00C26071">
        <w:rPr>
          <w:rFonts w:ascii="Times New Roman" w:hAnsi="Times New Roman" w:eastAsiaTheme="minorHAnsi"/>
          <w:sz w:val="24"/>
          <w:szCs w:val="24"/>
        </w:rPr>
        <w:t>On</w:t>
      </w:r>
      <w:r>
        <w:rPr>
          <w:rFonts w:ascii="Times New Roman" w:hAnsi="Times New Roman" w:eastAsiaTheme="minorHAnsi"/>
          <w:sz w:val="24"/>
          <w:szCs w:val="24"/>
        </w:rPr>
        <w:t xml:space="preserve"> July 8, 2022, </w:t>
      </w:r>
      <w:r w:rsidR="00B85CBD">
        <w:rPr>
          <w:rFonts w:ascii="Times New Roman" w:hAnsi="Times New Roman" w:eastAsiaTheme="minorHAnsi"/>
          <w:sz w:val="24"/>
          <w:szCs w:val="24"/>
        </w:rPr>
        <w:t xml:space="preserve">PBGC issued a final rule </w:t>
      </w:r>
      <w:r w:rsidR="00B85CBD">
        <w:rPr>
          <w:rFonts w:ascii="Times New Roman" w:hAnsi="Times New Roman"/>
          <w:sz w:val="24"/>
          <w:szCs w:val="24"/>
        </w:rPr>
        <w:t xml:space="preserve">that made changes to the special financial assistance (SFA) program and requested comments on the condition requiring a phased recognition of SFA in a plan’s determination of withdrawal liability.  </w:t>
      </w:r>
    </w:p>
    <w:p w:rsidR="00BE5CF8" w:rsidP="00BE5CF8" w14:paraId="435D88EC" w14:textId="23FA880C">
      <w:pPr>
        <w:spacing w:after="160" w:line="259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response to </w:t>
      </w:r>
      <w:r w:rsidR="006105D6">
        <w:rPr>
          <w:rFonts w:ascii="Times New Roman" w:hAnsi="Times New Roman"/>
          <w:sz w:val="24"/>
          <w:szCs w:val="24"/>
        </w:rPr>
        <w:t>this comment solicitation</w:t>
      </w:r>
      <w:r>
        <w:rPr>
          <w:rFonts w:ascii="Times New Roman" w:hAnsi="Times New Roman"/>
          <w:sz w:val="24"/>
          <w:szCs w:val="24"/>
        </w:rPr>
        <w:t xml:space="preserve">, </w:t>
      </w:r>
      <w:r w:rsidR="006105D6">
        <w:rPr>
          <w:rFonts w:ascii="Times New Roman" w:hAnsi="Times New Roman"/>
          <w:sz w:val="24"/>
          <w:szCs w:val="24"/>
        </w:rPr>
        <w:t xml:space="preserve">PBGC received comments on the phase-in condition in </w:t>
      </w:r>
      <w:r w:rsidRPr="004F3EFE" w:rsidR="006105D6">
        <w:rPr>
          <w:rFonts w:ascii="Times New Roman" w:hAnsi="Times New Roman"/>
          <w:sz w:val="24"/>
          <w:szCs w:val="24"/>
        </w:rPr>
        <w:t>§</w:t>
      </w:r>
      <w:r w:rsidR="006105D6">
        <w:rPr>
          <w:rFonts w:ascii="Times New Roman" w:hAnsi="Times New Roman"/>
          <w:sz w:val="24"/>
          <w:szCs w:val="24"/>
        </w:rPr>
        <w:t> </w:t>
      </w:r>
      <w:r w:rsidRPr="004F3EFE" w:rsidR="006105D6">
        <w:rPr>
          <w:rFonts w:ascii="Times New Roman" w:hAnsi="Times New Roman"/>
          <w:sz w:val="24"/>
          <w:szCs w:val="24"/>
        </w:rPr>
        <w:t>4262.16(g)(2)</w:t>
      </w:r>
      <w:r w:rsidR="006105D6">
        <w:rPr>
          <w:rFonts w:ascii="Times New Roman" w:hAnsi="Times New Roman"/>
          <w:sz w:val="24"/>
          <w:szCs w:val="24"/>
        </w:rPr>
        <w:t xml:space="preserve"> as well as on the condition requiring the use of specified interest assumptions in </w:t>
      </w:r>
      <w:r w:rsidRPr="004F3EFE" w:rsidR="006105D6">
        <w:rPr>
          <w:rFonts w:ascii="Times New Roman" w:hAnsi="Times New Roman"/>
          <w:sz w:val="24"/>
          <w:szCs w:val="24"/>
        </w:rPr>
        <w:t>§</w:t>
      </w:r>
      <w:r w:rsidR="006105D6">
        <w:rPr>
          <w:rFonts w:ascii="Times New Roman" w:hAnsi="Times New Roman"/>
          <w:sz w:val="24"/>
          <w:szCs w:val="24"/>
        </w:rPr>
        <w:t> </w:t>
      </w:r>
      <w:r w:rsidRPr="004F3EFE" w:rsidR="006105D6">
        <w:rPr>
          <w:rFonts w:ascii="Times New Roman" w:hAnsi="Times New Roman"/>
          <w:sz w:val="24"/>
          <w:szCs w:val="24"/>
        </w:rPr>
        <w:t>4262.16(g)(</w:t>
      </w:r>
      <w:r w:rsidR="006105D6">
        <w:rPr>
          <w:rFonts w:ascii="Times New Roman" w:hAnsi="Times New Roman"/>
          <w:sz w:val="24"/>
          <w:szCs w:val="24"/>
        </w:rPr>
        <w:t xml:space="preserve">1).  Following consideration of these comments, PBGC determined that it would be appropriate to provide a process for plans to apply for an exception to the conditions in </w:t>
      </w:r>
      <w:r w:rsidRPr="004F3EFE" w:rsidR="006105D6">
        <w:rPr>
          <w:rFonts w:ascii="Times New Roman" w:hAnsi="Times New Roman"/>
          <w:sz w:val="24"/>
          <w:szCs w:val="24"/>
        </w:rPr>
        <w:t>§</w:t>
      </w:r>
      <w:r w:rsidR="006105D6">
        <w:rPr>
          <w:rFonts w:ascii="Times New Roman" w:hAnsi="Times New Roman"/>
          <w:sz w:val="24"/>
          <w:szCs w:val="24"/>
        </w:rPr>
        <w:t> </w:t>
      </w:r>
      <w:r w:rsidRPr="004F3EFE" w:rsidR="006105D6">
        <w:rPr>
          <w:rFonts w:ascii="Times New Roman" w:hAnsi="Times New Roman"/>
          <w:sz w:val="24"/>
          <w:szCs w:val="24"/>
        </w:rPr>
        <w:t>4262.16(g)(</w:t>
      </w:r>
      <w:r w:rsidR="006105D6">
        <w:rPr>
          <w:rFonts w:ascii="Times New Roman" w:hAnsi="Times New Roman"/>
          <w:sz w:val="24"/>
          <w:szCs w:val="24"/>
        </w:rPr>
        <w:t>1</w:t>
      </w:r>
      <w:r w:rsidRPr="004F3EFE" w:rsidR="006105D6">
        <w:rPr>
          <w:rFonts w:ascii="Times New Roman" w:hAnsi="Times New Roman"/>
          <w:sz w:val="24"/>
          <w:szCs w:val="24"/>
        </w:rPr>
        <w:t>)</w:t>
      </w:r>
      <w:r w:rsidR="006105D6">
        <w:rPr>
          <w:rFonts w:ascii="Times New Roman" w:hAnsi="Times New Roman"/>
          <w:sz w:val="24"/>
          <w:szCs w:val="24"/>
        </w:rPr>
        <w:t xml:space="preserve"> and (2), that would be available where application of the conditions would result in an increase in employer withdrawals.  </w:t>
      </w:r>
    </w:p>
    <w:p w:rsidR="00BE5CF8" w:rsidP="00BE5CF8" w14:paraId="765A9DD9" w14:textId="3CCA221C">
      <w:pPr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PBGC’s </w:t>
      </w:r>
      <w:r w:rsidR="007D44C7">
        <w:rPr>
          <w:rFonts w:ascii="Times New Roman" w:hAnsi="Times New Roman"/>
          <w:sz w:val="24"/>
          <w:szCs w:val="24"/>
        </w:rPr>
        <w:t>operation</w:t>
      </w:r>
      <w:r>
        <w:rPr>
          <w:rFonts w:ascii="Times New Roman" w:hAnsi="Times New Roman"/>
          <w:sz w:val="24"/>
          <w:szCs w:val="24"/>
        </w:rPr>
        <w:t xml:space="preserve"> of the SFA </w:t>
      </w:r>
      <w:r w:rsidR="007D44C7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 xml:space="preserve">requires an information collection request (ICR).  This ICR </w:t>
      </w:r>
      <w:r w:rsidRPr="005777ED">
        <w:rPr>
          <w:rFonts w:ascii="Times New Roman" w:hAnsi="Times New Roman" w:eastAsiaTheme="minorHAnsi"/>
          <w:sz w:val="24"/>
          <w:szCs w:val="24"/>
        </w:rPr>
        <w:t>include</w:t>
      </w:r>
      <w:r>
        <w:rPr>
          <w:rFonts w:ascii="Times New Roman" w:hAnsi="Times New Roman" w:eastAsiaTheme="minorHAnsi"/>
          <w:sz w:val="24"/>
          <w:szCs w:val="24"/>
        </w:rPr>
        <w:t>s the</w:t>
      </w:r>
      <w:r w:rsidRPr="005777ED">
        <w:rPr>
          <w:rFonts w:ascii="Times New Roman" w:hAnsi="Times New Roman" w:eastAsiaTheme="minorHAnsi"/>
          <w:sz w:val="24"/>
          <w:szCs w:val="24"/>
        </w:rPr>
        <w:t xml:space="preserve"> application requirements and instructions necessary for the sponsor of an eligible plan to apply for SFA</w:t>
      </w:r>
      <w:r>
        <w:rPr>
          <w:rFonts w:ascii="Times New Roman" w:hAnsi="Times New Roman" w:eastAsiaTheme="minorHAnsi"/>
          <w:sz w:val="24"/>
          <w:szCs w:val="24"/>
        </w:rPr>
        <w:t xml:space="preserve">, </w:t>
      </w:r>
      <w:r w:rsidRPr="005777ED">
        <w:rPr>
          <w:rFonts w:ascii="Times New Roman" w:hAnsi="Times New Roman" w:eastAsiaTheme="minorHAnsi"/>
          <w:sz w:val="24"/>
          <w:szCs w:val="24"/>
        </w:rPr>
        <w:t xml:space="preserve">an annual compliance statement, requests for a determination with respect to certain conditions of SFA, and a notice to participants and beneficiaries whose benefits will be reinstated.  </w:t>
      </w:r>
      <w:r>
        <w:rPr>
          <w:rFonts w:ascii="Times New Roman" w:hAnsi="Times New Roman" w:eastAsiaTheme="minorHAnsi"/>
          <w:sz w:val="24"/>
          <w:szCs w:val="24"/>
        </w:rPr>
        <w:t xml:space="preserve">This ICR is approved under OMB control number 1212-0074 (expires January 31, 2026).  </w:t>
      </w:r>
    </w:p>
    <w:p w:rsidR="00BE5CF8" w:rsidRPr="005777ED" w:rsidP="00A42D06" w14:paraId="3024DAE2" w14:textId="570C6235">
      <w:pPr>
        <w:textAlignment w:val="baseline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PBGC is issuing a final rule to amend part 4262</w:t>
      </w:r>
      <w:r w:rsidR="007D44C7">
        <w:rPr>
          <w:rFonts w:ascii="Times New Roman" w:hAnsi="Times New Roman"/>
          <w:sz w:val="24"/>
          <w:szCs w:val="24"/>
        </w:rPr>
        <w:t>, effective on the date when it is published in the Federal Register</w:t>
      </w:r>
      <w:r w:rsidR="003847C1">
        <w:rPr>
          <w:rFonts w:ascii="Times New Roman" w:hAnsi="Times New Roman"/>
          <w:sz w:val="24"/>
          <w:szCs w:val="24"/>
        </w:rPr>
        <w:t xml:space="preserve">, and </w:t>
      </w:r>
      <w:r w:rsidRPr="00B059AC" w:rsidR="001F0D6B">
        <w:rPr>
          <w:rFonts w:ascii="TimesNewRomanPSMT" w:hAnsi="TimesNewRomanPSMT" w:cs="TimesNewRomanPSMT"/>
          <w:color w:val="000000"/>
          <w:sz w:val="24"/>
          <w:szCs w:val="24"/>
        </w:rPr>
        <w:t>is submitting changes to the</w:t>
      </w:r>
      <w:r w:rsidR="007978B5">
        <w:rPr>
          <w:rFonts w:ascii="TimesNewRomanPSMT" w:hAnsi="TimesNewRomanPSMT" w:cs="TimesNewRomanPSMT"/>
          <w:color w:val="000000"/>
          <w:sz w:val="24"/>
          <w:szCs w:val="24"/>
        </w:rPr>
        <w:t xml:space="preserve"> previously approved</w:t>
      </w:r>
      <w:r w:rsidRPr="00B059AC" w:rsidR="001F0D6B">
        <w:rPr>
          <w:rFonts w:ascii="TimesNewRomanPSMT" w:hAnsi="TimesNewRomanPSMT" w:cs="TimesNewRomanPSMT"/>
          <w:color w:val="000000"/>
          <w:sz w:val="24"/>
          <w:szCs w:val="24"/>
        </w:rPr>
        <w:t xml:space="preserve"> collection of information</w:t>
      </w:r>
      <w:r w:rsidR="00DE0C62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>
        <w:rPr>
          <w:rFonts w:ascii="Times New Roman" w:hAnsi="Times New Roman" w:eastAsiaTheme="minorHAnsi"/>
          <w:sz w:val="24"/>
          <w:szCs w:val="24"/>
        </w:rPr>
        <w:t xml:space="preserve">Specifically, </w:t>
      </w:r>
      <w:r w:rsidR="00AD572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u</w:t>
      </w:r>
      <w:r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nder </w:t>
      </w:r>
      <w:r w:rsidRPr="00F91509"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§</w:t>
      </w:r>
      <w:r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</w:t>
      </w:r>
      <w:r w:rsidRPr="00F91509"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4262.16(</w:t>
      </w:r>
      <w:r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g)(3), PBGC is adding a request for a determination from PBGC for approval of an exception from the withdrawal liability conditions under </w:t>
      </w:r>
      <w:r w:rsidRPr="00F91509"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§</w:t>
      </w:r>
      <w:r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</w:t>
      </w:r>
      <w:r w:rsidRPr="00F91509"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4262.16(</w:t>
      </w:r>
      <w:r w:rsidR="0090278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g)(1) and (2).</w:t>
      </w:r>
      <w:r w:rsidR="00694F93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AD572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A plan </w:t>
      </w:r>
      <w:r w:rsidR="0034698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may apply for an exception before the plan files its SFA application.  </w:t>
      </w:r>
      <w:r w:rsidR="00E7233B">
        <w:rPr>
          <w:rFonts w:ascii="Times New Roman" w:hAnsi="Times New Roman"/>
          <w:sz w:val="24"/>
          <w:szCs w:val="24"/>
        </w:rPr>
        <w:t xml:space="preserve">PBGC needs the information </w:t>
      </w:r>
      <w:r w:rsidR="00C941A4">
        <w:rPr>
          <w:rFonts w:ascii="Times New Roman" w:hAnsi="Times New Roman"/>
          <w:sz w:val="24"/>
          <w:szCs w:val="24"/>
        </w:rPr>
        <w:t xml:space="preserve">required for a request for determination to determine whether to approve </w:t>
      </w:r>
      <w:r w:rsidR="00034E61">
        <w:rPr>
          <w:rFonts w:ascii="Times New Roman" w:hAnsi="Times New Roman"/>
          <w:sz w:val="24"/>
          <w:szCs w:val="24"/>
        </w:rPr>
        <w:t>the requested</w:t>
      </w:r>
      <w:r w:rsidR="00C941A4">
        <w:rPr>
          <w:rFonts w:ascii="Times New Roman" w:hAnsi="Times New Roman"/>
          <w:sz w:val="24"/>
          <w:szCs w:val="24"/>
        </w:rPr>
        <w:t xml:space="preserve"> exception.  </w:t>
      </w:r>
      <w:r>
        <w:rPr>
          <w:rFonts w:ascii="Times New Roman" w:hAnsi="Times New Roman" w:eastAsiaTheme="minorHAnsi"/>
          <w:sz w:val="24"/>
          <w:szCs w:val="24"/>
        </w:rPr>
        <w:t xml:space="preserve">PBGC’s determination will affect </w:t>
      </w:r>
      <w:r w:rsidR="00CD5D15">
        <w:rPr>
          <w:rFonts w:ascii="Times New Roman" w:hAnsi="Times New Roman" w:eastAsiaTheme="minorHAnsi"/>
          <w:sz w:val="24"/>
          <w:szCs w:val="24"/>
        </w:rPr>
        <w:t xml:space="preserve">the plan’s </w:t>
      </w:r>
      <w:r>
        <w:rPr>
          <w:rFonts w:ascii="Times New Roman" w:hAnsi="Times New Roman" w:eastAsiaTheme="minorHAnsi"/>
          <w:sz w:val="24"/>
          <w:szCs w:val="24"/>
        </w:rPr>
        <w:t xml:space="preserve">calculation of SFA </w:t>
      </w:r>
      <w:r w:rsidR="007D44C7">
        <w:rPr>
          <w:rFonts w:ascii="Times New Roman" w:hAnsi="Times New Roman" w:eastAsiaTheme="minorHAnsi"/>
          <w:sz w:val="24"/>
          <w:szCs w:val="24"/>
        </w:rPr>
        <w:t xml:space="preserve">that is required for </w:t>
      </w:r>
      <w:r w:rsidR="00CD5D15">
        <w:rPr>
          <w:rFonts w:ascii="Times New Roman" w:hAnsi="Times New Roman" w:eastAsiaTheme="minorHAnsi"/>
          <w:sz w:val="24"/>
          <w:szCs w:val="24"/>
        </w:rPr>
        <w:t xml:space="preserve">the plan’s </w:t>
      </w:r>
      <w:r>
        <w:rPr>
          <w:rFonts w:ascii="Times New Roman" w:hAnsi="Times New Roman" w:eastAsiaTheme="minorHAnsi"/>
          <w:sz w:val="24"/>
          <w:szCs w:val="24"/>
        </w:rPr>
        <w:t xml:space="preserve">application.  </w:t>
      </w:r>
    </w:p>
    <w:p w:rsidR="00BE5CF8" w:rsidRPr="005777ED" w:rsidP="00BE5CF8" w14:paraId="10EDDCAE" w14:textId="26EBA896">
      <w:pPr>
        <w:spacing w:after="160" w:line="259" w:lineRule="auto"/>
        <w:rPr>
          <w:rFonts w:ascii="Times New Roman" w:hAnsi="Times New Roman" w:eastAsiaTheme="minorHAnsi"/>
          <w:sz w:val="24"/>
          <w:szCs w:val="24"/>
        </w:rPr>
      </w:pPr>
      <w:bookmarkStart w:id="0" w:name="_Hlk124866877"/>
      <w:r>
        <w:rPr>
          <w:rFonts w:ascii="Times New Roman" w:hAnsi="Times New Roman"/>
          <w:color w:val="000000"/>
          <w:sz w:val="24"/>
          <w:szCs w:val="24"/>
        </w:rPr>
        <w:t xml:space="preserve">It is in the interest of a plan eligible to apply </w:t>
      </w:r>
      <w:r w:rsidR="00487383">
        <w:rPr>
          <w:rFonts w:ascii="Times New Roman" w:hAnsi="Times New Roman"/>
          <w:color w:val="000000"/>
          <w:sz w:val="24"/>
          <w:szCs w:val="24"/>
        </w:rPr>
        <w:t xml:space="preserve">for SFA </w:t>
      </w:r>
      <w:r w:rsidR="00546A86">
        <w:rPr>
          <w:rFonts w:ascii="Times New Roman" w:hAnsi="Times New Roman"/>
          <w:color w:val="000000"/>
          <w:sz w:val="24"/>
          <w:szCs w:val="24"/>
        </w:rPr>
        <w:t xml:space="preserve">before March 11, 2023, </w:t>
      </w:r>
      <w:r>
        <w:rPr>
          <w:rFonts w:ascii="Times New Roman" w:hAnsi="Times New Roman"/>
          <w:color w:val="000000"/>
          <w:sz w:val="24"/>
          <w:szCs w:val="24"/>
        </w:rPr>
        <w:t xml:space="preserve">during the priority </w:t>
      </w:r>
      <w:r w:rsidR="00BF053F">
        <w:rPr>
          <w:rFonts w:ascii="Times New Roman" w:hAnsi="Times New Roman"/>
          <w:color w:val="000000"/>
          <w:sz w:val="24"/>
          <w:szCs w:val="24"/>
        </w:rPr>
        <w:t xml:space="preserve">group </w:t>
      </w:r>
      <w:r>
        <w:rPr>
          <w:rFonts w:ascii="Times New Roman" w:hAnsi="Times New Roman"/>
          <w:color w:val="000000"/>
          <w:sz w:val="24"/>
          <w:szCs w:val="24"/>
        </w:rPr>
        <w:t>period</w:t>
      </w:r>
      <w:r w:rsidR="00C81A1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to be able to </w:t>
      </w:r>
      <w:r w:rsidR="001A3212">
        <w:rPr>
          <w:rFonts w:ascii="Times New Roman" w:hAnsi="Times New Roman"/>
          <w:color w:val="000000"/>
          <w:sz w:val="24"/>
          <w:szCs w:val="24"/>
        </w:rPr>
        <w:t xml:space="preserve">first </w:t>
      </w:r>
      <w:r>
        <w:rPr>
          <w:rFonts w:ascii="Times New Roman" w:hAnsi="Times New Roman"/>
          <w:color w:val="000000"/>
          <w:sz w:val="24"/>
          <w:szCs w:val="24"/>
        </w:rPr>
        <w:t xml:space="preserve">determine if the plan should apply for an exception to the </w:t>
      </w:r>
      <w:r>
        <w:rPr>
          <w:rFonts w:ascii="Times New Roman" w:hAnsi="Times New Roman"/>
          <w:color w:val="000000"/>
          <w:sz w:val="24"/>
          <w:szCs w:val="24"/>
        </w:rPr>
        <w:t xml:space="preserve">withdrawal liability conditions.  </w:t>
      </w:r>
      <w:bookmarkEnd w:id="0"/>
      <w:r w:rsidRPr="005777ED">
        <w:rPr>
          <w:rFonts w:ascii="Times New Roman" w:hAnsi="Times New Roman" w:eastAsiaTheme="minorHAnsi"/>
          <w:sz w:val="24"/>
          <w:szCs w:val="24"/>
        </w:rPr>
        <w:t xml:space="preserve">Following the normal clearance procedure for this </w:t>
      </w:r>
      <w:r>
        <w:rPr>
          <w:rFonts w:ascii="Times New Roman" w:hAnsi="Times New Roman" w:eastAsiaTheme="minorHAnsi"/>
          <w:sz w:val="24"/>
          <w:szCs w:val="24"/>
        </w:rPr>
        <w:t xml:space="preserve">revised </w:t>
      </w:r>
      <w:r w:rsidRPr="005777ED">
        <w:rPr>
          <w:rFonts w:ascii="Times New Roman" w:hAnsi="Times New Roman" w:eastAsiaTheme="minorHAnsi"/>
          <w:sz w:val="24"/>
          <w:szCs w:val="24"/>
        </w:rPr>
        <w:t>ICR</w:t>
      </w:r>
      <w:r>
        <w:rPr>
          <w:rFonts w:ascii="Times New Roman" w:hAnsi="Times New Roman" w:eastAsiaTheme="minorHAnsi"/>
          <w:sz w:val="24"/>
          <w:szCs w:val="24"/>
        </w:rPr>
        <w:t xml:space="preserve"> or delaying review of this revised ICR</w:t>
      </w:r>
      <w:r w:rsidRPr="005777ED">
        <w:rPr>
          <w:rFonts w:ascii="Times New Roman" w:hAnsi="Times New Roman" w:eastAsiaTheme="minorHAnsi"/>
          <w:sz w:val="24"/>
          <w:szCs w:val="24"/>
        </w:rPr>
        <w:t xml:space="preserve"> </w:t>
      </w:r>
      <w:r w:rsidR="008800D7">
        <w:rPr>
          <w:rFonts w:ascii="Times New Roman" w:hAnsi="Times New Roman" w:eastAsiaTheme="minorHAnsi"/>
          <w:sz w:val="24"/>
          <w:szCs w:val="24"/>
        </w:rPr>
        <w:t>would be contrary to the interests of the plan’s parti</w:t>
      </w:r>
      <w:r w:rsidR="00975704">
        <w:rPr>
          <w:rFonts w:ascii="Times New Roman" w:hAnsi="Times New Roman" w:eastAsiaTheme="minorHAnsi"/>
          <w:sz w:val="24"/>
          <w:szCs w:val="24"/>
        </w:rPr>
        <w:t>cipants and beneficiaries and could cause a delay in the submission of the plan’s application</w:t>
      </w:r>
      <w:r w:rsidR="000A62DF">
        <w:rPr>
          <w:rFonts w:ascii="Times New Roman" w:hAnsi="Times New Roman" w:eastAsiaTheme="minorHAnsi"/>
          <w:sz w:val="24"/>
          <w:szCs w:val="24"/>
        </w:rPr>
        <w:t xml:space="preserve"> and the plan’s receipt of SFA. </w:t>
      </w:r>
      <w:r>
        <w:rPr>
          <w:rFonts w:ascii="Times New Roman" w:hAnsi="Times New Roman" w:eastAsiaTheme="minorHAnsi"/>
          <w:sz w:val="24"/>
          <w:szCs w:val="24"/>
        </w:rPr>
        <w:t xml:space="preserve"> Ac</w:t>
      </w:r>
      <w:r w:rsidRPr="005777ED">
        <w:rPr>
          <w:rFonts w:ascii="Times New Roman" w:hAnsi="Times New Roman" w:eastAsiaTheme="minorHAnsi"/>
          <w:sz w:val="24"/>
          <w:szCs w:val="24"/>
        </w:rPr>
        <w:t xml:space="preserve">cordingly, PBGC requests emergency processing, under 5 CFR 1320.13, of </w:t>
      </w:r>
      <w:r>
        <w:rPr>
          <w:rFonts w:ascii="Times New Roman" w:hAnsi="Times New Roman" w:eastAsiaTheme="minorHAnsi"/>
          <w:sz w:val="24"/>
          <w:szCs w:val="24"/>
        </w:rPr>
        <w:t xml:space="preserve">the revisions to </w:t>
      </w:r>
      <w:r w:rsidRPr="005777ED">
        <w:rPr>
          <w:rFonts w:ascii="Times New Roman" w:hAnsi="Times New Roman" w:eastAsiaTheme="minorHAnsi"/>
          <w:sz w:val="24"/>
          <w:szCs w:val="24"/>
        </w:rPr>
        <w:t>this ICR.</w:t>
      </w:r>
    </w:p>
    <w:sectPr w:rsidSect="00A27A22">
      <w:headerReference w:type="default" r:id="rId8"/>
      <w:footerReference w:type="default" r:id="rId9"/>
      <w:headerReference w:type="first" r:id="rId10"/>
      <w:pgSz w:w="12240" w:h="15840" w:code="1"/>
      <w:pgMar w:top="1080" w:right="1440" w:bottom="1440" w:left="1440" w:header="90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1915" w:type="dxa"/>
      <w:tblInd w:w="-1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45"/>
      <w:gridCol w:w="5091"/>
      <w:gridCol w:w="3279"/>
    </w:tblGrid>
    <w:tr w14:paraId="6E705A4E" w14:textId="77777777" w:rsidTr="00B938B0">
      <w:tblPrEx>
        <w:tblW w:w="11915" w:type="dxa"/>
        <w:tblInd w:w="-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297"/>
      </w:trPr>
      <w:tc>
        <w:tcPr>
          <w:tcW w:w="3545" w:type="dxa"/>
        </w:tcPr>
        <w:p w:rsidR="00B938B0" w:rsidRPr="00B938B0" w:rsidP="00B938B0" w14:paraId="1F50B74A" w14:textId="7BA9121B">
          <w:pPr>
            <w:pStyle w:val="Footer"/>
            <w:jc w:val="center"/>
            <w:rPr>
              <w:sz w:val="17"/>
              <w:szCs w:val="17"/>
            </w:rPr>
          </w:pPr>
          <w:r w:rsidRPr="00DF45BB">
            <w:rPr>
              <w:rFonts w:ascii="Calibri" w:hAnsi="Calibri" w:cs="Calibri"/>
              <w:color w:val="135595"/>
              <w:sz w:val="17"/>
              <w:szCs w:val="17"/>
            </w:rPr>
            <w:t>202-229-4000</w:t>
          </w:r>
        </w:p>
      </w:tc>
      <w:tc>
        <w:tcPr>
          <w:tcW w:w="5091" w:type="dxa"/>
        </w:tcPr>
        <w:p w:rsidR="00B938B0" w:rsidRPr="00B938B0" w:rsidP="00B938B0" w14:paraId="7694620E" w14:textId="1D69D633">
          <w:pPr>
            <w:pStyle w:val="Footer"/>
            <w:jc w:val="center"/>
            <w:rPr>
              <w:sz w:val="17"/>
              <w:szCs w:val="17"/>
            </w:rPr>
          </w:pPr>
          <w:r w:rsidRPr="00DF45BB">
            <w:rPr>
              <w:rFonts w:ascii="Calibri" w:hAnsi="Calibri" w:cs="Calibri"/>
              <w:color w:val="135595"/>
              <w:sz w:val="17"/>
              <w:szCs w:val="17"/>
            </w:rPr>
            <w:t>445 12th Street SW</w:t>
          </w:r>
          <w:r w:rsidRPr="00DF45BB">
            <w:rPr>
              <w:rFonts w:ascii="Calibri" w:hAnsi="Calibri" w:cs="Calibri"/>
              <w:color w:val="135595"/>
              <w:sz w:val="17"/>
              <w:szCs w:val="17"/>
            </w:rPr>
            <w:t xml:space="preserve">, Washington, DC </w:t>
          </w:r>
          <w:r w:rsidRPr="00DF45BB">
            <w:rPr>
              <w:rFonts w:ascii="Calibri" w:hAnsi="Calibri" w:cs="Calibri"/>
              <w:color w:val="135595"/>
              <w:sz w:val="17"/>
              <w:szCs w:val="17"/>
            </w:rPr>
            <w:t>20024-2101</w:t>
          </w:r>
        </w:p>
      </w:tc>
      <w:tc>
        <w:tcPr>
          <w:tcW w:w="3279" w:type="dxa"/>
        </w:tcPr>
        <w:p w:rsidR="00B938B0" w:rsidRPr="00B938B0" w:rsidP="00B938B0" w14:paraId="35829A90" w14:textId="545B3A68">
          <w:pPr>
            <w:pStyle w:val="Footer"/>
            <w:jc w:val="center"/>
            <w:rPr>
              <w:sz w:val="17"/>
              <w:szCs w:val="17"/>
            </w:rPr>
          </w:pPr>
          <w:r w:rsidRPr="00DF45BB">
            <w:rPr>
              <w:rFonts w:ascii="Calibri" w:hAnsi="Calibri" w:cs="Calibri"/>
              <w:color w:val="135595"/>
              <w:sz w:val="17"/>
              <w:szCs w:val="17"/>
            </w:rPr>
            <w:t>PBGC.gov</w:t>
          </w:r>
        </w:p>
      </w:tc>
    </w:tr>
  </w:tbl>
  <w:p w:rsidR="00B938B0" w:rsidP="00B938B0" w14:paraId="2250A2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3A2A" w:rsidP="00C63A2A" w14:paraId="2DCA956A" w14:textId="77777777">
    <w:pPr>
      <w:pStyle w:val="Header"/>
      <w:ind w:left="-1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675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27"/>
      <w:gridCol w:w="5348"/>
    </w:tblGrid>
    <w:tr w14:paraId="57E81DC4" w14:textId="77777777" w:rsidTr="00DE51C4">
      <w:tblPrEx>
        <w:tblW w:w="1067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8"/>
      </w:trPr>
      <w:tc>
        <w:tcPr>
          <w:tcW w:w="5327" w:type="dxa"/>
        </w:tcPr>
        <w:p w:rsidR="00AF30A0" w14:paraId="3B495E4E" w14:textId="79DC1DC9">
          <w:pPr>
            <w:pStyle w:val="Header"/>
          </w:pPr>
        </w:p>
        <w:p w:rsidR="000A4889" w14:paraId="2199FB07" w14:textId="77777777">
          <w:pPr>
            <w:pStyle w:val="Header"/>
          </w:pPr>
        </w:p>
        <w:p w:rsidR="00391E0B" w:rsidRPr="0085340B" w14:paraId="7FDC8E24" w14:textId="6ED32CCA">
          <w:pPr>
            <w:pStyle w:val="Header"/>
            <w:rPr>
              <w:b/>
              <w:color w:val="135595"/>
            </w:rPr>
          </w:pPr>
        </w:p>
      </w:tc>
      <w:tc>
        <w:tcPr>
          <w:tcW w:w="5348" w:type="dxa"/>
        </w:tcPr>
        <w:p w:rsidR="00391E0B" w:rsidRPr="003235B3" w:rsidP="009F573D" w14:paraId="4B4602D9" w14:textId="7DD769C8">
          <w:pPr>
            <w:pStyle w:val="Header"/>
            <w:spacing w:line="240" w:lineRule="auto"/>
            <w:ind w:left="2040"/>
            <w:rPr>
              <w:color w:val="135595"/>
              <w:sz w:val="18"/>
              <w:szCs w:val="18"/>
            </w:rPr>
          </w:pPr>
          <w:r w:rsidRPr="00DF45BB">
            <w:rPr>
              <w:rFonts w:ascii="Calibri" w:hAnsi="Calibri" w:cs="Calibri"/>
              <w:color w:val="135595"/>
              <w:sz w:val="18"/>
              <w:szCs w:val="18"/>
            </w:rPr>
            <w:t>445 12th Street SW</w:t>
          </w:r>
          <w:r w:rsidRPr="00DF45BB">
            <w:rPr>
              <w:rFonts w:ascii="Calibri" w:hAnsi="Calibri" w:cs="Calibri"/>
              <w:color w:val="135595"/>
              <w:sz w:val="18"/>
              <w:szCs w:val="18"/>
            </w:rPr>
            <w:br/>
            <w:t xml:space="preserve">Washington, DC </w:t>
          </w:r>
          <w:r w:rsidRPr="00DF45BB">
            <w:rPr>
              <w:rFonts w:ascii="Calibri" w:hAnsi="Calibri" w:cs="Calibri"/>
              <w:color w:val="135595"/>
              <w:sz w:val="18"/>
              <w:szCs w:val="18"/>
            </w:rPr>
            <w:t>20024-2101</w:t>
          </w:r>
          <w:r w:rsidRPr="00DF45BB" w:rsidR="003235B3">
            <w:rPr>
              <w:rFonts w:ascii="Calibri" w:hAnsi="Calibri" w:cs="Calibri"/>
              <w:color w:val="135595"/>
              <w:sz w:val="18"/>
              <w:szCs w:val="18"/>
            </w:rPr>
            <w:br/>
          </w:r>
          <w:r w:rsidRPr="00DF45BB">
            <w:rPr>
              <w:rFonts w:ascii="Calibri" w:hAnsi="Calibri" w:cs="Calibri"/>
              <w:color w:val="135595"/>
              <w:sz w:val="18"/>
              <w:szCs w:val="18"/>
            </w:rPr>
            <w:t>202-229-4000</w:t>
          </w:r>
          <w:r w:rsidRPr="00DF45BB" w:rsidR="003B6E9D">
            <w:rPr>
              <w:rFonts w:ascii="Calibri" w:hAnsi="Calibri" w:cs="Calibri"/>
              <w:color w:val="135595"/>
              <w:sz w:val="18"/>
              <w:szCs w:val="18"/>
            </w:rPr>
            <w:br/>
          </w:r>
          <w:r w:rsidRPr="00DF45BB">
            <w:rPr>
              <w:rFonts w:ascii="Calibri" w:hAnsi="Calibri" w:cs="Calibri"/>
              <w:color w:val="135595"/>
              <w:sz w:val="18"/>
              <w:szCs w:val="18"/>
            </w:rPr>
            <w:t>PBGC.gov</w:t>
          </w:r>
        </w:p>
      </w:tc>
    </w:tr>
  </w:tbl>
  <w:p w:rsidR="002718F3" w:rsidRPr="00DF45BB" w:rsidP="00A27A22" w14:paraId="5E7A0136" w14:textId="38B99827">
    <w:pPr>
      <w:pStyle w:val="Header"/>
      <w:rPr>
        <w:rFonts w:ascii="Calibri" w:hAnsi="Calibri" w:cs="Calibri"/>
        <w:b/>
        <w:color w:val="1D376C"/>
      </w:rPr>
    </w:pPr>
    <w:r w:rsidRPr="00DF45BB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9525</wp:posOffset>
          </wp:positionH>
          <wp:positionV relativeFrom="paragraph">
            <wp:posOffset>-749300</wp:posOffset>
          </wp:positionV>
          <wp:extent cx="2385060" cy="609600"/>
          <wp:effectExtent l="0" t="0" r="0" b="0"/>
          <wp:wrapNone/>
          <wp:docPr id="3" name="Picture 3" descr="Pension Benefit Guaranty Corpor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PBGC_lettrh_top_only2017for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34" b="39712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394C708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324846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FFFFFF7D"/>
    <w:multiLevelType w:val="singleLevel"/>
    <w:tmpl w:val="13028B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6E07A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CE2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8420F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F9ADC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26E70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C36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7C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24E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035756">
    <w:abstractNumId w:val="0"/>
  </w:num>
  <w:num w:numId="2" w16cid:durableId="83652914">
    <w:abstractNumId w:val="10"/>
  </w:num>
  <w:num w:numId="3" w16cid:durableId="1996301805">
    <w:abstractNumId w:val="8"/>
  </w:num>
  <w:num w:numId="4" w16cid:durableId="327556911">
    <w:abstractNumId w:val="7"/>
  </w:num>
  <w:num w:numId="5" w16cid:durableId="766734015">
    <w:abstractNumId w:val="6"/>
  </w:num>
  <w:num w:numId="6" w16cid:durableId="2144998371">
    <w:abstractNumId w:val="5"/>
  </w:num>
  <w:num w:numId="7" w16cid:durableId="1859467306">
    <w:abstractNumId w:val="9"/>
  </w:num>
  <w:num w:numId="8" w16cid:durableId="778792433">
    <w:abstractNumId w:val="4"/>
  </w:num>
  <w:num w:numId="9" w16cid:durableId="1713308663">
    <w:abstractNumId w:val="3"/>
  </w:num>
  <w:num w:numId="10" w16cid:durableId="810100906">
    <w:abstractNumId w:val="2"/>
  </w:num>
  <w:num w:numId="11" w16cid:durableId="89419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5"/>
    <w:rsid w:val="00007F1B"/>
    <w:rsid w:val="00034E61"/>
    <w:rsid w:val="00040789"/>
    <w:rsid w:val="00041F05"/>
    <w:rsid w:val="00057961"/>
    <w:rsid w:val="00065A4F"/>
    <w:rsid w:val="0008321E"/>
    <w:rsid w:val="00086F75"/>
    <w:rsid w:val="000A4889"/>
    <w:rsid w:val="000A62DF"/>
    <w:rsid w:val="000C4E6F"/>
    <w:rsid w:val="00103FF9"/>
    <w:rsid w:val="00114BA0"/>
    <w:rsid w:val="001812BA"/>
    <w:rsid w:val="00195EE9"/>
    <w:rsid w:val="001A3212"/>
    <w:rsid w:val="001A502B"/>
    <w:rsid w:val="001A7A2D"/>
    <w:rsid w:val="001C28BA"/>
    <w:rsid w:val="001C556F"/>
    <w:rsid w:val="001F0D6B"/>
    <w:rsid w:val="00225545"/>
    <w:rsid w:val="00232DE0"/>
    <w:rsid w:val="00233070"/>
    <w:rsid w:val="002367EB"/>
    <w:rsid w:val="002718F3"/>
    <w:rsid w:val="002929A3"/>
    <w:rsid w:val="00295A79"/>
    <w:rsid w:val="002A2946"/>
    <w:rsid w:val="002B449B"/>
    <w:rsid w:val="003235B3"/>
    <w:rsid w:val="003236C7"/>
    <w:rsid w:val="003344C7"/>
    <w:rsid w:val="00346985"/>
    <w:rsid w:val="003637BD"/>
    <w:rsid w:val="003847C1"/>
    <w:rsid w:val="00391E0B"/>
    <w:rsid w:val="003A29BB"/>
    <w:rsid w:val="003B2C7A"/>
    <w:rsid w:val="003B6E9D"/>
    <w:rsid w:val="003C63AF"/>
    <w:rsid w:val="003C78C5"/>
    <w:rsid w:val="003E25DB"/>
    <w:rsid w:val="003E3D00"/>
    <w:rsid w:val="003F5068"/>
    <w:rsid w:val="00400ACD"/>
    <w:rsid w:val="00404F57"/>
    <w:rsid w:val="00410174"/>
    <w:rsid w:val="00415B00"/>
    <w:rsid w:val="0044092B"/>
    <w:rsid w:val="004477A6"/>
    <w:rsid w:val="00471698"/>
    <w:rsid w:val="00472F62"/>
    <w:rsid w:val="00477146"/>
    <w:rsid w:val="00487383"/>
    <w:rsid w:val="004C10ED"/>
    <w:rsid w:val="004C401B"/>
    <w:rsid w:val="004C4957"/>
    <w:rsid w:val="004E3858"/>
    <w:rsid w:val="004F0C21"/>
    <w:rsid w:val="004F3EFE"/>
    <w:rsid w:val="00520DEB"/>
    <w:rsid w:val="00524982"/>
    <w:rsid w:val="00546A86"/>
    <w:rsid w:val="005777ED"/>
    <w:rsid w:val="005826FB"/>
    <w:rsid w:val="005A0223"/>
    <w:rsid w:val="005A204B"/>
    <w:rsid w:val="006105D6"/>
    <w:rsid w:val="00614DC3"/>
    <w:rsid w:val="0061573A"/>
    <w:rsid w:val="00635D96"/>
    <w:rsid w:val="006454A1"/>
    <w:rsid w:val="00667686"/>
    <w:rsid w:val="006830A8"/>
    <w:rsid w:val="00694F93"/>
    <w:rsid w:val="006B372E"/>
    <w:rsid w:val="006C7443"/>
    <w:rsid w:val="006D172C"/>
    <w:rsid w:val="007133E0"/>
    <w:rsid w:val="00765FB4"/>
    <w:rsid w:val="007978B5"/>
    <w:rsid w:val="007B3F3C"/>
    <w:rsid w:val="007C35B6"/>
    <w:rsid w:val="007D44C7"/>
    <w:rsid w:val="00832784"/>
    <w:rsid w:val="008367DB"/>
    <w:rsid w:val="00837353"/>
    <w:rsid w:val="00844EEE"/>
    <w:rsid w:val="0085340B"/>
    <w:rsid w:val="008800D7"/>
    <w:rsid w:val="00886A33"/>
    <w:rsid w:val="00887FD0"/>
    <w:rsid w:val="008A1708"/>
    <w:rsid w:val="008B1D57"/>
    <w:rsid w:val="008D13F7"/>
    <w:rsid w:val="008E29F1"/>
    <w:rsid w:val="008E375B"/>
    <w:rsid w:val="008F16D8"/>
    <w:rsid w:val="008F1B22"/>
    <w:rsid w:val="00902781"/>
    <w:rsid w:val="00975704"/>
    <w:rsid w:val="009F573D"/>
    <w:rsid w:val="00A03616"/>
    <w:rsid w:val="00A27A22"/>
    <w:rsid w:val="00A42D06"/>
    <w:rsid w:val="00AA446C"/>
    <w:rsid w:val="00AD20CB"/>
    <w:rsid w:val="00AD5725"/>
    <w:rsid w:val="00AF30A0"/>
    <w:rsid w:val="00B03499"/>
    <w:rsid w:val="00B059AC"/>
    <w:rsid w:val="00B36437"/>
    <w:rsid w:val="00B818E6"/>
    <w:rsid w:val="00B85CBD"/>
    <w:rsid w:val="00B87306"/>
    <w:rsid w:val="00B938B0"/>
    <w:rsid w:val="00B96585"/>
    <w:rsid w:val="00BB2965"/>
    <w:rsid w:val="00BD20B9"/>
    <w:rsid w:val="00BE5CF8"/>
    <w:rsid w:val="00BF053F"/>
    <w:rsid w:val="00C04614"/>
    <w:rsid w:val="00C26071"/>
    <w:rsid w:val="00C4230E"/>
    <w:rsid w:val="00C43A1B"/>
    <w:rsid w:val="00C63A2A"/>
    <w:rsid w:val="00C72D01"/>
    <w:rsid w:val="00C81A1D"/>
    <w:rsid w:val="00C941A4"/>
    <w:rsid w:val="00CD5D15"/>
    <w:rsid w:val="00CD6213"/>
    <w:rsid w:val="00D30115"/>
    <w:rsid w:val="00D74E79"/>
    <w:rsid w:val="00DE0C62"/>
    <w:rsid w:val="00DE51C4"/>
    <w:rsid w:val="00DF45BB"/>
    <w:rsid w:val="00E360A4"/>
    <w:rsid w:val="00E65318"/>
    <w:rsid w:val="00E655A2"/>
    <w:rsid w:val="00E7233B"/>
    <w:rsid w:val="00E753A9"/>
    <w:rsid w:val="00E87635"/>
    <w:rsid w:val="00EE032E"/>
    <w:rsid w:val="00F07D2A"/>
    <w:rsid w:val="00F2514C"/>
    <w:rsid w:val="00F75378"/>
    <w:rsid w:val="00F76B82"/>
    <w:rsid w:val="00F91509"/>
    <w:rsid w:val="00FB4A2B"/>
    <w:rsid w:val="00FB779D"/>
    <w:rsid w:val="00FE0F1C"/>
    <w:rsid w:val="00FF6463"/>
    <w:rsid w:val="04697E4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4AC232A"/>
  <w15:chartTrackingRefBased/>
  <w15:docId w15:val="{0E615A53-A906-452A-A536-2196DB07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353"/>
    <w:pPr>
      <w:spacing w:after="120" w:line="264" w:lineRule="auto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353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0353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0353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70353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970353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7035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970353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70353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qFormat/>
    <w:rsid w:val="00970353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15C"/>
    <w:pPr>
      <w:autoSpaceDE w:val="0"/>
      <w:autoSpaceDN w:val="0"/>
      <w:adjustRightInd w:val="0"/>
      <w:spacing w:after="120" w:line="264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4B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4B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B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4B0B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970353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70353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70353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70353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70353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970353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970353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970353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970353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qFormat/>
    <w:rsid w:val="00970353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70353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970353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353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970353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970353"/>
    <w:rPr>
      <w:b/>
      <w:bCs/>
    </w:rPr>
  </w:style>
  <w:style w:type="character" w:styleId="Emphasis">
    <w:name w:val="Emphasis"/>
    <w:uiPriority w:val="20"/>
    <w:qFormat/>
    <w:rsid w:val="00970353"/>
    <w:rPr>
      <w:i/>
      <w:iCs/>
    </w:rPr>
  </w:style>
  <w:style w:type="paragraph" w:styleId="NoSpacing">
    <w:name w:val="No Spacing"/>
    <w:uiPriority w:val="1"/>
    <w:qFormat/>
    <w:rsid w:val="00970353"/>
  </w:style>
  <w:style w:type="paragraph" w:styleId="Quote">
    <w:name w:val="Quote"/>
    <w:basedOn w:val="Normal"/>
    <w:next w:val="Normal"/>
    <w:link w:val="QuoteChar"/>
    <w:uiPriority w:val="29"/>
    <w:qFormat/>
    <w:rsid w:val="00970353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7035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353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970353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970353"/>
    <w:rPr>
      <w:i/>
      <w:iCs/>
      <w:color w:val="404040"/>
    </w:rPr>
  </w:style>
  <w:style w:type="character" w:styleId="IntenseEmphasis">
    <w:name w:val="Intense Emphasis"/>
    <w:uiPriority w:val="21"/>
    <w:qFormat/>
    <w:rsid w:val="00970353"/>
    <w:rPr>
      <w:b/>
      <w:bCs/>
      <w:i/>
      <w:iCs/>
    </w:rPr>
  </w:style>
  <w:style w:type="character" w:styleId="SubtleReference">
    <w:name w:val="Subtle Reference"/>
    <w:uiPriority w:val="31"/>
    <w:qFormat/>
    <w:rsid w:val="0097035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97035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97035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qFormat/>
    <w:rsid w:val="00970353"/>
    <w:pPr>
      <w:outlineLvl w:val="9"/>
    </w:pPr>
  </w:style>
  <w:style w:type="paragraph" w:customStyle="1" w:styleId="PBGCGaramond">
    <w:name w:val="PBGC Garamond"/>
    <w:basedOn w:val="Normal"/>
    <w:qFormat/>
    <w:rsid w:val="00E96F27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0341"/>
    <w:rPr>
      <w:rFonts w:ascii="Segoe UI" w:hAnsi="Segoe UI" w:cs="Segoe UI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9B03F8"/>
    <w:pPr>
      <w:autoSpaceDE w:val="0"/>
      <w:autoSpaceDN w:val="0"/>
      <w:adjustRightInd w:val="0"/>
      <w:spacing w:after="0" w:line="241" w:lineRule="atLeast"/>
    </w:pPr>
    <w:rPr>
      <w:rFonts w:eastAsia="Calibri"/>
      <w:sz w:val="24"/>
      <w:szCs w:val="24"/>
    </w:rPr>
  </w:style>
  <w:style w:type="character" w:customStyle="1" w:styleId="A1">
    <w:name w:val="A1"/>
    <w:uiPriority w:val="99"/>
    <w:rsid w:val="009B03F8"/>
    <w:rPr>
      <w:rFonts w:ascii="Garamond" w:hAnsi="Garamond" w:cs="Garamond" w:hint="default"/>
      <w:color w:val="221E1F"/>
      <w:sz w:val="22"/>
      <w:szCs w:val="22"/>
    </w:rPr>
  </w:style>
  <w:style w:type="table" w:styleId="TableGrid">
    <w:name w:val="Table Grid"/>
    <w:basedOn w:val="TableNormal"/>
    <w:uiPriority w:val="39"/>
    <w:rsid w:val="0039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0F1C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RecordNotification xmlns="42a8a83a-5e27-410c-a1fc-7c5ac4e503f4" xsi:nil="true"/>
    <PBGCCUI xmlns="42a8a83a-5e27-410c-a1fc-7c5ac4e503f4" xsi:nil="true"/>
    <Marking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f5b6817a3196fdee07ea8fcdbd63c771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2869ebf527419008e1da8febce9a69c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A723A-8F23-4058-B689-CBCC7BACF4BA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11C13184-D6FA-4EB7-8F25-83FDA58D7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227F8-E0E2-4EA1-BB91-13FBCDF884D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95AE7E-42D7-4070-BBF1-49C71D6C0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00, 0000</vt:lpstr>
    </vt:vector>
  </TitlesOfParts>
  <Company>Pension Benefit Guaranty Corporation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00, 0000</dc:title>
  <dc:creator>cpxxa62</dc:creator>
  <cp:lastModifiedBy>Rifkin Melissa</cp:lastModifiedBy>
  <cp:revision>2</cp:revision>
  <cp:lastPrinted>2015-07-15T15:17:00Z</cp:lastPrinted>
  <dcterms:created xsi:type="dcterms:W3CDTF">2023-01-18T15:22:00Z</dcterms:created>
  <dcterms:modified xsi:type="dcterms:W3CDTF">2023-01-18T15:22:00Z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FalsePositive">
    <vt:lpwstr>Unreviewed</vt:lpwstr>
  </property>
  <property fmtid="{D5CDD505-2E9C-101B-9397-08002B2CF9AE}" pid="4" name="CUIReviewer">
    <vt:lpwstr/>
  </property>
  <property fmtid="{D5CDD505-2E9C-101B-9397-08002B2CF9AE}" pid="5" name="OGC Document Status">
    <vt:lpwstr>6;#Draft|4e9a4bc7-9032-4d66-87ab-b16dbcbcd63b</vt:lpwstr>
  </property>
</Properties>
</file>