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BD" w:rsidRPr="001A625A" w14:paraId="4D7C56D2" w14:textId="3CF11B54">
      <w:pPr>
        <w:pStyle w:val="Heading2"/>
        <w:rPr>
          <w:szCs w:val="24"/>
        </w:rPr>
      </w:pPr>
      <w:r>
        <w:rPr>
          <w:szCs w:val="24"/>
        </w:rPr>
        <w:t xml:space="preserve"> </w:t>
      </w:r>
      <w:r w:rsidRPr="001A625A">
        <w:rPr>
          <w:szCs w:val="24"/>
        </w:rPr>
        <w:t>SUPPORTING STATEMENT</w:t>
      </w:r>
      <w:r w:rsidR="00B00F6D">
        <w:rPr>
          <w:szCs w:val="24"/>
        </w:rPr>
        <w:t xml:space="preserve"> FOR</w:t>
      </w:r>
    </w:p>
    <w:p w:rsidR="001945BD" w:rsidRPr="001A625A" w:rsidP="0030196B" w14:paraId="361B8604" w14:textId="77777777">
      <w:pPr>
        <w:pStyle w:val="Heading2"/>
        <w:rPr>
          <w:rStyle w:val="Heading3Char"/>
          <w:rFonts w:ascii="Times New Roman" w:hAnsi="Times New Roman"/>
          <w:sz w:val="24"/>
          <w:szCs w:val="24"/>
        </w:rPr>
      </w:pPr>
      <w:r w:rsidRPr="001A625A">
        <w:rPr>
          <w:b/>
          <w:bCs/>
          <w:szCs w:val="24"/>
        </w:rPr>
        <w:t>Consumer Price Index Commodities and Services</w:t>
      </w:r>
    </w:p>
    <w:p w:rsidR="001945BD" w14:paraId="58F1051E" w14:textId="6A39BFED">
      <w:pPr>
        <w:spacing w:line="240" w:lineRule="exact"/>
        <w:rPr>
          <w:szCs w:val="24"/>
          <w:u w:val="single"/>
        </w:rPr>
      </w:pPr>
    </w:p>
    <w:p w:rsidR="00B00F6D" w:rsidRPr="001A625A" w14:paraId="4484D70A" w14:textId="63C04B51">
      <w:pPr>
        <w:spacing w:line="240" w:lineRule="exact"/>
        <w:rPr>
          <w:szCs w:val="24"/>
          <w:u w:val="single"/>
        </w:rPr>
      </w:pPr>
      <w:r w:rsidRPr="00B62605">
        <w:rPr>
          <w:szCs w:val="24"/>
        </w:rPr>
        <w:t xml:space="preserve">This </w:t>
      </w:r>
      <w:r w:rsidRPr="00B62605" w:rsidR="008366CB">
        <w:rPr>
          <w:szCs w:val="24"/>
        </w:rPr>
        <w:t xml:space="preserve">request </w:t>
      </w:r>
      <w:r w:rsidRPr="00B62605">
        <w:rPr>
          <w:szCs w:val="24"/>
        </w:rPr>
        <w:t xml:space="preserve">seeks clearance for </w:t>
      </w:r>
      <w:r w:rsidRPr="00B62605" w:rsidR="008366CB">
        <w:rPr>
          <w:szCs w:val="24"/>
        </w:rPr>
        <w:t>an extension of the Consumer Price Index Commodities and Services information collection</w:t>
      </w:r>
      <w:r w:rsidRPr="0025036C" w:rsidR="00A1091D">
        <w:rPr>
          <w:szCs w:val="24"/>
        </w:rPr>
        <w:t>.</w:t>
      </w:r>
    </w:p>
    <w:p w:rsidR="001945BD" w:rsidRPr="001A625A" w14:paraId="315E3C8C" w14:textId="77777777">
      <w:pPr>
        <w:spacing w:line="240" w:lineRule="exact"/>
        <w:rPr>
          <w:szCs w:val="24"/>
        </w:rPr>
      </w:pPr>
    </w:p>
    <w:p w:rsidR="001945BD" w:rsidRPr="001A625A" w14:paraId="074588E0" w14:textId="307CCC81">
      <w:pPr>
        <w:spacing w:line="240" w:lineRule="exact"/>
        <w:rPr>
          <w:szCs w:val="24"/>
        </w:rPr>
      </w:pPr>
      <w:r w:rsidRPr="001A625A">
        <w:rPr>
          <w:szCs w:val="24"/>
        </w:rPr>
        <w:t>A.</w:t>
      </w:r>
      <w:r w:rsidR="0032049C">
        <w:rPr>
          <w:szCs w:val="24"/>
        </w:rPr>
        <w:t xml:space="preserve"> </w:t>
      </w:r>
      <w:r w:rsidRPr="001A625A">
        <w:rPr>
          <w:rStyle w:val="Heading3Char"/>
          <w:rFonts w:ascii="Times New Roman" w:hAnsi="Times New Roman"/>
          <w:sz w:val="24"/>
          <w:szCs w:val="24"/>
        </w:rPr>
        <w:t>JUSTIFICATION</w:t>
      </w:r>
    </w:p>
    <w:p w:rsidR="001945BD" w:rsidRPr="001A625A" w14:paraId="11A0ADD4" w14:textId="77777777">
      <w:pPr>
        <w:spacing w:line="240" w:lineRule="exact"/>
        <w:rPr>
          <w:szCs w:val="24"/>
        </w:rPr>
      </w:pPr>
    </w:p>
    <w:p w:rsidR="001945BD" w:rsidRPr="001A625A" w14:paraId="5C39572F" w14:textId="42A701F9">
      <w:pPr>
        <w:numPr>
          <w:ilvl w:val="0"/>
          <w:numId w:val="4"/>
        </w:numPr>
        <w:spacing w:line="240" w:lineRule="exact"/>
        <w:rPr>
          <w:szCs w:val="24"/>
        </w:rPr>
      </w:pPr>
      <w:r w:rsidRPr="00D53DEB">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bCs/>
        </w:rPr>
        <w:t>.</w:t>
      </w:r>
      <w:r w:rsidRPr="001A625A">
        <w:rPr>
          <w:szCs w:val="24"/>
        </w:rPr>
        <w:t xml:space="preserve"> </w:t>
      </w:r>
    </w:p>
    <w:p w:rsidR="001945BD" w:rsidRPr="001A625A" w:rsidP="008459C6" w14:paraId="1ED2969E" w14:textId="77777777">
      <w:pPr>
        <w:rPr>
          <w:szCs w:val="24"/>
        </w:rPr>
      </w:pPr>
    </w:p>
    <w:p w:rsidR="00F647B1" w:rsidRPr="001A625A" w:rsidP="00C92E5B" w14:paraId="4DFEC4A3" w14:textId="259DC90E">
      <w:pPr>
        <w:spacing w:line="240" w:lineRule="exact"/>
        <w:rPr>
          <w:szCs w:val="24"/>
        </w:rPr>
      </w:pPr>
      <w:r w:rsidRPr="001A625A">
        <w:rPr>
          <w:szCs w:val="24"/>
        </w:rPr>
        <w:t xml:space="preserve">Section 2 of Title 29, Chapter 1, Subchapter 1, United States Code </w:t>
      </w:r>
      <w:r w:rsidRPr="001A625A" w:rsidR="00E760C8">
        <w:rPr>
          <w:szCs w:val="24"/>
        </w:rPr>
        <w:t>a</w:t>
      </w:r>
      <w:r w:rsidRPr="001A625A">
        <w:rPr>
          <w:szCs w:val="24"/>
        </w:rPr>
        <w:t xml:space="preserve">nnotated directs </w:t>
      </w:r>
      <w:r w:rsidRPr="001A625A" w:rsidR="00E760C8">
        <w:rPr>
          <w:szCs w:val="24"/>
        </w:rPr>
        <w:t>“</w:t>
      </w:r>
      <w:r w:rsidRPr="001A625A" w:rsidR="00E760C8">
        <w:rPr>
          <w:szCs w:val="24"/>
          <w:lang w:val="en"/>
        </w:rP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r w:rsidR="0032049C">
        <w:rPr>
          <w:szCs w:val="24"/>
        </w:rPr>
        <w:t xml:space="preserve"> </w:t>
      </w:r>
      <w:r w:rsidRPr="001A625A">
        <w:rPr>
          <w:szCs w:val="24"/>
        </w:rPr>
        <w:t xml:space="preserve"> </w:t>
      </w:r>
      <w:r w:rsidRPr="001A625A" w:rsidR="00675713">
        <w:rPr>
          <w:szCs w:val="24"/>
        </w:rPr>
        <w:t>The United States Code can be view</w:t>
      </w:r>
      <w:r w:rsidRPr="001A625A" w:rsidR="00CB5188">
        <w:rPr>
          <w:szCs w:val="24"/>
        </w:rPr>
        <w:t>ed</w:t>
      </w:r>
      <w:r w:rsidRPr="001A625A" w:rsidR="00675713">
        <w:rPr>
          <w:szCs w:val="24"/>
        </w:rPr>
        <w:t xml:space="preserve"> on the U.S. Government Publishing Office (GPO) public website at </w:t>
      </w:r>
      <w:hyperlink r:id="rId6" w:history="1">
        <w:r w:rsidRPr="001A625A">
          <w:rPr>
            <w:rStyle w:val="Hyperlink"/>
          </w:rPr>
          <w:t>https://www.govinfo.gov/content/pkg/USCODE-2020-title29/pdf/USCODE-2020-title29-chap1-subchapI-sec2.pdf</w:t>
        </w:r>
      </w:hyperlink>
    </w:p>
    <w:p w:rsidR="001945BD" w:rsidRPr="001A625A" w:rsidP="00C92E5B" w14:paraId="78781278" w14:textId="77777777">
      <w:pPr>
        <w:spacing w:line="240" w:lineRule="exact"/>
        <w:rPr>
          <w:szCs w:val="24"/>
        </w:rPr>
      </w:pPr>
    </w:p>
    <w:p w:rsidR="001945BD" w:rsidRPr="001A625A" w:rsidP="00C92E5B" w14:paraId="3169789C" w14:textId="356BB22B">
      <w:pPr>
        <w:spacing w:line="240" w:lineRule="exact"/>
        <w:rPr>
          <w:szCs w:val="24"/>
        </w:rPr>
      </w:pPr>
      <w:r w:rsidRPr="001A625A">
        <w:rPr>
          <w:szCs w:val="24"/>
        </w:rPr>
        <w:t>The Consumer Price Index (CPI) is the only index compiled by the U.S. Government that is designed to measure changes in the purchasing power of the consumer's dollar.</w:t>
      </w:r>
      <w:r w:rsidR="0032049C">
        <w:rPr>
          <w:szCs w:val="24"/>
        </w:rPr>
        <w:t xml:space="preserve"> </w:t>
      </w:r>
      <w:r w:rsidRPr="001A625A">
        <w:rPr>
          <w:szCs w:val="24"/>
        </w:rPr>
        <w:t>The CPI is a measure of the average change in prices over time in a market basket of goods and services.</w:t>
      </w:r>
      <w:r w:rsidR="0032049C">
        <w:rPr>
          <w:szCs w:val="24"/>
        </w:rPr>
        <w:t xml:space="preserve"> </w:t>
      </w:r>
      <w:r w:rsidRPr="001A625A">
        <w:rPr>
          <w:szCs w:val="24"/>
        </w:rPr>
        <w:t>It is calculated monthly for two population groups, one consisting of all urban families (CPI-U), and the other consisting of urban wage earners and clerical workers (CPI-W).</w:t>
      </w:r>
      <w:r w:rsidR="0032049C">
        <w:rPr>
          <w:szCs w:val="24"/>
        </w:rPr>
        <w:t xml:space="preserve"> </w:t>
      </w:r>
      <w:r w:rsidRPr="001A625A">
        <w:rPr>
          <w:szCs w:val="24"/>
        </w:rPr>
        <w:t xml:space="preserve">The CPI-U represents the buying habits of </w:t>
      </w:r>
      <w:r w:rsidRPr="001A625A" w:rsidR="00A94486">
        <w:rPr>
          <w:szCs w:val="24"/>
        </w:rPr>
        <w:t>over 90</w:t>
      </w:r>
      <w:r w:rsidR="000F322D">
        <w:rPr>
          <w:szCs w:val="24"/>
        </w:rPr>
        <w:t xml:space="preserve"> percent</w:t>
      </w:r>
      <w:r w:rsidRPr="001A625A">
        <w:rPr>
          <w:szCs w:val="24"/>
        </w:rPr>
        <w:t xml:space="preserve"> of the population of the United States, while the CPI-W represents approximately </w:t>
      </w:r>
      <w:r w:rsidRPr="001A625A" w:rsidR="00A94486">
        <w:rPr>
          <w:szCs w:val="24"/>
        </w:rPr>
        <w:t>30</w:t>
      </w:r>
      <w:r w:rsidR="000F322D">
        <w:rPr>
          <w:szCs w:val="24"/>
        </w:rPr>
        <w:t xml:space="preserve"> percent</w:t>
      </w:r>
      <w:r w:rsidRPr="001A625A">
        <w:rPr>
          <w:szCs w:val="24"/>
        </w:rPr>
        <w:t xml:space="preserve"> of </w:t>
      </w:r>
      <w:r w:rsidR="008941A6">
        <w:rPr>
          <w:szCs w:val="24"/>
        </w:rPr>
        <w:t>the population of the United States</w:t>
      </w:r>
      <w:r w:rsidRPr="001A625A">
        <w:rPr>
          <w:szCs w:val="24"/>
        </w:rPr>
        <w:t xml:space="preserve">. </w:t>
      </w:r>
    </w:p>
    <w:p w:rsidR="00384BA6" w:rsidRPr="001A625A" w:rsidP="00C92E5B" w14:paraId="16776636" w14:textId="77777777">
      <w:pPr>
        <w:spacing w:line="240" w:lineRule="exact"/>
        <w:rPr>
          <w:szCs w:val="24"/>
        </w:rPr>
      </w:pPr>
    </w:p>
    <w:p w:rsidR="009A5DD5" w:rsidRPr="00076D02" w:rsidP="00AE71DA" w14:paraId="077244B6" w14:textId="728B9461">
      <w:pPr>
        <w:spacing w:line="240" w:lineRule="exact"/>
        <w:rPr>
          <w:szCs w:val="24"/>
        </w:rPr>
      </w:pPr>
      <w:r w:rsidRPr="00076D02">
        <w:rPr>
          <w:szCs w:val="24"/>
        </w:rPr>
        <w:t>The CPI geographic area sample</w:t>
      </w:r>
      <w:r w:rsidRPr="00076D02">
        <w:rPr>
          <w:szCs w:val="24"/>
        </w:rPr>
        <w:t xml:space="preserve"> classifie</w:t>
      </w:r>
      <w:r w:rsidRPr="00076D02">
        <w:rPr>
          <w:szCs w:val="24"/>
        </w:rPr>
        <w:t>s</w:t>
      </w:r>
      <w:r w:rsidRPr="00076D02">
        <w:rPr>
          <w:szCs w:val="24"/>
        </w:rPr>
        <w:t xml:space="preserve"> areas into four Census regions</w:t>
      </w:r>
      <w:r w:rsidRPr="00AD7D03">
        <w:rPr>
          <w:szCs w:val="24"/>
        </w:rPr>
        <w:t xml:space="preserve"> (</w:t>
      </w:r>
      <w:r w:rsidRPr="00076D02">
        <w:rPr>
          <w:szCs w:val="24"/>
        </w:rPr>
        <w:t>Northeast, Midwest, South, and West</w:t>
      </w:r>
      <w:r w:rsidRPr="00AD7D03">
        <w:rPr>
          <w:szCs w:val="24"/>
        </w:rPr>
        <w:t>)</w:t>
      </w:r>
      <w:r w:rsidRPr="00076D02">
        <w:rPr>
          <w:szCs w:val="24"/>
        </w:rPr>
        <w:t>.</w:t>
      </w:r>
      <w:r w:rsidRPr="00076D02" w:rsidR="0032049C">
        <w:rPr>
          <w:szCs w:val="24"/>
        </w:rPr>
        <w:t xml:space="preserve"> </w:t>
      </w:r>
      <w:r w:rsidRPr="00076D02">
        <w:rPr>
          <w:szCs w:val="24"/>
        </w:rPr>
        <w:t xml:space="preserve">The design </w:t>
      </w:r>
      <w:r w:rsidRPr="00076D02">
        <w:rPr>
          <w:szCs w:val="24"/>
        </w:rPr>
        <w:t xml:space="preserve">also </w:t>
      </w:r>
      <w:r w:rsidRPr="00076D02">
        <w:rPr>
          <w:szCs w:val="24"/>
        </w:rPr>
        <w:t xml:space="preserve">classifies these areas into nine Census divisions: New England, Middle Atlantic, East North Central, West </w:t>
      </w:r>
      <w:r w:rsidRPr="00076D02" w:rsidR="007619B4">
        <w:rPr>
          <w:szCs w:val="24"/>
        </w:rPr>
        <w:t xml:space="preserve">North </w:t>
      </w:r>
      <w:r w:rsidRPr="00076D02">
        <w:rPr>
          <w:szCs w:val="24"/>
        </w:rPr>
        <w:t>Central, South Atlantic, East South Central, West South Central, Mountain, and Pacific.</w:t>
      </w:r>
      <w:r w:rsidRPr="00AD7D03" w:rsidR="0032049C">
        <w:rPr>
          <w:szCs w:val="24"/>
        </w:rPr>
        <w:t xml:space="preserve"> </w:t>
      </w:r>
      <w:r w:rsidRPr="00076D02" w:rsidR="00B81FB5">
        <w:rPr>
          <w:szCs w:val="24"/>
        </w:rPr>
        <w:t xml:space="preserve">Primary </w:t>
      </w:r>
      <w:r w:rsidRPr="00076D02">
        <w:rPr>
          <w:szCs w:val="24"/>
        </w:rPr>
        <w:t xml:space="preserve">sampling units (PSUs) </w:t>
      </w:r>
      <w:r w:rsidRPr="00AD7D03" w:rsidR="00B81FB5">
        <w:rPr>
          <w:szCs w:val="24"/>
        </w:rPr>
        <w:t xml:space="preserve">are </w:t>
      </w:r>
      <w:r w:rsidRPr="00AD7D03">
        <w:rPr>
          <w:szCs w:val="24"/>
        </w:rPr>
        <w:t>classified into one of two population-size classes—self-representing or non</w:t>
      </w:r>
      <w:r w:rsidRPr="00AD7D03" w:rsidR="003F4C67">
        <w:rPr>
          <w:szCs w:val="24"/>
        </w:rPr>
        <w:t>-</w:t>
      </w:r>
      <w:r w:rsidRPr="00AD7D03">
        <w:rPr>
          <w:szCs w:val="24"/>
        </w:rPr>
        <w:t>self-representing.</w:t>
      </w:r>
      <w:r w:rsidRPr="00076D02" w:rsidR="0032049C">
        <w:rPr>
          <w:szCs w:val="24"/>
        </w:rPr>
        <w:t xml:space="preserve"> </w:t>
      </w:r>
      <w:r w:rsidRPr="00076D02">
        <w:rPr>
          <w:szCs w:val="24"/>
        </w:rPr>
        <w:t>The</w:t>
      </w:r>
      <w:r w:rsidRPr="00076D02">
        <w:rPr>
          <w:szCs w:val="24"/>
        </w:rPr>
        <w:t xml:space="preserve"> </w:t>
      </w:r>
      <w:r w:rsidRPr="00AD7D03">
        <w:rPr>
          <w:szCs w:val="24"/>
        </w:rPr>
        <w:t xml:space="preserve">PSU </w:t>
      </w:r>
      <w:r w:rsidRPr="00076D02">
        <w:rPr>
          <w:szCs w:val="24"/>
        </w:rPr>
        <w:t xml:space="preserve">area definitions </w:t>
      </w:r>
      <w:r w:rsidRPr="00076D02">
        <w:rPr>
          <w:szCs w:val="24"/>
        </w:rPr>
        <w:t>are based on</w:t>
      </w:r>
      <w:r w:rsidRPr="00076D02">
        <w:rPr>
          <w:szCs w:val="24"/>
        </w:rPr>
        <w:t xml:space="preserve"> Office of Management and Budget’s (OMB) Core-Based Statistical Areas (CBSAs) definitions.</w:t>
      </w:r>
      <w:r w:rsidRPr="00076D02" w:rsidR="0032049C">
        <w:rPr>
          <w:szCs w:val="24"/>
        </w:rPr>
        <w:t xml:space="preserve"> </w:t>
      </w:r>
      <w:r w:rsidRPr="00AD7D03">
        <w:rPr>
          <w:szCs w:val="24"/>
        </w:rPr>
        <w:t>There are two types of CBSAs: metropolitan and micropolitan.</w:t>
      </w:r>
      <w:r w:rsidRPr="00AD7D03" w:rsidR="0032049C">
        <w:rPr>
          <w:szCs w:val="24"/>
        </w:rPr>
        <w:t xml:space="preserve"> </w:t>
      </w:r>
      <w:r w:rsidRPr="00AD7D03">
        <w:rPr>
          <w:szCs w:val="24"/>
        </w:rPr>
        <w:t xml:space="preserve">A metropolitan CBSA has an urban core of more than 50,000 people, and a micropolitan CBSA has an urban core of 10,000 to 50,000 people. CBSAs may cross state borders. </w:t>
      </w:r>
      <w:r w:rsidRPr="00076D02">
        <w:rPr>
          <w:szCs w:val="24"/>
        </w:rPr>
        <w:t>In</w:t>
      </w:r>
      <w:r w:rsidRPr="00076D02">
        <w:rPr>
          <w:szCs w:val="24"/>
        </w:rPr>
        <w:t xml:space="preserve"> the </w:t>
      </w:r>
      <w:r w:rsidRPr="00076D02">
        <w:rPr>
          <w:szCs w:val="24"/>
        </w:rPr>
        <w:t xml:space="preserve">geographic area sample </w:t>
      </w:r>
      <w:r w:rsidRPr="00076D02">
        <w:rPr>
          <w:szCs w:val="24"/>
        </w:rPr>
        <w:t xml:space="preserve">design, the number of sampled PSUs in the CPI </w:t>
      </w:r>
      <w:r w:rsidRPr="00076D02">
        <w:rPr>
          <w:szCs w:val="24"/>
        </w:rPr>
        <w:t>is</w:t>
      </w:r>
      <w:r w:rsidRPr="00076D02">
        <w:rPr>
          <w:szCs w:val="24"/>
        </w:rPr>
        <w:t xml:space="preserve"> 75.</w:t>
      </w:r>
      <w:r w:rsidRPr="00076D02" w:rsidR="0032049C">
        <w:rPr>
          <w:szCs w:val="24"/>
        </w:rPr>
        <w:t xml:space="preserve"> </w:t>
      </w:r>
    </w:p>
    <w:p w:rsidR="009A5DD5" w:rsidRPr="00AD7D03" w:rsidP="00C92E5B" w14:paraId="347D9529" w14:textId="77777777">
      <w:pPr>
        <w:spacing w:line="240" w:lineRule="exact"/>
        <w:rPr>
          <w:szCs w:val="24"/>
        </w:rPr>
      </w:pPr>
    </w:p>
    <w:p w:rsidR="001945BD" w:rsidRPr="00AD7D03" w:rsidP="00C92E5B" w14:paraId="0844492A" w14:textId="0D064970">
      <w:pPr>
        <w:spacing w:line="240" w:lineRule="exact"/>
        <w:rPr>
          <w:szCs w:val="24"/>
        </w:rPr>
      </w:pPr>
      <w:r w:rsidRPr="00AD7D03">
        <w:rPr>
          <w:szCs w:val="24"/>
        </w:rPr>
        <w:t xml:space="preserve">In addition to the </w:t>
      </w:r>
      <w:r w:rsidR="008941A6">
        <w:rPr>
          <w:szCs w:val="24"/>
        </w:rPr>
        <w:t>CPI-U and CPI-W</w:t>
      </w:r>
      <w:r w:rsidRPr="00AD7D03">
        <w:rPr>
          <w:szCs w:val="24"/>
        </w:rPr>
        <w:t>, the BLS also produces the Chained Consumer Price Index for all urban consumers (C-CPI-U).</w:t>
      </w:r>
      <w:r w:rsidRPr="00AD7D03" w:rsidR="0032049C">
        <w:rPr>
          <w:szCs w:val="24"/>
        </w:rPr>
        <w:t xml:space="preserve"> </w:t>
      </w:r>
      <w:r w:rsidRPr="00AD7D03">
        <w:rPr>
          <w:szCs w:val="24"/>
        </w:rPr>
        <w:t>The C-CPI-U is a “superlative” type index that is designed to be a closer approximation to a “cost-of-living” index than the CPI-U and CPI-W.</w:t>
      </w:r>
      <w:r w:rsidRPr="00AD7D03" w:rsidR="0032049C">
        <w:rPr>
          <w:szCs w:val="24"/>
        </w:rPr>
        <w:t xml:space="preserve"> </w:t>
      </w:r>
      <w:r w:rsidRPr="00AD7D03">
        <w:rPr>
          <w:szCs w:val="24"/>
        </w:rPr>
        <w:t>The C-CPI-U is distinguished from the CPI-U and CPI-W by the expenditure weights and formula used to produce aggregate measures of price change.</w:t>
      </w:r>
      <w:r w:rsidRPr="00AD7D03" w:rsidR="0032049C">
        <w:rPr>
          <w:szCs w:val="24"/>
        </w:rPr>
        <w:t xml:space="preserve"> </w:t>
      </w:r>
      <w:r w:rsidRPr="00AD7D03">
        <w:rPr>
          <w:szCs w:val="24"/>
        </w:rPr>
        <w:t xml:space="preserve">Expenditure data required for the calculation of the </w:t>
      </w:r>
      <w:r w:rsidRPr="00AD7D03">
        <w:rPr>
          <w:bCs/>
          <w:szCs w:val="24"/>
        </w:rPr>
        <w:t>C-CPI-U</w:t>
      </w:r>
      <w:r w:rsidRPr="00AD7D03">
        <w:rPr>
          <w:szCs w:val="24"/>
        </w:rPr>
        <w:t xml:space="preserve"> are available only with a time lag.</w:t>
      </w:r>
      <w:r w:rsidRPr="00AD7D03" w:rsidR="0032049C">
        <w:rPr>
          <w:szCs w:val="24"/>
        </w:rPr>
        <w:t xml:space="preserve"> </w:t>
      </w:r>
      <w:r w:rsidRPr="00AD7D03">
        <w:rPr>
          <w:szCs w:val="24"/>
        </w:rPr>
        <w:t xml:space="preserve">Thus, the </w:t>
      </w:r>
      <w:r w:rsidRPr="00AD7D03">
        <w:rPr>
          <w:bCs/>
          <w:szCs w:val="24"/>
        </w:rPr>
        <w:t>C-CPI-U</w:t>
      </w:r>
      <w:r w:rsidRPr="00AD7D03">
        <w:rPr>
          <w:szCs w:val="24"/>
        </w:rPr>
        <w:t xml:space="preserve"> is being issued first in preliminary form using the latest available expenditure data at that time and is subject to </w:t>
      </w:r>
      <w:r w:rsidRPr="00AD7D03">
        <w:rPr>
          <w:szCs w:val="24"/>
        </w:rPr>
        <w:t>subsequent revisions.</w:t>
      </w:r>
      <w:r w:rsidRPr="00AD7D03" w:rsidR="0032049C">
        <w:rPr>
          <w:szCs w:val="24"/>
        </w:rPr>
        <w:t xml:space="preserve"> </w:t>
      </w:r>
      <w:r w:rsidRPr="00AD7D03">
        <w:rPr>
          <w:szCs w:val="24"/>
        </w:rPr>
        <w:t xml:space="preserve">The </w:t>
      </w:r>
      <w:r w:rsidRPr="00AD7D03">
        <w:rPr>
          <w:bCs/>
          <w:szCs w:val="24"/>
        </w:rPr>
        <w:t>C-CPI-U</w:t>
      </w:r>
      <w:r w:rsidRPr="00AD7D03">
        <w:rPr>
          <w:szCs w:val="24"/>
        </w:rPr>
        <w:t xml:space="preserve"> is issued for national averages only and is not seasonally adjusted.</w:t>
      </w:r>
      <w:r w:rsidRPr="00AD7D03" w:rsidR="0032049C">
        <w:rPr>
          <w:szCs w:val="24"/>
        </w:rPr>
        <w:t xml:space="preserve"> </w:t>
      </w:r>
    </w:p>
    <w:p w:rsidR="00E724EA" w:rsidRPr="00AD7D03" w:rsidP="00C92E5B" w14:paraId="3EB77ECA" w14:textId="77777777">
      <w:pPr>
        <w:spacing w:line="240" w:lineRule="exact"/>
        <w:rPr>
          <w:szCs w:val="24"/>
        </w:rPr>
      </w:pPr>
    </w:p>
    <w:p w:rsidR="00E724EA" w:rsidRPr="00AD7D03" w:rsidP="00C92E5B" w14:paraId="2087DD82" w14:textId="006A4A67">
      <w:pPr>
        <w:spacing w:line="240" w:lineRule="exact"/>
        <w:rPr>
          <w:szCs w:val="24"/>
        </w:rPr>
      </w:pPr>
      <w:r>
        <w:rPr>
          <w:szCs w:val="24"/>
        </w:rPr>
        <w:t xml:space="preserve">The </w:t>
      </w:r>
      <w:r w:rsidRPr="00AD7D03" w:rsidR="00F11CD9">
        <w:rPr>
          <w:szCs w:val="24"/>
        </w:rPr>
        <w:t>BLS</w:t>
      </w:r>
      <w:r w:rsidRPr="00AD7D03" w:rsidR="00B23113">
        <w:rPr>
          <w:szCs w:val="24"/>
        </w:rPr>
        <w:t xml:space="preserve"> issues a</w:t>
      </w:r>
      <w:r w:rsidRPr="00AD7D03" w:rsidR="00F11CD9">
        <w:rPr>
          <w:szCs w:val="24"/>
        </w:rPr>
        <w:t xml:space="preserve"> </w:t>
      </w:r>
      <w:r w:rsidR="00290B65">
        <w:rPr>
          <w:szCs w:val="24"/>
        </w:rPr>
        <w:t>research</w:t>
      </w:r>
      <w:r w:rsidRPr="00AD7D03" w:rsidR="00290B65">
        <w:rPr>
          <w:szCs w:val="24"/>
        </w:rPr>
        <w:t xml:space="preserve"> </w:t>
      </w:r>
      <w:r w:rsidRPr="00AD7D03" w:rsidR="00F11CD9">
        <w:rPr>
          <w:szCs w:val="24"/>
        </w:rPr>
        <w:t xml:space="preserve">CPI for the elderly or </w:t>
      </w:r>
      <w:r w:rsidR="00E30AD0">
        <w:rPr>
          <w:szCs w:val="24"/>
        </w:rPr>
        <w:t>R-</w:t>
      </w:r>
      <w:r w:rsidRPr="00AD7D03" w:rsidR="00F11CD9">
        <w:rPr>
          <w:szCs w:val="24"/>
        </w:rPr>
        <w:t>CPI-E</w:t>
      </w:r>
      <w:r w:rsidRPr="00AD7D03" w:rsidR="007619B4">
        <w:rPr>
          <w:szCs w:val="24"/>
        </w:rPr>
        <w:t>, which</w:t>
      </w:r>
      <w:r w:rsidRPr="00AD7D03" w:rsidR="00F11CD9">
        <w:rPr>
          <w:szCs w:val="24"/>
        </w:rPr>
        <w:t xml:space="preserve"> is calculated monthly and is available on </w:t>
      </w:r>
      <w:r w:rsidRPr="00AD7D03" w:rsidR="0015541F">
        <w:rPr>
          <w:szCs w:val="24"/>
        </w:rPr>
        <w:t>the CPI website</w:t>
      </w:r>
      <w:r w:rsidR="00290B65">
        <w:rPr>
          <w:szCs w:val="24"/>
        </w:rPr>
        <w:t>, along with other CPI research series</w:t>
      </w:r>
      <w:r w:rsidRPr="00AD7D03" w:rsidR="00F11CD9">
        <w:rPr>
          <w:szCs w:val="24"/>
        </w:rPr>
        <w:t>.</w:t>
      </w:r>
      <w:r w:rsidRPr="00AD7D03" w:rsidR="0032049C">
        <w:rPr>
          <w:szCs w:val="24"/>
        </w:rPr>
        <w:t xml:space="preserve"> </w:t>
      </w:r>
      <w:r w:rsidRPr="00AD7D03" w:rsidR="00F11CD9">
        <w:rPr>
          <w:szCs w:val="24"/>
        </w:rPr>
        <w:t xml:space="preserve">The </w:t>
      </w:r>
      <w:r w:rsidR="00E30AD0">
        <w:rPr>
          <w:szCs w:val="24"/>
        </w:rPr>
        <w:t>R-</w:t>
      </w:r>
      <w:r w:rsidRPr="00AD7D03" w:rsidR="00F11CD9">
        <w:rPr>
          <w:szCs w:val="24"/>
        </w:rPr>
        <w:t>CPI-E is a reweighting of the CPI basic indexes using expenditure weights from households headed by someone 62 years of age or older.</w:t>
      </w:r>
    </w:p>
    <w:p w:rsidR="00E724EA" w:rsidRPr="00AD7D03" w:rsidP="008459C6" w14:paraId="17497AB4" w14:textId="77777777">
      <w:pPr>
        <w:rPr>
          <w:szCs w:val="24"/>
        </w:rPr>
      </w:pPr>
    </w:p>
    <w:p w:rsidR="001945BD" w:rsidRPr="00AD7D03" w:rsidP="008459C6" w14:paraId="4D69BA4D" w14:textId="62C85451">
      <w:pPr>
        <w:pStyle w:val="Header"/>
        <w:numPr>
          <w:ilvl w:val="0"/>
          <w:numId w:val="4"/>
        </w:numPr>
        <w:tabs>
          <w:tab w:val="clear" w:pos="4320"/>
          <w:tab w:val="clear" w:pos="8640"/>
        </w:tabs>
        <w:rPr>
          <w:szCs w:val="24"/>
        </w:rPr>
      </w:pPr>
      <w:r w:rsidRPr="00D53DEB">
        <w:rPr>
          <w:b/>
          <w:bCs/>
        </w:rPr>
        <w:t>Indicate how, by whom, and for what purpose the information is to be used.  Except for a new collection, indicate the actual use the agency has made of the information received from the current collection</w:t>
      </w:r>
      <w:r>
        <w:rPr>
          <w:b/>
          <w:bCs/>
        </w:rPr>
        <w:t>.</w:t>
      </w:r>
    </w:p>
    <w:p w:rsidR="001945BD" w:rsidRPr="00AD7D03" w:rsidP="008459C6" w14:paraId="6C1CFB47" w14:textId="77777777">
      <w:pPr>
        <w:rPr>
          <w:szCs w:val="24"/>
        </w:rPr>
      </w:pPr>
    </w:p>
    <w:p w:rsidR="001945BD" w:rsidRPr="00AD7D03" w:rsidP="00C92E5B" w14:paraId="2EE0D4CC" w14:textId="52B6AAA1">
      <w:pPr>
        <w:spacing w:line="240" w:lineRule="exact"/>
        <w:rPr>
          <w:szCs w:val="24"/>
        </w:rPr>
      </w:pPr>
      <w:r w:rsidRPr="00AD7D03">
        <w:rPr>
          <w:szCs w:val="24"/>
        </w:rPr>
        <w:t>First, t</w:t>
      </w:r>
      <w:r w:rsidRPr="00AD7D03">
        <w:rPr>
          <w:szCs w:val="24"/>
        </w:rPr>
        <w:t xml:space="preserve">he CPI is used most widely as a measure of </w:t>
      </w:r>
      <w:r w:rsidRPr="00AD7D03" w:rsidR="001A625A">
        <w:rPr>
          <w:szCs w:val="24"/>
        </w:rPr>
        <w:t>inflation and</w:t>
      </w:r>
      <w:r w:rsidRPr="00AD7D03">
        <w:rPr>
          <w:szCs w:val="24"/>
        </w:rPr>
        <w:t xml:space="preserve"> serves as an indicator of the effectiveness of government economic policy.</w:t>
      </w:r>
      <w:r w:rsidRPr="00AD7D03" w:rsidR="0032049C">
        <w:rPr>
          <w:szCs w:val="24"/>
        </w:rPr>
        <w:t xml:space="preserve"> </w:t>
      </w:r>
      <w:r w:rsidRPr="00AD7D03">
        <w:rPr>
          <w:szCs w:val="24"/>
        </w:rPr>
        <w:t>Second, i</w:t>
      </w:r>
      <w:r w:rsidRPr="00AD7D03">
        <w:rPr>
          <w:szCs w:val="24"/>
        </w:rPr>
        <w:t>t is also used as a deflator of other economic series, that is, to adjust other series for price changes and to translate these series into inflation-free dollars.</w:t>
      </w:r>
      <w:r w:rsidRPr="00AD7D03" w:rsidR="0032049C">
        <w:rPr>
          <w:szCs w:val="24"/>
        </w:rPr>
        <w:t xml:space="preserve"> </w:t>
      </w:r>
      <w:r w:rsidRPr="00AD7D03">
        <w:rPr>
          <w:szCs w:val="24"/>
        </w:rPr>
        <w:t>Examples include retail sales, hourly and weekly earnings, and components of the Gross Domestic Product.</w:t>
      </w:r>
      <w:r w:rsidRPr="00AD7D03" w:rsidR="0032049C">
        <w:rPr>
          <w:szCs w:val="24"/>
        </w:rPr>
        <w:t xml:space="preserve"> </w:t>
      </w:r>
    </w:p>
    <w:p w:rsidR="001945BD" w:rsidRPr="00AD7D03" w:rsidP="00C92E5B" w14:paraId="02504F49" w14:textId="544CA93C">
      <w:pPr>
        <w:spacing w:line="240" w:lineRule="exact"/>
        <w:rPr>
          <w:szCs w:val="24"/>
        </w:rPr>
      </w:pPr>
    </w:p>
    <w:p w:rsidR="001945BD" w:rsidRPr="00AD7D03" w:rsidP="00C92E5B" w14:paraId="5DFE4755" w14:textId="5F6130EA">
      <w:pPr>
        <w:spacing w:line="240" w:lineRule="exact"/>
        <w:rPr>
          <w:szCs w:val="24"/>
        </w:rPr>
      </w:pPr>
      <w:r w:rsidRPr="00AD7D03">
        <w:rPr>
          <w:szCs w:val="24"/>
        </w:rPr>
        <w:t xml:space="preserve">A third major use of the CPI is to adjust </w:t>
      </w:r>
      <w:r w:rsidR="00877FCF">
        <w:rPr>
          <w:szCs w:val="24"/>
        </w:rPr>
        <w:t>dollar values</w:t>
      </w:r>
      <w:r w:rsidRPr="00AD7D03">
        <w:rPr>
          <w:szCs w:val="24"/>
        </w:rPr>
        <w:t>.</w:t>
      </w:r>
      <w:r w:rsidRPr="00AD7D03" w:rsidR="0032049C">
        <w:rPr>
          <w:szCs w:val="24"/>
        </w:rPr>
        <w:t xml:space="preserve"> </w:t>
      </w:r>
      <w:r w:rsidRPr="00AD7D03" w:rsidR="00815FF7">
        <w:rPr>
          <w:szCs w:val="24"/>
        </w:rPr>
        <w:t xml:space="preserve">Over </w:t>
      </w:r>
      <w:r w:rsidRPr="00AD7D03">
        <w:rPr>
          <w:szCs w:val="24"/>
        </w:rPr>
        <w:t>2 million workers are covered by collective bargaining contracts, which provide for increases in wage rates based on increases in the CPI.</w:t>
      </w:r>
      <w:r w:rsidRPr="00AD7D03" w:rsidR="0032049C">
        <w:rPr>
          <w:szCs w:val="24"/>
        </w:rPr>
        <w:t xml:space="preserve"> </w:t>
      </w:r>
      <w:r w:rsidRPr="00AD7D03" w:rsidR="00F11CD9">
        <w:rPr>
          <w:szCs w:val="24"/>
        </w:rPr>
        <w:t xml:space="preserve">At least </w:t>
      </w:r>
      <w:r w:rsidR="00895353">
        <w:rPr>
          <w:szCs w:val="24"/>
        </w:rPr>
        <w:t>fifteen</w:t>
      </w:r>
      <w:r w:rsidRPr="00AD7D03" w:rsidR="00895353">
        <w:rPr>
          <w:szCs w:val="24"/>
        </w:rPr>
        <w:t xml:space="preserve"> </w:t>
      </w:r>
      <w:r w:rsidRPr="00AD7D03">
        <w:rPr>
          <w:szCs w:val="24"/>
        </w:rPr>
        <w:t>states have laws that link the adjustment in state minimum wage to the changes in the CPI.</w:t>
      </w:r>
      <w:r w:rsidRPr="00AD7D03" w:rsidR="0032049C">
        <w:rPr>
          <w:szCs w:val="24"/>
        </w:rPr>
        <w:t xml:space="preserve"> </w:t>
      </w:r>
      <w:r w:rsidRPr="00076D02" w:rsidR="00815FF7">
        <w:rPr>
          <w:szCs w:val="24"/>
        </w:rPr>
        <w:t xml:space="preserve">The index affects the income of </w:t>
      </w:r>
      <w:r w:rsidRPr="00076D02" w:rsidR="0015541F">
        <w:rPr>
          <w:szCs w:val="24"/>
        </w:rPr>
        <w:t xml:space="preserve">more </w:t>
      </w:r>
      <w:r w:rsidRPr="00076D02" w:rsidR="00A939A8">
        <w:rPr>
          <w:szCs w:val="24"/>
        </w:rPr>
        <w:t xml:space="preserve">than </w:t>
      </w:r>
      <w:r w:rsidR="00A939A8">
        <w:rPr>
          <w:szCs w:val="24"/>
        </w:rPr>
        <w:t>100</w:t>
      </w:r>
      <w:r w:rsidRPr="00076D02" w:rsidR="0015541F">
        <w:rPr>
          <w:szCs w:val="24"/>
        </w:rPr>
        <w:t xml:space="preserve"> </w:t>
      </w:r>
      <w:r w:rsidRPr="00076D02" w:rsidR="00815FF7">
        <w:rPr>
          <w:szCs w:val="24"/>
        </w:rPr>
        <w:t xml:space="preserve">million people </w:t>
      </w:r>
      <w:r w:rsidRPr="00076D02" w:rsidR="00815FF7">
        <w:rPr>
          <w:szCs w:val="24"/>
        </w:rPr>
        <w:t>as a result of</w:t>
      </w:r>
      <w:r w:rsidRPr="00076D02" w:rsidR="00815FF7">
        <w:rPr>
          <w:szCs w:val="24"/>
        </w:rPr>
        <w:t xml:space="preserve"> statutory action: </w:t>
      </w:r>
      <w:r w:rsidRPr="00076D02" w:rsidR="0015541F">
        <w:rPr>
          <w:szCs w:val="24"/>
        </w:rPr>
        <w:t xml:space="preserve">over 65 </w:t>
      </w:r>
      <w:r w:rsidRPr="00076D02" w:rsidR="00815FF7">
        <w:rPr>
          <w:szCs w:val="24"/>
        </w:rPr>
        <w:t>million Social Security beneficiaries</w:t>
      </w:r>
      <w:r w:rsidRPr="00076D02" w:rsidR="00020F0E">
        <w:rPr>
          <w:szCs w:val="24"/>
        </w:rPr>
        <w:t xml:space="preserve"> </w:t>
      </w:r>
      <w:r w:rsidRPr="00076D02" w:rsidR="00815FF7">
        <w:rPr>
          <w:szCs w:val="24"/>
        </w:rPr>
        <w:t xml:space="preserve">and </w:t>
      </w:r>
      <w:r w:rsidRPr="00076D02" w:rsidR="0015541F">
        <w:rPr>
          <w:szCs w:val="24"/>
        </w:rPr>
        <w:t xml:space="preserve">over </w:t>
      </w:r>
      <w:r w:rsidR="000F322D">
        <w:rPr>
          <w:szCs w:val="24"/>
        </w:rPr>
        <w:t>41</w:t>
      </w:r>
      <w:r w:rsidRPr="00076D02" w:rsidR="00815FF7">
        <w:rPr>
          <w:szCs w:val="24"/>
        </w:rPr>
        <w:t xml:space="preserve"> million </w:t>
      </w:r>
      <w:r w:rsidRPr="00076D02" w:rsidR="0015541F">
        <w:rPr>
          <w:szCs w:val="24"/>
        </w:rPr>
        <w:t xml:space="preserve">Supplemental Nutrition Assistance </w:t>
      </w:r>
      <w:r w:rsidRPr="00076D02" w:rsidR="001A625A">
        <w:rPr>
          <w:szCs w:val="24"/>
        </w:rPr>
        <w:t>Program</w:t>
      </w:r>
      <w:r w:rsidRPr="00076D02" w:rsidR="0015541F">
        <w:rPr>
          <w:szCs w:val="24"/>
        </w:rPr>
        <w:t xml:space="preserve"> (SNAP) </w:t>
      </w:r>
      <w:r w:rsidRPr="00076D02" w:rsidR="00815FF7">
        <w:rPr>
          <w:szCs w:val="24"/>
        </w:rPr>
        <w:t>recipients</w:t>
      </w:r>
      <w:r w:rsidRPr="00076D02" w:rsidR="0015541F">
        <w:rPr>
          <w:szCs w:val="24"/>
        </w:rPr>
        <w:t>, among other programs</w:t>
      </w:r>
      <w:r w:rsidRPr="00076D02" w:rsidR="00815FF7">
        <w:rPr>
          <w:szCs w:val="24"/>
        </w:rPr>
        <w:t xml:space="preserve">. Changes in the CPI also affect the cost of lunches for </w:t>
      </w:r>
      <w:r w:rsidRPr="00076D02" w:rsidR="0015541F">
        <w:rPr>
          <w:szCs w:val="24"/>
        </w:rPr>
        <w:t xml:space="preserve">over </w:t>
      </w:r>
      <w:r w:rsidRPr="00076D02" w:rsidR="00A77537">
        <w:rPr>
          <w:szCs w:val="24"/>
        </w:rPr>
        <w:t>30</w:t>
      </w:r>
      <w:r w:rsidRPr="00076D02" w:rsidR="00815FF7">
        <w:rPr>
          <w:szCs w:val="24"/>
        </w:rPr>
        <w:t xml:space="preserve"> million children who eat lunch at school</w:t>
      </w:r>
      <w:r w:rsidRPr="00076D02" w:rsidR="0015541F">
        <w:rPr>
          <w:szCs w:val="24"/>
        </w:rPr>
        <w:t xml:space="preserve"> as part of the National School Lunch Program (NSLP)</w:t>
      </w:r>
      <w:r w:rsidRPr="00076D02" w:rsidR="00815FF7">
        <w:rPr>
          <w:szCs w:val="24"/>
        </w:rPr>
        <w:t>.</w:t>
      </w:r>
      <w:r w:rsidRPr="00076D02" w:rsidR="0032049C">
        <w:rPr>
          <w:szCs w:val="24"/>
        </w:rPr>
        <w:t xml:space="preserve"> </w:t>
      </w:r>
      <w:r w:rsidRPr="00AD7D03">
        <w:rPr>
          <w:szCs w:val="24"/>
        </w:rPr>
        <w:t xml:space="preserve">Under the National School Lunch Act and Child Nutrition Act, national average payments for those lunches and breakfasts are adjusted annually by the Secretary of Agriculture </w:t>
      </w:r>
      <w:r w:rsidRPr="00AD7D03">
        <w:rPr>
          <w:szCs w:val="24"/>
        </w:rPr>
        <w:t>on the basis of</w:t>
      </w:r>
      <w:r w:rsidRPr="00AD7D03">
        <w:rPr>
          <w:szCs w:val="24"/>
        </w:rPr>
        <w:t xml:space="preserve"> the change in the CPI series, "Food away from Home."</w:t>
      </w:r>
      <w:r w:rsidRPr="00AD7D03" w:rsidR="0032049C">
        <w:rPr>
          <w:szCs w:val="24"/>
        </w:rPr>
        <w:t xml:space="preserve"> </w:t>
      </w:r>
      <w:r w:rsidRPr="00076D02" w:rsidR="0015541F">
        <w:rPr>
          <w:szCs w:val="24"/>
        </w:rPr>
        <w:t>Many private firms and individuals use the CPI to keep rents, royalties, alimony payments and child support payments in line with changing prices.</w:t>
      </w:r>
      <w:r w:rsidRPr="00076D02" w:rsidR="0015541F">
        <w:rPr>
          <w:rFonts w:ascii="Garamond" w:hAnsi="Garamond"/>
          <w:szCs w:val="24"/>
        </w:rPr>
        <w:t xml:space="preserve"> </w:t>
      </w:r>
      <w:r w:rsidRPr="00AD7D03">
        <w:rPr>
          <w:szCs w:val="24"/>
        </w:rPr>
        <w:t>Since 1985, the CPI has been used to adjust the Federal income tax structure to prevent inflation-induced tax rate increases.</w:t>
      </w:r>
    </w:p>
    <w:p w:rsidR="001945BD" w:rsidRPr="00AD7D03" w14:paraId="7F038156" w14:textId="77777777">
      <w:pPr>
        <w:spacing w:line="240" w:lineRule="exact"/>
        <w:rPr>
          <w:szCs w:val="24"/>
        </w:rPr>
      </w:pPr>
    </w:p>
    <w:p w:rsidR="001945BD" w:rsidRPr="001A625A" w14:paraId="61116D59" w14:textId="6F352A08">
      <w:pPr>
        <w:numPr>
          <w:ilvl w:val="0"/>
          <w:numId w:val="4"/>
        </w:numPr>
        <w:spacing w:line="240" w:lineRule="exact"/>
        <w:rPr>
          <w:szCs w:val="24"/>
        </w:rPr>
      </w:pPr>
      <w:r w:rsidRPr="00D53DE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rPr>
        <w:t>.</w:t>
      </w:r>
    </w:p>
    <w:p w:rsidR="001945BD" w:rsidRPr="001A625A" w:rsidP="0030196B" w14:paraId="749CE80A" w14:textId="77777777">
      <w:pPr>
        <w:spacing w:line="240" w:lineRule="exact"/>
        <w:rPr>
          <w:szCs w:val="24"/>
        </w:rPr>
      </w:pPr>
    </w:p>
    <w:p w:rsidR="00877FCF" w:rsidRPr="00877FCF" w:rsidP="00877FCF" w14:paraId="02AD1FEA" w14:textId="648A55E8">
      <w:pPr>
        <w:spacing w:line="240" w:lineRule="exact"/>
        <w:rPr>
          <w:szCs w:val="24"/>
        </w:rPr>
      </w:pPr>
      <w:r w:rsidRPr="001A625A">
        <w:rPr>
          <w:szCs w:val="24"/>
        </w:rPr>
        <w:t xml:space="preserve">Trained BLS </w:t>
      </w:r>
      <w:r w:rsidRPr="001A625A" w:rsidR="00DF42F0">
        <w:rPr>
          <w:szCs w:val="24"/>
        </w:rPr>
        <w:t>E</w:t>
      </w:r>
      <w:r w:rsidRPr="001A625A">
        <w:rPr>
          <w:szCs w:val="24"/>
        </w:rPr>
        <w:t xml:space="preserve">conomic </w:t>
      </w:r>
      <w:r w:rsidRPr="001A625A" w:rsidR="00DF42F0">
        <w:rPr>
          <w:szCs w:val="24"/>
        </w:rPr>
        <w:t>A</w:t>
      </w:r>
      <w:r w:rsidRPr="001A625A">
        <w:rPr>
          <w:szCs w:val="24"/>
        </w:rPr>
        <w:t>ssistants collect all data by</w:t>
      </w:r>
      <w:r w:rsidRPr="001A625A" w:rsidR="00D773C4">
        <w:rPr>
          <w:szCs w:val="24"/>
        </w:rPr>
        <w:t xml:space="preserve"> </w:t>
      </w:r>
      <w:r w:rsidRPr="001A625A" w:rsidR="003F4C67">
        <w:rPr>
          <w:szCs w:val="24"/>
        </w:rPr>
        <w:t>one of the following methods</w:t>
      </w:r>
      <w:r w:rsidRPr="001A625A">
        <w:rPr>
          <w:szCs w:val="24"/>
        </w:rPr>
        <w:t>: (1) visiting the retail outlets</w:t>
      </w:r>
      <w:r w:rsidR="000F2080">
        <w:rPr>
          <w:szCs w:val="24"/>
        </w:rPr>
        <w:t xml:space="preserve"> and service providers</w:t>
      </w:r>
      <w:r w:rsidRPr="001A625A">
        <w:rPr>
          <w:szCs w:val="24"/>
        </w:rPr>
        <w:t xml:space="preserve"> (which include brick and mortar, catalogs, and websites) and collecting data without any respondent assistance, (2) visiting the retail outlets </w:t>
      </w:r>
      <w:r w:rsidR="000F2080">
        <w:rPr>
          <w:szCs w:val="24"/>
        </w:rPr>
        <w:t>and service providers</w:t>
      </w:r>
      <w:r w:rsidR="00C119BA">
        <w:rPr>
          <w:szCs w:val="24"/>
        </w:rPr>
        <w:t>,</w:t>
      </w:r>
      <w:r w:rsidR="000F2080">
        <w:rPr>
          <w:szCs w:val="24"/>
        </w:rPr>
        <w:t xml:space="preserve"> </w:t>
      </w:r>
      <w:r w:rsidRPr="001A625A">
        <w:rPr>
          <w:szCs w:val="24"/>
        </w:rPr>
        <w:t>and collecting data that are provided orally by a respondent, (3) contacting the respondent by telephone</w:t>
      </w:r>
      <w:r w:rsidR="009F0435">
        <w:rPr>
          <w:szCs w:val="24"/>
        </w:rPr>
        <w:t xml:space="preserve"> or video call</w:t>
      </w:r>
      <w:r w:rsidRPr="001A625A">
        <w:rPr>
          <w:szCs w:val="24"/>
        </w:rPr>
        <w:t xml:space="preserve"> to collect data,</w:t>
      </w:r>
      <w:r w:rsidRPr="001A625A" w:rsidR="00184441">
        <w:rPr>
          <w:szCs w:val="24"/>
        </w:rPr>
        <w:t xml:space="preserve"> (4) </w:t>
      </w:r>
      <w:r w:rsidR="005852EB">
        <w:rPr>
          <w:szCs w:val="24"/>
        </w:rPr>
        <w:t>using</w:t>
      </w:r>
      <w:r w:rsidRPr="001A625A" w:rsidR="005852EB">
        <w:rPr>
          <w:szCs w:val="24"/>
        </w:rPr>
        <w:t xml:space="preserve"> </w:t>
      </w:r>
      <w:r w:rsidRPr="001A625A" w:rsidR="00184441">
        <w:rPr>
          <w:szCs w:val="24"/>
        </w:rPr>
        <w:t>email</w:t>
      </w:r>
      <w:r w:rsidR="000D3706">
        <w:rPr>
          <w:szCs w:val="24"/>
        </w:rPr>
        <w:t xml:space="preserve">, with </w:t>
      </w:r>
      <w:r w:rsidRPr="00A939A8" w:rsidR="000D3706">
        <w:rPr>
          <w:szCs w:val="24"/>
        </w:rPr>
        <w:t>or</w:t>
      </w:r>
      <w:r w:rsidR="000D3706">
        <w:rPr>
          <w:szCs w:val="24"/>
        </w:rPr>
        <w:t xml:space="preserve"> without a shuttle </w:t>
      </w:r>
      <w:r w:rsidR="00B62605">
        <w:rPr>
          <w:szCs w:val="24"/>
        </w:rPr>
        <w:t>form</w:t>
      </w:r>
      <w:r>
        <w:rPr>
          <w:rStyle w:val="FootnoteReference"/>
          <w:szCs w:val="24"/>
        </w:rPr>
        <w:footnoteReference w:id="2"/>
      </w:r>
      <w:r w:rsidR="00B62605">
        <w:rPr>
          <w:szCs w:val="24"/>
        </w:rPr>
        <w:t>,</w:t>
      </w:r>
      <w:r w:rsidRPr="001A625A" w:rsidR="00B62605">
        <w:rPr>
          <w:szCs w:val="24"/>
        </w:rPr>
        <w:t xml:space="preserve"> when</w:t>
      </w:r>
      <w:r w:rsidRPr="001A625A" w:rsidR="003F4C67">
        <w:rPr>
          <w:szCs w:val="24"/>
        </w:rPr>
        <w:t xml:space="preserve"> requested by the respondent</w:t>
      </w:r>
      <w:r w:rsidRPr="001A625A" w:rsidR="00184441">
        <w:rPr>
          <w:szCs w:val="24"/>
        </w:rPr>
        <w:t>, or (5) accessing price data from the outlet’s website</w:t>
      </w:r>
      <w:r w:rsidRPr="001A625A" w:rsidR="003F4C67">
        <w:rPr>
          <w:szCs w:val="24"/>
        </w:rPr>
        <w:t xml:space="preserve"> when requested by the respondent</w:t>
      </w:r>
      <w:r w:rsidRPr="001A625A" w:rsidR="00184441">
        <w:rPr>
          <w:szCs w:val="24"/>
        </w:rPr>
        <w:t>.</w:t>
      </w:r>
      <w:r w:rsidR="0032049C">
        <w:rPr>
          <w:szCs w:val="24"/>
        </w:rPr>
        <w:t xml:space="preserve"> </w:t>
      </w:r>
      <w:r w:rsidRPr="001A625A" w:rsidR="00184441">
        <w:rPr>
          <w:szCs w:val="24"/>
        </w:rPr>
        <w:t xml:space="preserve">In all cases, the collection of data is completed by BLS employees </w:t>
      </w:r>
      <w:r w:rsidR="000D3706">
        <w:rPr>
          <w:szCs w:val="24"/>
        </w:rPr>
        <w:t>and respondents are provided a shuttle form upon request as part of refusal avoidance strategies</w:t>
      </w:r>
      <w:r w:rsidRPr="001A625A" w:rsidR="00184441">
        <w:rPr>
          <w:szCs w:val="24"/>
        </w:rPr>
        <w:t>.</w:t>
      </w:r>
      <w:r w:rsidR="0032049C">
        <w:rPr>
          <w:szCs w:val="24"/>
        </w:rPr>
        <w:t xml:space="preserve"> </w:t>
      </w:r>
      <w:r w:rsidRPr="00877FCF">
        <w:rPr>
          <w:szCs w:val="24"/>
        </w:rPr>
        <w:t xml:space="preserve">A small number of items are priced by national office staff from data supplied by vendors; for example, new cars and trucks are priced using data from the Power Information Network – PIN, a business division of J.D. Power and Associates. </w:t>
      </w:r>
      <w:r w:rsidR="000F322D">
        <w:rPr>
          <w:szCs w:val="24"/>
        </w:rPr>
        <w:t xml:space="preserve">The </w:t>
      </w:r>
      <w:r w:rsidRPr="00877FCF">
        <w:rPr>
          <w:szCs w:val="24"/>
        </w:rPr>
        <w:t xml:space="preserve">BLS </w:t>
      </w:r>
      <w:r w:rsidR="000F322D">
        <w:rPr>
          <w:szCs w:val="24"/>
        </w:rPr>
        <w:t>uses</w:t>
      </w:r>
      <w:r w:rsidRPr="00877FCF">
        <w:rPr>
          <w:szCs w:val="24"/>
        </w:rPr>
        <w:t xml:space="preserve"> gasoline transaction data from a mobile application (app) company and new vehicle transaction data that has been purchased from an automotive data analytics company.  In March 2016, one corporation began submitting prescription drug transaction data directly to the CPI.  In March 2019, another corporation began sending transaction data for mostly apparel and household items </w:t>
      </w:r>
      <w:r w:rsidRPr="00877FCF">
        <w:rPr>
          <w:szCs w:val="24"/>
        </w:rPr>
        <w:t>by Secure File Transfer Protocol (SFTP). </w:t>
      </w:r>
      <w:r w:rsidR="000F322D">
        <w:rPr>
          <w:szCs w:val="24"/>
        </w:rPr>
        <w:t xml:space="preserve">The </w:t>
      </w:r>
      <w:r w:rsidRPr="00877FCF">
        <w:rPr>
          <w:szCs w:val="24"/>
        </w:rPr>
        <w:t xml:space="preserve">BLS is in the process of incorporating medical claims data in the indexes for physicians’ services and hospital services. </w:t>
      </w:r>
    </w:p>
    <w:p w:rsidR="00184441" w:rsidRPr="001A625A" w:rsidP="00C92E5B" w14:paraId="119D43C1" w14:textId="438E97BE">
      <w:pPr>
        <w:spacing w:line="240" w:lineRule="exact"/>
        <w:rPr>
          <w:szCs w:val="24"/>
        </w:rPr>
      </w:pPr>
    </w:p>
    <w:p w:rsidR="001945BD" w:rsidRPr="001A625A" w:rsidP="00C92E5B" w14:paraId="129A6787" w14:textId="62345432">
      <w:pPr>
        <w:spacing w:line="240" w:lineRule="exact"/>
        <w:rPr>
          <w:szCs w:val="24"/>
        </w:rPr>
      </w:pPr>
      <w:r w:rsidRPr="001A625A">
        <w:rPr>
          <w:szCs w:val="24"/>
        </w:rPr>
        <w:t xml:space="preserve"> </w:t>
      </w:r>
    </w:p>
    <w:p w:rsidR="001945BD" w:rsidRPr="001A625A" w:rsidP="00C92E5B" w14:paraId="48825CBE" w14:textId="116B032E">
      <w:pPr>
        <w:spacing w:line="240" w:lineRule="exact"/>
        <w:rPr>
          <w:szCs w:val="24"/>
        </w:rPr>
      </w:pPr>
      <w:r w:rsidRPr="001A625A">
        <w:rPr>
          <w:szCs w:val="24"/>
        </w:rPr>
        <w:t>The BLS uses a computer assisted data collection (CADC) method for initiating and pricing the commodities and services (C&amp;S) part of the CPI program.</w:t>
      </w:r>
      <w:r w:rsidR="0032049C">
        <w:rPr>
          <w:szCs w:val="24"/>
        </w:rPr>
        <w:t xml:space="preserve"> </w:t>
      </w:r>
      <w:r w:rsidRPr="001A625A">
        <w:rPr>
          <w:szCs w:val="24"/>
        </w:rPr>
        <w:t xml:space="preserve">This CADC technology enables BLS employees to collect data in a structured way that promotes the accuracy of collected </w:t>
      </w:r>
      <w:r w:rsidRPr="001A625A" w:rsidR="001A625A">
        <w:rPr>
          <w:szCs w:val="24"/>
        </w:rPr>
        <w:t>data and</w:t>
      </w:r>
      <w:r w:rsidRPr="001A625A">
        <w:rPr>
          <w:szCs w:val="24"/>
        </w:rPr>
        <w:t xml:space="preserve"> ensures that the security of the data is maintained through tracked electronic transmission.</w:t>
      </w:r>
      <w:r w:rsidR="0032049C">
        <w:rPr>
          <w:szCs w:val="24"/>
        </w:rPr>
        <w:t xml:space="preserve"> </w:t>
      </w:r>
      <w:r w:rsidRPr="001A625A">
        <w:rPr>
          <w:szCs w:val="24"/>
        </w:rPr>
        <w:t>There are no respondent record-keeping requirements associated with the CADC method.</w:t>
      </w:r>
      <w:r w:rsidR="0032049C">
        <w:rPr>
          <w:szCs w:val="24"/>
        </w:rPr>
        <w:t xml:space="preserve"> </w:t>
      </w:r>
      <w:r w:rsidRPr="001A625A">
        <w:rPr>
          <w:szCs w:val="24"/>
        </w:rPr>
        <w:t xml:space="preserve">BLS </w:t>
      </w:r>
      <w:r w:rsidRPr="001A625A" w:rsidR="00CF7969">
        <w:rPr>
          <w:szCs w:val="24"/>
        </w:rPr>
        <w:t>Economic Assistants</w:t>
      </w:r>
      <w:r w:rsidRPr="001A625A">
        <w:rPr>
          <w:szCs w:val="24"/>
        </w:rPr>
        <w:t xml:space="preserve"> perform all data collection and record keeping.</w:t>
      </w:r>
      <w:r w:rsidR="0032049C">
        <w:rPr>
          <w:szCs w:val="24"/>
        </w:rPr>
        <w:t xml:space="preserve"> </w:t>
      </w:r>
    </w:p>
    <w:p w:rsidR="001945BD" w:rsidRPr="001A625A" w:rsidP="00C92E5B" w14:paraId="4C2CAF6D" w14:textId="77777777">
      <w:pPr>
        <w:spacing w:line="240" w:lineRule="exact"/>
        <w:rPr>
          <w:szCs w:val="24"/>
        </w:rPr>
      </w:pPr>
    </w:p>
    <w:p w:rsidR="001945BD" w:rsidRPr="001A625A" w:rsidP="00C92E5B" w14:paraId="6952D099" w14:textId="28BEE200">
      <w:pPr>
        <w:spacing w:line="240" w:lineRule="exact"/>
        <w:rPr>
          <w:szCs w:val="24"/>
        </w:rPr>
      </w:pPr>
      <w:r>
        <w:rPr>
          <w:szCs w:val="24"/>
        </w:rPr>
        <w:t xml:space="preserve">The </w:t>
      </w:r>
      <w:r w:rsidRPr="001A625A" w:rsidR="009A1544">
        <w:rPr>
          <w:szCs w:val="24"/>
        </w:rPr>
        <w:t xml:space="preserve">BLS </w:t>
      </w:r>
      <w:r w:rsidRPr="001A625A" w:rsidR="00D046DD">
        <w:rPr>
          <w:szCs w:val="24"/>
        </w:rPr>
        <w:t>uses</w:t>
      </w:r>
      <w:r w:rsidRPr="001A625A" w:rsidR="009A1544">
        <w:rPr>
          <w:szCs w:val="24"/>
        </w:rPr>
        <w:t xml:space="preserve"> </w:t>
      </w:r>
      <w:r w:rsidRPr="001A625A" w:rsidR="005E473E">
        <w:rPr>
          <w:szCs w:val="24"/>
        </w:rPr>
        <w:t>encrypted</w:t>
      </w:r>
      <w:r w:rsidRPr="001A625A" w:rsidR="00524419">
        <w:rPr>
          <w:szCs w:val="24"/>
        </w:rPr>
        <w:t xml:space="preserve"> </w:t>
      </w:r>
      <w:r w:rsidR="000F2080">
        <w:rPr>
          <w:szCs w:val="24"/>
        </w:rPr>
        <w:t xml:space="preserve">tablet </w:t>
      </w:r>
      <w:r w:rsidRPr="001A625A" w:rsidR="009A1544">
        <w:rPr>
          <w:szCs w:val="24"/>
        </w:rPr>
        <w:t>computers for data collection.</w:t>
      </w:r>
      <w:r w:rsidR="0032049C">
        <w:rPr>
          <w:szCs w:val="24"/>
        </w:rPr>
        <w:t xml:space="preserve"> </w:t>
      </w:r>
      <w:r w:rsidRPr="001A625A" w:rsidR="009A1544">
        <w:rPr>
          <w:szCs w:val="24"/>
        </w:rPr>
        <w:t>T</w:t>
      </w:r>
      <w:r w:rsidRPr="001A625A">
        <w:rPr>
          <w:szCs w:val="24"/>
        </w:rPr>
        <w:t>here is an electronic manual with the procedures for selecting and subsequently pricing items using the CADC instrument.</w:t>
      </w:r>
      <w:r w:rsidR="0032049C">
        <w:rPr>
          <w:szCs w:val="24"/>
        </w:rPr>
        <w:t xml:space="preserve"> </w:t>
      </w:r>
      <w:r w:rsidRPr="001A625A">
        <w:rPr>
          <w:szCs w:val="24"/>
        </w:rPr>
        <w:t xml:space="preserve">The C&amp;S items for which data are collected with the CADC instrument represent approximately </w:t>
      </w:r>
      <w:r w:rsidRPr="001A625A" w:rsidR="00B3522A">
        <w:rPr>
          <w:szCs w:val="24"/>
        </w:rPr>
        <w:t>6</w:t>
      </w:r>
      <w:r w:rsidR="0074129D">
        <w:rPr>
          <w:szCs w:val="24"/>
        </w:rPr>
        <w:t>7</w:t>
      </w:r>
      <w:r w:rsidRPr="001A625A" w:rsidR="00504B62">
        <w:rPr>
          <w:szCs w:val="24"/>
        </w:rPr>
        <w:t>%</w:t>
      </w:r>
      <w:r w:rsidRPr="001A625A">
        <w:rPr>
          <w:szCs w:val="24"/>
        </w:rPr>
        <w:t xml:space="preserve"> of the expenditures included in the CPI, the other </w:t>
      </w:r>
      <w:r w:rsidRPr="001A625A" w:rsidR="00B3522A">
        <w:rPr>
          <w:szCs w:val="24"/>
        </w:rPr>
        <w:t>3</w:t>
      </w:r>
      <w:r w:rsidR="0074129D">
        <w:rPr>
          <w:szCs w:val="24"/>
        </w:rPr>
        <w:t>3</w:t>
      </w:r>
      <w:r w:rsidRPr="001A625A" w:rsidR="00504B62">
        <w:rPr>
          <w:szCs w:val="24"/>
        </w:rPr>
        <w:t>%</w:t>
      </w:r>
      <w:r w:rsidRPr="001A625A">
        <w:rPr>
          <w:szCs w:val="24"/>
        </w:rPr>
        <w:t xml:space="preserve"> being represented by the two housing components, residential </w:t>
      </w:r>
      <w:r w:rsidRPr="001A625A" w:rsidR="001A625A">
        <w:rPr>
          <w:szCs w:val="24"/>
        </w:rPr>
        <w:t>rent,</w:t>
      </w:r>
      <w:r w:rsidRPr="001A625A">
        <w:rPr>
          <w:szCs w:val="24"/>
        </w:rPr>
        <w:t xml:space="preserve"> and owner</w:t>
      </w:r>
      <w:r w:rsidRPr="001A625A" w:rsidR="00437B7E">
        <w:rPr>
          <w:szCs w:val="24"/>
        </w:rPr>
        <w:t>s</w:t>
      </w:r>
      <w:r w:rsidRPr="001A625A">
        <w:rPr>
          <w:szCs w:val="24"/>
        </w:rPr>
        <w:t>’ equivalent rent.</w:t>
      </w:r>
    </w:p>
    <w:p w:rsidR="001945BD" w:rsidRPr="001A625A" w:rsidP="00C92E5B" w14:paraId="29195BEB" w14:textId="77777777">
      <w:pPr>
        <w:spacing w:line="240" w:lineRule="exact"/>
        <w:rPr>
          <w:szCs w:val="24"/>
        </w:rPr>
      </w:pPr>
    </w:p>
    <w:p w:rsidR="001945BD" w:rsidRPr="001A625A" w:rsidP="00C92E5B" w14:paraId="4CE81425" w14:textId="11E48AE4">
      <w:pPr>
        <w:spacing w:line="240" w:lineRule="exact"/>
        <w:rPr>
          <w:szCs w:val="24"/>
        </w:rPr>
      </w:pPr>
      <w:r w:rsidRPr="001A625A">
        <w:rPr>
          <w:szCs w:val="24"/>
        </w:rPr>
        <w:t xml:space="preserve">Because data </w:t>
      </w:r>
      <w:r w:rsidRPr="001A625A" w:rsidR="00074D6D">
        <w:rPr>
          <w:szCs w:val="24"/>
        </w:rPr>
        <w:t xml:space="preserve">are </w:t>
      </w:r>
      <w:r w:rsidRPr="001A625A">
        <w:rPr>
          <w:szCs w:val="24"/>
        </w:rPr>
        <w:t>collected with the CADC instrument there are no forms or form numbers.</w:t>
      </w:r>
      <w:r w:rsidR="0032049C">
        <w:rPr>
          <w:szCs w:val="24"/>
        </w:rPr>
        <w:t xml:space="preserve"> </w:t>
      </w:r>
      <w:r w:rsidRPr="001A625A">
        <w:rPr>
          <w:szCs w:val="24"/>
        </w:rPr>
        <w:t>Copies of the current CADC instrument ‘screen shot forms’ are attached</w:t>
      </w:r>
      <w:r w:rsidRPr="001A625A" w:rsidR="0048088B">
        <w:rPr>
          <w:szCs w:val="24"/>
        </w:rPr>
        <w:t xml:space="preserve"> (Attachment A)</w:t>
      </w:r>
      <w:r w:rsidRPr="001A625A">
        <w:rPr>
          <w:szCs w:val="24"/>
        </w:rPr>
        <w:t>.</w:t>
      </w:r>
      <w:r w:rsidR="0032049C">
        <w:rPr>
          <w:szCs w:val="24"/>
        </w:rPr>
        <w:t xml:space="preserve"> </w:t>
      </w:r>
    </w:p>
    <w:p w:rsidR="001945BD" w:rsidRPr="001A625A" w14:paraId="7E59BE1B" w14:textId="77777777">
      <w:pPr>
        <w:spacing w:line="240" w:lineRule="exact"/>
        <w:ind w:left="720"/>
        <w:rPr>
          <w:szCs w:val="24"/>
          <w:u w:val="single"/>
        </w:rPr>
      </w:pPr>
    </w:p>
    <w:p w:rsidR="001945BD" w:rsidRPr="001A625A" w14:paraId="53DF1CE0" w14:textId="77777777">
      <w:pPr>
        <w:spacing w:line="240" w:lineRule="exact"/>
        <w:rPr>
          <w:szCs w:val="24"/>
        </w:rPr>
      </w:pPr>
      <w:r w:rsidRPr="001A625A">
        <w:rPr>
          <w:szCs w:val="24"/>
        </w:rPr>
        <w:t xml:space="preserve">The specific CADC Screen capture snapshots are: </w:t>
      </w:r>
    </w:p>
    <w:p w:rsidR="001945BD" w:rsidRPr="001A625A" w14:paraId="31639C03" w14:textId="77777777">
      <w:pPr>
        <w:spacing w:line="240" w:lineRule="exact"/>
        <w:rPr>
          <w:szCs w:val="24"/>
        </w:rPr>
      </w:pPr>
      <w:r w:rsidRPr="001A625A">
        <w:rPr>
          <w:szCs w:val="24"/>
        </w:rPr>
        <w:tab/>
      </w:r>
    </w:p>
    <w:p w:rsidR="0074129D" w:rsidRPr="0074129D" w:rsidP="0074129D" w14:paraId="73807784" w14:textId="3892A25C">
      <w:pPr>
        <w:spacing w:line="240" w:lineRule="exact"/>
        <w:ind w:left="720"/>
        <w:rPr>
          <w:szCs w:val="24"/>
        </w:rPr>
      </w:pPr>
      <w:r w:rsidRPr="0074129D">
        <w:rPr>
          <w:szCs w:val="24"/>
          <w:u w:val="single"/>
        </w:rPr>
        <w:t>The Group Messages tab</w:t>
      </w:r>
      <w:r w:rsidRPr="0074129D">
        <w:rPr>
          <w:szCs w:val="24"/>
        </w:rPr>
        <w:t xml:space="preserve"> - This screen contains outlet system messages, e.g., personal visit required, Live Schedule Review (LSR), and Live Schedule Review Kickback (LSR KB) messages and their responses that are being sent out to the collection staff. </w:t>
      </w:r>
    </w:p>
    <w:p w:rsidR="001945BD" w:rsidRPr="0074129D" w14:paraId="1A4D5B10" w14:textId="77777777">
      <w:pPr>
        <w:spacing w:line="240" w:lineRule="exact"/>
        <w:ind w:firstLine="720"/>
        <w:rPr>
          <w:szCs w:val="24"/>
        </w:rPr>
      </w:pPr>
    </w:p>
    <w:p w:rsidR="0074129D" w:rsidRPr="0074129D" w:rsidP="0074129D" w14:paraId="13CE8D57" w14:textId="01996145">
      <w:pPr>
        <w:spacing w:line="240" w:lineRule="exact"/>
        <w:ind w:left="720"/>
        <w:rPr>
          <w:szCs w:val="24"/>
        </w:rPr>
      </w:pPr>
      <w:r w:rsidRPr="0074129D">
        <w:rPr>
          <w:szCs w:val="24"/>
          <w:u w:val="single"/>
        </w:rPr>
        <w:t>The Group Location tab</w:t>
      </w:r>
      <w:r w:rsidRPr="0074129D">
        <w:rPr>
          <w:szCs w:val="24"/>
        </w:rPr>
        <w:t xml:space="preserve"> – This screen identifies the outlet name, type</w:t>
      </w:r>
      <w:r w:rsidR="00AD7D03">
        <w:rPr>
          <w:szCs w:val="24"/>
        </w:rPr>
        <w:t>,</w:t>
      </w:r>
      <w:r w:rsidRPr="0074129D">
        <w:rPr>
          <w:szCs w:val="24"/>
        </w:rPr>
        <w:t xml:space="preserve"> address, city, state, </w:t>
      </w:r>
      <w:r w:rsidR="008C770A">
        <w:rPr>
          <w:szCs w:val="24"/>
        </w:rPr>
        <w:t xml:space="preserve">ZIP </w:t>
      </w:r>
      <w:r w:rsidR="00AD7D03">
        <w:rPr>
          <w:szCs w:val="24"/>
        </w:rPr>
        <w:t>Code</w:t>
      </w:r>
      <w:r w:rsidRPr="0074129D">
        <w:rPr>
          <w:szCs w:val="24"/>
        </w:rPr>
        <w:t>, telephone number, shopping center, cross street, and type of business information.</w:t>
      </w:r>
    </w:p>
    <w:p w:rsidR="0074129D" w:rsidRPr="0074129D" w:rsidP="0074129D" w14:paraId="76110AFC" w14:textId="77777777">
      <w:pPr>
        <w:spacing w:line="240" w:lineRule="exact"/>
        <w:ind w:firstLine="720"/>
        <w:rPr>
          <w:szCs w:val="24"/>
        </w:rPr>
      </w:pPr>
    </w:p>
    <w:p w:rsidR="0074129D" w:rsidRPr="0074129D" w:rsidP="0074129D" w14:paraId="06DF5139" w14:textId="78D4FB65">
      <w:pPr>
        <w:spacing w:line="240" w:lineRule="exact"/>
        <w:ind w:left="720"/>
        <w:rPr>
          <w:szCs w:val="24"/>
        </w:rPr>
      </w:pPr>
      <w:r w:rsidRPr="0074129D">
        <w:rPr>
          <w:szCs w:val="24"/>
          <w:u w:val="single"/>
        </w:rPr>
        <w:t>The Group Contact Info tab</w:t>
      </w:r>
      <w:r w:rsidRPr="0074129D">
        <w:rPr>
          <w:szCs w:val="24"/>
        </w:rPr>
        <w:t xml:space="preserve"> – This screen identifies the preferred contact time, respondent, respondent information, instructions specifically related to the outlet, outlet sequence, and outlet wild card which provides a way to organize the order of schedules to </w:t>
      </w:r>
      <w:r w:rsidR="00AA5A2B">
        <w:rPr>
          <w:szCs w:val="24"/>
        </w:rPr>
        <w:t>enable</w:t>
      </w:r>
      <w:r w:rsidRPr="0074129D">
        <w:rPr>
          <w:szCs w:val="24"/>
        </w:rPr>
        <w:t xml:space="preserve"> efficient collection. </w:t>
      </w:r>
    </w:p>
    <w:p w:rsidR="0074129D" w:rsidRPr="0074129D" w:rsidP="0074129D" w14:paraId="403BABEF" w14:textId="77777777">
      <w:pPr>
        <w:spacing w:line="240" w:lineRule="exact"/>
        <w:ind w:firstLine="720"/>
        <w:rPr>
          <w:szCs w:val="24"/>
        </w:rPr>
      </w:pPr>
    </w:p>
    <w:p w:rsidR="0074129D" w:rsidRPr="0074129D" w:rsidP="0074129D" w14:paraId="4C3FBA74" w14:textId="2D6107AC">
      <w:pPr>
        <w:spacing w:line="240" w:lineRule="exact"/>
        <w:ind w:left="720"/>
        <w:rPr>
          <w:szCs w:val="24"/>
        </w:rPr>
      </w:pPr>
      <w:r w:rsidRPr="0074129D">
        <w:rPr>
          <w:szCs w:val="24"/>
          <w:u w:val="single"/>
        </w:rPr>
        <w:t>The Group Authorizing Official/</w:t>
      </w:r>
      <w:r w:rsidRPr="00A939A8">
        <w:rPr>
          <w:szCs w:val="24"/>
          <w:u w:val="single"/>
        </w:rPr>
        <w:t>COC</w:t>
      </w:r>
      <w:r w:rsidRPr="0074129D">
        <w:rPr>
          <w:szCs w:val="24"/>
          <w:u w:val="single"/>
        </w:rPr>
        <w:t xml:space="preserve"> tab</w:t>
      </w:r>
      <w:r w:rsidRPr="0074129D">
        <w:rPr>
          <w:szCs w:val="24"/>
        </w:rPr>
        <w:t xml:space="preserve"> – This screen contains the name of the authorizing official, their address, city, state, and telephone number, plus the COC Status and COC Instructions for</w:t>
      </w:r>
      <w:r>
        <w:rPr>
          <w:szCs w:val="24"/>
        </w:rPr>
        <w:t xml:space="preserve"> </w:t>
      </w:r>
      <w:r w:rsidRPr="0074129D">
        <w:rPr>
          <w:szCs w:val="24"/>
        </w:rPr>
        <w:t>the group.</w:t>
      </w:r>
    </w:p>
    <w:p w:rsidR="0074129D" w:rsidRPr="0074129D" w:rsidP="0074129D" w14:paraId="43E0CAAF" w14:textId="77777777">
      <w:pPr>
        <w:spacing w:line="240" w:lineRule="exact"/>
        <w:ind w:firstLine="720"/>
        <w:rPr>
          <w:szCs w:val="24"/>
        </w:rPr>
      </w:pPr>
    </w:p>
    <w:p w:rsidR="0074129D" w:rsidRPr="0074129D" w:rsidP="0074129D" w14:paraId="21CC6D8C" w14:textId="77777777">
      <w:pPr>
        <w:spacing w:line="240" w:lineRule="exact"/>
        <w:ind w:left="720"/>
        <w:rPr>
          <w:szCs w:val="24"/>
        </w:rPr>
      </w:pPr>
      <w:r w:rsidRPr="0074129D">
        <w:rPr>
          <w:szCs w:val="24"/>
          <w:u w:val="single"/>
        </w:rPr>
        <w:t>The Quote Messages tab</w:t>
      </w:r>
      <w:r w:rsidRPr="0074129D">
        <w:rPr>
          <w:szCs w:val="24"/>
        </w:rPr>
        <w:t xml:space="preserve"> – This screen contains messages from the Washington Office (WO) - Commodity Analyst (CA) message, e.g., “WO requests that you please update description for code from A1 to A2”; System Messages, e.g., “Include applicable taxes in reported price”; and Field Messages, e.g., “Price change due to new ownership.”</w:t>
      </w:r>
    </w:p>
    <w:p w:rsidR="0074129D" w:rsidRPr="0074129D" w:rsidP="0074129D" w14:paraId="3A9362C2" w14:textId="77777777">
      <w:pPr>
        <w:spacing w:line="240" w:lineRule="exact"/>
        <w:ind w:firstLine="720"/>
        <w:rPr>
          <w:szCs w:val="24"/>
        </w:rPr>
      </w:pPr>
    </w:p>
    <w:p w:rsidR="0074129D" w:rsidRPr="0074129D" w:rsidP="0074129D" w14:paraId="43409095" w14:textId="25311222">
      <w:pPr>
        <w:spacing w:line="240" w:lineRule="exact"/>
        <w:ind w:left="720"/>
        <w:rPr>
          <w:szCs w:val="24"/>
        </w:rPr>
      </w:pPr>
      <w:r w:rsidRPr="0074129D">
        <w:rPr>
          <w:szCs w:val="24"/>
          <w:u w:val="single"/>
        </w:rPr>
        <w:t>The Quote Respondent/Location/Seasonal Information tab</w:t>
      </w:r>
      <w:r w:rsidRPr="0074129D">
        <w:rPr>
          <w:szCs w:val="24"/>
        </w:rPr>
        <w:t xml:space="preserve"> – This screen contains the respondent’s name and location/department, quote sequence number, </w:t>
      </w:r>
      <w:r w:rsidR="008C770A">
        <w:rPr>
          <w:szCs w:val="24"/>
        </w:rPr>
        <w:t>I</w:t>
      </w:r>
      <w:r w:rsidRPr="0074129D" w:rsidR="008C770A">
        <w:rPr>
          <w:szCs w:val="24"/>
        </w:rPr>
        <w:t xml:space="preserve">ndex </w:t>
      </w:r>
      <w:r w:rsidRPr="0074129D" w:rsidR="00E430F8">
        <w:rPr>
          <w:szCs w:val="24"/>
        </w:rPr>
        <w:t xml:space="preserve">Primary Sampling Unit </w:t>
      </w:r>
      <w:r w:rsidR="008C770A">
        <w:rPr>
          <w:szCs w:val="24"/>
        </w:rPr>
        <w:t>(</w:t>
      </w:r>
      <w:r w:rsidRPr="0074129D">
        <w:rPr>
          <w:szCs w:val="24"/>
        </w:rPr>
        <w:t>PSU</w:t>
      </w:r>
      <w:r w:rsidR="008C770A">
        <w:rPr>
          <w:szCs w:val="24"/>
        </w:rPr>
        <w:t>)</w:t>
      </w:r>
      <w:r w:rsidRPr="0074129D">
        <w:rPr>
          <w:szCs w:val="24"/>
        </w:rPr>
        <w:t xml:space="preserve"> </w:t>
      </w:r>
      <w:r w:rsidR="008C770A">
        <w:rPr>
          <w:szCs w:val="24"/>
        </w:rPr>
        <w:t>G</w:t>
      </w:r>
      <w:r w:rsidR="00E430F8">
        <w:rPr>
          <w:szCs w:val="24"/>
        </w:rPr>
        <w:t>roup</w:t>
      </w:r>
      <w:r w:rsidRPr="0074129D">
        <w:rPr>
          <w:szCs w:val="24"/>
        </w:rPr>
        <w:t xml:space="preserve">, </w:t>
      </w:r>
      <w:r w:rsidR="008C770A">
        <w:rPr>
          <w:szCs w:val="24"/>
        </w:rPr>
        <w:t>I</w:t>
      </w:r>
      <w:r w:rsidRPr="0074129D">
        <w:rPr>
          <w:szCs w:val="24"/>
        </w:rPr>
        <w:t>ndex PSU, and unique item season.</w:t>
      </w:r>
    </w:p>
    <w:p w:rsidR="001945BD" w:rsidRPr="001A625A" w14:paraId="741D6D33" w14:textId="77777777">
      <w:pPr>
        <w:spacing w:line="240" w:lineRule="exact"/>
        <w:ind w:firstLine="720"/>
        <w:rPr>
          <w:szCs w:val="24"/>
        </w:rPr>
      </w:pPr>
    </w:p>
    <w:p w:rsidR="001945BD" w:rsidRPr="001A625A" w:rsidP="00F52AD8" w14:paraId="27F32D66" w14:textId="77777777">
      <w:pPr>
        <w:spacing w:line="240" w:lineRule="exact"/>
        <w:ind w:left="720"/>
        <w:rPr>
          <w:szCs w:val="24"/>
        </w:rPr>
      </w:pPr>
      <w:r w:rsidRPr="001A625A">
        <w:rPr>
          <w:szCs w:val="24"/>
          <w:u w:val="single"/>
        </w:rPr>
        <w:t>The Quote Action/Description tab</w:t>
      </w:r>
      <w:r w:rsidRPr="001A625A">
        <w:rPr>
          <w:szCs w:val="24"/>
        </w:rPr>
        <w:t xml:space="preserve"> – This screen describes the characteristics of the priced item.</w:t>
      </w:r>
    </w:p>
    <w:p w:rsidR="001945BD" w:rsidRPr="001A625A" w14:paraId="37215CE0" w14:textId="77777777">
      <w:pPr>
        <w:spacing w:line="240" w:lineRule="exact"/>
        <w:ind w:firstLine="720"/>
        <w:rPr>
          <w:szCs w:val="24"/>
        </w:rPr>
      </w:pPr>
    </w:p>
    <w:p w:rsidR="001945BD" w:rsidRPr="001A625A" w:rsidP="00023B32" w14:paraId="6A92A5F0" w14:textId="59C7AD54">
      <w:pPr>
        <w:spacing w:line="240" w:lineRule="exact"/>
        <w:ind w:left="720"/>
        <w:rPr>
          <w:szCs w:val="24"/>
        </w:rPr>
      </w:pPr>
      <w:r w:rsidRPr="001A625A">
        <w:rPr>
          <w:szCs w:val="24"/>
          <w:u w:val="single"/>
        </w:rPr>
        <w:t>The Quote Price tab</w:t>
      </w:r>
      <w:r w:rsidRPr="001A625A">
        <w:rPr>
          <w:szCs w:val="24"/>
        </w:rPr>
        <w:t xml:space="preserve"> – This screen contains the collected price and price adjunct</w:t>
      </w:r>
      <w:r w:rsidRPr="001A625A" w:rsidR="00477BEB">
        <w:rPr>
          <w:szCs w:val="24"/>
        </w:rPr>
        <w:t>s</w:t>
      </w:r>
      <w:r w:rsidRPr="001A625A">
        <w:rPr>
          <w:szCs w:val="24"/>
        </w:rPr>
        <w:t>, e.g.</w:t>
      </w:r>
      <w:r w:rsidRPr="001A625A" w:rsidR="00EC4B75">
        <w:rPr>
          <w:szCs w:val="24"/>
        </w:rPr>
        <w:t>,</w:t>
      </w:r>
      <w:r w:rsidRPr="001A625A">
        <w:rPr>
          <w:szCs w:val="24"/>
        </w:rPr>
        <w:t xml:space="preserve"> size values.</w:t>
      </w:r>
    </w:p>
    <w:p w:rsidR="001945BD" w:rsidRPr="001A625A" w14:paraId="16F4DB21" w14:textId="77777777">
      <w:pPr>
        <w:spacing w:line="240" w:lineRule="exact"/>
        <w:ind w:firstLine="720"/>
        <w:rPr>
          <w:szCs w:val="24"/>
        </w:rPr>
      </w:pPr>
    </w:p>
    <w:p w:rsidR="001945BD" w:rsidRPr="001A625A" w:rsidP="00F52AD8" w14:paraId="4A874CE4" w14:textId="5C516347">
      <w:pPr>
        <w:spacing w:line="240" w:lineRule="exact"/>
        <w:ind w:left="720"/>
        <w:rPr>
          <w:szCs w:val="24"/>
        </w:rPr>
      </w:pPr>
      <w:r w:rsidRPr="001A625A">
        <w:rPr>
          <w:szCs w:val="24"/>
          <w:u w:val="single"/>
        </w:rPr>
        <w:t>The Quote Corrections tab</w:t>
      </w:r>
      <w:r w:rsidRPr="001A625A">
        <w:rPr>
          <w:szCs w:val="24"/>
        </w:rPr>
        <w:t xml:space="preserve"> - This screen contains the effective date and reported corrections to previously collected price and price adjunct values, e.g.</w:t>
      </w:r>
      <w:r w:rsidRPr="001A625A" w:rsidR="00EC4B75">
        <w:rPr>
          <w:szCs w:val="24"/>
        </w:rPr>
        <w:t>,</w:t>
      </w:r>
      <w:r w:rsidRPr="001A625A">
        <w:rPr>
          <w:szCs w:val="24"/>
        </w:rPr>
        <w:t xml:space="preserve"> size.</w:t>
      </w:r>
    </w:p>
    <w:p w:rsidR="001945BD" w:rsidRPr="001A625A" w14:paraId="439DA0BE" w14:textId="77777777">
      <w:pPr>
        <w:spacing w:line="240" w:lineRule="exact"/>
        <w:ind w:firstLine="720"/>
        <w:rPr>
          <w:szCs w:val="24"/>
        </w:rPr>
      </w:pPr>
    </w:p>
    <w:p w:rsidR="001945BD" w:rsidRPr="001A625A" w:rsidP="00F52AD8" w14:paraId="112C71AB" w14:textId="6A3AD1E5">
      <w:pPr>
        <w:spacing w:line="240" w:lineRule="exact"/>
        <w:ind w:left="720"/>
        <w:rPr>
          <w:szCs w:val="24"/>
        </w:rPr>
      </w:pPr>
      <w:r w:rsidRPr="001A625A">
        <w:rPr>
          <w:szCs w:val="24"/>
          <w:u w:val="single"/>
        </w:rPr>
        <w:t xml:space="preserve">The </w:t>
      </w:r>
      <w:r w:rsidR="00E430F8">
        <w:rPr>
          <w:szCs w:val="24"/>
          <w:u w:val="single"/>
        </w:rPr>
        <w:t>Entry</w:t>
      </w:r>
      <w:r w:rsidRPr="001A625A" w:rsidR="00E430F8">
        <w:rPr>
          <w:szCs w:val="24"/>
          <w:u w:val="single"/>
        </w:rPr>
        <w:t xml:space="preserve"> </w:t>
      </w:r>
      <w:r w:rsidRPr="001A625A">
        <w:rPr>
          <w:szCs w:val="24"/>
          <w:u w:val="single"/>
        </w:rPr>
        <w:t>Level Item (ELI) Checklist screen</w:t>
      </w:r>
      <w:r w:rsidRPr="001A625A">
        <w:rPr>
          <w:szCs w:val="24"/>
        </w:rPr>
        <w:t xml:space="preserve"> – </w:t>
      </w:r>
      <w:r w:rsidRPr="001A625A" w:rsidR="00074D6D">
        <w:rPr>
          <w:szCs w:val="24"/>
        </w:rPr>
        <w:t>This screen contains the complete range of specifications needed to describe a unique item within an ELI.</w:t>
      </w:r>
      <w:r w:rsidR="0032049C">
        <w:rPr>
          <w:szCs w:val="24"/>
        </w:rPr>
        <w:t xml:space="preserve"> </w:t>
      </w:r>
      <w:r w:rsidRPr="001A625A" w:rsidR="00074D6D">
        <w:rPr>
          <w:szCs w:val="24"/>
        </w:rPr>
        <w:t>This screen is used to record initiations, re</w:t>
      </w:r>
      <w:r w:rsidRPr="001A625A" w:rsidR="001A625A">
        <w:rPr>
          <w:szCs w:val="24"/>
        </w:rPr>
        <w:t>-</w:t>
      </w:r>
      <w:r w:rsidRPr="001A625A" w:rsidR="00074D6D">
        <w:rPr>
          <w:szCs w:val="24"/>
        </w:rPr>
        <w:t>initiations, substitutions, changes to current item descriptions, and redescriptions associated with revised checklists.</w:t>
      </w:r>
    </w:p>
    <w:p w:rsidR="001945BD" w:rsidRPr="001A625A" w:rsidP="00F52AD8" w14:paraId="71115C06" w14:textId="77777777">
      <w:pPr>
        <w:spacing w:line="240" w:lineRule="exact"/>
        <w:ind w:left="720"/>
        <w:rPr>
          <w:szCs w:val="24"/>
          <w:u w:val="single"/>
        </w:rPr>
      </w:pPr>
    </w:p>
    <w:p w:rsidR="001945BD" w:rsidRPr="001A625A" w:rsidP="00023B32" w14:paraId="392A1EBF" w14:textId="07A50B7A">
      <w:pPr>
        <w:spacing w:line="240" w:lineRule="exact"/>
        <w:ind w:left="720"/>
        <w:rPr>
          <w:szCs w:val="24"/>
        </w:rPr>
      </w:pPr>
      <w:r w:rsidRPr="001A625A">
        <w:rPr>
          <w:szCs w:val="24"/>
          <w:u w:val="single"/>
        </w:rPr>
        <w:t>The ELI Info screen</w:t>
      </w:r>
      <w:r w:rsidRPr="001A625A">
        <w:rPr>
          <w:szCs w:val="24"/>
        </w:rPr>
        <w:t xml:space="preserve"> – This screen contains ELI-specific instructions associated with each ELI Checklist.</w:t>
      </w:r>
    </w:p>
    <w:p w:rsidR="001945BD" w:rsidRPr="001A625A" w:rsidP="00293663" w14:paraId="1FEA6A18" w14:textId="77777777">
      <w:pPr>
        <w:pStyle w:val="Header"/>
        <w:tabs>
          <w:tab w:val="clear" w:pos="4320"/>
          <w:tab w:val="clear" w:pos="8640"/>
        </w:tabs>
        <w:spacing w:line="240" w:lineRule="exact"/>
        <w:ind w:left="720"/>
        <w:rPr>
          <w:szCs w:val="24"/>
        </w:rPr>
      </w:pPr>
    </w:p>
    <w:p w:rsidR="001945BD" w:rsidRPr="001A625A" w:rsidP="00023B32" w14:paraId="114F1D90" w14:textId="4F8A95B6">
      <w:pPr>
        <w:pStyle w:val="Header"/>
        <w:tabs>
          <w:tab w:val="clear" w:pos="4320"/>
          <w:tab w:val="clear" w:pos="8640"/>
        </w:tabs>
        <w:spacing w:line="240" w:lineRule="exact"/>
        <w:ind w:left="720"/>
        <w:rPr>
          <w:szCs w:val="24"/>
        </w:rPr>
      </w:pPr>
      <w:r w:rsidRPr="001A625A">
        <w:rPr>
          <w:szCs w:val="24"/>
          <w:u w:val="single"/>
        </w:rPr>
        <w:t>The Disaggregation Utility screen</w:t>
      </w:r>
      <w:r w:rsidRPr="001A625A">
        <w:rPr>
          <w:szCs w:val="24"/>
        </w:rPr>
        <w:t xml:space="preserve"> – This screen is where measures of sales data are entered when disaggregating to a unique item.</w:t>
      </w:r>
    </w:p>
    <w:p w:rsidR="001945BD" w:rsidRPr="001A625A" w14:paraId="232DD549" w14:textId="77777777">
      <w:pPr>
        <w:pStyle w:val="Header"/>
        <w:tabs>
          <w:tab w:val="clear" w:pos="4320"/>
          <w:tab w:val="clear" w:pos="8640"/>
        </w:tabs>
        <w:spacing w:line="240" w:lineRule="exact"/>
        <w:ind w:firstLine="720"/>
        <w:rPr>
          <w:szCs w:val="24"/>
        </w:rPr>
      </w:pPr>
    </w:p>
    <w:p w:rsidR="001945BD" w:rsidRPr="001A625A" w:rsidP="00023B32" w14:paraId="2590EBB7" w14:textId="3F959478">
      <w:pPr>
        <w:pStyle w:val="Header"/>
        <w:tabs>
          <w:tab w:val="clear" w:pos="4320"/>
          <w:tab w:val="clear" w:pos="8640"/>
        </w:tabs>
        <w:spacing w:line="240" w:lineRule="exact"/>
        <w:ind w:left="720"/>
        <w:rPr>
          <w:szCs w:val="24"/>
        </w:rPr>
      </w:pPr>
      <w:r w:rsidRPr="001A625A">
        <w:rPr>
          <w:szCs w:val="24"/>
          <w:u w:val="single"/>
        </w:rPr>
        <w:t>The Selling Season Worksheet screen</w:t>
      </w:r>
      <w:r w:rsidRPr="001A625A">
        <w:rPr>
          <w:szCs w:val="24"/>
        </w:rPr>
        <w:t xml:space="preserve"> – This screen contains the months assigned to each of the two seasonal periods for quotes </w:t>
      </w:r>
      <w:r w:rsidR="00C119BA">
        <w:rPr>
          <w:szCs w:val="24"/>
        </w:rPr>
        <w:t>which fall</w:t>
      </w:r>
      <w:r w:rsidRPr="001A625A" w:rsidR="00C119BA">
        <w:rPr>
          <w:szCs w:val="24"/>
        </w:rPr>
        <w:t xml:space="preserve"> </w:t>
      </w:r>
      <w:r w:rsidRPr="001A625A">
        <w:rPr>
          <w:szCs w:val="24"/>
        </w:rPr>
        <w:t>in the 31 Washington Office Designated</w:t>
      </w:r>
      <w:r w:rsidRPr="001A625A" w:rsidR="00023B32">
        <w:rPr>
          <w:szCs w:val="24"/>
        </w:rPr>
        <w:t xml:space="preserve"> </w:t>
      </w:r>
      <w:r w:rsidRPr="001A625A">
        <w:rPr>
          <w:szCs w:val="24"/>
        </w:rPr>
        <w:t xml:space="preserve">Seasonal (WODS) ELIs. </w:t>
      </w:r>
    </w:p>
    <w:p w:rsidR="001945BD" w:rsidP="009E3BD4" w14:paraId="43AF83C0" w14:textId="423F3BAD">
      <w:pPr>
        <w:spacing w:line="240" w:lineRule="exact"/>
        <w:rPr>
          <w:szCs w:val="24"/>
        </w:rPr>
      </w:pPr>
    </w:p>
    <w:p w:rsidR="00473937" w:rsidP="00473937" w14:paraId="4F221627" w14:textId="7331A444">
      <w:pPr>
        <w:spacing w:line="240" w:lineRule="exact"/>
        <w:rPr>
          <w:szCs w:val="24"/>
        </w:rPr>
      </w:pPr>
      <w:r w:rsidRPr="00322403">
        <w:rPr>
          <w:szCs w:val="24"/>
        </w:rPr>
        <w:t xml:space="preserve">As has been past practice, but especially during the COVID-19 pandemic, the top priority of the CPI program </w:t>
      </w:r>
      <w:r w:rsidR="0073096F">
        <w:rPr>
          <w:szCs w:val="24"/>
        </w:rPr>
        <w:t>was</w:t>
      </w:r>
      <w:r w:rsidRPr="00322403">
        <w:rPr>
          <w:szCs w:val="24"/>
        </w:rPr>
        <w:t xml:space="preserve"> the health, safety, and well-being of all staff.  </w:t>
      </w:r>
      <w:r w:rsidRPr="00322403" w:rsidR="00FD52AD">
        <w:rPr>
          <w:szCs w:val="24"/>
        </w:rPr>
        <w:t>To</w:t>
      </w:r>
      <w:r w:rsidRPr="00322403">
        <w:rPr>
          <w:szCs w:val="24"/>
        </w:rPr>
        <w:t xml:space="preserve"> ensure the safety of data collection staff, personal visit data collection for the C&amp;S survey </w:t>
      </w:r>
      <w:r>
        <w:rPr>
          <w:szCs w:val="24"/>
        </w:rPr>
        <w:t>was</w:t>
      </w:r>
      <w:r w:rsidRPr="00322403">
        <w:rPr>
          <w:szCs w:val="24"/>
        </w:rPr>
        <w:t xml:space="preserve"> suspended and personal visit collection burden </w:t>
      </w:r>
      <w:r>
        <w:rPr>
          <w:szCs w:val="24"/>
        </w:rPr>
        <w:t>was</w:t>
      </w:r>
      <w:r w:rsidRPr="00322403">
        <w:rPr>
          <w:szCs w:val="24"/>
        </w:rPr>
        <w:t xml:space="preserve"> reduced to zero</w:t>
      </w:r>
      <w:r>
        <w:rPr>
          <w:szCs w:val="24"/>
        </w:rPr>
        <w:t xml:space="preserve"> from </w:t>
      </w:r>
      <w:r w:rsidR="0073096F">
        <w:rPr>
          <w:szCs w:val="24"/>
        </w:rPr>
        <w:t>mid-March 2020</w:t>
      </w:r>
      <w:r>
        <w:rPr>
          <w:szCs w:val="24"/>
        </w:rPr>
        <w:t xml:space="preserve"> to </w:t>
      </w:r>
      <w:r w:rsidRPr="00B62605" w:rsidR="00D52F17">
        <w:rPr>
          <w:szCs w:val="24"/>
        </w:rPr>
        <w:t>February 2022</w:t>
      </w:r>
      <w:r w:rsidRPr="00B62605">
        <w:rPr>
          <w:szCs w:val="24"/>
        </w:rPr>
        <w:t>.</w:t>
      </w:r>
      <w:r w:rsidRPr="00322403">
        <w:rPr>
          <w:szCs w:val="24"/>
        </w:rPr>
        <w:t> </w:t>
      </w:r>
      <w:r w:rsidR="00D52F17">
        <w:rPr>
          <w:szCs w:val="24"/>
        </w:rPr>
        <w:t xml:space="preserve">During this </w:t>
      </w:r>
      <w:r w:rsidR="00D52F17">
        <w:rPr>
          <w:szCs w:val="24"/>
        </w:rPr>
        <w:t>time period</w:t>
      </w:r>
      <w:r w:rsidR="003C39CB">
        <w:rPr>
          <w:szCs w:val="24"/>
        </w:rPr>
        <w:t>,</w:t>
      </w:r>
      <w:r w:rsidR="00D52F17">
        <w:rPr>
          <w:szCs w:val="24"/>
        </w:rPr>
        <w:t xml:space="preserve"> d</w:t>
      </w:r>
      <w:r w:rsidRPr="00322403">
        <w:rPr>
          <w:szCs w:val="24"/>
        </w:rPr>
        <w:t xml:space="preserve">ata </w:t>
      </w:r>
      <w:r>
        <w:rPr>
          <w:szCs w:val="24"/>
        </w:rPr>
        <w:t>were</w:t>
      </w:r>
      <w:r w:rsidRPr="00322403">
        <w:rPr>
          <w:szCs w:val="24"/>
        </w:rPr>
        <w:t xml:space="preserve"> </w:t>
      </w:r>
      <w:r w:rsidR="00C119BA">
        <w:rPr>
          <w:szCs w:val="24"/>
        </w:rPr>
        <w:t>collected</w:t>
      </w:r>
      <w:r w:rsidRPr="00322403" w:rsidR="00C119BA">
        <w:rPr>
          <w:szCs w:val="24"/>
        </w:rPr>
        <w:t xml:space="preserve"> </w:t>
      </w:r>
      <w:r w:rsidRPr="00322403">
        <w:rPr>
          <w:szCs w:val="24"/>
        </w:rPr>
        <w:t>via telephone, email, internet</w:t>
      </w:r>
      <w:r w:rsidR="0098224E">
        <w:rPr>
          <w:szCs w:val="24"/>
        </w:rPr>
        <w:t>, and video</w:t>
      </w:r>
      <w:r w:rsidRPr="00322403">
        <w:rPr>
          <w:szCs w:val="24"/>
        </w:rPr>
        <w:t>.</w:t>
      </w:r>
      <w:r w:rsidR="0098224E">
        <w:rPr>
          <w:szCs w:val="24"/>
        </w:rPr>
        <w:t xml:space="preserve"> </w:t>
      </w:r>
      <w:r w:rsidR="003C39CB">
        <w:rPr>
          <w:szCs w:val="24"/>
        </w:rPr>
        <w:t>Beginning</w:t>
      </w:r>
      <w:r w:rsidR="00D52F17">
        <w:rPr>
          <w:szCs w:val="24"/>
        </w:rPr>
        <w:t xml:space="preserve"> in March 2022, and f</w:t>
      </w:r>
      <w:r w:rsidR="0098224E">
        <w:rPr>
          <w:szCs w:val="24"/>
        </w:rPr>
        <w:t xml:space="preserve">ollowing guidance from the </w:t>
      </w:r>
      <w:r w:rsidR="003C39CB">
        <w:rPr>
          <w:szCs w:val="24"/>
        </w:rPr>
        <w:t>f</w:t>
      </w:r>
      <w:r w:rsidR="0098224E">
        <w:rPr>
          <w:szCs w:val="24"/>
        </w:rPr>
        <w:t xml:space="preserve">ederal, state, and local governments, data collection </w:t>
      </w:r>
      <w:r w:rsidR="00D52F17">
        <w:rPr>
          <w:szCs w:val="24"/>
        </w:rPr>
        <w:t xml:space="preserve">started </w:t>
      </w:r>
      <w:r w:rsidR="00C119BA">
        <w:rPr>
          <w:szCs w:val="24"/>
        </w:rPr>
        <w:t>resuming</w:t>
      </w:r>
      <w:r w:rsidR="0098224E">
        <w:rPr>
          <w:szCs w:val="24"/>
        </w:rPr>
        <w:t xml:space="preserve"> the use of personal visits. </w:t>
      </w:r>
      <w:r w:rsidR="00FD52AD">
        <w:rPr>
          <w:szCs w:val="24"/>
        </w:rPr>
        <w:t xml:space="preserve">The initial priority was on goods and services where collection was precluded due to temporary business closures or the </w:t>
      </w:r>
      <w:r w:rsidR="0053003A">
        <w:rPr>
          <w:szCs w:val="24"/>
        </w:rPr>
        <w:t xml:space="preserve">unavailability </w:t>
      </w:r>
      <w:r w:rsidR="00FD52AD">
        <w:rPr>
          <w:szCs w:val="24"/>
        </w:rPr>
        <w:t xml:space="preserve">of websites. </w:t>
      </w:r>
    </w:p>
    <w:p w:rsidR="003A7A5A" w:rsidP="00473937" w14:paraId="127C875E" w14:textId="6C882DF3">
      <w:pPr>
        <w:spacing w:line="240" w:lineRule="exact"/>
        <w:rPr>
          <w:szCs w:val="24"/>
        </w:rPr>
      </w:pPr>
    </w:p>
    <w:p w:rsidR="0073096F" w:rsidP="0073096F" w14:paraId="54464935" w14:textId="55E0B862">
      <w:pPr>
        <w:spacing w:line="240" w:lineRule="exact"/>
        <w:rPr>
          <w:szCs w:val="24"/>
        </w:rPr>
      </w:pPr>
      <w:r>
        <w:rPr>
          <w:szCs w:val="24"/>
        </w:rPr>
        <w:t xml:space="preserve">Should future circumstances warrant a suspension of personal visit collection to ensure </w:t>
      </w:r>
      <w:r w:rsidRPr="00322403">
        <w:rPr>
          <w:szCs w:val="24"/>
        </w:rPr>
        <w:t xml:space="preserve">the health, safety, and well-being of all </w:t>
      </w:r>
      <w:r>
        <w:rPr>
          <w:szCs w:val="24"/>
        </w:rPr>
        <w:t xml:space="preserve">CPI </w:t>
      </w:r>
      <w:r w:rsidRPr="00322403">
        <w:rPr>
          <w:szCs w:val="24"/>
        </w:rPr>
        <w:t>staff</w:t>
      </w:r>
      <w:r w:rsidR="00DE3413">
        <w:rPr>
          <w:szCs w:val="24"/>
        </w:rPr>
        <w:t>,</w:t>
      </w:r>
      <w:r>
        <w:rPr>
          <w:szCs w:val="24"/>
        </w:rPr>
        <w:t xml:space="preserve"> </w:t>
      </w:r>
      <w:r w:rsidR="00795739">
        <w:rPr>
          <w:szCs w:val="24"/>
        </w:rPr>
        <w:t xml:space="preserve">the program </w:t>
      </w:r>
      <w:r>
        <w:rPr>
          <w:szCs w:val="24"/>
        </w:rPr>
        <w:t>anticipate</w:t>
      </w:r>
      <w:r w:rsidR="00795739">
        <w:rPr>
          <w:szCs w:val="24"/>
        </w:rPr>
        <w:t>s</w:t>
      </w:r>
      <w:r>
        <w:rPr>
          <w:szCs w:val="24"/>
        </w:rPr>
        <w:t xml:space="preserve"> continuing d</w:t>
      </w:r>
      <w:r w:rsidRPr="00322403">
        <w:rPr>
          <w:szCs w:val="24"/>
        </w:rPr>
        <w:t xml:space="preserve">ata collection activities </w:t>
      </w:r>
      <w:r>
        <w:rPr>
          <w:szCs w:val="24"/>
        </w:rPr>
        <w:t xml:space="preserve">via the use of </w:t>
      </w:r>
      <w:r w:rsidRPr="00322403">
        <w:rPr>
          <w:szCs w:val="24"/>
        </w:rPr>
        <w:t>telephone, email, internet</w:t>
      </w:r>
      <w:r>
        <w:rPr>
          <w:szCs w:val="24"/>
        </w:rPr>
        <w:t>, and video</w:t>
      </w:r>
      <w:r w:rsidRPr="00322403">
        <w:rPr>
          <w:szCs w:val="24"/>
        </w:rPr>
        <w:t>. We will partner with respondents to determine how we transition back to personal visit collection</w:t>
      </w:r>
      <w:r w:rsidR="00DE3413">
        <w:rPr>
          <w:szCs w:val="24"/>
        </w:rPr>
        <w:t>,</w:t>
      </w:r>
      <w:r>
        <w:rPr>
          <w:szCs w:val="24"/>
        </w:rPr>
        <w:t xml:space="preserve"> </w:t>
      </w:r>
      <w:r w:rsidR="00DE3413">
        <w:rPr>
          <w:szCs w:val="24"/>
        </w:rPr>
        <w:t>and it</w:t>
      </w:r>
      <w:r>
        <w:rPr>
          <w:szCs w:val="24"/>
        </w:rPr>
        <w:t xml:space="preserve"> will be determined by the circumstances and policies in place at that time</w:t>
      </w:r>
      <w:r w:rsidRPr="00322403">
        <w:rPr>
          <w:szCs w:val="24"/>
        </w:rPr>
        <w:t>.</w:t>
      </w:r>
    </w:p>
    <w:p w:rsidR="0073096F" w:rsidP="00473937" w14:paraId="3F57B53E" w14:textId="77777777">
      <w:pPr>
        <w:spacing w:line="240" w:lineRule="exact"/>
        <w:rPr>
          <w:szCs w:val="24"/>
        </w:rPr>
      </w:pPr>
    </w:p>
    <w:p w:rsidR="003A7A5A" w:rsidRPr="00322403" w:rsidP="00B62605" w14:paraId="3F57C220" w14:textId="0261567C">
      <w:pPr>
        <w:jc w:val="center"/>
        <w:rPr>
          <w:bCs/>
          <w:color w:val="000000"/>
          <w:szCs w:val="24"/>
        </w:rPr>
      </w:pPr>
      <w:r>
        <w:rPr>
          <w:bCs/>
          <w:color w:val="000000"/>
          <w:szCs w:val="24"/>
        </w:rPr>
        <w:t xml:space="preserve">CPI C&amp;S survey </w:t>
      </w:r>
      <w:r w:rsidRPr="00322403">
        <w:rPr>
          <w:bCs/>
          <w:color w:val="000000"/>
          <w:szCs w:val="24"/>
        </w:rPr>
        <w:t>Collection Method During C</w:t>
      </w:r>
      <w:r w:rsidR="000F322D">
        <w:rPr>
          <w:bCs/>
          <w:color w:val="000000"/>
          <w:szCs w:val="24"/>
        </w:rPr>
        <w:t>OVID</w:t>
      </w:r>
      <w:r w:rsidRPr="00322403">
        <w:rPr>
          <w:bCs/>
          <w:color w:val="000000"/>
          <w:szCs w:val="24"/>
        </w:rPr>
        <w:t>-19</w:t>
      </w:r>
      <w:r>
        <w:rPr>
          <w:bCs/>
          <w:color w:val="000000"/>
          <w:szCs w:val="24"/>
        </w:rPr>
        <w:t xml:space="preserve"> Pandemic</w:t>
      </w:r>
      <w:r w:rsidR="00B62605">
        <w:rPr>
          <w:bCs/>
          <w:color w:val="000000"/>
          <w:szCs w:val="24"/>
        </w:rPr>
        <w:t>, percent of total</w:t>
      </w:r>
    </w:p>
    <w:p w:rsidR="003A7A5A" w:rsidP="00473937" w14:paraId="772542E8" w14:textId="77777777">
      <w:pPr>
        <w:spacing w:line="240" w:lineRule="exact"/>
        <w:rPr>
          <w:szCs w:val="24"/>
        </w:rPr>
      </w:pPr>
    </w:p>
    <w:tbl>
      <w:tblPr>
        <w:tblStyle w:val="GridTable2"/>
        <w:tblW w:w="0" w:type="auto"/>
        <w:jc w:val="center"/>
        <w:tblLook w:val="04A0"/>
      </w:tblPr>
      <w:tblGrid>
        <w:gridCol w:w="1034"/>
        <w:gridCol w:w="663"/>
        <w:gridCol w:w="1009"/>
        <w:gridCol w:w="1184"/>
        <w:gridCol w:w="820"/>
        <w:gridCol w:w="683"/>
      </w:tblGrid>
      <w:tr w14:paraId="5D1B0992" w14:textId="1F64A2C1" w:rsidTr="00A939A8">
        <w:tblPrEx>
          <w:tblW w:w="0" w:type="auto"/>
          <w:jc w:val="center"/>
          <w:tblLook w:val="04A0"/>
        </w:tblPrEx>
        <w:trPr>
          <w:jc w:val="center"/>
        </w:trPr>
        <w:tc>
          <w:tcPr>
            <w:tcW w:w="1034" w:type="dxa"/>
          </w:tcPr>
          <w:p w:rsidR="0053003A" w:rsidP="00502083" w14:paraId="5EEECF71" w14:textId="285CAA38">
            <w:pPr>
              <w:spacing w:line="240" w:lineRule="exact"/>
              <w:rPr>
                <w:szCs w:val="24"/>
              </w:rPr>
            </w:pPr>
            <w:r>
              <w:rPr>
                <w:rFonts w:ascii="Calibri" w:hAnsi="Calibri" w:cs="Calibri"/>
                <w:color w:val="000000"/>
                <w:sz w:val="22"/>
                <w:szCs w:val="22"/>
              </w:rPr>
              <w:t>Month</w:t>
            </w:r>
          </w:p>
        </w:tc>
        <w:tc>
          <w:tcPr>
            <w:tcW w:w="663" w:type="dxa"/>
          </w:tcPr>
          <w:p w:rsidR="0053003A" w:rsidP="00502083" w14:paraId="0A990256" w14:textId="05FAEEA7">
            <w:pPr>
              <w:spacing w:line="240" w:lineRule="exact"/>
              <w:rPr>
                <w:szCs w:val="24"/>
              </w:rPr>
            </w:pPr>
            <w:r>
              <w:rPr>
                <w:rFonts w:ascii="Calibri" w:hAnsi="Calibri" w:cs="Calibri"/>
                <w:color w:val="000000"/>
                <w:sz w:val="22"/>
                <w:szCs w:val="22"/>
              </w:rPr>
              <w:t>Year</w:t>
            </w:r>
          </w:p>
        </w:tc>
        <w:tc>
          <w:tcPr>
            <w:tcW w:w="1009" w:type="dxa"/>
          </w:tcPr>
          <w:p w:rsidR="0053003A" w:rsidP="00A939A8" w14:paraId="2AFB6061" w14:textId="06A23B03">
            <w:pPr>
              <w:spacing w:line="240" w:lineRule="exact"/>
              <w:jc w:val="center"/>
              <w:rPr>
                <w:szCs w:val="24"/>
              </w:rPr>
            </w:pPr>
            <w:r>
              <w:rPr>
                <w:rFonts w:ascii="Calibri" w:hAnsi="Calibri" w:cs="Calibri"/>
                <w:color w:val="000000"/>
                <w:sz w:val="22"/>
                <w:szCs w:val="22"/>
              </w:rPr>
              <w:t>Personal visit</w:t>
            </w:r>
          </w:p>
        </w:tc>
        <w:tc>
          <w:tcPr>
            <w:tcW w:w="1184" w:type="dxa"/>
          </w:tcPr>
          <w:p w:rsidR="0053003A" w:rsidP="00502083" w14:paraId="08AD397D" w14:textId="18BE9A5D">
            <w:pPr>
              <w:spacing w:line="240" w:lineRule="exact"/>
              <w:rPr>
                <w:szCs w:val="24"/>
              </w:rPr>
            </w:pPr>
            <w:r>
              <w:rPr>
                <w:rFonts w:ascii="Calibri" w:hAnsi="Calibri" w:cs="Calibri"/>
                <w:color w:val="000000"/>
                <w:sz w:val="22"/>
                <w:szCs w:val="22"/>
              </w:rPr>
              <w:t>Telephone</w:t>
            </w:r>
          </w:p>
        </w:tc>
        <w:tc>
          <w:tcPr>
            <w:tcW w:w="820" w:type="dxa"/>
          </w:tcPr>
          <w:p w:rsidR="0053003A" w:rsidP="00502083" w14:paraId="7883387D" w14:textId="6334A512">
            <w:pPr>
              <w:spacing w:line="240" w:lineRule="exact"/>
              <w:rPr>
                <w:szCs w:val="24"/>
              </w:rPr>
            </w:pPr>
            <w:r>
              <w:rPr>
                <w:rFonts w:ascii="Calibri" w:hAnsi="Calibri" w:cs="Calibri"/>
                <w:color w:val="000000"/>
                <w:sz w:val="22"/>
                <w:szCs w:val="22"/>
              </w:rPr>
              <w:t>Online</w:t>
            </w:r>
          </w:p>
        </w:tc>
        <w:tc>
          <w:tcPr>
            <w:tcW w:w="0" w:type="dxa"/>
          </w:tcPr>
          <w:p w:rsidR="0053003A" w:rsidP="00502083" w14:paraId="72C49203" w14:textId="7A8D732F">
            <w:pPr>
              <w:spacing w:line="240" w:lineRule="exact"/>
              <w:rPr>
                <w:rFonts w:ascii="Calibri" w:hAnsi="Calibri" w:cs="Calibri"/>
                <w:color w:val="000000"/>
                <w:sz w:val="22"/>
                <w:szCs w:val="22"/>
              </w:rPr>
            </w:pPr>
            <w:r>
              <w:rPr>
                <w:rFonts w:ascii="Calibri" w:hAnsi="Calibri" w:cs="Calibri"/>
                <w:color w:val="000000"/>
                <w:sz w:val="22"/>
                <w:szCs w:val="22"/>
              </w:rPr>
              <w:t>Total</w:t>
            </w:r>
          </w:p>
        </w:tc>
      </w:tr>
      <w:tr w14:paraId="6B8230C9" w14:textId="7A227D5D" w:rsidTr="00A939A8">
        <w:tblPrEx>
          <w:tblW w:w="0" w:type="auto"/>
          <w:jc w:val="center"/>
          <w:tblLook w:val="04A0"/>
        </w:tblPrEx>
        <w:trPr>
          <w:jc w:val="center"/>
        </w:trPr>
        <w:tc>
          <w:tcPr>
            <w:tcW w:w="1034" w:type="dxa"/>
          </w:tcPr>
          <w:p w:rsidR="0053003A" w:rsidP="00502083" w14:paraId="714B111C" w14:textId="75AD81B9">
            <w:pPr>
              <w:spacing w:line="240" w:lineRule="exact"/>
              <w:rPr>
                <w:szCs w:val="24"/>
              </w:rPr>
            </w:pPr>
            <w:r>
              <w:rPr>
                <w:rFonts w:ascii="Calibri" w:hAnsi="Calibri" w:cs="Calibri"/>
                <w:color w:val="000000"/>
                <w:sz w:val="22"/>
                <w:szCs w:val="22"/>
              </w:rPr>
              <w:t>February</w:t>
            </w:r>
          </w:p>
        </w:tc>
        <w:tc>
          <w:tcPr>
            <w:tcW w:w="663" w:type="dxa"/>
          </w:tcPr>
          <w:p w:rsidR="0053003A" w:rsidP="00A939A8" w14:paraId="67DC4EAA" w14:textId="1C567C69">
            <w:pPr>
              <w:spacing w:line="240" w:lineRule="exact"/>
              <w:jc w:val="right"/>
              <w:rPr>
                <w:szCs w:val="24"/>
              </w:rPr>
            </w:pPr>
            <w:r>
              <w:rPr>
                <w:rFonts w:ascii="Calibri" w:hAnsi="Calibri" w:cs="Calibri"/>
                <w:color w:val="000000"/>
                <w:sz w:val="22"/>
                <w:szCs w:val="22"/>
              </w:rPr>
              <w:t>2020</w:t>
            </w:r>
          </w:p>
        </w:tc>
        <w:tc>
          <w:tcPr>
            <w:tcW w:w="1009" w:type="dxa"/>
          </w:tcPr>
          <w:p w:rsidR="0053003A" w:rsidP="00A939A8" w14:paraId="09C2B464" w14:textId="3CEF98B1">
            <w:pPr>
              <w:spacing w:line="240" w:lineRule="exact"/>
              <w:jc w:val="right"/>
              <w:rPr>
                <w:szCs w:val="24"/>
              </w:rPr>
            </w:pPr>
            <w:r>
              <w:rPr>
                <w:rFonts w:ascii="Calibri" w:hAnsi="Calibri" w:cs="Calibri"/>
                <w:color w:val="000000"/>
                <w:sz w:val="22"/>
                <w:szCs w:val="22"/>
              </w:rPr>
              <w:t>72</w:t>
            </w:r>
          </w:p>
        </w:tc>
        <w:tc>
          <w:tcPr>
            <w:tcW w:w="1184" w:type="dxa"/>
          </w:tcPr>
          <w:p w:rsidR="0053003A" w:rsidP="00A939A8" w14:paraId="0D8F11A2" w14:textId="4EC1A241">
            <w:pPr>
              <w:spacing w:line="240" w:lineRule="exact"/>
              <w:jc w:val="right"/>
              <w:rPr>
                <w:szCs w:val="24"/>
              </w:rPr>
            </w:pPr>
            <w:r>
              <w:rPr>
                <w:rFonts w:ascii="Calibri" w:hAnsi="Calibri" w:cs="Calibri"/>
                <w:color w:val="000000"/>
                <w:sz w:val="22"/>
                <w:szCs w:val="22"/>
              </w:rPr>
              <w:t>10</w:t>
            </w:r>
          </w:p>
        </w:tc>
        <w:tc>
          <w:tcPr>
            <w:tcW w:w="820" w:type="dxa"/>
          </w:tcPr>
          <w:p w:rsidR="0053003A" w:rsidP="00A939A8" w14:paraId="44A43B42" w14:textId="757A7D4A">
            <w:pPr>
              <w:spacing w:line="240" w:lineRule="exact"/>
              <w:jc w:val="right"/>
              <w:rPr>
                <w:szCs w:val="24"/>
              </w:rPr>
            </w:pPr>
            <w:r>
              <w:rPr>
                <w:rFonts w:ascii="Calibri" w:hAnsi="Calibri" w:cs="Calibri"/>
                <w:color w:val="000000"/>
                <w:sz w:val="22"/>
                <w:szCs w:val="22"/>
              </w:rPr>
              <w:t>18</w:t>
            </w:r>
          </w:p>
        </w:tc>
        <w:tc>
          <w:tcPr>
            <w:tcW w:w="0" w:type="dxa"/>
          </w:tcPr>
          <w:p w:rsidR="0053003A" w:rsidP="00A939A8" w14:paraId="183057CB" w14:textId="682DE299">
            <w:pPr>
              <w:spacing w:line="240" w:lineRule="exact"/>
              <w:jc w:val="right"/>
              <w:rPr>
                <w:rFonts w:ascii="Calibri" w:hAnsi="Calibri" w:cs="Calibri"/>
                <w:color w:val="000000"/>
                <w:sz w:val="22"/>
                <w:szCs w:val="22"/>
              </w:rPr>
            </w:pPr>
            <w:r>
              <w:rPr>
                <w:rFonts w:ascii="Calibri" w:hAnsi="Calibri" w:cs="Calibri"/>
                <w:color w:val="000000"/>
                <w:sz w:val="22"/>
                <w:szCs w:val="22"/>
              </w:rPr>
              <w:t>100</w:t>
            </w:r>
          </w:p>
        </w:tc>
      </w:tr>
      <w:tr w14:paraId="49C1286A" w14:textId="11A4B5BB" w:rsidTr="00A939A8">
        <w:tblPrEx>
          <w:tblW w:w="0" w:type="auto"/>
          <w:jc w:val="center"/>
          <w:tblLook w:val="04A0"/>
        </w:tblPrEx>
        <w:trPr>
          <w:jc w:val="center"/>
        </w:trPr>
        <w:tc>
          <w:tcPr>
            <w:tcW w:w="1034" w:type="dxa"/>
          </w:tcPr>
          <w:p w:rsidR="0053003A" w:rsidP="0053003A" w14:paraId="7C9678BD" w14:textId="77256C60">
            <w:pPr>
              <w:spacing w:line="240" w:lineRule="exact"/>
              <w:rPr>
                <w:szCs w:val="24"/>
              </w:rPr>
            </w:pPr>
            <w:r>
              <w:rPr>
                <w:rFonts w:ascii="Calibri" w:hAnsi="Calibri" w:cs="Calibri"/>
                <w:color w:val="000000"/>
                <w:sz w:val="22"/>
                <w:szCs w:val="22"/>
              </w:rPr>
              <w:t>March</w:t>
            </w:r>
          </w:p>
        </w:tc>
        <w:tc>
          <w:tcPr>
            <w:tcW w:w="663" w:type="dxa"/>
          </w:tcPr>
          <w:p w:rsidR="0053003A" w:rsidP="00A939A8" w14:paraId="33A2F641" w14:textId="71BB9FAD">
            <w:pPr>
              <w:spacing w:line="240" w:lineRule="exact"/>
              <w:jc w:val="right"/>
              <w:rPr>
                <w:szCs w:val="24"/>
              </w:rPr>
            </w:pPr>
            <w:r>
              <w:rPr>
                <w:rFonts w:ascii="Calibri" w:hAnsi="Calibri" w:cs="Calibri"/>
                <w:color w:val="000000"/>
                <w:sz w:val="22"/>
                <w:szCs w:val="22"/>
              </w:rPr>
              <w:t>2020</w:t>
            </w:r>
          </w:p>
        </w:tc>
        <w:tc>
          <w:tcPr>
            <w:tcW w:w="1009" w:type="dxa"/>
          </w:tcPr>
          <w:p w:rsidR="0053003A" w:rsidP="00A939A8" w14:paraId="0DCDDE61" w14:textId="45E992FA">
            <w:pPr>
              <w:spacing w:line="240" w:lineRule="exact"/>
              <w:jc w:val="right"/>
              <w:rPr>
                <w:szCs w:val="24"/>
              </w:rPr>
            </w:pPr>
            <w:r>
              <w:rPr>
                <w:rFonts w:ascii="Calibri" w:hAnsi="Calibri" w:cs="Calibri"/>
                <w:color w:val="000000"/>
                <w:sz w:val="22"/>
                <w:szCs w:val="22"/>
              </w:rPr>
              <w:t>44</w:t>
            </w:r>
          </w:p>
        </w:tc>
        <w:tc>
          <w:tcPr>
            <w:tcW w:w="1184" w:type="dxa"/>
          </w:tcPr>
          <w:p w:rsidR="0053003A" w:rsidP="00A939A8" w14:paraId="2DD8DCA5" w14:textId="2CB866A6">
            <w:pPr>
              <w:spacing w:line="240" w:lineRule="exact"/>
              <w:jc w:val="right"/>
              <w:rPr>
                <w:szCs w:val="24"/>
              </w:rPr>
            </w:pPr>
            <w:r>
              <w:rPr>
                <w:rFonts w:ascii="Calibri" w:hAnsi="Calibri" w:cs="Calibri"/>
                <w:color w:val="000000"/>
                <w:sz w:val="22"/>
                <w:szCs w:val="22"/>
              </w:rPr>
              <w:t>14</w:t>
            </w:r>
          </w:p>
        </w:tc>
        <w:tc>
          <w:tcPr>
            <w:tcW w:w="820" w:type="dxa"/>
          </w:tcPr>
          <w:p w:rsidR="0053003A" w:rsidP="00A939A8" w14:paraId="739582A0" w14:textId="3946C260">
            <w:pPr>
              <w:spacing w:line="240" w:lineRule="exact"/>
              <w:jc w:val="right"/>
              <w:rPr>
                <w:szCs w:val="24"/>
              </w:rPr>
            </w:pPr>
            <w:r>
              <w:rPr>
                <w:rFonts w:ascii="Calibri" w:hAnsi="Calibri" w:cs="Calibri"/>
                <w:color w:val="000000"/>
                <w:sz w:val="22"/>
                <w:szCs w:val="22"/>
              </w:rPr>
              <w:t>42</w:t>
            </w:r>
          </w:p>
        </w:tc>
        <w:tc>
          <w:tcPr>
            <w:tcW w:w="0" w:type="dxa"/>
          </w:tcPr>
          <w:p w:rsidR="0053003A" w:rsidP="00A939A8" w14:paraId="76DC7623" w14:textId="3BC5EF6B">
            <w:pPr>
              <w:spacing w:line="240" w:lineRule="exact"/>
              <w:jc w:val="right"/>
              <w:rPr>
                <w:rFonts w:ascii="Calibri" w:hAnsi="Calibri" w:cs="Calibri"/>
                <w:color w:val="000000"/>
                <w:sz w:val="22"/>
                <w:szCs w:val="22"/>
              </w:rPr>
            </w:pPr>
            <w:r w:rsidRPr="000D5E2C">
              <w:rPr>
                <w:rFonts w:ascii="Calibri" w:hAnsi="Calibri" w:cs="Calibri"/>
                <w:color w:val="000000"/>
                <w:sz w:val="22"/>
                <w:szCs w:val="22"/>
              </w:rPr>
              <w:t>100</w:t>
            </w:r>
          </w:p>
        </w:tc>
      </w:tr>
      <w:tr w14:paraId="07F60BE5" w14:textId="02AD0731" w:rsidTr="00A939A8">
        <w:tblPrEx>
          <w:tblW w:w="0" w:type="auto"/>
          <w:jc w:val="center"/>
          <w:tblLook w:val="04A0"/>
        </w:tblPrEx>
        <w:trPr>
          <w:jc w:val="center"/>
        </w:trPr>
        <w:tc>
          <w:tcPr>
            <w:tcW w:w="1034" w:type="dxa"/>
          </w:tcPr>
          <w:p w:rsidR="0053003A" w:rsidP="0053003A" w14:paraId="123840C1" w14:textId="6A9BAF12">
            <w:pPr>
              <w:spacing w:line="240" w:lineRule="exact"/>
              <w:rPr>
                <w:szCs w:val="24"/>
              </w:rPr>
            </w:pPr>
            <w:r>
              <w:rPr>
                <w:rFonts w:ascii="Calibri" w:hAnsi="Calibri" w:cs="Calibri"/>
                <w:color w:val="000000"/>
                <w:sz w:val="22"/>
                <w:szCs w:val="22"/>
              </w:rPr>
              <w:t>April</w:t>
            </w:r>
          </w:p>
        </w:tc>
        <w:tc>
          <w:tcPr>
            <w:tcW w:w="663" w:type="dxa"/>
          </w:tcPr>
          <w:p w:rsidR="0053003A" w:rsidP="00A939A8" w14:paraId="1318E237" w14:textId="71982957">
            <w:pPr>
              <w:spacing w:line="240" w:lineRule="exact"/>
              <w:jc w:val="right"/>
              <w:rPr>
                <w:szCs w:val="24"/>
              </w:rPr>
            </w:pPr>
            <w:r>
              <w:rPr>
                <w:rFonts w:ascii="Calibri" w:hAnsi="Calibri" w:cs="Calibri"/>
                <w:color w:val="000000"/>
                <w:sz w:val="22"/>
                <w:szCs w:val="22"/>
              </w:rPr>
              <w:t>2020</w:t>
            </w:r>
          </w:p>
        </w:tc>
        <w:tc>
          <w:tcPr>
            <w:tcW w:w="1009" w:type="dxa"/>
          </w:tcPr>
          <w:p w:rsidR="0053003A" w:rsidP="00A939A8" w14:paraId="3CAB1100" w14:textId="7576ECB5">
            <w:pPr>
              <w:spacing w:line="240" w:lineRule="exact"/>
              <w:jc w:val="right"/>
              <w:rPr>
                <w:szCs w:val="24"/>
              </w:rPr>
            </w:pPr>
            <w:r>
              <w:rPr>
                <w:rFonts w:ascii="Calibri" w:hAnsi="Calibri" w:cs="Calibri"/>
                <w:color w:val="000000"/>
                <w:sz w:val="22"/>
                <w:szCs w:val="22"/>
              </w:rPr>
              <w:t>0</w:t>
            </w:r>
          </w:p>
        </w:tc>
        <w:tc>
          <w:tcPr>
            <w:tcW w:w="1184" w:type="dxa"/>
          </w:tcPr>
          <w:p w:rsidR="0053003A" w:rsidP="00A939A8" w14:paraId="09B80F9C" w14:textId="6E63D091">
            <w:pPr>
              <w:spacing w:line="240" w:lineRule="exact"/>
              <w:jc w:val="right"/>
              <w:rPr>
                <w:szCs w:val="24"/>
              </w:rPr>
            </w:pPr>
            <w:r>
              <w:rPr>
                <w:rFonts w:ascii="Calibri" w:hAnsi="Calibri" w:cs="Calibri"/>
                <w:color w:val="000000"/>
                <w:sz w:val="22"/>
                <w:szCs w:val="22"/>
              </w:rPr>
              <w:t>18</w:t>
            </w:r>
          </w:p>
        </w:tc>
        <w:tc>
          <w:tcPr>
            <w:tcW w:w="820" w:type="dxa"/>
          </w:tcPr>
          <w:p w:rsidR="0053003A" w:rsidP="00A939A8" w14:paraId="753B88A5" w14:textId="06452B69">
            <w:pPr>
              <w:spacing w:line="240" w:lineRule="exact"/>
              <w:jc w:val="right"/>
              <w:rPr>
                <w:szCs w:val="24"/>
              </w:rPr>
            </w:pPr>
            <w:r>
              <w:rPr>
                <w:rFonts w:ascii="Calibri" w:hAnsi="Calibri" w:cs="Calibri"/>
                <w:color w:val="000000"/>
                <w:sz w:val="22"/>
                <w:szCs w:val="22"/>
              </w:rPr>
              <w:t>82</w:t>
            </w:r>
          </w:p>
        </w:tc>
        <w:tc>
          <w:tcPr>
            <w:tcW w:w="0" w:type="dxa"/>
          </w:tcPr>
          <w:p w:rsidR="0053003A" w:rsidP="00A939A8" w14:paraId="42F99A9F" w14:textId="337EBC01">
            <w:pPr>
              <w:spacing w:line="240" w:lineRule="exact"/>
              <w:jc w:val="right"/>
              <w:rPr>
                <w:rFonts w:ascii="Calibri" w:hAnsi="Calibri" w:cs="Calibri"/>
                <w:color w:val="000000"/>
                <w:sz w:val="22"/>
                <w:szCs w:val="22"/>
              </w:rPr>
            </w:pPr>
            <w:r w:rsidRPr="000D5E2C">
              <w:rPr>
                <w:rFonts w:ascii="Calibri" w:hAnsi="Calibri" w:cs="Calibri"/>
                <w:color w:val="000000"/>
                <w:sz w:val="22"/>
                <w:szCs w:val="22"/>
              </w:rPr>
              <w:t>100</w:t>
            </w:r>
          </w:p>
        </w:tc>
      </w:tr>
      <w:tr w14:paraId="6D8D05CC" w14:textId="7CADABF6" w:rsidTr="00A939A8">
        <w:tblPrEx>
          <w:tblW w:w="0" w:type="auto"/>
          <w:jc w:val="center"/>
          <w:tblLook w:val="04A0"/>
        </w:tblPrEx>
        <w:trPr>
          <w:jc w:val="center"/>
        </w:trPr>
        <w:tc>
          <w:tcPr>
            <w:tcW w:w="1034" w:type="dxa"/>
          </w:tcPr>
          <w:p w:rsidR="0053003A" w:rsidP="0053003A" w14:paraId="0532FDAD" w14:textId="269F21CE">
            <w:pPr>
              <w:spacing w:line="240" w:lineRule="exact"/>
              <w:rPr>
                <w:szCs w:val="24"/>
              </w:rPr>
            </w:pPr>
            <w:r>
              <w:rPr>
                <w:rFonts w:ascii="Calibri" w:hAnsi="Calibri" w:cs="Calibri"/>
                <w:color w:val="000000"/>
                <w:sz w:val="22"/>
                <w:szCs w:val="22"/>
              </w:rPr>
              <w:t>February</w:t>
            </w:r>
          </w:p>
        </w:tc>
        <w:tc>
          <w:tcPr>
            <w:tcW w:w="663" w:type="dxa"/>
          </w:tcPr>
          <w:p w:rsidR="0053003A" w:rsidP="00A939A8" w14:paraId="103A9324" w14:textId="41E09A54">
            <w:pPr>
              <w:spacing w:line="240" w:lineRule="exact"/>
              <w:jc w:val="right"/>
              <w:rPr>
                <w:szCs w:val="24"/>
              </w:rPr>
            </w:pPr>
            <w:r>
              <w:rPr>
                <w:rFonts w:ascii="Calibri" w:hAnsi="Calibri" w:cs="Calibri"/>
                <w:color w:val="000000"/>
                <w:sz w:val="22"/>
                <w:szCs w:val="22"/>
              </w:rPr>
              <w:t>2021</w:t>
            </w:r>
          </w:p>
        </w:tc>
        <w:tc>
          <w:tcPr>
            <w:tcW w:w="1009" w:type="dxa"/>
          </w:tcPr>
          <w:p w:rsidR="0053003A" w:rsidP="00A939A8" w14:paraId="322B95E2" w14:textId="608D4EB9">
            <w:pPr>
              <w:spacing w:line="240" w:lineRule="exact"/>
              <w:jc w:val="right"/>
              <w:rPr>
                <w:szCs w:val="24"/>
              </w:rPr>
            </w:pPr>
            <w:r>
              <w:rPr>
                <w:rFonts w:ascii="Calibri" w:hAnsi="Calibri" w:cs="Calibri"/>
                <w:color w:val="000000"/>
                <w:sz w:val="22"/>
                <w:szCs w:val="22"/>
              </w:rPr>
              <w:t>0</w:t>
            </w:r>
          </w:p>
        </w:tc>
        <w:tc>
          <w:tcPr>
            <w:tcW w:w="1184" w:type="dxa"/>
          </w:tcPr>
          <w:p w:rsidR="0053003A" w:rsidP="00A939A8" w14:paraId="4D21D5B8" w14:textId="2811F09E">
            <w:pPr>
              <w:spacing w:line="240" w:lineRule="exact"/>
              <w:jc w:val="right"/>
              <w:rPr>
                <w:szCs w:val="24"/>
              </w:rPr>
            </w:pPr>
            <w:r>
              <w:rPr>
                <w:rFonts w:ascii="Calibri" w:hAnsi="Calibri" w:cs="Calibri"/>
                <w:color w:val="000000"/>
                <w:sz w:val="22"/>
                <w:szCs w:val="22"/>
              </w:rPr>
              <w:t>16</w:t>
            </w:r>
          </w:p>
        </w:tc>
        <w:tc>
          <w:tcPr>
            <w:tcW w:w="820" w:type="dxa"/>
          </w:tcPr>
          <w:p w:rsidR="0053003A" w:rsidP="00A939A8" w14:paraId="2610CCC9" w14:textId="534895F8">
            <w:pPr>
              <w:spacing w:line="240" w:lineRule="exact"/>
              <w:jc w:val="right"/>
              <w:rPr>
                <w:szCs w:val="24"/>
              </w:rPr>
            </w:pPr>
            <w:r>
              <w:rPr>
                <w:rFonts w:ascii="Calibri" w:hAnsi="Calibri" w:cs="Calibri"/>
                <w:color w:val="000000"/>
                <w:sz w:val="22"/>
                <w:szCs w:val="22"/>
              </w:rPr>
              <w:t>84</w:t>
            </w:r>
          </w:p>
        </w:tc>
        <w:tc>
          <w:tcPr>
            <w:tcW w:w="0" w:type="dxa"/>
          </w:tcPr>
          <w:p w:rsidR="0053003A" w:rsidP="00A939A8" w14:paraId="2DAB0A48" w14:textId="1FFF4DEE">
            <w:pPr>
              <w:spacing w:line="240" w:lineRule="exact"/>
              <w:jc w:val="right"/>
              <w:rPr>
                <w:rFonts w:ascii="Calibri" w:hAnsi="Calibri" w:cs="Calibri"/>
                <w:color w:val="000000"/>
                <w:sz w:val="22"/>
                <w:szCs w:val="22"/>
              </w:rPr>
            </w:pPr>
            <w:r w:rsidRPr="000D5E2C">
              <w:rPr>
                <w:rFonts w:ascii="Calibri" w:hAnsi="Calibri" w:cs="Calibri"/>
                <w:color w:val="000000"/>
                <w:sz w:val="22"/>
                <w:szCs w:val="22"/>
              </w:rPr>
              <w:t>100</w:t>
            </w:r>
          </w:p>
        </w:tc>
      </w:tr>
      <w:tr w14:paraId="092ECA0F" w14:textId="15B64732" w:rsidTr="00A939A8">
        <w:tblPrEx>
          <w:tblW w:w="0" w:type="auto"/>
          <w:jc w:val="center"/>
          <w:tblLook w:val="04A0"/>
        </w:tblPrEx>
        <w:trPr>
          <w:jc w:val="center"/>
        </w:trPr>
        <w:tc>
          <w:tcPr>
            <w:tcW w:w="1034" w:type="dxa"/>
          </w:tcPr>
          <w:p w:rsidR="0053003A" w:rsidP="0053003A" w14:paraId="56244796" w14:textId="22AE2A41">
            <w:pPr>
              <w:spacing w:line="240" w:lineRule="exact"/>
              <w:rPr>
                <w:szCs w:val="24"/>
              </w:rPr>
            </w:pPr>
            <w:r>
              <w:rPr>
                <w:rFonts w:ascii="Calibri" w:hAnsi="Calibri" w:cs="Calibri"/>
                <w:color w:val="000000"/>
                <w:sz w:val="22"/>
                <w:szCs w:val="22"/>
              </w:rPr>
              <w:t>March</w:t>
            </w:r>
          </w:p>
        </w:tc>
        <w:tc>
          <w:tcPr>
            <w:tcW w:w="663" w:type="dxa"/>
          </w:tcPr>
          <w:p w:rsidR="0053003A" w:rsidP="00A939A8" w14:paraId="48DB35A9" w14:textId="0E97CD51">
            <w:pPr>
              <w:spacing w:line="240" w:lineRule="exact"/>
              <w:jc w:val="right"/>
              <w:rPr>
                <w:szCs w:val="24"/>
              </w:rPr>
            </w:pPr>
            <w:r>
              <w:rPr>
                <w:rFonts w:ascii="Calibri" w:hAnsi="Calibri" w:cs="Calibri"/>
                <w:color w:val="000000"/>
                <w:sz w:val="22"/>
                <w:szCs w:val="22"/>
              </w:rPr>
              <w:t>2021</w:t>
            </w:r>
          </w:p>
        </w:tc>
        <w:tc>
          <w:tcPr>
            <w:tcW w:w="1009" w:type="dxa"/>
          </w:tcPr>
          <w:p w:rsidR="0053003A" w:rsidP="00A939A8" w14:paraId="1CA66B04" w14:textId="70AC5DC3">
            <w:pPr>
              <w:spacing w:line="240" w:lineRule="exact"/>
              <w:jc w:val="right"/>
              <w:rPr>
                <w:szCs w:val="24"/>
              </w:rPr>
            </w:pPr>
            <w:r>
              <w:rPr>
                <w:rFonts w:ascii="Calibri" w:hAnsi="Calibri" w:cs="Calibri"/>
                <w:color w:val="000000"/>
                <w:sz w:val="22"/>
                <w:szCs w:val="22"/>
              </w:rPr>
              <w:t>0</w:t>
            </w:r>
          </w:p>
        </w:tc>
        <w:tc>
          <w:tcPr>
            <w:tcW w:w="1184" w:type="dxa"/>
          </w:tcPr>
          <w:p w:rsidR="0053003A" w:rsidP="00A939A8" w14:paraId="37642B08" w14:textId="1F95EAAB">
            <w:pPr>
              <w:spacing w:line="240" w:lineRule="exact"/>
              <w:jc w:val="right"/>
              <w:rPr>
                <w:szCs w:val="24"/>
              </w:rPr>
            </w:pPr>
            <w:r>
              <w:rPr>
                <w:rFonts w:ascii="Calibri" w:hAnsi="Calibri" w:cs="Calibri"/>
                <w:color w:val="000000"/>
                <w:sz w:val="22"/>
                <w:szCs w:val="22"/>
              </w:rPr>
              <w:t>16</w:t>
            </w:r>
          </w:p>
        </w:tc>
        <w:tc>
          <w:tcPr>
            <w:tcW w:w="820" w:type="dxa"/>
          </w:tcPr>
          <w:p w:rsidR="0053003A" w:rsidP="00A939A8" w14:paraId="18D39CB0" w14:textId="55585A17">
            <w:pPr>
              <w:spacing w:line="240" w:lineRule="exact"/>
              <w:jc w:val="right"/>
              <w:rPr>
                <w:szCs w:val="24"/>
              </w:rPr>
            </w:pPr>
            <w:r>
              <w:rPr>
                <w:rFonts w:ascii="Calibri" w:hAnsi="Calibri" w:cs="Calibri"/>
                <w:color w:val="000000"/>
                <w:sz w:val="22"/>
                <w:szCs w:val="22"/>
              </w:rPr>
              <w:t>84</w:t>
            </w:r>
          </w:p>
        </w:tc>
        <w:tc>
          <w:tcPr>
            <w:tcW w:w="0" w:type="dxa"/>
          </w:tcPr>
          <w:p w:rsidR="0053003A" w:rsidP="00A939A8" w14:paraId="0CD6173E" w14:textId="205D5597">
            <w:pPr>
              <w:spacing w:line="240" w:lineRule="exact"/>
              <w:jc w:val="right"/>
              <w:rPr>
                <w:rFonts w:ascii="Calibri" w:hAnsi="Calibri" w:cs="Calibri"/>
                <w:color w:val="000000"/>
                <w:sz w:val="22"/>
                <w:szCs w:val="22"/>
              </w:rPr>
            </w:pPr>
            <w:r w:rsidRPr="000D5E2C">
              <w:rPr>
                <w:rFonts w:ascii="Calibri" w:hAnsi="Calibri" w:cs="Calibri"/>
                <w:color w:val="000000"/>
                <w:sz w:val="22"/>
                <w:szCs w:val="22"/>
              </w:rPr>
              <w:t>100</w:t>
            </w:r>
          </w:p>
        </w:tc>
      </w:tr>
      <w:tr w14:paraId="3C7E6F88" w14:textId="0C466358" w:rsidTr="00A939A8">
        <w:tblPrEx>
          <w:tblW w:w="0" w:type="auto"/>
          <w:jc w:val="center"/>
          <w:tblLook w:val="04A0"/>
        </w:tblPrEx>
        <w:trPr>
          <w:jc w:val="center"/>
        </w:trPr>
        <w:tc>
          <w:tcPr>
            <w:tcW w:w="1034" w:type="dxa"/>
          </w:tcPr>
          <w:p w:rsidR="0053003A" w:rsidP="0053003A" w14:paraId="630A44D0" w14:textId="3985187F">
            <w:pPr>
              <w:spacing w:line="240" w:lineRule="exact"/>
              <w:rPr>
                <w:szCs w:val="24"/>
              </w:rPr>
            </w:pPr>
            <w:r>
              <w:rPr>
                <w:rFonts w:ascii="Calibri" w:hAnsi="Calibri" w:cs="Calibri"/>
                <w:color w:val="000000"/>
                <w:sz w:val="22"/>
                <w:szCs w:val="22"/>
              </w:rPr>
              <w:t>April</w:t>
            </w:r>
          </w:p>
        </w:tc>
        <w:tc>
          <w:tcPr>
            <w:tcW w:w="663" w:type="dxa"/>
          </w:tcPr>
          <w:p w:rsidR="0053003A" w:rsidP="00A939A8" w14:paraId="1BFED594" w14:textId="42098871">
            <w:pPr>
              <w:spacing w:line="240" w:lineRule="exact"/>
              <w:jc w:val="right"/>
              <w:rPr>
                <w:szCs w:val="24"/>
              </w:rPr>
            </w:pPr>
            <w:r>
              <w:rPr>
                <w:rFonts w:ascii="Calibri" w:hAnsi="Calibri" w:cs="Calibri"/>
                <w:color w:val="000000"/>
                <w:sz w:val="22"/>
                <w:szCs w:val="22"/>
              </w:rPr>
              <w:t>2021</w:t>
            </w:r>
          </w:p>
        </w:tc>
        <w:tc>
          <w:tcPr>
            <w:tcW w:w="1009" w:type="dxa"/>
          </w:tcPr>
          <w:p w:rsidR="0053003A" w:rsidP="00A939A8" w14:paraId="1A544577" w14:textId="02C43BC2">
            <w:pPr>
              <w:spacing w:line="240" w:lineRule="exact"/>
              <w:jc w:val="right"/>
              <w:rPr>
                <w:szCs w:val="24"/>
              </w:rPr>
            </w:pPr>
            <w:r>
              <w:rPr>
                <w:rFonts w:ascii="Calibri" w:hAnsi="Calibri" w:cs="Calibri"/>
                <w:color w:val="000000"/>
                <w:sz w:val="22"/>
                <w:szCs w:val="22"/>
              </w:rPr>
              <w:t>0</w:t>
            </w:r>
          </w:p>
        </w:tc>
        <w:tc>
          <w:tcPr>
            <w:tcW w:w="1184" w:type="dxa"/>
          </w:tcPr>
          <w:p w:rsidR="0053003A" w:rsidP="00A939A8" w14:paraId="2DF9B0A3" w14:textId="3D3539C0">
            <w:pPr>
              <w:spacing w:line="240" w:lineRule="exact"/>
              <w:jc w:val="right"/>
              <w:rPr>
                <w:szCs w:val="24"/>
              </w:rPr>
            </w:pPr>
            <w:r>
              <w:rPr>
                <w:rFonts w:ascii="Calibri" w:hAnsi="Calibri" w:cs="Calibri"/>
                <w:color w:val="000000"/>
                <w:sz w:val="22"/>
                <w:szCs w:val="22"/>
              </w:rPr>
              <w:t>16</w:t>
            </w:r>
          </w:p>
        </w:tc>
        <w:tc>
          <w:tcPr>
            <w:tcW w:w="820" w:type="dxa"/>
          </w:tcPr>
          <w:p w:rsidR="0053003A" w:rsidP="00A939A8" w14:paraId="5EFA1EDA" w14:textId="3DF53E0A">
            <w:pPr>
              <w:spacing w:line="240" w:lineRule="exact"/>
              <w:jc w:val="right"/>
              <w:rPr>
                <w:szCs w:val="24"/>
              </w:rPr>
            </w:pPr>
            <w:r>
              <w:rPr>
                <w:rFonts w:ascii="Calibri" w:hAnsi="Calibri" w:cs="Calibri"/>
                <w:color w:val="000000"/>
                <w:sz w:val="22"/>
                <w:szCs w:val="22"/>
              </w:rPr>
              <w:t>84</w:t>
            </w:r>
          </w:p>
        </w:tc>
        <w:tc>
          <w:tcPr>
            <w:tcW w:w="0" w:type="dxa"/>
          </w:tcPr>
          <w:p w:rsidR="0053003A" w:rsidP="00A939A8" w14:paraId="035DD4D4" w14:textId="37A94930">
            <w:pPr>
              <w:spacing w:line="240" w:lineRule="exact"/>
              <w:jc w:val="right"/>
              <w:rPr>
                <w:rFonts w:ascii="Calibri" w:hAnsi="Calibri" w:cs="Calibri"/>
                <w:color w:val="000000"/>
                <w:sz w:val="22"/>
                <w:szCs w:val="22"/>
              </w:rPr>
            </w:pPr>
            <w:r w:rsidRPr="000D5E2C">
              <w:rPr>
                <w:rFonts w:ascii="Calibri" w:hAnsi="Calibri" w:cs="Calibri"/>
                <w:color w:val="000000"/>
                <w:sz w:val="22"/>
                <w:szCs w:val="22"/>
              </w:rPr>
              <w:t>100</w:t>
            </w:r>
          </w:p>
        </w:tc>
      </w:tr>
      <w:tr w14:paraId="6BACD564" w14:textId="41BA82C9" w:rsidTr="00A939A8">
        <w:tblPrEx>
          <w:tblW w:w="0" w:type="auto"/>
          <w:jc w:val="center"/>
          <w:tblLook w:val="04A0"/>
        </w:tblPrEx>
        <w:trPr>
          <w:jc w:val="center"/>
        </w:trPr>
        <w:tc>
          <w:tcPr>
            <w:tcW w:w="1034" w:type="dxa"/>
          </w:tcPr>
          <w:p w:rsidR="0053003A" w:rsidP="0053003A" w14:paraId="5989822E" w14:textId="0459D476">
            <w:pPr>
              <w:spacing w:line="240" w:lineRule="exact"/>
              <w:rPr>
                <w:szCs w:val="24"/>
              </w:rPr>
            </w:pPr>
            <w:r>
              <w:rPr>
                <w:rFonts w:ascii="Calibri" w:hAnsi="Calibri" w:cs="Calibri"/>
                <w:color w:val="000000"/>
                <w:sz w:val="22"/>
                <w:szCs w:val="22"/>
              </w:rPr>
              <w:t>February</w:t>
            </w:r>
          </w:p>
        </w:tc>
        <w:tc>
          <w:tcPr>
            <w:tcW w:w="663" w:type="dxa"/>
          </w:tcPr>
          <w:p w:rsidR="0053003A" w:rsidP="00A939A8" w14:paraId="0B540D62" w14:textId="053869A5">
            <w:pPr>
              <w:spacing w:line="240" w:lineRule="exact"/>
              <w:jc w:val="right"/>
              <w:rPr>
                <w:szCs w:val="24"/>
              </w:rPr>
            </w:pPr>
            <w:r>
              <w:rPr>
                <w:rFonts w:ascii="Calibri" w:hAnsi="Calibri" w:cs="Calibri"/>
                <w:color w:val="000000"/>
                <w:sz w:val="22"/>
                <w:szCs w:val="22"/>
              </w:rPr>
              <w:t>2022</w:t>
            </w:r>
          </w:p>
        </w:tc>
        <w:tc>
          <w:tcPr>
            <w:tcW w:w="1009" w:type="dxa"/>
          </w:tcPr>
          <w:p w:rsidR="0053003A" w:rsidP="00A939A8" w14:paraId="329226F1" w14:textId="603989F3">
            <w:pPr>
              <w:spacing w:line="240" w:lineRule="exact"/>
              <w:jc w:val="right"/>
              <w:rPr>
                <w:szCs w:val="24"/>
              </w:rPr>
            </w:pPr>
            <w:r>
              <w:rPr>
                <w:rFonts w:ascii="Calibri" w:hAnsi="Calibri" w:cs="Calibri"/>
                <w:color w:val="000000"/>
                <w:sz w:val="22"/>
                <w:szCs w:val="22"/>
              </w:rPr>
              <w:t>1</w:t>
            </w:r>
          </w:p>
        </w:tc>
        <w:tc>
          <w:tcPr>
            <w:tcW w:w="1184" w:type="dxa"/>
          </w:tcPr>
          <w:p w:rsidR="0053003A" w:rsidP="00A939A8" w14:paraId="2BECCA30" w14:textId="1A6E1329">
            <w:pPr>
              <w:spacing w:line="240" w:lineRule="exact"/>
              <w:jc w:val="right"/>
              <w:rPr>
                <w:szCs w:val="24"/>
              </w:rPr>
            </w:pPr>
            <w:r>
              <w:rPr>
                <w:rFonts w:ascii="Calibri" w:hAnsi="Calibri" w:cs="Calibri"/>
                <w:color w:val="000000"/>
                <w:sz w:val="22"/>
                <w:szCs w:val="22"/>
              </w:rPr>
              <w:t>13</w:t>
            </w:r>
          </w:p>
        </w:tc>
        <w:tc>
          <w:tcPr>
            <w:tcW w:w="820" w:type="dxa"/>
          </w:tcPr>
          <w:p w:rsidR="0053003A" w:rsidP="00A939A8" w14:paraId="361556B9" w14:textId="0BE1C43E">
            <w:pPr>
              <w:spacing w:line="240" w:lineRule="exact"/>
              <w:jc w:val="right"/>
              <w:rPr>
                <w:szCs w:val="24"/>
              </w:rPr>
            </w:pPr>
            <w:r>
              <w:rPr>
                <w:rFonts w:ascii="Calibri" w:hAnsi="Calibri" w:cs="Calibri"/>
                <w:color w:val="000000"/>
                <w:sz w:val="22"/>
                <w:szCs w:val="22"/>
              </w:rPr>
              <w:t>86</w:t>
            </w:r>
          </w:p>
        </w:tc>
        <w:tc>
          <w:tcPr>
            <w:tcW w:w="0" w:type="dxa"/>
          </w:tcPr>
          <w:p w:rsidR="0053003A" w:rsidP="00A939A8" w14:paraId="2B383495" w14:textId="74698D47">
            <w:pPr>
              <w:spacing w:line="240" w:lineRule="exact"/>
              <w:jc w:val="right"/>
              <w:rPr>
                <w:rFonts w:ascii="Calibri" w:hAnsi="Calibri" w:cs="Calibri"/>
                <w:color w:val="000000"/>
                <w:sz w:val="22"/>
                <w:szCs w:val="22"/>
              </w:rPr>
            </w:pPr>
            <w:r w:rsidRPr="000D5E2C">
              <w:rPr>
                <w:rFonts w:ascii="Calibri" w:hAnsi="Calibri" w:cs="Calibri"/>
                <w:color w:val="000000"/>
                <w:sz w:val="22"/>
                <w:szCs w:val="22"/>
              </w:rPr>
              <w:t>100</w:t>
            </w:r>
          </w:p>
        </w:tc>
      </w:tr>
      <w:tr w14:paraId="277CBB61" w14:textId="2646109F" w:rsidTr="00A939A8">
        <w:tblPrEx>
          <w:tblW w:w="0" w:type="auto"/>
          <w:jc w:val="center"/>
          <w:tblLook w:val="04A0"/>
        </w:tblPrEx>
        <w:trPr>
          <w:jc w:val="center"/>
        </w:trPr>
        <w:tc>
          <w:tcPr>
            <w:tcW w:w="1034" w:type="dxa"/>
          </w:tcPr>
          <w:p w:rsidR="0053003A" w:rsidP="0053003A" w14:paraId="60834387" w14:textId="6F3248C6">
            <w:pPr>
              <w:spacing w:line="240" w:lineRule="exact"/>
              <w:rPr>
                <w:szCs w:val="24"/>
              </w:rPr>
            </w:pPr>
            <w:r>
              <w:rPr>
                <w:rFonts w:ascii="Calibri" w:hAnsi="Calibri" w:cs="Calibri"/>
                <w:color w:val="000000"/>
                <w:sz w:val="22"/>
                <w:szCs w:val="22"/>
              </w:rPr>
              <w:t>March</w:t>
            </w:r>
          </w:p>
        </w:tc>
        <w:tc>
          <w:tcPr>
            <w:tcW w:w="663" w:type="dxa"/>
          </w:tcPr>
          <w:p w:rsidR="0053003A" w:rsidP="00A939A8" w14:paraId="26C288F5" w14:textId="771ED45B">
            <w:pPr>
              <w:spacing w:line="240" w:lineRule="exact"/>
              <w:jc w:val="right"/>
              <w:rPr>
                <w:szCs w:val="24"/>
              </w:rPr>
            </w:pPr>
            <w:r>
              <w:rPr>
                <w:rFonts w:ascii="Calibri" w:hAnsi="Calibri" w:cs="Calibri"/>
                <w:color w:val="000000"/>
                <w:sz w:val="22"/>
                <w:szCs w:val="22"/>
              </w:rPr>
              <w:t>2022</w:t>
            </w:r>
          </w:p>
        </w:tc>
        <w:tc>
          <w:tcPr>
            <w:tcW w:w="1009" w:type="dxa"/>
          </w:tcPr>
          <w:p w:rsidR="0053003A" w:rsidP="00A939A8" w14:paraId="100CDC99" w14:textId="74C58DC8">
            <w:pPr>
              <w:spacing w:line="240" w:lineRule="exact"/>
              <w:jc w:val="right"/>
              <w:rPr>
                <w:szCs w:val="24"/>
              </w:rPr>
            </w:pPr>
            <w:r>
              <w:rPr>
                <w:rFonts w:ascii="Calibri" w:hAnsi="Calibri" w:cs="Calibri"/>
                <w:color w:val="000000"/>
                <w:sz w:val="22"/>
                <w:szCs w:val="22"/>
              </w:rPr>
              <w:t>2</w:t>
            </w:r>
          </w:p>
        </w:tc>
        <w:tc>
          <w:tcPr>
            <w:tcW w:w="1184" w:type="dxa"/>
          </w:tcPr>
          <w:p w:rsidR="0053003A" w:rsidP="00A939A8" w14:paraId="587798E5" w14:textId="59DD330E">
            <w:pPr>
              <w:spacing w:line="240" w:lineRule="exact"/>
              <w:jc w:val="right"/>
              <w:rPr>
                <w:szCs w:val="24"/>
              </w:rPr>
            </w:pPr>
            <w:r>
              <w:rPr>
                <w:rFonts w:ascii="Calibri" w:hAnsi="Calibri" w:cs="Calibri"/>
                <w:color w:val="000000"/>
                <w:sz w:val="22"/>
                <w:szCs w:val="22"/>
              </w:rPr>
              <w:t>12</w:t>
            </w:r>
          </w:p>
        </w:tc>
        <w:tc>
          <w:tcPr>
            <w:tcW w:w="820" w:type="dxa"/>
          </w:tcPr>
          <w:p w:rsidR="0053003A" w:rsidP="00A939A8" w14:paraId="7F3175AF" w14:textId="15FC949A">
            <w:pPr>
              <w:spacing w:line="240" w:lineRule="exact"/>
              <w:jc w:val="right"/>
              <w:rPr>
                <w:szCs w:val="24"/>
              </w:rPr>
            </w:pPr>
            <w:r>
              <w:rPr>
                <w:rFonts w:ascii="Calibri" w:hAnsi="Calibri" w:cs="Calibri"/>
                <w:color w:val="000000"/>
                <w:sz w:val="22"/>
                <w:szCs w:val="22"/>
              </w:rPr>
              <w:t>86</w:t>
            </w:r>
          </w:p>
        </w:tc>
        <w:tc>
          <w:tcPr>
            <w:tcW w:w="0" w:type="dxa"/>
          </w:tcPr>
          <w:p w:rsidR="0053003A" w:rsidP="00A939A8" w14:paraId="68F86B17" w14:textId="105DCAA4">
            <w:pPr>
              <w:spacing w:line="240" w:lineRule="exact"/>
              <w:jc w:val="right"/>
              <w:rPr>
                <w:rFonts w:ascii="Calibri" w:hAnsi="Calibri" w:cs="Calibri"/>
                <w:color w:val="000000"/>
                <w:sz w:val="22"/>
                <w:szCs w:val="22"/>
              </w:rPr>
            </w:pPr>
            <w:r w:rsidRPr="000D5E2C">
              <w:rPr>
                <w:rFonts w:ascii="Calibri" w:hAnsi="Calibri" w:cs="Calibri"/>
                <w:color w:val="000000"/>
                <w:sz w:val="22"/>
                <w:szCs w:val="22"/>
              </w:rPr>
              <w:t>100</w:t>
            </w:r>
          </w:p>
        </w:tc>
      </w:tr>
      <w:tr w14:paraId="23CADA3B" w14:textId="1D314E90" w:rsidTr="00A939A8">
        <w:tblPrEx>
          <w:tblW w:w="0" w:type="auto"/>
          <w:jc w:val="center"/>
          <w:tblLook w:val="04A0"/>
        </w:tblPrEx>
        <w:trPr>
          <w:jc w:val="center"/>
        </w:trPr>
        <w:tc>
          <w:tcPr>
            <w:tcW w:w="1034" w:type="dxa"/>
          </w:tcPr>
          <w:p w:rsidR="0053003A" w:rsidP="0053003A" w14:paraId="772D3501" w14:textId="15DD9CBB">
            <w:pPr>
              <w:spacing w:line="240" w:lineRule="exact"/>
              <w:rPr>
                <w:szCs w:val="24"/>
              </w:rPr>
            </w:pPr>
            <w:r>
              <w:rPr>
                <w:rFonts w:ascii="Calibri" w:hAnsi="Calibri" w:cs="Calibri"/>
                <w:color w:val="000000"/>
                <w:sz w:val="22"/>
                <w:szCs w:val="22"/>
              </w:rPr>
              <w:t>April</w:t>
            </w:r>
          </w:p>
        </w:tc>
        <w:tc>
          <w:tcPr>
            <w:tcW w:w="663" w:type="dxa"/>
          </w:tcPr>
          <w:p w:rsidR="0053003A" w:rsidP="00A939A8" w14:paraId="1C574D1E" w14:textId="71D28207">
            <w:pPr>
              <w:spacing w:line="240" w:lineRule="exact"/>
              <w:jc w:val="right"/>
              <w:rPr>
                <w:szCs w:val="24"/>
              </w:rPr>
            </w:pPr>
            <w:r>
              <w:rPr>
                <w:rFonts w:ascii="Calibri" w:hAnsi="Calibri" w:cs="Calibri"/>
                <w:color w:val="000000"/>
                <w:sz w:val="22"/>
                <w:szCs w:val="22"/>
              </w:rPr>
              <w:t>2022</w:t>
            </w:r>
          </w:p>
        </w:tc>
        <w:tc>
          <w:tcPr>
            <w:tcW w:w="1009" w:type="dxa"/>
          </w:tcPr>
          <w:p w:rsidR="0053003A" w:rsidP="00A939A8" w14:paraId="5C364526" w14:textId="33D34D6A">
            <w:pPr>
              <w:spacing w:line="240" w:lineRule="exact"/>
              <w:jc w:val="right"/>
              <w:rPr>
                <w:szCs w:val="24"/>
              </w:rPr>
            </w:pPr>
            <w:r>
              <w:rPr>
                <w:rFonts w:ascii="Calibri" w:hAnsi="Calibri" w:cs="Calibri"/>
                <w:color w:val="000000"/>
                <w:sz w:val="22"/>
                <w:szCs w:val="22"/>
              </w:rPr>
              <w:t>3</w:t>
            </w:r>
          </w:p>
        </w:tc>
        <w:tc>
          <w:tcPr>
            <w:tcW w:w="1184" w:type="dxa"/>
          </w:tcPr>
          <w:p w:rsidR="0053003A" w:rsidP="00A939A8" w14:paraId="2907A70F" w14:textId="4C4DB38C">
            <w:pPr>
              <w:spacing w:line="240" w:lineRule="exact"/>
              <w:jc w:val="right"/>
              <w:rPr>
                <w:szCs w:val="24"/>
              </w:rPr>
            </w:pPr>
            <w:r>
              <w:rPr>
                <w:rFonts w:ascii="Calibri" w:hAnsi="Calibri" w:cs="Calibri"/>
                <w:color w:val="000000"/>
                <w:sz w:val="22"/>
                <w:szCs w:val="22"/>
              </w:rPr>
              <w:t>12</w:t>
            </w:r>
          </w:p>
        </w:tc>
        <w:tc>
          <w:tcPr>
            <w:tcW w:w="820" w:type="dxa"/>
          </w:tcPr>
          <w:p w:rsidR="0053003A" w:rsidP="00A939A8" w14:paraId="25A0C5A4" w14:textId="5BEDEC1B">
            <w:pPr>
              <w:spacing w:line="240" w:lineRule="exact"/>
              <w:jc w:val="right"/>
              <w:rPr>
                <w:szCs w:val="24"/>
              </w:rPr>
            </w:pPr>
            <w:r>
              <w:rPr>
                <w:rFonts w:ascii="Calibri" w:hAnsi="Calibri" w:cs="Calibri"/>
                <w:color w:val="000000"/>
                <w:sz w:val="22"/>
                <w:szCs w:val="22"/>
              </w:rPr>
              <w:t>85</w:t>
            </w:r>
          </w:p>
        </w:tc>
        <w:tc>
          <w:tcPr>
            <w:tcW w:w="0" w:type="dxa"/>
          </w:tcPr>
          <w:p w:rsidR="0053003A" w:rsidP="00A939A8" w14:paraId="079FB1CC" w14:textId="7933B424">
            <w:pPr>
              <w:spacing w:line="240" w:lineRule="exact"/>
              <w:jc w:val="right"/>
              <w:rPr>
                <w:rFonts w:ascii="Calibri" w:hAnsi="Calibri" w:cs="Calibri"/>
                <w:color w:val="000000"/>
                <w:sz w:val="22"/>
                <w:szCs w:val="22"/>
              </w:rPr>
            </w:pPr>
            <w:r w:rsidRPr="000D5E2C">
              <w:rPr>
                <w:rFonts w:ascii="Calibri" w:hAnsi="Calibri" w:cs="Calibri"/>
                <w:color w:val="000000"/>
                <w:sz w:val="22"/>
                <w:szCs w:val="22"/>
              </w:rPr>
              <w:t>100</w:t>
            </w:r>
          </w:p>
        </w:tc>
      </w:tr>
      <w:tr w14:paraId="52CD4617" w14:textId="14749D87" w:rsidTr="00A939A8">
        <w:tblPrEx>
          <w:tblW w:w="0" w:type="auto"/>
          <w:jc w:val="center"/>
          <w:tblLook w:val="04A0"/>
        </w:tblPrEx>
        <w:trPr>
          <w:jc w:val="center"/>
        </w:trPr>
        <w:tc>
          <w:tcPr>
            <w:tcW w:w="1034" w:type="dxa"/>
          </w:tcPr>
          <w:p w:rsidR="0053003A" w:rsidP="0053003A" w14:paraId="3822BF02" w14:textId="5187B760">
            <w:pPr>
              <w:spacing w:line="240" w:lineRule="exact"/>
              <w:rPr>
                <w:szCs w:val="24"/>
              </w:rPr>
            </w:pPr>
            <w:r>
              <w:rPr>
                <w:rFonts w:ascii="Calibri" w:hAnsi="Calibri" w:cs="Calibri"/>
                <w:color w:val="000000"/>
                <w:sz w:val="22"/>
                <w:szCs w:val="22"/>
              </w:rPr>
              <w:t>February</w:t>
            </w:r>
          </w:p>
        </w:tc>
        <w:tc>
          <w:tcPr>
            <w:tcW w:w="663" w:type="dxa"/>
          </w:tcPr>
          <w:p w:rsidR="0053003A" w:rsidP="00A939A8" w14:paraId="280684B2" w14:textId="5E92C978">
            <w:pPr>
              <w:spacing w:line="240" w:lineRule="exact"/>
              <w:jc w:val="right"/>
              <w:rPr>
                <w:szCs w:val="24"/>
              </w:rPr>
            </w:pPr>
            <w:r>
              <w:rPr>
                <w:rFonts w:ascii="Calibri" w:hAnsi="Calibri" w:cs="Calibri"/>
                <w:color w:val="000000"/>
                <w:sz w:val="22"/>
                <w:szCs w:val="22"/>
              </w:rPr>
              <w:t>2023</w:t>
            </w:r>
          </w:p>
        </w:tc>
        <w:tc>
          <w:tcPr>
            <w:tcW w:w="1009" w:type="dxa"/>
          </w:tcPr>
          <w:p w:rsidR="0053003A" w:rsidP="00A939A8" w14:paraId="1D1D79C2" w14:textId="4047FA81">
            <w:pPr>
              <w:spacing w:line="240" w:lineRule="exact"/>
              <w:jc w:val="right"/>
              <w:rPr>
                <w:szCs w:val="24"/>
              </w:rPr>
            </w:pPr>
            <w:r>
              <w:rPr>
                <w:rFonts w:ascii="Calibri" w:hAnsi="Calibri" w:cs="Calibri"/>
                <w:color w:val="000000"/>
                <w:sz w:val="22"/>
                <w:szCs w:val="22"/>
              </w:rPr>
              <w:t>37</w:t>
            </w:r>
          </w:p>
        </w:tc>
        <w:tc>
          <w:tcPr>
            <w:tcW w:w="1184" w:type="dxa"/>
          </w:tcPr>
          <w:p w:rsidR="0053003A" w:rsidP="00A939A8" w14:paraId="0ED4B9D5" w14:textId="2461EEA6">
            <w:pPr>
              <w:spacing w:line="240" w:lineRule="exact"/>
              <w:jc w:val="right"/>
              <w:rPr>
                <w:szCs w:val="24"/>
              </w:rPr>
            </w:pPr>
            <w:r>
              <w:rPr>
                <w:rFonts w:ascii="Calibri" w:hAnsi="Calibri" w:cs="Calibri"/>
                <w:color w:val="000000"/>
                <w:sz w:val="22"/>
                <w:szCs w:val="22"/>
              </w:rPr>
              <w:t>9</w:t>
            </w:r>
          </w:p>
        </w:tc>
        <w:tc>
          <w:tcPr>
            <w:tcW w:w="820" w:type="dxa"/>
          </w:tcPr>
          <w:p w:rsidR="0053003A" w:rsidP="00A939A8" w14:paraId="11E9D641" w14:textId="5C0D0A3B">
            <w:pPr>
              <w:spacing w:line="240" w:lineRule="exact"/>
              <w:jc w:val="right"/>
              <w:rPr>
                <w:szCs w:val="24"/>
              </w:rPr>
            </w:pPr>
            <w:r>
              <w:rPr>
                <w:rFonts w:ascii="Calibri" w:hAnsi="Calibri" w:cs="Calibri"/>
                <w:color w:val="000000"/>
                <w:sz w:val="22"/>
                <w:szCs w:val="22"/>
              </w:rPr>
              <w:t>54</w:t>
            </w:r>
          </w:p>
        </w:tc>
        <w:tc>
          <w:tcPr>
            <w:tcW w:w="0" w:type="dxa"/>
          </w:tcPr>
          <w:p w:rsidR="0053003A" w:rsidP="00A939A8" w14:paraId="58CC0348" w14:textId="4F92BC9E">
            <w:pPr>
              <w:spacing w:line="240" w:lineRule="exact"/>
              <w:jc w:val="right"/>
              <w:rPr>
                <w:rFonts w:ascii="Calibri" w:hAnsi="Calibri" w:cs="Calibri"/>
                <w:color w:val="000000"/>
                <w:sz w:val="22"/>
                <w:szCs w:val="22"/>
              </w:rPr>
            </w:pPr>
            <w:r w:rsidRPr="000D5E2C">
              <w:rPr>
                <w:rFonts w:ascii="Calibri" w:hAnsi="Calibri" w:cs="Calibri"/>
                <w:color w:val="000000"/>
                <w:sz w:val="22"/>
                <w:szCs w:val="22"/>
              </w:rPr>
              <w:t>100</w:t>
            </w:r>
          </w:p>
        </w:tc>
      </w:tr>
      <w:tr w14:paraId="5CF4C0E9" w14:textId="25A6C6B0" w:rsidTr="00A939A8">
        <w:tblPrEx>
          <w:tblW w:w="0" w:type="auto"/>
          <w:jc w:val="center"/>
          <w:tblLook w:val="04A0"/>
        </w:tblPrEx>
        <w:trPr>
          <w:jc w:val="center"/>
        </w:trPr>
        <w:tc>
          <w:tcPr>
            <w:tcW w:w="1034" w:type="dxa"/>
          </w:tcPr>
          <w:p w:rsidR="0053003A" w:rsidP="0053003A" w14:paraId="2806CF53" w14:textId="7B4E4E8D">
            <w:pPr>
              <w:spacing w:line="240" w:lineRule="exact"/>
              <w:rPr>
                <w:szCs w:val="24"/>
              </w:rPr>
            </w:pPr>
            <w:r>
              <w:rPr>
                <w:rFonts w:ascii="Calibri" w:hAnsi="Calibri" w:cs="Calibri"/>
                <w:color w:val="000000"/>
                <w:sz w:val="22"/>
                <w:szCs w:val="22"/>
              </w:rPr>
              <w:t>March</w:t>
            </w:r>
          </w:p>
        </w:tc>
        <w:tc>
          <w:tcPr>
            <w:tcW w:w="663" w:type="dxa"/>
          </w:tcPr>
          <w:p w:rsidR="0053003A" w:rsidP="00A939A8" w14:paraId="284C7D5E" w14:textId="06285E41">
            <w:pPr>
              <w:spacing w:line="240" w:lineRule="exact"/>
              <w:jc w:val="right"/>
              <w:rPr>
                <w:szCs w:val="24"/>
              </w:rPr>
            </w:pPr>
            <w:r>
              <w:rPr>
                <w:rFonts w:ascii="Calibri" w:hAnsi="Calibri" w:cs="Calibri"/>
                <w:color w:val="000000"/>
                <w:sz w:val="22"/>
                <w:szCs w:val="22"/>
              </w:rPr>
              <w:t>2023</w:t>
            </w:r>
          </w:p>
        </w:tc>
        <w:tc>
          <w:tcPr>
            <w:tcW w:w="1009" w:type="dxa"/>
          </w:tcPr>
          <w:p w:rsidR="0053003A" w:rsidP="00A939A8" w14:paraId="19724D4D" w14:textId="5B0CC681">
            <w:pPr>
              <w:spacing w:line="240" w:lineRule="exact"/>
              <w:jc w:val="right"/>
              <w:rPr>
                <w:szCs w:val="24"/>
              </w:rPr>
            </w:pPr>
            <w:r>
              <w:rPr>
                <w:rFonts w:ascii="Calibri" w:hAnsi="Calibri" w:cs="Calibri"/>
                <w:color w:val="000000"/>
                <w:sz w:val="22"/>
                <w:szCs w:val="22"/>
              </w:rPr>
              <w:t>42</w:t>
            </w:r>
          </w:p>
        </w:tc>
        <w:tc>
          <w:tcPr>
            <w:tcW w:w="1184" w:type="dxa"/>
          </w:tcPr>
          <w:p w:rsidR="0053003A" w:rsidP="00A939A8" w14:paraId="510C47C2" w14:textId="519C6720">
            <w:pPr>
              <w:spacing w:line="240" w:lineRule="exact"/>
              <w:jc w:val="right"/>
              <w:rPr>
                <w:szCs w:val="24"/>
              </w:rPr>
            </w:pPr>
            <w:r>
              <w:rPr>
                <w:szCs w:val="24"/>
              </w:rPr>
              <w:t>9</w:t>
            </w:r>
          </w:p>
        </w:tc>
        <w:tc>
          <w:tcPr>
            <w:tcW w:w="820" w:type="dxa"/>
          </w:tcPr>
          <w:p w:rsidR="0053003A" w:rsidP="00A939A8" w14:paraId="5F29AD93" w14:textId="62637343">
            <w:pPr>
              <w:spacing w:line="240" w:lineRule="exact"/>
              <w:jc w:val="right"/>
              <w:rPr>
                <w:szCs w:val="24"/>
              </w:rPr>
            </w:pPr>
            <w:r>
              <w:rPr>
                <w:szCs w:val="24"/>
              </w:rPr>
              <w:t>49</w:t>
            </w:r>
          </w:p>
        </w:tc>
        <w:tc>
          <w:tcPr>
            <w:tcW w:w="0" w:type="dxa"/>
          </w:tcPr>
          <w:p w:rsidR="0053003A" w:rsidP="00A939A8" w14:paraId="0A210623" w14:textId="4B5AD6D5">
            <w:pPr>
              <w:spacing w:line="240" w:lineRule="exact"/>
              <w:jc w:val="right"/>
              <w:rPr>
                <w:szCs w:val="24"/>
              </w:rPr>
            </w:pPr>
            <w:r w:rsidRPr="000D5E2C">
              <w:rPr>
                <w:rFonts w:ascii="Calibri" w:hAnsi="Calibri" w:cs="Calibri"/>
                <w:color w:val="000000"/>
                <w:sz w:val="22"/>
                <w:szCs w:val="22"/>
              </w:rPr>
              <w:t>100</w:t>
            </w:r>
          </w:p>
        </w:tc>
      </w:tr>
      <w:tr w14:paraId="0DA04D4B" w14:textId="2FF52909" w:rsidTr="00A939A8">
        <w:tblPrEx>
          <w:tblW w:w="0" w:type="auto"/>
          <w:jc w:val="center"/>
          <w:tblLook w:val="04A0"/>
        </w:tblPrEx>
        <w:trPr>
          <w:jc w:val="center"/>
        </w:trPr>
        <w:tc>
          <w:tcPr>
            <w:tcW w:w="1034" w:type="dxa"/>
          </w:tcPr>
          <w:p w:rsidR="0053003A" w:rsidP="0053003A" w14:paraId="349982B0" w14:textId="0AB0AF11">
            <w:pPr>
              <w:spacing w:line="240" w:lineRule="exact"/>
              <w:rPr>
                <w:szCs w:val="24"/>
              </w:rPr>
            </w:pPr>
            <w:r>
              <w:rPr>
                <w:rFonts w:ascii="Calibri" w:hAnsi="Calibri" w:cs="Calibri"/>
                <w:color w:val="000000"/>
                <w:sz w:val="22"/>
                <w:szCs w:val="22"/>
              </w:rPr>
              <w:t>April</w:t>
            </w:r>
          </w:p>
        </w:tc>
        <w:tc>
          <w:tcPr>
            <w:tcW w:w="663" w:type="dxa"/>
          </w:tcPr>
          <w:p w:rsidR="0053003A" w:rsidP="00A939A8" w14:paraId="00375DD4" w14:textId="3738DE7E">
            <w:pPr>
              <w:spacing w:line="240" w:lineRule="exact"/>
              <w:jc w:val="right"/>
              <w:rPr>
                <w:szCs w:val="24"/>
              </w:rPr>
            </w:pPr>
            <w:r>
              <w:rPr>
                <w:rFonts w:ascii="Calibri" w:hAnsi="Calibri" w:cs="Calibri"/>
                <w:color w:val="000000"/>
                <w:sz w:val="22"/>
                <w:szCs w:val="22"/>
              </w:rPr>
              <w:t>2023</w:t>
            </w:r>
          </w:p>
        </w:tc>
        <w:tc>
          <w:tcPr>
            <w:tcW w:w="1009" w:type="dxa"/>
          </w:tcPr>
          <w:p w:rsidR="0053003A" w:rsidP="00A939A8" w14:paraId="671730DB" w14:textId="11FB04B6">
            <w:pPr>
              <w:spacing w:line="240" w:lineRule="exact"/>
              <w:jc w:val="right"/>
              <w:rPr>
                <w:szCs w:val="24"/>
              </w:rPr>
            </w:pPr>
            <w:r>
              <w:rPr>
                <w:rFonts w:ascii="Calibri" w:hAnsi="Calibri" w:cs="Calibri"/>
                <w:color w:val="000000"/>
                <w:sz w:val="22"/>
                <w:szCs w:val="22"/>
              </w:rPr>
              <w:t>43</w:t>
            </w:r>
          </w:p>
        </w:tc>
        <w:tc>
          <w:tcPr>
            <w:tcW w:w="1184" w:type="dxa"/>
          </w:tcPr>
          <w:p w:rsidR="0053003A" w:rsidP="00A939A8" w14:paraId="7FBA2D27" w14:textId="6CA6BB19">
            <w:pPr>
              <w:spacing w:line="240" w:lineRule="exact"/>
              <w:jc w:val="right"/>
              <w:rPr>
                <w:szCs w:val="24"/>
              </w:rPr>
            </w:pPr>
            <w:r>
              <w:rPr>
                <w:szCs w:val="24"/>
              </w:rPr>
              <w:t>9</w:t>
            </w:r>
          </w:p>
        </w:tc>
        <w:tc>
          <w:tcPr>
            <w:tcW w:w="820" w:type="dxa"/>
          </w:tcPr>
          <w:p w:rsidR="0053003A" w:rsidP="00A939A8" w14:paraId="24633977" w14:textId="396071C2">
            <w:pPr>
              <w:spacing w:line="240" w:lineRule="exact"/>
              <w:jc w:val="right"/>
              <w:rPr>
                <w:szCs w:val="24"/>
              </w:rPr>
            </w:pPr>
            <w:r>
              <w:rPr>
                <w:szCs w:val="24"/>
              </w:rPr>
              <w:t>48</w:t>
            </w:r>
          </w:p>
        </w:tc>
        <w:tc>
          <w:tcPr>
            <w:tcW w:w="0" w:type="dxa"/>
          </w:tcPr>
          <w:p w:rsidR="0053003A" w:rsidP="00A939A8" w14:paraId="6B33FA36" w14:textId="76F0969F">
            <w:pPr>
              <w:spacing w:line="240" w:lineRule="exact"/>
              <w:jc w:val="right"/>
              <w:rPr>
                <w:szCs w:val="24"/>
              </w:rPr>
            </w:pPr>
            <w:r w:rsidRPr="000D5E2C">
              <w:rPr>
                <w:rFonts w:ascii="Calibri" w:hAnsi="Calibri" w:cs="Calibri"/>
                <w:color w:val="000000"/>
                <w:sz w:val="22"/>
                <w:szCs w:val="22"/>
              </w:rPr>
              <w:t>100</w:t>
            </w:r>
          </w:p>
        </w:tc>
      </w:tr>
    </w:tbl>
    <w:p w:rsidR="00020F0E" w:rsidP="009E3BD4" w14:paraId="0EE12C53" w14:textId="31385DE4">
      <w:pPr>
        <w:spacing w:line="240" w:lineRule="exact"/>
        <w:rPr>
          <w:szCs w:val="24"/>
        </w:rPr>
      </w:pPr>
    </w:p>
    <w:p w:rsidR="00020F0E" w:rsidRPr="001A625A" w:rsidP="009E3BD4" w14:paraId="64E62F8C" w14:textId="77777777">
      <w:pPr>
        <w:spacing w:line="240" w:lineRule="exact"/>
        <w:rPr>
          <w:szCs w:val="24"/>
        </w:rPr>
      </w:pPr>
    </w:p>
    <w:p w:rsidR="001945BD" w:rsidRPr="001A625A" w14:paraId="3F5E4666" w14:textId="3F319981">
      <w:pPr>
        <w:numPr>
          <w:ilvl w:val="0"/>
          <w:numId w:val="4"/>
        </w:numPr>
        <w:spacing w:line="240" w:lineRule="exact"/>
        <w:rPr>
          <w:szCs w:val="24"/>
        </w:rPr>
      </w:pPr>
      <w:r w:rsidRPr="00D53DEB">
        <w:rPr>
          <w:b/>
          <w:bCs/>
        </w:rPr>
        <w:t>Describe efforts to identify duplication.  Show specifically why any similar information already available cannot be used or modified for use for the purposes described in Item A.2 above</w:t>
      </w:r>
      <w:r>
        <w:rPr>
          <w:b/>
          <w:bCs/>
        </w:rPr>
        <w:t>.</w:t>
      </w:r>
    </w:p>
    <w:p w:rsidR="001945BD" w:rsidRPr="001A625A" w:rsidP="009E3BD4" w14:paraId="1EBF953E" w14:textId="77777777">
      <w:pPr>
        <w:spacing w:line="240" w:lineRule="exact"/>
        <w:rPr>
          <w:szCs w:val="24"/>
        </w:rPr>
      </w:pPr>
    </w:p>
    <w:p w:rsidR="001945BD" w:rsidRPr="001A625A" w:rsidP="00C92E5B" w14:paraId="36CD2B5D" w14:textId="19D44B27">
      <w:pPr>
        <w:spacing w:line="240" w:lineRule="exact"/>
        <w:rPr>
          <w:szCs w:val="24"/>
        </w:rPr>
      </w:pPr>
      <w:r w:rsidRPr="001A625A">
        <w:rPr>
          <w:szCs w:val="24"/>
        </w:rPr>
        <w:t>The CPI is the nation's chief source of information on retail price changes.</w:t>
      </w:r>
      <w:r w:rsidR="0032049C">
        <w:rPr>
          <w:szCs w:val="24"/>
        </w:rPr>
        <w:t xml:space="preserve"> </w:t>
      </w:r>
      <w:r w:rsidRPr="001A625A">
        <w:rPr>
          <w:szCs w:val="24"/>
        </w:rPr>
        <w:t xml:space="preserve">The BLS has made extensive efforts to identify from other government agencies and the scientific literature other sources of data and any duplication of indexes, but to the BLS's knowledge, there is no other series outside of the BLS available which performs the function of the CPI. </w:t>
      </w:r>
    </w:p>
    <w:p w:rsidR="001945BD" w:rsidRPr="001A625A" w:rsidP="00C92E5B" w14:paraId="78055F54" w14:textId="77777777">
      <w:pPr>
        <w:spacing w:line="240" w:lineRule="exact"/>
        <w:rPr>
          <w:szCs w:val="24"/>
        </w:rPr>
      </w:pPr>
    </w:p>
    <w:p w:rsidR="001945BD" w:rsidRPr="001A625A" w:rsidP="00C92E5B" w14:paraId="012723D6" w14:textId="62D31D39">
      <w:pPr>
        <w:spacing w:line="240" w:lineRule="exact"/>
        <w:rPr>
          <w:szCs w:val="24"/>
        </w:rPr>
      </w:pPr>
      <w:r w:rsidRPr="001A625A">
        <w:rPr>
          <w:szCs w:val="24"/>
        </w:rPr>
        <w:t>While there is no similar information available that meets the complete needs of the CPI, there are a few companies that collect and compile limited price data.</w:t>
      </w:r>
      <w:r w:rsidR="0032049C">
        <w:rPr>
          <w:szCs w:val="24"/>
        </w:rPr>
        <w:t xml:space="preserve"> </w:t>
      </w:r>
      <w:r w:rsidRPr="001A625A">
        <w:rPr>
          <w:szCs w:val="24"/>
        </w:rPr>
        <w:t>Data from some of these companies are being analyzed for use as a partial alternative to direct BLS data collection</w:t>
      </w:r>
      <w:r w:rsidRPr="001A625A" w:rsidR="00F13D0C">
        <w:rPr>
          <w:szCs w:val="24"/>
        </w:rPr>
        <w:t>.</w:t>
      </w:r>
    </w:p>
    <w:p w:rsidR="00C92E5B" w:rsidRPr="001A625A" w:rsidP="00C92E5B" w14:paraId="0BE2BECF" w14:textId="77777777">
      <w:pPr>
        <w:spacing w:line="240" w:lineRule="exact"/>
        <w:rPr>
          <w:szCs w:val="24"/>
        </w:rPr>
      </w:pPr>
    </w:p>
    <w:p w:rsidR="00C92E5B" w:rsidRPr="001A625A" w:rsidP="00C92E5B" w14:paraId="14BED408" w14:textId="4E73A9BC">
      <w:pPr>
        <w:spacing w:line="240" w:lineRule="exact"/>
        <w:rPr>
          <w:szCs w:val="24"/>
        </w:rPr>
      </w:pPr>
      <w:r w:rsidRPr="001A625A">
        <w:rPr>
          <w:szCs w:val="24"/>
        </w:rPr>
        <w:t>There is a</w:t>
      </w:r>
      <w:r w:rsidRPr="001A625A" w:rsidR="00676CF6">
        <w:rPr>
          <w:szCs w:val="24"/>
        </w:rPr>
        <w:t xml:space="preserve"> private</w:t>
      </w:r>
      <w:r w:rsidRPr="001A625A">
        <w:rPr>
          <w:szCs w:val="24"/>
        </w:rPr>
        <w:t xml:space="preserve"> </w:t>
      </w:r>
      <w:r w:rsidRPr="001A625A">
        <w:rPr>
          <w:szCs w:val="24"/>
        </w:rPr>
        <w:t xml:space="preserve">organization that </w:t>
      </w:r>
      <w:r w:rsidRPr="001A625A">
        <w:rPr>
          <w:szCs w:val="24"/>
          <w:lang w:val="en"/>
        </w:rPr>
        <w:t>uses price information from hundreds of online retailers around the world to gauge inflation trends.</w:t>
      </w:r>
      <w:r w:rsidR="0032049C">
        <w:rPr>
          <w:szCs w:val="24"/>
          <w:lang w:val="en"/>
        </w:rPr>
        <w:t xml:space="preserve"> </w:t>
      </w:r>
      <w:r w:rsidRPr="001A625A">
        <w:rPr>
          <w:szCs w:val="24"/>
          <w:lang w:val="en"/>
        </w:rPr>
        <w:t xml:space="preserve">In comparison, the CPI is </w:t>
      </w:r>
      <w:r w:rsidRPr="001A625A">
        <w:rPr>
          <w:szCs w:val="24"/>
        </w:rPr>
        <w:t xml:space="preserve">broader and has many sectors </w:t>
      </w:r>
      <w:r w:rsidRPr="001A625A" w:rsidR="00CB2332">
        <w:rPr>
          <w:szCs w:val="24"/>
        </w:rPr>
        <w:t xml:space="preserve">that </w:t>
      </w:r>
      <w:r w:rsidRPr="001A625A" w:rsidR="004347C4">
        <w:rPr>
          <w:szCs w:val="24"/>
        </w:rPr>
        <w:t>are difficult to monitor</w:t>
      </w:r>
      <w:r w:rsidRPr="001A625A">
        <w:rPr>
          <w:szCs w:val="24"/>
        </w:rPr>
        <w:t xml:space="preserve"> online, </w:t>
      </w:r>
      <w:r w:rsidRPr="001A625A">
        <w:rPr>
          <w:szCs w:val="24"/>
        </w:rPr>
        <w:t xml:space="preserve">such as service </w:t>
      </w:r>
      <w:r w:rsidRPr="001A625A">
        <w:rPr>
          <w:szCs w:val="24"/>
        </w:rPr>
        <w:t>industries.</w:t>
      </w:r>
    </w:p>
    <w:p w:rsidR="001945BD" w:rsidRPr="001A625A" w:rsidP="00C92E5B" w14:paraId="55968835" w14:textId="77777777">
      <w:pPr>
        <w:spacing w:line="240" w:lineRule="exact"/>
        <w:rPr>
          <w:szCs w:val="24"/>
        </w:rPr>
      </w:pPr>
    </w:p>
    <w:p w:rsidR="00EB4803" w:rsidRPr="001A625A" w:rsidP="00C92E5B" w14:paraId="61418D8C" w14:textId="2DCD4272">
      <w:pPr>
        <w:spacing w:line="240" w:lineRule="exact"/>
        <w:rPr>
          <w:szCs w:val="24"/>
        </w:rPr>
      </w:pPr>
      <w:r w:rsidRPr="001A625A">
        <w:rPr>
          <w:szCs w:val="24"/>
        </w:rPr>
        <w:t xml:space="preserve">The price programs within the BLS continue to examine potential duplication </w:t>
      </w:r>
      <w:r w:rsidRPr="001A625A" w:rsidR="00D3071D">
        <w:rPr>
          <w:szCs w:val="24"/>
        </w:rPr>
        <w:t>in an effort to</w:t>
      </w:r>
      <w:r w:rsidRPr="001A625A" w:rsidR="00D3071D">
        <w:rPr>
          <w:szCs w:val="24"/>
        </w:rPr>
        <w:t xml:space="preserve"> </w:t>
      </w:r>
      <w:r w:rsidRPr="001A625A">
        <w:rPr>
          <w:szCs w:val="24"/>
        </w:rPr>
        <w:t>expand upon the regular exchange of information for pricing of hospital services.</w:t>
      </w:r>
      <w:r w:rsidR="0032049C">
        <w:rPr>
          <w:szCs w:val="24"/>
        </w:rPr>
        <w:t xml:space="preserve"> </w:t>
      </w:r>
      <w:r w:rsidRPr="001A625A">
        <w:rPr>
          <w:szCs w:val="24"/>
        </w:rPr>
        <w:t>Both the Producer Price Index</w:t>
      </w:r>
      <w:r w:rsidRPr="001A625A" w:rsidR="00AE71DA">
        <w:rPr>
          <w:szCs w:val="24"/>
        </w:rPr>
        <w:t xml:space="preserve"> (PPI)</w:t>
      </w:r>
      <w:r w:rsidRPr="001A625A">
        <w:rPr>
          <w:szCs w:val="24"/>
        </w:rPr>
        <w:t xml:space="preserve"> and the CPI programs collect hospital prices from independently sampled outlets.</w:t>
      </w:r>
      <w:r w:rsidR="0032049C">
        <w:rPr>
          <w:szCs w:val="24"/>
        </w:rPr>
        <w:t xml:space="preserve"> </w:t>
      </w:r>
      <w:r w:rsidRPr="001A625A">
        <w:rPr>
          <w:szCs w:val="24"/>
        </w:rPr>
        <w:t xml:space="preserve">The two programs have a process in place to provide </w:t>
      </w:r>
      <w:r w:rsidRPr="001A625A" w:rsidR="00D3071D">
        <w:rPr>
          <w:szCs w:val="24"/>
        </w:rPr>
        <w:t xml:space="preserve">the </w:t>
      </w:r>
      <w:r w:rsidRPr="001A625A">
        <w:rPr>
          <w:szCs w:val="24"/>
        </w:rPr>
        <w:t xml:space="preserve">PPI with the prices collected by </w:t>
      </w:r>
      <w:r w:rsidRPr="001A625A" w:rsidR="00D3071D">
        <w:rPr>
          <w:szCs w:val="24"/>
        </w:rPr>
        <w:t xml:space="preserve">the </w:t>
      </w:r>
      <w:r w:rsidRPr="001A625A">
        <w:rPr>
          <w:szCs w:val="24"/>
        </w:rPr>
        <w:t>CPI.</w:t>
      </w:r>
      <w:r w:rsidR="0032049C">
        <w:rPr>
          <w:szCs w:val="24"/>
        </w:rPr>
        <w:t xml:space="preserve"> </w:t>
      </w:r>
    </w:p>
    <w:p w:rsidR="001945BD" w:rsidRPr="001A625A" w14:paraId="547BA6D0" w14:textId="77777777">
      <w:pPr>
        <w:spacing w:line="240" w:lineRule="exact"/>
        <w:rPr>
          <w:szCs w:val="24"/>
        </w:rPr>
      </w:pPr>
    </w:p>
    <w:p w:rsidR="001945BD" w:rsidRPr="001A625A" w14:paraId="26BB555A" w14:textId="50F1174D">
      <w:pPr>
        <w:numPr>
          <w:ilvl w:val="0"/>
          <w:numId w:val="4"/>
        </w:numPr>
        <w:spacing w:line="240" w:lineRule="exact"/>
        <w:rPr>
          <w:szCs w:val="24"/>
        </w:rPr>
      </w:pPr>
      <w:r w:rsidRPr="00D53DEB">
        <w:rPr>
          <w:b/>
          <w:bCs/>
        </w:rPr>
        <w:t>If the collection of information impacts small businesses or other small entities, describe any methods used to minimize burden</w:t>
      </w:r>
      <w:r>
        <w:rPr>
          <w:szCs w:val="24"/>
        </w:rPr>
        <w:t>.</w:t>
      </w:r>
    </w:p>
    <w:p w:rsidR="001945BD" w:rsidRPr="001A625A" w:rsidP="00967D04" w14:paraId="7BC624B9" w14:textId="77777777">
      <w:pPr>
        <w:spacing w:line="240" w:lineRule="exact"/>
        <w:rPr>
          <w:szCs w:val="24"/>
        </w:rPr>
      </w:pPr>
    </w:p>
    <w:p w:rsidR="001945BD" w:rsidRPr="001A625A" w14:paraId="58A379F5" w14:textId="329D07ED">
      <w:pPr>
        <w:spacing w:line="240" w:lineRule="exact"/>
        <w:rPr>
          <w:szCs w:val="24"/>
        </w:rPr>
      </w:pPr>
      <w:r>
        <w:rPr>
          <w:szCs w:val="24"/>
        </w:rPr>
        <w:t>T</w:t>
      </w:r>
      <w:r w:rsidRPr="001A625A" w:rsidR="00477BEB">
        <w:rPr>
          <w:szCs w:val="24"/>
        </w:rPr>
        <w:t>he continuous efforts on the part of BLS staff to collect data without the respondent’s assistance</w:t>
      </w:r>
      <w:r>
        <w:rPr>
          <w:szCs w:val="24"/>
        </w:rPr>
        <w:t xml:space="preserve"> minimize the burden on small business</w:t>
      </w:r>
      <w:r w:rsidRPr="001A625A" w:rsidR="00477BEB">
        <w:rPr>
          <w:szCs w:val="24"/>
        </w:rPr>
        <w:t>.</w:t>
      </w:r>
      <w:r w:rsidR="0032049C">
        <w:rPr>
          <w:szCs w:val="24"/>
        </w:rPr>
        <w:t xml:space="preserve"> </w:t>
      </w:r>
      <w:r w:rsidRPr="001A625A" w:rsidR="00477BEB">
        <w:rPr>
          <w:szCs w:val="24"/>
        </w:rPr>
        <w:t>Additionally, BLS staff may contact respondents by telephone</w:t>
      </w:r>
      <w:r w:rsidR="000A5A22">
        <w:rPr>
          <w:szCs w:val="24"/>
        </w:rPr>
        <w:t xml:space="preserve">, email, </w:t>
      </w:r>
      <w:r w:rsidR="00A1497A">
        <w:rPr>
          <w:szCs w:val="24"/>
        </w:rPr>
        <w:t xml:space="preserve">video call, </w:t>
      </w:r>
      <w:r w:rsidR="000A5A22">
        <w:rPr>
          <w:szCs w:val="24"/>
        </w:rPr>
        <w:t>or using the respondent’s website</w:t>
      </w:r>
      <w:r w:rsidRPr="001A625A" w:rsidR="00477BEB">
        <w:rPr>
          <w:szCs w:val="24"/>
        </w:rPr>
        <w:t xml:space="preserve"> to collect data when appropriate.</w:t>
      </w:r>
      <w:r w:rsidR="0032049C">
        <w:rPr>
          <w:szCs w:val="24"/>
        </w:rPr>
        <w:t xml:space="preserve"> </w:t>
      </w:r>
      <w:r w:rsidRPr="001A625A" w:rsidR="00477BEB">
        <w:rPr>
          <w:szCs w:val="24"/>
        </w:rPr>
        <w:t xml:space="preserve"> Even more importantly, the burden on small businesses is minimized by the sample rotation process, through which new outlets are selected in a subset of categories in each of </w:t>
      </w:r>
      <w:r w:rsidR="000F322D">
        <w:rPr>
          <w:szCs w:val="24"/>
        </w:rPr>
        <w:t>the</w:t>
      </w:r>
      <w:r w:rsidRPr="001A625A" w:rsidR="00477BEB">
        <w:rPr>
          <w:szCs w:val="24"/>
        </w:rPr>
        <w:t xml:space="preserve"> </w:t>
      </w:r>
      <w:r w:rsidRPr="001A625A" w:rsidR="00967745">
        <w:rPr>
          <w:szCs w:val="24"/>
        </w:rPr>
        <w:t xml:space="preserve">75 </w:t>
      </w:r>
      <w:r w:rsidRPr="001A625A" w:rsidR="00477BEB">
        <w:rPr>
          <w:szCs w:val="24"/>
        </w:rPr>
        <w:t xml:space="preserve">sample areas every year, so that over a </w:t>
      </w:r>
      <w:r w:rsidRPr="001A625A" w:rsidR="001A625A">
        <w:rPr>
          <w:szCs w:val="24"/>
        </w:rPr>
        <w:t>four-year</w:t>
      </w:r>
      <w:r w:rsidRPr="001A625A" w:rsidR="00477BEB">
        <w:rPr>
          <w:szCs w:val="24"/>
        </w:rPr>
        <w:t xml:space="preserve"> period nearly all categories are rotated in all areas.</w:t>
      </w:r>
      <w:r w:rsidR="0032049C">
        <w:rPr>
          <w:szCs w:val="24"/>
        </w:rPr>
        <w:t xml:space="preserve"> </w:t>
      </w:r>
      <w:r w:rsidRPr="001A625A">
        <w:rPr>
          <w:szCs w:val="24"/>
        </w:rPr>
        <w:t>Thus, a small outlet would rarely remain in the survey for more than four years.</w:t>
      </w:r>
      <w:r w:rsidR="0032049C">
        <w:rPr>
          <w:szCs w:val="24"/>
        </w:rPr>
        <w:t xml:space="preserve"> </w:t>
      </w:r>
      <w:r w:rsidRPr="001A625A">
        <w:rPr>
          <w:szCs w:val="24"/>
        </w:rPr>
        <w:t>Furthermore, since outlets and the specific items within outlets are selected for pricing with probability proportional to their dollar volume sales, it is rare for more than a few items to be priced in any one small outlet.</w:t>
      </w:r>
      <w:r w:rsidR="0032049C">
        <w:rPr>
          <w:szCs w:val="24"/>
        </w:rPr>
        <w:t xml:space="preserve"> </w:t>
      </w:r>
      <w:r w:rsidRPr="001A625A">
        <w:rPr>
          <w:szCs w:val="24"/>
        </w:rPr>
        <w:t xml:space="preserve">In addition, if an outlet requests that current price collection be conducted </w:t>
      </w:r>
      <w:r w:rsidR="000F322D">
        <w:rPr>
          <w:szCs w:val="24"/>
        </w:rPr>
        <w:t>through</w:t>
      </w:r>
      <w:r w:rsidRPr="001A625A">
        <w:rPr>
          <w:szCs w:val="24"/>
        </w:rPr>
        <w:t xml:space="preserve"> their website </w:t>
      </w:r>
      <w:r w:rsidRPr="001A625A" w:rsidR="00D3071D">
        <w:rPr>
          <w:szCs w:val="24"/>
        </w:rPr>
        <w:t xml:space="preserve">the CPI </w:t>
      </w:r>
      <w:r w:rsidRPr="001A625A">
        <w:rPr>
          <w:szCs w:val="24"/>
        </w:rPr>
        <w:t>will comply.</w:t>
      </w:r>
      <w:r>
        <w:rPr>
          <w:rStyle w:val="FootnoteReference"/>
          <w:szCs w:val="24"/>
        </w:rPr>
        <w:footnoteReference w:id="3"/>
      </w:r>
      <w:r w:rsidR="0032049C">
        <w:rPr>
          <w:szCs w:val="24"/>
        </w:rPr>
        <w:t xml:space="preserve"> </w:t>
      </w:r>
      <w:r w:rsidRPr="001A625A">
        <w:rPr>
          <w:szCs w:val="24"/>
        </w:rPr>
        <w:t xml:space="preserve"> </w:t>
      </w:r>
    </w:p>
    <w:p w:rsidR="00157C11" w:rsidRPr="001A625A" w14:paraId="6217C1CA" w14:textId="77777777">
      <w:pPr>
        <w:spacing w:line="240" w:lineRule="exact"/>
        <w:rPr>
          <w:szCs w:val="24"/>
        </w:rPr>
      </w:pPr>
    </w:p>
    <w:p w:rsidR="001945BD" w:rsidRPr="001A625A" w14:paraId="128A9655" w14:textId="4477F995">
      <w:pPr>
        <w:numPr>
          <w:ilvl w:val="0"/>
          <w:numId w:val="4"/>
        </w:numPr>
        <w:spacing w:line="240" w:lineRule="exact"/>
        <w:rPr>
          <w:szCs w:val="24"/>
        </w:rPr>
      </w:pPr>
      <w:r w:rsidRPr="00D53DEB">
        <w:rPr>
          <w:b/>
          <w:bCs/>
        </w:rPr>
        <w:t>Describe the consequence to federal program or policy activities if the collection is not conducted or is conducted less frequently, as well as any technical or legal obstacles to reducing burden</w:t>
      </w:r>
      <w:r>
        <w:rPr>
          <w:szCs w:val="24"/>
        </w:rPr>
        <w:t>.</w:t>
      </w:r>
    </w:p>
    <w:p w:rsidR="001945BD" w:rsidRPr="001A625A" w:rsidP="009E3BD4" w14:paraId="69B5E4B0" w14:textId="77777777">
      <w:pPr>
        <w:spacing w:line="240" w:lineRule="exact"/>
        <w:rPr>
          <w:szCs w:val="24"/>
        </w:rPr>
      </w:pPr>
    </w:p>
    <w:p w:rsidR="001945BD" w:rsidRPr="001A625A" w:rsidP="00C92E5B" w14:paraId="02131B6B" w14:textId="2E2EFE55">
      <w:pPr>
        <w:spacing w:line="240" w:lineRule="exact"/>
        <w:rPr>
          <w:szCs w:val="24"/>
        </w:rPr>
      </w:pPr>
      <w:r w:rsidRPr="001A625A">
        <w:rPr>
          <w:szCs w:val="24"/>
        </w:rPr>
        <w:t>If the information on prices of commodities and services were not collected, the</w:t>
      </w:r>
      <w:r w:rsidRPr="001A625A" w:rsidR="00D3071D">
        <w:rPr>
          <w:szCs w:val="24"/>
        </w:rPr>
        <w:t xml:space="preserve"> CPI</w:t>
      </w:r>
      <w:r w:rsidR="00290B65">
        <w:rPr>
          <w:szCs w:val="24"/>
        </w:rPr>
        <w:t>-U</w:t>
      </w:r>
      <w:r w:rsidRPr="001A625A" w:rsidR="00AA4F6B">
        <w:rPr>
          <w:szCs w:val="24"/>
        </w:rPr>
        <w:t>,</w:t>
      </w:r>
      <w:r w:rsidR="00290B65">
        <w:rPr>
          <w:szCs w:val="24"/>
        </w:rPr>
        <w:t xml:space="preserve"> the CPI-W</w:t>
      </w:r>
      <w:r w:rsidRPr="001A625A" w:rsidR="00AA4F6B">
        <w:rPr>
          <w:szCs w:val="24"/>
        </w:rPr>
        <w:t xml:space="preserve"> the C-CPI-U</w:t>
      </w:r>
      <w:r w:rsidRPr="001A625A" w:rsidR="00D773C4">
        <w:rPr>
          <w:szCs w:val="24"/>
        </w:rPr>
        <w:t>,</w:t>
      </w:r>
      <w:r w:rsidRPr="001A625A" w:rsidR="00AA4F6B">
        <w:rPr>
          <w:szCs w:val="24"/>
        </w:rPr>
        <w:t xml:space="preserve"> and the </w:t>
      </w:r>
      <w:r w:rsidR="003B5AC2">
        <w:rPr>
          <w:szCs w:val="24"/>
        </w:rPr>
        <w:t>R-</w:t>
      </w:r>
      <w:r w:rsidRPr="001A625A" w:rsidR="00AA4F6B">
        <w:rPr>
          <w:szCs w:val="24"/>
        </w:rPr>
        <w:t xml:space="preserve">CPI-E </w:t>
      </w:r>
      <w:r w:rsidR="00290B65">
        <w:rPr>
          <w:szCs w:val="24"/>
        </w:rPr>
        <w:t xml:space="preserve">and other CPI research series </w:t>
      </w:r>
      <w:r w:rsidRPr="001A625A" w:rsidR="00AA4F6B">
        <w:rPr>
          <w:szCs w:val="24"/>
        </w:rPr>
        <w:t>would not exist.</w:t>
      </w:r>
      <w:r w:rsidR="0032049C">
        <w:rPr>
          <w:szCs w:val="24"/>
        </w:rPr>
        <w:t xml:space="preserve"> </w:t>
      </w:r>
      <w:r w:rsidRPr="001A625A" w:rsidR="00AA4F6B">
        <w:rPr>
          <w:szCs w:val="24"/>
        </w:rPr>
        <w:t xml:space="preserve">The </w:t>
      </w:r>
      <w:r w:rsidRPr="001A625A">
        <w:rPr>
          <w:szCs w:val="24"/>
        </w:rPr>
        <w:t xml:space="preserve">programs discussed </w:t>
      </w:r>
      <w:r w:rsidRPr="001A625A" w:rsidR="001A4462">
        <w:rPr>
          <w:szCs w:val="24"/>
        </w:rPr>
        <w:t xml:space="preserve">above </w:t>
      </w:r>
      <w:r w:rsidRPr="001A625A">
        <w:rPr>
          <w:szCs w:val="24"/>
        </w:rPr>
        <w:t xml:space="preserve">in </w:t>
      </w:r>
      <w:r w:rsidRPr="001A625A" w:rsidR="00AA4F6B">
        <w:rPr>
          <w:szCs w:val="24"/>
        </w:rPr>
        <w:t xml:space="preserve">section </w:t>
      </w:r>
      <w:r w:rsidRPr="001A625A">
        <w:rPr>
          <w:szCs w:val="24"/>
        </w:rPr>
        <w:t>2</w:t>
      </w:r>
      <w:r w:rsidRPr="001A625A" w:rsidR="00AA4F6B">
        <w:rPr>
          <w:szCs w:val="24"/>
        </w:rPr>
        <w:t xml:space="preserve"> </w:t>
      </w:r>
      <w:r w:rsidRPr="001A625A" w:rsidR="001A4462">
        <w:rPr>
          <w:szCs w:val="24"/>
        </w:rPr>
        <w:t>“</w:t>
      </w:r>
      <w:r w:rsidRPr="001A625A" w:rsidR="00AA4F6B">
        <w:rPr>
          <w:szCs w:val="24"/>
        </w:rPr>
        <w:t>Uses of the Information</w:t>
      </w:r>
      <w:r w:rsidRPr="001A625A" w:rsidR="001A4462">
        <w:rPr>
          <w:szCs w:val="24"/>
        </w:rPr>
        <w:t>”</w:t>
      </w:r>
      <w:r w:rsidRPr="001A625A">
        <w:rPr>
          <w:szCs w:val="24"/>
        </w:rPr>
        <w:t xml:space="preserve"> could not function properly.</w:t>
      </w:r>
      <w:r w:rsidR="0032049C">
        <w:rPr>
          <w:szCs w:val="24"/>
        </w:rPr>
        <w:t xml:space="preserve"> </w:t>
      </w:r>
      <w:r w:rsidRPr="001A625A">
        <w:rPr>
          <w:szCs w:val="24"/>
        </w:rPr>
        <w:t>Federal fiscal and monetary policies would be hampered due to the lack of information on price changes in a major sector of the U.S. economy</w:t>
      </w:r>
      <w:r w:rsidR="007F6021">
        <w:rPr>
          <w:szCs w:val="24"/>
        </w:rPr>
        <w:t>,</w:t>
      </w:r>
      <w:r w:rsidRPr="001A625A">
        <w:rPr>
          <w:szCs w:val="24"/>
        </w:rPr>
        <w:t xml:space="preserve"> and estimates of the real value of </w:t>
      </w:r>
      <w:r w:rsidRPr="001A625A" w:rsidR="006D638E">
        <w:rPr>
          <w:szCs w:val="24"/>
        </w:rPr>
        <w:t xml:space="preserve">GDP </w:t>
      </w:r>
      <w:r w:rsidRPr="001A625A">
        <w:rPr>
          <w:szCs w:val="24"/>
        </w:rPr>
        <w:t>could not be made.</w:t>
      </w:r>
      <w:r w:rsidR="0032049C">
        <w:rPr>
          <w:szCs w:val="24"/>
        </w:rPr>
        <w:t xml:space="preserve"> </w:t>
      </w:r>
      <w:r w:rsidRPr="001A625A">
        <w:rPr>
          <w:szCs w:val="24"/>
        </w:rPr>
        <w:t>The consequences to both the Federal and private sectors would be far-reaching and would have serious repercussions on Federal government policy and institutions.</w:t>
      </w:r>
    </w:p>
    <w:p w:rsidR="001945BD" w:rsidRPr="001A625A" w14:paraId="320F856E" w14:textId="77777777">
      <w:pPr>
        <w:spacing w:line="240" w:lineRule="exact"/>
        <w:rPr>
          <w:szCs w:val="24"/>
        </w:rPr>
      </w:pPr>
    </w:p>
    <w:p w:rsidR="001945BD" w14:paraId="187E913A" w14:textId="1CCE1099">
      <w:pPr>
        <w:spacing w:line="240" w:lineRule="exact"/>
        <w:rPr>
          <w:szCs w:val="24"/>
        </w:rPr>
      </w:pPr>
      <w:r w:rsidRPr="001A625A">
        <w:rPr>
          <w:szCs w:val="24"/>
        </w:rPr>
        <w:t>If collection were conducted less frequently</w:t>
      </w:r>
      <w:r w:rsidR="006551F3">
        <w:rPr>
          <w:szCs w:val="24"/>
        </w:rPr>
        <w:t xml:space="preserve"> than currently performed</w:t>
      </w:r>
      <w:r w:rsidRPr="001A625A">
        <w:rPr>
          <w:szCs w:val="24"/>
        </w:rPr>
        <w:t>, the timeliness and accuracy of the CPI would be significantly decreased.</w:t>
      </w:r>
    </w:p>
    <w:p w:rsidR="00020F0E" w:rsidRPr="001A625A" w14:paraId="2F68483C" w14:textId="77777777">
      <w:pPr>
        <w:spacing w:line="240" w:lineRule="exact"/>
        <w:rPr>
          <w:szCs w:val="24"/>
        </w:rPr>
      </w:pPr>
    </w:p>
    <w:p w:rsidR="001945BD" w:rsidRPr="001A625A" w14:paraId="4A961465" w14:textId="77777777">
      <w:pPr>
        <w:spacing w:line="240" w:lineRule="exact"/>
        <w:rPr>
          <w:szCs w:val="24"/>
        </w:rPr>
      </w:pPr>
    </w:p>
    <w:p w:rsidR="00B00F6D" w:rsidRPr="00D53DEB" w:rsidP="00AC13E5" w14:paraId="3D29CC6D" w14:textId="4D5C6014">
      <w:pPr>
        <w:pStyle w:val="ListParagraph"/>
        <w:numPr>
          <w:ilvl w:val="0"/>
          <w:numId w:val="4"/>
        </w:numPr>
      </w:pPr>
      <w:bookmarkStart w:id="0" w:name="_Hlk129329492"/>
      <w:r w:rsidRPr="00AC13E5">
        <w:rPr>
          <w:b/>
          <w:bCs/>
        </w:rPr>
        <w:t>Explain any special circumstances that would cause an information collection to be conducted in a manner:</w:t>
      </w:r>
    </w:p>
    <w:p w:rsidR="00B00F6D" w:rsidRPr="00B65823" w:rsidP="00B00F6D" w14:paraId="0794490B" w14:textId="77777777">
      <w:pPr>
        <w:rPr>
          <w:b/>
        </w:rPr>
      </w:pPr>
    </w:p>
    <w:p w:rsidR="00B00F6D" w:rsidRPr="003E1039" w:rsidP="00B00F6D" w14:paraId="5EC2DD7F" w14:textId="77777777">
      <w:pPr>
        <w:numPr>
          <w:ilvl w:val="0"/>
          <w:numId w:val="15"/>
        </w:numPr>
        <w:tabs>
          <w:tab w:val="clear" w:pos="1080"/>
        </w:tabs>
        <w:autoSpaceDE w:val="0"/>
        <w:autoSpaceDN w:val="0"/>
        <w:adjustRightInd w:val="0"/>
        <w:spacing w:after="120"/>
        <w:rPr>
          <w:b/>
          <w:bCs/>
        </w:rPr>
      </w:pPr>
      <w:r w:rsidRPr="003E1039">
        <w:rPr>
          <w:b/>
          <w:bCs/>
        </w:rPr>
        <w:t>requiring respondents to report information to the agency more often than quarterly;</w:t>
      </w:r>
    </w:p>
    <w:p w:rsidR="00B00F6D" w:rsidRPr="003E1039" w:rsidP="00B00F6D" w14:paraId="74B83B4F" w14:textId="77777777">
      <w:pPr>
        <w:numPr>
          <w:ilvl w:val="0"/>
          <w:numId w:val="15"/>
        </w:numPr>
        <w:tabs>
          <w:tab w:val="clear" w:pos="1080"/>
        </w:tabs>
        <w:autoSpaceDE w:val="0"/>
        <w:autoSpaceDN w:val="0"/>
        <w:adjustRightInd w:val="0"/>
        <w:spacing w:after="120"/>
        <w:rPr>
          <w:b/>
          <w:bCs/>
        </w:rPr>
      </w:pPr>
      <w:r w:rsidRPr="003E1039">
        <w:rPr>
          <w:b/>
          <w:bCs/>
        </w:rPr>
        <w:t>requiring respondents to prepare a written response to a collection of information in fewer than 30 days after receipt of it;</w:t>
      </w:r>
    </w:p>
    <w:p w:rsidR="00B00F6D" w:rsidRPr="003E1039" w:rsidP="00B00F6D" w14:paraId="5AC82E4C" w14:textId="77777777">
      <w:pPr>
        <w:numPr>
          <w:ilvl w:val="0"/>
          <w:numId w:val="15"/>
        </w:numPr>
        <w:tabs>
          <w:tab w:val="clear" w:pos="1080"/>
        </w:tabs>
        <w:autoSpaceDE w:val="0"/>
        <w:autoSpaceDN w:val="0"/>
        <w:adjustRightInd w:val="0"/>
        <w:spacing w:after="120"/>
        <w:rPr>
          <w:b/>
          <w:bCs/>
        </w:rPr>
      </w:pPr>
      <w:r w:rsidRPr="003E1039">
        <w:rPr>
          <w:b/>
          <w:bCs/>
        </w:rPr>
        <w:t>requiring respondents to submit more than an original and two copies of any document;</w:t>
      </w:r>
    </w:p>
    <w:p w:rsidR="00B00F6D" w:rsidRPr="003E1039" w:rsidP="00B00F6D" w14:paraId="4CA50954" w14:textId="77777777">
      <w:pPr>
        <w:numPr>
          <w:ilvl w:val="0"/>
          <w:numId w:val="15"/>
        </w:numPr>
        <w:tabs>
          <w:tab w:val="clear" w:pos="1080"/>
        </w:tabs>
        <w:autoSpaceDE w:val="0"/>
        <w:autoSpaceDN w:val="0"/>
        <w:adjustRightInd w:val="0"/>
        <w:spacing w:after="120"/>
        <w:rPr>
          <w:b/>
          <w:bCs/>
        </w:rPr>
      </w:pPr>
      <w:r w:rsidRPr="003E1039">
        <w:rPr>
          <w:b/>
          <w:bCs/>
        </w:rPr>
        <w:t>requiring respondents to retain records, other than health, medical, government contract, grant-in-aid, or tax records for more than three years;</w:t>
      </w:r>
    </w:p>
    <w:p w:rsidR="00B00F6D" w:rsidRPr="003E1039" w:rsidP="00B00F6D" w14:paraId="7263AEAF" w14:textId="77777777">
      <w:pPr>
        <w:numPr>
          <w:ilvl w:val="0"/>
          <w:numId w:val="15"/>
        </w:numPr>
        <w:tabs>
          <w:tab w:val="clear" w:pos="1080"/>
        </w:tabs>
        <w:autoSpaceDE w:val="0"/>
        <w:autoSpaceDN w:val="0"/>
        <w:adjustRightInd w:val="0"/>
        <w:spacing w:after="120"/>
        <w:rPr>
          <w:b/>
          <w:bCs/>
        </w:rPr>
      </w:pPr>
      <w:r w:rsidRPr="003E1039">
        <w:rPr>
          <w:b/>
          <w:bCs/>
        </w:rPr>
        <w:t>in connection with a statistical survey, that is not designed to produce valid and reliable results that can be generalized to the universe of study;</w:t>
      </w:r>
    </w:p>
    <w:p w:rsidR="00B00F6D" w:rsidRPr="003E1039" w:rsidP="00B00F6D" w14:paraId="7531613D" w14:textId="77777777">
      <w:pPr>
        <w:numPr>
          <w:ilvl w:val="0"/>
          <w:numId w:val="15"/>
        </w:numPr>
        <w:tabs>
          <w:tab w:val="clear" w:pos="1080"/>
        </w:tabs>
        <w:autoSpaceDE w:val="0"/>
        <w:autoSpaceDN w:val="0"/>
        <w:adjustRightInd w:val="0"/>
        <w:spacing w:after="120"/>
        <w:rPr>
          <w:b/>
          <w:bCs/>
        </w:rPr>
      </w:pPr>
      <w:r w:rsidRPr="003E1039">
        <w:rPr>
          <w:b/>
          <w:bCs/>
        </w:rPr>
        <w:t>requiring the use of statistical data classification that has not been reviewed and approved by OMB;</w:t>
      </w:r>
    </w:p>
    <w:p w:rsidR="00B00F6D" w:rsidRPr="003E1039" w:rsidP="00B00F6D" w14:paraId="026C5022" w14:textId="77777777">
      <w:pPr>
        <w:numPr>
          <w:ilvl w:val="0"/>
          <w:numId w:val="15"/>
        </w:numPr>
        <w:tabs>
          <w:tab w:val="clear" w:pos="1080"/>
        </w:tabs>
        <w:autoSpaceDE w:val="0"/>
        <w:autoSpaceDN w:val="0"/>
        <w:adjustRightInd w:val="0"/>
        <w:spacing w:after="120"/>
        <w:rPr>
          <w:b/>
          <w:bCs/>
        </w:rPr>
      </w:pPr>
      <w:r w:rsidRPr="003E103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00F6D" w:rsidRPr="00B65823" w:rsidP="00B00F6D" w14:paraId="104ADC48" w14:textId="77777777">
      <w:pPr>
        <w:numPr>
          <w:ilvl w:val="0"/>
          <w:numId w:val="15"/>
        </w:numPr>
        <w:tabs>
          <w:tab w:val="clear" w:pos="1080"/>
        </w:tabs>
        <w:autoSpaceDE w:val="0"/>
        <w:autoSpaceDN w:val="0"/>
        <w:adjustRightInd w:val="0"/>
        <w:rPr>
          <w:b/>
          <w:bCs/>
        </w:rPr>
      </w:pPr>
      <w:r w:rsidRPr="003E1039">
        <w:rPr>
          <w:b/>
          <w:bCs/>
        </w:rPr>
        <w:t>requiring respondents to submit proprietary trade secret, or other confidential information unless the agency can demonstrate that it has instituted procedures to protect the information's confidentially to the extent permitted by law</w:t>
      </w:r>
      <w:bookmarkEnd w:id="0"/>
      <w:r w:rsidRPr="003E1039">
        <w:rPr>
          <w:b/>
          <w:bCs/>
        </w:rPr>
        <w:t>.</w:t>
      </w:r>
    </w:p>
    <w:p w:rsidR="00B00F6D" w:rsidRPr="00D53DEB" w:rsidP="00B00F6D" w14:paraId="22F164EA" w14:textId="77777777">
      <w:pPr>
        <w:pStyle w:val="Level1"/>
        <w:widowControl/>
        <w:ind w:left="0" w:firstLine="0"/>
      </w:pPr>
    </w:p>
    <w:p w:rsidR="00AC13E5" w:rsidRPr="001A625A" w:rsidP="00B62605" w14:paraId="0F042E1B" w14:textId="77777777">
      <w:pPr>
        <w:spacing w:line="240" w:lineRule="exact"/>
        <w:ind w:left="360"/>
        <w:rPr>
          <w:szCs w:val="24"/>
        </w:rPr>
      </w:pPr>
    </w:p>
    <w:p w:rsidR="001945BD" w:rsidRPr="00AC13E5" w:rsidP="009E3BD4" w14:paraId="628467A4" w14:textId="77777777">
      <w:pPr>
        <w:spacing w:line="240" w:lineRule="exact"/>
        <w:rPr>
          <w:szCs w:val="24"/>
        </w:rPr>
      </w:pPr>
    </w:p>
    <w:p w:rsidR="00AC13E5" w:rsidP="00AC13E5" w14:paraId="10298175" w14:textId="4B048AF1">
      <w:pPr>
        <w:spacing w:line="240" w:lineRule="exact"/>
        <w:rPr>
          <w:szCs w:val="24"/>
        </w:rPr>
      </w:pPr>
      <w:r>
        <w:rPr>
          <w:szCs w:val="24"/>
        </w:rPr>
        <w:t>Most</w:t>
      </w:r>
      <w:r w:rsidRPr="00B62605">
        <w:rPr>
          <w:szCs w:val="24"/>
        </w:rPr>
        <w:t xml:space="preserve"> </w:t>
      </w:r>
      <w:r>
        <w:rPr>
          <w:szCs w:val="24"/>
        </w:rPr>
        <w:t>CPI</w:t>
      </w:r>
      <w:r w:rsidRPr="00B62605">
        <w:rPr>
          <w:szCs w:val="24"/>
        </w:rPr>
        <w:t xml:space="preserve"> </w:t>
      </w:r>
      <w:r>
        <w:rPr>
          <w:szCs w:val="24"/>
        </w:rPr>
        <w:t>commodities and services data</w:t>
      </w:r>
      <w:r w:rsidRPr="00B62605">
        <w:rPr>
          <w:szCs w:val="24"/>
        </w:rPr>
        <w:t xml:space="preserve"> are collected on a monthly </w:t>
      </w:r>
      <w:r>
        <w:rPr>
          <w:szCs w:val="24"/>
        </w:rPr>
        <w:t xml:space="preserve">or bimonthly </w:t>
      </w:r>
      <w:r w:rsidRPr="00B62605">
        <w:rPr>
          <w:szCs w:val="24"/>
        </w:rPr>
        <w:t xml:space="preserve">basis. This monthly </w:t>
      </w:r>
      <w:r>
        <w:rPr>
          <w:szCs w:val="24"/>
        </w:rPr>
        <w:t xml:space="preserve">and bimonthly </w:t>
      </w:r>
      <w:r w:rsidRPr="00B62605">
        <w:rPr>
          <w:szCs w:val="24"/>
        </w:rPr>
        <w:t xml:space="preserve">collection of price data enables the </w:t>
      </w:r>
      <w:r>
        <w:rPr>
          <w:szCs w:val="24"/>
        </w:rPr>
        <w:t>BLS</w:t>
      </w:r>
      <w:r w:rsidRPr="00B62605">
        <w:rPr>
          <w:szCs w:val="24"/>
        </w:rPr>
        <w:t xml:space="preserve"> to produce monthly </w:t>
      </w:r>
      <w:r>
        <w:rPr>
          <w:szCs w:val="24"/>
        </w:rPr>
        <w:t>CPI data</w:t>
      </w:r>
      <w:r w:rsidRPr="00B62605">
        <w:rPr>
          <w:szCs w:val="24"/>
        </w:rPr>
        <w:t>.</w:t>
      </w:r>
      <w:r w:rsidR="0077673C">
        <w:rPr>
          <w:szCs w:val="24"/>
        </w:rPr>
        <w:t xml:space="preserve"> </w:t>
      </w:r>
      <w:r w:rsidRPr="0077673C">
        <w:rPr>
          <w:szCs w:val="24"/>
        </w:rPr>
        <w:t xml:space="preserve">Currently, the </w:t>
      </w:r>
      <w:r>
        <w:rPr>
          <w:szCs w:val="24"/>
        </w:rPr>
        <w:t>CPI</w:t>
      </w:r>
      <w:r w:rsidRPr="0077673C">
        <w:rPr>
          <w:szCs w:val="24"/>
        </w:rPr>
        <w:t xml:space="preserve"> Press Release is published during the second or third week of the month following the reference period.</w:t>
      </w:r>
    </w:p>
    <w:p w:rsidR="00AC13E5" w:rsidRPr="00AC13E5" w:rsidP="00AC13E5" w14:paraId="5C0EBEC1" w14:textId="77777777">
      <w:pPr>
        <w:spacing w:line="240" w:lineRule="exact"/>
        <w:rPr>
          <w:szCs w:val="24"/>
        </w:rPr>
      </w:pPr>
    </w:p>
    <w:p w:rsidR="001945BD" w:rsidRPr="001A625A" w14:paraId="0C88DB1E" w14:textId="18500B44">
      <w:pPr>
        <w:spacing w:line="240" w:lineRule="exact"/>
        <w:rPr>
          <w:szCs w:val="24"/>
        </w:rPr>
      </w:pPr>
      <w:r w:rsidRPr="001A625A">
        <w:rPr>
          <w:szCs w:val="24"/>
        </w:rPr>
        <w:t>All data are collected in a manner consistent with the guidelines in</w:t>
      </w:r>
      <w:r w:rsidRPr="001A625A" w:rsidR="00716EE9">
        <w:rPr>
          <w:szCs w:val="24"/>
        </w:rPr>
        <w:t xml:space="preserve"> the Code of Federal Regulations</w:t>
      </w:r>
      <w:r w:rsidRPr="001A625A">
        <w:rPr>
          <w:szCs w:val="24"/>
        </w:rPr>
        <w:t xml:space="preserve"> 5 CFR 1320.5</w:t>
      </w:r>
      <w:r w:rsidRPr="001A625A" w:rsidR="00C40393">
        <w:rPr>
          <w:szCs w:val="24"/>
        </w:rPr>
        <w:t>. (</w:t>
      </w:r>
      <w:r w:rsidRPr="001A625A">
        <w:rPr>
          <w:szCs w:val="24"/>
        </w:rPr>
        <w:t>d)(2).</w:t>
      </w:r>
    </w:p>
    <w:p w:rsidR="001945BD" w:rsidRPr="001A625A" w14:paraId="794ACDE2" w14:textId="77777777">
      <w:pPr>
        <w:spacing w:line="240" w:lineRule="exact"/>
        <w:rPr>
          <w:szCs w:val="24"/>
        </w:rPr>
      </w:pPr>
    </w:p>
    <w:p w:rsidR="00B00F6D" w:rsidRPr="00D53DEB" w:rsidP="00BE76E0" w14:paraId="51ABE756" w14:textId="069CA901">
      <w:pPr>
        <w:pStyle w:val="ListParagraph"/>
        <w:numPr>
          <w:ilvl w:val="0"/>
          <w:numId w:val="4"/>
        </w:numPr>
      </w:pPr>
      <w:r w:rsidRPr="00AC13E5">
        <w:rPr>
          <w:b/>
          <w:bCs/>
        </w:rPr>
        <w:t xml:space="preserve">If applicable, provide a copy and identify the date and page number of </w:t>
      </w:r>
      <w:r w:rsidRPr="00AC13E5">
        <w:rPr>
          <w:b/>
          <w:bCs/>
        </w:rPr>
        <w:t>publication</w:t>
      </w:r>
      <w:r w:rsidRPr="00AC13E5">
        <w:rPr>
          <w:b/>
          <w:bCs/>
        </w:rPr>
        <w:t xml:space="preserve"> in the </w:t>
      </w:r>
      <w:r w:rsidRPr="00B00F6D">
        <w:rPr>
          <w:rStyle w:val="Heading2Char"/>
          <w:sz w:val="24"/>
          <w:szCs w:val="24"/>
        </w:rPr>
        <w:t>Federal Register</w:t>
      </w:r>
      <w:r w:rsidRPr="00BE76E0">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00F6D" w:rsidRPr="00B65823" w:rsidP="00B00F6D" w14:paraId="4AD6AF0D" w14:textId="77777777">
      <w:pPr>
        <w:rPr>
          <w:b/>
        </w:rPr>
      </w:pPr>
    </w:p>
    <w:p w:rsidR="00B00F6D" w:rsidRPr="00D53DEB" w:rsidP="00BE76E0" w14:paraId="29065346" w14:textId="77777777">
      <w:pPr>
        <w:ind w:left="360"/>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00F6D" w:rsidRPr="00D53DEB" w:rsidP="00B00F6D" w14:paraId="72B57E31" w14:textId="77777777">
      <w:pPr>
        <w:rPr>
          <w:b/>
          <w:bCs/>
        </w:rPr>
      </w:pPr>
    </w:p>
    <w:p w:rsidR="001945BD" w:rsidRPr="001A625A" w:rsidP="00BE76E0" w14:paraId="45C95BF3" w14:textId="0BE571FA">
      <w:pPr>
        <w:spacing w:line="240" w:lineRule="exact"/>
        <w:ind w:left="360"/>
        <w:rPr>
          <w:szCs w:val="24"/>
        </w:rPr>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r>
        <w:rPr>
          <w:b/>
          <w:bCs/>
        </w:rPr>
        <w:t xml:space="preserve">. </w:t>
      </w:r>
    </w:p>
    <w:p w:rsidR="001945BD" w:rsidRPr="001A625A" w14:paraId="09481BCA" w14:textId="77777777">
      <w:pPr>
        <w:spacing w:line="240" w:lineRule="exact"/>
        <w:rPr>
          <w:szCs w:val="24"/>
        </w:rPr>
      </w:pPr>
    </w:p>
    <w:p w:rsidR="009C72CD" w:rsidRPr="001A625A" w14:paraId="458985E7" w14:textId="77777777">
      <w:pPr>
        <w:spacing w:line="240" w:lineRule="exact"/>
        <w:rPr>
          <w:szCs w:val="24"/>
        </w:rPr>
      </w:pPr>
    </w:p>
    <w:p w:rsidR="0048088B" w14:paraId="0A763B36" w14:textId="4E17FC34">
      <w:pPr>
        <w:spacing w:line="240" w:lineRule="exact"/>
        <w:rPr>
          <w:szCs w:val="24"/>
        </w:rPr>
      </w:pPr>
      <w:bookmarkStart w:id="1" w:name="_Hlk137108749"/>
      <w:r>
        <w:rPr>
          <w:szCs w:val="24"/>
        </w:rPr>
        <w:t>One</w:t>
      </w:r>
      <w:r w:rsidRPr="001A625A">
        <w:rPr>
          <w:szCs w:val="24"/>
        </w:rPr>
        <w:t xml:space="preserve"> comment</w:t>
      </w:r>
      <w:r>
        <w:rPr>
          <w:szCs w:val="24"/>
        </w:rPr>
        <w:t xml:space="preserve"> has been</w:t>
      </w:r>
      <w:r w:rsidRPr="001A625A">
        <w:rPr>
          <w:szCs w:val="24"/>
        </w:rPr>
        <w:t xml:space="preserve"> received </w:t>
      </w:r>
      <w:r w:rsidRPr="001A625A">
        <w:rPr>
          <w:szCs w:val="24"/>
        </w:rPr>
        <w:t>as a result of</w:t>
      </w:r>
      <w:r w:rsidRPr="001A625A">
        <w:rPr>
          <w:szCs w:val="24"/>
        </w:rPr>
        <w:t xml:space="preserve"> the notice published in the Federal Register,</w:t>
      </w:r>
      <w:r w:rsidR="003F4383">
        <w:rPr>
          <w:szCs w:val="24"/>
        </w:rPr>
        <w:t xml:space="preserve"> 88</w:t>
      </w:r>
      <w:r w:rsidRPr="000C1EBF" w:rsidR="00913361">
        <w:rPr>
          <w:szCs w:val="24"/>
        </w:rPr>
        <w:t xml:space="preserve"> </w:t>
      </w:r>
      <w:r w:rsidRPr="000C1EBF">
        <w:rPr>
          <w:szCs w:val="24"/>
        </w:rPr>
        <w:t xml:space="preserve">FR </w:t>
      </w:r>
      <w:r w:rsidRPr="000C1EBF" w:rsidR="003F4383">
        <w:rPr>
          <w:szCs w:val="24"/>
        </w:rPr>
        <w:t>19678</w:t>
      </w:r>
      <w:r w:rsidRPr="000C1EBF">
        <w:rPr>
          <w:szCs w:val="24"/>
        </w:rPr>
        <w:t xml:space="preserve"> on</w:t>
      </w:r>
      <w:r w:rsidRPr="000C1EBF" w:rsidR="00576559">
        <w:rPr>
          <w:szCs w:val="24"/>
        </w:rPr>
        <w:t xml:space="preserve"> </w:t>
      </w:r>
      <w:r w:rsidRPr="000C1EBF" w:rsidR="003F4383">
        <w:rPr>
          <w:szCs w:val="24"/>
        </w:rPr>
        <w:t>April 3, 2023</w:t>
      </w:r>
      <w:r w:rsidR="003F4383">
        <w:rPr>
          <w:szCs w:val="24"/>
        </w:rPr>
        <w:t>.</w:t>
      </w:r>
      <w:r w:rsidRPr="001A625A">
        <w:rPr>
          <w:szCs w:val="24"/>
        </w:rPr>
        <w:t> </w:t>
      </w:r>
    </w:p>
    <w:p w:rsidR="00432522" w:rsidP="00432522" w14:paraId="1403C8FE" w14:textId="7CD0498B">
      <w:pPr>
        <w:spacing w:line="240" w:lineRule="exact"/>
        <w:rPr>
          <w:sz w:val="22"/>
        </w:rPr>
      </w:pPr>
      <w:r>
        <w:t xml:space="preserve">The comment addressed the use of the Consumer Price Index being used by the U.S. Department of Agriculture (USDA) to establish levels of support for free and </w:t>
      </w:r>
      <w:r>
        <w:t>reduced price</w:t>
      </w:r>
      <w:r>
        <w:t xml:space="preserve"> school meal benefits, and program reimbursement rates (National Average Payments).  Support offered through the National School Lunch and School Breakfast Programs is directly impacted by national average payments</w:t>
      </w:r>
      <w:r w:rsidR="003E3846">
        <w:t>, and through this mechanism the CPI indirectly impacts the funding of school districts across the nation</w:t>
      </w:r>
      <w:r>
        <w:t xml:space="preserve">.  Any changes in calculation of the CPI need to take into consideration the broad impact and the programs that conduct direct certification through other programs. The comment requested that </w:t>
      </w:r>
      <w:r w:rsidR="003E3846">
        <w:t>consideration be given to changes in the formula used by USDA to calculate national average reimbursement rates</w:t>
      </w:r>
      <w:r>
        <w:t xml:space="preserve">.  CPI is used as an economic indicator used by business executives, labor leaders and other private citizens as a guide in making economic decisions.  CPI always publicizes any changes made to the methodology of the calculation of the CPI.  </w:t>
      </w:r>
    </w:p>
    <w:p w:rsidR="00432522" w:rsidRPr="001A625A" w14:paraId="28350158" w14:textId="77777777">
      <w:pPr>
        <w:spacing w:line="240" w:lineRule="exact"/>
        <w:rPr>
          <w:szCs w:val="24"/>
        </w:rPr>
      </w:pPr>
    </w:p>
    <w:bookmarkEnd w:id="1"/>
    <w:p w:rsidR="0048088B" w:rsidRPr="001A625A" w14:paraId="0C770427" w14:textId="77777777">
      <w:pPr>
        <w:spacing w:line="240" w:lineRule="exact"/>
        <w:rPr>
          <w:szCs w:val="24"/>
        </w:rPr>
      </w:pPr>
    </w:p>
    <w:p w:rsidR="003E5BD0" w:rsidRPr="001A625A" w:rsidP="00C92E5B" w14:paraId="2E488915" w14:textId="08B68988">
      <w:pPr>
        <w:pStyle w:val="BodyText"/>
        <w:rPr>
          <w:rFonts w:ascii="Times New Roman" w:hAnsi="Times New Roman"/>
          <w:szCs w:val="24"/>
        </w:rPr>
      </w:pPr>
      <w:r w:rsidRPr="001A625A">
        <w:rPr>
          <w:rFonts w:ascii="Times New Roman" w:hAnsi="Times New Roman"/>
          <w:szCs w:val="24"/>
        </w:rPr>
        <w:t>Due to the CPI's high visibility, data collection, data review and index methodologies used for its construction are under constant scrutiny by individuals and organizations within and outside the U.S. Government.</w:t>
      </w:r>
      <w:r w:rsidR="0032049C">
        <w:rPr>
          <w:rFonts w:ascii="Times New Roman" w:hAnsi="Times New Roman"/>
          <w:szCs w:val="24"/>
        </w:rPr>
        <w:t xml:space="preserve"> </w:t>
      </w:r>
      <w:r w:rsidRPr="001A625A" w:rsidR="000C45F4">
        <w:rPr>
          <w:rFonts w:ascii="Times New Roman" w:hAnsi="Times New Roman"/>
          <w:szCs w:val="24"/>
        </w:rPr>
        <w:t xml:space="preserve">Organizations </w:t>
      </w:r>
      <w:r w:rsidRPr="001A625A">
        <w:rPr>
          <w:rFonts w:ascii="Times New Roman" w:hAnsi="Times New Roman"/>
          <w:szCs w:val="24"/>
        </w:rPr>
        <w:t>with which the BLS has had recent contact for the purposes of eliciting comments regarding methodology and procedures include:</w:t>
      </w:r>
    </w:p>
    <w:p w:rsidR="003E5BD0" w:rsidRPr="001A625A" w:rsidP="003E5BD0" w14:paraId="2FBFAF0A" w14:textId="77777777">
      <w:pPr>
        <w:pStyle w:val="BodyText"/>
        <w:rPr>
          <w:rFonts w:ascii="Times New Roman" w:hAnsi="Times New Roman"/>
          <w:szCs w:val="24"/>
        </w:rPr>
      </w:pPr>
    </w:p>
    <w:p w:rsidR="003E5BD0" w:rsidRPr="001A625A" w:rsidP="003E5BD0" w14:paraId="67AAE640" w14:textId="77777777">
      <w:pPr>
        <w:pStyle w:val="BodyText"/>
        <w:numPr>
          <w:ilvl w:val="0"/>
          <w:numId w:val="14"/>
        </w:numPr>
        <w:spacing w:line="240" w:lineRule="auto"/>
        <w:rPr>
          <w:rFonts w:ascii="Times New Roman" w:hAnsi="Times New Roman"/>
          <w:szCs w:val="24"/>
        </w:rPr>
      </w:pPr>
      <w:r w:rsidRPr="001A625A">
        <w:rPr>
          <w:rFonts w:ascii="Times New Roman" w:hAnsi="Times New Roman"/>
          <w:szCs w:val="24"/>
        </w:rPr>
        <w:t xml:space="preserve">the Council of Economic Advisers (CEA), </w:t>
      </w:r>
    </w:p>
    <w:p w:rsidR="003E5BD0" w:rsidRPr="001A625A" w:rsidP="003E5BD0" w14:paraId="22501A5D" w14:textId="77777777">
      <w:pPr>
        <w:pStyle w:val="BodyText"/>
        <w:numPr>
          <w:ilvl w:val="0"/>
          <w:numId w:val="14"/>
        </w:numPr>
        <w:spacing w:line="240" w:lineRule="auto"/>
        <w:rPr>
          <w:rFonts w:ascii="Times New Roman" w:hAnsi="Times New Roman"/>
          <w:szCs w:val="24"/>
        </w:rPr>
      </w:pPr>
      <w:r w:rsidRPr="001A625A">
        <w:rPr>
          <w:rFonts w:ascii="Times New Roman" w:hAnsi="Times New Roman"/>
          <w:szCs w:val="24"/>
        </w:rPr>
        <w:t xml:space="preserve">the Office of Management and Budget (OMB), </w:t>
      </w:r>
    </w:p>
    <w:p w:rsidR="003E5BD0" w:rsidRPr="001A625A" w:rsidP="003E5BD0" w14:paraId="761037F3" w14:textId="77777777">
      <w:pPr>
        <w:pStyle w:val="BodyText"/>
        <w:numPr>
          <w:ilvl w:val="0"/>
          <w:numId w:val="14"/>
        </w:numPr>
        <w:spacing w:line="240" w:lineRule="auto"/>
        <w:rPr>
          <w:rFonts w:ascii="Times New Roman" w:hAnsi="Times New Roman"/>
          <w:szCs w:val="24"/>
        </w:rPr>
      </w:pPr>
      <w:r w:rsidRPr="001A625A">
        <w:rPr>
          <w:rFonts w:ascii="Times New Roman" w:hAnsi="Times New Roman"/>
          <w:szCs w:val="24"/>
        </w:rPr>
        <w:t xml:space="preserve">the Congressional Budget Office (CBO), </w:t>
      </w:r>
    </w:p>
    <w:p w:rsidR="003E5BD0" w:rsidRPr="001A625A" w:rsidP="003E5BD0" w14:paraId="673F6122" w14:textId="77777777">
      <w:pPr>
        <w:pStyle w:val="BodyText"/>
        <w:numPr>
          <w:ilvl w:val="0"/>
          <w:numId w:val="14"/>
        </w:numPr>
        <w:spacing w:line="240" w:lineRule="auto"/>
        <w:rPr>
          <w:rFonts w:ascii="Times New Roman" w:hAnsi="Times New Roman"/>
          <w:szCs w:val="24"/>
        </w:rPr>
      </w:pPr>
      <w:r w:rsidRPr="001A625A">
        <w:rPr>
          <w:rFonts w:ascii="Times New Roman" w:hAnsi="Times New Roman"/>
          <w:szCs w:val="24"/>
        </w:rPr>
        <w:t xml:space="preserve">the Congressional Joint Economic Committee (JEC), </w:t>
      </w:r>
    </w:p>
    <w:p w:rsidR="003E5BD0" w:rsidRPr="001A625A" w:rsidP="003E5BD0" w14:paraId="057E38EF" w14:textId="77777777">
      <w:pPr>
        <w:pStyle w:val="BodyText"/>
        <w:numPr>
          <w:ilvl w:val="0"/>
          <w:numId w:val="14"/>
        </w:numPr>
        <w:spacing w:line="240" w:lineRule="auto"/>
        <w:rPr>
          <w:rFonts w:ascii="Times New Roman" w:hAnsi="Times New Roman"/>
          <w:szCs w:val="24"/>
        </w:rPr>
      </w:pPr>
      <w:r w:rsidRPr="001A625A">
        <w:rPr>
          <w:rFonts w:ascii="Times New Roman" w:hAnsi="Times New Roman"/>
          <w:szCs w:val="24"/>
        </w:rPr>
        <w:t xml:space="preserve">the Bureau of Economic Analysis (BEA), </w:t>
      </w:r>
    </w:p>
    <w:p w:rsidR="003E5BD0" w:rsidRPr="001A625A" w:rsidP="003E5BD0" w14:paraId="565AEBA9" w14:textId="77777777">
      <w:pPr>
        <w:pStyle w:val="BodyText"/>
        <w:numPr>
          <w:ilvl w:val="0"/>
          <w:numId w:val="14"/>
        </w:numPr>
        <w:spacing w:line="240" w:lineRule="auto"/>
        <w:rPr>
          <w:rFonts w:ascii="Times New Roman" w:hAnsi="Times New Roman"/>
          <w:szCs w:val="24"/>
        </w:rPr>
      </w:pPr>
      <w:r w:rsidRPr="001A625A">
        <w:rPr>
          <w:rFonts w:ascii="Times New Roman" w:hAnsi="Times New Roman"/>
          <w:szCs w:val="24"/>
        </w:rPr>
        <w:t xml:space="preserve">the Federal Reserve Board (FRB), </w:t>
      </w:r>
    </w:p>
    <w:p w:rsidR="00D87CE6" w:rsidRPr="001A625A" w:rsidP="003E5BD0" w14:paraId="1C6C6667" w14:textId="77777777">
      <w:pPr>
        <w:pStyle w:val="BodyText"/>
        <w:numPr>
          <w:ilvl w:val="0"/>
          <w:numId w:val="14"/>
        </w:numPr>
        <w:spacing w:line="240" w:lineRule="auto"/>
        <w:rPr>
          <w:rFonts w:ascii="Times New Roman" w:hAnsi="Times New Roman"/>
          <w:szCs w:val="24"/>
        </w:rPr>
      </w:pPr>
      <w:r w:rsidRPr="001A625A">
        <w:rPr>
          <w:rFonts w:ascii="Times New Roman" w:hAnsi="Times New Roman"/>
          <w:szCs w:val="24"/>
        </w:rPr>
        <w:t xml:space="preserve">the Federal Economic Statistics Advisory Committee (FESAC), </w:t>
      </w:r>
    </w:p>
    <w:p w:rsidR="00AA0DDB" w:rsidRPr="001A625A" w:rsidP="003E5BD0" w14:paraId="5E639A9B" w14:textId="77777777">
      <w:pPr>
        <w:pStyle w:val="BodyText"/>
        <w:numPr>
          <w:ilvl w:val="0"/>
          <w:numId w:val="14"/>
        </w:numPr>
        <w:spacing w:line="240" w:lineRule="auto"/>
        <w:rPr>
          <w:rFonts w:ascii="Times New Roman" w:hAnsi="Times New Roman"/>
          <w:szCs w:val="24"/>
        </w:rPr>
      </w:pPr>
      <w:r w:rsidRPr="001A625A">
        <w:rPr>
          <w:rFonts w:ascii="Times New Roman" w:hAnsi="Times New Roman"/>
          <w:szCs w:val="24"/>
        </w:rPr>
        <w:t xml:space="preserve">the BLS Data Users Advisory Committee (DUAC), </w:t>
      </w:r>
    </w:p>
    <w:p w:rsidR="003E5BD0" w:rsidRPr="001A625A" w:rsidP="003E5BD0" w14:paraId="790F8D21" w14:textId="60AC27B4">
      <w:pPr>
        <w:pStyle w:val="BodyText"/>
        <w:numPr>
          <w:ilvl w:val="0"/>
          <w:numId w:val="14"/>
        </w:numPr>
        <w:spacing w:line="240" w:lineRule="auto"/>
        <w:rPr>
          <w:rFonts w:ascii="Times New Roman" w:hAnsi="Times New Roman"/>
          <w:szCs w:val="24"/>
        </w:rPr>
      </w:pPr>
      <w:r w:rsidRPr="001A625A">
        <w:rPr>
          <w:rFonts w:ascii="Times New Roman" w:hAnsi="Times New Roman"/>
          <w:szCs w:val="24"/>
        </w:rPr>
        <w:t xml:space="preserve">the BLS Technical Advisory Committee (BLSTAC), </w:t>
      </w:r>
      <w:r w:rsidRPr="001A625A">
        <w:rPr>
          <w:rFonts w:ascii="Times New Roman" w:hAnsi="Times New Roman"/>
          <w:szCs w:val="24"/>
        </w:rPr>
        <w:t>and</w:t>
      </w:r>
    </w:p>
    <w:p w:rsidR="003E5BD0" w:rsidRPr="001A625A" w:rsidP="003E5BD0" w14:paraId="64A629EA" w14:textId="77777777">
      <w:pPr>
        <w:pStyle w:val="BodyText"/>
        <w:numPr>
          <w:ilvl w:val="0"/>
          <w:numId w:val="14"/>
        </w:numPr>
        <w:spacing w:line="240" w:lineRule="auto"/>
        <w:rPr>
          <w:rFonts w:ascii="Times New Roman" w:hAnsi="Times New Roman"/>
          <w:szCs w:val="24"/>
        </w:rPr>
      </w:pPr>
      <w:r w:rsidRPr="001A625A">
        <w:rPr>
          <w:rFonts w:ascii="Times New Roman" w:hAnsi="Times New Roman"/>
          <w:szCs w:val="24"/>
        </w:rPr>
        <w:t xml:space="preserve">the Government Accountability Office (GAO). </w:t>
      </w:r>
    </w:p>
    <w:p w:rsidR="003E5BD0" w:rsidRPr="00F40799" w:rsidP="003E5BD0" w14:paraId="55A2EAD2" w14:textId="77777777">
      <w:pPr>
        <w:pStyle w:val="BodyText"/>
        <w:rPr>
          <w:rFonts w:ascii="Times New Roman" w:hAnsi="Times New Roman"/>
          <w:szCs w:val="24"/>
        </w:rPr>
      </w:pPr>
    </w:p>
    <w:p w:rsidR="003E5BD0" w:rsidRPr="00F40799" w:rsidP="00C92E5B" w14:paraId="393134C8" w14:textId="370B27E5">
      <w:pPr>
        <w:spacing w:line="240" w:lineRule="exact"/>
        <w:rPr>
          <w:szCs w:val="24"/>
        </w:rPr>
      </w:pPr>
      <w:r w:rsidRPr="008C770A">
        <w:rPr>
          <w:szCs w:val="24"/>
        </w:rPr>
        <w:t xml:space="preserve">The BLS is a full partner with the </w:t>
      </w:r>
      <w:r w:rsidRPr="008C770A" w:rsidR="00933D20">
        <w:rPr>
          <w:szCs w:val="24"/>
        </w:rPr>
        <w:t xml:space="preserve">U.S. </w:t>
      </w:r>
      <w:r w:rsidRPr="008C770A">
        <w:rPr>
          <w:szCs w:val="24"/>
        </w:rPr>
        <w:t xml:space="preserve">Census </w:t>
      </w:r>
      <w:r w:rsidRPr="008C770A" w:rsidR="00933D20">
        <w:rPr>
          <w:szCs w:val="24"/>
        </w:rPr>
        <w:t>Bureau</w:t>
      </w:r>
      <w:r w:rsidRPr="008C770A" w:rsidR="007A1B8E">
        <w:rPr>
          <w:szCs w:val="24"/>
        </w:rPr>
        <w:t xml:space="preserve"> (Census)</w:t>
      </w:r>
      <w:r w:rsidRPr="008C770A" w:rsidR="00933D20">
        <w:rPr>
          <w:szCs w:val="24"/>
        </w:rPr>
        <w:t xml:space="preserve"> </w:t>
      </w:r>
      <w:r w:rsidRPr="008C770A">
        <w:rPr>
          <w:szCs w:val="24"/>
        </w:rPr>
        <w:t xml:space="preserve">and the Bureau of Economic Analysis </w:t>
      </w:r>
      <w:r w:rsidRPr="008C770A" w:rsidR="007A1B8E">
        <w:rPr>
          <w:szCs w:val="24"/>
        </w:rPr>
        <w:t xml:space="preserve">(BEA) </w:t>
      </w:r>
      <w:r w:rsidRPr="008C770A">
        <w:rPr>
          <w:szCs w:val="24"/>
        </w:rPr>
        <w:t xml:space="preserve">in the </w:t>
      </w:r>
      <w:r w:rsidRPr="00F40799">
        <w:rPr>
          <w:szCs w:val="24"/>
        </w:rPr>
        <w:t>Federal Economic Statistics Advisory Committee (FESAC).</w:t>
      </w:r>
      <w:r w:rsidRPr="00F40799" w:rsidR="0032049C">
        <w:rPr>
          <w:szCs w:val="24"/>
        </w:rPr>
        <w:t xml:space="preserve"> </w:t>
      </w:r>
      <w:r w:rsidRPr="00F40799">
        <w:rPr>
          <w:szCs w:val="24"/>
        </w:rPr>
        <w:t>The committee advises the Directors of</w:t>
      </w:r>
      <w:r w:rsidR="0053003A">
        <w:rPr>
          <w:szCs w:val="24"/>
        </w:rPr>
        <w:t xml:space="preserve"> </w:t>
      </w:r>
      <w:r w:rsidRPr="00F40799">
        <w:rPr>
          <w:szCs w:val="24"/>
        </w:rPr>
        <w:t>BEA and Census, and the Commissioner of the BLS on statistical methodology and other technical matters related to the collection, tabulation, and analysis of federal economic statistics.</w:t>
      </w:r>
      <w:r w:rsidRPr="00F40799" w:rsidR="0032049C">
        <w:rPr>
          <w:szCs w:val="24"/>
        </w:rPr>
        <w:t xml:space="preserve"> </w:t>
      </w:r>
      <w:r w:rsidRPr="00F40799" w:rsidR="00F54ABC">
        <w:rPr>
          <w:szCs w:val="24"/>
        </w:rPr>
        <w:t>A second advisory committee, the BLS Data Users Advisory Committee (DUAC), provides BLS programs with input from a wide variety of data users representing labor, business, government, research, academic organizations, and other groups.</w:t>
      </w:r>
      <w:r w:rsidRPr="00F40799" w:rsidR="0032049C">
        <w:rPr>
          <w:szCs w:val="24"/>
        </w:rPr>
        <w:t xml:space="preserve"> </w:t>
      </w:r>
      <w:r w:rsidRPr="00F40799" w:rsidR="00F54ABC">
        <w:rPr>
          <w:szCs w:val="24"/>
        </w:rPr>
        <w:t>A third advisory committee, the BLS Technical Advisory Committee (TAC), focuses on measurement issues that are specific to BLS programs.</w:t>
      </w:r>
    </w:p>
    <w:p w:rsidR="00BB6E7C" w:rsidRPr="001A625A" w:rsidP="00C92E5B" w14:paraId="56A4B364" w14:textId="77777777">
      <w:pPr>
        <w:spacing w:line="240" w:lineRule="exact"/>
        <w:rPr>
          <w:szCs w:val="24"/>
        </w:rPr>
      </w:pPr>
    </w:p>
    <w:p w:rsidR="00F5782A" w:rsidRPr="00BF4AB7" w:rsidP="00F5782A" w14:paraId="4AD3C0FD" w14:textId="6C290F9A">
      <w:pPr>
        <w:spacing w:line="240" w:lineRule="exact"/>
        <w:rPr>
          <w:szCs w:val="24"/>
        </w:rPr>
      </w:pPr>
      <w:r w:rsidRPr="00BF4AB7">
        <w:rPr>
          <w:szCs w:val="24"/>
        </w:rPr>
        <w:t xml:space="preserve">In </w:t>
      </w:r>
      <w:r w:rsidR="0077673C">
        <w:rPr>
          <w:szCs w:val="24"/>
        </w:rPr>
        <w:t xml:space="preserve">the </w:t>
      </w:r>
      <w:r w:rsidRPr="00BF4AB7">
        <w:rPr>
          <w:szCs w:val="24"/>
        </w:rPr>
        <w:t xml:space="preserve">past </w:t>
      </w:r>
      <w:r w:rsidR="0077673C">
        <w:rPr>
          <w:szCs w:val="24"/>
        </w:rPr>
        <w:t xml:space="preserve">two </w:t>
      </w:r>
      <w:r w:rsidRPr="00BF4AB7">
        <w:rPr>
          <w:szCs w:val="24"/>
        </w:rPr>
        <w:t xml:space="preserve">years, members of the CPI staff in Washington have participated in meetings sponsored by the United Nations Economic Commission for Europe (UNECE), National Association for Business Economics (NABE), </w:t>
      </w:r>
      <w:r>
        <w:rPr>
          <w:szCs w:val="24"/>
        </w:rPr>
        <w:t>Eurostat</w:t>
      </w:r>
      <w:r w:rsidRPr="00BF4AB7">
        <w:rPr>
          <w:szCs w:val="24"/>
        </w:rPr>
        <w:t xml:space="preserve">, </w:t>
      </w:r>
      <w:r>
        <w:rPr>
          <w:szCs w:val="24"/>
        </w:rPr>
        <w:t>Committee of National Statistics (CNSTAT)</w:t>
      </w:r>
      <w:r w:rsidRPr="00BF4AB7">
        <w:rPr>
          <w:szCs w:val="24"/>
        </w:rPr>
        <w:t>,</w:t>
      </w:r>
      <w:r>
        <w:rPr>
          <w:szCs w:val="24"/>
        </w:rPr>
        <w:t xml:space="preserve"> American Statistical Association (ASA), Society of Government Economists (SGE), Barclays </w:t>
      </w:r>
      <w:r w:rsidRPr="00BF4AB7">
        <w:rPr>
          <w:szCs w:val="24"/>
        </w:rPr>
        <w:t>and Federal Reserve Board. In addition, they gave multiple presentations at the Joint Statistical Meetings (JSM)</w:t>
      </w:r>
      <w:r w:rsidR="00366251">
        <w:rPr>
          <w:szCs w:val="24"/>
        </w:rPr>
        <w:t xml:space="preserve">, </w:t>
      </w:r>
      <w:r w:rsidRPr="00366251" w:rsidR="00366251">
        <w:rPr>
          <w:szCs w:val="24"/>
        </w:rPr>
        <w:t>Federal Committee on Statistical Methodology (FCSM) Research and Policy Conference</w:t>
      </w:r>
      <w:r w:rsidR="00366251">
        <w:rPr>
          <w:szCs w:val="24"/>
        </w:rPr>
        <w:t>,</w:t>
      </w:r>
      <w:r w:rsidRPr="00BF4AB7">
        <w:rPr>
          <w:szCs w:val="24"/>
        </w:rPr>
        <w:t xml:space="preserve"> and to a variety schools and colleges to discuss various aspects of the CPI survey, including methodological and procedural aspects of the data collection process. </w:t>
      </w:r>
    </w:p>
    <w:p w:rsidR="003E5BD0" w:rsidRPr="001A625A" w:rsidP="00C92E5B" w14:paraId="5AEE82AC" w14:textId="77777777">
      <w:pPr>
        <w:spacing w:line="240" w:lineRule="exact"/>
        <w:rPr>
          <w:szCs w:val="24"/>
        </w:rPr>
      </w:pPr>
    </w:p>
    <w:p w:rsidR="003E5BD0" w:rsidRPr="001A625A" w:rsidP="00C92E5B" w14:paraId="0B17DAC7" w14:textId="728F30D7">
      <w:pPr>
        <w:spacing w:line="240" w:lineRule="exact"/>
        <w:rPr>
          <w:szCs w:val="24"/>
        </w:rPr>
      </w:pPr>
      <w:r w:rsidRPr="001A625A">
        <w:rPr>
          <w:szCs w:val="24"/>
        </w:rPr>
        <w:t xml:space="preserve">The BLS Commissioner and Associate Commissioners </w:t>
      </w:r>
      <w:r w:rsidR="00290B65">
        <w:rPr>
          <w:szCs w:val="24"/>
        </w:rPr>
        <w:t>meet</w:t>
      </w:r>
      <w:r w:rsidRPr="001A625A" w:rsidR="00290B65">
        <w:rPr>
          <w:szCs w:val="24"/>
        </w:rPr>
        <w:t xml:space="preserve"> </w:t>
      </w:r>
      <w:r w:rsidRPr="001A625A">
        <w:rPr>
          <w:szCs w:val="24"/>
        </w:rPr>
        <w:t>on a monthly basis</w:t>
      </w:r>
      <w:r w:rsidRPr="001A625A">
        <w:rPr>
          <w:szCs w:val="24"/>
        </w:rPr>
        <w:t xml:space="preserve"> </w:t>
      </w:r>
      <w:r w:rsidR="00290B65">
        <w:rPr>
          <w:szCs w:val="24"/>
        </w:rPr>
        <w:t>with</w:t>
      </w:r>
      <w:r w:rsidRPr="001A625A" w:rsidR="00290B65">
        <w:rPr>
          <w:szCs w:val="24"/>
        </w:rPr>
        <w:t xml:space="preserve"> </w:t>
      </w:r>
      <w:r w:rsidRPr="001A625A">
        <w:rPr>
          <w:szCs w:val="24"/>
        </w:rPr>
        <w:t xml:space="preserve">the </w:t>
      </w:r>
      <w:r w:rsidRPr="001A625A" w:rsidR="00290B65">
        <w:rPr>
          <w:szCs w:val="24"/>
        </w:rPr>
        <w:t>Council of Economic Advisors</w:t>
      </w:r>
      <w:r w:rsidRPr="001A625A">
        <w:rPr>
          <w:szCs w:val="24"/>
        </w:rPr>
        <w:t xml:space="preserve">, and they meet as needed with the </w:t>
      </w:r>
      <w:r w:rsidRPr="001A625A" w:rsidR="00290B65">
        <w:rPr>
          <w:szCs w:val="24"/>
        </w:rPr>
        <w:t>Congressional Joint Economic Committee</w:t>
      </w:r>
      <w:r w:rsidRPr="001A625A" w:rsidR="00290B65">
        <w:rPr>
          <w:szCs w:val="24"/>
        </w:rPr>
        <w:t xml:space="preserve"> </w:t>
      </w:r>
      <w:r w:rsidRPr="001A625A">
        <w:rPr>
          <w:szCs w:val="24"/>
        </w:rPr>
        <w:t>and the Government Accountability Office to discuss BLS issues, and especially the CPI program.</w:t>
      </w:r>
    </w:p>
    <w:p w:rsidR="009C72CD" w:rsidRPr="001A625A" w:rsidP="009C72CD" w14:paraId="10918483" w14:textId="22889C00">
      <w:pPr>
        <w:rPr>
          <w:szCs w:val="24"/>
        </w:rPr>
      </w:pPr>
    </w:p>
    <w:p w:rsidR="001945BD" w:rsidRPr="001A625A" w:rsidP="00B00F6D" w14:paraId="1023FE25" w14:textId="74687B40">
      <w:pPr>
        <w:numPr>
          <w:ilvl w:val="0"/>
          <w:numId w:val="4"/>
        </w:numPr>
        <w:spacing w:line="240" w:lineRule="exact"/>
        <w:rPr>
          <w:szCs w:val="24"/>
        </w:rPr>
      </w:pPr>
      <w:r w:rsidRPr="00D53DEB">
        <w:rPr>
          <w:b/>
          <w:bCs/>
        </w:rPr>
        <w:t>Explain any decision to provide any payments or gift</w:t>
      </w:r>
      <w:r>
        <w:rPr>
          <w:b/>
          <w:bCs/>
        </w:rPr>
        <w:t>s</w:t>
      </w:r>
      <w:r w:rsidRPr="00D53DEB">
        <w:rPr>
          <w:b/>
          <w:bCs/>
        </w:rPr>
        <w:t xml:space="preserve"> to respondents, other than remuneration of contractors or grantees</w:t>
      </w:r>
      <w:r w:rsidR="00DF70E3">
        <w:rPr>
          <w:b/>
          <w:bCs/>
        </w:rPr>
        <w:t>.</w:t>
      </w:r>
    </w:p>
    <w:p w:rsidR="001945BD" w:rsidRPr="001A625A" w:rsidP="00AA6E10" w14:paraId="4FD97D33" w14:textId="77777777">
      <w:pPr>
        <w:spacing w:line="240" w:lineRule="exact"/>
        <w:rPr>
          <w:szCs w:val="24"/>
        </w:rPr>
      </w:pPr>
    </w:p>
    <w:p w:rsidR="001945BD" w:rsidRPr="001A625A" w14:paraId="65A4EA5D" w14:textId="77777777">
      <w:pPr>
        <w:spacing w:line="240" w:lineRule="exact"/>
        <w:rPr>
          <w:szCs w:val="24"/>
        </w:rPr>
      </w:pPr>
      <w:r w:rsidRPr="001A625A">
        <w:rPr>
          <w:szCs w:val="24"/>
        </w:rPr>
        <w:t>Cooperation by the respondents to supply data for the CPI is voluntary and no remuneration, payment or gift is provided.</w:t>
      </w:r>
    </w:p>
    <w:p w:rsidR="001945BD" w:rsidRPr="001A625A" w14:paraId="02BFCDA7" w14:textId="77777777">
      <w:pPr>
        <w:spacing w:line="240" w:lineRule="exact"/>
        <w:rPr>
          <w:szCs w:val="24"/>
        </w:rPr>
      </w:pPr>
    </w:p>
    <w:p w:rsidR="001945BD" w:rsidRPr="001A625A" w14:paraId="1341274F" w14:textId="16DFE37E">
      <w:pPr>
        <w:numPr>
          <w:ilvl w:val="0"/>
          <w:numId w:val="4"/>
        </w:numPr>
        <w:spacing w:line="240" w:lineRule="exact"/>
        <w:rPr>
          <w:szCs w:val="24"/>
        </w:rPr>
      </w:pPr>
      <w:r w:rsidRPr="00D53DEB">
        <w:rPr>
          <w:b/>
          <w:bCs/>
        </w:rPr>
        <w:t>Describe any assurance of confidentiality provided to respondents and the basis for the assurance in statute, regulation, or agency policy</w:t>
      </w:r>
      <w:r>
        <w:rPr>
          <w:b/>
          <w:bCs/>
        </w:rPr>
        <w:t>.</w:t>
      </w:r>
    </w:p>
    <w:p w:rsidR="001945BD" w:rsidRPr="001A625A" w14:paraId="458DB88D" w14:textId="77777777">
      <w:pPr>
        <w:spacing w:line="240" w:lineRule="exact"/>
        <w:rPr>
          <w:szCs w:val="24"/>
        </w:rPr>
      </w:pPr>
    </w:p>
    <w:p w:rsidR="00441F03" w:rsidRPr="001A625A" w:rsidP="00C92E5B" w14:paraId="68EDC233" w14:textId="30DF971E">
      <w:pPr>
        <w:spacing w:line="240" w:lineRule="exact"/>
        <w:rPr>
          <w:color w:val="000000"/>
          <w:szCs w:val="24"/>
        </w:rPr>
      </w:pPr>
      <w:r w:rsidRPr="001A625A">
        <w:rPr>
          <w:szCs w:val="24"/>
        </w:rPr>
        <w:t xml:space="preserve">The Confidential Information Protection and Statistical Efficiency Act (CIPSEA) </w:t>
      </w:r>
      <w:r w:rsidRPr="001A625A">
        <w:rPr>
          <w:color w:val="000000"/>
          <w:szCs w:val="24"/>
        </w:rPr>
        <w:t>safeguards the confidentiality of individually identifiable information acquired under a pledge of confidentiality for exclusively statistical purposes by controlling access to, and uses made of, such information.</w:t>
      </w:r>
      <w:r w:rsidR="0032049C">
        <w:rPr>
          <w:color w:val="000000"/>
          <w:szCs w:val="24"/>
        </w:rPr>
        <w:t xml:space="preserve"> </w:t>
      </w:r>
      <w:r w:rsidRPr="001A625A">
        <w:rPr>
          <w:color w:val="000000"/>
          <w:szCs w:val="24"/>
        </w:rPr>
        <w:t>CIPSEA includes fines and penalties for any knowing and willful disclosure of individually identifiable information by an officer, employee, or agent of the BLS.</w:t>
      </w:r>
    </w:p>
    <w:p w:rsidR="00441F03" w:rsidRPr="001A625A" w:rsidP="00441F03" w14:paraId="04401B96" w14:textId="77777777">
      <w:pPr>
        <w:rPr>
          <w:color w:val="000000"/>
          <w:szCs w:val="24"/>
        </w:rPr>
      </w:pPr>
    </w:p>
    <w:p w:rsidR="00441F03" w:rsidRPr="001A625A" w:rsidP="00C92E5B" w14:paraId="2A6F030A" w14:textId="77777777">
      <w:pPr>
        <w:spacing w:line="240" w:lineRule="exact"/>
        <w:rPr>
          <w:color w:val="000000"/>
          <w:szCs w:val="24"/>
        </w:rPr>
      </w:pPr>
      <w:r w:rsidRPr="001A625A">
        <w:rPr>
          <w:color w:val="000000"/>
          <w:szCs w:val="24"/>
        </w:rPr>
        <w:t>Based on this law, the BLS provides respondents with the following confidentiality pledge/informed consent statement:</w:t>
      </w:r>
    </w:p>
    <w:p w:rsidR="00441F03" w:rsidRPr="001A625A" w:rsidP="00441F03" w14:paraId="7FD45D49" w14:textId="77777777">
      <w:pPr>
        <w:rPr>
          <w:color w:val="000000"/>
          <w:szCs w:val="24"/>
        </w:rPr>
      </w:pPr>
    </w:p>
    <w:p w:rsidR="00441F03" w:rsidRPr="00BE76E0" w:rsidP="00194D16" w14:paraId="110BC4BD" w14:textId="6B892797">
      <w:pPr>
        <w:autoSpaceDE w:val="0"/>
        <w:autoSpaceDN w:val="0"/>
        <w:adjustRightInd w:val="0"/>
        <w:ind w:left="720"/>
        <w:rPr>
          <w:bCs/>
          <w:szCs w:val="24"/>
        </w:rPr>
      </w:pPr>
      <w:r w:rsidRPr="001A625A">
        <w:rPr>
          <w:i/>
          <w:color w:val="000000"/>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1A625A" w:rsidR="00125925">
        <w:rPr>
          <w:i/>
          <w:color w:val="000000"/>
          <w:szCs w:val="24"/>
        </w:rPr>
        <w:t>44 U.S.C 3572)</w:t>
      </w:r>
      <w:r w:rsidRPr="001A625A">
        <w:rPr>
          <w:i/>
          <w:color w:val="000000"/>
          <w:szCs w:val="24"/>
        </w:rPr>
        <w:t xml:space="preserve"> and other applicable Federal laws, your responses will not be disclosed in identifiable form without your informed consent</w:t>
      </w:r>
      <w:r w:rsidRPr="001A625A">
        <w:rPr>
          <w:b/>
          <w:color w:val="000000"/>
          <w:szCs w:val="24"/>
        </w:rPr>
        <w:t>.</w:t>
      </w:r>
      <w:r w:rsidR="0032049C">
        <w:rPr>
          <w:b/>
          <w:color w:val="000000"/>
          <w:szCs w:val="24"/>
        </w:rPr>
        <w:t xml:space="preserve"> </w:t>
      </w:r>
      <w:r w:rsidRPr="00BE76E0" w:rsidR="00524C2B">
        <w:rPr>
          <w:bCs/>
          <w:i/>
          <w:szCs w:val="24"/>
        </w:rPr>
        <w:t>Per the Federal Cybersecurity Enhancement Act of 2015, Federal information systems are protected from malicious activities through cybersecurity screening of transmitted data.</w:t>
      </w:r>
    </w:p>
    <w:p w:rsidR="003E5BD0" w:rsidRPr="001A625A" w:rsidP="00441F03" w14:paraId="345D020F" w14:textId="77777777">
      <w:pPr>
        <w:rPr>
          <w:szCs w:val="24"/>
        </w:rPr>
      </w:pPr>
    </w:p>
    <w:p w:rsidR="00441F03" w:rsidRPr="001A625A" w:rsidP="00C92E5B" w14:paraId="60A281CB" w14:textId="041FEEFD">
      <w:pPr>
        <w:spacing w:line="240" w:lineRule="exact"/>
        <w:rPr>
          <w:szCs w:val="24"/>
        </w:rPr>
      </w:pPr>
      <w:r w:rsidRPr="001A625A">
        <w:rPr>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1A625A">
        <w:rPr>
          <w:szCs w:val="24"/>
        </w:rPr>
        <w:br/>
      </w:r>
    </w:p>
    <w:p w:rsidR="001945BD" w:rsidRPr="001A625A" w:rsidP="00C92E5B" w14:paraId="555A45CD" w14:textId="49D7DC08">
      <w:pPr>
        <w:spacing w:line="240" w:lineRule="exact"/>
        <w:rPr>
          <w:szCs w:val="24"/>
        </w:rPr>
      </w:pPr>
      <w:r w:rsidRPr="001A625A">
        <w:rPr>
          <w:szCs w:val="24"/>
        </w:rPr>
        <w:t xml:space="preserve">Special care is taken to ensure data security. Data collected by </w:t>
      </w:r>
      <w:r w:rsidRPr="005F638F">
        <w:rPr>
          <w:szCs w:val="24"/>
        </w:rPr>
        <w:t>Economic Assistants</w:t>
      </w:r>
      <w:r w:rsidRPr="001A625A">
        <w:rPr>
          <w:szCs w:val="24"/>
        </w:rPr>
        <w:t xml:space="preserve"> using CADC is encrypted and transmitted </w:t>
      </w:r>
      <w:r w:rsidRPr="001A625A" w:rsidR="00825555">
        <w:rPr>
          <w:szCs w:val="24"/>
        </w:rPr>
        <w:t>by a Virtual Private Network (VPN).</w:t>
      </w:r>
      <w:r w:rsidR="0032049C">
        <w:rPr>
          <w:szCs w:val="24"/>
        </w:rPr>
        <w:t xml:space="preserve"> </w:t>
      </w:r>
      <w:r w:rsidRPr="001A625A" w:rsidR="00825555">
        <w:rPr>
          <w:szCs w:val="24"/>
        </w:rPr>
        <w:t>A VPN is a secure, private communication tunnel between two or more devices across a public network (like the Internet).</w:t>
      </w:r>
      <w:r w:rsidR="0032049C">
        <w:rPr>
          <w:szCs w:val="24"/>
        </w:rPr>
        <w:t xml:space="preserve"> </w:t>
      </w:r>
      <w:r w:rsidRPr="001A625A" w:rsidR="00825555">
        <w:rPr>
          <w:szCs w:val="24"/>
        </w:rPr>
        <w:t xml:space="preserve">Even though data </w:t>
      </w:r>
      <w:r w:rsidRPr="001A625A" w:rsidR="00825555">
        <w:rPr>
          <w:szCs w:val="24"/>
        </w:rPr>
        <w:t>travel</w:t>
      </w:r>
      <w:r w:rsidRPr="001A625A" w:rsidR="00825555">
        <w:rPr>
          <w:szCs w:val="24"/>
        </w:rPr>
        <w:t xml:space="preserve"> across the Internet, it is secure because of the strong encryption algorithm used.</w:t>
      </w:r>
      <w:r w:rsidR="0032049C">
        <w:rPr>
          <w:szCs w:val="24"/>
        </w:rPr>
        <w:t xml:space="preserve"> </w:t>
      </w:r>
      <w:r w:rsidRPr="001A625A" w:rsidR="00825555">
        <w:rPr>
          <w:szCs w:val="24"/>
        </w:rPr>
        <w:t>If an unauthorized user attempts to intercept data across the VPN tunnel, the intruder will not be able to decipher the transmitted data because the data will be encrypted.</w:t>
      </w:r>
      <w:r w:rsidR="0032049C">
        <w:rPr>
          <w:szCs w:val="24"/>
        </w:rPr>
        <w:t xml:space="preserve"> </w:t>
      </w:r>
      <w:r w:rsidRPr="001A625A" w:rsidR="00825555">
        <w:rPr>
          <w:szCs w:val="24"/>
        </w:rPr>
        <w:t xml:space="preserve">In addition, VPN software monitors </w:t>
      </w:r>
      <w:r w:rsidRPr="001A625A" w:rsidR="007D6D05">
        <w:rPr>
          <w:szCs w:val="24"/>
        </w:rPr>
        <w:t>connections</w:t>
      </w:r>
      <w:r w:rsidRPr="001A625A" w:rsidR="00825555">
        <w:rPr>
          <w:szCs w:val="24"/>
        </w:rPr>
        <w:t xml:space="preserve"> such that transmissions are ensured to be unaltered while traveling across the public network.</w:t>
      </w:r>
      <w:r w:rsidR="0032049C">
        <w:rPr>
          <w:szCs w:val="24"/>
        </w:rPr>
        <w:t xml:space="preserve"> </w:t>
      </w:r>
    </w:p>
    <w:p w:rsidR="001945BD" w:rsidRPr="001A625A" w14:paraId="0334A963" w14:textId="77777777">
      <w:pPr>
        <w:spacing w:line="240" w:lineRule="exact"/>
        <w:rPr>
          <w:szCs w:val="24"/>
        </w:rPr>
      </w:pPr>
    </w:p>
    <w:p w:rsidR="001945BD" w:rsidRPr="001A625A" w:rsidP="00C92E5B" w14:paraId="1652DB43" w14:textId="4B8547F6">
      <w:pPr>
        <w:spacing w:line="240" w:lineRule="exact"/>
        <w:rPr>
          <w:szCs w:val="24"/>
        </w:rPr>
      </w:pPr>
      <w:r w:rsidRPr="001A625A">
        <w:rPr>
          <w:szCs w:val="24"/>
        </w:rPr>
        <w:t>The data are stored in computer files which have provisions for data security and extensive rules for data access to protect the data from unauthorized use.</w:t>
      </w:r>
      <w:r w:rsidR="0032049C">
        <w:rPr>
          <w:szCs w:val="24"/>
        </w:rPr>
        <w:t xml:space="preserve"> </w:t>
      </w:r>
      <w:r w:rsidRPr="001A625A">
        <w:rPr>
          <w:szCs w:val="24"/>
        </w:rPr>
        <w:t xml:space="preserve">Collected variables are maintained in the C&amp;S client server database for a period of thirteen months. After that timeframe the data are moved to an archived storage format. </w:t>
      </w:r>
    </w:p>
    <w:p w:rsidR="003E5BD0" w:rsidRPr="001A625A" w:rsidP="00C92E5B" w14:paraId="4183F86E" w14:textId="77777777">
      <w:pPr>
        <w:spacing w:line="240" w:lineRule="exact"/>
        <w:rPr>
          <w:szCs w:val="24"/>
        </w:rPr>
      </w:pPr>
    </w:p>
    <w:p w:rsidR="003E5BD0" w:rsidRPr="001A625A" w:rsidP="00C92E5B" w14:paraId="0171CD37" w14:textId="1FD56C69">
      <w:pPr>
        <w:spacing w:line="240" w:lineRule="exact"/>
        <w:rPr>
          <w:szCs w:val="24"/>
        </w:rPr>
      </w:pPr>
      <w:r w:rsidRPr="001A625A">
        <w:rPr>
          <w:szCs w:val="24"/>
        </w:rPr>
        <w:t>T</w:t>
      </w:r>
      <w:r w:rsidRPr="001A625A">
        <w:rPr>
          <w:szCs w:val="24"/>
        </w:rPr>
        <w:t>he CADC data capture screens do not include a statement regarding confidentiality or burden</w:t>
      </w:r>
      <w:r w:rsidRPr="001A625A">
        <w:rPr>
          <w:szCs w:val="24"/>
        </w:rPr>
        <w:t xml:space="preserve"> since respondents do not see these screens</w:t>
      </w:r>
      <w:r w:rsidRPr="001A625A">
        <w:rPr>
          <w:szCs w:val="24"/>
        </w:rPr>
        <w:t>,</w:t>
      </w:r>
      <w:r w:rsidRPr="001A625A">
        <w:rPr>
          <w:szCs w:val="24"/>
        </w:rPr>
        <w:t xml:space="preserve"> but</w:t>
      </w:r>
      <w:r w:rsidRPr="001A625A">
        <w:rPr>
          <w:szCs w:val="24"/>
        </w:rPr>
        <w:t xml:space="preserve"> the data collection staff do provide respondents a pamphlet </w:t>
      </w:r>
      <w:r w:rsidRPr="001A625A" w:rsidR="00744F30">
        <w:rPr>
          <w:szCs w:val="24"/>
        </w:rPr>
        <w:t xml:space="preserve">titled, </w:t>
      </w:r>
      <w:r w:rsidRPr="001A625A" w:rsidR="00744F30">
        <w:rPr>
          <w:i/>
          <w:szCs w:val="24"/>
        </w:rPr>
        <w:t>The Consumer Price Index Commodities and Services Survey: Questions &amp; Answers</w:t>
      </w:r>
      <w:r w:rsidRPr="001A625A" w:rsidR="00744F30">
        <w:rPr>
          <w:szCs w:val="24"/>
        </w:rPr>
        <w:t xml:space="preserve"> (Attachment B) </w:t>
      </w:r>
      <w:r w:rsidRPr="001A625A">
        <w:rPr>
          <w:szCs w:val="24"/>
        </w:rPr>
        <w:t xml:space="preserve">that contains </w:t>
      </w:r>
      <w:r w:rsidRPr="001A625A" w:rsidR="00744F30">
        <w:rPr>
          <w:szCs w:val="24"/>
        </w:rPr>
        <w:t xml:space="preserve">the </w:t>
      </w:r>
      <w:r w:rsidRPr="001A625A">
        <w:rPr>
          <w:szCs w:val="24"/>
        </w:rPr>
        <w:t>confidentiality and burden statements.</w:t>
      </w:r>
      <w:r w:rsidRPr="001A625A" w:rsidR="00C40393">
        <w:rPr>
          <w:szCs w:val="24"/>
        </w:rPr>
        <w:t xml:space="preserve"> The </w:t>
      </w:r>
      <w:r w:rsidRPr="001A625A" w:rsidR="005C5B79">
        <w:rPr>
          <w:szCs w:val="24"/>
        </w:rPr>
        <w:t>CPI</w:t>
      </w:r>
      <w:r w:rsidRPr="001A625A" w:rsidR="00C40393">
        <w:rPr>
          <w:szCs w:val="24"/>
        </w:rPr>
        <w:t xml:space="preserve"> </w:t>
      </w:r>
      <w:r w:rsidR="00F40799">
        <w:rPr>
          <w:szCs w:val="24"/>
        </w:rPr>
        <w:t xml:space="preserve">makes use of alternative data collection </w:t>
      </w:r>
      <w:r w:rsidR="008C770A">
        <w:rPr>
          <w:szCs w:val="24"/>
        </w:rPr>
        <w:t>methods</w:t>
      </w:r>
      <w:r w:rsidR="00F40799">
        <w:rPr>
          <w:szCs w:val="24"/>
        </w:rPr>
        <w:t xml:space="preserve"> </w:t>
      </w:r>
      <w:r w:rsidRPr="001A625A" w:rsidR="00C40393">
        <w:rPr>
          <w:szCs w:val="24"/>
        </w:rPr>
        <w:t>by extracting data directly from websites</w:t>
      </w:r>
      <w:r w:rsidR="00F40799">
        <w:rPr>
          <w:szCs w:val="24"/>
        </w:rPr>
        <w:t xml:space="preserve"> or using a company’s Application Programming Interface (API)</w:t>
      </w:r>
      <w:r w:rsidRPr="001A625A" w:rsidR="00C40393">
        <w:rPr>
          <w:szCs w:val="24"/>
        </w:rPr>
        <w:t>.</w:t>
      </w:r>
      <w:r w:rsidR="0032049C">
        <w:rPr>
          <w:szCs w:val="24"/>
        </w:rPr>
        <w:t xml:space="preserve"> </w:t>
      </w:r>
      <w:r w:rsidR="00F40799">
        <w:rPr>
          <w:szCs w:val="24"/>
        </w:rPr>
        <w:t>A</w:t>
      </w:r>
      <w:r w:rsidRPr="001A625A" w:rsidR="00BE0058">
        <w:rPr>
          <w:szCs w:val="24"/>
        </w:rPr>
        <w:t xml:space="preserve"> fact sheet and </w:t>
      </w:r>
      <w:r w:rsidRPr="001A625A" w:rsidR="00C40393">
        <w:rPr>
          <w:szCs w:val="24"/>
        </w:rPr>
        <w:t xml:space="preserve">pamphlet are available, both are titled </w:t>
      </w:r>
      <w:r w:rsidRPr="001A625A" w:rsidR="00C40393">
        <w:rPr>
          <w:i/>
          <w:szCs w:val="24"/>
        </w:rPr>
        <w:t>The Consumer Price Index: Modernizing Data Collection: APIs &amp; Web Scraping</w:t>
      </w:r>
      <w:r w:rsidRPr="001A625A" w:rsidR="00C40393">
        <w:rPr>
          <w:szCs w:val="24"/>
        </w:rPr>
        <w:t xml:space="preserve"> (Attachment</w:t>
      </w:r>
      <w:r w:rsidRPr="001A625A" w:rsidR="002800E3">
        <w:rPr>
          <w:szCs w:val="24"/>
        </w:rPr>
        <w:t>s</w:t>
      </w:r>
      <w:r w:rsidRPr="001A625A" w:rsidR="00C40393">
        <w:rPr>
          <w:szCs w:val="24"/>
        </w:rPr>
        <w:t xml:space="preserve"> </w:t>
      </w:r>
      <w:r w:rsidRPr="001A625A" w:rsidR="000D42D6">
        <w:rPr>
          <w:szCs w:val="24"/>
        </w:rPr>
        <w:t>D</w:t>
      </w:r>
      <w:r w:rsidRPr="001A625A" w:rsidR="00C40393">
        <w:rPr>
          <w:szCs w:val="24"/>
        </w:rPr>
        <w:t xml:space="preserve"> &amp; </w:t>
      </w:r>
      <w:r w:rsidRPr="001A625A" w:rsidR="000D42D6">
        <w:rPr>
          <w:szCs w:val="24"/>
        </w:rPr>
        <w:t>E</w:t>
      </w:r>
      <w:r w:rsidRPr="001A625A" w:rsidR="00C40393">
        <w:rPr>
          <w:szCs w:val="24"/>
        </w:rPr>
        <w:t>)</w:t>
      </w:r>
      <w:r w:rsidR="00F40799">
        <w:rPr>
          <w:szCs w:val="24"/>
        </w:rPr>
        <w:t xml:space="preserve">. The CPI also </w:t>
      </w:r>
      <w:r w:rsidR="00C40AB3">
        <w:rPr>
          <w:szCs w:val="24"/>
        </w:rPr>
        <w:t>receives</w:t>
      </w:r>
      <w:r w:rsidR="00F40799">
        <w:rPr>
          <w:szCs w:val="24"/>
        </w:rPr>
        <w:t xml:space="preserve"> datasets directly from a respondent as outlined in </w:t>
      </w:r>
      <w:r w:rsidRPr="00C40AB3" w:rsidR="00F40799">
        <w:rPr>
          <w:i/>
          <w:iCs/>
          <w:szCs w:val="24"/>
        </w:rPr>
        <w:t>The Consumer Price Index: Modernizing Data Collection: Corporate Data</w:t>
      </w:r>
      <w:r w:rsidR="00F40799">
        <w:rPr>
          <w:szCs w:val="24"/>
        </w:rPr>
        <w:t xml:space="preserve"> fact sheet (Attachment G).</w:t>
      </w:r>
    </w:p>
    <w:p w:rsidR="00982199" w:rsidRPr="001A625A" w:rsidP="00C92E5B" w14:paraId="6A4185DB" w14:textId="77777777">
      <w:pPr>
        <w:spacing w:line="240" w:lineRule="exact"/>
        <w:rPr>
          <w:szCs w:val="24"/>
        </w:rPr>
      </w:pPr>
    </w:p>
    <w:p w:rsidR="00982199" w:rsidRPr="001A625A" w:rsidP="00C92E5B" w14:paraId="6EB907C9" w14:textId="14CB0E29">
      <w:pPr>
        <w:spacing w:line="240" w:lineRule="exact"/>
        <w:rPr>
          <w:szCs w:val="24"/>
        </w:rPr>
      </w:pPr>
      <w:r w:rsidRPr="001A625A">
        <w:rPr>
          <w:szCs w:val="24"/>
        </w:rPr>
        <w:t xml:space="preserve">A letter </w:t>
      </w:r>
      <w:r w:rsidRPr="001A625A" w:rsidR="00744F30">
        <w:rPr>
          <w:szCs w:val="24"/>
        </w:rPr>
        <w:t xml:space="preserve">(Attachment </w:t>
      </w:r>
      <w:r w:rsidRPr="001A625A" w:rsidR="000D42D6">
        <w:rPr>
          <w:szCs w:val="24"/>
        </w:rPr>
        <w:t>F</w:t>
      </w:r>
      <w:r w:rsidRPr="001A625A" w:rsidR="00744F30">
        <w:rPr>
          <w:szCs w:val="24"/>
        </w:rPr>
        <w:t xml:space="preserve">) </w:t>
      </w:r>
      <w:r w:rsidRPr="001A625A">
        <w:rPr>
          <w:szCs w:val="24"/>
        </w:rPr>
        <w:t xml:space="preserve">from the </w:t>
      </w:r>
      <w:r w:rsidR="0032049C">
        <w:rPr>
          <w:szCs w:val="24"/>
        </w:rPr>
        <w:t xml:space="preserve">Assistant </w:t>
      </w:r>
      <w:r w:rsidRPr="001A625A">
        <w:rPr>
          <w:szCs w:val="24"/>
        </w:rPr>
        <w:t>Regional Commissioner of Labor Statistics is sent to potential respondents.</w:t>
      </w:r>
      <w:r w:rsidR="0032049C">
        <w:rPr>
          <w:szCs w:val="24"/>
        </w:rPr>
        <w:t xml:space="preserve"> </w:t>
      </w:r>
      <w:r w:rsidRPr="001A625A">
        <w:rPr>
          <w:szCs w:val="24"/>
        </w:rPr>
        <w:t xml:space="preserve">The letter introduces the CPI and explains </w:t>
      </w:r>
      <w:r w:rsidR="000F322D">
        <w:rPr>
          <w:szCs w:val="24"/>
        </w:rPr>
        <w:t>the</w:t>
      </w:r>
      <w:r w:rsidRPr="001A625A">
        <w:rPr>
          <w:szCs w:val="24"/>
        </w:rPr>
        <w:t xml:space="preserve"> mission</w:t>
      </w:r>
      <w:r w:rsidR="000F322D">
        <w:rPr>
          <w:szCs w:val="24"/>
        </w:rPr>
        <w:t xml:space="preserve"> of the program</w:t>
      </w:r>
      <w:r w:rsidRPr="001A625A">
        <w:rPr>
          <w:szCs w:val="24"/>
        </w:rPr>
        <w:t>.</w:t>
      </w:r>
      <w:r w:rsidR="0032049C">
        <w:rPr>
          <w:szCs w:val="24"/>
        </w:rPr>
        <w:t xml:space="preserve"> </w:t>
      </w:r>
      <w:r w:rsidRPr="001A625A">
        <w:rPr>
          <w:szCs w:val="24"/>
        </w:rPr>
        <w:t>The letter assures that information collected will be used for statistical purposes only and contains a confidentiality assurance.</w:t>
      </w:r>
    </w:p>
    <w:p w:rsidR="001945BD" w:rsidRPr="001A625A" w:rsidP="007D6D05" w14:paraId="03B257D6" w14:textId="77777777">
      <w:pPr>
        <w:rPr>
          <w:szCs w:val="24"/>
        </w:rPr>
      </w:pPr>
    </w:p>
    <w:p w:rsidR="001945BD" w:rsidRPr="001A625A" w:rsidP="00DF70E3" w14:paraId="1A597033" w14:textId="1C9BC772">
      <w:pPr>
        <w:pStyle w:val="Header"/>
        <w:numPr>
          <w:ilvl w:val="0"/>
          <w:numId w:val="4"/>
        </w:numPr>
        <w:tabs>
          <w:tab w:val="clear" w:pos="4320"/>
          <w:tab w:val="clear" w:pos="8640"/>
        </w:tabs>
        <w:spacing w:line="240" w:lineRule="exact"/>
        <w:ind w:left="0" w:firstLine="0"/>
        <w:rPr>
          <w:szCs w:val="24"/>
        </w:rPr>
      </w:pPr>
      <w:r w:rsidRPr="00D53DEB">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szCs w:val="24"/>
        </w:rPr>
        <w:t>.</w:t>
      </w:r>
    </w:p>
    <w:p w:rsidR="001945BD" w:rsidRPr="001A625A" w:rsidP="00AA6E10" w14:paraId="74320DFF" w14:textId="77777777">
      <w:pPr>
        <w:spacing w:line="240" w:lineRule="exact"/>
        <w:rPr>
          <w:szCs w:val="24"/>
        </w:rPr>
      </w:pPr>
    </w:p>
    <w:p w:rsidR="001945BD" w:rsidRPr="001A625A" w:rsidP="003A4D7D" w14:paraId="3F4FD5B0" w14:textId="77777777">
      <w:pPr>
        <w:spacing w:line="240" w:lineRule="exact"/>
        <w:rPr>
          <w:szCs w:val="24"/>
        </w:rPr>
      </w:pPr>
      <w:r w:rsidRPr="001A625A">
        <w:rPr>
          <w:szCs w:val="24"/>
        </w:rPr>
        <w:t>There are no sensitive questions in this survey.</w:t>
      </w:r>
    </w:p>
    <w:p w:rsidR="001945BD" w:rsidRPr="001A625A" w:rsidP="003A4D7D" w14:paraId="74C5AA0F" w14:textId="77777777">
      <w:pPr>
        <w:spacing w:line="240" w:lineRule="exact"/>
        <w:rPr>
          <w:szCs w:val="24"/>
        </w:rPr>
      </w:pPr>
    </w:p>
    <w:p w:rsidR="00DF70E3" w:rsidRPr="00BE76E0" w:rsidP="00BE76E0" w14:paraId="60B39F46" w14:textId="28F1637F">
      <w:pPr>
        <w:pStyle w:val="ListParagraph"/>
        <w:numPr>
          <w:ilvl w:val="0"/>
          <w:numId w:val="4"/>
        </w:numPr>
        <w:rPr>
          <w:b/>
          <w:bCs/>
        </w:rPr>
      </w:pPr>
      <w:r w:rsidRPr="00BE76E0">
        <w:rPr>
          <w:b/>
          <w:bCs/>
        </w:rPr>
        <w:t>Provide estimates of the hour burden of the collection of information.  The statement should:</w:t>
      </w:r>
    </w:p>
    <w:p w:rsidR="00DF70E3" w:rsidRPr="00D53DEB" w:rsidP="00DF70E3" w14:paraId="65F2176B" w14:textId="77777777">
      <w:pPr>
        <w:rPr>
          <w:b/>
          <w:bCs/>
        </w:rPr>
      </w:pPr>
    </w:p>
    <w:p w:rsidR="00DF70E3" w:rsidRPr="003A5F9D" w:rsidP="00DF70E3" w14:paraId="13795FA8" w14:textId="77777777">
      <w:pPr>
        <w:numPr>
          <w:ilvl w:val="0"/>
          <w:numId w:val="15"/>
        </w:numPr>
        <w:tabs>
          <w:tab w:val="clear" w:pos="1080"/>
        </w:tabs>
        <w:spacing w:after="120"/>
        <w:rPr>
          <w:b/>
          <w:bCs/>
        </w:rPr>
      </w:pPr>
      <w:r w:rsidRPr="00B65823">
        <w:rPr>
          <w:b/>
          <w:bCs/>
        </w:rPr>
        <w:t xml:space="preserve">Indicate the number of respondents, frequency of response, annual hour burden, and an explanation of how the burden was estimated.  Unless directed to do so, agencies should not conduct special surveys to obtain information on which to base </w:t>
      </w:r>
      <w:r w:rsidRPr="00B65823">
        <w:rPr>
          <w:b/>
          <w:bCs/>
        </w:rPr>
        <w:t>hour</w:t>
      </w:r>
      <w:r w:rsidRPr="00B65823">
        <w:rPr>
          <w:b/>
          <w:bCs/>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DF70E3" w:rsidRPr="00B65823" w:rsidP="00DF70E3" w14:paraId="32576635" w14:textId="77777777">
      <w:pPr>
        <w:numPr>
          <w:ilvl w:val="0"/>
          <w:numId w:val="15"/>
        </w:numPr>
        <w:tabs>
          <w:tab w:val="clear" w:pos="1080"/>
        </w:tabs>
        <w:spacing w:after="120"/>
      </w:pPr>
      <w:r w:rsidRPr="00B65823">
        <w:rPr>
          <w:b/>
          <w:bCs/>
        </w:rPr>
        <w:t xml:space="preserve">If this request for approval covers more than one form, provide separate hour burden estimates for each </w:t>
      </w:r>
      <w:r w:rsidRPr="00B65823">
        <w:rPr>
          <w:b/>
          <w:bCs/>
        </w:rPr>
        <w:t>form</w:t>
      </w:r>
    </w:p>
    <w:p w:rsidR="00DF70E3" w:rsidRPr="00B65823" w:rsidP="00DF70E3" w14:paraId="5DF8BF3E" w14:textId="77777777">
      <w:pPr>
        <w:numPr>
          <w:ilvl w:val="0"/>
          <w:numId w:val="15"/>
        </w:numPr>
        <w:tabs>
          <w:tab w:val="clear" w:pos="1080"/>
        </w:tabs>
        <w:rPr>
          <w:b/>
          <w:bCs/>
        </w:rPr>
      </w:pPr>
      <w:r w:rsidRPr="00B65823">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945BD" w:rsidRPr="001A625A" w:rsidP="00AA6E10" w14:paraId="25D55FF8" w14:textId="77777777">
      <w:pPr>
        <w:spacing w:line="240" w:lineRule="exact"/>
        <w:rPr>
          <w:szCs w:val="24"/>
        </w:rPr>
      </w:pPr>
    </w:p>
    <w:p w:rsidR="001945BD" w:rsidRPr="001A625A" w:rsidP="00B54F66" w14:paraId="0CB3A884" w14:textId="488A72DC">
      <w:pPr>
        <w:rPr>
          <w:szCs w:val="24"/>
        </w:rPr>
      </w:pPr>
      <w:r w:rsidRPr="001A625A">
        <w:rPr>
          <w:szCs w:val="24"/>
        </w:rPr>
        <w:t xml:space="preserve">The respondent burden is estimated to be </w:t>
      </w:r>
      <w:r w:rsidR="008941A6">
        <w:rPr>
          <w:color w:val="000000"/>
          <w:sz w:val="22"/>
          <w:szCs w:val="22"/>
        </w:rPr>
        <w:t>113,840</w:t>
      </w:r>
      <w:r w:rsidR="00CA11CB">
        <w:rPr>
          <w:b/>
          <w:bCs/>
          <w:color w:val="000000"/>
          <w:sz w:val="22"/>
          <w:szCs w:val="22"/>
        </w:rPr>
        <w:t xml:space="preserve"> </w:t>
      </w:r>
      <w:r w:rsidRPr="001A625A">
        <w:rPr>
          <w:szCs w:val="24"/>
        </w:rPr>
        <w:t xml:space="preserve">hours per year for fiscal years </w:t>
      </w:r>
      <w:r w:rsidRPr="001A625A" w:rsidR="00D956D9">
        <w:rPr>
          <w:szCs w:val="24"/>
        </w:rPr>
        <w:t>202</w:t>
      </w:r>
      <w:r w:rsidR="005342B0">
        <w:rPr>
          <w:szCs w:val="24"/>
        </w:rPr>
        <w:t>4</w:t>
      </w:r>
      <w:r w:rsidRPr="001A625A" w:rsidR="00D956D9">
        <w:rPr>
          <w:szCs w:val="24"/>
        </w:rPr>
        <w:t>, 202</w:t>
      </w:r>
      <w:r w:rsidR="005342B0">
        <w:rPr>
          <w:szCs w:val="24"/>
        </w:rPr>
        <w:t>5</w:t>
      </w:r>
      <w:r w:rsidRPr="001A625A" w:rsidR="00D956D9">
        <w:rPr>
          <w:szCs w:val="24"/>
        </w:rPr>
        <w:t>, and 202</w:t>
      </w:r>
      <w:r w:rsidR="005342B0">
        <w:rPr>
          <w:szCs w:val="24"/>
        </w:rPr>
        <w:t>6</w:t>
      </w:r>
      <w:r w:rsidR="00E4759F">
        <w:rPr>
          <w:szCs w:val="24"/>
        </w:rPr>
        <w:t xml:space="preserve"> based</w:t>
      </w:r>
      <w:r w:rsidR="00B54C3A">
        <w:rPr>
          <w:szCs w:val="24"/>
        </w:rPr>
        <w:t xml:space="preserve"> on</w:t>
      </w:r>
      <w:r w:rsidR="00E4759F">
        <w:rPr>
          <w:szCs w:val="24"/>
        </w:rPr>
        <w:t xml:space="preserve"> </w:t>
      </w:r>
      <w:r w:rsidR="008941A6">
        <w:rPr>
          <w:szCs w:val="24"/>
        </w:rPr>
        <w:t>fiscal year</w:t>
      </w:r>
      <w:r w:rsidR="00E4759F">
        <w:rPr>
          <w:szCs w:val="24"/>
        </w:rPr>
        <w:t xml:space="preserve"> </w:t>
      </w:r>
      <w:r w:rsidR="008941A6">
        <w:rPr>
          <w:szCs w:val="24"/>
        </w:rPr>
        <w:t>20</w:t>
      </w:r>
      <w:r w:rsidR="00E4759F">
        <w:rPr>
          <w:szCs w:val="24"/>
        </w:rPr>
        <w:t>23 figures.</w:t>
      </w:r>
    </w:p>
    <w:p w:rsidR="0057759D" w:rsidRPr="001A625A" w:rsidP="0057759D" w14:paraId="4AABCA8F" w14:textId="0C4A3AAA">
      <w:pPr>
        <w:pStyle w:val="BodyText"/>
        <w:spacing w:line="240" w:lineRule="auto"/>
        <w:jc w:val="center"/>
        <w:rPr>
          <w:rFonts w:ascii="Times New Roman" w:hAnsi="Times New Roman"/>
          <w:b/>
          <w:szCs w:val="24"/>
        </w:rPr>
      </w:pPr>
      <w:r w:rsidRPr="001A625A">
        <w:rPr>
          <w:rFonts w:ascii="Times New Roman" w:hAnsi="Times New Roman"/>
          <w:b/>
          <w:szCs w:val="24"/>
        </w:rPr>
        <w:t>Estimation of Respondent Burden</w:t>
      </w:r>
      <w:r w:rsidRPr="001A625A" w:rsidR="00240202">
        <w:rPr>
          <w:rFonts w:ascii="Times New Roman" w:hAnsi="Times New Roman"/>
          <w:b/>
          <w:szCs w:val="24"/>
        </w:rPr>
        <w:t xml:space="preserve"> (per year)</w:t>
      </w:r>
      <w:r w:rsidR="001D63DB">
        <w:rPr>
          <w:rFonts w:ascii="Times New Roman" w:hAnsi="Times New Roman"/>
          <w:b/>
          <w:szCs w:val="24"/>
        </w:rPr>
        <w:t xml:space="preserve"> </w:t>
      </w:r>
      <w:r w:rsidR="00E4759F">
        <w:rPr>
          <w:rFonts w:ascii="Times New Roman" w:hAnsi="Times New Roman"/>
          <w:b/>
          <w:szCs w:val="24"/>
        </w:rPr>
        <w:t xml:space="preserve">for </w:t>
      </w:r>
      <w:r w:rsidR="008941A6">
        <w:rPr>
          <w:rFonts w:ascii="Times New Roman" w:hAnsi="Times New Roman"/>
          <w:b/>
          <w:szCs w:val="24"/>
        </w:rPr>
        <w:t>fiscal years</w:t>
      </w:r>
      <w:r w:rsidR="00E4759F">
        <w:rPr>
          <w:rFonts w:ascii="Times New Roman" w:hAnsi="Times New Roman"/>
          <w:b/>
          <w:szCs w:val="24"/>
        </w:rPr>
        <w:t xml:space="preserve"> </w:t>
      </w:r>
      <w:r w:rsidR="008941A6">
        <w:rPr>
          <w:rFonts w:ascii="Times New Roman" w:hAnsi="Times New Roman"/>
          <w:b/>
          <w:szCs w:val="24"/>
        </w:rPr>
        <w:t>20</w:t>
      </w:r>
      <w:r w:rsidR="00E4759F">
        <w:rPr>
          <w:rFonts w:ascii="Times New Roman" w:hAnsi="Times New Roman"/>
          <w:b/>
          <w:szCs w:val="24"/>
        </w:rPr>
        <w:t>24-</w:t>
      </w:r>
      <w:r w:rsidR="008941A6">
        <w:rPr>
          <w:rFonts w:ascii="Times New Roman" w:hAnsi="Times New Roman"/>
          <w:b/>
          <w:szCs w:val="24"/>
        </w:rPr>
        <w:t>20</w:t>
      </w:r>
      <w:r w:rsidR="00E4759F">
        <w:rPr>
          <w:rFonts w:ascii="Times New Roman" w:hAnsi="Times New Roman"/>
          <w:b/>
          <w:szCs w:val="24"/>
        </w:rPr>
        <w:t>26</w:t>
      </w:r>
    </w:p>
    <w:tbl>
      <w:tblPr>
        <w:tblpPr w:leftFromText="180" w:rightFromText="180" w:vertAnchor="text" w:horzAnchor="page" w:tblpX="969" w:tblpY="192"/>
        <w:tblW w:w="10335" w:type="dxa"/>
        <w:tblLayout w:type="fixed"/>
        <w:tblLook w:val="04A0"/>
      </w:tblPr>
      <w:tblGrid>
        <w:gridCol w:w="1199"/>
        <w:gridCol w:w="1321"/>
        <w:gridCol w:w="151"/>
        <w:gridCol w:w="1299"/>
        <w:gridCol w:w="1219"/>
        <w:gridCol w:w="1276"/>
        <w:gridCol w:w="1162"/>
        <w:gridCol w:w="1219"/>
        <w:gridCol w:w="1489"/>
      </w:tblGrid>
      <w:tr w14:paraId="74C9A588" w14:textId="77777777" w:rsidTr="00BE76E0">
        <w:tblPrEx>
          <w:tblW w:w="10335" w:type="dxa"/>
          <w:tblLayout w:type="fixed"/>
          <w:tblLook w:val="04A0"/>
        </w:tblPrEx>
        <w:trPr>
          <w:trHeight w:val="1128"/>
        </w:trPr>
        <w:tc>
          <w:tcPr>
            <w:tcW w:w="1199" w:type="dxa"/>
            <w:tcBorders>
              <w:top w:val="single" w:sz="12" w:space="0" w:color="auto"/>
              <w:left w:val="single" w:sz="12" w:space="0" w:color="auto"/>
              <w:bottom w:val="nil"/>
              <w:right w:val="nil"/>
            </w:tcBorders>
            <w:shd w:val="clear" w:color="auto" w:fill="auto"/>
            <w:vAlign w:val="center"/>
            <w:hideMark/>
          </w:tcPr>
          <w:p w:rsidR="0006546B" w:rsidRPr="001A625A" w:rsidP="0006546B" w14:paraId="517DC9A9" w14:textId="77777777">
            <w:pPr>
              <w:jc w:val="center"/>
              <w:rPr>
                <w:b/>
                <w:bCs/>
                <w:color w:val="000000"/>
                <w:sz w:val="22"/>
                <w:szCs w:val="22"/>
              </w:rPr>
            </w:pPr>
            <w:r w:rsidRPr="001A625A">
              <w:rPr>
                <w:b/>
                <w:bCs/>
                <w:color w:val="000000"/>
                <w:sz w:val="22"/>
                <w:szCs w:val="22"/>
              </w:rPr>
              <w:t> </w:t>
            </w:r>
          </w:p>
        </w:tc>
        <w:tc>
          <w:tcPr>
            <w:tcW w:w="1472" w:type="dxa"/>
            <w:gridSpan w:val="2"/>
            <w:tcBorders>
              <w:top w:val="single" w:sz="12" w:space="0" w:color="auto"/>
              <w:left w:val="nil"/>
              <w:bottom w:val="single" w:sz="8" w:space="0" w:color="auto"/>
              <w:right w:val="nil"/>
            </w:tcBorders>
            <w:shd w:val="clear" w:color="auto" w:fill="auto"/>
            <w:vAlign w:val="center"/>
            <w:hideMark/>
          </w:tcPr>
          <w:p w:rsidR="0006546B" w:rsidRPr="00BE76E0" w:rsidP="0006546B" w14:paraId="61AE3C1F" w14:textId="153F7EF6">
            <w:pPr>
              <w:jc w:val="center"/>
              <w:rPr>
                <w:b/>
                <w:bCs/>
                <w:color w:val="000000"/>
                <w:sz w:val="20"/>
              </w:rPr>
            </w:pPr>
            <w:r w:rsidRPr="00BE76E0">
              <w:rPr>
                <w:b/>
                <w:bCs/>
                <w:color w:val="000000"/>
                <w:sz w:val="20"/>
              </w:rPr>
              <w:t>No. of</w:t>
            </w:r>
            <w:r w:rsidRPr="00BE76E0">
              <w:rPr>
                <w:b/>
                <w:bCs/>
                <w:color w:val="000000"/>
                <w:sz w:val="20"/>
              </w:rPr>
              <w:br/>
              <w:t>Respondents</w:t>
            </w:r>
          </w:p>
        </w:tc>
        <w:tc>
          <w:tcPr>
            <w:tcW w:w="1299" w:type="dxa"/>
            <w:tcBorders>
              <w:top w:val="single" w:sz="12" w:space="0" w:color="auto"/>
              <w:left w:val="nil"/>
              <w:bottom w:val="single" w:sz="8" w:space="0" w:color="auto"/>
              <w:right w:val="nil"/>
            </w:tcBorders>
            <w:shd w:val="clear" w:color="auto" w:fill="auto"/>
            <w:hideMark/>
          </w:tcPr>
          <w:p w:rsidR="0006546B" w:rsidRPr="00BE76E0" w:rsidP="0006546B" w14:paraId="74456865" w14:textId="448F6264">
            <w:pPr>
              <w:jc w:val="center"/>
              <w:rPr>
                <w:b/>
                <w:bCs/>
                <w:color w:val="000000"/>
                <w:sz w:val="20"/>
              </w:rPr>
            </w:pPr>
            <w:r w:rsidRPr="00BE76E0">
              <w:rPr>
                <w:b/>
                <w:bCs/>
                <w:color w:val="000000"/>
                <w:sz w:val="20"/>
              </w:rPr>
              <w:t>No. of Visits to Respondent per Year</w:t>
            </w:r>
          </w:p>
        </w:tc>
        <w:tc>
          <w:tcPr>
            <w:tcW w:w="1219" w:type="dxa"/>
            <w:tcBorders>
              <w:top w:val="single" w:sz="12" w:space="0" w:color="auto"/>
              <w:left w:val="nil"/>
              <w:bottom w:val="single" w:sz="8" w:space="0" w:color="auto"/>
              <w:right w:val="nil"/>
            </w:tcBorders>
            <w:shd w:val="clear" w:color="auto" w:fill="auto"/>
            <w:vAlign w:val="center"/>
            <w:hideMark/>
          </w:tcPr>
          <w:p w:rsidR="0006546B" w:rsidRPr="00BE76E0" w:rsidP="0006546B" w14:paraId="25C2E38D" w14:textId="77777777">
            <w:pPr>
              <w:jc w:val="center"/>
              <w:rPr>
                <w:b/>
                <w:bCs/>
                <w:color w:val="000000"/>
                <w:sz w:val="20"/>
              </w:rPr>
            </w:pPr>
            <w:r w:rsidRPr="00BE76E0">
              <w:rPr>
                <w:b/>
                <w:bCs/>
                <w:color w:val="000000"/>
                <w:sz w:val="20"/>
              </w:rPr>
              <w:t>Total Responses</w:t>
            </w:r>
          </w:p>
        </w:tc>
        <w:tc>
          <w:tcPr>
            <w:tcW w:w="1276" w:type="dxa"/>
            <w:tcBorders>
              <w:top w:val="single" w:sz="12" w:space="0" w:color="auto"/>
              <w:left w:val="nil"/>
              <w:bottom w:val="single" w:sz="8" w:space="0" w:color="auto"/>
              <w:right w:val="nil"/>
            </w:tcBorders>
            <w:shd w:val="clear" w:color="auto" w:fill="auto"/>
            <w:vAlign w:val="center"/>
            <w:hideMark/>
          </w:tcPr>
          <w:p w:rsidR="0006546B" w:rsidRPr="00BE76E0" w:rsidP="0006546B" w14:paraId="40A0719D" w14:textId="77777777">
            <w:pPr>
              <w:jc w:val="center"/>
              <w:rPr>
                <w:b/>
                <w:bCs/>
                <w:color w:val="000000"/>
                <w:sz w:val="20"/>
              </w:rPr>
            </w:pPr>
            <w:r w:rsidRPr="00BE76E0">
              <w:rPr>
                <w:b/>
                <w:bCs/>
                <w:color w:val="000000"/>
                <w:sz w:val="20"/>
              </w:rPr>
              <w:t>Respondent Hours Per Response</w:t>
            </w:r>
          </w:p>
        </w:tc>
        <w:tc>
          <w:tcPr>
            <w:tcW w:w="1162" w:type="dxa"/>
            <w:tcBorders>
              <w:top w:val="single" w:sz="12" w:space="0" w:color="auto"/>
              <w:left w:val="nil"/>
              <w:bottom w:val="single" w:sz="8" w:space="0" w:color="auto"/>
              <w:right w:val="nil"/>
            </w:tcBorders>
            <w:shd w:val="clear" w:color="auto" w:fill="auto"/>
            <w:vAlign w:val="center"/>
            <w:hideMark/>
          </w:tcPr>
          <w:p w:rsidR="0006546B" w:rsidRPr="00BE76E0" w:rsidP="0006546B" w14:paraId="66336242" w14:textId="77777777">
            <w:pPr>
              <w:jc w:val="center"/>
              <w:rPr>
                <w:b/>
                <w:bCs/>
                <w:color w:val="000000"/>
                <w:sz w:val="20"/>
              </w:rPr>
            </w:pPr>
            <w:r w:rsidRPr="00BE76E0">
              <w:rPr>
                <w:b/>
                <w:bCs/>
                <w:color w:val="000000"/>
                <w:sz w:val="20"/>
              </w:rPr>
              <w:t xml:space="preserve">Total  </w:t>
            </w:r>
            <w:r w:rsidRPr="00BE76E0">
              <w:rPr>
                <w:b/>
                <w:bCs/>
                <w:color w:val="000000"/>
                <w:sz w:val="20"/>
              </w:rPr>
              <w:br/>
              <w:t xml:space="preserve"> Hours</w:t>
            </w:r>
          </w:p>
        </w:tc>
        <w:tc>
          <w:tcPr>
            <w:tcW w:w="1219" w:type="dxa"/>
            <w:tcBorders>
              <w:top w:val="single" w:sz="12" w:space="0" w:color="auto"/>
              <w:left w:val="nil"/>
              <w:bottom w:val="single" w:sz="8" w:space="0" w:color="auto"/>
              <w:right w:val="nil"/>
            </w:tcBorders>
          </w:tcPr>
          <w:p w:rsidR="0006546B" w:rsidRPr="00BE76E0" w:rsidP="0006546B" w14:paraId="5C4D7017" w14:textId="77777777">
            <w:pPr>
              <w:jc w:val="center"/>
              <w:rPr>
                <w:b/>
                <w:bCs/>
                <w:color w:val="000000"/>
                <w:sz w:val="20"/>
              </w:rPr>
            </w:pPr>
          </w:p>
          <w:p w:rsidR="0006546B" w:rsidRPr="00BE76E0" w:rsidP="0006546B" w14:paraId="21D214B3" w14:textId="31D7827A">
            <w:pPr>
              <w:jc w:val="center"/>
              <w:rPr>
                <w:b/>
                <w:bCs/>
                <w:color w:val="000000"/>
                <w:sz w:val="20"/>
              </w:rPr>
            </w:pPr>
            <w:r w:rsidRPr="00BE76E0">
              <w:rPr>
                <w:b/>
                <w:bCs/>
                <w:color w:val="000000"/>
                <w:sz w:val="20"/>
              </w:rPr>
              <w:t>Hourly Wage Rate</w:t>
            </w:r>
            <w:r w:rsidR="00C2277E">
              <w:rPr>
                <w:b/>
                <w:bCs/>
                <w:color w:val="000000"/>
                <w:sz w:val="20"/>
              </w:rPr>
              <w:t>*</w:t>
            </w:r>
          </w:p>
        </w:tc>
        <w:tc>
          <w:tcPr>
            <w:tcW w:w="1489" w:type="dxa"/>
            <w:tcBorders>
              <w:top w:val="single" w:sz="12" w:space="0" w:color="auto"/>
              <w:left w:val="nil"/>
              <w:bottom w:val="single" w:sz="8" w:space="0" w:color="auto"/>
              <w:right w:val="single" w:sz="12" w:space="0" w:color="auto"/>
            </w:tcBorders>
            <w:shd w:val="clear" w:color="auto" w:fill="auto"/>
            <w:vAlign w:val="center"/>
            <w:hideMark/>
          </w:tcPr>
          <w:p w:rsidR="0006546B" w:rsidRPr="00BE76E0" w:rsidP="0006546B" w14:paraId="1370D18D" w14:textId="3262DD54">
            <w:pPr>
              <w:jc w:val="center"/>
              <w:rPr>
                <w:b/>
                <w:bCs/>
                <w:color w:val="000000"/>
                <w:sz w:val="20"/>
              </w:rPr>
            </w:pPr>
            <w:r w:rsidRPr="00BE76E0">
              <w:rPr>
                <w:b/>
                <w:bCs/>
                <w:color w:val="000000"/>
                <w:sz w:val="20"/>
              </w:rPr>
              <w:t>Cost</w:t>
            </w:r>
          </w:p>
        </w:tc>
      </w:tr>
      <w:tr w14:paraId="03C215EA" w14:textId="77777777" w:rsidTr="00BE76E0">
        <w:tblPrEx>
          <w:tblW w:w="10335" w:type="dxa"/>
          <w:tblLayout w:type="fixed"/>
          <w:tblLook w:val="04A0"/>
        </w:tblPrEx>
        <w:trPr>
          <w:trHeight w:val="312"/>
        </w:trPr>
        <w:tc>
          <w:tcPr>
            <w:tcW w:w="1199" w:type="dxa"/>
            <w:tcBorders>
              <w:top w:val="double" w:sz="6" w:space="0" w:color="auto"/>
              <w:left w:val="single" w:sz="12" w:space="0" w:color="auto"/>
              <w:bottom w:val="double" w:sz="6" w:space="0" w:color="auto"/>
              <w:right w:val="double" w:sz="6" w:space="0" w:color="auto"/>
            </w:tcBorders>
            <w:shd w:val="clear" w:color="auto" w:fill="auto"/>
            <w:vAlign w:val="center"/>
            <w:hideMark/>
          </w:tcPr>
          <w:p w:rsidR="0006546B" w:rsidRPr="00BE76E0" w:rsidP="0006546B" w14:paraId="77FEAAE1" w14:textId="77777777">
            <w:pPr>
              <w:jc w:val="center"/>
              <w:rPr>
                <w:b/>
                <w:bCs/>
                <w:color w:val="000000"/>
                <w:sz w:val="20"/>
              </w:rPr>
            </w:pPr>
            <w:r w:rsidRPr="00BE76E0">
              <w:rPr>
                <w:b/>
                <w:bCs/>
                <w:color w:val="000000"/>
                <w:sz w:val="20"/>
              </w:rPr>
              <w:t>Pricing</w:t>
            </w:r>
          </w:p>
        </w:tc>
        <w:tc>
          <w:tcPr>
            <w:tcW w:w="1321" w:type="dxa"/>
            <w:tcBorders>
              <w:top w:val="nil"/>
              <w:left w:val="nil"/>
              <w:bottom w:val="nil"/>
              <w:right w:val="nil"/>
            </w:tcBorders>
            <w:shd w:val="clear" w:color="auto" w:fill="auto"/>
            <w:vAlign w:val="center"/>
            <w:hideMark/>
          </w:tcPr>
          <w:p w:rsidR="0006546B" w:rsidRPr="001A625A" w:rsidP="0006546B" w14:paraId="7FEE6B2D" w14:textId="77777777">
            <w:pPr>
              <w:jc w:val="center"/>
              <w:rPr>
                <w:b/>
                <w:bCs/>
                <w:color w:val="000000"/>
                <w:sz w:val="22"/>
                <w:szCs w:val="22"/>
              </w:rPr>
            </w:pPr>
          </w:p>
        </w:tc>
        <w:tc>
          <w:tcPr>
            <w:tcW w:w="1450" w:type="dxa"/>
            <w:gridSpan w:val="2"/>
            <w:tcBorders>
              <w:top w:val="nil"/>
              <w:left w:val="nil"/>
              <w:bottom w:val="nil"/>
              <w:right w:val="nil"/>
            </w:tcBorders>
            <w:shd w:val="clear" w:color="auto" w:fill="auto"/>
            <w:hideMark/>
          </w:tcPr>
          <w:p w:rsidR="0006546B" w:rsidRPr="001A625A" w:rsidP="0006546B" w14:paraId="78929DD9" w14:textId="77777777">
            <w:pPr>
              <w:jc w:val="center"/>
              <w:rPr>
                <w:sz w:val="20"/>
              </w:rPr>
            </w:pPr>
          </w:p>
        </w:tc>
        <w:tc>
          <w:tcPr>
            <w:tcW w:w="1219" w:type="dxa"/>
            <w:tcBorders>
              <w:top w:val="nil"/>
              <w:left w:val="nil"/>
              <w:bottom w:val="nil"/>
              <w:right w:val="nil"/>
            </w:tcBorders>
            <w:shd w:val="clear" w:color="auto" w:fill="auto"/>
            <w:vAlign w:val="center"/>
            <w:hideMark/>
          </w:tcPr>
          <w:p w:rsidR="0006546B" w:rsidRPr="001A625A" w:rsidP="0006546B" w14:paraId="2BBE7B74" w14:textId="77777777">
            <w:pPr>
              <w:jc w:val="center"/>
              <w:rPr>
                <w:sz w:val="20"/>
              </w:rPr>
            </w:pPr>
          </w:p>
        </w:tc>
        <w:tc>
          <w:tcPr>
            <w:tcW w:w="1276" w:type="dxa"/>
            <w:tcBorders>
              <w:top w:val="nil"/>
              <w:left w:val="nil"/>
              <w:bottom w:val="nil"/>
              <w:right w:val="nil"/>
            </w:tcBorders>
            <w:shd w:val="clear" w:color="auto" w:fill="auto"/>
            <w:vAlign w:val="center"/>
            <w:hideMark/>
          </w:tcPr>
          <w:p w:rsidR="0006546B" w:rsidRPr="001A625A" w:rsidP="0006546B" w14:paraId="4592E117" w14:textId="77777777">
            <w:pPr>
              <w:jc w:val="center"/>
              <w:rPr>
                <w:sz w:val="20"/>
              </w:rPr>
            </w:pPr>
          </w:p>
        </w:tc>
        <w:tc>
          <w:tcPr>
            <w:tcW w:w="1162" w:type="dxa"/>
            <w:tcBorders>
              <w:top w:val="nil"/>
              <w:left w:val="nil"/>
              <w:bottom w:val="nil"/>
              <w:right w:val="nil"/>
            </w:tcBorders>
            <w:shd w:val="clear" w:color="auto" w:fill="auto"/>
            <w:vAlign w:val="center"/>
            <w:hideMark/>
          </w:tcPr>
          <w:p w:rsidR="0006546B" w:rsidRPr="001A625A" w:rsidP="0006546B" w14:paraId="2ED201EE" w14:textId="77777777">
            <w:pPr>
              <w:jc w:val="center"/>
              <w:rPr>
                <w:sz w:val="20"/>
              </w:rPr>
            </w:pPr>
          </w:p>
        </w:tc>
        <w:tc>
          <w:tcPr>
            <w:tcW w:w="1219" w:type="dxa"/>
            <w:tcBorders>
              <w:top w:val="nil"/>
              <w:left w:val="nil"/>
              <w:bottom w:val="nil"/>
              <w:right w:val="nil"/>
            </w:tcBorders>
          </w:tcPr>
          <w:p w:rsidR="0006546B" w:rsidRPr="001A625A" w:rsidP="0006546B" w14:paraId="49A0C161" w14:textId="77777777">
            <w:pPr>
              <w:jc w:val="center"/>
              <w:rPr>
                <w:b/>
                <w:bCs/>
                <w:color w:val="000000"/>
                <w:sz w:val="22"/>
                <w:szCs w:val="22"/>
              </w:rPr>
            </w:pPr>
          </w:p>
        </w:tc>
        <w:tc>
          <w:tcPr>
            <w:tcW w:w="1489" w:type="dxa"/>
            <w:tcBorders>
              <w:top w:val="nil"/>
              <w:left w:val="nil"/>
              <w:bottom w:val="nil"/>
              <w:right w:val="single" w:sz="12" w:space="0" w:color="auto"/>
            </w:tcBorders>
            <w:shd w:val="clear" w:color="auto" w:fill="auto"/>
            <w:noWrap/>
            <w:vAlign w:val="center"/>
            <w:hideMark/>
          </w:tcPr>
          <w:p w:rsidR="0006546B" w:rsidRPr="001A625A" w:rsidP="0006546B" w14:paraId="37278FBD" w14:textId="77777777">
            <w:pPr>
              <w:jc w:val="center"/>
              <w:rPr>
                <w:b/>
                <w:bCs/>
                <w:color w:val="000000"/>
                <w:sz w:val="22"/>
                <w:szCs w:val="22"/>
              </w:rPr>
            </w:pPr>
            <w:r w:rsidRPr="001A625A">
              <w:rPr>
                <w:b/>
                <w:bCs/>
                <w:color w:val="000000"/>
                <w:sz w:val="22"/>
                <w:szCs w:val="22"/>
              </w:rPr>
              <w:t> </w:t>
            </w:r>
          </w:p>
        </w:tc>
      </w:tr>
      <w:tr w14:paraId="43B1ED92" w14:textId="77777777" w:rsidTr="00BE76E0">
        <w:tblPrEx>
          <w:tblW w:w="10335" w:type="dxa"/>
          <w:tblLayout w:type="fixed"/>
          <w:tblLook w:val="04A0"/>
        </w:tblPrEx>
        <w:trPr>
          <w:trHeight w:val="564"/>
        </w:trPr>
        <w:tc>
          <w:tcPr>
            <w:tcW w:w="1199" w:type="dxa"/>
            <w:tcBorders>
              <w:top w:val="nil"/>
              <w:left w:val="single" w:sz="12" w:space="0" w:color="auto"/>
              <w:bottom w:val="nil"/>
              <w:right w:val="nil"/>
            </w:tcBorders>
            <w:shd w:val="clear" w:color="auto" w:fill="auto"/>
            <w:vAlign w:val="center"/>
            <w:hideMark/>
          </w:tcPr>
          <w:p w:rsidR="0006546B" w:rsidRPr="00BE76E0" w:rsidP="0006546B" w14:paraId="47CF53BA" w14:textId="77777777">
            <w:pPr>
              <w:rPr>
                <w:color w:val="000000"/>
                <w:sz w:val="20"/>
              </w:rPr>
            </w:pPr>
            <w:r w:rsidRPr="00BE76E0">
              <w:rPr>
                <w:color w:val="000000"/>
                <w:sz w:val="20"/>
              </w:rPr>
              <w:t>Pricing of Private</w:t>
            </w:r>
            <w:r w:rsidRPr="00BE76E0">
              <w:rPr>
                <w:color w:val="000000"/>
                <w:sz w:val="20"/>
              </w:rPr>
              <w:br/>
              <w:t xml:space="preserve">  Sector</w:t>
            </w:r>
          </w:p>
        </w:tc>
        <w:tc>
          <w:tcPr>
            <w:tcW w:w="1321" w:type="dxa"/>
            <w:tcBorders>
              <w:top w:val="nil"/>
              <w:left w:val="nil"/>
              <w:bottom w:val="nil"/>
              <w:right w:val="nil"/>
            </w:tcBorders>
            <w:shd w:val="clear" w:color="auto" w:fill="auto"/>
            <w:vAlign w:val="center"/>
            <w:hideMark/>
          </w:tcPr>
          <w:p w:rsidR="0006546B" w:rsidRPr="001A625A" w:rsidP="0006546B" w14:paraId="77CBD65E" w14:textId="77777777">
            <w:pPr>
              <w:jc w:val="right"/>
              <w:rPr>
                <w:color w:val="000000"/>
                <w:sz w:val="22"/>
                <w:szCs w:val="22"/>
              </w:rPr>
            </w:pPr>
            <w:r>
              <w:rPr>
                <w:color w:val="000000"/>
                <w:sz w:val="22"/>
                <w:szCs w:val="22"/>
              </w:rPr>
              <w:t>34,322</w:t>
            </w:r>
          </w:p>
        </w:tc>
        <w:tc>
          <w:tcPr>
            <w:tcW w:w="1450" w:type="dxa"/>
            <w:gridSpan w:val="2"/>
            <w:tcBorders>
              <w:top w:val="nil"/>
              <w:left w:val="nil"/>
              <w:bottom w:val="nil"/>
              <w:right w:val="nil"/>
            </w:tcBorders>
            <w:shd w:val="clear" w:color="auto" w:fill="auto"/>
            <w:vAlign w:val="center"/>
            <w:hideMark/>
          </w:tcPr>
          <w:p w:rsidR="0006546B" w:rsidRPr="001A625A" w:rsidP="0006546B" w14:paraId="61EBBF25" w14:textId="77777777">
            <w:pPr>
              <w:jc w:val="center"/>
              <w:rPr>
                <w:color w:val="000000"/>
                <w:sz w:val="22"/>
                <w:szCs w:val="22"/>
              </w:rPr>
            </w:pPr>
            <w:r w:rsidRPr="001A625A">
              <w:rPr>
                <w:color w:val="000000"/>
                <w:sz w:val="22"/>
                <w:szCs w:val="22"/>
              </w:rPr>
              <w:t>9</w:t>
            </w:r>
          </w:p>
        </w:tc>
        <w:tc>
          <w:tcPr>
            <w:tcW w:w="1219" w:type="dxa"/>
            <w:tcBorders>
              <w:top w:val="nil"/>
              <w:left w:val="nil"/>
              <w:bottom w:val="nil"/>
              <w:right w:val="nil"/>
            </w:tcBorders>
            <w:shd w:val="clear" w:color="auto" w:fill="auto"/>
            <w:vAlign w:val="center"/>
            <w:hideMark/>
          </w:tcPr>
          <w:p w:rsidR="0006546B" w:rsidRPr="001A625A" w:rsidP="0006546B" w14:paraId="2C10D6F8" w14:textId="77777777">
            <w:pPr>
              <w:jc w:val="right"/>
              <w:rPr>
                <w:color w:val="000000"/>
                <w:sz w:val="22"/>
                <w:szCs w:val="22"/>
              </w:rPr>
            </w:pPr>
            <w:r>
              <w:rPr>
                <w:color w:val="000000"/>
                <w:sz w:val="22"/>
                <w:szCs w:val="22"/>
              </w:rPr>
              <w:t>308,898</w:t>
            </w:r>
          </w:p>
        </w:tc>
        <w:tc>
          <w:tcPr>
            <w:tcW w:w="1276" w:type="dxa"/>
            <w:tcBorders>
              <w:top w:val="nil"/>
              <w:left w:val="nil"/>
              <w:bottom w:val="nil"/>
              <w:right w:val="nil"/>
            </w:tcBorders>
            <w:shd w:val="clear" w:color="auto" w:fill="auto"/>
            <w:vAlign w:val="center"/>
            <w:hideMark/>
          </w:tcPr>
          <w:p w:rsidR="0006546B" w:rsidRPr="001A625A" w:rsidP="0006546B" w14:paraId="1D13AA7C" w14:textId="77777777">
            <w:pPr>
              <w:jc w:val="center"/>
              <w:rPr>
                <w:color w:val="000000"/>
                <w:sz w:val="22"/>
                <w:szCs w:val="22"/>
              </w:rPr>
            </w:pPr>
            <w:r w:rsidRPr="001A625A">
              <w:rPr>
                <w:color w:val="000000"/>
                <w:sz w:val="22"/>
                <w:szCs w:val="22"/>
              </w:rPr>
              <w:t>0.33</w:t>
            </w:r>
          </w:p>
        </w:tc>
        <w:tc>
          <w:tcPr>
            <w:tcW w:w="1162" w:type="dxa"/>
            <w:tcBorders>
              <w:top w:val="nil"/>
              <w:left w:val="nil"/>
              <w:bottom w:val="nil"/>
              <w:right w:val="nil"/>
            </w:tcBorders>
            <w:shd w:val="clear" w:color="auto" w:fill="auto"/>
            <w:vAlign w:val="center"/>
            <w:hideMark/>
          </w:tcPr>
          <w:p w:rsidR="0006546B" w:rsidP="0006546B" w14:paraId="168007FA" w14:textId="77777777">
            <w:pPr>
              <w:jc w:val="right"/>
              <w:rPr>
                <w:color w:val="000000"/>
                <w:sz w:val="22"/>
                <w:szCs w:val="22"/>
              </w:rPr>
            </w:pPr>
          </w:p>
          <w:p w:rsidR="0006546B" w:rsidRPr="00FA530D" w:rsidP="0006546B" w14:paraId="48BECCC0" w14:textId="77777777">
            <w:pPr>
              <w:jc w:val="right"/>
              <w:rPr>
                <w:color w:val="000000"/>
                <w:sz w:val="22"/>
                <w:szCs w:val="22"/>
              </w:rPr>
            </w:pPr>
            <w:r w:rsidRPr="00FA530D">
              <w:rPr>
                <w:color w:val="000000"/>
                <w:sz w:val="22"/>
                <w:szCs w:val="22"/>
              </w:rPr>
              <w:t>101</w:t>
            </w:r>
            <w:r>
              <w:rPr>
                <w:color w:val="000000"/>
                <w:sz w:val="22"/>
                <w:szCs w:val="22"/>
              </w:rPr>
              <w:t>,</w:t>
            </w:r>
            <w:r w:rsidRPr="00FA530D">
              <w:rPr>
                <w:color w:val="000000"/>
                <w:sz w:val="22"/>
                <w:szCs w:val="22"/>
              </w:rPr>
              <w:t>936</w:t>
            </w:r>
          </w:p>
          <w:p w:rsidR="0006546B" w:rsidRPr="009904BC" w:rsidP="0006546B" w14:paraId="5AC1ADCD" w14:textId="77777777">
            <w:pPr>
              <w:jc w:val="right"/>
              <w:rPr>
                <w:color w:val="000000"/>
                <w:sz w:val="22"/>
                <w:szCs w:val="22"/>
              </w:rPr>
            </w:pPr>
          </w:p>
        </w:tc>
        <w:tc>
          <w:tcPr>
            <w:tcW w:w="1219" w:type="dxa"/>
            <w:tcBorders>
              <w:top w:val="nil"/>
              <w:left w:val="nil"/>
              <w:bottom w:val="nil"/>
              <w:right w:val="nil"/>
            </w:tcBorders>
          </w:tcPr>
          <w:p w:rsidR="0006546B" w:rsidP="0006546B" w14:paraId="53357953" w14:textId="77777777">
            <w:pPr>
              <w:jc w:val="center"/>
              <w:rPr>
                <w:color w:val="000000"/>
                <w:sz w:val="22"/>
                <w:szCs w:val="22"/>
              </w:rPr>
            </w:pPr>
          </w:p>
          <w:p w:rsidR="0006546B" w:rsidRPr="00FA530D" w:rsidP="0006546B" w14:paraId="457C358D" w14:textId="77777777">
            <w:pPr>
              <w:jc w:val="center"/>
              <w:rPr>
                <w:color w:val="000000"/>
                <w:sz w:val="22"/>
                <w:szCs w:val="22"/>
              </w:rPr>
            </w:pPr>
            <w:r>
              <w:rPr>
                <w:color w:val="000000"/>
                <w:sz w:val="22"/>
                <w:szCs w:val="22"/>
              </w:rPr>
              <w:t>$28.88</w:t>
            </w:r>
          </w:p>
        </w:tc>
        <w:tc>
          <w:tcPr>
            <w:tcW w:w="1489" w:type="dxa"/>
            <w:tcBorders>
              <w:top w:val="nil"/>
              <w:left w:val="nil"/>
              <w:bottom w:val="nil"/>
              <w:right w:val="single" w:sz="12" w:space="0" w:color="auto"/>
            </w:tcBorders>
            <w:shd w:val="clear" w:color="auto" w:fill="auto"/>
            <w:noWrap/>
            <w:vAlign w:val="center"/>
            <w:hideMark/>
          </w:tcPr>
          <w:p w:rsidR="0006546B" w:rsidP="0006546B" w14:paraId="491F383D" w14:textId="77777777">
            <w:pPr>
              <w:jc w:val="right"/>
              <w:rPr>
                <w:color w:val="000000"/>
                <w:sz w:val="22"/>
                <w:szCs w:val="22"/>
              </w:rPr>
            </w:pPr>
          </w:p>
          <w:p w:rsidR="0006546B" w:rsidRPr="00FA530D" w:rsidP="0006546B" w14:paraId="4DBD6A14" w14:textId="77777777">
            <w:pPr>
              <w:jc w:val="right"/>
              <w:rPr>
                <w:color w:val="000000"/>
                <w:sz w:val="22"/>
                <w:szCs w:val="22"/>
              </w:rPr>
            </w:pPr>
            <w:r>
              <w:rPr>
                <w:color w:val="000000"/>
                <w:sz w:val="22"/>
                <w:szCs w:val="22"/>
              </w:rPr>
              <w:t>$</w:t>
            </w:r>
            <w:r w:rsidRPr="00FA530D">
              <w:rPr>
                <w:color w:val="000000"/>
                <w:sz w:val="22"/>
                <w:szCs w:val="22"/>
              </w:rPr>
              <w:t>2</w:t>
            </w:r>
            <w:r>
              <w:rPr>
                <w:color w:val="000000"/>
                <w:sz w:val="22"/>
                <w:szCs w:val="22"/>
              </w:rPr>
              <w:t>,</w:t>
            </w:r>
            <w:r w:rsidRPr="00FA530D">
              <w:rPr>
                <w:color w:val="000000"/>
                <w:sz w:val="22"/>
                <w:szCs w:val="22"/>
              </w:rPr>
              <w:t>943</w:t>
            </w:r>
            <w:r>
              <w:rPr>
                <w:color w:val="000000"/>
                <w:sz w:val="22"/>
                <w:szCs w:val="22"/>
              </w:rPr>
              <w:t>,</w:t>
            </w:r>
            <w:r w:rsidRPr="00FA530D">
              <w:rPr>
                <w:color w:val="000000"/>
                <w:sz w:val="22"/>
                <w:szCs w:val="22"/>
              </w:rPr>
              <w:t>9</w:t>
            </w:r>
            <w:r>
              <w:rPr>
                <w:color w:val="000000"/>
                <w:sz w:val="22"/>
                <w:szCs w:val="22"/>
              </w:rPr>
              <w:t>11</w:t>
            </w:r>
            <w:r w:rsidRPr="00FA530D">
              <w:rPr>
                <w:color w:val="000000"/>
                <w:sz w:val="22"/>
                <w:szCs w:val="22"/>
              </w:rPr>
              <w:t>.</w:t>
            </w:r>
            <w:r>
              <w:rPr>
                <w:color w:val="000000"/>
                <w:sz w:val="22"/>
                <w:szCs w:val="22"/>
              </w:rPr>
              <w:t>68</w:t>
            </w:r>
          </w:p>
          <w:p w:rsidR="0006546B" w:rsidRPr="009904BC" w:rsidP="0006546B" w14:paraId="769B6D02" w14:textId="77777777">
            <w:pPr>
              <w:jc w:val="right"/>
              <w:rPr>
                <w:color w:val="000000"/>
                <w:sz w:val="22"/>
                <w:szCs w:val="22"/>
              </w:rPr>
            </w:pPr>
          </w:p>
        </w:tc>
      </w:tr>
      <w:tr w14:paraId="03E9C50B" w14:textId="77777777" w:rsidTr="00BE76E0">
        <w:tblPrEx>
          <w:tblW w:w="10335" w:type="dxa"/>
          <w:tblLayout w:type="fixed"/>
          <w:tblLook w:val="04A0"/>
        </w:tblPrEx>
        <w:trPr>
          <w:trHeight w:val="552"/>
        </w:trPr>
        <w:tc>
          <w:tcPr>
            <w:tcW w:w="1199" w:type="dxa"/>
            <w:tcBorders>
              <w:top w:val="nil"/>
              <w:left w:val="single" w:sz="12" w:space="0" w:color="auto"/>
              <w:bottom w:val="nil"/>
              <w:right w:val="nil"/>
            </w:tcBorders>
            <w:shd w:val="clear" w:color="auto" w:fill="auto"/>
            <w:hideMark/>
          </w:tcPr>
          <w:p w:rsidR="0006546B" w:rsidRPr="00BE76E0" w:rsidP="0006546B" w14:paraId="1BF3E005" w14:textId="77777777">
            <w:pPr>
              <w:rPr>
                <w:color w:val="000000"/>
                <w:sz w:val="20"/>
              </w:rPr>
            </w:pPr>
            <w:r w:rsidRPr="00BE76E0">
              <w:rPr>
                <w:color w:val="000000"/>
                <w:sz w:val="20"/>
              </w:rPr>
              <w:t xml:space="preserve">Test Pricing of </w:t>
            </w:r>
            <w:r w:rsidRPr="00BE76E0">
              <w:rPr>
                <w:color w:val="000000"/>
                <w:sz w:val="20"/>
              </w:rPr>
              <w:br/>
            </w:r>
            <w:r w:rsidRPr="00BE76E0">
              <w:rPr>
                <w:color w:val="000000"/>
                <w:sz w:val="20"/>
              </w:rPr>
              <w:t xml:space="preserve"> Private Sector</w:t>
            </w:r>
          </w:p>
        </w:tc>
        <w:tc>
          <w:tcPr>
            <w:tcW w:w="1321" w:type="dxa"/>
            <w:tcBorders>
              <w:top w:val="nil"/>
              <w:left w:val="nil"/>
              <w:bottom w:val="nil"/>
              <w:right w:val="nil"/>
            </w:tcBorders>
            <w:shd w:val="clear" w:color="auto" w:fill="auto"/>
            <w:vAlign w:val="center"/>
            <w:hideMark/>
          </w:tcPr>
          <w:p w:rsidR="0006546B" w:rsidRPr="001A625A" w:rsidP="0006546B" w14:paraId="75E5DB75" w14:textId="77777777">
            <w:pPr>
              <w:jc w:val="right"/>
              <w:rPr>
                <w:color w:val="000000"/>
                <w:sz w:val="22"/>
                <w:szCs w:val="22"/>
              </w:rPr>
            </w:pPr>
            <w:r w:rsidRPr="001A625A">
              <w:rPr>
                <w:color w:val="000000"/>
                <w:sz w:val="22"/>
                <w:szCs w:val="22"/>
              </w:rPr>
              <w:t>1,000</w:t>
            </w:r>
          </w:p>
        </w:tc>
        <w:tc>
          <w:tcPr>
            <w:tcW w:w="1450" w:type="dxa"/>
            <w:gridSpan w:val="2"/>
            <w:tcBorders>
              <w:top w:val="nil"/>
              <w:left w:val="nil"/>
              <w:bottom w:val="nil"/>
              <w:right w:val="nil"/>
            </w:tcBorders>
            <w:shd w:val="clear" w:color="auto" w:fill="auto"/>
            <w:vAlign w:val="center"/>
            <w:hideMark/>
          </w:tcPr>
          <w:p w:rsidR="0006546B" w:rsidRPr="001A625A" w:rsidP="0006546B" w14:paraId="0E2107D3" w14:textId="77777777">
            <w:pPr>
              <w:jc w:val="center"/>
              <w:rPr>
                <w:color w:val="000000"/>
                <w:sz w:val="22"/>
                <w:szCs w:val="22"/>
              </w:rPr>
            </w:pPr>
            <w:r w:rsidRPr="001A625A">
              <w:rPr>
                <w:color w:val="000000"/>
                <w:sz w:val="22"/>
                <w:szCs w:val="22"/>
              </w:rPr>
              <w:t>1</w:t>
            </w:r>
          </w:p>
        </w:tc>
        <w:tc>
          <w:tcPr>
            <w:tcW w:w="1219" w:type="dxa"/>
            <w:tcBorders>
              <w:top w:val="nil"/>
              <w:left w:val="nil"/>
              <w:bottom w:val="nil"/>
              <w:right w:val="nil"/>
            </w:tcBorders>
            <w:shd w:val="clear" w:color="auto" w:fill="auto"/>
            <w:vAlign w:val="center"/>
            <w:hideMark/>
          </w:tcPr>
          <w:p w:rsidR="0006546B" w:rsidRPr="001A625A" w:rsidP="0006546B" w14:paraId="2435E7EB" w14:textId="77777777">
            <w:pPr>
              <w:jc w:val="right"/>
              <w:rPr>
                <w:color w:val="000000"/>
                <w:sz w:val="22"/>
                <w:szCs w:val="22"/>
              </w:rPr>
            </w:pPr>
            <w:r w:rsidRPr="001A625A">
              <w:rPr>
                <w:color w:val="000000"/>
                <w:sz w:val="22"/>
                <w:szCs w:val="22"/>
              </w:rPr>
              <w:t>1,000</w:t>
            </w:r>
          </w:p>
        </w:tc>
        <w:tc>
          <w:tcPr>
            <w:tcW w:w="1276" w:type="dxa"/>
            <w:tcBorders>
              <w:top w:val="nil"/>
              <w:left w:val="nil"/>
              <w:bottom w:val="nil"/>
              <w:right w:val="nil"/>
            </w:tcBorders>
            <w:shd w:val="clear" w:color="auto" w:fill="auto"/>
            <w:vAlign w:val="center"/>
            <w:hideMark/>
          </w:tcPr>
          <w:p w:rsidR="0006546B" w:rsidRPr="001A625A" w:rsidP="0006546B" w14:paraId="430EFA0A" w14:textId="77777777">
            <w:pPr>
              <w:jc w:val="center"/>
              <w:rPr>
                <w:color w:val="000000"/>
                <w:sz w:val="22"/>
                <w:szCs w:val="22"/>
              </w:rPr>
            </w:pPr>
            <w:r w:rsidRPr="001A625A">
              <w:rPr>
                <w:color w:val="000000"/>
                <w:sz w:val="22"/>
                <w:szCs w:val="22"/>
              </w:rPr>
              <w:t>0.33</w:t>
            </w:r>
          </w:p>
        </w:tc>
        <w:tc>
          <w:tcPr>
            <w:tcW w:w="1162" w:type="dxa"/>
            <w:tcBorders>
              <w:top w:val="nil"/>
              <w:left w:val="nil"/>
              <w:bottom w:val="nil"/>
              <w:right w:val="nil"/>
            </w:tcBorders>
            <w:shd w:val="clear" w:color="auto" w:fill="auto"/>
            <w:vAlign w:val="center"/>
            <w:hideMark/>
          </w:tcPr>
          <w:p w:rsidR="0006546B" w:rsidRPr="001A625A" w:rsidP="0006546B" w14:paraId="309B190A" w14:textId="77777777">
            <w:pPr>
              <w:jc w:val="right"/>
              <w:rPr>
                <w:color w:val="000000"/>
                <w:sz w:val="22"/>
                <w:szCs w:val="22"/>
              </w:rPr>
            </w:pPr>
            <w:r w:rsidRPr="001A625A">
              <w:rPr>
                <w:color w:val="000000"/>
                <w:sz w:val="22"/>
                <w:szCs w:val="22"/>
              </w:rPr>
              <w:t>330</w:t>
            </w:r>
          </w:p>
        </w:tc>
        <w:tc>
          <w:tcPr>
            <w:tcW w:w="1219" w:type="dxa"/>
            <w:tcBorders>
              <w:top w:val="nil"/>
              <w:left w:val="nil"/>
              <w:bottom w:val="nil"/>
              <w:right w:val="nil"/>
            </w:tcBorders>
          </w:tcPr>
          <w:p w:rsidR="0006546B" w:rsidP="0006546B" w14:paraId="491C7271" w14:textId="77777777">
            <w:pPr>
              <w:jc w:val="center"/>
              <w:rPr>
                <w:color w:val="000000"/>
                <w:sz w:val="22"/>
                <w:szCs w:val="22"/>
              </w:rPr>
            </w:pPr>
          </w:p>
          <w:p w:rsidR="0006546B" w:rsidP="0006546B" w14:paraId="635F42C6" w14:textId="77777777">
            <w:pPr>
              <w:jc w:val="center"/>
              <w:rPr>
                <w:color w:val="000000"/>
                <w:sz w:val="22"/>
                <w:szCs w:val="22"/>
              </w:rPr>
            </w:pPr>
            <w:r>
              <w:rPr>
                <w:color w:val="000000"/>
                <w:sz w:val="22"/>
                <w:szCs w:val="22"/>
              </w:rPr>
              <w:t>$28.88</w:t>
            </w:r>
          </w:p>
          <w:p w:rsidR="0006546B" w:rsidRPr="002167A3" w:rsidP="0006546B" w14:paraId="58918B15" w14:textId="77777777">
            <w:pPr>
              <w:rPr>
                <w:color w:val="000000"/>
                <w:sz w:val="22"/>
                <w:szCs w:val="22"/>
              </w:rPr>
            </w:pPr>
          </w:p>
        </w:tc>
        <w:tc>
          <w:tcPr>
            <w:tcW w:w="1489" w:type="dxa"/>
            <w:tcBorders>
              <w:top w:val="nil"/>
              <w:left w:val="nil"/>
              <w:bottom w:val="nil"/>
              <w:right w:val="single" w:sz="12" w:space="0" w:color="auto"/>
            </w:tcBorders>
            <w:shd w:val="clear" w:color="auto" w:fill="auto"/>
            <w:noWrap/>
            <w:vAlign w:val="center"/>
            <w:hideMark/>
          </w:tcPr>
          <w:p w:rsidR="0006546B" w:rsidRPr="001A625A" w:rsidP="0006546B" w14:paraId="629186B5" w14:textId="77777777">
            <w:pPr>
              <w:jc w:val="right"/>
              <w:rPr>
                <w:color w:val="000000"/>
                <w:sz w:val="22"/>
                <w:szCs w:val="22"/>
              </w:rPr>
            </w:pPr>
            <w:r>
              <w:rPr>
                <w:color w:val="000000"/>
                <w:sz w:val="22"/>
                <w:szCs w:val="22"/>
              </w:rPr>
              <w:t>$</w:t>
            </w:r>
            <w:r w:rsidRPr="002167A3">
              <w:rPr>
                <w:color w:val="000000"/>
                <w:sz w:val="22"/>
                <w:szCs w:val="22"/>
              </w:rPr>
              <w:t>9,530.4</w:t>
            </w:r>
            <w:r>
              <w:rPr>
                <w:color w:val="000000"/>
                <w:sz w:val="22"/>
                <w:szCs w:val="22"/>
              </w:rPr>
              <w:t>0</w:t>
            </w:r>
          </w:p>
        </w:tc>
      </w:tr>
      <w:tr w14:paraId="123DE29F" w14:textId="77777777" w:rsidTr="00BE76E0">
        <w:tblPrEx>
          <w:tblW w:w="10335" w:type="dxa"/>
          <w:tblLayout w:type="fixed"/>
          <w:tblLook w:val="04A0"/>
        </w:tblPrEx>
        <w:trPr>
          <w:trHeight w:val="564"/>
        </w:trPr>
        <w:tc>
          <w:tcPr>
            <w:tcW w:w="1199" w:type="dxa"/>
            <w:tcBorders>
              <w:top w:val="nil"/>
              <w:left w:val="single" w:sz="12" w:space="0" w:color="auto"/>
              <w:bottom w:val="nil"/>
              <w:right w:val="nil"/>
            </w:tcBorders>
            <w:shd w:val="clear" w:color="auto" w:fill="auto"/>
            <w:vAlign w:val="center"/>
            <w:hideMark/>
          </w:tcPr>
          <w:p w:rsidR="0006546B" w:rsidRPr="00BE76E0" w:rsidP="0006546B" w14:paraId="3A38F111" w14:textId="77777777">
            <w:pPr>
              <w:rPr>
                <w:color w:val="000000"/>
                <w:sz w:val="20"/>
              </w:rPr>
            </w:pPr>
            <w:r w:rsidRPr="00BE76E0">
              <w:rPr>
                <w:color w:val="000000"/>
                <w:sz w:val="20"/>
              </w:rPr>
              <w:t xml:space="preserve">Pricing of State, </w:t>
            </w:r>
            <w:r w:rsidRPr="00BE76E0">
              <w:rPr>
                <w:color w:val="000000"/>
                <w:sz w:val="20"/>
              </w:rPr>
              <w:br/>
              <w:t xml:space="preserve"> Local Gov’t</w:t>
            </w:r>
          </w:p>
        </w:tc>
        <w:tc>
          <w:tcPr>
            <w:tcW w:w="1321" w:type="dxa"/>
            <w:tcBorders>
              <w:top w:val="nil"/>
              <w:left w:val="nil"/>
              <w:bottom w:val="nil"/>
              <w:right w:val="nil"/>
            </w:tcBorders>
            <w:shd w:val="clear" w:color="auto" w:fill="auto"/>
            <w:vAlign w:val="center"/>
            <w:hideMark/>
          </w:tcPr>
          <w:p w:rsidR="0006546B" w:rsidRPr="001A625A" w:rsidP="0006546B" w14:paraId="3584EA40" w14:textId="77777777">
            <w:pPr>
              <w:jc w:val="right"/>
              <w:rPr>
                <w:color w:val="000000"/>
                <w:sz w:val="22"/>
                <w:szCs w:val="22"/>
              </w:rPr>
            </w:pPr>
            <w:r>
              <w:rPr>
                <w:color w:val="000000"/>
                <w:sz w:val="22"/>
                <w:szCs w:val="22"/>
              </w:rPr>
              <w:t>300</w:t>
            </w:r>
          </w:p>
        </w:tc>
        <w:tc>
          <w:tcPr>
            <w:tcW w:w="1450" w:type="dxa"/>
            <w:gridSpan w:val="2"/>
            <w:tcBorders>
              <w:top w:val="nil"/>
              <w:left w:val="nil"/>
              <w:bottom w:val="nil"/>
              <w:right w:val="nil"/>
            </w:tcBorders>
            <w:shd w:val="clear" w:color="auto" w:fill="auto"/>
            <w:vAlign w:val="center"/>
            <w:hideMark/>
          </w:tcPr>
          <w:p w:rsidR="0006546B" w:rsidRPr="001A625A" w:rsidP="0006546B" w14:paraId="471B6142" w14:textId="77777777">
            <w:pPr>
              <w:jc w:val="center"/>
              <w:rPr>
                <w:color w:val="000000"/>
                <w:sz w:val="22"/>
                <w:szCs w:val="22"/>
              </w:rPr>
            </w:pPr>
            <w:r w:rsidRPr="001A625A">
              <w:rPr>
                <w:color w:val="000000"/>
                <w:sz w:val="22"/>
                <w:szCs w:val="22"/>
              </w:rPr>
              <w:t>9</w:t>
            </w:r>
          </w:p>
        </w:tc>
        <w:tc>
          <w:tcPr>
            <w:tcW w:w="1219" w:type="dxa"/>
            <w:tcBorders>
              <w:top w:val="nil"/>
              <w:left w:val="nil"/>
              <w:bottom w:val="nil"/>
              <w:right w:val="nil"/>
            </w:tcBorders>
            <w:shd w:val="clear" w:color="auto" w:fill="auto"/>
            <w:vAlign w:val="center"/>
            <w:hideMark/>
          </w:tcPr>
          <w:p w:rsidR="0006546B" w:rsidRPr="001A625A" w:rsidP="0006546B" w14:paraId="006EE9D0" w14:textId="77777777">
            <w:pPr>
              <w:jc w:val="right"/>
              <w:rPr>
                <w:color w:val="000000"/>
                <w:sz w:val="22"/>
                <w:szCs w:val="22"/>
              </w:rPr>
            </w:pPr>
            <w:r>
              <w:rPr>
                <w:color w:val="000000"/>
                <w:sz w:val="22"/>
                <w:szCs w:val="22"/>
              </w:rPr>
              <w:t>2,700</w:t>
            </w:r>
          </w:p>
        </w:tc>
        <w:tc>
          <w:tcPr>
            <w:tcW w:w="1276" w:type="dxa"/>
            <w:tcBorders>
              <w:top w:val="nil"/>
              <w:left w:val="nil"/>
              <w:bottom w:val="nil"/>
              <w:right w:val="nil"/>
            </w:tcBorders>
            <w:shd w:val="clear" w:color="auto" w:fill="auto"/>
            <w:vAlign w:val="center"/>
            <w:hideMark/>
          </w:tcPr>
          <w:p w:rsidR="0006546B" w:rsidRPr="001A625A" w:rsidP="0006546B" w14:paraId="3A0C72F5" w14:textId="77777777">
            <w:pPr>
              <w:jc w:val="center"/>
              <w:rPr>
                <w:color w:val="000000"/>
                <w:sz w:val="22"/>
                <w:szCs w:val="22"/>
              </w:rPr>
            </w:pPr>
            <w:r w:rsidRPr="001A625A">
              <w:rPr>
                <w:color w:val="000000"/>
                <w:sz w:val="22"/>
                <w:szCs w:val="22"/>
              </w:rPr>
              <w:t>0.33</w:t>
            </w:r>
          </w:p>
        </w:tc>
        <w:tc>
          <w:tcPr>
            <w:tcW w:w="1162" w:type="dxa"/>
            <w:tcBorders>
              <w:top w:val="nil"/>
              <w:left w:val="nil"/>
              <w:bottom w:val="nil"/>
              <w:right w:val="nil"/>
            </w:tcBorders>
            <w:shd w:val="clear" w:color="auto" w:fill="auto"/>
            <w:vAlign w:val="center"/>
            <w:hideMark/>
          </w:tcPr>
          <w:p w:rsidR="0006546B" w:rsidRPr="001A625A" w:rsidP="0006546B" w14:paraId="0AA2E2CC" w14:textId="77777777">
            <w:pPr>
              <w:jc w:val="right"/>
              <w:rPr>
                <w:color w:val="000000"/>
                <w:sz w:val="22"/>
                <w:szCs w:val="22"/>
              </w:rPr>
            </w:pPr>
            <w:r>
              <w:rPr>
                <w:color w:val="000000"/>
                <w:sz w:val="22"/>
                <w:szCs w:val="22"/>
              </w:rPr>
              <w:t>891</w:t>
            </w:r>
          </w:p>
        </w:tc>
        <w:tc>
          <w:tcPr>
            <w:tcW w:w="1219" w:type="dxa"/>
            <w:tcBorders>
              <w:top w:val="nil"/>
              <w:left w:val="nil"/>
              <w:bottom w:val="nil"/>
              <w:right w:val="nil"/>
            </w:tcBorders>
          </w:tcPr>
          <w:p w:rsidR="00C2277E" w:rsidP="0006546B" w14:paraId="4436CBB9" w14:textId="77777777">
            <w:pPr>
              <w:spacing w:line="276" w:lineRule="auto"/>
              <w:jc w:val="center"/>
              <w:rPr>
                <w:color w:val="000000"/>
                <w:sz w:val="22"/>
                <w:szCs w:val="22"/>
              </w:rPr>
            </w:pPr>
          </w:p>
          <w:p w:rsidR="0006546B" w:rsidRPr="00FA530D" w:rsidP="0006546B" w14:paraId="25E3571F" w14:textId="0AD90F90">
            <w:pPr>
              <w:spacing w:line="276" w:lineRule="auto"/>
              <w:jc w:val="center"/>
              <w:rPr>
                <w:color w:val="000000"/>
                <w:sz w:val="22"/>
                <w:szCs w:val="22"/>
              </w:rPr>
            </w:pPr>
            <w:r>
              <w:rPr>
                <w:color w:val="000000"/>
                <w:sz w:val="22"/>
                <w:szCs w:val="22"/>
              </w:rPr>
              <w:t>$28.88</w:t>
            </w:r>
          </w:p>
        </w:tc>
        <w:tc>
          <w:tcPr>
            <w:tcW w:w="1489" w:type="dxa"/>
            <w:tcBorders>
              <w:top w:val="nil"/>
              <w:left w:val="nil"/>
              <w:bottom w:val="nil"/>
              <w:right w:val="single" w:sz="12" w:space="0" w:color="auto"/>
            </w:tcBorders>
            <w:shd w:val="clear" w:color="auto" w:fill="auto"/>
            <w:noWrap/>
            <w:vAlign w:val="center"/>
            <w:hideMark/>
          </w:tcPr>
          <w:p w:rsidR="0006546B" w:rsidRPr="00FA530D" w:rsidP="0006546B" w14:paraId="1D91FDC8" w14:textId="77777777">
            <w:pPr>
              <w:jc w:val="right"/>
              <w:rPr>
                <w:color w:val="000000"/>
                <w:sz w:val="22"/>
                <w:szCs w:val="22"/>
              </w:rPr>
            </w:pPr>
            <w:r>
              <w:rPr>
                <w:color w:val="000000"/>
                <w:sz w:val="22"/>
                <w:szCs w:val="22"/>
              </w:rPr>
              <w:t>$</w:t>
            </w:r>
            <w:r w:rsidRPr="00FA530D">
              <w:rPr>
                <w:color w:val="000000"/>
                <w:sz w:val="22"/>
                <w:szCs w:val="22"/>
              </w:rPr>
              <w:t>25</w:t>
            </w:r>
            <w:r>
              <w:rPr>
                <w:color w:val="000000"/>
                <w:sz w:val="22"/>
                <w:szCs w:val="22"/>
              </w:rPr>
              <w:t>,</w:t>
            </w:r>
            <w:r w:rsidRPr="00FA530D">
              <w:rPr>
                <w:color w:val="000000"/>
                <w:sz w:val="22"/>
                <w:szCs w:val="22"/>
              </w:rPr>
              <w:t>732.08</w:t>
            </w:r>
          </w:p>
          <w:p w:rsidR="0006546B" w:rsidRPr="001A625A" w:rsidP="0006546B" w14:paraId="04C19A02" w14:textId="77777777">
            <w:pPr>
              <w:jc w:val="right"/>
              <w:rPr>
                <w:color w:val="000000"/>
                <w:sz w:val="22"/>
                <w:szCs w:val="22"/>
              </w:rPr>
            </w:pPr>
          </w:p>
        </w:tc>
      </w:tr>
      <w:tr w14:paraId="0A09EAC4" w14:textId="77777777" w:rsidTr="00C2277E">
        <w:tblPrEx>
          <w:tblW w:w="10335" w:type="dxa"/>
          <w:tblLayout w:type="fixed"/>
          <w:tblLook w:val="04A0"/>
        </w:tblPrEx>
        <w:trPr>
          <w:trHeight w:val="642"/>
        </w:trPr>
        <w:tc>
          <w:tcPr>
            <w:tcW w:w="1199" w:type="dxa"/>
            <w:tcBorders>
              <w:top w:val="nil"/>
              <w:left w:val="single" w:sz="12" w:space="0" w:color="auto"/>
              <w:bottom w:val="nil"/>
              <w:right w:val="nil"/>
            </w:tcBorders>
            <w:shd w:val="clear" w:color="000000" w:fill="FDE9D9"/>
            <w:hideMark/>
          </w:tcPr>
          <w:p w:rsidR="0006546B" w:rsidRPr="00BE76E0" w:rsidP="0006546B" w14:paraId="6B2BA176" w14:textId="77777777">
            <w:pPr>
              <w:rPr>
                <w:b/>
                <w:bCs/>
                <w:color w:val="000000"/>
                <w:sz w:val="20"/>
              </w:rPr>
            </w:pPr>
            <w:r w:rsidRPr="00BE76E0">
              <w:rPr>
                <w:b/>
                <w:bCs/>
                <w:color w:val="000000"/>
                <w:sz w:val="20"/>
              </w:rPr>
              <w:t xml:space="preserve">Subtotal for </w:t>
            </w:r>
            <w:r w:rsidRPr="00BE76E0">
              <w:rPr>
                <w:b/>
                <w:bCs/>
                <w:color w:val="000000"/>
                <w:sz w:val="20"/>
              </w:rPr>
              <w:br/>
              <w:t xml:space="preserve"> Pricing</w:t>
            </w:r>
          </w:p>
        </w:tc>
        <w:tc>
          <w:tcPr>
            <w:tcW w:w="1321" w:type="dxa"/>
            <w:tcBorders>
              <w:top w:val="single" w:sz="8" w:space="0" w:color="auto"/>
              <w:left w:val="nil"/>
              <w:bottom w:val="nil"/>
              <w:right w:val="nil"/>
            </w:tcBorders>
            <w:shd w:val="clear" w:color="000000" w:fill="FDE9D9"/>
            <w:vAlign w:val="center"/>
            <w:hideMark/>
          </w:tcPr>
          <w:p w:rsidR="0006546B" w:rsidRPr="001A625A" w:rsidP="0006546B" w14:paraId="03DE1273" w14:textId="0DC75E02">
            <w:pPr>
              <w:jc w:val="right"/>
              <w:rPr>
                <w:b/>
                <w:bCs/>
                <w:color w:val="000000"/>
                <w:sz w:val="22"/>
                <w:szCs w:val="22"/>
              </w:rPr>
            </w:pPr>
            <w:r>
              <w:rPr>
                <w:b/>
                <w:bCs/>
                <w:color w:val="000000"/>
                <w:sz w:val="22"/>
                <w:szCs w:val="22"/>
              </w:rPr>
              <w:t>35,</w:t>
            </w:r>
            <w:r w:rsidR="004E2C21">
              <w:rPr>
                <w:b/>
                <w:bCs/>
                <w:color w:val="000000"/>
                <w:sz w:val="22"/>
                <w:szCs w:val="22"/>
              </w:rPr>
              <w:t>6</w:t>
            </w:r>
            <w:r>
              <w:rPr>
                <w:b/>
                <w:bCs/>
                <w:color w:val="000000"/>
                <w:sz w:val="22"/>
                <w:szCs w:val="22"/>
              </w:rPr>
              <w:t>22</w:t>
            </w:r>
          </w:p>
        </w:tc>
        <w:tc>
          <w:tcPr>
            <w:tcW w:w="1450" w:type="dxa"/>
            <w:gridSpan w:val="2"/>
            <w:tcBorders>
              <w:top w:val="nil"/>
              <w:left w:val="nil"/>
              <w:bottom w:val="nil"/>
              <w:right w:val="nil"/>
            </w:tcBorders>
            <w:shd w:val="clear" w:color="000000" w:fill="FDE9D9"/>
            <w:vAlign w:val="center"/>
            <w:hideMark/>
          </w:tcPr>
          <w:p w:rsidR="0006546B" w:rsidRPr="001A625A" w:rsidP="0006546B" w14:paraId="79766C83" w14:textId="77777777">
            <w:pPr>
              <w:jc w:val="center"/>
              <w:rPr>
                <w:b/>
                <w:bCs/>
                <w:color w:val="000000"/>
                <w:sz w:val="22"/>
                <w:szCs w:val="22"/>
              </w:rPr>
            </w:pPr>
            <w:r w:rsidRPr="001A625A">
              <w:rPr>
                <w:b/>
                <w:bCs/>
                <w:color w:val="000000"/>
                <w:sz w:val="22"/>
                <w:szCs w:val="22"/>
              </w:rPr>
              <w:t> </w:t>
            </w:r>
          </w:p>
        </w:tc>
        <w:tc>
          <w:tcPr>
            <w:tcW w:w="1219" w:type="dxa"/>
            <w:tcBorders>
              <w:top w:val="single" w:sz="8" w:space="0" w:color="auto"/>
              <w:left w:val="nil"/>
              <w:bottom w:val="nil"/>
              <w:right w:val="nil"/>
            </w:tcBorders>
            <w:shd w:val="clear" w:color="000000" w:fill="FDE9D9"/>
            <w:vAlign w:val="center"/>
            <w:hideMark/>
          </w:tcPr>
          <w:p w:rsidR="0006546B" w:rsidRPr="001A625A" w:rsidP="0006546B" w14:paraId="4F2DDA45" w14:textId="77777777">
            <w:pPr>
              <w:jc w:val="right"/>
              <w:rPr>
                <w:b/>
                <w:bCs/>
                <w:color w:val="000000"/>
                <w:sz w:val="22"/>
                <w:szCs w:val="22"/>
              </w:rPr>
            </w:pPr>
            <w:r>
              <w:rPr>
                <w:b/>
                <w:bCs/>
                <w:color w:val="000000"/>
                <w:sz w:val="22"/>
                <w:szCs w:val="22"/>
              </w:rPr>
              <w:t>312,598</w:t>
            </w:r>
          </w:p>
        </w:tc>
        <w:tc>
          <w:tcPr>
            <w:tcW w:w="1276" w:type="dxa"/>
            <w:tcBorders>
              <w:top w:val="nil"/>
              <w:left w:val="nil"/>
              <w:bottom w:val="nil"/>
              <w:right w:val="nil"/>
            </w:tcBorders>
            <w:shd w:val="clear" w:color="000000" w:fill="FDE9D9"/>
            <w:vAlign w:val="center"/>
            <w:hideMark/>
          </w:tcPr>
          <w:p w:rsidR="0006546B" w:rsidRPr="001A625A" w:rsidP="0006546B" w14:paraId="2D1B6C7F" w14:textId="77777777">
            <w:pPr>
              <w:jc w:val="center"/>
              <w:rPr>
                <w:b/>
                <w:bCs/>
                <w:color w:val="000000"/>
                <w:sz w:val="22"/>
                <w:szCs w:val="22"/>
              </w:rPr>
            </w:pPr>
            <w:r w:rsidRPr="001A625A">
              <w:rPr>
                <w:b/>
                <w:bCs/>
                <w:color w:val="000000"/>
                <w:sz w:val="22"/>
                <w:szCs w:val="22"/>
              </w:rPr>
              <w:t> </w:t>
            </w:r>
          </w:p>
        </w:tc>
        <w:tc>
          <w:tcPr>
            <w:tcW w:w="1162" w:type="dxa"/>
            <w:tcBorders>
              <w:top w:val="single" w:sz="8" w:space="0" w:color="auto"/>
              <w:left w:val="nil"/>
              <w:bottom w:val="nil"/>
              <w:right w:val="nil"/>
            </w:tcBorders>
            <w:shd w:val="clear" w:color="000000" w:fill="FDE9D9"/>
            <w:vAlign w:val="center"/>
            <w:hideMark/>
          </w:tcPr>
          <w:p w:rsidR="0006546B" w:rsidRPr="001A625A" w:rsidP="0006546B" w14:paraId="101E1F67" w14:textId="77777777">
            <w:pPr>
              <w:jc w:val="right"/>
              <w:rPr>
                <w:b/>
                <w:bCs/>
                <w:color w:val="000000"/>
                <w:sz w:val="22"/>
                <w:szCs w:val="22"/>
              </w:rPr>
            </w:pPr>
            <w:r>
              <w:rPr>
                <w:b/>
                <w:bCs/>
                <w:color w:val="000000"/>
                <w:sz w:val="22"/>
                <w:szCs w:val="22"/>
              </w:rPr>
              <w:t>103,157</w:t>
            </w:r>
          </w:p>
        </w:tc>
        <w:tc>
          <w:tcPr>
            <w:tcW w:w="1219" w:type="dxa"/>
            <w:tcBorders>
              <w:top w:val="single" w:sz="8" w:space="0" w:color="auto"/>
              <w:left w:val="nil"/>
              <w:bottom w:val="nil"/>
              <w:right w:val="nil"/>
            </w:tcBorders>
            <w:shd w:val="clear" w:color="000000" w:fill="FDE9D9"/>
          </w:tcPr>
          <w:p w:rsidR="0006546B" w:rsidP="0006546B" w14:paraId="6EA76F08" w14:textId="77777777">
            <w:pPr>
              <w:jc w:val="right"/>
              <w:rPr>
                <w:b/>
                <w:bCs/>
                <w:color w:val="000000"/>
                <w:sz w:val="22"/>
                <w:szCs w:val="22"/>
              </w:rPr>
            </w:pPr>
          </w:p>
        </w:tc>
        <w:tc>
          <w:tcPr>
            <w:tcW w:w="1489" w:type="dxa"/>
            <w:tcBorders>
              <w:top w:val="single" w:sz="8" w:space="0" w:color="auto"/>
              <w:left w:val="nil"/>
              <w:bottom w:val="nil"/>
              <w:right w:val="single" w:sz="12" w:space="0" w:color="auto"/>
            </w:tcBorders>
            <w:shd w:val="clear" w:color="000000" w:fill="FDE9D9"/>
            <w:noWrap/>
            <w:vAlign w:val="center"/>
            <w:hideMark/>
          </w:tcPr>
          <w:p w:rsidR="0006546B" w:rsidRPr="001A625A" w:rsidP="0006546B" w14:paraId="285B8416" w14:textId="77777777">
            <w:pPr>
              <w:jc w:val="right"/>
              <w:rPr>
                <w:b/>
                <w:bCs/>
                <w:color w:val="000000"/>
                <w:sz w:val="22"/>
                <w:szCs w:val="22"/>
              </w:rPr>
            </w:pPr>
            <w:r>
              <w:rPr>
                <w:b/>
                <w:bCs/>
                <w:color w:val="000000"/>
                <w:sz w:val="22"/>
                <w:szCs w:val="22"/>
              </w:rPr>
              <w:t>$2,979,174.16</w:t>
            </w:r>
            <w:r w:rsidRPr="002167A3">
              <w:rPr>
                <w:b/>
                <w:bCs/>
                <w:color w:val="000000"/>
                <w:sz w:val="22"/>
                <w:szCs w:val="22"/>
              </w:rPr>
              <w:t>‬</w:t>
            </w:r>
          </w:p>
        </w:tc>
      </w:tr>
      <w:tr w14:paraId="3AF5E70C" w14:textId="77777777" w:rsidTr="00BE76E0">
        <w:tblPrEx>
          <w:tblW w:w="10335" w:type="dxa"/>
          <w:tblLayout w:type="fixed"/>
          <w:tblLook w:val="04A0"/>
        </w:tblPrEx>
        <w:trPr>
          <w:trHeight w:val="312"/>
        </w:trPr>
        <w:tc>
          <w:tcPr>
            <w:tcW w:w="1199" w:type="dxa"/>
            <w:tcBorders>
              <w:top w:val="double" w:sz="6" w:space="0" w:color="auto"/>
              <w:left w:val="single" w:sz="12" w:space="0" w:color="auto"/>
              <w:bottom w:val="double" w:sz="6" w:space="0" w:color="auto"/>
              <w:right w:val="double" w:sz="6" w:space="0" w:color="auto"/>
            </w:tcBorders>
            <w:shd w:val="clear" w:color="auto" w:fill="auto"/>
            <w:hideMark/>
          </w:tcPr>
          <w:p w:rsidR="0006546B" w:rsidRPr="00BE76E0" w:rsidP="0006546B" w14:paraId="112A59D0" w14:textId="77777777">
            <w:pPr>
              <w:jc w:val="center"/>
              <w:rPr>
                <w:b/>
                <w:bCs/>
                <w:color w:val="000000"/>
                <w:sz w:val="20"/>
              </w:rPr>
            </w:pPr>
            <w:r w:rsidRPr="00BE76E0">
              <w:rPr>
                <w:b/>
                <w:bCs/>
                <w:color w:val="000000"/>
                <w:sz w:val="20"/>
              </w:rPr>
              <w:t>Outlet Rotation</w:t>
            </w:r>
          </w:p>
        </w:tc>
        <w:tc>
          <w:tcPr>
            <w:tcW w:w="1321" w:type="dxa"/>
            <w:tcBorders>
              <w:top w:val="nil"/>
              <w:left w:val="nil"/>
              <w:bottom w:val="nil"/>
              <w:right w:val="nil"/>
            </w:tcBorders>
            <w:shd w:val="clear" w:color="auto" w:fill="auto"/>
            <w:vAlign w:val="center"/>
            <w:hideMark/>
          </w:tcPr>
          <w:p w:rsidR="0006546B" w:rsidRPr="001A625A" w:rsidP="0006546B" w14:paraId="20C444AD" w14:textId="77777777">
            <w:pPr>
              <w:jc w:val="center"/>
              <w:rPr>
                <w:b/>
                <w:bCs/>
                <w:color w:val="000000"/>
                <w:sz w:val="22"/>
                <w:szCs w:val="22"/>
              </w:rPr>
            </w:pPr>
          </w:p>
        </w:tc>
        <w:tc>
          <w:tcPr>
            <w:tcW w:w="1450" w:type="dxa"/>
            <w:gridSpan w:val="2"/>
            <w:tcBorders>
              <w:top w:val="nil"/>
              <w:left w:val="nil"/>
              <w:bottom w:val="nil"/>
              <w:right w:val="nil"/>
            </w:tcBorders>
            <w:shd w:val="clear" w:color="auto" w:fill="auto"/>
            <w:vAlign w:val="center"/>
            <w:hideMark/>
          </w:tcPr>
          <w:p w:rsidR="0006546B" w:rsidRPr="001A625A" w:rsidP="0006546B" w14:paraId="248B5899" w14:textId="77777777">
            <w:pPr>
              <w:jc w:val="right"/>
              <w:rPr>
                <w:sz w:val="20"/>
              </w:rPr>
            </w:pPr>
          </w:p>
        </w:tc>
        <w:tc>
          <w:tcPr>
            <w:tcW w:w="1219" w:type="dxa"/>
            <w:tcBorders>
              <w:top w:val="nil"/>
              <w:left w:val="nil"/>
              <w:bottom w:val="nil"/>
              <w:right w:val="nil"/>
            </w:tcBorders>
            <w:shd w:val="clear" w:color="auto" w:fill="auto"/>
            <w:vAlign w:val="center"/>
            <w:hideMark/>
          </w:tcPr>
          <w:p w:rsidR="0006546B" w:rsidRPr="001A625A" w:rsidP="0006546B" w14:paraId="10D29E75" w14:textId="77777777">
            <w:pPr>
              <w:jc w:val="center"/>
              <w:rPr>
                <w:sz w:val="20"/>
              </w:rPr>
            </w:pPr>
          </w:p>
        </w:tc>
        <w:tc>
          <w:tcPr>
            <w:tcW w:w="1276" w:type="dxa"/>
            <w:tcBorders>
              <w:top w:val="nil"/>
              <w:left w:val="nil"/>
              <w:bottom w:val="nil"/>
              <w:right w:val="nil"/>
            </w:tcBorders>
            <w:shd w:val="clear" w:color="auto" w:fill="auto"/>
            <w:vAlign w:val="center"/>
            <w:hideMark/>
          </w:tcPr>
          <w:p w:rsidR="0006546B" w:rsidRPr="001A625A" w:rsidP="0006546B" w14:paraId="7B159CCE" w14:textId="77777777">
            <w:pPr>
              <w:jc w:val="right"/>
              <w:rPr>
                <w:sz w:val="20"/>
              </w:rPr>
            </w:pPr>
          </w:p>
        </w:tc>
        <w:tc>
          <w:tcPr>
            <w:tcW w:w="1162" w:type="dxa"/>
            <w:tcBorders>
              <w:top w:val="nil"/>
              <w:left w:val="nil"/>
              <w:bottom w:val="nil"/>
              <w:right w:val="nil"/>
            </w:tcBorders>
            <w:shd w:val="clear" w:color="auto" w:fill="auto"/>
            <w:hideMark/>
          </w:tcPr>
          <w:p w:rsidR="0006546B" w:rsidRPr="001A625A" w:rsidP="0006546B" w14:paraId="072D94C8" w14:textId="77777777">
            <w:pPr>
              <w:jc w:val="center"/>
              <w:rPr>
                <w:sz w:val="20"/>
              </w:rPr>
            </w:pPr>
          </w:p>
        </w:tc>
        <w:tc>
          <w:tcPr>
            <w:tcW w:w="1219" w:type="dxa"/>
            <w:tcBorders>
              <w:top w:val="nil"/>
              <w:left w:val="nil"/>
              <w:bottom w:val="nil"/>
              <w:right w:val="nil"/>
            </w:tcBorders>
          </w:tcPr>
          <w:p w:rsidR="0006546B" w:rsidRPr="001A625A" w:rsidP="0006546B" w14:paraId="7AB17F90" w14:textId="77777777">
            <w:pPr>
              <w:jc w:val="right"/>
              <w:rPr>
                <w:color w:val="000000"/>
                <w:sz w:val="22"/>
                <w:szCs w:val="22"/>
              </w:rPr>
            </w:pPr>
          </w:p>
        </w:tc>
        <w:tc>
          <w:tcPr>
            <w:tcW w:w="1489" w:type="dxa"/>
            <w:tcBorders>
              <w:top w:val="nil"/>
              <w:left w:val="nil"/>
              <w:bottom w:val="nil"/>
              <w:right w:val="single" w:sz="12" w:space="0" w:color="auto"/>
            </w:tcBorders>
            <w:shd w:val="clear" w:color="auto" w:fill="auto"/>
            <w:noWrap/>
            <w:hideMark/>
          </w:tcPr>
          <w:p w:rsidR="0006546B" w:rsidRPr="001A625A" w:rsidP="0006546B" w14:paraId="0677BF63" w14:textId="77777777">
            <w:pPr>
              <w:jc w:val="right"/>
              <w:rPr>
                <w:color w:val="000000"/>
                <w:sz w:val="22"/>
                <w:szCs w:val="22"/>
              </w:rPr>
            </w:pPr>
            <w:r w:rsidRPr="001A625A">
              <w:rPr>
                <w:color w:val="000000"/>
                <w:sz w:val="22"/>
                <w:szCs w:val="22"/>
              </w:rPr>
              <w:t> </w:t>
            </w:r>
          </w:p>
        </w:tc>
      </w:tr>
      <w:tr w14:paraId="2209F80B" w14:textId="77777777" w:rsidTr="00BE76E0">
        <w:tblPrEx>
          <w:tblW w:w="10335" w:type="dxa"/>
          <w:tblLayout w:type="fixed"/>
          <w:tblLook w:val="04A0"/>
        </w:tblPrEx>
        <w:trPr>
          <w:trHeight w:val="20"/>
        </w:trPr>
        <w:tc>
          <w:tcPr>
            <w:tcW w:w="1199" w:type="dxa"/>
            <w:tcBorders>
              <w:top w:val="nil"/>
              <w:left w:val="single" w:sz="12" w:space="0" w:color="auto"/>
              <w:bottom w:val="nil"/>
              <w:right w:val="nil"/>
            </w:tcBorders>
            <w:shd w:val="clear" w:color="auto" w:fill="auto"/>
            <w:hideMark/>
          </w:tcPr>
          <w:p w:rsidR="0006546B" w:rsidRPr="00BE76E0" w:rsidP="0006546B" w14:paraId="06AD860A" w14:textId="77777777">
            <w:pPr>
              <w:rPr>
                <w:color w:val="000000"/>
                <w:sz w:val="20"/>
              </w:rPr>
            </w:pPr>
            <w:r w:rsidRPr="00BE76E0">
              <w:rPr>
                <w:color w:val="000000"/>
                <w:sz w:val="20"/>
              </w:rPr>
              <w:t xml:space="preserve">Initiation of </w:t>
            </w:r>
            <w:r w:rsidRPr="00BE76E0">
              <w:rPr>
                <w:color w:val="000000"/>
                <w:sz w:val="20"/>
              </w:rPr>
              <w:br/>
              <w:t xml:space="preserve"> Private Sector</w:t>
            </w:r>
          </w:p>
        </w:tc>
        <w:tc>
          <w:tcPr>
            <w:tcW w:w="1321" w:type="dxa"/>
            <w:tcBorders>
              <w:top w:val="nil"/>
              <w:left w:val="nil"/>
              <w:bottom w:val="nil"/>
              <w:right w:val="nil"/>
            </w:tcBorders>
            <w:shd w:val="clear" w:color="auto" w:fill="auto"/>
            <w:vAlign w:val="center"/>
            <w:hideMark/>
          </w:tcPr>
          <w:p w:rsidR="0006546B" w:rsidRPr="001A625A" w:rsidP="0006546B" w14:paraId="49FBD678" w14:textId="77777777">
            <w:pPr>
              <w:jc w:val="right"/>
              <w:rPr>
                <w:color w:val="000000"/>
                <w:sz w:val="22"/>
                <w:szCs w:val="22"/>
              </w:rPr>
            </w:pPr>
            <w:r>
              <w:rPr>
                <w:color w:val="000000"/>
                <w:sz w:val="22"/>
                <w:szCs w:val="22"/>
              </w:rPr>
              <w:t>9,583</w:t>
            </w:r>
          </w:p>
        </w:tc>
        <w:tc>
          <w:tcPr>
            <w:tcW w:w="1450" w:type="dxa"/>
            <w:gridSpan w:val="2"/>
            <w:tcBorders>
              <w:top w:val="nil"/>
              <w:left w:val="nil"/>
              <w:bottom w:val="nil"/>
              <w:right w:val="nil"/>
            </w:tcBorders>
            <w:shd w:val="clear" w:color="auto" w:fill="auto"/>
            <w:vAlign w:val="center"/>
            <w:hideMark/>
          </w:tcPr>
          <w:p w:rsidR="0006546B" w:rsidRPr="001A625A" w:rsidP="0006546B" w14:paraId="5D5F9335" w14:textId="77777777">
            <w:pPr>
              <w:jc w:val="center"/>
              <w:rPr>
                <w:color w:val="000000"/>
                <w:sz w:val="22"/>
                <w:szCs w:val="22"/>
              </w:rPr>
            </w:pPr>
            <w:r w:rsidRPr="001A625A">
              <w:rPr>
                <w:color w:val="000000"/>
                <w:sz w:val="22"/>
                <w:szCs w:val="22"/>
              </w:rPr>
              <w:t>1</w:t>
            </w:r>
          </w:p>
        </w:tc>
        <w:tc>
          <w:tcPr>
            <w:tcW w:w="1219" w:type="dxa"/>
            <w:tcBorders>
              <w:top w:val="nil"/>
              <w:left w:val="nil"/>
              <w:bottom w:val="nil"/>
              <w:right w:val="nil"/>
            </w:tcBorders>
            <w:shd w:val="clear" w:color="auto" w:fill="auto"/>
            <w:vAlign w:val="center"/>
            <w:hideMark/>
          </w:tcPr>
          <w:p w:rsidR="0006546B" w:rsidRPr="001A625A" w:rsidP="0006546B" w14:paraId="369F3B63" w14:textId="77777777">
            <w:pPr>
              <w:jc w:val="right"/>
              <w:rPr>
                <w:color w:val="000000"/>
                <w:sz w:val="22"/>
                <w:szCs w:val="22"/>
              </w:rPr>
            </w:pPr>
            <w:r>
              <w:rPr>
                <w:color w:val="000000"/>
                <w:sz w:val="22"/>
                <w:szCs w:val="22"/>
              </w:rPr>
              <w:t>9,583</w:t>
            </w:r>
          </w:p>
        </w:tc>
        <w:tc>
          <w:tcPr>
            <w:tcW w:w="1276" w:type="dxa"/>
            <w:tcBorders>
              <w:top w:val="nil"/>
              <w:left w:val="nil"/>
              <w:bottom w:val="nil"/>
              <w:right w:val="nil"/>
            </w:tcBorders>
            <w:shd w:val="clear" w:color="auto" w:fill="auto"/>
            <w:vAlign w:val="center"/>
            <w:hideMark/>
          </w:tcPr>
          <w:p w:rsidR="0006546B" w:rsidRPr="001A625A" w:rsidP="0006546B" w14:paraId="15B6045B" w14:textId="77777777">
            <w:pPr>
              <w:jc w:val="center"/>
              <w:rPr>
                <w:color w:val="000000"/>
                <w:sz w:val="22"/>
                <w:szCs w:val="22"/>
              </w:rPr>
            </w:pPr>
            <w:r w:rsidRPr="001A625A">
              <w:rPr>
                <w:color w:val="000000"/>
                <w:sz w:val="22"/>
                <w:szCs w:val="22"/>
              </w:rPr>
              <w:t>1.00</w:t>
            </w:r>
          </w:p>
        </w:tc>
        <w:tc>
          <w:tcPr>
            <w:tcW w:w="1162" w:type="dxa"/>
            <w:tcBorders>
              <w:top w:val="nil"/>
              <w:left w:val="nil"/>
              <w:bottom w:val="nil"/>
              <w:right w:val="nil"/>
            </w:tcBorders>
            <w:shd w:val="clear" w:color="auto" w:fill="auto"/>
            <w:vAlign w:val="center"/>
            <w:hideMark/>
          </w:tcPr>
          <w:p w:rsidR="0006546B" w:rsidRPr="001A625A" w:rsidP="0006546B" w14:paraId="02D1E42A" w14:textId="77777777">
            <w:pPr>
              <w:jc w:val="right"/>
              <w:rPr>
                <w:color w:val="000000"/>
                <w:sz w:val="22"/>
                <w:szCs w:val="22"/>
              </w:rPr>
            </w:pPr>
            <w:r>
              <w:rPr>
                <w:color w:val="000000"/>
                <w:sz w:val="22"/>
                <w:szCs w:val="22"/>
              </w:rPr>
              <w:t>9,583</w:t>
            </w:r>
          </w:p>
        </w:tc>
        <w:tc>
          <w:tcPr>
            <w:tcW w:w="1219" w:type="dxa"/>
            <w:tcBorders>
              <w:top w:val="nil"/>
              <w:left w:val="nil"/>
              <w:bottom w:val="nil"/>
              <w:right w:val="nil"/>
            </w:tcBorders>
          </w:tcPr>
          <w:p w:rsidR="0006546B" w:rsidP="0006546B" w14:paraId="492ACF36" w14:textId="77777777">
            <w:pPr>
              <w:jc w:val="center"/>
              <w:rPr>
                <w:color w:val="000000"/>
                <w:sz w:val="22"/>
                <w:szCs w:val="22"/>
              </w:rPr>
            </w:pPr>
          </w:p>
          <w:p w:rsidR="0006546B" w:rsidRPr="005642E6" w:rsidP="0006546B" w14:paraId="0A5C2E0E" w14:textId="77777777">
            <w:pPr>
              <w:jc w:val="center"/>
              <w:rPr>
                <w:color w:val="000000"/>
                <w:sz w:val="22"/>
                <w:szCs w:val="22"/>
              </w:rPr>
            </w:pPr>
            <w:r>
              <w:rPr>
                <w:color w:val="000000"/>
                <w:sz w:val="22"/>
                <w:szCs w:val="22"/>
              </w:rPr>
              <w:t>$28.88</w:t>
            </w:r>
          </w:p>
        </w:tc>
        <w:tc>
          <w:tcPr>
            <w:tcW w:w="1489" w:type="dxa"/>
            <w:tcBorders>
              <w:top w:val="nil"/>
              <w:left w:val="nil"/>
              <w:bottom w:val="nil"/>
              <w:right w:val="single" w:sz="12" w:space="0" w:color="auto"/>
            </w:tcBorders>
            <w:shd w:val="clear" w:color="auto" w:fill="auto"/>
            <w:noWrap/>
            <w:vAlign w:val="center"/>
            <w:hideMark/>
          </w:tcPr>
          <w:p w:rsidR="0006546B" w:rsidRPr="001A625A" w:rsidP="0006546B" w14:paraId="0D5F74A1" w14:textId="77777777">
            <w:pPr>
              <w:jc w:val="right"/>
              <w:rPr>
                <w:color w:val="000000"/>
                <w:sz w:val="22"/>
                <w:szCs w:val="22"/>
              </w:rPr>
            </w:pPr>
            <w:r>
              <w:rPr>
                <w:color w:val="000000"/>
                <w:sz w:val="22"/>
                <w:szCs w:val="22"/>
              </w:rPr>
              <w:t>$</w:t>
            </w:r>
            <w:r w:rsidRPr="005642E6">
              <w:rPr>
                <w:color w:val="000000"/>
                <w:sz w:val="22"/>
                <w:szCs w:val="22"/>
              </w:rPr>
              <w:t>276,757.0</w:t>
            </w:r>
            <w:r>
              <w:rPr>
                <w:color w:val="000000"/>
                <w:sz w:val="22"/>
                <w:szCs w:val="22"/>
              </w:rPr>
              <w:t>4</w:t>
            </w:r>
          </w:p>
        </w:tc>
      </w:tr>
      <w:tr w14:paraId="72195D10" w14:textId="77777777" w:rsidTr="00BE76E0">
        <w:tblPrEx>
          <w:tblW w:w="10335" w:type="dxa"/>
          <w:tblLayout w:type="fixed"/>
          <w:tblLook w:val="04A0"/>
        </w:tblPrEx>
        <w:trPr>
          <w:trHeight w:val="20"/>
        </w:trPr>
        <w:tc>
          <w:tcPr>
            <w:tcW w:w="1199" w:type="dxa"/>
            <w:tcBorders>
              <w:top w:val="nil"/>
              <w:left w:val="single" w:sz="12" w:space="0" w:color="auto"/>
              <w:bottom w:val="nil"/>
              <w:right w:val="nil"/>
            </w:tcBorders>
            <w:shd w:val="clear" w:color="auto" w:fill="auto"/>
            <w:hideMark/>
          </w:tcPr>
          <w:p w:rsidR="0006546B" w:rsidRPr="00BE76E0" w:rsidP="0006546B" w14:paraId="737D7045" w14:textId="77777777">
            <w:pPr>
              <w:rPr>
                <w:color w:val="000000"/>
                <w:sz w:val="20"/>
              </w:rPr>
            </w:pPr>
            <w:r w:rsidRPr="00BE76E0">
              <w:rPr>
                <w:color w:val="000000"/>
                <w:sz w:val="20"/>
              </w:rPr>
              <w:t xml:space="preserve">Test Initiation of </w:t>
            </w:r>
            <w:r w:rsidRPr="00BE76E0">
              <w:rPr>
                <w:color w:val="000000"/>
                <w:sz w:val="20"/>
              </w:rPr>
              <w:br/>
              <w:t xml:space="preserve"> Private Sector</w:t>
            </w:r>
          </w:p>
        </w:tc>
        <w:tc>
          <w:tcPr>
            <w:tcW w:w="1321" w:type="dxa"/>
            <w:tcBorders>
              <w:top w:val="nil"/>
              <w:left w:val="nil"/>
              <w:bottom w:val="nil"/>
              <w:right w:val="nil"/>
            </w:tcBorders>
            <w:shd w:val="clear" w:color="auto" w:fill="auto"/>
            <w:vAlign w:val="center"/>
            <w:hideMark/>
          </w:tcPr>
          <w:p w:rsidR="0006546B" w:rsidRPr="001A625A" w:rsidP="0006546B" w14:paraId="2E4902B3" w14:textId="77777777">
            <w:pPr>
              <w:jc w:val="right"/>
              <w:rPr>
                <w:color w:val="000000"/>
                <w:sz w:val="22"/>
                <w:szCs w:val="22"/>
              </w:rPr>
            </w:pPr>
            <w:r w:rsidRPr="001A625A">
              <w:rPr>
                <w:color w:val="000000"/>
                <w:sz w:val="22"/>
                <w:szCs w:val="22"/>
              </w:rPr>
              <w:t>1,000</w:t>
            </w:r>
          </w:p>
        </w:tc>
        <w:tc>
          <w:tcPr>
            <w:tcW w:w="1450" w:type="dxa"/>
            <w:gridSpan w:val="2"/>
            <w:tcBorders>
              <w:top w:val="nil"/>
              <w:left w:val="nil"/>
              <w:bottom w:val="nil"/>
              <w:right w:val="nil"/>
            </w:tcBorders>
            <w:shd w:val="clear" w:color="auto" w:fill="auto"/>
            <w:vAlign w:val="center"/>
            <w:hideMark/>
          </w:tcPr>
          <w:p w:rsidR="0006546B" w:rsidRPr="001A625A" w:rsidP="0006546B" w14:paraId="41F95BC7" w14:textId="77777777">
            <w:pPr>
              <w:jc w:val="center"/>
              <w:rPr>
                <w:color w:val="000000"/>
                <w:sz w:val="22"/>
                <w:szCs w:val="22"/>
              </w:rPr>
            </w:pPr>
            <w:r w:rsidRPr="001A625A">
              <w:rPr>
                <w:color w:val="000000"/>
                <w:sz w:val="22"/>
                <w:szCs w:val="22"/>
              </w:rPr>
              <w:t>1</w:t>
            </w:r>
          </w:p>
        </w:tc>
        <w:tc>
          <w:tcPr>
            <w:tcW w:w="1219" w:type="dxa"/>
            <w:tcBorders>
              <w:top w:val="nil"/>
              <w:left w:val="nil"/>
              <w:bottom w:val="nil"/>
              <w:right w:val="nil"/>
            </w:tcBorders>
            <w:shd w:val="clear" w:color="auto" w:fill="auto"/>
            <w:vAlign w:val="center"/>
            <w:hideMark/>
          </w:tcPr>
          <w:p w:rsidR="0006546B" w:rsidRPr="001A625A" w:rsidP="0006546B" w14:paraId="1642B777" w14:textId="77777777">
            <w:pPr>
              <w:jc w:val="right"/>
              <w:rPr>
                <w:color w:val="000000"/>
                <w:sz w:val="22"/>
                <w:szCs w:val="22"/>
              </w:rPr>
            </w:pPr>
            <w:r w:rsidRPr="001A625A">
              <w:rPr>
                <w:color w:val="000000"/>
                <w:sz w:val="22"/>
                <w:szCs w:val="22"/>
              </w:rPr>
              <w:t>1,000</w:t>
            </w:r>
          </w:p>
        </w:tc>
        <w:tc>
          <w:tcPr>
            <w:tcW w:w="1276" w:type="dxa"/>
            <w:tcBorders>
              <w:top w:val="nil"/>
              <w:left w:val="nil"/>
              <w:bottom w:val="nil"/>
              <w:right w:val="nil"/>
            </w:tcBorders>
            <w:shd w:val="clear" w:color="auto" w:fill="auto"/>
            <w:vAlign w:val="center"/>
            <w:hideMark/>
          </w:tcPr>
          <w:p w:rsidR="0006546B" w:rsidRPr="001A625A" w:rsidP="0006546B" w14:paraId="1884FF5D" w14:textId="77777777">
            <w:pPr>
              <w:jc w:val="center"/>
              <w:rPr>
                <w:color w:val="000000"/>
                <w:sz w:val="22"/>
                <w:szCs w:val="22"/>
              </w:rPr>
            </w:pPr>
            <w:r w:rsidRPr="001A625A">
              <w:rPr>
                <w:color w:val="000000"/>
                <w:sz w:val="22"/>
                <w:szCs w:val="22"/>
              </w:rPr>
              <w:t>1.00</w:t>
            </w:r>
          </w:p>
        </w:tc>
        <w:tc>
          <w:tcPr>
            <w:tcW w:w="1162" w:type="dxa"/>
            <w:tcBorders>
              <w:top w:val="nil"/>
              <w:left w:val="nil"/>
              <w:bottom w:val="nil"/>
              <w:right w:val="nil"/>
            </w:tcBorders>
            <w:shd w:val="clear" w:color="auto" w:fill="auto"/>
            <w:vAlign w:val="center"/>
            <w:hideMark/>
          </w:tcPr>
          <w:p w:rsidR="0006546B" w:rsidRPr="001A625A" w:rsidP="0006546B" w14:paraId="41454FED" w14:textId="77777777">
            <w:pPr>
              <w:jc w:val="right"/>
              <w:rPr>
                <w:color w:val="000000"/>
                <w:sz w:val="22"/>
                <w:szCs w:val="22"/>
              </w:rPr>
            </w:pPr>
            <w:r w:rsidRPr="001A625A">
              <w:rPr>
                <w:color w:val="000000"/>
                <w:sz w:val="22"/>
                <w:szCs w:val="22"/>
              </w:rPr>
              <w:t>1,000</w:t>
            </w:r>
          </w:p>
        </w:tc>
        <w:tc>
          <w:tcPr>
            <w:tcW w:w="1219" w:type="dxa"/>
            <w:tcBorders>
              <w:top w:val="nil"/>
              <w:left w:val="nil"/>
              <w:bottom w:val="nil"/>
              <w:right w:val="nil"/>
            </w:tcBorders>
          </w:tcPr>
          <w:p w:rsidR="00C2277E" w:rsidP="0006546B" w14:paraId="77C4D77D" w14:textId="77777777">
            <w:pPr>
              <w:jc w:val="center"/>
              <w:rPr>
                <w:color w:val="000000"/>
                <w:sz w:val="22"/>
                <w:szCs w:val="22"/>
              </w:rPr>
            </w:pPr>
          </w:p>
          <w:p w:rsidR="0006546B" w:rsidRPr="001A625A" w:rsidP="0006546B" w14:paraId="1B181955" w14:textId="45D782E1">
            <w:pPr>
              <w:jc w:val="center"/>
              <w:rPr>
                <w:color w:val="000000"/>
                <w:sz w:val="22"/>
                <w:szCs w:val="22"/>
              </w:rPr>
            </w:pPr>
            <w:r>
              <w:rPr>
                <w:color w:val="000000"/>
                <w:sz w:val="22"/>
                <w:szCs w:val="22"/>
              </w:rPr>
              <w:t>$28.88</w:t>
            </w:r>
          </w:p>
        </w:tc>
        <w:tc>
          <w:tcPr>
            <w:tcW w:w="1489" w:type="dxa"/>
            <w:tcBorders>
              <w:top w:val="nil"/>
              <w:left w:val="nil"/>
              <w:bottom w:val="nil"/>
              <w:right w:val="single" w:sz="12" w:space="0" w:color="auto"/>
            </w:tcBorders>
            <w:shd w:val="clear" w:color="auto" w:fill="auto"/>
            <w:noWrap/>
            <w:vAlign w:val="center"/>
            <w:hideMark/>
          </w:tcPr>
          <w:p w:rsidR="0006546B" w:rsidRPr="001A625A" w:rsidP="0006546B" w14:paraId="06908A61" w14:textId="77777777">
            <w:pPr>
              <w:jc w:val="right"/>
              <w:rPr>
                <w:color w:val="000000"/>
                <w:sz w:val="22"/>
                <w:szCs w:val="22"/>
              </w:rPr>
            </w:pPr>
            <w:r>
              <w:rPr>
                <w:color w:val="000000"/>
                <w:sz w:val="22"/>
                <w:szCs w:val="22"/>
              </w:rPr>
              <w:t>$</w:t>
            </w:r>
            <w:r w:rsidRPr="001A625A">
              <w:rPr>
                <w:color w:val="000000"/>
                <w:sz w:val="22"/>
                <w:szCs w:val="22"/>
              </w:rPr>
              <w:t>2</w:t>
            </w:r>
            <w:r>
              <w:rPr>
                <w:color w:val="000000"/>
                <w:sz w:val="22"/>
                <w:szCs w:val="22"/>
              </w:rPr>
              <w:t>8</w:t>
            </w:r>
            <w:r w:rsidRPr="001A625A">
              <w:rPr>
                <w:color w:val="000000"/>
                <w:sz w:val="22"/>
                <w:szCs w:val="22"/>
              </w:rPr>
              <w:t>,</w:t>
            </w:r>
            <w:r>
              <w:rPr>
                <w:color w:val="000000"/>
                <w:sz w:val="22"/>
                <w:szCs w:val="22"/>
              </w:rPr>
              <w:t>88</w:t>
            </w:r>
            <w:r w:rsidRPr="001A625A">
              <w:rPr>
                <w:color w:val="000000"/>
                <w:sz w:val="22"/>
                <w:szCs w:val="22"/>
              </w:rPr>
              <w:t>0.00</w:t>
            </w:r>
          </w:p>
        </w:tc>
      </w:tr>
      <w:tr w14:paraId="6D3132C2" w14:textId="77777777" w:rsidTr="00BE76E0">
        <w:tblPrEx>
          <w:tblW w:w="10335" w:type="dxa"/>
          <w:tblLayout w:type="fixed"/>
          <w:tblLook w:val="04A0"/>
        </w:tblPrEx>
        <w:trPr>
          <w:trHeight w:val="20"/>
        </w:trPr>
        <w:tc>
          <w:tcPr>
            <w:tcW w:w="1199" w:type="dxa"/>
            <w:tcBorders>
              <w:top w:val="nil"/>
              <w:left w:val="single" w:sz="12" w:space="0" w:color="auto"/>
              <w:bottom w:val="nil"/>
              <w:right w:val="nil"/>
            </w:tcBorders>
            <w:shd w:val="clear" w:color="auto" w:fill="auto"/>
            <w:hideMark/>
          </w:tcPr>
          <w:p w:rsidR="0006546B" w:rsidRPr="00BE76E0" w:rsidP="0006546B" w14:paraId="521426FF" w14:textId="77777777">
            <w:pPr>
              <w:rPr>
                <w:color w:val="000000"/>
                <w:sz w:val="20"/>
              </w:rPr>
            </w:pPr>
            <w:r w:rsidRPr="00BE76E0">
              <w:rPr>
                <w:color w:val="000000"/>
                <w:sz w:val="20"/>
              </w:rPr>
              <w:t xml:space="preserve">Initiation of State, </w:t>
            </w:r>
            <w:r w:rsidRPr="00BE76E0">
              <w:rPr>
                <w:color w:val="000000"/>
                <w:sz w:val="20"/>
              </w:rPr>
              <w:br/>
              <w:t xml:space="preserve"> Local Gov’t</w:t>
            </w:r>
          </w:p>
        </w:tc>
        <w:tc>
          <w:tcPr>
            <w:tcW w:w="1321" w:type="dxa"/>
            <w:tcBorders>
              <w:top w:val="nil"/>
              <w:left w:val="nil"/>
              <w:bottom w:val="nil"/>
              <w:right w:val="nil"/>
            </w:tcBorders>
            <w:shd w:val="clear" w:color="auto" w:fill="auto"/>
            <w:vAlign w:val="center"/>
            <w:hideMark/>
          </w:tcPr>
          <w:p w:rsidR="0006546B" w:rsidRPr="001A625A" w:rsidP="0006546B" w14:paraId="6A28EBF6" w14:textId="77777777">
            <w:pPr>
              <w:jc w:val="right"/>
              <w:rPr>
                <w:color w:val="000000"/>
                <w:sz w:val="22"/>
                <w:szCs w:val="22"/>
              </w:rPr>
            </w:pPr>
            <w:r>
              <w:rPr>
                <w:color w:val="000000"/>
                <w:sz w:val="22"/>
                <w:szCs w:val="22"/>
              </w:rPr>
              <w:t>100</w:t>
            </w:r>
          </w:p>
        </w:tc>
        <w:tc>
          <w:tcPr>
            <w:tcW w:w="1450" w:type="dxa"/>
            <w:gridSpan w:val="2"/>
            <w:tcBorders>
              <w:top w:val="nil"/>
              <w:left w:val="nil"/>
              <w:bottom w:val="nil"/>
              <w:right w:val="nil"/>
            </w:tcBorders>
            <w:shd w:val="clear" w:color="auto" w:fill="auto"/>
            <w:vAlign w:val="center"/>
            <w:hideMark/>
          </w:tcPr>
          <w:p w:rsidR="0006546B" w:rsidRPr="001A625A" w:rsidP="0006546B" w14:paraId="3EF128B7" w14:textId="77777777">
            <w:pPr>
              <w:jc w:val="center"/>
              <w:rPr>
                <w:color w:val="000000"/>
                <w:sz w:val="22"/>
                <w:szCs w:val="22"/>
              </w:rPr>
            </w:pPr>
            <w:r w:rsidRPr="001A625A">
              <w:rPr>
                <w:color w:val="000000"/>
                <w:sz w:val="22"/>
                <w:szCs w:val="22"/>
              </w:rPr>
              <w:t>1</w:t>
            </w:r>
          </w:p>
        </w:tc>
        <w:tc>
          <w:tcPr>
            <w:tcW w:w="1219" w:type="dxa"/>
            <w:tcBorders>
              <w:top w:val="nil"/>
              <w:left w:val="nil"/>
              <w:bottom w:val="nil"/>
              <w:right w:val="nil"/>
            </w:tcBorders>
            <w:shd w:val="clear" w:color="auto" w:fill="auto"/>
            <w:vAlign w:val="center"/>
            <w:hideMark/>
          </w:tcPr>
          <w:p w:rsidR="0006546B" w:rsidRPr="001A625A" w:rsidP="0006546B" w14:paraId="44B3C0FB" w14:textId="77777777">
            <w:pPr>
              <w:jc w:val="right"/>
              <w:rPr>
                <w:color w:val="000000"/>
                <w:sz w:val="22"/>
                <w:szCs w:val="22"/>
              </w:rPr>
            </w:pPr>
            <w:r>
              <w:rPr>
                <w:color w:val="000000"/>
                <w:sz w:val="22"/>
                <w:szCs w:val="22"/>
              </w:rPr>
              <w:t>100</w:t>
            </w:r>
          </w:p>
        </w:tc>
        <w:tc>
          <w:tcPr>
            <w:tcW w:w="1276" w:type="dxa"/>
            <w:tcBorders>
              <w:top w:val="nil"/>
              <w:left w:val="nil"/>
              <w:bottom w:val="nil"/>
              <w:right w:val="nil"/>
            </w:tcBorders>
            <w:shd w:val="clear" w:color="auto" w:fill="auto"/>
            <w:vAlign w:val="center"/>
            <w:hideMark/>
          </w:tcPr>
          <w:p w:rsidR="0006546B" w:rsidRPr="001A625A" w:rsidP="0006546B" w14:paraId="3EFF487B" w14:textId="77777777">
            <w:pPr>
              <w:jc w:val="center"/>
              <w:rPr>
                <w:color w:val="000000"/>
                <w:sz w:val="22"/>
                <w:szCs w:val="22"/>
              </w:rPr>
            </w:pPr>
            <w:r w:rsidRPr="001A625A">
              <w:rPr>
                <w:color w:val="000000"/>
                <w:sz w:val="22"/>
                <w:szCs w:val="22"/>
              </w:rPr>
              <w:t>1.00</w:t>
            </w:r>
          </w:p>
        </w:tc>
        <w:tc>
          <w:tcPr>
            <w:tcW w:w="1162" w:type="dxa"/>
            <w:tcBorders>
              <w:top w:val="nil"/>
              <w:left w:val="nil"/>
              <w:bottom w:val="nil"/>
              <w:right w:val="nil"/>
            </w:tcBorders>
            <w:shd w:val="clear" w:color="auto" w:fill="auto"/>
            <w:vAlign w:val="center"/>
            <w:hideMark/>
          </w:tcPr>
          <w:p w:rsidR="0006546B" w:rsidRPr="001A625A" w:rsidP="0006546B" w14:paraId="628C74B8" w14:textId="77777777">
            <w:pPr>
              <w:jc w:val="right"/>
              <w:rPr>
                <w:color w:val="000000"/>
                <w:sz w:val="22"/>
                <w:szCs w:val="22"/>
              </w:rPr>
            </w:pPr>
            <w:r>
              <w:rPr>
                <w:color w:val="000000"/>
                <w:sz w:val="22"/>
                <w:szCs w:val="22"/>
              </w:rPr>
              <w:t>100</w:t>
            </w:r>
          </w:p>
        </w:tc>
        <w:tc>
          <w:tcPr>
            <w:tcW w:w="1219" w:type="dxa"/>
            <w:tcBorders>
              <w:top w:val="nil"/>
              <w:left w:val="nil"/>
              <w:bottom w:val="nil"/>
              <w:right w:val="nil"/>
            </w:tcBorders>
          </w:tcPr>
          <w:p w:rsidR="00C2277E" w:rsidP="0006546B" w14:paraId="6FC3ADA4" w14:textId="77777777">
            <w:pPr>
              <w:jc w:val="center"/>
              <w:rPr>
                <w:color w:val="000000"/>
                <w:sz w:val="22"/>
                <w:szCs w:val="22"/>
              </w:rPr>
            </w:pPr>
          </w:p>
          <w:p w:rsidR="0006546B" w:rsidP="0006546B" w14:paraId="41668F1C" w14:textId="04C40A16">
            <w:pPr>
              <w:jc w:val="center"/>
              <w:rPr>
                <w:color w:val="000000"/>
                <w:sz w:val="22"/>
                <w:szCs w:val="22"/>
              </w:rPr>
            </w:pPr>
            <w:r>
              <w:rPr>
                <w:color w:val="000000"/>
                <w:sz w:val="22"/>
                <w:szCs w:val="22"/>
              </w:rPr>
              <w:t>$28.88</w:t>
            </w:r>
          </w:p>
          <w:p w:rsidR="0006546B" w:rsidP="0006546B" w14:paraId="168CFDF7" w14:textId="77777777">
            <w:pPr>
              <w:rPr>
                <w:color w:val="000000"/>
                <w:sz w:val="22"/>
                <w:szCs w:val="22"/>
              </w:rPr>
            </w:pPr>
          </w:p>
        </w:tc>
        <w:tc>
          <w:tcPr>
            <w:tcW w:w="1489" w:type="dxa"/>
            <w:tcBorders>
              <w:top w:val="nil"/>
              <w:left w:val="nil"/>
              <w:bottom w:val="nil"/>
              <w:right w:val="single" w:sz="12" w:space="0" w:color="auto"/>
            </w:tcBorders>
            <w:shd w:val="clear" w:color="auto" w:fill="auto"/>
            <w:noWrap/>
            <w:vAlign w:val="center"/>
            <w:hideMark/>
          </w:tcPr>
          <w:p w:rsidR="0006546B" w:rsidRPr="001A625A" w:rsidP="0006546B" w14:paraId="39F7A993" w14:textId="77777777">
            <w:pPr>
              <w:jc w:val="right"/>
              <w:rPr>
                <w:color w:val="000000"/>
                <w:sz w:val="22"/>
                <w:szCs w:val="22"/>
              </w:rPr>
            </w:pPr>
            <w:r>
              <w:rPr>
                <w:color w:val="000000"/>
                <w:sz w:val="22"/>
                <w:szCs w:val="22"/>
              </w:rPr>
              <w:t>$2</w:t>
            </w:r>
            <w:r w:rsidRPr="001A625A">
              <w:rPr>
                <w:color w:val="000000"/>
                <w:sz w:val="22"/>
                <w:szCs w:val="22"/>
              </w:rPr>
              <w:t>,</w:t>
            </w:r>
            <w:r>
              <w:rPr>
                <w:color w:val="000000"/>
                <w:sz w:val="22"/>
                <w:szCs w:val="22"/>
              </w:rPr>
              <w:t>888</w:t>
            </w:r>
            <w:r w:rsidRPr="001A625A">
              <w:rPr>
                <w:color w:val="000000"/>
                <w:sz w:val="22"/>
                <w:szCs w:val="22"/>
              </w:rPr>
              <w:t>.</w:t>
            </w:r>
            <w:r>
              <w:rPr>
                <w:color w:val="000000"/>
                <w:sz w:val="22"/>
                <w:szCs w:val="22"/>
              </w:rPr>
              <w:t>0</w:t>
            </w:r>
            <w:r w:rsidRPr="001A625A">
              <w:rPr>
                <w:color w:val="000000"/>
                <w:sz w:val="22"/>
                <w:szCs w:val="22"/>
              </w:rPr>
              <w:t>0</w:t>
            </w:r>
          </w:p>
        </w:tc>
      </w:tr>
      <w:tr w14:paraId="204EBC4F" w14:textId="77777777" w:rsidTr="00C2277E">
        <w:tblPrEx>
          <w:tblW w:w="10335" w:type="dxa"/>
          <w:tblLayout w:type="fixed"/>
          <w:tblLook w:val="04A0"/>
        </w:tblPrEx>
        <w:trPr>
          <w:trHeight w:val="642"/>
        </w:trPr>
        <w:tc>
          <w:tcPr>
            <w:tcW w:w="1199" w:type="dxa"/>
            <w:tcBorders>
              <w:top w:val="nil"/>
              <w:left w:val="single" w:sz="12" w:space="0" w:color="auto"/>
              <w:bottom w:val="nil"/>
              <w:right w:val="nil"/>
            </w:tcBorders>
            <w:shd w:val="clear" w:color="000000" w:fill="FDE9D9"/>
            <w:hideMark/>
          </w:tcPr>
          <w:p w:rsidR="0006546B" w:rsidRPr="00BE76E0" w:rsidP="0006546B" w14:paraId="13752BD3" w14:textId="77777777">
            <w:pPr>
              <w:rPr>
                <w:b/>
                <w:bCs/>
                <w:color w:val="000000"/>
                <w:sz w:val="20"/>
              </w:rPr>
            </w:pPr>
            <w:r w:rsidRPr="00BE76E0">
              <w:rPr>
                <w:b/>
                <w:bCs/>
                <w:color w:val="000000"/>
                <w:sz w:val="20"/>
              </w:rPr>
              <w:t xml:space="preserve">Subtotal for </w:t>
            </w:r>
            <w:r w:rsidRPr="00BE76E0">
              <w:rPr>
                <w:b/>
                <w:bCs/>
                <w:color w:val="000000"/>
                <w:sz w:val="20"/>
              </w:rPr>
              <w:br/>
              <w:t xml:space="preserve"> Outlet Rotation</w:t>
            </w:r>
          </w:p>
        </w:tc>
        <w:tc>
          <w:tcPr>
            <w:tcW w:w="1321" w:type="dxa"/>
            <w:tcBorders>
              <w:top w:val="single" w:sz="8" w:space="0" w:color="auto"/>
              <w:left w:val="nil"/>
              <w:bottom w:val="nil"/>
              <w:right w:val="nil"/>
            </w:tcBorders>
            <w:shd w:val="clear" w:color="000000" w:fill="FDE9D9"/>
            <w:vAlign w:val="center"/>
            <w:hideMark/>
          </w:tcPr>
          <w:p w:rsidR="0006546B" w:rsidRPr="001A625A" w:rsidP="0006546B" w14:paraId="111EEE22" w14:textId="77777777">
            <w:pPr>
              <w:jc w:val="right"/>
              <w:rPr>
                <w:b/>
                <w:bCs/>
                <w:color w:val="000000"/>
                <w:sz w:val="22"/>
                <w:szCs w:val="22"/>
              </w:rPr>
            </w:pPr>
            <w:r>
              <w:rPr>
                <w:b/>
                <w:bCs/>
                <w:color w:val="000000"/>
                <w:sz w:val="22"/>
                <w:szCs w:val="22"/>
              </w:rPr>
              <w:t>10,683</w:t>
            </w:r>
          </w:p>
        </w:tc>
        <w:tc>
          <w:tcPr>
            <w:tcW w:w="1450" w:type="dxa"/>
            <w:gridSpan w:val="2"/>
            <w:tcBorders>
              <w:top w:val="nil"/>
              <w:left w:val="nil"/>
              <w:bottom w:val="nil"/>
              <w:right w:val="nil"/>
            </w:tcBorders>
            <w:shd w:val="clear" w:color="000000" w:fill="FDE9D9"/>
            <w:vAlign w:val="center"/>
            <w:hideMark/>
          </w:tcPr>
          <w:p w:rsidR="0006546B" w:rsidRPr="001A625A" w:rsidP="0006546B" w14:paraId="6AA255D5" w14:textId="77777777">
            <w:pPr>
              <w:jc w:val="center"/>
              <w:rPr>
                <w:b/>
                <w:bCs/>
                <w:color w:val="000000"/>
                <w:sz w:val="22"/>
                <w:szCs w:val="22"/>
              </w:rPr>
            </w:pPr>
            <w:r w:rsidRPr="001A625A">
              <w:rPr>
                <w:b/>
                <w:bCs/>
                <w:color w:val="000000"/>
                <w:sz w:val="22"/>
                <w:szCs w:val="22"/>
              </w:rPr>
              <w:t> </w:t>
            </w:r>
          </w:p>
        </w:tc>
        <w:tc>
          <w:tcPr>
            <w:tcW w:w="1219" w:type="dxa"/>
            <w:tcBorders>
              <w:top w:val="single" w:sz="8" w:space="0" w:color="auto"/>
              <w:left w:val="nil"/>
              <w:bottom w:val="nil"/>
              <w:right w:val="nil"/>
            </w:tcBorders>
            <w:shd w:val="clear" w:color="000000" w:fill="FDE9D9"/>
            <w:vAlign w:val="center"/>
            <w:hideMark/>
          </w:tcPr>
          <w:p w:rsidR="0006546B" w:rsidRPr="001A625A" w:rsidP="0006546B" w14:paraId="70C3B128" w14:textId="77777777">
            <w:pPr>
              <w:jc w:val="right"/>
              <w:rPr>
                <w:b/>
                <w:bCs/>
                <w:color w:val="000000"/>
                <w:sz w:val="22"/>
                <w:szCs w:val="22"/>
              </w:rPr>
            </w:pPr>
            <w:r>
              <w:rPr>
                <w:b/>
                <w:bCs/>
                <w:color w:val="000000"/>
                <w:sz w:val="22"/>
                <w:szCs w:val="22"/>
              </w:rPr>
              <w:t>10,683</w:t>
            </w:r>
          </w:p>
        </w:tc>
        <w:tc>
          <w:tcPr>
            <w:tcW w:w="1276" w:type="dxa"/>
            <w:tcBorders>
              <w:top w:val="nil"/>
              <w:left w:val="nil"/>
              <w:bottom w:val="nil"/>
              <w:right w:val="nil"/>
            </w:tcBorders>
            <w:shd w:val="clear" w:color="000000" w:fill="FDE9D9"/>
            <w:vAlign w:val="center"/>
            <w:hideMark/>
          </w:tcPr>
          <w:p w:rsidR="0006546B" w:rsidRPr="001A625A" w:rsidP="0006546B" w14:paraId="1E703123" w14:textId="77777777">
            <w:pPr>
              <w:jc w:val="center"/>
              <w:rPr>
                <w:b/>
                <w:bCs/>
                <w:color w:val="000000"/>
                <w:sz w:val="22"/>
                <w:szCs w:val="22"/>
              </w:rPr>
            </w:pPr>
            <w:r w:rsidRPr="001A625A">
              <w:rPr>
                <w:b/>
                <w:bCs/>
                <w:color w:val="000000"/>
                <w:sz w:val="22"/>
                <w:szCs w:val="22"/>
              </w:rPr>
              <w:t> </w:t>
            </w:r>
          </w:p>
        </w:tc>
        <w:tc>
          <w:tcPr>
            <w:tcW w:w="1162" w:type="dxa"/>
            <w:tcBorders>
              <w:top w:val="single" w:sz="8" w:space="0" w:color="auto"/>
              <w:left w:val="nil"/>
              <w:bottom w:val="nil"/>
              <w:right w:val="nil"/>
            </w:tcBorders>
            <w:shd w:val="clear" w:color="000000" w:fill="FDE9D9"/>
            <w:vAlign w:val="center"/>
            <w:hideMark/>
          </w:tcPr>
          <w:p w:rsidR="0006546B" w:rsidRPr="001A625A" w:rsidP="0006546B" w14:paraId="5119CAE1" w14:textId="77777777">
            <w:pPr>
              <w:jc w:val="right"/>
              <w:rPr>
                <w:b/>
                <w:bCs/>
                <w:color w:val="000000"/>
                <w:sz w:val="22"/>
                <w:szCs w:val="22"/>
              </w:rPr>
            </w:pPr>
            <w:r>
              <w:rPr>
                <w:b/>
                <w:bCs/>
                <w:color w:val="000000"/>
                <w:sz w:val="22"/>
                <w:szCs w:val="22"/>
              </w:rPr>
              <w:t>10,683</w:t>
            </w:r>
          </w:p>
        </w:tc>
        <w:tc>
          <w:tcPr>
            <w:tcW w:w="1219" w:type="dxa"/>
            <w:tcBorders>
              <w:top w:val="single" w:sz="8" w:space="0" w:color="auto"/>
              <w:left w:val="nil"/>
              <w:bottom w:val="nil"/>
              <w:right w:val="nil"/>
            </w:tcBorders>
            <w:shd w:val="clear" w:color="000000" w:fill="FDE9D9"/>
          </w:tcPr>
          <w:p w:rsidR="0006546B" w:rsidRPr="005642E6" w:rsidP="0006546B" w14:paraId="6588F84C" w14:textId="77777777">
            <w:pPr>
              <w:jc w:val="right"/>
              <w:rPr>
                <w:b/>
                <w:bCs/>
                <w:color w:val="000000"/>
                <w:sz w:val="22"/>
                <w:szCs w:val="22"/>
              </w:rPr>
            </w:pPr>
          </w:p>
        </w:tc>
        <w:tc>
          <w:tcPr>
            <w:tcW w:w="1489" w:type="dxa"/>
            <w:tcBorders>
              <w:top w:val="single" w:sz="8" w:space="0" w:color="auto"/>
              <w:left w:val="nil"/>
              <w:bottom w:val="nil"/>
              <w:right w:val="single" w:sz="12" w:space="0" w:color="auto"/>
            </w:tcBorders>
            <w:shd w:val="clear" w:color="000000" w:fill="FDE9D9"/>
            <w:noWrap/>
            <w:vAlign w:val="center"/>
            <w:hideMark/>
          </w:tcPr>
          <w:p w:rsidR="0006546B" w:rsidRPr="001A625A" w:rsidP="0006546B" w14:paraId="52AA5E4A" w14:textId="77777777">
            <w:pPr>
              <w:jc w:val="right"/>
              <w:rPr>
                <w:b/>
                <w:bCs/>
                <w:color w:val="000000"/>
                <w:sz w:val="22"/>
                <w:szCs w:val="22"/>
              </w:rPr>
            </w:pPr>
            <w:r>
              <w:rPr>
                <w:b/>
                <w:bCs/>
                <w:color w:val="000000"/>
                <w:sz w:val="22"/>
                <w:szCs w:val="22"/>
              </w:rPr>
              <w:t>$</w:t>
            </w:r>
            <w:r w:rsidRPr="005642E6">
              <w:rPr>
                <w:b/>
                <w:bCs/>
                <w:color w:val="000000"/>
                <w:sz w:val="22"/>
                <w:szCs w:val="22"/>
              </w:rPr>
              <w:t>308,525.04</w:t>
            </w:r>
          </w:p>
        </w:tc>
      </w:tr>
      <w:tr w14:paraId="2FE87D6A" w14:textId="77777777" w:rsidTr="00BE76E0">
        <w:tblPrEx>
          <w:tblW w:w="10335" w:type="dxa"/>
          <w:tblLayout w:type="fixed"/>
          <w:tblLook w:val="04A0"/>
        </w:tblPrEx>
        <w:trPr>
          <w:trHeight w:val="300"/>
        </w:trPr>
        <w:tc>
          <w:tcPr>
            <w:tcW w:w="1199" w:type="dxa"/>
            <w:tcBorders>
              <w:top w:val="nil"/>
              <w:left w:val="single" w:sz="12" w:space="0" w:color="auto"/>
              <w:bottom w:val="nil"/>
              <w:right w:val="nil"/>
            </w:tcBorders>
            <w:shd w:val="clear" w:color="auto" w:fill="auto"/>
            <w:noWrap/>
            <w:vAlign w:val="bottom"/>
            <w:hideMark/>
          </w:tcPr>
          <w:p w:rsidR="0006546B" w:rsidRPr="001A625A" w:rsidP="0006546B" w14:paraId="52E95A44" w14:textId="77777777">
            <w:pPr>
              <w:rPr>
                <w:rFonts w:ascii="Calibri" w:hAnsi="Calibri" w:cs="Calibri"/>
                <w:color w:val="000000"/>
                <w:sz w:val="22"/>
                <w:szCs w:val="22"/>
              </w:rPr>
            </w:pPr>
            <w:r w:rsidRPr="001A625A">
              <w:rPr>
                <w:rFonts w:ascii="Calibri" w:hAnsi="Calibri" w:cs="Calibri"/>
                <w:color w:val="000000"/>
                <w:sz w:val="22"/>
                <w:szCs w:val="22"/>
              </w:rPr>
              <w:t> </w:t>
            </w:r>
          </w:p>
        </w:tc>
        <w:tc>
          <w:tcPr>
            <w:tcW w:w="1321" w:type="dxa"/>
            <w:tcBorders>
              <w:top w:val="nil"/>
              <w:left w:val="nil"/>
              <w:bottom w:val="nil"/>
              <w:right w:val="nil"/>
            </w:tcBorders>
            <w:shd w:val="clear" w:color="auto" w:fill="auto"/>
            <w:noWrap/>
            <w:vAlign w:val="center"/>
            <w:hideMark/>
          </w:tcPr>
          <w:p w:rsidR="0006546B" w:rsidRPr="001A625A" w:rsidP="0006546B" w14:paraId="5D38B6D9" w14:textId="77777777">
            <w:pPr>
              <w:rPr>
                <w:rFonts w:ascii="Calibri" w:hAnsi="Calibri" w:cs="Calibri"/>
                <w:color w:val="000000"/>
                <w:sz w:val="22"/>
                <w:szCs w:val="22"/>
              </w:rPr>
            </w:pPr>
          </w:p>
        </w:tc>
        <w:tc>
          <w:tcPr>
            <w:tcW w:w="1450" w:type="dxa"/>
            <w:gridSpan w:val="2"/>
            <w:tcBorders>
              <w:top w:val="nil"/>
              <w:left w:val="nil"/>
              <w:bottom w:val="nil"/>
              <w:right w:val="nil"/>
            </w:tcBorders>
            <w:shd w:val="clear" w:color="auto" w:fill="auto"/>
            <w:noWrap/>
            <w:vAlign w:val="center"/>
            <w:hideMark/>
          </w:tcPr>
          <w:p w:rsidR="0006546B" w:rsidRPr="001A625A" w:rsidP="0006546B" w14:paraId="63CB7BFF" w14:textId="77777777">
            <w:pPr>
              <w:jc w:val="right"/>
              <w:rPr>
                <w:sz w:val="20"/>
              </w:rPr>
            </w:pPr>
          </w:p>
        </w:tc>
        <w:tc>
          <w:tcPr>
            <w:tcW w:w="1219" w:type="dxa"/>
            <w:tcBorders>
              <w:top w:val="nil"/>
              <w:left w:val="nil"/>
              <w:bottom w:val="nil"/>
              <w:right w:val="nil"/>
            </w:tcBorders>
            <w:shd w:val="clear" w:color="auto" w:fill="auto"/>
            <w:noWrap/>
            <w:vAlign w:val="center"/>
            <w:hideMark/>
          </w:tcPr>
          <w:p w:rsidR="0006546B" w:rsidRPr="001A625A" w:rsidP="0006546B" w14:paraId="1060C553" w14:textId="77777777">
            <w:pPr>
              <w:jc w:val="center"/>
              <w:rPr>
                <w:sz w:val="20"/>
              </w:rPr>
            </w:pPr>
          </w:p>
        </w:tc>
        <w:tc>
          <w:tcPr>
            <w:tcW w:w="1276" w:type="dxa"/>
            <w:tcBorders>
              <w:top w:val="nil"/>
              <w:left w:val="nil"/>
              <w:bottom w:val="nil"/>
              <w:right w:val="nil"/>
            </w:tcBorders>
            <w:shd w:val="clear" w:color="auto" w:fill="auto"/>
            <w:noWrap/>
            <w:vAlign w:val="center"/>
            <w:hideMark/>
          </w:tcPr>
          <w:p w:rsidR="0006546B" w:rsidRPr="001A625A" w:rsidP="0006546B" w14:paraId="6B7EB2E7" w14:textId="77777777">
            <w:pPr>
              <w:jc w:val="right"/>
              <w:rPr>
                <w:sz w:val="20"/>
              </w:rPr>
            </w:pPr>
          </w:p>
        </w:tc>
        <w:tc>
          <w:tcPr>
            <w:tcW w:w="1162" w:type="dxa"/>
            <w:tcBorders>
              <w:top w:val="nil"/>
              <w:left w:val="nil"/>
              <w:bottom w:val="nil"/>
              <w:right w:val="nil"/>
            </w:tcBorders>
            <w:shd w:val="clear" w:color="auto" w:fill="auto"/>
            <w:noWrap/>
            <w:vAlign w:val="center"/>
            <w:hideMark/>
          </w:tcPr>
          <w:p w:rsidR="0006546B" w:rsidRPr="001A625A" w:rsidP="0006546B" w14:paraId="76A23922" w14:textId="77777777">
            <w:pPr>
              <w:jc w:val="center"/>
              <w:rPr>
                <w:sz w:val="20"/>
              </w:rPr>
            </w:pPr>
          </w:p>
        </w:tc>
        <w:tc>
          <w:tcPr>
            <w:tcW w:w="1219" w:type="dxa"/>
            <w:tcBorders>
              <w:top w:val="nil"/>
              <w:left w:val="nil"/>
              <w:bottom w:val="nil"/>
              <w:right w:val="nil"/>
            </w:tcBorders>
          </w:tcPr>
          <w:p w:rsidR="0006546B" w:rsidRPr="001A625A" w:rsidP="0006546B" w14:paraId="4876B8E0" w14:textId="77777777">
            <w:pPr>
              <w:rPr>
                <w:color w:val="000000"/>
                <w:sz w:val="22"/>
                <w:szCs w:val="22"/>
              </w:rPr>
            </w:pPr>
          </w:p>
        </w:tc>
        <w:tc>
          <w:tcPr>
            <w:tcW w:w="1489" w:type="dxa"/>
            <w:tcBorders>
              <w:top w:val="nil"/>
              <w:left w:val="nil"/>
              <w:bottom w:val="nil"/>
              <w:right w:val="single" w:sz="12" w:space="0" w:color="auto"/>
            </w:tcBorders>
            <w:shd w:val="clear" w:color="auto" w:fill="auto"/>
            <w:noWrap/>
            <w:vAlign w:val="bottom"/>
            <w:hideMark/>
          </w:tcPr>
          <w:p w:rsidR="0006546B" w:rsidRPr="001A625A" w:rsidP="0006546B" w14:paraId="0D9F3608" w14:textId="77777777">
            <w:pPr>
              <w:rPr>
                <w:color w:val="000000"/>
                <w:sz w:val="22"/>
                <w:szCs w:val="22"/>
              </w:rPr>
            </w:pPr>
            <w:r w:rsidRPr="001A625A">
              <w:rPr>
                <w:color w:val="000000"/>
                <w:sz w:val="22"/>
                <w:szCs w:val="22"/>
              </w:rPr>
              <w:t> </w:t>
            </w:r>
          </w:p>
        </w:tc>
      </w:tr>
      <w:tr w14:paraId="7668EAF2" w14:textId="77777777" w:rsidTr="00C2277E">
        <w:tblPrEx>
          <w:tblW w:w="10335" w:type="dxa"/>
          <w:tblLayout w:type="fixed"/>
          <w:tblLook w:val="04A0"/>
        </w:tblPrEx>
        <w:trPr>
          <w:trHeight w:val="642"/>
        </w:trPr>
        <w:tc>
          <w:tcPr>
            <w:tcW w:w="1199" w:type="dxa"/>
            <w:tcBorders>
              <w:top w:val="nil"/>
              <w:left w:val="single" w:sz="12" w:space="0" w:color="auto"/>
              <w:bottom w:val="single" w:sz="12" w:space="0" w:color="auto"/>
              <w:right w:val="nil"/>
            </w:tcBorders>
            <w:shd w:val="clear" w:color="000000" w:fill="FABF8F"/>
            <w:vAlign w:val="center"/>
            <w:hideMark/>
          </w:tcPr>
          <w:p w:rsidR="0006546B" w:rsidRPr="001A625A" w:rsidP="0006546B" w14:paraId="0520214E" w14:textId="77777777">
            <w:pPr>
              <w:rPr>
                <w:b/>
                <w:bCs/>
                <w:color w:val="000000"/>
                <w:sz w:val="22"/>
                <w:szCs w:val="22"/>
              </w:rPr>
            </w:pPr>
            <w:r w:rsidRPr="001A625A">
              <w:rPr>
                <w:b/>
                <w:bCs/>
                <w:color w:val="000000"/>
                <w:sz w:val="22"/>
                <w:szCs w:val="22"/>
              </w:rPr>
              <w:t>GRAND TOTAL</w:t>
            </w:r>
          </w:p>
        </w:tc>
        <w:tc>
          <w:tcPr>
            <w:tcW w:w="1321" w:type="dxa"/>
            <w:tcBorders>
              <w:top w:val="single" w:sz="12" w:space="0" w:color="auto"/>
              <w:left w:val="nil"/>
              <w:bottom w:val="single" w:sz="12" w:space="0" w:color="auto"/>
              <w:right w:val="nil"/>
            </w:tcBorders>
            <w:shd w:val="clear" w:color="000000" w:fill="FABF8F"/>
            <w:noWrap/>
            <w:vAlign w:val="center"/>
            <w:hideMark/>
          </w:tcPr>
          <w:p w:rsidR="0006546B" w:rsidRPr="001A625A" w:rsidP="0006546B" w14:paraId="3CAA5FFD" w14:textId="28166F5F">
            <w:pPr>
              <w:jc w:val="right"/>
              <w:rPr>
                <w:b/>
                <w:bCs/>
                <w:color w:val="000000"/>
                <w:sz w:val="22"/>
                <w:szCs w:val="22"/>
              </w:rPr>
            </w:pPr>
            <w:r>
              <w:rPr>
                <w:b/>
                <w:bCs/>
                <w:color w:val="000000"/>
                <w:sz w:val="22"/>
                <w:szCs w:val="22"/>
              </w:rPr>
              <w:t>46,</w:t>
            </w:r>
            <w:r w:rsidR="00FA296A">
              <w:rPr>
                <w:b/>
                <w:bCs/>
                <w:color w:val="000000"/>
                <w:sz w:val="22"/>
                <w:szCs w:val="22"/>
              </w:rPr>
              <w:t>3</w:t>
            </w:r>
            <w:r>
              <w:rPr>
                <w:b/>
                <w:bCs/>
                <w:color w:val="000000"/>
                <w:sz w:val="22"/>
                <w:szCs w:val="22"/>
              </w:rPr>
              <w:t>05</w:t>
            </w:r>
          </w:p>
        </w:tc>
        <w:tc>
          <w:tcPr>
            <w:tcW w:w="1450" w:type="dxa"/>
            <w:gridSpan w:val="2"/>
            <w:tcBorders>
              <w:top w:val="nil"/>
              <w:left w:val="nil"/>
              <w:bottom w:val="single" w:sz="12" w:space="0" w:color="auto"/>
              <w:right w:val="nil"/>
            </w:tcBorders>
            <w:shd w:val="clear" w:color="000000" w:fill="FABF8F"/>
            <w:noWrap/>
            <w:vAlign w:val="center"/>
            <w:hideMark/>
          </w:tcPr>
          <w:p w:rsidR="0006546B" w:rsidRPr="001A625A" w:rsidP="0006546B" w14:paraId="6F313EA8" w14:textId="77777777">
            <w:pPr>
              <w:jc w:val="center"/>
              <w:rPr>
                <w:b/>
                <w:bCs/>
                <w:color w:val="000000"/>
                <w:sz w:val="22"/>
                <w:szCs w:val="22"/>
              </w:rPr>
            </w:pPr>
            <w:r w:rsidRPr="001A625A">
              <w:rPr>
                <w:b/>
                <w:bCs/>
                <w:color w:val="000000"/>
                <w:sz w:val="22"/>
                <w:szCs w:val="22"/>
              </w:rPr>
              <w:t> </w:t>
            </w:r>
          </w:p>
        </w:tc>
        <w:tc>
          <w:tcPr>
            <w:tcW w:w="1219" w:type="dxa"/>
            <w:tcBorders>
              <w:top w:val="single" w:sz="12" w:space="0" w:color="auto"/>
              <w:left w:val="nil"/>
              <w:bottom w:val="single" w:sz="12" w:space="0" w:color="auto"/>
              <w:right w:val="nil"/>
            </w:tcBorders>
            <w:shd w:val="clear" w:color="000000" w:fill="FABF8F"/>
            <w:noWrap/>
            <w:vAlign w:val="center"/>
            <w:hideMark/>
          </w:tcPr>
          <w:p w:rsidR="0006546B" w:rsidRPr="001A625A" w:rsidP="0006546B" w14:paraId="4F3D9363" w14:textId="77777777">
            <w:pPr>
              <w:jc w:val="right"/>
              <w:rPr>
                <w:b/>
                <w:bCs/>
                <w:color w:val="000000"/>
                <w:sz w:val="22"/>
                <w:szCs w:val="22"/>
              </w:rPr>
            </w:pPr>
            <w:r w:rsidRPr="005642E6">
              <w:rPr>
                <w:b/>
                <w:bCs/>
                <w:color w:val="000000"/>
                <w:sz w:val="22"/>
                <w:szCs w:val="22"/>
              </w:rPr>
              <w:t>323,281</w:t>
            </w:r>
            <w:r w:rsidRPr="005642E6">
              <w:rPr>
                <w:b/>
                <w:bCs/>
                <w:color w:val="000000"/>
                <w:sz w:val="22"/>
                <w:szCs w:val="22"/>
              </w:rPr>
              <w:t>‬</w:t>
            </w:r>
          </w:p>
        </w:tc>
        <w:tc>
          <w:tcPr>
            <w:tcW w:w="1276" w:type="dxa"/>
            <w:tcBorders>
              <w:top w:val="nil"/>
              <w:left w:val="nil"/>
              <w:bottom w:val="single" w:sz="12" w:space="0" w:color="auto"/>
              <w:right w:val="nil"/>
            </w:tcBorders>
            <w:shd w:val="clear" w:color="000000" w:fill="FABF8F"/>
            <w:noWrap/>
            <w:vAlign w:val="center"/>
            <w:hideMark/>
          </w:tcPr>
          <w:p w:rsidR="0006546B" w:rsidRPr="001A625A" w:rsidP="0006546B" w14:paraId="084C2D96" w14:textId="77777777">
            <w:pPr>
              <w:jc w:val="center"/>
              <w:rPr>
                <w:b/>
                <w:bCs/>
                <w:color w:val="000000"/>
                <w:sz w:val="22"/>
                <w:szCs w:val="22"/>
              </w:rPr>
            </w:pPr>
            <w:r w:rsidRPr="001A625A">
              <w:rPr>
                <w:b/>
                <w:bCs/>
                <w:color w:val="000000"/>
                <w:sz w:val="22"/>
                <w:szCs w:val="22"/>
              </w:rPr>
              <w:t> </w:t>
            </w:r>
          </w:p>
        </w:tc>
        <w:tc>
          <w:tcPr>
            <w:tcW w:w="1162" w:type="dxa"/>
            <w:tcBorders>
              <w:top w:val="single" w:sz="12" w:space="0" w:color="auto"/>
              <w:left w:val="nil"/>
              <w:bottom w:val="single" w:sz="12" w:space="0" w:color="auto"/>
              <w:right w:val="nil"/>
            </w:tcBorders>
            <w:shd w:val="clear" w:color="000000" w:fill="FABF8F"/>
            <w:noWrap/>
            <w:vAlign w:val="center"/>
            <w:hideMark/>
          </w:tcPr>
          <w:p w:rsidR="0006546B" w:rsidRPr="001A625A" w:rsidP="0006546B" w14:paraId="6D7D8731" w14:textId="605E5F08">
            <w:pPr>
              <w:jc w:val="right"/>
              <w:rPr>
                <w:b/>
                <w:bCs/>
                <w:color w:val="000000"/>
                <w:sz w:val="22"/>
                <w:szCs w:val="22"/>
              </w:rPr>
            </w:pPr>
            <w:r w:rsidRPr="005642E6">
              <w:rPr>
                <w:b/>
                <w:bCs/>
                <w:color w:val="000000"/>
                <w:sz w:val="22"/>
                <w:szCs w:val="22"/>
              </w:rPr>
              <w:t>11</w:t>
            </w:r>
            <w:r w:rsidR="00FA296A">
              <w:rPr>
                <w:b/>
                <w:bCs/>
                <w:color w:val="000000"/>
                <w:sz w:val="22"/>
                <w:szCs w:val="22"/>
              </w:rPr>
              <w:t>3</w:t>
            </w:r>
            <w:r w:rsidRPr="005642E6">
              <w:rPr>
                <w:b/>
                <w:bCs/>
                <w:color w:val="000000"/>
                <w:sz w:val="22"/>
                <w:szCs w:val="22"/>
              </w:rPr>
              <w:t>,8</w:t>
            </w:r>
            <w:r w:rsidR="00FA296A">
              <w:rPr>
                <w:b/>
                <w:bCs/>
                <w:color w:val="000000"/>
                <w:sz w:val="22"/>
                <w:szCs w:val="22"/>
              </w:rPr>
              <w:t>40</w:t>
            </w:r>
          </w:p>
        </w:tc>
        <w:tc>
          <w:tcPr>
            <w:tcW w:w="1219" w:type="dxa"/>
            <w:tcBorders>
              <w:top w:val="single" w:sz="12" w:space="0" w:color="auto"/>
              <w:left w:val="nil"/>
              <w:bottom w:val="single" w:sz="12" w:space="0" w:color="auto"/>
              <w:right w:val="nil"/>
            </w:tcBorders>
            <w:shd w:val="clear" w:color="000000" w:fill="FABF8F"/>
          </w:tcPr>
          <w:p w:rsidR="0006546B" w:rsidRPr="005642E6" w:rsidP="0006546B" w14:paraId="03B84962" w14:textId="77777777">
            <w:pPr>
              <w:jc w:val="right"/>
              <w:rPr>
                <w:b/>
                <w:bCs/>
                <w:color w:val="000000"/>
                <w:sz w:val="22"/>
                <w:szCs w:val="22"/>
              </w:rPr>
            </w:pPr>
          </w:p>
        </w:tc>
        <w:tc>
          <w:tcPr>
            <w:tcW w:w="1489" w:type="dxa"/>
            <w:tcBorders>
              <w:top w:val="single" w:sz="12" w:space="0" w:color="auto"/>
              <w:left w:val="nil"/>
              <w:bottom w:val="single" w:sz="12" w:space="0" w:color="auto"/>
              <w:right w:val="single" w:sz="12" w:space="0" w:color="auto"/>
            </w:tcBorders>
            <w:shd w:val="clear" w:color="000000" w:fill="FABF8F"/>
            <w:noWrap/>
            <w:vAlign w:val="center"/>
            <w:hideMark/>
          </w:tcPr>
          <w:p w:rsidR="0006546B" w:rsidRPr="001A625A" w:rsidP="0006546B" w14:paraId="4FE3DB57" w14:textId="77777777">
            <w:pPr>
              <w:jc w:val="right"/>
              <w:rPr>
                <w:b/>
                <w:bCs/>
                <w:color w:val="000000"/>
                <w:sz w:val="22"/>
                <w:szCs w:val="22"/>
              </w:rPr>
            </w:pPr>
            <w:r>
              <w:rPr>
                <w:b/>
                <w:bCs/>
                <w:color w:val="000000"/>
                <w:sz w:val="22"/>
                <w:szCs w:val="22"/>
              </w:rPr>
              <w:t>$</w:t>
            </w:r>
            <w:r w:rsidRPr="005642E6">
              <w:rPr>
                <w:b/>
                <w:bCs/>
                <w:color w:val="000000"/>
                <w:sz w:val="22"/>
                <w:szCs w:val="22"/>
              </w:rPr>
              <w:t>3,</w:t>
            </w:r>
            <w:r>
              <w:rPr>
                <w:b/>
                <w:bCs/>
                <w:color w:val="000000"/>
                <w:sz w:val="22"/>
                <w:szCs w:val="22"/>
              </w:rPr>
              <w:t>287,699.20</w:t>
            </w:r>
          </w:p>
        </w:tc>
      </w:tr>
    </w:tbl>
    <w:p w:rsidR="001945BD" w:rsidRPr="001A625A" w14:paraId="6C77C66D" w14:textId="6A182BCD">
      <w:pPr>
        <w:rPr>
          <w:szCs w:val="24"/>
        </w:rPr>
      </w:pPr>
    </w:p>
    <w:p w:rsidR="00D72F32" w:rsidRPr="001A625A" w14:paraId="6B9115E7" w14:textId="77777777">
      <w:pPr>
        <w:rPr>
          <w:szCs w:val="24"/>
        </w:rPr>
      </w:pPr>
    </w:p>
    <w:p w:rsidR="001945BD" w:rsidRPr="001A625A" w:rsidP="00B62605" w14:paraId="40A04548" w14:textId="19B6AD9A">
      <w:r w:rsidRPr="001A625A">
        <w:rPr>
          <w:sz w:val="18"/>
          <w:szCs w:val="18"/>
        </w:rPr>
        <w:t>* Costs calculated using September 20</w:t>
      </w:r>
      <w:r w:rsidR="002167A3">
        <w:rPr>
          <w:sz w:val="18"/>
          <w:szCs w:val="18"/>
        </w:rPr>
        <w:t>22</w:t>
      </w:r>
      <w:r w:rsidRPr="001A625A">
        <w:rPr>
          <w:sz w:val="18"/>
          <w:szCs w:val="18"/>
        </w:rPr>
        <w:t xml:space="preserve"> mean hourly </w:t>
      </w:r>
      <w:r w:rsidR="000F2080">
        <w:rPr>
          <w:sz w:val="18"/>
          <w:szCs w:val="18"/>
        </w:rPr>
        <w:t>compensation</w:t>
      </w:r>
      <w:r w:rsidRPr="001A625A" w:rsidR="000F2080">
        <w:rPr>
          <w:sz w:val="18"/>
          <w:szCs w:val="18"/>
        </w:rPr>
        <w:t xml:space="preserve"> </w:t>
      </w:r>
      <w:r w:rsidRPr="001A625A">
        <w:rPr>
          <w:sz w:val="18"/>
          <w:szCs w:val="18"/>
        </w:rPr>
        <w:t>($</w:t>
      </w:r>
      <w:r w:rsidR="002167A3">
        <w:rPr>
          <w:sz w:val="18"/>
          <w:szCs w:val="18"/>
        </w:rPr>
        <w:t>28.88</w:t>
      </w:r>
      <w:r w:rsidRPr="001A625A">
        <w:rPr>
          <w:sz w:val="18"/>
          <w:szCs w:val="18"/>
        </w:rPr>
        <w:t>) from the National Compensation Survey</w:t>
      </w:r>
      <w:r w:rsidR="000F2080">
        <w:rPr>
          <w:sz w:val="18"/>
          <w:szCs w:val="18"/>
        </w:rPr>
        <w:t xml:space="preserve"> </w:t>
      </w:r>
      <w:r w:rsidRPr="00B62605" w:rsidR="000F2080">
        <w:rPr>
          <w:sz w:val="18"/>
          <w:szCs w:val="18"/>
        </w:rPr>
        <w:t>Employer Costs for Employee Compensation</w:t>
      </w:r>
      <w:r w:rsidR="000F2080">
        <w:rPr>
          <w:b/>
          <w:bCs/>
          <w:sz w:val="18"/>
          <w:szCs w:val="18"/>
        </w:rPr>
        <w:t xml:space="preserve"> </w:t>
      </w:r>
      <w:r w:rsidR="000F2080">
        <w:rPr>
          <w:sz w:val="18"/>
          <w:szCs w:val="18"/>
        </w:rPr>
        <w:t xml:space="preserve">(series ID </w:t>
      </w:r>
      <w:hyperlink r:id="rId7" w:history="1">
        <w:r w:rsidRPr="000F2080" w:rsidR="000F2080">
          <w:rPr>
            <w:rStyle w:val="Hyperlink"/>
            <w:sz w:val="18"/>
            <w:szCs w:val="18"/>
          </w:rPr>
          <w:t>CMU1020000000000D</w:t>
        </w:r>
      </w:hyperlink>
      <w:r w:rsidR="000F2080">
        <w:rPr>
          <w:sz w:val="18"/>
          <w:szCs w:val="18"/>
        </w:rPr>
        <w:t>)</w:t>
      </w:r>
      <w:r w:rsidRPr="001A625A">
        <w:rPr>
          <w:sz w:val="18"/>
          <w:szCs w:val="18"/>
        </w:rPr>
        <w:t>.</w:t>
      </w:r>
    </w:p>
    <w:p w:rsidR="00DC1D2B" w:rsidRPr="001A625A" w:rsidP="0077608C" w14:paraId="4D01D370" w14:textId="77777777">
      <w:pPr>
        <w:pStyle w:val="BodyText"/>
        <w:rPr>
          <w:rFonts w:ascii="Times New Roman" w:hAnsi="Times New Roman"/>
          <w:szCs w:val="24"/>
        </w:rPr>
      </w:pPr>
    </w:p>
    <w:p w:rsidR="001945BD" w:rsidRPr="001A625A" w14:paraId="5F8EB717" w14:textId="77777777">
      <w:pPr>
        <w:spacing w:line="240" w:lineRule="exact"/>
        <w:rPr>
          <w:szCs w:val="24"/>
        </w:rPr>
      </w:pPr>
      <w:r w:rsidRPr="001A625A">
        <w:rPr>
          <w:szCs w:val="24"/>
        </w:rPr>
        <w:t>The activities included in the tables above are:</w:t>
      </w:r>
    </w:p>
    <w:p w:rsidR="001945BD" w:rsidRPr="001A625A" w14:paraId="0112E8B1" w14:textId="77777777">
      <w:pPr>
        <w:spacing w:line="240" w:lineRule="exact"/>
        <w:rPr>
          <w:szCs w:val="24"/>
        </w:rPr>
      </w:pPr>
    </w:p>
    <w:p w:rsidR="001945BD" w:rsidRPr="001A625A" w14:paraId="4D758107" w14:textId="16BCB5FD">
      <w:pPr>
        <w:spacing w:line="240" w:lineRule="exact"/>
        <w:ind w:left="720"/>
        <w:rPr>
          <w:szCs w:val="24"/>
          <w:u w:val="single"/>
        </w:rPr>
      </w:pPr>
      <w:r w:rsidRPr="001A625A">
        <w:rPr>
          <w:szCs w:val="24"/>
          <w:u w:val="single"/>
        </w:rPr>
        <w:t>Pricing</w:t>
      </w:r>
      <w:r w:rsidR="0032049C">
        <w:rPr>
          <w:szCs w:val="24"/>
          <w:u w:val="single"/>
        </w:rPr>
        <w:t xml:space="preserve"> </w:t>
      </w:r>
    </w:p>
    <w:p w:rsidR="001945BD" w:rsidRPr="001A625A" w:rsidP="00884D25" w14:paraId="2FE3C243" w14:textId="04ABC4B8">
      <w:pPr>
        <w:spacing w:line="240" w:lineRule="exact"/>
        <w:ind w:left="1440"/>
        <w:rPr>
          <w:szCs w:val="24"/>
        </w:rPr>
      </w:pPr>
      <w:r w:rsidRPr="001A625A">
        <w:rPr>
          <w:szCs w:val="24"/>
          <w:u w:val="single"/>
        </w:rPr>
        <w:t>P</w:t>
      </w:r>
      <w:r w:rsidRPr="001A625A">
        <w:rPr>
          <w:szCs w:val="24"/>
          <w:u w:val="single"/>
        </w:rPr>
        <w:t xml:space="preserve">ricing </w:t>
      </w:r>
      <w:r w:rsidRPr="001A625A">
        <w:rPr>
          <w:szCs w:val="24"/>
          <w:u w:val="single"/>
        </w:rPr>
        <w:t>of Private Sector</w:t>
      </w:r>
      <w:r w:rsidRPr="001A625A">
        <w:rPr>
          <w:szCs w:val="24"/>
        </w:rPr>
        <w:t xml:space="preserve"> &amp; </w:t>
      </w:r>
      <w:r w:rsidRPr="001A625A">
        <w:rPr>
          <w:szCs w:val="24"/>
          <w:u w:val="single"/>
        </w:rPr>
        <w:t>Pricing of State, Local Gov’t</w:t>
      </w:r>
      <w:r w:rsidRPr="001A625A" w:rsidR="006847BC">
        <w:rPr>
          <w:szCs w:val="24"/>
          <w:u w:val="single"/>
        </w:rPr>
        <w:t xml:space="preserve"> </w:t>
      </w:r>
      <w:r w:rsidRPr="001A625A">
        <w:rPr>
          <w:szCs w:val="24"/>
        </w:rPr>
        <w:t xml:space="preserve">- The </w:t>
      </w:r>
      <w:r w:rsidRPr="001A625A">
        <w:rPr>
          <w:szCs w:val="24"/>
        </w:rPr>
        <w:t xml:space="preserve">ongoing </w:t>
      </w:r>
      <w:r w:rsidRPr="001A625A">
        <w:rPr>
          <w:szCs w:val="24"/>
        </w:rPr>
        <w:t>collection of prices to be used to calculate the CPI each month.</w:t>
      </w:r>
      <w:r w:rsidR="0032049C">
        <w:rPr>
          <w:szCs w:val="24"/>
        </w:rPr>
        <w:t xml:space="preserve"> </w:t>
      </w:r>
      <w:r w:rsidRPr="001A625A">
        <w:rPr>
          <w:szCs w:val="24"/>
        </w:rPr>
        <w:t>The items to be priced have already been selected.</w:t>
      </w:r>
      <w:r w:rsidR="0032049C">
        <w:rPr>
          <w:szCs w:val="24"/>
        </w:rPr>
        <w:t xml:space="preserve"> </w:t>
      </w:r>
    </w:p>
    <w:p w:rsidR="001945BD" w:rsidRPr="001A625A" w:rsidP="00884D25" w14:paraId="4FA045AD" w14:textId="77777777">
      <w:pPr>
        <w:spacing w:line="240" w:lineRule="exact"/>
        <w:ind w:left="1440"/>
        <w:rPr>
          <w:szCs w:val="24"/>
        </w:rPr>
      </w:pPr>
    </w:p>
    <w:p w:rsidR="001945BD" w:rsidRPr="001A625A" w:rsidP="00884D25" w14:paraId="529DE6AC" w14:textId="00374623">
      <w:pPr>
        <w:spacing w:line="240" w:lineRule="exact"/>
        <w:ind w:left="1440"/>
        <w:rPr>
          <w:szCs w:val="24"/>
        </w:rPr>
      </w:pPr>
      <w:r w:rsidRPr="001A625A">
        <w:rPr>
          <w:szCs w:val="24"/>
          <w:u w:val="single"/>
        </w:rPr>
        <w:t xml:space="preserve">Test </w:t>
      </w:r>
      <w:r w:rsidRPr="001A625A">
        <w:rPr>
          <w:szCs w:val="24"/>
          <w:u w:val="single"/>
        </w:rPr>
        <w:t xml:space="preserve">Pricing </w:t>
      </w:r>
      <w:r w:rsidRPr="001A625A">
        <w:rPr>
          <w:szCs w:val="24"/>
          <w:u w:val="single"/>
        </w:rPr>
        <w:t>of Private Sector</w:t>
      </w:r>
      <w:r w:rsidRPr="001A625A">
        <w:rPr>
          <w:szCs w:val="24"/>
        </w:rPr>
        <w:t xml:space="preserve"> - Is used to assess the possibilities of introducing new methodologies into the index. </w:t>
      </w:r>
    </w:p>
    <w:p w:rsidR="001945BD" w:rsidRPr="001A625A" w:rsidP="00884D25" w14:paraId="0EA732BF" w14:textId="77777777">
      <w:pPr>
        <w:spacing w:line="240" w:lineRule="exact"/>
        <w:ind w:left="1440"/>
        <w:rPr>
          <w:b/>
          <w:szCs w:val="24"/>
        </w:rPr>
      </w:pPr>
    </w:p>
    <w:p w:rsidR="001945BD" w:rsidRPr="001A625A" w14:paraId="3F529032" w14:textId="28C9875B">
      <w:pPr>
        <w:spacing w:line="240" w:lineRule="exact"/>
        <w:ind w:left="720"/>
        <w:rPr>
          <w:szCs w:val="24"/>
          <w:u w:val="single"/>
        </w:rPr>
      </w:pPr>
      <w:r w:rsidRPr="001A625A">
        <w:rPr>
          <w:szCs w:val="24"/>
          <w:u w:val="single"/>
        </w:rPr>
        <w:t>Outlet Rotation/I</w:t>
      </w:r>
      <w:r w:rsidRPr="001A625A">
        <w:rPr>
          <w:szCs w:val="24"/>
          <w:u w:val="single"/>
        </w:rPr>
        <w:t>nitiation</w:t>
      </w:r>
      <w:r w:rsidRPr="001A625A">
        <w:rPr>
          <w:szCs w:val="24"/>
        </w:rPr>
        <w:t xml:space="preserve"> -</w:t>
      </w:r>
      <w:r w:rsidRPr="001A625A">
        <w:rPr>
          <w:szCs w:val="24"/>
          <w:u w:val="single"/>
        </w:rPr>
        <w:t xml:space="preserve"> </w:t>
      </w:r>
    </w:p>
    <w:p w:rsidR="001945BD" w:rsidRPr="001A625A" w:rsidP="006762C1" w14:paraId="5D729A97" w14:textId="57E9F6E5">
      <w:pPr>
        <w:spacing w:line="240" w:lineRule="exact"/>
        <w:ind w:left="1440"/>
        <w:rPr>
          <w:szCs w:val="24"/>
        </w:rPr>
      </w:pPr>
      <w:r w:rsidRPr="001A625A">
        <w:rPr>
          <w:szCs w:val="24"/>
          <w:u w:val="single"/>
        </w:rPr>
        <w:t>Initiation of Private Sector</w:t>
      </w:r>
      <w:r w:rsidRPr="001A625A">
        <w:rPr>
          <w:szCs w:val="24"/>
        </w:rPr>
        <w:t xml:space="preserve"> &amp; </w:t>
      </w:r>
      <w:r w:rsidRPr="001A625A">
        <w:rPr>
          <w:szCs w:val="24"/>
          <w:u w:val="single"/>
        </w:rPr>
        <w:t xml:space="preserve">Initiation of State, Local Gov’t </w:t>
      </w:r>
      <w:r w:rsidRPr="001A625A">
        <w:rPr>
          <w:szCs w:val="24"/>
        </w:rPr>
        <w:t>- An ongoing process in which new outlets and items are selected for the CPI sample.</w:t>
      </w:r>
      <w:r w:rsidR="0032049C">
        <w:rPr>
          <w:szCs w:val="24"/>
        </w:rPr>
        <w:t xml:space="preserve"> </w:t>
      </w:r>
      <w:r w:rsidRPr="001A625A">
        <w:rPr>
          <w:szCs w:val="24"/>
        </w:rPr>
        <w:t xml:space="preserve">Sample rotation takes place when a new sample is </w:t>
      </w:r>
      <w:r w:rsidRPr="001A625A" w:rsidR="001A625A">
        <w:rPr>
          <w:szCs w:val="24"/>
        </w:rPr>
        <w:t>selected,</w:t>
      </w:r>
      <w:r w:rsidRPr="001A625A">
        <w:rPr>
          <w:szCs w:val="24"/>
        </w:rPr>
        <w:t xml:space="preserve"> and an old sample is dropped.</w:t>
      </w:r>
      <w:r w:rsidR="0032049C">
        <w:rPr>
          <w:szCs w:val="24"/>
        </w:rPr>
        <w:t xml:space="preserve"> </w:t>
      </w:r>
      <w:r w:rsidRPr="001A625A">
        <w:rPr>
          <w:szCs w:val="24"/>
        </w:rPr>
        <w:t xml:space="preserve">The current rotation schedule is based on the </w:t>
      </w:r>
      <w:r w:rsidRPr="001A625A">
        <w:rPr>
          <w:szCs w:val="24"/>
        </w:rPr>
        <w:t>efficiencies</w:t>
      </w:r>
      <w:r w:rsidRPr="001A625A">
        <w:rPr>
          <w:szCs w:val="24"/>
        </w:rPr>
        <w:t xml:space="preserve"> of rotating some samples in each priced area each year.</w:t>
      </w:r>
      <w:r w:rsidR="0032049C">
        <w:rPr>
          <w:szCs w:val="24"/>
        </w:rPr>
        <w:t xml:space="preserve"> </w:t>
      </w:r>
      <w:r w:rsidRPr="001A625A">
        <w:rPr>
          <w:szCs w:val="24"/>
        </w:rPr>
        <w:t>Under this strategy, on average, a full rotation occurs every four years, thus ensuring a more up-to-date sample of outlets and items than would be the case if a more gradual rotation process was followed.</w:t>
      </w:r>
    </w:p>
    <w:p w:rsidR="001945BD" w:rsidRPr="001A625A" w:rsidP="006762C1" w14:paraId="10A17730" w14:textId="77777777">
      <w:pPr>
        <w:spacing w:line="240" w:lineRule="exact"/>
        <w:ind w:left="720"/>
        <w:rPr>
          <w:szCs w:val="24"/>
        </w:rPr>
      </w:pPr>
    </w:p>
    <w:p w:rsidR="001945BD" w:rsidRPr="001A625A" w:rsidP="006762C1" w14:paraId="1D66283C" w14:textId="13046845">
      <w:pPr>
        <w:spacing w:line="240" w:lineRule="exact"/>
        <w:ind w:left="1440"/>
        <w:rPr>
          <w:szCs w:val="24"/>
        </w:rPr>
      </w:pPr>
      <w:r w:rsidRPr="001A625A">
        <w:rPr>
          <w:szCs w:val="24"/>
          <w:u w:val="single"/>
        </w:rPr>
        <w:t>Test I</w:t>
      </w:r>
      <w:r w:rsidRPr="001A625A">
        <w:rPr>
          <w:szCs w:val="24"/>
          <w:u w:val="single"/>
        </w:rPr>
        <w:t>nitiation</w:t>
      </w:r>
      <w:r w:rsidRPr="001A625A" w:rsidR="00E44F51">
        <w:rPr>
          <w:szCs w:val="24"/>
          <w:u w:val="single"/>
        </w:rPr>
        <w:t xml:space="preserve"> of Private Sector</w:t>
      </w:r>
      <w:r w:rsidRPr="001A625A">
        <w:rPr>
          <w:szCs w:val="24"/>
        </w:rPr>
        <w:t xml:space="preserve"> - Is used to assess the possibilities of introducing new methodologies into the index.</w:t>
      </w:r>
    </w:p>
    <w:p w:rsidR="001945BD" w:rsidRPr="001A625A" w:rsidP="0077608C" w14:paraId="660F71AD" w14:textId="77777777">
      <w:pPr>
        <w:spacing w:line="240" w:lineRule="exact"/>
        <w:rPr>
          <w:szCs w:val="24"/>
        </w:rPr>
      </w:pPr>
    </w:p>
    <w:p w:rsidR="001945BD" w:rsidRPr="001A625A" w:rsidP="00B64E93" w14:paraId="7988E4B2" w14:textId="35DD71A6">
      <w:pPr>
        <w:spacing w:line="240" w:lineRule="exact"/>
        <w:rPr>
          <w:szCs w:val="24"/>
        </w:rPr>
      </w:pPr>
      <w:r w:rsidRPr="001A625A">
        <w:rPr>
          <w:szCs w:val="24"/>
        </w:rPr>
        <w:t xml:space="preserve">The </w:t>
      </w:r>
      <w:r w:rsidRPr="001A625A" w:rsidR="00716EE9">
        <w:rPr>
          <w:szCs w:val="24"/>
        </w:rPr>
        <w:t xml:space="preserve">total </w:t>
      </w:r>
      <w:r w:rsidRPr="001A625A">
        <w:rPr>
          <w:szCs w:val="24"/>
        </w:rPr>
        <w:t xml:space="preserve">annual cost to respondents is approximately </w:t>
      </w:r>
      <w:r w:rsidRPr="004A47F0">
        <w:rPr>
          <w:bCs/>
          <w:szCs w:val="24"/>
        </w:rPr>
        <w:t>$</w:t>
      </w:r>
      <w:r w:rsidRPr="005163FB" w:rsidR="004A47F0">
        <w:rPr>
          <w:bCs/>
          <w:szCs w:val="24"/>
        </w:rPr>
        <w:t>3,</w:t>
      </w:r>
      <w:r w:rsidRPr="005163FB" w:rsidR="00FA530D">
        <w:rPr>
          <w:bCs/>
          <w:szCs w:val="24"/>
        </w:rPr>
        <w:t>287,699.20</w:t>
      </w:r>
      <w:r w:rsidR="00020F0E">
        <w:rPr>
          <w:bCs/>
          <w:szCs w:val="24"/>
        </w:rPr>
        <w:t xml:space="preserve"> </w:t>
      </w:r>
      <w:r w:rsidRPr="001A625A">
        <w:rPr>
          <w:szCs w:val="24"/>
        </w:rPr>
        <w:t>(</w:t>
      </w:r>
      <w:r w:rsidR="008941A6">
        <w:rPr>
          <w:color w:val="000000"/>
          <w:sz w:val="22"/>
          <w:szCs w:val="22"/>
        </w:rPr>
        <w:t>113,840</w:t>
      </w:r>
      <w:r w:rsidR="004A47F0">
        <w:rPr>
          <w:b/>
          <w:bCs/>
          <w:color w:val="000000"/>
          <w:sz w:val="22"/>
          <w:szCs w:val="22"/>
        </w:rPr>
        <w:t xml:space="preserve"> </w:t>
      </w:r>
      <w:r w:rsidRPr="001A625A">
        <w:rPr>
          <w:szCs w:val="24"/>
        </w:rPr>
        <w:t>burden hours x $</w:t>
      </w:r>
      <w:r w:rsidR="004A47F0">
        <w:rPr>
          <w:szCs w:val="24"/>
        </w:rPr>
        <w:t>28.88</w:t>
      </w:r>
      <w:r w:rsidRPr="001A625A">
        <w:rPr>
          <w:szCs w:val="24"/>
        </w:rPr>
        <w:t xml:space="preserve"> per hour wage rate)</w:t>
      </w:r>
      <w:r w:rsidRPr="001A625A" w:rsidR="0042219F">
        <w:rPr>
          <w:szCs w:val="24"/>
        </w:rPr>
        <w:t>.</w:t>
      </w:r>
      <w:r w:rsidR="0032049C">
        <w:rPr>
          <w:szCs w:val="24"/>
        </w:rPr>
        <w:t xml:space="preserve"> </w:t>
      </w:r>
      <w:r w:rsidRPr="001A625A" w:rsidR="0042219F">
        <w:rPr>
          <w:szCs w:val="24"/>
        </w:rPr>
        <w:t>The total cost per respondent is</w:t>
      </w:r>
      <w:r w:rsidRPr="001A625A">
        <w:rPr>
          <w:szCs w:val="24"/>
        </w:rPr>
        <w:t xml:space="preserve"> $</w:t>
      </w:r>
      <w:r w:rsidRPr="005163FB" w:rsidR="004A47F0">
        <w:rPr>
          <w:szCs w:val="24"/>
        </w:rPr>
        <w:t>71.</w:t>
      </w:r>
      <w:r w:rsidRPr="005163FB" w:rsidR="0053003A">
        <w:rPr>
          <w:szCs w:val="24"/>
        </w:rPr>
        <w:t>00</w:t>
      </w:r>
      <w:r w:rsidRPr="001A625A" w:rsidR="0053003A">
        <w:rPr>
          <w:szCs w:val="24"/>
        </w:rPr>
        <w:t xml:space="preserve"> </w:t>
      </w:r>
      <w:r w:rsidRPr="005163FB">
        <w:rPr>
          <w:szCs w:val="24"/>
        </w:rPr>
        <w:t>(</w:t>
      </w:r>
      <w:r w:rsidRPr="005163FB">
        <w:rPr>
          <w:bCs/>
          <w:szCs w:val="24"/>
        </w:rPr>
        <w:t>$</w:t>
      </w:r>
      <w:r w:rsidRPr="005163FB" w:rsidR="00020F0E">
        <w:rPr>
          <w:bCs/>
          <w:szCs w:val="24"/>
        </w:rPr>
        <w:t>3,287,699.20</w:t>
      </w:r>
      <w:r w:rsidR="00020F0E">
        <w:rPr>
          <w:bCs/>
          <w:szCs w:val="24"/>
        </w:rPr>
        <w:t xml:space="preserve"> </w:t>
      </w:r>
      <w:r w:rsidRPr="001A625A" w:rsidR="002D0AAF">
        <w:rPr>
          <w:bCs/>
          <w:szCs w:val="24"/>
        </w:rPr>
        <w:t>total cost</w:t>
      </w:r>
      <w:r w:rsidRPr="001A625A">
        <w:rPr>
          <w:bCs/>
          <w:szCs w:val="24"/>
        </w:rPr>
        <w:t xml:space="preserve"> </w:t>
      </w:r>
      <w:r w:rsidRPr="001A625A">
        <w:rPr>
          <w:szCs w:val="24"/>
        </w:rPr>
        <w:t xml:space="preserve">/ </w:t>
      </w:r>
      <w:r w:rsidRPr="004A47F0" w:rsidR="004A47F0">
        <w:rPr>
          <w:color w:val="000000"/>
          <w:sz w:val="22"/>
          <w:szCs w:val="22"/>
        </w:rPr>
        <w:t>46,</w:t>
      </w:r>
      <w:r w:rsidR="008941A6">
        <w:rPr>
          <w:color w:val="000000"/>
          <w:sz w:val="22"/>
          <w:szCs w:val="22"/>
        </w:rPr>
        <w:t>3</w:t>
      </w:r>
      <w:r w:rsidRPr="004A47F0" w:rsidR="008941A6">
        <w:rPr>
          <w:color w:val="000000"/>
          <w:sz w:val="22"/>
          <w:szCs w:val="22"/>
        </w:rPr>
        <w:t>05</w:t>
      </w:r>
      <w:r w:rsidR="008941A6">
        <w:rPr>
          <w:b/>
          <w:bCs/>
          <w:color w:val="000000"/>
          <w:sz w:val="22"/>
          <w:szCs w:val="22"/>
        </w:rPr>
        <w:t xml:space="preserve"> </w:t>
      </w:r>
      <w:r w:rsidRPr="001A625A" w:rsidR="00B83FCD">
        <w:rPr>
          <w:szCs w:val="24"/>
        </w:rPr>
        <w:t>respondents</w:t>
      </w:r>
      <w:r w:rsidRPr="001A625A">
        <w:rPr>
          <w:szCs w:val="24"/>
        </w:rPr>
        <w:t>)</w:t>
      </w:r>
      <w:r w:rsidRPr="001A625A" w:rsidR="00A12101">
        <w:rPr>
          <w:szCs w:val="24"/>
        </w:rPr>
        <w:t>.</w:t>
      </w:r>
      <w:r w:rsidRPr="001A625A">
        <w:rPr>
          <w:szCs w:val="24"/>
        </w:rPr>
        <w:t xml:space="preserve"> </w:t>
      </w:r>
    </w:p>
    <w:p w:rsidR="001945BD" w:rsidRPr="001A625A" w:rsidP="0077608C" w14:paraId="0066F881" w14:textId="77777777">
      <w:pPr>
        <w:spacing w:line="240" w:lineRule="exact"/>
        <w:rPr>
          <w:szCs w:val="24"/>
        </w:rPr>
      </w:pPr>
    </w:p>
    <w:p w:rsidR="001945BD" w14:paraId="0958188D" w14:textId="53C805AA">
      <w:pPr>
        <w:numPr>
          <w:ilvl w:val="0"/>
          <w:numId w:val="4"/>
        </w:numPr>
        <w:spacing w:line="240" w:lineRule="exact"/>
        <w:rPr>
          <w:szCs w:val="24"/>
        </w:rPr>
      </w:pPr>
      <w:r w:rsidRPr="00D53DEB">
        <w:rPr>
          <w:b/>
        </w:rPr>
        <w:t>Provide an estimate of the total annual cost burden to respondents or recordkeepers resulting from the collection of information.  (Do not include the cost of any hour burden shown in Items 12 and 14</w:t>
      </w:r>
      <w:r>
        <w:rPr>
          <w:b/>
        </w:rPr>
        <w:t>).</w:t>
      </w:r>
    </w:p>
    <w:p w:rsidR="00DF70E3" w:rsidP="00DF70E3" w14:paraId="566C6144" w14:textId="5AC9BABB">
      <w:pPr>
        <w:spacing w:line="240" w:lineRule="exact"/>
        <w:rPr>
          <w:szCs w:val="24"/>
        </w:rPr>
      </w:pPr>
    </w:p>
    <w:p w:rsidR="00DF70E3" w:rsidRPr="00B65823" w:rsidP="00DF70E3" w14:paraId="49920116" w14:textId="487A11F9">
      <w:pPr>
        <w:numPr>
          <w:ilvl w:val="0"/>
          <w:numId w:val="15"/>
        </w:numPr>
        <w:tabs>
          <w:tab w:val="clear" w:pos="1080"/>
        </w:tabs>
        <w:spacing w:after="120"/>
        <w:rPr>
          <w:b/>
        </w:rPr>
      </w:pPr>
      <w:r w:rsidRPr="00CA21AC">
        <w:rPr>
          <w:b/>
          <w:bCs/>
        </w:rPr>
        <w:t xml:space="preserve">The cost estimate should be split into two components: (a) a total capital and </w:t>
      </w:r>
      <w:r w:rsidRPr="0052513D" w:rsidR="005163FB">
        <w:rPr>
          <w:b/>
          <w:bCs/>
        </w:rPr>
        <w:t>startup</w:t>
      </w:r>
      <w:r w:rsidRPr="0052513D">
        <w:rPr>
          <w:b/>
          <w:bCs/>
        </w:rPr>
        <w:t xml:space="preserve"> cost component (</w:t>
      </w:r>
      <w:r w:rsidRPr="00073C01">
        <w:rPr>
          <w:b/>
          <w:bCs/>
        </w:rPr>
        <w:t xml:space="preserve">annualized over its expected useful life); and (b) a </w:t>
      </w:r>
      <w:r w:rsidRPr="006A7451">
        <w:rPr>
          <w:b/>
          <w:bCs/>
        </w:rPr>
        <w:t xml:space="preserve">total operation and maintenance and purchase of service component.  </w:t>
      </w:r>
      <w:r w:rsidRPr="003A0CA0">
        <w:rPr>
          <w:b/>
          <w:bCs/>
        </w:rPr>
        <w:t>The estimates</w:t>
      </w:r>
      <w:r w:rsidRPr="00B524AD">
        <w:rPr>
          <w:b/>
          <w:bCs/>
        </w:rPr>
        <w:t xml:space="preserve"> should </w:t>
      </w:r>
      <w:r w:rsidRPr="00B524AD">
        <w:rPr>
          <w:b/>
          <w:bCs/>
        </w:rPr>
        <w:t>take into account</w:t>
      </w:r>
      <w:r w:rsidRPr="00B524AD">
        <w:rPr>
          <w:b/>
          <w:bCs/>
        </w:rPr>
        <w:t xml:space="preserve"> costs associated with generating,</w:t>
      </w:r>
      <w:r>
        <w:rPr>
          <w:b/>
          <w:bCs/>
        </w:rPr>
        <w:t xml:space="preserve"> </w:t>
      </w:r>
      <w:r w:rsidRPr="00073C01">
        <w:rPr>
          <w:b/>
          <w:bCs/>
        </w:rPr>
        <w:t xml:space="preserve">maintaining, and disclosing or providing the information.  Include descriptions of </w:t>
      </w:r>
      <w:r w:rsidRPr="006A7451">
        <w:rPr>
          <w:b/>
          <w:bCs/>
        </w:rPr>
        <w:t xml:space="preserve">methods used to estimate major cost factors including system and technology acquisition, expected useful life of capital equipment, the discount rate(s), and the </w:t>
      </w:r>
      <w:r w:rsidRPr="006A7451">
        <w:rPr>
          <w:b/>
          <w:bCs/>
        </w:rPr>
        <w:t>time period</w:t>
      </w:r>
      <w:r w:rsidRPr="006A7451">
        <w:rPr>
          <w:b/>
          <w:bCs/>
        </w:rPr>
        <w:t xml:space="preserve"> over which costs will be incurred.  Capital and start-up costs include, among other items, preparations for collecting information such as purchasing computers and software; monitoring, sampling, </w:t>
      </w:r>
      <w:r w:rsidRPr="006A7451">
        <w:rPr>
          <w:b/>
          <w:bCs/>
        </w:rPr>
        <w:t>drilling</w:t>
      </w:r>
      <w:r w:rsidRPr="006A7451">
        <w:rPr>
          <w:b/>
          <w:bCs/>
        </w:rPr>
        <w:t xml:space="preserve"> and testing equipment; and record storage facili</w:t>
      </w:r>
      <w:r w:rsidRPr="003A0CA0">
        <w:rPr>
          <w:b/>
          <w:bCs/>
        </w:rPr>
        <w:t>ties.</w:t>
      </w:r>
    </w:p>
    <w:p w:rsidR="00DF70E3" w:rsidRPr="00B65823" w:rsidP="00DF70E3" w14:paraId="01408263" w14:textId="77777777">
      <w:pPr>
        <w:numPr>
          <w:ilvl w:val="0"/>
          <w:numId w:val="15"/>
        </w:numPr>
        <w:tabs>
          <w:tab w:val="clear" w:pos="1080"/>
        </w:tabs>
        <w:spacing w:after="120"/>
      </w:pPr>
      <w:r w:rsidRPr="00CA21AC">
        <w:rPr>
          <w:b/>
          <w:bCs/>
        </w:rPr>
        <w:t xml:space="preserve">If cost estimates are expected to vary widely, agencies should present ranges of cost burdens and explain the reasons for the variance.  The cost of purchasing or contracting </w:t>
      </w:r>
      <w:r w:rsidRPr="00CA21AC">
        <w:rPr>
          <w:b/>
          <w:bCs/>
        </w:rPr>
        <w:t>out</w:t>
      </w:r>
      <w:r w:rsidRPr="00CA21AC">
        <w:rPr>
          <w:b/>
          <w:bCs/>
        </w:rPr>
        <w:t xml:space="preserve"> information collection services should be a part of this cost burden estimate.  In developing cost burden estimates, agencies may consult with a sample of respondents (fewer than 10), utilize the 60-day pre-OMB submission public comment </w:t>
      </w:r>
      <w:r w:rsidRPr="00CA21AC">
        <w:rPr>
          <w:b/>
          <w:bCs/>
        </w:rPr>
        <w:t>process</w:t>
      </w:r>
      <w:r w:rsidRPr="00CA21AC">
        <w:rPr>
          <w:b/>
          <w:bCs/>
        </w:rPr>
        <w:t xml:space="preserve"> and use existing ec</w:t>
      </w:r>
      <w:r w:rsidRPr="0052513D">
        <w:rPr>
          <w:b/>
          <w:bCs/>
        </w:rPr>
        <w:t>onomic or regulatory impact analysis associated with the rulemaking containing the information collection, as appropriate.</w:t>
      </w:r>
    </w:p>
    <w:p w:rsidR="00DF70E3" w:rsidRPr="0052513D" w:rsidP="00DF70E3" w14:paraId="22D6B7D4" w14:textId="77777777">
      <w:pPr>
        <w:numPr>
          <w:ilvl w:val="0"/>
          <w:numId w:val="15"/>
        </w:numPr>
        <w:tabs>
          <w:tab w:val="clear" w:pos="1080"/>
        </w:tabs>
        <w:rPr>
          <w:b/>
          <w:bCs/>
        </w:rPr>
      </w:pPr>
      <w:r w:rsidRPr="00CA21AC">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b/>
          <w:bCs/>
        </w:rPr>
        <w:t>s.</w:t>
      </w:r>
    </w:p>
    <w:p w:rsidR="00DF70E3" w:rsidRPr="00D53DEB" w:rsidP="00DF70E3" w14:paraId="22570BC5"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p>
    <w:p w:rsidR="001945BD" w:rsidRPr="001A625A" w:rsidP="00C92E5B" w14:paraId="433435EE" w14:textId="5AA71754">
      <w:pPr>
        <w:autoSpaceDE w:val="0"/>
        <w:autoSpaceDN w:val="0"/>
        <w:adjustRightInd w:val="0"/>
        <w:spacing w:line="240" w:lineRule="exact"/>
        <w:rPr>
          <w:szCs w:val="24"/>
        </w:rPr>
      </w:pPr>
      <w:r w:rsidRPr="001A625A">
        <w:rPr>
          <w:szCs w:val="24"/>
        </w:rPr>
        <w:t>This information</w:t>
      </w:r>
      <w:r w:rsidR="00CA11CB">
        <w:rPr>
          <w:szCs w:val="24"/>
        </w:rPr>
        <w:t xml:space="preserve"> about</w:t>
      </w:r>
      <w:r w:rsidRPr="001A625A">
        <w:rPr>
          <w:szCs w:val="24"/>
        </w:rPr>
        <w:t xml:space="preserve"> collection does not </w:t>
      </w:r>
      <w:r w:rsidR="00CA11CB">
        <w:rPr>
          <w:szCs w:val="24"/>
        </w:rPr>
        <w:t>include</w:t>
      </w:r>
      <w:r w:rsidRPr="001A625A">
        <w:rPr>
          <w:szCs w:val="24"/>
        </w:rPr>
        <w:t xml:space="preserve"> start-up/capital maintenance/operations costs to respondents beyond the value of a respondent’s time.</w:t>
      </w:r>
    </w:p>
    <w:p w:rsidR="001945BD" w:rsidRPr="001A625A" w:rsidP="0077608C" w14:paraId="4505CB68" w14:textId="77777777">
      <w:pPr>
        <w:spacing w:line="240" w:lineRule="exact"/>
        <w:rPr>
          <w:szCs w:val="24"/>
        </w:rPr>
      </w:pPr>
    </w:p>
    <w:p w:rsidR="00097059" w:rsidRPr="000F322D" w:rsidP="005163FB" w14:paraId="205CE83C" w14:textId="1EECF7CD">
      <w:pPr>
        <w:numPr>
          <w:ilvl w:val="0"/>
          <w:numId w:val="4"/>
        </w:numPr>
        <w:autoSpaceDE w:val="0"/>
        <w:autoSpaceDN w:val="0"/>
        <w:adjustRightInd w:val="0"/>
        <w:spacing w:line="240" w:lineRule="exact"/>
        <w:rPr>
          <w:szCs w:val="24"/>
        </w:rPr>
      </w:pPr>
      <w:r w:rsidRPr="000F322D">
        <w:rPr>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0F322D">
        <w:rPr>
          <w:b/>
          <w:bCs/>
        </w:rPr>
        <w:t>without this collection of information.  Agencies also may aggregate cost estimates from Items 12, 13, and 14 into a single table.</w:t>
      </w:r>
      <w:r w:rsidRPr="000F322D" w:rsidR="0032049C">
        <w:rPr>
          <w:szCs w:val="24"/>
        </w:rPr>
        <w:t xml:space="preserve"> </w:t>
      </w:r>
      <w:r w:rsidR="00F60928">
        <w:rPr>
          <w:szCs w:val="24"/>
        </w:rPr>
        <w:br/>
      </w:r>
    </w:p>
    <w:p w:rsidR="00097059" w:rsidRPr="001A625A" w:rsidP="00097059" w14:paraId="0643A6CF" w14:textId="5EA0ED98">
      <w:pPr>
        <w:autoSpaceDE w:val="0"/>
        <w:autoSpaceDN w:val="0"/>
        <w:spacing w:line="240" w:lineRule="exact"/>
        <w:rPr>
          <w:color w:val="000000"/>
          <w:sz w:val="22"/>
        </w:rPr>
      </w:pPr>
      <w:r w:rsidRPr="005163FB">
        <w:rPr>
          <w:color w:val="000000"/>
        </w:rPr>
        <w:t>The total annual cost to the Federal Government of collecting, processing, and reviewing the data collected for the CPI program was approximately $9</w:t>
      </w:r>
      <w:r w:rsidRPr="005163FB" w:rsidR="000F322D">
        <w:rPr>
          <w:color w:val="000000"/>
        </w:rPr>
        <w:t>2</w:t>
      </w:r>
      <w:r w:rsidRPr="005163FB">
        <w:rPr>
          <w:color w:val="000000"/>
        </w:rPr>
        <w:t xml:space="preserve"> million for fiscal year 20</w:t>
      </w:r>
      <w:r w:rsidRPr="005163FB" w:rsidR="000F322D">
        <w:rPr>
          <w:color w:val="000000"/>
        </w:rPr>
        <w:t>22</w:t>
      </w:r>
      <w:r w:rsidRPr="005163FB">
        <w:rPr>
          <w:color w:val="000000"/>
        </w:rPr>
        <w:t>.</w:t>
      </w:r>
      <w:r w:rsidRPr="005163FB" w:rsidR="0032049C">
        <w:rPr>
          <w:color w:val="000000"/>
        </w:rPr>
        <w:t xml:space="preserve"> </w:t>
      </w:r>
      <w:r w:rsidRPr="005163FB">
        <w:rPr>
          <w:color w:val="000000"/>
        </w:rPr>
        <w:t>The Commodities and Services (C&amp;S) Survey is estimated to cost about 70</w:t>
      </w:r>
      <w:r w:rsidRPr="005163FB" w:rsidR="000F322D">
        <w:rPr>
          <w:color w:val="000000"/>
        </w:rPr>
        <w:t xml:space="preserve"> percent</w:t>
      </w:r>
      <w:r w:rsidRPr="005163FB">
        <w:rPr>
          <w:color w:val="000000"/>
        </w:rPr>
        <w:t xml:space="preserve"> of the total CPI program cost, or about $6</w:t>
      </w:r>
      <w:r w:rsidR="00F60928">
        <w:rPr>
          <w:color w:val="000000"/>
        </w:rPr>
        <w:t>4</w:t>
      </w:r>
      <w:r w:rsidRPr="005163FB">
        <w:rPr>
          <w:color w:val="000000"/>
        </w:rPr>
        <w:t xml:space="preserve"> million.</w:t>
      </w:r>
      <w:r w:rsidRPr="005163FB" w:rsidR="0032049C">
        <w:rPr>
          <w:color w:val="000000"/>
        </w:rPr>
        <w:t xml:space="preserve"> </w:t>
      </w:r>
      <w:r w:rsidRPr="005163FB">
        <w:rPr>
          <w:color w:val="000000"/>
        </w:rPr>
        <w:t>Of the total program cost, approximately $1</w:t>
      </w:r>
      <w:r w:rsidRPr="005163FB" w:rsidR="006D6A44">
        <w:rPr>
          <w:color w:val="000000"/>
        </w:rPr>
        <w:t>3</w:t>
      </w:r>
      <w:r w:rsidRPr="005163FB">
        <w:rPr>
          <w:color w:val="000000"/>
        </w:rPr>
        <w:t xml:space="preserve"> million can be attributed to the CPI Maintenance IT investment.</w:t>
      </w:r>
      <w:r w:rsidRPr="005163FB" w:rsidR="0032049C">
        <w:rPr>
          <w:color w:val="000000"/>
        </w:rPr>
        <w:t xml:space="preserve"> </w:t>
      </w:r>
      <w:r w:rsidRPr="005163FB">
        <w:rPr>
          <w:color w:val="000000"/>
        </w:rPr>
        <w:t xml:space="preserve">Additionally, roughly </w:t>
      </w:r>
      <w:r w:rsidRPr="005163FB" w:rsidR="006D6A44">
        <w:rPr>
          <w:color w:val="000000"/>
        </w:rPr>
        <w:t>70 percent</w:t>
      </w:r>
      <w:r w:rsidRPr="005163FB">
        <w:rPr>
          <w:color w:val="000000"/>
        </w:rPr>
        <w:t xml:space="preserve"> of the total program funds fund the compensation and benefits for Federal staff.</w:t>
      </w:r>
    </w:p>
    <w:p w:rsidR="00097059" w:rsidRPr="001A625A" w:rsidP="00B27980" w14:paraId="27460291" w14:textId="77777777">
      <w:pPr>
        <w:autoSpaceDE w:val="0"/>
        <w:autoSpaceDN w:val="0"/>
        <w:adjustRightInd w:val="0"/>
        <w:spacing w:line="240" w:lineRule="exact"/>
        <w:rPr>
          <w:szCs w:val="24"/>
        </w:rPr>
      </w:pPr>
    </w:p>
    <w:p w:rsidR="00DC1D2B" w:rsidRPr="001A625A" w:rsidP="00C92E5B" w14:paraId="3206E65E" w14:textId="77777777">
      <w:pPr>
        <w:autoSpaceDE w:val="0"/>
        <w:autoSpaceDN w:val="0"/>
        <w:adjustRightInd w:val="0"/>
        <w:spacing w:line="240" w:lineRule="exact"/>
        <w:rPr>
          <w:szCs w:val="24"/>
        </w:rPr>
      </w:pPr>
    </w:p>
    <w:p w:rsidR="001945BD" w:rsidRPr="001A625A" w14:paraId="37CCE1ED" w14:textId="1D7FF125">
      <w:pPr>
        <w:numPr>
          <w:ilvl w:val="0"/>
          <w:numId w:val="4"/>
        </w:numPr>
        <w:spacing w:line="240" w:lineRule="exact"/>
        <w:rPr>
          <w:szCs w:val="24"/>
        </w:rPr>
      </w:pPr>
      <w:r w:rsidRPr="00D53DEB">
        <w:rPr>
          <w:b/>
          <w:bCs/>
        </w:rPr>
        <w:t>Explain the reasons for any program changes or adjustments</w:t>
      </w:r>
      <w:r>
        <w:rPr>
          <w:b/>
          <w:bCs/>
        </w:rPr>
        <w:t>.</w:t>
      </w:r>
      <w:r w:rsidRPr="001A625A">
        <w:rPr>
          <w:szCs w:val="24"/>
        </w:rPr>
        <w:t xml:space="preserve"> </w:t>
      </w:r>
    </w:p>
    <w:p w:rsidR="001945BD" w:rsidRPr="001A625A" w14:paraId="4A040AAD" w14:textId="77777777">
      <w:pPr>
        <w:pStyle w:val="Header"/>
        <w:tabs>
          <w:tab w:val="clear" w:pos="4320"/>
          <w:tab w:val="clear" w:pos="8640"/>
        </w:tabs>
        <w:spacing w:line="240" w:lineRule="exact"/>
        <w:rPr>
          <w:szCs w:val="24"/>
        </w:rPr>
      </w:pPr>
    </w:p>
    <w:p w:rsidR="00BE76E0" w:rsidP="00BE76E0" w14:paraId="4533AF85" w14:textId="42078B08">
      <w:pPr>
        <w:spacing w:line="240" w:lineRule="exact"/>
        <w:rPr>
          <w:b/>
          <w:szCs w:val="24"/>
        </w:rPr>
      </w:pPr>
      <w:r w:rsidRPr="001A625A">
        <w:rPr>
          <w:szCs w:val="24"/>
        </w:rPr>
        <w:t xml:space="preserve">The projected respondent burden hours for FY </w:t>
      </w:r>
      <w:r w:rsidRPr="001A625A" w:rsidR="0042402E">
        <w:rPr>
          <w:szCs w:val="24"/>
        </w:rPr>
        <w:t>20</w:t>
      </w:r>
      <w:r w:rsidRPr="001A625A" w:rsidR="00CC4F28">
        <w:rPr>
          <w:szCs w:val="24"/>
        </w:rPr>
        <w:t>2</w:t>
      </w:r>
      <w:r w:rsidR="00CA11CB">
        <w:rPr>
          <w:szCs w:val="24"/>
        </w:rPr>
        <w:t>4</w:t>
      </w:r>
      <w:r w:rsidRPr="001A625A" w:rsidR="007E3D88">
        <w:rPr>
          <w:szCs w:val="24"/>
        </w:rPr>
        <w:t xml:space="preserve"> </w:t>
      </w:r>
      <w:r w:rsidRPr="001A625A">
        <w:rPr>
          <w:szCs w:val="24"/>
        </w:rPr>
        <w:t xml:space="preserve">– </w:t>
      </w:r>
      <w:r w:rsidRPr="001A625A" w:rsidR="00CC4F28">
        <w:rPr>
          <w:szCs w:val="24"/>
        </w:rPr>
        <w:t>202</w:t>
      </w:r>
      <w:r w:rsidR="00CA11CB">
        <w:rPr>
          <w:szCs w:val="24"/>
        </w:rPr>
        <w:t>6</w:t>
      </w:r>
      <w:r w:rsidRPr="001A625A" w:rsidR="007E3D88">
        <w:rPr>
          <w:szCs w:val="24"/>
        </w:rPr>
        <w:t xml:space="preserve"> </w:t>
      </w:r>
      <w:r w:rsidRPr="001A625A" w:rsidR="00CC4F28">
        <w:rPr>
          <w:szCs w:val="24"/>
        </w:rPr>
        <w:t xml:space="preserve">are </w:t>
      </w:r>
      <w:r w:rsidR="00CA11CB">
        <w:rPr>
          <w:szCs w:val="24"/>
        </w:rPr>
        <w:t>11</w:t>
      </w:r>
      <w:r w:rsidR="00F5782A">
        <w:rPr>
          <w:szCs w:val="24"/>
        </w:rPr>
        <w:t>3,840</w:t>
      </w:r>
      <w:r w:rsidRPr="001A625A">
        <w:rPr>
          <w:szCs w:val="24"/>
        </w:rPr>
        <w:t xml:space="preserve"> hours per year. </w:t>
      </w:r>
      <w:r w:rsidRPr="001A625A" w:rsidR="00744F30">
        <w:rPr>
          <w:szCs w:val="24"/>
        </w:rPr>
        <w:t>This is a</w:t>
      </w:r>
      <w:r w:rsidR="00CA11CB">
        <w:rPr>
          <w:szCs w:val="24"/>
        </w:rPr>
        <w:t xml:space="preserve"> de</w:t>
      </w:r>
      <w:r w:rsidRPr="001A625A" w:rsidR="00D45EBA">
        <w:rPr>
          <w:szCs w:val="24"/>
        </w:rPr>
        <w:t xml:space="preserve">crease </w:t>
      </w:r>
      <w:r w:rsidRPr="001A625A" w:rsidR="00744F30">
        <w:rPr>
          <w:szCs w:val="24"/>
        </w:rPr>
        <w:t xml:space="preserve">of </w:t>
      </w:r>
      <w:r w:rsidR="00F5782A">
        <w:rPr>
          <w:szCs w:val="24"/>
        </w:rPr>
        <w:t>7,565</w:t>
      </w:r>
      <w:r w:rsidRPr="001A625A" w:rsidR="00D45EBA">
        <w:rPr>
          <w:szCs w:val="24"/>
        </w:rPr>
        <w:t xml:space="preserve"> hours from FY 20</w:t>
      </w:r>
      <w:r w:rsidR="00CA11CB">
        <w:rPr>
          <w:szCs w:val="24"/>
        </w:rPr>
        <w:t xml:space="preserve">21 </w:t>
      </w:r>
      <w:r w:rsidRPr="001A625A" w:rsidR="00D45EBA">
        <w:rPr>
          <w:szCs w:val="24"/>
        </w:rPr>
        <w:t>to 202</w:t>
      </w:r>
      <w:r w:rsidR="00CA11CB">
        <w:rPr>
          <w:szCs w:val="24"/>
        </w:rPr>
        <w:t>3</w:t>
      </w:r>
      <w:r w:rsidRPr="001A625A" w:rsidR="009157C2">
        <w:rPr>
          <w:szCs w:val="24"/>
        </w:rPr>
        <w:t xml:space="preserve">. </w:t>
      </w:r>
      <w:r>
        <w:rPr>
          <w:szCs w:val="24"/>
        </w:rPr>
        <w:t>The burden has decreased, in part, because e-commerce quotes with no direct respondent interaction have been excluded from the calculation.</w:t>
      </w:r>
    </w:p>
    <w:p w:rsidR="00BE76E0" w:rsidP="00BE76E0" w14:paraId="19FB4F06" w14:textId="77777777">
      <w:pPr>
        <w:spacing w:line="240" w:lineRule="exact"/>
        <w:rPr>
          <w:b/>
          <w:szCs w:val="24"/>
        </w:rPr>
      </w:pPr>
    </w:p>
    <w:p w:rsidR="001945BD" w:rsidRPr="001A625A" w:rsidP="00B62605" w14:paraId="6C2E4D90" w14:textId="08E1C0B7">
      <w:pPr>
        <w:spacing w:line="240" w:lineRule="exact"/>
        <w:rPr>
          <w:b/>
          <w:szCs w:val="24"/>
        </w:rPr>
      </w:pPr>
      <w:r w:rsidRPr="001A625A">
        <w:rPr>
          <w:b/>
          <w:szCs w:val="24"/>
        </w:rPr>
        <w:t>Change i</w:t>
      </w:r>
      <w:r w:rsidRPr="001A625A" w:rsidR="0057759D">
        <w:rPr>
          <w:b/>
          <w:szCs w:val="24"/>
        </w:rPr>
        <w:t xml:space="preserve">n </w:t>
      </w:r>
      <w:r w:rsidRPr="001A625A" w:rsidR="00240202">
        <w:rPr>
          <w:b/>
          <w:szCs w:val="24"/>
        </w:rPr>
        <w:t xml:space="preserve">Annual </w:t>
      </w:r>
      <w:r w:rsidRPr="001A625A" w:rsidR="0057759D">
        <w:rPr>
          <w:b/>
          <w:szCs w:val="24"/>
        </w:rPr>
        <w:t>Respondent Burden Hours</w:t>
      </w:r>
    </w:p>
    <w:p w:rsidR="00184723" w:rsidRPr="001A625A" w14:paraId="05C75A73" w14:textId="77777777">
      <w:pPr>
        <w:spacing w:line="240" w:lineRule="exact"/>
        <w:rPr>
          <w:szCs w:val="24"/>
        </w:rPr>
      </w:pPr>
    </w:p>
    <w:tbl>
      <w:tblPr>
        <w:tblW w:w="9260" w:type="dxa"/>
        <w:tblLook w:val="04A0"/>
      </w:tblPr>
      <w:tblGrid>
        <w:gridCol w:w="1800"/>
        <w:gridCol w:w="1700"/>
        <w:gridCol w:w="1700"/>
        <w:gridCol w:w="1480"/>
        <w:gridCol w:w="2580"/>
      </w:tblGrid>
      <w:tr w14:paraId="558633FD" w14:textId="77777777" w:rsidTr="00202236">
        <w:tblPrEx>
          <w:tblW w:w="9260" w:type="dxa"/>
          <w:tblLook w:val="04A0"/>
        </w:tblPrEx>
        <w:trPr>
          <w:trHeight w:val="1065"/>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2236" w:rsidRPr="001A625A" w:rsidP="00240202" w14:paraId="53250368" w14:textId="6EE68179">
            <w:pPr>
              <w:jc w:val="center"/>
              <w:rPr>
                <w:color w:val="000000"/>
                <w:sz w:val="22"/>
                <w:szCs w:val="22"/>
              </w:rPr>
            </w:pPr>
          </w:p>
        </w:tc>
        <w:tc>
          <w:tcPr>
            <w:tcW w:w="1700" w:type="dxa"/>
            <w:tcBorders>
              <w:top w:val="single" w:sz="8" w:space="0" w:color="auto"/>
              <w:left w:val="nil"/>
              <w:bottom w:val="single" w:sz="8" w:space="0" w:color="auto"/>
              <w:right w:val="single" w:sz="8" w:space="0" w:color="auto"/>
            </w:tcBorders>
            <w:shd w:val="clear" w:color="auto" w:fill="auto"/>
            <w:vAlign w:val="center"/>
            <w:hideMark/>
          </w:tcPr>
          <w:p w:rsidR="00202236" w:rsidRPr="001A625A" w:rsidP="00202236" w14:paraId="4E008EA3" w14:textId="25B9BF55">
            <w:pPr>
              <w:jc w:val="center"/>
              <w:rPr>
                <w:color w:val="000000"/>
                <w:sz w:val="22"/>
                <w:szCs w:val="22"/>
              </w:rPr>
            </w:pPr>
            <w:r w:rsidRPr="001A625A">
              <w:rPr>
                <w:color w:val="000000"/>
                <w:sz w:val="22"/>
                <w:szCs w:val="22"/>
              </w:rPr>
              <w:t>FY 20</w:t>
            </w:r>
            <w:r w:rsidR="00CA11CB">
              <w:rPr>
                <w:color w:val="000000"/>
                <w:sz w:val="22"/>
                <w:szCs w:val="22"/>
              </w:rPr>
              <w:t>21</w:t>
            </w:r>
            <w:r w:rsidRPr="001A625A">
              <w:rPr>
                <w:color w:val="000000"/>
                <w:sz w:val="22"/>
                <w:szCs w:val="22"/>
              </w:rPr>
              <w:t xml:space="preserve"> - 202</w:t>
            </w:r>
            <w:r w:rsidR="00CA11CB">
              <w:rPr>
                <w:color w:val="000000"/>
                <w:sz w:val="22"/>
                <w:szCs w:val="22"/>
              </w:rPr>
              <w:t>3</w:t>
            </w:r>
          </w:p>
        </w:tc>
        <w:tc>
          <w:tcPr>
            <w:tcW w:w="1700" w:type="dxa"/>
            <w:tcBorders>
              <w:top w:val="single" w:sz="8" w:space="0" w:color="auto"/>
              <w:left w:val="nil"/>
              <w:bottom w:val="single" w:sz="8" w:space="0" w:color="auto"/>
              <w:right w:val="single" w:sz="8" w:space="0" w:color="auto"/>
            </w:tcBorders>
            <w:shd w:val="clear" w:color="auto" w:fill="auto"/>
            <w:vAlign w:val="center"/>
            <w:hideMark/>
          </w:tcPr>
          <w:p w:rsidR="00202236" w:rsidRPr="001A625A" w:rsidP="00202236" w14:paraId="066CE599" w14:textId="591BB895">
            <w:pPr>
              <w:jc w:val="center"/>
              <w:rPr>
                <w:color w:val="000000"/>
                <w:sz w:val="22"/>
                <w:szCs w:val="22"/>
              </w:rPr>
            </w:pPr>
            <w:r w:rsidRPr="001A625A">
              <w:rPr>
                <w:color w:val="000000"/>
                <w:sz w:val="22"/>
                <w:szCs w:val="22"/>
              </w:rPr>
              <w:t>FY 202</w:t>
            </w:r>
            <w:r w:rsidR="00CA11CB">
              <w:rPr>
                <w:color w:val="000000"/>
                <w:sz w:val="22"/>
                <w:szCs w:val="22"/>
              </w:rPr>
              <w:t>4</w:t>
            </w:r>
            <w:r w:rsidRPr="001A625A">
              <w:rPr>
                <w:color w:val="000000"/>
                <w:sz w:val="22"/>
                <w:szCs w:val="22"/>
              </w:rPr>
              <w:t xml:space="preserve"> - 202</w:t>
            </w:r>
            <w:r w:rsidR="00CA11CB">
              <w:rPr>
                <w:color w:val="000000"/>
                <w:sz w:val="22"/>
                <w:szCs w:val="22"/>
              </w:rPr>
              <w:t>6</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202236" w:rsidRPr="001A625A" w:rsidP="00202236" w14:paraId="1AB0E504" w14:textId="77777777">
            <w:pPr>
              <w:jc w:val="center"/>
              <w:rPr>
                <w:color w:val="000000"/>
                <w:sz w:val="22"/>
                <w:szCs w:val="22"/>
              </w:rPr>
            </w:pPr>
            <w:r w:rsidRPr="001A625A">
              <w:rPr>
                <w:color w:val="000000"/>
                <w:sz w:val="22"/>
                <w:szCs w:val="22"/>
              </w:rPr>
              <w:t>Difference</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rsidR="00202236" w:rsidRPr="001A625A" w:rsidP="00240202" w14:paraId="0F4E9A68" w14:textId="77777777">
            <w:pPr>
              <w:jc w:val="center"/>
              <w:rPr>
                <w:color w:val="000000"/>
                <w:sz w:val="22"/>
                <w:szCs w:val="22"/>
              </w:rPr>
            </w:pPr>
            <w:r w:rsidRPr="001A625A">
              <w:rPr>
                <w:color w:val="000000"/>
                <w:sz w:val="22"/>
                <w:szCs w:val="22"/>
              </w:rPr>
              <w:t>Comments</w:t>
            </w:r>
          </w:p>
        </w:tc>
      </w:tr>
      <w:tr w14:paraId="5481A2B5" w14:textId="77777777" w:rsidTr="00202236">
        <w:tblPrEx>
          <w:tblW w:w="9260" w:type="dxa"/>
          <w:tblLook w:val="04A0"/>
        </w:tblPrEx>
        <w:trPr>
          <w:trHeight w:val="318"/>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202236" w:rsidRPr="001A625A" w:rsidP="00BF4AB7" w14:paraId="18855132" w14:textId="77777777">
            <w:pPr>
              <w:jc w:val="center"/>
              <w:rPr>
                <w:color w:val="000000"/>
                <w:sz w:val="22"/>
                <w:szCs w:val="22"/>
              </w:rPr>
            </w:pPr>
            <w:r w:rsidRPr="001A625A">
              <w:rPr>
                <w:color w:val="000000"/>
                <w:sz w:val="22"/>
                <w:szCs w:val="22"/>
              </w:rPr>
              <w:t>Ongoing Pricing</w:t>
            </w:r>
          </w:p>
        </w:tc>
        <w:tc>
          <w:tcPr>
            <w:tcW w:w="1700" w:type="dxa"/>
            <w:tcBorders>
              <w:top w:val="nil"/>
              <w:left w:val="nil"/>
              <w:bottom w:val="single" w:sz="8" w:space="0" w:color="auto"/>
              <w:right w:val="single" w:sz="8" w:space="0" w:color="auto"/>
            </w:tcBorders>
            <w:shd w:val="clear" w:color="auto" w:fill="auto"/>
            <w:vAlign w:val="center"/>
            <w:hideMark/>
          </w:tcPr>
          <w:p w:rsidR="00202236" w:rsidRPr="001A625A" w:rsidP="00BF4AB7" w14:paraId="4D88AE4D" w14:textId="5C089887">
            <w:pPr>
              <w:jc w:val="right"/>
              <w:rPr>
                <w:color w:val="000000"/>
                <w:sz w:val="22"/>
                <w:szCs w:val="22"/>
              </w:rPr>
            </w:pPr>
            <w:r w:rsidRPr="001A625A">
              <w:rPr>
                <w:color w:val="000000"/>
                <w:sz w:val="22"/>
                <w:szCs w:val="22"/>
              </w:rPr>
              <w:t>105,575</w:t>
            </w:r>
          </w:p>
        </w:tc>
        <w:tc>
          <w:tcPr>
            <w:tcW w:w="1700" w:type="dxa"/>
            <w:tcBorders>
              <w:top w:val="nil"/>
              <w:left w:val="nil"/>
              <w:bottom w:val="single" w:sz="8" w:space="0" w:color="auto"/>
              <w:right w:val="single" w:sz="8" w:space="0" w:color="auto"/>
            </w:tcBorders>
            <w:shd w:val="clear" w:color="auto" w:fill="auto"/>
            <w:vAlign w:val="center"/>
            <w:hideMark/>
          </w:tcPr>
          <w:p w:rsidR="00202236" w:rsidRPr="00CA11CB" w:rsidP="00BF4AB7" w14:paraId="0F939039" w14:textId="45ED49F0">
            <w:pPr>
              <w:jc w:val="right"/>
              <w:rPr>
                <w:color w:val="000000"/>
                <w:sz w:val="22"/>
                <w:szCs w:val="22"/>
              </w:rPr>
            </w:pPr>
            <w:r>
              <w:rPr>
                <w:color w:val="000000"/>
                <w:sz w:val="22"/>
                <w:szCs w:val="22"/>
              </w:rPr>
              <w:t>10</w:t>
            </w:r>
            <w:r w:rsidR="00F5782A">
              <w:rPr>
                <w:color w:val="000000"/>
                <w:sz w:val="22"/>
                <w:szCs w:val="22"/>
              </w:rPr>
              <w:t>2,827</w:t>
            </w:r>
          </w:p>
        </w:tc>
        <w:tc>
          <w:tcPr>
            <w:tcW w:w="1480" w:type="dxa"/>
            <w:tcBorders>
              <w:top w:val="nil"/>
              <w:left w:val="nil"/>
              <w:bottom w:val="single" w:sz="8" w:space="0" w:color="auto"/>
              <w:right w:val="single" w:sz="8" w:space="0" w:color="auto"/>
            </w:tcBorders>
            <w:shd w:val="clear" w:color="auto" w:fill="auto"/>
            <w:vAlign w:val="center"/>
            <w:hideMark/>
          </w:tcPr>
          <w:p w:rsidR="00202236" w:rsidRPr="001A625A" w:rsidP="00BF4AB7" w14:paraId="2B10A2CA" w14:textId="30999843">
            <w:pPr>
              <w:jc w:val="right"/>
              <w:rPr>
                <w:color w:val="000000"/>
                <w:sz w:val="22"/>
                <w:szCs w:val="22"/>
              </w:rPr>
            </w:pPr>
            <w:r>
              <w:rPr>
                <w:color w:val="000000"/>
                <w:sz w:val="22"/>
                <w:szCs w:val="22"/>
              </w:rPr>
              <w:t>-</w:t>
            </w:r>
            <w:r w:rsidR="00F5782A">
              <w:rPr>
                <w:color w:val="000000"/>
                <w:sz w:val="22"/>
                <w:szCs w:val="22"/>
              </w:rPr>
              <w:t>2,748</w:t>
            </w:r>
          </w:p>
        </w:tc>
        <w:tc>
          <w:tcPr>
            <w:tcW w:w="2580" w:type="dxa"/>
            <w:tcBorders>
              <w:top w:val="nil"/>
              <w:left w:val="nil"/>
              <w:bottom w:val="single" w:sz="8" w:space="0" w:color="auto"/>
              <w:right w:val="single" w:sz="8" w:space="0" w:color="auto"/>
            </w:tcBorders>
            <w:shd w:val="clear" w:color="auto" w:fill="auto"/>
            <w:vAlign w:val="center"/>
            <w:hideMark/>
          </w:tcPr>
          <w:p w:rsidR="00202236" w:rsidRPr="001A625A" w:rsidP="00BF4AB7" w14:paraId="3841EF2F" w14:textId="1C01E037">
            <w:pPr>
              <w:jc w:val="center"/>
              <w:rPr>
                <w:color w:val="000000"/>
                <w:sz w:val="22"/>
                <w:szCs w:val="22"/>
              </w:rPr>
            </w:pPr>
          </w:p>
        </w:tc>
      </w:tr>
      <w:tr w14:paraId="468DB263" w14:textId="77777777" w:rsidTr="00202236">
        <w:tblPrEx>
          <w:tblW w:w="9260" w:type="dxa"/>
          <w:tblLook w:val="04A0"/>
        </w:tblPrEx>
        <w:trPr>
          <w:trHeight w:val="318"/>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202236" w:rsidRPr="001A625A" w:rsidP="00BF4AB7" w14:paraId="0C4BE248" w14:textId="77777777">
            <w:pPr>
              <w:jc w:val="center"/>
              <w:rPr>
                <w:color w:val="000000"/>
                <w:sz w:val="22"/>
                <w:szCs w:val="22"/>
              </w:rPr>
            </w:pPr>
            <w:r w:rsidRPr="001A625A">
              <w:rPr>
                <w:color w:val="000000"/>
                <w:sz w:val="22"/>
                <w:szCs w:val="22"/>
              </w:rPr>
              <w:t>Outlet Rotation</w:t>
            </w:r>
          </w:p>
        </w:tc>
        <w:tc>
          <w:tcPr>
            <w:tcW w:w="1700" w:type="dxa"/>
            <w:tcBorders>
              <w:top w:val="nil"/>
              <w:left w:val="nil"/>
              <w:bottom w:val="single" w:sz="8" w:space="0" w:color="auto"/>
              <w:right w:val="single" w:sz="8" w:space="0" w:color="auto"/>
            </w:tcBorders>
            <w:shd w:val="clear" w:color="auto" w:fill="auto"/>
            <w:vAlign w:val="center"/>
            <w:hideMark/>
          </w:tcPr>
          <w:p w:rsidR="00202236" w:rsidRPr="001A625A" w:rsidP="00BF4AB7" w14:paraId="5634A68B" w14:textId="62ED176C">
            <w:pPr>
              <w:jc w:val="right"/>
              <w:rPr>
                <w:color w:val="000000"/>
                <w:sz w:val="22"/>
                <w:szCs w:val="22"/>
              </w:rPr>
            </w:pPr>
            <w:r w:rsidRPr="001A625A">
              <w:rPr>
                <w:color w:val="000000"/>
                <w:sz w:val="22"/>
                <w:szCs w:val="22"/>
              </w:rPr>
              <w:t>14,500</w:t>
            </w:r>
          </w:p>
        </w:tc>
        <w:tc>
          <w:tcPr>
            <w:tcW w:w="1700" w:type="dxa"/>
            <w:tcBorders>
              <w:top w:val="nil"/>
              <w:left w:val="nil"/>
              <w:bottom w:val="single" w:sz="8" w:space="0" w:color="auto"/>
              <w:right w:val="single" w:sz="8" w:space="0" w:color="auto"/>
            </w:tcBorders>
            <w:shd w:val="clear" w:color="auto" w:fill="auto"/>
            <w:vAlign w:val="center"/>
            <w:hideMark/>
          </w:tcPr>
          <w:p w:rsidR="00202236" w:rsidRPr="00CA11CB" w:rsidP="00BF4AB7" w14:paraId="3CE5F9CA" w14:textId="7AA7F8AE">
            <w:pPr>
              <w:jc w:val="right"/>
              <w:rPr>
                <w:color w:val="000000"/>
                <w:sz w:val="22"/>
                <w:szCs w:val="22"/>
              </w:rPr>
            </w:pPr>
            <w:r>
              <w:rPr>
                <w:color w:val="000000"/>
                <w:sz w:val="22"/>
                <w:szCs w:val="22"/>
              </w:rPr>
              <w:t>9</w:t>
            </w:r>
            <w:r w:rsidRPr="00CA11CB">
              <w:rPr>
                <w:color w:val="000000"/>
                <w:sz w:val="22"/>
                <w:szCs w:val="22"/>
              </w:rPr>
              <w:t>,683</w:t>
            </w:r>
          </w:p>
        </w:tc>
        <w:tc>
          <w:tcPr>
            <w:tcW w:w="1480" w:type="dxa"/>
            <w:tcBorders>
              <w:top w:val="nil"/>
              <w:left w:val="nil"/>
              <w:bottom w:val="single" w:sz="8" w:space="0" w:color="auto"/>
              <w:right w:val="single" w:sz="8" w:space="0" w:color="auto"/>
            </w:tcBorders>
            <w:shd w:val="clear" w:color="auto" w:fill="auto"/>
            <w:vAlign w:val="center"/>
            <w:hideMark/>
          </w:tcPr>
          <w:p w:rsidR="00202236" w:rsidRPr="001A625A" w:rsidP="00BF4AB7" w14:paraId="5DAC854F" w14:textId="1D00747F">
            <w:pPr>
              <w:jc w:val="right"/>
              <w:rPr>
                <w:color w:val="000000"/>
                <w:sz w:val="22"/>
                <w:szCs w:val="22"/>
              </w:rPr>
            </w:pPr>
            <w:r>
              <w:rPr>
                <w:color w:val="000000"/>
                <w:sz w:val="22"/>
                <w:szCs w:val="22"/>
              </w:rPr>
              <w:t>-4</w:t>
            </w:r>
            <w:r w:rsidRPr="00CA11CB">
              <w:rPr>
                <w:color w:val="000000"/>
                <w:sz w:val="22"/>
                <w:szCs w:val="22"/>
              </w:rPr>
              <w:t>,817</w:t>
            </w:r>
          </w:p>
        </w:tc>
        <w:tc>
          <w:tcPr>
            <w:tcW w:w="2580" w:type="dxa"/>
            <w:tcBorders>
              <w:top w:val="nil"/>
              <w:left w:val="nil"/>
              <w:bottom w:val="single" w:sz="8" w:space="0" w:color="auto"/>
              <w:right w:val="single" w:sz="8" w:space="0" w:color="auto"/>
            </w:tcBorders>
            <w:shd w:val="clear" w:color="auto" w:fill="auto"/>
            <w:vAlign w:val="center"/>
            <w:hideMark/>
          </w:tcPr>
          <w:p w:rsidR="00202236" w:rsidRPr="001A625A" w:rsidP="00BF4AB7" w14:paraId="3E831A1D" w14:textId="0F036F22">
            <w:pPr>
              <w:jc w:val="center"/>
              <w:rPr>
                <w:color w:val="000000"/>
                <w:sz w:val="22"/>
                <w:szCs w:val="22"/>
              </w:rPr>
            </w:pPr>
          </w:p>
        </w:tc>
      </w:tr>
      <w:tr w14:paraId="733E7280" w14:textId="77777777" w:rsidTr="00202236">
        <w:tblPrEx>
          <w:tblW w:w="9260" w:type="dxa"/>
          <w:tblLook w:val="04A0"/>
        </w:tblPrEx>
        <w:trPr>
          <w:trHeight w:val="318"/>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202236" w:rsidRPr="001A625A" w:rsidP="00BF4AB7" w14:paraId="4501505D" w14:textId="77777777">
            <w:pPr>
              <w:jc w:val="center"/>
              <w:rPr>
                <w:color w:val="000000"/>
                <w:sz w:val="22"/>
                <w:szCs w:val="22"/>
              </w:rPr>
            </w:pPr>
            <w:r w:rsidRPr="001A625A">
              <w:rPr>
                <w:color w:val="000000"/>
                <w:sz w:val="22"/>
                <w:szCs w:val="22"/>
              </w:rPr>
              <w:t>Testing</w:t>
            </w:r>
          </w:p>
        </w:tc>
        <w:tc>
          <w:tcPr>
            <w:tcW w:w="1700" w:type="dxa"/>
            <w:tcBorders>
              <w:top w:val="nil"/>
              <w:left w:val="nil"/>
              <w:bottom w:val="single" w:sz="8" w:space="0" w:color="auto"/>
              <w:right w:val="single" w:sz="8" w:space="0" w:color="auto"/>
            </w:tcBorders>
            <w:shd w:val="clear" w:color="auto" w:fill="auto"/>
            <w:vAlign w:val="center"/>
            <w:hideMark/>
          </w:tcPr>
          <w:p w:rsidR="00202236" w:rsidRPr="001A625A" w:rsidP="00BF4AB7" w14:paraId="5E74D5CD" w14:textId="77777777">
            <w:pPr>
              <w:jc w:val="right"/>
              <w:rPr>
                <w:color w:val="000000"/>
                <w:sz w:val="22"/>
                <w:szCs w:val="22"/>
              </w:rPr>
            </w:pPr>
            <w:r w:rsidRPr="001A625A">
              <w:rPr>
                <w:color w:val="000000"/>
                <w:sz w:val="22"/>
                <w:szCs w:val="22"/>
              </w:rPr>
              <w:t>1,330</w:t>
            </w:r>
          </w:p>
        </w:tc>
        <w:tc>
          <w:tcPr>
            <w:tcW w:w="1700" w:type="dxa"/>
            <w:tcBorders>
              <w:top w:val="nil"/>
              <w:left w:val="nil"/>
              <w:bottom w:val="single" w:sz="8" w:space="0" w:color="auto"/>
              <w:right w:val="single" w:sz="8" w:space="0" w:color="auto"/>
            </w:tcBorders>
            <w:shd w:val="clear" w:color="auto" w:fill="auto"/>
            <w:vAlign w:val="center"/>
            <w:hideMark/>
          </w:tcPr>
          <w:p w:rsidR="00202236" w:rsidRPr="001A625A" w:rsidP="00BF4AB7" w14:paraId="433B0765" w14:textId="77777777">
            <w:pPr>
              <w:jc w:val="right"/>
              <w:rPr>
                <w:color w:val="000000"/>
                <w:sz w:val="22"/>
                <w:szCs w:val="22"/>
              </w:rPr>
            </w:pPr>
            <w:r w:rsidRPr="001A625A">
              <w:rPr>
                <w:color w:val="000000"/>
                <w:sz w:val="22"/>
                <w:szCs w:val="22"/>
              </w:rPr>
              <w:t>1,330</w:t>
            </w:r>
          </w:p>
        </w:tc>
        <w:tc>
          <w:tcPr>
            <w:tcW w:w="1480" w:type="dxa"/>
            <w:tcBorders>
              <w:top w:val="nil"/>
              <w:left w:val="nil"/>
              <w:bottom w:val="single" w:sz="8" w:space="0" w:color="auto"/>
              <w:right w:val="single" w:sz="8" w:space="0" w:color="auto"/>
            </w:tcBorders>
            <w:shd w:val="clear" w:color="auto" w:fill="auto"/>
            <w:vAlign w:val="center"/>
            <w:hideMark/>
          </w:tcPr>
          <w:p w:rsidR="00202236" w:rsidRPr="001A625A" w:rsidP="00BF4AB7" w14:paraId="4A977313" w14:textId="77777777">
            <w:pPr>
              <w:jc w:val="right"/>
              <w:rPr>
                <w:color w:val="000000"/>
                <w:sz w:val="22"/>
                <w:szCs w:val="22"/>
              </w:rPr>
            </w:pPr>
            <w:r w:rsidRPr="001A625A">
              <w:rPr>
                <w:color w:val="000000"/>
                <w:sz w:val="22"/>
                <w:szCs w:val="22"/>
              </w:rPr>
              <w:t>0</w:t>
            </w:r>
          </w:p>
        </w:tc>
        <w:tc>
          <w:tcPr>
            <w:tcW w:w="2580" w:type="dxa"/>
            <w:tcBorders>
              <w:top w:val="nil"/>
              <w:left w:val="nil"/>
              <w:bottom w:val="single" w:sz="8" w:space="0" w:color="auto"/>
              <w:right w:val="single" w:sz="8" w:space="0" w:color="auto"/>
            </w:tcBorders>
            <w:shd w:val="clear" w:color="auto" w:fill="auto"/>
            <w:vAlign w:val="center"/>
            <w:hideMark/>
          </w:tcPr>
          <w:p w:rsidR="00202236" w:rsidRPr="001A625A" w:rsidP="00BF4AB7" w14:paraId="2F268163" w14:textId="3F50DB3B">
            <w:pPr>
              <w:jc w:val="center"/>
              <w:rPr>
                <w:color w:val="000000"/>
                <w:sz w:val="22"/>
                <w:szCs w:val="22"/>
              </w:rPr>
            </w:pPr>
            <w:r w:rsidRPr="001A625A">
              <w:rPr>
                <w:color w:val="000000"/>
                <w:sz w:val="22"/>
                <w:szCs w:val="22"/>
              </w:rPr>
              <w:t>No Change</w:t>
            </w:r>
          </w:p>
        </w:tc>
      </w:tr>
      <w:tr w14:paraId="53898984" w14:textId="77777777" w:rsidTr="00202236">
        <w:tblPrEx>
          <w:tblW w:w="9260" w:type="dxa"/>
          <w:tblLook w:val="04A0"/>
        </w:tblPrEx>
        <w:trPr>
          <w:trHeight w:val="1440"/>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202236" w:rsidRPr="001A625A" w:rsidP="00BF4AB7" w14:paraId="3DBB99E7" w14:textId="77777777">
            <w:pPr>
              <w:jc w:val="center"/>
              <w:rPr>
                <w:color w:val="000000"/>
                <w:sz w:val="22"/>
                <w:szCs w:val="22"/>
              </w:rPr>
            </w:pPr>
            <w:r w:rsidRPr="001A625A">
              <w:rPr>
                <w:color w:val="000000"/>
                <w:sz w:val="22"/>
                <w:szCs w:val="22"/>
              </w:rPr>
              <w:t>Totals</w:t>
            </w:r>
          </w:p>
        </w:tc>
        <w:tc>
          <w:tcPr>
            <w:tcW w:w="1700" w:type="dxa"/>
            <w:tcBorders>
              <w:top w:val="nil"/>
              <w:left w:val="nil"/>
              <w:bottom w:val="single" w:sz="8" w:space="0" w:color="auto"/>
              <w:right w:val="single" w:sz="8" w:space="0" w:color="auto"/>
            </w:tcBorders>
            <w:shd w:val="clear" w:color="auto" w:fill="auto"/>
            <w:vAlign w:val="center"/>
            <w:hideMark/>
          </w:tcPr>
          <w:p w:rsidR="00202236" w:rsidRPr="001A625A" w:rsidP="00BF4AB7" w14:paraId="610C0111" w14:textId="4EB1246A">
            <w:pPr>
              <w:jc w:val="right"/>
              <w:rPr>
                <w:color w:val="000000"/>
                <w:sz w:val="22"/>
                <w:szCs w:val="22"/>
              </w:rPr>
            </w:pPr>
            <w:r w:rsidRPr="001A625A">
              <w:rPr>
                <w:color w:val="000000"/>
                <w:sz w:val="22"/>
                <w:szCs w:val="22"/>
              </w:rPr>
              <w:t>121,405</w:t>
            </w:r>
          </w:p>
        </w:tc>
        <w:tc>
          <w:tcPr>
            <w:tcW w:w="1700" w:type="dxa"/>
            <w:tcBorders>
              <w:top w:val="nil"/>
              <w:left w:val="nil"/>
              <w:bottom w:val="single" w:sz="8" w:space="0" w:color="auto"/>
              <w:right w:val="single" w:sz="8" w:space="0" w:color="auto"/>
            </w:tcBorders>
            <w:shd w:val="clear" w:color="auto" w:fill="auto"/>
            <w:vAlign w:val="center"/>
            <w:hideMark/>
          </w:tcPr>
          <w:p w:rsidR="00202236" w:rsidRPr="001A625A" w:rsidP="00BF4AB7" w14:paraId="2491D453" w14:textId="2B5CB122">
            <w:pPr>
              <w:jc w:val="right"/>
              <w:rPr>
                <w:color w:val="000000"/>
                <w:sz w:val="22"/>
                <w:szCs w:val="22"/>
              </w:rPr>
            </w:pPr>
            <w:r>
              <w:rPr>
                <w:szCs w:val="24"/>
              </w:rPr>
              <w:t>11</w:t>
            </w:r>
            <w:r w:rsidR="00F5782A">
              <w:rPr>
                <w:szCs w:val="24"/>
              </w:rPr>
              <w:t>3</w:t>
            </w:r>
            <w:r>
              <w:rPr>
                <w:szCs w:val="24"/>
              </w:rPr>
              <w:t>,8</w:t>
            </w:r>
            <w:r w:rsidR="00F5782A">
              <w:rPr>
                <w:szCs w:val="24"/>
              </w:rPr>
              <w:t>40</w:t>
            </w:r>
          </w:p>
        </w:tc>
        <w:tc>
          <w:tcPr>
            <w:tcW w:w="1480" w:type="dxa"/>
            <w:tcBorders>
              <w:top w:val="nil"/>
              <w:left w:val="nil"/>
              <w:bottom w:val="single" w:sz="8" w:space="0" w:color="auto"/>
              <w:right w:val="single" w:sz="8" w:space="0" w:color="auto"/>
            </w:tcBorders>
            <w:shd w:val="clear" w:color="auto" w:fill="auto"/>
            <w:vAlign w:val="center"/>
            <w:hideMark/>
          </w:tcPr>
          <w:p w:rsidR="00202236" w:rsidRPr="001A625A" w:rsidP="00BF4AB7" w14:paraId="098B4441" w14:textId="588CD475">
            <w:pPr>
              <w:jc w:val="right"/>
              <w:rPr>
                <w:color w:val="000000"/>
                <w:sz w:val="22"/>
                <w:szCs w:val="22"/>
              </w:rPr>
            </w:pPr>
            <w:r>
              <w:rPr>
                <w:color w:val="000000"/>
                <w:sz w:val="22"/>
                <w:szCs w:val="22"/>
              </w:rPr>
              <w:t>-</w:t>
            </w:r>
            <w:r w:rsidR="00F5782A">
              <w:rPr>
                <w:szCs w:val="24"/>
              </w:rPr>
              <w:t>7,565</w:t>
            </w:r>
          </w:p>
        </w:tc>
        <w:tc>
          <w:tcPr>
            <w:tcW w:w="2580" w:type="dxa"/>
            <w:tcBorders>
              <w:top w:val="nil"/>
              <w:left w:val="nil"/>
              <w:bottom w:val="single" w:sz="8" w:space="0" w:color="auto"/>
              <w:right w:val="single" w:sz="8" w:space="0" w:color="auto"/>
            </w:tcBorders>
            <w:shd w:val="clear" w:color="auto" w:fill="auto"/>
            <w:vAlign w:val="center"/>
            <w:hideMark/>
          </w:tcPr>
          <w:p w:rsidR="00202236" w:rsidRPr="001A625A" w:rsidP="00202236" w14:paraId="3EC62BC2" w14:textId="77777777">
            <w:pPr>
              <w:rPr>
                <w:sz w:val="22"/>
                <w:szCs w:val="22"/>
              </w:rPr>
            </w:pPr>
            <w:r w:rsidRPr="001A625A">
              <w:rPr>
                <w:sz w:val="22"/>
                <w:szCs w:val="22"/>
              </w:rPr>
              <w:t> </w:t>
            </w:r>
          </w:p>
        </w:tc>
      </w:tr>
    </w:tbl>
    <w:p w:rsidR="00184723" w:rsidRPr="001A625A" w14:paraId="7EA9E6CA" w14:textId="77777777">
      <w:pPr>
        <w:spacing w:line="240" w:lineRule="exact"/>
        <w:rPr>
          <w:szCs w:val="24"/>
        </w:rPr>
      </w:pPr>
    </w:p>
    <w:p w:rsidR="001945BD" w:rsidRPr="001A625A" w14:paraId="211C4684" w14:textId="09381FC3">
      <w:pPr>
        <w:numPr>
          <w:ilvl w:val="0"/>
          <w:numId w:val="4"/>
        </w:numPr>
        <w:spacing w:line="240" w:lineRule="exact"/>
        <w:rPr>
          <w:szCs w:val="24"/>
        </w:rPr>
      </w:pPr>
      <w:r w:rsidRPr="00D53DEB">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Pr>
          <w:b/>
          <w:bCs/>
        </w:rPr>
        <w:t>.</w:t>
      </w:r>
    </w:p>
    <w:p w:rsidR="001945BD" w:rsidRPr="001A625A" w:rsidP="0077608C" w14:paraId="54CA06BA" w14:textId="77777777">
      <w:pPr>
        <w:spacing w:line="240" w:lineRule="exact"/>
        <w:rPr>
          <w:szCs w:val="24"/>
        </w:rPr>
      </w:pPr>
    </w:p>
    <w:p w:rsidR="000035E4" w:rsidRPr="001A625A" w:rsidP="00254842" w14:paraId="1A369DB8" w14:textId="248B1D79">
      <w:pPr>
        <w:spacing w:line="240" w:lineRule="exact"/>
        <w:rPr>
          <w:szCs w:val="24"/>
        </w:rPr>
      </w:pPr>
      <w:r w:rsidRPr="001A625A">
        <w:rPr>
          <w:szCs w:val="24"/>
        </w:rPr>
        <w:t>The CPI is published monthly and is based on data collected for a particular month.</w:t>
      </w:r>
      <w:r w:rsidR="0032049C">
        <w:rPr>
          <w:szCs w:val="24"/>
        </w:rPr>
        <w:t xml:space="preserve"> </w:t>
      </w:r>
      <w:r w:rsidRPr="001A625A">
        <w:rPr>
          <w:szCs w:val="24"/>
        </w:rPr>
        <w:t xml:space="preserve">The monthly CPI is first published </w:t>
      </w:r>
      <w:r w:rsidRPr="001A625A" w:rsidR="00466084">
        <w:rPr>
          <w:szCs w:val="24"/>
        </w:rPr>
        <w:t xml:space="preserve">in a news release between the </w:t>
      </w:r>
      <w:r w:rsidRPr="001A625A" w:rsidR="00884A07">
        <w:rPr>
          <w:szCs w:val="24"/>
        </w:rPr>
        <w:t xml:space="preserve">10th </w:t>
      </w:r>
      <w:r w:rsidRPr="001A625A" w:rsidR="00466084">
        <w:rPr>
          <w:szCs w:val="24"/>
        </w:rPr>
        <w:t xml:space="preserve">and </w:t>
      </w:r>
      <w:r w:rsidRPr="001A625A" w:rsidR="00884A07">
        <w:rPr>
          <w:szCs w:val="24"/>
        </w:rPr>
        <w:t xml:space="preserve">14th </w:t>
      </w:r>
      <w:r w:rsidRPr="001A625A">
        <w:rPr>
          <w:szCs w:val="24"/>
        </w:rPr>
        <w:t xml:space="preserve">of the month following the month in </w:t>
      </w:r>
      <w:r w:rsidRPr="001A625A" w:rsidR="00254842">
        <w:rPr>
          <w:szCs w:val="24"/>
        </w:rPr>
        <w:t xml:space="preserve">which the data </w:t>
      </w:r>
      <w:r w:rsidRPr="001A625A" w:rsidR="00254842">
        <w:rPr>
          <w:szCs w:val="24"/>
        </w:rPr>
        <w:t>are</w:t>
      </w:r>
      <w:r w:rsidRPr="001A625A" w:rsidR="00254842">
        <w:rPr>
          <w:szCs w:val="24"/>
        </w:rPr>
        <w:t xml:space="preserve"> collected.</w:t>
      </w:r>
      <w:r w:rsidR="0032049C">
        <w:rPr>
          <w:szCs w:val="24"/>
        </w:rPr>
        <w:t xml:space="preserve"> </w:t>
      </w:r>
      <w:r w:rsidRPr="001A625A">
        <w:rPr>
          <w:szCs w:val="24"/>
        </w:rPr>
        <w:t>The index for Januar</w:t>
      </w:r>
      <w:r w:rsidRPr="001A625A" w:rsidR="00254842">
        <w:rPr>
          <w:szCs w:val="24"/>
        </w:rPr>
        <w:t>y is published in mid-February.</w:t>
      </w:r>
      <w:r w:rsidR="0032049C">
        <w:rPr>
          <w:szCs w:val="24"/>
        </w:rPr>
        <w:t xml:space="preserve"> </w:t>
      </w:r>
      <w:r w:rsidRPr="001A625A">
        <w:rPr>
          <w:szCs w:val="24"/>
        </w:rPr>
        <w:t>The release includes a narrative summary and analysis of major price changes, short tables showing seasonally adjusted and unadjusted percentage changes in major expenditure categories, and several detailed tables.</w:t>
      </w:r>
      <w:r w:rsidR="0032049C">
        <w:rPr>
          <w:szCs w:val="24"/>
        </w:rPr>
        <w:t xml:space="preserve"> </w:t>
      </w:r>
      <w:r w:rsidRPr="001A625A">
        <w:rPr>
          <w:szCs w:val="24"/>
        </w:rPr>
        <w:t>The information also is found on the CPI public website at</w:t>
      </w:r>
      <w:r w:rsidRPr="001A625A" w:rsidR="00FF4C88">
        <w:rPr>
          <w:szCs w:val="24"/>
        </w:rPr>
        <w:t xml:space="preserve"> </w:t>
      </w:r>
      <w:hyperlink r:id="rId8" w:history="1">
        <w:r w:rsidRPr="001A625A" w:rsidR="00653F61">
          <w:rPr>
            <w:rStyle w:val="Hyperlink"/>
            <w:szCs w:val="24"/>
          </w:rPr>
          <w:t>https://www.bls.gov/cpi/</w:t>
        </w:r>
      </w:hyperlink>
      <w:r w:rsidRPr="001A625A" w:rsidR="00FF4C88">
        <w:rPr>
          <w:szCs w:val="24"/>
        </w:rPr>
        <w:t>.</w:t>
      </w:r>
      <w:r w:rsidR="0032049C">
        <w:rPr>
          <w:szCs w:val="24"/>
        </w:rPr>
        <w:t xml:space="preserve"> </w:t>
      </w:r>
    </w:p>
    <w:p w:rsidR="001945BD" w:rsidRPr="001A625A" w14:paraId="3650C57E" w14:textId="77777777">
      <w:pPr>
        <w:spacing w:line="240" w:lineRule="exact"/>
        <w:rPr>
          <w:szCs w:val="24"/>
        </w:rPr>
      </w:pPr>
    </w:p>
    <w:p w:rsidR="001945BD" w:rsidRPr="001A625A" w14:paraId="53B53A08" w14:textId="5BA575F2">
      <w:pPr>
        <w:numPr>
          <w:ilvl w:val="0"/>
          <w:numId w:val="4"/>
        </w:numPr>
        <w:spacing w:line="240" w:lineRule="exact"/>
        <w:rPr>
          <w:szCs w:val="24"/>
        </w:rPr>
      </w:pPr>
      <w:r w:rsidRPr="00D53DEB">
        <w:rPr>
          <w:b/>
          <w:bCs/>
        </w:rPr>
        <w:t>If seeking approval to not display the expiration date for OMB approval of the information collection, explain the reasons that display would be inappropriate</w:t>
      </w:r>
      <w:r>
        <w:rPr>
          <w:szCs w:val="24"/>
        </w:rPr>
        <w:t>.</w:t>
      </w:r>
    </w:p>
    <w:p w:rsidR="001945BD" w:rsidRPr="001A625A" w14:paraId="6A8014C7" w14:textId="77777777">
      <w:pPr>
        <w:spacing w:line="240" w:lineRule="exact"/>
        <w:rPr>
          <w:szCs w:val="24"/>
        </w:rPr>
      </w:pPr>
    </w:p>
    <w:p w:rsidR="000035E4" w:rsidRPr="001A625A" w:rsidP="00254842" w14:paraId="20DE6FED" w14:textId="3B65A8AF">
      <w:pPr>
        <w:spacing w:line="240" w:lineRule="exact"/>
        <w:rPr>
          <w:szCs w:val="24"/>
        </w:rPr>
      </w:pPr>
      <w:r w:rsidRPr="001A625A">
        <w:rPr>
          <w:szCs w:val="24"/>
        </w:rPr>
        <w:t xml:space="preserve">The Consumer Price Index Commodities and Services Program requests authorization </w:t>
      </w:r>
      <w:r w:rsidRPr="001A625A" w:rsidR="002B31C1">
        <w:rPr>
          <w:szCs w:val="24"/>
        </w:rPr>
        <w:t xml:space="preserve">not to </w:t>
      </w:r>
      <w:r w:rsidRPr="001A625A">
        <w:rPr>
          <w:szCs w:val="24"/>
        </w:rPr>
        <w:t>display the expiration date for OMB approval on the survey materials, to save printing costs and personnel time.</w:t>
      </w:r>
      <w:r w:rsidR="0032049C">
        <w:rPr>
          <w:szCs w:val="24"/>
        </w:rPr>
        <w:t xml:space="preserve"> </w:t>
      </w:r>
    </w:p>
    <w:p w:rsidR="000035E4" w:rsidRPr="001A625A" w:rsidP="00254842" w14:paraId="7DA50156" w14:textId="77777777">
      <w:pPr>
        <w:spacing w:line="240" w:lineRule="exact"/>
        <w:rPr>
          <w:szCs w:val="24"/>
        </w:rPr>
      </w:pPr>
    </w:p>
    <w:p w:rsidR="001945BD" w:rsidRPr="001A625A" w:rsidP="00254842" w14:paraId="4EAA0842" w14:textId="49DD4701">
      <w:pPr>
        <w:spacing w:line="240" w:lineRule="exact"/>
        <w:rPr>
          <w:szCs w:val="24"/>
        </w:rPr>
      </w:pPr>
      <w:r w:rsidRPr="001A625A">
        <w:rPr>
          <w:szCs w:val="24"/>
        </w:rPr>
        <w:t>Printed on the Commodities and Services Survey: Questions &amp; Answers pamphlet is the ph</w:t>
      </w:r>
      <w:r w:rsidRPr="001A625A" w:rsidR="009D0E87">
        <w:rPr>
          <w:szCs w:val="24"/>
        </w:rPr>
        <w:t>r</w:t>
      </w:r>
      <w:r w:rsidRPr="001A625A">
        <w:rPr>
          <w:szCs w:val="24"/>
        </w:rPr>
        <w:t>ase “The U.S. Office of Management and Budget (OMB) has approved this collection of information and has assigned 1220-0039 as the control number.</w:t>
      </w:r>
      <w:r w:rsidR="0032049C">
        <w:rPr>
          <w:szCs w:val="24"/>
        </w:rPr>
        <w:t xml:space="preserve"> </w:t>
      </w:r>
      <w:r w:rsidRPr="001A625A">
        <w:rPr>
          <w:szCs w:val="24"/>
        </w:rPr>
        <w:t>Without OMB approval and this number, we would not be able to conduct this survey.”</w:t>
      </w:r>
    </w:p>
    <w:p w:rsidR="001945BD" w:rsidRPr="001A625A" w:rsidP="008459C6" w14:paraId="6C0BB061" w14:textId="77777777">
      <w:pPr>
        <w:rPr>
          <w:szCs w:val="24"/>
        </w:rPr>
      </w:pPr>
    </w:p>
    <w:p w:rsidR="001945BD" w:rsidRPr="001A625A" w:rsidP="008459C6" w14:paraId="177A625E" w14:textId="54F03ABA">
      <w:pPr>
        <w:numPr>
          <w:ilvl w:val="0"/>
          <w:numId w:val="4"/>
        </w:numPr>
        <w:rPr>
          <w:szCs w:val="24"/>
        </w:rPr>
      </w:pPr>
      <w:r w:rsidRPr="00D53DEB">
        <w:rPr>
          <w:b/>
        </w:rPr>
        <w:t>Explain each exception to the certification statement</w:t>
      </w:r>
      <w:r>
        <w:rPr>
          <w:szCs w:val="24"/>
        </w:rPr>
        <w:t>.</w:t>
      </w:r>
    </w:p>
    <w:p w:rsidR="001945BD" w:rsidRPr="001A625A" w:rsidP="008459C6" w14:paraId="4D1C5DA1" w14:textId="77777777">
      <w:pPr>
        <w:rPr>
          <w:szCs w:val="24"/>
        </w:rPr>
      </w:pPr>
    </w:p>
    <w:p w:rsidR="001945BD" w:rsidRPr="00653F61" w:rsidP="00254842" w14:paraId="5440CD24" w14:textId="2D57F394">
      <w:pPr>
        <w:spacing w:line="240" w:lineRule="exact"/>
        <w:rPr>
          <w:szCs w:val="24"/>
        </w:rPr>
      </w:pPr>
      <w:r w:rsidRPr="001A625A">
        <w:rPr>
          <w:szCs w:val="24"/>
        </w:rPr>
        <w:t xml:space="preserve">There are no exceptions to the certification statement, “Certification for </w:t>
      </w:r>
      <w:r w:rsidRPr="001A625A" w:rsidR="001A625A">
        <w:rPr>
          <w:szCs w:val="24"/>
        </w:rPr>
        <w:t>Paperwork</w:t>
      </w:r>
      <w:r w:rsidRPr="001A625A">
        <w:rPr>
          <w:szCs w:val="24"/>
        </w:rPr>
        <w:t xml:space="preserve"> Reduction Act Submissions.”</w:t>
      </w:r>
    </w:p>
    <w:p w:rsidR="001945BD" w:rsidRPr="00653F61" w:rsidP="001E161A" w14:paraId="550ACE3F" w14:textId="77777777">
      <w:pPr>
        <w:spacing w:line="240" w:lineRule="exact"/>
        <w:rPr>
          <w:szCs w:val="24"/>
        </w:rPr>
      </w:pPr>
    </w:p>
    <w:sectPr w:rsidSect="00670062">
      <w:headerReference w:type="even" r:id="rId9"/>
      <w:headerReference w:type="default" r:id="rId10"/>
      <w:footerReference w:type="even" r:id="rId11"/>
      <w:footerReference w:type="default" r:id="rId12"/>
      <w:headerReference w:type="first" r:id="rId13"/>
      <w:footnotePr>
        <w:numRestart w:val="eachSect"/>
      </w:footnotePr>
      <w:type w:val="continuous"/>
      <w:pgSz w:w="12240" w:h="15840" w:code="1"/>
      <w:pgMar w:top="1008" w:right="1440" w:bottom="1008"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ettrGoth12 BT">
    <w:altName w:val="Calibri"/>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EB4" w14:paraId="47C2AAD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4EB4" w14:paraId="122086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EB4" w14:paraId="19DADB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0DBA">
      <w:rPr>
        <w:rStyle w:val="PageNumber"/>
        <w:noProof/>
      </w:rPr>
      <w:t>9</w:t>
    </w:r>
    <w:r>
      <w:rPr>
        <w:rStyle w:val="PageNumber"/>
      </w:rPr>
      <w:fldChar w:fldCharType="end"/>
    </w:r>
  </w:p>
  <w:p w:rsidR="00FE4EB4" w14:paraId="7C22EC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51BE" w14:paraId="2A48E6AE" w14:textId="77777777">
      <w:r>
        <w:separator/>
      </w:r>
    </w:p>
  </w:footnote>
  <w:footnote w:type="continuationSeparator" w:id="1">
    <w:p w:rsidR="008951BE" w14:paraId="5BA29377" w14:textId="77777777">
      <w:r>
        <w:continuationSeparator/>
      </w:r>
    </w:p>
  </w:footnote>
  <w:footnote w:id="2">
    <w:p w:rsidR="008941A6" w14:paraId="5B9446FD" w14:textId="79AB52DB">
      <w:pPr>
        <w:pStyle w:val="FootnoteText"/>
      </w:pPr>
      <w:r>
        <w:rPr>
          <w:rStyle w:val="FootnoteReference"/>
        </w:rPr>
        <w:footnoteRef/>
      </w:r>
      <w:r>
        <w:t xml:space="preserve"> See attachment</w:t>
      </w:r>
      <w:r w:rsidR="0053003A">
        <w:t xml:space="preserve"> H: MC011 shuttle </w:t>
      </w:r>
      <w:r w:rsidR="0053003A">
        <w:t>form</w:t>
      </w:r>
    </w:p>
  </w:footnote>
  <w:footnote w:id="3">
    <w:p w:rsidR="00FE4EB4" w14:paraId="382B521F" w14:textId="241BCE5B">
      <w:pPr>
        <w:pStyle w:val="FootnoteText"/>
      </w:pPr>
      <w:r>
        <w:rPr>
          <w:rStyle w:val="FootnoteReference"/>
        </w:rPr>
        <w:footnoteRef/>
      </w:r>
      <w:r>
        <w:t xml:space="preserve"> As a practice, when a respondent requests a CPI data collector to collect price information from their website, data collectors will ask the respondent if the online prices and price movements are the same as their </w:t>
      </w:r>
      <w:r w:rsidR="001A625A">
        <w:t>brick-and-mortar</w:t>
      </w:r>
      <w:r>
        <w:t xml:space="preserve"> outlets.</w:t>
      </w:r>
      <w:r w:rsidR="0032049C">
        <w:t xml:space="preserve"> </w:t>
      </w:r>
      <w:r>
        <w:t>In situations where the respondent indicates that prices and price movements are the same</w:t>
      </w:r>
      <w:r w:rsidR="0059739E">
        <w:t>,</w:t>
      </w:r>
      <w:r>
        <w:t xml:space="preserve"> the item or service is treated as pricing the same item or service.</w:t>
      </w:r>
      <w:r w:rsidR="0032049C">
        <w:t xml:space="preserve"> </w:t>
      </w:r>
      <w:r>
        <w:t>If the respondent indicates that prices or price movements are not the same</w:t>
      </w:r>
      <w:r w:rsidR="0059739E">
        <w:t>,</w:t>
      </w:r>
      <w:r>
        <w:t xml:space="preserve"> then the item or service is treated as a noncomparable replacement item or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EB4" w14:paraId="7C28206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E4EB4" w14:paraId="2A708DF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EB4" w:rsidP="005B2594" w14:paraId="317D6176" w14:textId="33767D4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188" w:rsidRPr="00CB5188" w:rsidP="00CB5188" w14:paraId="00D7A317" w14:textId="56B402CF">
    <w:pPr>
      <w:pBdr>
        <w:bottom w:val="single" w:sz="6" w:space="4" w:color="auto"/>
      </w:pBdr>
      <w:tabs>
        <w:tab w:val="center" w:pos="4320"/>
        <w:tab w:val="right" w:pos="8640"/>
      </w:tabs>
      <w:rPr>
        <w:sz w:val="20"/>
      </w:rPr>
    </w:pPr>
    <w:r>
      <w:rPr>
        <w:sz w:val="20"/>
      </w:rPr>
      <w:t>Consumer Price Index Commodities and Services</w:t>
    </w:r>
    <w:r w:rsidRPr="00CB5188">
      <w:rPr>
        <w:sz w:val="20"/>
      </w:rPr>
      <w:t xml:space="preserve"> </w:t>
    </w:r>
  </w:p>
  <w:p w:rsidR="00CB5188" w:rsidRPr="00CB5188" w:rsidP="00CB5188" w14:paraId="6B9858A2" w14:textId="2EAE5D44">
    <w:pPr>
      <w:pBdr>
        <w:bottom w:val="single" w:sz="6" w:space="4" w:color="auto"/>
      </w:pBdr>
      <w:tabs>
        <w:tab w:val="center" w:pos="4320"/>
        <w:tab w:val="right" w:pos="8640"/>
      </w:tabs>
      <w:rPr>
        <w:sz w:val="20"/>
      </w:rPr>
    </w:pPr>
    <w:r w:rsidRPr="00CB5188">
      <w:rPr>
        <w:sz w:val="20"/>
      </w:rPr>
      <w:t xml:space="preserve">OMB Number </w:t>
    </w:r>
    <w:r w:rsidR="00AD7D03">
      <w:rPr>
        <w:sz w:val="20"/>
      </w:rPr>
      <w:t>1220-0039</w:t>
    </w:r>
  </w:p>
  <w:p w:rsidR="00CB5188" w:rsidRPr="00CB5188" w:rsidP="00CB5188" w14:paraId="4E8D304B" w14:textId="577E6784">
    <w:pPr>
      <w:pBdr>
        <w:bottom w:val="single" w:sz="6" w:space="4" w:color="auto"/>
      </w:pBdr>
      <w:tabs>
        <w:tab w:val="center" w:pos="4320"/>
        <w:tab w:val="right" w:pos="8640"/>
      </w:tabs>
      <w:rPr>
        <w:sz w:val="20"/>
      </w:rPr>
    </w:pPr>
    <w:r>
      <w:rPr>
        <w:sz w:val="20"/>
      </w:rPr>
      <w:t>OMB Expiration Date: September 30, 2023</w:t>
    </w:r>
  </w:p>
  <w:p w:rsidR="00FE4EB4" w:rsidRPr="00B969C0" w:rsidP="00CB5188" w14:paraId="6AD85840" w14:textId="5140F8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15621"/>
    <w:multiLevelType w:val="hybridMultilevel"/>
    <w:tmpl w:val="D26C07D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nsid w:val="1D7262A5"/>
    <w:multiLevelType w:val="singleLevel"/>
    <w:tmpl w:val="549E8462"/>
    <w:lvl w:ilvl="0">
      <w:start w:val="12"/>
      <w:numFmt w:val="decimal"/>
      <w:lvlText w:val="%1."/>
      <w:lvlJc w:val="left"/>
      <w:pPr>
        <w:tabs>
          <w:tab w:val="num" w:pos="735"/>
        </w:tabs>
        <w:ind w:left="735" w:hanging="735"/>
      </w:pPr>
      <w:rPr>
        <w:rFonts w:cs="Times New Roman" w:hint="default"/>
      </w:rPr>
    </w:lvl>
  </w:abstractNum>
  <w:abstractNum w:abstractNumId="2">
    <w:nsid w:val="33446AB0"/>
    <w:multiLevelType w:val="singleLevel"/>
    <w:tmpl w:val="0409000F"/>
    <w:lvl w:ilvl="0">
      <w:start w:val="1"/>
      <w:numFmt w:val="decimal"/>
      <w:lvlText w:val="%1."/>
      <w:lvlJc w:val="left"/>
      <w:pPr>
        <w:ind w:left="360" w:hanging="360"/>
      </w:pPr>
      <w:rPr>
        <w:rFonts w:hint="default"/>
      </w:rPr>
    </w:lvl>
  </w:abstractNum>
  <w:abstractNum w:abstractNumId="3">
    <w:nsid w:val="335B630A"/>
    <w:multiLevelType w:val="singleLevel"/>
    <w:tmpl w:val="7850FB2A"/>
    <w:lvl w:ilvl="0">
      <w:start w:val="16"/>
      <w:numFmt w:val="decimal"/>
      <w:lvlText w:val="%1."/>
      <w:lvlJc w:val="left"/>
      <w:pPr>
        <w:tabs>
          <w:tab w:val="num" w:pos="735"/>
        </w:tabs>
        <w:ind w:left="735" w:hanging="735"/>
      </w:pPr>
      <w:rPr>
        <w:rFonts w:cs="Times New Roman" w:hint="default"/>
      </w:rPr>
    </w:lvl>
  </w:abstractNum>
  <w:abstractNum w:abstractNumId="4">
    <w:nsid w:val="3FBB27E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45A33915"/>
    <w:multiLevelType w:val="singleLevel"/>
    <w:tmpl w:val="39DC1BCC"/>
    <w:lvl w:ilvl="0">
      <w:start w:val="4"/>
      <w:numFmt w:val="lowerLetter"/>
      <w:lvlText w:val="(%1)"/>
      <w:lvlJc w:val="left"/>
      <w:pPr>
        <w:tabs>
          <w:tab w:val="num" w:pos="1110"/>
        </w:tabs>
        <w:ind w:left="1110" w:hanging="390"/>
      </w:pPr>
      <w:rPr>
        <w:rFonts w:cs="Times New Roman" w:hint="default"/>
      </w:rPr>
    </w:lvl>
  </w:abstractNum>
  <w:abstractNum w:abstractNumId="6">
    <w:nsid w:val="4DA90C00"/>
    <w:multiLevelType w:val="multilevel"/>
    <w:tmpl w:val="3B1E42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E972BC1"/>
    <w:multiLevelType w:val="hybridMultilevel"/>
    <w:tmpl w:val="B650A02C"/>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84E5616"/>
    <w:multiLevelType w:val="singleLevel"/>
    <w:tmpl w:val="C45A2956"/>
    <w:lvl w:ilvl="0">
      <w:start w:val="8"/>
      <w:numFmt w:val="decimal"/>
      <w:lvlText w:val="%1."/>
      <w:lvlJc w:val="left"/>
      <w:pPr>
        <w:tabs>
          <w:tab w:val="num" w:pos="570"/>
        </w:tabs>
        <w:ind w:left="570" w:hanging="570"/>
      </w:pPr>
      <w:rPr>
        <w:rFonts w:cs="Times New Roman" w:hint="default"/>
      </w:rPr>
    </w:lvl>
  </w:abstractNum>
  <w:abstractNum w:abstractNumId="10">
    <w:nsid w:val="6B6D7FE9"/>
    <w:multiLevelType w:val="singleLevel"/>
    <w:tmpl w:val="04090001"/>
    <w:lvl w:ilvl="0">
      <w:start w:val="8"/>
      <w:numFmt w:val="bullet"/>
      <w:lvlText w:val=""/>
      <w:lvlJc w:val="left"/>
      <w:pPr>
        <w:tabs>
          <w:tab w:val="num" w:pos="360"/>
        </w:tabs>
        <w:ind w:left="360" w:hanging="360"/>
      </w:pPr>
      <w:rPr>
        <w:rFonts w:ascii="Symbol" w:hAnsi="Symbol" w:hint="default"/>
      </w:rPr>
    </w:lvl>
  </w:abstractNum>
  <w:abstractNum w:abstractNumId="11">
    <w:nsid w:val="6BB268D9"/>
    <w:multiLevelType w:val="hybridMultilevel"/>
    <w:tmpl w:val="2FFC3A8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2">
    <w:nsid w:val="6E8B2C36"/>
    <w:multiLevelType w:val="hybridMultilevel"/>
    <w:tmpl w:val="1D721D6A"/>
    <w:lvl w:ilvl="0">
      <w:start w:val="4"/>
      <w:numFmt w:val="lowerLetter"/>
      <w:lvlText w:val="(%1)"/>
      <w:lvlJc w:val="left"/>
      <w:pPr>
        <w:tabs>
          <w:tab w:val="num" w:pos="390"/>
        </w:tabs>
        <w:ind w:left="390" w:hanging="39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3">
    <w:nsid w:val="7743178C"/>
    <w:multiLevelType w:val="singleLevel"/>
    <w:tmpl w:val="1DF0C676"/>
    <w:lvl w:ilvl="0">
      <w:start w:val="1"/>
      <w:numFmt w:val="bullet"/>
      <w:pStyle w:val="Bullet"/>
      <w:lvlText w:val=""/>
      <w:lvlJc w:val="left"/>
      <w:pPr>
        <w:tabs>
          <w:tab w:val="num" w:pos="360"/>
        </w:tabs>
        <w:ind w:left="360" w:hanging="360"/>
      </w:pPr>
      <w:rPr>
        <w:rFonts w:ascii="Wingdings" w:hAnsi="Wingdings" w:hint="default"/>
      </w:rPr>
    </w:lvl>
  </w:abstractNum>
  <w:abstractNum w:abstractNumId="14">
    <w:nsid w:val="788A1724"/>
    <w:multiLevelType w:val="hybridMultilevel"/>
    <w:tmpl w:val="D982DE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3236078">
    <w:abstractNumId w:val="9"/>
  </w:num>
  <w:num w:numId="2" w16cid:durableId="518811753">
    <w:abstractNumId w:val="1"/>
  </w:num>
  <w:num w:numId="3" w16cid:durableId="939066121">
    <w:abstractNumId w:val="3"/>
  </w:num>
  <w:num w:numId="4" w16cid:durableId="1781023532">
    <w:abstractNumId w:val="2"/>
  </w:num>
  <w:num w:numId="5" w16cid:durableId="1736276153">
    <w:abstractNumId w:val="4"/>
  </w:num>
  <w:num w:numId="6" w16cid:durableId="1078022406">
    <w:abstractNumId w:val="10"/>
  </w:num>
  <w:num w:numId="7" w16cid:durableId="559175107">
    <w:abstractNumId w:val="5"/>
  </w:num>
  <w:num w:numId="8" w16cid:durableId="1218123943">
    <w:abstractNumId w:val="13"/>
  </w:num>
  <w:num w:numId="9" w16cid:durableId="1551451971">
    <w:abstractNumId w:val="12"/>
  </w:num>
  <w:num w:numId="10" w16cid:durableId="203099702">
    <w:abstractNumId w:val="7"/>
  </w:num>
  <w:num w:numId="11" w16cid:durableId="1016156304">
    <w:abstractNumId w:val="14"/>
  </w:num>
  <w:num w:numId="12" w16cid:durableId="1775322014">
    <w:abstractNumId w:val="0"/>
  </w:num>
  <w:num w:numId="13" w16cid:durableId="1565337545">
    <w:abstractNumId w:val="6"/>
  </w:num>
  <w:num w:numId="14" w16cid:durableId="2100058617">
    <w:abstractNumId w:val="11"/>
  </w:num>
  <w:num w:numId="15" w16cid:durableId="723069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07"/>
    <w:rsid w:val="00001220"/>
    <w:rsid w:val="00001676"/>
    <w:rsid w:val="00001A02"/>
    <w:rsid w:val="000035E4"/>
    <w:rsid w:val="00007DBF"/>
    <w:rsid w:val="00015CDB"/>
    <w:rsid w:val="00015DCA"/>
    <w:rsid w:val="00020F0E"/>
    <w:rsid w:val="00021869"/>
    <w:rsid w:val="00023B32"/>
    <w:rsid w:val="00024631"/>
    <w:rsid w:val="000304DA"/>
    <w:rsid w:val="0003086B"/>
    <w:rsid w:val="0003254A"/>
    <w:rsid w:val="0003470C"/>
    <w:rsid w:val="000351CB"/>
    <w:rsid w:val="00037EC5"/>
    <w:rsid w:val="000443AD"/>
    <w:rsid w:val="00050E27"/>
    <w:rsid w:val="00051863"/>
    <w:rsid w:val="0005447D"/>
    <w:rsid w:val="00054F12"/>
    <w:rsid w:val="00055D46"/>
    <w:rsid w:val="00061BB4"/>
    <w:rsid w:val="00062F65"/>
    <w:rsid w:val="00065409"/>
    <w:rsid w:val="0006546B"/>
    <w:rsid w:val="00066F29"/>
    <w:rsid w:val="00071B52"/>
    <w:rsid w:val="000737AD"/>
    <w:rsid w:val="000738C1"/>
    <w:rsid w:val="00073C01"/>
    <w:rsid w:val="00074D6D"/>
    <w:rsid w:val="00074D6E"/>
    <w:rsid w:val="00076D02"/>
    <w:rsid w:val="000774ED"/>
    <w:rsid w:val="00080011"/>
    <w:rsid w:val="0008033B"/>
    <w:rsid w:val="00087EA7"/>
    <w:rsid w:val="00090130"/>
    <w:rsid w:val="00097059"/>
    <w:rsid w:val="00097CA0"/>
    <w:rsid w:val="000A124B"/>
    <w:rsid w:val="000A1460"/>
    <w:rsid w:val="000A1C5D"/>
    <w:rsid w:val="000A5A22"/>
    <w:rsid w:val="000A7DB4"/>
    <w:rsid w:val="000B0701"/>
    <w:rsid w:val="000B195C"/>
    <w:rsid w:val="000B2574"/>
    <w:rsid w:val="000B363D"/>
    <w:rsid w:val="000B4846"/>
    <w:rsid w:val="000C031E"/>
    <w:rsid w:val="000C0762"/>
    <w:rsid w:val="000C1EBF"/>
    <w:rsid w:val="000C3605"/>
    <w:rsid w:val="000C37D6"/>
    <w:rsid w:val="000C43BE"/>
    <w:rsid w:val="000C45F4"/>
    <w:rsid w:val="000C47EB"/>
    <w:rsid w:val="000C4EAA"/>
    <w:rsid w:val="000C5948"/>
    <w:rsid w:val="000C7BBD"/>
    <w:rsid w:val="000D3706"/>
    <w:rsid w:val="000D42D6"/>
    <w:rsid w:val="000D5E2C"/>
    <w:rsid w:val="000E4A4B"/>
    <w:rsid w:val="000E72E5"/>
    <w:rsid w:val="000E7607"/>
    <w:rsid w:val="000F2080"/>
    <w:rsid w:val="000F2DEC"/>
    <w:rsid w:val="000F322D"/>
    <w:rsid w:val="000F3DAE"/>
    <w:rsid w:val="000F403B"/>
    <w:rsid w:val="000F7417"/>
    <w:rsid w:val="001008B1"/>
    <w:rsid w:val="001034BD"/>
    <w:rsid w:val="00104BB1"/>
    <w:rsid w:val="00106CD0"/>
    <w:rsid w:val="00107E6B"/>
    <w:rsid w:val="00112C83"/>
    <w:rsid w:val="001145E0"/>
    <w:rsid w:val="00115850"/>
    <w:rsid w:val="00116288"/>
    <w:rsid w:val="00122898"/>
    <w:rsid w:val="00125925"/>
    <w:rsid w:val="0012730F"/>
    <w:rsid w:val="001325C7"/>
    <w:rsid w:val="001333AC"/>
    <w:rsid w:val="00133640"/>
    <w:rsid w:val="00133F33"/>
    <w:rsid w:val="00134340"/>
    <w:rsid w:val="00134F83"/>
    <w:rsid w:val="0013791B"/>
    <w:rsid w:val="00142BF1"/>
    <w:rsid w:val="00144EB1"/>
    <w:rsid w:val="00152531"/>
    <w:rsid w:val="00153741"/>
    <w:rsid w:val="00153845"/>
    <w:rsid w:val="00153D0B"/>
    <w:rsid w:val="0015435E"/>
    <w:rsid w:val="0015488B"/>
    <w:rsid w:val="0015541F"/>
    <w:rsid w:val="00155CE2"/>
    <w:rsid w:val="00155DE3"/>
    <w:rsid w:val="00157C11"/>
    <w:rsid w:val="00157C73"/>
    <w:rsid w:val="001635A3"/>
    <w:rsid w:val="00166E7A"/>
    <w:rsid w:val="00170248"/>
    <w:rsid w:val="00174484"/>
    <w:rsid w:val="00184441"/>
    <w:rsid w:val="00184723"/>
    <w:rsid w:val="00186B77"/>
    <w:rsid w:val="001872C4"/>
    <w:rsid w:val="00190F26"/>
    <w:rsid w:val="00191087"/>
    <w:rsid w:val="00191AAF"/>
    <w:rsid w:val="001945BD"/>
    <w:rsid w:val="00194D16"/>
    <w:rsid w:val="00195749"/>
    <w:rsid w:val="001967CA"/>
    <w:rsid w:val="00197501"/>
    <w:rsid w:val="001979DA"/>
    <w:rsid w:val="001A1D8B"/>
    <w:rsid w:val="001A42FB"/>
    <w:rsid w:val="001A4462"/>
    <w:rsid w:val="001A45E7"/>
    <w:rsid w:val="001A625A"/>
    <w:rsid w:val="001A7503"/>
    <w:rsid w:val="001B0608"/>
    <w:rsid w:val="001B2BA1"/>
    <w:rsid w:val="001B3DB6"/>
    <w:rsid w:val="001B3F9B"/>
    <w:rsid w:val="001B5F13"/>
    <w:rsid w:val="001B64D9"/>
    <w:rsid w:val="001B67AE"/>
    <w:rsid w:val="001B7A02"/>
    <w:rsid w:val="001C0126"/>
    <w:rsid w:val="001C713D"/>
    <w:rsid w:val="001D0B14"/>
    <w:rsid w:val="001D4DC2"/>
    <w:rsid w:val="001D531B"/>
    <w:rsid w:val="001D63DB"/>
    <w:rsid w:val="001D7669"/>
    <w:rsid w:val="001E0309"/>
    <w:rsid w:val="001E161A"/>
    <w:rsid w:val="001E167F"/>
    <w:rsid w:val="001E22D8"/>
    <w:rsid w:val="001E412B"/>
    <w:rsid w:val="001E63CE"/>
    <w:rsid w:val="001F1945"/>
    <w:rsid w:val="001F77AD"/>
    <w:rsid w:val="00202236"/>
    <w:rsid w:val="00204886"/>
    <w:rsid w:val="0021470A"/>
    <w:rsid w:val="002167A3"/>
    <w:rsid w:val="0022130D"/>
    <w:rsid w:val="00222DB8"/>
    <w:rsid w:val="00223220"/>
    <w:rsid w:val="0022390F"/>
    <w:rsid w:val="00230820"/>
    <w:rsid w:val="00234F96"/>
    <w:rsid w:val="0023612C"/>
    <w:rsid w:val="0023729F"/>
    <w:rsid w:val="002374A1"/>
    <w:rsid w:val="00240202"/>
    <w:rsid w:val="002406BB"/>
    <w:rsid w:val="002409DB"/>
    <w:rsid w:val="00242BD8"/>
    <w:rsid w:val="00244E28"/>
    <w:rsid w:val="00245C88"/>
    <w:rsid w:val="0025036C"/>
    <w:rsid w:val="00251DE2"/>
    <w:rsid w:val="002522E4"/>
    <w:rsid w:val="00254842"/>
    <w:rsid w:val="002610E7"/>
    <w:rsid w:val="0026183F"/>
    <w:rsid w:val="0026187E"/>
    <w:rsid w:val="00264D6F"/>
    <w:rsid w:val="002661D1"/>
    <w:rsid w:val="002714EA"/>
    <w:rsid w:val="002726B4"/>
    <w:rsid w:val="0027352F"/>
    <w:rsid w:val="0027484B"/>
    <w:rsid w:val="002761B5"/>
    <w:rsid w:val="002778A4"/>
    <w:rsid w:val="002800E3"/>
    <w:rsid w:val="002839E5"/>
    <w:rsid w:val="00284FEE"/>
    <w:rsid w:val="00285632"/>
    <w:rsid w:val="002858FF"/>
    <w:rsid w:val="0028634D"/>
    <w:rsid w:val="00287812"/>
    <w:rsid w:val="00287B58"/>
    <w:rsid w:val="00290B65"/>
    <w:rsid w:val="0029356C"/>
    <w:rsid w:val="00293663"/>
    <w:rsid w:val="00295112"/>
    <w:rsid w:val="00295D4A"/>
    <w:rsid w:val="002970FD"/>
    <w:rsid w:val="00297780"/>
    <w:rsid w:val="00297BC0"/>
    <w:rsid w:val="002A017B"/>
    <w:rsid w:val="002A2DC6"/>
    <w:rsid w:val="002A5250"/>
    <w:rsid w:val="002A7D7D"/>
    <w:rsid w:val="002B212B"/>
    <w:rsid w:val="002B31C1"/>
    <w:rsid w:val="002C38CA"/>
    <w:rsid w:val="002C4726"/>
    <w:rsid w:val="002C5D84"/>
    <w:rsid w:val="002D018C"/>
    <w:rsid w:val="002D0AAF"/>
    <w:rsid w:val="002D24DE"/>
    <w:rsid w:val="002D6B7B"/>
    <w:rsid w:val="002E288A"/>
    <w:rsid w:val="002E3906"/>
    <w:rsid w:val="002E55DA"/>
    <w:rsid w:val="002E62F3"/>
    <w:rsid w:val="002F00D0"/>
    <w:rsid w:val="002F02A9"/>
    <w:rsid w:val="002F0836"/>
    <w:rsid w:val="002F314C"/>
    <w:rsid w:val="002F557C"/>
    <w:rsid w:val="002F68A8"/>
    <w:rsid w:val="0030196B"/>
    <w:rsid w:val="00305FFA"/>
    <w:rsid w:val="00315ED1"/>
    <w:rsid w:val="0031675E"/>
    <w:rsid w:val="003202D7"/>
    <w:rsid w:val="0032049C"/>
    <w:rsid w:val="00321B60"/>
    <w:rsid w:val="00322403"/>
    <w:rsid w:val="00327D99"/>
    <w:rsid w:val="003375B2"/>
    <w:rsid w:val="00341914"/>
    <w:rsid w:val="00341BD9"/>
    <w:rsid w:val="003517F0"/>
    <w:rsid w:val="00352FA3"/>
    <w:rsid w:val="00353D00"/>
    <w:rsid w:val="00355835"/>
    <w:rsid w:val="003574A4"/>
    <w:rsid w:val="00357C4E"/>
    <w:rsid w:val="003616E5"/>
    <w:rsid w:val="00361937"/>
    <w:rsid w:val="0036337C"/>
    <w:rsid w:val="00366251"/>
    <w:rsid w:val="00370677"/>
    <w:rsid w:val="00370977"/>
    <w:rsid w:val="00371E32"/>
    <w:rsid w:val="00374738"/>
    <w:rsid w:val="00375C4A"/>
    <w:rsid w:val="00383E6B"/>
    <w:rsid w:val="00384BA6"/>
    <w:rsid w:val="00384F77"/>
    <w:rsid w:val="0039023A"/>
    <w:rsid w:val="003A0BFD"/>
    <w:rsid w:val="003A0CA0"/>
    <w:rsid w:val="003A0D31"/>
    <w:rsid w:val="003A20F6"/>
    <w:rsid w:val="003A4D7D"/>
    <w:rsid w:val="003A5F9D"/>
    <w:rsid w:val="003A68E0"/>
    <w:rsid w:val="003A7A47"/>
    <w:rsid w:val="003A7A5A"/>
    <w:rsid w:val="003B06C5"/>
    <w:rsid w:val="003B5AC2"/>
    <w:rsid w:val="003B6BCC"/>
    <w:rsid w:val="003C0D66"/>
    <w:rsid w:val="003C1C8E"/>
    <w:rsid w:val="003C253F"/>
    <w:rsid w:val="003C3848"/>
    <w:rsid w:val="003C39CB"/>
    <w:rsid w:val="003C3B79"/>
    <w:rsid w:val="003C4F6C"/>
    <w:rsid w:val="003C6ED4"/>
    <w:rsid w:val="003D040E"/>
    <w:rsid w:val="003D1FBE"/>
    <w:rsid w:val="003D1FDA"/>
    <w:rsid w:val="003D59E7"/>
    <w:rsid w:val="003D6047"/>
    <w:rsid w:val="003D6E4D"/>
    <w:rsid w:val="003E1039"/>
    <w:rsid w:val="003E2F62"/>
    <w:rsid w:val="003E3177"/>
    <w:rsid w:val="003E3846"/>
    <w:rsid w:val="003E4F9D"/>
    <w:rsid w:val="003E5BD0"/>
    <w:rsid w:val="003F2A8D"/>
    <w:rsid w:val="003F4383"/>
    <w:rsid w:val="003F4493"/>
    <w:rsid w:val="003F4C67"/>
    <w:rsid w:val="0040110F"/>
    <w:rsid w:val="0040174A"/>
    <w:rsid w:val="0040492B"/>
    <w:rsid w:val="00410471"/>
    <w:rsid w:val="00410B49"/>
    <w:rsid w:val="0041395F"/>
    <w:rsid w:val="00414E49"/>
    <w:rsid w:val="00415B41"/>
    <w:rsid w:val="0042121F"/>
    <w:rsid w:val="0042219F"/>
    <w:rsid w:val="0042402E"/>
    <w:rsid w:val="00424FE9"/>
    <w:rsid w:val="00426966"/>
    <w:rsid w:val="0042724B"/>
    <w:rsid w:val="00432522"/>
    <w:rsid w:val="00432E6A"/>
    <w:rsid w:val="004347C4"/>
    <w:rsid w:val="00434B34"/>
    <w:rsid w:val="00437B7E"/>
    <w:rsid w:val="004402D8"/>
    <w:rsid w:val="004411F5"/>
    <w:rsid w:val="00441F03"/>
    <w:rsid w:val="0044418F"/>
    <w:rsid w:val="00452226"/>
    <w:rsid w:val="00457653"/>
    <w:rsid w:val="004646B1"/>
    <w:rsid w:val="00465BB2"/>
    <w:rsid w:val="00466084"/>
    <w:rsid w:val="004672C6"/>
    <w:rsid w:val="00472780"/>
    <w:rsid w:val="00473937"/>
    <w:rsid w:val="00477BEB"/>
    <w:rsid w:val="0048088B"/>
    <w:rsid w:val="004864DB"/>
    <w:rsid w:val="004878EB"/>
    <w:rsid w:val="00487BD1"/>
    <w:rsid w:val="00490AAB"/>
    <w:rsid w:val="004A1F9D"/>
    <w:rsid w:val="004A47F0"/>
    <w:rsid w:val="004A6079"/>
    <w:rsid w:val="004A7F7B"/>
    <w:rsid w:val="004B0342"/>
    <w:rsid w:val="004B1AC5"/>
    <w:rsid w:val="004B1C15"/>
    <w:rsid w:val="004B41F1"/>
    <w:rsid w:val="004B43C4"/>
    <w:rsid w:val="004C4217"/>
    <w:rsid w:val="004C6EB5"/>
    <w:rsid w:val="004D4415"/>
    <w:rsid w:val="004D5796"/>
    <w:rsid w:val="004E2C21"/>
    <w:rsid w:val="004E58E6"/>
    <w:rsid w:val="004F0007"/>
    <w:rsid w:val="004F1566"/>
    <w:rsid w:val="004F3A47"/>
    <w:rsid w:val="004F43F7"/>
    <w:rsid w:val="004F57CD"/>
    <w:rsid w:val="00502083"/>
    <w:rsid w:val="00503213"/>
    <w:rsid w:val="00504510"/>
    <w:rsid w:val="00504B62"/>
    <w:rsid w:val="00506AA8"/>
    <w:rsid w:val="005109FA"/>
    <w:rsid w:val="00512F44"/>
    <w:rsid w:val="005163FB"/>
    <w:rsid w:val="00520B83"/>
    <w:rsid w:val="00521A1B"/>
    <w:rsid w:val="00524419"/>
    <w:rsid w:val="00524C2B"/>
    <w:rsid w:val="0052513D"/>
    <w:rsid w:val="005274A9"/>
    <w:rsid w:val="0053003A"/>
    <w:rsid w:val="00532DB3"/>
    <w:rsid w:val="00533C00"/>
    <w:rsid w:val="005342B0"/>
    <w:rsid w:val="00537807"/>
    <w:rsid w:val="00541C33"/>
    <w:rsid w:val="00542618"/>
    <w:rsid w:val="00551702"/>
    <w:rsid w:val="00553B34"/>
    <w:rsid w:val="00557933"/>
    <w:rsid w:val="00561F72"/>
    <w:rsid w:val="005642E6"/>
    <w:rsid w:val="0056463E"/>
    <w:rsid w:val="00571BD8"/>
    <w:rsid w:val="00576559"/>
    <w:rsid w:val="00576B48"/>
    <w:rsid w:val="00576F3D"/>
    <w:rsid w:val="0057759D"/>
    <w:rsid w:val="005852EB"/>
    <w:rsid w:val="00587FA4"/>
    <w:rsid w:val="00591D4B"/>
    <w:rsid w:val="00591DC1"/>
    <w:rsid w:val="00592DCE"/>
    <w:rsid w:val="0059667A"/>
    <w:rsid w:val="0059739E"/>
    <w:rsid w:val="0059771D"/>
    <w:rsid w:val="005A366A"/>
    <w:rsid w:val="005B2594"/>
    <w:rsid w:val="005B2F33"/>
    <w:rsid w:val="005B4D82"/>
    <w:rsid w:val="005C002A"/>
    <w:rsid w:val="005C1448"/>
    <w:rsid w:val="005C1CCD"/>
    <w:rsid w:val="005C22C5"/>
    <w:rsid w:val="005C2C3C"/>
    <w:rsid w:val="005C4B88"/>
    <w:rsid w:val="005C5B79"/>
    <w:rsid w:val="005C5D3B"/>
    <w:rsid w:val="005D0889"/>
    <w:rsid w:val="005D56EB"/>
    <w:rsid w:val="005D5E7B"/>
    <w:rsid w:val="005D743D"/>
    <w:rsid w:val="005E473E"/>
    <w:rsid w:val="005F332E"/>
    <w:rsid w:val="005F3559"/>
    <w:rsid w:val="005F4E46"/>
    <w:rsid w:val="005F4F73"/>
    <w:rsid w:val="005F6051"/>
    <w:rsid w:val="005F638F"/>
    <w:rsid w:val="00605890"/>
    <w:rsid w:val="00611322"/>
    <w:rsid w:val="006128ED"/>
    <w:rsid w:val="00612B0C"/>
    <w:rsid w:val="00614630"/>
    <w:rsid w:val="00623479"/>
    <w:rsid w:val="00623920"/>
    <w:rsid w:val="0062408E"/>
    <w:rsid w:val="006257B1"/>
    <w:rsid w:val="00626080"/>
    <w:rsid w:val="00626868"/>
    <w:rsid w:val="00627B7B"/>
    <w:rsid w:val="00631472"/>
    <w:rsid w:val="00631E7A"/>
    <w:rsid w:val="00632570"/>
    <w:rsid w:val="006349A4"/>
    <w:rsid w:val="00634C7E"/>
    <w:rsid w:val="006358C6"/>
    <w:rsid w:val="006425F9"/>
    <w:rsid w:val="00643890"/>
    <w:rsid w:val="00645FB4"/>
    <w:rsid w:val="006460AC"/>
    <w:rsid w:val="006464E3"/>
    <w:rsid w:val="006512D3"/>
    <w:rsid w:val="00653C96"/>
    <w:rsid w:val="00653F61"/>
    <w:rsid w:val="0065423D"/>
    <w:rsid w:val="006548FE"/>
    <w:rsid w:val="006551F3"/>
    <w:rsid w:val="00655289"/>
    <w:rsid w:val="00657A1A"/>
    <w:rsid w:val="00657C2B"/>
    <w:rsid w:val="006632AF"/>
    <w:rsid w:val="0066345F"/>
    <w:rsid w:val="00664D1A"/>
    <w:rsid w:val="00665999"/>
    <w:rsid w:val="00666458"/>
    <w:rsid w:val="00666EDD"/>
    <w:rsid w:val="00670062"/>
    <w:rsid w:val="00671B3C"/>
    <w:rsid w:val="0067539C"/>
    <w:rsid w:val="00675713"/>
    <w:rsid w:val="00675B78"/>
    <w:rsid w:val="006762C1"/>
    <w:rsid w:val="00676CF6"/>
    <w:rsid w:val="006845F4"/>
    <w:rsid w:val="006847BC"/>
    <w:rsid w:val="00686E9F"/>
    <w:rsid w:val="00691204"/>
    <w:rsid w:val="00693269"/>
    <w:rsid w:val="00695DD4"/>
    <w:rsid w:val="006964C9"/>
    <w:rsid w:val="006969AA"/>
    <w:rsid w:val="006974F5"/>
    <w:rsid w:val="00697781"/>
    <w:rsid w:val="006A5249"/>
    <w:rsid w:val="006A7451"/>
    <w:rsid w:val="006B1E7F"/>
    <w:rsid w:val="006C0660"/>
    <w:rsid w:val="006C09EA"/>
    <w:rsid w:val="006C3BBA"/>
    <w:rsid w:val="006C3E30"/>
    <w:rsid w:val="006C714A"/>
    <w:rsid w:val="006C787C"/>
    <w:rsid w:val="006D5700"/>
    <w:rsid w:val="006D638E"/>
    <w:rsid w:val="006D6A44"/>
    <w:rsid w:val="006E3D58"/>
    <w:rsid w:val="006E3F69"/>
    <w:rsid w:val="006E45F5"/>
    <w:rsid w:val="006E51ED"/>
    <w:rsid w:val="006E7352"/>
    <w:rsid w:val="006F0775"/>
    <w:rsid w:val="006F3F4B"/>
    <w:rsid w:val="007018BB"/>
    <w:rsid w:val="00702572"/>
    <w:rsid w:val="00703E93"/>
    <w:rsid w:val="00710DBA"/>
    <w:rsid w:val="00716EE9"/>
    <w:rsid w:val="00717993"/>
    <w:rsid w:val="0072115C"/>
    <w:rsid w:val="0072649B"/>
    <w:rsid w:val="007276E6"/>
    <w:rsid w:val="00730954"/>
    <w:rsid w:val="0073096F"/>
    <w:rsid w:val="00733989"/>
    <w:rsid w:val="00737935"/>
    <w:rsid w:val="0074129D"/>
    <w:rsid w:val="00744F30"/>
    <w:rsid w:val="007459F5"/>
    <w:rsid w:val="00755573"/>
    <w:rsid w:val="007560E0"/>
    <w:rsid w:val="0076126B"/>
    <w:rsid w:val="007619B4"/>
    <w:rsid w:val="00761A4E"/>
    <w:rsid w:val="00763FBF"/>
    <w:rsid w:val="0076614E"/>
    <w:rsid w:val="007703F2"/>
    <w:rsid w:val="00770B48"/>
    <w:rsid w:val="00773664"/>
    <w:rsid w:val="0077608C"/>
    <w:rsid w:val="0077673C"/>
    <w:rsid w:val="00781F9E"/>
    <w:rsid w:val="007828BF"/>
    <w:rsid w:val="007861E3"/>
    <w:rsid w:val="007940AD"/>
    <w:rsid w:val="007949A6"/>
    <w:rsid w:val="00795639"/>
    <w:rsid w:val="00795739"/>
    <w:rsid w:val="007A11CC"/>
    <w:rsid w:val="007A1B8E"/>
    <w:rsid w:val="007A43C8"/>
    <w:rsid w:val="007A6E93"/>
    <w:rsid w:val="007B1ABF"/>
    <w:rsid w:val="007B28E7"/>
    <w:rsid w:val="007B4D54"/>
    <w:rsid w:val="007C3212"/>
    <w:rsid w:val="007D4992"/>
    <w:rsid w:val="007D6654"/>
    <w:rsid w:val="007D6D05"/>
    <w:rsid w:val="007E2F8C"/>
    <w:rsid w:val="007E3D88"/>
    <w:rsid w:val="007E63C6"/>
    <w:rsid w:val="007E6404"/>
    <w:rsid w:val="007F36A6"/>
    <w:rsid w:val="007F553E"/>
    <w:rsid w:val="007F6021"/>
    <w:rsid w:val="00801F11"/>
    <w:rsid w:val="00802AC3"/>
    <w:rsid w:val="008040BF"/>
    <w:rsid w:val="00804D60"/>
    <w:rsid w:val="00812761"/>
    <w:rsid w:val="0081424F"/>
    <w:rsid w:val="00815FF7"/>
    <w:rsid w:val="00816D2E"/>
    <w:rsid w:val="00820AA7"/>
    <w:rsid w:val="00821570"/>
    <w:rsid w:val="0082488A"/>
    <w:rsid w:val="00825555"/>
    <w:rsid w:val="00826672"/>
    <w:rsid w:val="0082715F"/>
    <w:rsid w:val="00827382"/>
    <w:rsid w:val="008311D8"/>
    <w:rsid w:val="00834C57"/>
    <w:rsid w:val="008366CB"/>
    <w:rsid w:val="00837181"/>
    <w:rsid w:val="0083721A"/>
    <w:rsid w:val="0084355C"/>
    <w:rsid w:val="008459C6"/>
    <w:rsid w:val="00846D94"/>
    <w:rsid w:val="008508AB"/>
    <w:rsid w:val="00851672"/>
    <w:rsid w:val="00854F58"/>
    <w:rsid w:val="008557B8"/>
    <w:rsid w:val="00860760"/>
    <w:rsid w:val="008648F8"/>
    <w:rsid w:val="00865A26"/>
    <w:rsid w:val="00865EDB"/>
    <w:rsid w:val="00866956"/>
    <w:rsid w:val="00871ACA"/>
    <w:rsid w:val="0087230F"/>
    <w:rsid w:val="0087495C"/>
    <w:rsid w:val="0087614A"/>
    <w:rsid w:val="00877FCF"/>
    <w:rsid w:val="00884A07"/>
    <w:rsid w:val="00884D25"/>
    <w:rsid w:val="008852A9"/>
    <w:rsid w:val="00885766"/>
    <w:rsid w:val="00886D40"/>
    <w:rsid w:val="008941A6"/>
    <w:rsid w:val="008951BE"/>
    <w:rsid w:val="00895353"/>
    <w:rsid w:val="008A12D2"/>
    <w:rsid w:val="008A21CB"/>
    <w:rsid w:val="008A2C59"/>
    <w:rsid w:val="008B21D6"/>
    <w:rsid w:val="008B6F58"/>
    <w:rsid w:val="008C0916"/>
    <w:rsid w:val="008C13D5"/>
    <w:rsid w:val="008C3047"/>
    <w:rsid w:val="008C538B"/>
    <w:rsid w:val="008C770A"/>
    <w:rsid w:val="008D1044"/>
    <w:rsid w:val="008D129E"/>
    <w:rsid w:val="008D2270"/>
    <w:rsid w:val="008D5B12"/>
    <w:rsid w:val="008E1556"/>
    <w:rsid w:val="008E1B97"/>
    <w:rsid w:val="008E2E57"/>
    <w:rsid w:val="008E6EB1"/>
    <w:rsid w:val="008E719B"/>
    <w:rsid w:val="008F059D"/>
    <w:rsid w:val="008F10AF"/>
    <w:rsid w:val="008F1305"/>
    <w:rsid w:val="008F1E3B"/>
    <w:rsid w:val="008F519F"/>
    <w:rsid w:val="00900CC8"/>
    <w:rsid w:val="0090404F"/>
    <w:rsid w:val="00912257"/>
    <w:rsid w:val="00912721"/>
    <w:rsid w:val="00913361"/>
    <w:rsid w:val="00915510"/>
    <w:rsid w:val="009157C2"/>
    <w:rsid w:val="00921F85"/>
    <w:rsid w:val="00923071"/>
    <w:rsid w:val="00933D20"/>
    <w:rsid w:val="00935E69"/>
    <w:rsid w:val="00954992"/>
    <w:rsid w:val="00955945"/>
    <w:rsid w:val="00956079"/>
    <w:rsid w:val="00963823"/>
    <w:rsid w:val="0096390B"/>
    <w:rsid w:val="00964C5A"/>
    <w:rsid w:val="00965520"/>
    <w:rsid w:val="00965650"/>
    <w:rsid w:val="00965B01"/>
    <w:rsid w:val="00967745"/>
    <w:rsid w:val="00967D04"/>
    <w:rsid w:val="0097296B"/>
    <w:rsid w:val="00980B64"/>
    <w:rsid w:val="00980D8A"/>
    <w:rsid w:val="00980F2E"/>
    <w:rsid w:val="00982199"/>
    <w:rsid w:val="0098224E"/>
    <w:rsid w:val="00986E86"/>
    <w:rsid w:val="009904BC"/>
    <w:rsid w:val="0099139A"/>
    <w:rsid w:val="009942D5"/>
    <w:rsid w:val="009956EE"/>
    <w:rsid w:val="00995FAC"/>
    <w:rsid w:val="009A1544"/>
    <w:rsid w:val="009A2516"/>
    <w:rsid w:val="009A5DD5"/>
    <w:rsid w:val="009A721E"/>
    <w:rsid w:val="009A7287"/>
    <w:rsid w:val="009A7592"/>
    <w:rsid w:val="009B5C31"/>
    <w:rsid w:val="009B621C"/>
    <w:rsid w:val="009C0CD8"/>
    <w:rsid w:val="009C1A50"/>
    <w:rsid w:val="009C38B0"/>
    <w:rsid w:val="009C6A80"/>
    <w:rsid w:val="009C72CD"/>
    <w:rsid w:val="009D07D4"/>
    <w:rsid w:val="009D0E87"/>
    <w:rsid w:val="009D1268"/>
    <w:rsid w:val="009D1E10"/>
    <w:rsid w:val="009D2A32"/>
    <w:rsid w:val="009D6C17"/>
    <w:rsid w:val="009D73DC"/>
    <w:rsid w:val="009E234B"/>
    <w:rsid w:val="009E23F2"/>
    <w:rsid w:val="009E3BD4"/>
    <w:rsid w:val="009E3FE9"/>
    <w:rsid w:val="009E574D"/>
    <w:rsid w:val="009E6A87"/>
    <w:rsid w:val="009E7618"/>
    <w:rsid w:val="009F0435"/>
    <w:rsid w:val="009F1924"/>
    <w:rsid w:val="009F3594"/>
    <w:rsid w:val="009F4905"/>
    <w:rsid w:val="00A039AC"/>
    <w:rsid w:val="00A0704B"/>
    <w:rsid w:val="00A1091D"/>
    <w:rsid w:val="00A12101"/>
    <w:rsid w:val="00A1263E"/>
    <w:rsid w:val="00A131B7"/>
    <w:rsid w:val="00A1497A"/>
    <w:rsid w:val="00A22DB2"/>
    <w:rsid w:val="00A23630"/>
    <w:rsid w:val="00A255D7"/>
    <w:rsid w:val="00A25E63"/>
    <w:rsid w:val="00A33CD5"/>
    <w:rsid w:val="00A40371"/>
    <w:rsid w:val="00A41E2A"/>
    <w:rsid w:val="00A464D5"/>
    <w:rsid w:val="00A51204"/>
    <w:rsid w:val="00A57A56"/>
    <w:rsid w:val="00A60127"/>
    <w:rsid w:val="00A6295F"/>
    <w:rsid w:val="00A64991"/>
    <w:rsid w:val="00A65327"/>
    <w:rsid w:val="00A65B63"/>
    <w:rsid w:val="00A66109"/>
    <w:rsid w:val="00A6722F"/>
    <w:rsid w:val="00A67AC9"/>
    <w:rsid w:val="00A741F2"/>
    <w:rsid w:val="00A752C0"/>
    <w:rsid w:val="00A755A2"/>
    <w:rsid w:val="00A76651"/>
    <w:rsid w:val="00A76B47"/>
    <w:rsid w:val="00A77537"/>
    <w:rsid w:val="00A82F30"/>
    <w:rsid w:val="00A85D3B"/>
    <w:rsid w:val="00A87190"/>
    <w:rsid w:val="00A901BE"/>
    <w:rsid w:val="00A92A64"/>
    <w:rsid w:val="00A939A8"/>
    <w:rsid w:val="00A94486"/>
    <w:rsid w:val="00A953B0"/>
    <w:rsid w:val="00A9664F"/>
    <w:rsid w:val="00AA0201"/>
    <w:rsid w:val="00AA0DDB"/>
    <w:rsid w:val="00AA3010"/>
    <w:rsid w:val="00AA4F6B"/>
    <w:rsid w:val="00AA5A2B"/>
    <w:rsid w:val="00AA6E10"/>
    <w:rsid w:val="00AA7EF6"/>
    <w:rsid w:val="00AB2C7C"/>
    <w:rsid w:val="00AB2CF1"/>
    <w:rsid w:val="00AB4719"/>
    <w:rsid w:val="00AB576D"/>
    <w:rsid w:val="00AB5B64"/>
    <w:rsid w:val="00AB7715"/>
    <w:rsid w:val="00AC13E5"/>
    <w:rsid w:val="00AC562C"/>
    <w:rsid w:val="00AC5ED7"/>
    <w:rsid w:val="00AD15A0"/>
    <w:rsid w:val="00AD32E9"/>
    <w:rsid w:val="00AD4FEF"/>
    <w:rsid w:val="00AD642C"/>
    <w:rsid w:val="00AD6751"/>
    <w:rsid w:val="00AD7D03"/>
    <w:rsid w:val="00AD7F5A"/>
    <w:rsid w:val="00AE11FA"/>
    <w:rsid w:val="00AE1AFC"/>
    <w:rsid w:val="00AE3318"/>
    <w:rsid w:val="00AE45BB"/>
    <w:rsid w:val="00AE547E"/>
    <w:rsid w:val="00AE71DA"/>
    <w:rsid w:val="00AF1BE0"/>
    <w:rsid w:val="00AF5C7A"/>
    <w:rsid w:val="00AF73DC"/>
    <w:rsid w:val="00B00F6D"/>
    <w:rsid w:val="00B00FC4"/>
    <w:rsid w:val="00B013A3"/>
    <w:rsid w:val="00B05F18"/>
    <w:rsid w:val="00B13B42"/>
    <w:rsid w:val="00B15A6F"/>
    <w:rsid w:val="00B162FA"/>
    <w:rsid w:val="00B20301"/>
    <w:rsid w:val="00B20FC9"/>
    <w:rsid w:val="00B23113"/>
    <w:rsid w:val="00B251DC"/>
    <w:rsid w:val="00B27980"/>
    <w:rsid w:val="00B32D14"/>
    <w:rsid w:val="00B34767"/>
    <w:rsid w:val="00B3522A"/>
    <w:rsid w:val="00B36DD2"/>
    <w:rsid w:val="00B37993"/>
    <w:rsid w:val="00B37B11"/>
    <w:rsid w:val="00B415A7"/>
    <w:rsid w:val="00B41857"/>
    <w:rsid w:val="00B42972"/>
    <w:rsid w:val="00B444D4"/>
    <w:rsid w:val="00B466C4"/>
    <w:rsid w:val="00B47537"/>
    <w:rsid w:val="00B5113C"/>
    <w:rsid w:val="00B524AD"/>
    <w:rsid w:val="00B52B68"/>
    <w:rsid w:val="00B54C3A"/>
    <w:rsid w:val="00B54F66"/>
    <w:rsid w:val="00B54F92"/>
    <w:rsid w:val="00B61477"/>
    <w:rsid w:val="00B62605"/>
    <w:rsid w:val="00B64E93"/>
    <w:rsid w:val="00B65823"/>
    <w:rsid w:val="00B668ED"/>
    <w:rsid w:val="00B72E19"/>
    <w:rsid w:val="00B7520B"/>
    <w:rsid w:val="00B77089"/>
    <w:rsid w:val="00B776F6"/>
    <w:rsid w:val="00B8026E"/>
    <w:rsid w:val="00B81FB5"/>
    <w:rsid w:val="00B83FCD"/>
    <w:rsid w:val="00B86A2C"/>
    <w:rsid w:val="00B92223"/>
    <w:rsid w:val="00B92FE1"/>
    <w:rsid w:val="00B94593"/>
    <w:rsid w:val="00B94ADF"/>
    <w:rsid w:val="00B969C0"/>
    <w:rsid w:val="00BA1F9D"/>
    <w:rsid w:val="00BA25B8"/>
    <w:rsid w:val="00BA32DB"/>
    <w:rsid w:val="00BA364E"/>
    <w:rsid w:val="00BA375C"/>
    <w:rsid w:val="00BB178D"/>
    <w:rsid w:val="00BB4946"/>
    <w:rsid w:val="00BB6E7C"/>
    <w:rsid w:val="00BC0F0C"/>
    <w:rsid w:val="00BC5576"/>
    <w:rsid w:val="00BC6A5A"/>
    <w:rsid w:val="00BC71BB"/>
    <w:rsid w:val="00BD0C6A"/>
    <w:rsid w:val="00BD5AE5"/>
    <w:rsid w:val="00BD6352"/>
    <w:rsid w:val="00BD6A4D"/>
    <w:rsid w:val="00BE0058"/>
    <w:rsid w:val="00BE2064"/>
    <w:rsid w:val="00BE76E0"/>
    <w:rsid w:val="00BF14A8"/>
    <w:rsid w:val="00BF1678"/>
    <w:rsid w:val="00BF20B9"/>
    <w:rsid w:val="00BF4AB7"/>
    <w:rsid w:val="00BF4D8A"/>
    <w:rsid w:val="00C02427"/>
    <w:rsid w:val="00C1000E"/>
    <w:rsid w:val="00C119BA"/>
    <w:rsid w:val="00C141EE"/>
    <w:rsid w:val="00C2277E"/>
    <w:rsid w:val="00C23981"/>
    <w:rsid w:val="00C24E28"/>
    <w:rsid w:val="00C2618F"/>
    <w:rsid w:val="00C311A9"/>
    <w:rsid w:val="00C31C0B"/>
    <w:rsid w:val="00C34FC5"/>
    <w:rsid w:val="00C35831"/>
    <w:rsid w:val="00C36598"/>
    <w:rsid w:val="00C37567"/>
    <w:rsid w:val="00C40393"/>
    <w:rsid w:val="00C40AB3"/>
    <w:rsid w:val="00C47339"/>
    <w:rsid w:val="00C501F6"/>
    <w:rsid w:val="00C5050D"/>
    <w:rsid w:val="00C51BD7"/>
    <w:rsid w:val="00C55E60"/>
    <w:rsid w:val="00C56141"/>
    <w:rsid w:val="00C57E1F"/>
    <w:rsid w:val="00C6048D"/>
    <w:rsid w:val="00C60F7C"/>
    <w:rsid w:val="00C614EF"/>
    <w:rsid w:val="00C64251"/>
    <w:rsid w:val="00C74A03"/>
    <w:rsid w:val="00C75072"/>
    <w:rsid w:val="00C75CF9"/>
    <w:rsid w:val="00C77EFF"/>
    <w:rsid w:val="00C81259"/>
    <w:rsid w:val="00C81636"/>
    <w:rsid w:val="00C82A96"/>
    <w:rsid w:val="00C85B4C"/>
    <w:rsid w:val="00C9119A"/>
    <w:rsid w:val="00C915F9"/>
    <w:rsid w:val="00C92E5B"/>
    <w:rsid w:val="00C958B7"/>
    <w:rsid w:val="00C9775D"/>
    <w:rsid w:val="00CA056E"/>
    <w:rsid w:val="00CA096A"/>
    <w:rsid w:val="00CA11CB"/>
    <w:rsid w:val="00CA21AC"/>
    <w:rsid w:val="00CB2332"/>
    <w:rsid w:val="00CB5188"/>
    <w:rsid w:val="00CB5C18"/>
    <w:rsid w:val="00CC1728"/>
    <w:rsid w:val="00CC4F28"/>
    <w:rsid w:val="00CC6967"/>
    <w:rsid w:val="00CD067C"/>
    <w:rsid w:val="00CD0A3B"/>
    <w:rsid w:val="00CD69E3"/>
    <w:rsid w:val="00CD730A"/>
    <w:rsid w:val="00CD741B"/>
    <w:rsid w:val="00CD78C1"/>
    <w:rsid w:val="00CD7F96"/>
    <w:rsid w:val="00CE269B"/>
    <w:rsid w:val="00CE4175"/>
    <w:rsid w:val="00CE451E"/>
    <w:rsid w:val="00CE6C10"/>
    <w:rsid w:val="00CE76B3"/>
    <w:rsid w:val="00CF42F0"/>
    <w:rsid w:val="00CF526E"/>
    <w:rsid w:val="00CF5CE1"/>
    <w:rsid w:val="00CF7969"/>
    <w:rsid w:val="00D00A2C"/>
    <w:rsid w:val="00D02C46"/>
    <w:rsid w:val="00D03AD4"/>
    <w:rsid w:val="00D03D22"/>
    <w:rsid w:val="00D046DD"/>
    <w:rsid w:val="00D04B77"/>
    <w:rsid w:val="00D05B6A"/>
    <w:rsid w:val="00D0766C"/>
    <w:rsid w:val="00D07FC3"/>
    <w:rsid w:val="00D10CF0"/>
    <w:rsid w:val="00D10F56"/>
    <w:rsid w:val="00D131C0"/>
    <w:rsid w:val="00D2662E"/>
    <w:rsid w:val="00D27F82"/>
    <w:rsid w:val="00D3071D"/>
    <w:rsid w:val="00D3093A"/>
    <w:rsid w:val="00D328AA"/>
    <w:rsid w:val="00D33BA4"/>
    <w:rsid w:val="00D346CF"/>
    <w:rsid w:val="00D351A0"/>
    <w:rsid w:val="00D354E3"/>
    <w:rsid w:val="00D411EF"/>
    <w:rsid w:val="00D4573D"/>
    <w:rsid w:val="00D45EBA"/>
    <w:rsid w:val="00D478C1"/>
    <w:rsid w:val="00D47AAC"/>
    <w:rsid w:val="00D47FC3"/>
    <w:rsid w:val="00D51CD2"/>
    <w:rsid w:val="00D52F17"/>
    <w:rsid w:val="00D53DEB"/>
    <w:rsid w:val="00D553DD"/>
    <w:rsid w:val="00D56461"/>
    <w:rsid w:val="00D57612"/>
    <w:rsid w:val="00D5775C"/>
    <w:rsid w:val="00D62815"/>
    <w:rsid w:val="00D7071A"/>
    <w:rsid w:val="00D72F32"/>
    <w:rsid w:val="00D73D66"/>
    <w:rsid w:val="00D751A2"/>
    <w:rsid w:val="00D773C4"/>
    <w:rsid w:val="00D800E8"/>
    <w:rsid w:val="00D81E68"/>
    <w:rsid w:val="00D87CE6"/>
    <w:rsid w:val="00D90DC2"/>
    <w:rsid w:val="00D90EA2"/>
    <w:rsid w:val="00D9122C"/>
    <w:rsid w:val="00D918D1"/>
    <w:rsid w:val="00D956D9"/>
    <w:rsid w:val="00D95AB8"/>
    <w:rsid w:val="00DA328F"/>
    <w:rsid w:val="00DB31A5"/>
    <w:rsid w:val="00DC1D2B"/>
    <w:rsid w:val="00DD21CF"/>
    <w:rsid w:val="00DD3BF8"/>
    <w:rsid w:val="00DD6F7D"/>
    <w:rsid w:val="00DD755E"/>
    <w:rsid w:val="00DE1BED"/>
    <w:rsid w:val="00DE3413"/>
    <w:rsid w:val="00DE527A"/>
    <w:rsid w:val="00DE6E2B"/>
    <w:rsid w:val="00DE7403"/>
    <w:rsid w:val="00DE7411"/>
    <w:rsid w:val="00DF220C"/>
    <w:rsid w:val="00DF30EE"/>
    <w:rsid w:val="00DF3959"/>
    <w:rsid w:val="00DF42F0"/>
    <w:rsid w:val="00DF5182"/>
    <w:rsid w:val="00DF5954"/>
    <w:rsid w:val="00DF70E3"/>
    <w:rsid w:val="00E0334D"/>
    <w:rsid w:val="00E03FAE"/>
    <w:rsid w:val="00E04BCD"/>
    <w:rsid w:val="00E149D3"/>
    <w:rsid w:val="00E15671"/>
    <w:rsid w:val="00E15BF3"/>
    <w:rsid w:val="00E22D43"/>
    <w:rsid w:val="00E24359"/>
    <w:rsid w:val="00E248C4"/>
    <w:rsid w:val="00E25193"/>
    <w:rsid w:val="00E26A87"/>
    <w:rsid w:val="00E26C06"/>
    <w:rsid w:val="00E30AD0"/>
    <w:rsid w:val="00E30C4C"/>
    <w:rsid w:val="00E34E51"/>
    <w:rsid w:val="00E3525D"/>
    <w:rsid w:val="00E40D0F"/>
    <w:rsid w:val="00E41A2A"/>
    <w:rsid w:val="00E430F8"/>
    <w:rsid w:val="00E44F51"/>
    <w:rsid w:val="00E46761"/>
    <w:rsid w:val="00E47071"/>
    <w:rsid w:val="00E4759F"/>
    <w:rsid w:val="00E55273"/>
    <w:rsid w:val="00E56681"/>
    <w:rsid w:val="00E57A02"/>
    <w:rsid w:val="00E57A29"/>
    <w:rsid w:val="00E63CF6"/>
    <w:rsid w:val="00E64DEE"/>
    <w:rsid w:val="00E65B19"/>
    <w:rsid w:val="00E66723"/>
    <w:rsid w:val="00E668AE"/>
    <w:rsid w:val="00E6758F"/>
    <w:rsid w:val="00E67CBA"/>
    <w:rsid w:val="00E701FE"/>
    <w:rsid w:val="00E711B9"/>
    <w:rsid w:val="00E724EA"/>
    <w:rsid w:val="00E737CB"/>
    <w:rsid w:val="00E742F1"/>
    <w:rsid w:val="00E74582"/>
    <w:rsid w:val="00E760C8"/>
    <w:rsid w:val="00E7651C"/>
    <w:rsid w:val="00E8162C"/>
    <w:rsid w:val="00E831CB"/>
    <w:rsid w:val="00E94069"/>
    <w:rsid w:val="00EA0096"/>
    <w:rsid w:val="00EA03D2"/>
    <w:rsid w:val="00EA253D"/>
    <w:rsid w:val="00EA3BF4"/>
    <w:rsid w:val="00EA6B37"/>
    <w:rsid w:val="00EB1F1F"/>
    <w:rsid w:val="00EB2D14"/>
    <w:rsid w:val="00EB2E3B"/>
    <w:rsid w:val="00EB3510"/>
    <w:rsid w:val="00EB4803"/>
    <w:rsid w:val="00EB7BEF"/>
    <w:rsid w:val="00EC00C9"/>
    <w:rsid w:val="00EC2238"/>
    <w:rsid w:val="00EC227C"/>
    <w:rsid w:val="00EC4B75"/>
    <w:rsid w:val="00EC7D00"/>
    <w:rsid w:val="00ED48BF"/>
    <w:rsid w:val="00ED54C9"/>
    <w:rsid w:val="00ED6D51"/>
    <w:rsid w:val="00EE7433"/>
    <w:rsid w:val="00EF33AF"/>
    <w:rsid w:val="00EF3E34"/>
    <w:rsid w:val="00EF5159"/>
    <w:rsid w:val="00F073FF"/>
    <w:rsid w:val="00F101D7"/>
    <w:rsid w:val="00F11CD9"/>
    <w:rsid w:val="00F13634"/>
    <w:rsid w:val="00F13D0C"/>
    <w:rsid w:val="00F155D6"/>
    <w:rsid w:val="00F168D1"/>
    <w:rsid w:val="00F172A6"/>
    <w:rsid w:val="00F20697"/>
    <w:rsid w:val="00F23128"/>
    <w:rsid w:val="00F241AD"/>
    <w:rsid w:val="00F24680"/>
    <w:rsid w:val="00F27363"/>
    <w:rsid w:val="00F303CB"/>
    <w:rsid w:val="00F337D6"/>
    <w:rsid w:val="00F34EA4"/>
    <w:rsid w:val="00F40799"/>
    <w:rsid w:val="00F42B4A"/>
    <w:rsid w:val="00F44861"/>
    <w:rsid w:val="00F469A0"/>
    <w:rsid w:val="00F52AD8"/>
    <w:rsid w:val="00F53CA8"/>
    <w:rsid w:val="00F54ABC"/>
    <w:rsid w:val="00F55842"/>
    <w:rsid w:val="00F5763E"/>
    <w:rsid w:val="00F5782A"/>
    <w:rsid w:val="00F60928"/>
    <w:rsid w:val="00F6283D"/>
    <w:rsid w:val="00F6453E"/>
    <w:rsid w:val="00F647B1"/>
    <w:rsid w:val="00F66A32"/>
    <w:rsid w:val="00F710F0"/>
    <w:rsid w:val="00F73EE4"/>
    <w:rsid w:val="00F73F2E"/>
    <w:rsid w:val="00F75D7E"/>
    <w:rsid w:val="00F82C7F"/>
    <w:rsid w:val="00F85405"/>
    <w:rsid w:val="00F8639A"/>
    <w:rsid w:val="00F86CA8"/>
    <w:rsid w:val="00F9024F"/>
    <w:rsid w:val="00F91444"/>
    <w:rsid w:val="00F9744E"/>
    <w:rsid w:val="00F97D2C"/>
    <w:rsid w:val="00F97DC8"/>
    <w:rsid w:val="00FA296A"/>
    <w:rsid w:val="00FA3A7C"/>
    <w:rsid w:val="00FA530D"/>
    <w:rsid w:val="00FB13BB"/>
    <w:rsid w:val="00FB2EF4"/>
    <w:rsid w:val="00FB7772"/>
    <w:rsid w:val="00FC0786"/>
    <w:rsid w:val="00FC5E6D"/>
    <w:rsid w:val="00FC6932"/>
    <w:rsid w:val="00FD1311"/>
    <w:rsid w:val="00FD2548"/>
    <w:rsid w:val="00FD35F1"/>
    <w:rsid w:val="00FD52AD"/>
    <w:rsid w:val="00FD6C97"/>
    <w:rsid w:val="00FE17BB"/>
    <w:rsid w:val="00FE2EC3"/>
    <w:rsid w:val="00FE4EB4"/>
    <w:rsid w:val="00FE73EF"/>
    <w:rsid w:val="00FF40CD"/>
    <w:rsid w:val="00FF4C88"/>
    <w:rsid w:val="00FF56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CB6EFD"/>
  <w15:docId w15:val="{C6598825-F803-4F77-9EC0-189548F5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C97"/>
    <w:rPr>
      <w:rFonts w:ascii="Times New Roman" w:hAnsi="Times New Roman"/>
      <w:sz w:val="24"/>
      <w:szCs w:val="20"/>
    </w:rPr>
  </w:style>
  <w:style w:type="paragraph" w:styleId="Heading1">
    <w:name w:val="heading 1"/>
    <w:basedOn w:val="Normal"/>
    <w:next w:val="Normal"/>
    <w:link w:val="Heading1Char"/>
    <w:uiPriority w:val="99"/>
    <w:qFormat/>
    <w:rsid w:val="00DF220C"/>
    <w:pPr>
      <w:keepNext/>
      <w:outlineLvl w:val="0"/>
    </w:pPr>
    <w:rPr>
      <w:b/>
    </w:rPr>
  </w:style>
  <w:style w:type="paragraph" w:styleId="Heading2">
    <w:name w:val="heading 2"/>
    <w:basedOn w:val="Normal"/>
    <w:next w:val="Normal"/>
    <w:link w:val="Heading2Char"/>
    <w:uiPriority w:val="99"/>
    <w:qFormat/>
    <w:rsid w:val="00DF220C"/>
    <w:pPr>
      <w:keepNext/>
      <w:spacing w:line="240" w:lineRule="exact"/>
      <w:jc w:val="center"/>
      <w:outlineLvl w:val="1"/>
    </w:pPr>
  </w:style>
  <w:style w:type="paragraph" w:styleId="Heading3">
    <w:name w:val="heading 3"/>
    <w:basedOn w:val="Normal"/>
    <w:next w:val="Normal"/>
    <w:link w:val="Heading3Char"/>
    <w:uiPriority w:val="99"/>
    <w:qFormat/>
    <w:rsid w:val="00DF220C"/>
    <w:pPr>
      <w:keepNext/>
      <w:spacing w:line="240" w:lineRule="exact"/>
      <w:outlineLvl w:val="2"/>
    </w:pPr>
    <w:rPr>
      <w:u w:val="single"/>
    </w:rPr>
  </w:style>
  <w:style w:type="paragraph" w:styleId="Heading4">
    <w:name w:val="heading 4"/>
    <w:basedOn w:val="Normal"/>
    <w:next w:val="Normal"/>
    <w:link w:val="Heading4Char"/>
    <w:semiHidden/>
    <w:unhideWhenUsed/>
    <w:qFormat/>
    <w:locked/>
    <w:rsid w:val="000F20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1D8"/>
    <w:rPr>
      <w:rFonts w:ascii="Cambria" w:hAnsi="Cambria" w:cs="Times New Roman"/>
      <w:b/>
      <w:bCs/>
      <w:kern w:val="32"/>
      <w:sz w:val="32"/>
      <w:szCs w:val="32"/>
    </w:rPr>
  </w:style>
  <w:style w:type="character" w:customStyle="1" w:styleId="Heading2Char">
    <w:name w:val="Heading 2 Char"/>
    <w:basedOn w:val="DefaultParagraphFont"/>
    <w:link w:val="Heading2"/>
    <w:locked/>
    <w:rsid w:val="008311D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311D8"/>
    <w:rPr>
      <w:rFonts w:ascii="Cambria" w:hAnsi="Cambria" w:cs="Times New Roman"/>
      <w:b/>
      <w:bCs/>
      <w:sz w:val="26"/>
      <w:szCs w:val="26"/>
    </w:rPr>
  </w:style>
  <w:style w:type="paragraph" w:styleId="BalloonText">
    <w:name w:val="Balloon Text"/>
    <w:basedOn w:val="Normal"/>
    <w:link w:val="BalloonTextChar"/>
    <w:uiPriority w:val="99"/>
    <w:semiHidden/>
    <w:rsid w:val="00A512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1D8"/>
    <w:rPr>
      <w:rFonts w:ascii="Times New Roman" w:hAnsi="Times New Roman" w:cs="Times New Roman"/>
      <w:sz w:val="2"/>
    </w:rPr>
  </w:style>
  <w:style w:type="paragraph" w:styleId="Header">
    <w:name w:val="header"/>
    <w:basedOn w:val="Normal"/>
    <w:link w:val="HeaderChar"/>
    <w:uiPriority w:val="99"/>
    <w:rsid w:val="00DF220C"/>
    <w:pPr>
      <w:tabs>
        <w:tab w:val="center" w:pos="4320"/>
        <w:tab w:val="right" w:pos="8640"/>
      </w:tabs>
    </w:pPr>
  </w:style>
  <w:style w:type="character" w:customStyle="1" w:styleId="HeaderChar">
    <w:name w:val="Header Char"/>
    <w:basedOn w:val="DefaultParagraphFont"/>
    <w:link w:val="Header"/>
    <w:uiPriority w:val="99"/>
    <w:semiHidden/>
    <w:locked/>
    <w:rsid w:val="008311D8"/>
    <w:rPr>
      <w:rFonts w:ascii="Times New Roman" w:hAnsi="Times New Roman" w:cs="Times New Roman"/>
      <w:sz w:val="20"/>
      <w:szCs w:val="20"/>
    </w:rPr>
  </w:style>
  <w:style w:type="character" w:styleId="PageNumber">
    <w:name w:val="page number"/>
    <w:basedOn w:val="DefaultParagraphFont"/>
    <w:uiPriority w:val="99"/>
    <w:rsid w:val="00DF220C"/>
    <w:rPr>
      <w:rFonts w:cs="Times New Roman"/>
    </w:rPr>
  </w:style>
  <w:style w:type="paragraph" w:styleId="BodyText">
    <w:name w:val="Body Text"/>
    <w:basedOn w:val="Normal"/>
    <w:link w:val="BodyTextChar"/>
    <w:uiPriority w:val="99"/>
    <w:rsid w:val="00DF220C"/>
    <w:pPr>
      <w:spacing w:line="240" w:lineRule="exact"/>
    </w:pPr>
    <w:rPr>
      <w:rFonts w:ascii="Courier" w:hAnsi="Courier"/>
    </w:rPr>
  </w:style>
  <w:style w:type="character" w:customStyle="1" w:styleId="BodyTextChar">
    <w:name w:val="Body Text Char"/>
    <w:basedOn w:val="DefaultParagraphFont"/>
    <w:link w:val="BodyText"/>
    <w:uiPriority w:val="99"/>
    <w:semiHidden/>
    <w:locked/>
    <w:rsid w:val="008311D8"/>
    <w:rPr>
      <w:rFonts w:ascii="Times New Roman" w:hAnsi="Times New Roman" w:cs="Times New Roman"/>
      <w:sz w:val="20"/>
      <w:szCs w:val="20"/>
    </w:rPr>
  </w:style>
  <w:style w:type="paragraph" w:styleId="Footer">
    <w:name w:val="footer"/>
    <w:basedOn w:val="Normal"/>
    <w:link w:val="FooterChar"/>
    <w:uiPriority w:val="99"/>
    <w:rsid w:val="00DF220C"/>
    <w:pPr>
      <w:tabs>
        <w:tab w:val="center" w:pos="4320"/>
        <w:tab w:val="right" w:pos="8640"/>
      </w:tabs>
    </w:pPr>
  </w:style>
  <w:style w:type="character" w:customStyle="1" w:styleId="FooterChar">
    <w:name w:val="Footer Char"/>
    <w:basedOn w:val="DefaultParagraphFont"/>
    <w:link w:val="Footer"/>
    <w:uiPriority w:val="99"/>
    <w:semiHidden/>
    <w:locked/>
    <w:rsid w:val="008311D8"/>
    <w:rPr>
      <w:rFonts w:ascii="Times New Roman" w:hAnsi="Times New Roman" w:cs="Times New Roman"/>
      <w:sz w:val="20"/>
      <w:szCs w:val="20"/>
    </w:rPr>
  </w:style>
  <w:style w:type="paragraph" w:styleId="BodyTextIndent">
    <w:name w:val="Body Text Indent"/>
    <w:basedOn w:val="Normal"/>
    <w:link w:val="BodyTextIndentChar"/>
    <w:uiPriority w:val="99"/>
    <w:rsid w:val="0081424F"/>
    <w:pPr>
      <w:spacing w:after="120"/>
      <w:ind w:left="360"/>
    </w:pPr>
  </w:style>
  <w:style w:type="character" w:customStyle="1" w:styleId="BodyTextIndentChar">
    <w:name w:val="Body Text Indent Char"/>
    <w:basedOn w:val="DefaultParagraphFont"/>
    <w:link w:val="BodyTextIndent"/>
    <w:uiPriority w:val="99"/>
    <w:semiHidden/>
    <w:locked/>
    <w:rsid w:val="008311D8"/>
    <w:rPr>
      <w:rFonts w:ascii="Times New Roman" w:hAnsi="Times New Roman" w:cs="Times New Roman"/>
      <w:sz w:val="20"/>
      <w:szCs w:val="20"/>
    </w:rPr>
  </w:style>
  <w:style w:type="paragraph" w:customStyle="1" w:styleId="FormsFont">
    <w:name w:val="Forms Font"/>
    <w:basedOn w:val="Normal"/>
    <w:uiPriority w:val="99"/>
    <w:rsid w:val="0081424F"/>
    <w:pPr>
      <w:spacing w:before="20" w:line="180" w:lineRule="exact"/>
    </w:pPr>
    <w:rPr>
      <w:rFonts w:ascii="LettrGoth12 BT" w:hAnsi="LettrGoth12 BT"/>
      <w:spacing w:val="18"/>
      <w:sz w:val="20"/>
    </w:rPr>
  </w:style>
  <w:style w:type="paragraph" w:styleId="BodyText3">
    <w:name w:val="Body Text 3"/>
    <w:basedOn w:val="Normal"/>
    <w:link w:val="BodyText3Char"/>
    <w:uiPriority w:val="99"/>
    <w:rsid w:val="0081424F"/>
    <w:pPr>
      <w:spacing w:after="120"/>
    </w:pPr>
    <w:rPr>
      <w:sz w:val="16"/>
      <w:szCs w:val="16"/>
    </w:rPr>
  </w:style>
  <w:style w:type="character" w:customStyle="1" w:styleId="BodyText3Char">
    <w:name w:val="Body Text 3 Char"/>
    <w:basedOn w:val="DefaultParagraphFont"/>
    <w:link w:val="BodyText3"/>
    <w:uiPriority w:val="99"/>
    <w:semiHidden/>
    <w:locked/>
    <w:rsid w:val="008311D8"/>
    <w:rPr>
      <w:rFonts w:ascii="Times New Roman" w:hAnsi="Times New Roman" w:cs="Times New Roman"/>
      <w:sz w:val="16"/>
      <w:szCs w:val="16"/>
    </w:rPr>
  </w:style>
  <w:style w:type="paragraph" w:customStyle="1" w:styleId="Bullet">
    <w:name w:val="Bullet"/>
    <w:basedOn w:val="Normal"/>
    <w:uiPriority w:val="99"/>
    <w:rsid w:val="0081424F"/>
    <w:pPr>
      <w:numPr>
        <w:numId w:val="8"/>
      </w:numPr>
      <w:tabs>
        <w:tab w:val="clear" w:pos="360"/>
      </w:tabs>
      <w:spacing w:after="240" w:line="260" w:lineRule="exact"/>
      <w:ind w:left="720"/>
    </w:pPr>
    <w:rPr>
      <w:rFonts w:ascii="Garamond" w:hAnsi="Garamond"/>
    </w:rPr>
  </w:style>
  <w:style w:type="character" w:styleId="FootnoteReference">
    <w:name w:val="footnote reference"/>
    <w:basedOn w:val="DefaultParagraphFont"/>
    <w:uiPriority w:val="99"/>
    <w:semiHidden/>
    <w:rsid w:val="00FD2548"/>
    <w:rPr>
      <w:rFonts w:cs="Times New Roman"/>
      <w:vertAlign w:val="superscript"/>
    </w:rPr>
  </w:style>
  <w:style w:type="character" w:styleId="CommentReference">
    <w:name w:val="annotation reference"/>
    <w:basedOn w:val="DefaultParagraphFont"/>
    <w:uiPriority w:val="99"/>
    <w:semiHidden/>
    <w:rsid w:val="00CD730A"/>
    <w:rPr>
      <w:rFonts w:cs="Times New Roman"/>
      <w:sz w:val="16"/>
      <w:szCs w:val="16"/>
    </w:rPr>
  </w:style>
  <w:style w:type="paragraph" w:styleId="CommentText">
    <w:name w:val="annotation text"/>
    <w:basedOn w:val="Normal"/>
    <w:link w:val="CommentTextChar"/>
    <w:uiPriority w:val="99"/>
    <w:semiHidden/>
    <w:rsid w:val="00CD730A"/>
    <w:rPr>
      <w:sz w:val="20"/>
    </w:rPr>
  </w:style>
  <w:style w:type="character" w:customStyle="1" w:styleId="CommentTextChar">
    <w:name w:val="Comment Text Char"/>
    <w:basedOn w:val="DefaultParagraphFont"/>
    <w:link w:val="CommentText"/>
    <w:uiPriority w:val="99"/>
    <w:semiHidden/>
    <w:locked/>
    <w:rsid w:val="008311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D730A"/>
    <w:rPr>
      <w:b/>
      <w:bCs/>
    </w:rPr>
  </w:style>
  <w:style w:type="character" w:customStyle="1" w:styleId="CommentSubjectChar">
    <w:name w:val="Comment Subject Char"/>
    <w:basedOn w:val="CommentTextChar"/>
    <w:link w:val="CommentSubject"/>
    <w:uiPriority w:val="99"/>
    <w:semiHidden/>
    <w:locked/>
    <w:rsid w:val="008311D8"/>
    <w:rPr>
      <w:rFonts w:ascii="Times New Roman" w:hAnsi="Times New Roman" w:cs="Times New Roman"/>
      <w:b/>
      <w:bCs/>
      <w:sz w:val="20"/>
      <w:szCs w:val="20"/>
    </w:rPr>
  </w:style>
  <w:style w:type="table" w:styleId="TableGrid">
    <w:name w:val="Table Grid"/>
    <w:basedOn w:val="TableNormal"/>
    <w:uiPriority w:val="99"/>
    <w:rsid w:val="004272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071B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311D8"/>
    <w:rPr>
      <w:rFonts w:ascii="Times New Roman" w:hAnsi="Times New Roman" w:cs="Times New Roman"/>
      <w:sz w:val="2"/>
    </w:rPr>
  </w:style>
  <w:style w:type="paragraph" w:styleId="FootnoteText">
    <w:name w:val="footnote text"/>
    <w:basedOn w:val="Normal"/>
    <w:link w:val="FootnoteTextChar"/>
    <w:uiPriority w:val="99"/>
    <w:semiHidden/>
    <w:rsid w:val="00C55E60"/>
    <w:rPr>
      <w:sz w:val="20"/>
    </w:rPr>
  </w:style>
  <w:style w:type="character" w:customStyle="1" w:styleId="FootnoteTextChar">
    <w:name w:val="Footnote Text Char"/>
    <w:basedOn w:val="DefaultParagraphFont"/>
    <w:link w:val="FootnoteText"/>
    <w:uiPriority w:val="99"/>
    <w:semiHidden/>
    <w:locked/>
    <w:rsid w:val="008311D8"/>
    <w:rPr>
      <w:rFonts w:ascii="Times New Roman" w:hAnsi="Times New Roman" w:cs="Times New Roman"/>
      <w:sz w:val="20"/>
      <w:szCs w:val="20"/>
    </w:rPr>
  </w:style>
  <w:style w:type="paragraph" w:customStyle="1" w:styleId="Default">
    <w:name w:val="Default"/>
    <w:rsid w:val="00553B34"/>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23981"/>
    <w:rPr>
      <w:rFonts w:cs="Times New Roman"/>
      <w:color w:val="0000FF"/>
      <w:u w:val="single"/>
    </w:rPr>
  </w:style>
  <w:style w:type="character" w:styleId="FollowedHyperlink">
    <w:name w:val="FollowedHyperlink"/>
    <w:basedOn w:val="DefaultParagraphFont"/>
    <w:uiPriority w:val="99"/>
    <w:rsid w:val="008F10AF"/>
    <w:rPr>
      <w:rFonts w:cs="Times New Roman"/>
      <w:color w:val="800080"/>
      <w:u w:val="single"/>
    </w:rPr>
  </w:style>
  <w:style w:type="character" w:styleId="Strong">
    <w:name w:val="Strong"/>
    <w:basedOn w:val="DefaultParagraphFont"/>
    <w:uiPriority w:val="22"/>
    <w:qFormat/>
    <w:locked/>
    <w:rsid w:val="00695DD4"/>
    <w:rPr>
      <w:b/>
      <w:bCs/>
    </w:rPr>
  </w:style>
  <w:style w:type="paragraph" w:styleId="Revision">
    <w:name w:val="Revision"/>
    <w:hidden/>
    <w:uiPriority w:val="99"/>
    <w:semiHidden/>
    <w:rsid w:val="00FF4C88"/>
    <w:rPr>
      <w:rFonts w:ascii="Times New Roman" w:hAnsi="Times New Roman"/>
      <w:sz w:val="24"/>
      <w:szCs w:val="20"/>
    </w:rPr>
  </w:style>
  <w:style w:type="character" w:styleId="UnresolvedMention">
    <w:name w:val="Unresolved Mention"/>
    <w:basedOn w:val="DefaultParagraphFont"/>
    <w:uiPriority w:val="99"/>
    <w:semiHidden/>
    <w:unhideWhenUsed/>
    <w:rsid w:val="00F647B1"/>
    <w:rPr>
      <w:color w:val="605E5C"/>
      <w:shd w:val="clear" w:color="auto" w:fill="E1DFDD"/>
    </w:rPr>
  </w:style>
  <w:style w:type="paragraph" w:styleId="ListParagraph">
    <w:name w:val="List Paragraph"/>
    <w:basedOn w:val="Normal"/>
    <w:uiPriority w:val="34"/>
    <w:qFormat/>
    <w:rsid w:val="00B00F6D"/>
    <w:pPr>
      <w:ind w:left="720"/>
      <w:contextualSpacing/>
    </w:pPr>
  </w:style>
  <w:style w:type="paragraph" w:customStyle="1" w:styleId="Level1">
    <w:name w:val="Level 1"/>
    <w:basedOn w:val="Normal"/>
    <w:rsid w:val="00B00F6D"/>
    <w:pPr>
      <w:widowControl w:val="0"/>
      <w:autoSpaceDE w:val="0"/>
      <w:autoSpaceDN w:val="0"/>
      <w:adjustRightInd w:val="0"/>
      <w:ind w:left="360" w:hanging="360"/>
    </w:pPr>
    <w:rPr>
      <w:szCs w:val="24"/>
    </w:rPr>
  </w:style>
  <w:style w:type="character" w:customStyle="1" w:styleId="Heading4Char">
    <w:name w:val="Heading 4 Char"/>
    <w:basedOn w:val="DefaultParagraphFont"/>
    <w:link w:val="Heading4"/>
    <w:semiHidden/>
    <w:rsid w:val="000F2080"/>
    <w:rPr>
      <w:rFonts w:asciiTheme="majorHAnsi" w:eastAsiaTheme="majorEastAsia" w:hAnsiTheme="majorHAnsi" w:cstheme="majorBidi"/>
      <w:i/>
      <w:iCs/>
      <w:color w:val="365F91" w:themeColor="accent1" w:themeShade="BF"/>
      <w:sz w:val="24"/>
      <w:szCs w:val="20"/>
    </w:rPr>
  </w:style>
  <w:style w:type="table" w:styleId="GridTable2">
    <w:name w:val="Grid Table 2"/>
    <w:basedOn w:val="TableNormal"/>
    <w:uiPriority w:val="47"/>
    <w:rsid w:val="0050208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ovinfo.gov/content/pkg/USCODE-2020-title29/pdf/USCODE-2020-title29-chap1-subchapI-sec2.pdf" TargetMode="External" /><Relationship Id="rId7" Type="http://schemas.openxmlformats.org/officeDocument/2006/relationships/hyperlink" Target="https://data.bls.gov/timeseries/CMU1020000000000D" TargetMode="External" /><Relationship Id="rId8" Type="http://schemas.openxmlformats.org/officeDocument/2006/relationships/hyperlink" Target="https://www.bls.gov/cpi/"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2437-055D-4E48-8495-67E2969A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5768</Words>
  <Characters>32109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OMB Clearance C&amp;S Supporting Statement</vt:lpstr>
    </vt:vector>
  </TitlesOfParts>
  <Company>PSB LAN Support</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C&amp;S Supporting Statement</dc:title>
  <dc:creator>Karen Flynn Huff</dc:creator>
  <cp:lastModifiedBy>Kincaid, Nora - BLS</cp:lastModifiedBy>
  <cp:revision>2</cp:revision>
  <cp:lastPrinted>2020-01-15T14:53:00Z</cp:lastPrinted>
  <dcterms:created xsi:type="dcterms:W3CDTF">2023-06-15T13:20:00Z</dcterms:created>
  <dcterms:modified xsi:type="dcterms:W3CDTF">2023-06-15T13:20:00Z</dcterms:modified>
</cp:coreProperties>
</file>