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1591" w:rsidP="00C34A01" w14:paraId="5F6E9019" w14:textId="77777777">
      <w:pPr>
        <w:tabs>
          <w:tab w:val="center" w:pos="4680"/>
        </w:tabs>
        <w:jc w:val="center"/>
        <w:rPr>
          <w:rFonts w:ascii="Times New Roman" w:hAnsi="Times New Roman"/>
          <w:bCs/>
        </w:rPr>
      </w:pPr>
      <w:r w:rsidRPr="006C398A">
        <w:rPr>
          <w:rFonts w:ascii="Times New Roman" w:hAnsi="Times New Roman"/>
          <w:bCs/>
        </w:rPr>
        <w:t>SUPPORTING STATEMENT</w:t>
      </w:r>
    </w:p>
    <w:p w:rsidR="00140F33" w:rsidRPr="006C398A" w:rsidP="00C34A01" w14:paraId="2F9AE5C7" w14:textId="77777777">
      <w:pPr>
        <w:tabs>
          <w:tab w:val="center" w:pos="4680"/>
        </w:tabs>
        <w:jc w:val="center"/>
        <w:rPr>
          <w:rFonts w:ascii="Times New Roman" w:hAnsi="Times New Roman"/>
          <w:bCs/>
        </w:rPr>
      </w:pPr>
      <w:r>
        <w:rPr>
          <w:rFonts w:ascii="Times New Roman" w:hAnsi="Times New Roman"/>
          <w:bCs/>
        </w:rPr>
        <w:t>Internal Revenue Service</w:t>
      </w:r>
    </w:p>
    <w:p w:rsidR="00932631" w:rsidRPr="00C34A01" w:rsidP="00932631" w14:paraId="646DBCD6" w14:textId="77777777">
      <w:pPr>
        <w:tabs>
          <w:tab w:val="center" w:pos="4680"/>
        </w:tabs>
        <w:jc w:val="center"/>
        <w:rPr>
          <w:rFonts w:ascii="Times New Roman" w:hAnsi="Times New Roman"/>
          <w:bCs/>
        </w:rPr>
      </w:pPr>
      <w:r w:rsidRPr="00A551E3">
        <w:rPr>
          <w:rFonts w:ascii="Times New Roman" w:hAnsi="Times New Roman"/>
          <w:bCs/>
        </w:rPr>
        <w:t>(TD 8609)</w:t>
      </w:r>
      <w:r w:rsidRPr="0058761D">
        <w:rPr>
          <w:rFonts w:ascii="Times New Roman" w:hAnsi="Times New Roman"/>
          <w:color w:val="333333"/>
        </w:rPr>
        <w:t xml:space="preserve"> </w:t>
      </w:r>
      <w:bookmarkStart w:id="0" w:name="_Hlk133569363"/>
      <w:r w:rsidRPr="00C34A01" w:rsidR="00EA3519">
        <w:rPr>
          <w:rFonts w:ascii="Times New Roman" w:hAnsi="Times New Roman"/>
          <w:bCs/>
        </w:rPr>
        <w:t>Gasoline Excise Tax</w:t>
      </w:r>
      <w:r w:rsidR="00EA3519">
        <w:rPr>
          <w:rFonts w:ascii="Times New Roman" w:hAnsi="Times New Roman"/>
          <w:bCs/>
        </w:rPr>
        <w:t xml:space="preserve"> and </w:t>
      </w:r>
      <w:r w:rsidRPr="00C34A01">
        <w:rPr>
          <w:rFonts w:ascii="Times New Roman" w:hAnsi="Times New Roman"/>
          <w:bCs/>
        </w:rPr>
        <w:t>Gasohol; Compressed Natural Gas</w:t>
      </w:r>
      <w:r w:rsidR="00453BCD">
        <w:rPr>
          <w:rFonts w:ascii="Times New Roman" w:hAnsi="Times New Roman"/>
          <w:bCs/>
        </w:rPr>
        <w:t xml:space="preserve"> </w:t>
      </w:r>
      <w:r w:rsidRPr="00C34A01">
        <w:rPr>
          <w:rFonts w:ascii="Times New Roman" w:hAnsi="Times New Roman"/>
          <w:bCs/>
        </w:rPr>
        <w:t xml:space="preserve"> </w:t>
      </w:r>
      <w:bookmarkEnd w:id="0"/>
    </w:p>
    <w:p w:rsidR="00CF1591" w:rsidRPr="00C34A01" w:rsidP="005C5BA5" w14:paraId="60F24AC3" w14:textId="77777777">
      <w:pPr>
        <w:tabs>
          <w:tab w:val="center" w:pos="4680"/>
        </w:tabs>
        <w:jc w:val="center"/>
        <w:rPr>
          <w:rFonts w:ascii="Times New Roman" w:hAnsi="Times New Roman"/>
          <w:b/>
          <w:bCs/>
        </w:rPr>
      </w:pPr>
      <w:r w:rsidRPr="00C34A01">
        <w:rPr>
          <w:rFonts w:ascii="Times New Roman" w:hAnsi="Times New Roman"/>
          <w:bCs/>
        </w:rPr>
        <w:t xml:space="preserve">OMB </w:t>
      </w:r>
      <w:r w:rsidR="00A551E3">
        <w:rPr>
          <w:rFonts w:ascii="Times New Roman" w:hAnsi="Times New Roman"/>
          <w:bCs/>
        </w:rPr>
        <w:t>#</w:t>
      </w:r>
      <w:r w:rsidRPr="00C34A01">
        <w:rPr>
          <w:rFonts w:ascii="Times New Roman" w:hAnsi="Times New Roman"/>
          <w:bCs/>
        </w:rPr>
        <w:t>1545-1270</w:t>
      </w:r>
    </w:p>
    <w:p w:rsidR="00CF1591" w14:paraId="4A2AFFB1" w14:textId="77777777">
      <w:pPr>
        <w:rPr>
          <w:rFonts w:ascii="Times New Roman" w:hAnsi="Times New Roman"/>
          <w:b/>
          <w:bCs/>
        </w:rPr>
      </w:pPr>
    </w:p>
    <w:p w:rsidR="00140F33" w:rsidRPr="00C34A01" w14:paraId="6EA015DF" w14:textId="77777777">
      <w:pPr>
        <w:rPr>
          <w:rFonts w:ascii="Times New Roman" w:hAnsi="Times New Roman"/>
          <w:b/>
          <w:bCs/>
        </w:rPr>
      </w:pPr>
    </w:p>
    <w:p w:rsidR="00CF1591" w:rsidRPr="00C34A01" w:rsidP="009136CD" w14:paraId="0E73ED6C" w14:textId="77777777">
      <w:pPr>
        <w:pStyle w:val="Level1"/>
        <w:tabs>
          <w:tab w:val="num" w:pos="720"/>
        </w:tabs>
        <w:rPr>
          <w:rFonts w:ascii="Times New Roman" w:hAnsi="Times New Roman"/>
          <w:b/>
        </w:rPr>
      </w:pPr>
      <w:r w:rsidRPr="00C34A01">
        <w:rPr>
          <w:rFonts w:ascii="Times New Roman" w:hAnsi="Times New Roman"/>
          <w:b/>
          <w:u w:val="single"/>
        </w:rPr>
        <w:t>CIRCUMSTANCES NECESSITATING COLLECTION OF INFORMATION</w:t>
      </w:r>
    </w:p>
    <w:p w:rsidR="00CF1591" w:rsidRPr="00C34A01" w:rsidP="009136CD" w14:paraId="106800CF" w14:textId="77777777">
      <w:pPr>
        <w:tabs>
          <w:tab w:val="num" w:pos="720"/>
        </w:tabs>
        <w:ind w:hanging="720"/>
        <w:rPr>
          <w:rFonts w:ascii="Times New Roman" w:hAnsi="Times New Roman"/>
        </w:rPr>
      </w:pPr>
    </w:p>
    <w:p w:rsidR="00791CF8" w:rsidP="00F62D30" w14:paraId="00F3BE00" w14:textId="61C7B19B">
      <w:pPr>
        <w:tabs>
          <w:tab w:val="num" w:pos="720"/>
        </w:tabs>
        <w:ind w:left="720"/>
        <w:rPr>
          <w:rFonts w:ascii="Times New Roman" w:hAnsi="Times New Roman"/>
        </w:rPr>
      </w:pPr>
      <w:r>
        <w:rPr>
          <w:rFonts w:ascii="Times New Roman" w:hAnsi="Times New Roman"/>
        </w:rPr>
        <w:t xml:space="preserve">Sections 4081 and 4082 of the Internal Revenue Code impose and provide certain rules relating to the federal gasoline excise tax and were amended by </w:t>
      </w:r>
      <w:r w:rsidR="00453BCD">
        <w:rPr>
          <w:rFonts w:ascii="Times New Roman" w:hAnsi="Times New Roman"/>
        </w:rPr>
        <w:t xml:space="preserve">the Tax Reform Act of 1986 </w:t>
      </w:r>
      <w:r w:rsidR="0006507A">
        <w:rPr>
          <w:rFonts w:ascii="Times New Roman" w:hAnsi="Times New Roman"/>
        </w:rPr>
        <w:t>(Pub. L. 99-514</w:t>
      </w:r>
      <w:r w:rsidR="00000A29">
        <w:rPr>
          <w:rFonts w:ascii="Times New Roman" w:hAnsi="Times New Roman"/>
        </w:rPr>
        <w:t xml:space="preserve">) </w:t>
      </w:r>
      <w:r w:rsidR="00453BCD">
        <w:rPr>
          <w:rFonts w:ascii="Times New Roman" w:hAnsi="Times New Roman"/>
        </w:rPr>
        <w:t>and the Rev</w:t>
      </w:r>
      <w:r>
        <w:rPr>
          <w:rFonts w:ascii="Times New Roman" w:hAnsi="Times New Roman"/>
        </w:rPr>
        <w:t>enue Reconciliation Act of 1990</w:t>
      </w:r>
      <w:r w:rsidR="00000A29">
        <w:rPr>
          <w:rFonts w:ascii="Times New Roman" w:hAnsi="Times New Roman"/>
        </w:rPr>
        <w:t xml:space="preserve"> (Pub.</w:t>
      </w:r>
      <w:r w:rsidR="0006507A">
        <w:rPr>
          <w:rFonts w:ascii="Times New Roman" w:hAnsi="Times New Roman"/>
        </w:rPr>
        <w:t xml:space="preserve"> </w:t>
      </w:r>
      <w:r w:rsidR="00000A29">
        <w:rPr>
          <w:rFonts w:ascii="Times New Roman" w:hAnsi="Times New Roman"/>
        </w:rPr>
        <w:t>L. 101-508</w:t>
      </w:r>
      <w:r w:rsidR="0006507A">
        <w:rPr>
          <w:rFonts w:ascii="Times New Roman" w:hAnsi="Times New Roman"/>
        </w:rPr>
        <w:t>)</w:t>
      </w:r>
      <w:r>
        <w:rPr>
          <w:rFonts w:ascii="Times New Roman" w:hAnsi="Times New Roman"/>
        </w:rPr>
        <w:t xml:space="preserve">.  </w:t>
      </w:r>
      <w:r w:rsidR="00EA3519">
        <w:rPr>
          <w:rFonts w:ascii="Times New Roman" w:hAnsi="Times New Roman"/>
        </w:rPr>
        <w:t>Treasury Decision (TD) 8421</w:t>
      </w:r>
      <w:r>
        <w:rPr>
          <w:rFonts w:ascii="Times New Roman" w:hAnsi="Times New Roman"/>
        </w:rPr>
        <w:t xml:space="preserve"> implement</w:t>
      </w:r>
      <w:r w:rsidR="00EA3519">
        <w:rPr>
          <w:rFonts w:ascii="Times New Roman" w:hAnsi="Times New Roman"/>
        </w:rPr>
        <w:t>s</w:t>
      </w:r>
      <w:r>
        <w:rPr>
          <w:rFonts w:ascii="Times New Roman" w:hAnsi="Times New Roman"/>
        </w:rPr>
        <w:t xml:space="preserve"> changes made</w:t>
      </w:r>
      <w:r w:rsidR="00504FE1">
        <w:rPr>
          <w:rFonts w:ascii="Times New Roman" w:hAnsi="Times New Roman"/>
        </w:rPr>
        <w:t xml:space="preserve"> by</w:t>
      </w:r>
      <w:r>
        <w:rPr>
          <w:rFonts w:ascii="Times New Roman" w:hAnsi="Times New Roman"/>
        </w:rPr>
        <w:t xml:space="preserve"> </w:t>
      </w:r>
      <w:r>
        <w:rPr>
          <w:rFonts w:ascii="Times New Roman" w:hAnsi="Times New Roman"/>
        </w:rPr>
        <w:t>the Acts</w:t>
      </w:r>
      <w:r w:rsidR="00453BCD">
        <w:rPr>
          <w:rFonts w:ascii="Times New Roman" w:hAnsi="Times New Roman"/>
        </w:rPr>
        <w:t xml:space="preserve"> and affect refiners, importers, and distributors of gasoline and provide guidance relating to taxable transactions, person liable for tax, gasoline blendstocks, and gasohol. </w:t>
      </w:r>
    </w:p>
    <w:p w:rsidR="00791CF8" w:rsidP="00F62D30" w14:paraId="21CCAD57" w14:textId="77777777">
      <w:pPr>
        <w:tabs>
          <w:tab w:val="num" w:pos="720"/>
        </w:tabs>
        <w:ind w:left="720"/>
        <w:rPr>
          <w:rFonts w:ascii="Times New Roman" w:hAnsi="Times New Roman"/>
        </w:rPr>
      </w:pPr>
    </w:p>
    <w:p w:rsidR="00CF1591" w:rsidP="00F62D30" w14:paraId="4422A3F2" w14:textId="77777777">
      <w:pPr>
        <w:tabs>
          <w:tab w:val="num" w:pos="720"/>
        </w:tabs>
        <w:ind w:left="720"/>
        <w:rPr>
          <w:rFonts w:ascii="Times New Roman" w:hAnsi="Times New Roman"/>
        </w:rPr>
      </w:pPr>
      <w:r>
        <w:rPr>
          <w:rFonts w:ascii="Times New Roman" w:hAnsi="Times New Roman"/>
        </w:rPr>
        <w:t>Treas</w:t>
      </w:r>
      <w:r>
        <w:rPr>
          <w:rFonts w:ascii="Times New Roman" w:hAnsi="Times New Roman"/>
        </w:rPr>
        <w:t>ury Decision 86</w:t>
      </w:r>
      <w:r w:rsidR="0006507A">
        <w:rPr>
          <w:rFonts w:ascii="Times New Roman" w:hAnsi="Times New Roman"/>
        </w:rPr>
        <w:t>09</w:t>
      </w:r>
      <w:r>
        <w:rPr>
          <w:rFonts w:ascii="Times New Roman" w:hAnsi="Times New Roman"/>
        </w:rPr>
        <w:t xml:space="preserve"> implements changes made by the Energy Policy Act of 1992 </w:t>
      </w:r>
      <w:r w:rsidR="0006507A">
        <w:rPr>
          <w:rFonts w:ascii="Times New Roman" w:hAnsi="Times New Roman"/>
        </w:rPr>
        <w:t xml:space="preserve">(Pub. L. 102-486) </w:t>
      </w:r>
      <w:r>
        <w:rPr>
          <w:rFonts w:ascii="Times New Roman" w:hAnsi="Times New Roman"/>
        </w:rPr>
        <w:t>and the Omnibus Budget Reconciliation Act of 1993</w:t>
      </w:r>
      <w:r w:rsidR="0006507A">
        <w:rPr>
          <w:rFonts w:ascii="Times New Roman" w:hAnsi="Times New Roman"/>
        </w:rPr>
        <w:t xml:space="preserve"> (Pub. L. 103-66)</w:t>
      </w:r>
      <w:r>
        <w:rPr>
          <w:rFonts w:ascii="Times New Roman" w:hAnsi="Times New Roman"/>
        </w:rPr>
        <w:t xml:space="preserve"> relating to gasohol blending and tax on compressed natural gas (CNG).  Regulations relating to g</w:t>
      </w:r>
      <w:r>
        <w:rPr>
          <w:rFonts w:ascii="Times New Roman" w:hAnsi="Times New Roman"/>
        </w:rPr>
        <w:t>asohol bending affects certain blenders, enterers, refiners, and throughputters and those relating to CNG affect persons that sell or buy CNG for use as a fuel in a motor vehicle or motorboat.</w:t>
      </w:r>
    </w:p>
    <w:p w:rsidR="009136CD" w:rsidRPr="009136CD" w14:paraId="7FF848E0" w14:textId="77777777">
      <w:pPr>
        <w:rPr>
          <w:rFonts w:ascii="Times New Roman" w:hAnsi="Times New Roman"/>
        </w:rPr>
      </w:pPr>
    </w:p>
    <w:p w:rsidR="00CF1591" w:rsidRPr="00C34A01" w14:paraId="7310A651" w14:textId="77777777">
      <w:pPr>
        <w:pStyle w:val="Level1"/>
        <w:tabs>
          <w:tab w:val="left" w:pos="-1440"/>
          <w:tab w:val="num" w:pos="720"/>
        </w:tabs>
        <w:rPr>
          <w:rFonts w:ascii="Times New Roman" w:hAnsi="Times New Roman"/>
          <w:b/>
        </w:rPr>
      </w:pPr>
      <w:r w:rsidRPr="00C34A01">
        <w:rPr>
          <w:rFonts w:ascii="Times New Roman" w:hAnsi="Times New Roman"/>
          <w:b/>
          <w:u w:val="single"/>
        </w:rPr>
        <w:t>USE OF DATA</w:t>
      </w:r>
      <w:r w:rsidRPr="00C34A01">
        <w:rPr>
          <w:rFonts w:ascii="Times New Roman" w:hAnsi="Times New Roman"/>
          <w:b/>
        </w:rPr>
        <w:t xml:space="preserve"> </w:t>
      </w:r>
    </w:p>
    <w:p w:rsidR="00CF1591" w:rsidRPr="00C34A01" w14:paraId="60C975D3" w14:textId="77777777">
      <w:pPr>
        <w:rPr>
          <w:rFonts w:ascii="Times New Roman" w:hAnsi="Times New Roman"/>
        </w:rPr>
      </w:pPr>
    </w:p>
    <w:p w:rsidR="00FE1D94" w14:paraId="2BB9F7FF" w14:textId="77777777">
      <w:pPr>
        <w:ind w:left="720"/>
        <w:rPr>
          <w:rFonts w:ascii="Times New Roman" w:hAnsi="Times New Roman"/>
        </w:rPr>
      </w:pPr>
      <w:r>
        <w:rPr>
          <w:rFonts w:ascii="Times New Roman" w:hAnsi="Times New Roman"/>
        </w:rPr>
        <w:t>The</w:t>
      </w:r>
      <w:r w:rsidR="00EA3519">
        <w:rPr>
          <w:rFonts w:ascii="Times New Roman" w:hAnsi="Times New Roman"/>
        </w:rPr>
        <w:t xml:space="preserve"> information </w:t>
      </w:r>
      <w:r>
        <w:rPr>
          <w:rFonts w:ascii="Times New Roman" w:hAnsi="Times New Roman"/>
        </w:rPr>
        <w:t>collection requirements under TD</w:t>
      </w:r>
      <w:r>
        <w:rPr>
          <w:rFonts w:ascii="Times New Roman" w:hAnsi="Times New Roman"/>
        </w:rPr>
        <w:t xml:space="preserve"> 8421 is used for notification of a person’s registration status, and </w:t>
      </w:r>
      <w:r w:rsidR="00537668">
        <w:rPr>
          <w:rFonts w:ascii="Times New Roman" w:hAnsi="Times New Roman"/>
        </w:rPr>
        <w:t>provides</w:t>
      </w:r>
      <w:r>
        <w:rPr>
          <w:rFonts w:ascii="Times New Roman" w:hAnsi="Times New Roman"/>
        </w:rPr>
        <w:t xml:space="preserve"> support of tax-free sales of gasoline blend stocks and </w:t>
      </w:r>
      <w:r w:rsidR="00537668">
        <w:rPr>
          <w:rFonts w:ascii="Times New Roman" w:hAnsi="Times New Roman"/>
        </w:rPr>
        <w:t>additives</w:t>
      </w:r>
      <w:r>
        <w:rPr>
          <w:rFonts w:ascii="Times New Roman" w:hAnsi="Times New Roman"/>
        </w:rPr>
        <w:t xml:space="preserve">, reduced-rate sale of gasoline for gasohol production and certain refund claims. </w:t>
      </w:r>
    </w:p>
    <w:p w:rsidR="00FE1D94" w14:paraId="186BAB09" w14:textId="77777777">
      <w:pPr>
        <w:ind w:left="720"/>
        <w:rPr>
          <w:rFonts w:ascii="Times New Roman" w:hAnsi="Times New Roman"/>
        </w:rPr>
      </w:pPr>
    </w:p>
    <w:p w:rsidR="00401D93" w14:paraId="758D30FD" w14:textId="77777777">
      <w:pPr>
        <w:ind w:left="720"/>
        <w:rPr>
          <w:rFonts w:ascii="Times New Roman" w:hAnsi="Times New Roman"/>
        </w:rPr>
      </w:pPr>
      <w:r>
        <w:rPr>
          <w:rFonts w:ascii="Times New Roman" w:hAnsi="Times New Roman"/>
        </w:rPr>
        <w:t xml:space="preserve">The information </w:t>
      </w:r>
      <w:r>
        <w:rPr>
          <w:rFonts w:ascii="Times New Roman" w:hAnsi="Times New Roman"/>
        </w:rPr>
        <w:t>collection requirements under TD 86</w:t>
      </w:r>
      <w:r w:rsidR="0006507A">
        <w:rPr>
          <w:rFonts w:ascii="Times New Roman" w:hAnsi="Times New Roman"/>
        </w:rPr>
        <w:t>09</w:t>
      </w:r>
      <w:r>
        <w:rPr>
          <w:rFonts w:ascii="Times New Roman" w:hAnsi="Times New Roman"/>
        </w:rPr>
        <w:t xml:space="preserve"> are required to verify compliance with section 4041 and 6427 of the Code and will be used to determine whether an amount of tax, credit or payment has been computed correctly.</w:t>
      </w:r>
      <w:r w:rsidRPr="00C34A01">
        <w:rPr>
          <w:rFonts w:ascii="Times New Roman" w:hAnsi="Times New Roman"/>
        </w:rPr>
        <w:t xml:space="preserve"> </w:t>
      </w:r>
    </w:p>
    <w:p w:rsidR="00C930F1" w:rsidRPr="00C34A01" w14:paraId="449D4701" w14:textId="77777777">
      <w:pPr>
        <w:ind w:left="720"/>
        <w:rPr>
          <w:rFonts w:ascii="Times New Roman" w:hAnsi="Times New Roman"/>
        </w:rPr>
      </w:pPr>
    </w:p>
    <w:p w:rsidR="00CF1591" w:rsidRPr="00C34A01" w:rsidP="00FE1D94" w14:paraId="60B9DD2F" w14:textId="77777777">
      <w:pPr>
        <w:numPr>
          <w:ilvl w:val="0"/>
          <w:numId w:val="1"/>
        </w:numPr>
        <w:rPr>
          <w:rFonts w:ascii="Times New Roman" w:hAnsi="Times New Roman"/>
          <w:b/>
        </w:rPr>
      </w:pPr>
      <w:r w:rsidRPr="00C34A01">
        <w:rPr>
          <w:rFonts w:ascii="Times New Roman" w:hAnsi="Times New Roman"/>
          <w:b/>
          <w:u w:val="single"/>
        </w:rPr>
        <w:t xml:space="preserve">USE OF IMPROVED INFORMATION </w:t>
      </w:r>
      <w:r w:rsidRPr="00C34A01">
        <w:rPr>
          <w:rFonts w:ascii="Times New Roman" w:hAnsi="Times New Roman"/>
          <w:b/>
          <w:u w:val="single"/>
        </w:rPr>
        <w:t>TECHNOLOGY TO REDUCE BURDEN</w:t>
      </w:r>
    </w:p>
    <w:p w:rsidR="00A551E3" w:rsidRPr="0058761D" w:rsidP="00A551E3" w14:paraId="55673C86" w14:textId="77777777">
      <w:pPr>
        <w:numPr>
          <w:ilvl w:val="12"/>
          <w:numId w:val="0"/>
        </w:numPr>
        <w:rPr>
          <w:rFonts w:ascii="Times New Roman" w:hAnsi="Times New Roman"/>
          <w:b/>
          <w:bCs/>
        </w:rPr>
      </w:pPr>
    </w:p>
    <w:p w:rsidR="00A551E3" w:rsidRPr="0058761D" w:rsidP="00A551E3" w14:paraId="7489C275" w14:textId="77777777">
      <w:pPr>
        <w:numPr>
          <w:ilvl w:val="12"/>
          <w:numId w:val="0"/>
        </w:numPr>
        <w:ind w:left="720"/>
        <w:rPr>
          <w:rFonts w:ascii="Times New Roman" w:hAnsi="Times New Roman"/>
        </w:rPr>
      </w:pPr>
      <w:r w:rsidRPr="0058761D">
        <w:rPr>
          <w:rFonts w:ascii="Times New Roman" w:hAnsi="Times New Roman"/>
        </w:rPr>
        <w:t>There are no plans to provide electronic filing because electronic filing is not appropriate for the collection of information in this submission.</w:t>
      </w:r>
    </w:p>
    <w:p w:rsidR="00A551E3" w:rsidRPr="00C34A01" w:rsidP="00A551E3" w14:paraId="63F60447" w14:textId="77777777">
      <w:pPr>
        <w:ind w:left="720"/>
        <w:rPr>
          <w:rFonts w:ascii="Times New Roman" w:hAnsi="Times New Roman"/>
        </w:rPr>
      </w:pPr>
    </w:p>
    <w:p w:rsidR="00CF1591" w:rsidRPr="00C34A01" w14:paraId="700F08B5" w14:textId="77777777">
      <w:pPr>
        <w:pStyle w:val="Level1"/>
        <w:tabs>
          <w:tab w:val="left" w:pos="-1440"/>
          <w:tab w:val="num" w:pos="720"/>
        </w:tabs>
        <w:rPr>
          <w:rFonts w:ascii="Times New Roman" w:hAnsi="Times New Roman"/>
          <w:b/>
        </w:rPr>
      </w:pPr>
      <w:r w:rsidRPr="00C34A01">
        <w:rPr>
          <w:rFonts w:ascii="Times New Roman" w:hAnsi="Times New Roman"/>
          <w:b/>
          <w:u w:val="single"/>
        </w:rPr>
        <w:t>EFFORTS TO IDENTIFY DUPLICATION</w:t>
      </w:r>
    </w:p>
    <w:p w:rsidR="00CF1591" w:rsidRPr="00C34A01" w14:paraId="0BCDFDB2" w14:textId="77777777">
      <w:pPr>
        <w:rPr>
          <w:rFonts w:ascii="Times New Roman" w:hAnsi="Times New Roman"/>
        </w:rPr>
      </w:pPr>
    </w:p>
    <w:p w:rsidR="00A551E3" w:rsidRPr="0058761D" w:rsidP="00A551E3" w14:paraId="788A458A" w14:textId="77777777">
      <w:pPr>
        <w:ind w:left="720"/>
        <w:rPr>
          <w:rFonts w:ascii="Times New Roman" w:hAnsi="Times New Roman"/>
          <w:b/>
          <w:iCs/>
        </w:rPr>
      </w:pPr>
      <w:r w:rsidRPr="0058761D">
        <w:rPr>
          <w:rFonts w:ascii="Times New Roman" w:hAnsi="Times New Roman"/>
          <w:iCs/>
        </w:rPr>
        <w:t>The information obtained through this collecti</w:t>
      </w:r>
      <w:r w:rsidRPr="0058761D">
        <w:rPr>
          <w:rFonts w:ascii="Times New Roman" w:hAnsi="Times New Roman"/>
          <w:iCs/>
        </w:rPr>
        <w:t xml:space="preserve">on is unique and is not already available for use or adaptation from another source. </w:t>
      </w:r>
    </w:p>
    <w:p w:rsidR="00CF1591" w:rsidRPr="00C34A01" w14:paraId="6B9AC1F5" w14:textId="77777777">
      <w:pPr>
        <w:rPr>
          <w:rFonts w:ascii="Times New Roman" w:hAnsi="Times New Roman"/>
        </w:rPr>
      </w:pPr>
    </w:p>
    <w:p w:rsidR="00CF1591" w:rsidRPr="00C34A01" w14:paraId="2B0FB38A" w14:textId="77777777">
      <w:pPr>
        <w:pStyle w:val="Level1"/>
        <w:tabs>
          <w:tab w:val="left" w:pos="-1440"/>
          <w:tab w:val="num" w:pos="720"/>
        </w:tabs>
        <w:rPr>
          <w:rFonts w:ascii="Times New Roman" w:hAnsi="Times New Roman"/>
          <w:b/>
          <w:u w:val="single"/>
        </w:rPr>
      </w:pPr>
      <w:r>
        <w:rPr>
          <w:rFonts w:ascii="Times New Roman" w:hAnsi="Times New Roman"/>
          <w:b/>
          <w:u w:val="single"/>
        </w:rPr>
        <w:br w:type="page"/>
      </w:r>
      <w:r w:rsidRPr="00C34A01">
        <w:rPr>
          <w:rFonts w:ascii="Times New Roman" w:hAnsi="Times New Roman"/>
          <w:b/>
          <w:u w:val="single"/>
        </w:rPr>
        <w:t>METHODS TO MINIMIZE BURDEN ON SMALL BUSINESSES OR OTHER SMALL ENTITIES</w:t>
      </w:r>
    </w:p>
    <w:p w:rsidR="00CF1591" w:rsidRPr="00C34A01" w14:paraId="14677F64" w14:textId="77777777">
      <w:pPr>
        <w:rPr>
          <w:rFonts w:ascii="Times New Roman" w:hAnsi="Times New Roman"/>
        </w:rPr>
      </w:pPr>
    </w:p>
    <w:p w:rsidR="00A551E3" w:rsidP="00A551E3" w14:paraId="618ED307" w14:textId="77777777">
      <w:pPr>
        <w:spacing w:line="268" w:lineRule="exact"/>
        <w:ind w:left="630" w:right="624"/>
        <w:rPr>
          <w:rFonts w:ascii="Times New Roman" w:hAnsi="Times New Roman"/>
        </w:rPr>
      </w:pPr>
      <w:r w:rsidRPr="0058761D">
        <w:rPr>
          <w:rFonts w:ascii="Times New Roman" w:hAnsi="Times New Roman"/>
        </w:rPr>
        <w:t>The collection of information requirement will not have a significant economic impact on a subst</w:t>
      </w:r>
      <w:r w:rsidRPr="0058761D">
        <w:rPr>
          <w:rFonts w:ascii="Times New Roman" w:hAnsi="Times New Roman"/>
        </w:rPr>
        <w:t>antial number of small entities.</w:t>
      </w:r>
    </w:p>
    <w:p w:rsidR="00CF1591" w:rsidRPr="00C34A01" w14:paraId="3F429A1F" w14:textId="77777777">
      <w:pPr>
        <w:rPr>
          <w:rFonts w:ascii="Times New Roman" w:hAnsi="Times New Roman"/>
        </w:rPr>
      </w:pPr>
    </w:p>
    <w:p w:rsidR="00CF1591" w:rsidRPr="00C34A01" w14:paraId="791F6449" w14:textId="77777777">
      <w:pPr>
        <w:pStyle w:val="Level1"/>
        <w:tabs>
          <w:tab w:val="left" w:pos="-1440"/>
          <w:tab w:val="num" w:pos="720"/>
        </w:tabs>
        <w:rPr>
          <w:rFonts w:ascii="Times New Roman" w:hAnsi="Times New Roman"/>
          <w:b/>
        </w:rPr>
      </w:pPr>
      <w:r w:rsidRPr="00C34A01">
        <w:rPr>
          <w:rFonts w:ascii="Times New Roman" w:hAnsi="Times New Roman"/>
          <w:b/>
          <w:u w:val="single"/>
        </w:rPr>
        <w:t>CONSEQUENCES OF LESS FREQUENT COLLECTION ON FEDERAL PROGRAMS OR POLICY ACTIVITIES</w:t>
      </w:r>
    </w:p>
    <w:p w:rsidR="00CF1591" w:rsidRPr="00C34A01" w14:paraId="44573A3B" w14:textId="77777777">
      <w:pPr>
        <w:rPr>
          <w:rFonts w:ascii="Times New Roman" w:hAnsi="Times New Roman"/>
        </w:rPr>
      </w:pPr>
    </w:p>
    <w:p w:rsidR="00CF1591" w:rsidRPr="00C34A01" w14:paraId="6161D10F" w14:textId="77777777">
      <w:pPr>
        <w:ind w:left="720"/>
        <w:rPr>
          <w:rFonts w:ascii="Times New Roman" w:hAnsi="Times New Roman"/>
        </w:rPr>
      </w:pPr>
      <w:r w:rsidRPr="004D53C3">
        <w:rPr>
          <w:rFonts w:ascii="Times New Roman" w:hAnsi="Times New Roman"/>
        </w:rPr>
        <w:t>The consequences are that the IRS will have to spend more taxpayer assistance resources to collect this data through other means.  This wil</w:t>
      </w:r>
      <w:r w:rsidRPr="004D53C3">
        <w:rPr>
          <w:rFonts w:ascii="Times New Roman" w:hAnsi="Times New Roman"/>
        </w:rPr>
        <w:t>l compromise the Agency’s ability to enforce tax compliance.  Tax compliance is a vital part of the government’s ability to meet its’ mission and serve the public.</w:t>
      </w:r>
    </w:p>
    <w:p w:rsidR="00CF1591" w:rsidRPr="00C34A01" w14:paraId="009E0E4F" w14:textId="77777777">
      <w:pPr>
        <w:rPr>
          <w:rFonts w:ascii="Times New Roman" w:hAnsi="Times New Roman"/>
        </w:rPr>
      </w:pPr>
    </w:p>
    <w:p w:rsidR="00CF1591" w:rsidRPr="00C34A01" w14:paraId="4A97A8B7" w14:textId="77777777">
      <w:pPr>
        <w:pStyle w:val="Level1"/>
        <w:tabs>
          <w:tab w:val="left" w:pos="-1440"/>
          <w:tab w:val="num" w:pos="720"/>
        </w:tabs>
        <w:rPr>
          <w:rFonts w:ascii="Times New Roman" w:hAnsi="Times New Roman"/>
          <w:b/>
          <w:u w:val="single"/>
        </w:rPr>
      </w:pPr>
      <w:r w:rsidRPr="00C34A01">
        <w:rPr>
          <w:rFonts w:ascii="Times New Roman" w:hAnsi="Times New Roman"/>
          <w:b/>
          <w:u w:val="single"/>
        </w:rPr>
        <w:t xml:space="preserve">SPECIAL CIRCUMSTANCES REQUIRING DATA COLLECTION TO BE INCONSISTENT WITH </w:t>
      </w:r>
      <w:r w:rsidRPr="00C34A01">
        <w:rPr>
          <w:rFonts w:ascii="Times New Roman" w:hAnsi="Times New Roman"/>
          <w:b/>
          <w:u w:val="single"/>
        </w:rPr>
        <w:t>GUIDELINES IN 5 CFR 1320.5(d)(2)</w:t>
      </w:r>
    </w:p>
    <w:p w:rsidR="00CF1591" w:rsidRPr="00C34A01" w14:paraId="37306147" w14:textId="77777777">
      <w:pPr>
        <w:rPr>
          <w:rFonts w:ascii="Times New Roman" w:hAnsi="Times New Roman"/>
        </w:rPr>
      </w:pPr>
    </w:p>
    <w:p w:rsidR="00CF1591" w:rsidRPr="00C34A01" w14:paraId="5610BC34" w14:textId="77777777">
      <w:pPr>
        <w:ind w:left="720"/>
        <w:rPr>
          <w:rFonts w:ascii="Times New Roman" w:hAnsi="Times New Roman"/>
        </w:rPr>
      </w:pPr>
      <w:r w:rsidRPr="004D53C3">
        <w:rPr>
          <w:rFonts w:ascii="Times New Roman" w:hAnsi="Times New Roman"/>
        </w:rPr>
        <w:t>There are no special circumstances requiring data collection to be inconsistent with Guidelines in 5 CFR 1320.5(d)(2).</w:t>
      </w:r>
    </w:p>
    <w:p w:rsidR="00CF1591" w:rsidRPr="00C34A01" w14:paraId="5B1107CE" w14:textId="77777777">
      <w:pPr>
        <w:rPr>
          <w:rFonts w:ascii="Times New Roman" w:hAnsi="Times New Roman"/>
        </w:rPr>
      </w:pPr>
    </w:p>
    <w:p w:rsidR="00CF1591" w:rsidRPr="00C34A01" w14:paraId="37655FC6" w14:textId="77777777">
      <w:pPr>
        <w:pStyle w:val="Level1"/>
        <w:tabs>
          <w:tab w:val="left" w:pos="-1440"/>
          <w:tab w:val="num" w:pos="720"/>
        </w:tabs>
        <w:rPr>
          <w:rFonts w:ascii="Times New Roman" w:hAnsi="Times New Roman"/>
          <w:b/>
          <w:u w:val="single"/>
        </w:rPr>
      </w:pPr>
      <w:r w:rsidRPr="00C34A01">
        <w:rPr>
          <w:rFonts w:ascii="Times New Roman" w:hAnsi="Times New Roman"/>
          <w:b/>
          <w:u w:val="single"/>
        </w:rPr>
        <w:t xml:space="preserve">CONSULTATION WITH INDIVIDUALS OUTSIDE OF THE AGENCY ON AVAILABILITY OF DATA, FREQUENCY OF COLLECTION, </w:t>
      </w:r>
      <w:r w:rsidRPr="00C34A01">
        <w:rPr>
          <w:rFonts w:ascii="Times New Roman" w:hAnsi="Times New Roman"/>
          <w:b/>
          <w:u w:val="single"/>
        </w:rPr>
        <w:t>CLARITY OF INSTRUCTIONS AND FORMS, AND DATA ELEMENTS</w:t>
      </w:r>
    </w:p>
    <w:p w:rsidR="00CF1591" w:rsidP="00376F8B" w14:paraId="47180506" w14:textId="77777777">
      <w:pPr>
        <w:ind w:left="720"/>
        <w:rPr>
          <w:rFonts w:ascii="Times New Roman" w:hAnsi="Times New Roman"/>
        </w:rPr>
      </w:pPr>
    </w:p>
    <w:p w:rsidR="009136CD" w:rsidP="009136CD" w14:paraId="7F8585B3" w14:textId="719A234E">
      <w:pPr>
        <w:ind w:left="720"/>
        <w:rPr>
          <w:rFonts w:ascii="Times New Roman" w:hAnsi="Times New Roman"/>
        </w:rPr>
      </w:pPr>
      <w:r w:rsidRPr="009136CD">
        <w:rPr>
          <w:rFonts w:ascii="Times New Roman" w:hAnsi="Times New Roman"/>
        </w:rPr>
        <w:t>In response to the Federal Register notice dated</w:t>
      </w:r>
      <w:r w:rsidR="001B5C8F">
        <w:rPr>
          <w:rFonts w:ascii="Times New Roman" w:hAnsi="Times New Roman"/>
        </w:rPr>
        <w:t xml:space="preserve"> </w:t>
      </w:r>
      <w:r w:rsidR="00EE5584">
        <w:rPr>
          <w:rFonts w:ascii="Times New Roman" w:hAnsi="Times New Roman"/>
        </w:rPr>
        <w:t>November 29, 2019</w:t>
      </w:r>
      <w:r w:rsidRPr="009136CD">
        <w:rPr>
          <w:rFonts w:ascii="Times New Roman" w:hAnsi="Times New Roman"/>
        </w:rPr>
        <w:t xml:space="preserve"> (8</w:t>
      </w:r>
      <w:r w:rsidR="00A551E3">
        <w:rPr>
          <w:rFonts w:ascii="Times New Roman" w:hAnsi="Times New Roman"/>
        </w:rPr>
        <w:t>4</w:t>
      </w:r>
      <w:r w:rsidRPr="009136CD">
        <w:rPr>
          <w:rFonts w:ascii="Times New Roman" w:hAnsi="Times New Roman"/>
        </w:rPr>
        <w:t xml:space="preserve"> FR </w:t>
      </w:r>
      <w:r w:rsidRPr="00A551E3" w:rsidR="00A551E3">
        <w:rPr>
          <w:rFonts w:ascii="Times New Roman" w:hAnsi="Times New Roman"/>
        </w:rPr>
        <w:t>65897</w:t>
      </w:r>
      <w:r w:rsidRPr="009136CD">
        <w:rPr>
          <w:rFonts w:ascii="Times New Roman" w:hAnsi="Times New Roman"/>
        </w:rPr>
        <w:t xml:space="preserve">), we received no comments during the comment period regarding </w:t>
      </w:r>
      <w:r>
        <w:rPr>
          <w:rFonts w:ascii="Times New Roman" w:hAnsi="Times New Roman"/>
        </w:rPr>
        <w:t>TD 8421 and 8609.</w:t>
      </w:r>
      <w:r w:rsidRPr="00504FE1" w:rsidR="00504FE1">
        <w:rPr>
          <w:rFonts w:ascii="Times New Roman" w:hAnsi="Times New Roman"/>
        </w:rPr>
        <w:t xml:space="preserve">  </w:t>
      </w:r>
    </w:p>
    <w:p w:rsidR="00EE5584" w:rsidRPr="00C34A01" w:rsidP="009136CD" w14:paraId="40673204" w14:textId="77777777">
      <w:pPr>
        <w:ind w:left="720"/>
        <w:rPr>
          <w:rFonts w:ascii="Times New Roman" w:hAnsi="Times New Roman"/>
        </w:rPr>
      </w:pPr>
    </w:p>
    <w:p w:rsidR="00CF1591" w:rsidRPr="00C34A01" w14:paraId="51F6A562" w14:textId="77777777">
      <w:pPr>
        <w:pStyle w:val="Level1"/>
        <w:tabs>
          <w:tab w:val="left" w:pos="-1440"/>
          <w:tab w:val="num" w:pos="720"/>
        </w:tabs>
        <w:rPr>
          <w:rFonts w:ascii="Times New Roman" w:hAnsi="Times New Roman"/>
          <w:b/>
        </w:rPr>
      </w:pPr>
      <w:r w:rsidRPr="00C34A01">
        <w:rPr>
          <w:rFonts w:ascii="Times New Roman" w:hAnsi="Times New Roman"/>
          <w:b/>
          <w:u w:val="single"/>
        </w:rPr>
        <w:t>EXPLANATION OF DECISION TO PROVIDE ANY PAYMENT OR GIFT TO</w:t>
      </w:r>
      <w:r w:rsidR="009136CD">
        <w:rPr>
          <w:rFonts w:ascii="Times New Roman" w:hAnsi="Times New Roman"/>
          <w:b/>
          <w:u w:val="single"/>
        </w:rPr>
        <w:t xml:space="preserve"> </w:t>
      </w:r>
      <w:r w:rsidRPr="00C34A01">
        <w:rPr>
          <w:rFonts w:ascii="Times New Roman" w:hAnsi="Times New Roman"/>
          <w:b/>
          <w:u w:val="single"/>
        </w:rPr>
        <w:t>RESPONDENTS</w:t>
      </w:r>
    </w:p>
    <w:p w:rsidR="00CF1591" w:rsidRPr="00C34A01" w14:paraId="7E3389F3" w14:textId="77777777">
      <w:pPr>
        <w:rPr>
          <w:rFonts w:ascii="Times New Roman" w:hAnsi="Times New Roman"/>
        </w:rPr>
      </w:pPr>
    </w:p>
    <w:p w:rsidR="00CF1591" w:rsidP="00F00177" w14:paraId="1A4017F4" w14:textId="77777777">
      <w:pPr>
        <w:ind w:left="720"/>
        <w:rPr>
          <w:rFonts w:ascii="Times New Roman" w:hAnsi="Times New Roman"/>
        </w:rPr>
      </w:pPr>
      <w:r w:rsidRPr="004D53C3">
        <w:rPr>
          <w:rFonts w:ascii="Times New Roman" w:hAnsi="Times New Roman"/>
        </w:rPr>
        <w:t xml:space="preserve">No payment or gift </w:t>
      </w:r>
      <w:r w:rsidR="00A551E3">
        <w:rPr>
          <w:rFonts w:ascii="Times New Roman" w:hAnsi="Times New Roman"/>
        </w:rPr>
        <w:t>will be</w:t>
      </w:r>
      <w:r w:rsidRPr="004D53C3">
        <w:rPr>
          <w:rFonts w:ascii="Times New Roman" w:hAnsi="Times New Roman"/>
        </w:rPr>
        <w:t xml:space="preserve"> provided to any respondents.</w:t>
      </w:r>
    </w:p>
    <w:p w:rsidR="00F00177" w:rsidRPr="00C34A01" w:rsidP="00F00177" w14:paraId="27E3BC0A" w14:textId="77777777">
      <w:pPr>
        <w:ind w:left="720"/>
        <w:rPr>
          <w:rFonts w:ascii="Times New Roman" w:hAnsi="Times New Roman"/>
        </w:rPr>
      </w:pPr>
    </w:p>
    <w:p w:rsidR="00CF1591" w:rsidRPr="00C34A01" w14:paraId="66B1A1A6" w14:textId="77777777">
      <w:pPr>
        <w:pStyle w:val="Level1"/>
        <w:tabs>
          <w:tab w:val="left" w:pos="-1440"/>
          <w:tab w:val="num" w:pos="720"/>
        </w:tabs>
        <w:rPr>
          <w:rFonts w:ascii="Times New Roman" w:hAnsi="Times New Roman"/>
          <w:b/>
        </w:rPr>
      </w:pPr>
      <w:r w:rsidRPr="00C34A01">
        <w:rPr>
          <w:rFonts w:ascii="Times New Roman" w:hAnsi="Times New Roman"/>
          <w:b/>
          <w:u w:val="single"/>
        </w:rPr>
        <w:t>ASSURANCE OF CONFIDENTIALITY OF RESPONSES</w:t>
      </w:r>
    </w:p>
    <w:p w:rsidR="00CF1591" w:rsidRPr="00C34A01" w14:paraId="47934B39" w14:textId="77777777">
      <w:pPr>
        <w:rPr>
          <w:rFonts w:ascii="Times New Roman" w:hAnsi="Times New Roman"/>
        </w:rPr>
      </w:pPr>
    </w:p>
    <w:p w:rsidR="00CF1591" w:rsidRPr="00C34A01" w14:paraId="78B9B573" w14:textId="77777777">
      <w:pPr>
        <w:ind w:left="720"/>
        <w:rPr>
          <w:rFonts w:ascii="Times New Roman" w:hAnsi="Times New Roman"/>
        </w:rPr>
      </w:pPr>
      <w:r w:rsidRPr="00C34A01">
        <w:rPr>
          <w:rFonts w:ascii="Times New Roman" w:hAnsi="Times New Roman"/>
        </w:rPr>
        <w:t>Generally, tax returns and tax return information are confidential as required by 26 USC 6103.</w:t>
      </w:r>
    </w:p>
    <w:p w:rsidR="00CF1591" w:rsidRPr="00C34A01" w14:paraId="077304A0" w14:textId="77777777">
      <w:pPr>
        <w:rPr>
          <w:rFonts w:ascii="Times New Roman" w:hAnsi="Times New Roman"/>
        </w:rPr>
      </w:pPr>
    </w:p>
    <w:p w:rsidR="00CF1591" w:rsidRPr="00C34A01" w14:paraId="62852DBD" w14:textId="77777777">
      <w:pPr>
        <w:pStyle w:val="Level1"/>
        <w:tabs>
          <w:tab w:val="left" w:pos="-1440"/>
          <w:tab w:val="num" w:pos="720"/>
        </w:tabs>
        <w:rPr>
          <w:rFonts w:ascii="Times New Roman" w:hAnsi="Times New Roman"/>
          <w:b/>
          <w:u w:val="single"/>
        </w:rPr>
      </w:pPr>
      <w:r w:rsidRPr="00C34A01">
        <w:rPr>
          <w:rFonts w:ascii="Times New Roman" w:hAnsi="Times New Roman"/>
          <w:b/>
          <w:u w:val="single"/>
        </w:rPr>
        <w:t>JUSTIFICATION OF SENSITIVE QUESTIONS</w:t>
      </w:r>
    </w:p>
    <w:p w:rsidR="00CF1591" w:rsidRPr="00C34A01" w14:paraId="2A388DAB" w14:textId="77777777">
      <w:pPr>
        <w:rPr>
          <w:rFonts w:ascii="Times New Roman" w:hAnsi="Times New Roman"/>
          <w:u w:val="single"/>
        </w:rPr>
      </w:pPr>
    </w:p>
    <w:p w:rsidR="00A551E3" w:rsidRPr="0058761D" w:rsidP="00A551E3" w14:paraId="569FA313" w14:textId="77777777">
      <w:pPr>
        <w:ind w:firstLine="720"/>
        <w:rPr>
          <w:rFonts w:ascii="Times New Roman" w:hAnsi="Times New Roman"/>
        </w:rPr>
      </w:pPr>
      <w:r w:rsidRPr="0058761D">
        <w:rPr>
          <w:rFonts w:ascii="Times New Roman" w:hAnsi="Times New Roman"/>
        </w:rPr>
        <w:t xml:space="preserve">No </w:t>
      </w:r>
      <w:r>
        <w:rPr>
          <w:rFonts w:ascii="Times New Roman" w:hAnsi="Times New Roman"/>
        </w:rPr>
        <w:t xml:space="preserve">sensitive </w:t>
      </w:r>
      <w:r w:rsidRPr="0058761D">
        <w:rPr>
          <w:rFonts w:ascii="Times New Roman" w:hAnsi="Times New Roman"/>
        </w:rPr>
        <w:t>personally identifiable information (PII) is collected.</w:t>
      </w:r>
    </w:p>
    <w:p w:rsidR="00A551E3" w14:paraId="453FF475" w14:textId="77777777">
      <w:pPr>
        <w:rPr>
          <w:rFonts w:ascii="Times New Roman" w:hAnsi="Times New Roman"/>
        </w:rPr>
      </w:pPr>
    </w:p>
    <w:p w:rsidR="00A551E3" w14:paraId="4191FD34" w14:textId="77777777">
      <w:pPr>
        <w:rPr>
          <w:rFonts w:ascii="Times New Roman" w:hAnsi="Times New Roman"/>
        </w:rPr>
      </w:pPr>
    </w:p>
    <w:p w:rsidR="00CF1591" w:rsidRPr="00C34A01" w14:paraId="754891F6" w14:textId="77777777">
      <w:pPr>
        <w:pStyle w:val="Level1"/>
        <w:tabs>
          <w:tab w:val="left" w:pos="-1440"/>
          <w:tab w:val="num" w:pos="720"/>
        </w:tabs>
        <w:rPr>
          <w:rFonts w:ascii="Times New Roman" w:hAnsi="Times New Roman"/>
          <w:b/>
        </w:rPr>
      </w:pPr>
      <w:r w:rsidRPr="00C34A01">
        <w:rPr>
          <w:rFonts w:ascii="Times New Roman" w:hAnsi="Times New Roman"/>
          <w:b/>
          <w:u w:val="single"/>
        </w:rPr>
        <w:t>ESTIMATED BURDEN OF INFORMATION COLLECTION</w:t>
      </w:r>
    </w:p>
    <w:p w:rsidR="00CF1591" w:rsidRPr="00C34A01" w14:paraId="7C1473F0" w14:textId="77777777">
      <w:pPr>
        <w:rPr>
          <w:rFonts w:ascii="Times New Roman" w:hAnsi="Times New Roman"/>
        </w:rPr>
      </w:pPr>
    </w:p>
    <w:p w:rsidR="00000A29" w:rsidRPr="00C34A01" w:rsidP="00000A29" w14:paraId="37B0BBD8" w14:textId="77777777">
      <w:pPr>
        <w:ind w:firstLine="720"/>
        <w:rPr>
          <w:rFonts w:ascii="Times New Roman" w:hAnsi="Times New Roman"/>
          <w:b/>
        </w:rPr>
      </w:pPr>
      <w:r>
        <w:rPr>
          <w:rFonts w:ascii="Times New Roman" w:hAnsi="Times New Roman"/>
          <w:bCs/>
        </w:rPr>
        <w:t>TD 86</w:t>
      </w:r>
      <w:r w:rsidR="000153A2">
        <w:rPr>
          <w:rFonts w:ascii="Times New Roman" w:hAnsi="Times New Roman"/>
          <w:bCs/>
        </w:rPr>
        <w:t>09</w:t>
      </w:r>
      <w:r w:rsidRPr="000153A2">
        <w:rPr>
          <w:rFonts w:ascii="Times New Roman" w:hAnsi="Times New Roman"/>
          <w:bCs/>
        </w:rPr>
        <w:t xml:space="preserve"> (</w:t>
      </w:r>
      <w:r w:rsidRPr="00D53F58">
        <w:rPr>
          <w:rFonts w:ascii="Times New Roman" w:hAnsi="Times New Roman"/>
          <w:u w:val="single"/>
        </w:rPr>
        <w:t>PS-66-93)</w:t>
      </w:r>
    </w:p>
    <w:p w:rsidR="00000A29" w:rsidRPr="00C34A01" w:rsidP="00000A29" w14:paraId="1223187A" w14:textId="77777777">
      <w:pPr>
        <w:rPr>
          <w:rFonts w:ascii="Times New Roman" w:hAnsi="Times New Roman"/>
        </w:rPr>
      </w:pPr>
    </w:p>
    <w:p w:rsidR="00000A29" w:rsidRPr="00C34A01" w:rsidP="00000A29" w14:paraId="676EACFA" w14:textId="77777777">
      <w:pPr>
        <w:ind w:left="720"/>
        <w:rPr>
          <w:rFonts w:ascii="Times New Roman" w:hAnsi="Times New Roman"/>
        </w:rPr>
      </w:pPr>
      <w:r w:rsidRPr="00C34A01">
        <w:rPr>
          <w:rFonts w:ascii="Times New Roman" w:hAnsi="Times New Roman"/>
        </w:rPr>
        <w:t>Section 48.4041</w:t>
      </w:r>
      <w:r w:rsidRPr="00C34A01">
        <w:rPr>
          <w:rFonts w:ascii="Times New Roman" w:hAnsi="Times New Roman"/>
        </w:rPr>
        <w:noBreakHyphen/>
        <w:t xml:space="preserve">21(c) provides that compressed natural gas (CNG) may be sold tax free </w:t>
      </w:r>
      <w:r w:rsidRPr="00C34A01">
        <w:rPr>
          <w:rFonts w:ascii="Times New Roman" w:hAnsi="Times New Roman"/>
        </w:rPr>
        <w:t>if the seller obtains from the buyer a certificate, in the form described in §48.4041</w:t>
      </w:r>
      <w:r w:rsidRPr="00C34A01">
        <w:rPr>
          <w:rFonts w:ascii="Times New Roman" w:hAnsi="Times New Roman"/>
        </w:rPr>
        <w:noBreakHyphen/>
        <w:t xml:space="preserve">21(c)(2), that states that the buyer will use the CNG in a </w:t>
      </w:r>
      <w:r w:rsidRPr="00C34A01">
        <w:rPr>
          <w:rFonts w:ascii="Times New Roman" w:hAnsi="Times New Roman"/>
        </w:rPr>
        <w:t>nontaxable use.  We estimate that there will be 100 buyers of tax</w:t>
      </w:r>
      <w:r w:rsidRPr="00C34A01">
        <w:rPr>
          <w:rFonts w:ascii="Times New Roman" w:hAnsi="Times New Roman"/>
        </w:rPr>
        <w:noBreakHyphen/>
        <w:t xml:space="preserve">free CNG and that the certificate will take approximately .1 hour to complete. The total burden for this reporting requirement is 10 hours. </w:t>
      </w:r>
    </w:p>
    <w:p w:rsidR="00000A29" w:rsidRPr="00C34A01" w:rsidP="00000A29" w14:paraId="1BEED68D" w14:textId="77777777">
      <w:pPr>
        <w:rPr>
          <w:rFonts w:ascii="Times New Roman" w:hAnsi="Times New Roman"/>
        </w:rPr>
      </w:pPr>
    </w:p>
    <w:p w:rsidR="00000A29" w:rsidRPr="00C34A01" w:rsidP="00000A29" w14:paraId="34A9AFFF" w14:textId="77777777">
      <w:pPr>
        <w:ind w:left="720"/>
        <w:rPr>
          <w:rFonts w:ascii="Times New Roman" w:hAnsi="Times New Roman"/>
        </w:rPr>
      </w:pPr>
      <w:r w:rsidRPr="00C34A01">
        <w:rPr>
          <w:rFonts w:ascii="Times New Roman" w:hAnsi="Times New Roman"/>
        </w:rPr>
        <w:t>Section 48.4081</w:t>
      </w:r>
      <w:r w:rsidRPr="00C34A01">
        <w:rPr>
          <w:rFonts w:ascii="Times New Roman" w:hAnsi="Times New Roman"/>
        </w:rPr>
        <w:noBreakHyphen/>
        <w:t>7(c)(5) provides that a first ta</w:t>
      </w:r>
      <w:r w:rsidRPr="00C34A01">
        <w:rPr>
          <w:rFonts w:ascii="Times New Roman" w:hAnsi="Times New Roman"/>
        </w:rPr>
        <w:t>xpayer's report is not required to be filed if the first tax and the second tax are incurred by the same person in the same calendar quarter.  The final regulations eliminate the exemption in §48.4081</w:t>
      </w:r>
      <w:r w:rsidRPr="00C34A01">
        <w:rPr>
          <w:rFonts w:ascii="Times New Roman" w:hAnsi="Times New Roman"/>
        </w:rPr>
        <w:noBreakHyphen/>
        <w:t>7(c)(5).  We estimate that there will be 20 taxpayers p</w:t>
      </w:r>
      <w:r w:rsidRPr="00C34A01">
        <w:rPr>
          <w:rFonts w:ascii="Times New Roman" w:hAnsi="Times New Roman"/>
        </w:rPr>
        <w:t>reparing this report under these conditions and that the report will take approximately .25 hour to complete.  The total burden for this requirement is 5 hours.</w:t>
      </w:r>
    </w:p>
    <w:p w:rsidR="00000A29" w:rsidRPr="00C34A01" w:rsidP="00000A29" w14:paraId="6CD19C21" w14:textId="77777777">
      <w:pPr>
        <w:rPr>
          <w:rFonts w:ascii="Times New Roman" w:hAnsi="Times New Roman"/>
        </w:rPr>
      </w:pPr>
    </w:p>
    <w:p w:rsidR="00000A29" w:rsidRPr="00C34A01" w:rsidP="00000A29" w14:paraId="405F9DAB" w14:textId="77777777">
      <w:pPr>
        <w:ind w:firstLine="720"/>
        <w:rPr>
          <w:rFonts w:ascii="Times New Roman" w:hAnsi="Times New Roman"/>
          <w:b/>
        </w:rPr>
      </w:pPr>
      <w:r>
        <w:rPr>
          <w:rFonts w:ascii="Times New Roman" w:hAnsi="Times New Roman"/>
          <w:bCs/>
        </w:rPr>
        <w:t>TD 8421</w:t>
      </w:r>
      <w:r w:rsidRPr="000153A2">
        <w:rPr>
          <w:rFonts w:ascii="Times New Roman" w:hAnsi="Times New Roman"/>
          <w:bCs/>
        </w:rPr>
        <w:t xml:space="preserve"> (</w:t>
      </w:r>
      <w:r w:rsidRPr="00D53F58">
        <w:rPr>
          <w:rFonts w:ascii="Times New Roman" w:hAnsi="Times New Roman"/>
          <w:u w:val="single"/>
        </w:rPr>
        <w:t>PS-120-90)</w:t>
      </w:r>
    </w:p>
    <w:p w:rsidR="00000A29" w:rsidRPr="00C34A01" w:rsidP="00000A29" w14:paraId="2F307061" w14:textId="77777777">
      <w:pPr>
        <w:rPr>
          <w:rFonts w:ascii="Times New Roman" w:hAnsi="Times New Roman"/>
        </w:rPr>
      </w:pPr>
    </w:p>
    <w:p w:rsidR="00000A29" w:rsidRPr="00C34A01" w:rsidP="00000A29" w14:paraId="7054091C" w14:textId="77777777">
      <w:pPr>
        <w:ind w:left="720"/>
        <w:rPr>
          <w:rFonts w:ascii="Times New Roman" w:hAnsi="Times New Roman"/>
        </w:rPr>
      </w:pPr>
      <w:r w:rsidRPr="00C34A01">
        <w:rPr>
          <w:rFonts w:ascii="Times New Roman" w:hAnsi="Times New Roman"/>
        </w:rPr>
        <w:t>Sections 48.4081</w:t>
      </w:r>
      <w:r w:rsidRPr="00C34A01">
        <w:rPr>
          <w:rFonts w:ascii="Times New Roman" w:hAnsi="Times New Roman"/>
        </w:rPr>
        <w:noBreakHyphen/>
        <w:t>2(c)(2) and 48.4081</w:t>
      </w:r>
      <w:r w:rsidRPr="00C34A01">
        <w:rPr>
          <w:rFonts w:ascii="Times New Roman" w:hAnsi="Times New Roman"/>
        </w:rPr>
        <w:noBreakHyphen/>
        <w:t>3(d)(2)(iii) provide that a terminal</w:t>
      </w:r>
      <w:r w:rsidRPr="00C34A01">
        <w:rPr>
          <w:rFonts w:ascii="Times New Roman" w:hAnsi="Times New Roman"/>
        </w:rPr>
        <w:t xml:space="preserve"> operator may avoid tax liability if it obtains from the position holder a notification certificate, described in §48.4081</w:t>
      </w:r>
      <w:r w:rsidRPr="00C34A01">
        <w:rPr>
          <w:rFonts w:ascii="Times New Roman" w:hAnsi="Times New Roman"/>
        </w:rPr>
        <w:noBreakHyphen/>
        <w:t>5, that contains the position holder's registration number.  We estimate that there will be 500 position holders and that the certifi</w:t>
      </w:r>
      <w:r w:rsidRPr="00C34A01">
        <w:rPr>
          <w:rFonts w:ascii="Times New Roman" w:hAnsi="Times New Roman"/>
        </w:rPr>
        <w:t>cate will take approximately .1 hour to complete.  The total burden for this requirement is 50 hours.</w:t>
      </w:r>
    </w:p>
    <w:p w:rsidR="00000A29" w:rsidRPr="00C34A01" w:rsidP="00000A29" w14:paraId="62EE6923" w14:textId="77777777">
      <w:pPr>
        <w:rPr>
          <w:rFonts w:ascii="Times New Roman" w:hAnsi="Times New Roman"/>
        </w:rPr>
      </w:pPr>
    </w:p>
    <w:p w:rsidR="00000A29" w:rsidRPr="00C34A01" w:rsidP="00000A29" w14:paraId="6F444831" w14:textId="77777777">
      <w:pPr>
        <w:ind w:left="720"/>
        <w:rPr>
          <w:rFonts w:ascii="Times New Roman" w:hAnsi="Times New Roman"/>
        </w:rPr>
      </w:pPr>
      <w:r w:rsidRPr="00C34A01">
        <w:rPr>
          <w:rFonts w:ascii="Times New Roman" w:hAnsi="Times New Roman"/>
        </w:rPr>
        <w:t>Section 48.4081</w:t>
      </w:r>
      <w:r w:rsidRPr="00C34A01">
        <w:rPr>
          <w:rFonts w:ascii="Times New Roman" w:hAnsi="Times New Roman"/>
        </w:rPr>
        <w:noBreakHyphen/>
        <w:t>3(e)(2)(ii) provides that the owner of gasoline may avoid tax liability if it obtains from the terminal operator a notification certifica</w:t>
      </w:r>
      <w:r w:rsidRPr="00C34A01">
        <w:rPr>
          <w:rFonts w:ascii="Times New Roman" w:hAnsi="Times New Roman"/>
        </w:rPr>
        <w:t>te, described in §48.4081</w:t>
      </w:r>
      <w:r w:rsidRPr="00C34A01">
        <w:rPr>
          <w:rFonts w:ascii="Times New Roman" w:hAnsi="Times New Roman"/>
        </w:rPr>
        <w:noBreakHyphen/>
        <w:t>5, that contains the terminal operator's registration number.  We estimate that there will be 200 terminal operators and that the certificate will take approximately .1 hour to complete. The total burden for this requirement is 20</w:t>
      </w:r>
      <w:r w:rsidRPr="00C34A01">
        <w:rPr>
          <w:rFonts w:ascii="Times New Roman" w:hAnsi="Times New Roman"/>
        </w:rPr>
        <w:t xml:space="preserve"> hours.</w:t>
      </w:r>
    </w:p>
    <w:p w:rsidR="00000A29" w:rsidRPr="00C34A01" w:rsidP="00000A29" w14:paraId="29926FE5" w14:textId="77777777">
      <w:pPr>
        <w:rPr>
          <w:rFonts w:ascii="Times New Roman" w:hAnsi="Times New Roman"/>
        </w:rPr>
      </w:pPr>
    </w:p>
    <w:p w:rsidR="00000A29" w:rsidRPr="00C34A01" w:rsidP="00000A29" w14:paraId="71DB73D6" w14:textId="77777777">
      <w:pPr>
        <w:ind w:left="720"/>
        <w:rPr>
          <w:rFonts w:ascii="Times New Roman" w:hAnsi="Times New Roman"/>
        </w:rPr>
      </w:pPr>
      <w:r w:rsidRPr="00C34A01">
        <w:rPr>
          <w:rFonts w:ascii="Times New Roman" w:hAnsi="Times New Roman"/>
        </w:rPr>
        <w:t>Section 48.4081</w:t>
      </w:r>
      <w:r w:rsidRPr="00C34A01">
        <w:rPr>
          <w:rFonts w:ascii="Times New Roman" w:hAnsi="Times New Roman"/>
        </w:rPr>
        <w:noBreakHyphen/>
        <w:t>3(f)(3)(ii) provides that the seller of gasoline may avoid tax liability if it obtains from the buyer a notification certificate, described in §48</w:t>
      </w:r>
      <w:r w:rsidRPr="00C34A01">
        <w:rPr>
          <w:rFonts w:ascii="Times New Roman" w:hAnsi="Times New Roman"/>
        </w:rPr>
        <w:noBreakHyphen/>
        <w:t>4081</w:t>
      </w:r>
      <w:r w:rsidRPr="00C34A01">
        <w:rPr>
          <w:rFonts w:ascii="Times New Roman" w:hAnsi="Times New Roman"/>
        </w:rPr>
        <w:noBreakHyphen/>
        <w:t xml:space="preserve">5, that contains the buyer's registration number.  We estimate that there will </w:t>
      </w:r>
      <w:r w:rsidRPr="00C34A01">
        <w:rPr>
          <w:rFonts w:ascii="Times New Roman" w:hAnsi="Times New Roman"/>
        </w:rPr>
        <w:t xml:space="preserve">be 150 buyers and that the certificate will take approximately .1 hour to complete.  The total burden of this requirement is 15 hours.  </w:t>
      </w:r>
    </w:p>
    <w:p w:rsidR="00000A29" w:rsidRPr="00C34A01" w:rsidP="00000A29" w14:paraId="0AF7DC2C" w14:textId="77777777">
      <w:pPr>
        <w:rPr>
          <w:rFonts w:ascii="Times New Roman" w:hAnsi="Times New Roman"/>
        </w:rPr>
      </w:pPr>
    </w:p>
    <w:p w:rsidR="00000A29" w:rsidRPr="00C34A01" w:rsidP="00000A29" w14:paraId="61C6282C" w14:textId="77777777">
      <w:pPr>
        <w:ind w:left="720"/>
        <w:rPr>
          <w:rFonts w:ascii="Times New Roman" w:hAnsi="Times New Roman"/>
        </w:rPr>
      </w:pPr>
      <w:r w:rsidRPr="00C34A01">
        <w:rPr>
          <w:rFonts w:ascii="Times New Roman" w:hAnsi="Times New Roman"/>
        </w:rPr>
        <w:t>Sections 48.4081</w:t>
      </w:r>
      <w:r w:rsidRPr="00C34A01">
        <w:rPr>
          <w:rFonts w:ascii="Times New Roman" w:hAnsi="Times New Roman"/>
        </w:rPr>
        <w:noBreakHyphen/>
        <w:t>4(b)(2)(ii) and (3)(i) provide that a person may sell gasoline blend stocks and additives tax free fo</w:t>
      </w:r>
      <w:r w:rsidRPr="00C34A01">
        <w:rPr>
          <w:rFonts w:ascii="Times New Roman" w:hAnsi="Times New Roman"/>
        </w:rPr>
        <w:t>r use other than in producing gasoline if the seller obtains from the buyer a certificate, in the form described in §48.4081</w:t>
      </w:r>
      <w:r w:rsidRPr="00C34A01">
        <w:rPr>
          <w:rFonts w:ascii="Times New Roman" w:hAnsi="Times New Roman"/>
        </w:rPr>
        <w:noBreakHyphen/>
        <w:t>4(e), that states that the products will not be used to produce gasoline.  We estimate that there will be 1,000 buyers of blend sto</w:t>
      </w:r>
      <w:r w:rsidRPr="00C34A01">
        <w:rPr>
          <w:rFonts w:ascii="Times New Roman" w:hAnsi="Times New Roman"/>
        </w:rPr>
        <w:t>cks and additives tax free and that the certificate will take approximately .1 hour to complete. The total burden of this requirement is 100 hours.</w:t>
      </w:r>
    </w:p>
    <w:p w:rsidR="00000A29" w:rsidRPr="00C34A01" w:rsidP="00000A29" w14:paraId="0A0015ED" w14:textId="77777777">
      <w:pPr>
        <w:rPr>
          <w:rFonts w:ascii="Times New Roman" w:hAnsi="Times New Roman"/>
        </w:rPr>
      </w:pPr>
    </w:p>
    <w:p w:rsidR="00000A29" w:rsidRPr="00C34A01" w:rsidP="00000A29" w14:paraId="4055D4D4" w14:textId="77777777">
      <w:pPr>
        <w:ind w:left="720"/>
        <w:rPr>
          <w:rFonts w:ascii="Times New Roman" w:hAnsi="Times New Roman"/>
        </w:rPr>
      </w:pPr>
      <w:r w:rsidRPr="00C34A01">
        <w:rPr>
          <w:rFonts w:ascii="Times New Roman" w:hAnsi="Times New Roman"/>
        </w:rPr>
        <w:t>Section 48.4081</w:t>
      </w:r>
      <w:r w:rsidRPr="00C34A01">
        <w:rPr>
          <w:rFonts w:ascii="Times New Roman" w:hAnsi="Times New Roman"/>
        </w:rPr>
        <w:noBreakHyphen/>
        <w:t>4(c) provides that tax is not imposed on the non</w:t>
      </w:r>
      <w:r w:rsidR="000153A2">
        <w:rPr>
          <w:rFonts w:ascii="Times New Roman" w:hAnsi="Times New Roman"/>
        </w:rPr>
        <w:t>-</w:t>
      </w:r>
      <w:r w:rsidRPr="00C34A01">
        <w:rPr>
          <w:rFonts w:ascii="Times New Roman" w:hAnsi="Times New Roman"/>
        </w:rPr>
        <w:t xml:space="preserve">bulk removal or entry of gasoline </w:t>
      </w:r>
      <w:r w:rsidRPr="00C34A01">
        <w:rPr>
          <w:rFonts w:ascii="Times New Roman" w:hAnsi="Times New Roman"/>
        </w:rPr>
        <w:t>blend stocks and additives if they are received at an approved terminal or refinery.  The person that would otherwise be liable for tax must obtain a notification certificate in the form described in §48.4081</w:t>
      </w:r>
      <w:r w:rsidRPr="00C34A01">
        <w:rPr>
          <w:rFonts w:ascii="Times New Roman" w:hAnsi="Times New Roman"/>
        </w:rPr>
        <w:noBreakHyphen/>
        <w:t>5.  We estimate that there will be 100 refiners</w:t>
      </w:r>
      <w:r w:rsidRPr="00C34A01">
        <w:rPr>
          <w:rFonts w:ascii="Times New Roman" w:hAnsi="Times New Roman"/>
        </w:rPr>
        <w:t xml:space="preserve"> and terminal operators that will receive these products and that the certificate will take approximately .1 hour to complete.  The total burden of this requirement is 10 hours.</w:t>
      </w:r>
    </w:p>
    <w:p w:rsidR="00000A29" w:rsidRPr="00C34A01" w:rsidP="00000A29" w14:paraId="37D2978B" w14:textId="77777777">
      <w:pPr>
        <w:rPr>
          <w:rFonts w:ascii="Times New Roman" w:hAnsi="Times New Roman"/>
        </w:rPr>
      </w:pPr>
    </w:p>
    <w:p w:rsidR="00000A29" w:rsidRPr="00C34A01" w:rsidP="00000A29" w14:paraId="694EA455" w14:textId="77777777">
      <w:pPr>
        <w:rPr>
          <w:rFonts w:ascii="Times New Roman" w:hAnsi="Times New Roman"/>
        </w:rPr>
      </w:pPr>
    </w:p>
    <w:p w:rsidR="00000A29" w:rsidRPr="00C34A01" w:rsidP="00000A29" w14:paraId="09033343" w14:textId="77777777">
      <w:pPr>
        <w:ind w:left="720"/>
        <w:rPr>
          <w:rFonts w:ascii="Times New Roman" w:hAnsi="Times New Roman"/>
        </w:rPr>
      </w:pPr>
      <w:r w:rsidRPr="00C34A01">
        <w:rPr>
          <w:rFonts w:ascii="Times New Roman" w:hAnsi="Times New Roman"/>
        </w:rPr>
        <w:t>Section 48.4081</w:t>
      </w:r>
      <w:r w:rsidRPr="00C34A01">
        <w:rPr>
          <w:rFonts w:ascii="Times New Roman" w:hAnsi="Times New Roman"/>
        </w:rPr>
        <w:noBreakHyphen/>
        <w:t xml:space="preserve">7 provides that if the tax on gasoline has been paid to the </w:t>
      </w:r>
      <w:r w:rsidRPr="00C34A01">
        <w:rPr>
          <w:rFonts w:ascii="Times New Roman" w:hAnsi="Times New Roman"/>
        </w:rPr>
        <w:t>government twice, the person that paid the second tax may obtain a refund.  Sections 48.4081</w:t>
      </w:r>
      <w:r w:rsidRPr="00C34A01">
        <w:rPr>
          <w:rFonts w:ascii="Times New Roman" w:hAnsi="Times New Roman"/>
        </w:rPr>
        <w:noBreakHyphen/>
        <w:t>7(c)(1) and (3) provide for an information report (the first taxpayer's report") to be filed with the tax return for persons that pay the first tax.  We estimate t</w:t>
      </w:r>
      <w:r w:rsidRPr="00C34A01">
        <w:rPr>
          <w:rFonts w:ascii="Times New Roman" w:hAnsi="Times New Roman"/>
        </w:rPr>
        <w:t>hat there will be 50 taxpayers preparing this report and that the report will take approximately .25 hours to complete.  The total burden of this requirement is 13 hours.</w:t>
      </w:r>
    </w:p>
    <w:p w:rsidR="00000A29" w:rsidRPr="00C34A01" w:rsidP="00000A29" w14:paraId="5AD257C5" w14:textId="77777777">
      <w:pPr>
        <w:rPr>
          <w:rFonts w:ascii="Times New Roman" w:hAnsi="Times New Roman"/>
        </w:rPr>
      </w:pPr>
    </w:p>
    <w:p w:rsidR="00000A29" w:rsidP="00000A29" w14:paraId="527E16E1" w14:textId="77777777">
      <w:pPr>
        <w:ind w:left="720"/>
        <w:rPr>
          <w:rFonts w:ascii="Times New Roman" w:hAnsi="Times New Roman"/>
        </w:rPr>
      </w:pPr>
      <w:r w:rsidRPr="00C34A01">
        <w:rPr>
          <w:rFonts w:ascii="Times New Roman" w:hAnsi="Times New Roman"/>
        </w:rPr>
        <w:t>Section 48.4081</w:t>
      </w:r>
      <w:r w:rsidRPr="00C34A01">
        <w:rPr>
          <w:rFonts w:ascii="Times New Roman" w:hAnsi="Times New Roman"/>
        </w:rPr>
        <w:noBreakHyphen/>
        <w:t xml:space="preserve">7(c)(4) provides that any buyer of gasoline that receives a copy of </w:t>
      </w:r>
      <w:r w:rsidRPr="00C34A01">
        <w:rPr>
          <w:rFonts w:ascii="Times New Roman" w:hAnsi="Times New Roman"/>
        </w:rPr>
        <w:t>the first taxpayer's report must give a statement of subsequent seller (described in §48.4081</w:t>
      </w:r>
      <w:r w:rsidRPr="00C34A01">
        <w:rPr>
          <w:rFonts w:ascii="Times New Roman" w:hAnsi="Times New Roman"/>
        </w:rPr>
        <w:noBreakHyphen/>
        <w:t xml:space="preserve">7(c)(4)(ii)) to its buyer if the gasoline is sold within the bulk transfer/terminal system. </w:t>
      </w:r>
      <w:r>
        <w:rPr>
          <w:rFonts w:ascii="Times New Roman" w:hAnsi="Times New Roman"/>
        </w:rPr>
        <w:t xml:space="preserve"> </w:t>
      </w:r>
      <w:r w:rsidRPr="00C34A01">
        <w:rPr>
          <w:rFonts w:ascii="Times New Roman" w:hAnsi="Times New Roman"/>
        </w:rPr>
        <w:t>We estimate that there will be 50 subsequent sellers and that the sta</w:t>
      </w:r>
      <w:r w:rsidRPr="00C34A01">
        <w:rPr>
          <w:rFonts w:ascii="Times New Roman" w:hAnsi="Times New Roman"/>
        </w:rPr>
        <w:t xml:space="preserve">tement of subsequent seller will take approximately .25 hours to complete. </w:t>
      </w:r>
      <w:r>
        <w:rPr>
          <w:rFonts w:ascii="Times New Roman" w:hAnsi="Times New Roman"/>
        </w:rPr>
        <w:t xml:space="preserve"> </w:t>
      </w:r>
      <w:r w:rsidRPr="00C34A01">
        <w:rPr>
          <w:rFonts w:ascii="Times New Roman" w:hAnsi="Times New Roman"/>
        </w:rPr>
        <w:t>The total burden for this requirement is 13 hours.</w:t>
      </w:r>
    </w:p>
    <w:p w:rsidR="00000A29" w:rsidP="00000A29" w14:paraId="4A40884F" w14:textId="77777777">
      <w:pPr>
        <w:ind w:left="720"/>
        <w:rPr>
          <w:rFonts w:ascii="Times New Roman" w:hAnsi="Times New Roman"/>
        </w:rPr>
      </w:pPr>
    </w:p>
    <w:p w:rsidR="00000A29" w:rsidRPr="00C34A01" w:rsidP="00000A29" w14:paraId="28BA1EFC" w14:textId="77777777">
      <w:pPr>
        <w:ind w:left="720"/>
        <w:rPr>
          <w:rFonts w:ascii="Times New Roman" w:hAnsi="Times New Roman"/>
        </w:rPr>
      </w:pPr>
      <w:r w:rsidRPr="00C34A01">
        <w:rPr>
          <w:rFonts w:ascii="Times New Roman" w:hAnsi="Times New Roman"/>
        </w:rPr>
        <w:t>Section 48.4081</w:t>
      </w:r>
      <w:r w:rsidRPr="00C34A01">
        <w:rPr>
          <w:rFonts w:ascii="Times New Roman" w:hAnsi="Times New Roman"/>
        </w:rPr>
        <w:noBreakHyphen/>
        <w:t>7(d)(2) provides the form and content of the refund claim under §48.4081</w:t>
      </w:r>
      <w:r w:rsidRPr="00C34A01">
        <w:rPr>
          <w:rFonts w:ascii="Times New Roman" w:hAnsi="Times New Roman"/>
        </w:rPr>
        <w:noBreakHyphen/>
        <w:t>7 for claimants who did not pay the fir</w:t>
      </w:r>
      <w:r w:rsidRPr="00C34A01">
        <w:rPr>
          <w:rFonts w:ascii="Times New Roman" w:hAnsi="Times New Roman"/>
        </w:rPr>
        <w:t>st tax to the government.  We estimate that there will be 40 of these claimants and that the claim form will take .25 hours to complete.  The total burden for this requirement is 10 hours.</w:t>
      </w:r>
    </w:p>
    <w:p w:rsidR="00000A29" w:rsidP="00000A29" w14:paraId="07436CB0" w14:textId="5A467991">
      <w:pPr>
        <w:ind w:left="720"/>
        <w:rPr>
          <w:rFonts w:ascii="Times New Roman" w:hAnsi="Times New Roman"/>
        </w:rPr>
      </w:pPr>
    </w:p>
    <w:tbl>
      <w:tblPr>
        <w:tblW w:w="945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5"/>
        <w:gridCol w:w="1980"/>
        <w:gridCol w:w="1350"/>
        <w:gridCol w:w="1625"/>
        <w:gridCol w:w="1170"/>
        <w:gridCol w:w="1170"/>
        <w:gridCol w:w="810"/>
      </w:tblGrid>
      <w:tr w14:paraId="4AD2F0F2" w14:textId="77777777" w:rsidTr="00504FE1">
        <w:tblPrEx>
          <w:tblW w:w="945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345" w:type="dxa"/>
            <w:tcBorders>
              <w:bottom w:val="single" w:sz="4" w:space="0" w:color="auto"/>
            </w:tcBorders>
          </w:tcPr>
          <w:p w:rsidR="00000A29" w:rsidRPr="00504FE1" w:rsidP="00000A29" w14:paraId="40AD45D3" w14:textId="77777777">
            <w:pPr>
              <w:rPr>
                <w:rFonts w:ascii="Times New Roman" w:hAnsi="Times New Roman"/>
                <w:sz w:val="22"/>
                <w:szCs w:val="22"/>
              </w:rPr>
            </w:pPr>
          </w:p>
        </w:tc>
        <w:tc>
          <w:tcPr>
            <w:tcW w:w="1980" w:type="dxa"/>
            <w:vAlign w:val="center"/>
          </w:tcPr>
          <w:p w:rsidR="00000A29" w:rsidRPr="00504FE1" w:rsidP="00000A29" w14:paraId="525C77BC" w14:textId="77777777">
            <w:pPr>
              <w:jc w:val="center"/>
              <w:rPr>
                <w:rFonts w:ascii="Times New Roman" w:hAnsi="Times New Roman"/>
                <w:sz w:val="22"/>
                <w:szCs w:val="22"/>
              </w:rPr>
            </w:pPr>
            <w:r w:rsidRPr="00504FE1">
              <w:rPr>
                <w:rFonts w:ascii="Times New Roman" w:hAnsi="Times New Roman"/>
                <w:sz w:val="22"/>
                <w:szCs w:val="22"/>
              </w:rPr>
              <w:t>FR citation</w:t>
            </w:r>
          </w:p>
        </w:tc>
        <w:tc>
          <w:tcPr>
            <w:tcW w:w="1350" w:type="dxa"/>
            <w:vAlign w:val="center"/>
          </w:tcPr>
          <w:p w:rsidR="00000A29" w:rsidRPr="00504FE1" w:rsidP="00000A29" w14:paraId="406A3719" w14:textId="77777777">
            <w:pPr>
              <w:jc w:val="center"/>
              <w:rPr>
                <w:rFonts w:ascii="Times New Roman" w:hAnsi="Times New Roman"/>
                <w:sz w:val="22"/>
                <w:szCs w:val="22"/>
              </w:rPr>
            </w:pPr>
            <w:r w:rsidRPr="00504FE1">
              <w:rPr>
                <w:rFonts w:ascii="Times New Roman" w:hAnsi="Times New Roman"/>
                <w:sz w:val="22"/>
                <w:szCs w:val="22"/>
              </w:rPr>
              <w:t># Respondents</w:t>
            </w:r>
          </w:p>
        </w:tc>
        <w:tc>
          <w:tcPr>
            <w:tcW w:w="1625" w:type="dxa"/>
            <w:vAlign w:val="center"/>
          </w:tcPr>
          <w:p w:rsidR="00000A29" w:rsidRPr="00504FE1" w:rsidP="00000A29" w14:paraId="45D07EB7" w14:textId="2F55D97F">
            <w:pPr>
              <w:jc w:val="center"/>
              <w:rPr>
                <w:rFonts w:ascii="Times New Roman" w:hAnsi="Times New Roman"/>
                <w:sz w:val="22"/>
                <w:szCs w:val="22"/>
              </w:rPr>
            </w:pPr>
            <w:r w:rsidRPr="00504FE1">
              <w:rPr>
                <w:rFonts w:ascii="Times New Roman" w:hAnsi="Times New Roman"/>
                <w:sz w:val="22"/>
                <w:szCs w:val="22"/>
              </w:rPr>
              <w:t># Responses</w:t>
            </w:r>
            <w:r w:rsidR="001C23FB">
              <w:rPr>
                <w:rFonts w:ascii="Times New Roman" w:hAnsi="Times New Roman"/>
                <w:sz w:val="22"/>
                <w:szCs w:val="22"/>
              </w:rPr>
              <w:t xml:space="preserve"> </w:t>
            </w:r>
            <w:r w:rsidRPr="00504FE1">
              <w:rPr>
                <w:rFonts w:ascii="Times New Roman" w:hAnsi="Times New Roman"/>
                <w:sz w:val="22"/>
                <w:szCs w:val="22"/>
              </w:rPr>
              <w:t>per</w:t>
            </w:r>
            <w:r w:rsidR="001C23FB">
              <w:rPr>
                <w:rFonts w:ascii="Times New Roman" w:hAnsi="Times New Roman"/>
                <w:sz w:val="22"/>
                <w:szCs w:val="22"/>
              </w:rPr>
              <w:t xml:space="preserve"> </w:t>
            </w:r>
            <w:r w:rsidRPr="00504FE1">
              <w:rPr>
                <w:rFonts w:ascii="Times New Roman" w:hAnsi="Times New Roman"/>
                <w:sz w:val="22"/>
                <w:szCs w:val="22"/>
              </w:rPr>
              <w:t>Respondent</w:t>
            </w:r>
          </w:p>
        </w:tc>
        <w:tc>
          <w:tcPr>
            <w:tcW w:w="1170" w:type="dxa"/>
            <w:vAlign w:val="center"/>
          </w:tcPr>
          <w:p w:rsidR="00000A29" w:rsidRPr="00504FE1" w:rsidP="00000A29" w14:paraId="6A9A1B01" w14:textId="77777777">
            <w:pPr>
              <w:jc w:val="center"/>
              <w:rPr>
                <w:rFonts w:ascii="Times New Roman" w:hAnsi="Times New Roman"/>
                <w:sz w:val="22"/>
                <w:szCs w:val="22"/>
              </w:rPr>
            </w:pPr>
            <w:r w:rsidRPr="00504FE1">
              <w:rPr>
                <w:rFonts w:ascii="Times New Roman" w:hAnsi="Times New Roman"/>
                <w:sz w:val="22"/>
                <w:szCs w:val="22"/>
              </w:rPr>
              <w:t>Total # Responses</w:t>
            </w:r>
          </w:p>
        </w:tc>
        <w:tc>
          <w:tcPr>
            <w:tcW w:w="1170" w:type="dxa"/>
            <w:vAlign w:val="center"/>
          </w:tcPr>
          <w:p w:rsidR="00000A29" w:rsidRPr="00504FE1" w:rsidP="00000A29" w14:paraId="350ADE1D" w14:textId="77777777">
            <w:pPr>
              <w:jc w:val="center"/>
              <w:rPr>
                <w:rFonts w:ascii="Times New Roman" w:hAnsi="Times New Roman"/>
                <w:sz w:val="22"/>
                <w:szCs w:val="22"/>
              </w:rPr>
            </w:pPr>
            <w:r w:rsidRPr="00504FE1">
              <w:rPr>
                <w:rFonts w:ascii="Times New Roman" w:hAnsi="Times New Roman"/>
                <w:sz w:val="22"/>
                <w:szCs w:val="22"/>
              </w:rPr>
              <w:t>Hours per Response</w:t>
            </w:r>
          </w:p>
        </w:tc>
        <w:tc>
          <w:tcPr>
            <w:tcW w:w="810" w:type="dxa"/>
            <w:vAlign w:val="center"/>
          </w:tcPr>
          <w:p w:rsidR="00000A29" w:rsidRPr="00504FE1" w:rsidP="00000A29" w14:paraId="7CF7D5D3" w14:textId="77777777">
            <w:pPr>
              <w:jc w:val="center"/>
              <w:rPr>
                <w:rFonts w:ascii="Times New Roman" w:hAnsi="Times New Roman"/>
                <w:sz w:val="22"/>
                <w:szCs w:val="22"/>
              </w:rPr>
            </w:pPr>
            <w:r w:rsidRPr="00504FE1">
              <w:rPr>
                <w:rFonts w:ascii="Times New Roman" w:hAnsi="Times New Roman"/>
                <w:sz w:val="22"/>
                <w:szCs w:val="22"/>
              </w:rPr>
              <w:t>Total Hours</w:t>
            </w:r>
          </w:p>
        </w:tc>
      </w:tr>
      <w:tr w14:paraId="44DC5801" w14:textId="77777777" w:rsidTr="00504FE1">
        <w:tblPrEx>
          <w:tblW w:w="9450" w:type="dxa"/>
          <w:tblInd w:w="355" w:type="dxa"/>
          <w:tblLayout w:type="fixed"/>
          <w:tblLook w:val="04A0"/>
        </w:tblPrEx>
        <w:tc>
          <w:tcPr>
            <w:tcW w:w="1345" w:type="dxa"/>
            <w:tcBorders>
              <w:top w:val="single" w:sz="4" w:space="0" w:color="auto"/>
              <w:left w:val="single" w:sz="4" w:space="0" w:color="auto"/>
              <w:bottom w:val="nil"/>
              <w:right w:val="single" w:sz="4" w:space="0" w:color="auto"/>
            </w:tcBorders>
          </w:tcPr>
          <w:p w:rsidR="000153A2" w:rsidRPr="00504FE1" w:rsidP="00000A29" w14:paraId="19723FF8" w14:textId="77777777">
            <w:pPr>
              <w:rPr>
                <w:rFonts w:ascii="Times New Roman" w:hAnsi="Times New Roman"/>
                <w:sz w:val="22"/>
                <w:szCs w:val="22"/>
              </w:rPr>
            </w:pPr>
            <w:r w:rsidRPr="00504FE1">
              <w:rPr>
                <w:rFonts w:ascii="Times New Roman" w:hAnsi="Times New Roman"/>
                <w:sz w:val="22"/>
                <w:szCs w:val="22"/>
              </w:rPr>
              <w:t>TD 8609</w:t>
            </w:r>
          </w:p>
          <w:p w:rsidR="00000A29" w:rsidRPr="00504FE1" w:rsidP="00000A29" w14:paraId="4F0CCE95" w14:textId="77777777">
            <w:pPr>
              <w:rPr>
                <w:rFonts w:ascii="Times New Roman" w:hAnsi="Times New Roman"/>
                <w:sz w:val="22"/>
                <w:szCs w:val="22"/>
              </w:rPr>
            </w:pPr>
            <w:r w:rsidRPr="00504FE1">
              <w:rPr>
                <w:rFonts w:ascii="Times New Roman" w:hAnsi="Times New Roman"/>
                <w:sz w:val="22"/>
                <w:szCs w:val="22"/>
              </w:rPr>
              <w:t>(PS-66-93)</w:t>
            </w:r>
          </w:p>
        </w:tc>
        <w:tc>
          <w:tcPr>
            <w:tcW w:w="1980" w:type="dxa"/>
            <w:tcBorders>
              <w:left w:val="single" w:sz="4" w:space="0" w:color="auto"/>
            </w:tcBorders>
            <w:vAlign w:val="center"/>
          </w:tcPr>
          <w:p w:rsidR="00000A29" w:rsidRPr="00504FE1" w:rsidP="00000A29" w14:paraId="395DFA87" w14:textId="77777777">
            <w:pPr>
              <w:rPr>
                <w:rFonts w:ascii="Times New Roman" w:hAnsi="Times New Roman"/>
                <w:color w:val="000000"/>
                <w:sz w:val="22"/>
                <w:szCs w:val="22"/>
              </w:rPr>
            </w:pPr>
            <w:r w:rsidRPr="00504FE1">
              <w:rPr>
                <w:rFonts w:ascii="Times New Roman" w:hAnsi="Times New Roman"/>
                <w:color w:val="000000"/>
                <w:sz w:val="22"/>
                <w:szCs w:val="22"/>
              </w:rPr>
              <w:t>48.4041-21(c)</w:t>
            </w:r>
          </w:p>
        </w:tc>
        <w:tc>
          <w:tcPr>
            <w:tcW w:w="1350" w:type="dxa"/>
            <w:vAlign w:val="bottom"/>
          </w:tcPr>
          <w:p w:rsidR="00000A29" w:rsidRPr="00504FE1" w:rsidP="00000A29" w14:paraId="6560E30F" w14:textId="77777777">
            <w:pPr>
              <w:jc w:val="right"/>
              <w:rPr>
                <w:rFonts w:ascii="Times New Roman" w:hAnsi="Times New Roman"/>
                <w:color w:val="000000"/>
                <w:sz w:val="22"/>
                <w:szCs w:val="22"/>
              </w:rPr>
            </w:pPr>
            <w:r w:rsidRPr="00504FE1">
              <w:rPr>
                <w:rFonts w:ascii="Times New Roman" w:hAnsi="Times New Roman"/>
                <w:color w:val="000000"/>
                <w:sz w:val="22"/>
                <w:szCs w:val="22"/>
              </w:rPr>
              <w:t>100</w:t>
            </w:r>
          </w:p>
        </w:tc>
        <w:tc>
          <w:tcPr>
            <w:tcW w:w="1625" w:type="dxa"/>
          </w:tcPr>
          <w:p w:rsidR="00000A29" w:rsidRPr="00504FE1" w:rsidP="00000A29" w14:paraId="50F3A45E" w14:textId="77777777">
            <w:pPr>
              <w:jc w:val="center"/>
              <w:rPr>
                <w:rFonts w:ascii="Times New Roman" w:hAnsi="Times New Roman"/>
                <w:sz w:val="22"/>
                <w:szCs w:val="22"/>
              </w:rPr>
            </w:pPr>
            <w:r w:rsidRPr="00504FE1">
              <w:rPr>
                <w:rFonts w:ascii="Times New Roman" w:hAnsi="Times New Roman"/>
                <w:sz w:val="22"/>
                <w:szCs w:val="22"/>
              </w:rPr>
              <w:t>1</w:t>
            </w:r>
          </w:p>
        </w:tc>
        <w:tc>
          <w:tcPr>
            <w:tcW w:w="1170" w:type="dxa"/>
            <w:vAlign w:val="bottom"/>
          </w:tcPr>
          <w:p w:rsidR="00000A29" w:rsidRPr="00504FE1" w:rsidP="00000A29" w14:paraId="2DF595E6" w14:textId="77777777">
            <w:pPr>
              <w:jc w:val="right"/>
              <w:rPr>
                <w:rFonts w:ascii="Times New Roman" w:hAnsi="Times New Roman"/>
                <w:color w:val="000000"/>
                <w:sz w:val="22"/>
                <w:szCs w:val="22"/>
              </w:rPr>
            </w:pPr>
            <w:r w:rsidRPr="00504FE1">
              <w:rPr>
                <w:rFonts w:ascii="Times New Roman" w:hAnsi="Times New Roman"/>
                <w:color w:val="000000"/>
                <w:sz w:val="22"/>
                <w:szCs w:val="22"/>
              </w:rPr>
              <w:t>100</w:t>
            </w:r>
          </w:p>
        </w:tc>
        <w:tc>
          <w:tcPr>
            <w:tcW w:w="1170" w:type="dxa"/>
            <w:vAlign w:val="bottom"/>
          </w:tcPr>
          <w:p w:rsidR="00000A29" w:rsidRPr="00504FE1" w:rsidP="00000A29" w14:paraId="418453AC" w14:textId="77777777">
            <w:pPr>
              <w:jc w:val="right"/>
              <w:rPr>
                <w:rFonts w:ascii="Times New Roman" w:hAnsi="Times New Roman"/>
                <w:color w:val="000000"/>
                <w:sz w:val="22"/>
                <w:szCs w:val="22"/>
              </w:rPr>
            </w:pPr>
            <w:r w:rsidRPr="00504FE1">
              <w:rPr>
                <w:rFonts w:ascii="Times New Roman" w:hAnsi="Times New Roman"/>
                <w:color w:val="000000"/>
                <w:sz w:val="22"/>
                <w:szCs w:val="22"/>
              </w:rPr>
              <w:t>0.1</w:t>
            </w:r>
          </w:p>
        </w:tc>
        <w:tc>
          <w:tcPr>
            <w:tcW w:w="810" w:type="dxa"/>
            <w:vAlign w:val="bottom"/>
          </w:tcPr>
          <w:p w:rsidR="00000A29" w:rsidRPr="00504FE1" w:rsidP="00000A29" w14:paraId="0C8AD364" w14:textId="77777777">
            <w:pPr>
              <w:jc w:val="right"/>
              <w:rPr>
                <w:rFonts w:ascii="Times New Roman" w:hAnsi="Times New Roman"/>
                <w:color w:val="000000"/>
                <w:sz w:val="22"/>
                <w:szCs w:val="22"/>
              </w:rPr>
            </w:pPr>
            <w:r w:rsidRPr="00504FE1">
              <w:rPr>
                <w:rFonts w:ascii="Times New Roman" w:hAnsi="Times New Roman"/>
                <w:color w:val="000000"/>
                <w:sz w:val="22"/>
                <w:szCs w:val="22"/>
              </w:rPr>
              <w:t>10</w:t>
            </w:r>
          </w:p>
        </w:tc>
      </w:tr>
      <w:tr w14:paraId="27D45C87" w14:textId="77777777" w:rsidTr="00504FE1">
        <w:tblPrEx>
          <w:tblW w:w="9450" w:type="dxa"/>
          <w:tblInd w:w="355" w:type="dxa"/>
          <w:tblLayout w:type="fixed"/>
          <w:tblLook w:val="04A0"/>
        </w:tblPrEx>
        <w:tc>
          <w:tcPr>
            <w:tcW w:w="1345" w:type="dxa"/>
            <w:tcBorders>
              <w:top w:val="nil"/>
              <w:left w:val="single" w:sz="4" w:space="0" w:color="auto"/>
              <w:bottom w:val="single" w:sz="4" w:space="0" w:color="auto"/>
              <w:right w:val="single" w:sz="4" w:space="0" w:color="auto"/>
            </w:tcBorders>
          </w:tcPr>
          <w:p w:rsidR="00000A29" w:rsidRPr="00504FE1" w:rsidP="00000A29" w14:paraId="5428EC70" w14:textId="77777777">
            <w:pPr>
              <w:rPr>
                <w:rFonts w:ascii="Times New Roman" w:hAnsi="Times New Roman"/>
                <w:sz w:val="22"/>
                <w:szCs w:val="22"/>
              </w:rPr>
            </w:pPr>
          </w:p>
        </w:tc>
        <w:tc>
          <w:tcPr>
            <w:tcW w:w="1980" w:type="dxa"/>
            <w:tcBorders>
              <w:left w:val="single" w:sz="4" w:space="0" w:color="auto"/>
            </w:tcBorders>
            <w:vAlign w:val="center"/>
          </w:tcPr>
          <w:p w:rsidR="00000A29" w:rsidRPr="00504FE1" w:rsidP="00000A29" w14:paraId="410368DE" w14:textId="77777777">
            <w:pPr>
              <w:rPr>
                <w:rFonts w:ascii="Times New Roman" w:hAnsi="Times New Roman"/>
                <w:color w:val="000000"/>
                <w:sz w:val="22"/>
                <w:szCs w:val="22"/>
              </w:rPr>
            </w:pPr>
            <w:r w:rsidRPr="00504FE1">
              <w:rPr>
                <w:rFonts w:ascii="Times New Roman" w:hAnsi="Times New Roman"/>
                <w:color w:val="000000"/>
                <w:sz w:val="22"/>
                <w:szCs w:val="22"/>
              </w:rPr>
              <w:t>48.4081-7(c)(5)</w:t>
            </w:r>
          </w:p>
        </w:tc>
        <w:tc>
          <w:tcPr>
            <w:tcW w:w="1350" w:type="dxa"/>
            <w:vAlign w:val="bottom"/>
          </w:tcPr>
          <w:p w:rsidR="00000A29" w:rsidRPr="00504FE1" w:rsidP="00000A29" w14:paraId="3ADAE0DE" w14:textId="77777777">
            <w:pPr>
              <w:jc w:val="right"/>
              <w:rPr>
                <w:rFonts w:ascii="Times New Roman" w:hAnsi="Times New Roman"/>
                <w:color w:val="000000"/>
                <w:sz w:val="22"/>
                <w:szCs w:val="22"/>
              </w:rPr>
            </w:pPr>
            <w:r w:rsidRPr="00504FE1">
              <w:rPr>
                <w:rFonts w:ascii="Times New Roman" w:hAnsi="Times New Roman"/>
                <w:color w:val="000000"/>
                <w:sz w:val="22"/>
                <w:szCs w:val="22"/>
              </w:rPr>
              <w:t>20</w:t>
            </w:r>
          </w:p>
        </w:tc>
        <w:tc>
          <w:tcPr>
            <w:tcW w:w="1625" w:type="dxa"/>
          </w:tcPr>
          <w:p w:rsidR="00000A29" w:rsidRPr="00504FE1" w:rsidP="00000A29" w14:paraId="79F184C7" w14:textId="77777777">
            <w:pPr>
              <w:jc w:val="center"/>
              <w:rPr>
                <w:rFonts w:ascii="Times New Roman" w:hAnsi="Times New Roman"/>
                <w:sz w:val="22"/>
                <w:szCs w:val="22"/>
              </w:rPr>
            </w:pPr>
            <w:r w:rsidRPr="00504FE1">
              <w:rPr>
                <w:rFonts w:ascii="Times New Roman" w:hAnsi="Times New Roman"/>
                <w:sz w:val="22"/>
                <w:szCs w:val="22"/>
              </w:rPr>
              <w:t>1</w:t>
            </w:r>
          </w:p>
        </w:tc>
        <w:tc>
          <w:tcPr>
            <w:tcW w:w="1170" w:type="dxa"/>
            <w:vAlign w:val="bottom"/>
          </w:tcPr>
          <w:p w:rsidR="00000A29" w:rsidRPr="00504FE1" w:rsidP="00000A29" w14:paraId="417FC838" w14:textId="77777777">
            <w:pPr>
              <w:jc w:val="right"/>
              <w:rPr>
                <w:rFonts w:ascii="Times New Roman" w:hAnsi="Times New Roman"/>
                <w:color w:val="000000"/>
                <w:sz w:val="22"/>
                <w:szCs w:val="22"/>
              </w:rPr>
            </w:pPr>
            <w:r w:rsidRPr="00504FE1">
              <w:rPr>
                <w:rFonts w:ascii="Times New Roman" w:hAnsi="Times New Roman"/>
                <w:color w:val="000000"/>
                <w:sz w:val="22"/>
                <w:szCs w:val="22"/>
              </w:rPr>
              <w:t>20</w:t>
            </w:r>
          </w:p>
        </w:tc>
        <w:tc>
          <w:tcPr>
            <w:tcW w:w="1170" w:type="dxa"/>
            <w:vAlign w:val="bottom"/>
          </w:tcPr>
          <w:p w:rsidR="00000A29" w:rsidRPr="00504FE1" w:rsidP="00000A29" w14:paraId="5E30E4FB" w14:textId="77777777">
            <w:pPr>
              <w:jc w:val="right"/>
              <w:rPr>
                <w:rFonts w:ascii="Times New Roman" w:hAnsi="Times New Roman"/>
                <w:color w:val="000000"/>
                <w:sz w:val="22"/>
                <w:szCs w:val="22"/>
              </w:rPr>
            </w:pPr>
            <w:r w:rsidRPr="00504FE1">
              <w:rPr>
                <w:rFonts w:ascii="Times New Roman" w:hAnsi="Times New Roman"/>
                <w:color w:val="000000"/>
                <w:sz w:val="22"/>
                <w:szCs w:val="22"/>
              </w:rPr>
              <w:t>0.25</w:t>
            </w:r>
          </w:p>
        </w:tc>
        <w:tc>
          <w:tcPr>
            <w:tcW w:w="810" w:type="dxa"/>
            <w:vAlign w:val="bottom"/>
          </w:tcPr>
          <w:p w:rsidR="00000A29" w:rsidRPr="00504FE1" w:rsidP="00000A29" w14:paraId="14CD6CD1" w14:textId="77777777">
            <w:pPr>
              <w:jc w:val="right"/>
              <w:rPr>
                <w:rFonts w:ascii="Times New Roman" w:hAnsi="Times New Roman"/>
                <w:color w:val="000000"/>
                <w:sz w:val="22"/>
                <w:szCs w:val="22"/>
              </w:rPr>
            </w:pPr>
            <w:r w:rsidRPr="00504FE1">
              <w:rPr>
                <w:rFonts w:ascii="Times New Roman" w:hAnsi="Times New Roman"/>
                <w:color w:val="000000"/>
                <w:sz w:val="22"/>
                <w:szCs w:val="22"/>
              </w:rPr>
              <w:t>5</w:t>
            </w:r>
          </w:p>
        </w:tc>
      </w:tr>
      <w:tr w14:paraId="3AE2C104" w14:textId="77777777" w:rsidTr="00504FE1">
        <w:tblPrEx>
          <w:tblW w:w="9450" w:type="dxa"/>
          <w:tblInd w:w="355" w:type="dxa"/>
          <w:tblLayout w:type="fixed"/>
          <w:tblLook w:val="04A0"/>
        </w:tblPrEx>
        <w:tc>
          <w:tcPr>
            <w:tcW w:w="1345" w:type="dxa"/>
            <w:tcBorders>
              <w:top w:val="single" w:sz="4" w:space="0" w:color="auto"/>
              <w:left w:val="single" w:sz="4" w:space="0" w:color="auto"/>
              <w:bottom w:val="nil"/>
              <w:right w:val="single" w:sz="4" w:space="0" w:color="auto"/>
            </w:tcBorders>
          </w:tcPr>
          <w:p w:rsidR="00000A29" w:rsidRPr="00504FE1" w:rsidP="00000A29" w14:paraId="18EE6F47" w14:textId="77777777">
            <w:pPr>
              <w:rPr>
                <w:rFonts w:ascii="Times New Roman" w:hAnsi="Times New Roman"/>
                <w:sz w:val="22"/>
                <w:szCs w:val="22"/>
              </w:rPr>
            </w:pPr>
            <w:r w:rsidRPr="00504FE1">
              <w:rPr>
                <w:rFonts w:ascii="Times New Roman" w:hAnsi="Times New Roman"/>
                <w:sz w:val="22"/>
                <w:szCs w:val="22"/>
              </w:rPr>
              <w:t xml:space="preserve">TD 8421 </w:t>
            </w:r>
            <w:r w:rsidRPr="00504FE1">
              <w:rPr>
                <w:rFonts w:ascii="Times New Roman" w:hAnsi="Times New Roman"/>
                <w:sz w:val="22"/>
                <w:szCs w:val="22"/>
              </w:rPr>
              <w:t>(PS-120-90)</w:t>
            </w:r>
          </w:p>
        </w:tc>
        <w:tc>
          <w:tcPr>
            <w:tcW w:w="1980" w:type="dxa"/>
            <w:tcBorders>
              <w:left w:val="single" w:sz="4" w:space="0" w:color="auto"/>
            </w:tcBorders>
            <w:vAlign w:val="center"/>
          </w:tcPr>
          <w:p w:rsidR="00000A29" w:rsidRPr="00504FE1" w:rsidP="00000A29" w14:paraId="0E2FAE2B" w14:textId="77777777">
            <w:pPr>
              <w:rPr>
                <w:rFonts w:ascii="Times New Roman" w:hAnsi="Times New Roman"/>
                <w:color w:val="000000"/>
                <w:sz w:val="22"/>
                <w:szCs w:val="22"/>
              </w:rPr>
            </w:pPr>
            <w:r w:rsidRPr="00504FE1">
              <w:rPr>
                <w:rFonts w:ascii="Times New Roman" w:hAnsi="Times New Roman"/>
                <w:color w:val="000000"/>
                <w:sz w:val="22"/>
                <w:szCs w:val="22"/>
              </w:rPr>
              <w:t>48.4081-2(c)(2) &amp; 48.4081-3(d)(2)(iii)</w:t>
            </w:r>
          </w:p>
        </w:tc>
        <w:tc>
          <w:tcPr>
            <w:tcW w:w="1350" w:type="dxa"/>
            <w:vAlign w:val="bottom"/>
          </w:tcPr>
          <w:p w:rsidR="00000A29" w:rsidRPr="00504FE1" w:rsidP="00000A29" w14:paraId="56396403" w14:textId="77777777">
            <w:pPr>
              <w:jc w:val="right"/>
              <w:rPr>
                <w:rFonts w:ascii="Times New Roman" w:hAnsi="Times New Roman"/>
                <w:color w:val="000000"/>
                <w:sz w:val="22"/>
                <w:szCs w:val="22"/>
              </w:rPr>
            </w:pPr>
            <w:r w:rsidRPr="00504FE1">
              <w:rPr>
                <w:rFonts w:ascii="Times New Roman" w:hAnsi="Times New Roman"/>
                <w:color w:val="000000"/>
                <w:sz w:val="22"/>
                <w:szCs w:val="22"/>
              </w:rPr>
              <w:t>500</w:t>
            </w:r>
          </w:p>
        </w:tc>
        <w:tc>
          <w:tcPr>
            <w:tcW w:w="1625" w:type="dxa"/>
          </w:tcPr>
          <w:p w:rsidR="00000A29" w:rsidRPr="00504FE1" w:rsidP="00000A29" w14:paraId="72BEB05C" w14:textId="77777777">
            <w:pPr>
              <w:jc w:val="center"/>
              <w:rPr>
                <w:rFonts w:ascii="Times New Roman" w:hAnsi="Times New Roman"/>
                <w:sz w:val="22"/>
                <w:szCs w:val="22"/>
              </w:rPr>
            </w:pPr>
            <w:r w:rsidRPr="00504FE1">
              <w:rPr>
                <w:rFonts w:ascii="Times New Roman" w:hAnsi="Times New Roman"/>
                <w:sz w:val="22"/>
                <w:szCs w:val="22"/>
              </w:rPr>
              <w:t>1</w:t>
            </w:r>
          </w:p>
        </w:tc>
        <w:tc>
          <w:tcPr>
            <w:tcW w:w="1170" w:type="dxa"/>
            <w:vAlign w:val="bottom"/>
          </w:tcPr>
          <w:p w:rsidR="00000A29" w:rsidRPr="00504FE1" w:rsidP="00000A29" w14:paraId="1880C17F" w14:textId="77777777">
            <w:pPr>
              <w:jc w:val="right"/>
              <w:rPr>
                <w:rFonts w:ascii="Times New Roman" w:hAnsi="Times New Roman"/>
                <w:color w:val="000000"/>
                <w:sz w:val="22"/>
                <w:szCs w:val="22"/>
              </w:rPr>
            </w:pPr>
            <w:r w:rsidRPr="00504FE1">
              <w:rPr>
                <w:rFonts w:ascii="Times New Roman" w:hAnsi="Times New Roman"/>
                <w:color w:val="000000"/>
                <w:sz w:val="22"/>
                <w:szCs w:val="22"/>
              </w:rPr>
              <w:t>500</w:t>
            </w:r>
          </w:p>
        </w:tc>
        <w:tc>
          <w:tcPr>
            <w:tcW w:w="1170" w:type="dxa"/>
            <w:vAlign w:val="bottom"/>
          </w:tcPr>
          <w:p w:rsidR="00000A29" w:rsidRPr="00504FE1" w:rsidP="00000A29" w14:paraId="1E8BD338" w14:textId="77777777">
            <w:pPr>
              <w:jc w:val="right"/>
              <w:rPr>
                <w:rFonts w:ascii="Times New Roman" w:hAnsi="Times New Roman"/>
                <w:color w:val="000000"/>
                <w:sz w:val="22"/>
                <w:szCs w:val="22"/>
              </w:rPr>
            </w:pPr>
            <w:r w:rsidRPr="00504FE1">
              <w:rPr>
                <w:rFonts w:ascii="Times New Roman" w:hAnsi="Times New Roman"/>
                <w:color w:val="000000"/>
                <w:sz w:val="22"/>
                <w:szCs w:val="22"/>
              </w:rPr>
              <w:t>0.1</w:t>
            </w:r>
          </w:p>
        </w:tc>
        <w:tc>
          <w:tcPr>
            <w:tcW w:w="810" w:type="dxa"/>
            <w:vAlign w:val="bottom"/>
          </w:tcPr>
          <w:p w:rsidR="00000A29" w:rsidRPr="00504FE1" w:rsidP="00000A29" w14:paraId="7532DA04" w14:textId="77777777">
            <w:pPr>
              <w:jc w:val="right"/>
              <w:rPr>
                <w:rFonts w:ascii="Times New Roman" w:hAnsi="Times New Roman"/>
                <w:color w:val="000000"/>
                <w:sz w:val="22"/>
                <w:szCs w:val="22"/>
              </w:rPr>
            </w:pPr>
            <w:r w:rsidRPr="00504FE1">
              <w:rPr>
                <w:rFonts w:ascii="Times New Roman" w:hAnsi="Times New Roman"/>
                <w:color w:val="000000"/>
                <w:sz w:val="22"/>
                <w:szCs w:val="22"/>
              </w:rPr>
              <w:t>50</w:t>
            </w:r>
          </w:p>
        </w:tc>
      </w:tr>
      <w:tr w14:paraId="278817FC" w14:textId="77777777" w:rsidTr="00504FE1">
        <w:tblPrEx>
          <w:tblW w:w="9450" w:type="dxa"/>
          <w:tblInd w:w="355" w:type="dxa"/>
          <w:tblLayout w:type="fixed"/>
          <w:tblLook w:val="04A0"/>
        </w:tblPrEx>
        <w:tc>
          <w:tcPr>
            <w:tcW w:w="1345" w:type="dxa"/>
            <w:tcBorders>
              <w:top w:val="nil"/>
              <w:left w:val="single" w:sz="4" w:space="0" w:color="auto"/>
              <w:bottom w:val="nil"/>
              <w:right w:val="single" w:sz="4" w:space="0" w:color="auto"/>
            </w:tcBorders>
          </w:tcPr>
          <w:p w:rsidR="00000A29" w:rsidRPr="00504FE1" w:rsidP="00000A29" w14:paraId="28139025" w14:textId="77777777">
            <w:pPr>
              <w:rPr>
                <w:rFonts w:ascii="Times New Roman" w:hAnsi="Times New Roman"/>
                <w:sz w:val="22"/>
                <w:szCs w:val="22"/>
              </w:rPr>
            </w:pPr>
          </w:p>
        </w:tc>
        <w:tc>
          <w:tcPr>
            <w:tcW w:w="1980" w:type="dxa"/>
            <w:tcBorders>
              <w:left w:val="single" w:sz="4" w:space="0" w:color="auto"/>
            </w:tcBorders>
            <w:vAlign w:val="center"/>
          </w:tcPr>
          <w:p w:rsidR="00000A29" w:rsidRPr="00504FE1" w:rsidP="00000A29" w14:paraId="118D9F2E" w14:textId="77777777">
            <w:pPr>
              <w:rPr>
                <w:rFonts w:ascii="Times New Roman" w:hAnsi="Times New Roman"/>
                <w:color w:val="000000"/>
                <w:sz w:val="22"/>
                <w:szCs w:val="22"/>
              </w:rPr>
            </w:pPr>
            <w:r w:rsidRPr="00504FE1">
              <w:rPr>
                <w:rFonts w:ascii="Times New Roman" w:hAnsi="Times New Roman"/>
                <w:color w:val="000000"/>
                <w:sz w:val="22"/>
                <w:szCs w:val="22"/>
              </w:rPr>
              <w:t>48.4081-3(e)(2)(ii)</w:t>
            </w:r>
          </w:p>
        </w:tc>
        <w:tc>
          <w:tcPr>
            <w:tcW w:w="1350" w:type="dxa"/>
            <w:vAlign w:val="bottom"/>
          </w:tcPr>
          <w:p w:rsidR="00000A29" w:rsidRPr="00504FE1" w:rsidP="00000A29" w14:paraId="012062FC" w14:textId="77777777">
            <w:pPr>
              <w:jc w:val="right"/>
              <w:rPr>
                <w:rFonts w:ascii="Times New Roman" w:hAnsi="Times New Roman"/>
                <w:color w:val="000000"/>
                <w:sz w:val="22"/>
                <w:szCs w:val="22"/>
              </w:rPr>
            </w:pPr>
            <w:r w:rsidRPr="00504FE1">
              <w:rPr>
                <w:rFonts w:ascii="Times New Roman" w:hAnsi="Times New Roman"/>
                <w:color w:val="000000"/>
                <w:sz w:val="22"/>
                <w:szCs w:val="22"/>
              </w:rPr>
              <w:t>200</w:t>
            </w:r>
          </w:p>
        </w:tc>
        <w:tc>
          <w:tcPr>
            <w:tcW w:w="1625" w:type="dxa"/>
          </w:tcPr>
          <w:p w:rsidR="00000A29" w:rsidRPr="00504FE1" w:rsidP="00000A29" w14:paraId="528204A9" w14:textId="77777777">
            <w:pPr>
              <w:jc w:val="center"/>
              <w:rPr>
                <w:rFonts w:ascii="Times New Roman" w:hAnsi="Times New Roman"/>
                <w:sz w:val="22"/>
                <w:szCs w:val="22"/>
              </w:rPr>
            </w:pPr>
            <w:r w:rsidRPr="00504FE1">
              <w:rPr>
                <w:rFonts w:ascii="Times New Roman" w:hAnsi="Times New Roman"/>
                <w:sz w:val="22"/>
                <w:szCs w:val="22"/>
              </w:rPr>
              <w:t>1</w:t>
            </w:r>
          </w:p>
        </w:tc>
        <w:tc>
          <w:tcPr>
            <w:tcW w:w="1170" w:type="dxa"/>
            <w:vAlign w:val="bottom"/>
          </w:tcPr>
          <w:p w:rsidR="00000A29" w:rsidRPr="00504FE1" w:rsidP="00000A29" w14:paraId="60F99A31" w14:textId="77777777">
            <w:pPr>
              <w:jc w:val="right"/>
              <w:rPr>
                <w:rFonts w:ascii="Times New Roman" w:hAnsi="Times New Roman"/>
                <w:color w:val="000000"/>
                <w:sz w:val="22"/>
                <w:szCs w:val="22"/>
              </w:rPr>
            </w:pPr>
            <w:r w:rsidRPr="00504FE1">
              <w:rPr>
                <w:rFonts w:ascii="Times New Roman" w:hAnsi="Times New Roman"/>
                <w:color w:val="000000"/>
                <w:sz w:val="22"/>
                <w:szCs w:val="22"/>
              </w:rPr>
              <w:t>200</w:t>
            </w:r>
          </w:p>
        </w:tc>
        <w:tc>
          <w:tcPr>
            <w:tcW w:w="1170" w:type="dxa"/>
            <w:vAlign w:val="bottom"/>
          </w:tcPr>
          <w:p w:rsidR="00000A29" w:rsidRPr="00504FE1" w:rsidP="00000A29" w14:paraId="629D2416" w14:textId="77777777">
            <w:pPr>
              <w:jc w:val="right"/>
              <w:rPr>
                <w:rFonts w:ascii="Times New Roman" w:hAnsi="Times New Roman"/>
                <w:color w:val="000000"/>
                <w:sz w:val="22"/>
                <w:szCs w:val="22"/>
              </w:rPr>
            </w:pPr>
            <w:r w:rsidRPr="00504FE1">
              <w:rPr>
                <w:rFonts w:ascii="Times New Roman" w:hAnsi="Times New Roman"/>
                <w:color w:val="000000"/>
                <w:sz w:val="22"/>
                <w:szCs w:val="22"/>
              </w:rPr>
              <w:t>0.1</w:t>
            </w:r>
          </w:p>
        </w:tc>
        <w:tc>
          <w:tcPr>
            <w:tcW w:w="810" w:type="dxa"/>
            <w:vAlign w:val="bottom"/>
          </w:tcPr>
          <w:p w:rsidR="00000A29" w:rsidRPr="00504FE1" w:rsidP="00000A29" w14:paraId="417E5B79" w14:textId="77777777">
            <w:pPr>
              <w:jc w:val="right"/>
              <w:rPr>
                <w:rFonts w:ascii="Times New Roman" w:hAnsi="Times New Roman"/>
                <w:color w:val="000000"/>
                <w:sz w:val="22"/>
                <w:szCs w:val="22"/>
              </w:rPr>
            </w:pPr>
            <w:r w:rsidRPr="00504FE1">
              <w:rPr>
                <w:rFonts w:ascii="Times New Roman" w:hAnsi="Times New Roman"/>
                <w:color w:val="000000"/>
                <w:sz w:val="22"/>
                <w:szCs w:val="22"/>
              </w:rPr>
              <w:t>20</w:t>
            </w:r>
          </w:p>
        </w:tc>
      </w:tr>
      <w:tr w14:paraId="487FAB24" w14:textId="77777777" w:rsidTr="00504FE1">
        <w:tblPrEx>
          <w:tblW w:w="9450" w:type="dxa"/>
          <w:tblInd w:w="355" w:type="dxa"/>
          <w:tblLayout w:type="fixed"/>
          <w:tblLook w:val="04A0"/>
        </w:tblPrEx>
        <w:tc>
          <w:tcPr>
            <w:tcW w:w="1345" w:type="dxa"/>
            <w:tcBorders>
              <w:top w:val="nil"/>
              <w:left w:val="single" w:sz="4" w:space="0" w:color="auto"/>
              <w:bottom w:val="nil"/>
              <w:right w:val="single" w:sz="4" w:space="0" w:color="auto"/>
            </w:tcBorders>
          </w:tcPr>
          <w:p w:rsidR="00000A29" w:rsidRPr="00504FE1" w:rsidP="00000A29" w14:paraId="2B0CEF05" w14:textId="77777777">
            <w:pPr>
              <w:rPr>
                <w:rFonts w:ascii="Times New Roman" w:hAnsi="Times New Roman"/>
                <w:sz w:val="22"/>
                <w:szCs w:val="22"/>
              </w:rPr>
            </w:pPr>
          </w:p>
        </w:tc>
        <w:tc>
          <w:tcPr>
            <w:tcW w:w="1980" w:type="dxa"/>
            <w:tcBorders>
              <w:left w:val="single" w:sz="4" w:space="0" w:color="auto"/>
            </w:tcBorders>
            <w:vAlign w:val="center"/>
          </w:tcPr>
          <w:p w:rsidR="00000A29" w:rsidRPr="00504FE1" w:rsidP="00000A29" w14:paraId="2A3A6FCE" w14:textId="77777777">
            <w:pPr>
              <w:rPr>
                <w:rFonts w:ascii="Times New Roman" w:hAnsi="Times New Roman"/>
                <w:color w:val="000000"/>
                <w:sz w:val="22"/>
                <w:szCs w:val="22"/>
              </w:rPr>
            </w:pPr>
            <w:r w:rsidRPr="00504FE1">
              <w:rPr>
                <w:rFonts w:ascii="Times New Roman" w:hAnsi="Times New Roman"/>
                <w:color w:val="000000"/>
                <w:sz w:val="22"/>
                <w:szCs w:val="22"/>
              </w:rPr>
              <w:t>48.4081-3(f)(3)(ii)</w:t>
            </w:r>
          </w:p>
        </w:tc>
        <w:tc>
          <w:tcPr>
            <w:tcW w:w="1350" w:type="dxa"/>
            <w:vAlign w:val="bottom"/>
          </w:tcPr>
          <w:p w:rsidR="00000A29" w:rsidRPr="00504FE1" w:rsidP="00000A29" w14:paraId="1EDFF546" w14:textId="77777777">
            <w:pPr>
              <w:jc w:val="right"/>
              <w:rPr>
                <w:rFonts w:ascii="Times New Roman" w:hAnsi="Times New Roman"/>
                <w:color w:val="000000"/>
                <w:sz w:val="22"/>
                <w:szCs w:val="22"/>
              </w:rPr>
            </w:pPr>
            <w:r w:rsidRPr="00504FE1">
              <w:rPr>
                <w:rFonts w:ascii="Times New Roman" w:hAnsi="Times New Roman"/>
                <w:color w:val="000000"/>
                <w:sz w:val="22"/>
                <w:szCs w:val="22"/>
              </w:rPr>
              <w:t>150</w:t>
            </w:r>
          </w:p>
        </w:tc>
        <w:tc>
          <w:tcPr>
            <w:tcW w:w="1625" w:type="dxa"/>
          </w:tcPr>
          <w:p w:rsidR="00000A29" w:rsidRPr="00504FE1" w:rsidP="00000A29" w14:paraId="10D14431" w14:textId="77777777">
            <w:pPr>
              <w:jc w:val="center"/>
              <w:rPr>
                <w:rFonts w:ascii="Times New Roman" w:hAnsi="Times New Roman"/>
                <w:sz w:val="22"/>
                <w:szCs w:val="22"/>
              </w:rPr>
            </w:pPr>
            <w:r w:rsidRPr="00504FE1">
              <w:rPr>
                <w:rFonts w:ascii="Times New Roman" w:hAnsi="Times New Roman"/>
                <w:sz w:val="22"/>
                <w:szCs w:val="22"/>
              </w:rPr>
              <w:t>1</w:t>
            </w:r>
          </w:p>
        </w:tc>
        <w:tc>
          <w:tcPr>
            <w:tcW w:w="1170" w:type="dxa"/>
            <w:vAlign w:val="bottom"/>
          </w:tcPr>
          <w:p w:rsidR="00000A29" w:rsidRPr="00504FE1" w:rsidP="00000A29" w14:paraId="4731C366" w14:textId="77777777">
            <w:pPr>
              <w:jc w:val="right"/>
              <w:rPr>
                <w:rFonts w:ascii="Times New Roman" w:hAnsi="Times New Roman"/>
                <w:color w:val="000000"/>
                <w:sz w:val="22"/>
                <w:szCs w:val="22"/>
              </w:rPr>
            </w:pPr>
            <w:r w:rsidRPr="00504FE1">
              <w:rPr>
                <w:rFonts w:ascii="Times New Roman" w:hAnsi="Times New Roman"/>
                <w:color w:val="000000"/>
                <w:sz w:val="22"/>
                <w:szCs w:val="22"/>
              </w:rPr>
              <w:t>150</w:t>
            </w:r>
          </w:p>
        </w:tc>
        <w:tc>
          <w:tcPr>
            <w:tcW w:w="1170" w:type="dxa"/>
            <w:vAlign w:val="bottom"/>
          </w:tcPr>
          <w:p w:rsidR="00000A29" w:rsidRPr="00504FE1" w:rsidP="00000A29" w14:paraId="5B21F15A" w14:textId="77777777">
            <w:pPr>
              <w:jc w:val="right"/>
              <w:rPr>
                <w:rFonts w:ascii="Times New Roman" w:hAnsi="Times New Roman"/>
                <w:color w:val="000000"/>
                <w:sz w:val="22"/>
                <w:szCs w:val="22"/>
              </w:rPr>
            </w:pPr>
            <w:r w:rsidRPr="00504FE1">
              <w:rPr>
                <w:rFonts w:ascii="Times New Roman" w:hAnsi="Times New Roman"/>
                <w:color w:val="000000"/>
                <w:sz w:val="22"/>
                <w:szCs w:val="22"/>
              </w:rPr>
              <w:t>0.1</w:t>
            </w:r>
          </w:p>
        </w:tc>
        <w:tc>
          <w:tcPr>
            <w:tcW w:w="810" w:type="dxa"/>
            <w:vAlign w:val="bottom"/>
          </w:tcPr>
          <w:p w:rsidR="00000A29" w:rsidRPr="00504FE1" w:rsidP="00000A29" w14:paraId="4034E69B" w14:textId="77777777">
            <w:pPr>
              <w:jc w:val="right"/>
              <w:rPr>
                <w:rFonts w:ascii="Times New Roman" w:hAnsi="Times New Roman"/>
                <w:color w:val="000000"/>
                <w:sz w:val="22"/>
                <w:szCs w:val="22"/>
              </w:rPr>
            </w:pPr>
            <w:r w:rsidRPr="00504FE1">
              <w:rPr>
                <w:rFonts w:ascii="Times New Roman" w:hAnsi="Times New Roman"/>
                <w:color w:val="000000"/>
                <w:sz w:val="22"/>
                <w:szCs w:val="22"/>
              </w:rPr>
              <w:t>15</w:t>
            </w:r>
          </w:p>
        </w:tc>
      </w:tr>
      <w:tr w14:paraId="1F2DED45" w14:textId="77777777" w:rsidTr="00504FE1">
        <w:tblPrEx>
          <w:tblW w:w="9450" w:type="dxa"/>
          <w:tblInd w:w="355" w:type="dxa"/>
          <w:tblLayout w:type="fixed"/>
          <w:tblLook w:val="04A0"/>
        </w:tblPrEx>
        <w:tc>
          <w:tcPr>
            <w:tcW w:w="1345" w:type="dxa"/>
            <w:tcBorders>
              <w:top w:val="nil"/>
              <w:left w:val="single" w:sz="4" w:space="0" w:color="auto"/>
              <w:bottom w:val="nil"/>
              <w:right w:val="single" w:sz="4" w:space="0" w:color="auto"/>
            </w:tcBorders>
          </w:tcPr>
          <w:p w:rsidR="00000A29" w:rsidRPr="00504FE1" w:rsidP="00000A29" w14:paraId="64D54DF5" w14:textId="77777777">
            <w:pPr>
              <w:rPr>
                <w:rFonts w:ascii="Times New Roman" w:hAnsi="Times New Roman"/>
                <w:sz w:val="22"/>
                <w:szCs w:val="22"/>
              </w:rPr>
            </w:pPr>
          </w:p>
        </w:tc>
        <w:tc>
          <w:tcPr>
            <w:tcW w:w="1980" w:type="dxa"/>
            <w:tcBorders>
              <w:left w:val="single" w:sz="4" w:space="0" w:color="auto"/>
            </w:tcBorders>
            <w:vAlign w:val="center"/>
          </w:tcPr>
          <w:p w:rsidR="00000A29" w:rsidRPr="00504FE1" w:rsidP="00000A29" w14:paraId="661C8D96" w14:textId="77777777">
            <w:pPr>
              <w:rPr>
                <w:rFonts w:ascii="Times New Roman" w:hAnsi="Times New Roman"/>
                <w:color w:val="000000"/>
                <w:sz w:val="22"/>
                <w:szCs w:val="22"/>
              </w:rPr>
            </w:pPr>
            <w:r w:rsidRPr="00504FE1">
              <w:rPr>
                <w:rFonts w:ascii="Times New Roman" w:hAnsi="Times New Roman"/>
                <w:color w:val="000000"/>
                <w:sz w:val="22"/>
                <w:szCs w:val="22"/>
              </w:rPr>
              <w:t xml:space="preserve">48.4081-4(b)(2(ii) &amp; (3)(i) </w:t>
            </w:r>
          </w:p>
        </w:tc>
        <w:tc>
          <w:tcPr>
            <w:tcW w:w="1350" w:type="dxa"/>
            <w:vAlign w:val="bottom"/>
          </w:tcPr>
          <w:p w:rsidR="00000A29" w:rsidRPr="00504FE1" w:rsidP="00000A29" w14:paraId="7070AEAC" w14:textId="77777777">
            <w:pPr>
              <w:jc w:val="right"/>
              <w:rPr>
                <w:rFonts w:ascii="Times New Roman" w:hAnsi="Times New Roman"/>
                <w:color w:val="000000"/>
                <w:sz w:val="22"/>
                <w:szCs w:val="22"/>
              </w:rPr>
            </w:pPr>
            <w:r w:rsidRPr="00504FE1">
              <w:rPr>
                <w:rFonts w:ascii="Times New Roman" w:hAnsi="Times New Roman"/>
                <w:color w:val="000000"/>
                <w:sz w:val="22"/>
                <w:szCs w:val="22"/>
              </w:rPr>
              <w:t>1000</w:t>
            </w:r>
          </w:p>
        </w:tc>
        <w:tc>
          <w:tcPr>
            <w:tcW w:w="1625" w:type="dxa"/>
          </w:tcPr>
          <w:p w:rsidR="00000A29" w:rsidRPr="00504FE1" w:rsidP="00000A29" w14:paraId="2DE9EE01" w14:textId="77777777">
            <w:pPr>
              <w:jc w:val="center"/>
              <w:rPr>
                <w:rFonts w:ascii="Times New Roman" w:hAnsi="Times New Roman"/>
                <w:sz w:val="22"/>
                <w:szCs w:val="22"/>
              </w:rPr>
            </w:pPr>
            <w:r w:rsidRPr="00504FE1">
              <w:rPr>
                <w:rFonts w:ascii="Times New Roman" w:hAnsi="Times New Roman"/>
                <w:sz w:val="22"/>
                <w:szCs w:val="22"/>
              </w:rPr>
              <w:t>1</w:t>
            </w:r>
          </w:p>
        </w:tc>
        <w:tc>
          <w:tcPr>
            <w:tcW w:w="1170" w:type="dxa"/>
            <w:vAlign w:val="bottom"/>
          </w:tcPr>
          <w:p w:rsidR="00000A29" w:rsidRPr="00504FE1" w:rsidP="00000A29" w14:paraId="025C5709" w14:textId="77777777">
            <w:pPr>
              <w:jc w:val="right"/>
              <w:rPr>
                <w:rFonts w:ascii="Times New Roman" w:hAnsi="Times New Roman"/>
                <w:color w:val="000000"/>
                <w:sz w:val="22"/>
                <w:szCs w:val="22"/>
              </w:rPr>
            </w:pPr>
            <w:r w:rsidRPr="00504FE1">
              <w:rPr>
                <w:rFonts w:ascii="Times New Roman" w:hAnsi="Times New Roman"/>
                <w:color w:val="000000"/>
                <w:sz w:val="22"/>
                <w:szCs w:val="22"/>
              </w:rPr>
              <w:t>1000</w:t>
            </w:r>
          </w:p>
        </w:tc>
        <w:tc>
          <w:tcPr>
            <w:tcW w:w="1170" w:type="dxa"/>
            <w:vAlign w:val="bottom"/>
          </w:tcPr>
          <w:p w:rsidR="00000A29" w:rsidRPr="00504FE1" w:rsidP="00000A29" w14:paraId="2B83B05D" w14:textId="77777777">
            <w:pPr>
              <w:jc w:val="right"/>
              <w:rPr>
                <w:rFonts w:ascii="Times New Roman" w:hAnsi="Times New Roman"/>
                <w:color w:val="000000"/>
                <w:sz w:val="22"/>
                <w:szCs w:val="22"/>
              </w:rPr>
            </w:pPr>
            <w:r w:rsidRPr="00504FE1">
              <w:rPr>
                <w:rFonts w:ascii="Times New Roman" w:hAnsi="Times New Roman"/>
                <w:color w:val="000000"/>
                <w:sz w:val="22"/>
                <w:szCs w:val="22"/>
              </w:rPr>
              <w:t>0.1</w:t>
            </w:r>
          </w:p>
        </w:tc>
        <w:tc>
          <w:tcPr>
            <w:tcW w:w="810" w:type="dxa"/>
            <w:vAlign w:val="bottom"/>
          </w:tcPr>
          <w:p w:rsidR="00000A29" w:rsidRPr="00504FE1" w:rsidP="00000A29" w14:paraId="7611AD2F" w14:textId="77777777">
            <w:pPr>
              <w:jc w:val="right"/>
              <w:rPr>
                <w:rFonts w:ascii="Times New Roman" w:hAnsi="Times New Roman"/>
                <w:color w:val="000000"/>
                <w:sz w:val="22"/>
                <w:szCs w:val="22"/>
              </w:rPr>
            </w:pPr>
            <w:r w:rsidRPr="00504FE1">
              <w:rPr>
                <w:rFonts w:ascii="Times New Roman" w:hAnsi="Times New Roman"/>
                <w:color w:val="000000"/>
                <w:sz w:val="22"/>
                <w:szCs w:val="22"/>
              </w:rPr>
              <w:t>100</w:t>
            </w:r>
          </w:p>
        </w:tc>
      </w:tr>
      <w:tr w14:paraId="5D140BA1" w14:textId="77777777" w:rsidTr="00504FE1">
        <w:tblPrEx>
          <w:tblW w:w="9450" w:type="dxa"/>
          <w:tblInd w:w="355" w:type="dxa"/>
          <w:tblLayout w:type="fixed"/>
          <w:tblLook w:val="04A0"/>
        </w:tblPrEx>
        <w:tc>
          <w:tcPr>
            <w:tcW w:w="1345" w:type="dxa"/>
            <w:tcBorders>
              <w:top w:val="nil"/>
              <w:left w:val="single" w:sz="4" w:space="0" w:color="auto"/>
              <w:bottom w:val="nil"/>
              <w:right w:val="single" w:sz="4" w:space="0" w:color="auto"/>
            </w:tcBorders>
          </w:tcPr>
          <w:p w:rsidR="00000A29" w:rsidRPr="00504FE1" w:rsidP="00000A29" w14:paraId="3FF43A05" w14:textId="77777777">
            <w:pPr>
              <w:rPr>
                <w:rFonts w:ascii="Times New Roman" w:hAnsi="Times New Roman"/>
                <w:sz w:val="22"/>
                <w:szCs w:val="22"/>
              </w:rPr>
            </w:pPr>
          </w:p>
        </w:tc>
        <w:tc>
          <w:tcPr>
            <w:tcW w:w="1980" w:type="dxa"/>
            <w:tcBorders>
              <w:left w:val="single" w:sz="4" w:space="0" w:color="auto"/>
            </w:tcBorders>
            <w:vAlign w:val="center"/>
          </w:tcPr>
          <w:p w:rsidR="00000A29" w:rsidRPr="00504FE1" w:rsidP="00000A29" w14:paraId="1762B65F" w14:textId="77777777">
            <w:pPr>
              <w:rPr>
                <w:rFonts w:ascii="Times New Roman" w:hAnsi="Times New Roman"/>
                <w:color w:val="000000"/>
                <w:sz w:val="22"/>
                <w:szCs w:val="22"/>
              </w:rPr>
            </w:pPr>
            <w:r w:rsidRPr="00504FE1">
              <w:rPr>
                <w:rFonts w:ascii="Times New Roman" w:hAnsi="Times New Roman"/>
                <w:color w:val="000000"/>
                <w:sz w:val="22"/>
                <w:szCs w:val="22"/>
              </w:rPr>
              <w:t>48.4081-4(c)</w:t>
            </w:r>
          </w:p>
        </w:tc>
        <w:tc>
          <w:tcPr>
            <w:tcW w:w="1350" w:type="dxa"/>
            <w:vAlign w:val="bottom"/>
          </w:tcPr>
          <w:p w:rsidR="00000A29" w:rsidRPr="00504FE1" w:rsidP="00000A29" w14:paraId="40FB2B36" w14:textId="77777777">
            <w:pPr>
              <w:jc w:val="right"/>
              <w:rPr>
                <w:rFonts w:ascii="Times New Roman" w:hAnsi="Times New Roman"/>
                <w:color w:val="000000"/>
                <w:sz w:val="22"/>
                <w:szCs w:val="22"/>
              </w:rPr>
            </w:pPr>
            <w:r w:rsidRPr="00504FE1">
              <w:rPr>
                <w:rFonts w:ascii="Times New Roman" w:hAnsi="Times New Roman"/>
                <w:color w:val="000000"/>
                <w:sz w:val="22"/>
                <w:szCs w:val="22"/>
              </w:rPr>
              <w:t>100</w:t>
            </w:r>
          </w:p>
        </w:tc>
        <w:tc>
          <w:tcPr>
            <w:tcW w:w="1625" w:type="dxa"/>
          </w:tcPr>
          <w:p w:rsidR="00000A29" w:rsidRPr="00504FE1" w:rsidP="00000A29" w14:paraId="7EB58224" w14:textId="77777777">
            <w:pPr>
              <w:jc w:val="center"/>
              <w:rPr>
                <w:rFonts w:ascii="Times New Roman" w:hAnsi="Times New Roman"/>
                <w:sz w:val="22"/>
                <w:szCs w:val="22"/>
              </w:rPr>
            </w:pPr>
            <w:r w:rsidRPr="00504FE1">
              <w:rPr>
                <w:rFonts w:ascii="Times New Roman" w:hAnsi="Times New Roman"/>
                <w:sz w:val="22"/>
                <w:szCs w:val="22"/>
              </w:rPr>
              <w:t>1</w:t>
            </w:r>
          </w:p>
        </w:tc>
        <w:tc>
          <w:tcPr>
            <w:tcW w:w="1170" w:type="dxa"/>
            <w:vAlign w:val="bottom"/>
          </w:tcPr>
          <w:p w:rsidR="00000A29" w:rsidRPr="00504FE1" w:rsidP="00000A29" w14:paraId="144EA2E1" w14:textId="77777777">
            <w:pPr>
              <w:jc w:val="right"/>
              <w:rPr>
                <w:rFonts w:ascii="Times New Roman" w:hAnsi="Times New Roman"/>
                <w:color w:val="000000"/>
                <w:sz w:val="22"/>
                <w:szCs w:val="22"/>
              </w:rPr>
            </w:pPr>
            <w:r w:rsidRPr="00504FE1">
              <w:rPr>
                <w:rFonts w:ascii="Times New Roman" w:hAnsi="Times New Roman"/>
                <w:color w:val="000000"/>
                <w:sz w:val="22"/>
                <w:szCs w:val="22"/>
              </w:rPr>
              <w:t>100</w:t>
            </w:r>
          </w:p>
        </w:tc>
        <w:tc>
          <w:tcPr>
            <w:tcW w:w="1170" w:type="dxa"/>
            <w:vAlign w:val="bottom"/>
          </w:tcPr>
          <w:p w:rsidR="00000A29" w:rsidRPr="00504FE1" w:rsidP="00000A29" w14:paraId="27CB58B2" w14:textId="77777777">
            <w:pPr>
              <w:jc w:val="right"/>
              <w:rPr>
                <w:rFonts w:ascii="Times New Roman" w:hAnsi="Times New Roman"/>
                <w:color w:val="000000"/>
                <w:sz w:val="22"/>
                <w:szCs w:val="22"/>
              </w:rPr>
            </w:pPr>
            <w:r w:rsidRPr="00504FE1">
              <w:rPr>
                <w:rFonts w:ascii="Times New Roman" w:hAnsi="Times New Roman"/>
                <w:color w:val="000000"/>
                <w:sz w:val="22"/>
                <w:szCs w:val="22"/>
              </w:rPr>
              <w:t>0.1</w:t>
            </w:r>
          </w:p>
        </w:tc>
        <w:tc>
          <w:tcPr>
            <w:tcW w:w="810" w:type="dxa"/>
            <w:vAlign w:val="bottom"/>
          </w:tcPr>
          <w:p w:rsidR="00000A29" w:rsidRPr="00504FE1" w:rsidP="00000A29" w14:paraId="3F167F07" w14:textId="77777777">
            <w:pPr>
              <w:jc w:val="right"/>
              <w:rPr>
                <w:rFonts w:ascii="Times New Roman" w:hAnsi="Times New Roman"/>
                <w:color w:val="000000"/>
                <w:sz w:val="22"/>
                <w:szCs w:val="22"/>
              </w:rPr>
            </w:pPr>
            <w:r w:rsidRPr="00504FE1">
              <w:rPr>
                <w:rFonts w:ascii="Times New Roman" w:hAnsi="Times New Roman"/>
                <w:color w:val="000000"/>
                <w:sz w:val="22"/>
                <w:szCs w:val="22"/>
              </w:rPr>
              <w:t>10</w:t>
            </w:r>
          </w:p>
        </w:tc>
      </w:tr>
      <w:tr w14:paraId="69595FA7" w14:textId="77777777" w:rsidTr="00504FE1">
        <w:tblPrEx>
          <w:tblW w:w="9450" w:type="dxa"/>
          <w:tblInd w:w="355" w:type="dxa"/>
          <w:tblLayout w:type="fixed"/>
          <w:tblLook w:val="04A0"/>
        </w:tblPrEx>
        <w:tc>
          <w:tcPr>
            <w:tcW w:w="1345" w:type="dxa"/>
            <w:tcBorders>
              <w:top w:val="nil"/>
              <w:left w:val="single" w:sz="4" w:space="0" w:color="auto"/>
              <w:bottom w:val="nil"/>
              <w:right w:val="single" w:sz="4" w:space="0" w:color="auto"/>
            </w:tcBorders>
          </w:tcPr>
          <w:p w:rsidR="00000A29" w:rsidRPr="00504FE1" w:rsidP="00000A29" w14:paraId="41960CB7" w14:textId="77777777">
            <w:pPr>
              <w:rPr>
                <w:rFonts w:ascii="Times New Roman" w:hAnsi="Times New Roman"/>
                <w:sz w:val="22"/>
                <w:szCs w:val="22"/>
              </w:rPr>
            </w:pPr>
          </w:p>
        </w:tc>
        <w:tc>
          <w:tcPr>
            <w:tcW w:w="1980" w:type="dxa"/>
            <w:tcBorders>
              <w:left w:val="single" w:sz="4" w:space="0" w:color="auto"/>
            </w:tcBorders>
            <w:vAlign w:val="center"/>
          </w:tcPr>
          <w:p w:rsidR="00000A29" w:rsidRPr="00504FE1" w:rsidP="00000A29" w14:paraId="34729189" w14:textId="77777777">
            <w:pPr>
              <w:rPr>
                <w:rFonts w:ascii="Times New Roman" w:hAnsi="Times New Roman"/>
                <w:color w:val="000000"/>
                <w:sz w:val="22"/>
                <w:szCs w:val="22"/>
              </w:rPr>
            </w:pPr>
            <w:r w:rsidRPr="00504FE1">
              <w:rPr>
                <w:rFonts w:ascii="Times New Roman" w:hAnsi="Times New Roman"/>
                <w:color w:val="000000"/>
                <w:sz w:val="22"/>
                <w:szCs w:val="22"/>
              </w:rPr>
              <w:t>48.4081-7</w:t>
            </w:r>
          </w:p>
        </w:tc>
        <w:tc>
          <w:tcPr>
            <w:tcW w:w="1350" w:type="dxa"/>
            <w:vAlign w:val="bottom"/>
          </w:tcPr>
          <w:p w:rsidR="00000A29" w:rsidRPr="00504FE1" w:rsidP="00000A29" w14:paraId="2A46126E" w14:textId="77777777">
            <w:pPr>
              <w:jc w:val="right"/>
              <w:rPr>
                <w:rFonts w:ascii="Times New Roman" w:hAnsi="Times New Roman"/>
                <w:color w:val="000000"/>
                <w:sz w:val="22"/>
                <w:szCs w:val="22"/>
              </w:rPr>
            </w:pPr>
            <w:r w:rsidRPr="00504FE1">
              <w:rPr>
                <w:rFonts w:ascii="Times New Roman" w:hAnsi="Times New Roman"/>
                <w:color w:val="000000"/>
                <w:sz w:val="22"/>
                <w:szCs w:val="22"/>
              </w:rPr>
              <w:t>50</w:t>
            </w:r>
          </w:p>
        </w:tc>
        <w:tc>
          <w:tcPr>
            <w:tcW w:w="1625" w:type="dxa"/>
          </w:tcPr>
          <w:p w:rsidR="00000A29" w:rsidRPr="00504FE1" w:rsidP="00000A29" w14:paraId="5D3DE1BF" w14:textId="77777777">
            <w:pPr>
              <w:jc w:val="center"/>
              <w:rPr>
                <w:rFonts w:ascii="Times New Roman" w:hAnsi="Times New Roman"/>
                <w:sz w:val="22"/>
                <w:szCs w:val="22"/>
              </w:rPr>
            </w:pPr>
            <w:r w:rsidRPr="00504FE1">
              <w:rPr>
                <w:rFonts w:ascii="Times New Roman" w:hAnsi="Times New Roman"/>
                <w:sz w:val="22"/>
                <w:szCs w:val="22"/>
              </w:rPr>
              <w:t>1</w:t>
            </w:r>
          </w:p>
        </w:tc>
        <w:tc>
          <w:tcPr>
            <w:tcW w:w="1170" w:type="dxa"/>
            <w:vAlign w:val="bottom"/>
          </w:tcPr>
          <w:p w:rsidR="00000A29" w:rsidRPr="00504FE1" w:rsidP="00000A29" w14:paraId="2A0A49C9" w14:textId="77777777">
            <w:pPr>
              <w:jc w:val="right"/>
              <w:rPr>
                <w:rFonts w:ascii="Times New Roman" w:hAnsi="Times New Roman"/>
                <w:color w:val="000000"/>
                <w:sz w:val="22"/>
                <w:szCs w:val="22"/>
              </w:rPr>
            </w:pPr>
            <w:r w:rsidRPr="00504FE1">
              <w:rPr>
                <w:rFonts w:ascii="Times New Roman" w:hAnsi="Times New Roman"/>
                <w:color w:val="000000"/>
                <w:sz w:val="22"/>
                <w:szCs w:val="22"/>
              </w:rPr>
              <w:t>50</w:t>
            </w:r>
          </w:p>
        </w:tc>
        <w:tc>
          <w:tcPr>
            <w:tcW w:w="1170" w:type="dxa"/>
            <w:vAlign w:val="bottom"/>
          </w:tcPr>
          <w:p w:rsidR="00000A29" w:rsidRPr="00504FE1" w:rsidP="00000A29" w14:paraId="67BD5EFC" w14:textId="77777777">
            <w:pPr>
              <w:jc w:val="right"/>
              <w:rPr>
                <w:rFonts w:ascii="Times New Roman" w:hAnsi="Times New Roman"/>
                <w:color w:val="000000"/>
                <w:sz w:val="22"/>
                <w:szCs w:val="22"/>
              </w:rPr>
            </w:pPr>
            <w:r w:rsidRPr="00504FE1">
              <w:rPr>
                <w:rFonts w:ascii="Times New Roman" w:hAnsi="Times New Roman"/>
                <w:color w:val="000000"/>
                <w:sz w:val="22"/>
                <w:szCs w:val="22"/>
              </w:rPr>
              <w:t>0.25</w:t>
            </w:r>
          </w:p>
        </w:tc>
        <w:tc>
          <w:tcPr>
            <w:tcW w:w="810" w:type="dxa"/>
            <w:vAlign w:val="bottom"/>
          </w:tcPr>
          <w:p w:rsidR="00000A29" w:rsidRPr="00504FE1" w:rsidP="00000A29" w14:paraId="66F1E7E0" w14:textId="77777777">
            <w:pPr>
              <w:jc w:val="right"/>
              <w:rPr>
                <w:rFonts w:ascii="Times New Roman" w:hAnsi="Times New Roman"/>
                <w:color w:val="000000"/>
                <w:sz w:val="22"/>
                <w:szCs w:val="22"/>
              </w:rPr>
            </w:pPr>
            <w:r w:rsidRPr="00504FE1">
              <w:rPr>
                <w:rFonts w:ascii="Times New Roman" w:hAnsi="Times New Roman"/>
                <w:color w:val="000000"/>
                <w:sz w:val="22"/>
                <w:szCs w:val="22"/>
              </w:rPr>
              <w:t>13</w:t>
            </w:r>
          </w:p>
        </w:tc>
      </w:tr>
      <w:tr w14:paraId="331CCFBF" w14:textId="77777777" w:rsidTr="00504FE1">
        <w:tblPrEx>
          <w:tblW w:w="9450" w:type="dxa"/>
          <w:tblInd w:w="355" w:type="dxa"/>
          <w:tblLayout w:type="fixed"/>
          <w:tblLook w:val="04A0"/>
        </w:tblPrEx>
        <w:tc>
          <w:tcPr>
            <w:tcW w:w="1345" w:type="dxa"/>
            <w:tcBorders>
              <w:top w:val="nil"/>
              <w:left w:val="single" w:sz="4" w:space="0" w:color="auto"/>
              <w:bottom w:val="nil"/>
              <w:right w:val="single" w:sz="4" w:space="0" w:color="auto"/>
            </w:tcBorders>
          </w:tcPr>
          <w:p w:rsidR="00000A29" w:rsidRPr="00504FE1" w:rsidP="00000A29" w14:paraId="24B77D5C" w14:textId="77777777">
            <w:pPr>
              <w:rPr>
                <w:rFonts w:ascii="Times New Roman" w:hAnsi="Times New Roman"/>
                <w:sz w:val="22"/>
                <w:szCs w:val="22"/>
              </w:rPr>
            </w:pPr>
          </w:p>
        </w:tc>
        <w:tc>
          <w:tcPr>
            <w:tcW w:w="1980" w:type="dxa"/>
            <w:tcBorders>
              <w:left w:val="single" w:sz="4" w:space="0" w:color="auto"/>
            </w:tcBorders>
            <w:vAlign w:val="center"/>
          </w:tcPr>
          <w:p w:rsidR="00000A29" w:rsidRPr="00504FE1" w:rsidP="00000A29" w14:paraId="2E50F748" w14:textId="77777777">
            <w:pPr>
              <w:rPr>
                <w:rFonts w:ascii="Times New Roman" w:hAnsi="Times New Roman"/>
                <w:color w:val="000000"/>
                <w:sz w:val="22"/>
                <w:szCs w:val="22"/>
              </w:rPr>
            </w:pPr>
            <w:r w:rsidRPr="00504FE1">
              <w:rPr>
                <w:rFonts w:ascii="Times New Roman" w:hAnsi="Times New Roman"/>
                <w:color w:val="000000"/>
                <w:sz w:val="22"/>
                <w:szCs w:val="22"/>
              </w:rPr>
              <w:t>48.4081-7(c)(4)</w:t>
            </w:r>
          </w:p>
        </w:tc>
        <w:tc>
          <w:tcPr>
            <w:tcW w:w="1350" w:type="dxa"/>
            <w:vAlign w:val="bottom"/>
          </w:tcPr>
          <w:p w:rsidR="00000A29" w:rsidRPr="00504FE1" w:rsidP="00000A29" w14:paraId="732B5C38" w14:textId="77777777">
            <w:pPr>
              <w:jc w:val="right"/>
              <w:rPr>
                <w:rFonts w:ascii="Times New Roman" w:hAnsi="Times New Roman"/>
                <w:color w:val="000000"/>
                <w:sz w:val="22"/>
                <w:szCs w:val="22"/>
              </w:rPr>
            </w:pPr>
            <w:r w:rsidRPr="00504FE1">
              <w:rPr>
                <w:rFonts w:ascii="Times New Roman" w:hAnsi="Times New Roman"/>
                <w:color w:val="000000"/>
                <w:sz w:val="22"/>
                <w:szCs w:val="22"/>
              </w:rPr>
              <w:t>50</w:t>
            </w:r>
          </w:p>
        </w:tc>
        <w:tc>
          <w:tcPr>
            <w:tcW w:w="1625" w:type="dxa"/>
          </w:tcPr>
          <w:p w:rsidR="00000A29" w:rsidRPr="00504FE1" w:rsidP="00000A29" w14:paraId="617DD318" w14:textId="77777777">
            <w:pPr>
              <w:jc w:val="center"/>
              <w:rPr>
                <w:rFonts w:ascii="Times New Roman" w:hAnsi="Times New Roman"/>
                <w:sz w:val="22"/>
                <w:szCs w:val="22"/>
              </w:rPr>
            </w:pPr>
            <w:r w:rsidRPr="00504FE1">
              <w:rPr>
                <w:rFonts w:ascii="Times New Roman" w:hAnsi="Times New Roman"/>
                <w:sz w:val="22"/>
                <w:szCs w:val="22"/>
              </w:rPr>
              <w:t>1</w:t>
            </w:r>
          </w:p>
        </w:tc>
        <w:tc>
          <w:tcPr>
            <w:tcW w:w="1170" w:type="dxa"/>
            <w:vAlign w:val="bottom"/>
          </w:tcPr>
          <w:p w:rsidR="00000A29" w:rsidRPr="00504FE1" w:rsidP="00000A29" w14:paraId="33181836" w14:textId="77777777">
            <w:pPr>
              <w:jc w:val="right"/>
              <w:rPr>
                <w:rFonts w:ascii="Times New Roman" w:hAnsi="Times New Roman"/>
                <w:color w:val="000000"/>
                <w:sz w:val="22"/>
                <w:szCs w:val="22"/>
              </w:rPr>
            </w:pPr>
            <w:r w:rsidRPr="00504FE1">
              <w:rPr>
                <w:rFonts w:ascii="Times New Roman" w:hAnsi="Times New Roman"/>
                <w:color w:val="000000"/>
                <w:sz w:val="22"/>
                <w:szCs w:val="22"/>
              </w:rPr>
              <w:t>50</w:t>
            </w:r>
          </w:p>
        </w:tc>
        <w:tc>
          <w:tcPr>
            <w:tcW w:w="1170" w:type="dxa"/>
            <w:vAlign w:val="bottom"/>
          </w:tcPr>
          <w:p w:rsidR="00000A29" w:rsidRPr="00504FE1" w:rsidP="00000A29" w14:paraId="3E6596F3" w14:textId="77777777">
            <w:pPr>
              <w:jc w:val="right"/>
              <w:rPr>
                <w:rFonts w:ascii="Times New Roman" w:hAnsi="Times New Roman"/>
                <w:color w:val="000000"/>
                <w:sz w:val="22"/>
                <w:szCs w:val="22"/>
              </w:rPr>
            </w:pPr>
            <w:r w:rsidRPr="00504FE1">
              <w:rPr>
                <w:rFonts w:ascii="Times New Roman" w:hAnsi="Times New Roman"/>
                <w:color w:val="000000"/>
                <w:sz w:val="22"/>
                <w:szCs w:val="22"/>
              </w:rPr>
              <w:t>0.25</w:t>
            </w:r>
          </w:p>
        </w:tc>
        <w:tc>
          <w:tcPr>
            <w:tcW w:w="810" w:type="dxa"/>
            <w:vAlign w:val="bottom"/>
          </w:tcPr>
          <w:p w:rsidR="00000A29" w:rsidRPr="00504FE1" w:rsidP="00000A29" w14:paraId="5A5CBF1E" w14:textId="77777777">
            <w:pPr>
              <w:jc w:val="right"/>
              <w:rPr>
                <w:rFonts w:ascii="Times New Roman" w:hAnsi="Times New Roman"/>
                <w:color w:val="000000"/>
                <w:sz w:val="22"/>
                <w:szCs w:val="22"/>
              </w:rPr>
            </w:pPr>
            <w:r w:rsidRPr="00504FE1">
              <w:rPr>
                <w:rFonts w:ascii="Times New Roman" w:hAnsi="Times New Roman"/>
                <w:color w:val="000000"/>
                <w:sz w:val="22"/>
                <w:szCs w:val="22"/>
              </w:rPr>
              <w:t>13</w:t>
            </w:r>
          </w:p>
        </w:tc>
      </w:tr>
      <w:tr w14:paraId="68BDD1AD" w14:textId="77777777" w:rsidTr="00504FE1">
        <w:tblPrEx>
          <w:tblW w:w="9450" w:type="dxa"/>
          <w:tblInd w:w="355" w:type="dxa"/>
          <w:tblLayout w:type="fixed"/>
          <w:tblLook w:val="04A0"/>
        </w:tblPrEx>
        <w:tc>
          <w:tcPr>
            <w:tcW w:w="1345" w:type="dxa"/>
            <w:tcBorders>
              <w:top w:val="nil"/>
              <w:left w:val="single" w:sz="4" w:space="0" w:color="auto"/>
              <w:bottom w:val="single" w:sz="4" w:space="0" w:color="auto"/>
              <w:right w:val="single" w:sz="4" w:space="0" w:color="auto"/>
            </w:tcBorders>
          </w:tcPr>
          <w:p w:rsidR="00000A29" w:rsidRPr="00504FE1" w:rsidP="00000A29" w14:paraId="735A90CD" w14:textId="77777777">
            <w:pPr>
              <w:rPr>
                <w:rFonts w:ascii="Times New Roman" w:hAnsi="Times New Roman"/>
                <w:sz w:val="22"/>
                <w:szCs w:val="22"/>
              </w:rPr>
            </w:pPr>
          </w:p>
        </w:tc>
        <w:tc>
          <w:tcPr>
            <w:tcW w:w="1980" w:type="dxa"/>
            <w:tcBorders>
              <w:left w:val="single" w:sz="4" w:space="0" w:color="auto"/>
              <w:bottom w:val="single" w:sz="4" w:space="0" w:color="auto"/>
            </w:tcBorders>
            <w:vAlign w:val="center"/>
          </w:tcPr>
          <w:p w:rsidR="00000A29" w:rsidRPr="00504FE1" w:rsidP="00000A29" w14:paraId="7471EE13" w14:textId="77777777">
            <w:pPr>
              <w:rPr>
                <w:rFonts w:ascii="Times New Roman" w:hAnsi="Times New Roman"/>
                <w:color w:val="000000"/>
                <w:sz w:val="22"/>
                <w:szCs w:val="22"/>
              </w:rPr>
            </w:pPr>
            <w:r w:rsidRPr="00504FE1">
              <w:rPr>
                <w:rFonts w:ascii="Times New Roman" w:hAnsi="Times New Roman"/>
                <w:color w:val="000000"/>
                <w:sz w:val="22"/>
                <w:szCs w:val="22"/>
              </w:rPr>
              <w:t>48.4081-7(d)(2)</w:t>
            </w:r>
          </w:p>
        </w:tc>
        <w:tc>
          <w:tcPr>
            <w:tcW w:w="1350" w:type="dxa"/>
            <w:tcBorders>
              <w:bottom w:val="single" w:sz="4" w:space="0" w:color="auto"/>
            </w:tcBorders>
            <w:vAlign w:val="bottom"/>
          </w:tcPr>
          <w:p w:rsidR="00000A29" w:rsidRPr="00504FE1" w:rsidP="00000A29" w14:paraId="51C7346E" w14:textId="77777777">
            <w:pPr>
              <w:jc w:val="right"/>
              <w:rPr>
                <w:rFonts w:ascii="Times New Roman" w:hAnsi="Times New Roman"/>
                <w:color w:val="000000"/>
                <w:sz w:val="22"/>
                <w:szCs w:val="22"/>
              </w:rPr>
            </w:pPr>
            <w:r w:rsidRPr="00504FE1">
              <w:rPr>
                <w:rFonts w:ascii="Times New Roman" w:hAnsi="Times New Roman"/>
                <w:color w:val="000000"/>
                <w:sz w:val="22"/>
                <w:szCs w:val="22"/>
              </w:rPr>
              <w:t>40</w:t>
            </w:r>
          </w:p>
        </w:tc>
        <w:tc>
          <w:tcPr>
            <w:tcW w:w="1625" w:type="dxa"/>
            <w:tcBorders>
              <w:bottom w:val="single" w:sz="4" w:space="0" w:color="auto"/>
            </w:tcBorders>
          </w:tcPr>
          <w:p w:rsidR="00000A29" w:rsidRPr="00504FE1" w:rsidP="00000A29" w14:paraId="62333E98" w14:textId="77777777">
            <w:pPr>
              <w:jc w:val="center"/>
              <w:rPr>
                <w:rFonts w:ascii="Times New Roman" w:hAnsi="Times New Roman"/>
                <w:sz w:val="22"/>
                <w:szCs w:val="22"/>
              </w:rPr>
            </w:pPr>
          </w:p>
        </w:tc>
        <w:tc>
          <w:tcPr>
            <w:tcW w:w="1170" w:type="dxa"/>
            <w:vAlign w:val="bottom"/>
          </w:tcPr>
          <w:p w:rsidR="00000A29" w:rsidRPr="00504FE1" w:rsidP="00000A29" w14:paraId="62F536DE" w14:textId="77777777">
            <w:pPr>
              <w:jc w:val="right"/>
              <w:rPr>
                <w:rFonts w:ascii="Times New Roman" w:hAnsi="Times New Roman"/>
                <w:color w:val="000000"/>
                <w:sz w:val="22"/>
                <w:szCs w:val="22"/>
              </w:rPr>
            </w:pPr>
            <w:r w:rsidRPr="00504FE1">
              <w:rPr>
                <w:rFonts w:ascii="Times New Roman" w:hAnsi="Times New Roman"/>
                <w:color w:val="000000"/>
                <w:sz w:val="22"/>
                <w:szCs w:val="22"/>
              </w:rPr>
              <w:t>40</w:t>
            </w:r>
          </w:p>
        </w:tc>
        <w:tc>
          <w:tcPr>
            <w:tcW w:w="1170" w:type="dxa"/>
            <w:vAlign w:val="bottom"/>
          </w:tcPr>
          <w:p w:rsidR="00000A29" w:rsidRPr="00504FE1" w:rsidP="00000A29" w14:paraId="7446C0D5" w14:textId="77777777">
            <w:pPr>
              <w:jc w:val="right"/>
              <w:rPr>
                <w:rFonts w:ascii="Times New Roman" w:hAnsi="Times New Roman"/>
                <w:color w:val="000000"/>
                <w:sz w:val="22"/>
                <w:szCs w:val="22"/>
              </w:rPr>
            </w:pPr>
            <w:r w:rsidRPr="00504FE1">
              <w:rPr>
                <w:rFonts w:ascii="Times New Roman" w:hAnsi="Times New Roman"/>
                <w:color w:val="000000"/>
                <w:sz w:val="22"/>
                <w:szCs w:val="22"/>
              </w:rPr>
              <w:t>0.25</w:t>
            </w:r>
          </w:p>
        </w:tc>
        <w:tc>
          <w:tcPr>
            <w:tcW w:w="810" w:type="dxa"/>
            <w:vAlign w:val="bottom"/>
          </w:tcPr>
          <w:p w:rsidR="00000A29" w:rsidRPr="00504FE1" w:rsidP="00000A29" w14:paraId="59609194" w14:textId="77777777">
            <w:pPr>
              <w:jc w:val="right"/>
              <w:rPr>
                <w:rFonts w:ascii="Times New Roman" w:hAnsi="Times New Roman"/>
                <w:color w:val="000000"/>
                <w:sz w:val="22"/>
                <w:szCs w:val="22"/>
              </w:rPr>
            </w:pPr>
            <w:r w:rsidRPr="00504FE1">
              <w:rPr>
                <w:rFonts w:ascii="Times New Roman" w:hAnsi="Times New Roman"/>
                <w:color w:val="000000"/>
                <w:sz w:val="22"/>
                <w:szCs w:val="22"/>
              </w:rPr>
              <w:t>10</w:t>
            </w:r>
          </w:p>
        </w:tc>
      </w:tr>
      <w:tr w14:paraId="35FB1F31" w14:textId="77777777" w:rsidTr="00504FE1">
        <w:tblPrEx>
          <w:tblW w:w="9450" w:type="dxa"/>
          <w:tblInd w:w="355" w:type="dxa"/>
          <w:tblLayout w:type="fixed"/>
          <w:tblLook w:val="04A0"/>
        </w:tblPrEx>
        <w:trPr>
          <w:trHeight w:val="548"/>
        </w:trPr>
        <w:tc>
          <w:tcPr>
            <w:tcW w:w="1345" w:type="dxa"/>
            <w:tcBorders>
              <w:top w:val="single" w:sz="4" w:space="0" w:color="auto"/>
              <w:left w:val="nil"/>
              <w:bottom w:val="nil"/>
              <w:right w:val="nil"/>
            </w:tcBorders>
          </w:tcPr>
          <w:p w:rsidR="00000A29" w:rsidRPr="00504FE1" w:rsidP="00000A29" w14:paraId="5521BDCD" w14:textId="77777777">
            <w:pPr>
              <w:rPr>
                <w:rFonts w:ascii="Times New Roman" w:hAnsi="Times New Roman"/>
                <w:sz w:val="22"/>
                <w:szCs w:val="22"/>
              </w:rPr>
            </w:pPr>
          </w:p>
        </w:tc>
        <w:tc>
          <w:tcPr>
            <w:tcW w:w="1980" w:type="dxa"/>
            <w:tcBorders>
              <w:top w:val="single" w:sz="4" w:space="0" w:color="auto"/>
              <w:left w:val="nil"/>
              <w:bottom w:val="nil"/>
              <w:right w:val="nil"/>
            </w:tcBorders>
            <w:vAlign w:val="center"/>
          </w:tcPr>
          <w:p w:rsidR="00000A29" w:rsidRPr="00504FE1" w:rsidP="00000A29" w14:paraId="0A7B4727" w14:textId="77777777">
            <w:pPr>
              <w:rPr>
                <w:rFonts w:ascii="Times New Roman" w:hAnsi="Times New Roman"/>
                <w:color w:val="000000"/>
                <w:sz w:val="22"/>
                <w:szCs w:val="22"/>
              </w:rPr>
            </w:pPr>
          </w:p>
        </w:tc>
        <w:tc>
          <w:tcPr>
            <w:tcW w:w="1350" w:type="dxa"/>
            <w:tcBorders>
              <w:top w:val="single" w:sz="4" w:space="0" w:color="auto"/>
              <w:left w:val="nil"/>
              <w:bottom w:val="nil"/>
              <w:right w:val="nil"/>
            </w:tcBorders>
            <w:vAlign w:val="center"/>
          </w:tcPr>
          <w:p w:rsidR="00000A29" w:rsidRPr="00504FE1" w:rsidP="00000A29" w14:paraId="3665694D" w14:textId="77777777">
            <w:pPr>
              <w:jc w:val="right"/>
              <w:rPr>
                <w:rFonts w:ascii="Times New Roman" w:hAnsi="Times New Roman"/>
                <w:color w:val="000000"/>
                <w:sz w:val="22"/>
                <w:szCs w:val="22"/>
              </w:rPr>
            </w:pPr>
          </w:p>
        </w:tc>
        <w:tc>
          <w:tcPr>
            <w:tcW w:w="1625" w:type="dxa"/>
            <w:tcBorders>
              <w:top w:val="single" w:sz="4" w:space="0" w:color="auto"/>
              <w:left w:val="nil"/>
              <w:bottom w:val="nil"/>
              <w:right w:val="single" w:sz="4" w:space="0" w:color="auto"/>
            </w:tcBorders>
          </w:tcPr>
          <w:p w:rsidR="00000A29" w:rsidRPr="00504FE1" w:rsidP="00000A29" w14:paraId="6B858969" w14:textId="77777777">
            <w:pPr>
              <w:jc w:val="right"/>
              <w:rPr>
                <w:rFonts w:ascii="Times New Roman" w:hAnsi="Times New Roman"/>
                <w:sz w:val="22"/>
                <w:szCs w:val="22"/>
              </w:rPr>
            </w:pPr>
          </w:p>
        </w:tc>
        <w:tc>
          <w:tcPr>
            <w:tcW w:w="1170" w:type="dxa"/>
            <w:tcBorders>
              <w:left w:val="single" w:sz="4" w:space="0" w:color="auto"/>
            </w:tcBorders>
            <w:vAlign w:val="center"/>
          </w:tcPr>
          <w:p w:rsidR="00000A29" w:rsidRPr="00504FE1" w:rsidP="00000A29" w14:paraId="7CF56432" w14:textId="3ABAD638">
            <w:pPr>
              <w:jc w:val="right"/>
              <w:rPr>
                <w:rFonts w:ascii="Times New Roman" w:hAnsi="Times New Roman"/>
                <w:b/>
                <w:bCs/>
                <w:color w:val="000000"/>
                <w:sz w:val="22"/>
                <w:szCs w:val="22"/>
              </w:rPr>
            </w:pPr>
            <w:r w:rsidRPr="00504FE1">
              <w:rPr>
                <w:rFonts w:ascii="Times New Roman" w:hAnsi="Times New Roman"/>
                <w:b/>
                <w:bCs/>
                <w:color w:val="000000"/>
                <w:sz w:val="22"/>
                <w:szCs w:val="22"/>
              </w:rPr>
              <w:t>2210</w:t>
            </w:r>
          </w:p>
        </w:tc>
        <w:tc>
          <w:tcPr>
            <w:tcW w:w="1170" w:type="dxa"/>
            <w:vAlign w:val="center"/>
          </w:tcPr>
          <w:p w:rsidR="00000A29" w:rsidRPr="00504FE1" w:rsidP="00000A29" w14:paraId="6D11D776" w14:textId="2CB9046D">
            <w:pPr>
              <w:jc w:val="right"/>
              <w:rPr>
                <w:rFonts w:ascii="Times New Roman" w:hAnsi="Times New Roman"/>
                <w:b/>
                <w:bCs/>
                <w:color w:val="000000"/>
                <w:sz w:val="22"/>
                <w:szCs w:val="22"/>
              </w:rPr>
            </w:pPr>
            <w:r w:rsidRPr="00504FE1">
              <w:rPr>
                <w:rFonts w:ascii="Times New Roman" w:hAnsi="Times New Roman"/>
                <w:b/>
                <w:bCs/>
                <w:color w:val="000000"/>
                <w:sz w:val="22"/>
                <w:szCs w:val="22"/>
              </w:rPr>
              <w:t>0.11</w:t>
            </w:r>
            <w:r w:rsidRPr="00504FE1" w:rsidR="00E40890">
              <w:rPr>
                <w:rFonts w:ascii="Times New Roman" w:hAnsi="Times New Roman"/>
                <w:b/>
                <w:bCs/>
                <w:color w:val="000000"/>
                <w:sz w:val="22"/>
                <w:szCs w:val="22"/>
              </w:rPr>
              <w:t>13122</w:t>
            </w:r>
          </w:p>
        </w:tc>
        <w:tc>
          <w:tcPr>
            <w:tcW w:w="810" w:type="dxa"/>
            <w:vAlign w:val="center"/>
          </w:tcPr>
          <w:p w:rsidR="00000A29" w:rsidRPr="00504FE1" w:rsidP="00000A29" w14:paraId="6083A919" w14:textId="50EB9A85">
            <w:pPr>
              <w:jc w:val="right"/>
              <w:rPr>
                <w:rFonts w:ascii="Times New Roman" w:hAnsi="Times New Roman"/>
                <w:b/>
                <w:bCs/>
                <w:color w:val="000000"/>
                <w:sz w:val="22"/>
                <w:szCs w:val="22"/>
              </w:rPr>
            </w:pPr>
            <w:r w:rsidRPr="00504FE1">
              <w:rPr>
                <w:rFonts w:ascii="Times New Roman" w:hAnsi="Times New Roman"/>
                <w:b/>
                <w:bCs/>
                <w:color w:val="000000"/>
                <w:sz w:val="22"/>
                <w:szCs w:val="22"/>
              </w:rPr>
              <w:t>246</w:t>
            </w:r>
          </w:p>
        </w:tc>
      </w:tr>
    </w:tbl>
    <w:p w:rsidR="001C23FB" w:rsidP="00000A29" w14:paraId="6190BF17" w14:textId="77777777">
      <w:pPr>
        <w:ind w:left="720"/>
        <w:rPr>
          <w:rFonts w:ascii="Times New Roman" w:hAnsi="Times New Roman"/>
        </w:rPr>
      </w:pPr>
    </w:p>
    <w:p w:rsidR="00000A29" w:rsidP="00000A29" w14:paraId="7DE85EFB" w14:textId="0B85BA47">
      <w:pPr>
        <w:ind w:left="720"/>
        <w:rPr>
          <w:rFonts w:ascii="Times New Roman" w:hAnsi="Times New Roman"/>
        </w:rPr>
      </w:pPr>
      <w:r>
        <w:rPr>
          <w:rFonts w:ascii="Times New Roman" w:hAnsi="Times New Roman"/>
        </w:rPr>
        <w:t xml:space="preserve">The agency recognizes that there are burden hours that should be classified as </w:t>
      </w:r>
      <w:r w:rsidR="001C23FB">
        <w:rPr>
          <w:rFonts w:ascii="Times New Roman" w:hAnsi="Times New Roman"/>
        </w:rPr>
        <w:t>third-party</w:t>
      </w:r>
      <w:r>
        <w:rPr>
          <w:rFonts w:ascii="Times New Roman" w:hAnsi="Times New Roman"/>
        </w:rPr>
        <w:t xml:space="preserve"> reporting. At the present time, there is no way to determine how many hours are simply reporting and how many are third party reporting. All reporting bur</w:t>
      </w:r>
      <w:r>
        <w:rPr>
          <w:rFonts w:ascii="Times New Roman" w:hAnsi="Times New Roman"/>
        </w:rPr>
        <w:t>den is reported under general reporting, and not specifically allocated to third party.</w:t>
      </w:r>
    </w:p>
    <w:p w:rsidR="001C23FB" w:rsidRPr="00C34A01" w:rsidP="00000A29" w14:paraId="20CC3273" w14:textId="77777777">
      <w:pPr>
        <w:ind w:left="720"/>
        <w:rPr>
          <w:rFonts w:ascii="Times New Roman" w:hAnsi="Times New Roman"/>
        </w:rPr>
      </w:pPr>
    </w:p>
    <w:p w:rsidR="00CF1591" w:rsidRPr="00C34A01" w14:paraId="0C53AB51" w14:textId="77777777">
      <w:pPr>
        <w:pStyle w:val="Level1"/>
        <w:tabs>
          <w:tab w:val="left" w:pos="-1440"/>
          <w:tab w:val="num" w:pos="720"/>
        </w:tabs>
        <w:rPr>
          <w:rFonts w:ascii="Times New Roman" w:hAnsi="Times New Roman"/>
          <w:b/>
        </w:rPr>
      </w:pPr>
      <w:r w:rsidRPr="00C34A01">
        <w:rPr>
          <w:rFonts w:ascii="Times New Roman" w:hAnsi="Times New Roman"/>
          <w:b/>
          <w:u w:val="single"/>
        </w:rPr>
        <w:t>ESTIMATED TOTAL ANNUAL COST BURDEN TO RESPONDENTS</w:t>
      </w:r>
    </w:p>
    <w:p w:rsidR="00CF1591" w14:paraId="00DFF814" w14:textId="77777777">
      <w:pPr>
        <w:rPr>
          <w:rFonts w:ascii="Times New Roman" w:hAnsi="Times New Roman"/>
        </w:rPr>
      </w:pPr>
    </w:p>
    <w:p w:rsidR="00A551E3" w:rsidP="00A551E3" w14:paraId="2B3CCCD7" w14:textId="77777777">
      <w:pPr>
        <w:ind w:left="540"/>
        <w:rPr>
          <w:rFonts w:ascii="Times New Roman" w:hAnsi="Times New Roman"/>
        </w:rPr>
      </w:pPr>
      <w:r>
        <w:rPr>
          <w:rFonts w:ascii="Times New Roman" w:hAnsi="Times New Roman"/>
        </w:rPr>
        <w:t xml:space="preserve">  </w:t>
      </w:r>
      <w:r w:rsidRPr="0058761D">
        <w:rPr>
          <w:rFonts w:ascii="Times New Roman" w:hAnsi="Times New Roman"/>
        </w:rPr>
        <w:t>To ensure more accuracy and consistency across its information collections, IRS is</w:t>
      </w:r>
    </w:p>
    <w:p w:rsidR="00A551E3" w:rsidRPr="0058761D" w:rsidP="00A551E3" w14:paraId="568B2913" w14:textId="77777777">
      <w:pPr>
        <w:ind w:left="540"/>
        <w:rPr>
          <w:rFonts w:ascii="Times New Roman" w:hAnsi="Times New Roman"/>
        </w:rPr>
      </w:pPr>
      <w:r>
        <w:rPr>
          <w:rFonts w:ascii="Times New Roman" w:hAnsi="Times New Roman"/>
        </w:rPr>
        <w:t xml:space="preserve">  </w:t>
      </w:r>
      <w:r w:rsidRPr="0058761D">
        <w:rPr>
          <w:rFonts w:ascii="Times New Roman" w:hAnsi="Times New Roman"/>
        </w:rPr>
        <w:t xml:space="preserve">currently in the process of revising the methodology it uses to estimate burden and </w:t>
      </w:r>
    </w:p>
    <w:p w:rsidR="00A551E3" w:rsidP="00A551E3" w14:paraId="33B3A27F" w14:textId="77777777">
      <w:pPr>
        <w:ind w:left="540"/>
        <w:rPr>
          <w:rFonts w:ascii="Times New Roman" w:hAnsi="Times New Roman"/>
        </w:rPr>
      </w:pPr>
      <w:r>
        <w:rPr>
          <w:rFonts w:ascii="Times New Roman" w:hAnsi="Times New Roman"/>
        </w:rPr>
        <w:t xml:space="preserve"> </w:t>
      </w:r>
      <w:r w:rsidRPr="0058761D">
        <w:rPr>
          <w:rFonts w:ascii="Times New Roman" w:hAnsi="Times New Roman"/>
        </w:rPr>
        <w:t xml:space="preserve"> costs. Once this methodology is complete, IRS will update</w:t>
      </w:r>
      <w:r>
        <w:rPr>
          <w:rFonts w:ascii="Times New Roman" w:hAnsi="Times New Roman"/>
        </w:rPr>
        <w:t xml:space="preserve"> </w:t>
      </w:r>
      <w:r w:rsidRPr="0058761D">
        <w:rPr>
          <w:rFonts w:ascii="Times New Roman" w:hAnsi="Times New Roman"/>
        </w:rPr>
        <w:t xml:space="preserve">this information collection to </w:t>
      </w:r>
    </w:p>
    <w:p w:rsidR="00A551E3" w:rsidP="00140F33" w14:paraId="0D6DA32E" w14:textId="77777777">
      <w:pPr>
        <w:ind w:left="540"/>
        <w:rPr>
          <w:rFonts w:ascii="Times New Roman" w:hAnsi="Times New Roman"/>
          <w:b/>
          <w:bCs/>
        </w:rPr>
      </w:pPr>
      <w:r>
        <w:rPr>
          <w:rFonts w:ascii="Times New Roman" w:hAnsi="Times New Roman"/>
        </w:rPr>
        <w:t xml:space="preserve">  </w:t>
      </w:r>
      <w:r w:rsidRPr="0058761D">
        <w:rPr>
          <w:rFonts w:ascii="Times New Roman" w:hAnsi="Times New Roman"/>
        </w:rPr>
        <w:t>reflect a more precise estimate of burden and costs.</w:t>
      </w:r>
    </w:p>
    <w:p w:rsidR="00140F33" w:rsidRPr="0058761D" w:rsidP="00A551E3" w14:paraId="4219C24D" w14:textId="77777777">
      <w:pPr>
        <w:numPr>
          <w:ilvl w:val="12"/>
          <w:numId w:val="0"/>
        </w:numPr>
        <w:ind w:left="720"/>
        <w:rPr>
          <w:rFonts w:ascii="Times New Roman" w:hAnsi="Times New Roman"/>
          <w:b/>
          <w:bCs/>
        </w:rPr>
      </w:pPr>
    </w:p>
    <w:p w:rsidR="00CF1591" w:rsidRPr="00C34A01" w:rsidP="00140F33" w14:paraId="713FCC5A" w14:textId="77777777">
      <w:pPr>
        <w:numPr>
          <w:ilvl w:val="0"/>
          <w:numId w:val="1"/>
        </w:numPr>
        <w:rPr>
          <w:rFonts w:ascii="Times New Roman" w:hAnsi="Times New Roman"/>
          <w:b/>
        </w:rPr>
      </w:pPr>
      <w:r w:rsidRPr="00C34A01">
        <w:rPr>
          <w:rFonts w:ascii="Times New Roman" w:hAnsi="Times New Roman"/>
          <w:b/>
          <w:u w:val="single"/>
        </w:rPr>
        <w:t>ESTIMATED ANNUALIZED CO</w:t>
      </w:r>
      <w:r w:rsidRPr="00C34A01">
        <w:rPr>
          <w:rFonts w:ascii="Times New Roman" w:hAnsi="Times New Roman"/>
          <w:b/>
          <w:u w:val="single"/>
        </w:rPr>
        <w:t>ST TO THE FEDERAL GOVERNMENT</w:t>
      </w:r>
    </w:p>
    <w:p w:rsidR="00CF1591" w14:paraId="378F845E" w14:textId="77777777">
      <w:pPr>
        <w:rPr>
          <w:rFonts w:ascii="Times New Roman" w:hAnsi="Times New Roman"/>
        </w:rPr>
      </w:pPr>
    </w:p>
    <w:p w:rsidR="00A551E3" w:rsidRPr="0058761D" w:rsidP="00A551E3" w14:paraId="17D5E4BD" w14:textId="77777777">
      <w:pPr>
        <w:spacing w:line="268" w:lineRule="exact"/>
        <w:ind w:left="720" w:right="624"/>
        <w:rPr>
          <w:rFonts w:ascii="Times New Roman" w:hAnsi="Times New Roman"/>
        </w:rPr>
      </w:pPr>
      <w:r w:rsidRPr="0058761D">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w:t>
      </w:r>
      <w:r w:rsidRPr="0058761D">
        <w:rPr>
          <w:rFonts w:ascii="Times New Roman" w:hAnsi="Times New Roman"/>
        </w:rPr>
        <w:t xml:space="preserve">his information </w:t>
      </w:r>
      <w:r>
        <w:rPr>
          <w:rFonts w:ascii="Times New Roman" w:hAnsi="Times New Roman"/>
        </w:rPr>
        <w:t>c</w:t>
      </w:r>
      <w:r w:rsidRPr="0058761D">
        <w:rPr>
          <w:rFonts w:ascii="Times New Roman" w:hAnsi="Times New Roman"/>
        </w:rPr>
        <w:t>ollection to reflect a more precise estimate of burden and costs.</w:t>
      </w:r>
    </w:p>
    <w:p w:rsidR="004D53C3" w:rsidRPr="00C34A01" w:rsidP="004D53C3" w14:paraId="03B4F14B" w14:textId="77777777">
      <w:pPr>
        <w:ind w:left="720"/>
        <w:rPr>
          <w:rFonts w:ascii="Times New Roman" w:hAnsi="Times New Roman"/>
        </w:rPr>
      </w:pPr>
    </w:p>
    <w:p w:rsidR="00CF1591" w:rsidRPr="00C34A01" w14:paraId="4F997A6D" w14:textId="77777777">
      <w:pPr>
        <w:pStyle w:val="Level1"/>
        <w:tabs>
          <w:tab w:val="left" w:pos="-1440"/>
          <w:tab w:val="num" w:pos="720"/>
        </w:tabs>
        <w:rPr>
          <w:rFonts w:ascii="Times New Roman" w:hAnsi="Times New Roman"/>
          <w:b/>
        </w:rPr>
      </w:pPr>
      <w:r w:rsidRPr="00C34A01">
        <w:rPr>
          <w:rFonts w:ascii="Times New Roman" w:hAnsi="Times New Roman"/>
          <w:b/>
          <w:u w:val="single"/>
        </w:rPr>
        <w:t>REASONS FOR CHANGE IN BURDEN</w:t>
      </w:r>
    </w:p>
    <w:p w:rsidR="00CF1591" w:rsidRPr="00C34A01" w14:paraId="4DFA7992" w14:textId="77777777">
      <w:pPr>
        <w:rPr>
          <w:rFonts w:ascii="Times New Roman" w:hAnsi="Times New Roman"/>
        </w:rPr>
      </w:pPr>
    </w:p>
    <w:p w:rsidR="00A551E3" w:rsidRPr="0058761D" w:rsidP="00A551E3" w14:paraId="1D16A4F1" w14:textId="7993C0BF">
      <w:pPr>
        <w:numPr>
          <w:ilvl w:val="12"/>
          <w:numId w:val="0"/>
        </w:numPr>
        <w:ind w:left="720"/>
        <w:rPr>
          <w:rFonts w:ascii="Times New Roman" w:hAnsi="Times New Roman"/>
        </w:rPr>
      </w:pPr>
      <w:bookmarkStart w:id="1" w:name="_Hlk125016889"/>
      <w:r>
        <w:rPr>
          <w:rFonts w:ascii="Times New Roman" w:hAnsi="Times New Roman"/>
        </w:rPr>
        <w:t>The IRS is removing the burden associated with section 48.4081-6(c)(1)(ii).</w:t>
      </w:r>
      <w:r w:rsidR="007E0725">
        <w:rPr>
          <w:rFonts w:ascii="Times New Roman" w:hAnsi="Times New Roman"/>
        </w:rPr>
        <w:t xml:space="preserve"> </w:t>
      </w:r>
      <w:r w:rsidRPr="007E0725" w:rsidR="007E0725">
        <w:rPr>
          <w:rFonts w:ascii="Times New Roman" w:hAnsi="Times New Roman"/>
          <w:i/>
          <w:iCs/>
        </w:rPr>
        <w:t>See</w:t>
      </w:r>
      <w:r w:rsidRPr="007E0725" w:rsidR="007E0725">
        <w:rPr>
          <w:rFonts w:ascii="Times New Roman" w:hAnsi="Times New Roman"/>
        </w:rPr>
        <w:t xml:space="preserve"> Pub.L. 108-357, Title III, § 301(c)(7), Oct. 22, 2004, 118 Stat. 1461</w:t>
      </w:r>
      <w:r w:rsidR="007E0725">
        <w:rPr>
          <w:rFonts w:ascii="Times New Roman" w:hAnsi="Times New Roman"/>
          <w:i/>
          <w:iCs/>
        </w:rPr>
        <w:t>.</w:t>
      </w:r>
      <w:r>
        <w:rPr>
          <w:rFonts w:ascii="Times New Roman" w:hAnsi="Times New Roman"/>
        </w:rPr>
        <w:t xml:space="preserve"> </w:t>
      </w:r>
      <w:r w:rsidR="007E0725">
        <w:rPr>
          <w:rFonts w:ascii="Times New Roman" w:hAnsi="Times New Roman"/>
        </w:rPr>
        <w:t xml:space="preserve">There are no other changes in the paperwork burden previously approved by OMB; </w:t>
      </w:r>
      <w:r w:rsidRPr="0058761D">
        <w:rPr>
          <w:rFonts w:ascii="Times New Roman" w:hAnsi="Times New Roman"/>
        </w:rPr>
        <w:t>IRS is making this submission to renew the OMB approval.</w:t>
      </w:r>
    </w:p>
    <w:bookmarkEnd w:id="1"/>
    <w:p w:rsidR="00CF1591" w:rsidRPr="00C34A01" w14:paraId="08C26F4C" w14:textId="77777777">
      <w:pPr>
        <w:rPr>
          <w:rFonts w:ascii="Times New Roman" w:hAnsi="Times New Roman"/>
        </w:rPr>
      </w:pPr>
    </w:p>
    <w:p w:rsidR="00CF1591" w:rsidRPr="004D53C3" w14:paraId="26345D80" w14:textId="77777777">
      <w:pPr>
        <w:pStyle w:val="Level1"/>
        <w:tabs>
          <w:tab w:val="left" w:pos="-1440"/>
          <w:tab w:val="num" w:pos="720"/>
        </w:tabs>
        <w:rPr>
          <w:rFonts w:ascii="Times New Roman" w:hAnsi="Times New Roman"/>
          <w:b/>
        </w:rPr>
      </w:pPr>
      <w:r w:rsidRPr="00C34A01">
        <w:rPr>
          <w:rFonts w:ascii="Times New Roman" w:hAnsi="Times New Roman"/>
          <w:b/>
          <w:u w:val="single"/>
        </w:rPr>
        <w:t>PLANS FOR TABULATION, STATISTICAL ANALYSIS AND PUBLICATION</w:t>
      </w:r>
    </w:p>
    <w:p w:rsidR="004D53C3" w:rsidP="004D53C3" w14:paraId="41F3B564" w14:textId="77777777">
      <w:pPr>
        <w:pStyle w:val="Level1"/>
        <w:numPr>
          <w:ilvl w:val="0"/>
          <w:numId w:val="0"/>
        </w:numPr>
        <w:tabs>
          <w:tab w:val="left" w:pos="-1440"/>
        </w:tabs>
        <w:ind w:left="720" w:hanging="720"/>
        <w:rPr>
          <w:rFonts w:ascii="Times New Roman" w:hAnsi="Times New Roman"/>
          <w:b/>
          <w:u w:val="single"/>
        </w:rPr>
      </w:pPr>
    </w:p>
    <w:p w:rsidR="004D53C3" w:rsidP="004D53C3" w14:paraId="3D829884" w14:textId="77777777">
      <w:pPr>
        <w:pStyle w:val="Level1"/>
        <w:numPr>
          <w:ilvl w:val="0"/>
          <w:numId w:val="0"/>
        </w:numPr>
        <w:tabs>
          <w:tab w:val="left" w:pos="-1440"/>
        </w:tabs>
        <w:ind w:left="720" w:hanging="720"/>
        <w:rPr>
          <w:rFonts w:ascii="Times New Roman" w:hAnsi="Times New Roman"/>
        </w:rPr>
      </w:pPr>
      <w:r>
        <w:rPr>
          <w:rFonts w:ascii="Times New Roman" w:hAnsi="Times New Roman"/>
        </w:rPr>
        <w:t xml:space="preserve">            </w:t>
      </w:r>
      <w:r w:rsidRPr="004D53C3">
        <w:rPr>
          <w:rFonts w:ascii="Times New Roman" w:hAnsi="Times New Roman"/>
        </w:rPr>
        <w:t xml:space="preserve">There are no plans for </w:t>
      </w:r>
      <w:r w:rsidRPr="004D53C3">
        <w:rPr>
          <w:rFonts w:ascii="Times New Roman" w:hAnsi="Times New Roman"/>
        </w:rPr>
        <w:t>tabulation, statistical analysis and publication.</w:t>
      </w:r>
    </w:p>
    <w:p w:rsidR="00CF1591" w:rsidRPr="00C34A01" w14:paraId="6C006EAA" w14:textId="77777777">
      <w:pPr>
        <w:rPr>
          <w:rFonts w:ascii="Times New Roman" w:hAnsi="Times New Roman"/>
        </w:rPr>
      </w:pPr>
    </w:p>
    <w:p w:rsidR="00CF1591" w:rsidRPr="00C34A01" w14:paraId="67A26B16" w14:textId="77777777">
      <w:pPr>
        <w:pStyle w:val="Level1"/>
        <w:tabs>
          <w:tab w:val="left" w:pos="-1440"/>
          <w:tab w:val="num" w:pos="720"/>
        </w:tabs>
        <w:rPr>
          <w:rFonts w:ascii="Times New Roman" w:hAnsi="Times New Roman"/>
          <w:b/>
          <w:u w:val="single"/>
        </w:rPr>
      </w:pPr>
      <w:r w:rsidRPr="00C34A01">
        <w:rPr>
          <w:rFonts w:ascii="Times New Roman" w:hAnsi="Times New Roman"/>
          <w:b/>
          <w:u w:val="single"/>
        </w:rPr>
        <w:t>REASONS WHY DISPLAYING THE OMB EXPIRATION DATE IS INAPPROPRIATE</w:t>
      </w:r>
    </w:p>
    <w:p w:rsidR="00CF1591" w:rsidRPr="00C34A01" w14:paraId="5CF32A98" w14:textId="77777777">
      <w:pPr>
        <w:rPr>
          <w:rFonts w:ascii="Times New Roman" w:hAnsi="Times New Roman"/>
        </w:rPr>
      </w:pPr>
    </w:p>
    <w:p w:rsidR="00A551E3" w:rsidRPr="0058761D" w:rsidP="00A551E3" w14:paraId="77B5EFDE"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rPr>
      </w:pPr>
      <w:r w:rsidRPr="0058761D">
        <w:rPr>
          <w:rFonts w:ascii="Times New Roman" w:hAnsi="Times New Roman"/>
          <w:bCs/>
        </w:rPr>
        <w:t>IRS believes that displaying the OMB expiration date is inappropriate because it could cause confusion by leading taxpayers to believe that</w:t>
      </w:r>
      <w:r w:rsidRPr="0058761D">
        <w:rPr>
          <w:rFonts w:ascii="Times New Roman" w:hAnsi="Times New Roman"/>
          <w:bCs/>
        </w:rPr>
        <w:t xml:space="preserve"> </w:t>
      </w:r>
      <w:r>
        <w:rPr>
          <w:rFonts w:ascii="Times New Roman" w:hAnsi="Times New Roman"/>
          <w:bCs/>
        </w:rPr>
        <w:t>regulation</w:t>
      </w:r>
      <w:r w:rsidRPr="0058761D">
        <w:rPr>
          <w:rFonts w:ascii="Times New Roman" w:hAnsi="Times New Roman"/>
          <w:bCs/>
        </w:rPr>
        <w:t xml:space="preserve"> sunsets as of the expiration date.  Taxpayers are not likely to be aware that the Service intends to request renewal of the OMB approval and obtain a new expiration date before the old one expires.</w:t>
      </w:r>
    </w:p>
    <w:p w:rsidR="00CF1591" w:rsidRPr="00C34A01" w14:paraId="19C01202" w14:textId="77777777">
      <w:pPr>
        <w:rPr>
          <w:rFonts w:ascii="Times New Roman" w:hAnsi="Times New Roman"/>
        </w:rPr>
      </w:pPr>
    </w:p>
    <w:p w:rsidR="00CF1591" w:rsidRPr="00F00177" w14:paraId="787FA207" w14:textId="77777777">
      <w:pPr>
        <w:pStyle w:val="Level1"/>
        <w:tabs>
          <w:tab w:val="left" w:pos="-1440"/>
          <w:tab w:val="num" w:pos="720"/>
        </w:tabs>
        <w:rPr>
          <w:rFonts w:ascii="Times New Roman" w:hAnsi="Times New Roman"/>
          <w:b/>
        </w:rPr>
      </w:pPr>
      <w:r w:rsidRPr="00C34A01">
        <w:rPr>
          <w:rFonts w:ascii="Times New Roman" w:hAnsi="Times New Roman"/>
          <w:b/>
          <w:u w:val="single"/>
        </w:rPr>
        <w:t xml:space="preserve">EXCEPTIONS TO THE CERTIFICATION STATEMENT </w:t>
      </w:r>
    </w:p>
    <w:p w:rsidR="00F00177" w:rsidRPr="004D53C3" w:rsidP="00F00177" w14:paraId="5377D570" w14:textId="77777777">
      <w:pPr>
        <w:pStyle w:val="Level1"/>
        <w:numPr>
          <w:ilvl w:val="0"/>
          <w:numId w:val="0"/>
        </w:numPr>
        <w:tabs>
          <w:tab w:val="left" w:pos="-1440"/>
        </w:tabs>
        <w:ind w:left="720" w:hanging="720"/>
        <w:rPr>
          <w:rFonts w:ascii="Times New Roman" w:hAnsi="Times New Roman"/>
          <w:b/>
        </w:rPr>
      </w:pPr>
    </w:p>
    <w:p w:rsidR="000F1AEC" w:rsidP="000F1AEC" w14:paraId="3743FCEF" w14:textId="77777777">
      <w:pPr>
        <w:pStyle w:val="Level1"/>
        <w:numPr>
          <w:ilvl w:val="0"/>
          <w:numId w:val="0"/>
        </w:numPr>
        <w:tabs>
          <w:tab w:val="left" w:pos="-1440"/>
        </w:tabs>
        <w:ind w:left="720" w:hanging="720"/>
        <w:rPr>
          <w:rFonts w:ascii="Times New Roman" w:hAnsi="Times New Roman"/>
          <w:b/>
          <w:u w:val="single"/>
        </w:rPr>
      </w:pPr>
      <w:r>
        <w:rPr>
          <w:rFonts w:ascii="Times New Roman" w:hAnsi="Times New Roman"/>
        </w:rPr>
        <w:t xml:space="preserve"> </w:t>
      </w:r>
      <w:r>
        <w:rPr>
          <w:rFonts w:ascii="Times New Roman" w:hAnsi="Times New Roman"/>
        </w:rPr>
        <w:t xml:space="preserve">            </w:t>
      </w:r>
      <w:r w:rsidRPr="004D53C3">
        <w:rPr>
          <w:rFonts w:ascii="Times New Roman" w:hAnsi="Times New Roman"/>
        </w:rPr>
        <w:t>There are no exceptions to the certification statement.</w:t>
      </w:r>
    </w:p>
    <w:p w:rsidR="000F1AEC" w:rsidRPr="00C34A01" w:rsidP="000F1AEC" w14:paraId="464B2F18" w14:textId="77777777">
      <w:pPr>
        <w:pStyle w:val="Level1"/>
        <w:numPr>
          <w:ilvl w:val="0"/>
          <w:numId w:val="0"/>
        </w:numPr>
        <w:tabs>
          <w:tab w:val="left" w:pos="-1440"/>
        </w:tabs>
        <w:ind w:left="720" w:hanging="720"/>
        <w:rPr>
          <w:rFonts w:ascii="Times New Roman" w:hAnsi="Times New Roman"/>
          <w:b/>
        </w:rPr>
      </w:pPr>
    </w:p>
    <w:p w:rsidR="00CF1591" w:rsidRPr="00C34A01" w14:paraId="4D5A967E" w14:textId="77777777">
      <w:pPr>
        <w:rPr>
          <w:rFonts w:ascii="Times New Roman" w:hAnsi="Times New Roman"/>
          <w:b/>
        </w:rPr>
      </w:pPr>
    </w:p>
    <w:p w:rsidR="00A551E3" w:rsidRPr="0058761D" w:rsidP="00A551E3" w14:paraId="274C3365" w14:textId="77777777">
      <w:pPr>
        <w:numPr>
          <w:ilvl w:val="12"/>
          <w:numId w:val="0"/>
        </w:numPr>
        <w:rPr>
          <w:rFonts w:ascii="Times New Roman" w:hAnsi="Times New Roman"/>
          <w:bCs/>
        </w:rPr>
      </w:pPr>
      <w:r w:rsidRPr="0058761D">
        <w:rPr>
          <w:rFonts w:ascii="Times New Roman" w:hAnsi="Times New Roman"/>
          <w:bCs/>
          <w:u w:val="single"/>
        </w:rPr>
        <w:t>Note:</w:t>
      </w:r>
      <w:r w:rsidRPr="0058761D">
        <w:rPr>
          <w:rFonts w:ascii="Times New Roman" w:hAnsi="Times New Roman"/>
          <w:bCs/>
        </w:rPr>
        <w:t xml:space="preserve">  The following paragraph applies to all of the collections</w:t>
      </w:r>
      <w:r>
        <w:rPr>
          <w:rFonts w:ascii="Times New Roman" w:hAnsi="Times New Roman"/>
          <w:bCs/>
        </w:rPr>
        <w:t xml:space="preserve"> </w:t>
      </w:r>
      <w:r w:rsidRPr="0058761D">
        <w:rPr>
          <w:rFonts w:ascii="Times New Roman" w:hAnsi="Times New Roman"/>
          <w:bCs/>
        </w:rPr>
        <w:t>of information in this submission:</w:t>
      </w:r>
    </w:p>
    <w:p w:rsidR="00A551E3" w:rsidRPr="0058761D" w:rsidP="00A551E3" w14:paraId="315C7871" w14:textId="77777777">
      <w:pPr>
        <w:numPr>
          <w:ilvl w:val="12"/>
          <w:numId w:val="0"/>
        </w:numPr>
        <w:rPr>
          <w:rFonts w:ascii="Times New Roman" w:hAnsi="Times New Roman"/>
          <w:bCs/>
        </w:rPr>
      </w:pPr>
    </w:p>
    <w:p w:rsidR="00A551E3" w:rsidRPr="0058761D" w:rsidP="00A551E3" w14:paraId="43855D38" w14:textId="77777777">
      <w:pPr>
        <w:numPr>
          <w:ilvl w:val="12"/>
          <w:numId w:val="0"/>
        </w:numPr>
        <w:ind w:left="720"/>
        <w:rPr>
          <w:rFonts w:ascii="Times New Roman" w:hAnsi="Times New Roman"/>
          <w:bCs/>
        </w:rPr>
      </w:pPr>
      <w:r w:rsidRPr="0058761D">
        <w:rPr>
          <w:rFonts w:ascii="Times New Roman" w:hAnsi="Times New Roman"/>
          <w:bCs/>
        </w:rPr>
        <w:t xml:space="preserve">An agency may not conduct or sponsor, and a person is not required to respond to, a collection of information unless the collection of information displays a valid OMB </w:t>
      </w:r>
    </w:p>
    <w:p w:rsidR="00A551E3" w:rsidRPr="0058761D" w:rsidP="00A551E3" w14:paraId="6E5602D6" w14:textId="77777777">
      <w:pPr>
        <w:numPr>
          <w:ilvl w:val="12"/>
          <w:numId w:val="0"/>
        </w:numPr>
        <w:ind w:left="720"/>
        <w:rPr>
          <w:rFonts w:ascii="Times New Roman" w:hAnsi="Times New Roman"/>
          <w:bCs/>
        </w:rPr>
      </w:pPr>
      <w:r w:rsidRPr="0058761D">
        <w:rPr>
          <w:rFonts w:ascii="Times New Roman" w:hAnsi="Times New Roman"/>
          <w:bCs/>
        </w:rPr>
        <w:t>control number.  Books or records relating to a collection of information must be retai</w:t>
      </w:r>
      <w:r w:rsidRPr="0058761D">
        <w:rPr>
          <w:rFonts w:ascii="Times New Roman" w:hAnsi="Times New Roman"/>
          <w:bCs/>
        </w:rPr>
        <w:t xml:space="preserve">ned as long as their contents may become material in the administration of any internal </w:t>
      </w:r>
    </w:p>
    <w:p w:rsidR="00A551E3" w:rsidRPr="0058761D" w:rsidP="00A551E3" w14:paraId="74B7AF3E" w14:textId="77777777">
      <w:pPr>
        <w:numPr>
          <w:ilvl w:val="12"/>
          <w:numId w:val="0"/>
        </w:numPr>
        <w:ind w:left="720"/>
        <w:rPr>
          <w:rFonts w:ascii="Times New Roman" w:hAnsi="Times New Roman"/>
          <w:bCs/>
        </w:rPr>
      </w:pPr>
      <w:r w:rsidRPr="0058761D">
        <w:rPr>
          <w:rFonts w:ascii="Times New Roman" w:hAnsi="Times New Roman"/>
          <w:bCs/>
        </w:rPr>
        <w:t xml:space="preserve">revenue law.  Generally, tax returns and tax return information are confidential, as required by 26 U.S.C.  6103. </w:t>
      </w:r>
    </w:p>
    <w:p w:rsidR="00CF1591" w:rsidRPr="00C34A01" w:rsidP="00A551E3" w14:paraId="45CAE61E" w14:textId="77777777">
      <w:pPr>
        <w:tabs>
          <w:tab w:val="left" w:pos="720"/>
        </w:tabs>
        <w:ind w:left="720" w:hanging="720"/>
        <w:rPr>
          <w:rFonts w:ascii="Times New Roman" w:hAnsi="Times New Roman"/>
        </w:rPr>
      </w:pPr>
    </w:p>
    <w:sectPr w:rsidSect="00C34A01">
      <w:footerReference w:type="default" r:id="rId4"/>
      <w:type w:val="continuous"/>
      <w:pgSz w:w="12240" w:h="15840"/>
      <w:pgMar w:top="1440" w:right="1440" w:bottom="1440" w:left="1440" w:header="144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F58" w:rsidRPr="00C34A01" w14:paraId="3AD7638A" w14:textId="77777777">
    <w:pPr>
      <w:pStyle w:val="Footer"/>
      <w:jc w:val="right"/>
      <w:rPr>
        <w:rFonts w:ascii="Times New Roman" w:hAnsi="Times New Roman"/>
      </w:rPr>
    </w:pPr>
    <w:r w:rsidRPr="00C34A01">
      <w:rPr>
        <w:rFonts w:ascii="Times New Roman" w:hAnsi="Times New Roman"/>
      </w:rPr>
      <w:fldChar w:fldCharType="begin"/>
    </w:r>
    <w:r w:rsidRPr="00C34A01">
      <w:rPr>
        <w:rFonts w:ascii="Times New Roman" w:hAnsi="Times New Roman"/>
      </w:rPr>
      <w:instrText xml:space="preserve"> PAGE   \* MERGEFORMAT </w:instrText>
    </w:r>
    <w:r w:rsidRPr="00C34A01">
      <w:rPr>
        <w:rFonts w:ascii="Times New Roman" w:hAnsi="Times New Roman"/>
      </w:rPr>
      <w:fldChar w:fldCharType="separate"/>
    </w:r>
    <w:r w:rsidR="00C71EA1">
      <w:rPr>
        <w:rFonts w:ascii="Times New Roman" w:hAnsi="Times New Roman"/>
        <w:noProof/>
      </w:rPr>
      <w:t>1</w:t>
    </w:r>
    <w:r w:rsidRPr="00C34A01">
      <w:rPr>
        <w:rFonts w:ascii="Times New Roman" w:hAnsi="Times New Roman"/>
      </w:rPr>
      <w:fldChar w:fldCharType="end"/>
    </w:r>
  </w:p>
  <w:p w:rsidR="00D53F58" w14:paraId="7412874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214303439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91"/>
    <w:rsid w:val="00000A29"/>
    <w:rsid w:val="000153A2"/>
    <w:rsid w:val="0006507A"/>
    <w:rsid w:val="00085E6D"/>
    <w:rsid w:val="000B0595"/>
    <w:rsid w:val="000D3155"/>
    <w:rsid w:val="000E0EBD"/>
    <w:rsid w:val="000F1AEC"/>
    <w:rsid w:val="00140F33"/>
    <w:rsid w:val="0015297C"/>
    <w:rsid w:val="00173DDF"/>
    <w:rsid w:val="001B5C8F"/>
    <w:rsid w:val="001B72AB"/>
    <w:rsid w:val="001C23FB"/>
    <w:rsid w:val="002017EA"/>
    <w:rsid w:val="0023076F"/>
    <w:rsid w:val="003259A4"/>
    <w:rsid w:val="00354616"/>
    <w:rsid w:val="00376F8B"/>
    <w:rsid w:val="00401D93"/>
    <w:rsid w:val="00412A9D"/>
    <w:rsid w:val="00442AB5"/>
    <w:rsid w:val="00453BCD"/>
    <w:rsid w:val="004D53C3"/>
    <w:rsid w:val="004D5A8B"/>
    <w:rsid w:val="00504FE1"/>
    <w:rsid w:val="005207A6"/>
    <w:rsid w:val="00526FDF"/>
    <w:rsid w:val="00537668"/>
    <w:rsid w:val="00583579"/>
    <w:rsid w:val="005858DB"/>
    <w:rsid w:val="0058761D"/>
    <w:rsid w:val="005A6316"/>
    <w:rsid w:val="005C5BA5"/>
    <w:rsid w:val="006C398A"/>
    <w:rsid w:val="00717B95"/>
    <w:rsid w:val="00730A9E"/>
    <w:rsid w:val="00764564"/>
    <w:rsid w:val="00791CF8"/>
    <w:rsid w:val="007E0725"/>
    <w:rsid w:val="00816F40"/>
    <w:rsid w:val="009136CD"/>
    <w:rsid w:val="009217B0"/>
    <w:rsid w:val="00930C5F"/>
    <w:rsid w:val="00932631"/>
    <w:rsid w:val="00940ABC"/>
    <w:rsid w:val="0097305C"/>
    <w:rsid w:val="00981358"/>
    <w:rsid w:val="00A551E3"/>
    <w:rsid w:val="00AA737B"/>
    <w:rsid w:val="00B33725"/>
    <w:rsid w:val="00BB3D88"/>
    <w:rsid w:val="00C22CDB"/>
    <w:rsid w:val="00C34A01"/>
    <w:rsid w:val="00C71EA1"/>
    <w:rsid w:val="00C729B9"/>
    <w:rsid w:val="00C91800"/>
    <w:rsid w:val="00C930F1"/>
    <w:rsid w:val="00C958F9"/>
    <w:rsid w:val="00CF1591"/>
    <w:rsid w:val="00D53F58"/>
    <w:rsid w:val="00D87587"/>
    <w:rsid w:val="00E40890"/>
    <w:rsid w:val="00E91AC8"/>
    <w:rsid w:val="00EA3519"/>
    <w:rsid w:val="00EE01BD"/>
    <w:rsid w:val="00EE5584"/>
    <w:rsid w:val="00F00177"/>
    <w:rsid w:val="00F07B92"/>
    <w:rsid w:val="00F62D30"/>
    <w:rsid w:val="00FE1D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27F2D5"/>
  <w15:chartTrackingRefBased/>
  <w15:docId w15:val="{60D982AA-B163-4F9D-8D57-34E5F404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paragraph" w:styleId="Header">
    <w:name w:val="header"/>
    <w:basedOn w:val="Normal"/>
    <w:link w:val="HeaderChar"/>
    <w:rsid w:val="00C34A01"/>
    <w:pPr>
      <w:tabs>
        <w:tab w:val="center" w:pos="4680"/>
        <w:tab w:val="right" w:pos="9360"/>
      </w:tabs>
    </w:pPr>
  </w:style>
  <w:style w:type="character" w:customStyle="1" w:styleId="HeaderChar">
    <w:name w:val="Header Char"/>
    <w:link w:val="Header"/>
    <w:rsid w:val="00C34A01"/>
    <w:rPr>
      <w:rFonts w:ascii="Courier" w:hAnsi="Courier"/>
      <w:sz w:val="24"/>
      <w:szCs w:val="24"/>
    </w:rPr>
  </w:style>
  <w:style w:type="paragraph" w:styleId="Footer">
    <w:name w:val="footer"/>
    <w:basedOn w:val="Normal"/>
    <w:link w:val="FooterChar"/>
    <w:uiPriority w:val="99"/>
    <w:rsid w:val="00C34A01"/>
    <w:pPr>
      <w:tabs>
        <w:tab w:val="center" w:pos="4680"/>
        <w:tab w:val="right" w:pos="9360"/>
      </w:tabs>
    </w:pPr>
  </w:style>
  <w:style w:type="character" w:customStyle="1" w:styleId="FooterChar">
    <w:name w:val="Footer Char"/>
    <w:link w:val="Footer"/>
    <w:uiPriority w:val="99"/>
    <w:rsid w:val="00C34A01"/>
    <w:rPr>
      <w:rFonts w:ascii="Courier" w:hAnsi="Courier"/>
      <w:sz w:val="24"/>
      <w:szCs w:val="24"/>
    </w:rPr>
  </w:style>
  <w:style w:type="table" w:styleId="TableGrid">
    <w:name w:val="Table Grid"/>
    <w:basedOn w:val="TableNormal"/>
    <w:rsid w:val="00C34A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453BCD"/>
    <w:rPr>
      <w:rFonts w:ascii="Tahoma" w:hAnsi="Tahoma" w:cs="Tahoma"/>
      <w:sz w:val="16"/>
      <w:szCs w:val="16"/>
    </w:rPr>
  </w:style>
  <w:style w:type="character" w:customStyle="1" w:styleId="BalloonTextChar">
    <w:name w:val="Balloon Text Char"/>
    <w:link w:val="BalloonText"/>
    <w:rsid w:val="00453BCD"/>
    <w:rPr>
      <w:rFonts w:ascii="Tahoma" w:hAnsi="Tahoma" w:cs="Tahoma"/>
      <w:sz w:val="16"/>
      <w:szCs w:val="16"/>
    </w:rPr>
  </w:style>
  <w:style w:type="character" w:styleId="CommentReference">
    <w:name w:val="annotation reference"/>
    <w:rsid w:val="00FE1D94"/>
    <w:rPr>
      <w:sz w:val="16"/>
      <w:szCs w:val="16"/>
    </w:rPr>
  </w:style>
  <w:style w:type="paragraph" w:styleId="CommentText">
    <w:name w:val="annotation text"/>
    <w:basedOn w:val="Normal"/>
    <w:link w:val="CommentTextChar"/>
    <w:rsid w:val="00FE1D94"/>
    <w:rPr>
      <w:sz w:val="20"/>
      <w:szCs w:val="20"/>
    </w:rPr>
  </w:style>
  <w:style w:type="character" w:customStyle="1" w:styleId="CommentTextChar">
    <w:name w:val="Comment Text Char"/>
    <w:link w:val="CommentText"/>
    <w:rsid w:val="00FE1D94"/>
    <w:rPr>
      <w:rFonts w:ascii="Courier" w:hAnsi="Courier"/>
    </w:rPr>
  </w:style>
  <w:style w:type="paragraph" w:styleId="CommentSubject">
    <w:name w:val="annotation subject"/>
    <w:basedOn w:val="CommentText"/>
    <w:next w:val="CommentText"/>
    <w:link w:val="CommentSubjectChar"/>
    <w:rsid w:val="00FE1D94"/>
    <w:rPr>
      <w:b/>
      <w:bCs/>
    </w:rPr>
  </w:style>
  <w:style w:type="character" w:customStyle="1" w:styleId="CommentSubjectChar">
    <w:name w:val="Comment Subject Char"/>
    <w:link w:val="CommentSubject"/>
    <w:rsid w:val="00FE1D94"/>
    <w:rPr>
      <w:rFonts w:ascii="Courier" w:hAnsi="Courier"/>
      <w:b/>
      <w:bCs/>
    </w:rPr>
  </w:style>
  <w:style w:type="paragraph" w:styleId="Revision">
    <w:name w:val="Revision"/>
    <w:hidden/>
    <w:uiPriority w:val="99"/>
    <w:semiHidden/>
    <w:rsid w:val="00EE01B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1758</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Treasury</dc:creator>
  <cp:lastModifiedBy>Van Dyke Lanita</cp:lastModifiedBy>
  <cp:revision>2</cp:revision>
  <dcterms:created xsi:type="dcterms:W3CDTF">2023-04-28T14:35:00Z</dcterms:created>
  <dcterms:modified xsi:type="dcterms:W3CDTF">2023-04-28T14:35:00Z</dcterms:modified>
</cp:coreProperties>
</file>