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D1FBA" w:rsidP="004D1FBA" w14:paraId="23972E28" w14:textId="77777777">
      <w:pPr>
        <w:pStyle w:val="Heading1"/>
        <w:spacing w:line="480" w:lineRule="auto"/>
        <w:jc w:val="right"/>
      </w:pPr>
      <w:r w:rsidRPr="00960D45">
        <w:t>Billing Code 9111-97</w:t>
      </w:r>
    </w:p>
    <w:p w:rsidR="004D1FBA" w:rsidP="004D1FBA" w14:paraId="79D277E3" w14:textId="77777777">
      <w:pPr>
        <w:pStyle w:val="Heading1"/>
        <w:spacing w:line="480" w:lineRule="auto"/>
        <w:jc w:val="left"/>
      </w:pPr>
      <w:r>
        <w:t>DEPARTMENT OF HOMELAND SECURITY</w:t>
      </w:r>
      <w:r>
        <w:tab/>
      </w:r>
      <w:r>
        <w:tab/>
      </w:r>
      <w:r>
        <w:tab/>
        <w:t xml:space="preserve">      </w:t>
      </w:r>
    </w:p>
    <w:p w:rsidR="004D1FBA" w:rsidRPr="004D1FBA" w:rsidP="004D1FBA" w14:paraId="1A4E4AFC" w14:textId="77777777">
      <w:pPr>
        <w:spacing w:line="480" w:lineRule="auto"/>
        <w:rPr>
          <w:rFonts w:ascii="Times New Roman" w:hAnsi="Times New Roman"/>
          <w:b/>
          <w:color w:val="000000" w:themeColor="text1"/>
          <w:lang w:eastAsia="ko-KR"/>
        </w:rPr>
      </w:pPr>
      <w:r>
        <w:rPr>
          <w:rFonts w:ascii="Times New Roman" w:hAnsi="Times New Roman" w:hint="eastAsia"/>
          <w:b/>
          <w:lang w:eastAsia="ko-KR"/>
        </w:rPr>
        <w:t>U.</w:t>
      </w:r>
      <w:r w:rsidRPr="004D1FBA">
        <w:rPr>
          <w:rFonts w:ascii="Times New Roman" w:hAnsi="Times New Roman" w:hint="eastAsia"/>
          <w:b/>
          <w:color w:val="000000" w:themeColor="text1"/>
          <w:lang w:eastAsia="ko-KR"/>
        </w:rPr>
        <w:t>S. Citizenship and Immigration Services</w:t>
      </w:r>
      <w:r w:rsidRPr="004D1FBA">
        <w:rPr>
          <w:rFonts w:ascii="Times New Roman" w:hAnsi="Times New Roman"/>
          <w:b/>
          <w:color w:val="000000" w:themeColor="text1"/>
        </w:rPr>
        <w:t xml:space="preserve"> </w:t>
      </w:r>
    </w:p>
    <w:p w:rsidR="004D1FBA" w:rsidRPr="004D1FBA" w:rsidP="004D1FBA" w14:paraId="489F616A" w14:textId="68BE447A">
      <w:pPr>
        <w:spacing w:line="480" w:lineRule="auto"/>
        <w:rPr>
          <w:rFonts w:ascii="Times New Roman" w:hAnsi="Times New Roman"/>
          <w:color w:val="000000" w:themeColor="text1"/>
        </w:rPr>
      </w:pPr>
      <w:r w:rsidRPr="004D1FBA">
        <w:rPr>
          <w:rFonts w:ascii="Times New Roman" w:hAnsi="Times New Roman"/>
          <w:b/>
          <w:color w:val="000000" w:themeColor="text1"/>
        </w:rPr>
        <w:t>OMB Control Number 1615-0</w:t>
      </w:r>
      <w:r w:rsidR="00206F1D">
        <w:rPr>
          <w:rFonts w:ascii="Times New Roman" w:hAnsi="Times New Roman"/>
          <w:b/>
          <w:color w:val="000000" w:themeColor="text1"/>
        </w:rPr>
        <w:t>123</w:t>
      </w:r>
    </w:p>
    <w:p w:rsidR="004D1FBA" w:rsidRPr="00206F1D" w:rsidP="004D1FBA" w14:paraId="2568FE5E" w14:textId="04F38168">
      <w:pPr>
        <w:spacing w:line="480" w:lineRule="auto"/>
        <w:rPr>
          <w:rFonts w:ascii="Times New Roman" w:hAnsi="Times New Roman"/>
          <w:b/>
          <w:color w:val="000000" w:themeColor="text1"/>
        </w:rPr>
      </w:pPr>
      <w:r w:rsidRPr="004D1FBA">
        <w:rPr>
          <w:rFonts w:ascii="Times New Roman" w:hAnsi="Times New Roman"/>
          <w:b/>
          <w:color w:val="000000" w:themeColor="text1"/>
        </w:rPr>
        <w:t>Agency Information Collection Activities; Extension, Without Change, of a Currently Approved C</w:t>
      </w:r>
      <w:r w:rsidRPr="00C85CA7">
        <w:rPr>
          <w:rFonts w:ascii="Times New Roman" w:hAnsi="Times New Roman"/>
          <w:b/>
          <w:color w:val="000000" w:themeColor="text1"/>
        </w:rPr>
        <w:t>ollection:</w:t>
      </w:r>
      <w:r w:rsidRPr="00C85CA7">
        <w:rPr>
          <w:rFonts w:ascii="Times New Roman" w:hAnsi="Times New Roman"/>
          <w:color w:val="000000" w:themeColor="text1"/>
        </w:rPr>
        <w:t xml:space="preserve"> </w:t>
      </w:r>
      <w:bookmarkStart w:id="0" w:name="_Hlk64628091"/>
      <w:r w:rsidRPr="00206F1D" w:rsidR="00206F1D">
        <w:rPr>
          <w:rFonts w:ascii="Times New Roman" w:hAnsi="Times New Roman"/>
          <w:b/>
          <w:color w:val="000000" w:themeColor="text1"/>
        </w:rPr>
        <w:t xml:space="preserve">Application for Provisional Unlawful Presence Waiver   </w:t>
      </w:r>
      <w:bookmarkEnd w:id="0"/>
    </w:p>
    <w:p w:rsidR="004D1FBA" w:rsidRPr="00C85CA7" w:rsidP="004D1FBA" w14:paraId="47F33457" w14:textId="77777777">
      <w:pPr>
        <w:spacing w:line="480" w:lineRule="auto"/>
        <w:rPr>
          <w:rFonts w:ascii="Times New Roman" w:hAnsi="Times New Roman"/>
          <w:color w:val="000000" w:themeColor="text1"/>
          <w:szCs w:val="24"/>
        </w:rPr>
      </w:pPr>
      <w:r w:rsidRPr="00C85CA7">
        <w:rPr>
          <w:rFonts w:ascii="Times New Roman" w:hAnsi="Times New Roman"/>
          <w:b/>
          <w:color w:val="000000" w:themeColor="text1"/>
        </w:rPr>
        <w:t xml:space="preserve">AGENCY:  </w:t>
      </w:r>
      <w:r w:rsidRPr="00C85CA7">
        <w:rPr>
          <w:rFonts w:ascii="Times New Roman" w:hAnsi="Times New Roman"/>
          <w:color w:val="000000" w:themeColor="text1"/>
        </w:rPr>
        <w:t>U.S. Citizenship and Immigration Services, Department of Homeland Security.</w:t>
      </w:r>
    </w:p>
    <w:p w:rsidR="004D1FBA" w:rsidRPr="00C85CA7" w:rsidP="004D1FBA" w14:paraId="582BBF6D" w14:textId="77777777">
      <w:pPr>
        <w:spacing w:line="480" w:lineRule="auto"/>
        <w:rPr>
          <w:rFonts w:ascii="Times New Roman" w:hAnsi="Times New Roman"/>
          <w:color w:val="000000" w:themeColor="text1"/>
        </w:rPr>
      </w:pPr>
      <w:r w:rsidRPr="00C85CA7">
        <w:rPr>
          <w:rFonts w:ascii="Times New Roman" w:hAnsi="Times New Roman"/>
          <w:b/>
          <w:color w:val="000000" w:themeColor="text1"/>
        </w:rPr>
        <w:t xml:space="preserve">ACTION:  </w:t>
      </w:r>
      <w:r w:rsidRPr="00C85CA7">
        <w:rPr>
          <w:rFonts w:ascii="Times New Roman" w:hAnsi="Times New Roman"/>
          <w:color w:val="000000" w:themeColor="text1"/>
        </w:rPr>
        <w:t>60-day notice.</w:t>
      </w:r>
    </w:p>
    <w:p w:rsidR="004D1FBA" w:rsidRPr="00C85CA7" w:rsidP="004D1FBA" w14:paraId="215B9FED" w14:textId="4DAB87C1">
      <w:pPr>
        <w:pStyle w:val="NormalWeb"/>
        <w:spacing w:before="0" w:beforeAutospacing="0" w:after="0" w:afterAutospacing="0" w:line="480" w:lineRule="auto"/>
        <w:rPr>
          <w:color w:val="000000" w:themeColor="text1"/>
        </w:rPr>
      </w:pPr>
      <w:r w:rsidRPr="00C85CA7">
        <w:rPr>
          <w:b/>
          <w:color w:val="000000" w:themeColor="text1"/>
        </w:rPr>
        <w:t xml:space="preserve">SUMMARY:  </w:t>
      </w:r>
      <w:r w:rsidRPr="00C85CA7">
        <w:rPr>
          <w:color w:val="000000" w:themeColor="text1"/>
        </w:rPr>
        <w:t xml:space="preserve">The Department of Homeland Security (DHS), U.S. Citizenship and Immigration Services (USCIS) invites the general public and other Federal agencies to comment upon this proposed extension of a currently approved collection of information.  In accordance with the Paperwork Reduction Act (PRA) of 1995, the information collection notice is published in the </w:t>
      </w:r>
      <w:r w:rsidRPr="00C85CA7">
        <w:rPr>
          <w:i/>
          <w:iCs/>
          <w:color w:val="000000" w:themeColor="text1"/>
        </w:rPr>
        <w:t>Federal Register</w:t>
      </w:r>
      <w:r w:rsidRPr="00C85CA7">
        <w:rPr>
          <w:color w:val="000000" w:themeColor="text1"/>
        </w:rPr>
        <w:t xml:space="preserve"> to obtain comments regarding the nature of the information collection, the categories of respondents, the estimated burden (i.e. the time, effort, and resources used by the respondents to respond), the estimated cost to the respondent, and the actual information collection instruments.    </w:t>
      </w:r>
    </w:p>
    <w:p w:rsidR="004D1FBA" w:rsidRPr="00C85CA7" w:rsidP="004D1FBA" w14:paraId="53130D14" w14:textId="77777777">
      <w:pPr>
        <w:spacing w:line="480" w:lineRule="auto"/>
        <w:rPr>
          <w:rFonts w:ascii="Times New Roman" w:hAnsi="Times New Roman"/>
          <w:color w:val="000000" w:themeColor="text1"/>
        </w:rPr>
      </w:pPr>
      <w:r w:rsidRPr="00C85CA7">
        <w:rPr>
          <w:rFonts w:ascii="Times New Roman" w:hAnsi="Times New Roman"/>
          <w:b/>
          <w:color w:val="000000" w:themeColor="text1"/>
        </w:rPr>
        <w:t xml:space="preserve">DATES: </w:t>
      </w:r>
      <w:r w:rsidRPr="00C85CA7">
        <w:rPr>
          <w:rFonts w:ascii="Times New Roman" w:hAnsi="Times New Roman"/>
          <w:color w:val="000000" w:themeColor="text1"/>
        </w:rPr>
        <w:t xml:space="preserve"> Comments are encouraged and will be accepted for 60 days until [</w:t>
      </w:r>
      <w:r w:rsidRPr="00C85CA7">
        <w:rPr>
          <w:rFonts w:ascii="Times New Roman" w:hAnsi="Times New Roman"/>
          <w:b/>
          <w:color w:val="000000" w:themeColor="text1"/>
        </w:rPr>
        <w:t>INSERT DATE 60 DAYS AFTER DATE OF PUBLICATION IN THE FEDERAL REGISTER</w:t>
      </w:r>
      <w:r w:rsidRPr="00C85CA7">
        <w:rPr>
          <w:rFonts w:ascii="Times New Roman" w:hAnsi="Times New Roman"/>
          <w:color w:val="000000" w:themeColor="text1"/>
        </w:rPr>
        <w:t xml:space="preserve">].  </w:t>
      </w:r>
    </w:p>
    <w:p w:rsidR="004D1FBA" w:rsidRPr="00C85CA7" w:rsidP="004D1FBA" w14:paraId="1CE9AB22" w14:textId="40F3BB47">
      <w:pPr>
        <w:spacing w:line="480" w:lineRule="auto"/>
        <w:rPr>
          <w:rFonts w:ascii="Times New Roman" w:hAnsi="Times New Roman"/>
          <w:color w:val="000000" w:themeColor="text1"/>
        </w:rPr>
      </w:pPr>
      <w:r w:rsidRPr="00C85CA7">
        <w:rPr>
          <w:rFonts w:ascii="Times New Roman" w:hAnsi="Times New Roman"/>
          <w:b/>
          <w:color w:val="000000" w:themeColor="text1"/>
        </w:rPr>
        <w:t>ADDRESSES:</w:t>
      </w:r>
      <w:r w:rsidRPr="00C85CA7">
        <w:rPr>
          <w:rFonts w:ascii="Times New Roman" w:hAnsi="Times New Roman"/>
          <w:color w:val="000000" w:themeColor="text1"/>
        </w:rPr>
        <w:t xml:space="preserve">  All submissions received must include the OMB Control Number 1615-</w:t>
      </w:r>
      <w:r w:rsidRPr="00C85CA7" w:rsidR="00E96866">
        <w:rPr>
          <w:rFonts w:ascii="Times New Roman" w:hAnsi="Times New Roman"/>
          <w:color w:val="000000" w:themeColor="text1"/>
        </w:rPr>
        <w:t>0</w:t>
      </w:r>
      <w:r w:rsidR="008E57BE">
        <w:rPr>
          <w:rFonts w:ascii="Times New Roman" w:hAnsi="Times New Roman"/>
          <w:color w:val="000000" w:themeColor="text1"/>
        </w:rPr>
        <w:t>123</w:t>
      </w:r>
      <w:r w:rsidRPr="00C85CA7" w:rsidR="00E96866">
        <w:rPr>
          <w:rFonts w:ascii="Times New Roman" w:hAnsi="Times New Roman"/>
          <w:color w:val="000000" w:themeColor="text1"/>
        </w:rPr>
        <w:t xml:space="preserve"> </w:t>
      </w:r>
      <w:r w:rsidRPr="00C85CA7">
        <w:rPr>
          <w:rFonts w:ascii="Times New Roman" w:hAnsi="Times New Roman"/>
          <w:color w:val="000000" w:themeColor="text1"/>
        </w:rPr>
        <w:t>in the body of the letter, the agency name and Docket ID USCIS-</w:t>
      </w:r>
      <w:r w:rsidRPr="008E57BE" w:rsidR="008E57BE">
        <w:rPr>
          <w:rFonts w:ascii="Times New Roman" w:hAnsi="Times New Roman"/>
          <w:color w:val="000000" w:themeColor="text1"/>
        </w:rPr>
        <w:t>2012-0003</w:t>
      </w:r>
      <w:r w:rsidRPr="00C85CA7">
        <w:rPr>
          <w:rFonts w:ascii="Times New Roman" w:hAnsi="Times New Roman"/>
          <w:color w:val="000000" w:themeColor="text1"/>
        </w:rPr>
        <w:t>.  Submit comments via the Federal eRulemaking Portal Web site at https://www.regulations.gov under e-Docket ID number USCIS</w:t>
      </w:r>
      <w:r w:rsidRPr="00C85CA7" w:rsidR="00E96866">
        <w:rPr>
          <w:rFonts w:ascii="Times New Roman" w:hAnsi="Times New Roman"/>
          <w:color w:val="000000" w:themeColor="text1"/>
        </w:rPr>
        <w:t>-</w:t>
      </w:r>
      <w:r w:rsidRPr="008E57BE" w:rsidR="008E57BE">
        <w:rPr>
          <w:rFonts w:ascii="Times New Roman" w:hAnsi="Times New Roman"/>
        </w:rPr>
        <w:t>2012-0003</w:t>
      </w:r>
      <w:r w:rsidRPr="00C85CA7">
        <w:rPr>
          <w:rFonts w:ascii="Times New Roman" w:hAnsi="Times New Roman"/>
          <w:color w:val="000000" w:themeColor="text1"/>
        </w:rPr>
        <w:t>.</w:t>
      </w:r>
    </w:p>
    <w:p w:rsidR="004D1FBA" w:rsidRPr="00C85CA7" w:rsidP="004D1FBA" w14:paraId="4B56FC49" w14:textId="77777777">
      <w:pPr>
        <w:spacing w:line="480" w:lineRule="auto"/>
        <w:rPr>
          <w:rFonts w:ascii="Times New Roman" w:hAnsi="Times New Roman"/>
          <w:color w:val="000000" w:themeColor="text1"/>
        </w:rPr>
      </w:pPr>
      <w:r w:rsidRPr="00C85CA7">
        <w:rPr>
          <w:rFonts w:ascii="Times New Roman" w:hAnsi="Times New Roman"/>
          <w:b/>
          <w:color w:val="000000" w:themeColor="text1"/>
        </w:rPr>
        <w:t xml:space="preserve">FOR FURTHER INFORMATION CONTACT:  </w:t>
      </w:r>
      <w:r w:rsidRPr="00C85CA7">
        <w:rPr>
          <w:rFonts w:ascii="Times New Roman" w:hAnsi="Times New Roman"/>
          <w:color w:val="000000" w:themeColor="text1"/>
        </w:rPr>
        <w:t xml:space="preserve">USCIS, Office of Policy and Strategy, </w:t>
      </w:r>
      <w:r w:rsidRPr="00C85CA7">
        <w:rPr>
          <w:rFonts w:ascii="Times New Roman" w:hAnsi="Times New Roman"/>
          <w:color w:val="000000" w:themeColor="text1"/>
        </w:rPr>
        <w:t>Regulatory Coordination Division, Samantha Deshommes, Chief, telephone number (240) 721-3000 (This is not a toll-free number.  Comments are not accepted via telephone message).</w:t>
      </w:r>
      <w:r w:rsidRPr="00C85CA7">
        <w:rPr>
          <w:rFonts w:ascii="Times New Roman" w:hAnsi="Times New Roman" w:hint="eastAsia"/>
          <w:color w:val="000000" w:themeColor="text1"/>
          <w:lang w:eastAsia="ko-KR"/>
        </w:rPr>
        <w:t xml:space="preserve">  Please note contact information provided here is solely for questions regarding this notice.  It is not for </w:t>
      </w:r>
      <w:r w:rsidRPr="00C85CA7">
        <w:rPr>
          <w:rFonts w:ascii="Times New Roman" w:hAnsi="Times New Roman"/>
          <w:color w:val="000000" w:themeColor="text1"/>
          <w:lang w:eastAsia="ko-KR"/>
        </w:rPr>
        <w:t>individual</w:t>
      </w:r>
      <w:r w:rsidRPr="00C85CA7">
        <w:rPr>
          <w:rFonts w:ascii="Times New Roman" w:hAnsi="Times New Roman" w:hint="eastAsia"/>
          <w:color w:val="000000" w:themeColor="text1"/>
          <w:lang w:eastAsia="ko-KR"/>
        </w:rPr>
        <w:t xml:space="preserve"> case status inquiries.  </w:t>
      </w:r>
      <w:r w:rsidRPr="00C85CA7">
        <w:rPr>
          <w:rFonts w:ascii="Times New Roman" w:hAnsi="Times New Roman"/>
          <w:color w:val="000000" w:themeColor="text1"/>
          <w:lang w:eastAsia="ko-KR"/>
        </w:rPr>
        <w:t xml:space="preserve">Applicants seeking information about the status of their individual cases can check Case Status Online, available at the USCIS Web site at https://www.uscis.gov, or call the USCIS Contact Center at 800-375-5283 (TTY 800-767-1833).  </w:t>
      </w:r>
      <w:r w:rsidRPr="00C85CA7">
        <w:rPr>
          <w:rFonts w:ascii="Times New Roman" w:hAnsi="Times New Roman" w:hint="eastAsia"/>
          <w:color w:val="000000" w:themeColor="text1"/>
          <w:lang w:eastAsia="ko-KR"/>
        </w:rPr>
        <w:t xml:space="preserve">  </w:t>
      </w:r>
    </w:p>
    <w:p w:rsidR="004D1FBA" w:rsidRPr="00C85CA7" w:rsidP="004D1FBA" w14:paraId="63195A8D" w14:textId="77777777">
      <w:pPr>
        <w:spacing w:line="480" w:lineRule="auto"/>
        <w:rPr>
          <w:rFonts w:ascii="Times New Roman" w:hAnsi="Times New Roman"/>
          <w:color w:val="000000" w:themeColor="text1"/>
          <w:szCs w:val="24"/>
        </w:rPr>
      </w:pPr>
      <w:r w:rsidRPr="00C85CA7">
        <w:rPr>
          <w:rFonts w:ascii="Times New Roman" w:hAnsi="Times New Roman"/>
          <w:b/>
          <w:color w:val="000000" w:themeColor="text1"/>
          <w:szCs w:val="24"/>
        </w:rPr>
        <w:t>SUPPLEMENTARY INFORMATION:</w:t>
      </w:r>
    </w:p>
    <w:p w:rsidR="004D1FBA" w:rsidRPr="00C85CA7" w:rsidP="004D1FBA" w14:paraId="5EB3D1DA" w14:textId="77777777">
      <w:pPr>
        <w:spacing w:line="480" w:lineRule="auto"/>
        <w:rPr>
          <w:rFonts w:ascii="Times New Roman" w:hAnsi="Times New Roman"/>
          <w:b/>
          <w:color w:val="000000" w:themeColor="text1"/>
          <w:szCs w:val="24"/>
        </w:rPr>
      </w:pPr>
      <w:r w:rsidRPr="00C85CA7">
        <w:rPr>
          <w:rFonts w:ascii="Times New Roman" w:hAnsi="Times New Roman"/>
          <w:b/>
          <w:color w:val="000000" w:themeColor="text1"/>
          <w:szCs w:val="24"/>
        </w:rPr>
        <w:t>Comments:</w:t>
      </w:r>
    </w:p>
    <w:p w:rsidR="004D1FBA" w:rsidRPr="00C85CA7" w:rsidP="004D1FBA" w14:paraId="338670FD" w14:textId="0851A1BA">
      <w:pPr>
        <w:spacing w:line="480" w:lineRule="auto"/>
        <w:rPr>
          <w:rFonts w:ascii="Times New Roman" w:hAnsi="Times New Roman"/>
          <w:color w:val="000000" w:themeColor="text1"/>
        </w:rPr>
      </w:pPr>
      <w:r w:rsidRPr="00C85CA7">
        <w:rPr>
          <w:rFonts w:ascii="Times New Roman" w:hAnsi="Times New Roman"/>
          <w:b/>
          <w:color w:val="000000" w:themeColor="text1"/>
          <w:szCs w:val="24"/>
        </w:rPr>
        <w:tab/>
      </w:r>
      <w:r w:rsidRPr="00C85CA7">
        <w:rPr>
          <w:rFonts w:ascii="Times New Roman" w:hAnsi="Times New Roman"/>
          <w:color w:val="000000" w:themeColor="text1"/>
          <w:szCs w:val="24"/>
        </w:rPr>
        <w:t>You may access the information collection instrument with instructions or additional information by visiting the Federal eRulemaking Portal site at: https://www.regulations.gov and entering USCIS-</w:t>
      </w:r>
      <w:r w:rsidRPr="008E57BE" w:rsidR="008E57BE">
        <w:rPr>
          <w:rFonts w:ascii="Times New Roman" w:hAnsi="Times New Roman"/>
        </w:rPr>
        <w:t>2012-0003</w:t>
      </w:r>
      <w:r w:rsidRPr="00C85CA7">
        <w:rPr>
          <w:rFonts w:ascii="Times New Roman" w:hAnsi="Times New Roman"/>
          <w:color w:val="000000" w:themeColor="text1"/>
          <w:szCs w:val="24"/>
        </w:rPr>
        <w:t xml:space="preserve"> in the search box.   </w:t>
      </w:r>
      <w:r w:rsidRPr="00C85CA7">
        <w:rPr>
          <w:rFonts w:ascii="Times New Roman" w:hAnsi="Times New Roman"/>
          <w:color w:val="000000" w:themeColor="text1"/>
        </w:rPr>
        <w:t>All submissions will be posted, without change, to the Federal eRulemaking Portal at https://www.regulations.gov, and will include any personal information you provide.  Therefore, submitting this information makes it public.  You may wish to consider limiting the amount of personal information that you provide in any voluntary submission you make to DHS.  DHS may withhold information provided in comments from public viewing that it determines may impact the privacy of an individual or is offensive.  For additional information, please read the Privacy Act notice that is available via the link in the footer of https://www.regulations.gov.</w:t>
      </w:r>
    </w:p>
    <w:p w:rsidR="004D1FBA" w:rsidRPr="00C85CA7" w:rsidP="004D1FBA" w14:paraId="47A956C0" w14:textId="77777777">
      <w:pPr>
        <w:spacing w:line="480" w:lineRule="auto"/>
        <w:rPr>
          <w:rFonts w:ascii="Times New Roman" w:hAnsi="Times New Roman"/>
          <w:color w:val="000000" w:themeColor="text1"/>
        </w:rPr>
      </w:pPr>
      <w:r w:rsidRPr="00C85CA7">
        <w:rPr>
          <w:rFonts w:ascii="Times New Roman" w:hAnsi="Times New Roman"/>
          <w:color w:val="000000" w:themeColor="text1"/>
        </w:rPr>
        <w:tab/>
        <w:t>Written comments and suggestions from the public and affected agencies should address one or more of the following four points:</w:t>
      </w:r>
    </w:p>
    <w:p w:rsidR="004D1FBA" w:rsidRPr="00C85CA7" w:rsidP="004D1FBA" w14:paraId="4671F079" w14:textId="77777777">
      <w:pPr>
        <w:tabs>
          <w:tab w:val="left" w:pos="-1440"/>
        </w:tabs>
        <w:spacing w:line="480" w:lineRule="auto"/>
        <w:ind w:firstLine="720"/>
        <w:rPr>
          <w:rFonts w:ascii="Times New Roman" w:hAnsi="Times New Roman"/>
          <w:color w:val="000000" w:themeColor="text1"/>
        </w:rPr>
      </w:pPr>
      <w:r w:rsidRPr="00C85CA7">
        <w:rPr>
          <w:rFonts w:ascii="Times New Roman" w:hAnsi="Times New Roman"/>
          <w:color w:val="000000" w:themeColor="text1"/>
        </w:rPr>
        <w:t>(1)  Evaluate whether the proposed collection of information is necessary for the proper performance of the functions of the agency, including whether the information will have practical utility;</w:t>
      </w:r>
    </w:p>
    <w:p w:rsidR="004D1FBA" w:rsidRPr="00C85CA7" w:rsidP="004D1FBA" w14:paraId="1C231AF1" w14:textId="77777777">
      <w:pPr>
        <w:spacing w:line="480" w:lineRule="auto"/>
        <w:ind w:firstLine="720"/>
        <w:rPr>
          <w:rFonts w:ascii="Times New Roman" w:hAnsi="Times New Roman"/>
          <w:color w:val="000000" w:themeColor="text1"/>
        </w:rPr>
      </w:pPr>
      <w:r w:rsidRPr="00C85CA7">
        <w:rPr>
          <w:rFonts w:ascii="Times New Roman" w:hAnsi="Times New Roman"/>
          <w:color w:val="000000" w:themeColor="text1"/>
        </w:rPr>
        <w:t>(2)  Evaluate the accuracy of the agency’s estimate of the burden of the proposed collection of information, including the validity of the methodology and assumptions used;</w:t>
      </w:r>
    </w:p>
    <w:p w:rsidR="004D1FBA" w:rsidRPr="00C85CA7" w:rsidP="004D1FBA" w14:paraId="09CD3FE2" w14:textId="77777777">
      <w:pPr>
        <w:tabs>
          <w:tab w:val="left" w:pos="-1440"/>
        </w:tabs>
        <w:spacing w:line="480" w:lineRule="auto"/>
        <w:ind w:firstLine="720"/>
        <w:rPr>
          <w:rFonts w:ascii="Times New Roman" w:hAnsi="Times New Roman"/>
          <w:color w:val="000000" w:themeColor="text1"/>
        </w:rPr>
      </w:pPr>
      <w:r w:rsidRPr="00C85CA7">
        <w:rPr>
          <w:rFonts w:ascii="Times New Roman" w:hAnsi="Times New Roman"/>
          <w:color w:val="000000" w:themeColor="text1"/>
        </w:rPr>
        <w:t>(3)  Enhance the quality, utility, and clarity of the information to be collected; and</w:t>
      </w:r>
    </w:p>
    <w:p w:rsidR="004D1FBA" w:rsidRPr="00C85CA7" w:rsidP="004D1FBA" w14:paraId="22187AA6" w14:textId="77777777">
      <w:pPr>
        <w:tabs>
          <w:tab w:val="left" w:pos="-1440"/>
        </w:tabs>
        <w:spacing w:line="480" w:lineRule="auto"/>
        <w:ind w:firstLine="720"/>
        <w:rPr>
          <w:rFonts w:ascii="Times New Roman" w:hAnsi="Times New Roman"/>
          <w:color w:val="000000" w:themeColor="text1"/>
        </w:rPr>
      </w:pPr>
      <w:r w:rsidRPr="00C85CA7">
        <w:rPr>
          <w:rFonts w:ascii="Times New Roman" w:hAnsi="Times New Roman"/>
          <w:color w:val="000000" w:themeColor="text1"/>
        </w:rPr>
        <w:t xml:space="preserve">(4)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 </w:t>
      </w:r>
    </w:p>
    <w:p w:rsidR="00E96866" w:rsidRPr="00E96866" w:rsidP="00E96866" w14:paraId="64A8FB6C" w14:textId="77777777">
      <w:pPr>
        <w:spacing w:line="480" w:lineRule="auto"/>
        <w:rPr>
          <w:rFonts w:ascii="Times New Roman" w:hAnsi="Times New Roman"/>
          <w:color w:val="000000" w:themeColor="text1"/>
        </w:rPr>
      </w:pPr>
      <w:r w:rsidRPr="00E96866">
        <w:rPr>
          <w:rFonts w:ascii="Times New Roman" w:hAnsi="Times New Roman"/>
          <w:b/>
          <w:color w:val="000000" w:themeColor="text1"/>
        </w:rPr>
        <w:t>Overview of this information collection:</w:t>
      </w:r>
    </w:p>
    <w:p w:rsidR="00E96866" w:rsidRPr="00E96866" w:rsidP="00E96866" w14:paraId="41C24DBA" w14:textId="77777777">
      <w:pPr>
        <w:tabs>
          <w:tab w:val="left" w:pos="-1440"/>
        </w:tabs>
        <w:spacing w:line="480" w:lineRule="auto"/>
        <w:rPr>
          <w:rFonts w:ascii="Times New Roman" w:hAnsi="Times New Roman"/>
          <w:color w:val="000000" w:themeColor="text1"/>
          <w:szCs w:val="24"/>
        </w:rPr>
      </w:pPr>
      <w:bookmarkStart w:id="1" w:name="_Hlk54871946"/>
      <w:r w:rsidRPr="00E96866">
        <w:rPr>
          <w:rFonts w:ascii="Times New Roman" w:hAnsi="Times New Roman"/>
          <w:color w:val="000000" w:themeColor="text1"/>
          <w:szCs w:val="24"/>
        </w:rPr>
        <w:tab/>
        <w:t xml:space="preserve">(1)  </w:t>
      </w:r>
      <w:bookmarkEnd w:id="1"/>
      <w:r w:rsidRPr="00E96866">
        <w:rPr>
          <w:rFonts w:ascii="Times New Roman" w:hAnsi="Times New Roman"/>
          <w:color w:val="000000" w:themeColor="text1"/>
          <w:szCs w:val="24"/>
          <w:u w:val="single"/>
        </w:rPr>
        <w:t>Type of Information Collection</w:t>
      </w:r>
      <w:r w:rsidRPr="00E96866">
        <w:rPr>
          <w:rFonts w:ascii="Times New Roman" w:hAnsi="Times New Roman"/>
          <w:color w:val="000000" w:themeColor="text1"/>
          <w:szCs w:val="24"/>
        </w:rPr>
        <w:t>:</w:t>
      </w:r>
      <w:r w:rsidRPr="00E96866">
        <w:rPr>
          <w:rFonts w:ascii="Times New Roman" w:hAnsi="Times New Roman"/>
          <w:b/>
          <w:color w:val="000000" w:themeColor="text1"/>
          <w:szCs w:val="24"/>
        </w:rPr>
        <w:t xml:space="preserve">  </w:t>
      </w:r>
      <w:r w:rsidRPr="00E96866">
        <w:rPr>
          <w:rFonts w:ascii="Times New Roman" w:hAnsi="Times New Roman"/>
          <w:color w:val="000000" w:themeColor="text1"/>
          <w:szCs w:val="24"/>
        </w:rPr>
        <w:t>Extension, Without Change, of a Currently Approved Collection.</w:t>
      </w:r>
    </w:p>
    <w:p w:rsidR="00005604" w:rsidP="00005604" w14:paraId="2D3E766A" w14:textId="43EFDA11">
      <w:pPr>
        <w:tabs>
          <w:tab w:val="left" w:pos="-1440"/>
        </w:tabs>
        <w:spacing w:line="480" w:lineRule="auto"/>
        <w:rPr>
          <w:rFonts w:ascii="Times New Roman" w:hAnsi="Times New Roman"/>
          <w:bCs/>
          <w:szCs w:val="24"/>
        </w:rPr>
      </w:pPr>
      <w:r w:rsidRPr="00E96866">
        <w:rPr>
          <w:rFonts w:ascii="Times New Roman" w:hAnsi="Times New Roman"/>
          <w:color w:val="000000" w:themeColor="text1"/>
          <w:szCs w:val="24"/>
        </w:rPr>
        <w:tab/>
        <w:t xml:space="preserve">(2)  </w:t>
      </w:r>
      <w:r w:rsidRPr="00E96866">
        <w:rPr>
          <w:rFonts w:ascii="Times New Roman" w:hAnsi="Times New Roman"/>
          <w:color w:val="000000" w:themeColor="text1"/>
          <w:szCs w:val="24"/>
          <w:u w:val="single"/>
        </w:rPr>
        <w:t>Title of the Form/Collection</w:t>
      </w:r>
      <w:r w:rsidRPr="00E96866">
        <w:rPr>
          <w:rFonts w:ascii="Times New Roman" w:hAnsi="Times New Roman"/>
          <w:color w:val="000000" w:themeColor="text1"/>
          <w:szCs w:val="24"/>
        </w:rPr>
        <w:t>:</w:t>
      </w:r>
      <w:r w:rsidR="004C1546">
        <w:rPr>
          <w:rFonts w:ascii="Times New Roman" w:hAnsi="Times New Roman"/>
          <w:color w:val="000000" w:themeColor="text1"/>
          <w:szCs w:val="24"/>
        </w:rPr>
        <w:t xml:space="preserve"> </w:t>
      </w:r>
      <w:r w:rsidRPr="00B443C5" w:rsidR="007D0928">
        <w:rPr>
          <w:rFonts w:ascii="Times New Roman" w:hAnsi="Times New Roman"/>
          <w:bCs/>
          <w:color w:val="000000" w:themeColor="text1"/>
          <w:szCs w:val="24"/>
        </w:rPr>
        <w:t xml:space="preserve">Application </w:t>
      </w:r>
      <w:r w:rsidR="00F8371D">
        <w:rPr>
          <w:rFonts w:ascii="Times New Roman" w:hAnsi="Times New Roman"/>
          <w:bCs/>
          <w:color w:val="000000" w:themeColor="text1"/>
          <w:szCs w:val="24"/>
        </w:rPr>
        <w:t>for Provisional Unlawful Presence Waiver</w:t>
      </w:r>
      <w:r w:rsidR="00043C80">
        <w:rPr>
          <w:rFonts w:ascii="Times New Roman" w:hAnsi="Times New Roman"/>
          <w:bCs/>
          <w:szCs w:val="24"/>
        </w:rPr>
        <w:t>.</w:t>
      </w:r>
      <w:r w:rsidRPr="00005604">
        <w:rPr>
          <w:rFonts w:ascii="Times New Roman" w:hAnsi="Times New Roman"/>
          <w:bCs/>
          <w:szCs w:val="24"/>
        </w:rPr>
        <w:t xml:space="preserve"> </w:t>
      </w:r>
    </w:p>
    <w:p w:rsidR="00E96866" w:rsidRPr="00E96866" w:rsidP="00005604" w14:paraId="0D632532" w14:textId="739F1420">
      <w:pPr>
        <w:tabs>
          <w:tab w:val="left" w:pos="-1440"/>
        </w:tabs>
        <w:spacing w:line="480" w:lineRule="auto"/>
        <w:rPr>
          <w:rFonts w:ascii="Times New Roman" w:hAnsi="Times New Roman"/>
          <w:color w:val="000000" w:themeColor="text1"/>
          <w:szCs w:val="24"/>
        </w:rPr>
      </w:pPr>
      <w:r>
        <w:rPr>
          <w:rFonts w:ascii="Times New Roman" w:hAnsi="Times New Roman"/>
          <w:bCs/>
          <w:szCs w:val="24"/>
        </w:rPr>
        <w:tab/>
      </w:r>
      <w:r w:rsidRPr="00E96866">
        <w:rPr>
          <w:rFonts w:ascii="Times New Roman" w:hAnsi="Times New Roman"/>
          <w:color w:val="000000" w:themeColor="text1"/>
          <w:szCs w:val="24"/>
        </w:rPr>
        <w:t xml:space="preserve">(3)  </w:t>
      </w:r>
      <w:r w:rsidRPr="00E96866">
        <w:rPr>
          <w:rFonts w:ascii="Times New Roman" w:hAnsi="Times New Roman"/>
          <w:color w:val="000000" w:themeColor="text1"/>
          <w:szCs w:val="24"/>
          <w:u w:val="single"/>
        </w:rPr>
        <w:t>Agency form number, if any, and the applicable component of the DHS sponsoring the collection</w:t>
      </w:r>
      <w:r w:rsidRPr="00E96866">
        <w:rPr>
          <w:rFonts w:ascii="Times New Roman" w:hAnsi="Times New Roman"/>
          <w:color w:val="000000" w:themeColor="text1"/>
          <w:szCs w:val="24"/>
        </w:rPr>
        <w:t>:</w:t>
      </w:r>
      <w:r w:rsidRPr="00E96866">
        <w:rPr>
          <w:rFonts w:ascii="Times New Roman" w:hAnsi="Times New Roman"/>
          <w:b/>
          <w:color w:val="000000" w:themeColor="text1"/>
          <w:szCs w:val="24"/>
        </w:rPr>
        <w:t xml:space="preserve">  </w:t>
      </w:r>
      <w:r w:rsidRPr="00E96866">
        <w:rPr>
          <w:rFonts w:ascii="Times New Roman" w:hAnsi="Times New Roman"/>
          <w:color w:val="000000" w:themeColor="text1"/>
          <w:szCs w:val="24"/>
        </w:rPr>
        <w:t xml:space="preserve">Form </w:t>
      </w:r>
      <w:r w:rsidR="008E57BE">
        <w:rPr>
          <w:rFonts w:ascii="Times New Roman" w:hAnsi="Times New Roman"/>
          <w:color w:val="000000" w:themeColor="text1"/>
          <w:szCs w:val="24"/>
        </w:rPr>
        <w:t>I-601A</w:t>
      </w:r>
      <w:r w:rsidRPr="00E96866">
        <w:rPr>
          <w:rFonts w:ascii="Times New Roman" w:hAnsi="Times New Roman"/>
          <w:color w:val="000000" w:themeColor="text1"/>
          <w:szCs w:val="24"/>
        </w:rPr>
        <w:t>; USCIS.</w:t>
      </w:r>
    </w:p>
    <w:p w:rsidR="00277CDB" w:rsidRPr="00277CDB" w:rsidP="00277CDB" w14:paraId="18ADD8B4" w14:textId="77777777">
      <w:pPr>
        <w:tabs>
          <w:tab w:val="left" w:pos="-1440"/>
        </w:tabs>
        <w:spacing w:line="480" w:lineRule="auto"/>
        <w:rPr>
          <w:rFonts w:ascii="Times New Roman" w:hAnsi="Times New Roman"/>
          <w:color w:val="000000" w:themeColor="text1"/>
          <w:szCs w:val="24"/>
        </w:rPr>
      </w:pPr>
      <w:r w:rsidRPr="00E96866">
        <w:rPr>
          <w:rFonts w:ascii="Times New Roman" w:hAnsi="Times New Roman"/>
          <w:color w:val="000000" w:themeColor="text1"/>
          <w:szCs w:val="24"/>
        </w:rPr>
        <w:tab/>
        <w:t xml:space="preserve">(4)  </w:t>
      </w:r>
      <w:r w:rsidRPr="00E96866">
        <w:rPr>
          <w:rFonts w:ascii="Times New Roman" w:hAnsi="Times New Roman"/>
          <w:color w:val="000000" w:themeColor="text1"/>
          <w:szCs w:val="24"/>
          <w:u w:val="single"/>
        </w:rPr>
        <w:t>Affected public who will be asked or required to respond, as well as a brief abstract</w:t>
      </w:r>
      <w:r w:rsidRPr="00E96866">
        <w:rPr>
          <w:rFonts w:ascii="Times New Roman" w:hAnsi="Times New Roman"/>
          <w:color w:val="000000" w:themeColor="text1"/>
          <w:szCs w:val="24"/>
        </w:rPr>
        <w:t xml:space="preserve">: </w:t>
      </w:r>
      <w:r w:rsidRPr="00E96866">
        <w:rPr>
          <w:rFonts w:ascii="Times New Roman" w:hAnsi="Times New Roman"/>
          <w:color w:val="000000" w:themeColor="text1"/>
          <w:szCs w:val="24"/>
          <w:u w:val="single"/>
        </w:rPr>
        <w:t>Primary:</w:t>
      </w:r>
      <w:r w:rsidRPr="00C85CA7">
        <w:rPr>
          <w:rFonts w:ascii="Times New Roman" w:hAnsi="Times New Roman"/>
          <w:color w:val="000000" w:themeColor="text1"/>
          <w:szCs w:val="24"/>
        </w:rPr>
        <w:t xml:space="preserve"> </w:t>
      </w:r>
      <w:r w:rsidRPr="00277CDB">
        <w:rPr>
          <w:rFonts w:ascii="Times New Roman" w:hAnsi="Times New Roman"/>
          <w:color w:val="000000" w:themeColor="text1"/>
          <w:szCs w:val="24"/>
        </w:rPr>
        <w:t>Individuals or households.  Section 212(a)(9)(B)(i)(I)</w:t>
      </w:r>
    </w:p>
    <w:p w:rsidR="00E96866" w:rsidRPr="007D0928" w:rsidP="00277CDB" w14:paraId="3A567C88" w14:textId="4CB121D2">
      <w:pPr>
        <w:tabs>
          <w:tab w:val="left" w:pos="-1440"/>
        </w:tabs>
        <w:spacing w:line="480" w:lineRule="auto"/>
        <w:rPr>
          <w:rFonts w:ascii="Times New Roman" w:hAnsi="Times New Roman"/>
        </w:rPr>
      </w:pPr>
      <w:r w:rsidRPr="00277CDB">
        <w:rPr>
          <w:rFonts w:ascii="Times New Roman" w:hAnsi="Times New Roman"/>
          <w:color w:val="000000" w:themeColor="text1"/>
          <w:szCs w:val="24"/>
        </w:rPr>
        <w:t xml:space="preserve">and (II) of the Immigration and Nationality Act (INA or the Act) provides for the inadmissibility of certain individuals who have accrued unlawful presence in the United States. There is also a waiver provision incorporated into section 212(a)(9)(B)(v) of the Act, which allows the Secretary of Homeland Security to exercise discretion to waive the unlawful presence grounds of inadmissibility on a </w:t>
      </w:r>
      <w:r w:rsidRPr="00277CDB" w:rsidR="00AB6B12">
        <w:rPr>
          <w:rFonts w:ascii="Times New Roman" w:hAnsi="Times New Roman"/>
          <w:color w:val="000000" w:themeColor="text1"/>
          <w:szCs w:val="24"/>
        </w:rPr>
        <w:t>case-by-case</w:t>
      </w:r>
      <w:r w:rsidRPr="00277CDB">
        <w:rPr>
          <w:rFonts w:ascii="Times New Roman" w:hAnsi="Times New Roman"/>
          <w:color w:val="000000" w:themeColor="text1"/>
          <w:szCs w:val="24"/>
        </w:rPr>
        <w:t xml:space="preserve"> basis. The information collected from an applicant on an Application for Provisional Unlawful Presence Waiver of Inadmissibility, Form I–601A, is necessary for U.S. Citizenship and Immigration Services (USCIS) to determine not only whether the applicant meets the requirements to participate in the streamlined waiver process provided by </w:t>
      </w:r>
      <w:r w:rsidRPr="00277CDB">
        <w:rPr>
          <w:rFonts w:ascii="Times New Roman" w:hAnsi="Times New Roman"/>
          <w:color w:val="000000" w:themeColor="text1"/>
          <w:szCs w:val="24"/>
        </w:rPr>
        <w:t>regulation, but also whether the applicant is eligible to receive the provisional unlawful presence waiver.</w:t>
      </w:r>
      <w:r w:rsidRPr="00277CDB">
        <w:rPr>
          <w:rFonts w:ascii="Times New Roman" w:hAnsi="Times New Roman"/>
          <w:bCs/>
          <w:color w:val="000000" w:themeColor="text1"/>
          <w:szCs w:val="24"/>
        </w:rPr>
        <w:t xml:space="preserve">  </w:t>
      </w:r>
    </w:p>
    <w:p w:rsidR="00E92173" w:rsidRPr="00A169C7" w:rsidP="00A169C7" w14:paraId="63C09DA3" w14:textId="2483BDD5">
      <w:pPr>
        <w:widowControl/>
        <w:autoSpaceDE w:val="0"/>
        <w:autoSpaceDN w:val="0"/>
        <w:adjustRightInd w:val="0"/>
        <w:spacing w:line="480" w:lineRule="auto"/>
        <w:rPr>
          <w:rFonts w:ascii="Times New Roman" w:hAnsi="Times New Roman"/>
          <w:szCs w:val="24"/>
        </w:rPr>
      </w:pPr>
      <w:r>
        <w:rPr>
          <w:rFonts w:ascii="Times New Roman" w:hAnsi="Times New Roman"/>
          <w:color w:val="000000" w:themeColor="text1"/>
          <w:szCs w:val="24"/>
        </w:rPr>
        <w:tab/>
      </w:r>
      <w:r w:rsidRPr="00E96866" w:rsidR="00E96866">
        <w:rPr>
          <w:rFonts w:ascii="Times New Roman" w:hAnsi="Times New Roman"/>
          <w:color w:val="000000" w:themeColor="text1"/>
          <w:szCs w:val="24"/>
        </w:rPr>
        <w:t xml:space="preserve">(5)  </w:t>
      </w:r>
      <w:r w:rsidRPr="00E96866" w:rsidR="00E96866">
        <w:rPr>
          <w:rFonts w:ascii="Times New Roman" w:hAnsi="Times New Roman"/>
          <w:color w:val="000000" w:themeColor="text1"/>
          <w:szCs w:val="24"/>
          <w:u w:val="single"/>
        </w:rPr>
        <w:t>An estimate of the total number of respondents and the amount of time estimated for an average respondent to respond</w:t>
      </w:r>
      <w:r w:rsidRPr="00E96866" w:rsidR="00E96866">
        <w:rPr>
          <w:rFonts w:ascii="Times New Roman" w:hAnsi="Times New Roman"/>
          <w:color w:val="000000" w:themeColor="text1"/>
          <w:szCs w:val="24"/>
        </w:rPr>
        <w:t>:</w:t>
      </w:r>
      <w:r w:rsidRPr="00E96866" w:rsidR="00E96866">
        <w:rPr>
          <w:rFonts w:ascii="Times New Roman" w:hAnsi="Times New Roman"/>
          <w:b/>
          <w:color w:val="000000" w:themeColor="text1"/>
          <w:szCs w:val="24"/>
        </w:rPr>
        <w:t xml:space="preserve"> </w:t>
      </w:r>
      <w:r w:rsidRPr="00277CDB" w:rsidR="00277CDB">
        <w:rPr>
          <w:rFonts w:ascii="Times New Roman" w:hAnsi="Times New Roman"/>
          <w:szCs w:val="24"/>
        </w:rPr>
        <w:t>The estimated total number of respondents for the information collection I-601A is 63,000 and the estimated hour burden per response is</w:t>
      </w:r>
      <w:r w:rsidR="00277CDB">
        <w:rPr>
          <w:rFonts w:ascii="Times New Roman" w:hAnsi="Times New Roman"/>
          <w:szCs w:val="24"/>
        </w:rPr>
        <w:t xml:space="preserve"> </w:t>
      </w:r>
      <w:r w:rsidRPr="00277CDB" w:rsidR="00277CDB">
        <w:rPr>
          <w:rFonts w:ascii="Times New Roman" w:hAnsi="Times New Roman"/>
          <w:szCs w:val="24"/>
        </w:rPr>
        <w:t>1.5 hours. The estimated total number of respondents for the collection of biometrics is 63,000 and the estimated hour burden per response is 1.17 hours.</w:t>
      </w:r>
    </w:p>
    <w:p w:rsidR="00E96866" w:rsidRPr="00E96866" w:rsidP="00E92173" w14:paraId="0AB35A8F" w14:textId="7652505B">
      <w:pPr>
        <w:tabs>
          <w:tab w:val="left" w:pos="-1440"/>
        </w:tabs>
        <w:spacing w:line="480" w:lineRule="auto"/>
        <w:ind w:firstLine="720"/>
        <w:rPr>
          <w:rFonts w:ascii="Times New Roman" w:hAnsi="Times New Roman"/>
          <w:color w:val="000000" w:themeColor="text1"/>
          <w:szCs w:val="24"/>
        </w:rPr>
      </w:pPr>
      <w:r w:rsidRPr="00E96866">
        <w:rPr>
          <w:rFonts w:ascii="Times New Roman" w:hAnsi="Times New Roman"/>
          <w:color w:val="000000" w:themeColor="text1"/>
          <w:szCs w:val="24"/>
        </w:rPr>
        <w:t xml:space="preserve">(6)  </w:t>
      </w:r>
      <w:r w:rsidRPr="00E96866">
        <w:rPr>
          <w:rFonts w:ascii="Times New Roman" w:hAnsi="Times New Roman"/>
          <w:color w:val="000000" w:themeColor="text1"/>
          <w:szCs w:val="24"/>
          <w:u w:val="single"/>
        </w:rPr>
        <w:t>An estimate of the total public burden (in hours) associated with the collection</w:t>
      </w:r>
      <w:r w:rsidRPr="00E96866">
        <w:rPr>
          <w:rFonts w:ascii="Times New Roman" w:hAnsi="Times New Roman"/>
          <w:color w:val="000000" w:themeColor="text1"/>
          <w:szCs w:val="24"/>
        </w:rPr>
        <w:t>:</w:t>
      </w:r>
      <w:r w:rsidRPr="00E96866">
        <w:rPr>
          <w:rFonts w:ascii="Times New Roman" w:hAnsi="Times New Roman"/>
          <w:b/>
          <w:color w:val="000000" w:themeColor="text1"/>
          <w:szCs w:val="24"/>
        </w:rPr>
        <w:t xml:space="preserve">  </w:t>
      </w:r>
      <w:r w:rsidRPr="00E96866">
        <w:rPr>
          <w:rFonts w:ascii="Times New Roman" w:hAnsi="Times New Roman"/>
          <w:color w:val="000000" w:themeColor="text1"/>
          <w:szCs w:val="24"/>
        </w:rPr>
        <w:t xml:space="preserve">The total estimated annual hour burden associated with this collection is </w:t>
      </w:r>
      <w:r w:rsidR="00277CDB">
        <w:rPr>
          <w:rFonts w:ascii="Times New Roman" w:hAnsi="Times New Roman"/>
          <w:bCs/>
          <w:szCs w:val="24"/>
        </w:rPr>
        <w:t>168,210</w:t>
      </w:r>
      <w:r w:rsidR="007D0928">
        <w:rPr>
          <w:rFonts w:ascii="Times New Roman" w:hAnsi="Times New Roman"/>
          <w:bCs/>
          <w:szCs w:val="24"/>
        </w:rPr>
        <w:t xml:space="preserve"> </w:t>
      </w:r>
      <w:r w:rsidRPr="00E96866">
        <w:rPr>
          <w:rFonts w:ascii="Times New Roman" w:hAnsi="Times New Roman"/>
          <w:color w:val="000000" w:themeColor="text1"/>
          <w:szCs w:val="24"/>
        </w:rPr>
        <w:t>hours.</w:t>
      </w:r>
    </w:p>
    <w:p w:rsidR="007D0928" w:rsidRPr="007D0928" w:rsidP="007D0928" w14:paraId="71C7D673" w14:textId="46D0C6DB">
      <w:pPr>
        <w:widowControl/>
        <w:autoSpaceDE w:val="0"/>
        <w:autoSpaceDN w:val="0"/>
        <w:adjustRightInd w:val="0"/>
        <w:spacing w:line="480" w:lineRule="auto"/>
        <w:ind w:firstLine="720"/>
        <w:rPr>
          <w:rFonts w:ascii="Times New Roman" w:hAnsi="Times New Roman"/>
          <w:color w:val="000000" w:themeColor="text1"/>
          <w:szCs w:val="24"/>
        </w:rPr>
      </w:pPr>
      <w:r w:rsidRPr="00E96866">
        <w:rPr>
          <w:rFonts w:ascii="Times New Roman" w:hAnsi="Times New Roman"/>
          <w:color w:val="000000" w:themeColor="text1"/>
          <w:szCs w:val="24"/>
        </w:rPr>
        <w:t xml:space="preserve">(7)  </w:t>
      </w:r>
      <w:r w:rsidRPr="00E96866">
        <w:rPr>
          <w:rFonts w:ascii="Times New Roman" w:hAnsi="Times New Roman"/>
          <w:color w:val="000000" w:themeColor="text1"/>
          <w:szCs w:val="24"/>
          <w:u w:val="single"/>
        </w:rPr>
        <w:t>An estimate of the total public burden (in cost) associated with the collection</w:t>
      </w:r>
      <w:r w:rsidRPr="00E96866">
        <w:rPr>
          <w:rFonts w:ascii="Times New Roman" w:hAnsi="Times New Roman"/>
          <w:color w:val="000000" w:themeColor="text1"/>
          <w:szCs w:val="24"/>
        </w:rPr>
        <w:t>:</w:t>
      </w:r>
      <w:r w:rsidRPr="00E96866">
        <w:rPr>
          <w:rFonts w:ascii="Times New Roman" w:hAnsi="Times New Roman"/>
          <w:b/>
          <w:color w:val="000000" w:themeColor="text1"/>
          <w:szCs w:val="24"/>
        </w:rPr>
        <w:t xml:space="preserve">  </w:t>
      </w:r>
      <w:r w:rsidRPr="007D0928">
        <w:rPr>
          <w:rFonts w:ascii="Times New Roman" w:hAnsi="Times New Roman"/>
          <w:color w:val="000000" w:themeColor="text1"/>
          <w:szCs w:val="24"/>
        </w:rPr>
        <w:t>The estimated total annual cost burden associated with this collection of information is $</w:t>
      </w:r>
      <w:r w:rsidR="00277CDB">
        <w:rPr>
          <w:rFonts w:ascii="Times New Roman" w:hAnsi="Times New Roman"/>
          <w:color w:val="000000" w:themeColor="text1"/>
          <w:szCs w:val="24"/>
        </w:rPr>
        <w:t>3,212,390.</w:t>
      </w:r>
    </w:p>
    <w:p w:rsidR="00E96866" w:rsidRPr="00E96866" w:rsidP="00E96866" w14:paraId="74FA7BF1" w14:textId="77777777">
      <w:pPr>
        <w:widowControl/>
        <w:autoSpaceDE w:val="0"/>
        <w:autoSpaceDN w:val="0"/>
        <w:adjustRightInd w:val="0"/>
        <w:spacing w:line="480" w:lineRule="auto"/>
        <w:ind w:firstLine="720"/>
        <w:rPr>
          <w:rFonts w:ascii="Times New Roman" w:hAnsi="Times New Roman"/>
          <w:color w:val="000000" w:themeColor="text1"/>
        </w:rPr>
      </w:pPr>
    </w:p>
    <w:p w:rsidR="00E96866" w:rsidRPr="00E96866" w:rsidP="00E96866" w14:paraId="4871D35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00" w:hanging="900"/>
        <w:rPr>
          <w:rFonts w:ascii="Times New Roman" w:eastAsia="Arial Unicode MS" w:hAnsi="Times New Roman"/>
          <w:snapToGrid/>
          <w:color w:val="000000" w:themeColor="text1"/>
          <w:szCs w:val="24"/>
        </w:rPr>
      </w:pPr>
    </w:p>
    <w:p w:rsidR="00E96866" w:rsidRPr="00E96866" w:rsidP="00E96866" w14:paraId="51C5CE7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00" w:hanging="900"/>
        <w:rPr>
          <w:rFonts w:ascii="Times New Roman" w:eastAsia="Arial Unicode MS" w:hAnsi="Times New Roman"/>
          <w:snapToGrid/>
          <w:color w:val="000000" w:themeColor="text1"/>
          <w:szCs w:val="24"/>
        </w:rPr>
      </w:pPr>
    </w:p>
    <w:p w:rsidR="00E96866" w:rsidRPr="00E96866" w:rsidP="00E96866" w14:paraId="2C8F13A9" w14:textId="155E6376">
      <w:pPr>
        <w:widowControl/>
        <w:tabs>
          <w:tab w:val="left" w:pos="270"/>
          <w:tab w:val="left" w:pos="3140"/>
        </w:tabs>
        <w:spacing w:line="480" w:lineRule="auto"/>
        <w:ind w:left="720"/>
        <w:rPr>
          <w:rFonts w:ascii="Times New Roman" w:hAnsi="Times New Roman" w:eastAsiaTheme="minorEastAsia"/>
          <w:snapToGrid/>
          <w:color w:val="000000" w:themeColor="text1"/>
          <w:szCs w:val="24"/>
        </w:rPr>
      </w:pPr>
      <w:r w:rsidRPr="00E96866">
        <w:rPr>
          <w:rFonts w:ascii="Times New Roman" w:hAnsi="Times New Roman" w:eastAsiaTheme="minorEastAsia"/>
          <w:snapToGrid/>
          <w:color w:val="000000" w:themeColor="text1"/>
          <w:szCs w:val="24"/>
        </w:rPr>
        <w:t xml:space="preserve">Dated:  </w:t>
      </w:r>
      <w:r w:rsidR="00AB6B12">
        <w:rPr>
          <w:rFonts w:ascii="Times New Roman" w:hAnsi="Times New Roman" w:eastAsiaTheme="minorEastAsia"/>
          <w:snapToGrid/>
          <w:color w:val="000000" w:themeColor="text1"/>
          <w:szCs w:val="24"/>
        </w:rPr>
        <w:t>July 1</w:t>
      </w:r>
      <w:r w:rsidRPr="00E96866">
        <w:rPr>
          <w:rFonts w:ascii="Times New Roman" w:hAnsi="Times New Roman" w:eastAsiaTheme="minorEastAsia"/>
          <w:snapToGrid/>
          <w:color w:val="000000" w:themeColor="text1"/>
          <w:szCs w:val="24"/>
        </w:rPr>
        <w:t>, 202</w:t>
      </w:r>
      <w:r w:rsidR="007D0928">
        <w:rPr>
          <w:rFonts w:ascii="Times New Roman" w:hAnsi="Times New Roman" w:eastAsiaTheme="minorEastAsia"/>
          <w:snapToGrid/>
          <w:color w:val="000000" w:themeColor="text1"/>
          <w:szCs w:val="24"/>
        </w:rPr>
        <w:t>2</w:t>
      </w:r>
    </w:p>
    <w:p w:rsidR="004D1FBA" w:rsidRPr="00C85CA7" w:rsidP="004D1FBA" w14:paraId="04F0E88F" w14:textId="39DD8384">
      <w:pPr>
        <w:widowControl/>
        <w:rPr>
          <w:rFonts w:ascii="Times New Roman" w:hAnsi="Times New Roman" w:eastAsiaTheme="minorEastAsia"/>
          <w:b/>
          <w:i/>
          <w:snapToGrid/>
          <w:color w:val="000000" w:themeColor="text1"/>
          <w:szCs w:val="24"/>
        </w:rPr>
      </w:pPr>
      <w:r>
        <w:rPr>
          <w:rFonts w:ascii="Times New Roman" w:hAnsi="Times New Roman" w:eastAsiaTheme="minorEastAsia"/>
          <w:b/>
          <w:i/>
          <w:snapToGrid/>
          <w:color w:val="000000" w:themeColor="text1"/>
          <w:szCs w:val="24"/>
        </w:rPr>
        <w:t>Samantha L Deshommes</w:t>
      </w:r>
      <w:r w:rsidRPr="00C85CA7">
        <w:rPr>
          <w:rFonts w:ascii="Times New Roman" w:hAnsi="Times New Roman" w:eastAsiaTheme="minorEastAsia"/>
          <w:b/>
          <w:i/>
          <w:snapToGrid/>
          <w:color w:val="000000" w:themeColor="text1"/>
          <w:szCs w:val="24"/>
        </w:rPr>
        <w:t>,</w:t>
      </w:r>
    </w:p>
    <w:p w:rsidR="004D1FBA" w:rsidRPr="00C85CA7" w:rsidP="004D1FBA" w14:paraId="29165A5E" w14:textId="6331C04B">
      <w:pPr>
        <w:widowControl/>
        <w:rPr>
          <w:rFonts w:ascii="Times New Roman" w:hAnsi="Times New Roman" w:eastAsiaTheme="minorEastAsia"/>
          <w:i/>
          <w:snapToGrid/>
          <w:color w:val="000000" w:themeColor="text1"/>
          <w:szCs w:val="24"/>
        </w:rPr>
      </w:pPr>
      <w:r w:rsidRPr="00C85CA7">
        <w:rPr>
          <w:rFonts w:ascii="Times New Roman" w:hAnsi="Times New Roman" w:eastAsiaTheme="minorEastAsia"/>
          <w:i/>
          <w:snapToGrid/>
          <w:color w:val="000000" w:themeColor="text1"/>
          <w:szCs w:val="24"/>
          <w:u w:val="single"/>
        </w:rPr>
        <w:t>Chief</w:t>
      </w:r>
      <w:r w:rsidRPr="00C85CA7">
        <w:rPr>
          <w:rFonts w:ascii="Times New Roman" w:hAnsi="Times New Roman" w:eastAsiaTheme="minorEastAsia"/>
          <w:i/>
          <w:snapToGrid/>
          <w:color w:val="000000" w:themeColor="text1"/>
          <w:szCs w:val="24"/>
        </w:rPr>
        <w:t>,</w:t>
      </w:r>
    </w:p>
    <w:p w:rsidR="004D1FBA" w:rsidRPr="00C85CA7" w:rsidP="004D1FBA" w14:paraId="59958643" w14:textId="77777777">
      <w:pPr>
        <w:widowControl/>
        <w:rPr>
          <w:rFonts w:ascii="Times New Roman" w:hAnsi="Times New Roman" w:eastAsiaTheme="minorEastAsia"/>
          <w:i/>
          <w:snapToGrid/>
          <w:color w:val="000000" w:themeColor="text1"/>
          <w:szCs w:val="24"/>
        </w:rPr>
      </w:pPr>
      <w:r w:rsidRPr="00C85CA7">
        <w:rPr>
          <w:rFonts w:ascii="Times New Roman" w:hAnsi="Times New Roman" w:eastAsiaTheme="minorEastAsia"/>
          <w:i/>
          <w:snapToGrid/>
          <w:color w:val="000000" w:themeColor="text1"/>
          <w:szCs w:val="24"/>
          <w:u w:val="single"/>
        </w:rPr>
        <w:t>Regulatory Coordination Division</w:t>
      </w:r>
      <w:r w:rsidRPr="00C85CA7">
        <w:rPr>
          <w:rFonts w:ascii="Times New Roman" w:hAnsi="Times New Roman" w:eastAsiaTheme="minorEastAsia"/>
          <w:i/>
          <w:snapToGrid/>
          <w:color w:val="000000" w:themeColor="text1"/>
          <w:szCs w:val="24"/>
        </w:rPr>
        <w:t>,</w:t>
      </w:r>
    </w:p>
    <w:p w:rsidR="004D1FBA" w:rsidRPr="00C85CA7" w:rsidP="004D1FBA" w14:paraId="584CA86E" w14:textId="77777777">
      <w:pPr>
        <w:widowControl/>
        <w:rPr>
          <w:rFonts w:ascii="Times New Roman" w:hAnsi="Times New Roman" w:eastAsiaTheme="minorEastAsia"/>
          <w:i/>
          <w:snapToGrid/>
          <w:color w:val="000000" w:themeColor="text1"/>
          <w:szCs w:val="24"/>
        </w:rPr>
      </w:pPr>
      <w:r w:rsidRPr="00C85CA7">
        <w:rPr>
          <w:rFonts w:ascii="Times New Roman" w:hAnsi="Times New Roman" w:eastAsiaTheme="minorEastAsia"/>
          <w:i/>
          <w:snapToGrid/>
          <w:color w:val="000000" w:themeColor="text1"/>
          <w:szCs w:val="24"/>
          <w:u w:val="single"/>
        </w:rPr>
        <w:t>Office of Policy and Strategy</w:t>
      </w:r>
      <w:r w:rsidRPr="00C85CA7">
        <w:rPr>
          <w:rFonts w:ascii="Times New Roman" w:hAnsi="Times New Roman" w:eastAsiaTheme="minorEastAsia"/>
          <w:i/>
          <w:snapToGrid/>
          <w:color w:val="000000" w:themeColor="text1"/>
          <w:szCs w:val="24"/>
        </w:rPr>
        <w:t>,</w:t>
      </w:r>
    </w:p>
    <w:p w:rsidR="004D1FBA" w:rsidRPr="00C85CA7" w:rsidP="004D1FBA" w14:paraId="0FE679FA" w14:textId="77777777">
      <w:pPr>
        <w:widowControl/>
        <w:rPr>
          <w:rFonts w:ascii="Times New Roman" w:hAnsi="Times New Roman" w:eastAsiaTheme="minorEastAsia"/>
          <w:i/>
          <w:snapToGrid/>
          <w:color w:val="000000" w:themeColor="text1"/>
          <w:szCs w:val="24"/>
        </w:rPr>
      </w:pPr>
      <w:r w:rsidRPr="00C85CA7">
        <w:rPr>
          <w:rFonts w:ascii="Times New Roman" w:hAnsi="Times New Roman" w:eastAsiaTheme="minorEastAsia"/>
          <w:i/>
          <w:snapToGrid/>
          <w:color w:val="000000" w:themeColor="text1"/>
          <w:szCs w:val="24"/>
          <w:u w:val="single"/>
        </w:rPr>
        <w:t>U.S. Citizenship and Immigration Services</w:t>
      </w:r>
      <w:r w:rsidRPr="00C85CA7">
        <w:rPr>
          <w:rFonts w:ascii="Times New Roman" w:hAnsi="Times New Roman" w:eastAsiaTheme="minorEastAsia"/>
          <w:i/>
          <w:snapToGrid/>
          <w:color w:val="000000" w:themeColor="text1"/>
          <w:szCs w:val="24"/>
        </w:rPr>
        <w:t>,</w:t>
      </w:r>
    </w:p>
    <w:p w:rsidR="004D1FBA" w:rsidRPr="00C85CA7" w:rsidP="004D1FBA" w14:paraId="17E22285" w14:textId="77777777">
      <w:pPr>
        <w:widowControl/>
        <w:rPr>
          <w:rFonts w:ascii="Times New Roman" w:hAnsi="Times New Roman" w:eastAsiaTheme="minorEastAsia"/>
          <w:i/>
          <w:snapToGrid/>
          <w:color w:val="000000" w:themeColor="text1"/>
          <w:szCs w:val="24"/>
        </w:rPr>
      </w:pPr>
      <w:r w:rsidRPr="00C85CA7">
        <w:rPr>
          <w:rFonts w:ascii="Times New Roman" w:hAnsi="Times New Roman" w:eastAsiaTheme="minorEastAsia"/>
          <w:i/>
          <w:snapToGrid/>
          <w:color w:val="000000" w:themeColor="text1"/>
          <w:szCs w:val="24"/>
          <w:u w:val="single"/>
        </w:rPr>
        <w:t>Department of Homeland Security</w:t>
      </w:r>
      <w:r w:rsidRPr="00C85CA7">
        <w:rPr>
          <w:rFonts w:ascii="Times New Roman" w:hAnsi="Times New Roman" w:eastAsiaTheme="minorEastAsia"/>
          <w:i/>
          <w:snapToGrid/>
          <w:color w:val="000000" w:themeColor="text1"/>
          <w:szCs w:val="24"/>
        </w:rPr>
        <w:t>.</w:t>
      </w:r>
    </w:p>
    <w:p w:rsidR="004D1FBA" w:rsidRPr="00C85CA7" w:rsidP="004D1FBA" w14:paraId="595312B8" w14:textId="77777777">
      <w:pPr>
        <w:widowControl/>
        <w:rPr>
          <w:rFonts w:ascii="Times New Roman" w:hAnsi="Times New Roman" w:eastAsiaTheme="minorEastAsia"/>
          <w:snapToGrid/>
          <w:color w:val="000000" w:themeColor="text1"/>
          <w:szCs w:val="24"/>
        </w:rPr>
      </w:pPr>
    </w:p>
    <w:p w:rsidR="004D1FBA" w:rsidRPr="00C85CA7" w:rsidP="004D1FBA" w14:paraId="630204D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Arial Unicode MS" w:hAnsi="Times New Roman"/>
          <w:snapToGrid/>
          <w:color w:val="000000" w:themeColor="text1"/>
          <w:szCs w:val="24"/>
        </w:rPr>
      </w:pPr>
      <w:r w:rsidRPr="00C85CA7">
        <w:rPr>
          <w:rFonts w:ascii="Arial Unicode MS" w:eastAsia="Arial Unicode MS" w:hAnsi="Arial Unicode MS" w:cs="Arial Unicode MS"/>
          <w:b/>
          <w:color w:val="000000" w:themeColor="text1"/>
          <w:sz w:val="20"/>
        </w:rPr>
        <w:t>BILLING CODE 9111-97</w:t>
      </w:r>
    </w:p>
    <w:p w:rsidR="004D1FBA" w:rsidRPr="00C85CA7" w:rsidP="004D1FBA" w14:paraId="5F80B0CD" w14:textId="77777777">
      <w:pPr>
        <w:spacing w:line="384" w:lineRule="auto"/>
        <w:ind w:firstLine="720"/>
        <w:rPr>
          <w:rFonts w:ascii="Times New Roman" w:hAnsi="Times New Roman"/>
          <w:color w:val="000000" w:themeColor="text1"/>
        </w:rPr>
      </w:pPr>
    </w:p>
    <w:p w:rsidR="00BD4290" w:rsidRPr="00C85CA7" w14:paraId="636C1778" w14:textId="77777777">
      <w:pPr>
        <w:rPr>
          <w:color w:val="000000" w:themeColor="text1"/>
        </w:rPr>
      </w:pPr>
    </w:p>
    <w:sectPr w:rsidSect="004D1FBA">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90"/>
    <w:rsid w:val="000033CD"/>
    <w:rsid w:val="00005604"/>
    <w:rsid w:val="00043C80"/>
    <w:rsid w:val="000D4437"/>
    <w:rsid w:val="00193722"/>
    <w:rsid w:val="00197C1D"/>
    <w:rsid w:val="00206F1D"/>
    <w:rsid w:val="00277CDB"/>
    <w:rsid w:val="002E6CF4"/>
    <w:rsid w:val="004C1546"/>
    <w:rsid w:val="004D1FBA"/>
    <w:rsid w:val="005513D4"/>
    <w:rsid w:val="005C6B89"/>
    <w:rsid w:val="00662948"/>
    <w:rsid w:val="007D0928"/>
    <w:rsid w:val="008A2DDB"/>
    <w:rsid w:val="008D1B10"/>
    <w:rsid w:val="008E57BE"/>
    <w:rsid w:val="00960D45"/>
    <w:rsid w:val="00A169C7"/>
    <w:rsid w:val="00AB6B12"/>
    <w:rsid w:val="00B443C5"/>
    <w:rsid w:val="00BD4290"/>
    <w:rsid w:val="00C85CA7"/>
    <w:rsid w:val="00E32F6C"/>
    <w:rsid w:val="00E645F1"/>
    <w:rsid w:val="00E92173"/>
    <w:rsid w:val="00E96866"/>
    <w:rsid w:val="00F2369E"/>
    <w:rsid w:val="00F837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FDD380"/>
  <w15:chartTrackingRefBased/>
  <w15:docId w15:val="{98C8E942-5F91-40E6-92B0-F17E4B52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FBA"/>
    <w:pPr>
      <w:widowControl w:val="0"/>
      <w:spacing w:after="0" w:line="240" w:lineRule="auto"/>
    </w:pPr>
    <w:rPr>
      <w:rFonts w:ascii="Courier" w:eastAsia="Malgun Gothic" w:hAnsi="Courier" w:cs="Times New Roman"/>
      <w:snapToGrid w:val="0"/>
      <w:sz w:val="24"/>
      <w:szCs w:val="20"/>
    </w:rPr>
  </w:style>
  <w:style w:type="paragraph" w:styleId="Heading1">
    <w:name w:val="heading 1"/>
    <w:basedOn w:val="Normal"/>
    <w:next w:val="Normal"/>
    <w:link w:val="Heading1Char"/>
    <w:qFormat/>
    <w:rsid w:val="004D1FBA"/>
    <w:pPr>
      <w:keepNext/>
      <w:spacing w:line="384" w:lineRule="auto"/>
      <w:jc w:val="both"/>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1FBA"/>
    <w:rPr>
      <w:rFonts w:ascii="Times New Roman" w:eastAsia="Malgun Gothic" w:hAnsi="Times New Roman" w:cs="Times New Roman"/>
      <w:b/>
      <w:snapToGrid w:val="0"/>
      <w:sz w:val="24"/>
      <w:szCs w:val="20"/>
    </w:rPr>
  </w:style>
  <w:style w:type="paragraph" w:styleId="NormalWeb">
    <w:name w:val="Normal (Web)"/>
    <w:basedOn w:val="Normal"/>
    <w:uiPriority w:val="99"/>
    <w:unhideWhenUsed/>
    <w:rsid w:val="004D1FBA"/>
    <w:pPr>
      <w:widowControl/>
      <w:spacing w:before="100" w:beforeAutospacing="1" w:after="100" w:afterAutospacing="1"/>
    </w:pPr>
    <w:rPr>
      <w:rFonts w:ascii="Times New Roman" w:eastAsia="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1249</TotalTime>
  <Pages>4</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Avendano, Manuel A</dc:creator>
  <cp:lastModifiedBy>Rigdon, Jerry L</cp:lastModifiedBy>
  <cp:revision>24</cp:revision>
  <dcterms:created xsi:type="dcterms:W3CDTF">2021-10-06T21:54:00Z</dcterms:created>
  <dcterms:modified xsi:type="dcterms:W3CDTF">2022-07-01T17:59:00Z</dcterms:modified>
</cp:coreProperties>
</file>