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2915" w:rsidRPr="00BD75FC" w:rsidP="009878E6" w14:paraId="295AAC24" w14:textId="24378A38">
      <w:pPr>
        <w:pStyle w:val="Title"/>
        <w:spacing w:line="276" w:lineRule="auto"/>
        <w:contextualSpacing/>
        <w:jc w:val="right"/>
        <w:rPr>
          <w:color w:val="000000" w:themeColor="text1"/>
          <w:sz w:val="28"/>
          <w:szCs w:val="28"/>
        </w:rPr>
      </w:pPr>
      <w:r>
        <w:rPr>
          <w:color w:val="000000" w:themeColor="text1"/>
          <w:sz w:val="28"/>
          <w:szCs w:val="28"/>
        </w:rPr>
        <w:t>September 1</w:t>
      </w:r>
      <w:r w:rsidRPr="00BD75FC" w:rsidR="00E6464B">
        <w:rPr>
          <w:color w:val="000000" w:themeColor="text1"/>
          <w:sz w:val="28"/>
          <w:szCs w:val="28"/>
        </w:rPr>
        <w:t>, 202</w:t>
      </w:r>
      <w:r w:rsidR="0050166E">
        <w:rPr>
          <w:color w:val="000000" w:themeColor="text1"/>
          <w:sz w:val="28"/>
          <w:szCs w:val="28"/>
        </w:rPr>
        <w:t>3</w:t>
      </w:r>
    </w:p>
    <w:p w:rsidR="00E6464B" w:rsidRPr="00BD75FC" w:rsidP="009878E6" w14:paraId="3A23470B" w14:textId="77777777">
      <w:pPr>
        <w:pStyle w:val="Title"/>
        <w:spacing w:line="276" w:lineRule="auto"/>
        <w:contextualSpacing/>
        <w:jc w:val="right"/>
        <w:rPr>
          <w:color w:val="000000" w:themeColor="text1"/>
          <w:sz w:val="28"/>
          <w:szCs w:val="28"/>
        </w:rPr>
      </w:pPr>
    </w:p>
    <w:p w:rsidR="00562915" w:rsidRPr="009878E6" w:rsidP="009878E6" w14:paraId="168AAF3B" w14:textId="77777777">
      <w:pPr>
        <w:pStyle w:val="Title"/>
        <w:spacing w:line="276" w:lineRule="auto"/>
        <w:contextualSpacing/>
        <w:rPr>
          <w:color w:val="000000" w:themeColor="text1"/>
          <w:szCs w:val="32"/>
        </w:rPr>
      </w:pPr>
      <w:r w:rsidRPr="009878E6">
        <w:rPr>
          <w:color w:val="000000" w:themeColor="text1"/>
          <w:szCs w:val="32"/>
        </w:rPr>
        <w:t xml:space="preserve">Supporting Statement for </w:t>
      </w:r>
    </w:p>
    <w:p w:rsidR="00562915" w:rsidRPr="009878E6" w:rsidP="009878E6" w14:paraId="61712F37" w14:textId="77777777">
      <w:pPr>
        <w:pStyle w:val="Title"/>
        <w:spacing w:line="276" w:lineRule="auto"/>
        <w:contextualSpacing/>
        <w:rPr>
          <w:color w:val="000000" w:themeColor="text1"/>
          <w:szCs w:val="32"/>
        </w:rPr>
      </w:pPr>
      <w:r w:rsidRPr="009878E6">
        <w:rPr>
          <w:color w:val="000000" w:themeColor="text1"/>
          <w:szCs w:val="32"/>
        </w:rPr>
        <w:t>Paperwork Reduction Act Submissions</w:t>
      </w:r>
    </w:p>
    <w:p w:rsidR="00562915" w:rsidRPr="009878E6" w:rsidP="009878E6" w14:paraId="4E2D4771" w14:textId="77777777">
      <w:pPr>
        <w:tabs>
          <w:tab w:val="left" w:pos="-720"/>
        </w:tabs>
        <w:suppressAutoHyphens/>
        <w:contextualSpacing/>
        <w:rPr>
          <w:rFonts w:ascii="Times New Roman" w:hAnsi="Times New Roman" w:cs="Times New Roman"/>
          <w:b/>
          <w:color w:val="000000" w:themeColor="text1"/>
          <w:sz w:val="28"/>
          <w:szCs w:val="28"/>
        </w:rPr>
      </w:pPr>
    </w:p>
    <w:p w:rsidR="00562915" w:rsidRPr="009878E6" w:rsidP="009878E6" w14:paraId="3A1A9A8F" w14:textId="64E346F9">
      <w:pPr>
        <w:tabs>
          <w:tab w:val="left" w:pos="-720"/>
        </w:tabs>
        <w:suppressAutoHyphens/>
        <w:contextualSpacing/>
        <w:rPr>
          <w:rFonts w:ascii="Times New Roman" w:hAnsi="Times New Roman" w:cs="Times New Roman"/>
          <w:b/>
          <w:color w:val="000000" w:themeColor="text1"/>
          <w:sz w:val="28"/>
          <w:szCs w:val="28"/>
        </w:rPr>
      </w:pPr>
      <w:r w:rsidRPr="009878E6">
        <w:rPr>
          <w:rFonts w:ascii="Times New Roman" w:hAnsi="Times New Roman" w:cs="Times New Roman"/>
          <w:b/>
          <w:color w:val="000000" w:themeColor="text1"/>
          <w:sz w:val="28"/>
          <w:szCs w:val="28"/>
        </w:rPr>
        <w:t xml:space="preserve">OMB Control Number:  1660 </w:t>
      </w:r>
      <w:r w:rsidRPr="009878E6" w:rsidR="00507AA1">
        <w:rPr>
          <w:rFonts w:ascii="Times New Roman" w:hAnsi="Times New Roman" w:cs="Times New Roman"/>
          <w:b/>
          <w:color w:val="000000" w:themeColor="text1"/>
          <w:sz w:val="28"/>
          <w:szCs w:val="28"/>
        </w:rPr>
        <w:t>–</w:t>
      </w:r>
      <w:r w:rsidRPr="009878E6">
        <w:rPr>
          <w:rFonts w:ascii="Times New Roman" w:hAnsi="Times New Roman" w:cs="Times New Roman"/>
          <w:b/>
          <w:color w:val="000000" w:themeColor="text1"/>
          <w:sz w:val="28"/>
          <w:szCs w:val="28"/>
        </w:rPr>
        <w:t xml:space="preserve"> </w:t>
      </w:r>
      <w:r w:rsidRPr="009878E6" w:rsidR="00507AA1">
        <w:rPr>
          <w:rFonts w:ascii="Times New Roman" w:hAnsi="Times New Roman" w:cs="Times New Roman"/>
          <w:b/>
          <w:color w:val="000000" w:themeColor="text1"/>
          <w:sz w:val="28"/>
          <w:szCs w:val="28"/>
        </w:rPr>
        <w:t>NW160</w:t>
      </w:r>
    </w:p>
    <w:p w:rsidR="009878E6" w:rsidRPr="009878E6" w:rsidP="009878E6" w14:paraId="664E3D82" w14:textId="77777777">
      <w:pPr>
        <w:tabs>
          <w:tab w:val="left" w:pos="-720"/>
        </w:tabs>
        <w:suppressAutoHyphens/>
        <w:contextualSpacing/>
        <w:rPr>
          <w:rFonts w:ascii="Times New Roman" w:hAnsi="Times New Roman" w:cs="Times New Roman"/>
          <w:b/>
          <w:color w:val="000000" w:themeColor="text1"/>
          <w:sz w:val="28"/>
          <w:szCs w:val="28"/>
        </w:rPr>
      </w:pPr>
    </w:p>
    <w:p w:rsidR="00562915" w:rsidRPr="009878E6" w:rsidP="009878E6" w14:paraId="29A837FE" w14:textId="289B3BB4">
      <w:pPr>
        <w:tabs>
          <w:tab w:val="left" w:pos="-720"/>
        </w:tabs>
        <w:suppressAutoHyphens/>
        <w:contextualSpacing/>
        <w:rPr>
          <w:rFonts w:ascii="Times New Roman" w:hAnsi="Times New Roman" w:cs="Times New Roman"/>
          <w:b/>
          <w:color w:val="000000" w:themeColor="text1"/>
          <w:sz w:val="28"/>
          <w:szCs w:val="28"/>
        </w:rPr>
      </w:pPr>
      <w:r w:rsidRPr="009878E6">
        <w:rPr>
          <w:rFonts w:ascii="Times New Roman" w:hAnsi="Times New Roman" w:cs="Times New Roman"/>
          <w:b/>
          <w:color w:val="000000" w:themeColor="text1"/>
          <w:sz w:val="28"/>
          <w:szCs w:val="28"/>
        </w:rPr>
        <w:t xml:space="preserve">Title:  </w:t>
      </w:r>
      <w:r w:rsidRPr="009878E6" w:rsidR="00507AA1">
        <w:rPr>
          <w:rFonts w:ascii="Times New Roman" w:hAnsi="Times New Roman" w:cs="Times New Roman"/>
          <w:b/>
          <w:color w:val="000000" w:themeColor="text1"/>
          <w:sz w:val="28"/>
          <w:szCs w:val="28"/>
        </w:rPr>
        <w:t>Floodplain Administrator (FPA) National Training Needs Assessment</w:t>
      </w:r>
    </w:p>
    <w:p w:rsidR="009878E6" w:rsidRPr="009878E6" w:rsidP="009878E6" w14:paraId="5DDD0D16" w14:textId="77777777">
      <w:pPr>
        <w:tabs>
          <w:tab w:val="left" w:pos="-720"/>
        </w:tabs>
        <w:suppressAutoHyphens/>
        <w:contextualSpacing/>
        <w:rPr>
          <w:rFonts w:ascii="Times New Roman" w:hAnsi="Times New Roman" w:cs="Times New Roman"/>
          <w:b/>
          <w:color w:val="000000" w:themeColor="text1"/>
          <w:sz w:val="28"/>
          <w:szCs w:val="28"/>
        </w:rPr>
      </w:pPr>
    </w:p>
    <w:p w:rsidR="00562915" w:rsidRPr="009878E6" w:rsidP="009878E6" w14:paraId="3578CF29" w14:textId="4ED99354">
      <w:pPr>
        <w:tabs>
          <w:tab w:val="left" w:pos="-720"/>
        </w:tabs>
        <w:suppressAutoHyphens/>
        <w:contextualSpacing/>
        <w:rPr>
          <w:rFonts w:ascii="Times New Roman" w:hAnsi="Times New Roman" w:cs="Times New Roman"/>
          <w:b/>
          <w:color w:val="000000" w:themeColor="text1"/>
          <w:sz w:val="28"/>
          <w:szCs w:val="28"/>
        </w:rPr>
      </w:pPr>
      <w:r w:rsidRPr="009878E6">
        <w:rPr>
          <w:rFonts w:ascii="Times New Roman" w:hAnsi="Times New Roman" w:cs="Times New Roman"/>
          <w:b/>
          <w:color w:val="000000" w:themeColor="text1"/>
          <w:sz w:val="28"/>
          <w:szCs w:val="28"/>
        </w:rPr>
        <w:t xml:space="preserve">Form Number(s):  </w:t>
      </w:r>
      <w:r w:rsidRPr="009878E6" w:rsidR="00EA27F0">
        <w:rPr>
          <w:rFonts w:ascii="Times New Roman" w:hAnsi="Times New Roman" w:cs="Times New Roman"/>
          <w:b/>
          <w:bCs/>
          <w:sz w:val="28"/>
          <w:szCs w:val="28"/>
        </w:rPr>
        <w:t>FEMA</w:t>
      </w:r>
      <w:r w:rsidR="000B7CAE">
        <w:rPr>
          <w:rFonts w:ascii="Times New Roman" w:hAnsi="Times New Roman" w:cs="Times New Roman"/>
          <w:b/>
          <w:bCs/>
          <w:sz w:val="28"/>
          <w:szCs w:val="28"/>
        </w:rPr>
        <w:t xml:space="preserve"> Form FF</w:t>
      </w:r>
      <w:r w:rsidRPr="000E46EA" w:rsidR="000B7CAE">
        <w:rPr>
          <w:rFonts w:ascii="Times New Roman" w:hAnsi="Times New Roman" w:cs="Times New Roman"/>
          <w:b/>
          <w:bCs/>
          <w:color w:val="000000" w:themeColor="text1"/>
          <w:sz w:val="28"/>
          <w:szCs w:val="28"/>
        </w:rPr>
        <w:t>-</w:t>
      </w:r>
      <w:r w:rsidRPr="000E46EA" w:rsidR="00983BFD">
        <w:rPr>
          <w:rFonts w:ascii="Times New Roman" w:hAnsi="Times New Roman" w:cs="Times New Roman"/>
          <w:b/>
          <w:bCs/>
          <w:color w:val="000000" w:themeColor="text1"/>
          <w:sz w:val="28"/>
          <w:szCs w:val="28"/>
        </w:rPr>
        <w:t>206</w:t>
      </w:r>
      <w:r w:rsidRPr="000E46EA" w:rsidR="000B7CAE">
        <w:rPr>
          <w:rFonts w:ascii="Times New Roman" w:hAnsi="Times New Roman" w:cs="Times New Roman"/>
          <w:b/>
          <w:bCs/>
          <w:color w:val="000000" w:themeColor="text1"/>
          <w:sz w:val="28"/>
          <w:szCs w:val="28"/>
        </w:rPr>
        <w:t>-FY-</w:t>
      </w:r>
      <w:r w:rsidRPr="000E46EA" w:rsidR="00983BFD">
        <w:rPr>
          <w:rFonts w:ascii="Times New Roman" w:hAnsi="Times New Roman" w:cs="Times New Roman"/>
          <w:b/>
          <w:bCs/>
          <w:color w:val="000000" w:themeColor="text1"/>
          <w:sz w:val="28"/>
          <w:szCs w:val="28"/>
        </w:rPr>
        <w:t>22</w:t>
      </w:r>
      <w:r w:rsidRPr="000E46EA" w:rsidR="000B7CAE">
        <w:rPr>
          <w:rFonts w:ascii="Times New Roman" w:hAnsi="Times New Roman" w:cs="Times New Roman"/>
          <w:b/>
          <w:bCs/>
          <w:color w:val="000000" w:themeColor="text1"/>
          <w:sz w:val="28"/>
          <w:szCs w:val="28"/>
        </w:rPr>
        <w:t>-</w:t>
      </w:r>
      <w:r w:rsidRPr="000E46EA" w:rsidR="00983BFD">
        <w:rPr>
          <w:rFonts w:ascii="Times New Roman" w:hAnsi="Times New Roman" w:cs="Times New Roman"/>
          <w:b/>
          <w:bCs/>
          <w:color w:val="000000" w:themeColor="text1"/>
          <w:sz w:val="28"/>
          <w:szCs w:val="28"/>
        </w:rPr>
        <w:t>159</w:t>
      </w:r>
      <w:r w:rsidRPr="000E46EA" w:rsidR="00EA27F0">
        <w:rPr>
          <w:rFonts w:ascii="Times New Roman" w:hAnsi="Times New Roman" w:cs="Times New Roman"/>
          <w:b/>
          <w:bCs/>
          <w:color w:val="000000" w:themeColor="text1"/>
          <w:sz w:val="28"/>
          <w:szCs w:val="28"/>
        </w:rPr>
        <w:t xml:space="preserve">, Floodplain </w:t>
      </w:r>
      <w:r w:rsidRPr="009878E6" w:rsidR="00EA27F0">
        <w:rPr>
          <w:rFonts w:ascii="Times New Roman" w:hAnsi="Times New Roman" w:cs="Times New Roman"/>
          <w:b/>
          <w:bCs/>
          <w:color w:val="000000" w:themeColor="text1"/>
          <w:sz w:val="28"/>
          <w:szCs w:val="28"/>
        </w:rPr>
        <w:t>Administrator Training Needs Assessment</w:t>
      </w:r>
      <w:r w:rsidRPr="009878E6" w:rsidR="00EA27F0">
        <w:rPr>
          <w:rFonts w:ascii="Times New Roman" w:hAnsi="Times New Roman" w:cs="Times New Roman"/>
          <w:b/>
          <w:color w:val="000000" w:themeColor="text1"/>
          <w:sz w:val="28"/>
          <w:szCs w:val="28"/>
        </w:rPr>
        <w:t xml:space="preserve"> </w:t>
      </w:r>
    </w:p>
    <w:p w:rsidR="00B92B09" w:rsidRPr="009878E6" w:rsidP="009878E6" w14:paraId="76B02119" w14:textId="77777777">
      <w:pPr>
        <w:pStyle w:val="Heading1"/>
        <w:spacing w:line="276" w:lineRule="auto"/>
        <w:contextualSpacing/>
        <w:rPr>
          <w:color w:val="000000" w:themeColor="text1"/>
          <w:szCs w:val="28"/>
        </w:rPr>
      </w:pPr>
    </w:p>
    <w:p w:rsidR="00562915" w:rsidRPr="009878E6" w:rsidP="009878E6" w14:paraId="5DF2A7AD" w14:textId="77777777">
      <w:pPr>
        <w:pStyle w:val="Heading1"/>
        <w:spacing w:line="276" w:lineRule="auto"/>
        <w:contextualSpacing/>
        <w:rPr>
          <w:color w:val="000000" w:themeColor="text1"/>
          <w:szCs w:val="28"/>
        </w:rPr>
      </w:pPr>
      <w:r w:rsidRPr="009878E6">
        <w:rPr>
          <w:color w:val="000000" w:themeColor="text1"/>
          <w:szCs w:val="28"/>
        </w:rPr>
        <w:t>General Instructions</w:t>
      </w:r>
    </w:p>
    <w:p w:rsidR="00B92B09" w:rsidRPr="009878E6" w:rsidP="009878E6" w14:paraId="411791C2" w14:textId="77777777">
      <w:pPr>
        <w:spacing w:after="0"/>
        <w:contextualSpacing/>
        <w:rPr>
          <w:rFonts w:ascii="Times New Roman" w:hAnsi="Times New Roman" w:cs="Times New Roman"/>
          <w:color w:val="000000" w:themeColor="text1"/>
          <w:sz w:val="24"/>
          <w:szCs w:val="24"/>
        </w:rPr>
      </w:pPr>
    </w:p>
    <w:p w:rsidR="00562915" w:rsidRPr="009878E6" w:rsidP="009878E6" w14:paraId="403F8742" w14:textId="258A3574">
      <w:pPr>
        <w:tabs>
          <w:tab w:val="left" w:pos="-720"/>
        </w:tabs>
        <w:suppressAutoHyphens/>
        <w:spacing w:after="0"/>
        <w:contextualSpacing/>
        <w:rPr>
          <w:rFonts w:ascii="Times New Roman" w:hAnsi="Times New Roman" w:cs="Times New Roman"/>
          <w:color w:val="000000" w:themeColor="text1"/>
          <w:sz w:val="24"/>
          <w:szCs w:val="24"/>
        </w:rPr>
      </w:pPr>
      <w:r w:rsidRPr="009878E6">
        <w:rPr>
          <w:rFonts w:ascii="Times New Roman" w:hAnsi="Times New Roman" w:cs="Times New Roman"/>
          <w:color w:val="000000" w:themeColor="text1"/>
          <w:sz w:val="24"/>
          <w:szCs w:val="24"/>
        </w:rPr>
        <w:t>A Supporting Statement, including the text of the notice to the public required by 5 CFR 1320.5(a)(</w:t>
      </w:r>
      <w:r w:rsidRPr="009878E6" w:rsidR="00E6464B">
        <w:rPr>
          <w:rFonts w:ascii="Times New Roman" w:hAnsi="Times New Roman" w:cs="Times New Roman"/>
          <w:color w:val="000000" w:themeColor="text1"/>
          <w:sz w:val="24"/>
          <w:szCs w:val="24"/>
        </w:rPr>
        <w:t>1</w:t>
      </w:r>
      <w:r w:rsidRPr="009878E6">
        <w:rPr>
          <w:rFonts w:ascii="Times New Roman" w:hAnsi="Times New Roman" w:cs="Times New Roman"/>
          <w:color w:val="000000" w:themeColor="text1"/>
          <w:sz w:val="24"/>
          <w:szCs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RPr="009878E6" w:rsidP="009878E6" w14:paraId="6034C943" w14:textId="77777777">
      <w:pPr>
        <w:pStyle w:val="Heading1"/>
        <w:spacing w:line="276" w:lineRule="auto"/>
        <w:contextualSpacing/>
        <w:rPr>
          <w:color w:val="000000" w:themeColor="text1"/>
          <w:sz w:val="24"/>
          <w:szCs w:val="24"/>
        </w:rPr>
      </w:pPr>
    </w:p>
    <w:p w:rsidR="00562915" w:rsidRPr="009878E6" w:rsidP="009878E6" w14:paraId="641A0AD2" w14:textId="77777777">
      <w:pPr>
        <w:pStyle w:val="Heading1"/>
        <w:spacing w:line="276" w:lineRule="auto"/>
        <w:contextualSpacing/>
        <w:rPr>
          <w:color w:val="000000" w:themeColor="text1"/>
          <w:szCs w:val="28"/>
        </w:rPr>
      </w:pPr>
      <w:r w:rsidRPr="009878E6">
        <w:rPr>
          <w:color w:val="000000" w:themeColor="text1"/>
          <w:szCs w:val="28"/>
        </w:rPr>
        <w:t>Specific Instructions</w:t>
      </w:r>
    </w:p>
    <w:p w:rsidR="00562915" w:rsidRPr="009878E6" w:rsidP="009878E6" w14:paraId="561E0150" w14:textId="77777777">
      <w:pPr>
        <w:tabs>
          <w:tab w:val="left" w:pos="-720"/>
        </w:tabs>
        <w:suppressAutoHyphens/>
        <w:spacing w:after="0"/>
        <w:contextualSpacing/>
        <w:rPr>
          <w:rFonts w:ascii="Times New Roman" w:hAnsi="Times New Roman" w:cs="Times New Roman"/>
          <w:color w:val="000000" w:themeColor="text1"/>
          <w:sz w:val="28"/>
          <w:szCs w:val="28"/>
        </w:rPr>
      </w:pPr>
    </w:p>
    <w:p w:rsidR="00562915" w:rsidRPr="009878E6" w:rsidP="009878E6" w14:paraId="582550E6" w14:textId="77777777">
      <w:pPr>
        <w:pStyle w:val="Heading1"/>
        <w:spacing w:line="276" w:lineRule="auto"/>
        <w:contextualSpacing/>
        <w:rPr>
          <w:color w:val="000000" w:themeColor="text1"/>
          <w:szCs w:val="28"/>
        </w:rPr>
      </w:pPr>
      <w:r w:rsidRPr="009878E6">
        <w:rPr>
          <w:color w:val="000000" w:themeColor="text1"/>
          <w:szCs w:val="28"/>
        </w:rPr>
        <w:t>A.  Justification</w:t>
      </w:r>
    </w:p>
    <w:p w:rsidR="00562915" w:rsidRPr="009878E6" w:rsidP="009878E6" w14:paraId="2A9D648B" w14:textId="77777777">
      <w:pPr>
        <w:spacing w:after="0"/>
        <w:contextualSpacing/>
        <w:rPr>
          <w:rFonts w:ascii="Times New Roman" w:hAnsi="Times New Roman" w:cs="Times New Roman"/>
          <w:color w:val="000000" w:themeColor="text1"/>
          <w:sz w:val="24"/>
          <w:szCs w:val="24"/>
        </w:rPr>
      </w:pPr>
    </w:p>
    <w:p w:rsidR="00562915" w:rsidRPr="009878E6" w:rsidP="009878E6" w14:paraId="7326EBEE" w14:textId="77777777">
      <w:pPr>
        <w:numPr>
          <w:ilvl w:val="0"/>
          <w:numId w:val="1"/>
        </w:numPr>
        <w:spacing w:after="0"/>
        <w:contextualSpacing/>
        <w:rPr>
          <w:rFonts w:ascii="Times New Roman" w:hAnsi="Times New Roman" w:cs="Times New Roman"/>
          <w:b/>
          <w:bCs/>
          <w:color w:val="000000" w:themeColor="text1"/>
          <w:sz w:val="24"/>
          <w:szCs w:val="24"/>
        </w:rPr>
      </w:pPr>
      <w:r w:rsidRPr="009878E6">
        <w:rPr>
          <w:rFonts w:ascii="Times New Roman" w:hAnsi="Times New Roman" w:cs="Times New Roman"/>
          <w:b/>
          <w:bCs/>
          <w:color w:val="000000" w:themeColor="text1"/>
          <w:sz w:val="24"/>
          <w:szCs w:val="24"/>
        </w:rPr>
        <w:fldChar w:fldCharType="begin"/>
      </w:r>
      <w:r w:rsidRPr="009878E6">
        <w:rPr>
          <w:rFonts w:ascii="Times New Roman" w:hAnsi="Times New Roman" w:cs="Times New Roman"/>
          <w:b/>
          <w:bCs/>
          <w:color w:val="000000" w:themeColor="text1"/>
          <w:sz w:val="24"/>
          <w:szCs w:val="24"/>
        </w:rPr>
        <w:instrText>ADVANCE \R 0.95</w:instrText>
      </w:r>
      <w:r w:rsidRPr="009878E6">
        <w:rPr>
          <w:rFonts w:ascii="Times New Roman" w:hAnsi="Times New Roman" w:cs="Times New Roman"/>
          <w:b/>
          <w:bCs/>
          <w:color w:val="000000" w:themeColor="text1"/>
          <w:sz w:val="24"/>
          <w:szCs w:val="24"/>
        </w:rPr>
        <w:fldChar w:fldCharType="end"/>
      </w:r>
      <w:r w:rsidRPr="009878E6">
        <w:rPr>
          <w:rFonts w:ascii="Times New Roman" w:hAnsi="Times New Roman" w:cs="Times New Roman"/>
          <w:b/>
          <w:bCs/>
          <w:color w:val="000000" w:themeColor="text1"/>
          <w:sz w:val="24"/>
          <w:szCs w:val="24"/>
        </w:rPr>
        <w:t xml:space="preserve">Explain the circumstances that make the collection of information necessary. </w:t>
      </w:r>
    </w:p>
    <w:p w:rsidR="00562915" w:rsidRPr="009878E6" w:rsidP="009878E6" w14:paraId="3735F595" w14:textId="469CABD0">
      <w:pPr>
        <w:contextualSpacing/>
        <w:rPr>
          <w:rFonts w:ascii="Times New Roman" w:hAnsi="Times New Roman" w:cs="Times New Roman"/>
          <w:b/>
          <w:bCs/>
          <w:color w:val="000000" w:themeColor="text1"/>
          <w:sz w:val="24"/>
          <w:szCs w:val="24"/>
        </w:rPr>
      </w:pPr>
      <w:r w:rsidRPr="009878E6">
        <w:rPr>
          <w:rFonts w:ascii="Times New Roman" w:hAnsi="Times New Roman" w:cs="Times New Roman"/>
          <w:b/>
          <w:bCs/>
          <w:color w:val="000000" w:themeColor="text1"/>
          <w:sz w:val="24"/>
          <w:szCs w:val="24"/>
        </w:rPr>
        <w:t xml:space="preserve">Identify any legal or administrative requirements that necessitate the collection.  Attach a copy of the appropriate section of each statute and regulation mandating or authorizing the collection of information.  Provide a detailed description of the nature and source of the information to be collected.   </w:t>
      </w:r>
    </w:p>
    <w:p w:rsidR="00557D1B" w:rsidRPr="009878E6" w:rsidP="009878E6" w14:paraId="30C5CB25" w14:textId="77777777">
      <w:pPr>
        <w:contextualSpacing/>
        <w:rPr>
          <w:rFonts w:ascii="Times New Roman" w:hAnsi="Times New Roman" w:cs="Times New Roman"/>
          <w:color w:val="000000" w:themeColor="text1"/>
          <w:sz w:val="24"/>
          <w:szCs w:val="24"/>
        </w:rPr>
      </w:pPr>
    </w:p>
    <w:p w:rsidR="00E54E14" w:rsidRPr="009878E6" w:rsidP="009878E6" w14:paraId="3FE5C2AE" w14:textId="402657D6">
      <w:pPr>
        <w:contextualSpacing/>
        <w:rPr>
          <w:rFonts w:ascii="Times New Roman" w:hAnsi="Times New Roman" w:cs="Times New Roman"/>
          <w:color w:val="000000" w:themeColor="text1"/>
          <w:sz w:val="24"/>
          <w:szCs w:val="24"/>
        </w:rPr>
      </w:pPr>
      <w:r w:rsidRPr="009878E6">
        <w:rPr>
          <w:rFonts w:ascii="Times New Roman" w:hAnsi="Times New Roman" w:cs="Times New Roman"/>
          <w:color w:val="000000" w:themeColor="text1"/>
          <w:sz w:val="24"/>
          <w:szCs w:val="24"/>
        </w:rPr>
        <w:t xml:space="preserve">The Federal Emergency Management Agency </w:t>
      </w:r>
      <w:bookmarkStart w:id="0" w:name="_Hlk112338343"/>
      <w:r w:rsidRPr="009878E6">
        <w:rPr>
          <w:rFonts w:ascii="Times New Roman" w:hAnsi="Times New Roman" w:cs="Times New Roman"/>
          <w:color w:val="000000" w:themeColor="text1"/>
          <w:sz w:val="24"/>
          <w:szCs w:val="24"/>
        </w:rPr>
        <w:t xml:space="preserve">(FEMA) </w:t>
      </w:r>
      <w:r w:rsidRPr="009878E6" w:rsidR="0020781B">
        <w:rPr>
          <w:rFonts w:ascii="Times New Roman" w:hAnsi="Times New Roman" w:cs="Times New Roman"/>
          <w:color w:val="000000" w:themeColor="text1"/>
          <w:sz w:val="24"/>
          <w:szCs w:val="24"/>
        </w:rPr>
        <w:t xml:space="preserve">is requesting a three-year clearance </w:t>
      </w:r>
      <w:r w:rsidRPr="009878E6" w:rsidR="00532273">
        <w:rPr>
          <w:rFonts w:ascii="Times New Roman" w:hAnsi="Times New Roman" w:cs="Times New Roman"/>
          <w:color w:val="000000" w:themeColor="text1"/>
          <w:sz w:val="24"/>
          <w:szCs w:val="24"/>
        </w:rPr>
        <w:t xml:space="preserve">to collect information from Floodplain Administrators </w:t>
      </w:r>
      <w:r w:rsidRPr="009878E6" w:rsidR="00591F84">
        <w:rPr>
          <w:rFonts w:ascii="Times New Roman" w:hAnsi="Times New Roman" w:cs="Times New Roman"/>
          <w:color w:val="000000" w:themeColor="text1"/>
          <w:sz w:val="24"/>
          <w:szCs w:val="24"/>
        </w:rPr>
        <w:t xml:space="preserve">(FPA) </w:t>
      </w:r>
      <w:r w:rsidRPr="009878E6" w:rsidR="00532273">
        <w:rPr>
          <w:rFonts w:ascii="Times New Roman" w:hAnsi="Times New Roman" w:cs="Times New Roman"/>
          <w:color w:val="000000" w:themeColor="text1"/>
          <w:sz w:val="24"/>
          <w:szCs w:val="24"/>
        </w:rPr>
        <w:t xml:space="preserve">regarding their training needs, floodplain management experiences, and demographics to </w:t>
      </w:r>
      <w:r w:rsidRPr="009878E6" w:rsidR="00D61EDA">
        <w:rPr>
          <w:rFonts w:ascii="Times New Roman" w:hAnsi="Times New Roman" w:cs="Times New Roman"/>
          <w:color w:val="000000" w:themeColor="text1"/>
          <w:sz w:val="24"/>
          <w:szCs w:val="24"/>
        </w:rPr>
        <w:t xml:space="preserve">increase equity </w:t>
      </w:r>
      <w:r w:rsidRPr="009878E6" w:rsidR="00D61EDA">
        <w:rPr>
          <w:rFonts w:ascii="Times New Roman" w:hAnsi="Times New Roman" w:cs="Times New Roman"/>
          <w:color w:val="000000" w:themeColor="text1"/>
          <w:sz w:val="24"/>
          <w:szCs w:val="24"/>
        </w:rPr>
        <w:t xml:space="preserve">among Floodplain Administrators and </w:t>
      </w:r>
      <w:r w:rsidRPr="009878E6" w:rsidR="00532273">
        <w:rPr>
          <w:rFonts w:ascii="Times New Roman" w:hAnsi="Times New Roman" w:cs="Times New Roman"/>
          <w:color w:val="000000" w:themeColor="text1"/>
          <w:sz w:val="24"/>
          <w:szCs w:val="24"/>
        </w:rPr>
        <w:t xml:space="preserve">produce improved outcomes for the National Flood Insurance Program (NFIP). The data will be used to help FEMA, </w:t>
      </w:r>
      <w:bookmarkStart w:id="1" w:name="_Hlk112143084"/>
      <w:r w:rsidRPr="009878E6" w:rsidR="00532273">
        <w:rPr>
          <w:rFonts w:ascii="Times New Roman" w:hAnsi="Times New Roman" w:cs="Times New Roman"/>
          <w:color w:val="000000" w:themeColor="text1"/>
          <w:sz w:val="24"/>
          <w:szCs w:val="24"/>
        </w:rPr>
        <w:t>State, Tribal, and Territorial NFIP Offices, and Floodplain Associations</w:t>
      </w:r>
      <w:bookmarkEnd w:id="1"/>
      <w:r w:rsidRPr="009878E6" w:rsidR="00532273">
        <w:rPr>
          <w:rFonts w:ascii="Times New Roman" w:hAnsi="Times New Roman" w:cs="Times New Roman"/>
          <w:color w:val="000000" w:themeColor="text1"/>
          <w:sz w:val="24"/>
          <w:szCs w:val="24"/>
        </w:rPr>
        <w:t xml:space="preserve"> to develop training strategies and solutions that effectively and efficiently address the diverse </w:t>
      </w:r>
      <w:r w:rsidRPr="009878E6" w:rsidR="00D61EDA">
        <w:rPr>
          <w:rFonts w:ascii="Times New Roman" w:hAnsi="Times New Roman" w:cs="Times New Roman"/>
          <w:color w:val="000000" w:themeColor="text1"/>
          <w:sz w:val="24"/>
          <w:szCs w:val="24"/>
        </w:rPr>
        <w:t xml:space="preserve">socio-economic backgrounds, </w:t>
      </w:r>
      <w:r w:rsidRPr="009878E6" w:rsidR="00532273">
        <w:rPr>
          <w:rFonts w:ascii="Times New Roman" w:hAnsi="Times New Roman" w:cs="Times New Roman"/>
          <w:color w:val="000000" w:themeColor="text1"/>
          <w:sz w:val="24"/>
          <w:szCs w:val="24"/>
        </w:rPr>
        <w:t>abilities, schedules, learning styles, geographies and resources</w:t>
      </w:r>
      <w:r w:rsidRPr="009878E6" w:rsidR="00E26689">
        <w:rPr>
          <w:rFonts w:ascii="Times New Roman" w:hAnsi="Times New Roman" w:cs="Times New Roman"/>
          <w:color w:val="000000" w:themeColor="text1"/>
          <w:sz w:val="24"/>
          <w:szCs w:val="24"/>
        </w:rPr>
        <w:t xml:space="preserve"> of</w:t>
      </w:r>
      <w:r w:rsidRPr="009878E6" w:rsidR="00532273">
        <w:rPr>
          <w:rFonts w:ascii="Times New Roman" w:hAnsi="Times New Roman" w:cs="Times New Roman"/>
          <w:color w:val="000000" w:themeColor="text1"/>
          <w:sz w:val="24"/>
          <w:szCs w:val="24"/>
        </w:rPr>
        <w:t xml:space="preserve"> </w:t>
      </w:r>
      <w:r w:rsidRPr="009878E6" w:rsidR="00557D1B">
        <w:rPr>
          <w:rFonts w:ascii="Times New Roman" w:hAnsi="Times New Roman" w:cs="Times New Roman"/>
          <w:color w:val="000000" w:themeColor="text1"/>
          <w:sz w:val="24"/>
          <w:szCs w:val="24"/>
        </w:rPr>
        <w:t>FPAs</w:t>
      </w:r>
      <w:r w:rsidRPr="009878E6" w:rsidR="00532273">
        <w:rPr>
          <w:rFonts w:ascii="Times New Roman" w:hAnsi="Times New Roman" w:cs="Times New Roman"/>
          <w:color w:val="000000" w:themeColor="text1"/>
          <w:sz w:val="24"/>
          <w:szCs w:val="24"/>
        </w:rPr>
        <w:t xml:space="preserve"> </w:t>
      </w:r>
      <w:r w:rsidRPr="009878E6" w:rsidR="00E26689">
        <w:rPr>
          <w:rFonts w:ascii="Times New Roman" w:hAnsi="Times New Roman" w:cs="Times New Roman"/>
          <w:color w:val="000000" w:themeColor="text1"/>
          <w:sz w:val="24"/>
          <w:szCs w:val="24"/>
        </w:rPr>
        <w:t xml:space="preserve">who implement this Federal Government program on behalf of their local communities. The information collection, to be administered by an independent, </w:t>
      </w:r>
      <w:r w:rsidRPr="009878E6" w:rsidR="00845F16">
        <w:rPr>
          <w:rFonts w:ascii="Times New Roman" w:hAnsi="Times New Roman" w:cs="Times New Roman"/>
          <w:color w:val="000000" w:themeColor="text1"/>
          <w:sz w:val="24"/>
          <w:szCs w:val="24"/>
        </w:rPr>
        <w:t>third-party</w:t>
      </w:r>
      <w:r w:rsidRPr="009878E6" w:rsidR="00E26689">
        <w:rPr>
          <w:rFonts w:ascii="Times New Roman" w:hAnsi="Times New Roman" w:cs="Times New Roman"/>
          <w:color w:val="000000" w:themeColor="text1"/>
          <w:sz w:val="24"/>
          <w:szCs w:val="24"/>
        </w:rPr>
        <w:t xml:space="preserve"> research organization, will allow for a data-informed approach to understanding </w:t>
      </w:r>
      <w:r w:rsidRPr="009878E6" w:rsidR="00C00682">
        <w:rPr>
          <w:rFonts w:ascii="Times New Roman" w:hAnsi="Times New Roman" w:cs="Times New Roman"/>
          <w:color w:val="000000" w:themeColor="text1"/>
          <w:sz w:val="24"/>
          <w:szCs w:val="24"/>
        </w:rPr>
        <w:t xml:space="preserve">the needs and expectations of an important and specific group of FEMA partners and customers for their development and program administration. </w:t>
      </w:r>
      <w:bookmarkStart w:id="2" w:name="_Hlk112854800"/>
      <w:r w:rsidRPr="009878E6" w:rsidR="00C00682">
        <w:rPr>
          <w:rFonts w:ascii="Times New Roman" w:hAnsi="Times New Roman" w:cs="Times New Roman"/>
          <w:color w:val="000000" w:themeColor="text1"/>
          <w:sz w:val="24"/>
          <w:szCs w:val="24"/>
        </w:rPr>
        <w:t xml:space="preserve">By using this approach, FEMA will be able to gain important insights about </w:t>
      </w:r>
      <w:r w:rsidRPr="009878E6" w:rsidR="00557D1B">
        <w:rPr>
          <w:rFonts w:ascii="Times New Roman" w:hAnsi="Times New Roman" w:cs="Times New Roman"/>
          <w:color w:val="000000" w:themeColor="text1"/>
          <w:sz w:val="24"/>
          <w:szCs w:val="24"/>
        </w:rPr>
        <w:t>FPAs</w:t>
      </w:r>
      <w:r w:rsidRPr="009878E6" w:rsidR="00C00682">
        <w:rPr>
          <w:rFonts w:ascii="Times New Roman" w:hAnsi="Times New Roman" w:cs="Times New Roman"/>
          <w:color w:val="000000" w:themeColor="text1"/>
          <w:sz w:val="24"/>
          <w:szCs w:val="24"/>
        </w:rPr>
        <w:t xml:space="preserve"> and how to improve its offerings and support </w:t>
      </w:r>
      <w:r w:rsidRPr="009878E6">
        <w:rPr>
          <w:rFonts w:ascii="Times New Roman" w:hAnsi="Times New Roman" w:cs="Times New Roman"/>
          <w:color w:val="000000" w:themeColor="text1"/>
          <w:sz w:val="24"/>
          <w:szCs w:val="24"/>
        </w:rPr>
        <w:t>as well as to allocate resources more effectively. T</w:t>
      </w:r>
      <w:r w:rsidRPr="009878E6" w:rsidR="0020781B">
        <w:rPr>
          <w:rFonts w:ascii="Times New Roman" w:hAnsi="Times New Roman" w:cs="Times New Roman"/>
          <w:color w:val="000000" w:themeColor="text1"/>
          <w:sz w:val="24"/>
          <w:szCs w:val="24"/>
        </w:rPr>
        <w:t xml:space="preserve">he ultimate objective is to </w:t>
      </w:r>
      <w:r w:rsidRPr="009878E6" w:rsidR="00845F16">
        <w:rPr>
          <w:rFonts w:ascii="Times New Roman" w:hAnsi="Times New Roman" w:cs="Times New Roman"/>
          <w:color w:val="000000" w:themeColor="text1"/>
          <w:sz w:val="24"/>
          <w:szCs w:val="24"/>
        </w:rPr>
        <w:t xml:space="preserve">reduce the socio-economic impact of floods through </w:t>
      </w:r>
      <w:r w:rsidRPr="009878E6">
        <w:rPr>
          <w:rFonts w:ascii="Times New Roman" w:hAnsi="Times New Roman" w:cs="Times New Roman"/>
          <w:color w:val="000000" w:themeColor="text1"/>
          <w:sz w:val="24"/>
          <w:szCs w:val="24"/>
        </w:rPr>
        <w:t>better prepar</w:t>
      </w:r>
      <w:r w:rsidRPr="009878E6" w:rsidR="00845F16">
        <w:rPr>
          <w:rFonts w:ascii="Times New Roman" w:hAnsi="Times New Roman" w:cs="Times New Roman"/>
          <w:color w:val="000000" w:themeColor="text1"/>
          <w:sz w:val="24"/>
          <w:szCs w:val="24"/>
        </w:rPr>
        <w:t>ation of</w:t>
      </w:r>
      <w:r w:rsidRPr="009878E6">
        <w:rPr>
          <w:rFonts w:ascii="Times New Roman" w:hAnsi="Times New Roman" w:cs="Times New Roman"/>
          <w:color w:val="000000" w:themeColor="text1"/>
          <w:sz w:val="24"/>
          <w:szCs w:val="24"/>
        </w:rPr>
        <w:t xml:space="preserve"> </w:t>
      </w:r>
      <w:r w:rsidRPr="009878E6" w:rsidR="00557D1B">
        <w:rPr>
          <w:rFonts w:ascii="Times New Roman" w:hAnsi="Times New Roman" w:cs="Times New Roman"/>
          <w:color w:val="000000" w:themeColor="text1"/>
          <w:sz w:val="24"/>
          <w:szCs w:val="24"/>
        </w:rPr>
        <w:t>FPAs</w:t>
      </w:r>
      <w:r w:rsidRPr="009878E6">
        <w:rPr>
          <w:rFonts w:ascii="Times New Roman" w:hAnsi="Times New Roman" w:cs="Times New Roman"/>
          <w:color w:val="000000" w:themeColor="text1"/>
          <w:sz w:val="24"/>
          <w:szCs w:val="24"/>
        </w:rPr>
        <w:t xml:space="preserve"> to assist </w:t>
      </w:r>
      <w:r w:rsidRPr="009878E6" w:rsidR="00845F16">
        <w:rPr>
          <w:rFonts w:ascii="Times New Roman" w:hAnsi="Times New Roman" w:cs="Times New Roman"/>
          <w:color w:val="000000" w:themeColor="text1"/>
          <w:sz w:val="24"/>
          <w:szCs w:val="24"/>
        </w:rPr>
        <w:t>communities adopt and enforce floodplain management regulations that help mitigate flooding effects and thus support property owners, renters, and businesses to recover faster after a flooding event.</w:t>
      </w:r>
      <w:bookmarkEnd w:id="2"/>
    </w:p>
    <w:bookmarkEnd w:id="0"/>
    <w:p w:rsidR="00983130" w:rsidRPr="009878E6" w:rsidP="009878E6" w14:paraId="4BAB3C83" w14:textId="2B1CCAC1">
      <w:pPr>
        <w:contextualSpacing/>
        <w:rPr>
          <w:rFonts w:ascii="Times New Roman" w:hAnsi="Times New Roman" w:cs="Times New Roman"/>
          <w:color w:val="000000" w:themeColor="text1"/>
          <w:sz w:val="24"/>
          <w:szCs w:val="24"/>
        </w:rPr>
      </w:pPr>
      <w:r w:rsidRPr="009878E6">
        <w:rPr>
          <w:rFonts w:ascii="Times New Roman" w:hAnsi="Times New Roman" w:cs="Times New Roman"/>
          <w:color w:val="000000" w:themeColor="text1"/>
          <w:sz w:val="24"/>
          <w:szCs w:val="24"/>
        </w:rPr>
        <w:t>The</w:t>
      </w:r>
      <w:r w:rsidRPr="009878E6" w:rsidR="00D17305">
        <w:rPr>
          <w:rFonts w:ascii="Times New Roman" w:hAnsi="Times New Roman" w:cs="Times New Roman"/>
          <w:color w:val="000000" w:themeColor="text1"/>
          <w:sz w:val="24"/>
          <w:szCs w:val="24"/>
        </w:rPr>
        <w:t>re are three drivers</w:t>
      </w:r>
      <w:r w:rsidRPr="009878E6">
        <w:rPr>
          <w:rFonts w:ascii="Times New Roman" w:hAnsi="Times New Roman" w:cs="Times New Roman"/>
          <w:color w:val="000000" w:themeColor="text1"/>
          <w:sz w:val="24"/>
          <w:szCs w:val="24"/>
        </w:rPr>
        <w:t xml:space="preserve"> that make an assessment of the training needs of the nation’s FPAs by FEMA </w:t>
      </w:r>
      <w:r w:rsidRPr="009878E6" w:rsidR="00D17305">
        <w:rPr>
          <w:rFonts w:ascii="Times New Roman" w:hAnsi="Times New Roman" w:cs="Times New Roman"/>
          <w:color w:val="000000" w:themeColor="text1"/>
          <w:sz w:val="24"/>
          <w:szCs w:val="24"/>
        </w:rPr>
        <w:t>necessary. These are</w:t>
      </w:r>
      <w:r w:rsidRPr="009878E6">
        <w:rPr>
          <w:rFonts w:ascii="Times New Roman" w:hAnsi="Times New Roman" w:cs="Times New Roman"/>
          <w:color w:val="000000" w:themeColor="text1"/>
          <w:sz w:val="24"/>
          <w:szCs w:val="24"/>
        </w:rPr>
        <w:t>:</w:t>
      </w:r>
    </w:p>
    <w:p w:rsidR="001E404C" w:rsidRPr="009878E6" w:rsidP="009878E6" w14:paraId="5BA632C6" w14:textId="3B4EA8D6">
      <w:pPr>
        <w:pStyle w:val="ListParagraph"/>
        <w:numPr>
          <w:ilvl w:val="0"/>
          <w:numId w:val="5"/>
        </w:numPr>
        <w:rPr>
          <w:rFonts w:ascii="Times New Roman" w:hAnsi="Times New Roman" w:cs="Times New Roman"/>
          <w:color w:val="000000" w:themeColor="text1"/>
          <w:sz w:val="24"/>
          <w:szCs w:val="24"/>
        </w:rPr>
      </w:pPr>
      <w:r w:rsidRPr="009878E6">
        <w:rPr>
          <w:rFonts w:ascii="Times New Roman" w:hAnsi="Times New Roman" w:cs="Times New Roman"/>
          <w:i/>
          <w:iCs/>
          <w:color w:val="000000" w:themeColor="text1"/>
          <w:sz w:val="24"/>
          <w:szCs w:val="24"/>
        </w:rPr>
        <w:t>The need to mitigate and reduce damage from i</w:t>
      </w:r>
      <w:r w:rsidRPr="009878E6" w:rsidR="00033A27">
        <w:rPr>
          <w:rFonts w:ascii="Times New Roman" w:hAnsi="Times New Roman" w:cs="Times New Roman"/>
          <w:i/>
          <w:iCs/>
          <w:color w:val="000000" w:themeColor="text1"/>
          <w:sz w:val="24"/>
          <w:szCs w:val="24"/>
        </w:rPr>
        <w:t>ncreas</w:t>
      </w:r>
      <w:r w:rsidRPr="009878E6" w:rsidR="0030073F">
        <w:rPr>
          <w:rFonts w:ascii="Times New Roman" w:hAnsi="Times New Roman" w:cs="Times New Roman"/>
          <w:i/>
          <w:iCs/>
          <w:color w:val="000000" w:themeColor="text1"/>
          <w:sz w:val="24"/>
          <w:szCs w:val="24"/>
        </w:rPr>
        <w:t>ing floods</w:t>
      </w:r>
      <w:r w:rsidRPr="009878E6" w:rsidR="00033A27">
        <w:rPr>
          <w:rFonts w:ascii="Times New Roman" w:hAnsi="Times New Roman" w:cs="Times New Roman"/>
          <w:color w:val="000000" w:themeColor="text1"/>
          <w:sz w:val="24"/>
          <w:szCs w:val="24"/>
        </w:rPr>
        <w:t>. Floods can happen anywhere — just one inch of floodwater can cause up to $25,000 in damage.</w:t>
      </w:r>
      <w:r>
        <w:rPr>
          <w:rStyle w:val="FootnoteReference"/>
          <w:rFonts w:ascii="Times New Roman" w:hAnsi="Times New Roman" w:cs="Times New Roman"/>
          <w:color w:val="000000" w:themeColor="text1"/>
          <w:sz w:val="24"/>
          <w:szCs w:val="24"/>
        </w:rPr>
        <w:footnoteReference w:id="3"/>
      </w:r>
      <w:r w:rsidRPr="009878E6" w:rsidR="00033A27">
        <w:rPr>
          <w:rFonts w:ascii="Times New Roman" w:hAnsi="Times New Roman" w:cs="Times New Roman"/>
          <w:color w:val="000000" w:themeColor="text1"/>
          <w:sz w:val="24"/>
          <w:szCs w:val="24"/>
        </w:rPr>
        <w:t xml:space="preserve"> According to the National Climate Assessment, heavy downpours have increased in frequency and intensity worldwide in the last 50 years. </w:t>
      </w:r>
      <w:r w:rsidRPr="009878E6" w:rsidR="000F4356">
        <w:rPr>
          <w:rFonts w:ascii="Times New Roman" w:hAnsi="Times New Roman" w:cs="Times New Roman"/>
          <w:color w:val="000000" w:themeColor="text1"/>
          <w:sz w:val="24"/>
          <w:szCs w:val="24"/>
        </w:rPr>
        <w:t>Extreme precipitation events</w:t>
      </w:r>
      <w:r w:rsidRPr="009878E6" w:rsidR="00033A27">
        <w:rPr>
          <w:rFonts w:ascii="Times New Roman" w:hAnsi="Times New Roman" w:cs="Times New Roman"/>
          <w:color w:val="000000" w:themeColor="text1"/>
          <w:sz w:val="24"/>
          <w:szCs w:val="24"/>
        </w:rPr>
        <w:t xml:space="preserve"> are expected to become more frequent and intense</w:t>
      </w:r>
      <w:r w:rsidRPr="009878E6" w:rsidR="000F4356">
        <w:rPr>
          <w:rFonts w:ascii="Times New Roman" w:hAnsi="Times New Roman" w:cs="Times New Roman"/>
          <w:color w:val="000000" w:themeColor="text1"/>
          <w:sz w:val="24"/>
          <w:szCs w:val="24"/>
        </w:rPr>
        <w:t xml:space="preserve"> leading to more severe floods and greater risk of infrastructure failure</w:t>
      </w:r>
      <w:r w:rsidRPr="009878E6" w:rsidR="00033A27">
        <w:rPr>
          <w:rFonts w:ascii="Times New Roman" w:hAnsi="Times New Roman" w:cs="Times New Roman"/>
          <w:color w:val="000000" w:themeColor="text1"/>
          <w:sz w:val="24"/>
          <w:szCs w:val="24"/>
        </w:rPr>
        <w:t xml:space="preserve"> as global temperatures continue to rise.</w:t>
      </w:r>
      <w:r>
        <w:rPr>
          <w:rStyle w:val="FootnoteReference"/>
          <w:rFonts w:ascii="Times New Roman" w:hAnsi="Times New Roman" w:cs="Times New Roman"/>
          <w:color w:val="000000" w:themeColor="text1"/>
          <w:sz w:val="24"/>
          <w:szCs w:val="24"/>
        </w:rPr>
        <w:footnoteReference w:id="4"/>
      </w:r>
      <w:r w:rsidRPr="009878E6" w:rsidR="00033A27">
        <w:rPr>
          <w:rFonts w:ascii="Times New Roman" w:hAnsi="Times New Roman" w:cs="Times New Roman"/>
          <w:color w:val="000000" w:themeColor="text1"/>
          <w:sz w:val="24"/>
          <w:szCs w:val="24"/>
        </w:rPr>
        <w:t xml:space="preserve"> The average 100-year floodplain is projected to increase 45 percent by the year 2100, while the annual damages from flooding are predicted to increase by $750 million.</w:t>
      </w:r>
      <w:r>
        <w:rPr>
          <w:rStyle w:val="FootnoteReference"/>
          <w:rFonts w:ascii="Times New Roman" w:hAnsi="Times New Roman" w:cs="Times New Roman"/>
          <w:color w:val="000000" w:themeColor="text1"/>
          <w:sz w:val="24"/>
          <w:szCs w:val="24"/>
        </w:rPr>
        <w:footnoteReference w:id="5"/>
      </w:r>
      <w:r w:rsidRPr="009878E6" w:rsidR="00033A27">
        <w:rPr>
          <w:rFonts w:ascii="Times New Roman" w:hAnsi="Times New Roman" w:cs="Times New Roman"/>
          <w:color w:val="000000" w:themeColor="text1"/>
          <w:sz w:val="24"/>
          <w:szCs w:val="24"/>
        </w:rPr>
        <w:t xml:space="preserve"> Among the types of flooding that will likely become more frequent are localized floods and riverine floods.</w:t>
      </w:r>
      <w:r>
        <w:rPr>
          <w:rStyle w:val="FootnoteReference"/>
          <w:rFonts w:ascii="Times New Roman" w:hAnsi="Times New Roman" w:cs="Times New Roman"/>
          <w:color w:val="000000" w:themeColor="text1"/>
          <w:sz w:val="24"/>
          <w:szCs w:val="24"/>
        </w:rPr>
        <w:footnoteReference w:id="6"/>
      </w:r>
      <w:r w:rsidRPr="009878E6" w:rsidR="00033A27">
        <w:rPr>
          <w:rFonts w:ascii="Times New Roman" w:hAnsi="Times New Roman" w:cs="Times New Roman"/>
          <w:color w:val="000000" w:themeColor="text1"/>
          <w:sz w:val="24"/>
          <w:szCs w:val="24"/>
        </w:rPr>
        <w:t xml:space="preserve"> Most homeowners insurance does not cover flood damage. Flood insurance is a separate policy that can cover buildings, the contents in a building, or both, so it is important to protect </w:t>
      </w:r>
      <w:r w:rsidRPr="009878E6">
        <w:rPr>
          <w:rFonts w:ascii="Times New Roman" w:hAnsi="Times New Roman" w:cs="Times New Roman"/>
          <w:color w:val="000000" w:themeColor="text1"/>
          <w:sz w:val="24"/>
          <w:szCs w:val="24"/>
        </w:rPr>
        <w:t>these</w:t>
      </w:r>
      <w:r w:rsidRPr="009878E6" w:rsidR="00033A27">
        <w:rPr>
          <w:rFonts w:ascii="Times New Roman" w:hAnsi="Times New Roman" w:cs="Times New Roman"/>
          <w:color w:val="000000" w:themeColor="text1"/>
          <w:sz w:val="24"/>
          <w:szCs w:val="24"/>
        </w:rPr>
        <w:t xml:space="preserve"> financial assets</w:t>
      </w:r>
      <w:r w:rsidRPr="009878E6">
        <w:rPr>
          <w:rFonts w:ascii="Times New Roman" w:hAnsi="Times New Roman" w:cs="Times New Roman"/>
          <w:color w:val="000000" w:themeColor="text1"/>
          <w:sz w:val="24"/>
          <w:szCs w:val="24"/>
        </w:rPr>
        <w:t xml:space="preserve"> including, homes, </w:t>
      </w:r>
      <w:r w:rsidRPr="009878E6" w:rsidR="0030073F">
        <w:rPr>
          <w:rFonts w:ascii="Times New Roman" w:hAnsi="Times New Roman" w:cs="Times New Roman"/>
          <w:color w:val="000000" w:themeColor="text1"/>
          <w:sz w:val="24"/>
          <w:szCs w:val="24"/>
        </w:rPr>
        <w:t>businesses,</w:t>
      </w:r>
      <w:r w:rsidRPr="009878E6">
        <w:rPr>
          <w:rFonts w:ascii="Times New Roman" w:hAnsi="Times New Roman" w:cs="Times New Roman"/>
          <w:color w:val="000000" w:themeColor="text1"/>
          <w:sz w:val="24"/>
          <w:szCs w:val="24"/>
        </w:rPr>
        <w:t xml:space="preserve"> and possessions.</w:t>
      </w:r>
    </w:p>
    <w:p w:rsidR="001E404C" w:rsidRPr="009878E6" w:rsidP="009878E6" w14:paraId="31EEAA0C" w14:textId="77777777">
      <w:pPr>
        <w:pStyle w:val="ListParagraph"/>
        <w:ind w:left="360"/>
        <w:rPr>
          <w:rFonts w:ascii="Times New Roman" w:hAnsi="Times New Roman" w:cs="Times New Roman"/>
          <w:color w:val="000000" w:themeColor="text1"/>
          <w:sz w:val="24"/>
          <w:szCs w:val="24"/>
        </w:rPr>
      </w:pPr>
    </w:p>
    <w:p w:rsidR="00114B9A" w:rsidRPr="009878E6" w:rsidP="009878E6" w14:paraId="6A4E25C8" w14:textId="0C81B60E">
      <w:pPr>
        <w:pStyle w:val="ListParagraph"/>
        <w:ind w:left="360"/>
        <w:rPr>
          <w:rFonts w:ascii="Times New Roman" w:hAnsi="Times New Roman" w:cs="Times New Roman"/>
          <w:color w:val="000000" w:themeColor="text1"/>
          <w:sz w:val="24"/>
          <w:szCs w:val="24"/>
        </w:rPr>
      </w:pPr>
      <w:r w:rsidRPr="009878E6">
        <w:rPr>
          <w:rFonts w:ascii="Times New Roman" w:hAnsi="Times New Roman" w:cs="Times New Roman"/>
          <w:color w:val="000000" w:themeColor="text1"/>
          <w:sz w:val="24"/>
          <w:szCs w:val="24"/>
        </w:rPr>
        <w:t>The NFIP is authorized by the National Flood Insurance Act of 1968 (Title XIII of P.L. 90-448, as amended, 42 U.S.C. §§</w:t>
      </w:r>
      <w:r w:rsidR="0050166E">
        <w:rPr>
          <w:rFonts w:ascii="Times New Roman" w:hAnsi="Times New Roman" w:cs="Times New Roman"/>
          <w:color w:val="000000" w:themeColor="text1"/>
          <w:sz w:val="24"/>
          <w:szCs w:val="24"/>
        </w:rPr>
        <w:t xml:space="preserve"> </w:t>
      </w:r>
      <w:r w:rsidRPr="009878E6">
        <w:rPr>
          <w:rFonts w:ascii="Times New Roman" w:hAnsi="Times New Roman" w:cs="Times New Roman"/>
          <w:color w:val="000000" w:themeColor="text1"/>
          <w:sz w:val="24"/>
          <w:szCs w:val="24"/>
        </w:rPr>
        <w:t xml:space="preserve">4001 et seq.). </w:t>
      </w:r>
      <w:r w:rsidRPr="009878E6" w:rsidR="2CEC6B0A">
        <w:rPr>
          <w:rFonts w:ascii="Times New Roman" w:hAnsi="Times New Roman" w:cs="Times New Roman"/>
          <w:color w:val="000000" w:themeColor="text1"/>
          <w:sz w:val="24"/>
          <w:szCs w:val="24"/>
        </w:rPr>
        <w:t xml:space="preserve">The last long-term reauthorization of the NFIP was by the Biggert-Waters Flood Insurance Reform Act of 2012. Congress amended elements of Biggert-Waters Act, but did not extend the NFIP’s authorization further, in the Homeowner Flood Insurance Affordability Act of 2014 (HFIAA). </w:t>
      </w:r>
      <w:r w:rsidRPr="009878E6" w:rsidR="16A6CAF8">
        <w:rPr>
          <w:rFonts w:ascii="Times New Roman" w:hAnsi="Times New Roman" w:cs="Times New Roman"/>
          <w:color w:val="000000" w:themeColor="text1"/>
          <w:sz w:val="24"/>
          <w:szCs w:val="24"/>
        </w:rPr>
        <w:t>The general purpose of the NFIP is</w:t>
      </w:r>
      <w:r w:rsidRPr="009878E6" w:rsidR="26DCF9C7">
        <w:rPr>
          <w:rFonts w:ascii="Times New Roman" w:hAnsi="Times New Roman" w:cs="Times New Roman"/>
          <w:color w:val="000000" w:themeColor="text1"/>
          <w:sz w:val="24"/>
          <w:szCs w:val="24"/>
        </w:rPr>
        <w:t xml:space="preserve"> to create a </w:t>
      </w:r>
      <w:r w:rsidRPr="009878E6" w:rsidR="51A17E59">
        <w:rPr>
          <w:rFonts w:ascii="Times New Roman" w:hAnsi="Times New Roman" w:cs="Times New Roman"/>
          <w:color w:val="000000" w:themeColor="text1"/>
          <w:sz w:val="24"/>
          <w:szCs w:val="24"/>
        </w:rPr>
        <w:t xml:space="preserve">voluntary </w:t>
      </w:r>
      <w:r w:rsidRPr="009878E6" w:rsidR="26DCF9C7">
        <w:rPr>
          <w:rFonts w:ascii="Times New Roman" w:hAnsi="Times New Roman" w:cs="Times New Roman"/>
          <w:color w:val="000000" w:themeColor="text1"/>
          <w:sz w:val="24"/>
          <w:szCs w:val="24"/>
        </w:rPr>
        <w:t xml:space="preserve">program of flood insurance that can promote the public interest by providing appropriate protection against the perils of flood losses and encouraging sound land use by minimizing exposure of property to flood losses; and integrate the objectives of a flood insurance program. This is </w:t>
      </w:r>
      <w:r w:rsidRPr="009878E6" w:rsidR="4618231A">
        <w:rPr>
          <w:rFonts w:ascii="Times New Roman" w:hAnsi="Times New Roman" w:cs="Times New Roman"/>
          <w:color w:val="000000" w:themeColor="text1"/>
          <w:sz w:val="24"/>
          <w:szCs w:val="24"/>
        </w:rPr>
        <w:t xml:space="preserve">achieved by </w:t>
      </w:r>
      <w:r w:rsidRPr="009878E6" w:rsidR="2CE0286B">
        <w:rPr>
          <w:rFonts w:ascii="Times New Roman" w:hAnsi="Times New Roman" w:cs="Times New Roman"/>
          <w:color w:val="000000" w:themeColor="text1"/>
          <w:sz w:val="24"/>
          <w:szCs w:val="24"/>
        </w:rPr>
        <w:t xml:space="preserve">first identifying risks within a community, then community adoption and enforcement of floodplain management standards </w:t>
      </w:r>
      <w:r w:rsidRPr="009878E6" w:rsidR="7A073C1B">
        <w:rPr>
          <w:rFonts w:ascii="Times New Roman" w:hAnsi="Times New Roman" w:cs="Times New Roman"/>
          <w:color w:val="000000" w:themeColor="text1"/>
          <w:sz w:val="24"/>
          <w:szCs w:val="24"/>
        </w:rPr>
        <w:t>that at minimum, reflect</w:t>
      </w:r>
      <w:r w:rsidRPr="009878E6" w:rsidR="6581DEF8">
        <w:rPr>
          <w:rFonts w:ascii="Times New Roman" w:hAnsi="Times New Roman" w:cs="Times New Roman"/>
          <w:color w:val="000000" w:themeColor="text1"/>
          <w:sz w:val="24"/>
          <w:szCs w:val="24"/>
        </w:rPr>
        <w:t xml:space="preserve"> FEMA’s minimum criteria for floodplain management, which then allow</w:t>
      </w:r>
      <w:r w:rsidRPr="009878E6" w:rsidR="7AD96C85">
        <w:rPr>
          <w:rFonts w:ascii="Times New Roman" w:hAnsi="Times New Roman" w:cs="Times New Roman"/>
          <w:color w:val="000000" w:themeColor="text1"/>
          <w:sz w:val="24"/>
          <w:szCs w:val="24"/>
        </w:rPr>
        <w:t>s FEMA to offer federally backed flood insurance in that community.</w:t>
      </w:r>
      <w:r w:rsidRPr="009878E6" w:rsidR="7A073C1B">
        <w:rPr>
          <w:rFonts w:ascii="Times New Roman" w:hAnsi="Times New Roman" w:cs="Times New Roman"/>
          <w:color w:val="000000" w:themeColor="text1"/>
          <w:sz w:val="24"/>
          <w:szCs w:val="24"/>
        </w:rPr>
        <w:t xml:space="preserve"> </w:t>
      </w:r>
      <w:r w:rsidRPr="009878E6" w:rsidR="2775E770">
        <w:rPr>
          <w:rFonts w:ascii="Times New Roman" w:hAnsi="Times New Roman" w:cs="Times New Roman"/>
          <w:color w:val="000000" w:themeColor="text1"/>
          <w:sz w:val="24"/>
          <w:szCs w:val="24"/>
        </w:rPr>
        <w:t>Nationally, as</w:t>
      </w:r>
      <w:r w:rsidRPr="009878E6" w:rsidR="506C452D">
        <w:rPr>
          <w:rFonts w:ascii="Times New Roman" w:hAnsi="Times New Roman" w:cs="Times New Roman"/>
          <w:color w:val="000000" w:themeColor="text1"/>
          <w:sz w:val="24"/>
          <w:szCs w:val="24"/>
        </w:rPr>
        <w:t xml:space="preserve"> </w:t>
      </w:r>
      <w:r w:rsidRPr="009878E6" w:rsidR="2775E770">
        <w:rPr>
          <w:rFonts w:ascii="Times New Roman" w:hAnsi="Times New Roman" w:cs="Times New Roman"/>
          <w:color w:val="000000" w:themeColor="text1"/>
          <w:sz w:val="24"/>
          <w:szCs w:val="24"/>
        </w:rPr>
        <w:t>of December 2021, over 22,000 communities in 56 states and jurisdictions participate in the NFIP.</w:t>
      </w:r>
      <w:r w:rsidRPr="009878E6" w:rsidR="50A8D8BF">
        <w:rPr>
          <w:rFonts w:ascii="Times New Roman" w:hAnsi="Times New Roman" w:cs="Times New Roman"/>
          <w:color w:val="000000" w:themeColor="text1"/>
          <w:sz w:val="24"/>
          <w:szCs w:val="24"/>
        </w:rPr>
        <w:t xml:space="preserve">  NFIP regulations, which include definitions, a description of the program, and eligibility requirements is contained in 44 CFR 59.</w:t>
      </w:r>
    </w:p>
    <w:p w:rsidR="00114B9A" w:rsidRPr="009878E6" w:rsidP="009878E6" w14:paraId="1B632FD5" w14:textId="77777777">
      <w:pPr>
        <w:pStyle w:val="ListParagraph"/>
        <w:ind w:left="360"/>
        <w:rPr>
          <w:rFonts w:ascii="Times New Roman" w:hAnsi="Times New Roman" w:cs="Times New Roman"/>
          <w:color w:val="000000" w:themeColor="text1"/>
          <w:sz w:val="24"/>
          <w:szCs w:val="24"/>
        </w:rPr>
      </w:pPr>
    </w:p>
    <w:p w:rsidR="001E404C" w:rsidRPr="009878E6" w:rsidP="009878E6" w14:paraId="5A889758" w14:textId="2643F77A">
      <w:pPr>
        <w:pStyle w:val="ListParagraph"/>
        <w:ind w:left="360"/>
        <w:rPr>
          <w:rFonts w:ascii="Times New Roman" w:hAnsi="Times New Roman" w:cs="Times New Roman"/>
          <w:color w:val="000000" w:themeColor="text1"/>
          <w:sz w:val="24"/>
          <w:szCs w:val="24"/>
        </w:rPr>
      </w:pPr>
      <w:r w:rsidRPr="009878E6">
        <w:rPr>
          <w:rFonts w:ascii="Times New Roman" w:hAnsi="Times New Roman" w:cs="Times New Roman"/>
          <w:color w:val="000000" w:themeColor="text1"/>
          <w:sz w:val="24"/>
          <w:szCs w:val="24"/>
        </w:rPr>
        <w:t>The NFIP is managed by FEMA, through its subcomponent the Federal Insurance and Mitigation Administration (FIMA). FEMA manages a Risk Mapping, Assessment and Planning (Risk MAP) process to produce Flood Insurance Rate Maps (FIRMs). Depicted on FIRMs are Special Flood Hazard Areas (SFHAs), which are areas</w:t>
      </w:r>
      <w:r w:rsidRPr="009878E6" w:rsidR="2775E770">
        <w:rPr>
          <w:rFonts w:ascii="Times New Roman" w:hAnsi="Times New Roman" w:cs="Times New Roman"/>
          <w:color w:val="000000" w:themeColor="text1"/>
          <w:sz w:val="24"/>
          <w:szCs w:val="24"/>
        </w:rPr>
        <w:t xml:space="preserve"> </w:t>
      </w:r>
      <w:r w:rsidRPr="009878E6">
        <w:rPr>
          <w:rFonts w:ascii="Times New Roman" w:hAnsi="Times New Roman" w:cs="Times New Roman"/>
          <w:color w:val="000000" w:themeColor="text1"/>
          <w:sz w:val="24"/>
          <w:szCs w:val="24"/>
        </w:rPr>
        <w:t xml:space="preserve">exposed to a 1% or greater risk of annual flooding. The Risk MAP process provides extensive outreach and appeal opportunities for communities. Updating a community’s FIRMs can take three to five years or more. Participating communities must adopt a flood map and minimum floodplain standards to regulate development in the SFHA. </w:t>
      </w:r>
    </w:p>
    <w:p w:rsidR="00114B9A" w:rsidRPr="009878E6" w:rsidP="009878E6" w14:paraId="7E765AB8" w14:textId="77777777">
      <w:pPr>
        <w:pStyle w:val="ListParagraph"/>
        <w:ind w:left="360"/>
        <w:rPr>
          <w:rFonts w:ascii="Times New Roman" w:hAnsi="Times New Roman" w:cs="Times New Roman"/>
          <w:color w:val="000000" w:themeColor="text1"/>
          <w:sz w:val="24"/>
          <w:szCs w:val="24"/>
        </w:rPr>
      </w:pPr>
    </w:p>
    <w:p w:rsidR="00114B9A" w:rsidRPr="009878E6" w:rsidP="009878E6" w14:paraId="335128BD" w14:textId="75A896AE">
      <w:pPr>
        <w:pStyle w:val="ListParagraph"/>
        <w:numPr>
          <w:ilvl w:val="0"/>
          <w:numId w:val="5"/>
        </w:numPr>
        <w:rPr>
          <w:rFonts w:ascii="Times New Roman" w:hAnsi="Times New Roman" w:cs="Times New Roman"/>
          <w:color w:val="000000" w:themeColor="text1"/>
          <w:sz w:val="24"/>
          <w:szCs w:val="24"/>
        </w:rPr>
      </w:pPr>
      <w:r w:rsidRPr="009878E6">
        <w:rPr>
          <w:rFonts w:ascii="Times New Roman" w:hAnsi="Times New Roman" w:cs="Times New Roman"/>
          <w:i/>
          <w:iCs/>
          <w:color w:val="000000" w:themeColor="text1"/>
          <w:sz w:val="24"/>
          <w:szCs w:val="24"/>
        </w:rPr>
        <w:t>Diversity of F</w:t>
      </w:r>
      <w:r w:rsidRPr="009878E6" w:rsidR="2775E770">
        <w:rPr>
          <w:rFonts w:ascii="Times New Roman" w:hAnsi="Times New Roman" w:cs="Times New Roman"/>
          <w:i/>
          <w:iCs/>
          <w:color w:val="000000" w:themeColor="text1"/>
          <w:sz w:val="24"/>
          <w:szCs w:val="24"/>
        </w:rPr>
        <w:t>loodplain Administrators (F</w:t>
      </w:r>
      <w:r w:rsidRPr="009878E6">
        <w:rPr>
          <w:rFonts w:ascii="Times New Roman" w:hAnsi="Times New Roman" w:cs="Times New Roman"/>
          <w:i/>
          <w:iCs/>
          <w:color w:val="000000" w:themeColor="text1"/>
          <w:sz w:val="24"/>
          <w:szCs w:val="24"/>
        </w:rPr>
        <w:t>PAs</w:t>
      </w:r>
      <w:r w:rsidRPr="009878E6" w:rsidR="2775E770">
        <w:rPr>
          <w:rFonts w:ascii="Times New Roman" w:hAnsi="Times New Roman" w:cs="Times New Roman"/>
          <w:i/>
          <w:iCs/>
          <w:color w:val="000000" w:themeColor="text1"/>
          <w:sz w:val="24"/>
          <w:szCs w:val="24"/>
        </w:rPr>
        <w:t>)</w:t>
      </w:r>
      <w:r w:rsidRPr="009878E6">
        <w:rPr>
          <w:rFonts w:ascii="Times New Roman" w:hAnsi="Times New Roman" w:cs="Times New Roman"/>
          <w:color w:val="000000" w:themeColor="text1"/>
          <w:sz w:val="24"/>
          <w:szCs w:val="24"/>
        </w:rPr>
        <w:t xml:space="preserve">. </w:t>
      </w:r>
      <w:r w:rsidRPr="009878E6" w:rsidR="36043933">
        <w:rPr>
          <w:rFonts w:ascii="Times New Roman" w:hAnsi="Times New Roman" w:cs="Times New Roman"/>
          <w:color w:val="000000" w:themeColor="text1"/>
          <w:sz w:val="24"/>
          <w:szCs w:val="24"/>
        </w:rPr>
        <w:t xml:space="preserve">FEMA has an interest in the success of the </w:t>
      </w:r>
      <w:r w:rsidRPr="009878E6" w:rsidR="506C452D">
        <w:rPr>
          <w:rFonts w:ascii="Times New Roman" w:hAnsi="Times New Roman" w:cs="Times New Roman"/>
          <w:color w:val="000000" w:themeColor="text1"/>
          <w:sz w:val="24"/>
          <w:szCs w:val="24"/>
        </w:rPr>
        <w:t>NFIP</w:t>
      </w:r>
      <w:r w:rsidRPr="009878E6" w:rsidR="36043933">
        <w:rPr>
          <w:rFonts w:ascii="Times New Roman" w:hAnsi="Times New Roman" w:cs="Times New Roman"/>
          <w:color w:val="000000" w:themeColor="text1"/>
          <w:sz w:val="24"/>
          <w:szCs w:val="24"/>
        </w:rPr>
        <w:t xml:space="preserve"> it oversees. </w:t>
      </w:r>
      <w:r w:rsidRPr="009878E6" w:rsidR="2775E770">
        <w:rPr>
          <w:rFonts w:ascii="Times New Roman" w:hAnsi="Times New Roman" w:cs="Times New Roman"/>
          <w:color w:val="000000" w:themeColor="text1"/>
          <w:sz w:val="24"/>
          <w:szCs w:val="24"/>
        </w:rPr>
        <w:t>E</w:t>
      </w:r>
      <w:r w:rsidRPr="009878E6" w:rsidR="36043933">
        <w:rPr>
          <w:rFonts w:ascii="Times New Roman" w:hAnsi="Times New Roman" w:cs="Times New Roman"/>
          <w:color w:val="000000" w:themeColor="text1"/>
          <w:sz w:val="24"/>
          <w:szCs w:val="24"/>
        </w:rPr>
        <w:t>ach “</w:t>
      </w:r>
      <w:r w:rsidRPr="009878E6" w:rsidR="00D81F18">
        <w:rPr>
          <w:rFonts w:ascii="Times New Roman" w:hAnsi="Times New Roman" w:cs="Times New Roman"/>
          <w:color w:val="000000" w:themeColor="text1"/>
          <w:sz w:val="24"/>
          <w:szCs w:val="24"/>
        </w:rPr>
        <w:t>Eligible or p</w:t>
      </w:r>
      <w:r w:rsidRPr="009878E6" w:rsidR="36043933">
        <w:rPr>
          <w:rFonts w:ascii="Times New Roman" w:hAnsi="Times New Roman" w:cs="Times New Roman"/>
          <w:color w:val="000000" w:themeColor="text1"/>
          <w:sz w:val="24"/>
          <w:szCs w:val="24"/>
        </w:rPr>
        <w:t xml:space="preserve">articipating </w:t>
      </w:r>
      <w:r w:rsidRPr="009878E6" w:rsidR="00D81F18">
        <w:rPr>
          <w:rFonts w:ascii="Times New Roman" w:hAnsi="Times New Roman" w:cs="Times New Roman"/>
          <w:color w:val="000000" w:themeColor="text1"/>
          <w:sz w:val="24"/>
          <w:szCs w:val="24"/>
        </w:rPr>
        <w:t>community,</w:t>
      </w:r>
      <w:r w:rsidRPr="009878E6" w:rsidR="36043933">
        <w:rPr>
          <w:rFonts w:ascii="Times New Roman" w:hAnsi="Times New Roman" w:cs="Times New Roman"/>
          <w:color w:val="000000" w:themeColor="text1"/>
          <w:sz w:val="24"/>
          <w:szCs w:val="24"/>
        </w:rPr>
        <w:t xml:space="preserve">” </w:t>
      </w:r>
      <w:r w:rsidRPr="009878E6" w:rsidR="00D81F18">
        <w:rPr>
          <w:rFonts w:ascii="Times New Roman" w:hAnsi="Times New Roman" w:cs="Times New Roman"/>
          <w:color w:val="000000" w:themeColor="text1"/>
          <w:sz w:val="24"/>
          <w:szCs w:val="24"/>
        </w:rPr>
        <w:t>which means a community for which the Administrator has authorized the sale of flood insurance under the National Flood Insurance Program</w:t>
      </w:r>
      <w:r>
        <w:rPr>
          <w:rStyle w:val="FootnoteReference"/>
          <w:rFonts w:ascii="Times New Roman" w:hAnsi="Times New Roman" w:cs="Times New Roman"/>
          <w:color w:val="000000" w:themeColor="text1"/>
          <w:sz w:val="24"/>
          <w:szCs w:val="24"/>
        </w:rPr>
        <w:footnoteReference w:id="7"/>
      </w:r>
      <w:r w:rsidRPr="009878E6" w:rsidR="00D81F18">
        <w:rPr>
          <w:rFonts w:ascii="Times New Roman" w:hAnsi="Times New Roman" w:cs="Times New Roman"/>
          <w:color w:val="000000" w:themeColor="text1"/>
          <w:sz w:val="24"/>
          <w:szCs w:val="24"/>
        </w:rPr>
        <w:t xml:space="preserve"> </w:t>
      </w:r>
      <w:r w:rsidRPr="009878E6" w:rsidR="36043933">
        <w:rPr>
          <w:rFonts w:ascii="Times New Roman" w:hAnsi="Times New Roman" w:cs="Times New Roman"/>
          <w:color w:val="000000" w:themeColor="text1"/>
          <w:sz w:val="24"/>
          <w:szCs w:val="24"/>
        </w:rPr>
        <w:t xml:space="preserve"> </w:t>
      </w:r>
      <w:r w:rsidRPr="009878E6" w:rsidR="00D81F18">
        <w:rPr>
          <w:rFonts w:ascii="Times New Roman" w:hAnsi="Times New Roman" w:cs="Times New Roman"/>
          <w:color w:val="000000" w:themeColor="text1"/>
          <w:sz w:val="24"/>
          <w:szCs w:val="24"/>
        </w:rPr>
        <w:t xml:space="preserve">shall legislatively (1) Appoint or designate the agency or official with the responsibility, authority, and means to implement the commitments of application to the National Flood Insurance Program and (2) Designate the official responsible to submit a report to the Federal Insurance Administrator concerning the community participation in the Program, including, but not limited to the development and implementation of flood plain management regulations. </w:t>
      </w:r>
      <w:r w:rsidRPr="009878E6" w:rsidR="2FDA61A0">
        <w:rPr>
          <w:rFonts w:ascii="Times New Roman" w:hAnsi="Times New Roman" w:cs="Times New Roman"/>
          <w:color w:val="000000" w:themeColor="text1"/>
          <w:sz w:val="24"/>
          <w:szCs w:val="24"/>
        </w:rPr>
        <w:t>It is common for</w:t>
      </w:r>
      <w:r w:rsidRPr="009878E6" w:rsidR="00D81F18">
        <w:rPr>
          <w:rFonts w:ascii="Times New Roman" w:hAnsi="Times New Roman" w:cs="Times New Roman"/>
          <w:color w:val="000000" w:themeColor="text1"/>
          <w:sz w:val="24"/>
          <w:szCs w:val="24"/>
        </w:rPr>
        <w:t xml:space="preserve"> eligible and p</w:t>
      </w:r>
      <w:r w:rsidRPr="009878E6" w:rsidR="2FDA61A0">
        <w:rPr>
          <w:rFonts w:ascii="Times New Roman" w:hAnsi="Times New Roman" w:cs="Times New Roman"/>
          <w:color w:val="000000" w:themeColor="text1"/>
          <w:sz w:val="24"/>
          <w:szCs w:val="24"/>
        </w:rPr>
        <w:t xml:space="preserve">articipating </w:t>
      </w:r>
      <w:r w:rsidRPr="009878E6" w:rsidR="00D81F18">
        <w:rPr>
          <w:rFonts w:ascii="Times New Roman" w:hAnsi="Times New Roman" w:cs="Times New Roman"/>
          <w:color w:val="000000" w:themeColor="text1"/>
          <w:sz w:val="24"/>
          <w:szCs w:val="24"/>
        </w:rPr>
        <w:t xml:space="preserve">communities </w:t>
      </w:r>
      <w:r w:rsidRPr="009878E6" w:rsidR="2FDA61A0">
        <w:rPr>
          <w:rFonts w:ascii="Times New Roman" w:hAnsi="Times New Roman" w:cs="Times New Roman"/>
          <w:color w:val="000000" w:themeColor="text1"/>
          <w:sz w:val="24"/>
          <w:szCs w:val="24"/>
        </w:rPr>
        <w:t xml:space="preserve">to assign the FPA role to employees who are also simultaneously responsible for other roles such </w:t>
      </w:r>
      <w:r w:rsidRPr="009878E6" w:rsidR="2FDA61A0">
        <w:rPr>
          <w:rFonts w:ascii="Times New Roman" w:hAnsi="Times New Roman" w:cs="Times New Roman"/>
          <w:color w:val="000000" w:themeColor="text1"/>
          <w:sz w:val="24"/>
          <w:szCs w:val="24"/>
        </w:rPr>
        <w:t xml:space="preserve">as Police Chief, Town Clerk, Grants Manager, </w:t>
      </w:r>
      <w:r w:rsidRPr="009878E6" w:rsidR="506C452D">
        <w:rPr>
          <w:rFonts w:ascii="Times New Roman" w:hAnsi="Times New Roman" w:cs="Times New Roman"/>
          <w:color w:val="000000" w:themeColor="text1"/>
          <w:sz w:val="24"/>
          <w:szCs w:val="24"/>
        </w:rPr>
        <w:t xml:space="preserve">or </w:t>
      </w:r>
      <w:r w:rsidRPr="009878E6" w:rsidR="2FDA61A0">
        <w:rPr>
          <w:rFonts w:ascii="Times New Roman" w:hAnsi="Times New Roman" w:cs="Times New Roman"/>
          <w:color w:val="000000" w:themeColor="text1"/>
          <w:sz w:val="24"/>
          <w:szCs w:val="24"/>
        </w:rPr>
        <w:t>Finance Manager.</w:t>
      </w:r>
      <w:r w:rsidRPr="009878E6" w:rsidR="60DD983A">
        <w:rPr>
          <w:rFonts w:ascii="Times New Roman" w:hAnsi="Times New Roman" w:cs="Times New Roman"/>
          <w:color w:val="000000" w:themeColor="text1"/>
          <w:sz w:val="24"/>
          <w:szCs w:val="24"/>
        </w:rPr>
        <w:t xml:space="preserve"> FIMA also understands from interactions with </w:t>
      </w:r>
      <w:r w:rsidRPr="009878E6" w:rsidR="506C452D">
        <w:rPr>
          <w:rFonts w:ascii="Times New Roman" w:hAnsi="Times New Roman" w:cs="Times New Roman"/>
          <w:color w:val="000000" w:themeColor="text1"/>
          <w:sz w:val="24"/>
          <w:szCs w:val="24"/>
        </w:rPr>
        <w:t>FPAs</w:t>
      </w:r>
      <w:r w:rsidRPr="009878E6" w:rsidR="60DD983A">
        <w:rPr>
          <w:rFonts w:ascii="Times New Roman" w:hAnsi="Times New Roman" w:cs="Times New Roman"/>
          <w:color w:val="000000" w:themeColor="text1"/>
          <w:sz w:val="24"/>
          <w:szCs w:val="24"/>
        </w:rPr>
        <w:t xml:space="preserve"> that they are relatively underpaid and undertrained.</w:t>
      </w:r>
      <w:r w:rsidRPr="009878E6" w:rsidR="2FDA61A0">
        <w:rPr>
          <w:rFonts w:ascii="Times New Roman" w:hAnsi="Times New Roman" w:cs="Times New Roman"/>
          <w:color w:val="000000" w:themeColor="text1"/>
          <w:sz w:val="24"/>
          <w:szCs w:val="24"/>
        </w:rPr>
        <w:t xml:space="preserve"> This poses </w:t>
      </w:r>
      <w:r w:rsidRPr="009878E6" w:rsidR="60DD983A">
        <w:rPr>
          <w:rFonts w:ascii="Times New Roman" w:hAnsi="Times New Roman" w:cs="Times New Roman"/>
          <w:color w:val="000000" w:themeColor="text1"/>
          <w:sz w:val="24"/>
          <w:szCs w:val="24"/>
        </w:rPr>
        <w:t>three</w:t>
      </w:r>
      <w:r w:rsidRPr="009878E6" w:rsidR="2FDA61A0">
        <w:rPr>
          <w:rFonts w:ascii="Times New Roman" w:hAnsi="Times New Roman" w:cs="Times New Roman"/>
          <w:color w:val="000000" w:themeColor="text1"/>
          <w:sz w:val="24"/>
          <w:szCs w:val="24"/>
        </w:rPr>
        <w:t xml:space="preserve"> training related </w:t>
      </w:r>
      <w:r w:rsidRPr="009878E6" w:rsidR="2775E770">
        <w:rPr>
          <w:rFonts w:ascii="Times New Roman" w:hAnsi="Times New Roman" w:cs="Times New Roman"/>
          <w:color w:val="000000" w:themeColor="text1"/>
          <w:sz w:val="24"/>
          <w:szCs w:val="24"/>
        </w:rPr>
        <w:t>challenges</w:t>
      </w:r>
      <w:r w:rsidRPr="009878E6" w:rsidR="2FDA61A0">
        <w:rPr>
          <w:rFonts w:ascii="Times New Roman" w:hAnsi="Times New Roman" w:cs="Times New Roman"/>
          <w:color w:val="000000" w:themeColor="text1"/>
          <w:sz w:val="24"/>
          <w:szCs w:val="24"/>
        </w:rPr>
        <w:t>:</w:t>
      </w:r>
    </w:p>
    <w:p w:rsidR="00114B9A" w:rsidRPr="009878E6" w:rsidP="009878E6" w14:paraId="6BF15649" w14:textId="77777777">
      <w:pPr>
        <w:pStyle w:val="ListParagraph"/>
        <w:numPr>
          <w:ilvl w:val="1"/>
          <w:numId w:val="5"/>
        </w:numPr>
        <w:rPr>
          <w:rFonts w:ascii="Times New Roman" w:hAnsi="Times New Roman" w:cs="Times New Roman"/>
          <w:color w:val="000000" w:themeColor="text1"/>
          <w:sz w:val="24"/>
          <w:szCs w:val="24"/>
        </w:rPr>
      </w:pPr>
      <w:r w:rsidRPr="009878E6">
        <w:rPr>
          <w:rFonts w:ascii="Times New Roman" w:hAnsi="Times New Roman" w:cs="Times New Roman"/>
          <w:color w:val="000000" w:themeColor="text1"/>
          <w:sz w:val="24"/>
          <w:szCs w:val="24"/>
        </w:rPr>
        <w:t xml:space="preserve">When an employee wears multiple hats, they become indispensable to the local government’s day to day to operations. This makes it difficult for that employee to leave to attend a </w:t>
      </w:r>
      <w:r w:rsidRPr="009878E6">
        <w:rPr>
          <w:rFonts w:ascii="Times New Roman" w:hAnsi="Times New Roman" w:cs="Times New Roman"/>
          <w:color w:val="000000" w:themeColor="text1"/>
          <w:sz w:val="24"/>
          <w:szCs w:val="24"/>
        </w:rPr>
        <w:t>four-day</w:t>
      </w:r>
      <w:r w:rsidRPr="009878E6">
        <w:rPr>
          <w:rFonts w:ascii="Times New Roman" w:hAnsi="Times New Roman" w:cs="Times New Roman"/>
          <w:color w:val="000000" w:themeColor="text1"/>
          <w:sz w:val="24"/>
          <w:szCs w:val="24"/>
        </w:rPr>
        <w:t xml:space="preserve"> floodplain management training.</w:t>
      </w:r>
    </w:p>
    <w:p w:rsidR="00395E09" w:rsidRPr="009878E6" w:rsidP="009878E6" w14:paraId="078B7D84" w14:textId="38D45356">
      <w:pPr>
        <w:pStyle w:val="ListParagraph"/>
        <w:numPr>
          <w:ilvl w:val="1"/>
          <w:numId w:val="5"/>
        </w:numPr>
        <w:rPr>
          <w:rFonts w:ascii="Times New Roman" w:hAnsi="Times New Roman" w:cs="Times New Roman"/>
          <w:color w:val="000000" w:themeColor="text1"/>
          <w:sz w:val="24"/>
          <w:szCs w:val="24"/>
        </w:rPr>
      </w:pPr>
      <w:r w:rsidRPr="009878E6">
        <w:rPr>
          <w:rFonts w:ascii="Times New Roman" w:hAnsi="Times New Roman" w:cs="Times New Roman"/>
          <w:color w:val="000000" w:themeColor="text1"/>
          <w:sz w:val="24"/>
          <w:szCs w:val="24"/>
        </w:rPr>
        <w:t>T</w:t>
      </w:r>
      <w:r w:rsidRPr="009878E6" w:rsidR="00983130">
        <w:rPr>
          <w:rFonts w:ascii="Times New Roman" w:hAnsi="Times New Roman" w:cs="Times New Roman"/>
          <w:color w:val="000000" w:themeColor="text1"/>
          <w:sz w:val="24"/>
          <w:szCs w:val="24"/>
        </w:rPr>
        <w:t xml:space="preserve">hose employees that are able to </w:t>
      </w:r>
      <w:r w:rsidRPr="009878E6">
        <w:rPr>
          <w:rFonts w:ascii="Times New Roman" w:hAnsi="Times New Roman" w:cs="Times New Roman"/>
          <w:color w:val="000000" w:themeColor="text1"/>
          <w:sz w:val="24"/>
          <w:szCs w:val="24"/>
        </w:rPr>
        <w:t>attend</w:t>
      </w:r>
      <w:r w:rsidRPr="009878E6" w:rsidR="00983130">
        <w:rPr>
          <w:rFonts w:ascii="Times New Roman" w:hAnsi="Times New Roman" w:cs="Times New Roman"/>
          <w:color w:val="000000" w:themeColor="text1"/>
          <w:sz w:val="24"/>
          <w:szCs w:val="24"/>
        </w:rPr>
        <w:t xml:space="preserve"> training</w:t>
      </w:r>
      <w:r w:rsidRPr="009878E6">
        <w:rPr>
          <w:rFonts w:ascii="Times New Roman" w:hAnsi="Times New Roman" w:cs="Times New Roman"/>
          <w:color w:val="000000" w:themeColor="text1"/>
          <w:sz w:val="24"/>
          <w:szCs w:val="24"/>
        </w:rPr>
        <w:t xml:space="preserve"> away from their community</w:t>
      </w:r>
      <w:r w:rsidRPr="009878E6" w:rsidR="00983130">
        <w:rPr>
          <w:rFonts w:ascii="Times New Roman" w:hAnsi="Times New Roman" w:cs="Times New Roman"/>
          <w:color w:val="000000" w:themeColor="text1"/>
          <w:sz w:val="24"/>
          <w:szCs w:val="24"/>
        </w:rPr>
        <w:t xml:space="preserve"> are hard pressed to use their new skills often and consistently. For these mostly adult learners, many of their newly learned skills become forgotten skills if they are not reinforced through practice.</w:t>
      </w:r>
    </w:p>
    <w:p w:rsidR="008F6898" w:rsidRPr="009878E6" w:rsidP="009878E6" w14:paraId="448DD445" w14:textId="12084501">
      <w:pPr>
        <w:pStyle w:val="ListParagraph"/>
        <w:numPr>
          <w:ilvl w:val="1"/>
          <w:numId w:val="5"/>
        </w:numPr>
        <w:rPr>
          <w:rFonts w:ascii="Times New Roman" w:hAnsi="Times New Roman" w:cs="Times New Roman"/>
          <w:color w:val="000000" w:themeColor="text1"/>
          <w:sz w:val="24"/>
          <w:szCs w:val="24"/>
        </w:rPr>
      </w:pPr>
      <w:r w:rsidRPr="009878E6">
        <w:rPr>
          <w:rFonts w:ascii="Times New Roman" w:hAnsi="Times New Roman" w:cs="Times New Roman"/>
          <w:color w:val="000000" w:themeColor="text1"/>
          <w:sz w:val="24"/>
          <w:szCs w:val="24"/>
        </w:rPr>
        <w:t xml:space="preserve">Attrition of those already trained. The NFIP suffers from high turnover of </w:t>
      </w:r>
      <w:r w:rsidRPr="009878E6" w:rsidR="00557D1B">
        <w:rPr>
          <w:rFonts w:ascii="Times New Roman" w:hAnsi="Times New Roman" w:cs="Times New Roman"/>
          <w:color w:val="000000" w:themeColor="text1"/>
          <w:sz w:val="24"/>
          <w:szCs w:val="24"/>
        </w:rPr>
        <w:t>FPAs</w:t>
      </w:r>
      <w:r w:rsidRPr="009878E6" w:rsidR="00D55FA6">
        <w:rPr>
          <w:rFonts w:ascii="Times New Roman" w:hAnsi="Times New Roman" w:cs="Times New Roman"/>
          <w:color w:val="000000" w:themeColor="text1"/>
          <w:sz w:val="24"/>
          <w:szCs w:val="24"/>
        </w:rPr>
        <w:t>.</w:t>
      </w:r>
    </w:p>
    <w:p w:rsidR="00983130" w:rsidRPr="009878E6" w:rsidP="009878E6" w14:paraId="0A42C052" w14:textId="72141130">
      <w:pPr>
        <w:pStyle w:val="ListParagraph"/>
        <w:ind w:left="360"/>
        <w:rPr>
          <w:rFonts w:ascii="Times New Roman" w:hAnsi="Times New Roman" w:cs="Times New Roman"/>
          <w:color w:val="000000" w:themeColor="text1"/>
          <w:sz w:val="24"/>
          <w:szCs w:val="24"/>
        </w:rPr>
      </w:pPr>
      <w:r w:rsidRPr="009878E6">
        <w:rPr>
          <w:rFonts w:ascii="Times New Roman" w:hAnsi="Times New Roman" w:cs="Times New Roman"/>
          <w:color w:val="000000" w:themeColor="text1"/>
          <w:sz w:val="24"/>
          <w:szCs w:val="24"/>
        </w:rPr>
        <w:t>F</w:t>
      </w:r>
      <w:r w:rsidRPr="009878E6">
        <w:rPr>
          <w:rFonts w:ascii="Times New Roman" w:hAnsi="Times New Roman" w:cs="Times New Roman"/>
          <w:color w:val="000000" w:themeColor="text1"/>
          <w:sz w:val="24"/>
          <w:szCs w:val="24"/>
        </w:rPr>
        <w:t xml:space="preserve">or these reasons, traditional training methods have not been effective. Innovative and targeted training products and methods must be employed to effectively train these </w:t>
      </w:r>
      <w:r w:rsidRPr="009878E6" w:rsidR="00D55FA6">
        <w:rPr>
          <w:rFonts w:ascii="Times New Roman" w:hAnsi="Times New Roman" w:cs="Times New Roman"/>
          <w:color w:val="000000" w:themeColor="text1"/>
          <w:sz w:val="24"/>
          <w:szCs w:val="24"/>
        </w:rPr>
        <w:t>leaders in a manner that meets their individual needs, the communities’ needs, and FEMA’s need</w:t>
      </w:r>
      <w:r w:rsidRPr="009878E6">
        <w:rPr>
          <w:rFonts w:ascii="Times New Roman" w:hAnsi="Times New Roman" w:cs="Times New Roman"/>
          <w:color w:val="000000" w:themeColor="text1"/>
          <w:sz w:val="24"/>
          <w:szCs w:val="24"/>
        </w:rPr>
        <w:t>s.</w:t>
      </w:r>
    </w:p>
    <w:p w:rsidR="00395E09" w:rsidRPr="009878E6" w:rsidP="009878E6" w14:paraId="6AB8873C" w14:textId="77777777">
      <w:pPr>
        <w:pStyle w:val="ListParagraph"/>
        <w:ind w:left="360"/>
        <w:rPr>
          <w:rFonts w:ascii="Times New Roman" w:hAnsi="Times New Roman" w:cs="Times New Roman"/>
          <w:color w:val="000000" w:themeColor="text1"/>
          <w:sz w:val="24"/>
          <w:szCs w:val="24"/>
        </w:rPr>
      </w:pPr>
    </w:p>
    <w:p w:rsidR="00395E09" w:rsidRPr="009878E6" w:rsidP="009878E6" w14:paraId="3032AF2C" w14:textId="624BFBFF">
      <w:pPr>
        <w:pStyle w:val="ListParagraph"/>
        <w:ind w:left="360"/>
        <w:rPr>
          <w:rFonts w:ascii="Times New Roman" w:hAnsi="Times New Roman" w:cs="Times New Roman"/>
          <w:color w:val="000000" w:themeColor="text1"/>
          <w:sz w:val="24"/>
          <w:szCs w:val="24"/>
        </w:rPr>
      </w:pPr>
      <w:r w:rsidRPr="009878E6">
        <w:rPr>
          <w:rFonts w:ascii="Times New Roman" w:hAnsi="Times New Roman" w:cs="Times New Roman"/>
          <w:color w:val="000000" w:themeColor="text1"/>
          <w:sz w:val="24"/>
          <w:szCs w:val="24"/>
        </w:rPr>
        <w:t xml:space="preserve">Complicating the challenge is the nation’s FPAs are a diverse group with varied </w:t>
      </w:r>
      <w:r w:rsidRPr="009878E6" w:rsidR="00D61EDA">
        <w:rPr>
          <w:rFonts w:ascii="Times New Roman" w:hAnsi="Times New Roman" w:cs="Times New Roman"/>
          <w:color w:val="000000" w:themeColor="text1"/>
          <w:sz w:val="24"/>
          <w:szCs w:val="24"/>
        </w:rPr>
        <w:t xml:space="preserve">socio-economic backgrounds, </w:t>
      </w:r>
      <w:r w:rsidRPr="009878E6">
        <w:rPr>
          <w:rFonts w:ascii="Times New Roman" w:hAnsi="Times New Roman" w:cs="Times New Roman"/>
          <w:color w:val="000000" w:themeColor="text1"/>
          <w:sz w:val="24"/>
          <w:szCs w:val="24"/>
        </w:rPr>
        <w:t>abilities, schedules, learning styles, geographies, and resources.</w:t>
      </w:r>
      <w:r w:rsidRPr="009878E6" w:rsidR="0022672E">
        <w:rPr>
          <w:rFonts w:ascii="Times New Roman" w:hAnsi="Times New Roman" w:cs="Times New Roman"/>
          <w:color w:val="000000" w:themeColor="text1"/>
          <w:sz w:val="24"/>
          <w:szCs w:val="24"/>
        </w:rPr>
        <w:t xml:space="preserve"> A Training Strategy is needed to direct FEMA’s limited FPA </w:t>
      </w:r>
      <w:r w:rsidRPr="009878E6" w:rsidR="00557D1B">
        <w:rPr>
          <w:rFonts w:ascii="Times New Roman" w:hAnsi="Times New Roman" w:cs="Times New Roman"/>
          <w:color w:val="000000" w:themeColor="text1"/>
          <w:sz w:val="24"/>
          <w:szCs w:val="24"/>
        </w:rPr>
        <w:t>t</w:t>
      </w:r>
      <w:r w:rsidRPr="009878E6" w:rsidR="0022672E">
        <w:rPr>
          <w:rFonts w:ascii="Times New Roman" w:hAnsi="Times New Roman" w:cs="Times New Roman"/>
          <w:color w:val="000000" w:themeColor="text1"/>
          <w:sz w:val="24"/>
          <w:szCs w:val="24"/>
        </w:rPr>
        <w:t xml:space="preserve">raining budget into training solutions that address the unique needs of FPAs as well as their varied abilities, schedules, learning styles, geographies, and resources. To be effective, the </w:t>
      </w:r>
      <w:r w:rsidRPr="009878E6" w:rsidR="00C362C2">
        <w:rPr>
          <w:rFonts w:ascii="Times New Roman" w:hAnsi="Times New Roman" w:cs="Times New Roman"/>
          <w:color w:val="000000" w:themeColor="text1"/>
          <w:sz w:val="24"/>
          <w:szCs w:val="24"/>
        </w:rPr>
        <w:t>FPA</w:t>
      </w:r>
      <w:r w:rsidRPr="009878E6" w:rsidR="0022672E">
        <w:rPr>
          <w:rFonts w:ascii="Times New Roman" w:hAnsi="Times New Roman" w:cs="Times New Roman"/>
          <w:color w:val="000000" w:themeColor="text1"/>
          <w:sz w:val="24"/>
          <w:szCs w:val="24"/>
        </w:rPr>
        <w:t xml:space="preserve"> Training Strategy must be grounded in an accurate understanding FPAs</w:t>
      </w:r>
      <w:r w:rsidRPr="009878E6" w:rsidR="007749C9">
        <w:rPr>
          <w:rFonts w:ascii="Times New Roman" w:hAnsi="Times New Roman" w:cs="Times New Roman"/>
          <w:color w:val="000000" w:themeColor="text1"/>
          <w:sz w:val="24"/>
          <w:szCs w:val="24"/>
        </w:rPr>
        <w:t>’</w:t>
      </w:r>
      <w:r w:rsidRPr="009878E6" w:rsidR="0022672E">
        <w:rPr>
          <w:rFonts w:ascii="Times New Roman" w:hAnsi="Times New Roman" w:cs="Times New Roman"/>
          <w:color w:val="000000" w:themeColor="text1"/>
          <w:sz w:val="24"/>
          <w:szCs w:val="24"/>
        </w:rPr>
        <w:t xml:space="preserve"> varied </w:t>
      </w:r>
      <w:r w:rsidRPr="009878E6" w:rsidR="00D61EDA">
        <w:rPr>
          <w:rFonts w:ascii="Times New Roman" w:hAnsi="Times New Roman" w:cs="Times New Roman"/>
          <w:color w:val="000000" w:themeColor="text1"/>
          <w:sz w:val="24"/>
          <w:szCs w:val="24"/>
        </w:rPr>
        <w:t xml:space="preserve">socio-economic backgrounds, </w:t>
      </w:r>
      <w:r w:rsidRPr="009878E6" w:rsidR="0022672E">
        <w:rPr>
          <w:rFonts w:ascii="Times New Roman" w:hAnsi="Times New Roman" w:cs="Times New Roman"/>
          <w:color w:val="000000" w:themeColor="text1"/>
          <w:sz w:val="24"/>
          <w:szCs w:val="24"/>
        </w:rPr>
        <w:t>needs, abilities, schedules, learning styles, geographies, and resources. To achieve this understanding, a Training Assessment must be performed.</w:t>
      </w:r>
    </w:p>
    <w:p w:rsidR="00395E09" w:rsidRPr="009878E6" w:rsidP="009878E6" w14:paraId="2376E67B" w14:textId="77777777">
      <w:pPr>
        <w:pStyle w:val="ListParagraph"/>
        <w:ind w:left="360"/>
        <w:rPr>
          <w:rFonts w:ascii="Times New Roman" w:hAnsi="Times New Roman" w:cs="Times New Roman"/>
          <w:color w:val="000000" w:themeColor="text1"/>
          <w:sz w:val="24"/>
          <w:szCs w:val="24"/>
        </w:rPr>
      </w:pPr>
    </w:p>
    <w:p w:rsidR="0022672E" w:rsidRPr="009878E6" w:rsidP="009878E6" w14:paraId="590B54AF" w14:textId="3657C8C0">
      <w:pPr>
        <w:pStyle w:val="ListParagraph"/>
        <w:numPr>
          <w:ilvl w:val="0"/>
          <w:numId w:val="5"/>
        </w:numPr>
        <w:rPr>
          <w:rFonts w:ascii="Times New Roman" w:hAnsi="Times New Roman" w:cs="Times New Roman"/>
          <w:color w:val="000000" w:themeColor="text1"/>
          <w:sz w:val="24"/>
          <w:szCs w:val="24"/>
        </w:rPr>
      </w:pPr>
      <w:r w:rsidRPr="009878E6">
        <w:rPr>
          <w:rFonts w:ascii="Times New Roman" w:hAnsi="Times New Roman" w:cs="Times New Roman"/>
          <w:i/>
          <w:iCs/>
          <w:color w:val="000000" w:themeColor="text1"/>
          <w:sz w:val="24"/>
          <w:szCs w:val="24"/>
        </w:rPr>
        <w:t>Data-informed decision-making for results, service quality, and customer satisfaction</w:t>
      </w:r>
      <w:r w:rsidRPr="009878E6">
        <w:rPr>
          <w:rFonts w:ascii="Times New Roman" w:hAnsi="Times New Roman" w:cs="Times New Roman"/>
          <w:color w:val="000000" w:themeColor="text1"/>
          <w:sz w:val="24"/>
          <w:szCs w:val="24"/>
        </w:rPr>
        <w:t xml:space="preserve">. </w:t>
      </w:r>
      <w:bookmarkStart w:id="3" w:name="_Hlk112338411"/>
      <w:r w:rsidRPr="009878E6">
        <w:rPr>
          <w:rFonts w:ascii="Times New Roman" w:hAnsi="Times New Roman" w:cs="Times New Roman"/>
          <w:color w:val="000000" w:themeColor="text1"/>
          <w:sz w:val="24"/>
          <w:szCs w:val="24"/>
        </w:rPr>
        <w:t>The primary law that supports the information collection efforts is the Government Performance and Results Act</w:t>
      </w:r>
      <w:r w:rsidRPr="009878E6" w:rsidR="00430983">
        <w:rPr>
          <w:rFonts w:ascii="Times New Roman" w:hAnsi="Times New Roman" w:cs="Times New Roman"/>
          <w:color w:val="000000" w:themeColor="text1"/>
          <w:sz w:val="24"/>
          <w:szCs w:val="24"/>
        </w:rPr>
        <w:t xml:space="preserve"> (GPRA)</w:t>
      </w:r>
      <w:r w:rsidRPr="009878E6">
        <w:rPr>
          <w:rFonts w:ascii="Times New Roman" w:hAnsi="Times New Roman" w:cs="Times New Roman"/>
          <w:color w:val="000000" w:themeColor="text1"/>
          <w:sz w:val="24"/>
          <w:szCs w:val="24"/>
        </w:rPr>
        <w:t xml:space="preserve"> of 1993, 31 U.S.C. </w:t>
      </w:r>
      <w:r w:rsidR="0050166E">
        <w:rPr>
          <w:rFonts w:ascii="Times New Roman" w:hAnsi="Times New Roman" w:cs="Times New Roman"/>
          <w:color w:val="000000" w:themeColor="text1"/>
          <w:sz w:val="24"/>
          <w:szCs w:val="24"/>
        </w:rPr>
        <w:t xml:space="preserve">§ </w:t>
      </w:r>
      <w:r w:rsidRPr="009878E6">
        <w:rPr>
          <w:rFonts w:ascii="Times New Roman" w:hAnsi="Times New Roman" w:cs="Times New Roman"/>
          <w:color w:val="000000" w:themeColor="text1"/>
          <w:sz w:val="24"/>
          <w:szCs w:val="24"/>
        </w:rPr>
        <w:t xml:space="preserve">1116, which has as one of its purposes “improve Federal programs effectiveness and public accountability by promoting a new focus on results, service quality, and customer satisfaction.”  </w:t>
      </w:r>
      <w:bookmarkEnd w:id="3"/>
      <w:r w:rsidRPr="009878E6">
        <w:rPr>
          <w:rFonts w:ascii="Times New Roman" w:hAnsi="Times New Roman" w:cs="Times New Roman"/>
          <w:color w:val="000000" w:themeColor="text1"/>
          <w:sz w:val="24"/>
          <w:szCs w:val="24"/>
        </w:rPr>
        <w:t>Such an initiative is also widely supported by longstanding administrative policy, as expressed in Executive Orders and Laws, described below.</w:t>
      </w:r>
    </w:p>
    <w:p w:rsidR="0022672E" w:rsidRPr="009878E6" w:rsidP="009878E6" w14:paraId="22BCA6C7" w14:textId="77777777">
      <w:pPr>
        <w:pStyle w:val="ListParagraph"/>
        <w:ind w:left="360"/>
        <w:rPr>
          <w:rFonts w:ascii="Times New Roman" w:hAnsi="Times New Roman" w:cs="Times New Roman"/>
          <w:color w:val="000000" w:themeColor="text1"/>
          <w:sz w:val="24"/>
          <w:szCs w:val="24"/>
        </w:rPr>
      </w:pPr>
    </w:p>
    <w:p w:rsidR="0022672E" w:rsidRPr="009878E6" w:rsidP="009878E6" w14:paraId="3A56D4AB" w14:textId="77777777">
      <w:pPr>
        <w:pStyle w:val="ListParagraph"/>
        <w:ind w:left="360"/>
        <w:rPr>
          <w:rFonts w:ascii="Times New Roman" w:hAnsi="Times New Roman" w:cs="Times New Roman"/>
          <w:color w:val="000000" w:themeColor="text1"/>
          <w:sz w:val="24"/>
          <w:szCs w:val="24"/>
        </w:rPr>
      </w:pPr>
      <w:r w:rsidRPr="009878E6">
        <w:rPr>
          <w:rFonts w:ascii="Times New Roman" w:hAnsi="Times New Roman" w:cs="Times New Roman"/>
          <w:color w:val="000000" w:themeColor="text1"/>
          <w:sz w:val="24"/>
          <w:szCs w:val="24"/>
        </w:rPr>
        <w:t xml:space="preserve">On September 11, 1993, President Clinton issued Executive Order 12862, “Setting Customer Service Standards” which establishes that Federal Government agencies should survey customers to determine their level of satisfaction with existing services, measure customer service satisfaction results against service standards, benchmark customer service performance against the best in business, provide customers with </w:t>
      </w:r>
      <w:r w:rsidRPr="009878E6">
        <w:rPr>
          <w:rFonts w:ascii="Times New Roman" w:hAnsi="Times New Roman" w:cs="Times New Roman"/>
          <w:color w:val="000000" w:themeColor="text1"/>
          <w:sz w:val="24"/>
          <w:szCs w:val="24"/>
        </w:rPr>
        <w:t>choices in both the sources of service and the means of delivery, make complaint systems easily accessible, and provide means to address customer complaints. Agencies are to utilize information about their customer satisfaction results in judging the performance of agency management and in making resource allocations.</w:t>
      </w:r>
    </w:p>
    <w:p w:rsidR="0022672E" w:rsidRPr="009878E6" w:rsidP="009878E6" w14:paraId="30297CB0" w14:textId="77777777">
      <w:pPr>
        <w:pStyle w:val="ListParagraph"/>
        <w:ind w:left="360"/>
        <w:rPr>
          <w:rFonts w:ascii="Times New Roman" w:hAnsi="Times New Roman" w:cs="Times New Roman"/>
          <w:color w:val="000000" w:themeColor="text1"/>
          <w:sz w:val="24"/>
          <w:szCs w:val="24"/>
        </w:rPr>
      </w:pPr>
    </w:p>
    <w:p w:rsidR="0022672E" w:rsidRPr="009878E6" w:rsidP="009878E6" w14:paraId="42A13A3D" w14:textId="1FA6BC46">
      <w:pPr>
        <w:pStyle w:val="ListParagraph"/>
        <w:ind w:left="360"/>
        <w:rPr>
          <w:rFonts w:ascii="Times New Roman" w:hAnsi="Times New Roman" w:cs="Times New Roman"/>
          <w:color w:val="000000" w:themeColor="text1"/>
          <w:sz w:val="24"/>
          <w:szCs w:val="24"/>
        </w:rPr>
      </w:pPr>
      <w:r w:rsidRPr="009878E6">
        <w:rPr>
          <w:rFonts w:ascii="Times New Roman" w:hAnsi="Times New Roman" w:cs="Times New Roman"/>
          <w:color w:val="000000" w:themeColor="text1"/>
          <w:sz w:val="24"/>
          <w:szCs w:val="24"/>
        </w:rPr>
        <w:t>In 2007, President Bush issued Executive Order 13450 aimed at improving Government Program Performance. The Order focused on maximizing the effectiveness of programs for citizens through establishing clear annual and long-term goals and having the means to measure progress toward these goals. A Performance Improvement Council was established within the Office of Management and Budget to provide oversight to agencies in implementing the Order.</w:t>
      </w:r>
    </w:p>
    <w:p w:rsidR="0022672E" w:rsidRPr="009878E6" w:rsidP="009878E6" w14:paraId="3E4408E2" w14:textId="77777777">
      <w:pPr>
        <w:pStyle w:val="ListParagraph"/>
        <w:ind w:left="360"/>
        <w:rPr>
          <w:rFonts w:ascii="Times New Roman" w:hAnsi="Times New Roman" w:cs="Times New Roman"/>
          <w:color w:val="000000" w:themeColor="text1"/>
          <w:sz w:val="24"/>
          <w:szCs w:val="24"/>
        </w:rPr>
      </w:pPr>
    </w:p>
    <w:p w:rsidR="0022672E" w:rsidRPr="009878E6" w:rsidP="009878E6" w14:paraId="53158DF5" w14:textId="3AD02548">
      <w:pPr>
        <w:pStyle w:val="ListParagraph"/>
        <w:ind w:left="360"/>
        <w:rPr>
          <w:rFonts w:ascii="Times New Roman" w:hAnsi="Times New Roman" w:cs="Times New Roman"/>
          <w:color w:val="000000" w:themeColor="text1"/>
          <w:sz w:val="24"/>
          <w:szCs w:val="24"/>
        </w:rPr>
      </w:pPr>
      <w:r w:rsidRPr="009878E6">
        <w:rPr>
          <w:rFonts w:ascii="Times New Roman" w:hAnsi="Times New Roman" w:cs="Times New Roman"/>
          <w:color w:val="000000" w:themeColor="text1"/>
          <w:sz w:val="24"/>
          <w:szCs w:val="24"/>
        </w:rPr>
        <w:t xml:space="preserve">In January 2009, the Obama Administration released </w:t>
      </w:r>
      <w:r w:rsidRPr="009878E6" w:rsidR="00171BFA">
        <w:rPr>
          <w:rFonts w:ascii="Times New Roman" w:hAnsi="Times New Roman" w:cs="Times New Roman"/>
          <w:color w:val="000000" w:themeColor="text1"/>
          <w:sz w:val="24"/>
          <w:szCs w:val="24"/>
        </w:rPr>
        <w:t xml:space="preserve">the Memorandum on Transparency and Open Government </w:t>
      </w:r>
      <w:r w:rsidRPr="009878E6">
        <w:rPr>
          <w:rFonts w:ascii="Times New Roman" w:hAnsi="Times New Roman" w:cs="Times New Roman"/>
          <w:color w:val="000000" w:themeColor="text1"/>
          <w:sz w:val="24"/>
          <w:szCs w:val="24"/>
        </w:rPr>
        <w:t>to all Executive Departments and Agencies calling for the creation of a more transparent, participatory, and collaborative Government. The memorandum notes that Executive departments and agencies should solicit public feedback to identify information of greatest use to the public, determine how to best increase and improve opportunities for public participation in Government, and assess and improve the level of collaboration and cooperation between Government and nonprofit organizations, businesses, and individuals in the private sector. The</w:t>
      </w:r>
      <w:r w:rsidRPr="009878E6" w:rsidR="00277AEC">
        <w:rPr>
          <w:rFonts w:ascii="Times New Roman" w:hAnsi="Times New Roman" w:cs="Times New Roman"/>
          <w:color w:val="000000" w:themeColor="text1"/>
          <w:sz w:val="24"/>
          <w:szCs w:val="24"/>
        </w:rPr>
        <w:t xml:space="preserve"> memorandum directed the Administration’s</w:t>
      </w:r>
      <w:r w:rsidRPr="009878E6">
        <w:rPr>
          <w:rFonts w:ascii="Times New Roman" w:hAnsi="Times New Roman" w:cs="Times New Roman"/>
          <w:color w:val="000000" w:themeColor="text1"/>
          <w:sz w:val="24"/>
          <w:szCs w:val="24"/>
        </w:rPr>
        <w:t xml:space="preserve"> Chief Technology Officer, </w:t>
      </w:r>
      <w:r w:rsidRPr="009878E6" w:rsidR="00277AEC">
        <w:rPr>
          <w:rFonts w:ascii="Times New Roman" w:hAnsi="Times New Roman" w:cs="Times New Roman"/>
          <w:color w:val="000000" w:themeColor="text1"/>
          <w:sz w:val="24"/>
          <w:szCs w:val="24"/>
        </w:rPr>
        <w:t xml:space="preserve">Administrator of </w:t>
      </w:r>
      <w:r w:rsidRPr="009878E6">
        <w:rPr>
          <w:rFonts w:ascii="Times New Roman" w:hAnsi="Times New Roman" w:cs="Times New Roman"/>
          <w:color w:val="000000" w:themeColor="text1"/>
          <w:sz w:val="24"/>
          <w:szCs w:val="24"/>
        </w:rPr>
        <w:t xml:space="preserve">General Services Administration, and </w:t>
      </w:r>
      <w:r w:rsidRPr="009878E6" w:rsidR="00277AEC">
        <w:rPr>
          <w:rFonts w:ascii="Times New Roman" w:hAnsi="Times New Roman" w:cs="Times New Roman"/>
          <w:color w:val="000000" w:themeColor="text1"/>
          <w:sz w:val="24"/>
          <w:szCs w:val="24"/>
        </w:rPr>
        <w:t xml:space="preserve">the Director of </w:t>
      </w:r>
      <w:r w:rsidRPr="009878E6">
        <w:rPr>
          <w:rFonts w:ascii="Times New Roman" w:hAnsi="Times New Roman" w:cs="Times New Roman"/>
          <w:color w:val="000000" w:themeColor="text1"/>
          <w:sz w:val="24"/>
          <w:szCs w:val="24"/>
        </w:rPr>
        <w:t xml:space="preserve">OMB with coordinating efforts to produce an Open Government Directive that would address specific actions for implementing the principles of a transparent and open Government. </w:t>
      </w:r>
    </w:p>
    <w:p w:rsidR="0022672E" w:rsidRPr="009878E6" w:rsidP="009878E6" w14:paraId="7CF3D142" w14:textId="77777777">
      <w:pPr>
        <w:pStyle w:val="ListParagraph"/>
        <w:ind w:left="360"/>
        <w:rPr>
          <w:rFonts w:ascii="Times New Roman" w:hAnsi="Times New Roman" w:cs="Times New Roman"/>
          <w:color w:val="000000" w:themeColor="text1"/>
          <w:sz w:val="24"/>
          <w:szCs w:val="24"/>
        </w:rPr>
      </w:pPr>
    </w:p>
    <w:p w:rsidR="0022672E" w:rsidRPr="009878E6" w:rsidP="009878E6" w14:paraId="30AFC857" w14:textId="2710DA9A">
      <w:pPr>
        <w:pStyle w:val="ListParagraph"/>
        <w:ind w:left="360"/>
        <w:rPr>
          <w:rFonts w:ascii="Times New Roman" w:hAnsi="Times New Roman" w:cs="Times New Roman"/>
          <w:color w:val="000000" w:themeColor="text1"/>
          <w:sz w:val="24"/>
          <w:szCs w:val="24"/>
        </w:rPr>
      </w:pPr>
      <w:r w:rsidRPr="009878E6">
        <w:rPr>
          <w:rFonts w:ascii="Times New Roman" w:hAnsi="Times New Roman" w:cs="Times New Roman"/>
          <w:color w:val="000000" w:themeColor="text1"/>
          <w:sz w:val="24"/>
          <w:szCs w:val="24"/>
        </w:rPr>
        <w:t xml:space="preserve">On </w:t>
      </w:r>
      <w:r w:rsidRPr="009878E6" w:rsidR="01A3546B">
        <w:rPr>
          <w:rFonts w:ascii="Times New Roman" w:hAnsi="Times New Roman" w:cs="Times New Roman"/>
          <w:color w:val="000000" w:themeColor="text1"/>
          <w:sz w:val="24"/>
          <w:szCs w:val="24"/>
        </w:rPr>
        <w:t xml:space="preserve">January </w:t>
      </w:r>
      <w:r w:rsidRPr="009878E6">
        <w:rPr>
          <w:rFonts w:ascii="Times New Roman" w:hAnsi="Times New Roman" w:cs="Times New Roman"/>
          <w:color w:val="000000" w:themeColor="text1"/>
          <w:sz w:val="24"/>
          <w:szCs w:val="24"/>
        </w:rPr>
        <w:t xml:space="preserve">4, </w:t>
      </w:r>
      <w:r w:rsidRPr="009878E6" w:rsidR="01A3546B">
        <w:rPr>
          <w:rFonts w:ascii="Times New Roman" w:hAnsi="Times New Roman" w:cs="Times New Roman"/>
          <w:color w:val="000000" w:themeColor="text1"/>
          <w:sz w:val="24"/>
          <w:szCs w:val="24"/>
        </w:rPr>
        <w:t>2011, Congress passed t</w:t>
      </w:r>
      <w:r w:rsidRPr="009878E6" w:rsidR="26C97835">
        <w:rPr>
          <w:rFonts w:ascii="Times New Roman" w:hAnsi="Times New Roman" w:cs="Times New Roman"/>
          <w:color w:val="000000" w:themeColor="text1"/>
          <w:sz w:val="24"/>
          <w:szCs w:val="24"/>
        </w:rPr>
        <w:t>he G</w:t>
      </w:r>
      <w:r w:rsidRPr="009878E6" w:rsidR="00BA2EFA">
        <w:rPr>
          <w:rFonts w:ascii="Times New Roman" w:hAnsi="Times New Roman" w:cs="Times New Roman"/>
          <w:color w:val="000000" w:themeColor="text1"/>
          <w:sz w:val="24"/>
          <w:szCs w:val="24"/>
        </w:rPr>
        <w:t>overnment Performance and Results Act (G</w:t>
      </w:r>
      <w:r w:rsidRPr="009878E6" w:rsidR="26C97835">
        <w:rPr>
          <w:rFonts w:ascii="Times New Roman" w:hAnsi="Times New Roman" w:cs="Times New Roman"/>
          <w:color w:val="000000" w:themeColor="text1"/>
          <w:sz w:val="24"/>
          <w:szCs w:val="24"/>
        </w:rPr>
        <w:t>PRA</w:t>
      </w:r>
      <w:r w:rsidRPr="009878E6" w:rsidR="00BA2EFA">
        <w:rPr>
          <w:rFonts w:ascii="Times New Roman" w:hAnsi="Times New Roman" w:cs="Times New Roman"/>
          <w:color w:val="000000" w:themeColor="text1"/>
          <w:sz w:val="24"/>
          <w:szCs w:val="24"/>
        </w:rPr>
        <w:t>)</w:t>
      </w:r>
      <w:r w:rsidRPr="009878E6" w:rsidR="26C97835">
        <w:rPr>
          <w:rFonts w:ascii="Times New Roman" w:hAnsi="Times New Roman" w:cs="Times New Roman"/>
          <w:color w:val="000000" w:themeColor="text1"/>
          <w:sz w:val="24"/>
          <w:szCs w:val="24"/>
        </w:rPr>
        <w:t xml:space="preserve"> Modernization Act of 2010 </w:t>
      </w:r>
      <w:r w:rsidRPr="009878E6" w:rsidR="01A3546B">
        <w:rPr>
          <w:rFonts w:ascii="Times New Roman" w:hAnsi="Times New Roman" w:cs="Times New Roman"/>
          <w:color w:val="000000" w:themeColor="text1"/>
          <w:sz w:val="24"/>
          <w:szCs w:val="24"/>
        </w:rPr>
        <w:t>(124 Stat. 3866, Pub</w:t>
      </w:r>
      <w:r w:rsidR="0050166E">
        <w:rPr>
          <w:rFonts w:ascii="Times New Roman" w:hAnsi="Times New Roman" w:cs="Times New Roman"/>
          <w:color w:val="000000" w:themeColor="text1"/>
          <w:sz w:val="24"/>
          <w:szCs w:val="24"/>
        </w:rPr>
        <w:t>.</w:t>
      </w:r>
      <w:r w:rsidRPr="009878E6" w:rsidR="01A3546B">
        <w:rPr>
          <w:rFonts w:ascii="Times New Roman" w:hAnsi="Times New Roman" w:cs="Times New Roman"/>
          <w:color w:val="000000" w:themeColor="text1"/>
          <w:sz w:val="24"/>
          <w:szCs w:val="24"/>
        </w:rPr>
        <w:t xml:space="preserve"> L</w:t>
      </w:r>
      <w:r w:rsidR="0050166E">
        <w:rPr>
          <w:rFonts w:ascii="Times New Roman" w:hAnsi="Times New Roman" w:cs="Times New Roman"/>
          <w:color w:val="000000" w:themeColor="text1"/>
          <w:sz w:val="24"/>
          <w:szCs w:val="24"/>
        </w:rPr>
        <w:t>.</w:t>
      </w:r>
      <w:r w:rsidRPr="009878E6" w:rsidR="01A3546B">
        <w:rPr>
          <w:rFonts w:ascii="Times New Roman" w:hAnsi="Times New Roman" w:cs="Times New Roman"/>
          <w:color w:val="000000" w:themeColor="text1"/>
          <w:sz w:val="24"/>
          <w:szCs w:val="24"/>
        </w:rPr>
        <w:t xml:space="preserve"> 111-352) </w:t>
      </w:r>
      <w:r w:rsidRPr="009878E6" w:rsidR="26C97835">
        <w:rPr>
          <w:rFonts w:ascii="Times New Roman" w:hAnsi="Times New Roman" w:cs="Times New Roman"/>
          <w:color w:val="000000" w:themeColor="text1"/>
          <w:sz w:val="24"/>
          <w:szCs w:val="24"/>
        </w:rPr>
        <w:t xml:space="preserve">enhanced the </w:t>
      </w:r>
      <w:r w:rsidRPr="009878E6" w:rsidR="506C452D">
        <w:rPr>
          <w:rFonts w:ascii="Times New Roman" w:hAnsi="Times New Roman" w:cs="Times New Roman"/>
          <w:color w:val="000000" w:themeColor="text1"/>
          <w:sz w:val="24"/>
          <w:szCs w:val="24"/>
        </w:rPr>
        <w:t xml:space="preserve">Federal Government’s </w:t>
      </w:r>
      <w:r w:rsidRPr="009878E6" w:rsidR="26C97835">
        <w:rPr>
          <w:rFonts w:ascii="Times New Roman" w:hAnsi="Times New Roman" w:cs="Times New Roman"/>
          <w:color w:val="000000" w:themeColor="text1"/>
          <w:sz w:val="24"/>
          <w:szCs w:val="24"/>
        </w:rPr>
        <w:t xml:space="preserve">performance management by creating two new frameworks: 1) one government-wide performance plan developed by OMB with input from departments and agencies, and 2) agency priority goals that are identified and reported quarterly. GPRA 2010 tasks the agency Chief Operating Officer and Performance Improvement Officer with the overall organization management to improve performance.   </w:t>
      </w:r>
    </w:p>
    <w:p w:rsidR="0022672E" w:rsidRPr="009878E6" w:rsidP="009878E6" w14:paraId="62A572B7" w14:textId="77777777">
      <w:pPr>
        <w:pStyle w:val="ListParagraph"/>
        <w:ind w:left="360"/>
        <w:rPr>
          <w:rFonts w:ascii="Times New Roman" w:hAnsi="Times New Roman" w:cs="Times New Roman"/>
          <w:color w:val="000000" w:themeColor="text1"/>
          <w:sz w:val="24"/>
          <w:szCs w:val="24"/>
        </w:rPr>
      </w:pPr>
    </w:p>
    <w:p w:rsidR="0022672E" w:rsidRPr="009878E6" w:rsidP="009878E6" w14:paraId="002ED0C5" w14:textId="2DBD367F">
      <w:pPr>
        <w:pStyle w:val="ListParagraph"/>
        <w:ind w:left="360"/>
        <w:rPr>
          <w:rFonts w:ascii="Times New Roman" w:hAnsi="Times New Roman" w:cs="Times New Roman"/>
          <w:color w:val="000000" w:themeColor="text1"/>
          <w:sz w:val="24"/>
          <w:szCs w:val="24"/>
        </w:rPr>
      </w:pPr>
      <w:r w:rsidRPr="009878E6">
        <w:rPr>
          <w:rFonts w:ascii="Times New Roman" w:hAnsi="Times New Roman" w:cs="Times New Roman"/>
          <w:color w:val="000000" w:themeColor="text1"/>
          <w:sz w:val="24"/>
          <w:szCs w:val="24"/>
        </w:rPr>
        <w:t xml:space="preserve">On April 27, 2010, President Obama issued Executive Order 13571 - Streamlining Customer Service Delivery and Improving Customer Service. This </w:t>
      </w:r>
      <w:r w:rsidRPr="009878E6" w:rsidR="00290C1D">
        <w:rPr>
          <w:rFonts w:ascii="Times New Roman" w:hAnsi="Times New Roman" w:cs="Times New Roman"/>
          <w:color w:val="000000" w:themeColor="text1"/>
          <w:sz w:val="24"/>
          <w:szCs w:val="24"/>
        </w:rPr>
        <w:t>Order</w:t>
      </w:r>
      <w:r w:rsidRPr="009878E6">
        <w:rPr>
          <w:rFonts w:ascii="Times New Roman" w:hAnsi="Times New Roman" w:cs="Times New Roman"/>
          <w:color w:val="000000" w:themeColor="text1"/>
          <w:sz w:val="24"/>
          <w:szCs w:val="24"/>
        </w:rPr>
        <w:t xml:space="preserve"> requires each agency to develop a customer service plan in consultation with OMB that addresses how each agency will provide services in a manner that streamlines service delivery and improves the experience of its customers. The </w:t>
      </w:r>
      <w:r w:rsidRPr="009878E6" w:rsidR="00290C1D">
        <w:rPr>
          <w:rFonts w:ascii="Times New Roman" w:hAnsi="Times New Roman" w:cs="Times New Roman"/>
          <w:color w:val="000000" w:themeColor="text1"/>
          <w:sz w:val="24"/>
          <w:szCs w:val="24"/>
        </w:rPr>
        <w:t>Order</w:t>
      </w:r>
      <w:r w:rsidRPr="009878E6">
        <w:rPr>
          <w:rFonts w:ascii="Times New Roman" w:hAnsi="Times New Roman" w:cs="Times New Roman"/>
          <w:color w:val="000000" w:themeColor="text1"/>
          <w:sz w:val="24"/>
          <w:szCs w:val="24"/>
        </w:rPr>
        <w:t xml:space="preserve"> requires the </w:t>
      </w:r>
      <w:r w:rsidRPr="009878E6">
        <w:rPr>
          <w:rFonts w:ascii="Times New Roman" w:hAnsi="Times New Roman" w:cs="Times New Roman"/>
          <w:color w:val="000000" w:themeColor="text1"/>
          <w:sz w:val="24"/>
          <w:szCs w:val="24"/>
        </w:rPr>
        <w:t xml:space="preserve">establishment of mechanisms to solicit customer feedback on Government services and using feedback regularly to make improvements. Furthermore, the </w:t>
      </w:r>
      <w:r w:rsidRPr="009878E6" w:rsidR="00290C1D">
        <w:rPr>
          <w:rFonts w:ascii="Times New Roman" w:hAnsi="Times New Roman" w:cs="Times New Roman"/>
          <w:color w:val="000000" w:themeColor="text1"/>
          <w:sz w:val="24"/>
          <w:szCs w:val="24"/>
        </w:rPr>
        <w:t>Order</w:t>
      </w:r>
      <w:r w:rsidRPr="009878E6">
        <w:rPr>
          <w:rFonts w:ascii="Times New Roman" w:hAnsi="Times New Roman" w:cs="Times New Roman"/>
          <w:color w:val="000000" w:themeColor="text1"/>
          <w:sz w:val="24"/>
          <w:szCs w:val="24"/>
        </w:rPr>
        <w:t xml:space="preserve"> requires improving the customer experience by adopting proven customer service best practices across service channels as well as identifying ways to use innovative technologies to accomplish customer service activities, thereby lowering costs, decreasing service delivery times and improving the customer experience (as can be accomplished through agency websites).</w:t>
      </w:r>
    </w:p>
    <w:p w:rsidR="0022672E" w:rsidRPr="009878E6" w:rsidP="009878E6" w14:paraId="1F0BB377" w14:textId="77777777">
      <w:pPr>
        <w:pStyle w:val="ListParagraph"/>
        <w:ind w:left="360"/>
        <w:rPr>
          <w:rFonts w:ascii="Times New Roman" w:hAnsi="Times New Roman" w:cs="Times New Roman"/>
          <w:color w:val="000000" w:themeColor="text1"/>
          <w:sz w:val="24"/>
          <w:szCs w:val="24"/>
        </w:rPr>
      </w:pPr>
    </w:p>
    <w:p w:rsidR="0022672E" w:rsidRPr="009878E6" w:rsidP="009878E6" w14:paraId="1EF0A1EB" w14:textId="77777777">
      <w:pPr>
        <w:pStyle w:val="ListParagraph"/>
        <w:ind w:left="360"/>
        <w:rPr>
          <w:rFonts w:ascii="Times New Roman" w:hAnsi="Times New Roman" w:cs="Times New Roman"/>
          <w:color w:val="000000" w:themeColor="text1"/>
          <w:sz w:val="24"/>
          <w:szCs w:val="24"/>
        </w:rPr>
      </w:pPr>
      <w:r w:rsidRPr="009878E6">
        <w:rPr>
          <w:rFonts w:ascii="Times New Roman" w:hAnsi="Times New Roman" w:cs="Times New Roman"/>
          <w:color w:val="000000" w:themeColor="text1"/>
          <w:sz w:val="24"/>
          <w:szCs w:val="24"/>
        </w:rPr>
        <w:t>On March 30, 2016, President Obama established the Core Federal Services Council, which again emphasized the need to deliver world-class customer service to the American people. The Council, composed of the major high-volume, high-impact Federal programs that provide transactional services directly to the public, were encouraged “to improve the customer experience by using public and private sector management best practices, such as conducting self-assessments and journey mapping, collecting transactional feedback data, and sharing such data with frontline and other staff.”</w:t>
      </w:r>
    </w:p>
    <w:p w:rsidR="0022672E" w:rsidRPr="009878E6" w:rsidP="009878E6" w14:paraId="10807364" w14:textId="77777777">
      <w:pPr>
        <w:pStyle w:val="ListParagraph"/>
        <w:ind w:left="360"/>
        <w:rPr>
          <w:rFonts w:ascii="Times New Roman" w:hAnsi="Times New Roman" w:cs="Times New Roman"/>
          <w:color w:val="000000" w:themeColor="text1"/>
          <w:sz w:val="24"/>
          <w:szCs w:val="24"/>
        </w:rPr>
      </w:pPr>
    </w:p>
    <w:p w:rsidR="0022672E" w:rsidRPr="009878E6" w:rsidP="009878E6" w14:paraId="2AD76D97" w14:textId="77777777">
      <w:pPr>
        <w:pStyle w:val="ListParagraph"/>
        <w:ind w:left="360"/>
        <w:rPr>
          <w:rFonts w:ascii="Times New Roman" w:hAnsi="Times New Roman" w:cs="Times New Roman"/>
          <w:color w:val="000000" w:themeColor="text1"/>
          <w:sz w:val="24"/>
          <w:szCs w:val="24"/>
        </w:rPr>
      </w:pPr>
      <w:r w:rsidRPr="009878E6">
        <w:rPr>
          <w:rFonts w:ascii="Times New Roman" w:hAnsi="Times New Roman" w:cs="Times New Roman"/>
          <w:color w:val="000000" w:themeColor="text1"/>
          <w:sz w:val="24"/>
          <w:szCs w:val="24"/>
        </w:rPr>
        <w:t>In March 2018, the Trump Administration launched the President's Management Agenda (PMA) and established new Cross-Agency Priority (CAP) Goals. Excellent service was established as a core component of the mission, service, stewardship model that frames the entire PMA, embedding a customer-focused approach in all of the PMA's initiatives. This model was also included in the 2018 update of the Federal Performance Framework in Circular A-11, ensuring `excellent service' as a focus in future agency strategic planning efforts. The PMA included a CAP Goal on Improving Customer Experience with Federal Services, with a primary strategy to drive improvements within 25 of the nation's highest impact programs. This effort is supported by an interagency team and guidance in Circular A-11 requiring the collection of customer feedback data and increasing the use of industry best practices to conduct customer research.</w:t>
      </w:r>
    </w:p>
    <w:p w:rsidR="0022672E" w:rsidRPr="009878E6" w:rsidP="009878E6" w14:paraId="2593FE6B" w14:textId="77777777">
      <w:pPr>
        <w:pStyle w:val="ListParagraph"/>
        <w:ind w:left="360"/>
        <w:rPr>
          <w:rFonts w:ascii="Times New Roman" w:hAnsi="Times New Roman" w:cs="Times New Roman"/>
          <w:color w:val="000000" w:themeColor="text1"/>
          <w:sz w:val="24"/>
          <w:szCs w:val="24"/>
        </w:rPr>
      </w:pPr>
    </w:p>
    <w:p w:rsidR="0022672E" w:rsidRPr="009878E6" w:rsidP="009878E6" w14:paraId="7F52F4AE" w14:textId="0C7F9721">
      <w:pPr>
        <w:pStyle w:val="ListParagraph"/>
        <w:ind w:left="360"/>
        <w:rPr>
          <w:rFonts w:ascii="Times New Roman" w:hAnsi="Times New Roman" w:cs="Times New Roman"/>
          <w:color w:val="000000" w:themeColor="text1"/>
          <w:sz w:val="24"/>
          <w:szCs w:val="24"/>
        </w:rPr>
      </w:pPr>
      <w:r w:rsidRPr="009878E6">
        <w:rPr>
          <w:rFonts w:ascii="Times New Roman" w:hAnsi="Times New Roman" w:cs="Times New Roman"/>
          <w:color w:val="000000" w:themeColor="text1"/>
          <w:sz w:val="24"/>
          <w:szCs w:val="24"/>
        </w:rPr>
        <w:t xml:space="preserve">On January 14, 2019, President Trump signed the Foundations of Evidence-Based Policy-Making bill into law </w:t>
      </w:r>
      <w:r w:rsidRPr="009878E6" w:rsidR="00290C1D">
        <w:rPr>
          <w:rFonts w:ascii="Times New Roman" w:hAnsi="Times New Roman" w:cs="Times New Roman"/>
          <w:color w:val="000000" w:themeColor="text1"/>
          <w:sz w:val="24"/>
          <w:szCs w:val="24"/>
        </w:rPr>
        <w:t xml:space="preserve">(Evidence Act) </w:t>
      </w:r>
      <w:r w:rsidRPr="009878E6">
        <w:rPr>
          <w:rFonts w:ascii="Times New Roman" w:hAnsi="Times New Roman" w:cs="Times New Roman"/>
          <w:color w:val="000000" w:themeColor="text1"/>
          <w:sz w:val="24"/>
          <w:szCs w:val="24"/>
        </w:rPr>
        <w:t>(Pub</w:t>
      </w:r>
      <w:r w:rsidR="0050166E">
        <w:rPr>
          <w:rFonts w:ascii="Times New Roman" w:hAnsi="Times New Roman" w:cs="Times New Roman"/>
          <w:color w:val="000000" w:themeColor="text1"/>
          <w:sz w:val="24"/>
          <w:szCs w:val="24"/>
        </w:rPr>
        <w:t>.</w:t>
      </w:r>
      <w:r w:rsidRPr="009878E6">
        <w:rPr>
          <w:rFonts w:ascii="Times New Roman" w:hAnsi="Times New Roman" w:cs="Times New Roman"/>
          <w:color w:val="000000" w:themeColor="text1"/>
          <w:sz w:val="24"/>
          <w:szCs w:val="24"/>
        </w:rPr>
        <w:t xml:space="preserve"> L</w:t>
      </w:r>
      <w:r w:rsidR="0050166E">
        <w:rPr>
          <w:rFonts w:ascii="Times New Roman" w:hAnsi="Times New Roman" w:cs="Times New Roman"/>
          <w:color w:val="000000" w:themeColor="text1"/>
          <w:sz w:val="24"/>
          <w:szCs w:val="24"/>
        </w:rPr>
        <w:t>.</w:t>
      </w:r>
      <w:r w:rsidRPr="009878E6">
        <w:rPr>
          <w:rFonts w:ascii="Times New Roman" w:hAnsi="Times New Roman" w:cs="Times New Roman"/>
          <w:color w:val="000000" w:themeColor="text1"/>
          <w:sz w:val="24"/>
          <w:szCs w:val="24"/>
        </w:rPr>
        <w:t xml:space="preserve"> 115-435). In its provisions, the Evidence Act requires the head of each agency, in the agency’s strategic plan, to include a systematic plan for identifying and addressing policy questions relevant to the programs, policies, and regulations of the agency. While not named specifically, customer </w:t>
      </w:r>
      <w:r w:rsidRPr="009878E6" w:rsidR="002D1143">
        <w:rPr>
          <w:rFonts w:ascii="Times New Roman" w:hAnsi="Times New Roman" w:cs="Times New Roman"/>
          <w:color w:val="000000" w:themeColor="text1"/>
          <w:sz w:val="24"/>
          <w:szCs w:val="24"/>
        </w:rPr>
        <w:t>service delivery and satisfaction</w:t>
      </w:r>
      <w:r w:rsidRPr="009878E6">
        <w:rPr>
          <w:rFonts w:ascii="Times New Roman" w:hAnsi="Times New Roman" w:cs="Times New Roman"/>
          <w:color w:val="000000" w:themeColor="text1"/>
          <w:sz w:val="24"/>
          <w:szCs w:val="24"/>
        </w:rPr>
        <w:t xml:space="preserve"> related questions may arise in agency’s strategic plan, evaluation plan, and/or learning agendas described in the </w:t>
      </w:r>
      <w:r w:rsidRPr="009878E6" w:rsidR="00290C1D">
        <w:rPr>
          <w:rFonts w:ascii="Times New Roman" w:hAnsi="Times New Roman" w:cs="Times New Roman"/>
          <w:color w:val="000000" w:themeColor="text1"/>
          <w:sz w:val="24"/>
          <w:szCs w:val="24"/>
        </w:rPr>
        <w:t xml:space="preserve">Evidence </w:t>
      </w:r>
      <w:r w:rsidRPr="009878E6">
        <w:rPr>
          <w:rFonts w:ascii="Times New Roman" w:hAnsi="Times New Roman" w:cs="Times New Roman"/>
          <w:color w:val="000000" w:themeColor="text1"/>
          <w:sz w:val="24"/>
          <w:szCs w:val="24"/>
        </w:rPr>
        <w:t xml:space="preserve">Act.  </w:t>
      </w:r>
    </w:p>
    <w:p w:rsidR="002D1143" w:rsidRPr="009878E6" w:rsidP="009878E6" w14:paraId="1718B94F" w14:textId="2A89D102">
      <w:pPr>
        <w:pStyle w:val="ListParagraph"/>
        <w:ind w:left="360"/>
        <w:rPr>
          <w:rFonts w:ascii="Times New Roman" w:hAnsi="Times New Roman" w:cs="Times New Roman"/>
          <w:color w:val="000000" w:themeColor="text1"/>
          <w:sz w:val="24"/>
          <w:szCs w:val="24"/>
        </w:rPr>
      </w:pPr>
    </w:p>
    <w:p w:rsidR="007C3251" w:rsidRPr="009878E6" w:rsidP="009878E6" w14:paraId="47194158" w14:textId="11E26801">
      <w:pPr>
        <w:pStyle w:val="ListParagraph"/>
        <w:ind w:left="360"/>
        <w:rPr>
          <w:rFonts w:ascii="Times New Roman" w:hAnsi="Times New Roman" w:cs="Times New Roman"/>
          <w:color w:val="000000" w:themeColor="text1"/>
          <w:sz w:val="24"/>
          <w:szCs w:val="24"/>
        </w:rPr>
      </w:pPr>
      <w:r w:rsidRPr="009878E6">
        <w:rPr>
          <w:rFonts w:ascii="Times New Roman" w:hAnsi="Times New Roman" w:cs="Times New Roman"/>
          <w:color w:val="000000" w:themeColor="text1"/>
          <w:sz w:val="24"/>
          <w:szCs w:val="24"/>
        </w:rPr>
        <w:t>On December 13, 2021, President Biden issued Executive Order 14058 -- Transforming Federal Customer Experience and Service Delivery to Rebuild Trust in Government. The Executive Order directs Federal agencies to put people at the center of everything the Government does. Specifically, the Executive Order includes 36 customer experience (CX) improvement commitments across 17 Federal agencies, all of which aim to improve people’s lives and the delivery of Government services.</w:t>
      </w:r>
      <w:r w:rsidRPr="009878E6" w:rsidR="000364E1">
        <w:rPr>
          <w:rFonts w:ascii="Times New Roman" w:hAnsi="Times New Roman" w:cs="Times New Roman"/>
          <w:color w:val="000000" w:themeColor="text1"/>
          <w:sz w:val="24"/>
          <w:szCs w:val="24"/>
        </w:rPr>
        <w:t xml:space="preserve"> As part of this framework, the Administration will work to identify and define critical services that meet customers’ needs and expectations, assess performance delivery and report it publicly, incorporate customer feedback during each interaction, and ultimately ensure services deliver a better experience to the public.</w:t>
      </w:r>
    </w:p>
    <w:p w:rsidR="007C3251" w:rsidRPr="009878E6" w:rsidP="009878E6" w14:paraId="33CC9DDB" w14:textId="77777777">
      <w:pPr>
        <w:pStyle w:val="ListParagraph"/>
        <w:ind w:left="360"/>
        <w:rPr>
          <w:rFonts w:ascii="Times New Roman" w:hAnsi="Times New Roman" w:cs="Times New Roman"/>
          <w:color w:val="000000" w:themeColor="text1"/>
          <w:sz w:val="24"/>
          <w:szCs w:val="24"/>
        </w:rPr>
      </w:pPr>
    </w:p>
    <w:p w:rsidR="002D1143" w:rsidRPr="009878E6" w:rsidP="009878E6" w14:paraId="0424143E" w14:textId="43A3149B">
      <w:pPr>
        <w:pStyle w:val="ListParagraph"/>
        <w:ind w:left="360"/>
        <w:rPr>
          <w:rFonts w:ascii="Times New Roman" w:hAnsi="Times New Roman" w:cs="Times New Roman"/>
          <w:color w:val="000000" w:themeColor="text1"/>
          <w:sz w:val="24"/>
          <w:szCs w:val="24"/>
        </w:rPr>
      </w:pPr>
      <w:r w:rsidRPr="009878E6">
        <w:rPr>
          <w:rFonts w:ascii="Times New Roman" w:hAnsi="Times New Roman" w:cs="Times New Roman"/>
          <w:color w:val="000000" w:themeColor="text1"/>
          <w:sz w:val="24"/>
          <w:szCs w:val="24"/>
        </w:rPr>
        <w:t>On March 28, 2022, the Biden Administration released the F</w:t>
      </w:r>
      <w:r w:rsidRPr="009878E6" w:rsidR="00290C1D">
        <w:rPr>
          <w:rFonts w:ascii="Times New Roman" w:hAnsi="Times New Roman" w:cs="Times New Roman"/>
          <w:color w:val="000000" w:themeColor="text1"/>
          <w:sz w:val="24"/>
          <w:szCs w:val="24"/>
        </w:rPr>
        <w:t xml:space="preserve">iscal </w:t>
      </w:r>
      <w:r w:rsidRPr="009878E6">
        <w:rPr>
          <w:rFonts w:ascii="Times New Roman" w:hAnsi="Times New Roman" w:cs="Times New Roman"/>
          <w:color w:val="000000" w:themeColor="text1"/>
          <w:sz w:val="24"/>
          <w:szCs w:val="24"/>
        </w:rPr>
        <w:t>Y</w:t>
      </w:r>
      <w:r w:rsidRPr="009878E6" w:rsidR="00290C1D">
        <w:rPr>
          <w:rFonts w:ascii="Times New Roman" w:hAnsi="Times New Roman" w:cs="Times New Roman"/>
          <w:color w:val="000000" w:themeColor="text1"/>
          <w:sz w:val="24"/>
          <w:szCs w:val="24"/>
        </w:rPr>
        <w:t>ear (FY)</w:t>
      </w:r>
      <w:r w:rsidRPr="009878E6">
        <w:rPr>
          <w:rFonts w:ascii="Times New Roman" w:hAnsi="Times New Roman" w:cs="Times New Roman"/>
          <w:color w:val="000000" w:themeColor="text1"/>
          <w:sz w:val="24"/>
          <w:szCs w:val="24"/>
        </w:rPr>
        <w:t xml:space="preserve"> 2023 budget. In the budget document, the Analytical Perspectives section describes the government’s commitment to setting ambitious goals for protecting individuals and communities, modernizing infrastructure, investing in children, and taking care of the most vulnerable. An area of emphasis is the centrality of on-the-ground results and citizen’s experiences with their </w:t>
      </w:r>
      <w:r w:rsidRPr="009878E6" w:rsidR="005E6345">
        <w:rPr>
          <w:rFonts w:ascii="Times New Roman" w:hAnsi="Times New Roman" w:cs="Times New Roman"/>
          <w:color w:val="000000" w:themeColor="text1"/>
          <w:sz w:val="24"/>
          <w:szCs w:val="24"/>
        </w:rPr>
        <w:t>government</w:t>
      </w:r>
      <w:r w:rsidRPr="009878E6" w:rsidR="000364E1">
        <w:rPr>
          <w:rFonts w:ascii="Times New Roman" w:hAnsi="Times New Roman" w:cs="Times New Roman"/>
          <w:color w:val="000000" w:themeColor="text1"/>
          <w:sz w:val="24"/>
          <w:szCs w:val="24"/>
        </w:rPr>
        <w:t xml:space="preserve">. </w:t>
      </w:r>
      <w:r w:rsidRPr="009878E6" w:rsidR="00D55FA6">
        <w:rPr>
          <w:rFonts w:ascii="Times New Roman" w:hAnsi="Times New Roman" w:cs="Times New Roman"/>
          <w:color w:val="000000" w:themeColor="text1"/>
          <w:sz w:val="24"/>
          <w:szCs w:val="24"/>
        </w:rPr>
        <w:t>Our effort is in direct support of the goals and guidance established in the Biden Administration’s Budget and Analytical Perspectives.</w:t>
      </w:r>
    </w:p>
    <w:p w:rsidR="002D1143" w:rsidRPr="009878E6" w:rsidP="009878E6" w14:paraId="2FBB8609" w14:textId="77777777">
      <w:pPr>
        <w:pStyle w:val="ListParagraph"/>
        <w:ind w:left="360"/>
        <w:rPr>
          <w:rFonts w:ascii="Times New Roman" w:hAnsi="Times New Roman" w:cs="Times New Roman"/>
          <w:color w:val="000000" w:themeColor="text1"/>
          <w:sz w:val="24"/>
          <w:szCs w:val="24"/>
        </w:rPr>
      </w:pPr>
    </w:p>
    <w:p w:rsidR="0022672E" w:rsidRPr="009878E6" w:rsidP="009878E6" w14:paraId="06F6143A" w14:textId="4CB8D8F4">
      <w:pPr>
        <w:pStyle w:val="ListParagraph"/>
        <w:ind w:left="360"/>
        <w:rPr>
          <w:rFonts w:ascii="Times New Roman" w:hAnsi="Times New Roman" w:cs="Times New Roman"/>
          <w:color w:val="000000" w:themeColor="text1"/>
          <w:sz w:val="24"/>
          <w:szCs w:val="24"/>
        </w:rPr>
      </w:pPr>
      <w:r w:rsidRPr="009878E6">
        <w:rPr>
          <w:rFonts w:ascii="Times New Roman" w:hAnsi="Times New Roman" w:cs="Times New Roman"/>
          <w:color w:val="000000" w:themeColor="text1"/>
          <w:sz w:val="24"/>
          <w:szCs w:val="24"/>
        </w:rPr>
        <w:t>These executive and legislative initiatives clearly recognize that while federal resources need to be allocated to programs and managers that deliver results, agencies need to engage and collaborate with the public to ensure that programs are structured in a way that maximizes effectiveness and strives to improve program quality. Therefore, agencies are likely to make more use of information collections involving citizen input and perspectives</w:t>
      </w:r>
      <w:r w:rsidRPr="009878E6" w:rsidR="002D1143">
        <w:rPr>
          <w:rFonts w:ascii="Times New Roman" w:hAnsi="Times New Roman" w:cs="Times New Roman"/>
          <w:color w:val="000000" w:themeColor="text1"/>
          <w:sz w:val="24"/>
          <w:szCs w:val="24"/>
        </w:rPr>
        <w:t xml:space="preserve">, like the proposed information collection, </w:t>
      </w:r>
      <w:r w:rsidRPr="009878E6" w:rsidR="0007248B">
        <w:rPr>
          <w:rFonts w:ascii="Times New Roman" w:hAnsi="Times New Roman" w:cs="Times New Roman"/>
          <w:color w:val="000000" w:themeColor="text1"/>
          <w:sz w:val="24"/>
          <w:szCs w:val="24"/>
        </w:rPr>
        <w:t>to</w:t>
      </w:r>
      <w:r w:rsidRPr="009878E6">
        <w:rPr>
          <w:rFonts w:ascii="Times New Roman" w:hAnsi="Times New Roman" w:cs="Times New Roman"/>
          <w:color w:val="000000" w:themeColor="text1"/>
          <w:sz w:val="24"/>
          <w:szCs w:val="24"/>
        </w:rPr>
        <w:t xml:space="preserve"> collaborate effectively with the public and meet Administration mandates. </w:t>
      </w:r>
      <w:r w:rsidRPr="009878E6" w:rsidR="0007248B">
        <w:rPr>
          <w:rFonts w:ascii="Times New Roman" w:hAnsi="Times New Roman" w:cs="Times New Roman"/>
          <w:color w:val="000000" w:themeColor="text1"/>
          <w:sz w:val="24"/>
          <w:szCs w:val="24"/>
        </w:rPr>
        <w:t xml:space="preserve">The proposed information collection is a </w:t>
      </w:r>
      <w:r w:rsidRPr="009878E6">
        <w:rPr>
          <w:rFonts w:ascii="Times New Roman" w:hAnsi="Times New Roman" w:cs="Times New Roman"/>
          <w:color w:val="000000" w:themeColor="text1"/>
          <w:sz w:val="24"/>
          <w:szCs w:val="24"/>
        </w:rPr>
        <w:t xml:space="preserve">tool for </w:t>
      </w:r>
      <w:r w:rsidRPr="009878E6" w:rsidR="0007248B">
        <w:rPr>
          <w:rFonts w:ascii="Times New Roman" w:hAnsi="Times New Roman" w:cs="Times New Roman"/>
          <w:color w:val="000000" w:themeColor="text1"/>
          <w:sz w:val="24"/>
          <w:szCs w:val="24"/>
        </w:rPr>
        <w:t>FEMA</w:t>
      </w:r>
      <w:r w:rsidRPr="009878E6">
        <w:rPr>
          <w:rFonts w:ascii="Times New Roman" w:hAnsi="Times New Roman" w:cs="Times New Roman"/>
          <w:color w:val="000000" w:themeColor="text1"/>
          <w:sz w:val="24"/>
          <w:szCs w:val="24"/>
        </w:rPr>
        <w:t xml:space="preserve"> to use in demonstrating </w:t>
      </w:r>
      <w:r w:rsidRPr="009878E6" w:rsidR="0007248B">
        <w:rPr>
          <w:rFonts w:ascii="Times New Roman" w:hAnsi="Times New Roman" w:cs="Times New Roman"/>
          <w:color w:val="000000" w:themeColor="text1"/>
          <w:sz w:val="24"/>
          <w:szCs w:val="24"/>
        </w:rPr>
        <w:t>its</w:t>
      </w:r>
      <w:r w:rsidRPr="009878E6">
        <w:rPr>
          <w:rFonts w:ascii="Times New Roman" w:hAnsi="Times New Roman" w:cs="Times New Roman"/>
          <w:color w:val="000000" w:themeColor="text1"/>
          <w:sz w:val="24"/>
          <w:szCs w:val="24"/>
        </w:rPr>
        <w:t xml:space="preserve"> willingness to be open and collaborative, as </w:t>
      </w:r>
      <w:r w:rsidRPr="009878E6" w:rsidR="0007248B">
        <w:rPr>
          <w:rFonts w:ascii="Times New Roman" w:hAnsi="Times New Roman" w:cs="Times New Roman"/>
          <w:color w:val="000000" w:themeColor="text1"/>
          <w:sz w:val="24"/>
          <w:szCs w:val="24"/>
        </w:rPr>
        <w:t>it</w:t>
      </w:r>
      <w:r w:rsidRPr="009878E6">
        <w:rPr>
          <w:rFonts w:ascii="Times New Roman" w:hAnsi="Times New Roman" w:cs="Times New Roman"/>
          <w:color w:val="000000" w:themeColor="text1"/>
          <w:sz w:val="24"/>
          <w:szCs w:val="24"/>
        </w:rPr>
        <w:t xml:space="preserve"> solicit</w:t>
      </w:r>
      <w:r w:rsidRPr="009878E6" w:rsidR="0007248B">
        <w:rPr>
          <w:rFonts w:ascii="Times New Roman" w:hAnsi="Times New Roman" w:cs="Times New Roman"/>
          <w:color w:val="000000" w:themeColor="text1"/>
          <w:sz w:val="24"/>
          <w:szCs w:val="24"/>
        </w:rPr>
        <w:t>s</w:t>
      </w:r>
      <w:r w:rsidRPr="009878E6">
        <w:rPr>
          <w:rFonts w:ascii="Times New Roman" w:hAnsi="Times New Roman" w:cs="Times New Roman"/>
          <w:color w:val="000000" w:themeColor="text1"/>
          <w:sz w:val="24"/>
          <w:szCs w:val="24"/>
        </w:rPr>
        <w:t xml:space="preserve"> input on </w:t>
      </w:r>
      <w:r w:rsidRPr="009878E6" w:rsidR="0007248B">
        <w:rPr>
          <w:rFonts w:ascii="Times New Roman" w:hAnsi="Times New Roman" w:cs="Times New Roman"/>
          <w:color w:val="000000" w:themeColor="text1"/>
          <w:sz w:val="24"/>
          <w:szCs w:val="24"/>
        </w:rPr>
        <w:t xml:space="preserve">a critical aspect supporting the </w:t>
      </w:r>
      <w:r w:rsidRPr="009878E6" w:rsidR="005E6345">
        <w:rPr>
          <w:rFonts w:ascii="Times New Roman" w:hAnsi="Times New Roman" w:cs="Times New Roman"/>
          <w:color w:val="000000" w:themeColor="text1"/>
          <w:sz w:val="24"/>
          <w:szCs w:val="24"/>
        </w:rPr>
        <w:t xml:space="preserve">administration of the </w:t>
      </w:r>
      <w:r w:rsidRPr="009878E6" w:rsidR="00686067">
        <w:rPr>
          <w:rFonts w:ascii="Times New Roman" w:hAnsi="Times New Roman" w:cs="Times New Roman"/>
          <w:color w:val="000000" w:themeColor="text1"/>
          <w:sz w:val="24"/>
          <w:szCs w:val="24"/>
        </w:rPr>
        <w:t>NFIP</w:t>
      </w:r>
      <w:r w:rsidRPr="009878E6" w:rsidR="0007248B">
        <w:rPr>
          <w:rFonts w:ascii="Times New Roman" w:hAnsi="Times New Roman" w:cs="Times New Roman"/>
          <w:color w:val="000000" w:themeColor="text1"/>
          <w:sz w:val="24"/>
          <w:szCs w:val="24"/>
        </w:rPr>
        <w:t xml:space="preserve">. </w:t>
      </w:r>
    </w:p>
    <w:p w:rsidR="005E6345" w:rsidRPr="009878E6" w:rsidP="009878E6" w14:paraId="30E6B7A1" w14:textId="77777777">
      <w:pPr>
        <w:pStyle w:val="ListParagraph"/>
        <w:ind w:left="0"/>
        <w:rPr>
          <w:rFonts w:ascii="Times New Roman" w:hAnsi="Times New Roman" w:cs="Times New Roman"/>
          <w:color w:val="000000" w:themeColor="text1"/>
          <w:sz w:val="24"/>
          <w:szCs w:val="24"/>
        </w:rPr>
      </w:pPr>
    </w:p>
    <w:p w:rsidR="0007248B" w:rsidRPr="009878E6" w:rsidP="009878E6" w14:paraId="28922C96" w14:textId="29C976FE">
      <w:pPr>
        <w:pStyle w:val="ListParagraph"/>
        <w:ind w:left="0"/>
        <w:rPr>
          <w:rFonts w:ascii="Times New Roman" w:hAnsi="Times New Roman" w:cs="Times New Roman"/>
          <w:color w:val="000000" w:themeColor="text1"/>
          <w:sz w:val="24"/>
          <w:szCs w:val="24"/>
        </w:rPr>
      </w:pPr>
      <w:r w:rsidRPr="009878E6">
        <w:rPr>
          <w:rFonts w:ascii="Times New Roman" w:hAnsi="Times New Roman" w:cs="Times New Roman"/>
          <w:color w:val="000000" w:themeColor="text1"/>
          <w:sz w:val="24"/>
          <w:szCs w:val="24"/>
        </w:rPr>
        <w:t xml:space="preserve">The nature and source of the information to be collected is as follows:  </w:t>
      </w:r>
    </w:p>
    <w:p w:rsidR="0022672E" w:rsidRPr="009878E6" w:rsidP="009878E6" w14:paraId="2972AF5E" w14:textId="2D0F69E0">
      <w:pPr>
        <w:contextualSpacing/>
        <w:rPr>
          <w:rFonts w:ascii="Times New Roman" w:hAnsi="Times New Roman" w:cs="Times New Roman"/>
          <w:color w:val="000000" w:themeColor="text1"/>
          <w:sz w:val="24"/>
          <w:szCs w:val="24"/>
        </w:rPr>
      </w:pPr>
      <w:r w:rsidRPr="009878E6">
        <w:rPr>
          <w:rFonts w:ascii="Times New Roman" w:hAnsi="Times New Roman" w:cs="Times New Roman"/>
          <w:color w:val="000000" w:themeColor="text1"/>
          <w:sz w:val="24"/>
          <w:szCs w:val="24"/>
        </w:rPr>
        <w:t xml:space="preserve">This clearance will establish </w:t>
      </w:r>
      <w:r w:rsidRPr="009878E6" w:rsidR="00E73EA1">
        <w:rPr>
          <w:rFonts w:ascii="Times New Roman" w:hAnsi="Times New Roman" w:cs="Times New Roman"/>
          <w:color w:val="000000" w:themeColor="text1"/>
          <w:sz w:val="24"/>
          <w:szCs w:val="24"/>
        </w:rPr>
        <w:t>the ability for FEMA to collect</w:t>
      </w:r>
      <w:r w:rsidRPr="009878E6">
        <w:rPr>
          <w:rFonts w:ascii="Times New Roman" w:hAnsi="Times New Roman" w:cs="Times New Roman"/>
          <w:color w:val="000000" w:themeColor="text1"/>
          <w:sz w:val="24"/>
          <w:szCs w:val="24"/>
        </w:rPr>
        <w:t xml:space="preserve"> </w:t>
      </w:r>
      <w:r w:rsidRPr="009878E6" w:rsidR="00686067">
        <w:rPr>
          <w:rFonts w:ascii="Times New Roman" w:hAnsi="Times New Roman" w:cs="Times New Roman"/>
          <w:color w:val="000000" w:themeColor="text1"/>
          <w:sz w:val="24"/>
          <w:szCs w:val="24"/>
        </w:rPr>
        <w:t>FPAs’</w:t>
      </w:r>
      <w:r w:rsidRPr="009878E6">
        <w:rPr>
          <w:rFonts w:ascii="Times New Roman" w:hAnsi="Times New Roman" w:cs="Times New Roman"/>
          <w:color w:val="000000" w:themeColor="text1"/>
          <w:sz w:val="24"/>
          <w:szCs w:val="24"/>
        </w:rPr>
        <w:t xml:space="preserve"> insights and us</w:t>
      </w:r>
      <w:r w:rsidRPr="009878E6" w:rsidR="00E73EA1">
        <w:rPr>
          <w:rFonts w:ascii="Times New Roman" w:hAnsi="Times New Roman" w:cs="Times New Roman"/>
          <w:color w:val="000000" w:themeColor="text1"/>
          <w:sz w:val="24"/>
          <w:szCs w:val="24"/>
        </w:rPr>
        <w:t>e</w:t>
      </w:r>
      <w:r w:rsidRPr="009878E6">
        <w:rPr>
          <w:rFonts w:ascii="Times New Roman" w:hAnsi="Times New Roman" w:cs="Times New Roman"/>
          <w:color w:val="000000" w:themeColor="text1"/>
          <w:sz w:val="24"/>
          <w:szCs w:val="24"/>
        </w:rPr>
        <w:t xml:space="preserve"> them to improve </w:t>
      </w:r>
      <w:r w:rsidRPr="009878E6" w:rsidR="00E73EA1">
        <w:rPr>
          <w:rFonts w:ascii="Times New Roman" w:hAnsi="Times New Roman" w:cs="Times New Roman"/>
          <w:color w:val="000000" w:themeColor="text1"/>
          <w:sz w:val="24"/>
          <w:szCs w:val="24"/>
        </w:rPr>
        <w:t xml:space="preserve">training and related </w:t>
      </w:r>
      <w:r w:rsidRPr="009878E6">
        <w:rPr>
          <w:rFonts w:ascii="Times New Roman" w:hAnsi="Times New Roman" w:cs="Times New Roman"/>
          <w:color w:val="000000" w:themeColor="text1"/>
          <w:sz w:val="24"/>
          <w:szCs w:val="24"/>
        </w:rPr>
        <w:t xml:space="preserve">services for </w:t>
      </w:r>
      <w:r w:rsidRPr="009878E6" w:rsidR="00D61EDA">
        <w:rPr>
          <w:rFonts w:ascii="Times New Roman" w:hAnsi="Times New Roman" w:cs="Times New Roman"/>
          <w:color w:val="000000" w:themeColor="text1"/>
          <w:sz w:val="24"/>
          <w:szCs w:val="24"/>
        </w:rPr>
        <w:t xml:space="preserve">these </w:t>
      </w:r>
      <w:r w:rsidRPr="009878E6" w:rsidR="00E73EA1">
        <w:rPr>
          <w:rFonts w:ascii="Times New Roman" w:hAnsi="Times New Roman" w:cs="Times New Roman"/>
          <w:color w:val="000000" w:themeColor="text1"/>
          <w:sz w:val="24"/>
          <w:szCs w:val="24"/>
        </w:rPr>
        <w:t xml:space="preserve">community-based </w:t>
      </w:r>
      <w:r w:rsidRPr="009878E6" w:rsidR="00686067">
        <w:rPr>
          <w:rFonts w:ascii="Times New Roman" w:hAnsi="Times New Roman" w:cs="Times New Roman"/>
          <w:color w:val="000000" w:themeColor="text1"/>
          <w:sz w:val="24"/>
          <w:szCs w:val="24"/>
        </w:rPr>
        <w:t>FPAs</w:t>
      </w:r>
      <w:r w:rsidRPr="009878E6" w:rsidR="00E73EA1">
        <w:rPr>
          <w:rFonts w:ascii="Times New Roman" w:hAnsi="Times New Roman" w:cs="Times New Roman"/>
          <w:color w:val="000000" w:themeColor="text1"/>
          <w:sz w:val="24"/>
          <w:szCs w:val="24"/>
        </w:rPr>
        <w:t xml:space="preserve">. The clearance will also enable FEMA to assist and advise State, Tribal, and Territorial NFIP Offices, and Floodplain </w:t>
      </w:r>
      <w:r w:rsidRPr="009878E6" w:rsidR="009F11D3">
        <w:rPr>
          <w:rFonts w:ascii="Times New Roman" w:hAnsi="Times New Roman" w:cs="Times New Roman"/>
          <w:color w:val="000000" w:themeColor="text1"/>
          <w:sz w:val="24"/>
          <w:szCs w:val="24"/>
        </w:rPr>
        <w:t xml:space="preserve">Manager </w:t>
      </w:r>
      <w:r w:rsidRPr="009878E6" w:rsidR="00E73EA1">
        <w:rPr>
          <w:rFonts w:ascii="Times New Roman" w:hAnsi="Times New Roman" w:cs="Times New Roman"/>
          <w:color w:val="000000" w:themeColor="text1"/>
          <w:sz w:val="24"/>
          <w:szCs w:val="24"/>
        </w:rPr>
        <w:t xml:space="preserve">Associations </w:t>
      </w:r>
      <w:r w:rsidRPr="009878E6">
        <w:rPr>
          <w:rFonts w:ascii="Times New Roman" w:hAnsi="Times New Roman" w:cs="Times New Roman"/>
          <w:color w:val="000000" w:themeColor="text1"/>
          <w:sz w:val="24"/>
          <w:szCs w:val="24"/>
        </w:rPr>
        <w:t xml:space="preserve">to improve both efficiency and mission delivery </w:t>
      </w:r>
      <w:r w:rsidRPr="009878E6" w:rsidR="00E73EA1">
        <w:rPr>
          <w:rFonts w:ascii="Times New Roman" w:hAnsi="Times New Roman" w:cs="Times New Roman"/>
          <w:color w:val="000000" w:themeColor="text1"/>
          <w:sz w:val="24"/>
          <w:szCs w:val="24"/>
        </w:rPr>
        <w:t>of NFIP</w:t>
      </w:r>
      <w:r w:rsidRPr="009878E6" w:rsidR="001232B6">
        <w:rPr>
          <w:rFonts w:ascii="Times New Roman" w:hAnsi="Times New Roman" w:cs="Times New Roman"/>
          <w:color w:val="000000" w:themeColor="text1"/>
          <w:sz w:val="24"/>
          <w:szCs w:val="24"/>
        </w:rPr>
        <w:t>,</w:t>
      </w:r>
      <w:r w:rsidRPr="009878E6" w:rsidR="00E73EA1">
        <w:rPr>
          <w:rFonts w:ascii="Times New Roman" w:hAnsi="Times New Roman" w:cs="Times New Roman"/>
          <w:color w:val="000000" w:themeColor="text1"/>
          <w:sz w:val="24"/>
          <w:szCs w:val="24"/>
        </w:rPr>
        <w:t xml:space="preserve"> based on </w:t>
      </w:r>
      <w:r w:rsidRPr="009878E6" w:rsidR="009F11D3">
        <w:rPr>
          <w:rFonts w:ascii="Times New Roman" w:hAnsi="Times New Roman" w:cs="Times New Roman"/>
          <w:color w:val="000000" w:themeColor="text1"/>
          <w:sz w:val="24"/>
          <w:szCs w:val="24"/>
        </w:rPr>
        <w:t>front-line</w:t>
      </w:r>
      <w:r w:rsidRPr="009878E6" w:rsidR="00E73EA1">
        <w:rPr>
          <w:rFonts w:ascii="Times New Roman" w:hAnsi="Times New Roman" w:cs="Times New Roman"/>
          <w:color w:val="000000" w:themeColor="text1"/>
          <w:sz w:val="24"/>
          <w:szCs w:val="24"/>
        </w:rPr>
        <w:t xml:space="preserve"> insights gathered through developing an understanding of the </w:t>
      </w:r>
      <w:r w:rsidRPr="009878E6" w:rsidR="001232B6">
        <w:rPr>
          <w:rFonts w:ascii="Times New Roman" w:hAnsi="Times New Roman" w:cs="Times New Roman"/>
          <w:color w:val="000000" w:themeColor="text1"/>
          <w:sz w:val="24"/>
          <w:szCs w:val="24"/>
        </w:rPr>
        <w:t>FPAs’</w:t>
      </w:r>
      <w:r w:rsidRPr="009878E6" w:rsidR="00E73EA1">
        <w:rPr>
          <w:rFonts w:ascii="Times New Roman" w:hAnsi="Times New Roman" w:cs="Times New Roman"/>
          <w:color w:val="000000" w:themeColor="text1"/>
          <w:sz w:val="24"/>
          <w:szCs w:val="24"/>
        </w:rPr>
        <w:t xml:space="preserve"> </w:t>
      </w:r>
      <w:r w:rsidRPr="009878E6" w:rsidR="001232B6">
        <w:rPr>
          <w:rFonts w:ascii="Times New Roman" w:hAnsi="Times New Roman" w:cs="Times New Roman"/>
          <w:color w:val="000000" w:themeColor="text1"/>
          <w:sz w:val="24"/>
          <w:szCs w:val="24"/>
        </w:rPr>
        <w:t>needs, and</w:t>
      </w:r>
      <w:r w:rsidRPr="009878E6">
        <w:rPr>
          <w:rFonts w:ascii="Times New Roman" w:hAnsi="Times New Roman" w:cs="Times New Roman"/>
          <w:color w:val="000000" w:themeColor="text1"/>
          <w:sz w:val="24"/>
          <w:szCs w:val="24"/>
        </w:rPr>
        <w:t xml:space="preserve"> increase accountability by communicating about these efforts with the public.</w:t>
      </w:r>
    </w:p>
    <w:p w:rsidR="00557D1B" w:rsidRPr="009878E6" w:rsidP="009878E6" w14:paraId="0708876A" w14:textId="77777777">
      <w:pPr>
        <w:contextualSpacing/>
        <w:rPr>
          <w:rFonts w:ascii="Times New Roman" w:hAnsi="Times New Roman" w:cs="Times New Roman"/>
          <w:color w:val="000000" w:themeColor="text1"/>
          <w:sz w:val="24"/>
          <w:szCs w:val="24"/>
        </w:rPr>
      </w:pPr>
    </w:p>
    <w:p w:rsidR="0022672E" w:rsidRPr="009878E6" w:rsidP="009878E6" w14:paraId="42138C0C" w14:textId="15D590A7">
      <w:pPr>
        <w:contextualSpacing/>
        <w:rPr>
          <w:rFonts w:ascii="Times New Roman" w:hAnsi="Times New Roman" w:cs="Times New Roman"/>
          <w:color w:val="000000" w:themeColor="text1"/>
          <w:sz w:val="24"/>
          <w:szCs w:val="24"/>
        </w:rPr>
      </w:pPr>
      <w:r w:rsidRPr="009878E6">
        <w:rPr>
          <w:rFonts w:ascii="Times New Roman" w:hAnsi="Times New Roman" w:cs="Times New Roman"/>
          <w:color w:val="000000" w:themeColor="text1"/>
          <w:sz w:val="24"/>
          <w:szCs w:val="24"/>
        </w:rPr>
        <w:t xml:space="preserve">The information collection consists </w:t>
      </w:r>
      <w:r w:rsidRPr="009878E6" w:rsidR="0741952D">
        <w:rPr>
          <w:rFonts w:ascii="Times New Roman" w:hAnsi="Times New Roman" w:cs="Times New Roman"/>
          <w:color w:val="000000" w:themeColor="text1"/>
          <w:sz w:val="24"/>
          <w:szCs w:val="24"/>
        </w:rPr>
        <w:t>of two major components: a) obtain information about the</w:t>
      </w:r>
      <w:r w:rsidRPr="009878E6" w:rsidR="374CE385">
        <w:rPr>
          <w:rFonts w:ascii="Times New Roman" w:hAnsi="Times New Roman" w:cs="Times New Roman"/>
          <w:color w:val="000000" w:themeColor="text1"/>
          <w:sz w:val="24"/>
          <w:szCs w:val="24"/>
        </w:rPr>
        <w:t xml:space="preserve"> </w:t>
      </w:r>
      <w:r w:rsidRPr="009878E6" w:rsidR="0741952D">
        <w:rPr>
          <w:rFonts w:ascii="Times New Roman" w:hAnsi="Times New Roman" w:cs="Times New Roman"/>
          <w:color w:val="000000" w:themeColor="text1"/>
          <w:sz w:val="24"/>
          <w:szCs w:val="24"/>
        </w:rPr>
        <w:t>composition, capacity, experiences, needs</w:t>
      </w:r>
      <w:r w:rsidRPr="009878E6" w:rsidR="129FA4F9">
        <w:rPr>
          <w:rFonts w:ascii="Times New Roman" w:hAnsi="Times New Roman" w:cs="Times New Roman"/>
          <w:color w:val="000000" w:themeColor="text1"/>
          <w:sz w:val="24"/>
          <w:szCs w:val="24"/>
        </w:rPr>
        <w:t>, training preferences</w:t>
      </w:r>
      <w:r w:rsidRPr="009878E6" w:rsidR="374CE385">
        <w:rPr>
          <w:rFonts w:ascii="Times New Roman" w:hAnsi="Times New Roman" w:cs="Times New Roman"/>
          <w:color w:val="000000" w:themeColor="text1"/>
          <w:sz w:val="24"/>
          <w:szCs w:val="24"/>
        </w:rPr>
        <w:t>, and obstacles faced by</w:t>
      </w:r>
      <w:r w:rsidRPr="009878E6" w:rsidR="0741952D">
        <w:rPr>
          <w:rFonts w:ascii="Times New Roman" w:hAnsi="Times New Roman" w:cs="Times New Roman"/>
          <w:color w:val="000000" w:themeColor="text1"/>
          <w:sz w:val="24"/>
          <w:szCs w:val="24"/>
        </w:rPr>
        <w:t xml:space="preserve"> </w:t>
      </w:r>
      <w:r w:rsidRPr="009878E6" w:rsidR="0EC0A21E">
        <w:rPr>
          <w:rFonts w:ascii="Times New Roman" w:hAnsi="Times New Roman" w:cs="Times New Roman"/>
          <w:color w:val="000000" w:themeColor="text1"/>
          <w:sz w:val="24"/>
          <w:szCs w:val="24"/>
        </w:rPr>
        <w:t>FPAs</w:t>
      </w:r>
      <w:r w:rsidRPr="009878E6" w:rsidR="0741952D">
        <w:rPr>
          <w:rFonts w:ascii="Times New Roman" w:hAnsi="Times New Roman" w:cs="Times New Roman"/>
          <w:color w:val="000000" w:themeColor="text1"/>
          <w:sz w:val="24"/>
          <w:szCs w:val="24"/>
        </w:rPr>
        <w:t xml:space="preserve"> </w:t>
      </w:r>
      <w:r w:rsidRPr="009878E6" w:rsidR="374CE385">
        <w:rPr>
          <w:rFonts w:ascii="Times New Roman" w:hAnsi="Times New Roman" w:cs="Times New Roman"/>
          <w:color w:val="000000" w:themeColor="text1"/>
          <w:sz w:val="24"/>
          <w:szCs w:val="24"/>
        </w:rPr>
        <w:t>in terms of</w:t>
      </w:r>
      <w:r w:rsidRPr="009878E6" w:rsidR="0741952D">
        <w:rPr>
          <w:rFonts w:ascii="Times New Roman" w:hAnsi="Times New Roman" w:cs="Times New Roman"/>
          <w:color w:val="000000" w:themeColor="text1"/>
          <w:sz w:val="24"/>
          <w:szCs w:val="24"/>
        </w:rPr>
        <w:t xml:space="preserve"> program management</w:t>
      </w:r>
      <w:r w:rsidRPr="009878E6" w:rsidR="36E8848D">
        <w:rPr>
          <w:rFonts w:ascii="Times New Roman" w:hAnsi="Times New Roman" w:cs="Times New Roman"/>
          <w:color w:val="000000" w:themeColor="text1"/>
          <w:sz w:val="24"/>
          <w:szCs w:val="24"/>
        </w:rPr>
        <w:t xml:space="preserve"> and improvement</w:t>
      </w:r>
      <w:r w:rsidRPr="009878E6" w:rsidR="374CE385">
        <w:rPr>
          <w:rFonts w:ascii="Times New Roman" w:hAnsi="Times New Roman" w:cs="Times New Roman"/>
          <w:color w:val="000000" w:themeColor="text1"/>
          <w:sz w:val="24"/>
          <w:szCs w:val="24"/>
        </w:rPr>
        <w:t xml:space="preserve"> and </w:t>
      </w:r>
      <w:r w:rsidRPr="009878E6" w:rsidR="60DD983A">
        <w:rPr>
          <w:rFonts w:ascii="Times New Roman" w:hAnsi="Times New Roman" w:cs="Times New Roman"/>
          <w:color w:val="000000" w:themeColor="text1"/>
          <w:sz w:val="24"/>
          <w:szCs w:val="24"/>
        </w:rPr>
        <w:t xml:space="preserve">their </w:t>
      </w:r>
      <w:r w:rsidRPr="009878E6" w:rsidR="374CE385">
        <w:rPr>
          <w:rFonts w:ascii="Times New Roman" w:hAnsi="Times New Roman" w:cs="Times New Roman"/>
          <w:color w:val="000000" w:themeColor="text1"/>
          <w:sz w:val="24"/>
          <w:szCs w:val="24"/>
        </w:rPr>
        <w:t>professional development</w:t>
      </w:r>
      <w:r w:rsidRPr="009878E6" w:rsidR="60DD983A">
        <w:rPr>
          <w:rFonts w:ascii="Times New Roman" w:hAnsi="Times New Roman" w:cs="Times New Roman"/>
          <w:color w:val="000000" w:themeColor="text1"/>
          <w:sz w:val="24"/>
          <w:szCs w:val="24"/>
        </w:rPr>
        <w:t xml:space="preserve"> and retention</w:t>
      </w:r>
      <w:r w:rsidRPr="009878E6" w:rsidR="0741952D">
        <w:rPr>
          <w:rFonts w:ascii="Times New Roman" w:hAnsi="Times New Roman" w:cs="Times New Roman"/>
          <w:color w:val="000000" w:themeColor="text1"/>
          <w:sz w:val="24"/>
          <w:szCs w:val="24"/>
        </w:rPr>
        <w:t>, and b) test hypothes</w:t>
      </w:r>
      <w:r w:rsidRPr="009878E6" w:rsidR="374CE385">
        <w:rPr>
          <w:rFonts w:ascii="Times New Roman" w:hAnsi="Times New Roman" w:cs="Times New Roman"/>
          <w:color w:val="000000" w:themeColor="text1"/>
          <w:sz w:val="24"/>
          <w:szCs w:val="24"/>
        </w:rPr>
        <w:t>e</w:t>
      </w:r>
      <w:r w:rsidRPr="009878E6" w:rsidR="0741952D">
        <w:rPr>
          <w:rFonts w:ascii="Times New Roman" w:hAnsi="Times New Roman" w:cs="Times New Roman"/>
          <w:color w:val="000000" w:themeColor="text1"/>
          <w:sz w:val="24"/>
          <w:szCs w:val="24"/>
        </w:rPr>
        <w:t xml:space="preserve">s </w:t>
      </w:r>
      <w:r w:rsidRPr="009878E6" w:rsidR="7D99C67B">
        <w:rPr>
          <w:rFonts w:ascii="Times New Roman" w:hAnsi="Times New Roman" w:cs="Times New Roman"/>
          <w:color w:val="000000" w:themeColor="text1"/>
          <w:sz w:val="24"/>
          <w:szCs w:val="24"/>
        </w:rPr>
        <w:t xml:space="preserve">related to floodplain program management, continuity, sustainability, and public support. </w:t>
      </w:r>
      <w:r w:rsidRPr="009878E6" w:rsidR="0EC0A21E">
        <w:rPr>
          <w:rFonts w:ascii="Times New Roman" w:hAnsi="Times New Roman" w:cs="Times New Roman"/>
          <w:color w:val="000000" w:themeColor="text1"/>
          <w:sz w:val="24"/>
          <w:szCs w:val="24"/>
        </w:rPr>
        <w:t>FPAs</w:t>
      </w:r>
      <w:r w:rsidRPr="009878E6">
        <w:rPr>
          <w:rFonts w:ascii="Times New Roman" w:hAnsi="Times New Roman" w:cs="Times New Roman"/>
          <w:color w:val="000000" w:themeColor="text1"/>
          <w:sz w:val="24"/>
          <w:szCs w:val="24"/>
        </w:rPr>
        <w:t xml:space="preserve"> are partners in the administration of the NFIP; however, for the purposes of this request and of the training services provided to FPAs by FIMA, the FPAs are considered customers. </w:t>
      </w:r>
      <w:r w:rsidRPr="009878E6" w:rsidR="3250A671">
        <w:rPr>
          <w:rFonts w:ascii="Times New Roman" w:hAnsi="Times New Roman" w:cs="Times New Roman"/>
          <w:color w:val="000000" w:themeColor="text1"/>
          <w:sz w:val="24"/>
          <w:szCs w:val="24"/>
        </w:rPr>
        <w:t>FIMA</w:t>
      </w:r>
      <w:r w:rsidRPr="009878E6" w:rsidR="00BA2EFA">
        <w:rPr>
          <w:rFonts w:ascii="Times New Roman" w:hAnsi="Times New Roman" w:cs="Times New Roman"/>
          <w:color w:val="000000" w:themeColor="text1"/>
          <w:sz w:val="24"/>
          <w:szCs w:val="24"/>
        </w:rPr>
        <w:t xml:space="preserve"> follows the guidance in the U.S. Office of Management and Budget (OMB) Circular No. A-11, section 280</w:t>
      </w:r>
      <w:r>
        <w:rPr>
          <w:rStyle w:val="FootnoteReference"/>
          <w:rFonts w:ascii="Times New Roman" w:hAnsi="Times New Roman" w:cs="Times New Roman"/>
          <w:color w:val="000000" w:themeColor="text1"/>
          <w:sz w:val="24"/>
          <w:szCs w:val="24"/>
        </w:rPr>
        <w:footnoteReference w:id="8"/>
      </w:r>
      <w:r w:rsidRPr="009878E6" w:rsidR="00BA2EFA">
        <w:rPr>
          <w:rFonts w:ascii="Times New Roman" w:hAnsi="Times New Roman" w:cs="Times New Roman"/>
          <w:color w:val="000000" w:themeColor="text1"/>
          <w:sz w:val="24"/>
          <w:szCs w:val="24"/>
        </w:rPr>
        <w:t xml:space="preserve"> and defines </w:t>
      </w:r>
      <w:r w:rsidRPr="009878E6" w:rsidR="26C97835">
        <w:rPr>
          <w:rFonts w:ascii="Times New Roman" w:hAnsi="Times New Roman" w:cs="Times New Roman"/>
          <w:color w:val="000000" w:themeColor="text1"/>
          <w:sz w:val="24"/>
          <w:szCs w:val="24"/>
        </w:rPr>
        <w:t xml:space="preserve">“customers” </w:t>
      </w:r>
      <w:r w:rsidRPr="009878E6">
        <w:rPr>
          <w:rFonts w:ascii="Times New Roman" w:hAnsi="Times New Roman" w:cs="Times New Roman"/>
          <w:color w:val="000000" w:themeColor="text1"/>
          <w:sz w:val="24"/>
          <w:szCs w:val="24"/>
        </w:rPr>
        <w:t>as</w:t>
      </w:r>
      <w:r w:rsidRPr="009878E6" w:rsidR="26C97835">
        <w:rPr>
          <w:rFonts w:ascii="Times New Roman" w:hAnsi="Times New Roman" w:cs="Times New Roman"/>
          <w:color w:val="000000" w:themeColor="text1"/>
          <w:sz w:val="24"/>
          <w:szCs w:val="24"/>
        </w:rPr>
        <w:t xml:space="preserve"> individuals, businesses, and organizations that interact with a Federal Government agency or program, either directly or via a Federal contractor.</w:t>
      </w:r>
      <w:r w:rsidRPr="009878E6">
        <w:rPr>
          <w:rFonts w:ascii="Times New Roman" w:hAnsi="Times New Roman" w:cs="Times New Roman"/>
          <w:color w:val="000000" w:themeColor="text1"/>
          <w:sz w:val="24"/>
          <w:szCs w:val="24"/>
        </w:rPr>
        <w:t xml:space="preserve"> </w:t>
      </w:r>
      <w:r w:rsidRPr="009878E6" w:rsidR="26C97835">
        <w:rPr>
          <w:rFonts w:ascii="Times New Roman" w:hAnsi="Times New Roman" w:cs="Times New Roman"/>
          <w:color w:val="000000" w:themeColor="text1"/>
          <w:sz w:val="24"/>
          <w:szCs w:val="24"/>
        </w:rPr>
        <w:t xml:space="preserve">“Service delivery” or “services” refers to the multitude of diverse interactions between a customer and Federal agency such as </w:t>
      </w:r>
      <w:r w:rsidRPr="009878E6" w:rsidR="3250A671">
        <w:rPr>
          <w:rFonts w:ascii="Times New Roman" w:hAnsi="Times New Roman" w:cs="Times New Roman"/>
          <w:color w:val="000000" w:themeColor="text1"/>
          <w:sz w:val="24"/>
          <w:szCs w:val="24"/>
        </w:rPr>
        <w:t xml:space="preserve">seeking guidance about floodplain management or accessing training about floodplain management or the </w:t>
      </w:r>
      <w:r w:rsidRPr="009878E6" w:rsidR="0EC0A21E">
        <w:rPr>
          <w:rFonts w:ascii="Times New Roman" w:hAnsi="Times New Roman" w:cs="Times New Roman"/>
          <w:color w:val="000000" w:themeColor="text1"/>
          <w:sz w:val="24"/>
          <w:szCs w:val="24"/>
        </w:rPr>
        <w:t>NFIP</w:t>
      </w:r>
      <w:r w:rsidRPr="009878E6" w:rsidR="3250A671">
        <w:rPr>
          <w:rFonts w:ascii="Times New Roman" w:hAnsi="Times New Roman" w:cs="Times New Roman"/>
          <w:color w:val="000000" w:themeColor="text1"/>
          <w:sz w:val="24"/>
          <w:szCs w:val="24"/>
        </w:rPr>
        <w:t>.</w:t>
      </w:r>
      <w:r>
        <w:rPr>
          <w:rStyle w:val="FootnoteReference"/>
          <w:rFonts w:ascii="Times New Roman" w:hAnsi="Times New Roman" w:cs="Times New Roman"/>
          <w:color w:val="000000" w:themeColor="text1"/>
          <w:sz w:val="24"/>
          <w:szCs w:val="24"/>
        </w:rPr>
        <w:footnoteReference w:id="9"/>
      </w:r>
      <w:r w:rsidRPr="009878E6" w:rsidR="3250A671">
        <w:rPr>
          <w:rFonts w:ascii="Times New Roman" w:hAnsi="Times New Roman" w:cs="Times New Roman"/>
          <w:color w:val="000000" w:themeColor="text1"/>
          <w:sz w:val="24"/>
          <w:szCs w:val="24"/>
        </w:rPr>
        <w:t xml:space="preserve">  </w:t>
      </w:r>
      <w:r w:rsidRPr="009878E6" w:rsidR="26C97835">
        <w:rPr>
          <w:rFonts w:ascii="Times New Roman" w:hAnsi="Times New Roman" w:cs="Times New Roman"/>
          <w:color w:val="000000" w:themeColor="text1"/>
          <w:sz w:val="24"/>
          <w:szCs w:val="24"/>
        </w:rPr>
        <w:t xml:space="preserve">  </w:t>
      </w:r>
    </w:p>
    <w:p w:rsidR="00557D1B" w:rsidRPr="009878E6" w:rsidP="009878E6" w14:paraId="48D4FFC8" w14:textId="77777777">
      <w:pPr>
        <w:contextualSpacing/>
        <w:rPr>
          <w:rFonts w:ascii="Times New Roman" w:hAnsi="Times New Roman" w:cs="Times New Roman"/>
          <w:color w:val="000000" w:themeColor="text1"/>
          <w:sz w:val="24"/>
          <w:szCs w:val="24"/>
        </w:rPr>
      </w:pPr>
    </w:p>
    <w:p w:rsidR="00F44617" w:rsidRPr="009878E6" w:rsidP="009878E6" w14:paraId="394FF9EB" w14:textId="4E2E61B9">
      <w:pPr>
        <w:contextualSpacing/>
        <w:rPr>
          <w:rFonts w:ascii="Times New Roman" w:hAnsi="Times New Roman" w:cs="Times New Roman"/>
          <w:color w:val="000000" w:themeColor="text1"/>
          <w:sz w:val="24"/>
          <w:szCs w:val="24"/>
        </w:rPr>
      </w:pPr>
      <w:r w:rsidRPr="009878E6">
        <w:rPr>
          <w:rFonts w:ascii="Times New Roman" w:hAnsi="Times New Roman" w:cs="Times New Roman"/>
          <w:color w:val="000000" w:themeColor="text1"/>
          <w:sz w:val="24"/>
          <w:szCs w:val="24"/>
        </w:rPr>
        <w:t xml:space="preserve">The source for the information will be the 22,582 </w:t>
      </w:r>
      <w:r w:rsidRPr="009878E6" w:rsidR="00686067">
        <w:rPr>
          <w:rFonts w:ascii="Times New Roman" w:hAnsi="Times New Roman" w:cs="Times New Roman"/>
          <w:color w:val="000000" w:themeColor="text1"/>
          <w:sz w:val="24"/>
          <w:szCs w:val="24"/>
        </w:rPr>
        <w:t>FPAs</w:t>
      </w:r>
      <w:r w:rsidRPr="009878E6">
        <w:rPr>
          <w:rFonts w:ascii="Times New Roman" w:hAnsi="Times New Roman" w:cs="Times New Roman"/>
          <w:color w:val="000000" w:themeColor="text1"/>
          <w:sz w:val="24"/>
          <w:szCs w:val="24"/>
        </w:rPr>
        <w:t xml:space="preserve"> who are based in local U.S. communities. As previously noted, </w:t>
      </w:r>
      <w:r w:rsidRPr="009878E6" w:rsidR="003A79AE">
        <w:rPr>
          <w:rFonts w:ascii="Times New Roman" w:hAnsi="Times New Roman" w:cs="Times New Roman"/>
          <w:color w:val="000000" w:themeColor="text1"/>
          <w:sz w:val="24"/>
          <w:szCs w:val="24"/>
        </w:rPr>
        <w:t xml:space="preserve">larger and wealthier communities often have </w:t>
      </w:r>
      <w:r w:rsidRPr="009878E6">
        <w:rPr>
          <w:rFonts w:ascii="Times New Roman" w:hAnsi="Times New Roman" w:cs="Times New Roman"/>
          <w:color w:val="000000" w:themeColor="text1"/>
          <w:sz w:val="24"/>
          <w:szCs w:val="24"/>
        </w:rPr>
        <w:t>FPAs</w:t>
      </w:r>
      <w:r w:rsidRPr="009878E6" w:rsidR="003A79AE">
        <w:rPr>
          <w:rFonts w:ascii="Times New Roman" w:hAnsi="Times New Roman" w:cs="Times New Roman"/>
          <w:color w:val="000000" w:themeColor="text1"/>
          <w:sz w:val="24"/>
          <w:szCs w:val="24"/>
        </w:rPr>
        <w:t xml:space="preserve"> that are solely employed to work on Floodplain Management, while in smaller and lower income communities, Floodplain Management</w:t>
      </w:r>
      <w:r w:rsidRPr="009878E6">
        <w:rPr>
          <w:rFonts w:ascii="Times New Roman" w:hAnsi="Times New Roman" w:cs="Times New Roman"/>
          <w:color w:val="000000" w:themeColor="text1"/>
          <w:sz w:val="24"/>
          <w:szCs w:val="24"/>
        </w:rPr>
        <w:t xml:space="preserve"> </w:t>
      </w:r>
      <w:r w:rsidRPr="009878E6" w:rsidR="003A79AE">
        <w:rPr>
          <w:rFonts w:ascii="Times New Roman" w:hAnsi="Times New Roman" w:cs="Times New Roman"/>
          <w:color w:val="000000" w:themeColor="text1"/>
          <w:sz w:val="24"/>
          <w:szCs w:val="24"/>
        </w:rPr>
        <w:t xml:space="preserve">is one of many unrelated job responsibilities assigned to a single staff person. </w:t>
      </w:r>
      <w:r w:rsidRPr="009878E6" w:rsidR="001440C1">
        <w:rPr>
          <w:rFonts w:ascii="Times New Roman" w:hAnsi="Times New Roman" w:cs="Times New Roman"/>
          <w:color w:val="000000" w:themeColor="text1"/>
          <w:sz w:val="24"/>
          <w:szCs w:val="24"/>
        </w:rPr>
        <w:t>FEMA intends to conduct a</w:t>
      </w:r>
      <w:r w:rsidRPr="009878E6" w:rsidR="00A50859">
        <w:rPr>
          <w:rFonts w:ascii="Times New Roman" w:hAnsi="Times New Roman" w:cs="Times New Roman"/>
          <w:color w:val="000000" w:themeColor="text1"/>
          <w:sz w:val="24"/>
          <w:szCs w:val="24"/>
        </w:rPr>
        <w:t>n online</w:t>
      </w:r>
      <w:r w:rsidRPr="009878E6" w:rsidR="001440C1">
        <w:rPr>
          <w:rFonts w:ascii="Times New Roman" w:hAnsi="Times New Roman" w:cs="Times New Roman"/>
          <w:color w:val="000000" w:themeColor="text1"/>
          <w:sz w:val="24"/>
          <w:szCs w:val="24"/>
        </w:rPr>
        <w:t xml:space="preserve"> census of all 22,582 FPAs.</w:t>
      </w:r>
      <w:r w:rsidRPr="009878E6" w:rsidR="00A50859">
        <w:rPr>
          <w:rFonts w:ascii="Times New Roman" w:hAnsi="Times New Roman" w:cs="Times New Roman"/>
          <w:color w:val="000000" w:themeColor="text1"/>
          <w:sz w:val="24"/>
          <w:szCs w:val="24"/>
        </w:rPr>
        <w:t xml:space="preserve"> For FPAs who regularly correspond with FEMA through traditional mail, a printed copy of the survey will be mailed to those communities. Both the online and written versions of the information collection will be available in English and Spanish.</w:t>
      </w:r>
    </w:p>
    <w:p w:rsidR="00557D1B" w:rsidRPr="009878E6" w:rsidP="009878E6" w14:paraId="1D1235A5" w14:textId="77777777">
      <w:pPr>
        <w:contextualSpacing/>
        <w:rPr>
          <w:rFonts w:ascii="Times New Roman" w:hAnsi="Times New Roman" w:cs="Times New Roman"/>
          <w:color w:val="000000" w:themeColor="text1"/>
          <w:sz w:val="24"/>
          <w:szCs w:val="24"/>
        </w:rPr>
      </w:pPr>
    </w:p>
    <w:p w:rsidR="00562915" w:rsidRPr="009878E6" w:rsidP="009878E6" w14:paraId="2A86AA86" w14:textId="77777777">
      <w:pPr>
        <w:contextualSpacing/>
        <w:rPr>
          <w:rFonts w:ascii="Times New Roman" w:hAnsi="Times New Roman" w:cs="Times New Roman"/>
          <w:b/>
          <w:bCs/>
          <w:color w:val="000000" w:themeColor="text1"/>
          <w:spacing w:val="-3"/>
          <w:sz w:val="24"/>
          <w:szCs w:val="24"/>
        </w:rPr>
      </w:pPr>
      <w:r w:rsidRPr="009878E6">
        <w:rPr>
          <w:rFonts w:ascii="Times New Roman" w:hAnsi="Times New Roman" w:cs="Times New Roman"/>
          <w:b/>
          <w:bCs/>
          <w:color w:val="000000" w:themeColor="text1"/>
          <w:sz w:val="24"/>
          <w:szCs w:val="24"/>
        </w:rPr>
        <w:fldChar w:fldCharType="begin"/>
      </w:r>
      <w:r w:rsidRPr="009878E6">
        <w:rPr>
          <w:rFonts w:ascii="Times New Roman" w:hAnsi="Times New Roman" w:cs="Times New Roman"/>
          <w:b/>
          <w:bCs/>
          <w:color w:val="000000" w:themeColor="text1"/>
          <w:sz w:val="24"/>
          <w:szCs w:val="24"/>
        </w:rPr>
        <w:instrText>ADVANCE \R 0.95</w:instrText>
      </w:r>
      <w:r w:rsidRPr="009878E6">
        <w:rPr>
          <w:rFonts w:ascii="Times New Roman" w:hAnsi="Times New Roman" w:cs="Times New Roman"/>
          <w:b/>
          <w:bCs/>
          <w:color w:val="000000" w:themeColor="text1"/>
          <w:sz w:val="24"/>
          <w:szCs w:val="24"/>
        </w:rPr>
        <w:fldChar w:fldCharType="end"/>
      </w:r>
      <w:r w:rsidRPr="009878E6">
        <w:rPr>
          <w:rFonts w:ascii="Times New Roman" w:hAnsi="Times New Roman" w:cs="Times New Roman"/>
          <w:b/>
          <w:bCs/>
          <w:color w:val="000000" w:themeColor="text1"/>
          <w:sz w:val="24"/>
          <w:szCs w:val="24"/>
        </w:rPr>
        <w:t xml:space="preserve">2.  Indicate how, by whom, and for what purpose the information is to be used.  Except for a new collection, indicate the actual use the agency has made of the information received from the current collection.  Provide a detailed description of: how the information will be shared, if applicable, and for what programmatic purpose.       </w:t>
      </w:r>
    </w:p>
    <w:p w:rsidR="00557D1B" w:rsidRPr="009878E6" w:rsidP="009878E6" w14:paraId="3D207771" w14:textId="77777777">
      <w:pPr>
        <w:contextualSpacing/>
        <w:rPr>
          <w:rFonts w:ascii="Times New Roman" w:hAnsi="Times New Roman" w:cs="Times New Roman"/>
          <w:color w:val="000000" w:themeColor="text1"/>
          <w:sz w:val="24"/>
          <w:szCs w:val="24"/>
        </w:rPr>
      </w:pPr>
    </w:p>
    <w:p w:rsidR="001232B6" w:rsidRPr="009878E6" w:rsidP="009878E6" w14:paraId="74B0973F" w14:textId="7871FEB4">
      <w:pPr>
        <w:contextualSpacing/>
        <w:rPr>
          <w:rFonts w:ascii="Times New Roman" w:hAnsi="Times New Roman" w:cs="Times New Roman"/>
          <w:color w:val="000000" w:themeColor="text1"/>
          <w:sz w:val="24"/>
          <w:szCs w:val="24"/>
        </w:rPr>
      </w:pPr>
      <w:r w:rsidRPr="009878E6">
        <w:rPr>
          <w:rFonts w:ascii="Times New Roman" w:hAnsi="Times New Roman" w:cs="Times New Roman"/>
          <w:color w:val="000000" w:themeColor="text1"/>
          <w:sz w:val="24"/>
          <w:szCs w:val="24"/>
        </w:rPr>
        <w:t xml:space="preserve">This information has not been collected before and represents a new collection that is the first in-depth voice of the customer analysis for FPA training programs. </w:t>
      </w:r>
      <w:r w:rsidRPr="009878E6" w:rsidR="66AFE0F0">
        <w:rPr>
          <w:rFonts w:ascii="Times New Roman" w:hAnsi="Times New Roman" w:cs="Times New Roman"/>
          <w:color w:val="000000" w:themeColor="text1"/>
          <w:sz w:val="24"/>
          <w:szCs w:val="24"/>
        </w:rPr>
        <w:t xml:space="preserve">Previously, FEMA has surveyed disaster survivors, who typically represent the general public, and usually after an event. FEMA has never surveyed </w:t>
      </w:r>
      <w:r w:rsidRPr="009878E6" w:rsidR="0EC0A21E">
        <w:rPr>
          <w:rFonts w:ascii="Times New Roman" w:hAnsi="Times New Roman" w:cs="Times New Roman"/>
          <w:color w:val="000000" w:themeColor="text1"/>
          <w:sz w:val="24"/>
          <w:szCs w:val="24"/>
        </w:rPr>
        <w:t>FPAs</w:t>
      </w:r>
      <w:r w:rsidRPr="009878E6" w:rsidR="66AFE0F0">
        <w:rPr>
          <w:rFonts w:ascii="Times New Roman" w:hAnsi="Times New Roman" w:cs="Times New Roman"/>
          <w:color w:val="000000" w:themeColor="text1"/>
          <w:sz w:val="24"/>
          <w:szCs w:val="24"/>
        </w:rPr>
        <w:t>, who are the civil servants whose work is conducted before</w:t>
      </w:r>
      <w:r w:rsidRPr="009878E6" w:rsidR="6E43B687">
        <w:rPr>
          <w:rFonts w:ascii="Times New Roman" w:hAnsi="Times New Roman" w:cs="Times New Roman"/>
          <w:color w:val="000000" w:themeColor="text1"/>
          <w:sz w:val="24"/>
          <w:szCs w:val="24"/>
        </w:rPr>
        <w:t xml:space="preserve"> and after</w:t>
      </w:r>
      <w:r w:rsidRPr="009878E6" w:rsidR="66AFE0F0">
        <w:rPr>
          <w:rFonts w:ascii="Times New Roman" w:hAnsi="Times New Roman" w:cs="Times New Roman"/>
          <w:color w:val="000000" w:themeColor="text1"/>
          <w:sz w:val="24"/>
          <w:szCs w:val="24"/>
        </w:rPr>
        <w:t xml:space="preserve"> disaster events. </w:t>
      </w:r>
      <w:r w:rsidRPr="009878E6" w:rsidR="1D857116">
        <w:rPr>
          <w:rFonts w:ascii="Times New Roman" w:hAnsi="Times New Roman" w:cs="Times New Roman"/>
          <w:color w:val="000000" w:themeColor="text1"/>
          <w:sz w:val="24"/>
          <w:szCs w:val="24"/>
        </w:rPr>
        <w:t xml:space="preserve">Information received </w:t>
      </w:r>
      <w:r w:rsidRPr="009878E6" w:rsidR="66AFE0F0">
        <w:rPr>
          <w:rFonts w:ascii="Times New Roman" w:hAnsi="Times New Roman" w:cs="Times New Roman"/>
          <w:color w:val="000000" w:themeColor="text1"/>
          <w:sz w:val="24"/>
          <w:szCs w:val="24"/>
        </w:rPr>
        <w:t xml:space="preserve">through this collection </w:t>
      </w:r>
      <w:r w:rsidRPr="009878E6" w:rsidR="1D857116">
        <w:rPr>
          <w:rFonts w:ascii="Times New Roman" w:hAnsi="Times New Roman" w:cs="Times New Roman"/>
          <w:color w:val="000000" w:themeColor="text1"/>
          <w:sz w:val="24"/>
          <w:szCs w:val="24"/>
        </w:rPr>
        <w:t>will be used to help FEMA, State NFIP Offices, and Floodplain</w:t>
      </w:r>
      <w:r w:rsidRPr="009878E6" w:rsidR="66AFE0F0">
        <w:rPr>
          <w:rFonts w:ascii="Times New Roman" w:hAnsi="Times New Roman" w:cs="Times New Roman"/>
          <w:color w:val="000000" w:themeColor="text1"/>
          <w:sz w:val="24"/>
          <w:szCs w:val="24"/>
        </w:rPr>
        <w:t xml:space="preserve"> Management</w:t>
      </w:r>
      <w:r w:rsidRPr="009878E6" w:rsidR="1D857116">
        <w:rPr>
          <w:rFonts w:ascii="Times New Roman" w:hAnsi="Times New Roman" w:cs="Times New Roman"/>
          <w:color w:val="000000" w:themeColor="text1"/>
          <w:sz w:val="24"/>
          <w:szCs w:val="24"/>
        </w:rPr>
        <w:t xml:space="preserve"> Associations better understand the</w:t>
      </w:r>
      <w:r w:rsidRPr="009878E6">
        <w:rPr>
          <w:rFonts w:ascii="Times New Roman" w:hAnsi="Times New Roman" w:cs="Times New Roman"/>
          <w:color w:val="000000" w:themeColor="text1"/>
          <w:sz w:val="24"/>
          <w:szCs w:val="24"/>
        </w:rPr>
        <w:t xml:space="preserve"> diversity and</w:t>
      </w:r>
      <w:r w:rsidRPr="009878E6" w:rsidR="1D857116">
        <w:rPr>
          <w:rFonts w:ascii="Times New Roman" w:hAnsi="Times New Roman" w:cs="Times New Roman"/>
          <w:color w:val="000000" w:themeColor="text1"/>
          <w:sz w:val="24"/>
          <w:szCs w:val="24"/>
        </w:rPr>
        <w:t xml:space="preserve"> training needs of FPAs and to develop </w:t>
      </w:r>
      <w:r w:rsidRPr="009878E6" w:rsidR="1D857116">
        <w:rPr>
          <w:rFonts w:ascii="Times New Roman" w:hAnsi="Times New Roman" w:cs="Times New Roman"/>
          <w:color w:val="000000" w:themeColor="text1"/>
          <w:sz w:val="24"/>
          <w:szCs w:val="24"/>
        </w:rPr>
        <w:t>training strategies and solutions that address those needs</w:t>
      </w:r>
      <w:r w:rsidRPr="009878E6">
        <w:rPr>
          <w:rFonts w:ascii="Times New Roman" w:hAnsi="Times New Roman" w:cs="Times New Roman"/>
          <w:color w:val="000000" w:themeColor="text1"/>
          <w:sz w:val="24"/>
          <w:szCs w:val="24"/>
        </w:rPr>
        <w:t xml:space="preserve"> to improve services, service delivery, and floodplain management</w:t>
      </w:r>
      <w:r w:rsidRPr="009878E6" w:rsidR="1D857116">
        <w:rPr>
          <w:rFonts w:ascii="Times New Roman" w:hAnsi="Times New Roman" w:cs="Times New Roman"/>
          <w:color w:val="000000" w:themeColor="text1"/>
          <w:sz w:val="24"/>
          <w:szCs w:val="24"/>
        </w:rPr>
        <w:t xml:space="preserve">. </w:t>
      </w:r>
    </w:p>
    <w:p w:rsidR="00557D1B" w:rsidRPr="009878E6" w:rsidP="009878E6" w14:paraId="45AF3445" w14:textId="77777777">
      <w:pPr>
        <w:contextualSpacing/>
        <w:rPr>
          <w:rFonts w:ascii="Times New Roman" w:hAnsi="Times New Roman" w:cs="Times New Roman"/>
          <w:color w:val="000000" w:themeColor="text1"/>
          <w:sz w:val="24"/>
          <w:szCs w:val="24"/>
        </w:rPr>
      </w:pPr>
      <w:bookmarkStart w:id="4" w:name="_Hlk112317644"/>
    </w:p>
    <w:p w:rsidR="001232B6" w:rsidRPr="009878E6" w:rsidP="009878E6" w14:paraId="35A73D08" w14:textId="6467C88D">
      <w:pPr>
        <w:contextualSpacing/>
        <w:rPr>
          <w:rFonts w:ascii="Times New Roman" w:hAnsi="Times New Roman" w:cs="Times New Roman"/>
          <w:sz w:val="24"/>
          <w:szCs w:val="24"/>
        </w:rPr>
      </w:pPr>
      <w:r w:rsidRPr="009878E6">
        <w:rPr>
          <w:rFonts w:ascii="Times New Roman" w:hAnsi="Times New Roman" w:cs="Times New Roman"/>
          <w:color w:val="000000" w:themeColor="text1"/>
          <w:sz w:val="24"/>
          <w:szCs w:val="24"/>
        </w:rPr>
        <w:t xml:space="preserve">FEMA has contracted with Virginia Tech University’s Center for Coastal Studies (VTU) to conduct the instrument design, data collection, analysis and reporting. VTU will collect the </w:t>
      </w:r>
      <w:r w:rsidRPr="009878E6" w:rsidR="71AAA6BF">
        <w:rPr>
          <w:rFonts w:ascii="Times New Roman" w:hAnsi="Times New Roman" w:cs="Times New Roman"/>
          <w:color w:val="000000" w:themeColor="text1"/>
          <w:sz w:val="24"/>
          <w:szCs w:val="24"/>
        </w:rPr>
        <w:t xml:space="preserve">data using </w:t>
      </w:r>
      <w:r w:rsidRPr="009878E6">
        <w:rPr>
          <w:rFonts w:ascii="Times New Roman" w:hAnsi="Times New Roman" w:cs="Times New Roman"/>
          <w:color w:val="000000" w:themeColor="text1"/>
          <w:sz w:val="24"/>
          <w:szCs w:val="24"/>
        </w:rPr>
        <w:t>an online survey creation and data collection tool, QuestionPro</w:t>
      </w:r>
      <w:r w:rsidRPr="009878E6">
        <w:rPr>
          <w:rFonts w:ascii="Times New Roman" w:hAnsi="Times New Roman" w:cs="Times New Roman"/>
          <w:sz w:val="24"/>
          <w:szCs w:val="24"/>
        </w:rPr>
        <w:t xml:space="preserve"> (</w:t>
      </w:r>
      <w:hyperlink r:id="rId9">
        <w:r w:rsidRPr="009878E6">
          <w:rPr>
            <w:rStyle w:val="Hyperlink"/>
            <w:rFonts w:ascii="Times New Roman" w:hAnsi="Times New Roman" w:cs="Times New Roman"/>
            <w:sz w:val="24"/>
            <w:szCs w:val="24"/>
          </w:rPr>
          <w:t>https://www.questionpro.com</w:t>
        </w:r>
      </w:hyperlink>
      <w:r w:rsidRPr="009878E6">
        <w:rPr>
          <w:rFonts w:ascii="Times New Roman" w:hAnsi="Times New Roman" w:cs="Times New Roman"/>
          <w:sz w:val="24"/>
          <w:szCs w:val="24"/>
        </w:rPr>
        <w:t xml:space="preserve">). </w:t>
      </w:r>
      <w:r w:rsidRPr="009878E6" w:rsidR="71AAA6BF">
        <w:rPr>
          <w:rFonts w:ascii="Times New Roman" w:hAnsi="Times New Roman" w:cs="Times New Roman"/>
          <w:sz w:val="24"/>
          <w:szCs w:val="24"/>
        </w:rPr>
        <w:t>A</w:t>
      </w:r>
      <w:r w:rsidRPr="009878E6" w:rsidR="1D857116">
        <w:rPr>
          <w:rFonts w:ascii="Times New Roman" w:hAnsi="Times New Roman" w:cs="Times New Roman"/>
          <w:sz w:val="24"/>
          <w:szCs w:val="24"/>
        </w:rPr>
        <w:t>ll data collected will be assessed</w:t>
      </w:r>
      <w:r w:rsidRPr="009878E6" w:rsidR="04200F33">
        <w:rPr>
          <w:rFonts w:ascii="Times New Roman" w:hAnsi="Times New Roman" w:cs="Times New Roman"/>
          <w:sz w:val="24"/>
          <w:szCs w:val="24"/>
        </w:rPr>
        <w:t>, including frequency descriptions and use of statistical tests of significance and correlation and regression analysis.</w:t>
      </w:r>
      <w:r w:rsidRPr="009878E6" w:rsidR="1D857116">
        <w:rPr>
          <w:rFonts w:ascii="Times New Roman" w:hAnsi="Times New Roman" w:cs="Times New Roman"/>
          <w:sz w:val="24"/>
          <w:szCs w:val="24"/>
        </w:rPr>
        <w:t xml:space="preserve"> Based on these assessments, a final report and strategy document will be shared with NFIP Coordinators who represent State, Tribal, and Territorial Governments. </w:t>
      </w:r>
      <w:r w:rsidRPr="009878E6" w:rsidR="623B6CCE">
        <w:rPr>
          <w:rFonts w:ascii="Times New Roman" w:hAnsi="Times New Roman" w:cs="Times New Roman"/>
          <w:sz w:val="24"/>
          <w:szCs w:val="24"/>
        </w:rPr>
        <w:t xml:space="preserve"> 44 CFR </w:t>
      </w:r>
      <w:r w:rsidRPr="009878E6" w:rsidR="66AFE0F0">
        <w:rPr>
          <w:rFonts w:ascii="Times New Roman" w:hAnsi="Times New Roman" w:cs="Times New Roman"/>
          <w:sz w:val="24"/>
          <w:szCs w:val="24"/>
        </w:rPr>
        <w:t>60</w:t>
      </w:r>
      <w:r w:rsidRPr="009878E6" w:rsidR="2A734054">
        <w:rPr>
          <w:rFonts w:ascii="Times New Roman" w:hAnsi="Times New Roman" w:cs="Times New Roman"/>
          <w:sz w:val="24"/>
          <w:szCs w:val="24"/>
        </w:rPr>
        <w:t>.25</w:t>
      </w:r>
      <w:r w:rsidRPr="009878E6" w:rsidR="09F2DAEB">
        <w:rPr>
          <w:rFonts w:ascii="Times New Roman" w:hAnsi="Times New Roman" w:cs="Times New Roman"/>
          <w:sz w:val="24"/>
          <w:szCs w:val="24"/>
        </w:rPr>
        <w:t xml:space="preserve"> describes the duties and responsibilities of these officials</w:t>
      </w:r>
      <w:r w:rsidRPr="009878E6" w:rsidR="00BA2EFA">
        <w:rPr>
          <w:rFonts w:ascii="Times New Roman" w:hAnsi="Times New Roman" w:cs="Times New Roman"/>
          <w:sz w:val="24"/>
          <w:szCs w:val="24"/>
        </w:rPr>
        <w:t>.</w:t>
      </w:r>
      <w:r w:rsidRPr="009878E6" w:rsidR="1D857116">
        <w:rPr>
          <w:rFonts w:ascii="Times New Roman" w:hAnsi="Times New Roman" w:cs="Times New Roman"/>
          <w:sz w:val="24"/>
          <w:szCs w:val="24"/>
        </w:rPr>
        <w:t xml:space="preserve"> As </w:t>
      </w:r>
      <w:r w:rsidRPr="009878E6" w:rsidR="1D724FCF">
        <w:rPr>
          <w:rFonts w:ascii="Times New Roman" w:hAnsi="Times New Roman" w:cs="Times New Roman"/>
          <w:sz w:val="24"/>
          <w:szCs w:val="24"/>
        </w:rPr>
        <w:t xml:space="preserve">evidenced </w:t>
      </w:r>
      <w:r w:rsidRPr="009878E6" w:rsidR="1D857116">
        <w:rPr>
          <w:rFonts w:ascii="Times New Roman" w:hAnsi="Times New Roman" w:cs="Times New Roman"/>
          <w:sz w:val="24"/>
          <w:szCs w:val="24"/>
        </w:rPr>
        <w:t xml:space="preserve">in this </w:t>
      </w:r>
      <w:r w:rsidRPr="009878E6" w:rsidR="178FEB8D">
        <w:rPr>
          <w:rFonts w:ascii="Times New Roman" w:hAnsi="Times New Roman" w:cs="Times New Roman"/>
          <w:sz w:val="24"/>
          <w:szCs w:val="24"/>
        </w:rPr>
        <w:t>regulation</w:t>
      </w:r>
      <w:r w:rsidRPr="009878E6" w:rsidR="1D857116">
        <w:rPr>
          <w:rFonts w:ascii="Times New Roman" w:hAnsi="Times New Roman" w:cs="Times New Roman"/>
          <w:sz w:val="24"/>
          <w:szCs w:val="24"/>
        </w:rPr>
        <w:t xml:space="preserve">, these NFIP Coordinating offices provide training and technical assistance to Participating Communities and therefore have a vested interest in understanding the training needs of Participating Communities within their borders. </w:t>
      </w:r>
    </w:p>
    <w:p w:rsidR="00557D1B" w:rsidRPr="009878E6" w:rsidP="009878E6" w14:paraId="4EC1C919" w14:textId="77777777">
      <w:pPr>
        <w:contextualSpacing/>
        <w:rPr>
          <w:rFonts w:ascii="Times New Roman" w:hAnsi="Times New Roman" w:cs="Times New Roman"/>
          <w:sz w:val="24"/>
          <w:szCs w:val="24"/>
        </w:rPr>
      </w:pPr>
    </w:p>
    <w:p w:rsidR="001232B6" w:rsidRPr="009878E6" w:rsidP="009878E6" w14:paraId="6BDD1A2B" w14:textId="3BD0A7CA">
      <w:pPr>
        <w:contextualSpacing/>
        <w:rPr>
          <w:rFonts w:ascii="Times New Roman" w:hAnsi="Times New Roman" w:cs="Times New Roman"/>
          <w:sz w:val="24"/>
          <w:szCs w:val="24"/>
        </w:rPr>
      </w:pPr>
      <w:r w:rsidRPr="009878E6">
        <w:rPr>
          <w:rFonts w:ascii="Times New Roman" w:hAnsi="Times New Roman" w:cs="Times New Roman"/>
          <w:sz w:val="24"/>
          <w:szCs w:val="24"/>
        </w:rPr>
        <w:t>The final report and strategy document will also be shared with the Association of State Floodplain Managers (ASFPM), a non-profit 501c3 organization that administers the Certified Floodplain Manager exam and licensure. FEMA and ASFPM are parties to a cooperative agreement where ASFPM delivers the FEMA-developed EL027</w:t>
      </w:r>
      <w:r w:rsidRPr="009878E6" w:rsidR="00243A60">
        <w:rPr>
          <w:rFonts w:ascii="Times New Roman" w:hAnsi="Times New Roman" w:cs="Times New Roman"/>
          <w:sz w:val="24"/>
          <w:szCs w:val="24"/>
        </w:rPr>
        <w:t>3</w:t>
      </w:r>
      <w:r w:rsidRPr="009878E6">
        <w:rPr>
          <w:rFonts w:ascii="Times New Roman" w:hAnsi="Times New Roman" w:cs="Times New Roman"/>
          <w:sz w:val="24"/>
          <w:szCs w:val="24"/>
        </w:rPr>
        <w:t xml:space="preserve"> Managing Floodplain Development through the NFIP to FPA’s on behalf of FEMA.</w:t>
      </w:r>
    </w:p>
    <w:p w:rsidR="00557D1B" w:rsidRPr="009878E6" w:rsidP="009878E6" w14:paraId="19285850" w14:textId="77777777">
      <w:pPr>
        <w:contextualSpacing/>
        <w:rPr>
          <w:rFonts w:ascii="Times New Roman" w:hAnsi="Times New Roman" w:cs="Times New Roman"/>
          <w:sz w:val="24"/>
          <w:szCs w:val="24"/>
        </w:rPr>
      </w:pPr>
    </w:p>
    <w:p w:rsidR="00562915" w:rsidRPr="009878E6" w:rsidP="009878E6" w14:paraId="0B48AF79" w14:textId="152DCD44">
      <w:pPr>
        <w:contextualSpacing/>
        <w:rPr>
          <w:rFonts w:ascii="Times New Roman" w:hAnsi="Times New Roman" w:cs="Times New Roman"/>
          <w:sz w:val="24"/>
          <w:szCs w:val="24"/>
        </w:rPr>
      </w:pPr>
      <w:r w:rsidRPr="009878E6">
        <w:rPr>
          <w:rFonts w:ascii="Times New Roman" w:hAnsi="Times New Roman" w:cs="Times New Roman"/>
          <w:sz w:val="24"/>
          <w:szCs w:val="24"/>
        </w:rPr>
        <w:t>A public-facing report will include observations and recommended training strategies and will be posted on FEMA’s Floodplain Management Division webpage. The report will refer to States and Regions but not call out individual communities. Instead, it will refer to them in representational ways such as a “rural and inland town in Southeast New York with a population under 50,000”.</w:t>
      </w:r>
    </w:p>
    <w:p w:rsidR="00557D1B" w:rsidRPr="009878E6" w:rsidP="009878E6" w14:paraId="736F9FA8" w14:textId="77777777">
      <w:pPr>
        <w:contextualSpacing/>
        <w:rPr>
          <w:rFonts w:ascii="Times New Roman" w:hAnsi="Times New Roman" w:cs="Times New Roman"/>
          <w:sz w:val="24"/>
          <w:szCs w:val="24"/>
        </w:rPr>
      </w:pPr>
    </w:p>
    <w:bookmarkEnd w:id="4"/>
    <w:p w:rsidR="00562915" w:rsidRPr="009878E6" w:rsidP="009878E6" w14:paraId="7E8071CC" w14:textId="77777777">
      <w:pPr>
        <w:contextualSpacing/>
        <w:rPr>
          <w:rFonts w:ascii="Times New Roman" w:hAnsi="Times New Roman" w:cs="Times New Roman"/>
          <w:b/>
          <w:bCs/>
          <w:sz w:val="24"/>
          <w:szCs w:val="24"/>
        </w:rPr>
      </w:pPr>
      <w:r w:rsidRPr="009878E6">
        <w:rPr>
          <w:rFonts w:ascii="Times New Roman" w:hAnsi="Times New Roman" w:cs="Times New Roman"/>
          <w:b/>
          <w:bCs/>
          <w:sz w:val="24"/>
          <w:szCs w:val="24"/>
        </w:rPr>
        <w:fldChar w:fldCharType="begin"/>
      </w:r>
      <w:r w:rsidRPr="009878E6">
        <w:rPr>
          <w:rFonts w:ascii="Times New Roman" w:hAnsi="Times New Roman" w:cs="Times New Roman"/>
          <w:b/>
          <w:bCs/>
          <w:sz w:val="24"/>
          <w:szCs w:val="24"/>
        </w:rPr>
        <w:instrText>ADVANCE \R 0.95</w:instrText>
      </w:r>
      <w:r w:rsidRPr="009878E6">
        <w:rPr>
          <w:rFonts w:ascii="Times New Roman" w:hAnsi="Times New Roman" w:cs="Times New Roman"/>
          <w:b/>
          <w:bCs/>
          <w:sz w:val="24"/>
          <w:szCs w:val="24"/>
        </w:rPr>
        <w:fldChar w:fldCharType="end"/>
      </w:r>
      <w:r w:rsidRPr="009878E6">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557D1B" w:rsidRPr="009878E6" w:rsidP="009878E6" w14:paraId="6287CA65" w14:textId="77777777">
      <w:pPr>
        <w:contextualSpacing/>
        <w:rPr>
          <w:rFonts w:ascii="Times New Roman" w:hAnsi="Times New Roman" w:cs="Times New Roman"/>
          <w:color w:val="000000"/>
          <w:sz w:val="24"/>
          <w:szCs w:val="24"/>
        </w:rPr>
      </w:pPr>
    </w:p>
    <w:p w:rsidR="00591297" w:rsidRPr="009878E6" w:rsidP="009878E6" w14:paraId="242B59F4" w14:textId="726F6BEC">
      <w:pPr>
        <w:contextualSpacing/>
        <w:rPr>
          <w:rFonts w:ascii="Times New Roman" w:hAnsi="Times New Roman" w:cs="Times New Roman"/>
          <w:color w:val="000000"/>
          <w:sz w:val="24"/>
          <w:szCs w:val="24"/>
        </w:rPr>
      </w:pPr>
      <w:r w:rsidRPr="009878E6">
        <w:rPr>
          <w:rFonts w:ascii="Times New Roman" w:hAnsi="Times New Roman" w:cs="Times New Roman"/>
          <w:color w:val="000000"/>
          <w:sz w:val="24"/>
          <w:szCs w:val="24"/>
        </w:rPr>
        <w:t xml:space="preserve">The </w:t>
      </w:r>
      <w:r w:rsidRPr="009878E6">
        <w:rPr>
          <w:rFonts w:ascii="Times New Roman" w:hAnsi="Times New Roman" w:cs="Times New Roman"/>
          <w:color w:val="000000"/>
          <w:sz w:val="24"/>
          <w:szCs w:val="24"/>
        </w:rPr>
        <w:t xml:space="preserve">primary methods for data collection are email invitations to take an Internet-based survey and mailing of paper survey copies to respondents who do not have access to Internet-based surveys. FEMA anticipates approximately 85 percent of the respondent population will </w:t>
      </w:r>
      <w:r w:rsidRPr="009878E6" w:rsidR="004A2FBB">
        <w:rPr>
          <w:rFonts w:ascii="Times New Roman" w:hAnsi="Times New Roman" w:cs="Times New Roman"/>
          <w:color w:val="000000"/>
          <w:sz w:val="24"/>
          <w:szCs w:val="24"/>
        </w:rPr>
        <w:t xml:space="preserve">be reached through the email/Internet survey process. The Internet-based survey platform that will be used is QuestionPro. Increased use of automated technology is reducing the paperwork burden related to this collection. The approach generally </w:t>
      </w:r>
      <w:r w:rsidRPr="009878E6" w:rsidR="004A2FBB">
        <w:rPr>
          <w:rFonts w:ascii="Times New Roman" w:hAnsi="Times New Roman" w:cs="Times New Roman"/>
          <w:color w:val="000000"/>
          <w:sz w:val="24"/>
          <w:szCs w:val="24"/>
        </w:rPr>
        <w:t>involves sending email invitations to customers. To participate in the survey, customers activate the provided URL, which takes them to a website where the survey is presented, and the data is collected. This technique streamlines the process of data collection, reduces paperwork, and cuts costs significantly. In addition, it emphasizes the voluntary nature of participating in a survey.  In the case of email invitations sent to individuals, those who participate can complete the survey at a time that is convenient his or her schedule.</w:t>
      </w:r>
      <w:r w:rsidRPr="009878E6">
        <w:rPr>
          <w:rFonts w:ascii="Times New Roman" w:hAnsi="Times New Roman" w:cs="Times New Roman"/>
          <w:color w:val="000000"/>
          <w:sz w:val="24"/>
          <w:szCs w:val="24"/>
        </w:rPr>
        <w:t xml:space="preserve"> </w:t>
      </w:r>
      <w:r w:rsidRPr="009878E6" w:rsidR="00CA48FD">
        <w:rPr>
          <w:rFonts w:ascii="Times New Roman" w:hAnsi="Times New Roman" w:cs="Times New Roman"/>
          <w:color w:val="000000"/>
          <w:sz w:val="24"/>
          <w:szCs w:val="24"/>
        </w:rPr>
        <w:t xml:space="preserve">The online survey will reduce burden through the use of multiple question types and skip logic which creates the </w:t>
      </w:r>
      <w:r w:rsidRPr="009878E6" w:rsidR="004A2FBB">
        <w:rPr>
          <w:rFonts w:ascii="Times New Roman" w:hAnsi="Times New Roman" w:cs="Times New Roman"/>
          <w:color w:val="000000"/>
          <w:sz w:val="24"/>
          <w:szCs w:val="24"/>
        </w:rPr>
        <w:t>appropriate question</w:t>
      </w:r>
      <w:r w:rsidRPr="009878E6" w:rsidR="00CA48FD">
        <w:rPr>
          <w:rFonts w:ascii="Times New Roman" w:hAnsi="Times New Roman" w:cs="Times New Roman"/>
          <w:color w:val="000000"/>
          <w:sz w:val="24"/>
          <w:szCs w:val="24"/>
        </w:rPr>
        <w:t xml:space="preserve"> path for respondents based upon their input</w:t>
      </w:r>
      <w:r w:rsidRPr="009878E6" w:rsidR="004A2FBB">
        <w:rPr>
          <w:rFonts w:ascii="Times New Roman" w:hAnsi="Times New Roman" w:cs="Times New Roman"/>
          <w:color w:val="000000"/>
          <w:sz w:val="24"/>
          <w:szCs w:val="24"/>
        </w:rPr>
        <w:t xml:space="preserve"> and allows them to skip over questions that are not relevant to them</w:t>
      </w:r>
      <w:r w:rsidRPr="009878E6" w:rsidR="00CA48FD">
        <w:rPr>
          <w:rFonts w:ascii="Times New Roman" w:hAnsi="Times New Roman" w:cs="Times New Roman"/>
          <w:color w:val="000000"/>
          <w:sz w:val="24"/>
          <w:szCs w:val="24"/>
        </w:rPr>
        <w:t xml:space="preserve">. The use of QuestionPro also reduces burden on analysis as the platform provides real-time frequency analysis. Frequency data can be shared through dashboards can assist in quick analysis and informed decision making.  </w:t>
      </w:r>
    </w:p>
    <w:p w:rsidR="00557D1B" w:rsidRPr="009878E6" w:rsidP="009878E6" w14:paraId="5F4BB70C" w14:textId="77777777">
      <w:pPr>
        <w:contextualSpacing/>
        <w:rPr>
          <w:rFonts w:ascii="Times New Roman" w:hAnsi="Times New Roman" w:cs="Times New Roman"/>
          <w:color w:val="000000"/>
          <w:sz w:val="24"/>
          <w:szCs w:val="24"/>
        </w:rPr>
      </w:pPr>
    </w:p>
    <w:p w:rsidR="00562915" w:rsidRPr="009878E6" w:rsidP="009878E6" w14:paraId="209A8BD5" w14:textId="19164001">
      <w:pPr>
        <w:contextualSpacing/>
        <w:rPr>
          <w:rFonts w:ascii="Times New Roman" w:hAnsi="Times New Roman" w:cs="Times New Roman"/>
          <w:color w:val="000000"/>
          <w:sz w:val="24"/>
          <w:szCs w:val="24"/>
        </w:rPr>
      </w:pPr>
      <w:r w:rsidRPr="009878E6">
        <w:rPr>
          <w:rFonts w:ascii="Times New Roman" w:hAnsi="Times New Roman" w:cs="Times New Roman"/>
          <w:color w:val="000000"/>
          <w:sz w:val="24"/>
          <w:szCs w:val="24"/>
        </w:rPr>
        <w:t xml:space="preserve">In the case of </w:t>
      </w:r>
      <w:r w:rsidRPr="009878E6" w:rsidR="00D71934">
        <w:rPr>
          <w:rFonts w:ascii="Times New Roman" w:hAnsi="Times New Roman" w:cs="Times New Roman"/>
          <w:color w:val="000000"/>
          <w:sz w:val="24"/>
          <w:szCs w:val="24"/>
        </w:rPr>
        <w:t>mailed surveys</w:t>
      </w:r>
      <w:r w:rsidRPr="009878E6">
        <w:rPr>
          <w:rFonts w:ascii="Times New Roman" w:hAnsi="Times New Roman" w:cs="Times New Roman"/>
          <w:color w:val="000000"/>
          <w:sz w:val="24"/>
          <w:szCs w:val="24"/>
        </w:rPr>
        <w:t xml:space="preserve">, experienced </w:t>
      </w:r>
      <w:r w:rsidRPr="009878E6" w:rsidR="00D71934">
        <w:rPr>
          <w:rFonts w:ascii="Times New Roman" w:hAnsi="Times New Roman" w:cs="Times New Roman"/>
          <w:color w:val="000000"/>
          <w:sz w:val="24"/>
          <w:szCs w:val="24"/>
        </w:rPr>
        <w:t>researchers</w:t>
      </w:r>
      <w:r w:rsidRPr="009878E6">
        <w:rPr>
          <w:rFonts w:ascii="Times New Roman" w:hAnsi="Times New Roman" w:cs="Times New Roman"/>
          <w:color w:val="000000"/>
          <w:sz w:val="24"/>
          <w:szCs w:val="24"/>
        </w:rPr>
        <w:t xml:space="preserve"> can review </w:t>
      </w:r>
      <w:r w:rsidRPr="009878E6" w:rsidR="00D71934">
        <w:rPr>
          <w:rFonts w:ascii="Times New Roman" w:hAnsi="Times New Roman" w:cs="Times New Roman"/>
          <w:color w:val="000000"/>
          <w:sz w:val="24"/>
          <w:szCs w:val="24"/>
        </w:rPr>
        <w:t>completed forms and manually enter the responses into the QuestionPro platform so that all the data is stored in the same file. The researchers also use techniques of review and inter-coder reliability to ensure data is accurate and complete when being entered</w:t>
      </w:r>
      <w:r w:rsidRPr="009878E6">
        <w:rPr>
          <w:rFonts w:ascii="Times New Roman" w:hAnsi="Times New Roman" w:cs="Times New Roman"/>
          <w:color w:val="000000"/>
          <w:sz w:val="24"/>
          <w:szCs w:val="24"/>
        </w:rPr>
        <w:t xml:space="preserve">. </w:t>
      </w:r>
      <w:r w:rsidRPr="009878E6" w:rsidR="00D71934">
        <w:rPr>
          <w:rFonts w:ascii="Times New Roman" w:hAnsi="Times New Roman" w:cs="Times New Roman"/>
          <w:color w:val="000000"/>
          <w:sz w:val="24"/>
          <w:szCs w:val="24"/>
        </w:rPr>
        <w:t>The decision to use mailed surveys is based on previous interactions with FPAs who do not have access to Internet</w:t>
      </w:r>
      <w:r w:rsidRPr="009878E6">
        <w:rPr>
          <w:rFonts w:ascii="Times New Roman" w:hAnsi="Times New Roman" w:cs="Times New Roman"/>
          <w:color w:val="000000"/>
          <w:sz w:val="24"/>
          <w:szCs w:val="24"/>
        </w:rPr>
        <w:t>.</w:t>
      </w:r>
      <w:r w:rsidRPr="009878E6" w:rsidR="00D71934">
        <w:rPr>
          <w:rFonts w:ascii="Times New Roman" w:hAnsi="Times New Roman" w:cs="Times New Roman"/>
          <w:color w:val="000000"/>
          <w:sz w:val="24"/>
          <w:szCs w:val="24"/>
        </w:rPr>
        <w:t xml:space="preserve"> Telephone interviews were not considered as the alternative due to length of the survey and costs that would be related to using a call assisted center.</w:t>
      </w:r>
      <w:r w:rsidRPr="009878E6">
        <w:rPr>
          <w:rFonts w:ascii="Times New Roman" w:hAnsi="Times New Roman" w:cs="Times New Roman"/>
          <w:color w:val="000000"/>
          <w:sz w:val="24"/>
          <w:szCs w:val="24"/>
        </w:rPr>
        <w:t xml:space="preserve">  </w:t>
      </w:r>
    </w:p>
    <w:p w:rsidR="00557D1B" w:rsidRPr="009878E6" w:rsidP="009878E6" w14:paraId="1E358A95" w14:textId="77777777">
      <w:pPr>
        <w:contextualSpacing/>
        <w:rPr>
          <w:rFonts w:ascii="Times New Roman" w:hAnsi="Times New Roman" w:cs="Times New Roman"/>
          <w:color w:val="000000"/>
          <w:sz w:val="24"/>
          <w:szCs w:val="24"/>
        </w:rPr>
      </w:pPr>
    </w:p>
    <w:p w:rsidR="00562915" w:rsidRPr="009878E6" w:rsidP="009878E6" w14:paraId="63F3336F" w14:textId="407F5A18">
      <w:pPr>
        <w:contextualSpacing/>
        <w:rPr>
          <w:rFonts w:ascii="Times New Roman" w:hAnsi="Times New Roman" w:cs="Times New Roman"/>
          <w:sz w:val="24"/>
          <w:szCs w:val="24"/>
        </w:rPr>
      </w:pPr>
      <w:r w:rsidRPr="009878E6">
        <w:rPr>
          <w:rFonts w:ascii="Times New Roman" w:hAnsi="Times New Roman" w:cs="Times New Roman"/>
          <w:sz w:val="24"/>
          <w:szCs w:val="24"/>
        </w:rPr>
        <w:fldChar w:fldCharType="begin"/>
      </w:r>
      <w:r w:rsidRPr="009878E6">
        <w:rPr>
          <w:rFonts w:ascii="Times New Roman" w:hAnsi="Times New Roman" w:cs="Times New Roman"/>
          <w:sz w:val="24"/>
          <w:szCs w:val="24"/>
        </w:rPr>
        <w:instrText>ADVANCE \R 0.95</w:instrText>
      </w:r>
      <w:r w:rsidRPr="009878E6">
        <w:rPr>
          <w:rFonts w:ascii="Times New Roman" w:hAnsi="Times New Roman" w:cs="Times New Roman"/>
          <w:sz w:val="24"/>
          <w:szCs w:val="24"/>
        </w:rPr>
        <w:fldChar w:fldCharType="end"/>
      </w:r>
      <w:r w:rsidRPr="009878E6">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9878E6">
        <w:rPr>
          <w:rFonts w:ascii="Times New Roman" w:hAnsi="Times New Roman" w:cs="Times New Roman"/>
          <w:sz w:val="24"/>
          <w:szCs w:val="24"/>
        </w:rPr>
        <w:fldChar w:fldCharType="begin"/>
      </w:r>
      <w:r w:rsidRPr="009878E6">
        <w:rPr>
          <w:rFonts w:ascii="Times New Roman" w:hAnsi="Times New Roman" w:cs="Times New Roman"/>
          <w:sz w:val="24"/>
          <w:szCs w:val="24"/>
        </w:rPr>
        <w:instrText>ADVANCE \R 0.95</w:instrText>
      </w:r>
      <w:r w:rsidRPr="009878E6">
        <w:rPr>
          <w:rFonts w:ascii="Times New Roman" w:hAnsi="Times New Roman" w:cs="Times New Roman"/>
          <w:sz w:val="24"/>
          <w:szCs w:val="24"/>
        </w:rPr>
        <w:fldChar w:fldCharType="end"/>
      </w:r>
    </w:p>
    <w:p w:rsidR="00557D1B" w:rsidRPr="009878E6" w:rsidP="009878E6" w14:paraId="149DB611" w14:textId="77777777">
      <w:pPr>
        <w:contextualSpacing/>
        <w:rPr>
          <w:rFonts w:ascii="Times New Roman" w:hAnsi="Times New Roman" w:cs="Times New Roman"/>
          <w:sz w:val="24"/>
          <w:szCs w:val="24"/>
        </w:rPr>
      </w:pPr>
    </w:p>
    <w:p w:rsidR="00C04040" w:rsidRPr="009878E6" w:rsidP="009878E6" w14:paraId="0363CD2D" w14:textId="6F5EA464">
      <w:pPr>
        <w:contextualSpacing/>
        <w:rPr>
          <w:rFonts w:ascii="Times New Roman" w:hAnsi="Times New Roman" w:cs="Times New Roman"/>
          <w:sz w:val="24"/>
          <w:szCs w:val="24"/>
        </w:rPr>
      </w:pPr>
      <w:r w:rsidRPr="009878E6">
        <w:rPr>
          <w:rFonts w:ascii="Times New Roman" w:hAnsi="Times New Roman" w:cs="Times New Roman"/>
          <w:sz w:val="24"/>
          <w:szCs w:val="24"/>
        </w:rPr>
        <w:t>For FEMA, this is a new information collection based upon the intended respondent population (</w:t>
      </w:r>
      <w:r w:rsidRPr="009878E6" w:rsidR="00686067">
        <w:rPr>
          <w:rFonts w:ascii="Times New Roman" w:hAnsi="Times New Roman" w:cs="Times New Roman"/>
          <w:sz w:val="24"/>
          <w:szCs w:val="24"/>
        </w:rPr>
        <w:t>FPAs</w:t>
      </w:r>
      <w:r w:rsidRPr="009878E6">
        <w:rPr>
          <w:rFonts w:ascii="Times New Roman" w:hAnsi="Times New Roman" w:cs="Times New Roman"/>
          <w:sz w:val="24"/>
          <w:szCs w:val="24"/>
        </w:rPr>
        <w:t xml:space="preserve">) and the questions being asked. </w:t>
      </w:r>
      <w:r w:rsidRPr="009878E6" w:rsidR="00912828">
        <w:rPr>
          <w:rFonts w:ascii="Times New Roman" w:hAnsi="Times New Roman" w:cs="Times New Roman"/>
          <w:sz w:val="24"/>
          <w:szCs w:val="24"/>
        </w:rPr>
        <w:t xml:space="preserve">Every effort </w:t>
      </w:r>
      <w:r w:rsidRPr="009878E6" w:rsidR="00243A60">
        <w:rPr>
          <w:rFonts w:ascii="Times New Roman" w:hAnsi="Times New Roman" w:cs="Times New Roman"/>
          <w:sz w:val="24"/>
          <w:szCs w:val="24"/>
        </w:rPr>
        <w:t>has been</w:t>
      </w:r>
      <w:r w:rsidRPr="009878E6" w:rsidR="00912828">
        <w:rPr>
          <w:rFonts w:ascii="Times New Roman" w:hAnsi="Times New Roman" w:cs="Times New Roman"/>
          <w:sz w:val="24"/>
          <w:szCs w:val="24"/>
        </w:rPr>
        <w:t xml:space="preserve"> made to identify duplicating or similar surveys and survey questions.</w:t>
      </w:r>
      <w:r w:rsidRPr="009878E6">
        <w:rPr>
          <w:rFonts w:ascii="Times New Roman" w:hAnsi="Times New Roman" w:cs="Times New Roman"/>
          <w:sz w:val="24"/>
          <w:szCs w:val="24"/>
        </w:rPr>
        <w:t xml:space="preserve"> FEMA has found this collection does not replace or duplicate other surveys of the respondent population.</w:t>
      </w:r>
      <w:r w:rsidRPr="009878E6" w:rsidR="00912828">
        <w:rPr>
          <w:rFonts w:ascii="Times New Roman" w:hAnsi="Times New Roman" w:cs="Times New Roman"/>
          <w:sz w:val="24"/>
          <w:szCs w:val="24"/>
        </w:rPr>
        <w:t xml:space="preserve"> </w:t>
      </w:r>
      <w:r w:rsidRPr="009878E6">
        <w:rPr>
          <w:rFonts w:ascii="Times New Roman" w:hAnsi="Times New Roman" w:cs="Times New Roman"/>
          <w:sz w:val="24"/>
          <w:szCs w:val="24"/>
        </w:rPr>
        <w:t xml:space="preserve">FEMA could not locate any similar information collection already available or that could be modified for this information collection—as no national information collection of </w:t>
      </w:r>
      <w:r w:rsidRPr="009878E6" w:rsidR="00EA27F0">
        <w:rPr>
          <w:rFonts w:ascii="Times New Roman" w:hAnsi="Times New Roman" w:cs="Times New Roman"/>
          <w:sz w:val="24"/>
          <w:szCs w:val="24"/>
        </w:rPr>
        <w:t>FPAs</w:t>
      </w:r>
      <w:r w:rsidRPr="009878E6">
        <w:rPr>
          <w:rFonts w:ascii="Times New Roman" w:hAnsi="Times New Roman" w:cs="Times New Roman"/>
          <w:sz w:val="24"/>
          <w:szCs w:val="24"/>
        </w:rPr>
        <w:t xml:space="preserve"> has been conducted by FEMA or other entities. </w:t>
      </w:r>
      <w:r w:rsidRPr="009878E6">
        <w:rPr>
          <w:rFonts w:ascii="Times New Roman" w:hAnsi="Times New Roman" w:cs="Times New Roman"/>
          <w:sz w:val="24"/>
          <w:szCs w:val="24"/>
        </w:rPr>
        <w:t xml:space="preserve">The majority of questions being asked in this collection are about </w:t>
      </w:r>
      <w:r w:rsidRPr="009878E6" w:rsidR="00686067">
        <w:rPr>
          <w:rFonts w:ascii="Times New Roman" w:hAnsi="Times New Roman" w:cs="Times New Roman"/>
          <w:sz w:val="24"/>
          <w:szCs w:val="24"/>
        </w:rPr>
        <w:t>FPAs’</w:t>
      </w:r>
      <w:r w:rsidRPr="009878E6">
        <w:rPr>
          <w:rFonts w:ascii="Times New Roman" w:hAnsi="Times New Roman" w:cs="Times New Roman"/>
          <w:sz w:val="24"/>
          <w:szCs w:val="24"/>
        </w:rPr>
        <w:t xml:space="preserve"> specific circumstances and preferences, which have not been collected by FEMA previously, or are approved in any other FEMA information collection. </w:t>
      </w:r>
      <w:r w:rsidRPr="009878E6">
        <w:rPr>
          <w:rFonts w:ascii="Times New Roman" w:hAnsi="Times New Roman" w:cs="Times New Roman"/>
          <w:sz w:val="24"/>
          <w:szCs w:val="24"/>
        </w:rPr>
        <w:t xml:space="preserve">A smaller set of questions will be used to collect the specific demographic variables of </w:t>
      </w:r>
      <w:r w:rsidRPr="009878E6" w:rsidR="00686067">
        <w:rPr>
          <w:rFonts w:ascii="Times New Roman" w:hAnsi="Times New Roman" w:cs="Times New Roman"/>
          <w:sz w:val="24"/>
          <w:szCs w:val="24"/>
        </w:rPr>
        <w:t>FPAs</w:t>
      </w:r>
      <w:r w:rsidRPr="009878E6">
        <w:rPr>
          <w:rFonts w:ascii="Times New Roman" w:hAnsi="Times New Roman" w:cs="Times New Roman"/>
          <w:sz w:val="24"/>
          <w:szCs w:val="24"/>
        </w:rPr>
        <w:t xml:space="preserve">. </w:t>
      </w:r>
      <w:r w:rsidRPr="009878E6" w:rsidR="004C0A29">
        <w:rPr>
          <w:rFonts w:ascii="Times New Roman" w:hAnsi="Times New Roman" w:cs="Times New Roman"/>
          <w:sz w:val="24"/>
          <w:szCs w:val="24"/>
        </w:rPr>
        <w:t>These questions are necessary within this information collection because demographic questions for the specific respondent population have not been collected previously under any other information collection. Demographic information collected from previous FEMA surveys or information collection instruments. As noted, the respondent audience for this information collection is fundamentally different (pre-</w:t>
      </w:r>
      <w:r w:rsidRPr="009878E6" w:rsidR="004C0A29">
        <w:rPr>
          <w:rFonts w:ascii="Times New Roman" w:hAnsi="Times New Roman" w:cs="Times New Roman"/>
          <w:sz w:val="24"/>
          <w:szCs w:val="24"/>
        </w:rPr>
        <w:t xml:space="preserve">disaster, local government) than other surveys (post-disaster, general public). Data from previous FEMA surveys are not compatible or linked to survey responses from other FEMA information collections. </w:t>
      </w:r>
      <w:r w:rsidRPr="009878E6" w:rsidR="00BA29E1">
        <w:rPr>
          <w:rFonts w:ascii="Times New Roman" w:hAnsi="Times New Roman" w:cs="Times New Roman"/>
          <w:sz w:val="24"/>
          <w:szCs w:val="24"/>
        </w:rPr>
        <w:t xml:space="preserve">In order to reduce potential burden and/or respondent confusion, this information collection will use, as appropriate and relevant, the demographic question language of previously approved FEMA information collections but is requesting to ask additional questions necessary for FEMA’s understanding of this specific respondent population for tailored program management and improvement for the NFIP and FPA training.  </w:t>
      </w:r>
    </w:p>
    <w:p w:rsidR="00557D1B" w:rsidRPr="009878E6" w:rsidP="009878E6" w14:paraId="6B17212A" w14:textId="77777777">
      <w:pPr>
        <w:contextualSpacing/>
        <w:rPr>
          <w:rFonts w:ascii="Times New Roman" w:hAnsi="Times New Roman" w:cs="Times New Roman"/>
          <w:sz w:val="24"/>
          <w:szCs w:val="24"/>
        </w:rPr>
      </w:pPr>
    </w:p>
    <w:p w:rsidR="00912828" w:rsidRPr="009878E6" w:rsidP="009878E6" w14:paraId="2C967FD7" w14:textId="160F7C10">
      <w:pPr>
        <w:contextualSpacing/>
        <w:rPr>
          <w:rFonts w:ascii="Times New Roman" w:hAnsi="Times New Roman" w:cs="Times New Roman"/>
          <w:sz w:val="24"/>
          <w:szCs w:val="24"/>
        </w:rPr>
      </w:pPr>
      <w:r w:rsidRPr="009878E6">
        <w:rPr>
          <w:rFonts w:ascii="Times New Roman" w:hAnsi="Times New Roman" w:cs="Times New Roman"/>
          <w:sz w:val="24"/>
          <w:szCs w:val="24"/>
        </w:rPr>
        <w:t xml:space="preserve">Respondents may be involved in community self-assessments but given the nature of comprehensive preparedness planning and of this information collection, which is anticipated to occur once every five to ten years, it is unlikely that individual respondents would be selected to complete more than one survey over an annual reporting cycle. Moreover, as a census survey, FEMA and its contractor will conduct the information collection to provide a statistically valid result.  </w:t>
      </w:r>
      <w:r w:rsidRPr="009878E6">
        <w:rPr>
          <w:rFonts w:ascii="Times New Roman" w:hAnsi="Times New Roman" w:cs="Times New Roman"/>
          <w:sz w:val="24"/>
          <w:szCs w:val="24"/>
        </w:rPr>
        <w:t xml:space="preserve">  </w:t>
      </w:r>
    </w:p>
    <w:p w:rsidR="00557D1B" w:rsidRPr="009878E6" w:rsidP="009878E6" w14:paraId="25A06A01" w14:textId="77777777">
      <w:pPr>
        <w:contextualSpacing/>
        <w:rPr>
          <w:rFonts w:ascii="Times New Roman" w:hAnsi="Times New Roman" w:cs="Times New Roman"/>
          <w:sz w:val="24"/>
          <w:szCs w:val="24"/>
        </w:rPr>
      </w:pPr>
    </w:p>
    <w:p w:rsidR="00562915" w:rsidRPr="009878E6" w:rsidP="009878E6" w14:paraId="695DCD55" w14:textId="77777777">
      <w:pPr>
        <w:tabs>
          <w:tab w:val="left" w:pos="360"/>
        </w:tabs>
        <w:contextualSpacing/>
        <w:rPr>
          <w:rFonts w:ascii="Times New Roman" w:hAnsi="Times New Roman" w:cs="Times New Roman"/>
          <w:b/>
          <w:bCs/>
          <w:sz w:val="24"/>
          <w:szCs w:val="24"/>
        </w:rPr>
      </w:pPr>
      <w:r w:rsidRPr="009878E6">
        <w:rPr>
          <w:rFonts w:ascii="Times New Roman" w:hAnsi="Times New Roman" w:cs="Times New Roman"/>
          <w:b/>
          <w:bCs/>
          <w:sz w:val="24"/>
          <w:szCs w:val="24"/>
        </w:rPr>
        <w:t xml:space="preserve">5.  </w:t>
      </w:r>
      <w:r w:rsidRPr="009878E6">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557D1B" w:rsidRPr="009878E6" w:rsidP="009878E6" w14:paraId="37F34750" w14:textId="4DC235CA">
      <w:pPr>
        <w:tabs>
          <w:tab w:val="left" w:pos="360"/>
        </w:tabs>
        <w:contextualSpacing/>
        <w:rPr>
          <w:rFonts w:ascii="Times New Roman" w:hAnsi="Times New Roman" w:cs="Times New Roman"/>
          <w:spacing w:val="-3"/>
          <w:sz w:val="24"/>
          <w:szCs w:val="24"/>
        </w:rPr>
      </w:pPr>
    </w:p>
    <w:p w:rsidR="00FF2C0A" w:rsidRPr="009878E6" w:rsidP="009878E6" w14:paraId="4A0FA2BC" w14:textId="78A9F456">
      <w:pPr>
        <w:tabs>
          <w:tab w:val="left" w:pos="360"/>
        </w:tabs>
        <w:contextualSpacing/>
        <w:rPr>
          <w:rFonts w:ascii="Times New Roman" w:hAnsi="Times New Roman" w:cs="Times New Roman"/>
          <w:spacing w:val="-3"/>
          <w:sz w:val="24"/>
          <w:szCs w:val="24"/>
        </w:rPr>
      </w:pPr>
      <w:r w:rsidRPr="009878E6">
        <w:rPr>
          <w:rFonts w:ascii="Times New Roman" w:hAnsi="Times New Roman" w:cs="Times New Roman"/>
          <w:spacing w:val="-3"/>
          <w:sz w:val="24"/>
          <w:szCs w:val="24"/>
        </w:rPr>
        <w:t xml:space="preserve">The </w:t>
      </w:r>
      <w:r w:rsidRPr="009878E6" w:rsidR="0EA52B76">
        <w:rPr>
          <w:rFonts w:ascii="Times New Roman" w:hAnsi="Times New Roman" w:cs="Times New Roman"/>
          <w:spacing w:val="-3"/>
          <w:sz w:val="24"/>
          <w:szCs w:val="24"/>
        </w:rPr>
        <w:t>information collection</w:t>
      </w:r>
      <w:r w:rsidRPr="009878E6">
        <w:rPr>
          <w:rFonts w:ascii="Times New Roman" w:hAnsi="Times New Roman" w:cs="Times New Roman"/>
          <w:spacing w:val="-3"/>
          <w:sz w:val="24"/>
          <w:szCs w:val="24"/>
        </w:rPr>
        <w:t xml:space="preserve"> will only involve </w:t>
      </w:r>
      <w:r w:rsidRPr="009878E6" w:rsidR="00430983">
        <w:rPr>
          <w:rFonts w:ascii="Times New Roman" w:hAnsi="Times New Roman" w:cs="Times New Roman"/>
          <w:spacing w:val="-3"/>
          <w:sz w:val="24"/>
          <w:szCs w:val="24"/>
        </w:rPr>
        <w:t>individuals designated as Flood Program Administrators (FPAs), who represent the eligible and participating communities.  The information collection will not</w:t>
      </w:r>
      <w:r w:rsidRPr="009878E6" w:rsidR="00AD3158">
        <w:rPr>
          <w:rFonts w:ascii="Times New Roman" w:hAnsi="Times New Roman" w:cs="Times New Roman"/>
          <w:spacing w:val="-3"/>
          <w:sz w:val="24"/>
          <w:szCs w:val="24"/>
        </w:rPr>
        <w:t xml:space="preserve"> impact </w:t>
      </w:r>
      <w:r w:rsidRPr="009878E6">
        <w:rPr>
          <w:rFonts w:ascii="Times New Roman" w:hAnsi="Times New Roman" w:cs="Times New Roman"/>
          <w:spacing w:val="-3"/>
          <w:sz w:val="24"/>
          <w:szCs w:val="24"/>
        </w:rPr>
        <w:t>local governments</w:t>
      </w:r>
      <w:r w:rsidRPr="009878E6" w:rsidR="0EA52B76">
        <w:rPr>
          <w:rFonts w:ascii="Times New Roman" w:hAnsi="Times New Roman" w:cs="Times New Roman"/>
          <w:spacing w:val="-3"/>
          <w:sz w:val="24"/>
          <w:szCs w:val="24"/>
        </w:rPr>
        <w:t xml:space="preserve"> </w:t>
      </w:r>
      <w:r w:rsidRPr="009878E6" w:rsidR="00AD3158">
        <w:rPr>
          <w:rFonts w:ascii="Times New Roman" w:hAnsi="Times New Roman" w:cs="Times New Roman"/>
          <w:spacing w:val="-3"/>
          <w:sz w:val="24"/>
          <w:szCs w:val="24"/>
        </w:rPr>
        <w:t>or</w:t>
      </w:r>
      <w:r w:rsidRPr="009878E6" w:rsidR="0EA52B76">
        <w:rPr>
          <w:rFonts w:ascii="Times New Roman" w:hAnsi="Times New Roman" w:cs="Times New Roman"/>
          <w:spacing w:val="-3"/>
          <w:sz w:val="24"/>
          <w:szCs w:val="24"/>
        </w:rPr>
        <w:t xml:space="preserve"> small businesses</w:t>
      </w:r>
      <w:r w:rsidRPr="009878E6" w:rsidR="00430983">
        <w:rPr>
          <w:rFonts w:ascii="Times New Roman" w:hAnsi="Times New Roman" w:cs="Times New Roman"/>
          <w:spacing w:val="-3"/>
          <w:sz w:val="24"/>
          <w:szCs w:val="24"/>
        </w:rPr>
        <w:t>. The data collection may impact other small entities, if the FPA is a representative of a</w:t>
      </w:r>
      <w:r w:rsidRPr="009878E6" w:rsidR="00302E63">
        <w:rPr>
          <w:rFonts w:ascii="Times New Roman" w:hAnsi="Times New Roman" w:cs="Times New Roman"/>
          <w:spacing w:val="-3"/>
          <w:sz w:val="24"/>
          <w:szCs w:val="24"/>
        </w:rPr>
        <w:t>n eligible and participating community representing the</w:t>
      </w:r>
      <w:r w:rsidRPr="009878E6" w:rsidR="00430983">
        <w:rPr>
          <w:rFonts w:ascii="Times New Roman" w:hAnsi="Times New Roman" w:cs="Times New Roman"/>
          <w:spacing w:val="-3"/>
          <w:sz w:val="24"/>
          <w:szCs w:val="24"/>
        </w:rPr>
        <w:t xml:space="preserve"> government of a city, town, county, township, school district, etc. with a population of less than 50,000</w:t>
      </w:r>
      <w:r w:rsidRPr="009878E6" w:rsidR="00302E63">
        <w:rPr>
          <w:rFonts w:ascii="Times New Roman" w:hAnsi="Times New Roman" w:cs="Times New Roman"/>
          <w:spacing w:val="-3"/>
          <w:sz w:val="24"/>
          <w:szCs w:val="24"/>
        </w:rPr>
        <w:t>.</w:t>
      </w:r>
      <w:r w:rsidRPr="009878E6" w:rsidR="0EA52B76">
        <w:rPr>
          <w:rFonts w:ascii="Times New Roman" w:hAnsi="Times New Roman" w:cs="Times New Roman"/>
          <w:spacing w:val="-3"/>
          <w:sz w:val="24"/>
          <w:szCs w:val="24"/>
        </w:rPr>
        <w:t xml:space="preserve"> </w:t>
      </w:r>
      <w:r w:rsidRPr="009878E6" w:rsidR="00302E63">
        <w:rPr>
          <w:rFonts w:ascii="Times New Roman" w:hAnsi="Times New Roman" w:cs="Times New Roman"/>
          <w:spacing w:val="-3"/>
          <w:sz w:val="24"/>
          <w:szCs w:val="24"/>
        </w:rPr>
        <w:t xml:space="preserve">To minimize potential burden and impact on local government small entities, the respondent will be provided with instructions and may contact the collecting program for clarification and assistance. </w:t>
      </w:r>
      <w:r w:rsidRPr="009878E6" w:rsidR="0EA52B76">
        <w:rPr>
          <w:rFonts w:ascii="Times New Roman" w:hAnsi="Times New Roman" w:cs="Times New Roman"/>
          <w:spacing w:val="-3"/>
          <w:sz w:val="24"/>
          <w:szCs w:val="24"/>
        </w:rPr>
        <w:t>If asked to participate in a survey, a small business could opt out very easily without penalty or pressure.</w:t>
      </w:r>
    </w:p>
    <w:p w:rsidR="00FC01C2" w:rsidRPr="009878E6" w:rsidP="009878E6" w14:paraId="4C0ADAFD" w14:textId="77777777">
      <w:pPr>
        <w:tabs>
          <w:tab w:val="left" w:pos="360"/>
        </w:tabs>
        <w:contextualSpacing/>
        <w:rPr>
          <w:rFonts w:ascii="Times New Roman" w:hAnsi="Times New Roman" w:cs="Times New Roman"/>
          <w:spacing w:val="-3"/>
          <w:sz w:val="24"/>
          <w:szCs w:val="24"/>
        </w:rPr>
      </w:pPr>
    </w:p>
    <w:p w:rsidR="00562915" w:rsidRPr="009878E6" w:rsidP="009878E6" w14:paraId="30A515C3" w14:textId="517BC20F">
      <w:pPr>
        <w:contextualSpacing/>
        <w:rPr>
          <w:rFonts w:ascii="Times New Roman" w:hAnsi="Times New Roman" w:cs="Times New Roman"/>
          <w:b/>
          <w:bCs/>
          <w:sz w:val="24"/>
          <w:szCs w:val="24"/>
        </w:rPr>
      </w:pPr>
      <w:r w:rsidRPr="009878E6">
        <w:rPr>
          <w:rFonts w:ascii="Times New Roman" w:hAnsi="Times New Roman" w:cs="Times New Roman"/>
          <w:b/>
          <w:bCs/>
          <w:sz w:val="24"/>
          <w:szCs w:val="24"/>
        </w:rPr>
        <w:fldChar w:fldCharType="begin"/>
      </w:r>
      <w:r w:rsidRPr="009878E6">
        <w:rPr>
          <w:rFonts w:ascii="Times New Roman" w:hAnsi="Times New Roman" w:cs="Times New Roman"/>
          <w:b/>
          <w:bCs/>
          <w:sz w:val="24"/>
          <w:szCs w:val="24"/>
        </w:rPr>
        <w:instrText>ADVANCE \R 0.95</w:instrText>
      </w:r>
      <w:r w:rsidRPr="009878E6">
        <w:rPr>
          <w:rFonts w:ascii="Times New Roman" w:hAnsi="Times New Roman" w:cs="Times New Roman"/>
          <w:b/>
          <w:bCs/>
          <w:sz w:val="24"/>
          <w:szCs w:val="24"/>
        </w:rPr>
        <w:fldChar w:fldCharType="end"/>
      </w:r>
      <w:r w:rsidRPr="009878E6">
        <w:rPr>
          <w:rFonts w:ascii="Times New Roman" w:hAnsi="Times New Roman" w:cs="Times New Roman"/>
          <w:b/>
          <w:bCs/>
          <w:sz w:val="24"/>
          <w:szCs w:val="24"/>
        </w:rPr>
        <w:t xml:space="preserve">6.  Describe the consequence to Federal/FEMA program or policy activities if the collection of information is not </w:t>
      </w:r>
      <w:r w:rsidRPr="009878E6" w:rsidR="000364E1">
        <w:rPr>
          <w:rFonts w:ascii="Times New Roman" w:hAnsi="Times New Roman" w:cs="Times New Roman"/>
          <w:b/>
          <w:bCs/>
          <w:sz w:val="24"/>
          <w:szCs w:val="24"/>
        </w:rPr>
        <w:t>conducted or</w:t>
      </w:r>
      <w:r w:rsidRPr="009878E6">
        <w:rPr>
          <w:rFonts w:ascii="Times New Roman" w:hAnsi="Times New Roman" w:cs="Times New Roman"/>
          <w:b/>
          <w:bCs/>
          <w:sz w:val="24"/>
          <w:szCs w:val="24"/>
        </w:rPr>
        <w:t xml:space="preserve"> is conducted less frequently as well as any technical or legal obstacles to reducing burden.  </w:t>
      </w:r>
    </w:p>
    <w:p w:rsidR="00FC01C2" w:rsidRPr="009878E6" w:rsidP="009878E6" w14:paraId="02830545" w14:textId="77777777">
      <w:pPr>
        <w:contextualSpacing/>
        <w:rPr>
          <w:rFonts w:ascii="Times New Roman" w:hAnsi="Times New Roman" w:cs="Times New Roman"/>
          <w:spacing w:val="-3"/>
          <w:sz w:val="24"/>
          <w:szCs w:val="24"/>
        </w:rPr>
      </w:pPr>
    </w:p>
    <w:p w:rsidR="00FF2C0A" w:rsidRPr="009878E6" w:rsidP="009878E6" w14:paraId="4964171B" w14:textId="17CDE08E">
      <w:pPr>
        <w:contextualSpacing/>
        <w:rPr>
          <w:rFonts w:ascii="Times New Roman" w:hAnsi="Times New Roman" w:cs="Times New Roman"/>
          <w:spacing w:val="-3"/>
          <w:sz w:val="24"/>
          <w:szCs w:val="24"/>
        </w:rPr>
      </w:pPr>
      <w:r w:rsidRPr="009878E6">
        <w:rPr>
          <w:rFonts w:ascii="Times New Roman" w:hAnsi="Times New Roman" w:cs="Times New Roman"/>
          <w:spacing w:val="-3"/>
          <w:sz w:val="24"/>
          <w:szCs w:val="24"/>
        </w:rPr>
        <w:t xml:space="preserve">FEMA does not anticipate this information will be requested again from </w:t>
      </w:r>
      <w:r w:rsidRPr="009878E6" w:rsidR="00302E63">
        <w:rPr>
          <w:rFonts w:ascii="Times New Roman" w:hAnsi="Times New Roman" w:cs="Times New Roman"/>
          <w:spacing w:val="-3"/>
          <w:sz w:val="24"/>
          <w:szCs w:val="24"/>
        </w:rPr>
        <w:t>eligible and p</w:t>
      </w:r>
      <w:r w:rsidRPr="009878E6">
        <w:rPr>
          <w:rFonts w:ascii="Times New Roman" w:hAnsi="Times New Roman" w:cs="Times New Roman"/>
          <w:spacing w:val="-3"/>
          <w:sz w:val="24"/>
          <w:szCs w:val="24"/>
        </w:rPr>
        <w:t xml:space="preserve">articipating </w:t>
      </w:r>
      <w:r w:rsidRPr="009878E6" w:rsidR="00302E63">
        <w:rPr>
          <w:rFonts w:ascii="Times New Roman" w:hAnsi="Times New Roman" w:cs="Times New Roman"/>
          <w:spacing w:val="-3"/>
          <w:sz w:val="24"/>
          <w:szCs w:val="24"/>
        </w:rPr>
        <w:t xml:space="preserve">communities </w:t>
      </w:r>
      <w:r w:rsidRPr="009878E6">
        <w:rPr>
          <w:rFonts w:ascii="Times New Roman" w:hAnsi="Times New Roman" w:cs="Times New Roman"/>
          <w:spacing w:val="-3"/>
          <w:sz w:val="24"/>
          <w:szCs w:val="24"/>
        </w:rPr>
        <w:t xml:space="preserve">more than once every </w:t>
      </w:r>
      <w:r w:rsidRPr="009878E6" w:rsidR="0EA52B76">
        <w:rPr>
          <w:rFonts w:ascii="Times New Roman" w:hAnsi="Times New Roman" w:cs="Times New Roman"/>
          <w:spacing w:val="-3"/>
          <w:sz w:val="24"/>
          <w:szCs w:val="24"/>
        </w:rPr>
        <w:t xml:space="preserve">five to </w:t>
      </w:r>
      <w:r w:rsidRPr="009878E6">
        <w:rPr>
          <w:rFonts w:ascii="Times New Roman" w:hAnsi="Times New Roman" w:cs="Times New Roman"/>
          <w:spacing w:val="-3"/>
          <w:sz w:val="24"/>
          <w:szCs w:val="24"/>
        </w:rPr>
        <w:t xml:space="preserve">ten years. </w:t>
      </w:r>
      <w:r w:rsidRPr="009878E6" w:rsidR="19D6C6CC">
        <w:rPr>
          <w:rFonts w:ascii="Times New Roman" w:hAnsi="Times New Roman" w:cs="Times New Roman"/>
          <w:spacing w:val="-3"/>
          <w:sz w:val="24"/>
          <w:szCs w:val="24"/>
        </w:rPr>
        <w:t>This frequency of collection will allow FEMA to track noticeable differences in the respondent population and their needs due to changing socio-economic variables and climate of flood plains</w:t>
      </w:r>
      <w:r w:rsidRPr="009878E6" w:rsidR="00302E63">
        <w:rPr>
          <w:rFonts w:ascii="Times New Roman" w:hAnsi="Times New Roman" w:cs="Times New Roman"/>
          <w:sz w:val="24"/>
          <w:szCs w:val="24"/>
        </w:rPr>
        <w:t xml:space="preserve">, or due to </w:t>
      </w:r>
      <w:r w:rsidRPr="009878E6" w:rsidR="25D2F63E">
        <w:rPr>
          <w:rFonts w:ascii="Times New Roman" w:hAnsi="Times New Roman" w:cs="Times New Roman"/>
          <w:sz w:val="24"/>
          <w:szCs w:val="24"/>
        </w:rPr>
        <w:t xml:space="preserve">evolving </w:t>
      </w:r>
      <w:r w:rsidRPr="009878E6" w:rsidR="7378BFE6">
        <w:rPr>
          <w:rFonts w:ascii="Times New Roman" w:hAnsi="Times New Roman" w:cs="Times New Roman"/>
          <w:sz w:val="24"/>
          <w:szCs w:val="24"/>
        </w:rPr>
        <w:t xml:space="preserve">federal </w:t>
      </w:r>
      <w:r w:rsidRPr="009878E6" w:rsidR="00302E63">
        <w:rPr>
          <w:rFonts w:ascii="Times New Roman" w:hAnsi="Times New Roman" w:cs="Times New Roman"/>
          <w:sz w:val="24"/>
          <w:szCs w:val="24"/>
        </w:rPr>
        <w:t>assistance to these communities</w:t>
      </w:r>
      <w:r w:rsidRPr="009878E6" w:rsidR="19D6C6CC">
        <w:rPr>
          <w:rFonts w:ascii="Times New Roman" w:hAnsi="Times New Roman" w:cs="Times New Roman"/>
          <w:spacing w:val="-3"/>
          <w:sz w:val="24"/>
          <w:szCs w:val="24"/>
        </w:rPr>
        <w:t>.</w:t>
      </w:r>
    </w:p>
    <w:p w:rsidR="00557D1B" w:rsidRPr="009878E6" w:rsidP="009878E6" w14:paraId="2F0BF7D7" w14:textId="77777777">
      <w:pPr>
        <w:contextualSpacing/>
        <w:rPr>
          <w:rFonts w:ascii="Times New Roman" w:hAnsi="Times New Roman" w:cs="Times New Roman"/>
          <w:spacing w:val="-3"/>
          <w:sz w:val="24"/>
          <w:szCs w:val="24"/>
        </w:rPr>
      </w:pPr>
    </w:p>
    <w:p w:rsidR="002B2B7C" w:rsidRPr="009878E6" w:rsidP="009878E6" w14:paraId="4840B1CE" w14:textId="232EC3F5">
      <w:pPr>
        <w:contextualSpacing/>
        <w:rPr>
          <w:rFonts w:ascii="Times New Roman" w:hAnsi="Times New Roman" w:cs="Times New Roman"/>
          <w:spacing w:val="-3"/>
          <w:sz w:val="24"/>
          <w:szCs w:val="24"/>
        </w:rPr>
      </w:pPr>
      <w:r w:rsidRPr="009878E6">
        <w:rPr>
          <w:rFonts w:ascii="Times New Roman" w:hAnsi="Times New Roman" w:cs="Times New Roman"/>
          <w:spacing w:val="-3"/>
          <w:sz w:val="24"/>
          <w:szCs w:val="24"/>
        </w:rPr>
        <w:t xml:space="preserve">If this information is not collected, training will be suboptimal for tens of thousands of FPA’s and federal dollars will not be programmed as efficiently as they could be. Studies suggest that for every dollar spent on </w:t>
      </w:r>
      <w:r w:rsidRPr="009878E6" w:rsidR="001F2D3E">
        <w:rPr>
          <w:rFonts w:ascii="Times New Roman" w:hAnsi="Times New Roman" w:cs="Times New Roman"/>
          <w:spacing w:val="-3"/>
          <w:sz w:val="24"/>
          <w:szCs w:val="24"/>
        </w:rPr>
        <w:t>m</w:t>
      </w:r>
      <w:r w:rsidRPr="009878E6">
        <w:rPr>
          <w:rFonts w:ascii="Times New Roman" w:hAnsi="Times New Roman" w:cs="Times New Roman"/>
          <w:spacing w:val="-3"/>
          <w:sz w:val="24"/>
          <w:szCs w:val="24"/>
        </w:rPr>
        <w:t xml:space="preserve">itigation, $8 are saved from avoiding future disasters. It is fair to question, however, if this observation is true for those communities who are not using </w:t>
      </w:r>
      <w:r w:rsidRPr="009878E6" w:rsidR="001F2D3E">
        <w:rPr>
          <w:rFonts w:ascii="Times New Roman" w:hAnsi="Times New Roman" w:cs="Times New Roman"/>
          <w:spacing w:val="-3"/>
          <w:sz w:val="24"/>
          <w:szCs w:val="24"/>
        </w:rPr>
        <w:t>m</w:t>
      </w:r>
      <w:r w:rsidRPr="009878E6">
        <w:rPr>
          <w:rFonts w:ascii="Times New Roman" w:hAnsi="Times New Roman" w:cs="Times New Roman"/>
          <w:spacing w:val="-3"/>
          <w:sz w:val="24"/>
          <w:szCs w:val="24"/>
        </w:rPr>
        <w:t>itigation best practices (due to poor training), or worse, are allowing unsafe developments to occur in their community.</w:t>
      </w:r>
      <w:r w:rsidRPr="009878E6" w:rsidR="00E36D59">
        <w:rPr>
          <w:rFonts w:ascii="Times New Roman" w:hAnsi="Times New Roman" w:cs="Times New Roman"/>
          <w:spacing w:val="-3"/>
          <w:sz w:val="24"/>
          <w:szCs w:val="24"/>
        </w:rPr>
        <w:t xml:space="preserve"> By not conducting this information collection,</w:t>
      </w:r>
      <w:r w:rsidRPr="009878E6" w:rsidR="00044119">
        <w:rPr>
          <w:rFonts w:ascii="Times New Roman" w:hAnsi="Times New Roman" w:cs="Times New Roman"/>
          <w:spacing w:val="-3"/>
          <w:sz w:val="24"/>
          <w:szCs w:val="24"/>
        </w:rPr>
        <w:t xml:space="preserve"> training for </w:t>
      </w:r>
      <w:r w:rsidRPr="009878E6" w:rsidR="0011482A">
        <w:rPr>
          <w:rFonts w:ascii="Times New Roman" w:hAnsi="Times New Roman" w:cs="Times New Roman"/>
          <w:spacing w:val="-3"/>
          <w:sz w:val="24"/>
          <w:szCs w:val="24"/>
        </w:rPr>
        <w:t>FPAs</w:t>
      </w:r>
      <w:r w:rsidRPr="009878E6" w:rsidR="00044119">
        <w:rPr>
          <w:rFonts w:ascii="Times New Roman" w:hAnsi="Times New Roman" w:cs="Times New Roman"/>
          <w:spacing w:val="-3"/>
          <w:sz w:val="24"/>
          <w:szCs w:val="24"/>
        </w:rPr>
        <w:t xml:space="preserve"> are likely to remain in the status quo as the environment and needs change. FEMA and FPAs are likely to face:</w:t>
      </w:r>
    </w:p>
    <w:p w:rsidR="00044119" w:rsidRPr="009878E6" w:rsidP="009878E6" w14:paraId="0B26F9E2" w14:textId="77777777">
      <w:pPr>
        <w:pStyle w:val="ListParagraph"/>
        <w:numPr>
          <w:ilvl w:val="0"/>
          <w:numId w:val="10"/>
        </w:numPr>
        <w:rPr>
          <w:rFonts w:ascii="Times New Roman" w:hAnsi="Times New Roman" w:cs="Times New Roman"/>
          <w:spacing w:val="-3"/>
          <w:sz w:val="24"/>
          <w:szCs w:val="24"/>
        </w:rPr>
      </w:pPr>
      <w:r w:rsidRPr="009878E6">
        <w:rPr>
          <w:rFonts w:ascii="Times New Roman" w:hAnsi="Times New Roman" w:cs="Times New Roman"/>
          <w:spacing w:val="-3"/>
          <w:sz w:val="24"/>
          <w:szCs w:val="24"/>
        </w:rPr>
        <w:t>Reduced preparedness and competence to implement the NFIP</w:t>
      </w:r>
    </w:p>
    <w:p w:rsidR="00044119" w:rsidRPr="009878E6" w:rsidP="009878E6" w14:paraId="52249F6F" w14:textId="5420436D">
      <w:pPr>
        <w:pStyle w:val="ListParagraph"/>
        <w:numPr>
          <w:ilvl w:val="0"/>
          <w:numId w:val="10"/>
        </w:numPr>
        <w:rPr>
          <w:rFonts w:ascii="Times New Roman" w:hAnsi="Times New Roman" w:cs="Times New Roman"/>
          <w:spacing w:val="-3"/>
          <w:sz w:val="24"/>
          <w:szCs w:val="24"/>
        </w:rPr>
      </w:pPr>
      <w:r w:rsidRPr="009878E6">
        <w:rPr>
          <w:rFonts w:ascii="Times New Roman" w:hAnsi="Times New Roman" w:cs="Times New Roman"/>
          <w:spacing w:val="-3"/>
          <w:sz w:val="24"/>
          <w:szCs w:val="24"/>
        </w:rPr>
        <w:t>Training that does not meet the FPAs</w:t>
      </w:r>
      <w:r w:rsidRPr="009878E6" w:rsidR="0011482A">
        <w:rPr>
          <w:rFonts w:ascii="Times New Roman" w:hAnsi="Times New Roman" w:cs="Times New Roman"/>
          <w:spacing w:val="-3"/>
          <w:sz w:val="24"/>
          <w:szCs w:val="24"/>
        </w:rPr>
        <w:t>’</w:t>
      </w:r>
      <w:r w:rsidRPr="009878E6">
        <w:rPr>
          <w:rFonts w:ascii="Times New Roman" w:hAnsi="Times New Roman" w:cs="Times New Roman"/>
          <w:spacing w:val="-3"/>
          <w:sz w:val="24"/>
          <w:szCs w:val="24"/>
        </w:rPr>
        <w:t xml:space="preserve"> diverse needs thereby reducing the efficiency and effectiveness of </w:t>
      </w:r>
      <w:r w:rsidRPr="009878E6" w:rsidR="00AD1036">
        <w:rPr>
          <w:rFonts w:ascii="Times New Roman" w:hAnsi="Times New Roman" w:cs="Times New Roman"/>
          <w:spacing w:val="-3"/>
          <w:sz w:val="24"/>
          <w:szCs w:val="24"/>
        </w:rPr>
        <w:t>training resources</w:t>
      </w:r>
    </w:p>
    <w:p w:rsidR="00044119" w:rsidRPr="009878E6" w:rsidP="009878E6" w14:paraId="10DB008C" w14:textId="77777777">
      <w:pPr>
        <w:pStyle w:val="ListParagraph"/>
        <w:numPr>
          <w:ilvl w:val="0"/>
          <w:numId w:val="10"/>
        </w:numPr>
        <w:rPr>
          <w:rFonts w:ascii="Times New Roman" w:hAnsi="Times New Roman" w:cs="Times New Roman"/>
          <w:spacing w:val="-3"/>
          <w:sz w:val="24"/>
          <w:szCs w:val="24"/>
        </w:rPr>
      </w:pPr>
      <w:r w:rsidRPr="009878E6">
        <w:rPr>
          <w:rFonts w:ascii="Times New Roman" w:hAnsi="Times New Roman" w:cs="Times New Roman"/>
          <w:spacing w:val="-3"/>
          <w:sz w:val="24"/>
          <w:szCs w:val="24"/>
        </w:rPr>
        <w:t>Increasing attrition of knowledgeable FPAs</w:t>
      </w:r>
    </w:p>
    <w:p w:rsidR="00044119" w:rsidRPr="009878E6" w:rsidP="009878E6" w14:paraId="206130CD" w14:textId="60F54405">
      <w:pPr>
        <w:pStyle w:val="ListParagraph"/>
        <w:numPr>
          <w:ilvl w:val="0"/>
          <w:numId w:val="10"/>
        </w:numPr>
        <w:rPr>
          <w:rFonts w:ascii="Times New Roman" w:hAnsi="Times New Roman" w:cs="Times New Roman"/>
          <w:spacing w:val="-3"/>
          <w:sz w:val="24"/>
          <w:szCs w:val="24"/>
        </w:rPr>
      </w:pPr>
      <w:r w:rsidRPr="009878E6">
        <w:rPr>
          <w:rFonts w:ascii="Times New Roman" w:hAnsi="Times New Roman" w:cs="Times New Roman"/>
          <w:spacing w:val="-3"/>
          <w:sz w:val="24"/>
          <w:szCs w:val="24"/>
        </w:rPr>
        <w:t>Limited, if any, growth of communities participating in or benefiting from the NFIP after a disaster</w:t>
      </w:r>
    </w:p>
    <w:p w:rsidR="00044119" w:rsidRPr="009878E6" w:rsidP="009878E6" w14:paraId="690E3432" w14:textId="74C799FD">
      <w:pPr>
        <w:pStyle w:val="ListParagraph"/>
        <w:numPr>
          <w:ilvl w:val="0"/>
          <w:numId w:val="10"/>
        </w:numPr>
        <w:rPr>
          <w:rFonts w:ascii="Times New Roman" w:hAnsi="Times New Roman" w:cs="Times New Roman"/>
          <w:spacing w:val="-3"/>
          <w:sz w:val="24"/>
          <w:szCs w:val="24"/>
        </w:rPr>
      </w:pPr>
      <w:r w:rsidRPr="009878E6">
        <w:rPr>
          <w:rFonts w:ascii="Times New Roman" w:hAnsi="Times New Roman" w:cs="Times New Roman"/>
          <w:spacing w:val="-3"/>
          <w:sz w:val="24"/>
          <w:szCs w:val="24"/>
        </w:rPr>
        <w:t xml:space="preserve">Increased post-disaster community costs that may need to be augmented by the Federal </w:t>
      </w:r>
      <w:r w:rsidRPr="009878E6" w:rsidR="0011482A">
        <w:rPr>
          <w:rFonts w:ascii="Times New Roman" w:hAnsi="Times New Roman" w:cs="Times New Roman"/>
          <w:spacing w:val="-3"/>
          <w:sz w:val="24"/>
          <w:szCs w:val="24"/>
        </w:rPr>
        <w:t>G</w:t>
      </w:r>
      <w:r w:rsidRPr="009878E6">
        <w:rPr>
          <w:rFonts w:ascii="Times New Roman" w:hAnsi="Times New Roman" w:cs="Times New Roman"/>
          <w:spacing w:val="-3"/>
          <w:sz w:val="24"/>
          <w:szCs w:val="24"/>
        </w:rPr>
        <w:t>overnment</w:t>
      </w:r>
    </w:p>
    <w:p w:rsidR="00AD1036" w:rsidRPr="009878E6" w:rsidP="009878E6" w14:paraId="6D1EFB41" w14:textId="7D5DF54C">
      <w:pPr>
        <w:pStyle w:val="ListParagraph"/>
        <w:numPr>
          <w:ilvl w:val="0"/>
          <w:numId w:val="10"/>
        </w:numPr>
        <w:rPr>
          <w:rFonts w:ascii="Times New Roman" w:hAnsi="Times New Roman" w:cs="Times New Roman"/>
          <w:spacing w:val="-3"/>
          <w:sz w:val="24"/>
          <w:szCs w:val="24"/>
        </w:rPr>
      </w:pPr>
      <w:r w:rsidRPr="009878E6">
        <w:rPr>
          <w:rFonts w:ascii="Times New Roman" w:hAnsi="Times New Roman" w:cs="Times New Roman"/>
          <w:spacing w:val="-3"/>
          <w:sz w:val="24"/>
          <w:szCs w:val="24"/>
        </w:rPr>
        <w:t>Slower and more painful recovery from flooding events by property owners, renters, and businesses</w:t>
      </w:r>
    </w:p>
    <w:p w:rsidR="00AD1036" w:rsidRPr="009878E6" w:rsidP="009878E6" w14:paraId="18984E56" w14:textId="0C5532BF">
      <w:pPr>
        <w:pStyle w:val="ListParagraph"/>
        <w:numPr>
          <w:ilvl w:val="0"/>
          <w:numId w:val="10"/>
        </w:numPr>
        <w:rPr>
          <w:rFonts w:ascii="Times New Roman" w:hAnsi="Times New Roman" w:cs="Times New Roman"/>
          <w:spacing w:val="-3"/>
          <w:sz w:val="24"/>
          <w:szCs w:val="24"/>
        </w:rPr>
      </w:pPr>
      <w:r w:rsidRPr="009878E6">
        <w:rPr>
          <w:rFonts w:ascii="Times New Roman" w:hAnsi="Times New Roman" w:cs="Times New Roman"/>
          <w:spacing w:val="-3"/>
          <w:sz w:val="24"/>
          <w:szCs w:val="24"/>
        </w:rPr>
        <w:t>Hinder developing strategies that advance the equity of services to Floodplain Administrators</w:t>
      </w:r>
    </w:p>
    <w:p w:rsidR="00FC01C2" w:rsidRPr="009878E6" w:rsidP="009878E6" w14:paraId="3B8883AE" w14:textId="77777777">
      <w:pPr>
        <w:contextualSpacing/>
        <w:rPr>
          <w:rFonts w:ascii="Times New Roman" w:hAnsi="Times New Roman" w:cs="Times New Roman"/>
          <w:spacing w:val="-3"/>
          <w:sz w:val="24"/>
          <w:szCs w:val="24"/>
        </w:rPr>
      </w:pPr>
    </w:p>
    <w:p w:rsidR="00FC01C2" w:rsidRPr="009878E6" w:rsidP="009878E6" w14:paraId="1C350CBE" w14:textId="5AB2F2CA">
      <w:pPr>
        <w:pStyle w:val="ListParagraph"/>
        <w:numPr>
          <w:ilvl w:val="0"/>
          <w:numId w:val="15"/>
        </w:numPr>
        <w:spacing w:after="0"/>
        <w:rPr>
          <w:rFonts w:ascii="Times New Roman" w:hAnsi="Times New Roman" w:cs="Times New Roman"/>
          <w:b/>
          <w:bCs/>
          <w:color w:val="000000" w:themeColor="text1"/>
          <w:sz w:val="24"/>
          <w:szCs w:val="24"/>
        </w:rPr>
      </w:pPr>
      <w:r w:rsidRPr="009878E6">
        <w:rPr>
          <w:rFonts w:ascii="Times New Roman" w:hAnsi="Times New Roman" w:cs="Times New Roman"/>
          <w:b/>
          <w:bCs/>
          <w:color w:val="000000" w:themeColor="text1"/>
          <w:sz w:val="24"/>
          <w:szCs w:val="24"/>
        </w:rPr>
        <w:fldChar w:fldCharType="begin"/>
      </w:r>
      <w:r w:rsidRPr="009878E6">
        <w:rPr>
          <w:rFonts w:ascii="Times New Roman" w:hAnsi="Times New Roman" w:cs="Times New Roman"/>
          <w:b/>
          <w:bCs/>
          <w:color w:val="000000" w:themeColor="text1"/>
          <w:sz w:val="24"/>
          <w:szCs w:val="24"/>
        </w:rPr>
        <w:instrText>ADVANCE \R 0.95</w:instrText>
      </w:r>
      <w:r w:rsidRPr="009878E6">
        <w:rPr>
          <w:rFonts w:ascii="Times New Roman" w:hAnsi="Times New Roman" w:cs="Times New Roman"/>
          <w:b/>
          <w:bCs/>
          <w:color w:val="000000" w:themeColor="text1"/>
          <w:sz w:val="24"/>
          <w:szCs w:val="24"/>
        </w:rPr>
        <w:fldChar w:fldCharType="end"/>
      </w:r>
      <w:r w:rsidRPr="009878E6">
        <w:rPr>
          <w:rFonts w:ascii="Times New Roman" w:hAnsi="Times New Roman" w:cs="Times New Roman"/>
          <w:b/>
          <w:bCs/>
          <w:color w:val="000000" w:themeColor="text1"/>
          <w:sz w:val="24"/>
          <w:szCs w:val="24"/>
        </w:rPr>
        <w:t>Explain any special circumstances that would cause an information collection to be conducted in a manner (See 5 CFR 1320.5(d)(2)):</w:t>
      </w:r>
    </w:p>
    <w:p w:rsidR="00FC01C2" w:rsidRPr="009878E6" w:rsidP="009878E6" w14:paraId="3A369683" w14:textId="77777777">
      <w:pPr>
        <w:contextualSpacing/>
        <w:rPr>
          <w:rFonts w:ascii="Times New Roman" w:hAnsi="Times New Roman" w:cs="Times New Roman"/>
          <w:color w:val="000000" w:themeColor="text1"/>
          <w:sz w:val="24"/>
          <w:szCs w:val="24"/>
        </w:rPr>
      </w:pPr>
    </w:p>
    <w:p w:rsidR="00FC01C2" w:rsidRPr="009878E6" w:rsidP="009878E6" w14:paraId="5B38EFFD" w14:textId="77777777">
      <w:pPr>
        <w:pStyle w:val="ListParagraph"/>
        <w:numPr>
          <w:ilvl w:val="1"/>
          <w:numId w:val="14"/>
        </w:numPr>
        <w:spacing w:after="0"/>
        <w:rPr>
          <w:rFonts w:ascii="Times New Roman" w:hAnsi="Times New Roman" w:cs="Times New Roman"/>
          <w:b/>
          <w:bCs/>
          <w:color w:val="000000" w:themeColor="text1"/>
          <w:sz w:val="24"/>
          <w:szCs w:val="24"/>
        </w:rPr>
      </w:pPr>
      <w:r w:rsidRPr="009878E6">
        <w:rPr>
          <w:rFonts w:ascii="Times New Roman" w:hAnsi="Times New Roman" w:cs="Times New Roman"/>
          <w:b/>
          <w:bCs/>
          <w:color w:val="000000" w:themeColor="text1"/>
          <w:sz w:val="24"/>
          <w:szCs w:val="24"/>
        </w:rPr>
        <w:t>Requiring respondents to report information to the agency more often than quarterly.</w:t>
      </w:r>
    </w:p>
    <w:p w:rsidR="00FC01C2" w:rsidRPr="009878E6" w:rsidP="009878E6" w14:paraId="325B92EE" w14:textId="77777777">
      <w:pPr>
        <w:contextualSpacing/>
        <w:rPr>
          <w:rFonts w:ascii="Times New Roman" w:hAnsi="Times New Roman" w:cs="Times New Roman"/>
          <w:color w:val="000000" w:themeColor="text1"/>
          <w:sz w:val="24"/>
          <w:szCs w:val="24"/>
        </w:rPr>
      </w:pPr>
    </w:p>
    <w:p w:rsidR="00FC01C2" w:rsidRPr="009878E6" w:rsidP="009878E6" w14:paraId="7E207C04" w14:textId="2B6B72FD">
      <w:pPr>
        <w:contextualSpacing/>
        <w:rPr>
          <w:rFonts w:ascii="Times New Roman" w:hAnsi="Times New Roman" w:cs="Times New Roman"/>
          <w:color w:val="000000" w:themeColor="text1"/>
          <w:sz w:val="24"/>
          <w:szCs w:val="24"/>
        </w:rPr>
      </w:pPr>
      <w:r w:rsidRPr="009878E6">
        <w:rPr>
          <w:rFonts w:ascii="Times New Roman" w:hAnsi="Times New Roman" w:cs="Times New Roman"/>
          <w:color w:val="000000" w:themeColor="text1"/>
          <w:sz w:val="24"/>
          <w:szCs w:val="24"/>
        </w:rPr>
        <w:t>This information collection does not require respondents to report information more than quarterly.</w:t>
      </w:r>
    </w:p>
    <w:p w:rsidR="00FC01C2" w:rsidRPr="009878E6" w:rsidP="009878E6" w14:paraId="3F429133" w14:textId="77777777">
      <w:pPr>
        <w:contextualSpacing/>
        <w:rPr>
          <w:rFonts w:ascii="Times New Roman" w:hAnsi="Times New Roman" w:cs="Times New Roman"/>
          <w:color w:val="000000" w:themeColor="text1"/>
          <w:sz w:val="24"/>
          <w:szCs w:val="24"/>
        </w:rPr>
      </w:pPr>
    </w:p>
    <w:p w:rsidR="00FC01C2" w:rsidRPr="009878E6" w:rsidP="009878E6" w14:paraId="77C93328" w14:textId="77777777">
      <w:pPr>
        <w:pStyle w:val="ListParagraph"/>
        <w:numPr>
          <w:ilvl w:val="1"/>
          <w:numId w:val="14"/>
        </w:numPr>
        <w:spacing w:after="0"/>
        <w:rPr>
          <w:rFonts w:ascii="Times New Roman" w:hAnsi="Times New Roman" w:cs="Times New Roman"/>
          <w:b/>
          <w:bCs/>
          <w:color w:val="000000" w:themeColor="text1"/>
          <w:sz w:val="24"/>
          <w:szCs w:val="24"/>
        </w:rPr>
      </w:pPr>
      <w:r w:rsidRPr="009878E6">
        <w:rPr>
          <w:rFonts w:ascii="Times New Roman" w:hAnsi="Times New Roman" w:cs="Times New Roman"/>
          <w:b/>
          <w:bCs/>
          <w:color w:val="000000" w:themeColor="text1"/>
          <w:sz w:val="24"/>
          <w:szCs w:val="24"/>
        </w:rPr>
        <w:t>Requiring respondents to prepare a written response to a collection of information in fewer than 30 days after receipt of it.</w:t>
      </w:r>
    </w:p>
    <w:p w:rsidR="00FC01C2" w:rsidRPr="009878E6" w:rsidP="009878E6" w14:paraId="7CBC795E" w14:textId="77777777">
      <w:pPr>
        <w:contextualSpacing/>
        <w:rPr>
          <w:rFonts w:ascii="Times New Roman" w:hAnsi="Times New Roman" w:cs="Times New Roman"/>
          <w:color w:val="000000" w:themeColor="text1"/>
          <w:sz w:val="24"/>
          <w:szCs w:val="24"/>
        </w:rPr>
      </w:pPr>
    </w:p>
    <w:p w:rsidR="00FC01C2" w:rsidRPr="009878E6" w:rsidP="009878E6" w14:paraId="65890475" w14:textId="4AF0F7A4">
      <w:pPr>
        <w:contextualSpacing/>
        <w:rPr>
          <w:rFonts w:ascii="Times New Roman" w:hAnsi="Times New Roman" w:cs="Times New Roman"/>
          <w:color w:val="000000" w:themeColor="text1"/>
          <w:sz w:val="24"/>
          <w:szCs w:val="24"/>
        </w:rPr>
      </w:pPr>
      <w:r w:rsidRPr="009878E6">
        <w:rPr>
          <w:rFonts w:ascii="Times New Roman" w:hAnsi="Times New Roman" w:cs="Times New Roman"/>
          <w:color w:val="000000" w:themeColor="text1"/>
          <w:sz w:val="24"/>
          <w:szCs w:val="24"/>
        </w:rPr>
        <w:t>This information collection does not require respondents to prepare a written response in fewer than 30 days after receipt of it.</w:t>
      </w:r>
    </w:p>
    <w:p w:rsidR="00FC01C2" w:rsidRPr="009878E6" w:rsidP="009878E6" w14:paraId="547CD957" w14:textId="77777777">
      <w:pPr>
        <w:contextualSpacing/>
        <w:rPr>
          <w:rFonts w:ascii="Times New Roman" w:hAnsi="Times New Roman" w:cs="Times New Roman"/>
          <w:color w:val="000000" w:themeColor="text1"/>
          <w:sz w:val="24"/>
          <w:szCs w:val="24"/>
        </w:rPr>
      </w:pPr>
    </w:p>
    <w:p w:rsidR="00FC01C2" w:rsidRPr="009878E6" w:rsidP="009878E6" w14:paraId="54AABA77" w14:textId="77777777">
      <w:pPr>
        <w:pStyle w:val="ListParagraph"/>
        <w:numPr>
          <w:ilvl w:val="1"/>
          <w:numId w:val="14"/>
        </w:numPr>
        <w:spacing w:after="0"/>
        <w:rPr>
          <w:rFonts w:ascii="Times New Roman" w:hAnsi="Times New Roman" w:cs="Times New Roman"/>
          <w:b/>
          <w:bCs/>
          <w:color w:val="000000" w:themeColor="text1"/>
          <w:sz w:val="24"/>
          <w:szCs w:val="24"/>
        </w:rPr>
      </w:pPr>
      <w:r w:rsidRPr="009878E6">
        <w:rPr>
          <w:rFonts w:ascii="Times New Roman" w:hAnsi="Times New Roman" w:cs="Times New Roman"/>
          <w:b/>
          <w:bCs/>
          <w:color w:val="000000" w:themeColor="text1"/>
          <w:sz w:val="24"/>
          <w:szCs w:val="24"/>
        </w:rPr>
        <w:t>Requiring respondents to submit more than an original and two copies of any document.</w:t>
      </w:r>
    </w:p>
    <w:p w:rsidR="00FC01C2" w:rsidRPr="009878E6" w:rsidP="009878E6" w14:paraId="34C05B98" w14:textId="77777777">
      <w:pPr>
        <w:contextualSpacing/>
        <w:rPr>
          <w:rFonts w:ascii="Times New Roman" w:hAnsi="Times New Roman" w:cs="Times New Roman"/>
          <w:color w:val="000000" w:themeColor="text1"/>
          <w:sz w:val="24"/>
          <w:szCs w:val="24"/>
        </w:rPr>
      </w:pPr>
    </w:p>
    <w:p w:rsidR="00FC01C2" w:rsidRPr="009878E6" w:rsidP="009878E6" w14:paraId="5286B36E" w14:textId="01DCE513">
      <w:pPr>
        <w:contextualSpacing/>
        <w:rPr>
          <w:rFonts w:ascii="Times New Roman" w:hAnsi="Times New Roman" w:cs="Times New Roman"/>
          <w:color w:val="000000" w:themeColor="text1"/>
          <w:sz w:val="24"/>
          <w:szCs w:val="24"/>
        </w:rPr>
      </w:pPr>
      <w:r w:rsidRPr="009878E6">
        <w:rPr>
          <w:rFonts w:ascii="Times New Roman" w:hAnsi="Times New Roman" w:cs="Times New Roman"/>
          <w:color w:val="000000" w:themeColor="text1"/>
          <w:sz w:val="24"/>
          <w:szCs w:val="24"/>
        </w:rPr>
        <w:t>This information collection does not require respondents to submit more than an original and two copies of any document.</w:t>
      </w:r>
    </w:p>
    <w:p w:rsidR="00FC01C2" w:rsidRPr="009878E6" w:rsidP="009878E6" w14:paraId="149E5B4E" w14:textId="77777777">
      <w:pPr>
        <w:contextualSpacing/>
        <w:rPr>
          <w:rFonts w:ascii="Times New Roman" w:hAnsi="Times New Roman" w:cs="Times New Roman"/>
          <w:color w:val="000000" w:themeColor="text1"/>
          <w:sz w:val="24"/>
          <w:szCs w:val="24"/>
        </w:rPr>
      </w:pPr>
    </w:p>
    <w:p w:rsidR="00FC01C2" w:rsidRPr="009878E6" w:rsidP="009878E6" w14:paraId="1A2178BC" w14:textId="77777777">
      <w:pPr>
        <w:pStyle w:val="ListParagraph"/>
        <w:numPr>
          <w:ilvl w:val="1"/>
          <w:numId w:val="14"/>
        </w:numPr>
        <w:spacing w:after="0"/>
        <w:rPr>
          <w:rFonts w:ascii="Times New Roman" w:hAnsi="Times New Roman" w:cs="Times New Roman"/>
          <w:b/>
          <w:bCs/>
          <w:color w:val="000000" w:themeColor="text1"/>
          <w:sz w:val="24"/>
          <w:szCs w:val="24"/>
        </w:rPr>
      </w:pPr>
      <w:r w:rsidRPr="009878E6">
        <w:rPr>
          <w:rFonts w:ascii="Times New Roman" w:hAnsi="Times New Roman" w:cs="Times New Roman"/>
          <w:b/>
          <w:bCs/>
          <w:color w:val="000000" w:themeColor="text1"/>
          <w:sz w:val="24"/>
          <w:szCs w:val="24"/>
        </w:rPr>
        <w:t>Requiring respondents to retain records, other than health, medical, government contract, grant-in-aid, or tax records for more than three years.</w:t>
      </w:r>
    </w:p>
    <w:p w:rsidR="00FC01C2" w:rsidRPr="009878E6" w:rsidP="009878E6" w14:paraId="11217D05" w14:textId="77777777">
      <w:pPr>
        <w:contextualSpacing/>
        <w:rPr>
          <w:rFonts w:ascii="Times New Roman" w:hAnsi="Times New Roman" w:cs="Times New Roman"/>
          <w:color w:val="000000" w:themeColor="text1"/>
          <w:sz w:val="24"/>
          <w:szCs w:val="24"/>
        </w:rPr>
      </w:pPr>
    </w:p>
    <w:p w:rsidR="00FC01C2" w:rsidRPr="009878E6" w:rsidP="009878E6" w14:paraId="4CC5EF8C" w14:textId="386E1C76">
      <w:pPr>
        <w:contextualSpacing/>
        <w:rPr>
          <w:rFonts w:ascii="Times New Roman" w:hAnsi="Times New Roman" w:cs="Times New Roman"/>
          <w:color w:val="000000" w:themeColor="text1"/>
          <w:sz w:val="24"/>
          <w:szCs w:val="24"/>
        </w:rPr>
      </w:pPr>
      <w:r w:rsidRPr="009878E6">
        <w:rPr>
          <w:rFonts w:ascii="Times New Roman" w:hAnsi="Times New Roman" w:cs="Times New Roman"/>
          <w:color w:val="000000" w:themeColor="text1"/>
          <w:sz w:val="24"/>
          <w:szCs w:val="24"/>
        </w:rPr>
        <w:t>This information collection does not require respondents to retain records (other than health, medical, government contract, grant-in-aid, or tax records) for more than three years.</w:t>
      </w:r>
    </w:p>
    <w:p w:rsidR="00FC01C2" w:rsidRPr="009878E6" w:rsidP="009878E6" w14:paraId="6083B9AE" w14:textId="77777777">
      <w:pPr>
        <w:contextualSpacing/>
        <w:rPr>
          <w:rFonts w:ascii="Times New Roman" w:hAnsi="Times New Roman" w:cs="Times New Roman"/>
          <w:color w:val="000000" w:themeColor="text1"/>
          <w:sz w:val="24"/>
          <w:szCs w:val="24"/>
        </w:rPr>
      </w:pPr>
    </w:p>
    <w:p w:rsidR="00FC01C2" w:rsidRPr="009878E6" w:rsidP="009878E6" w14:paraId="387730A9" w14:textId="77777777">
      <w:pPr>
        <w:pStyle w:val="ListParagraph"/>
        <w:numPr>
          <w:ilvl w:val="1"/>
          <w:numId w:val="14"/>
        </w:numPr>
        <w:spacing w:after="0"/>
        <w:rPr>
          <w:rFonts w:ascii="Times New Roman" w:hAnsi="Times New Roman" w:cs="Times New Roman"/>
          <w:b/>
          <w:bCs/>
          <w:color w:val="000000" w:themeColor="text1"/>
          <w:sz w:val="24"/>
          <w:szCs w:val="24"/>
        </w:rPr>
      </w:pPr>
      <w:r w:rsidRPr="009878E6">
        <w:rPr>
          <w:rFonts w:ascii="Times New Roman" w:hAnsi="Times New Roman" w:cs="Times New Roman"/>
          <w:b/>
          <w:bCs/>
          <w:color w:val="000000" w:themeColor="text1"/>
          <w:sz w:val="24"/>
          <w:szCs w:val="24"/>
        </w:rPr>
        <w:t>In connection with a statistical survey, that is not designed to produce valid and reliable results that can be generalized to the universe of study.</w:t>
      </w:r>
    </w:p>
    <w:p w:rsidR="00FC01C2" w:rsidRPr="009878E6" w:rsidP="009878E6" w14:paraId="4F92A52D" w14:textId="77777777">
      <w:pPr>
        <w:contextualSpacing/>
        <w:rPr>
          <w:rFonts w:ascii="Times New Roman" w:hAnsi="Times New Roman" w:cs="Times New Roman"/>
          <w:color w:val="000000" w:themeColor="text1"/>
          <w:sz w:val="24"/>
          <w:szCs w:val="24"/>
        </w:rPr>
      </w:pPr>
    </w:p>
    <w:p w:rsidR="00FC01C2" w:rsidRPr="009878E6" w:rsidP="009878E6" w14:paraId="47D78AC3" w14:textId="63B35E87">
      <w:pPr>
        <w:contextualSpacing/>
        <w:rPr>
          <w:rFonts w:ascii="Times New Roman" w:hAnsi="Times New Roman" w:cs="Times New Roman"/>
          <w:color w:val="000000" w:themeColor="text1"/>
          <w:sz w:val="24"/>
          <w:szCs w:val="24"/>
        </w:rPr>
      </w:pPr>
      <w:r w:rsidRPr="009878E6">
        <w:rPr>
          <w:rFonts w:ascii="Times New Roman" w:hAnsi="Times New Roman" w:cs="Times New Roman"/>
          <w:color w:val="000000" w:themeColor="text1"/>
          <w:sz w:val="24"/>
          <w:szCs w:val="24"/>
        </w:rPr>
        <w:t>This information collection does not include a statistical survey.</w:t>
      </w:r>
    </w:p>
    <w:p w:rsidR="00FC01C2" w:rsidRPr="009878E6" w:rsidP="009878E6" w14:paraId="32F32565" w14:textId="77777777">
      <w:pPr>
        <w:contextualSpacing/>
        <w:rPr>
          <w:rFonts w:ascii="Times New Roman" w:hAnsi="Times New Roman" w:cs="Times New Roman"/>
          <w:color w:val="000000" w:themeColor="text1"/>
          <w:sz w:val="24"/>
          <w:szCs w:val="24"/>
        </w:rPr>
      </w:pPr>
    </w:p>
    <w:p w:rsidR="00FC01C2" w:rsidRPr="009878E6" w:rsidP="009878E6" w14:paraId="34EE6344" w14:textId="77777777">
      <w:pPr>
        <w:pStyle w:val="ListParagraph"/>
        <w:numPr>
          <w:ilvl w:val="1"/>
          <w:numId w:val="14"/>
        </w:numPr>
        <w:spacing w:after="0"/>
        <w:rPr>
          <w:rFonts w:ascii="Times New Roman" w:hAnsi="Times New Roman" w:cs="Times New Roman"/>
          <w:b/>
          <w:bCs/>
          <w:color w:val="000000" w:themeColor="text1"/>
          <w:sz w:val="24"/>
          <w:szCs w:val="24"/>
        </w:rPr>
      </w:pPr>
      <w:r w:rsidRPr="009878E6">
        <w:rPr>
          <w:rFonts w:ascii="Times New Roman" w:hAnsi="Times New Roman" w:cs="Times New Roman"/>
          <w:b/>
          <w:bCs/>
          <w:color w:val="000000" w:themeColor="text1"/>
          <w:sz w:val="24"/>
          <w:szCs w:val="24"/>
        </w:rPr>
        <w:t>Requiring the use of a statistical data classification that has not been reviewed and approved by OMB.</w:t>
      </w:r>
    </w:p>
    <w:p w:rsidR="00FC01C2" w:rsidRPr="009878E6" w:rsidP="009878E6" w14:paraId="3862FDCC" w14:textId="77777777">
      <w:pPr>
        <w:contextualSpacing/>
        <w:rPr>
          <w:rFonts w:ascii="Times New Roman" w:hAnsi="Times New Roman" w:cs="Times New Roman"/>
          <w:color w:val="000000" w:themeColor="text1"/>
          <w:sz w:val="24"/>
          <w:szCs w:val="24"/>
        </w:rPr>
      </w:pPr>
    </w:p>
    <w:p w:rsidR="00FC01C2" w:rsidRPr="009878E6" w:rsidP="009878E6" w14:paraId="48AF49A2" w14:textId="16583C9B">
      <w:pPr>
        <w:contextualSpacing/>
        <w:rPr>
          <w:rFonts w:ascii="Times New Roman" w:hAnsi="Times New Roman" w:cs="Times New Roman"/>
          <w:color w:val="000000" w:themeColor="text1"/>
          <w:sz w:val="24"/>
          <w:szCs w:val="24"/>
        </w:rPr>
      </w:pPr>
      <w:r w:rsidRPr="009878E6">
        <w:rPr>
          <w:rFonts w:ascii="Times New Roman" w:hAnsi="Times New Roman" w:cs="Times New Roman"/>
          <w:color w:val="000000" w:themeColor="text1"/>
          <w:sz w:val="24"/>
          <w:szCs w:val="24"/>
        </w:rPr>
        <w:t>This information collection does not use a statistical data classification that has not been reviewed and approved by OMB.</w:t>
      </w:r>
    </w:p>
    <w:p w:rsidR="00FC01C2" w:rsidRPr="009878E6" w:rsidP="009878E6" w14:paraId="07A8B37B" w14:textId="77777777">
      <w:pPr>
        <w:contextualSpacing/>
        <w:rPr>
          <w:rFonts w:ascii="Times New Roman" w:hAnsi="Times New Roman" w:cs="Times New Roman"/>
          <w:color w:val="000000" w:themeColor="text1"/>
          <w:sz w:val="24"/>
          <w:szCs w:val="24"/>
        </w:rPr>
      </w:pPr>
    </w:p>
    <w:p w:rsidR="00FC01C2" w:rsidRPr="009878E6" w:rsidP="009878E6" w14:paraId="6DFA312D" w14:textId="77777777">
      <w:pPr>
        <w:pStyle w:val="ListParagraph"/>
        <w:numPr>
          <w:ilvl w:val="1"/>
          <w:numId w:val="14"/>
        </w:numPr>
        <w:spacing w:after="0"/>
        <w:rPr>
          <w:rFonts w:ascii="Times New Roman" w:hAnsi="Times New Roman" w:cs="Times New Roman"/>
          <w:b/>
          <w:bCs/>
          <w:color w:val="000000" w:themeColor="text1"/>
          <w:sz w:val="24"/>
          <w:szCs w:val="24"/>
        </w:rPr>
      </w:pPr>
      <w:r w:rsidRPr="009878E6">
        <w:rPr>
          <w:rFonts w:ascii="Times New Roman" w:hAnsi="Times New Roman" w:cs="Times New Roman"/>
          <w:b/>
          <w:bCs/>
          <w:color w:val="000000" w:themeColor="text1"/>
          <w:sz w:val="24"/>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FC01C2" w:rsidRPr="009878E6" w:rsidP="009878E6" w14:paraId="323D6DBB" w14:textId="77777777">
      <w:pPr>
        <w:contextualSpacing/>
        <w:rPr>
          <w:rFonts w:ascii="Times New Roman" w:hAnsi="Times New Roman" w:cs="Times New Roman"/>
          <w:color w:val="000000" w:themeColor="text1"/>
          <w:sz w:val="24"/>
          <w:szCs w:val="24"/>
        </w:rPr>
      </w:pPr>
    </w:p>
    <w:p w:rsidR="00FC01C2" w:rsidRPr="009878E6" w:rsidP="009878E6" w14:paraId="79A76570" w14:textId="4473B737">
      <w:pPr>
        <w:contextualSpacing/>
        <w:rPr>
          <w:rFonts w:ascii="Times New Roman" w:hAnsi="Times New Roman" w:cs="Times New Roman"/>
          <w:color w:val="000000" w:themeColor="text1"/>
          <w:sz w:val="24"/>
          <w:szCs w:val="24"/>
        </w:rPr>
      </w:pPr>
      <w:r w:rsidRPr="009878E6">
        <w:rPr>
          <w:rFonts w:ascii="Times New Roman" w:hAnsi="Times New Roman" w:cs="Times New Roman"/>
          <w:color w:val="000000" w:themeColor="text1"/>
          <w:sz w:val="24"/>
          <w:szCs w:val="24"/>
        </w:rPr>
        <w:t xml:space="preserve">This information collection does not include a pledge of confidentiality that is not supported by established authorities or policies.  </w:t>
      </w:r>
    </w:p>
    <w:p w:rsidR="00FC01C2" w:rsidRPr="009878E6" w:rsidP="009878E6" w14:paraId="25EB76F8" w14:textId="77777777">
      <w:pPr>
        <w:contextualSpacing/>
        <w:rPr>
          <w:rFonts w:ascii="Times New Roman" w:hAnsi="Times New Roman" w:cs="Times New Roman"/>
          <w:color w:val="000000" w:themeColor="text1"/>
          <w:sz w:val="24"/>
          <w:szCs w:val="24"/>
        </w:rPr>
      </w:pPr>
    </w:p>
    <w:p w:rsidR="00FC01C2" w:rsidRPr="009878E6" w:rsidP="009878E6" w14:paraId="553FD68B" w14:textId="77777777">
      <w:pPr>
        <w:pStyle w:val="ListParagraph"/>
        <w:numPr>
          <w:ilvl w:val="1"/>
          <w:numId w:val="14"/>
        </w:numPr>
        <w:spacing w:after="0"/>
        <w:rPr>
          <w:rFonts w:ascii="Times New Roman" w:hAnsi="Times New Roman" w:cs="Times New Roman"/>
          <w:b/>
          <w:bCs/>
          <w:color w:val="000000" w:themeColor="text1"/>
          <w:sz w:val="24"/>
          <w:szCs w:val="24"/>
        </w:rPr>
      </w:pPr>
      <w:r w:rsidRPr="009878E6">
        <w:rPr>
          <w:rFonts w:ascii="Times New Roman" w:hAnsi="Times New Roman" w:cs="Times New Roman"/>
          <w:b/>
          <w:bCs/>
          <w:color w:val="000000" w:themeColor="text1"/>
          <w:sz w:val="24"/>
          <w:szCs w:val="24"/>
        </w:rPr>
        <w:t xml:space="preserve">Requiring respondents to submit proprietary trade secret, or other confidential information unless the agency can demonstrate that it has </w:t>
      </w:r>
      <w:r w:rsidRPr="009878E6">
        <w:rPr>
          <w:rFonts w:ascii="Times New Roman" w:hAnsi="Times New Roman" w:cs="Times New Roman"/>
          <w:b/>
          <w:bCs/>
          <w:color w:val="000000" w:themeColor="text1"/>
          <w:sz w:val="24"/>
          <w:szCs w:val="24"/>
        </w:rPr>
        <w:t>instituted procedures to protect the information’s confidentiality to the extent permitted by law.</w:t>
      </w:r>
    </w:p>
    <w:p w:rsidR="00FC01C2" w:rsidRPr="009878E6" w:rsidP="009878E6" w14:paraId="0D167328" w14:textId="77777777">
      <w:pPr>
        <w:contextualSpacing/>
        <w:rPr>
          <w:rFonts w:ascii="Times New Roman" w:hAnsi="Times New Roman" w:cs="Times New Roman"/>
          <w:color w:val="000000" w:themeColor="text1"/>
          <w:sz w:val="24"/>
          <w:szCs w:val="24"/>
        </w:rPr>
      </w:pPr>
    </w:p>
    <w:p w:rsidR="00FC01C2" w:rsidRPr="009878E6" w:rsidP="009878E6" w14:paraId="314C8526" w14:textId="4F0DACE9">
      <w:pPr>
        <w:contextualSpacing/>
        <w:rPr>
          <w:rFonts w:ascii="Times New Roman" w:hAnsi="Times New Roman" w:cs="Times New Roman"/>
          <w:color w:val="000000" w:themeColor="text1"/>
          <w:sz w:val="24"/>
          <w:szCs w:val="24"/>
        </w:rPr>
      </w:pPr>
      <w:r w:rsidRPr="009878E6">
        <w:rPr>
          <w:rFonts w:ascii="Times New Roman" w:hAnsi="Times New Roman" w:cs="Times New Roman"/>
          <w:color w:val="000000" w:themeColor="text1"/>
          <w:sz w:val="24"/>
          <w:szCs w:val="24"/>
        </w:rPr>
        <w:t>This information collection does not require respondents to submit trade secrets or other confidential information.</w:t>
      </w:r>
    </w:p>
    <w:p w:rsidR="00FC01C2" w:rsidRPr="009878E6" w:rsidP="009878E6" w14:paraId="684351B7" w14:textId="63159FBC">
      <w:pPr>
        <w:contextualSpacing/>
        <w:rPr>
          <w:rFonts w:ascii="Times New Roman" w:hAnsi="Times New Roman" w:cs="Times New Roman"/>
          <w:sz w:val="24"/>
          <w:szCs w:val="24"/>
        </w:rPr>
      </w:pPr>
    </w:p>
    <w:p w:rsidR="00562915" w:rsidRPr="009878E6" w:rsidP="009878E6" w14:paraId="5631D8B0" w14:textId="77777777">
      <w:pPr>
        <w:contextualSpacing/>
        <w:rPr>
          <w:rFonts w:ascii="Times New Roman" w:hAnsi="Times New Roman" w:cs="Times New Roman"/>
          <w:b/>
          <w:bCs/>
          <w:sz w:val="24"/>
          <w:szCs w:val="24"/>
        </w:rPr>
      </w:pPr>
      <w:r w:rsidRPr="009878E6">
        <w:rPr>
          <w:rFonts w:ascii="Times New Roman" w:hAnsi="Times New Roman" w:cs="Times New Roman"/>
          <w:b/>
          <w:bCs/>
          <w:sz w:val="24"/>
          <w:szCs w:val="24"/>
        </w:rPr>
        <w:fldChar w:fldCharType="begin"/>
      </w:r>
      <w:r w:rsidRPr="009878E6">
        <w:rPr>
          <w:rFonts w:ascii="Times New Roman" w:hAnsi="Times New Roman" w:cs="Times New Roman"/>
          <w:b/>
          <w:bCs/>
          <w:sz w:val="24"/>
          <w:szCs w:val="24"/>
        </w:rPr>
        <w:instrText>ADVANCE \R 0.95</w:instrText>
      </w:r>
      <w:r w:rsidRPr="009878E6">
        <w:rPr>
          <w:rFonts w:ascii="Times New Roman" w:hAnsi="Times New Roman" w:cs="Times New Roman"/>
          <w:b/>
          <w:bCs/>
          <w:sz w:val="24"/>
          <w:szCs w:val="24"/>
        </w:rPr>
        <w:fldChar w:fldCharType="end"/>
      </w:r>
      <w:r w:rsidRPr="009878E6">
        <w:rPr>
          <w:rFonts w:ascii="Times New Roman" w:hAnsi="Times New Roman" w:cs="Times New Roman"/>
          <w:b/>
          <w:bCs/>
          <w:sz w:val="24"/>
          <w:szCs w:val="24"/>
        </w:rPr>
        <w:t xml:space="preserve">8.  Federal Register Notice: </w:t>
      </w:r>
      <w:r w:rsidRPr="009878E6">
        <w:rPr>
          <w:rFonts w:ascii="Times New Roman" w:hAnsi="Times New Roman" w:cs="Times New Roman"/>
          <w:b/>
          <w:bCs/>
          <w:sz w:val="24"/>
          <w:szCs w:val="24"/>
        </w:rPr>
        <w:fldChar w:fldCharType="begin"/>
      </w:r>
      <w:r w:rsidRPr="009878E6">
        <w:rPr>
          <w:rFonts w:ascii="Times New Roman" w:hAnsi="Times New Roman" w:cs="Times New Roman"/>
          <w:b/>
          <w:bCs/>
          <w:sz w:val="24"/>
          <w:szCs w:val="24"/>
        </w:rPr>
        <w:instrText>ADVANCE \R 0.95</w:instrText>
      </w:r>
      <w:r w:rsidRPr="009878E6">
        <w:rPr>
          <w:rFonts w:ascii="Times New Roman" w:hAnsi="Times New Roman" w:cs="Times New Roman"/>
          <w:b/>
          <w:bCs/>
          <w:sz w:val="24"/>
          <w:szCs w:val="24"/>
        </w:rPr>
        <w:fldChar w:fldCharType="end"/>
      </w:r>
    </w:p>
    <w:p w:rsidR="0011482A" w:rsidRPr="009878E6" w:rsidP="009878E6" w14:paraId="3087AA92" w14:textId="77777777">
      <w:pPr>
        <w:contextualSpacing/>
        <w:rPr>
          <w:rFonts w:ascii="Times New Roman" w:hAnsi="Times New Roman" w:cs="Times New Roman"/>
          <w:b/>
          <w:bCs/>
          <w:sz w:val="24"/>
          <w:szCs w:val="24"/>
        </w:rPr>
      </w:pPr>
      <w:r w:rsidRPr="009878E6">
        <w:rPr>
          <w:rFonts w:ascii="Times New Roman" w:hAnsi="Times New Roman" w:cs="Times New Roman"/>
          <w:b/>
          <w:bCs/>
          <w:sz w:val="24"/>
          <w:szCs w:val="24"/>
        </w:rPr>
        <w:fldChar w:fldCharType="begin"/>
      </w:r>
      <w:r w:rsidRPr="009878E6">
        <w:rPr>
          <w:rFonts w:ascii="Times New Roman" w:hAnsi="Times New Roman" w:cs="Times New Roman"/>
          <w:b/>
          <w:bCs/>
          <w:sz w:val="24"/>
          <w:szCs w:val="24"/>
        </w:rPr>
        <w:instrText>ADVANCE \R 0.95</w:instrText>
      </w:r>
      <w:r w:rsidRPr="009878E6">
        <w:rPr>
          <w:rFonts w:ascii="Times New Roman" w:hAnsi="Times New Roman" w:cs="Times New Roman"/>
          <w:b/>
          <w:bCs/>
          <w:sz w:val="24"/>
          <w:szCs w:val="24"/>
        </w:rPr>
        <w:fldChar w:fldCharType="end"/>
      </w:r>
    </w:p>
    <w:p w:rsidR="00562915" w:rsidRPr="009878E6" w:rsidP="009878E6" w14:paraId="5152C375" w14:textId="4AB8D9C8">
      <w:pPr>
        <w:contextualSpacing/>
        <w:rPr>
          <w:rFonts w:ascii="Times New Roman" w:hAnsi="Times New Roman" w:cs="Times New Roman"/>
          <w:sz w:val="24"/>
          <w:szCs w:val="24"/>
        </w:rPr>
      </w:pPr>
      <w:r w:rsidRPr="009878E6">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Pr="009878E6" w:rsidR="00BB543D">
        <w:rPr>
          <w:rFonts w:ascii="Times New Roman" w:hAnsi="Times New Roman" w:cs="Times New Roman"/>
          <w:b/>
          <w:bCs/>
          <w:sz w:val="24"/>
          <w:szCs w:val="24"/>
        </w:rPr>
        <w:t xml:space="preserve"> </w:t>
      </w:r>
      <w:r w:rsidRPr="009878E6">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9878E6">
        <w:rPr>
          <w:rFonts w:ascii="Times New Roman" w:hAnsi="Times New Roman" w:cs="Times New Roman"/>
          <w:sz w:val="24"/>
          <w:szCs w:val="24"/>
        </w:rPr>
        <w:fldChar w:fldCharType="begin"/>
      </w:r>
      <w:r w:rsidRPr="009878E6">
        <w:rPr>
          <w:rFonts w:ascii="Times New Roman" w:hAnsi="Times New Roman" w:cs="Times New Roman"/>
          <w:sz w:val="24"/>
          <w:szCs w:val="24"/>
        </w:rPr>
        <w:instrText>ADVANCE \R 0.95</w:instrText>
      </w:r>
      <w:r w:rsidRPr="009878E6">
        <w:rPr>
          <w:rFonts w:ascii="Times New Roman" w:hAnsi="Times New Roman" w:cs="Times New Roman"/>
          <w:sz w:val="24"/>
          <w:szCs w:val="24"/>
        </w:rPr>
        <w:fldChar w:fldCharType="end"/>
      </w:r>
    </w:p>
    <w:p w:rsidR="00E6464B" w:rsidRPr="009878E6" w:rsidP="009878E6" w14:paraId="6CB63E8B" w14:textId="77777777">
      <w:pPr>
        <w:contextualSpacing/>
        <w:rPr>
          <w:rFonts w:ascii="Times New Roman" w:hAnsi="Times New Roman" w:cs="Times New Roman"/>
          <w:color w:val="000000"/>
          <w:sz w:val="24"/>
          <w:szCs w:val="24"/>
        </w:rPr>
      </w:pPr>
    </w:p>
    <w:p w:rsidR="00E6464B" w:rsidRPr="0098421F" w:rsidP="009878E6" w14:paraId="42D16BD5" w14:textId="4C753C5C">
      <w:pPr>
        <w:contextualSpacing/>
        <w:rPr>
          <w:rFonts w:ascii="Times New Roman" w:hAnsi="Times New Roman" w:cs="Times New Roman"/>
          <w:color w:val="000000"/>
          <w:sz w:val="24"/>
          <w:szCs w:val="24"/>
        </w:rPr>
      </w:pPr>
      <w:r w:rsidRPr="009878E6">
        <w:rPr>
          <w:rFonts w:ascii="Times New Roman" w:hAnsi="Times New Roman" w:cs="Times New Roman"/>
          <w:color w:val="000000"/>
          <w:sz w:val="24"/>
          <w:szCs w:val="24"/>
        </w:rPr>
        <w:t xml:space="preserve">A 60-day Federal Register Notice inviting public comments was published </w:t>
      </w:r>
      <w:r w:rsidR="0050166E">
        <w:rPr>
          <w:rFonts w:ascii="Times New Roman" w:hAnsi="Times New Roman" w:cs="Times New Roman"/>
          <w:color w:val="000000"/>
          <w:sz w:val="24"/>
          <w:szCs w:val="24"/>
        </w:rPr>
        <w:t>on</w:t>
      </w:r>
      <w:r w:rsidRPr="0098421F">
        <w:rPr>
          <w:rFonts w:ascii="Times New Roman" w:hAnsi="Times New Roman" w:cs="Times New Roman"/>
          <w:color w:val="000000"/>
          <w:sz w:val="24"/>
          <w:szCs w:val="24"/>
        </w:rPr>
        <w:t xml:space="preserve"> </w:t>
      </w:r>
      <w:r w:rsidR="0050166E">
        <w:rPr>
          <w:rFonts w:ascii="Times New Roman" w:hAnsi="Times New Roman" w:cs="Times New Roman"/>
          <w:color w:val="000000"/>
          <w:sz w:val="24"/>
          <w:szCs w:val="24"/>
        </w:rPr>
        <w:br/>
        <w:t>January 3, 2023, at 88 FR 86.  No public comments were received.</w:t>
      </w:r>
      <w:r w:rsidRPr="0098421F">
        <w:rPr>
          <w:rFonts w:ascii="Times New Roman" w:hAnsi="Times New Roman" w:cs="Times New Roman"/>
          <w:color w:val="000000"/>
          <w:sz w:val="24"/>
          <w:szCs w:val="24"/>
        </w:rPr>
        <w:t xml:space="preserve"> </w:t>
      </w:r>
    </w:p>
    <w:p w:rsidR="00E6464B" w:rsidRPr="009878E6" w:rsidP="009878E6" w14:paraId="0650920A" w14:textId="77777777">
      <w:pPr>
        <w:contextualSpacing/>
        <w:rPr>
          <w:rFonts w:ascii="Times New Roman" w:hAnsi="Times New Roman" w:cs="Times New Roman"/>
          <w:b/>
          <w:bCs/>
          <w:color w:val="000000" w:themeColor="text1"/>
          <w:sz w:val="24"/>
          <w:szCs w:val="24"/>
        </w:rPr>
      </w:pPr>
    </w:p>
    <w:p w:rsidR="00562915" w:rsidRPr="009757B8" w:rsidP="009878E6" w14:paraId="6D0D1C6A" w14:textId="6156D662">
      <w:pPr>
        <w:contextualSpacing/>
        <w:rPr>
          <w:rFonts w:ascii="Times New Roman" w:hAnsi="Times New Roman" w:cs="Times New Roman"/>
          <w:color w:val="000000"/>
          <w:sz w:val="24"/>
          <w:szCs w:val="24"/>
        </w:rPr>
      </w:pPr>
      <w:r w:rsidRPr="009878E6">
        <w:rPr>
          <w:rFonts w:ascii="Times New Roman" w:hAnsi="Times New Roman" w:cs="Times New Roman"/>
          <w:color w:val="000000"/>
          <w:sz w:val="24"/>
          <w:szCs w:val="24"/>
        </w:rPr>
        <w:t xml:space="preserve">A 30-day Federal Register Notice inviting public comments was published </w:t>
      </w:r>
      <w:r w:rsidRPr="009757B8" w:rsidR="00C72DB9">
        <w:rPr>
          <w:rFonts w:ascii="Times New Roman" w:hAnsi="Times New Roman" w:cs="Times New Roman"/>
          <w:color w:val="000000"/>
          <w:sz w:val="24"/>
          <w:szCs w:val="24"/>
        </w:rPr>
        <w:t>at 88 FR 60473 on September 1, 2023.  The public comment period is open until October 2, 2023.</w:t>
      </w:r>
    </w:p>
    <w:p w:rsidR="00E6464B" w:rsidRPr="009878E6" w:rsidP="009878E6" w14:paraId="36A90CC5" w14:textId="77777777">
      <w:pPr>
        <w:contextualSpacing/>
        <w:rPr>
          <w:rFonts w:ascii="Times New Roman" w:hAnsi="Times New Roman" w:cs="Times New Roman"/>
          <w:sz w:val="24"/>
          <w:szCs w:val="24"/>
        </w:rPr>
      </w:pPr>
    </w:p>
    <w:p w:rsidR="00562915" w:rsidRPr="009878E6" w:rsidP="009878E6" w14:paraId="2B07EE31" w14:textId="73E96D7F">
      <w:pPr>
        <w:tabs>
          <w:tab w:val="left" w:pos="360"/>
        </w:tabs>
        <w:contextualSpacing/>
        <w:rPr>
          <w:rFonts w:ascii="Times New Roman" w:hAnsi="Times New Roman" w:cs="Times New Roman"/>
          <w:b/>
          <w:bCs/>
          <w:sz w:val="24"/>
          <w:szCs w:val="24"/>
        </w:rPr>
      </w:pPr>
      <w:r w:rsidRPr="009878E6">
        <w:rPr>
          <w:rFonts w:ascii="Times New Roman" w:hAnsi="Times New Roman" w:cs="Times New Roman"/>
          <w:sz w:val="24"/>
          <w:szCs w:val="24"/>
        </w:rPr>
        <w:tab/>
      </w:r>
      <w:r w:rsidRPr="009878E6">
        <w:rPr>
          <w:rFonts w:ascii="Times New Roman" w:hAnsi="Times New Roman" w:cs="Times New Roman"/>
          <w:sz w:val="24"/>
          <w:szCs w:val="24"/>
        </w:rPr>
        <w:tab/>
      </w:r>
      <w:r w:rsidRPr="009878E6">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6464B" w:rsidRPr="009878E6" w:rsidP="009878E6" w14:paraId="16DC7C10" w14:textId="77777777">
      <w:pPr>
        <w:tabs>
          <w:tab w:val="left" w:pos="360"/>
        </w:tabs>
        <w:contextualSpacing/>
        <w:rPr>
          <w:rFonts w:ascii="Times New Roman" w:hAnsi="Times New Roman" w:cs="Times New Roman"/>
          <w:sz w:val="24"/>
          <w:szCs w:val="24"/>
        </w:rPr>
      </w:pPr>
    </w:p>
    <w:p w:rsidR="00E94018" w:rsidRPr="009878E6" w:rsidP="009878E6" w14:paraId="1689A0FF" w14:textId="452AD28E">
      <w:pPr>
        <w:tabs>
          <w:tab w:val="left" w:pos="360"/>
        </w:tabs>
        <w:contextualSpacing/>
        <w:rPr>
          <w:rFonts w:ascii="Times New Roman" w:hAnsi="Times New Roman" w:cs="Times New Roman"/>
          <w:sz w:val="24"/>
          <w:szCs w:val="24"/>
        </w:rPr>
      </w:pPr>
      <w:r w:rsidRPr="009878E6">
        <w:rPr>
          <w:rFonts w:ascii="Times New Roman" w:hAnsi="Times New Roman" w:cs="Times New Roman"/>
          <w:sz w:val="24"/>
          <w:szCs w:val="24"/>
        </w:rPr>
        <w:t xml:space="preserve">FEMA’s Floodplain Management has consulted with the following groups to inquire about the availability of data: </w:t>
      </w:r>
    </w:p>
    <w:p w:rsidR="00E94018" w:rsidRPr="009878E6" w:rsidP="009878E6" w14:paraId="2A8A659F" w14:textId="77777777">
      <w:pPr>
        <w:pStyle w:val="ListParagraph"/>
        <w:numPr>
          <w:ilvl w:val="0"/>
          <w:numId w:val="6"/>
        </w:numPr>
        <w:tabs>
          <w:tab w:val="left" w:pos="360"/>
        </w:tabs>
        <w:rPr>
          <w:rFonts w:ascii="Times New Roman" w:hAnsi="Times New Roman" w:cs="Times New Roman"/>
          <w:sz w:val="24"/>
          <w:szCs w:val="24"/>
        </w:rPr>
      </w:pPr>
      <w:r w:rsidRPr="009878E6">
        <w:rPr>
          <w:rFonts w:ascii="Times New Roman" w:hAnsi="Times New Roman" w:cs="Times New Roman"/>
          <w:sz w:val="24"/>
          <w:szCs w:val="24"/>
        </w:rPr>
        <w:t>State NFIP Coordinators</w:t>
      </w:r>
    </w:p>
    <w:p w:rsidR="00E94018" w:rsidRPr="009878E6" w:rsidP="009878E6" w14:paraId="7F7CE78F" w14:textId="5D1A8BAF">
      <w:pPr>
        <w:pStyle w:val="ListParagraph"/>
        <w:numPr>
          <w:ilvl w:val="0"/>
          <w:numId w:val="6"/>
        </w:numPr>
        <w:tabs>
          <w:tab w:val="left" w:pos="360"/>
        </w:tabs>
        <w:rPr>
          <w:rFonts w:ascii="Times New Roman" w:hAnsi="Times New Roman" w:cs="Times New Roman"/>
          <w:sz w:val="24"/>
          <w:szCs w:val="24"/>
        </w:rPr>
      </w:pPr>
      <w:r w:rsidRPr="009878E6">
        <w:rPr>
          <w:rFonts w:ascii="Times New Roman" w:hAnsi="Times New Roman" w:cs="Times New Roman"/>
          <w:sz w:val="24"/>
          <w:szCs w:val="24"/>
        </w:rPr>
        <w:t>VTU</w:t>
      </w:r>
    </w:p>
    <w:p w:rsidR="00E94018" w:rsidRPr="009878E6" w:rsidP="009878E6" w14:paraId="6FC9C19C" w14:textId="77777777">
      <w:pPr>
        <w:pStyle w:val="ListParagraph"/>
        <w:numPr>
          <w:ilvl w:val="0"/>
          <w:numId w:val="6"/>
        </w:numPr>
        <w:tabs>
          <w:tab w:val="left" w:pos="360"/>
        </w:tabs>
        <w:rPr>
          <w:rFonts w:ascii="Times New Roman" w:hAnsi="Times New Roman" w:cs="Times New Roman"/>
          <w:sz w:val="24"/>
          <w:szCs w:val="24"/>
        </w:rPr>
      </w:pPr>
      <w:r w:rsidRPr="009878E6">
        <w:rPr>
          <w:rFonts w:ascii="Times New Roman" w:hAnsi="Times New Roman" w:cs="Times New Roman"/>
          <w:sz w:val="24"/>
          <w:szCs w:val="24"/>
        </w:rPr>
        <w:t>University of North Texas</w:t>
      </w:r>
    </w:p>
    <w:p w:rsidR="00E94018" w:rsidRPr="009878E6" w:rsidP="009878E6" w14:paraId="3092EE6E" w14:textId="7C0625DA">
      <w:pPr>
        <w:pStyle w:val="ListParagraph"/>
        <w:numPr>
          <w:ilvl w:val="0"/>
          <w:numId w:val="6"/>
        </w:numPr>
        <w:tabs>
          <w:tab w:val="left" w:pos="360"/>
        </w:tabs>
        <w:rPr>
          <w:rFonts w:ascii="Times New Roman" w:hAnsi="Times New Roman" w:cs="Times New Roman"/>
          <w:sz w:val="24"/>
          <w:szCs w:val="24"/>
        </w:rPr>
      </w:pPr>
      <w:r w:rsidRPr="009878E6">
        <w:rPr>
          <w:rFonts w:ascii="Times New Roman" w:hAnsi="Times New Roman" w:cs="Times New Roman"/>
          <w:sz w:val="24"/>
          <w:szCs w:val="24"/>
        </w:rPr>
        <w:t>T</w:t>
      </w:r>
      <w:r w:rsidRPr="009878E6" w:rsidR="00FF2C0A">
        <w:rPr>
          <w:rFonts w:ascii="Times New Roman" w:hAnsi="Times New Roman" w:cs="Times New Roman"/>
          <w:sz w:val="24"/>
          <w:szCs w:val="24"/>
        </w:rPr>
        <w:t>he Association of State Floodplain Managers</w:t>
      </w:r>
    </w:p>
    <w:p w:rsidR="00FF2C0A" w:rsidRPr="009878E6" w:rsidP="009878E6" w14:paraId="6247940B" w14:textId="4C2E9273">
      <w:pPr>
        <w:pStyle w:val="ListParagraph"/>
        <w:numPr>
          <w:ilvl w:val="0"/>
          <w:numId w:val="6"/>
        </w:numPr>
        <w:tabs>
          <w:tab w:val="left" w:pos="360"/>
        </w:tabs>
        <w:rPr>
          <w:rFonts w:ascii="Times New Roman" w:hAnsi="Times New Roman" w:cs="Times New Roman"/>
          <w:sz w:val="24"/>
          <w:szCs w:val="24"/>
        </w:rPr>
      </w:pPr>
      <w:r w:rsidRPr="009878E6">
        <w:rPr>
          <w:rFonts w:ascii="Times New Roman" w:hAnsi="Times New Roman" w:cs="Times New Roman"/>
          <w:sz w:val="24"/>
          <w:szCs w:val="24"/>
        </w:rPr>
        <w:t>T</w:t>
      </w:r>
      <w:r w:rsidRPr="009878E6">
        <w:rPr>
          <w:rFonts w:ascii="Times New Roman" w:hAnsi="Times New Roman" w:cs="Times New Roman"/>
          <w:sz w:val="24"/>
          <w:szCs w:val="24"/>
        </w:rPr>
        <w:t>he Texas Association of Floodplain Managers</w:t>
      </w:r>
    </w:p>
    <w:p w:rsidR="002A1B82" w:rsidRPr="009878E6" w:rsidP="009878E6" w14:paraId="407E7D00" w14:textId="77777777">
      <w:pPr>
        <w:tabs>
          <w:tab w:val="left" w:pos="360"/>
        </w:tabs>
        <w:contextualSpacing/>
        <w:rPr>
          <w:rFonts w:ascii="Times New Roman" w:hAnsi="Times New Roman" w:cs="Times New Roman"/>
          <w:sz w:val="24"/>
          <w:szCs w:val="24"/>
        </w:rPr>
      </w:pPr>
      <w:r w:rsidRPr="009878E6">
        <w:rPr>
          <w:rFonts w:ascii="Times New Roman" w:hAnsi="Times New Roman" w:cs="Times New Roman"/>
          <w:sz w:val="24"/>
          <w:szCs w:val="24"/>
        </w:rPr>
        <w:t>A working group has been established to help guide FEMA in the development of clear and relevant questions</w:t>
      </w:r>
      <w:r w:rsidRPr="009878E6" w:rsidR="00E94018">
        <w:rPr>
          <w:rFonts w:ascii="Times New Roman" w:hAnsi="Times New Roman" w:cs="Times New Roman"/>
          <w:sz w:val="24"/>
          <w:szCs w:val="24"/>
        </w:rPr>
        <w:t>, instructions,</w:t>
      </w:r>
      <w:r w:rsidRPr="009878E6" w:rsidR="00611CD6">
        <w:rPr>
          <w:rFonts w:ascii="Times New Roman" w:hAnsi="Times New Roman" w:cs="Times New Roman"/>
          <w:sz w:val="24"/>
          <w:szCs w:val="24"/>
        </w:rPr>
        <w:t xml:space="preserve"> data elements,</w:t>
      </w:r>
      <w:r w:rsidRPr="009878E6">
        <w:rPr>
          <w:rFonts w:ascii="Times New Roman" w:hAnsi="Times New Roman" w:cs="Times New Roman"/>
          <w:sz w:val="24"/>
          <w:szCs w:val="24"/>
        </w:rPr>
        <w:t xml:space="preserve"> and dissemination of the Assessment.</w:t>
      </w:r>
    </w:p>
    <w:p w:rsidR="0011482A" w:rsidRPr="009878E6" w:rsidP="009878E6" w14:paraId="10775A0F" w14:textId="2E34F3EC">
      <w:pPr>
        <w:tabs>
          <w:tab w:val="left" w:pos="360"/>
        </w:tabs>
        <w:contextualSpacing/>
        <w:rPr>
          <w:rFonts w:ascii="Times New Roman" w:hAnsi="Times New Roman" w:cs="Times New Roman"/>
          <w:sz w:val="24"/>
          <w:szCs w:val="24"/>
        </w:rPr>
      </w:pPr>
      <w:r w:rsidRPr="009878E6">
        <w:rPr>
          <w:rFonts w:ascii="Times New Roman" w:hAnsi="Times New Roman" w:cs="Times New Roman"/>
          <w:sz w:val="24"/>
          <w:szCs w:val="24"/>
        </w:rPr>
        <w:t xml:space="preserve"> </w:t>
      </w:r>
    </w:p>
    <w:p w:rsidR="00E94018" w:rsidRPr="009878E6" w:rsidP="009878E6" w14:paraId="3A0CE424" w14:textId="4DC6AD8B">
      <w:pPr>
        <w:tabs>
          <w:tab w:val="left" w:pos="360"/>
        </w:tabs>
        <w:contextualSpacing/>
        <w:rPr>
          <w:rFonts w:ascii="Times New Roman" w:hAnsi="Times New Roman" w:cs="Times New Roman"/>
          <w:sz w:val="24"/>
          <w:szCs w:val="24"/>
        </w:rPr>
      </w:pPr>
      <w:r w:rsidRPr="009878E6">
        <w:rPr>
          <w:rFonts w:ascii="Times New Roman" w:hAnsi="Times New Roman" w:cs="Times New Roman"/>
          <w:sz w:val="24"/>
          <w:szCs w:val="24"/>
        </w:rPr>
        <w:t>The work group includes members representing</w:t>
      </w:r>
      <w:r w:rsidRPr="009878E6">
        <w:rPr>
          <w:rFonts w:ascii="Times New Roman" w:hAnsi="Times New Roman" w:cs="Times New Roman"/>
          <w:sz w:val="24"/>
          <w:szCs w:val="24"/>
        </w:rPr>
        <w:t>:</w:t>
      </w:r>
    </w:p>
    <w:p w:rsidR="00E94018" w:rsidRPr="009878E6" w:rsidP="009878E6" w14:paraId="736D04F4" w14:textId="77777777">
      <w:pPr>
        <w:pStyle w:val="ListParagraph"/>
        <w:numPr>
          <w:ilvl w:val="0"/>
          <w:numId w:val="7"/>
        </w:numPr>
        <w:tabs>
          <w:tab w:val="left" w:pos="360"/>
        </w:tabs>
        <w:rPr>
          <w:rFonts w:ascii="Times New Roman" w:hAnsi="Times New Roman" w:cs="Times New Roman"/>
          <w:sz w:val="24"/>
          <w:szCs w:val="24"/>
        </w:rPr>
      </w:pPr>
      <w:r w:rsidRPr="009878E6">
        <w:rPr>
          <w:rFonts w:ascii="Times New Roman" w:hAnsi="Times New Roman" w:cs="Times New Roman"/>
          <w:sz w:val="24"/>
          <w:szCs w:val="24"/>
        </w:rPr>
        <w:t>FEMA</w:t>
      </w:r>
    </w:p>
    <w:p w:rsidR="00E94018" w:rsidRPr="009878E6" w:rsidP="009878E6" w14:paraId="1A24B3A4" w14:textId="77777777">
      <w:pPr>
        <w:pStyle w:val="ListParagraph"/>
        <w:numPr>
          <w:ilvl w:val="0"/>
          <w:numId w:val="7"/>
        </w:numPr>
        <w:tabs>
          <w:tab w:val="left" w:pos="360"/>
        </w:tabs>
        <w:rPr>
          <w:rFonts w:ascii="Times New Roman" w:hAnsi="Times New Roman" w:cs="Times New Roman"/>
          <w:sz w:val="24"/>
          <w:szCs w:val="24"/>
        </w:rPr>
      </w:pPr>
      <w:r w:rsidRPr="009878E6">
        <w:rPr>
          <w:rFonts w:ascii="Times New Roman" w:hAnsi="Times New Roman" w:cs="Times New Roman"/>
          <w:sz w:val="24"/>
          <w:szCs w:val="24"/>
        </w:rPr>
        <w:t>T</w:t>
      </w:r>
      <w:r w:rsidRPr="009878E6" w:rsidR="00FF2C0A">
        <w:rPr>
          <w:rFonts w:ascii="Times New Roman" w:hAnsi="Times New Roman" w:cs="Times New Roman"/>
          <w:sz w:val="24"/>
          <w:szCs w:val="24"/>
        </w:rPr>
        <w:t>he Emergency Management Institute</w:t>
      </w:r>
    </w:p>
    <w:p w:rsidR="00E94018" w:rsidRPr="009878E6" w:rsidP="009878E6" w14:paraId="5EFCC2DF" w14:textId="77777777">
      <w:pPr>
        <w:pStyle w:val="ListParagraph"/>
        <w:numPr>
          <w:ilvl w:val="0"/>
          <w:numId w:val="7"/>
        </w:numPr>
        <w:tabs>
          <w:tab w:val="left" w:pos="360"/>
        </w:tabs>
        <w:rPr>
          <w:rFonts w:ascii="Times New Roman" w:hAnsi="Times New Roman" w:cs="Times New Roman"/>
          <w:sz w:val="24"/>
          <w:szCs w:val="24"/>
        </w:rPr>
      </w:pPr>
      <w:r w:rsidRPr="009878E6">
        <w:rPr>
          <w:rFonts w:ascii="Times New Roman" w:hAnsi="Times New Roman" w:cs="Times New Roman"/>
          <w:sz w:val="24"/>
          <w:szCs w:val="24"/>
        </w:rPr>
        <w:t>T</w:t>
      </w:r>
      <w:r w:rsidRPr="009878E6" w:rsidR="00FF2C0A">
        <w:rPr>
          <w:rFonts w:ascii="Times New Roman" w:hAnsi="Times New Roman" w:cs="Times New Roman"/>
          <w:sz w:val="24"/>
          <w:szCs w:val="24"/>
        </w:rPr>
        <w:t>he Commonwealth of Puerto Rico</w:t>
      </w:r>
    </w:p>
    <w:p w:rsidR="00E94018" w:rsidRPr="009878E6" w:rsidP="009878E6" w14:paraId="026E8DFE" w14:textId="29C2BAAE">
      <w:pPr>
        <w:pStyle w:val="ListParagraph"/>
        <w:numPr>
          <w:ilvl w:val="0"/>
          <w:numId w:val="7"/>
        </w:numPr>
        <w:tabs>
          <w:tab w:val="left" w:pos="360"/>
        </w:tabs>
        <w:rPr>
          <w:rFonts w:ascii="Times New Roman" w:hAnsi="Times New Roman" w:cs="Times New Roman"/>
          <w:sz w:val="24"/>
          <w:szCs w:val="24"/>
        </w:rPr>
      </w:pPr>
      <w:r w:rsidRPr="009878E6">
        <w:rPr>
          <w:rFonts w:ascii="Times New Roman" w:hAnsi="Times New Roman" w:cs="Times New Roman"/>
          <w:sz w:val="24"/>
          <w:szCs w:val="24"/>
        </w:rPr>
        <w:t>State of Oregon</w:t>
      </w:r>
      <w:r w:rsidRPr="009878E6" w:rsidR="00AD1036">
        <w:rPr>
          <w:rFonts w:ascii="Times New Roman" w:hAnsi="Times New Roman" w:cs="Times New Roman"/>
          <w:sz w:val="24"/>
          <w:szCs w:val="24"/>
        </w:rPr>
        <w:t>, State NFIP Coordinator</w:t>
      </w:r>
    </w:p>
    <w:p w:rsidR="00E94018" w:rsidRPr="009878E6" w:rsidP="009878E6" w14:paraId="095D72DB" w14:textId="55B3265C">
      <w:pPr>
        <w:pStyle w:val="ListParagraph"/>
        <w:numPr>
          <w:ilvl w:val="0"/>
          <w:numId w:val="7"/>
        </w:numPr>
        <w:tabs>
          <w:tab w:val="left" w:pos="360"/>
        </w:tabs>
        <w:rPr>
          <w:rFonts w:ascii="Times New Roman" w:hAnsi="Times New Roman" w:cs="Times New Roman"/>
          <w:sz w:val="24"/>
          <w:szCs w:val="24"/>
        </w:rPr>
      </w:pPr>
      <w:r w:rsidRPr="009878E6">
        <w:rPr>
          <w:rFonts w:ascii="Times New Roman" w:hAnsi="Times New Roman" w:cs="Times New Roman"/>
          <w:sz w:val="24"/>
          <w:szCs w:val="24"/>
        </w:rPr>
        <w:t>S</w:t>
      </w:r>
      <w:r w:rsidRPr="009878E6" w:rsidR="00FF2C0A">
        <w:rPr>
          <w:rFonts w:ascii="Times New Roman" w:hAnsi="Times New Roman" w:cs="Times New Roman"/>
          <w:sz w:val="24"/>
          <w:szCs w:val="24"/>
        </w:rPr>
        <w:t>tate of North Carolina</w:t>
      </w:r>
      <w:r w:rsidRPr="009878E6" w:rsidR="00AD1036">
        <w:rPr>
          <w:rFonts w:ascii="Times New Roman" w:hAnsi="Times New Roman" w:cs="Times New Roman"/>
          <w:sz w:val="24"/>
          <w:szCs w:val="24"/>
        </w:rPr>
        <w:t>, State NFIP Coordinator</w:t>
      </w:r>
    </w:p>
    <w:p w:rsidR="00E94018" w:rsidRPr="009878E6" w:rsidP="009878E6" w14:paraId="034AE776" w14:textId="3E39E78A">
      <w:pPr>
        <w:pStyle w:val="ListParagraph"/>
        <w:numPr>
          <w:ilvl w:val="0"/>
          <w:numId w:val="7"/>
        </w:numPr>
        <w:tabs>
          <w:tab w:val="left" w:pos="360"/>
        </w:tabs>
        <w:rPr>
          <w:rFonts w:ascii="Times New Roman" w:hAnsi="Times New Roman" w:cs="Times New Roman"/>
          <w:sz w:val="24"/>
          <w:szCs w:val="24"/>
        </w:rPr>
      </w:pPr>
      <w:r w:rsidRPr="009878E6">
        <w:rPr>
          <w:rFonts w:ascii="Times New Roman" w:hAnsi="Times New Roman" w:cs="Times New Roman"/>
          <w:sz w:val="24"/>
          <w:szCs w:val="24"/>
        </w:rPr>
        <w:t>State of New York</w:t>
      </w:r>
      <w:r w:rsidRPr="009878E6" w:rsidR="00AD1036">
        <w:rPr>
          <w:rFonts w:ascii="Times New Roman" w:hAnsi="Times New Roman" w:cs="Times New Roman"/>
          <w:sz w:val="24"/>
          <w:szCs w:val="24"/>
        </w:rPr>
        <w:t>, State NFIP Coordinator</w:t>
      </w:r>
    </w:p>
    <w:p w:rsidR="00E94018" w:rsidRPr="009878E6" w:rsidP="009878E6" w14:paraId="3F965A49" w14:textId="77777777">
      <w:pPr>
        <w:pStyle w:val="ListParagraph"/>
        <w:numPr>
          <w:ilvl w:val="0"/>
          <w:numId w:val="7"/>
        </w:numPr>
        <w:tabs>
          <w:tab w:val="left" w:pos="360"/>
        </w:tabs>
        <w:rPr>
          <w:rFonts w:ascii="Times New Roman" w:hAnsi="Times New Roman" w:cs="Times New Roman"/>
          <w:sz w:val="24"/>
          <w:szCs w:val="24"/>
        </w:rPr>
      </w:pPr>
      <w:r w:rsidRPr="009878E6">
        <w:rPr>
          <w:rFonts w:ascii="Times New Roman" w:hAnsi="Times New Roman" w:cs="Times New Roman"/>
          <w:sz w:val="24"/>
          <w:szCs w:val="24"/>
        </w:rPr>
        <w:t>University of Florida</w:t>
      </w:r>
    </w:p>
    <w:p w:rsidR="00E94018" w:rsidRPr="009878E6" w:rsidP="009878E6" w14:paraId="4A0970D2" w14:textId="77777777">
      <w:pPr>
        <w:pStyle w:val="ListParagraph"/>
        <w:numPr>
          <w:ilvl w:val="0"/>
          <w:numId w:val="7"/>
        </w:numPr>
        <w:tabs>
          <w:tab w:val="left" w:pos="360"/>
        </w:tabs>
        <w:rPr>
          <w:rFonts w:ascii="Times New Roman" w:hAnsi="Times New Roman" w:cs="Times New Roman"/>
          <w:sz w:val="24"/>
          <w:szCs w:val="24"/>
        </w:rPr>
      </w:pPr>
      <w:r w:rsidRPr="009878E6">
        <w:rPr>
          <w:rFonts w:ascii="Times New Roman" w:hAnsi="Times New Roman" w:cs="Times New Roman"/>
          <w:sz w:val="24"/>
          <w:szCs w:val="24"/>
        </w:rPr>
        <w:t>The</w:t>
      </w:r>
      <w:r w:rsidRPr="009878E6" w:rsidR="00FF2C0A">
        <w:rPr>
          <w:rFonts w:ascii="Times New Roman" w:hAnsi="Times New Roman" w:cs="Times New Roman"/>
          <w:sz w:val="24"/>
          <w:szCs w:val="24"/>
        </w:rPr>
        <w:t xml:space="preserve"> Association of State Floodplain Managers</w:t>
      </w:r>
    </w:p>
    <w:p w:rsidR="00FF2C0A" w:rsidRPr="009878E6" w:rsidP="009878E6" w14:paraId="6F075837" w14:textId="708D7AF8">
      <w:pPr>
        <w:pStyle w:val="ListParagraph"/>
        <w:numPr>
          <w:ilvl w:val="0"/>
          <w:numId w:val="7"/>
        </w:numPr>
        <w:tabs>
          <w:tab w:val="left" w:pos="360"/>
        </w:tabs>
        <w:rPr>
          <w:rFonts w:ascii="Times New Roman" w:hAnsi="Times New Roman" w:cs="Times New Roman"/>
          <w:sz w:val="24"/>
          <w:szCs w:val="24"/>
        </w:rPr>
      </w:pPr>
      <w:r w:rsidRPr="009878E6">
        <w:rPr>
          <w:rFonts w:ascii="Times New Roman" w:hAnsi="Times New Roman" w:cs="Times New Roman"/>
          <w:sz w:val="24"/>
          <w:szCs w:val="24"/>
        </w:rPr>
        <w:t>T</w:t>
      </w:r>
      <w:r w:rsidRPr="009878E6">
        <w:rPr>
          <w:rFonts w:ascii="Times New Roman" w:hAnsi="Times New Roman" w:cs="Times New Roman"/>
          <w:sz w:val="24"/>
          <w:szCs w:val="24"/>
        </w:rPr>
        <w:t>he Texas Association of Floodplain Managers</w:t>
      </w:r>
    </w:p>
    <w:p w:rsidR="00FF2C0A" w:rsidRPr="009878E6" w:rsidP="009878E6" w14:paraId="07D0173E" w14:textId="61A2AC33">
      <w:pPr>
        <w:tabs>
          <w:tab w:val="left" w:pos="360"/>
        </w:tabs>
        <w:contextualSpacing/>
        <w:rPr>
          <w:rFonts w:ascii="Times New Roman" w:hAnsi="Times New Roman" w:cs="Times New Roman"/>
          <w:color w:val="000000" w:themeColor="text1"/>
          <w:sz w:val="24"/>
          <w:szCs w:val="24"/>
        </w:rPr>
      </w:pPr>
      <w:r w:rsidRPr="009878E6">
        <w:rPr>
          <w:rFonts w:ascii="Times New Roman" w:hAnsi="Times New Roman" w:cs="Times New Roman"/>
          <w:color w:val="000000" w:themeColor="text1"/>
          <w:sz w:val="24"/>
          <w:szCs w:val="24"/>
        </w:rPr>
        <w:t>FEMA has determined that no recordkeeping or reporting is required of respondents. FEMA’</w:t>
      </w:r>
      <w:r w:rsidRPr="009878E6" w:rsidR="00AD1036">
        <w:rPr>
          <w:rFonts w:ascii="Times New Roman" w:hAnsi="Times New Roman" w:cs="Times New Roman"/>
          <w:color w:val="000000" w:themeColor="text1"/>
          <w:sz w:val="24"/>
          <w:szCs w:val="24"/>
        </w:rPr>
        <w:t xml:space="preserve">s </w:t>
      </w:r>
      <w:r w:rsidRPr="009878E6">
        <w:rPr>
          <w:rFonts w:ascii="Times New Roman" w:hAnsi="Times New Roman" w:cs="Times New Roman"/>
          <w:color w:val="000000" w:themeColor="text1"/>
          <w:sz w:val="24"/>
          <w:szCs w:val="24"/>
        </w:rPr>
        <w:t xml:space="preserve">privacy office and records custodian have reviewed the recordkeeping requirements for FEMA and VTU.  </w:t>
      </w:r>
    </w:p>
    <w:p w:rsidR="00E6464B" w:rsidRPr="009878E6" w:rsidP="009878E6" w14:paraId="75A57A1D" w14:textId="77777777">
      <w:pPr>
        <w:tabs>
          <w:tab w:val="left" w:pos="360"/>
        </w:tabs>
        <w:contextualSpacing/>
        <w:rPr>
          <w:rFonts w:ascii="Times New Roman" w:hAnsi="Times New Roman" w:cs="Times New Roman"/>
          <w:color w:val="000000" w:themeColor="text1"/>
          <w:sz w:val="24"/>
          <w:szCs w:val="24"/>
        </w:rPr>
      </w:pPr>
    </w:p>
    <w:p w:rsidR="00562915" w:rsidRPr="009878E6" w:rsidP="009878E6" w14:paraId="6A49A5FD" w14:textId="22DF9009">
      <w:pPr>
        <w:tabs>
          <w:tab w:val="left" w:pos="360"/>
        </w:tabs>
        <w:contextualSpacing/>
        <w:rPr>
          <w:rFonts w:ascii="Times New Roman" w:hAnsi="Times New Roman" w:cs="Times New Roman"/>
          <w:b/>
          <w:bCs/>
          <w:sz w:val="24"/>
          <w:szCs w:val="24"/>
        </w:rPr>
      </w:pPr>
      <w:r w:rsidRPr="009878E6">
        <w:rPr>
          <w:rFonts w:ascii="Times New Roman" w:hAnsi="Times New Roman" w:cs="Times New Roman"/>
          <w:color w:val="000000" w:themeColor="text1"/>
          <w:sz w:val="24"/>
          <w:szCs w:val="24"/>
        </w:rPr>
        <w:tab/>
      </w:r>
      <w:r w:rsidRPr="009878E6">
        <w:rPr>
          <w:rFonts w:ascii="Times New Roman" w:hAnsi="Times New Roman" w:cs="Times New Roman"/>
          <w:color w:val="000000" w:themeColor="text1"/>
          <w:sz w:val="24"/>
          <w:szCs w:val="24"/>
        </w:rPr>
        <w:tab/>
      </w:r>
      <w:r w:rsidRPr="009878E6">
        <w:rPr>
          <w:rFonts w:ascii="Times New Roman" w:hAnsi="Times New Roman" w:cs="Times New Roman"/>
          <w:b/>
          <w:bCs/>
          <w:color w:val="000000" w:themeColor="text1"/>
          <w:sz w:val="24"/>
          <w:szCs w:val="24"/>
        </w:rPr>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w:t>
      </w:r>
      <w:r w:rsidRPr="009878E6">
        <w:rPr>
          <w:rFonts w:ascii="Times New Roman" w:hAnsi="Times New Roman" w:cs="Times New Roman"/>
          <w:b/>
          <w:bCs/>
          <w:sz w:val="24"/>
          <w:szCs w:val="24"/>
        </w:rPr>
        <w:t xml:space="preserve"> preclude consultation in a specific situation. These circumstances should be explained.</w:t>
      </w:r>
    </w:p>
    <w:p w:rsidR="00E6464B" w:rsidRPr="009878E6" w:rsidP="009878E6" w14:paraId="709033BB" w14:textId="77777777">
      <w:pPr>
        <w:contextualSpacing/>
        <w:rPr>
          <w:rFonts w:ascii="Times New Roman" w:hAnsi="Times New Roman" w:cs="Times New Roman"/>
          <w:sz w:val="24"/>
          <w:szCs w:val="24"/>
        </w:rPr>
      </w:pPr>
    </w:p>
    <w:p w:rsidR="00562915" w:rsidRPr="009878E6" w:rsidP="009878E6" w14:paraId="2671D319" w14:textId="671D869E">
      <w:pPr>
        <w:contextualSpacing/>
        <w:rPr>
          <w:rFonts w:ascii="Times New Roman" w:hAnsi="Times New Roman" w:cs="Times New Roman"/>
          <w:sz w:val="24"/>
          <w:szCs w:val="24"/>
        </w:rPr>
      </w:pPr>
      <w:r w:rsidRPr="009878E6">
        <w:rPr>
          <w:rFonts w:ascii="Times New Roman" w:hAnsi="Times New Roman" w:cs="Times New Roman"/>
          <w:sz w:val="24"/>
          <w:szCs w:val="24"/>
        </w:rPr>
        <w:t>FEMA and VTU conducted a pilot test of the draft survey instrument with nine FPAs</w:t>
      </w:r>
      <w:r w:rsidRPr="009878E6" w:rsidR="00065D7F">
        <w:rPr>
          <w:rFonts w:ascii="Times New Roman" w:hAnsi="Times New Roman" w:cs="Times New Roman"/>
          <w:sz w:val="24"/>
          <w:szCs w:val="24"/>
        </w:rPr>
        <w:t>, who represent the focus population</w:t>
      </w:r>
      <w:r w:rsidRPr="009878E6">
        <w:rPr>
          <w:rFonts w:ascii="Times New Roman" w:hAnsi="Times New Roman" w:cs="Times New Roman"/>
          <w:sz w:val="24"/>
          <w:szCs w:val="24"/>
        </w:rPr>
        <w:t xml:space="preserve">. These respondents of the survey tools did not question the necessity of the collection or the quality, utility, and clarity of the information to be collected.   </w:t>
      </w:r>
      <w:r w:rsidRPr="009878E6">
        <w:rPr>
          <w:rFonts w:ascii="Times New Roman" w:hAnsi="Times New Roman" w:cs="Times New Roman"/>
          <w:sz w:val="24"/>
          <w:szCs w:val="24"/>
        </w:rPr>
        <w:t xml:space="preserve">         </w:t>
      </w:r>
    </w:p>
    <w:p w:rsidR="00E6464B" w:rsidRPr="009878E6" w:rsidP="009878E6" w14:paraId="72C24BB7" w14:textId="77777777">
      <w:pPr>
        <w:contextualSpacing/>
        <w:rPr>
          <w:rFonts w:ascii="Times New Roman" w:hAnsi="Times New Roman" w:cs="Times New Roman"/>
          <w:sz w:val="24"/>
          <w:szCs w:val="24"/>
        </w:rPr>
      </w:pPr>
    </w:p>
    <w:p w:rsidR="00562915" w:rsidRPr="009878E6" w:rsidP="009878E6" w14:paraId="77BC270B" w14:textId="77777777">
      <w:pPr>
        <w:contextualSpacing/>
        <w:rPr>
          <w:rFonts w:ascii="Times New Roman" w:hAnsi="Times New Roman" w:cs="Times New Roman"/>
          <w:b/>
          <w:bCs/>
          <w:sz w:val="24"/>
          <w:szCs w:val="24"/>
        </w:rPr>
      </w:pPr>
      <w:r w:rsidRPr="009878E6">
        <w:rPr>
          <w:rFonts w:ascii="Times New Roman" w:hAnsi="Times New Roman" w:cs="Times New Roman"/>
          <w:b/>
          <w:bCs/>
          <w:sz w:val="24"/>
          <w:szCs w:val="24"/>
        </w:rPr>
        <w:fldChar w:fldCharType="begin"/>
      </w:r>
      <w:r w:rsidRPr="009878E6">
        <w:rPr>
          <w:rFonts w:ascii="Times New Roman" w:hAnsi="Times New Roman" w:cs="Times New Roman"/>
          <w:b/>
          <w:bCs/>
          <w:sz w:val="24"/>
          <w:szCs w:val="24"/>
        </w:rPr>
        <w:instrText>ADVANCE \R 0.95</w:instrText>
      </w:r>
      <w:r w:rsidRPr="009878E6">
        <w:rPr>
          <w:rFonts w:ascii="Times New Roman" w:hAnsi="Times New Roman" w:cs="Times New Roman"/>
          <w:b/>
          <w:bCs/>
          <w:sz w:val="24"/>
          <w:szCs w:val="24"/>
        </w:rPr>
        <w:fldChar w:fldCharType="end"/>
      </w:r>
      <w:r w:rsidRPr="009878E6">
        <w:rPr>
          <w:rFonts w:ascii="Times New Roman" w:hAnsi="Times New Roman" w:cs="Times New Roman"/>
          <w:b/>
          <w:bCs/>
          <w:sz w:val="24"/>
          <w:szCs w:val="24"/>
        </w:rPr>
        <w:t>9.  Explain any decision to provide any payment or gift to respondents, other than remuneration of contractors or grantees.</w:t>
      </w:r>
    </w:p>
    <w:p w:rsidR="00E6464B" w:rsidRPr="009878E6" w:rsidP="009878E6" w14:paraId="6D116154" w14:textId="77777777">
      <w:pPr>
        <w:contextualSpacing/>
        <w:rPr>
          <w:rFonts w:ascii="Times New Roman" w:hAnsi="Times New Roman" w:cs="Times New Roman"/>
          <w:sz w:val="24"/>
          <w:szCs w:val="24"/>
        </w:rPr>
      </w:pPr>
    </w:p>
    <w:p w:rsidR="002B2B7C" w:rsidRPr="009878E6" w:rsidP="009878E6" w14:paraId="0832BD59" w14:textId="4ECFB48C">
      <w:pPr>
        <w:contextualSpacing/>
        <w:rPr>
          <w:rFonts w:ascii="Times New Roman" w:hAnsi="Times New Roman" w:cs="Times New Roman"/>
          <w:sz w:val="24"/>
          <w:szCs w:val="24"/>
        </w:rPr>
      </w:pPr>
      <w:r w:rsidRPr="009878E6">
        <w:rPr>
          <w:rFonts w:ascii="Times New Roman" w:hAnsi="Times New Roman" w:cs="Times New Roman"/>
          <w:sz w:val="24"/>
          <w:szCs w:val="24"/>
        </w:rPr>
        <w:t>No payment</w:t>
      </w:r>
      <w:r w:rsidRPr="009878E6" w:rsidR="00530209">
        <w:rPr>
          <w:rFonts w:ascii="Times New Roman" w:hAnsi="Times New Roman" w:cs="Times New Roman"/>
          <w:sz w:val="24"/>
          <w:szCs w:val="24"/>
        </w:rPr>
        <w:t>s or gifts</w:t>
      </w:r>
      <w:r w:rsidRPr="009878E6">
        <w:rPr>
          <w:rFonts w:ascii="Times New Roman" w:hAnsi="Times New Roman" w:cs="Times New Roman"/>
          <w:sz w:val="24"/>
          <w:szCs w:val="24"/>
        </w:rPr>
        <w:t xml:space="preserve"> will be offered or made to Assessment participants or work group members.</w:t>
      </w:r>
    </w:p>
    <w:p w:rsidR="00E6464B" w:rsidRPr="009878E6" w:rsidP="009878E6" w14:paraId="114E4165" w14:textId="77777777">
      <w:pPr>
        <w:contextualSpacing/>
        <w:rPr>
          <w:rFonts w:ascii="Times New Roman" w:hAnsi="Times New Roman" w:cs="Times New Roman"/>
          <w:sz w:val="24"/>
          <w:szCs w:val="24"/>
        </w:rPr>
      </w:pPr>
    </w:p>
    <w:p w:rsidR="00562915" w:rsidRPr="009878E6" w:rsidP="009878E6" w14:paraId="1D96A59F" w14:textId="61A71F95">
      <w:pPr>
        <w:tabs>
          <w:tab w:val="left" w:pos="360"/>
        </w:tabs>
        <w:contextualSpacing/>
        <w:rPr>
          <w:rFonts w:ascii="Times New Roman" w:hAnsi="Times New Roman" w:cs="Times New Roman"/>
          <w:b/>
          <w:bCs/>
          <w:sz w:val="24"/>
          <w:szCs w:val="24"/>
        </w:rPr>
      </w:pPr>
      <w:r w:rsidRPr="009878E6">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E6464B" w:rsidRPr="009878E6" w:rsidP="009878E6" w14:paraId="63739049" w14:textId="77777777">
      <w:pPr>
        <w:tabs>
          <w:tab w:val="left" w:pos="360"/>
        </w:tabs>
        <w:contextualSpacing/>
        <w:rPr>
          <w:rFonts w:ascii="Times New Roman" w:hAnsi="Times New Roman" w:cs="Times New Roman"/>
          <w:sz w:val="24"/>
          <w:szCs w:val="24"/>
        </w:rPr>
      </w:pPr>
    </w:p>
    <w:p w:rsidR="00E025F2" w:rsidP="009878E6" w14:paraId="427BB79D" w14:textId="0963D742">
      <w:pPr>
        <w:tabs>
          <w:tab w:val="left" w:pos="360"/>
        </w:tabs>
        <w:contextualSpacing/>
        <w:rPr>
          <w:rFonts w:ascii="Times New Roman" w:hAnsi="Times New Roman" w:cs="Times New Roman"/>
          <w:color w:val="000000" w:themeColor="text1"/>
          <w:sz w:val="24"/>
          <w:szCs w:val="24"/>
        </w:rPr>
      </w:pPr>
      <w:r w:rsidRPr="009878E6">
        <w:rPr>
          <w:rFonts w:ascii="Times New Roman" w:hAnsi="Times New Roman" w:cs="Times New Roman"/>
          <w:sz w:val="24"/>
          <w:szCs w:val="24"/>
        </w:rPr>
        <w:t xml:space="preserve">A </w:t>
      </w:r>
      <w:r w:rsidR="00E015FF">
        <w:rPr>
          <w:rFonts w:ascii="Times New Roman" w:hAnsi="Times New Roman" w:cs="Times New Roman"/>
          <w:sz w:val="24"/>
          <w:szCs w:val="24"/>
        </w:rPr>
        <w:t xml:space="preserve">Forms </w:t>
      </w:r>
      <w:r w:rsidRPr="009878E6">
        <w:rPr>
          <w:rFonts w:ascii="Times New Roman" w:hAnsi="Times New Roman" w:cs="Times New Roman"/>
          <w:sz w:val="24"/>
          <w:szCs w:val="24"/>
        </w:rPr>
        <w:t xml:space="preserve">Privacy Threshold Analysis (PTA) was </w:t>
      </w:r>
      <w:r w:rsidR="000F23F9">
        <w:rPr>
          <w:rFonts w:ascii="Times New Roman" w:hAnsi="Times New Roman" w:cs="Times New Roman"/>
          <w:sz w:val="24"/>
          <w:szCs w:val="24"/>
        </w:rPr>
        <w:t>approved by</w:t>
      </w:r>
      <w:r w:rsidRPr="009878E6" w:rsidR="000F23F9">
        <w:rPr>
          <w:rFonts w:ascii="Times New Roman" w:hAnsi="Times New Roman" w:cs="Times New Roman"/>
          <w:sz w:val="24"/>
          <w:szCs w:val="24"/>
        </w:rPr>
        <w:t xml:space="preserve"> </w:t>
      </w:r>
      <w:r w:rsidR="000F23F9">
        <w:rPr>
          <w:rFonts w:ascii="Times New Roman" w:hAnsi="Times New Roman" w:cs="Times New Roman"/>
          <w:sz w:val="24"/>
          <w:szCs w:val="24"/>
        </w:rPr>
        <w:t xml:space="preserve">DHS </w:t>
      </w:r>
      <w:r w:rsidRPr="009878E6">
        <w:rPr>
          <w:rFonts w:ascii="Times New Roman" w:hAnsi="Times New Roman" w:cs="Times New Roman"/>
          <w:sz w:val="24"/>
          <w:szCs w:val="24"/>
        </w:rPr>
        <w:t xml:space="preserve">on </w:t>
      </w:r>
      <w:r w:rsidR="000F23F9">
        <w:rPr>
          <w:rFonts w:ascii="Times New Roman" w:hAnsi="Times New Roman" w:cs="Times New Roman"/>
          <w:sz w:val="24"/>
          <w:szCs w:val="24"/>
        </w:rPr>
        <w:t>June 29</w:t>
      </w:r>
      <w:r w:rsidRPr="009878E6" w:rsidR="310924E8">
        <w:rPr>
          <w:rFonts w:ascii="Times New Roman" w:hAnsi="Times New Roman" w:cs="Times New Roman"/>
          <w:sz w:val="24"/>
          <w:szCs w:val="24"/>
        </w:rPr>
        <w:t xml:space="preserve">, </w:t>
      </w:r>
      <w:r w:rsidRPr="009878E6" w:rsidR="00536A8F">
        <w:rPr>
          <w:rFonts w:ascii="Times New Roman" w:hAnsi="Times New Roman" w:cs="Times New Roman"/>
          <w:sz w:val="24"/>
          <w:szCs w:val="24"/>
        </w:rPr>
        <w:t>202</w:t>
      </w:r>
      <w:r w:rsidR="000F23F9">
        <w:rPr>
          <w:rFonts w:ascii="Times New Roman" w:hAnsi="Times New Roman" w:cs="Times New Roman"/>
          <w:sz w:val="24"/>
          <w:szCs w:val="24"/>
        </w:rPr>
        <w:t>3.</w:t>
      </w:r>
      <w:r w:rsidRPr="009878E6" w:rsidR="00302E63">
        <w:rPr>
          <w:rFonts w:ascii="Times New Roman" w:hAnsi="Times New Roman" w:cs="Times New Roman"/>
          <w:sz w:val="24"/>
          <w:szCs w:val="24"/>
        </w:rPr>
        <w:t xml:space="preserve"> </w:t>
      </w:r>
      <w:r w:rsidRPr="009878E6" w:rsidR="310924E8">
        <w:rPr>
          <w:rFonts w:ascii="Times New Roman" w:hAnsi="Times New Roman" w:cs="Times New Roman"/>
          <w:sz w:val="24"/>
          <w:szCs w:val="24"/>
        </w:rPr>
        <w:t xml:space="preserve"> </w:t>
      </w:r>
    </w:p>
    <w:p w:rsidR="000F23F9" w:rsidP="009878E6" w14:paraId="2025B397" w14:textId="3F0D02DE">
      <w:pPr>
        <w:tabs>
          <w:tab w:val="left" w:pos="360"/>
        </w:tabs>
        <w:contextualSpacing/>
        <w:rPr>
          <w:rFonts w:ascii="Times New Roman" w:hAnsi="Times New Roman" w:cs="Times New Roman"/>
          <w:color w:val="000000" w:themeColor="text1"/>
          <w:sz w:val="24"/>
          <w:szCs w:val="24"/>
        </w:rPr>
      </w:pPr>
    </w:p>
    <w:p w:rsidR="000F23F9" w:rsidRPr="009878E6" w:rsidP="009878E6" w14:paraId="7133CED2" w14:textId="6158604E">
      <w:pPr>
        <w:tabs>
          <w:tab w:val="left" w:pos="360"/>
        </w:tabs>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Privacy Impact Assessment (PIA) coverage is provided by DHS/FEMA-PIA-045 – FEMA Hazard Mitigation Planning and Flood Mapping Products and Services Support Systems.</w:t>
      </w:r>
    </w:p>
    <w:p w:rsidR="00E6464B" w:rsidRPr="009878E6" w:rsidP="009878E6" w14:paraId="55E03DE4" w14:textId="77777777">
      <w:pPr>
        <w:tabs>
          <w:tab w:val="left" w:pos="360"/>
        </w:tabs>
        <w:contextualSpacing/>
        <w:rPr>
          <w:rFonts w:ascii="Times New Roman" w:hAnsi="Times New Roman" w:cs="Times New Roman"/>
          <w:sz w:val="24"/>
          <w:szCs w:val="24"/>
        </w:rPr>
      </w:pPr>
    </w:p>
    <w:p w:rsidR="00E015FF" w:rsidP="009878E6" w14:paraId="430B15BF" w14:textId="77777777">
      <w:pPr>
        <w:tabs>
          <w:tab w:val="left" w:pos="360"/>
        </w:tabs>
        <w:contextualSpacing/>
        <w:rPr>
          <w:rFonts w:ascii="Times New Roman" w:hAnsi="Times New Roman" w:cs="Times New Roman"/>
          <w:sz w:val="24"/>
          <w:szCs w:val="24"/>
        </w:rPr>
      </w:pPr>
      <w:r w:rsidRPr="009878E6">
        <w:rPr>
          <w:rFonts w:ascii="Times New Roman" w:hAnsi="Times New Roman" w:cs="Times New Roman"/>
          <w:sz w:val="24"/>
          <w:szCs w:val="24"/>
        </w:rPr>
        <w:t xml:space="preserve">Individuals and organizations contacted in the course of conducting this information collection will be assured of the confidentiality of their 5 U.S.C. </w:t>
      </w:r>
      <w:r w:rsidRPr="009878E6" w:rsidR="005237DB">
        <w:rPr>
          <w:rFonts w:ascii="Times New Roman" w:hAnsi="Times New Roman" w:cs="Times New Roman"/>
          <w:sz w:val="24"/>
          <w:szCs w:val="24"/>
        </w:rPr>
        <w:t xml:space="preserve">§ </w:t>
      </w:r>
      <w:r w:rsidRPr="009878E6">
        <w:rPr>
          <w:rFonts w:ascii="Times New Roman" w:hAnsi="Times New Roman" w:cs="Times New Roman"/>
          <w:sz w:val="24"/>
          <w:szCs w:val="24"/>
        </w:rPr>
        <w:t>552a (Privacy Act of 1974) and OMB Circular No. A-130. Survey respondents will be advised on the survey form that participation is voluntary. No personally identifiable information (PII) will be collected.</w:t>
      </w:r>
      <w:r w:rsidRPr="009878E6" w:rsidR="45996DD1">
        <w:rPr>
          <w:rFonts w:ascii="Times New Roman" w:hAnsi="Times New Roman" w:cs="Times New Roman"/>
          <w:sz w:val="24"/>
          <w:szCs w:val="24"/>
        </w:rPr>
        <w:t xml:space="preserve"> </w:t>
      </w:r>
    </w:p>
    <w:p w:rsidR="00E015FF" w:rsidP="009878E6" w14:paraId="2906FFDD" w14:textId="77777777">
      <w:pPr>
        <w:tabs>
          <w:tab w:val="left" w:pos="360"/>
        </w:tabs>
        <w:contextualSpacing/>
        <w:rPr>
          <w:rFonts w:ascii="Times New Roman" w:hAnsi="Times New Roman" w:cs="Times New Roman"/>
          <w:sz w:val="24"/>
          <w:szCs w:val="24"/>
        </w:rPr>
      </w:pPr>
    </w:p>
    <w:p w:rsidR="00781A82" w:rsidRPr="009878E6" w:rsidP="009878E6" w14:paraId="4C3DD525" w14:textId="7A33E1E4">
      <w:pPr>
        <w:tabs>
          <w:tab w:val="left" w:pos="360"/>
        </w:tabs>
        <w:contextualSpacing/>
        <w:rPr>
          <w:rFonts w:ascii="Times New Roman" w:hAnsi="Times New Roman" w:cs="Times New Roman"/>
          <w:sz w:val="24"/>
          <w:szCs w:val="24"/>
        </w:rPr>
      </w:pPr>
      <w:r>
        <w:rPr>
          <w:rFonts w:ascii="Times New Roman" w:hAnsi="Times New Roman" w:cs="Times New Roman"/>
          <w:sz w:val="24"/>
          <w:szCs w:val="24"/>
        </w:rPr>
        <w:t xml:space="preserve">Data is not being retrieved by a unique identifier, so </w:t>
      </w:r>
      <w:r w:rsidRPr="009878E6" w:rsidR="45996DD1">
        <w:rPr>
          <w:rFonts w:ascii="Times New Roman" w:hAnsi="Times New Roman" w:cs="Times New Roman"/>
          <w:sz w:val="24"/>
          <w:szCs w:val="24"/>
        </w:rPr>
        <w:t>SORN coverage is not necessary.</w:t>
      </w:r>
    </w:p>
    <w:p w:rsidR="00E6464B" w:rsidRPr="009878E6" w:rsidP="009878E6" w14:paraId="71A6F967" w14:textId="77777777">
      <w:pPr>
        <w:tabs>
          <w:tab w:val="left" w:pos="360"/>
        </w:tabs>
        <w:contextualSpacing/>
        <w:rPr>
          <w:rFonts w:ascii="Times New Roman" w:hAnsi="Times New Roman" w:cs="Times New Roman"/>
          <w:sz w:val="24"/>
          <w:szCs w:val="24"/>
        </w:rPr>
      </w:pPr>
    </w:p>
    <w:p w:rsidR="00781A82" w:rsidRPr="009878E6" w:rsidP="009878E6" w14:paraId="1AF8D9AA" w14:textId="05821EFF">
      <w:pPr>
        <w:tabs>
          <w:tab w:val="left" w:pos="360"/>
        </w:tabs>
        <w:contextualSpacing/>
        <w:rPr>
          <w:rFonts w:ascii="Times New Roman" w:hAnsi="Times New Roman" w:cs="Times New Roman"/>
          <w:sz w:val="24"/>
          <w:szCs w:val="24"/>
        </w:rPr>
      </w:pPr>
      <w:r w:rsidRPr="009878E6">
        <w:rPr>
          <w:rFonts w:ascii="Times New Roman" w:hAnsi="Times New Roman" w:cs="Times New Roman"/>
          <w:sz w:val="24"/>
          <w:szCs w:val="24"/>
        </w:rPr>
        <w:t xml:space="preserve">Once data is collected from an individual or an organization, any information needed to contact </w:t>
      </w:r>
      <w:r w:rsidRPr="009878E6" w:rsidR="00AE529C">
        <w:rPr>
          <w:rFonts w:ascii="Times New Roman" w:hAnsi="Times New Roman" w:cs="Times New Roman"/>
          <w:sz w:val="24"/>
          <w:szCs w:val="24"/>
        </w:rPr>
        <w:t xml:space="preserve">respondents </w:t>
      </w:r>
      <w:r w:rsidRPr="009878E6">
        <w:rPr>
          <w:rFonts w:ascii="Times New Roman" w:hAnsi="Times New Roman" w:cs="Times New Roman"/>
          <w:sz w:val="24"/>
          <w:szCs w:val="24"/>
        </w:rPr>
        <w:t>is severed from the respondent record</w:t>
      </w:r>
      <w:r w:rsidRPr="009878E6" w:rsidR="00AE529C">
        <w:rPr>
          <w:rFonts w:ascii="Times New Roman" w:hAnsi="Times New Roman" w:cs="Times New Roman"/>
          <w:sz w:val="24"/>
          <w:szCs w:val="24"/>
        </w:rPr>
        <w:t xml:space="preserve"> and submitted data is identified through a unique ID number generated by the QuestionPro application.</w:t>
      </w:r>
      <w:r w:rsidRPr="009878E6">
        <w:rPr>
          <w:rFonts w:ascii="Times New Roman" w:hAnsi="Times New Roman" w:cs="Times New Roman"/>
          <w:sz w:val="24"/>
          <w:szCs w:val="24"/>
        </w:rPr>
        <w:t xml:space="preserve"> No system of records is created.  </w:t>
      </w:r>
    </w:p>
    <w:p w:rsidR="00E6464B" w:rsidRPr="009878E6" w:rsidP="009878E6" w14:paraId="76DD4808" w14:textId="77777777">
      <w:pPr>
        <w:tabs>
          <w:tab w:val="left" w:pos="360"/>
        </w:tabs>
        <w:contextualSpacing/>
        <w:rPr>
          <w:rFonts w:ascii="Times New Roman" w:hAnsi="Times New Roman" w:cs="Times New Roman"/>
          <w:sz w:val="24"/>
          <w:szCs w:val="24"/>
        </w:rPr>
      </w:pPr>
    </w:p>
    <w:p w:rsidR="00562915" w:rsidRPr="009878E6" w:rsidP="009878E6" w14:paraId="75F64DF4" w14:textId="77777777">
      <w:pPr>
        <w:tabs>
          <w:tab w:val="left" w:pos="360"/>
        </w:tabs>
        <w:contextualSpacing/>
        <w:rPr>
          <w:rFonts w:ascii="Times New Roman" w:hAnsi="Times New Roman" w:cs="Times New Roman"/>
          <w:b/>
          <w:bCs/>
          <w:sz w:val="24"/>
          <w:szCs w:val="24"/>
        </w:rPr>
      </w:pPr>
      <w:r w:rsidRPr="009878E6">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6464B" w:rsidRPr="009878E6" w:rsidP="009878E6" w14:paraId="74DC310D" w14:textId="77777777">
      <w:pPr>
        <w:contextualSpacing/>
        <w:rPr>
          <w:rFonts w:ascii="Times New Roman" w:hAnsi="Times New Roman" w:cs="Times New Roman"/>
          <w:sz w:val="24"/>
          <w:szCs w:val="24"/>
        </w:rPr>
      </w:pPr>
    </w:p>
    <w:p w:rsidR="00781A82" w:rsidRPr="009878E6" w:rsidP="009878E6" w14:paraId="5B5A7E30" w14:textId="27D9A37C">
      <w:pPr>
        <w:contextualSpacing/>
        <w:rPr>
          <w:rFonts w:ascii="Times New Roman" w:hAnsi="Times New Roman" w:cs="Times New Roman"/>
          <w:sz w:val="24"/>
          <w:szCs w:val="24"/>
        </w:rPr>
      </w:pPr>
      <w:r w:rsidRPr="009878E6">
        <w:rPr>
          <w:rFonts w:ascii="Times New Roman" w:hAnsi="Times New Roman" w:cs="Times New Roman"/>
          <w:sz w:val="24"/>
          <w:szCs w:val="24"/>
        </w:rPr>
        <w:t>The information collection will not ask questions or collect data of a sensitive nature, such as sexual behavior and attitudes, religious beliefs, and other matters that are commonly considered private. However, on occasion, some respondents may consider some demographic questions as sensitive in nature (e.g., questions that request the respondent’s age range, gender, education, or income range). Demographic questions are useful in segmenting the responses of different user groups and helpful in evaluating the results; therefore, respondents will be encouraged to answer these questions but assured that their participation is completely voluntary.</w:t>
      </w:r>
      <w:r w:rsidRPr="009878E6" w:rsidR="00562915">
        <w:rPr>
          <w:rFonts w:ascii="Times New Roman" w:hAnsi="Times New Roman" w:cs="Times New Roman"/>
          <w:sz w:val="24"/>
          <w:szCs w:val="24"/>
        </w:rPr>
        <w:fldChar w:fldCharType="begin"/>
      </w:r>
      <w:r w:rsidRPr="009878E6" w:rsidR="00562915">
        <w:rPr>
          <w:rFonts w:ascii="Times New Roman" w:hAnsi="Times New Roman" w:cs="Times New Roman"/>
          <w:sz w:val="24"/>
          <w:szCs w:val="24"/>
        </w:rPr>
        <w:instrText>ADVANCE \R 0.95</w:instrText>
      </w:r>
      <w:r w:rsidRPr="009878E6" w:rsidR="00562915">
        <w:rPr>
          <w:rFonts w:ascii="Times New Roman" w:hAnsi="Times New Roman" w:cs="Times New Roman"/>
          <w:sz w:val="24"/>
          <w:szCs w:val="24"/>
        </w:rPr>
        <w:fldChar w:fldCharType="end"/>
      </w:r>
      <w:r w:rsidRPr="009878E6" w:rsidR="00562915">
        <w:rPr>
          <w:rFonts w:ascii="Times New Roman" w:hAnsi="Times New Roman" w:cs="Times New Roman"/>
          <w:sz w:val="24"/>
          <w:szCs w:val="24"/>
        </w:rPr>
        <w:fldChar w:fldCharType="begin"/>
      </w:r>
      <w:r w:rsidRPr="009878E6" w:rsidR="00562915">
        <w:rPr>
          <w:rFonts w:ascii="Times New Roman" w:hAnsi="Times New Roman" w:cs="Times New Roman"/>
          <w:sz w:val="24"/>
          <w:szCs w:val="24"/>
        </w:rPr>
        <w:instrText>ADVANCE \R 0.95</w:instrText>
      </w:r>
      <w:r w:rsidRPr="009878E6" w:rsidR="00562915">
        <w:rPr>
          <w:rFonts w:ascii="Times New Roman" w:hAnsi="Times New Roman" w:cs="Times New Roman"/>
          <w:sz w:val="24"/>
          <w:szCs w:val="24"/>
        </w:rPr>
        <w:fldChar w:fldCharType="end"/>
      </w:r>
      <w:r w:rsidRPr="009878E6" w:rsidR="00562915">
        <w:rPr>
          <w:rFonts w:ascii="Times New Roman" w:hAnsi="Times New Roman" w:cs="Times New Roman"/>
          <w:sz w:val="24"/>
          <w:szCs w:val="24"/>
        </w:rPr>
        <w:t xml:space="preserve"> </w:t>
      </w:r>
      <w:r w:rsidRPr="009878E6" w:rsidR="00AD1036">
        <w:rPr>
          <w:rFonts w:ascii="Times New Roman" w:hAnsi="Times New Roman" w:cs="Times New Roman"/>
          <w:sz w:val="24"/>
          <w:szCs w:val="24"/>
        </w:rPr>
        <w:t>For this information collection, the demographic questions are necessary to: a) document the diversity of the specific population (</w:t>
      </w:r>
      <w:r w:rsidRPr="009878E6" w:rsidR="005237DB">
        <w:rPr>
          <w:rFonts w:ascii="Times New Roman" w:hAnsi="Times New Roman" w:cs="Times New Roman"/>
          <w:sz w:val="24"/>
          <w:szCs w:val="24"/>
        </w:rPr>
        <w:t>FPAs</w:t>
      </w:r>
      <w:r w:rsidRPr="009878E6" w:rsidR="00AD1036">
        <w:rPr>
          <w:rFonts w:ascii="Times New Roman" w:hAnsi="Times New Roman" w:cs="Times New Roman"/>
          <w:sz w:val="24"/>
          <w:szCs w:val="24"/>
        </w:rPr>
        <w:t>) where no information about their diversity</w:t>
      </w:r>
      <w:r w:rsidRPr="009878E6" w:rsidR="00723719">
        <w:rPr>
          <w:rFonts w:ascii="Times New Roman" w:hAnsi="Times New Roman" w:cs="Times New Roman"/>
          <w:sz w:val="24"/>
          <w:szCs w:val="24"/>
        </w:rPr>
        <w:t>, socio-economic backgrounds, needs, learning styles, locations has been collected previously by FEMA or in already approved information collections; and b) conduct the analyses necessary to answer the hypotheses that FEMA is testing that will be used for evidence-based decision-making and program planning.</w:t>
      </w:r>
    </w:p>
    <w:p w:rsidR="00E6464B" w:rsidRPr="009878E6" w:rsidP="009878E6" w14:paraId="061B6A20" w14:textId="77777777">
      <w:pPr>
        <w:contextualSpacing/>
        <w:rPr>
          <w:rFonts w:ascii="Times New Roman" w:hAnsi="Times New Roman" w:cs="Times New Roman"/>
          <w:sz w:val="24"/>
          <w:szCs w:val="24"/>
        </w:rPr>
      </w:pPr>
    </w:p>
    <w:p w:rsidR="00562915" w:rsidRPr="009878E6" w:rsidP="009878E6" w14:paraId="3E93832F" w14:textId="58414755">
      <w:pPr>
        <w:contextualSpacing/>
        <w:rPr>
          <w:rFonts w:ascii="Times New Roman" w:hAnsi="Times New Roman" w:cs="Times New Roman"/>
          <w:b/>
          <w:bCs/>
          <w:color w:val="000000" w:themeColor="text1"/>
          <w:sz w:val="24"/>
          <w:szCs w:val="24"/>
        </w:rPr>
      </w:pPr>
      <w:r w:rsidRPr="009878E6">
        <w:rPr>
          <w:rFonts w:ascii="Times New Roman" w:hAnsi="Times New Roman" w:cs="Times New Roman"/>
          <w:b/>
          <w:bCs/>
          <w:color w:val="000000" w:themeColor="text1"/>
          <w:sz w:val="24"/>
          <w:szCs w:val="24"/>
        </w:rPr>
        <w:t>12.  Provide estimates of the hour burden of the collection of information.  The statement should:</w:t>
      </w:r>
      <w:r w:rsidRPr="009878E6">
        <w:rPr>
          <w:rFonts w:ascii="Times New Roman" w:hAnsi="Times New Roman" w:cs="Times New Roman"/>
          <w:b/>
          <w:bCs/>
          <w:color w:val="000000" w:themeColor="text1"/>
          <w:sz w:val="24"/>
          <w:szCs w:val="24"/>
        </w:rPr>
        <w:fldChar w:fldCharType="begin"/>
      </w:r>
      <w:r w:rsidRPr="009878E6">
        <w:rPr>
          <w:rFonts w:ascii="Times New Roman" w:hAnsi="Times New Roman" w:cs="Times New Roman"/>
          <w:b/>
          <w:bCs/>
          <w:color w:val="000000" w:themeColor="text1"/>
          <w:sz w:val="24"/>
          <w:szCs w:val="24"/>
        </w:rPr>
        <w:instrText>ADVANCE \R 0.95</w:instrText>
      </w:r>
      <w:r w:rsidRPr="009878E6">
        <w:rPr>
          <w:rFonts w:ascii="Times New Roman" w:hAnsi="Times New Roman" w:cs="Times New Roman"/>
          <w:b/>
          <w:bCs/>
          <w:color w:val="000000" w:themeColor="text1"/>
          <w:sz w:val="24"/>
          <w:szCs w:val="24"/>
        </w:rPr>
        <w:fldChar w:fldCharType="end"/>
      </w:r>
      <w:r w:rsidRPr="009878E6">
        <w:rPr>
          <w:rFonts w:ascii="Times New Roman" w:hAnsi="Times New Roman" w:cs="Times New Roman"/>
          <w:b/>
          <w:bCs/>
          <w:color w:val="000000" w:themeColor="text1"/>
          <w:sz w:val="24"/>
          <w:szCs w:val="24"/>
        </w:rPr>
        <w:t xml:space="preserve">                                             </w:t>
      </w:r>
    </w:p>
    <w:p w:rsidR="00E6464B" w:rsidRPr="009878E6" w:rsidP="009878E6" w14:paraId="25FA4C0B" w14:textId="77777777">
      <w:pPr>
        <w:contextualSpacing/>
        <w:rPr>
          <w:rFonts w:ascii="Times New Roman" w:hAnsi="Times New Roman" w:cs="Times New Roman"/>
          <w:b/>
          <w:bCs/>
          <w:color w:val="000000" w:themeColor="text1"/>
          <w:sz w:val="24"/>
          <w:szCs w:val="24"/>
        </w:rPr>
      </w:pPr>
      <w:r w:rsidRPr="009878E6">
        <w:rPr>
          <w:rFonts w:ascii="Times New Roman" w:hAnsi="Times New Roman" w:cs="Times New Roman"/>
          <w:b/>
          <w:bCs/>
          <w:color w:val="000000" w:themeColor="text1"/>
          <w:sz w:val="24"/>
          <w:szCs w:val="24"/>
        </w:rPr>
        <w:fldChar w:fldCharType="begin"/>
      </w:r>
      <w:r w:rsidRPr="009878E6">
        <w:rPr>
          <w:rFonts w:ascii="Times New Roman" w:hAnsi="Times New Roman" w:cs="Times New Roman"/>
          <w:b/>
          <w:bCs/>
          <w:color w:val="000000" w:themeColor="text1"/>
          <w:sz w:val="24"/>
          <w:szCs w:val="24"/>
        </w:rPr>
        <w:instrText>ADVANCE \R 0.95</w:instrText>
      </w:r>
      <w:r w:rsidRPr="009878E6">
        <w:rPr>
          <w:rFonts w:ascii="Times New Roman" w:hAnsi="Times New Roman" w:cs="Times New Roman"/>
          <w:b/>
          <w:bCs/>
          <w:color w:val="000000" w:themeColor="text1"/>
          <w:sz w:val="24"/>
          <w:szCs w:val="24"/>
        </w:rPr>
        <w:fldChar w:fldCharType="end"/>
      </w:r>
    </w:p>
    <w:p w:rsidR="00562915" w:rsidRPr="009878E6" w:rsidP="009878E6" w14:paraId="3C1C7326" w14:textId="64C2F33D">
      <w:pPr>
        <w:contextualSpacing/>
        <w:rPr>
          <w:rFonts w:ascii="Times New Roman" w:hAnsi="Times New Roman" w:cs="Times New Roman"/>
          <w:b/>
          <w:bCs/>
          <w:sz w:val="24"/>
          <w:szCs w:val="24"/>
        </w:rPr>
      </w:pPr>
      <w:r w:rsidRPr="009878E6">
        <w:rPr>
          <w:rFonts w:ascii="Times New Roman" w:hAnsi="Times New Roman" w:cs="Times New Roman"/>
          <w:b/>
          <w:bCs/>
          <w:color w:val="000000" w:themeColor="text1"/>
          <w:sz w:val="24"/>
          <w:szCs w:val="24"/>
        </w:rPr>
        <w:tab/>
        <w:t>a.  Indicate the number of respondents, frequency of response, annual hour burden, and an explanation of how the burden was estimated</w:t>
      </w:r>
      <w:r w:rsidRPr="009878E6">
        <w:rPr>
          <w:rFonts w:ascii="Times New Roman" w:hAnsi="Times New Roman" w:cs="Times New Roman"/>
          <w:b/>
          <w:bCs/>
          <w:sz w:val="24"/>
          <w:szCs w:val="24"/>
        </w:rPr>
        <w:t xml:space="preserve"> for each collection </w:t>
      </w:r>
      <w:r w:rsidRPr="009878E6">
        <w:rPr>
          <w:rFonts w:ascii="Times New Roman" w:hAnsi="Times New Roman" w:cs="Times New Roman"/>
          <w:b/>
          <w:bCs/>
          <w:sz w:val="24"/>
          <w:szCs w:val="24"/>
        </w:rPr>
        <w:t>instrument (separately list each instrument and describe information as requested).  Unless</w:t>
      </w:r>
      <w:r w:rsidRPr="009878E6">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9878E6">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237DB" w:rsidRPr="009878E6" w:rsidP="009878E6" w14:paraId="2D0E7654" w14:textId="77777777">
      <w:pPr>
        <w:contextualSpacing/>
        <w:rPr>
          <w:rFonts w:ascii="Times New Roman" w:hAnsi="Times New Roman" w:cs="Times New Roman"/>
          <w:sz w:val="24"/>
          <w:szCs w:val="24"/>
        </w:rPr>
      </w:pPr>
      <w:r w:rsidRPr="009878E6">
        <w:rPr>
          <w:rFonts w:ascii="Times New Roman" w:hAnsi="Times New Roman" w:cs="Times New Roman"/>
          <w:sz w:val="24"/>
          <w:szCs w:val="24"/>
        </w:rPr>
        <w:fldChar w:fldCharType="begin"/>
      </w:r>
      <w:r w:rsidRPr="009878E6">
        <w:rPr>
          <w:rFonts w:ascii="Times New Roman" w:hAnsi="Times New Roman" w:cs="Times New Roman"/>
          <w:sz w:val="24"/>
          <w:szCs w:val="24"/>
        </w:rPr>
        <w:instrText>ADVANCE \R 0.95</w:instrText>
      </w:r>
      <w:r w:rsidRPr="009878E6">
        <w:rPr>
          <w:rFonts w:ascii="Times New Roman" w:hAnsi="Times New Roman" w:cs="Times New Roman"/>
          <w:sz w:val="24"/>
          <w:szCs w:val="24"/>
        </w:rPr>
        <w:fldChar w:fldCharType="end"/>
      </w:r>
    </w:p>
    <w:p w:rsidR="003B68DD" w:rsidRPr="009878E6" w:rsidP="009878E6" w14:paraId="7E99210B" w14:textId="78F48B67">
      <w:pPr>
        <w:contextualSpacing/>
        <w:rPr>
          <w:rFonts w:ascii="Times New Roman" w:hAnsi="Times New Roman" w:cs="Times New Roman"/>
          <w:color w:val="000000" w:themeColor="text1"/>
          <w:sz w:val="24"/>
          <w:szCs w:val="24"/>
        </w:rPr>
      </w:pPr>
      <w:r w:rsidRPr="009878E6">
        <w:rPr>
          <w:rFonts w:ascii="Times New Roman" w:hAnsi="Times New Roman" w:cs="Times New Roman"/>
          <w:b/>
          <w:bCs/>
          <w:sz w:val="24"/>
          <w:szCs w:val="24"/>
        </w:rPr>
        <w:t>FEMA</w:t>
      </w:r>
      <w:r w:rsidR="000B7CAE">
        <w:rPr>
          <w:rFonts w:ascii="Times New Roman" w:hAnsi="Times New Roman" w:cs="Times New Roman"/>
          <w:b/>
          <w:bCs/>
          <w:sz w:val="24"/>
          <w:szCs w:val="24"/>
        </w:rPr>
        <w:t xml:space="preserve"> Form FF</w:t>
      </w:r>
      <w:r w:rsidRPr="000E46EA" w:rsidR="000B7CAE">
        <w:rPr>
          <w:rFonts w:ascii="Times New Roman" w:hAnsi="Times New Roman" w:cs="Times New Roman"/>
          <w:b/>
          <w:bCs/>
          <w:color w:val="000000" w:themeColor="text1"/>
          <w:sz w:val="24"/>
          <w:szCs w:val="24"/>
        </w:rPr>
        <w:t>-</w:t>
      </w:r>
      <w:r w:rsidRPr="000E46EA" w:rsidR="00983BFD">
        <w:rPr>
          <w:rFonts w:ascii="Times New Roman" w:hAnsi="Times New Roman" w:cs="Times New Roman"/>
          <w:b/>
          <w:bCs/>
          <w:color w:val="000000" w:themeColor="text1"/>
          <w:sz w:val="24"/>
          <w:szCs w:val="24"/>
        </w:rPr>
        <w:t>206</w:t>
      </w:r>
      <w:r w:rsidRPr="000E46EA" w:rsidR="000B7CAE">
        <w:rPr>
          <w:rFonts w:ascii="Times New Roman" w:hAnsi="Times New Roman" w:cs="Times New Roman"/>
          <w:b/>
          <w:bCs/>
          <w:color w:val="000000" w:themeColor="text1"/>
          <w:sz w:val="24"/>
          <w:szCs w:val="24"/>
        </w:rPr>
        <w:t>-FY-</w:t>
      </w:r>
      <w:r w:rsidRPr="000E46EA" w:rsidR="00983BFD">
        <w:rPr>
          <w:rFonts w:ascii="Times New Roman" w:hAnsi="Times New Roman" w:cs="Times New Roman"/>
          <w:b/>
          <w:bCs/>
          <w:color w:val="000000" w:themeColor="text1"/>
          <w:sz w:val="24"/>
          <w:szCs w:val="24"/>
        </w:rPr>
        <w:t>22</w:t>
      </w:r>
      <w:r w:rsidRPr="000E46EA" w:rsidR="000B7CAE">
        <w:rPr>
          <w:rFonts w:ascii="Times New Roman" w:hAnsi="Times New Roman" w:cs="Times New Roman"/>
          <w:b/>
          <w:bCs/>
          <w:color w:val="000000" w:themeColor="text1"/>
          <w:sz w:val="24"/>
          <w:szCs w:val="24"/>
        </w:rPr>
        <w:t>-</w:t>
      </w:r>
      <w:r w:rsidRPr="000E46EA" w:rsidR="00983BFD">
        <w:rPr>
          <w:rFonts w:ascii="Times New Roman" w:hAnsi="Times New Roman" w:cs="Times New Roman"/>
          <w:b/>
          <w:bCs/>
          <w:color w:val="000000" w:themeColor="text1"/>
          <w:sz w:val="24"/>
          <w:szCs w:val="24"/>
        </w:rPr>
        <w:t>159</w:t>
      </w:r>
      <w:r w:rsidRPr="009878E6" w:rsidR="005237DB">
        <w:rPr>
          <w:rFonts w:ascii="Times New Roman" w:hAnsi="Times New Roman" w:cs="Times New Roman"/>
          <w:b/>
          <w:bCs/>
          <w:sz w:val="24"/>
          <w:szCs w:val="24"/>
        </w:rPr>
        <w:t xml:space="preserve">, </w:t>
      </w:r>
      <w:r w:rsidRPr="009878E6" w:rsidR="005237DB">
        <w:rPr>
          <w:rFonts w:ascii="Times New Roman" w:hAnsi="Times New Roman" w:cs="Times New Roman"/>
          <w:b/>
          <w:bCs/>
          <w:color w:val="000000" w:themeColor="text1"/>
          <w:sz w:val="24"/>
          <w:szCs w:val="24"/>
        </w:rPr>
        <w:t>Floodplain Administrator Training Needs Assessment:</w:t>
      </w:r>
      <w:r w:rsidRPr="009878E6" w:rsidR="005237DB">
        <w:rPr>
          <w:rFonts w:ascii="Times New Roman" w:hAnsi="Times New Roman" w:cs="Times New Roman"/>
          <w:color w:val="000000" w:themeColor="text1"/>
          <w:sz w:val="24"/>
          <w:szCs w:val="24"/>
        </w:rPr>
        <w:t xml:space="preserve"> </w:t>
      </w:r>
      <w:r w:rsidRPr="009878E6" w:rsidR="00B56C17">
        <w:rPr>
          <w:rFonts w:ascii="Times New Roman" w:hAnsi="Times New Roman" w:cs="Times New Roman"/>
          <w:color w:val="000000" w:themeColor="text1"/>
          <w:sz w:val="24"/>
          <w:szCs w:val="24"/>
        </w:rPr>
        <w:t xml:space="preserve">The total population for the survey is 22,582 FPAs. FEMA estimates achieving a response rate of 28 percent. This estimation is based upon research of online survey response rates. </w:t>
      </w:r>
      <w:r w:rsidRPr="009878E6" w:rsidR="00122F91">
        <w:rPr>
          <w:rFonts w:ascii="Times New Roman" w:hAnsi="Times New Roman" w:cs="Times New Roman"/>
          <w:color w:val="000000" w:themeColor="text1"/>
          <w:sz w:val="24"/>
          <w:szCs w:val="24"/>
        </w:rPr>
        <w:t>Most research shows the average online response rate to fall within a range of 10 to 33 percent</w:t>
      </w:r>
      <w:r w:rsidRPr="009878E6" w:rsidR="001B2124">
        <w:rPr>
          <w:rFonts w:ascii="Times New Roman" w:hAnsi="Times New Roman" w:cs="Times New Roman"/>
          <w:color w:val="000000" w:themeColor="text1"/>
          <w:sz w:val="24"/>
          <w:szCs w:val="24"/>
        </w:rPr>
        <w:t>, with email and online surveys usually between 29 and 30 percent</w:t>
      </w:r>
      <w:r w:rsidRPr="009878E6" w:rsidR="00122F91">
        <w:rPr>
          <w:rFonts w:ascii="Times New Roman" w:hAnsi="Times New Roman" w:cs="Times New Roman"/>
          <w:color w:val="000000" w:themeColor="text1"/>
          <w:sz w:val="24"/>
          <w:szCs w:val="24"/>
        </w:rPr>
        <w:t xml:space="preserve">. </w:t>
      </w:r>
      <w:r w:rsidRPr="009878E6" w:rsidR="0098255B">
        <w:rPr>
          <w:rFonts w:ascii="Times New Roman" w:hAnsi="Times New Roman" w:cs="Times New Roman"/>
          <w:color w:val="000000" w:themeColor="text1"/>
          <w:sz w:val="24"/>
          <w:szCs w:val="24"/>
        </w:rPr>
        <w:t xml:space="preserve">Needs assessments, based on selected research average a 40 percent response rate. </w:t>
      </w:r>
      <w:r w:rsidRPr="009878E6" w:rsidR="00122F91">
        <w:rPr>
          <w:rFonts w:ascii="Times New Roman" w:hAnsi="Times New Roman" w:cs="Times New Roman"/>
          <w:color w:val="000000" w:themeColor="text1"/>
          <w:sz w:val="24"/>
          <w:szCs w:val="24"/>
        </w:rPr>
        <w:t xml:space="preserve">The </w:t>
      </w:r>
      <w:r w:rsidRPr="009878E6" w:rsidR="00E45BAC">
        <w:rPr>
          <w:rFonts w:ascii="Times New Roman" w:hAnsi="Times New Roman" w:cs="Times New Roman"/>
          <w:color w:val="000000" w:themeColor="text1"/>
          <w:sz w:val="24"/>
          <w:szCs w:val="24"/>
        </w:rPr>
        <w:t xml:space="preserve">response </w:t>
      </w:r>
      <w:r w:rsidRPr="009878E6" w:rsidR="00122F91">
        <w:rPr>
          <w:rFonts w:ascii="Times New Roman" w:hAnsi="Times New Roman" w:cs="Times New Roman"/>
          <w:color w:val="000000" w:themeColor="text1"/>
          <w:sz w:val="24"/>
          <w:szCs w:val="24"/>
        </w:rPr>
        <w:t xml:space="preserve">rate is </w:t>
      </w:r>
      <w:r w:rsidRPr="009878E6" w:rsidR="001B2124">
        <w:rPr>
          <w:rFonts w:ascii="Times New Roman" w:hAnsi="Times New Roman" w:cs="Times New Roman"/>
          <w:color w:val="000000" w:themeColor="text1"/>
          <w:sz w:val="24"/>
          <w:szCs w:val="24"/>
        </w:rPr>
        <w:t>affected</w:t>
      </w:r>
      <w:r w:rsidRPr="009878E6" w:rsidR="00122F91">
        <w:rPr>
          <w:rFonts w:ascii="Times New Roman" w:hAnsi="Times New Roman" w:cs="Times New Roman"/>
          <w:color w:val="000000" w:themeColor="text1"/>
          <w:sz w:val="24"/>
          <w:szCs w:val="24"/>
        </w:rPr>
        <w:t xml:space="preserve"> by a number of variables, including focus of survey</w:t>
      </w:r>
      <w:r w:rsidRPr="009878E6" w:rsidR="001B2124">
        <w:rPr>
          <w:rFonts w:ascii="Times New Roman" w:hAnsi="Times New Roman" w:cs="Times New Roman"/>
          <w:color w:val="000000" w:themeColor="text1"/>
          <w:sz w:val="24"/>
          <w:szCs w:val="24"/>
        </w:rPr>
        <w:t>,</w:t>
      </w:r>
      <w:r w:rsidRPr="009878E6" w:rsidR="00122F91">
        <w:rPr>
          <w:rFonts w:ascii="Times New Roman" w:hAnsi="Times New Roman" w:cs="Times New Roman"/>
          <w:color w:val="000000" w:themeColor="text1"/>
          <w:sz w:val="24"/>
          <w:szCs w:val="24"/>
        </w:rPr>
        <w:t xml:space="preserve"> survey length</w:t>
      </w:r>
      <w:r w:rsidRPr="009878E6" w:rsidR="001B2124">
        <w:rPr>
          <w:rFonts w:ascii="Times New Roman" w:hAnsi="Times New Roman" w:cs="Times New Roman"/>
          <w:color w:val="000000" w:themeColor="text1"/>
          <w:sz w:val="24"/>
          <w:szCs w:val="24"/>
        </w:rPr>
        <w:t>, invitation, number of interactions, respondent familiarity, and respondent demographics</w:t>
      </w:r>
      <w:r w:rsidRPr="009878E6" w:rsidR="00122F91">
        <w:rPr>
          <w:rFonts w:ascii="Times New Roman" w:hAnsi="Times New Roman" w:cs="Times New Roman"/>
          <w:color w:val="000000" w:themeColor="text1"/>
          <w:sz w:val="24"/>
          <w:szCs w:val="24"/>
        </w:rPr>
        <w:t xml:space="preserve">. </w:t>
      </w:r>
      <w:r w:rsidRPr="009878E6" w:rsidR="001B2124">
        <w:rPr>
          <w:rFonts w:ascii="Times New Roman" w:hAnsi="Times New Roman" w:cs="Times New Roman"/>
          <w:color w:val="000000" w:themeColor="text1"/>
          <w:sz w:val="24"/>
          <w:szCs w:val="24"/>
        </w:rPr>
        <w:t>FEMA is anticipating a 28 percent response rate</w:t>
      </w:r>
      <w:r w:rsidRPr="009878E6" w:rsidR="00E45BAC">
        <w:rPr>
          <w:rFonts w:ascii="Times New Roman" w:hAnsi="Times New Roman" w:cs="Times New Roman"/>
          <w:color w:val="000000" w:themeColor="text1"/>
          <w:sz w:val="24"/>
          <w:szCs w:val="24"/>
        </w:rPr>
        <w:t xml:space="preserve"> for the information collection based general customer satisfaction faction survey rates</w:t>
      </w:r>
      <w:r w:rsidRPr="009878E6" w:rsidR="0098255B">
        <w:rPr>
          <w:rFonts w:ascii="Times New Roman" w:hAnsi="Times New Roman" w:cs="Times New Roman"/>
          <w:color w:val="000000" w:themeColor="text1"/>
          <w:sz w:val="24"/>
          <w:szCs w:val="24"/>
        </w:rPr>
        <w:t xml:space="preserve"> which generally exist around 30 percent. FEMA has reduced the amount slightly to account for the information collection being a first-time collection and the length of the survey instrument. FEMA estimates the 28 percent response rate will generate </w:t>
      </w:r>
      <w:r w:rsidRPr="009878E6">
        <w:rPr>
          <w:rFonts w:ascii="Times New Roman" w:hAnsi="Times New Roman" w:cs="Times New Roman"/>
          <w:color w:val="000000" w:themeColor="text1"/>
          <w:sz w:val="24"/>
          <w:szCs w:val="24"/>
        </w:rPr>
        <w:t xml:space="preserve">6,323 </w:t>
      </w:r>
      <w:r w:rsidRPr="009878E6" w:rsidR="00D76CAB">
        <w:rPr>
          <w:rFonts w:ascii="Times New Roman" w:hAnsi="Times New Roman" w:cs="Times New Roman"/>
          <w:color w:val="000000" w:themeColor="text1"/>
          <w:sz w:val="24"/>
          <w:szCs w:val="24"/>
        </w:rPr>
        <w:t>(</w:t>
      </w:r>
      <w:r w:rsidRPr="009878E6" w:rsidR="007C4604">
        <w:rPr>
          <w:rFonts w:ascii="Times New Roman" w:hAnsi="Times New Roman" w:cs="Times New Roman"/>
          <w:color w:val="000000" w:themeColor="text1"/>
          <w:sz w:val="24"/>
          <w:szCs w:val="24"/>
        </w:rPr>
        <w:t>22,582 ×</w:t>
      </w:r>
      <w:r w:rsidRPr="009878E6" w:rsidR="007E164A">
        <w:rPr>
          <w:rFonts w:ascii="Times New Roman" w:hAnsi="Times New Roman" w:cs="Times New Roman"/>
          <w:color w:val="000000" w:themeColor="text1"/>
          <w:sz w:val="24"/>
          <w:szCs w:val="24"/>
        </w:rPr>
        <w:t xml:space="preserve"> 28 percent</w:t>
      </w:r>
      <w:r w:rsidRPr="009878E6" w:rsidR="007C4604">
        <w:rPr>
          <w:rFonts w:ascii="Times New Roman" w:hAnsi="Times New Roman" w:cs="Times New Roman"/>
          <w:color w:val="000000" w:themeColor="text1"/>
          <w:sz w:val="24"/>
          <w:szCs w:val="24"/>
        </w:rPr>
        <w:t xml:space="preserve">) </w:t>
      </w:r>
      <w:r w:rsidRPr="009878E6">
        <w:rPr>
          <w:rFonts w:ascii="Times New Roman" w:hAnsi="Times New Roman" w:cs="Times New Roman"/>
          <w:color w:val="000000" w:themeColor="text1"/>
          <w:sz w:val="24"/>
          <w:szCs w:val="24"/>
        </w:rPr>
        <w:t xml:space="preserve">respondents with one response per year for a total of 6,323 </w:t>
      </w:r>
      <w:r w:rsidRPr="009878E6" w:rsidR="00BF6F9A">
        <w:rPr>
          <w:rFonts w:ascii="Times New Roman" w:hAnsi="Times New Roman" w:cs="Times New Roman"/>
          <w:color w:val="000000" w:themeColor="text1"/>
          <w:sz w:val="24"/>
          <w:szCs w:val="24"/>
        </w:rPr>
        <w:t xml:space="preserve">(6,323 respondents × 1 </w:t>
      </w:r>
      <w:r w:rsidRPr="009878E6" w:rsidR="00FD35B8">
        <w:rPr>
          <w:rFonts w:ascii="Times New Roman" w:hAnsi="Times New Roman" w:cs="Times New Roman"/>
          <w:color w:val="000000" w:themeColor="text1"/>
          <w:sz w:val="24"/>
          <w:szCs w:val="24"/>
        </w:rPr>
        <w:t xml:space="preserve">response per year) </w:t>
      </w:r>
      <w:r w:rsidRPr="009878E6">
        <w:rPr>
          <w:rFonts w:ascii="Times New Roman" w:hAnsi="Times New Roman" w:cs="Times New Roman"/>
          <w:color w:val="000000" w:themeColor="text1"/>
          <w:sz w:val="24"/>
          <w:szCs w:val="24"/>
        </w:rPr>
        <w:t>total annual responses. It is estimated</w:t>
      </w:r>
      <w:r w:rsidRPr="009878E6" w:rsidR="00B56C17">
        <w:rPr>
          <w:rFonts w:ascii="Times New Roman" w:hAnsi="Times New Roman" w:cs="Times New Roman"/>
          <w:color w:val="000000" w:themeColor="text1"/>
          <w:sz w:val="24"/>
          <w:szCs w:val="24"/>
        </w:rPr>
        <w:t xml:space="preserve"> that each response will require 0.5 burden hours to complete for total </w:t>
      </w:r>
      <w:r w:rsidRPr="009878E6" w:rsidR="000E4214">
        <w:rPr>
          <w:rFonts w:ascii="Times New Roman" w:hAnsi="Times New Roman" w:cs="Times New Roman"/>
          <w:color w:val="000000" w:themeColor="text1"/>
          <w:sz w:val="24"/>
          <w:szCs w:val="24"/>
        </w:rPr>
        <w:t xml:space="preserve">burden hours </w:t>
      </w:r>
      <w:r w:rsidRPr="009878E6" w:rsidR="00B56C17">
        <w:rPr>
          <w:rFonts w:ascii="Times New Roman" w:hAnsi="Times New Roman" w:cs="Times New Roman"/>
          <w:color w:val="000000" w:themeColor="text1"/>
          <w:sz w:val="24"/>
          <w:szCs w:val="24"/>
        </w:rPr>
        <w:t>of 3,</w:t>
      </w:r>
      <w:r w:rsidRPr="009878E6" w:rsidR="00152B47">
        <w:rPr>
          <w:rFonts w:ascii="Times New Roman" w:hAnsi="Times New Roman" w:cs="Times New Roman"/>
          <w:color w:val="000000" w:themeColor="text1"/>
          <w:sz w:val="24"/>
          <w:szCs w:val="24"/>
        </w:rPr>
        <w:t>16</w:t>
      </w:r>
      <w:r w:rsidR="00204BD7">
        <w:rPr>
          <w:rFonts w:ascii="Times New Roman" w:hAnsi="Times New Roman" w:cs="Times New Roman"/>
          <w:color w:val="000000" w:themeColor="text1"/>
          <w:sz w:val="24"/>
          <w:szCs w:val="24"/>
        </w:rPr>
        <w:t>2</w:t>
      </w:r>
      <w:r w:rsidRPr="009878E6" w:rsidR="00F61FA6">
        <w:rPr>
          <w:rFonts w:ascii="Times New Roman" w:hAnsi="Times New Roman" w:cs="Times New Roman"/>
          <w:color w:val="000000" w:themeColor="text1"/>
          <w:sz w:val="24"/>
          <w:szCs w:val="24"/>
        </w:rPr>
        <w:t xml:space="preserve"> (6,323 ×</w:t>
      </w:r>
      <w:r w:rsidRPr="009878E6" w:rsidR="00B92F8C">
        <w:rPr>
          <w:rFonts w:ascii="Times New Roman" w:hAnsi="Times New Roman" w:cs="Times New Roman"/>
          <w:color w:val="000000" w:themeColor="text1"/>
          <w:sz w:val="24"/>
          <w:szCs w:val="24"/>
        </w:rPr>
        <w:t xml:space="preserve"> 0.5)</w:t>
      </w:r>
      <w:r w:rsidRPr="009878E6">
        <w:rPr>
          <w:rFonts w:ascii="Times New Roman" w:hAnsi="Times New Roman" w:cs="Times New Roman"/>
          <w:color w:val="000000" w:themeColor="text1"/>
          <w:sz w:val="24"/>
          <w:szCs w:val="24"/>
        </w:rPr>
        <w:t xml:space="preserve"> </w:t>
      </w:r>
      <w:r w:rsidRPr="009878E6" w:rsidR="0093221E">
        <w:rPr>
          <w:rFonts w:ascii="Times New Roman" w:hAnsi="Times New Roman" w:cs="Times New Roman"/>
          <w:color w:val="000000" w:themeColor="text1"/>
          <w:sz w:val="24"/>
          <w:szCs w:val="24"/>
        </w:rPr>
        <w:t>per year</w:t>
      </w:r>
      <w:r w:rsidRPr="009878E6" w:rsidR="00B56C17">
        <w:rPr>
          <w:rFonts w:ascii="Times New Roman" w:hAnsi="Times New Roman" w:cs="Times New Roman"/>
          <w:color w:val="000000" w:themeColor="text1"/>
          <w:sz w:val="24"/>
          <w:szCs w:val="24"/>
        </w:rPr>
        <w:t>.</w:t>
      </w:r>
      <w:r w:rsidRPr="009878E6" w:rsidR="003D4C27">
        <w:rPr>
          <w:rFonts w:ascii="Times New Roman" w:hAnsi="Times New Roman" w:cs="Times New Roman"/>
          <w:color w:val="000000" w:themeColor="text1"/>
          <w:sz w:val="24"/>
          <w:szCs w:val="24"/>
        </w:rPr>
        <w:t xml:space="preserve"> </w:t>
      </w:r>
    </w:p>
    <w:p w:rsidR="005237DB" w:rsidRPr="009878E6" w:rsidP="009878E6" w14:paraId="1EDE3D0C" w14:textId="52418693">
      <w:pPr>
        <w:contextualSpacing/>
        <w:rPr>
          <w:rFonts w:ascii="Times New Roman" w:hAnsi="Times New Roman" w:cs="Times New Roman"/>
          <w:sz w:val="24"/>
          <w:szCs w:val="24"/>
        </w:rPr>
      </w:pPr>
    </w:p>
    <w:p w:rsidR="002A1B82" w:rsidRPr="009878E6" w:rsidP="009878E6" w14:paraId="41B807A6" w14:textId="7DEC8FC2">
      <w:pPr>
        <w:contextualSpacing/>
        <w:rPr>
          <w:rFonts w:ascii="Times New Roman" w:hAnsi="Times New Roman" w:cs="Times New Roman"/>
          <w:sz w:val="24"/>
          <w:szCs w:val="24"/>
        </w:rPr>
      </w:pPr>
      <w:r w:rsidRPr="009878E6">
        <w:rPr>
          <w:rFonts w:ascii="Times New Roman" w:hAnsi="Times New Roman" w:cs="Times New Roman"/>
          <w:sz w:val="24"/>
          <w:szCs w:val="24"/>
        </w:rPr>
        <w:t xml:space="preserve">FEMA and VTU conducted a pilot (usability) test </w:t>
      </w:r>
      <w:r w:rsidRPr="009878E6" w:rsidR="003C70CF">
        <w:rPr>
          <w:rFonts w:ascii="Times New Roman" w:hAnsi="Times New Roman" w:cs="Times New Roman"/>
          <w:sz w:val="24"/>
          <w:szCs w:val="24"/>
        </w:rPr>
        <w:t>between March 30, 2022</w:t>
      </w:r>
      <w:r w:rsidRPr="009878E6" w:rsidR="00E025F2">
        <w:rPr>
          <w:rFonts w:ascii="Times New Roman" w:hAnsi="Times New Roman" w:cs="Times New Roman"/>
          <w:sz w:val="24"/>
          <w:szCs w:val="24"/>
        </w:rPr>
        <w:t>,</w:t>
      </w:r>
      <w:r w:rsidRPr="009878E6" w:rsidR="003C70CF">
        <w:rPr>
          <w:rFonts w:ascii="Times New Roman" w:hAnsi="Times New Roman" w:cs="Times New Roman"/>
          <w:sz w:val="24"/>
          <w:szCs w:val="24"/>
        </w:rPr>
        <w:t xml:space="preserve"> and April 28, 2022</w:t>
      </w:r>
      <w:r w:rsidRPr="009878E6" w:rsidR="00E025F2">
        <w:rPr>
          <w:rFonts w:ascii="Times New Roman" w:hAnsi="Times New Roman" w:cs="Times New Roman"/>
          <w:sz w:val="24"/>
          <w:szCs w:val="24"/>
        </w:rPr>
        <w:t>,</w:t>
      </w:r>
      <w:r w:rsidRPr="009878E6" w:rsidR="003C70CF">
        <w:rPr>
          <w:rFonts w:ascii="Times New Roman" w:hAnsi="Times New Roman" w:cs="Times New Roman"/>
          <w:sz w:val="24"/>
          <w:szCs w:val="24"/>
        </w:rPr>
        <w:t xml:space="preserve"> </w:t>
      </w:r>
      <w:r w:rsidRPr="009878E6">
        <w:rPr>
          <w:rFonts w:ascii="Times New Roman" w:hAnsi="Times New Roman" w:cs="Times New Roman"/>
          <w:sz w:val="24"/>
          <w:szCs w:val="24"/>
        </w:rPr>
        <w:t>of the draft survey instrument with nine</w:t>
      </w:r>
      <w:r w:rsidRPr="009878E6" w:rsidR="004B27E3">
        <w:rPr>
          <w:rFonts w:ascii="Times New Roman" w:hAnsi="Times New Roman" w:cs="Times New Roman"/>
          <w:sz w:val="24"/>
          <w:szCs w:val="24"/>
        </w:rPr>
        <w:t xml:space="preserve"> (9)</w:t>
      </w:r>
      <w:r w:rsidRPr="009878E6">
        <w:rPr>
          <w:rFonts w:ascii="Times New Roman" w:hAnsi="Times New Roman" w:cs="Times New Roman"/>
          <w:sz w:val="24"/>
          <w:szCs w:val="24"/>
        </w:rPr>
        <w:t xml:space="preserve"> FPAs, who represent the focus population. </w:t>
      </w:r>
      <w:r w:rsidRPr="009878E6" w:rsidR="00054FB0">
        <w:rPr>
          <w:rFonts w:ascii="Times New Roman" w:hAnsi="Times New Roman" w:cs="Times New Roman"/>
          <w:sz w:val="24"/>
          <w:szCs w:val="24"/>
        </w:rPr>
        <w:t>Eight</w:t>
      </w:r>
      <w:r w:rsidRPr="009878E6" w:rsidR="00221C4F">
        <w:rPr>
          <w:rFonts w:ascii="Times New Roman" w:hAnsi="Times New Roman" w:cs="Times New Roman"/>
          <w:sz w:val="24"/>
          <w:szCs w:val="24"/>
        </w:rPr>
        <w:t xml:space="preserve"> (8)</w:t>
      </w:r>
      <w:r w:rsidRPr="009878E6" w:rsidR="00054FB0">
        <w:rPr>
          <w:rFonts w:ascii="Times New Roman" w:hAnsi="Times New Roman" w:cs="Times New Roman"/>
          <w:sz w:val="24"/>
          <w:szCs w:val="24"/>
        </w:rPr>
        <w:t xml:space="preserve"> </w:t>
      </w:r>
      <w:r w:rsidRPr="009878E6" w:rsidR="004A4BDF">
        <w:rPr>
          <w:rFonts w:ascii="Times New Roman" w:hAnsi="Times New Roman" w:cs="Times New Roman"/>
          <w:sz w:val="24"/>
          <w:szCs w:val="24"/>
        </w:rPr>
        <w:t xml:space="preserve">test respondents completed the survey. </w:t>
      </w:r>
      <w:r w:rsidRPr="009878E6" w:rsidR="00AE21D5">
        <w:rPr>
          <w:rFonts w:ascii="Times New Roman" w:hAnsi="Times New Roman" w:cs="Times New Roman"/>
          <w:sz w:val="24"/>
          <w:szCs w:val="24"/>
        </w:rPr>
        <w:t>On average,</w:t>
      </w:r>
      <w:r w:rsidRPr="009878E6" w:rsidR="003C70CF">
        <w:rPr>
          <w:rFonts w:ascii="Times New Roman" w:hAnsi="Times New Roman" w:cs="Times New Roman"/>
          <w:sz w:val="24"/>
          <w:szCs w:val="24"/>
        </w:rPr>
        <w:t xml:space="preserve"> </w:t>
      </w:r>
      <w:r w:rsidRPr="009878E6">
        <w:rPr>
          <w:rFonts w:ascii="Times New Roman" w:hAnsi="Times New Roman" w:cs="Times New Roman"/>
          <w:sz w:val="24"/>
          <w:szCs w:val="24"/>
        </w:rPr>
        <w:t xml:space="preserve">test respondents </w:t>
      </w:r>
      <w:r w:rsidRPr="009878E6" w:rsidR="003C70CF">
        <w:rPr>
          <w:rFonts w:ascii="Times New Roman" w:hAnsi="Times New Roman" w:cs="Times New Roman"/>
          <w:sz w:val="24"/>
          <w:szCs w:val="24"/>
        </w:rPr>
        <w:t xml:space="preserve">who completed the survey </w:t>
      </w:r>
      <w:r w:rsidRPr="009878E6" w:rsidR="006275EE">
        <w:rPr>
          <w:rFonts w:ascii="Times New Roman" w:hAnsi="Times New Roman" w:cs="Times New Roman"/>
          <w:sz w:val="24"/>
          <w:szCs w:val="24"/>
        </w:rPr>
        <w:t xml:space="preserve">took </w:t>
      </w:r>
      <w:r w:rsidRPr="009878E6" w:rsidR="003C70CF">
        <w:rPr>
          <w:rFonts w:ascii="Times New Roman" w:hAnsi="Times New Roman" w:cs="Times New Roman"/>
          <w:sz w:val="24"/>
          <w:szCs w:val="24"/>
        </w:rPr>
        <w:t>30 minutes. Follow up interviews were conducted with five of the respondents who confirmed to</w:t>
      </w:r>
      <w:r w:rsidRPr="009878E6" w:rsidR="003B68DD">
        <w:rPr>
          <w:rFonts w:ascii="Times New Roman" w:hAnsi="Times New Roman" w:cs="Times New Roman"/>
          <w:sz w:val="24"/>
          <w:szCs w:val="24"/>
        </w:rPr>
        <w:t xml:space="preserve"> FEMA and VTU that the instrument questions were clear and did not need adjustment, the online process </w:t>
      </w:r>
      <w:r w:rsidR="00094589">
        <w:rPr>
          <w:rFonts w:ascii="Times New Roman" w:hAnsi="Times New Roman" w:cs="Times New Roman"/>
          <w:sz w:val="24"/>
          <w:szCs w:val="24"/>
        </w:rPr>
        <w:t>and survey instructions were</w:t>
      </w:r>
      <w:r w:rsidRPr="009878E6" w:rsidR="003B68DD">
        <w:rPr>
          <w:rFonts w:ascii="Times New Roman" w:hAnsi="Times New Roman" w:cs="Times New Roman"/>
          <w:sz w:val="24"/>
          <w:szCs w:val="24"/>
        </w:rPr>
        <w:t xml:space="preserve"> clear, and all links worked. The group did not recommend any changes to the instrument</w:t>
      </w:r>
      <w:r w:rsidR="00094589">
        <w:rPr>
          <w:rFonts w:ascii="Times New Roman" w:hAnsi="Times New Roman" w:cs="Times New Roman"/>
          <w:sz w:val="24"/>
          <w:szCs w:val="24"/>
        </w:rPr>
        <w:t>, instructions, or the process</w:t>
      </w:r>
      <w:r w:rsidRPr="009878E6" w:rsidR="003B68DD">
        <w:rPr>
          <w:rFonts w:ascii="Times New Roman" w:hAnsi="Times New Roman" w:cs="Times New Roman"/>
          <w:sz w:val="24"/>
          <w:szCs w:val="24"/>
        </w:rPr>
        <w:t xml:space="preserve">. As noted in 8c, they also did not </w:t>
      </w:r>
      <w:r w:rsidRPr="009878E6">
        <w:rPr>
          <w:rFonts w:ascii="Times New Roman" w:hAnsi="Times New Roman" w:cs="Times New Roman"/>
          <w:sz w:val="24"/>
          <w:szCs w:val="24"/>
        </w:rPr>
        <w:t xml:space="preserve">question the necessity of the collection or the quality, utility, and clarity of the information to be collected. </w:t>
      </w:r>
      <w:r w:rsidR="00094589">
        <w:rPr>
          <w:rFonts w:ascii="Times New Roman" w:hAnsi="Times New Roman" w:cs="Times New Roman"/>
          <w:sz w:val="24"/>
          <w:szCs w:val="24"/>
        </w:rPr>
        <w:t xml:space="preserve"> As a first user test of the questionnaire and process, there were no previous estimates.</w:t>
      </w:r>
    </w:p>
    <w:p w:rsidR="005237DB" w:rsidRPr="009878E6" w:rsidP="009878E6" w14:paraId="7CE07C89" w14:textId="77777777">
      <w:pPr>
        <w:contextualSpacing/>
        <w:rPr>
          <w:rFonts w:ascii="Times New Roman" w:hAnsi="Times New Roman" w:cs="Times New Roman"/>
          <w:sz w:val="24"/>
          <w:szCs w:val="24"/>
        </w:rPr>
      </w:pPr>
    </w:p>
    <w:p w:rsidR="00562915" w:rsidRPr="009878E6" w:rsidP="009878E6" w14:paraId="2A7A40D0" w14:textId="0E441685">
      <w:pPr>
        <w:contextualSpacing/>
        <w:rPr>
          <w:rFonts w:ascii="Times New Roman" w:hAnsi="Times New Roman" w:cs="Times New Roman"/>
          <w:b/>
          <w:bCs/>
          <w:sz w:val="24"/>
          <w:szCs w:val="24"/>
        </w:rPr>
      </w:pPr>
      <w:r w:rsidRPr="009878E6">
        <w:rPr>
          <w:rFonts w:ascii="Times New Roman" w:hAnsi="Times New Roman" w:cs="Times New Roman"/>
          <w:sz w:val="24"/>
          <w:szCs w:val="24"/>
        </w:rPr>
        <w:tab/>
      </w:r>
      <w:r w:rsidRPr="009878E6">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7E0E6C" w:rsidRPr="009878E6" w:rsidP="009878E6" w14:paraId="5E512540" w14:textId="77777777">
      <w:pPr>
        <w:contextualSpacing/>
        <w:rPr>
          <w:rFonts w:ascii="Times New Roman" w:hAnsi="Times New Roman" w:cs="Times New Roman"/>
          <w:sz w:val="24"/>
          <w:szCs w:val="24"/>
        </w:rPr>
      </w:pPr>
    </w:p>
    <w:p w:rsidR="007E0E6C" w:rsidRPr="009878E6" w:rsidP="009878E6" w14:paraId="6A0EED53" w14:textId="77777777">
      <w:pPr>
        <w:contextualSpacing/>
        <w:rPr>
          <w:rFonts w:ascii="Times New Roman" w:hAnsi="Times New Roman" w:cs="Times New Roman"/>
          <w:sz w:val="24"/>
          <w:szCs w:val="24"/>
        </w:rPr>
      </w:pPr>
      <w:r w:rsidRPr="009878E6">
        <w:rPr>
          <w:rFonts w:ascii="Times New Roman" w:hAnsi="Times New Roman" w:cs="Times New Roman"/>
          <w:sz w:val="24"/>
          <w:szCs w:val="24"/>
        </w:rPr>
        <w:t>Please see our response for 12a above and 12c below.</w:t>
      </w:r>
    </w:p>
    <w:p w:rsidR="00E6464B" w:rsidRPr="009878E6" w:rsidP="009878E6" w14:paraId="6278B862" w14:textId="77777777">
      <w:pPr>
        <w:contextualSpacing/>
        <w:rPr>
          <w:rFonts w:ascii="Times New Roman" w:hAnsi="Times New Roman" w:cs="Times New Roman"/>
          <w:sz w:val="24"/>
          <w:szCs w:val="24"/>
        </w:rPr>
      </w:pPr>
    </w:p>
    <w:p w:rsidR="003420AA" w:rsidRPr="009878E6" w:rsidP="009878E6" w14:paraId="551D5916" w14:textId="46C2D39F">
      <w:pPr>
        <w:contextualSpacing/>
        <w:rPr>
          <w:rFonts w:ascii="Times New Roman" w:hAnsi="Times New Roman" w:cs="Times New Roman"/>
          <w:b/>
          <w:bCs/>
          <w:sz w:val="24"/>
          <w:szCs w:val="24"/>
        </w:rPr>
      </w:pPr>
      <w:r w:rsidRPr="009878E6">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w:t>
      </w:r>
      <w:r w:rsidRPr="009878E6" w:rsidR="007F044C">
        <w:rPr>
          <w:rFonts w:ascii="Times New Roman" w:hAnsi="Times New Roman" w:cs="Times New Roman"/>
          <w:b/>
          <w:bCs/>
          <w:sz w:val="24"/>
          <w:szCs w:val="24"/>
        </w:rPr>
        <w:t xml:space="preserve">61 </w:t>
      </w:r>
      <w:r w:rsidRPr="009878E6">
        <w:rPr>
          <w:rFonts w:ascii="Times New Roman" w:hAnsi="Times New Roman" w:cs="Times New Roman"/>
          <w:b/>
          <w:bCs/>
          <w:sz w:val="24"/>
          <w:szCs w:val="24"/>
        </w:rPr>
        <w:t>and this total should be entered in the cell for “Avg. Hourly Wage Rate”.  The cost to the respondents of contracting out or paying outside parties for information collection activities should not be included here.  Instead</w:t>
      </w:r>
      <w:r w:rsidRPr="009878E6" w:rsidR="004128E9">
        <w:rPr>
          <w:rFonts w:ascii="Times New Roman" w:hAnsi="Times New Roman" w:cs="Times New Roman"/>
          <w:b/>
          <w:bCs/>
          <w:sz w:val="24"/>
          <w:szCs w:val="24"/>
        </w:rPr>
        <w:t>,</w:t>
      </w:r>
      <w:r w:rsidRPr="009878E6">
        <w:rPr>
          <w:rFonts w:ascii="Times New Roman" w:hAnsi="Times New Roman" w:cs="Times New Roman"/>
          <w:b/>
          <w:bCs/>
          <w:sz w:val="24"/>
          <w:szCs w:val="24"/>
        </w:rPr>
        <w:t xml:space="preserve"> this cost should be included in Item 13.</w:t>
      </w:r>
    </w:p>
    <w:p w:rsidR="003420AA" w:rsidRPr="009878E6" w:rsidP="009878E6" w14:paraId="6544429B" w14:textId="77777777">
      <w:pPr>
        <w:contextualSpacing/>
        <w:rPr>
          <w:rFonts w:ascii="Times New Roman" w:hAnsi="Times New Roman" w:cs="Times New Roman"/>
          <w:b/>
          <w:bCs/>
          <w:sz w:val="24"/>
          <w:szCs w:val="24"/>
        </w:rPr>
      </w:pPr>
    </w:p>
    <w:p w:rsidR="00562915" w:rsidRPr="009878E6" w:rsidP="009878E6" w14:paraId="042E3092" w14:textId="29DB5C56">
      <w:pPr>
        <w:spacing w:after="0"/>
        <w:contextualSpacing/>
        <w:rPr>
          <w:rFonts w:ascii="Times New Roman" w:hAnsi="Times New Roman" w:cs="Times New Roman"/>
          <w:sz w:val="24"/>
          <w:szCs w:val="24"/>
        </w:rPr>
      </w:pPr>
    </w:p>
    <w:tbl>
      <w:tblPr>
        <w:tblStyle w:val="TableGrid"/>
        <w:tblW w:w="11414" w:type="dxa"/>
        <w:jc w:val="center"/>
        <w:tblLook w:val="04A0"/>
      </w:tblPr>
      <w:tblGrid>
        <w:gridCol w:w="1255"/>
        <w:gridCol w:w="1890"/>
        <w:gridCol w:w="1371"/>
        <w:gridCol w:w="1350"/>
        <w:gridCol w:w="1230"/>
        <w:gridCol w:w="1136"/>
        <w:gridCol w:w="936"/>
        <w:gridCol w:w="896"/>
        <w:gridCol w:w="1350"/>
      </w:tblGrid>
      <w:tr w14:paraId="5E494971" w14:textId="77777777" w:rsidTr="009878E6">
        <w:tblPrEx>
          <w:tblW w:w="11414" w:type="dxa"/>
          <w:jc w:val="center"/>
          <w:tblLook w:val="04A0"/>
        </w:tblPrEx>
        <w:trPr>
          <w:jc w:val="center"/>
        </w:trPr>
        <w:tc>
          <w:tcPr>
            <w:tcW w:w="11414" w:type="dxa"/>
            <w:gridSpan w:val="9"/>
            <w:shd w:val="clear" w:color="auto" w:fill="95B3D7" w:themeFill="accent1" w:themeFillTint="99"/>
          </w:tcPr>
          <w:p w:rsidR="009878E6" w:rsidRPr="009878E6" w:rsidP="009878E6" w14:paraId="2F229F62" w14:textId="77777777">
            <w:pPr>
              <w:spacing w:line="276" w:lineRule="auto"/>
              <w:contextualSpacing/>
              <w:jc w:val="center"/>
              <w:rPr>
                <w:rFonts w:ascii="Times New Roman" w:eastAsia="Calibri" w:hAnsi="Times New Roman" w:cs="Times New Roman"/>
                <w:b/>
                <w:sz w:val="20"/>
                <w:szCs w:val="20"/>
              </w:rPr>
            </w:pPr>
            <w:r w:rsidRPr="009878E6">
              <w:rPr>
                <w:rFonts w:ascii="Times New Roman" w:eastAsia="Calibri" w:hAnsi="Times New Roman" w:cs="Times New Roman"/>
                <w:b/>
                <w:sz w:val="20"/>
                <w:szCs w:val="20"/>
              </w:rPr>
              <w:t>Estimated Annualized Burden Hours and Costs</w:t>
            </w:r>
          </w:p>
        </w:tc>
      </w:tr>
      <w:tr w14:paraId="10238276" w14:textId="77777777" w:rsidTr="0098421F">
        <w:tblPrEx>
          <w:tblW w:w="11414" w:type="dxa"/>
          <w:jc w:val="center"/>
          <w:tblLook w:val="04A0"/>
        </w:tblPrEx>
        <w:trPr>
          <w:jc w:val="center"/>
        </w:trPr>
        <w:tc>
          <w:tcPr>
            <w:tcW w:w="1255" w:type="dxa"/>
            <w:shd w:val="clear" w:color="auto" w:fill="95B3D7" w:themeFill="accent1" w:themeFillTint="99"/>
          </w:tcPr>
          <w:p w:rsidR="00981DC9" w:rsidRPr="009878E6" w:rsidP="009878E6" w14:paraId="3C9361E5" w14:textId="77777777">
            <w:pPr>
              <w:spacing w:line="276" w:lineRule="auto"/>
              <w:contextualSpacing/>
              <w:jc w:val="center"/>
              <w:rPr>
                <w:rFonts w:ascii="Times New Roman" w:eastAsia="Calibri" w:hAnsi="Times New Roman" w:cs="Times New Roman"/>
                <w:b/>
                <w:bCs/>
                <w:sz w:val="18"/>
                <w:szCs w:val="18"/>
              </w:rPr>
            </w:pPr>
            <w:r w:rsidRPr="009878E6">
              <w:rPr>
                <w:rFonts w:ascii="Times New Roman" w:hAnsi="Times New Roman" w:cs="Times New Roman"/>
                <w:b/>
                <w:bCs/>
                <w:sz w:val="18"/>
                <w:szCs w:val="18"/>
              </w:rPr>
              <w:t>Type of Respondent</w:t>
            </w:r>
          </w:p>
        </w:tc>
        <w:tc>
          <w:tcPr>
            <w:tcW w:w="1890" w:type="dxa"/>
            <w:shd w:val="clear" w:color="auto" w:fill="95B3D7" w:themeFill="accent1" w:themeFillTint="99"/>
          </w:tcPr>
          <w:p w:rsidR="00981DC9" w:rsidRPr="009878E6" w:rsidP="009878E6" w14:paraId="7D1F72F7" w14:textId="77777777">
            <w:pPr>
              <w:spacing w:line="276" w:lineRule="auto"/>
              <w:contextualSpacing/>
              <w:jc w:val="center"/>
              <w:rPr>
                <w:rFonts w:ascii="Times New Roman" w:eastAsia="Calibri" w:hAnsi="Times New Roman" w:cs="Times New Roman"/>
                <w:b/>
                <w:bCs/>
                <w:sz w:val="18"/>
                <w:szCs w:val="18"/>
              </w:rPr>
            </w:pPr>
            <w:r w:rsidRPr="009878E6">
              <w:rPr>
                <w:rFonts w:ascii="Times New Roman" w:eastAsia="Calibri" w:hAnsi="Times New Roman" w:cs="Times New Roman"/>
                <w:b/>
                <w:bCs/>
                <w:sz w:val="18"/>
                <w:szCs w:val="18"/>
              </w:rPr>
              <w:t>Form Name / Form No.</w:t>
            </w:r>
          </w:p>
        </w:tc>
        <w:tc>
          <w:tcPr>
            <w:tcW w:w="1371" w:type="dxa"/>
            <w:shd w:val="clear" w:color="auto" w:fill="95B3D7" w:themeFill="accent1" w:themeFillTint="99"/>
          </w:tcPr>
          <w:p w:rsidR="00981DC9" w:rsidRPr="009878E6" w:rsidP="009878E6" w14:paraId="3A8A79B2" w14:textId="77777777">
            <w:pPr>
              <w:spacing w:line="276" w:lineRule="auto"/>
              <w:contextualSpacing/>
              <w:jc w:val="center"/>
              <w:rPr>
                <w:rFonts w:ascii="Times New Roman" w:eastAsia="Calibri" w:hAnsi="Times New Roman" w:cs="Times New Roman"/>
                <w:b/>
                <w:bCs/>
                <w:sz w:val="18"/>
                <w:szCs w:val="18"/>
              </w:rPr>
            </w:pPr>
            <w:r w:rsidRPr="009878E6">
              <w:rPr>
                <w:rFonts w:ascii="Times New Roman" w:eastAsia="Calibri" w:hAnsi="Times New Roman" w:cs="Times New Roman"/>
                <w:b/>
                <w:bCs/>
                <w:sz w:val="18"/>
                <w:szCs w:val="18"/>
              </w:rPr>
              <w:t>No. of Respondents</w:t>
            </w:r>
          </w:p>
        </w:tc>
        <w:tc>
          <w:tcPr>
            <w:tcW w:w="1350" w:type="dxa"/>
            <w:shd w:val="clear" w:color="auto" w:fill="95B3D7" w:themeFill="accent1" w:themeFillTint="99"/>
          </w:tcPr>
          <w:p w:rsidR="00981DC9" w:rsidRPr="009878E6" w:rsidP="009878E6" w14:paraId="6D6B8730" w14:textId="77777777">
            <w:pPr>
              <w:spacing w:line="276" w:lineRule="auto"/>
              <w:contextualSpacing/>
              <w:jc w:val="center"/>
              <w:rPr>
                <w:rFonts w:ascii="Times New Roman" w:eastAsia="Calibri" w:hAnsi="Times New Roman" w:cs="Times New Roman"/>
                <w:b/>
                <w:bCs/>
                <w:sz w:val="18"/>
                <w:szCs w:val="18"/>
              </w:rPr>
            </w:pPr>
            <w:r w:rsidRPr="009878E6">
              <w:rPr>
                <w:rFonts w:ascii="Times New Roman" w:eastAsia="Calibri" w:hAnsi="Times New Roman" w:cs="Times New Roman"/>
                <w:b/>
                <w:bCs/>
                <w:sz w:val="18"/>
                <w:szCs w:val="18"/>
              </w:rPr>
              <w:t>No. of Responses per Respondent</w:t>
            </w:r>
          </w:p>
        </w:tc>
        <w:tc>
          <w:tcPr>
            <w:tcW w:w="1230" w:type="dxa"/>
            <w:shd w:val="clear" w:color="auto" w:fill="95B3D7" w:themeFill="accent1" w:themeFillTint="99"/>
          </w:tcPr>
          <w:p w:rsidR="00981DC9" w:rsidRPr="009878E6" w:rsidP="009878E6" w14:paraId="512E415C" w14:textId="77777777">
            <w:pPr>
              <w:spacing w:line="276" w:lineRule="auto"/>
              <w:contextualSpacing/>
              <w:jc w:val="center"/>
              <w:rPr>
                <w:rFonts w:ascii="Times New Roman" w:eastAsia="Calibri" w:hAnsi="Times New Roman" w:cs="Times New Roman"/>
                <w:b/>
                <w:bCs/>
                <w:sz w:val="18"/>
                <w:szCs w:val="18"/>
              </w:rPr>
            </w:pPr>
            <w:r w:rsidRPr="009878E6">
              <w:rPr>
                <w:rFonts w:ascii="Times New Roman" w:eastAsia="Calibri" w:hAnsi="Times New Roman" w:cs="Times New Roman"/>
                <w:b/>
                <w:bCs/>
                <w:sz w:val="18"/>
                <w:szCs w:val="18"/>
              </w:rPr>
              <w:t>Total No. of Responses</w:t>
            </w:r>
          </w:p>
        </w:tc>
        <w:tc>
          <w:tcPr>
            <w:tcW w:w="1136" w:type="dxa"/>
            <w:shd w:val="clear" w:color="auto" w:fill="95B3D7" w:themeFill="accent1" w:themeFillTint="99"/>
          </w:tcPr>
          <w:p w:rsidR="00981DC9" w:rsidRPr="009878E6" w:rsidP="009878E6" w14:paraId="768E4940" w14:textId="77777777">
            <w:pPr>
              <w:spacing w:line="276" w:lineRule="auto"/>
              <w:contextualSpacing/>
              <w:jc w:val="center"/>
              <w:rPr>
                <w:rFonts w:ascii="Times New Roman" w:eastAsia="Calibri" w:hAnsi="Times New Roman" w:cs="Times New Roman"/>
                <w:b/>
                <w:bCs/>
                <w:sz w:val="18"/>
                <w:szCs w:val="18"/>
              </w:rPr>
            </w:pPr>
            <w:r w:rsidRPr="009878E6">
              <w:rPr>
                <w:rFonts w:ascii="Times New Roman" w:eastAsia="Calibri" w:hAnsi="Times New Roman" w:cs="Times New Roman"/>
                <w:b/>
                <w:bCs/>
                <w:sz w:val="18"/>
                <w:szCs w:val="18"/>
              </w:rPr>
              <w:t>Avg. Burden per Response (in hours)</w:t>
            </w:r>
          </w:p>
        </w:tc>
        <w:tc>
          <w:tcPr>
            <w:tcW w:w="936" w:type="dxa"/>
            <w:shd w:val="clear" w:color="auto" w:fill="95B3D7" w:themeFill="accent1" w:themeFillTint="99"/>
          </w:tcPr>
          <w:p w:rsidR="00981DC9" w:rsidRPr="009878E6" w:rsidP="009878E6" w14:paraId="4B9D0C7E" w14:textId="77777777">
            <w:pPr>
              <w:spacing w:line="276" w:lineRule="auto"/>
              <w:contextualSpacing/>
              <w:jc w:val="center"/>
              <w:rPr>
                <w:rFonts w:ascii="Times New Roman" w:eastAsia="Calibri" w:hAnsi="Times New Roman" w:cs="Times New Roman"/>
                <w:b/>
                <w:bCs/>
                <w:sz w:val="18"/>
                <w:szCs w:val="18"/>
              </w:rPr>
            </w:pPr>
            <w:r w:rsidRPr="009878E6">
              <w:rPr>
                <w:rFonts w:ascii="Times New Roman" w:eastAsia="Calibri" w:hAnsi="Times New Roman" w:cs="Times New Roman"/>
                <w:b/>
                <w:bCs/>
                <w:sz w:val="18"/>
                <w:szCs w:val="18"/>
              </w:rPr>
              <w:t>Total Annual Burden (in hours)</w:t>
            </w:r>
          </w:p>
        </w:tc>
        <w:tc>
          <w:tcPr>
            <w:tcW w:w="896" w:type="dxa"/>
            <w:shd w:val="clear" w:color="auto" w:fill="95B3D7" w:themeFill="accent1" w:themeFillTint="99"/>
          </w:tcPr>
          <w:p w:rsidR="00981DC9" w:rsidRPr="009878E6" w:rsidP="009878E6" w14:paraId="62F51B82" w14:textId="77777777">
            <w:pPr>
              <w:spacing w:line="276" w:lineRule="auto"/>
              <w:contextualSpacing/>
              <w:jc w:val="center"/>
              <w:rPr>
                <w:rFonts w:ascii="Times New Roman" w:eastAsia="Calibri" w:hAnsi="Times New Roman" w:cs="Times New Roman"/>
                <w:b/>
                <w:bCs/>
                <w:sz w:val="18"/>
                <w:szCs w:val="18"/>
              </w:rPr>
            </w:pPr>
            <w:r w:rsidRPr="009878E6">
              <w:rPr>
                <w:rFonts w:ascii="Times New Roman" w:eastAsia="Calibri" w:hAnsi="Times New Roman" w:cs="Times New Roman"/>
                <w:b/>
                <w:bCs/>
                <w:sz w:val="18"/>
                <w:szCs w:val="18"/>
              </w:rPr>
              <w:t>Avg. Hourly Wage Rate</w:t>
            </w:r>
          </w:p>
        </w:tc>
        <w:tc>
          <w:tcPr>
            <w:tcW w:w="1350" w:type="dxa"/>
            <w:shd w:val="clear" w:color="auto" w:fill="95B3D7" w:themeFill="accent1" w:themeFillTint="99"/>
          </w:tcPr>
          <w:p w:rsidR="00981DC9" w:rsidRPr="009878E6" w:rsidP="009878E6" w14:paraId="702D2CFB" w14:textId="77777777">
            <w:pPr>
              <w:spacing w:line="276" w:lineRule="auto"/>
              <w:contextualSpacing/>
              <w:jc w:val="center"/>
              <w:rPr>
                <w:rFonts w:ascii="Times New Roman" w:eastAsia="Calibri" w:hAnsi="Times New Roman" w:cs="Times New Roman"/>
                <w:b/>
                <w:bCs/>
                <w:sz w:val="18"/>
                <w:szCs w:val="18"/>
              </w:rPr>
            </w:pPr>
            <w:r w:rsidRPr="009878E6">
              <w:rPr>
                <w:rFonts w:ascii="Times New Roman" w:eastAsia="Calibri" w:hAnsi="Times New Roman" w:cs="Times New Roman"/>
                <w:b/>
                <w:bCs/>
                <w:sz w:val="18"/>
                <w:szCs w:val="18"/>
              </w:rPr>
              <w:t>Total Annual Respondent Cost</w:t>
            </w:r>
          </w:p>
        </w:tc>
      </w:tr>
      <w:tr w14:paraId="661F55C7" w14:textId="77777777" w:rsidTr="0098421F">
        <w:tblPrEx>
          <w:tblW w:w="11414" w:type="dxa"/>
          <w:jc w:val="center"/>
          <w:tblLook w:val="04A0"/>
        </w:tblPrEx>
        <w:trPr>
          <w:jc w:val="center"/>
        </w:trPr>
        <w:tc>
          <w:tcPr>
            <w:tcW w:w="1255" w:type="dxa"/>
            <w:vAlign w:val="center"/>
          </w:tcPr>
          <w:p w:rsidR="00981DC9" w:rsidRPr="009878E6" w:rsidP="009878E6" w14:paraId="3D50A449" w14:textId="52264BBB">
            <w:pPr>
              <w:spacing w:line="276" w:lineRule="auto"/>
              <w:contextualSpacing/>
              <w:rPr>
                <w:rFonts w:ascii="Times New Roman" w:hAnsi="Times New Roman" w:cs="Times New Roman"/>
                <w:sz w:val="18"/>
                <w:szCs w:val="18"/>
              </w:rPr>
            </w:pPr>
            <w:r w:rsidRPr="009878E6">
              <w:rPr>
                <w:rFonts w:ascii="Times New Roman" w:hAnsi="Times New Roman" w:cs="Times New Roman"/>
                <w:sz w:val="18"/>
                <w:szCs w:val="18"/>
              </w:rPr>
              <w:t>State, Local, and Tribal Governments</w:t>
            </w:r>
          </w:p>
        </w:tc>
        <w:tc>
          <w:tcPr>
            <w:tcW w:w="1890" w:type="dxa"/>
            <w:vAlign w:val="center"/>
          </w:tcPr>
          <w:p w:rsidR="00981DC9" w:rsidRPr="009878E6" w:rsidP="009878E6" w14:paraId="59BB5FEE" w14:textId="35376E17">
            <w:pPr>
              <w:spacing w:line="276" w:lineRule="auto"/>
              <w:contextualSpacing/>
              <w:rPr>
                <w:rFonts w:ascii="Times New Roman" w:eastAsia="Calibri" w:hAnsi="Times New Roman" w:cs="Times New Roman"/>
                <w:sz w:val="18"/>
                <w:szCs w:val="18"/>
              </w:rPr>
            </w:pPr>
            <w:r w:rsidRPr="009878E6">
              <w:rPr>
                <w:rFonts w:ascii="Times New Roman" w:hAnsi="Times New Roman" w:cs="Times New Roman"/>
                <w:sz w:val="18"/>
                <w:szCs w:val="18"/>
              </w:rPr>
              <w:t xml:space="preserve">Floodplain Administrator National Training Needs Assessment / </w:t>
            </w:r>
            <w:r w:rsidRPr="000E46EA">
              <w:rPr>
                <w:rFonts w:ascii="Times New Roman" w:hAnsi="Times New Roman" w:cs="Times New Roman"/>
                <w:color w:val="000000" w:themeColor="text1"/>
                <w:sz w:val="18"/>
                <w:szCs w:val="18"/>
              </w:rPr>
              <w:t xml:space="preserve">FEMA </w:t>
            </w:r>
            <w:r w:rsidRPr="000E46EA" w:rsidR="000B7CAE">
              <w:rPr>
                <w:rFonts w:ascii="Times New Roman" w:hAnsi="Times New Roman" w:cs="Times New Roman"/>
                <w:color w:val="000000" w:themeColor="text1"/>
                <w:sz w:val="18"/>
                <w:szCs w:val="18"/>
              </w:rPr>
              <w:t>Form FF-</w:t>
            </w:r>
            <w:r w:rsidRPr="000E46EA" w:rsidR="00983BFD">
              <w:rPr>
                <w:rFonts w:ascii="Times New Roman" w:hAnsi="Times New Roman" w:cs="Times New Roman"/>
                <w:color w:val="000000" w:themeColor="text1"/>
                <w:sz w:val="18"/>
                <w:szCs w:val="18"/>
              </w:rPr>
              <w:t>206</w:t>
            </w:r>
            <w:r w:rsidRPr="000E46EA" w:rsidR="000B7CAE">
              <w:rPr>
                <w:rFonts w:ascii="Times New Roman" w:hAnsi="Times New Roman" w:cs="Times New Roman"/>
                <w:color w:val="000000" w:themeColor="text1"/>
                <w:sz w:val="18"/>
                <w:szCs w:val="18"/>
              </w:rPr>
              <w:t>-FY-</w:t>
            </w:r>
            <w:r w:rsidRPr="000E46EA" w:rsidR="00983BFD">
              <w:rPr>
                <w:rFonts w:ascii="Times New Roman" w:hAnsi="Times New Roman" w:cs="Times New Roman"/>
                <w:color w:val="000000" w:themeColor="text1"/>
                <w:sz w:val="18"/>
                <w:szCs w:val="18"/>
              </w:rPr>
              <w:t>22</w:t>
            </w:r>
            <w:r w:rsidRPr="000E46EA" w:rsidR="000B7CAE">
              <w:rPr>
                <w:rFonts w:ascii="Times New Roman" w:hAnsi="Times New Roman" w:cs="Times New Roman"/>
                <w:color w:val="000000" w:themeColor="text1"/>
                <w:sz w:val="18"/>
                <w:szCs w:val="18"/>
              </w:rPr>
              <w:t>-</w:t>
            </w:r>
            <w:r w:rsidRPr="000E46EA" w:rsidR="00983BFD">
              <w:rPr>
                <w:rFonts w:ascii="Times New Roman" w:hAnsi="Times New Roman" w:cs="Times New Roman"/>
                <w:color w:val="000000" w:themeColor="text1"/>
                <w:sz w:val="18"/>
                <w:szCs w:val="18"/>
              </w:rPr>
              <w:t>159</w:t>
            </w:r>
          </w:p>
        </w:tc>
        <w:tc>
          <w:tcPr>
            <w:tcW w:w="1371" w:type="dxa"/>
            <w:vAlign w:val="center"/>
          </w:tcPr>
          <w:p w:rsidR="00981DC9" w:rsidRPr="009878E6" w:rsidP="009878E6" w14:paraId="045C1E62" w14:textId="37B030BD">
            <w:pPr>
              <w:spacing w:line="276" w:lineRule="auto"/>
              <w:contextualSpacing/>
              <w:jc w:val="center"/>
              <w:rPr>
                <w:rFonts w:ascii="Times New Roman" w:eastAsia="Calibri" w:hAnsi="Times New Roman" w:cs="Times New Roman"/>
                <w:sz w:val="18"/>
                <w:szCs w:val="18"/>
              </w:rPr>
            </w:pPr>
            <w:r w:rsidRPr="009878E6">
              <w:rPr>
                <w:rFonts w:ascii="Times New Roman" w:hAnsi="Times New Roman" w:cs="Times New Roman"/>
                <w:sz w:val="18"/>
                <w:szCs w:val="18"/>
              </w:rPr>
              <w:t>6,323</w:t>
            </w:r>
          </w:p>
        </w:tc>
        <w:tc>
          <w:tcPr>
            <w:tcW w:w="1350" w:type="dxa"/>
            <w:vAlign w:val="center"/>
          </w:tcPr>
          <w:p w:rsidR="00981DC9" w:rsidRPr="009878E6" w:rsidP="009878E6" w14:paraId="5D063ED0" w14:textId="12D65256">
            <w:pPr>
              <w:spacing w:line="276" w:lineRule="auto"/>
              <w:contextualSpacing/>
              <w:jc w:val="center"/>
              <w:rPr>
                <w:rFonts w:ascii="Times New Roman" w:eastAsia="Calibri" w:hAnsi="Times New Roman" w:cs="Times New Roman"/>
                <w:sz w:val="18"/>
                <w:szCs w:val="18"/>
              </w:rPr>
            </w:pPr>
            <w:r w:rsidRPr="009878E6">
              <w:rPr>
                <w:rFonts w:ascii="Times New Roman" w:hAnsi="Times New Roman" w:cs="Times New Roman"/>
                <w:sz w:val="18"/>
                <w:szCs w:val="18"/>
              </w:rPr>
              <w:t>1</w:t>
            </w:r>
          </w:p>
        </w:tc>
        <w:tc>
          <w:tcPr>
            <w:tcW w:w="1230" w:type="dxa"/>
            <w:vAlign w:val="center"/>
          </w:tcPr>
          <w:p w:rsidR="00981DC9" w:rsidRPr="009878E6" w:rsidP="009878E6" w14:paraId="53A487A7" w14:textId="1F036F7D">
            <w:pPr>
              <w:spacing w:line="276" w:lineRule="auto"/>
              <w:contextualSpacing/>
              <w:jc w:val="center"/>
              <w:rPr>
                <w:rFonts w:ascii="Times New Roman" w:eastAsia="Calibri" w:hAnsi="Times New Roman" w:cs="Times New Roman"/>
                <w:sz w:val="18"/>
                <w:szCs w:val="18"/>
              </w:rPr>
            </w:pPr>
            <w:r w:rsidRPr="009878E6">
              <w:rPr>
                <w:rFonts w:ascii="Times New Roman" w:hAnsi="Times New Roman" w:cs="Times New Roman"/>
                <w:sz w:val="18"/>
                <w:szCs w:val="18"/>
              </w:rPr>
              <w:t>6,323</w:t>
            </w:r>
          </w:p>
        </w:tc>
        <w:tc>
          <w:tcPr>
            <w:tcW w:w="1136" w:type="dxa"/>
            <w:vAlign w:val="center"/>
          </w:tcPr>
          <w:p w:rsidR="00981DC9" w:rsidRPr="009878E6" w:rsidP="009878E6" w14:paraId="69F5068E" w14:textId="53E2619A">
            <w:pPr>
              <w:spacing w:line="276" w:lineRule="auto"/>
              <w:contextualSpacing/>
              <w:jc w:val="center"/>
              <w:rPr>
                <w:rFonts w:ascii="Times New Roman" w:eastAsia="Calibri" w:hAnsi="Times New Roman" w:cs="Times New Roman"/>
                <w:sz w:val="18"/>
                <w:szCs w:val="18"/>
              </w:rPr>
            </w:pPr>
            <w:r w:rsidRPr="009878E6">
              <w:rPr>
                <w:rFonts w:ascii="Times New Roman" w:hAnsi="Times New Roman" w:cs="Times New Roman"/>
                <w:sz w:val="18"/>
                <w:szCs w:val="18"/>
              </w:rPr>
              <w:t>0.5</w:t>
            </w:r>
          </w:p>
        </w:tc>
        <w:tc>
          <w:tcPr>
            <w:tcW w:w="936" w:type="dxa"/>
            <w:vAlign w:val="center"/>
          </w:tcPr>
          <w:p w:rsidR="00981DC9" w:rsidRPr="009878E6" w:rsidP="009878E6" w14:paraId="78095D35" w14:textId="5894DCB6">
            <w:pPr>
              <w:spacing w:line="276" w:lineRule="auto"/>
              <w:contextualSpacing/>
              <w:jc w:val="center"/>
              <w:rPr>
                <w:rFonts w:ascii="Times New Roman" w:eastAsia="Calibri" w:hAnsi="Times New Roman" w:cs="Times New Roman"/>
                <w:sz w:val="18"/>
                <w:szCs w:val="18"/>
              </w:rPr>
            </w:pPr>
            <w:r w:rsidRPr="009878E6">
              <w:rPr>
                <w:rFonts w:ascii="Times New Roman" w:hAnsi="Times New Roman" w:cs="Times New Roman"/>
                <w:sz w:val="18"/>
                <w:szCs w:val="18"/>
              </w:rPr>
              <w:t>3,</w:t>
            </w:r>
            <w:r w:rsidRPr="009878E6" w:rsidR="00F4599C">
              <w:rPr>
                <w:rFonts w:ascii="Times New Roman" w:hAnsi="Times New Roman" w:cs="Times New Roman"/>
                <w:sz w:val="18"/>
                <w:szCs w:val="18"/>
              </w:rPr>
              <w:t>16</w:t>
            </w:r>
            <w:r w:rsidR="00A93379">
              <w:rPr>
                <w:rFonts w:ascii="Times New Roman" w:hAnsi="Times New Roman" w:cs="Times New Roman"/>
                <w:sz w:val="18"/>
                <w:szCs w:val="18"/>
              </w:rPr>
              <w:t>2</w:t>
            </w:r>
          </w:p>
        </w:tc>
        <w:tc>
          <w:tcPr>
            <w:tcW w:w="896" w:type="dxa"/>
            <w:vAlign w:val="center"/>
          </w:tcPr>
          <w:p w:rsidR="00981DC9" w:rsidRPr="009878E6" w:rsidP="009878E6" w14:paraId="1A49C27A" w14:textId="6BA65051">
            <w:pPr>
              <w:spacing w:line="276" w:lineRule="auto"/>
              <w:contextualSpacing/>
              <w:jc w:val="center"/>
              <w:rPr>
                <w:rFonts w:ascii="Times New Roman" w:eastAsia="Calibri" w:hAnsi="Times New Roman" w:cs="Times New Roman"/>
                <w:sz w:val="18"/>
                <w:szCs w:val="18"/>
              </w:rPr>
            </w:pPr>
            <w:r w:rsidRPr="009878E6">
              <w:rPr>
                <w:rFonts w:ascii="Times New Roman" w:hAnsi="Times New Roman" w:cs="Times New Roman"/>
                <w:sz w:val="18"/>
                <w:szCs w:val="18"/>
              </w:rPr>
              <w:t>$</w:t>
            </w:r>
            <w:r w:rsidRPr="009878E6" w:rsidR="004E4EA1">
              <w:rPr>
                <w:rFonts w:ascii="Times New Roman" w:hAnsi="Times New Roman" w:cs="Times New Roman"/>
                <w:sz w:val="18"/>
                <w:szCs w:val="18"/>
              </w:rPr>
              <w:t>39.32</w:t>
            </w:r>
          </w:p>
        </w:tc>
        <w:tc>
          <w:tcPr>
            <w:tcW w:w="1350" w:type="dxa"/>
            <w:vAlign w:val="center"/>
          </w:tcPr>
          <w:p w:rsidR="00981DC9" w:rsidRPr="009878E6" w:rsidP="009878E6" w14:paraId="1AB67E7E" w14:textId="61E41A57">
            <w:pPr>
              <w:spacing w:line="276" w:lineRule="auto"/>
              <w:contextualSpacing/>
              <w:jc w:val="right"/>
              <w:rPr>
                <w:rFonts w:ascii="Times New Roman" w:eastAsia="Calibri" w:hAnsi="Times New Roman" w:cs="Times New Roman"/>
                <w:sz w:val="18"/>
                <w:szCs w:val="18"/>
              </w:rPr>
            </w:pPr>
            <w:r w:rsidRPr="009878E6">
              <w:rPr>
                <w:rFonts w:ascii="Times New Roman" w:hAnsi="Times New Roman" w:cs="Times New Roman"/>
                <w:sz w:val="18"/>
                <w:szCs w:val="18"/>
              </w:rPr>
              <w:t>$</w:t>
            </w:r>
            <w:r w:rsidRPr="009878E6" w:rsidR="00A444D4">
              <w:rPr>
                <w:rFonts w:ascii="Times New Roman" w:hAnsi="Times New Roman" w:cs="Times New Roman"/>
                <w:sz w:val="18"/>
                <w:szCs w:val="18"/>
              </w:rPr>
              <w:t>1</w:t>
            </w:r>
            <w:r w:rsidR="007717B2">
              <w:rPr>
                <w:rFonts w:ascii="Times New Roman" w:hAnsi="Times New Roman" w:cs="Times New Roman"/>
                <w:sz w:val="18"/>
                <w:szCs w:val="18"/>
              </w:rPr>
              <w:t>37,</w:t>
            </w:r>
            <w:r w:rsidR="001650AF">
              <w:rPr>
                <w:rFonts w:ascii="Times New Roman" w:hAnsi="Times New Roman" w:cs="Times New Roman"/>
                <w:sz w:val="18"/>
                <w:szCs w:val="18"/>
              </w:rPr>
              <w:t>895</w:t>
            </w:r>
          </w:p>
        </w:tc>
      </w:tr>
      <w:tr w14:paraId="48AA1940" w14:textId="77777777" w:rsidTr="0098421F">
        <w:tblPrEx>
          <w:tblW w:w="11414" w:type="dxa"/>
          <w:jc w:val="center"/>
          <w:tblLook w:val="04A0"/>
        </w:tblPrEx>
        <w:trPr>
          <w:jc w:val="center"/>
        </w:trPr>
        <w:tc>
          <w:tcPr>
            <w:tcW w:w="1255" w:type="dxa"/>
            <w:shd w:val="clear" w:color="auto" w:fill="FFFFFF" w:themeFill="background1"/>
          </w:tcPr>
          <w:p w:rsidR="00981DC9" w:rsidRPr="009878E6" w:rsidP="009878E6" w14:paraId="4989F3AD" w14:textId="77777777">
            <w:pPr>
              <w:spacing w:line="276" w:lineRule="auto"/>
              <w:contextualSpacing/>
              <w:rPr>
                <w:rFonts w:ascii="Times New Roman" w:eastAsia="Calibri" w:hAnsi="Times New Roman" w:cs="Times New Roman"/>
                <w:b/>
                <w:bCs/>
                <w:color w:val="000000" w:themeColor="text1"/>
                <w:sz w:val="18"/>
                <w:szCs w:val="18"/>
              </w:rPr>
            </w:pPr>
            <w:r w:rsidRPr="009878E6">
              <w:rPr>
                <w:rFonts w:ascii="Times New Roman" w:eastAsia="Calibri" w:hAnsi="Times New Roman" w:cs="Times New Roman"/>
                <w:b/>
                <w:bCs/>
                <w:color w:val="000000" w:themeColor="text1"/>
                <w:sz w:val="18"/>
                <w:szCs w:val="18"/>
              </w:rPr>
              <w:t>Total</w:t>
            </w:r>
          </w:p>
        </w:tc>
        <w:tc>
          <w:tcPr>
            <w:tcW w:w="1890" w:type="dxa"/>
            <w:shd w:val="clear" w:color="auto" w:fill="000000" w:themeFill="text1"/>
          </w:tcPr>
          <w:p w:rsidR="00981DC9" w:rsidRPr="009878E6" w:rsidP="009878E6" w14:paraId="4C561ED9" w14:textId="77777777">
            <w:pPr>
              <w:spacing w:line="276" w:lineRule="auto"/>
              <w:contextualSpacing/>
              <w:rPr>
                <w:rFonts w:ascii="Times New Roman" w:eastAsia="Calibri" w:hAnsi="Times New Roman" w:cs="Times New Roman"/>
                <w:b/>
                <w:bCs/>
                <w:color w:val="000000" w:themeColor="text1"/>
                <w:sz w:val="18"/>
                <w:szCs w:val="18"/>
              </w:rPr>
            </w:pPr>
          </w:p>
        </w:tc>
        <w:tc>
          <w:tcPr>
            <w:tcW w:w="1371" w:type="dxa"/>
            <w:vAlign w:val="center"/>
          </w:tcPr>
          <w:p w:rsidR="00981DC9" w:rsidRPr="0098421F" w:rsidP="000E46EA" w14:paraId="1EEA3876" w14:textId="6649F780">
            <w:pPr>
              <w:spacing w:line="276" w:lineRule="auto"/>
              <w:contextualSpacing/>
              <w:jc w:val="center"/>
              <w:rPr>
                <w:rFonts w:ascii="Times New Roman" w:eastAsia="Calibri" w:hAnsi="Times New Roman" w:cs="Times New Roman"/>
                <w:b/>
                <w:bCs/>
                <w:sz w:val="18"/>
                <w:szCs w:val="18"/>
              </w:rPr>
            </w:pPr>
            <w:r w:rsidRPr="0098421F">
              <w:rPr>
                <w:rFonts w:ascii="Times New Roman" w:hAnsi="Times New Roman" w:cs="Times New Roman"/>
                <w:b/>
                <w:bCs/>
                <w:sz w:val="18"/>
                <w:szCs w:val="18"/>
              </w:rPr>
              <w:t>6,323</w:t>
            </w:r>
          </w:p>
        </w:tc>
        <w:tc>
          <w:tcPr>
            <w:tcW w:w="1350" w:type="dxa"/>
            <w:shd w:val="clear" w:color="auto" w:fill="000000"/>
            <w:vAlign w:val="center"/>
          </w:tcPr>
          <w:p w:rsidR="00981DC9" w:rsidRPr="0098421F" w:rsidP="009878E6" w14:paraId="1A84C13D" w14:textId="77777777">
            <w:pPr>
              <w:spacing w:line="276" w:lineRule="auto"/>
              <w:contextualSpacing/>
              <w:jc w:val="right"/>
              <w:rPr>
                <w:rFonts w:ascii="Times New Roman" w:eastAsia="Calibri" w:hAnsi="Times New Roman" w:cs="Times New Roman"/>
                <w:b/>
                <w:bCs/>
                <w:sz w:val="18"/>
                <w:szCs w:val="18"/>
              </w:rPr>
            </w:pPr>
          </w:p>
        </w:tc>
        <w:tc>
          <w:tcPr>
            <w:tcW w:w="1230" w:type="dxa"/>
            <w:vAlign w:val="center"/>
          </w:tcPr>
          <w:p w:rsidR="00981DC9" w:rsidRPr="0098421F" w:rsidP="009878E6" w14:paraId="71F607BD" w14:textId="5A505DD1">
            <w:pPr>
              <w:spacing w:line="276" w:lineRule="auto"/>
              <w:contextualSpacing/>
              <w:jc w:val="center"/>
              <w:rPr>
                <w:rFonts w:ascii="Times New Roman" w:eastAsia="Calibri" w:hAnsi="Times New Roman" w:cs="Times New Roman"/>
                <w:b/>
                <w:bCs/>
                <w:sz w:val="18"/>
                <w:szCs w:val="18"/>
              </w:rPr>
            </w:pPr>
            <w:r w:rsidRPr="0098421F">
              <w:rPr>
                <w:rFonts w:ascii="Times New Roman" w:hAnsi="Times New Roman" w:cs="Times New Roman"/>
                <w:b/>
                <w:bCs/>
                <w:sz w:val="18"/>
                <w:szCs w:val="18"/>
              </w:rPr>
              <w:t>6,323</w:t>
            </w:r>
          </w:p>
        </w:tc>
        <w:tc>
          <w:tcPr>
            <w:tcW w:w="1136" w:type="dxa"/>
            <w:shd w:val="clear" w:color="auto" w:fill="000000"/>
            <w:vAlign w:val="center"/>
          </w:tcPr>
          <w:p w:rsidR="00981DC9" w:rsidRPr="0098421F" w:rsidP="009878E6" w14:paraId="0693E1EA" w14:textId="77777777">
            <w:pPr>
              <w:spacing w:line="276" w:lineRule="auto"/>
              <w:contextualSpacing/>
              <w:jc w:val="center"/>
              <w:rPr>
                <w:rFonts w:ascii="Times New Roman" w:eastAsia="Calibri" w:hAnsi="Times New Roman" w:cs="Times New Roman"/>
                <w:b/>
                <w:bCs/>
                <w:sz w:val="18"/>
                <w:szCs w:val="18"/>
              </w:rPr>
            </w:pPr>
          </w:p>
        </w:tc>
        <w:tc>
          <w:tcPr>
            <w:tcW w:w="936" w:type="dxa"/>
            <w:vAlign w:val="center"/>
          </w:tcPr>
          <w:p w:rsidR="00981DC9" w:rsidRPr="0098421F" w:rsidP="009878E6" w14:paraId="724E720C" w14:textId="06D36ED9">
            <w:pPr>
              <w:spacing w:line="276" w:lineRule="auto"/>
              <w:contextualSpacing/>
              <w:jc w:val="center"/>
              <w:rPr>
                <w:rFonts w:ascii="Times New Roman" w:eastAsia="Calibri" w:hAnsi="Times New Roman" w:cs="Times New Roman"/>
                <w:b/>
                <w:bCs/>
                <w:sz w:val="18"/>
                <w:szCs w:val="18"/>
              </w:rPr>
            </w:pPr>
            <w:r w:rsidRPr="0098421F">
              <w:rPr>
                <w:rFonts w:ascii="Times New Roman" w:hAnsi="Times New Roman" w:cs="Times New Roman"/>
                <w:b/>
                <w:bCs/>
                <w:sz w:val="18"/>
                <w:szCs w:val="18"/>
              </w:rPr>
              <w:t>3,</w:t>
            </w:r>
            <w:r w:rsidRPr="0098421F" w:rsidR="00143E70">
              <w:rPr>
                <w:rFonts w:ascii="Times New Roman" w:hAnsi="Times New Roman" w:cs="Times New Roman"/>
                <w:b/>
                <w:bCs/>
                <w:sz w:val="18"/>
                <w:szCs w:val="18"/>
              </w:rPr>
              <w:t>16</w:t>
            </w:r>
            <w:r w:rsidR="00A93379">
              <w:rPr>
                <w:rFonts w:ascii="Times New Roman" w:hAnsi="Times New Roman" w:cs="Times New Roman"/>
                <w:b/>
                <w:bCs/>
                <w:sz w:val="18"/>
                <w:szCs w:val="18"/>
              </w:rPr>
              <w:t>2</w:t>
            </w:r>
          </w:p>
        </w:tc>
        <w:tc>
          <w:tcPr>
            <w:tcW w:w="896" w:type="dxa"/>
            <w:shd w:val="clear" w:color="auto" w:fill="000000"/>
            <w:vAlign w:val="center"/>
          </w:tcPr>
          <w:p w:rsidR="00981DC9" w:rsidRPr="0098421F" w:rsidP="009878E6" w14:paraId="467A1E5C" w14:textId="77777777">
            <w:pPr>
              <w:spacing w:line="276" w:lineRule="auto"/>
              <w:contextualSpacing/>
              <w:jc w:val="right"/>
              <w:rPr>
                <w:rFonts w:ascii="Times New Roman" w:eastAsia="Calibri" w:hAnsi="Times New Roman" w:cs="Times New Roman"/>
                <w:b/>
                <w:bCs/>
                <w:sz w:val="18"/>
                <w:szCs w:val="18"/>
              </w:rPr>
            </w:pPr>
          </w:p>
        </w:tc>
        <w:tc>
          <w:tcPr>
            <w:tcW w:w="1350" w:type="dxa"/>
            <w:vAlign w:val="center"/>
          </w:tcPr>
          <w:p w:rsidR="00981DC9" w:rsidRPr="0098421F" w:rsidP="009878E6" w14:paraId="55EB8DC1" w14:textId="78503C3E">
            <w:pPr>
              <w:spacing w:line="276" w:lineRule="auto"/>
              <w:contextualSpacing/>
              <w:jc w:val="right"/>
              <w:rPr>
                <w:rFonts w:ascii="Times New Roman" w:eastAsia="Calibri" w:hAnsi="Times New Roman" w:cs="Times New Roman"/>
                <w:b/>
                <w:bCs/>
                <w:sz w:val="18"/>
                <w:szCs w:val="18"/>
              </w:rPr>
            </w:pPr>
            <w:r w:rsidRPr="0098421F">
              <w:rPr>
                <w:rFonts w:ascii="Times New Roman" w:hAnsi="Times New Roman" w:cs="Times New Roman"/>
                <w:b/>
                <w:bCs/>
                <w:sz w:val="18"/>
                <w:szCs w:val="18"/>
              </w:rPr>
              <w:t>$</w:t>
            </w:r>
            <w:r w:rsidRPr="0098421F" w:rsidR="00A444D4">
              <w:rPr>
                <w:rFonts w:ascii="Times New Roman" w:hAnsi="Times New Roman" w:cs="Times New Roman"/>
                <w:b/>
                <w:bCs/>
                <w:sz w:val="18"/>
                <w:szCs w:val="18"/>
              </w:rPr>
              <w:t>1</w:t>
            </w:r>
            <w:r w:rsidR="001650AF">
              <w:rPr>
                <w:rFonts w:ascii="Times New Roman" w:hAnsi="Times New Roman" w:cs="Times New Roman"/>
                <w:b/>
                <w:bCs/>
                <w:sz w:val="18"/>
                <w:szCs w:val="18"/>
              </w:rPr>
              <w:t>37,895</w:t>
            </w:r>
          </w:p>
        </w:tc>
      </w:tr>
    </w:tbl>
    <w:p w:rsidR="00562915" w:rsidRPr="009878E6" w:rsidP="009878E6" w14:paraId="7B09F095" w14:textId="77777777">
      <w:pPr>
        <w:tabs>
          <w:tab w:val="left" w:pos="-720"/>
        </w:tabs>
        <w:suppressAutoHyphens/>
        <w:contextualSpacing/>
        <w:rPr>
          <w:rFonts w:ascii="Times New Roman" w:hAnsi="Times New Roman" w:cs="Times New Roman"/>
          <w:sz w:val="24"/>
          <w:szCs w:val="24"/>
        </w:rPr>
      </w:pPr>
    </w:p>
    <w:p w:rsidR="00562915" w:rsidRPr="009878E6" w:rsidP="009878E6" w14:paraId="475F7007" w14:textId="5052FE0F">
      <w:pPr>
        <w:tabs>
          <w:tab w:val="left" w:pos="-720"/>
        </w:tabs>
        <w:suppressAutoHyphens/>
        <w:contextualSpacing/>
        <w:rPr>
          <w:rFonts w:ascii="Times New Roman" w:hAnsi="Times New Roman" w:cs="Times New Roman"/>
          <w:sz w:val="24"/>
          <w:szCs w:val="24"/>
        </w:rPr>
      </w:pPr>
      <w:r w:rsidRPr="009878E6">
        <w:rPr>
          <w:rFonts w:ascii="Times New Roman" w:hAnsi="Times New Roman" w:cs="Times New Roman"/>
          <w:b/>
          <w:sz w:val="24"/>
          <w:szCs w:val="24"/>
        </w:rPr>
        <w:t>Instruction for Wage-rate category multiplier:  Take each non-loaded “Avg. Hourly Wage Rate” from the BLS website table and multiply that number by 1.</w:t>
      </w:r>
      <w:r w:rsidRPr="009878E6" w:rsidR="004128E9">
        <w:rPr>
          <w:rFonts w:ascii="Times New Roman" w:hAnsi="Times New Roman" w:cs="Times New Roman"/>
          <w:b/>
          <w:sz w:val="24"/>
          <w:szCs w:val="24"/>
        </w:rPr>
        <w:t>61</w:t>
      </w:r>
      <w:r w:rsidRPr="009878E6">
        <w:rPr>
          <w:rFonts w:ascii="Times New Roman" w:hAnsi="Times New Roman" w:cs="Times New Roman"/>
          <w:b/>
          <w:sz w:val="24"/>
          <w:szCs w:val="24"/>
        </w:rPr>
        <w:t>.</w:t>
      </w:r>
      <w:r>
        <w:rPr>
          <w:rStyle w:val="FootnoteReference"/>
          <w:rFonts w:ascii="Times New Roman" w:hAnsi="Times New Roman" w:cs="Times New Roman"/>
          <w:b/>
          <w:sz w:val="24"/>
          <w:szCs w:val="24"/>
        </w:rPr>
        <w:footnoteReference w:id="10"/>
      </w:r>
      <w:r w:rsidRPr="009878E6">
        <w:rPr>
          <w:rFonts w:ascii="Times New Roman" w:hAnsi="Times New Roman" w:cs="Times New Roman"/>
          <w:b/>
          <w:sz w:val="24"/>
          <w:szCs w:val="24"/>
        </w:rPr>
        <w:t xml:space="preserve">  For example, a non-loaded BLS table wage rate of $42.51 would be multiplied by 1.</w:t>
      </w:r>
      <w:r w:rsidRPr="009878E6" w:rsidR="00143E70">
        <w:rPr>
          <w:rFonts w:ascii="Times New Roman" w:hAnsi="Times New Roman" w:cs="Times New Roman"/>
          <w:b/>
          <w:sz w:val="24"/>
          <w:szCs w:val="24"/>
        </w:rPr>
        <w:t>61</w:t>
      </w:r>
      <w:r w:rsidRPr="009878E6">
        <w:rPr>
          <w:rFonts w:ascii="Times New Roman" w:hAnsi="Times New Roman" w:cs="Times New Roman"/>
          <w:b/>
          <w:sz w:val="24"/>
          <w:szCs w:val="24"/>
        </w:rPr>
        <w:t>, and the entry for the “Avg. Hourly Wage Rate” would be $</w:t>
      </w:r>
      <w:r w:rsidRPr="009878E6" w:rsidR="0068563F">
        <w:rPr>
          <w:rFonts w:ascii="Times New Roman" w:hAnsi="Times New Roman" w:cs="Times New Roman"/>
          <w:b/>
          <w:sz w:val="24"/>
          <w:szCs w:val="24"/>
        </w:rPr>
        <w:t>68.44</w:t>
      </w:r>
      <w:r w:rsidRPr="009878E6">
        <w:rPr>
          <w:rFonts w:ascii="Times New Roman" w:hAnsi="Times New Roman" w:cs="Times New Roman"/>
          <w:b/>
          <w:sz w:val="24"/>
          <w:szCs w:val="24"/>
        </w:rPr>
        <w:t>.</w:t>
      </w:r>
    </w:p>
    <w:p w:rsidR="007E0E6C" w:rsidRPr="009878E6" w:rsidP="009878E6" w14:paraId="1ABCD994" w14:textId="77777777">
      <w:pPr>
        <w:tabs>
          <w:tab w:val="left" w:pos="-720"/>
        </w:tabs>
        <w:suppressAutoHyphens/>
        <w:contextualSpacing/>
        <w:rPr>
          <w:rFonts w:ascii="Times New Roman" w:hAnsi="Times New Roman" w:cs="Times New Roman"/>
          <w:sz w:val="24"/>
          <w:szCs w:val="24"/>
        </w:rPr>
      </w:pPr>
    </w:p>
    <w:p w:rsidR="007E0E6C" w:rsidP="009878E6" w14:paraId="77E7E012" w14:textId="661B7523">
      <w:pPr>
        <w:tabs>
          <w:tab w:val="left" w:pos="-720"/>
        </w:tabs>
        <w:suppressAutoHyphens/>
        <w:contextualSpacing/>
        <w:rPr>
          <w:rFonts w:ascii="Times New Roman" w:hAnsi="Times New Roman" w:cs="Times New Roman"/>
          <w:sz w:val="24"/>
          <w:szCs w:val="24"/>
        </w:rPr>
      </w:pPr>
      <w:r w:rsidRPr="009878E6">
        <w:rPr>
          <w:rFonts w:ascii="Times New Roman" w:hAnsi="Times New Roman" w:cs="Times New Roman"/>
          <w:sz w:val="24"/>
          <w:szCs w:val="24"/>
        </w:rPr>
        <w:t>According to the U.S. Department of Labor, Bureau of Labor Statistics, the May 2021 Occupational Employment and Wage Estimates wage rate for Surveying and Mapping Technicians SOC</w:t>
      </w:r>
      <w:r w:rsidRPr="009878E6" w:rsidR="00875873">
        <w:rPr>
          <w:rFonts w:ascii="Times New Roman" w:hAnsi="Times New Roman" w:cs="Times New Roman"/>
          <w:sz w:val="24"/>
          <w:szCs w:val="24"/>
        </w:rPr>
        <w:t xml:space="preserve"> 17-</w:t>
      </w:r>
      <w:r w:rsidRPr="009878E6" w:rsidR="00CD33BB">
        <w:rPr>
          <w:rFonts w:ascii="Times New Roman" w:hAnsi="Times New Roman" w:cs="Times New Roman"/>
          <w:sz w:val="24"/>
          <w:szCs w:val="24"/>
        </w:rPr>
        <w:t>3031</w:t>
      </w:r>
      <w:r w:rsidR="00221E17">
        <w:rPr>
          <w:rFonts w:ascii="Times New Roman" w:hAnsi="Times New Roman" w:cs="Times New Roman"/>
          <w:sz w:val="24"/>
          <w:szCs w:val="24"/>
        </w:rPr>
        <w:t xml:space="preserve"> for local government</w:t>
      </w:r>
      <w:r w:rsidRPr="009878E6">
        <w:rPr>
          <w:rFonts w:ascii="Times New Roman" w:hAnsi="Times New Roman" w:cs="Times New Roman"/>
          <w:sz w:val="24"/>
          <w:szCs w:val="24"/>
        </w:rPr>
        <w:t xml:space="preserve"> is </w:t>
      </w:r>
      <w:r w:rsidRPr="009878E6" w:rsidR="00B230FD">
        <w:rPr>
          <w:rFonts w:ascii="Times New Roman" w:hAnsi="Times New Roman" w:cs="Times New Roman"/>
          <w:sz w:val="24"/>
          <w:szCs w:val="24"/>
        </w:rPr>
        <w:t>$2</w:t>
      </w:r>
      <w:r w:rsidR="00675B61">
        <w:rPr>
          <w:rFonts w:ascii="Times New Roman" w:hAnsi="Times New Roman" w:cs="Times New Roman"/>
          <w:sz w:val="24"/>
          <w:szCs w:val="24"/>
        </w:rPr>
        <w:t>7.09</w:t>
      </w:r>
      <w:r w:rsidRPr="009878E6">
        <w:rPr>
          <w:rFonts w:ascii="Times New Roman" w:hAnsi="Times New Roman" w:cs="Times New Roman"/>
          <w:sz w:val="24"/>
          <w:szCs w:val="24"/>
        </w:rPr>
        <w:t>.</w:t>
      </w:r>
      <w:r w:rsidRPr="009878E6">
        <w:rPr>
          <w:rStyle w:val="FootnoteReference"/>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11"/>
      </w:r>
      <w:r w:rsidRPr="009878E6">
        <w:rPr>
          <w:rFonts w:ascii="Times New Roman" w:hAnsi="Times New Roman" w:cs="Times New Roman"/>
          <w:sz w:val="24"/>
          <w:szCs w:val="24"/>
        </w:rPr>
        <w:t xml:space="preserve">  Including the wage rate multiplier of 1.</w:t>
      </w:r>
      <w:r w:rsidRPr="009878E6" w:rsidR="005612D1">
        <w:rPr>
          <w:rFonts w:ascii="Times New Roman" w:hAnsi="Times New Roman" w:cs="Times New Roman"/>
          <w:sz w:val="24"/>
          <w:szCs w:val="24"/>
        </w:rPr>
        <w:t>61</w:t>
      </w:r>
      <w:r w:rsidRPr="009878E6">
        <w:rPr>
          <w:rFonts w:ascii="Times New Roman" w:hAnsi="Times New Roman" w:cs="Times New Roman"/>
          <w:sz w:val="24"/>
          <w:szCs w:val="24"/>
        </w:rPr>
        <w:t>, the fully-loaded wage rate is $</w:t>
      </w:r>
      <w:r w:rsidR="00675B61">
        <w:rPr>
          <w:rFonts w:ascii="Times New Roman" w:hAnsi="Times New Roman" w:cs="Times New Roman"/>
          <w:sz w:val="24"/>
          <w:szCs w:val="24"/>
        </w:rPr>
        <w:t>43.61</w:t>
      </w:r>
      <w:r w:rsidRPr="009878E6">
        <w:rPr>
          <w:rFonts w:ascii="Times New Roman" w:hAnsi="Times New Roman" w:cs="Times New Roman"/>
          <w:sz w:val="24"/>
          <w:szCs w:val="24"/>
        </w:rPr>
        <w:t xml:space="preserve"> per hour.  Therefore, the</w:t>
      </w:r>
      <w:r w:rsidRPr="009878E6">
        <w:rPr>
          <w:rFonts w:ascii="Times New Roman" w:hAnsi="Times New Roman" w:cs="Times New Roman"/>
          <w:sz w:val="24"/>
          <w:szCs w:val="24"/>
        </w:rPr>
        <w:t xml:space="preserve"> </w:t>
      </w:r>
      <w:r w:rsidRPr="009878E6">
        <w:rPr>
          <w:rFonts w:ascii="Times New Roman" w:hAnsi="Times New Roman" w:cs="Times New Roman"/>
          <w:sz w:val="24"/>
          <w:szCs w:val="24"/>
        </w:rPr>
        <w:t xml:space="preserve">burden hour cost is estimated to be </w:t>
      </w:r>
      <w:r w:rsidRPr="009878E6" w:rsidR="00684298">
        <w:rPr>
          <w:rFonts w:ascii="Times New Roman" w:hAnsi="Times New Roman" w:cs="Times New Roman"/>
          <w:sz w:val="24"/>
          <w:szCs w:val="24"/>
        </w:rPr>
        <w:t>$</w:t>
      </w:r>
      <w:r w:rsidRPr="009878E6" w:rsidR="0009597C">
        <w:rPr>
          <w:rFonts w:ascii="Times New Roman" w:hAnsi="Times New Roman" w:cs="Times New Roman"/>
          <w:sz w:val="24"/>
          <w:szCs w:val="24"/>
        </w:rPr>
        <w:t>1</w:t>
      </w:r>
      <w:r w:rsidR="007717B2">
        <w:rPr>
          <w:rFonts w:ascii="Times New Roman" w:hAnsi="Times New Roman" w:cs="Times New Roman"/>
          <w:sz w:val="24"/>
          <w:szCs w:val="24"/>
        </w:rPr>
        <w:t>37,895</w:t>
      </w:r>
      <w:r w:rsidRPr="009878E6" w:rsidR="00684298">
        <w:rPr>
          <w:rFonts w:ascii="Times New Roman" w:hAnsi="Times New Roman" w:cs="Times New Roman"/>
          <w:sz w:val="24"/>
          <w:szCs w:val="24"/>
        </w:rPr>
        <w:t xml:space="preserve"> </w:t>
      </w:r>
      <w:r w:rsidRPr="009878E6">
        <w:rPr>
          <w:rFonts w:ascii="Times New Roman" w:hAnsi="Times New Roman" w:cs="Times New Roman"/>
          <w:sz w:val="24"/>
          <w:szCs w:val="24"/>
        </w:rPr>
        <w:t>($</w:t>
      </w:r>
      <w:r w:rsidR="00675B61">
        <w:rPr>
          <w:rFonts w:ascii="Times New Roman" w:hAnsi="Times New Roman" w:cs="Times New Roman"/>
          <w:sz w:val="24"/>
          <w:szCs w:val="24"/>
        </w:rPr>
        <w:t>43.61</w:t>
      </w:r>
      <w:r w:rsidRPr="009878E6">
        <w:rPr>
          <w:rFonts w:ascii="Times New Roman" w:hAnsi="Times New Roman" w:cs="Times New Roman"/>
          <w:sz w:val="24"/>
          <w:szCs w:val="24"/>
        </w:rPr>
        <w:t xml:space="preserve"> x </w:t>
      </w:r>
      <w:r w:rsidRPr="009878E6" w:rsidR="00597D45">
        <w:rPr>
          <w:rFonts w:ascii="Times New Roman" w:hAnsi="Times New Roman" w:cs="Times New Roman"/>
          <w:sz w:val="24"/>
          <w:szCs w:val="24"/>
        </w:rPr>
        <w:t>3,</w:t>
      </w:r>
      <w:r w:rsidRPr="009878E6" w:rsidR="004750CB">
        <w:rPr>
          <w:rFonts w:ascii="Times New Roman" w:hAnsi="Times New Roman" w:cs="Times New Roman"/>
          <w:sz w:val="24"/>
          <w:szCs w:val="24"/>
        </w:rPr>
        <w:t>16</w:t>
      </w:r>
      <w:r w:rsidR="007717B2">
        <w:rPr>
          <w:rFonts w:ascii="Times New Roman" w:hAnsi="Times New Roman" w:cs="Times New Roman"/>
          <w:sz w:val="24"/>
          <w:szCs w:val="24"/>
        </w:rPr>
        <w:t>2</w:t>
      </w:r>
      <w:r w:rsidRPr="009878E6">
        <w:rPr>
          <w:rFonts w:ascii="Times New Roman" w:hAnsi="Times New Roman" w:cs="Times New Roman"/>
          <w:sz w:val="24"/>
          <w:szCs w:val="24"/>
        </w:rPr>
        <w:t xml:space="preserve"> hours)</w:t>
      </w:r>
      <w:r w:rsidRPr="009878E6" w:rsidR="00437C9A">
        <w:rPr>
          <w:rFonts w:ascii="Times New Roman" w:hAnsi="Times New Roman" w:cs="Times New Roman"/>
          <w:sz w:val="24"/>
          <w:szCs w:val="24"/>
        </w:rPr>
        <w:t xml:space="preserve"> annually</w:t>
      </w:r>
      <w:r w:rsidRPr="009878E6">
        <w:rPr>
          <w:rFonts w:ascii="Times New Roman" w:hAnsi="Times New Roman" w:cs="Times New Roman"/>
          <w:sz w:val="24"/>
          <w:szCs w:val="24"/>
        </w:rPr>
        <w:t>.</w:t>
      </w:r>
    </w:p>
    <w:p w:rsidR="000B7CAE" w:rsidRPr="009878E6" w:rsidP="009878E6" w14:paraId="5848FEBE" w14:textId="77777777">
      <w:pPr>
        <w:tabs>
          <w:tab w:val="left" w:pos="-720"/>
        </w:tabs>
        <w:suppressAutoHyphens/>
        <w:contextualSpacing/>
        <w:rPr>
          <w:rFonts w:ascii="Times New Roman" w:hAnsi="Times New Roman" w:cs="Times New Roman"/>
          <w:sz w:val="24"/>
          <w:szCs w:val="24"/>
        </w:rPr>
      </w:pPr>
    </w:p>
    <w:p w:rsidR="00562915" w:rsidRPr="009878E6" w:rsidP="009878E6" w14:paraId="0C671C3F" w14:textId="77777777">
      <w:pPr>
        <w:contextualSpacing/>
        <w:rPr>
          <w:rFonts w:ascii="Times New Roman" w:hAnsi="Times New Roman" w:cs="Times New Roman"/>
          <w:b/>
          <w:bCs/>
          <w:color w:val="000000" w:themeColor="text1"/>
          <w:sz w:val="24"/>
          <w:szCs w:val="24"/>
        </w:rPr>
      </w:pPr>
      <w:r w:rsidRPr="009878E6">
        <w:rPr>
          <w:rFonts w:ascii="Times New Roman" w:hAnsi="Times New Roman" w:cs="Times New Roman"/>
          <w:sz w:val="24"/>
          <w:szCs w:val="24"/>
        </w:rPr>
        <w:fldChar w:fldCharType="begin"/>
      </w:r>
      <w:r w:rsidRPr="009878E6">
        <w:rPr>
          <w:rFonts w:ascii="Times New Roman" w:hAnsi="Times New Roman" w:cs="Times New Roman"/>
          <w:sz w:val="24"/>
          <w:szCs w:val="24"/>
        </w:rPr>
        <w:instrText>ADVANCE \R 0.95</w:instrText>
      </w:r>
      <w:r w:rsidRPr="009878E6">
        <w:rPr>
          <w:rFonts w:ascii="Times New Roman" w:hAnsi="Times New Roman" w:cs="Times New Roman"/>
          <w:sz w:val="24"/>
          <w:szCs w:val="24"/>
        </w:rPr>
        <w:fldChar w:fldCharType="end"/>
      </w:r>
      <w:r w:rsidRPr="009878E6">
        <w:rPr>
          <w:rFonts w:ascii="Times New Roman" w:hAnsi="Times New Roman" w:cs="Times New Roman"/>
          <w:b/>
          <w:color w:val="000000" w:themeColor="text1"/>
          <w:sz w:val="24"/>
          <w:szCs w:val="24"/>
        </w:rPr>
        <w:t>13.</w:t>
      </w:r>
      <w:r w:rsidRPr="009878E6">
        <w:rPr>
          <w:rFonts w:ascii="Times New Roman" w:hAnsi="Times New Roman" w:cs="Times New Roman"/>
          <w:color w:val="000000" w:themeColor="text1"/>
          <w:sz w:val="24"/>
          <w:szCs w:val="24"/>
        </w:rPr>
        <w:t xml:space="preserve">  </w:t>
      </w:r>
      <w:r w:rsidRPr="009878E6">
        <w:rPr>
          <w:rFonts w:ascii="Times New Roman" w:hAnsi="Times New Roman" w:cs="Times New Roman"/>
          <w:b/>
          <w:bCs/>
          <w:color w:val="000000" w:themeColor="text1"/>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7E0E6C" w:rsidRPr="009878E6" w:rsidP="009878E6" w14:paraId="4B378846" w14:textId="77777777">
      <w:pPr>
        <w:contextualSpacing/>
        <w:rPr>
          <w:rFonts w:ascii="Times New Roman" w:hAnsi="Times New Roman" w:cs="Times New Roman"/>
          <w:b/>
          <w:bCs/>
          <w:color w:val="000000" w:themeColor="text1"/>
          <w:sz w:val="24"/>
          <w:szCs w:val="24"/>
        </w:rPr>
      </w:pPr>
    </w:p>
    <w:p w:rsidR="00562915" w:rsidP="009878E6" w14:paraId="6AB3524F" w14:textId="5F8E998F">
      <w:pPr>
        <w:contextualSpacing/>
        <w:rPr>
          <w:rFonts w:ascii="Times New Roman" w:hAnsi="Times New Roman" w:cs="Times New Roman"/>
          <w:b/>
          <w:bCs/>
          <w:color w:val="000000" w:themeColor="text1"/>
          <w:sz w:val="24"/>
          <w:szCs w:val="24"/>
        </w:rPr>
      </w:pPr>
      <w:r w:rsidRPr="009878E6">
        <w:rPr>
          <w:rFonts w:ascii="Times New Roman" w:hAnsi="Times New Roman" w:cs="Times New Roman"/>
          <w:b/>
          <w:bCs/>
          <w:color w:val="000000" w:themeColor="text1"/>
          <w:sz w:val="24"/>
          <w:szCs w:val="24"/>
        </w:rPr>
        <w:t>The cost estimates should be split into two components:</w:t>
      </w:r>
    </w:p>
    <w:p w:rsidR="009878E6" w:rsidRPr="009878E6" w:rsidP="009878E6" w14:paraId="7CA5E268" w14:textId="77777777">
      <w:pPr>
        <w:contextualSpacing/>
        <w:rPr>
          <w:rFonts w:ascii="Times New Roman" w:hAnsi="Times New Roman" w:cs="Times New Roman"/>
          <w:b/>
          <w:bCs/>
          <w:color w:val="000000" w:themeColor="text1"/>
          <w:sz w:val="24"/>
          <w:szCs w:val="24"/>
        </w:rPr>
      </w:pPr>
    </w:p>
    <w:tbl>
      <w:tblPr>
        <w:tblStyle w:val="TableGrid1"/>
        <w:tblW w:w="0" w:type="auto"/>
        <w:jc w:val="center"/>
        <w:tblLook w:val="04A0"/>
      </w:tblPr>
      <w:tblGrid>
        <w:gridCol w:w="1825"/>
        <w:gridCol w:w="1648"/>
        <w:gridCol w:w="1886"/>
        <w:gridCol w:w="1648"/>
        <w:gridCol w:w="1623"/>
      </w:tblGrid>
      <w:tr w14:paraId="0F6F7C1B" w14:textId="77777777" w:rsidTr="009878E6">
        <w:tblPrEx>
          <w:tblW w:w="0" w:type="auto"/>
          <w:jc w:val="center"/>
          <w:tblLook w:val="04A0"/>
        </w:tblPrEx>
        <w:trPr>
          <w:jc w:val="center"/>
        </w:trPr>
        <w:tc>
          <w:tcPr>
            <w:tcW w:w="9350" w:type="dxa"/>
            <w:gridSpan w:val="5"/>
            <w:shd w:val="clear" w:color="auto" w:fill="95B3D7" w:themeFill="accent1" w:themeFillTint="99"/>
          </w:tcPr>
          <w:p w:rsidR="00101349" w:rsidRPr="009878E6" w:rsidP="009878E6" w14:paraId="467EF450" w14:textId="77777777">
            <w:pPr>
              <w:keepNext/>
              <w:spacing w:line="276" w:lineRule="auto"/>
              <w:contextualSpacing/>
              <w:jc w:val="center"/>
              <w:rPr>
                <w:rFonts w:ascii="Times New Roman" w:eastAsia="Calibri" w:hAnsi="Times New Roman" w:cs="Times New Roman"/>
                <w:b/>
                <w:sz w:val="20"/>
                <w:szCs w:val="20"/>
              </w:rPr>
            </w:pPr>
            <w:bookmarkStart w:id="5" w:name="_Hlk30754312"/>
            <w:r w:rsidRPr="009878E6">
              <w:rPr>
                <w:rFonts w:ascii="Times New Roman" w:eastAsia="Calibri" w:hAnsi="Times New Roman" w:cs="Times New Roman"/>
                <w:b/>
                <w:sz w:val="20"/>
                <w:szCs w:val="20"/>
              </w:rPr>
              <w:t>Annual Cost Burden to Respondents or Recordkeepers</w:t>
            </w:r>
          </w:p>
        </w:tc>
      </w:tr>
      <w:tr w14:paraId="60E0BB6C" w14:textId="77777777" w:rsidTr="009878E6">
        <w:tblPrEx>
          <w:tblW w:w="0" w:type="auto"/>
          <w:jc w:val="center"/>
          <w:tblLook w:val="04A0"/>
        </w:tblPrEx>
        <w:trPr>
          <w:jc w:val="center"/>
        </w:trPr>
        <w:tc>
          <w:tcPr>
            <w:tcW w:w="1870" w:type="dxa"/>
            <w:shd w:val="clear" w:color="auto" w:fill="95B3D7" w:themeFill="accent1" w:themeFillTint="99"/>
            <w:vAlign w:val="center"/>
          </w:tcPr>
          <w:p w:rsidR="00101349" w:rsidRPr="009878E6" w:rsidP="009878E6" w14:paraId="42F8BF85" w14:textId="77777777">
            <w:pPr>
              <w:keepNext/>
              <w:spacing w:line="276" w:lineRule="auto"/>
              <w:contextualSpacing/>
              <w:rPr>
                <w:rFonts w:ascii="Times New Roman" w:eastAsia="Calibri" w:hAnsi="Times New Roman" w:cs="Times New Roman"/>
                <w:b/>
                <w:bCs/>
                <w:sz w:val="18"/>
                <w:szCs w:val="18"/>
              </w:rPr>
            </w:pPr>
            <w:r w:rsidRPr="009878E6">
              <w:rPr>
                <w:rFonts w:ascii="Times New Roman" w:eastAsia="Calibri" w:hAnsi="Times New Roman" w:cs="Times New Roman"/>
                <w:b/>
                <w:bCs/>
                <w:sz w:val="18"/>
                <w:szCs w:val="18"/>
              </w:rPr>
              <w:t>Data Collection Activity/Instrument</w:t>
            </w:r>
          </w:p>
        </w:tc>
        <w:tc>
          <w:tcPr>
            <w:tcW w:w="1870" w:type="dxa"/>
            <w:shd w:val="clear" w:color="auto" w:fill="95B3D7" w:themeFill="accent1" w:themeFillTint="99"/>
            <w:vAlign w:val="center"/>
          </w:tcPr>
          <w:p w:rsidR="00101349" w:rsidRPr="009878E6" w:rsidP="009878E6" w14:paraId="5BD8357F" w14:textId="77777777">
            <w:pPr>
              <w:keepNext/>
              <w:spacing w:line="276" w:lineRule="auto"/>
              <w:contextualSpacing/>
              <w:rPr>
                <w:rFonts w:ascii="Times New Roman" w:eastAsia="Calibri" w:hAnsi="Times New Roman" w:cs="Times New Roman"/>
                <w:b/>
                <w:bCs/>
                <w:sz w:val="18"/>
                <w:szCs w:val="18"/>
              </w:rPr>
            </w:pPr>
            <w:r w:rsidRPr="009878E6">
              <w:rPr>
                <w:rFonts w:ascii="Times New Roman" w:eastAsia="Calibri" w:hAnsi="Times New Roman" w:cs="Times New Roman"/>
                <w:b/>
                <w:bCs/>
                <w:sz w:val="18"/>
                <w:szCs w:val="18"/>
              </w:rPr>
              <w:t>*Annual Capital Start-Up Cost (investments in overhead, equipment, and other one-time expenditures)</w:t>
            </w:r>
          </w:p>
        </w:tc>
        <w:tc>
          <w:tcPr>
            <w:tcW w:w="1870" w:type="dxa"/>
            <w:shd w:val="clear" w:color="auto" w:fill="95B3D7" w:themeFill="accent1" w:themeFillTint="99"/>
            <w:vAlign w:val="center"/>
          </w:tcPr>
          <w:p w:rsidR="00101349" w:rsidRPr="009878E6" w:rsidP="009878E6" w14:paraId="10891D5C" w14:textId="77777777">
            <w:pPr>
              <w:keepNext/>
              <w:spacing w:line="276" w:lineRule="auto"/>
              <w:contextualSpacing/>
              <w:rPr>
                <w:rFonts w:ascii="Times New Roman" w:eastAsia="Calibri" w:hAnsi="Times New Roman" w:cs="Times New Roman"/>
                <w:b/>
                <w:bCs/>
                <w:sz w:val="18"/>
                <w:szCs w:val="18"/>
              </w:rPr>
            </w:pPr>
            <w:r w:rsidRPr="009878E6">
              <w:rPr>
                <w:rFonts w:ascii="Times New Roman" w:eastAsia="Calibri" w:hAnsi="Times New Roman" w:cs="Times New Roman"/>
                <w:b/>
                <w:bCs/>
                <w:sz w:val="18"/>
                <w:szCs w:val="18"/>
              </w:rPr>
              <w:t>*Annual Operations and Maintenance Costs (such as recordkeeping, technical/professional services, etc.)</w:t>
            </w:r>
          </w:p>
        </w:tc>
        <w:tc>
          <w:tcPr>
            <w:tcW w:w="1870" w:type="dxa"/>
            <w:shd w:val="clear" w:color="auto" w:fill="95B3D7" w:themeFill="accent1" w:themeFillTint="99"/>
            <w:vAlign w:val="center"/>
          </w:tcPr>
          <w:p w:rsidR="00101349" w:rsidRPr="009878E6" w:rsidP="009878E6" w14:paraId="77380C30" w14:textId="77777777">
            <w:pPr>
              <w:keepNext/>
              <w:spacing w:line="276" w:lineRule="auto"/>
              <w:contextualSpacing/>
              <w:rPr>
                <w:rFonts w:ascii="Times New Roman" w:eastAsia="Calibri" w:hAnsi="Times New Roman" w:cs="Times New Roman"/>
                <w:b/>
                <w:bCs/>
                <w:sz w:val="18"/>
                <w:szCs w:val="18"/>
              </w:rPr>
            </w:pPr>
            <w:r w:rsidRPr="009878E6">
              <w:rPr>
                <w:rFonts w:ascii="Times New Roman" w:eastAsia="Calibri" w:hAnsi="Times New Roman" w:cs="Times New Roman"/>
                <w:b/>
                <w:bCs/>
                <w:sz w:val="18"/>
                <w:szCs w:val="18"/>
              </w:rPr>
              <w:t>Annual Non-Labor Cost (expenditures on training, travel, and other resources)</w:t>
            </w:r>
          </w:p>
        </w:tc>
        <w:tc>
          <w:tcPr>
            <w:tcW w:w="1870" w:type="dxa"/>
            <w:shd w:val="clear" w:color="auto" w:fill="95B3D7" w:themeFill="accent1" w:themeFillTint="99"/>
            <w:vAlign w:val="center"/>
          </w:tcPr>
          <w:p w:rsidR="00101349" w:rsidRPr="009878E6" w:rsidP="009878E6" w14:paraId="3C388F5D" w14:textId="77777777">
            <w:pPr>
              <w:keepNext/>
              <w:spacing w:line="276" w:lineRule="auto"/>
              <w:contextualSpacing/>
              <w:rPr>
                <w:rFonts w:ascii="Times New Roman" w:eastAsia="Calibri" w:hAnsi="Times New Roman" w:cs="Times New Roman"/>
                <w:b/>
                <w:bCs/>
                <w:sz w:val="18"/>
                <w:szCs w:val="18"/>
              </w:rPr>
            </w:pPr>
            <w:r w:rsidRPr="009878E6">
              <w:rPr>
                <w:rFonts w:ascii="Times New Roman" w:eastAsia="Calibri" w:hAnsi="Times New Roman" w:cs="Times New Roman"/>
                <w:b/>
                <w:bCs/>
                <w:sz w:val="18"/>
                <w:szCs w:val="18"/>
              </w:rPr>
              <w:t>Total Annual Cost to Respondents</w:t>
            </w:r>
          </w:p>
        </w:tc>
      </w:tr>
      <w:tr w14:paraId="08DB7167" w14:textId="77777777" w:rsidTr="009878E6">
        <w:tblPrEx>
          <w:tblW w:w="0" w:type="auto"/>
          <w:jc w:val="center"/>
          <w:tblLook w:val="04A0"/>
        </w:tblPrEx>
        <w:trPr>
          <w:jc w:val="center"/>
        </w:trPr>
        <w:tc>
          <w:tcPr>
            <w:tcW w:w="1870" w:type="dxa"/>
          </w:tcPr>
          <w:p w:rsidR="00101349" w:rsidRPr="009878E6" w:rsidP="009878E6" w14:paraId="288319DE" w14:textId="77777777">
            <w:pPr>
              <w:keepNext/>
              <w:spacing w:line="276" w:lineRule="auto"/>
              <w:contextualSpacing/>
              <w:rPr>
                <w:rFonts w:ascii="Times New Roman" w:eastAsia="Calibri" w:hAnsi="Times New Roman" w:cs="Times New Roman"/>
                <w:sz w:val="18"/>
                <w:szCs w:val="18"/>
              </w:rPr>
            </w:pPr>
            <w:r w:rsidRPr="009878E6">
              <w:rPr>
                <w:rFonts w:ascii="Times New Roman" w:eastAsia="Calibri" w:hAnsi="Times New Roman" w:cs="Times New Roman"/>
                <w:sz w:val="18"/>
                <w:szCs w:val="18"/>
              </w:rPr>
              <w:t>[Form Name/#]</w:t>
            </w:r>
          </w:p>
        </w:tc>
        <w:tc>
          <w:tcPr>
            <w:tcW w:w="1870" w:type="dxa"/>
            <w:vAlign w:val="center"/>
          </w:tcPr>
          <w:p w:rsidR="00101349" w:rsidRPr="009878E6" w:rsidP="009878E6" w14:paraId="4884283F" w14:textId="77777777">
            <w:pPr>
              <w:keepNext/>
              <w:spacing w:line="276" w:lineRule="auto"/>
              <w:contextualSpacing/>
              <w:jc w:val="right"/>
              <w:rPr>
                <w:rFonts w:ascii="Times New Roman" w:eastAsia="Calibri" w:hAnsi="Times New Roman" w:cs="Times New Roman"/>
                <w:sz w:val="18"/>
                <w:szCs w:val="18"/>
              </w:rPr>
            </w:pPr>
          </w:p>
        </w:tc>
        <w:tc>
          <w:tcPr>
            <w:tcW w:w="1870" w:type="dxa"/>
            <w:vAlign w:val="center"/>
          </w:tcPr>
          <w:p w:rsidR="00101349" w:rsidRPr="009878E6" w:rsidP="009878E6" w14:paraId="1108E77C" w14:textId="77777777">
            <w:pPr>
              <w:keepNext/>
              <w:spacing w:line="276" w:lineRule="auto"/>
              <w:contextualSpacing/>
              <w:jc w:val="right"/>
              <w:rPr>
                <w:rFonts w:ascii="Times New Roman" w:eastAsia="Calibri" w:hAnsi="Times New Roman" w:cs="Times New Roman"/>
                <w:sz w:val="18"/>
                <w:szCs w:val="18"/>
              </w:rPr>
            </w:pPr>
          </w:p>
        </w:tc>
        <w:tc>
          <w:tcPr>
            <w:tcW w:w="1870" w:type="dxa"/>
            <w:vAlign w:val="center"/>
          </w:tcPr>
          <w:p w:rsidR="00101349" w:rsidRPr="009878E6" w:rsidP="009878E6" w14:paraId="1DA5376C" w14:textId="77777777">
            <w:pPr>
              <w:keepNext/>
              <w:spacing w:line="276" w:lineRule="auto"/>
              <w:contextualSpacing/>
              <w:jc w:val="right"/>
              <w:rPr>
                <w:rFonts w:ascii="Times New Roman" w:eastAsia="Calibri" w:hAnsi="Times New Roman" w:cs="Times New Roman"/>
                <w:sz w:val="18"/>
                <w:szCs w:val="18"/>
              </w:rPr>
            </w:pPr>
          </w:p>
        </w:tc>
        <w:tc>
          <w:tcPr>
            <w:tcW w:w="1870" w:type="dxa"/>
            <w:vAlign w:val="center"/>
          </w:tcPr>
          <w:p w:rsidR="00101349" w:rsidRPr="009878E6" w:rsidP="009878E6" w14:paraId="664BE6A0" w14:textId="77777777">
            <w:pPr>
              <w:keepNext/>
              <w:spacing w:line="276" w:lineRule="auto"/>
              <w:contextualSpacing/>
              <w:jc w:val="right"/>
              <w:rPr>
                <w:rFonts w:ascii="Times New Roman" w:eastAsia="Calibri" w:hAnsi="Times New Roman" w:cs="Times New Roman"/>
                <w:sz w:val="18"/>
                <w:szCs w:val="18"/>
              </w:rPr>
            </w:pPr>
          </w:p>
        </w:tc>
      </w:tr>
      <w:tr w14:paraId="0CDDE930" w14:textId="77777777" w:rsidTr="009878E6">
        <w:tblPrEx>
          <w:tblW w:w="0" w:type="auto"/>
          <w:jc w:val="center"/>
          <w:tblLook w:val="04A0"/>
        </w:tblPrEx>
        <w:trPr>
          <w:jc w:val="center"/>
        </w:trPr>
        <w:tc>
          <w:tcPr>
            <w:tcW w:w="1870" w:type="dxa"/>
          </w:tcPr>
          <w:p w:rsidR="00101349" w:rsidRPr="009878E6" w:rsidP="009878E6" w14:paraId="659A37C2" w14:textId="77777777">
            <w:pPr>
              <w:keepNext/>
              <w:spacing w:line="276" w:lineRule="auto"/>
              <w:contextualSpacing/>
              <w:rPr>
                <w:rFonts w:ascii="Times New Roman" w:eastAsia="Calibri" w:hAnsi="Times New Roman" w:cs="Times New Roman"/>
                <w:b/>
                <w:sz w:val="18"/>
                <w:szCs w:val="18"/>
              </w:rPr>
            </w:pPr>
            <w:r w:rsidRPr="009878E6">
              <w:rPr>
                <w:rFonts w:ascii="Times New Roman" w:eastAsia="Calibri" w:hAnsi="Times New Roman" w:cs="Times New Roman"/>
                <w:b/>
                <w:sz w:val="18"/>
                <w:szCs w:val="18"/>
              </w:rPr>
              <w:t>Total</w:t>
            </w:r>
          </w:p>
        </w:tc>
        <w:tc>
          <w:tcPr>
            <w:tcW w:w="1870" w:type="dxa"/>
            <w:vAlign w:val="center"/>
          </w:tcPr>
          <w:p w:rsidR="00101349" w:rsidRPr="009878E6" w:rsidP="009878E6" w14:paraId="685A0848" w14:textId="77777777">
            <w:pPr>
              <w:keepNext/>
              <w:spacing w:line="276" w:lineRule="auto"/>
              <w:contextualSpacing/>
              <w:jc w:val="right"/>
              <w:rPr>
                <w:rFonts w:ascii="Times New Roman" w:eastAsia="Calibri" w:hAnsi="Times New Roman" w:cs="Times New Roman"/>
                <w:sz w:val="18"/>
                <w:szCs w:val="18"/>
              </w:rPr>
            </w:pPr>
            <w:r w:rsidRPr="009878E6">
              <w:rPr>
                <w:rFonts w:ascii="Times New Roman" w:eastAsia="Calibri" w:hAnsi="Times New Roman" w:cs="Times New Roman"/>
                <w:sz w:val="18"/>
                <w:szCs w:val="18"/>
              </w:rPr>
              <w:t>$0</w:t>
            </w:r>
          </w:p>
        </w:tc>
        <w:tc>
          <w:tcPr>
            <w:tcW w:w="1870" w:type="dxa"/>
            <w:vAlign w:val="center"/>
          </w:tcPr>
          <w:p w:rsidR="00101349" w:rsidRPr="009878E6" w:rsidP="009878E6" w14:paraId="60FCA731" w14:textId="77777777">
            <w:pPr>
              <w:keepNext/>
              <w:spacing w:line="276" w:lineRule="auto"/>
              <w:contextualSpacing/>
              <w:jc w:val="right"/>
              <w:rPr>
                <w:rFonts w:ascii="Times New Roman" w:eastAsia="Calibri" w:hAnsi="Times New Roman" w:cs="Times New Roman"/>
                <w:sz w:val="18"/>
                <w:szCs w:val="18"/>
              </w:rPr>
            </w:pPr>
            <w:r w:rsidRPr="009878E6">
              <w:rPr>
                <w:rFonts w:ascii="Times New Roman" w:eastAsia="Calibri" w:hAnsi="Times New Roman" w:cs="Times New Roman"/>
                <w:sz w:val="18"/>
                <w:szCs w:val="18"/>
              </w:rPr>
              <w:t>$0</w:t>
            </w:r>
          </w:p>
        </w:tc>
        <w:tc>
          <w:tcPr>
            <w:tcW w:w="1870" w:type="dxa"/>
            <w:vAlign w:val="center"/>
          </w:tcPr>
          <w:p w:rsidR="00101349" w:rsidRPr="009878E6" w:rsidP="009878E6" w14:paraId="57A6F85D" w14:textId="77777777">
            <w:pPr>
              <w:keepNext/>
              <w:spacing w:line="276" w:lineRule="auto"/>
              <w:contextualSpacing/>
              <w:jc w:val="right"/>
              <w:rPr>
                <w:rFonts w:ascii="Times New Roman" w:eastAsia="Calibri" w:hAnsi="Times New Roman" w:cs="Times New Roman"/>
                <w:sz w:val="18"/>
                <w:szCs w:val="18"/>
              </w:rPr>
            </w:pPr>
            <w:r w:rsidRPr="009878E6">
              <w:rPr>
                <w:rFonts w:ascii="Times New Roman" w:eastAsia="Calibri" w:hAnsi="Times New Roman" w:cs="Times New Roman"/>
                <w:sz w:val="18"/>
                <w:szCs w:val="18"/>
              </w:rPr>
              <w:t>$0</w:t>
            </w:r>
          </w:p>
        </w:tc>
        <w:tc>
          <w:tcPr>
            <w:tcW w:w="1870" w:type="dxa"/>
            <w:vAlign w:val="center"/>
          </w:tcPr>
          <w:p w:rsidR="00101349" w:rsidRPr="009878E6" w:rsidP="009878E6" w14:paraId="3B92E166" w14:textId="77777777">
            <w:pPr>
              <w:keepNext/>
              <w:spacing w:line="276" w:lineRule="auto"/>
              <w:contextualSpacing/>
              <w:jc w:val="right"/>
              <w:rPr>
                <w:rFonts w:ascii="Times New Roman" w:eastAsia="Calibri" w:hAnsi="Times New Roman" w:cs="Times New Roman"/>
                <w:sz w:val="18"/>
                <w:szCs w:val="18"/>
              </w:rPr>
            </w:pPr>
            <w:r w:rsidRPr="009878E6">
              <w:rPr>
                <w:rFonts w:ascii="Times New Roman" w:eastAsia="Calibri" w:hAnsi="Times New Roman" w:cs="Times New Roman"/>
                <w:sz w:val="18"/>
                <w:szCs w:val="18"/>
              </w:rPr>
              <w:t>$0</w:t>
            </w:r>
          </w:p>
        </w:tc>
      </w:tr>
      <w:bookmarkEnd w:id="5"/>
    </w:tbl>
    <w:p w:rsidR="00E025F2" w:rsidRPr="009878E6" w:rsidP="009878E6" w14:paraId="047BDC98" w14:textId="77777777">
      <w:pPr>
        <w:contextualSpacing/>
        <w:rPr>
          <w:rFonts w:ascii="Times New Roman" w:hAnsi="Times New Roman" w:cs="Times New Roman"/>
          <w:color w:val="000000" w:themeColor="text1"/>
          <w:sz w:val="24"/>
          <w:szCs w:val="24"/>
        </w:rPr>
      </w:pPr>
    </w:p>
    <w:p w:rsidR="00562915" w:rsidRPr="009878E6" w:rsidP="009878E6" w14:paraId="7C698E17" w14:textId="68B8615B">
      <w:pPr>
        <w:contextualSpacing/>
        <w:rPr>
          <w:rFonts w:ascii="Times New Roman" w:hAnsi="Times New Roman" w:cs="Times New Roman"/>
          <w:b/>
          <w:bCs/>
          <w:color w:val="000000" w:themeColor="text1"/>
          <w:sz w:val="24"/>
          <w:szCs w:val="24"/>
        </w:rPr>
      </w:pPr>
      <w:r w:rsidRPr="009878E6">
        <w:rPr>
          <w:rFonts w:ascii="Times New Roman" w:hAnsi="Times New Roman" w:cs="Times New Roman"/>
          <w:b/>
          <w:bCs/>
          <w:color w:val="000000" w:themeColor="text1"/>
          <w:sz w:val="24"/>
          <w:szCs w:val="24"/>
        </w:rPr>
        <w:tab/>
        <w:t>a.  Operation and Maintenance and purchase of services component.  These 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7E0E6C" w:rsidRPr="009878E6" w:rsidP="009878E6" w14:paraId="57658B08" w14:textId="237865CD">
      <w:pPr>
        <w:contextualSpacing/>
        <w:rPr>
          <w:rFonts w:ascii="Times New Roman" w:hAnsi="Times New Roman" w:cs="Times New Roman"/>
          <w:color w:val="000000" w:themeColor="text1"/>
          <w:sz w:val="24"/>
          <w:szCs w:val="24"/>
        </w:rPr>
      </w:pPr>
    </w:p>
    <w:p w:rsidR="008A01D0" w:rsidRPr="009878E6" w:rsidP="009878E6" w14:paraId="5CE61F0C" w14:textId="45F9B9C6">
      <w:pPr>
        <w:contextualSpacing/>
        <w:rPr>
          <w:rFonts w:ascii="Times New Roman" w:hAnsi="Times New Roman" w:cs="Times New Roman"/>
          <w:color w:val="000000" w:themeColor="text1"/>
          <w:sz w:val="24"/>
          <w:szCs w:val="24"/>
        </w:rPr>
      </w:pPr>
      <w:r w:rsidRPr="009878E6">
        <w:rPr>
          <w:rFonts w:ascii="Times New Roman" w:hAnsi="Times New Roman" w:cs="Times New Roman"/>
          <w:color w:val="000000" w:themeColor="text1"/>
          <w:sz w:val="24"/>
          <w:szCs w:val="24"/>
        </w:rPr>
        <w:t>There are no operation or maintenance costs associated with this collection.</w:t>
      </w:r>
    </w:p>
    <w:p w:rsidR="008A01D0" w:rsidRPr="009878E6" w:rsidP="009878E6" w14:paraId="1858C590" w14:textId="77777777">
      <w:pPr>
        <w:contextualSpacing/>
        <w:rPr>
          <w:rFonts w:ascii="Times New Roman" w:hAnsi="Times New Roman" w:cs="Times New Roman"/>
          <w:color w:val="000000" w:themeColor="text1"/>
          <w:sz w:val="24"/>
          <w:szCs w:val="24"/>
        </w:rPr>
      </w:pPr>
    </w:p>
    <w:p w:rsidR="00562915" w:rsidRPr="009878E6" w:rsidP="009878E6" w14:paraId="787D100C" w14:textId="6C7B75DD">
      <w:pPr>
        <w:contextualSpacing/>
        <w:rPr>
          <w:rFonts w:ascii="Times New Roman" w:hAnsi="Times New Roman" w:cs="Times New Roman"/>
          <w:b/>
          <w:bCs/>
          <w:color w:val="000000" w:themeColor="text1"/>
          <w:sz w:val="24"/>
          <w:szCs w:val="24"/>
        </w:rPr>
      </w:pPr>
      <w:r w:rsidRPr="009878E6">
        <w:rPr>
          <w:rFonts w:ascii="Times New Roman" w:hAnsi="Times New Roman" w:cs="Times New Roman"/>
          <w:b/>
          <w:bCs/>
          <w:color w:val="000000" w:themeColor="text1"/>
          <w:sz w:val="24"/>
          <w:szCs w:val="24"/>
        </w:rPr>
        <w:tab/>
        <w:t>b.  Capital and Start-up-Cost should include, among other items, preparations for collecting information such as purchasing computers and</w:t>
      </w:r>
      <w:r w:rsidRPr="009878E6" w:rsidR="00BB543D">
        <w:rPr>
          <w:rFonts w:ascii="Times New Roman" w:hAnsi="Times New Roman" w:cs="Times New Roman"/>
          <w:b/>
          <w:bCs/>
          <w:color w:val="000000" w:themeColor="text1"/>
          <w:sz w:val="24"/>
          <w:szCs w:val="24"/>
        </w:rPr>
        <w:t xml:space="preserve"> </w:t>
      </w:r>
      <w:r w:rsidRPr="009878E6">
        <w:rPr>
          <w:rFonts w:ascii="Times New Roman" w:hAnsi="Times New Roman" w:cs="Times New Roman"/>
          <w:b/>
          <w:bCs/>
          <w:color w:val="000000" w:themeColor="text1"/>
          <w:sz w:val="24"/>
          <w:szCs w:val="24"/>
        </w:rPr>
        <w:t xml:space="preserve">software, monitoring sampling, drilling and testing equipment, and record storage facilities.  </w:t>
      </w:r>
    </w:p>
    <w:p w:rsidR="00562915" w:rsidRPr="009878E6" w:rsidP="009878E6" w14:paraId="70DD9AC3" w14:textId="03F93B79">
      <w:pPr>
        <w:contextualSpacing/>
        <w:rPr>
          <w:rFonts w:ascii="Times New Roman" w:hAnsi="Times New Roman" w:cs="Times New Roman"/>
          <w:sz w:val="24"/>
          <w:szCs w:val="24"/>
        </w:rPr>
      </w:pPr>
    </w:p>
    <w:p w:rsidR="008A01D0" w:rsidRPr="009878E6" w:rsidP="009878E6" w14:paraId="192CB535" w14:textId="7E588751">
      <w:pPr>
        <w:contextualSpacing/>
        <w:rPr>
          <w:rFonts w:ascii="Times New Roman" w:hAnsi="Times New Roman" w:cs="Times New Roman"/>
          <w:color w:val="000000" w:themeColor="text1"/>
          <w:sz w:val="24"/>
          <w:szCs w:val="24"/>
        </w:rPr>
      </w:pPr>
      <w:r w:rsidRPr="009878E6">
        <w:rPr>
          <w:rFonts w:ascii="Times New Roman" w:hAnsi="Times New Roman" w:cs="Times New Roman"/>
          <w:color w:val="000000" w:themeColor="text1"/>
          <w:sz w:val="24"/>
          <w:szCs w:val="24"/>
        </w:rPr>
        <w:t>There are no capital or start-up costs associated with this collection.</w:t>
      </w:r>
    </w:p>
    <w:p w:rsidR="008A01D0" w:rsidRPr="009878E6" w:rsidP="009878E6" w14:paraId="2986625D" w14:textId="3FC144D5">
      <w:pPr>
        <w:contextualSpacing/>
        <w:rPr>
          <w:rFonts w:ascii="Times New Roman" w:hAnsi="Times New Roman" w:cs="Times New Roman"/>
          <w:sz w:val="24"/>
          <w:szCs w:val="24"/>
        </w:rPr>
      </w:pPr>
    </w:p>
    <w:p w:rsidR="00562915" w:rsidRPr="009878E6" w:rsidP="009878E6" w14:paraId="0087152B" w14:textId="28C1F49B">
      <w:pPr>
        <w:contextualSpacing/>
        <w:rPr>
          <w:rFonts w:ascii="Times New Roman" w:hAnsi="Times New Roman" w:cs="Times New Roman"/>
          <w:b/>
          <w:bCs/>
          <w:sz w:val="24"/>
          <w:szCs w:val="24"/>
        </w:rPr>
      </w:pPr>
      <w:r w:rsidRPr="009878E6">
        <w:rPr>
          <w:rFonts w:ascii="Times New Roman" w:hAnsi="Times New Roman" w:cs="Times New Roman"/>
          <w:b/>
          <w:bCs/>
          <w:sz w:val="24"/>
          <w:szCs w:val="24"/>
        </w:rPr>
        <w:t xml:space="preserve">14. Provide estimates of annualized cost to the </w:t>
      </w:r>
      <w:r w:rsidRPr="009878E6" w:rsidR="00A70C8A">
        <w:rPr>
          <w:rFonts w:ascii="Times New Roman" w:hAnsi="Times New Roman" w:cs="Times New Roman"/>
          <w:b/>
          <w:bCs/>
          <w:sz w:val="24"/>
          <w:szCs w:val="24"/>
        </w:rPr>
        <w:t xml:space="preserve">Federal </w:t>
      </w:r>
      <w:r w:rsidRPr="009878E6" w:rsidR="00284B5D">
        <w:rPr>
          <w:rFonts w:ascii="Times New Roman" w:hAnsi="Times New Roman" w:cs="Times New Roman"/>
          <w:b/>
          <w:bCs/>
          <w:sz w:val="24"/>
          <w:szCs w:val="24"/>
        </w:rPr>
        <w:t>G</w:t>
      </w:r>
      <w:r w:rsidRPr="009878E6">
        <w:rPr>
          <w:rFonts w:ascii="Times New Roman" w:hAnsi="Times New Roman" w:cs="Times New Roman"/>
          <w:b/>
          <w:bCs/>
          <w:sz w:val="24"/>
          <w:szCs w:val="24"/>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8A01D0" w:rsidRPr="009878E6" w:rsidP="009878E6" w14:paraId="193EE0F5" w14:textId="254C33CD">
      <w:pPr>
        <w:contextualSpacing/>
        <w:rPr>
          <w:rFonts w:ascii="Times New Roman" w:hAnsi="Times New Roman" w:cs="Times New Roman"/>
          <w:sz w:val="24"/>
          <w:szCs w:val="24"/>
        </w:rPr>
      </w:pPr>
      <w:r w:rsidRPr="009878E6">
        <w:rPr>
          <w:rFonts w:ascii="Times New Roman" w:hAnsi="Times New Roman" w:cs="Times New Roman"/>
          <w:sz w:val="24"/>
          <w:szCs w:val="24"/>
        </w:rPr>
        <w:br w:type="page"/>
      </w:r>
    </w:p>
    <w:p w:rsidR="00562915" w:rsidRPr="009878E6" w:rsidP="009878E6" w14:paraId="5943BC81" w14:textId="313179DF">
      <w:pPr>
        <w:contextualSpacing/>
        <w:rPr>
          <w:rFonts w:ascii="Times New Roman" w:hAnsi="Times New Roman" w:cs="Times New Roman"/>
          <w:sz w:val="24"/>
          <w:szCs w:val="24"/>
        </w:rPr>
      </w:pPr>
    </w:p>
    <w:tbl>
      <w:tblPr>
        <w:tblStyle w:val="TableGrid2"/>
        <w:tblW w:w="0" w:type="auto"/>
        <w:tblLook w:val="04A0"/>
      </w:tblPr>
      <w:tblGrid>
        <w:gridCol w:w="6770"/>
        <w:gridCol w:w="1860"/>
      </w:tblGrid>
      <w:tr w14:paraId="51C310A0" w14:textId="77777777" w:rsidTr="009878E6">
        <w:tblPrEx>
          <w:tblW w:w="0" w:type="auto"/>
          <w:tblLook w:val="04A0"/>
        </w:tblPrEx>
        <w:tc>
          <w:tcPr>
            <w:tcW w:w="9350" w:type="dxa"/>
            <w:gridSpan w:val="2"/>
            <w:shd w:val="clear" w:color="auto" w:fill="95B3D7" w:themeFill="accent1" w:themeFillTint="99"/>
          </w:tcPr>
          <w:p w:rsidR="00587125" w:rsidRPr="009878E6" w:rsidP="009878E6" w14:paraId="65D25992" w14:textId="77777777">
            <w:pPr>
              <w:spacing w:line="276" w:lineRule="auto"/>
              <w:contextualSpacing/>
              <w:jc w:val="center"/>
              <w:rPr>
                <w:rFonts w:ascii="Times New Roman" w:eastAsia="Calibri" w:hAnsi="Times New Roman" w:cs="Times New Roman"/>
                <w:b/>
                <w:sz w:val="20"/>
                <w:szCs w:val="20"/>
              </w:rPr>
            </w:pPr>
            <w:bookmarkStart w:id="6" w:name="_Hlk51849777"/>
            <w:r w:rsidRPr="009878E6">
              <w:rPr>
                <w:rFonts w:ascii="Times New Roman" w:eastAsia="Calibri" w:hAnsi="Times New Roman" w:cs="Times New Roman"/>
                <w:b/>
                <w:sz w:val="20"/>
                <w:szCs w:val="20"/>
              </w:rPr>
              <w:t>Annual Cost to the Federal Government</w:t>
            </w:r>
          </w:p>
        </w:tc>
      </w:tr>
      <w:tr w14:paraId="16D27506" w14:textId="77777777" w:rsidTr="009878E6">
        <w:tblPrEx>
          <w:tblW w:w="0" w:type="auto"/>
          <w:tblLook w:val="04A0"/>
        </w:tblPrEx>
        <w:tc>
          <w:tcPr>
            <w:tcW w:w="7375" w:type="dxa"/>
            <w:shd w:val="clear" w:color="auto" w:fill="95B3D7" w:themeFill="accent1" w:themeFillTint="99"/>
          </w:tcPr>
          <w:p w:rsidR="00587125" w:rsidRPr="009878E6" w:rsidP="009878E6" w14:paraId="4361BB1E" w14:textId="77777777">
            <w:pPr>
              <w:spacing w:line="276" w:lineRule="auto"/>
              <w:contextualSpacing/>
              <w:jc w:val="center"/>
              <w:rPr>
                <w:rFonts w:ascii="Times New Roman" w:eastAsia="Calibri" w:hAnsi="Times New Roman" w:cs="Times New Roman"/>
                <w:b/>
                <w:bCs/>
                <w:sz w:val="18"/>
                <w:szCs w:val="18"/>
              </w:rPr>
            </w:pPr>
            <w:r w:rsidRPr="009878E6">
              <w:rPr>
                <w:rFonts w:ascii="Times New Roman" w:eastAsia="Calibri" w:hAnsi="Times New Roman" w:cs="Times New Roman"/>
                <w:b/>
                <w:bCs/>
                <w:sz w:val="18"/>
                <w:szCs w:val="18"/>
              </w:rPr>
              <w:t>Item</w:t>
            </w:r>
          </w:p>
        </w:tc>
        <w:tc>
          <w:tcPr>
            <w:tcW w:w="1975" w:type="dxa"/>
            <w:shd w:val="clear" w:color="auto" w:fill="95B3D7" w:themeFill="accent1" w:themeFillTint="99"/>
          </w:tcPr>
          <w:p w:rsidR="00587125" w:rsidRPr="009878E6" w:rsidP="009878E6" w14:paraId="17544472" w14:textId="77777777">
            <w:pPr>
              <w:spacing w:line="276" w:lineRule="auto"/>
              <w:contextualSpacing/>
              <w:jc w:val="center"/>
              <w:rPr>
                <w:rFonts w:ascii="Times New Roman" w:eastAsia="Calibri" w:hAnsi="Times New Roman" w:cs="Times New Roman"/>
                <w:b/>
                <w:bCs/>
                <w:sz w:val="18"/>
                <w:szCs w:val="18"/>
              </w:rPr>
            </w:pPr>
            <w:r w:rsidRPr="009878E6">
              <w:rPr>
                <w:rFonts w:ascii="Times New Roman" w:eastAsia="Calibri" w:hAnsi="Times New Roman" w:cs="Times New Roman"/>
                <w:b/>
                <w:bCs/>
                <w:sz w:val="18"/>
                <w:szCs w:val="18"/>
              </w:rPr>
              <w:t>Cost ($)</w:t>
            </w:r>
          </w:p>
        </w:tc>
      </w:tr>
      <w:tr w14:paraId="02D16A0A" w14:textId="77777777" w:rsidTr="0034137E">
        <w:tblPrEx>
          <w:tblW w:w="0" w:type="auto"/>
          <w:tblLook w:val="04A0"/>
        </w:tblPrEx>
        <w:tc>
          <w:tcPr>
            <w:tcW w:w="7375" w:type="dxa"/>
          </w:tcPr>
          <w:p w:rsidR="008A026A" w:rsidRPr="009878E6" w:rsidP="009878E6" w14:paraId="2AA706DD" w14:textId="58CE7CDC">
            <w:pPr>
              <w:spacing w:line="276" w:lineRule="auto"/>
              <w:contextualSpacing/>
              <w:rPr>
                <w:rFonts w:ascii="Times New Roman" w:eastAsia="Calibri" w:hAnsi="Times New Roman" w:cs="Times New Roman"/>
                <w:sz w:val="18"/>
                <w:szCs w:val="18"/>
              </w:rPr>
            </w:pPr>
            <w:r w:rsidRPr="009878E6">
              <w:rPr>
                <w:rFonts w:ascii="Times New Roman" w:eastAsia="Calibri" w:hAnsi="Times New Roman" w:cs="Times New Roman"/>
                <w:sz w:val="18"/>
                <w:szCs w:val="18"/>
              </w:rPr>
              <w:t xml:space="preserve">Contract Costs:  Project Management Costs to Bloomsburie at $255,294 </w:t>
            </w:r>
            <w:r w:rsidRPr="009878E6" w:rsidR="00D97FF3">
              <w:rPr>
                <w:rFonts w:ascii="Times New Roman" w:eastAsia="Calibri" w:hAnsi="Times New Roman" w:cs="Times New Roman"/>
                <w:sz w:val="18"/>
                <w:szCs w:val="18"/>
              </w:rPr>
              <w:t>×</w:t>
            </w:r>
            <w:r w:rsidRPr="009878E6">
              <w:rPr>
                <w:rFonts w:ascii="Times New Roman" w:eastAsia="Calibri" w:hAnsi="Times New Roman" w:cs="Times New Roman"/>
                <w:sz w:val="18"/>
                <w:szCs w:val="18"/>
              </w:rPr>
              <w:t xml:space="preserve"> 2.5% = </w:t>
            </w:r>
            <w:r w:rsidRPr="009878E6" w:rsidR="00284051">
              <w:rPr>
                <w:rFonts w:ascii="Times New Roman" w:eastAsia="Calibri" w:hAnsi="Times New Roman" w:cs="Times New Roman"/>
                <w:sz w:val="18"/>
                <w:szCs w:val="18"/>
              </w:rPr>
              <w:t>$</w:t>
            </w:r>
            <w:r w:rsidRPr="009878E6">
              <w:rPr>
                <w:rFonts w:ascii="Times New Roman" w:eastAsia="Calibri" w:hAnsi="Times New Roman" w:cs="Times New Roman"/>
                <w:sz w:val="18"/>
                <w:szCs w:val="18"/>
              </w:rPr>
              <w:t>6,382; Contract cost to Virginia Tech University for survey design, data collection, data analysis, report writing = $394,000.</w:t>
            </w:r>
            <w:r w:rsidRPr="009878E6" w:rsidR="00916E6A">
              <w:rPr>
                <w:rFonts w:ascii="Times New Roman" w:eastAsia="Calibri" w:hAnsi="Times New Roman" w:cs="Times New Roman"/>
                <w:sz w:val="18"/>
                <w:szCs w:val="18"/>
              </w:rPr>
              <w:t xml:space="preserve">  </w:t>
            </w:r>
          </w:p>
          <w:p w:rsidR="00587125" w:rsidRPr="009878E6" w:rsidP="009878E6" w14:paraId="28F3AB18" w14:textId="447C46EA">
            <w:pPr>
              <w:spacing w:line="276" w:lineRule="auto"/>
              <w:contextualSpacing/>
              <w:rPr>
                <w:rFonts w:ascii="Times New Roman" w:eastAsia="Calibri" w:hAnsi="Times New Roman" w:cs="Times New Roman"/>
                <w:sz w:val="18"/>
                <w:szCs w:val="18"/>
              </w:rPr>
            </w:pPr>
            <w:r w:rsidRPr="009878E6">
              <w:rPr>
                <w:rFonts w:ascii="Times New Roman" w:eastAsia="Calibri" w:hAnsi="Times New Roman" w:cs="Times New Roman"/>
                <w:sz w:val="18"/>
                <w:szCs w:val="18"/>
              </w:rPr>
              <w:t>(</w:t>
            </w:r>
            <w:r w:rsidRPr="009878E6" w:rsidR="00E322AC">
              <w:rPr>
                <w:rFonts w:ascii="Times New Roman" w:eastAsia="Calibri" w:hAnsi="Times New Roman" w:cs="Times New Roman"/>
                <w:sz w:val="18"/>
                <w:szCs w:val="18"/>
              </w:rPr>
              <w:t>$6,382 + $394,000</w:t>
            </w:r>
            <w:r w:rsidRPr="009878E6" w:rsidR="00284051">
              <w:rPr>
                <w:rFonts w:ascii="Times New Roman" w:eastAsia="Calibri" w:hAnsi="Times New Roman" w:cs="Times New Roman"/>
                <w:sz w:val="18"/>
                <w:szCs w:val="18"/>
              </w:rPr>
              <w:t xml:space="preserve"> </w:t>
            </w:r>
            <w:r w:rsidRPr="009878E6" w:rsidR="00E322AC">
              <w:rPr>
                <w:rFonts w:ascii="Times New Roman" w:eastAsia="Calibri" w:hAnsi="Times New Roman" w:cs="Times New Roman"/>
                <w:sz w:val="18"/>
                <w:szCs w:val="18"/>
              </w:rPr>
              <w:t xml:space="preserve"> = $400</w:t>
            </w:r>
            <w:r w:rsidRPr="009878E6" w:rsidR="00A85B3E">
              <w:rPr>
                <w:rFonts w:ascii="Times New Roman" w:eastAsia="Calibri" w:hAnsi="Times New Roman" w:cs="Times New Roman"/>
                <w:sz w:val="18"/>
                <w:szCs w:val="18"/>
              </w:rPr>
              <w:t>,</w:t>
            </w:r>
            <w:r w:rsidRPr="009878E6" w:rsidR="00E322AC">
              <w:rPr>
                <w:rFonts w:ascii="Times New Roman" w:eastAsia="Calibri" w:hAnsi="Times New Roman" w:cs="Times New Roman"/>
                <w:sz w:val="18"/>
                <w:szCs w:val="18"/>
              </w:rPr>
              <w:t>382</w:t>
            </w:r>
            <w:r w:rsidRPr="009878E6" w:rsidR="00284051">
              <w:rPr>
                <w:rFonts w:ascii="Times New Roman" w:eastAsia="Calibri" w:hAnsi="Times New Roman" w:cs="Times New Roman"/>
                <w:sz w:val="18"/>
                <w:szCs w:val="18"/>
              </w:rPr>
              <w:t>)</w:t>
            </w:r>
          </w:p>
        </w:tc>
        <w:tc>
          <w:tcPr>
            <w:tcW w:w="1975" w:type="dxa"/>
            <w:vAlign w:val="center"/>
          </w:tcPr>
          <w:p w:rsidR="00587125" w:rsidRPr="009878E6" w:rsidP="009878E6" w14:paraId="26F7930F" w14:textId="6EB9576C">
            <w:pPr>
              <w:spacing w:line="276" w:lineRule="auto"/>
              <w:contextualSpacing/>
              <w:jc w:val="right"/>
              <w:rPr>
                <w:rFonts w:ascii="Times New Roman" w:eastAsia="Calibri" w:hAnsi="Times New Roman" w:cs="Times New Roman"/>
                <w:sz w:val="18"/>
                <w:szCs w:val="18"/>
              </w:rPr>
            </w:pPr>
            <w:r w:rsidRPr="009878E6">
              <w:rPr>
                <w:rFonts w:ascii="Times New Roman" w:eastAsia="Calibri" w:hAnsi="Times New Roman" w:cs="Times New Roman"/>
                <w:sz w:val="18"/>
                <w:szCs w:val="18"/>
              </w:rPr>
              <w:t>$400,382</w:t>
            </w:r>
          </w:p>
        </w:tc>
      </w:tr>
      <w:tr w14:paraId="0FA52E8D" w14:textId="77777777" w:rsidTr="0034137E">
        <w:tblPrEx>
          <w:tblW w:w="0" w:type="auto"/>
          <w:tblLook w:val="04A0"/>
        </w:tblPrEx>
        <w:tc>
          <w:tcPr>
            <w:tcW w:w="7375" w:type="dxa"/>
          </w:tcPr>
          <w:p w:rsidR="00284051" w:rsidRPr="009878E6" w:rsidP="009878E6" w14:paraId="72AEEA17" w14:textId="20A0DCE8">
            <w:pPr>
              <w:spacing w:line="276" w:lineRule="auto"/>
              <w:contextualSpacing/>
              <w:rPr>
                <w:rFonts w:ascii="Times New Roman" w:hAnsi="Times New Roman" w:cs="Times New Roman"/>
                <w:sz w:val="18"/>
                <w:szCs w:val="18"/>
              </w:rPr>
            </w:pPr>
            <w:r w:rsidRPr="009878E6">
              <w:rPr>
                <w:rFonts w:ascii="Times New Roman" w:eastAsia="Calibri" w:hAnsi="Times New Roman" w:cs="Times New Roman"/>
                <w:sz w:val="18"/>
                <w:szCs w:val="18"/>
              </w:rPr>
              <w:t>Staff Salaries</w:t>
            </w:r>
            <w:r w:rsidRPr="009878E6" w:rsidR="00451CA0">
              <w:rPr>
                <w:rFonts w:ascii="Times New Roman" w:eastAsia="Calibri" w:hAnsi="Times New Roman" w:cs="Times New Roman"/>
                <w:sz w:val="18"/>
                <w:szCs w:val="18"/>
                <w:vertAlign w:val="superscript"/>
              </w:rPr>
              <w:t>1</w:t>
            </w:r>
            <w:r w:rsidRPr="009878E6">
              <w:rPr>
                <w:rFonts w:ascii="Times New Roman" w:eastAsia="Calibri" w:hAnsi="Times New Roman" w:cs="Times New Roman"/>
                <w:sz w:val="18"/>
                <w:szCs w:val="18"/>
              </w:rPr>
              <w:t xml:space="preserve">: </w:t>
            </w:r>
            <w:r w:rsidRPr="009878E6">
              <w:rPr>
                <w:rFonts w:ascii="Times New Roman" w:hAnsi="Times New Roman" w:cs="Times New Roman"/>
                <w:sz w:val="18"/>
                <w:szCs w:val="18"/>
              </w:rPr>
              <w:t>1 GS 13</w:t>
            </w:r>
            <w:r w:rsidRPr="009878E6" w:rsidR="004E7EAD">
              <w:rPr>
                <w:rFonts w:ascii="Times New Roman" w:hAnsi="Times New Roman" w:cs="Times New Roman"/>
                <w:sz w:val="18"/>
                <w:szCs w:val="18"/>
              </w:rPr>
              <w:t xml:space="preserve"> Step 5</w:t>
            </w:r>
            <w:r w:rsidRPr="009878E6">
              <w:rPr>
                <w:rFonts w:ascii="Times New Roman" w:hAnsi="Times New Roman" w:cs="Times New Roman"/>
                <w:sz w:val="18"/>
                <w:szCs w:val="18"/>
              </w:rPr>
              <w:t xml:space="preserve"> (Washington, D</w:t>
            </w:r>
            <w:r w:rsidRPr="009878E6" w:rsidR="00A87B52">
              <w:rPr>
                <w:rFonts w:ascii="Times New Roman" w:hAnsi="Times New Roman" w:cs="Times New Roman"/>
                <w:sz w:val="18"/>
                <w:szCs w:val="18"/>
              </w:rPr>
              <w:t>.</w:t>
            </w:r>
            <w:r w:rsidRPr="009878E6">
              <w:rPr>
                <w:rFonts w:ascii="Times New Roman" w:hAnsi="Times New Roman" w:cs="Times New Roman"/>
                <w:sz w:val="18"/>
                <w:szCs w:val="18"/>
              </w:rPr>
              <w:t>C</w:t>
            </w:r>
            <w:r w:rsidRPr="009878E6" w:rsidR="00A87B52">
              <w:rPr>
                <w:rFonts w:ascii="Times New Roman" w:hAnsi="Times New Roman" w:cs="Times New Roman"/>
                <w:sz w:val="18"/>
                <w:szCs w:val="18"/>
              </w:rPr>
              <w:t>.</w:t>
            </w:r>
            <w:r w:rsidRPr="009878E6">
              <w:rPr>
                <w:rFonts w:ascii="Times New Roman" w:hAnsi="Times New Roman" w:cs="Times New Roman"/>
                <w:sz w:val="18"/>
                <w:szCs w:val="18"/>
              </w:rPr>
              <w:t>)</w:t>
            </w:r>
            <w:r w:rsidRPr="009878E6" w:rsidR="00242F21">
              <w:rPr>
                <w:rFonts w:ascii="Times New Roman" w:hAnsi="Times New Roman" w:cs="Times New Roman"/>
                <w:sz w:val="18"/>
                <w:szCs w:val="18"/>
              </w:rPr>
              <w:t xml:space="preserve"> </w:t>
            </w:r>
            <w:r w:rsidRPr="009878E6">
              <w:rPr>
                <w:rFonts w:ascii="Times New Roman" w:hAnsi="Times New Roman" w:cs="Times New Roman"/>
                <w:sz w:val="18"/>
                <w:szCs w:val="18"/>
              </w:rPr>
              <w:t xml:space="preserve">spending approximately 2.5% of time annually for project guidance, direction, and management of data collection and report distribution.  </w:t>
            </w:r>
            <w:r w:rsidRPr="009878E6" w:rsidR="00F70139">
              <w:rPr>
                <w:rFonts w:ascii="Times New Roman" w:hAnsi="Times New Roman" w:cs="Times New Roman"/>
                <w:sz w:val="18"/>
                <w:szCs w:val="18"/>
              </w:rPr>
              <w:t>($</w:t>
            </w:r>
            <w:r w:rsidR="00441955">
              <w:rPr>
                <w:rFonts w:ascii="Times New Roman" w:hAnsi="Times New Roman" w:cs="Times New Roman"/>
                <w:sz w:val="18"/>
                <w:szCs w:val="18"/>
              </w:rPr>
              <w:t>126,949</w:t>
            </w:r>
            <w:r w:rsidRPr="009878E6" w:rsidR="00F70139">
              <w:rPr>
                <w:rFonts w:ascii="Times New Roman" w:hAnsi="Times New Roman" w:cs="Times New Roman"/>
                <w:sz w:val="18"/>
                <w:szCs w:val="18"/>
              </w:rPr>
              <w:t xml:space="preserve"> </w:t>
            </w:r>
            <w:r w:rsidRPr="009878E6" w:rsidR="00451B41">
              <w:rPr>
                <w:rFonts w:ascii="Times New Roman" w:eastAsia="Calibri" w:hAnsi="Times New Roman" w:cs="Times New Roman"/>
                <w:sz w:val="18"/>
                <w:szCs w:val="18"/>
              </w:rPr>
              <w:t>×</w:t>
            </w:r>
            <w:r w:rsidRPr="009878E6" w:rsidR="00F70139">
              <w:rPr>
                <w:rFonts w:ascii="Times New Roman" w:hAnsi="Times New Roman" w:cs="Times New Roman"/>
                <w:sz w:val="18"/>
                <w:szCs w:val="18"/>
              </w:rPr>
              <w:t xml:space="preserve"> </w:t>
            </w:r>
            <w:r w:rsidRPr="009878E6" w:rsidR="00451B41">
              <w:rPr>
                <w:rFonts w:ascii="Times New Roman" w:hAnsi="Times New Roman" w:cs="Times New Roman"/>
                <w:sz w:val="18"/>
                <w:szCs w:val="18"/>
              </w:rPr>
              <w:t>0.025</w:t>
            </w:r>
            <w:r w:rsidRPr="009878E6" w:rsidR="00F70139">
              <w:rPr>
                <w:rFonts w:ascii="Times New Roman" w:hAnsi="Times New Roman" w:cs="Times New Roman"/>
                <w:sz w:val="18"/>
                <w:szCs w:val="18"/>
              </w:rPr>
              <w:t xml:space="preserve"> </w:t>
            </w:r>
            <w:r w:rsidRPr="009878E6" w:rsidR="00451B41">
              <w:rPr>
                <w:rFonts w:ascii="Times New Roman" w:eastAsia="Calibri" w:hAnsi="Times New Roman" w:cs="Times New Roman"/>
                <w:sz w:val="18"/>
                <w:szCs w:val="18"/>
              </w:rPr>
              <w:t>×</w:t>
            </w:r>
            <w:r w:rsidRPr="009878E6" w:rsidR="00F70139">
              <w:rPr>
                <w:rFonts w:ascii="Times New Roman" w:hAnsi="Times New Roman" w:cs="Times New Roman"/>
                <w:sz w:val="18"/>
                <w:szCs w:val="18"/>
              </w:rPr>
              <w:t xml:space="preserve"> 1.45</w:t>
            </w:r>
            <w:r w:rsidRPr="009878E6" w:rsidR="00451CA0">
              <w:rPr>
                <w:rFonts w:ascii="Times New Roman" w:hAnsi="Times New Roman" w:cs="Times New Roman"/>
                <w:sz w:val="18"/>
                <w:szCs w:val="18"/>
                <w:vertAlign w:val="superscript"/>
              </w:rPr>
              <w:t>2</w:t>
            </w:r>
            <w:r w:rsidRPr="009878E6" w:rsidR="00F70139">
              <w:rPr>
                <w:rFonts w:ascii="Times New Roman" w:hAnsi="Times New Roman" w:cs="Times New Roman"/>
                <w:sz w:val="18"/>
                <w:szCs w:val="18"/>
              </w:rPr>
              <w:t xml:space="preserve">= </w:t>
            </w:r>
            <w:r w:rsidRPr="009878E6" w:rsidR="00E70D56">
              <w:rPr>
                <w:rFonts w:ascii="Times New Roman" w:hAnsi="Times New Roman" w:cs="Times New Roman"/>
                <w:sz w:val="18"/>
                <w:szCs w:val="18"/>
              </w:rPr>
              <w:t>$4,</w:t>
            </w:r>
            <w:r w:rsidR="006C5CA4">
              <w:rPr>
                <w:rFonts w:ascii="Times New Roman" w:hAnsi="Times New Roman" w:cs="Times New Roman"/>
                <w:sz w:val="18"/>
                <w:szCs w:val="18"/>
              </w:rPr>
              <w:t>602</w:t>
            </w:r>
            <w:r w:rsidRPr="009878E6" w:rsidR="00E70D56">
              <w:rPr>
                <w:rFonts w:ascii="Times New Roman" w:hAnsi="Times New Roman" w:cs="Times New Roman"/>
                <w:sz w:val="18"/>
                <w:szCs w:val="18"/>
              </w:rPr>
              <w:t>)</w:t>
            </w:r>
          </w:p>
          <w:p w:rsidR="00587125" w:rsidRPr="009878E6" w:rsidP="009878E6" w14:paraId="2F32D529" w14:textId="0E8B1B78">
            <w:pPr>
              <w:spacing w:line="276" w:lineRule="auto"/>
              <w:contextualSpacing/>
              <w:rPr>
                <w:rFonts w:ascii="Times New Roman" w:hAnsi="Times New Roman" w:cs="Times New Roman"/>
                <w:sz w:val="18"/>
                <w:szCs w:val="18"/>
              </w:rPr>
            </w:pPr>
            <w:r w:rsidRPr="009878E6">
              <w:rPr>
                <w:rFonts w:ascii="Times New Roman" w:hAnsi="Times New Roman" w:cs="Times New Roman"/>
                <w:sz w:val="18"/>
                <w:szCs w:val="18"/>
              </w:rPr>
              <w:t>1 GS 14</w:t>
            </w:r>
            <w:r w:rsidRPr="009878E6" w:rsidR="004E7EAD">
              <w:rPr>
                <w:rFonts w:ascii="Times New Roman" w:hAnsi="Times New Roman" w:cs="Times New Roman"/>
                <w:sz w:val="18"/>
                <w:szCs w:val="18"/>
              </w:rPr>
              <w:t xml:space="preserve"> Step </w:t>
            </w:r>
            <w:r w:rsidRPr="009878E6" w:rsidR="00E70D56">
              <w:rPr>
                <w:rFonts w:ascii="Times New Roman" w:hAnsi="Times New Roman" w:cs="Times New Roman"/>
                <w:sz w:val="18"/>
                <w:szCs w:val="18"/>
              </w:rPr>
              <w:t>5</w:t>
            </w:r>
            <w:r w:rsidRPr="009878E6">
              <w:rPr>
                <w:rFonts w:ascii="Times New Roman" w:hAnsi="Times New Roman" w:cs="Times New Roman"/>
                <w:sz w:val="18"/>
                <w:szCs w:val="18"/>
              </w:rPr>
              <w:t xml:space="preserve"> (Washington, D</w:t>
            </w:r>
            <w:r w:rsidRPr="009878E6" w:rsidR="00A87B52">
              <w:rPr>
                <w:rFonts w:ascii="Times New Roman" w:hAnsi="Times New Roman" w:cs="Times New Roman"/>
                <w:sz w:val="18"/>
                <w:szCs w:val="18"/>
              </w:rPr>
              <w:t>.</w:t>
            </w:r>
            <w:r w:rsidRPr="009878E6">
              <w:rPr>
                <w:rFonts w:ascii="Times New Roman" w:hAnsi="Times New Roman" w:cs="Times New Roman"/>
                <w:sz w:val="18"/>
                <w:szCs w:val="18"/>
              </w:rPr>
              <w:t>C</w:t>
            </w:r>
            <w:r w:rsidRPr="009878E6" w:rsidR="00A87B52">
              <w:rPr>
                <w:rFonts w:ascii="Times New Roman" w:hAnsi="Times New Roman" w:cs="Times New Roman"/>
                <w:sz w:val="18"/>
                <w:szCs w:val="18"/>
              </w:rPr>
              <w:t>.</w:t>
            </w:r>
            <w:r w:rsidRPr="009878E6">
              <w:rPr>
                <w:rFonts w:ascii="Times New Roman" w:hAnsi="Times New Roman" w:cs="Times New Roman"/>
                <w:sz w:val="18"/>
                <w:szCs w:val="18"/>
              </w:rPr>
              <w:t>) spending approximately 7</w:t>
            </w:r>
            <w:r w:rsidRPr="009878E6" w:rsidR="00CB478C">
              <w:rPr>
                <w:rFonts w:ascii="Times New Roman" w:hAnsi="Times New Roman" w:cs="Times New Roman"/>
                <w:sz w:val="18"/>
                <w:szCs w:val="18"/>
              </w:rPr>
              <w:t>.</w:t>
            </w:r>
            <w:r w:rsidRPr="009878E6">
              <w:rPr>
                <w:rFonts w:ascii="Times New Roman" w:hAnsi="Times New Roman" w:cs="Times New Roman"/>
                <w:sz w:val="18"/>
                <w:szCs w:val="18"/>
              </w:rPr>
              <w:t xml:space="preserve">5% of time annually for executive oversight of the information collection.  </w:t>
            </w:r>
            <w:r w:rsidRPr="009878E6" w:rsidR="00E70D56">
              <w:rPr>
                <w:rFonts w:ascii="Times New Roman" w:hAnsi="Times New Roman" w:cs="Times New Roman"/>
                <w:sz w:val="18"/>
                <w:szCs w:val="18"/>
              </w:rPr>
              <w:t>($</w:t>
            </w:r>
            <w:r w:rsidR="00AC40D0">
              <w:rPr>
                <w:rFonts w:ascii="Times New Roman" w:hAnsi="Times New Roman" w:cs="Times New Roman"/>
                <w:sz w:val="18"/>
                <w:szCs w:val="18"/>
              </w:rPr>
              <w:t>150,016</w:t>
            </w:r>
            <w:r w:rsidRPr="009878E6" w:rsidR="00E70D56">
              <w:rPr>
                <w:rFonts w:ascii="Times New Roman" w:hAnsi="Times New Roman" w:cs="Times New Roman"/>
                <w:sz w:val="18"/>
                <w:szCs w:val="18"/>
              </w:rPr>
              <w:t xml:space="preserve"> </w:t>
            </w:r>
            <w:r w:rsidRPr="009878E6" w:rsidR="00451B41">
              <w:rPr>
                <w:rFonts w:ascii="Times New Roman" w:eastAsia="Calibri" w:hAnsi="Times New Roman" w:cs="Times New Roman"/>
                <w:sz w:val="18"/>
                <w:szCs w:val="18"/>
              </w:rPr>
              <w:t>×</w:t>
            </w:r>
            <w:r w:rsidRPr="009878E6" w:rsidR="00E70D56">
              <w:rPr>
                <w:rFonts w:ascii="Times New Roman" w:hAnsi="Times New Roman" w:cs="Times New Roman"/>
                <w:sz w:val="18"/>
                <w:szCs w:val="18"/>
              </w:rPr>
              <w:t xml:space="preserve"> </w:t>
            </w:r>
            <w:r w:rsidRPr="009878E6" w:rsidR="004C43FB">
              <w:rPr>
                <w:rFonts w:ascii="Times New Roman" w:hAnsi="Times New Roman" w:cs="Times New Roman"/>
                <w:sz w:val="18"/>
                <w:szCs w:val="18"/>
              </w:rPr>
              <w:t>0.</w:t>
            </w:r>
            <w:r w:rsidRPr="009878E6" w:rsidR="00451B41">
              <w:rPr>
                <w:rFonts w:ascii="Times New Roman" w:hAnsi="Times New Roman" w:cs="Times New Roman"/>
                <w:sz w:val="18"/>
                <w:szCs w:val="18"/>
              </w:rPr>
              <w:t>0</w:t>
            </w:r>
            <w:r w:rsidRPr="009878E6" w:rsidR="00CB478C">
              <w:rPr>
                <w:rFonts w:ascii="Times New Roman" w:hAnsi="Times New Roman" w:cs="Times New Roman"/>
                <w:sz w:val="18"/>
                <w:szCs w:val="18"/>
              </w:rPr>
              <w:t>75</w:t>
            </w:r>
            <w:r w:rsidRPr="009878E6" w:rsidR="004C43FB">
              <w:rPr>
                <w:rFonts w:ascii="Times New Roman" w:hAnsi="Times New Roman" w:cs="Times New Roman"/>
                <w:sz w:val="18"/>
                <w:szCs w:val="18"/>
              </w:rPr>
              <w:t xml:space="preserve"> </w:t>
            </w:r>
            <w:r w:rsidRPr="009878E6" w:rsidR="00451B41">
              <w:rPr>
                <w:rFonts w:ascii="Times New Roman" w:eastAsia="Calibri" w:hAnsi="Times New Roman" w:cs="Times New Roman"/>
                <w:sz w:val="18"/>
                <w:szCs w:val="18"/>
              </w:rPr>
              <w:t>×</w:t>
            </w:r>
            <w:r w:rsidRPr="009878E6" w:rsidR="004C43FB">
              <w:rPr>
                <w:rFonts w:ascii="Times New Roman" w:hAnsi="Times New Roman" w:cs="Times New Roman"/>
                <w:sz w:val="18"/>
                <w:szCs w:val="18"/>
              </w:rPr>
              <w:t xml:space="preserve"> 1.45</w:t>
            </w:r>
            <w:r w:rsidRPr="009878E6" w:rsidR="004C43FB">
              <w:rPr>
                <w:rFonts w:ascii="Times New Roman" w:hAnsi="Times New Roman" w:cs="Times New Roman"/>
                <w:sz w:val="18"/>
                <w:szCs w:val="18"/>
              </w:rPr>
              <w:t xml:space="preserve"> </w:t>
            </w:r>
            <w:r w:rsidRPr="009878E6" w:rsidR="004C43FB">
              <w:rPr>
                <w:rFonts w:ascii="Times New Roman" w:hAnsi="Times New Roman" w:cs="Times New Roman"/>
                <w:sz w:val="18"/>
                <w:szCs w:val="18"/>
              </w:rPr>
              <w:t xml:space="preserve">= </w:t>
            </w:r>
            <w:r w:rsidRPr="009878E6" w:rsidR="00E62B1F">
              <w:rPr>
                <w:rFonts w:ascii="Times New Roman" w:hAnsi="Times New Roman" w:cs="Times New Roman"/>
                <w:sz w:val="18"/>
                <w:szCs w:val="18"/>
              </w:rPr>
              <w:t>$</w:t>
            </w:r>
            <w:r w:rsidR="00AC40D0">
              <w:rPr>
                <w:rFonts w:ascii="Times New Roman" w:hAnsi="Times New Roman" w:cs="Times New Roman"/>
                <w:sz w:val="18"/>
                <w:szCs w:val="18"/>
              </w:rPr>
              <w:t>16,314</w:t>
            </w:r>
            <w:r w:rsidRPr="009878E6" w:rsidR="00E62B1F">
              <w:rPr>
                <w:rFonts w:ascii="Times New Roman" w:hAnsi="Times New Roman" w:cs="Times New Roman"/>
                <w:sz w:val="18"/>
                <w:szCs w:val="18"/>
              </w:rPr>
              <w:t>)</w:t>
            </w:r>
          </w:p>
          <w:p w:rsidR="000F0C56" w:rsidRPr="009878E6" w:rsidP="009878E6" w14:paraId="71F397D3" w14:textId="046FCFB0">
            <w:pPr>
              <w:spacing w:line="276" w:lineRule="auto"/>
              <w:contextualSpacing/>
              <w:rPr>
                <w:rFonts w:ascii="Times New Roman" w:hAnsi="Times New Roman" w:cs="Times New Roman"/>
                <w:sz w:val="18"/>
                <w:szCs w:val="18"/>
              </w:rPr>
            </w:pPr>
            <w:r w:rsidRPr="009878E6">
              <w:rPr>
                <w:rFonts w:ascii="Times New Roman" w:hAnsi="Times New Roman" w:cs="Times New Roman"/>
                <w:sz w:val="18"/>
                <w:szCs w:val="18"/>
              </w:rPr>
              <w:t>($</w:t>
            </w:r>
            <w:r w:rsidR="009410BB">
              <w:rPr>
                <w:rFonts w:ascii="Times New Roman" w:hAnsi="Times New Roman" w:cs="Times New Roman"/>
                <w:sz w:val="18"/>
                <w:szCs w:val="18"/>
              </w:rPr>
              <w:t>4,</w:t>
            </w:r>
            <w:r w:rsidR="006C5CA4">
              <w:rPr>
                <w:rFonts w:ascii="Times New Roman" w:hAnsi="Times New Roman" w:cs="Times New Roman"/>
                <w:sz w:val="18"/>
                <w:szCs w:val="18"/>
              </w:rPr>
              <w:t>602</w:t>
            </w:r>
            <w:r w:rsidRPr="009878E6">
              <w:rPr>
                <w:rFonts w:ascii="Times New Roman" w:hAnsi="Times New Roman" w:cs="Times New Roman"/>
                <w:sz w:val="18"/>
                <w:szCs w:val="18"/>
              </w:rPr>
              <w:t xml:space="preserve"> + $</w:t>
            </w:r>
            <w:r w:rsidR="00AC40D0">
              <w:rPr>
                <w:rFonts w:ascii="Times New Roman" w:hAnsi="Times New Roman" w:cs="Times New Roman"/>
                <w:sz w:val="18"/>
                <w:szCs w:val="18"/>
              </w:rPr>
              <w:t>16,314</w:t>
            </w:r>
            <w:r w:rsidRPr="009878E6">
              <w:rPr>
                <w:rFonts w:ascii="Times New Roman" w:hAnsi="Times New Roman" w:cs="Times New Roman"/>
                <w:sz w:val="18"/>
                <w:szCs w:val="18"/>
              </w:rPr>
              <w:t xml:space="preserve"> = $</w:t>
            </w:r>
            <w:r w:rsidR="00B409F2">
              <w:rPr>
                <w:rFonts w:ascii="Times New Roman" w:hAnsi="Times New Roman" w:cs="Times New Roman"/>
                <w:sz w:val="18"/>
                <w:szCs w:val="18"/>
              </w:rPr>
              <w:t>20,</w:t>
            </w:r>
            <w:r w:rsidR="008A1E42">
              <w:rPr>
                <w:rFonts w:ascii="Times New Roman" w:hAnsi="Times New Roman" w:cs="Times New Roman"/>
                <w:sz w:val="18"/>
                <w:szCs w:val="18"/>
              </w:rPr>
              <w:t>916</w:t>
            </w:r>
            <w:r w:rsidRPr="009878E6">
              <w:rPr>
                <w:rFonts w:ascii="Times New Roman" w:hAnsi="Times New Roman" w:cs="Times New Roman"/>
                <w:sz w:val="18"/>
                <w:szCs w:val="18"/>
              </w:rPr>
              <w:t>)</w:t>
            </w:r>
          </w:p>
        </w:tc>
        <w:tc>
          <w:tcPr>
            <w:tcW w:w="1975" w:type="dxa"/>
            <w:vAlign w:val="center"/>
          </w:tcPr>
          <w:p w:rsidR="00587125" w:rsidRPr="009878E6" w:rsidP="009878E6" w14:paraId="29146CF8" w14:textId="507F4C08">
            <w:pPr>
              <w:spacing w:line="276" w:lineRule="auto"/>
              <w:contextualSpacing/>
              <w:jc w:val="right"/>
              <w:rPr>
                <w:rFonts w:ascii="Times New Roman" w:eastAsia="Calibri" w:hAnsi="Times New Roman" w:cs="Times New Roman"/>
                <w:sz w:val="18"/>
                <w:szCs w:val="18"/>
              </w:rPr>
            </w:pPr>
            <w:r w:rsidRPr="009878E6">
              <w:rPr>
                <w:rFonts w:ascii="Times New Roman" w:eastAsia="Calibri" w:hAnsi="Times New Roman" w:cs="Times New Roman"/>
                <w:sz w:val="18"/>
                <w:szCs w:val="18"/>
              </w:rPr>
              <w:t>$</w:t>
            </w:r>
            <w:r w:rsidR="00B409F2">
              <w:rPr>
                <w:rFonts w:ascii="Times New Roman" w:eastAsia="Calibri" w:hAnsi="Times New Roman" w:cs="Times New Roman"/>
                <w:sz w:val="18"/>
                <w:szCs w:val="18"/>
              </w:rPr>
              <w:t>20,</w:t>
            </w:r>
            <w:r w:rsidR="008A1E42">
              <w:rPr>
                <w:rFonts w:ascii="Times New Roman" w:eastAsia="Calibri" w:hAnsi="Times New Roman" w:cs="Times New Roman"/>
                <w:sz w:val="18"/>
                <w:szCs w:val="18"/>
              </w:rPr>
              <w:t>916</w:t>
            </w:r>
          </w:p>
        </w:tc>
      </w:tr>
      <w:tr w14:paraId="272E843A" w14:textId="77777777" w:rsidTr="0034137E">
        <w:tblPrEx>
          <w:tblW w:w="0" w:type="auto"/>
          <w:tblLook w:val="04A0"/>
        </w:tblPrEx>
        <w:tc>
          <w:tcPr>
            <w:tcW w:w="7375" w:type="dxa"/>
          </w:tcPr>
          <w:p w:rsidR="00587125" w:rsidRPr="009878E6" w:rsidP="009878E6" w14:paraId="4EF7A380" w14:textId="77777777">
            <w:pPr>
              <w:spacing w:line="276" w:lineRule="auto"/>
              <w:contextualSpacing/>
              <w:rPr>
                <w:rFonts w:ascii="Times New Roman" w:eastAsia="Calibri" w:hAnsi="Times New Roman" w:cs="Times New Roman"/>
                <w:sz w:val="18"/>
                <w:szCs w:val="18"/>
              </w:rPr>
            </w:pPr>
            <w:r w:rsidRPr="009878E6">
              <w:rPr>
                <w:rFonts w:ascii="Times New Roman" w:eastAsia="Calibri" w:hAnsi="Times New Roman" w:cs="Times New Roman"/>
                <w:sz w:val="18"/>
                <w:szCs w:val="18"/>
              </w:rPr>
              <w:t>Facilities [cost for renting, overhead, etc. for data collection activity]</w:t>
            </w:r>
          </w:p>
        </w:tc>
        <w:tc>
          <w:tcPr>
            <w:tcW w:w="1975" w:type="dxa"/>
            <w:vAlign w:val="center"/>
          </w:tcPr>
          <w:p w:rsidR="00587125" w:rsidRPr="009878E6" w:rsidP="009878E6" w14:paraId="0D483BE5" w14:textId="77777777">
            <w:pPr>
              <w:spacing w:line="276" w:lineRule="auto"/>
              <w:contextualSpacing/>
              <w:jc w:val="right"/>
              <w:rPr>
                <w:rFonts w:ascii="Times New Roman" w:eastAsia="Calibri" w:hAnsi="Times New Roman" w:cs="Times New Roman"/>
                <w:sz w:val="18"/>
                <w:szCs w:val="18"/>
              </w:rPr>
            </w:pPr>
            <w:r w:rsidRPr="009878E6">
              <w:rPr>
                <w:rFonts w:ascii="Times New Roman" w:eastAsia="Calibri" w:hAnsi="Times New Roman" w:cs="Times New Roman"/>
                <w:sz w:val="18"/>
                <w:szCs w:val="18"/>
              </w:rPr>
              <w:t>$0</w:t>
            </w:r>
          </w:p>
        </w:tc>
      </w:tr>
      <w:tr w14:paraId="174552C1" w14:textId="77777777" w:rsidTr="0034137E">
        <w:tblPrEx>
          <w:tblW w:w="0" w:type="auto"/>
          <w:tblLook w:val="04A0"/>
        </w:tblPrEx>
        <w:tc>
          <w:tcPr>
            <w:tcW w:w="7375" w:type="dxa"/>
          </w:tcPr>
          <w:p w:rsidR="00587125" w:rsidRPr="009878E6" w:rsidP="009878E6" w14:paraId="3E937C36" w14:textId="77777777">
            <w:pPr>
              <w:spacing w:line="276" w:lineRule="auto"/>
              <w:contextualSpacing/>
              <w:rPr>
                <w:rFonts w:ascii="Times New Roman" w:eastAsia="Calibri" w:hAnsi="Times New Roman" w:cs="Times New Roman"/>
                <w:sz w:val="18"/>
                <w:szCs w:val="18"/>
              </w:rPr>
            </w:pPr>
            <w:r w:rsidRPr="009878E6">
              <w:rPr>
                <w:rFonts w:ascii="Times New Roman" w:eastAsia="Calibri" w:hAnsi="Times New Roman" w:cs="Times New Roman"/>
                <w:sz w:val="18"/>
                <w:szCs w:val="18"/>
              </w:rPr>
              <w:t>Computer Hardware and Software [cost of equipment annual lifecycle]</w:t>
            </w:r>
          </w:p>
        </w:tc>
        <w:tc>
          <w:tcPr>
            <w:tcW w:w="1975" w:type="dxa"/>
            <w:vAlign w:val="center"/>
          </w:tcPr>
          <w:p w:rsidR="00587125" w:rsidRPr="009878E6" w:rsidP="009878E6" w14:paraId="3B1106F9" w14:textId="77777777">
            <w:pPr>
              <w:spacing w:line="276" w:lineRule="auto"/>
              <w:contextualSpacing/>
              <w:jc w:val="right"/>
              <w:rPr>
                <w:rFonts w:ascii="Times New Roman" w:eastAsia="Calibri" w:hAnsi="Times New Roman" w:cs="Times New Roman"/>
                <w:sz w:val="18"/>
                <w:szCs w:val="18"/>
              </w:rPr>
            </w:pPr>
            <w:r w:rsidRPr="009878E6">
              <w:rPr>
                <w:rFonts w:ascii="Times New Roman" w:eastAsia="Calibri" w:hAnsi="Times New Roman" w:cs="Times New Roman"/>
                <w:sz w:val="18"/>
                <w:szCs w:val="18"/>
              </w:rPr>
              <w:t>$0</w:t>
            </w:r>
          </w:p>
        </w:tc>
      </w:tr>
      <w:tr w14:paraId="5A182614" w14:textId="77777777" w:rsidTr="0034137E">
        <w:tblPrEx>
          <w:tblW w:w="0" w:type="auto"/>
          <w:tblLook w:val="04A0"/>
        </w:tblPrEx>
        <w:tc>
          <w:tcPr>
            <w:tcW w:w="7375" w:type="dxa"/>
          </w:tcPr>
          <w:p w:rsidR="00587125" w:rsidRPr="009878E6" w:rsidP="009878E6" w14:paraId="598476DA" w14:textId="77777777">
            <w:pPr>
              <w:spacing w:line="276" w:lineRule="auto"/>
              <w:contextualSpacing/>
              <w:rPr>
                <w:rFonts w:ascii="Times New Roman" w:eastAsia="Calibri" w:hAnsi="Times New Roman" w:cs="Times New Roman"/>
                <w:sz w:val="18"/>
                <w:szCs w:val="18"/>
              </w:rPr>
            </w:pPr>
            <w:r w:rsidRPr="009878E6">
              <w:rPr>
                <w:rFonts w:ascii="Times New Roman" w:eastAsia="Calibri" w:hAnsi="Times New Roman" w:cs="Times New Roman"/>
                <w:sz w:val="18"/>
                <w:szCs w:val="18"/>
              </w:rPr>
              <w:t>Equipment Maintenance [cost of annual maintenance/service agreements for equipment]</w:t>
            </w:r>
          </w:p>
        </w:tc>
        <w:tc>
          <w:tcPr>
            <w:tcW w:w="1975" w:type="dxa"/>
            <w:vAlign w:val="center"/>
          </w:tcPr>
          <w:p w:rsidR="00587125" w:rsidRPr="009878E6" w:rsidP="009878E6" w14:paraId="49D060A3" w14:textId="77777777">
            <w:pPr>
              <w:spacing w:line="276" w:lineRule="auto"/>
              <w:contextualSpacing/>
              <w:jc w:val="right"/>
              <w:rPr>
                <w:rFonts w:ascii="Times New Roman" w:eastAsia="Calibri" w:hAnsi="Times New Roman" w:cs="Times New Roman"/>
                <w:sz w:val="18"/>
                <w:szCs w:val="18"/>
              </w:rPr>
            </w:pPr>
            <w:r w:rsidRPr="009878E6">
              <w:rPr>
                <w:rFonts w:ascii="Times New Roman" w:eastAsia="Calibri" w:hAnsi="Times New Roman" w:cs="Times New Roman"/>
                <w:sz w:val="18"/>
                <w:szCs w:val="18"/>
              </w:rPr>
              <w:t>$0</w:t>
            </w:r>
          </w:p>
        </w:tc>
      </w:tr>
      <w:tr w14:paraId="24D2DC3D" w14:textId="77777777" w:rsidTr="0034137E">
        <w:tblPrEx>
          <w:tblW w:w="0" w:type="auto"/>
          <w:tblLook w:val="04A0"/>
        </w:tblPrEx>
        <w:tc>
          <w:tcPr>
            <w:tcW w:w="7375" w:type="dxa"/>
          </w:tcPr>
          <w:p w:rsidR="00587125" w:rsidRPr="009878E6" w:rsidP="009878E6" w14:paraId="6B79B770" w14:textId="77777777">
            <w:pPr>
              <w:spacing w:line="276" w:lineRule="auto"/>
              <w:contextualSpacing/>
              <w:rPr>
                <w:rFonts w:ascii="Times New Roman" w:eastAsia="Calibri" w:hAnsi="Times New Roman" w:cs="Times New Roman"/>
                <w:sz w:val="18"/>
                <w:szCs w:val="18"/>
              </w:rPr>
            </w:pPr>
            <w:r w:rsidRPr="009878E6">
              <w:rPr>
                <w:rFonts w:ascii="Times New Roman" w:eastAsia="Calibri" w:hAnsi="Times New Roman" w:cs="Times New Roman"/>
                <w:sz w:val="18"/>
                <w:szCs w:val="18"/>
              </w:rPr>
              <w:t>Travel (not to exceed)</w:t>
            </w:r>
          </w:p>
        </w:tc>
        <w:tc>
          <w:tcPr>
            <w:tcW w:w="1975" w:type="dxa"/>
            <w:vAlign w:val="center"/>
          </w:tcPr>
          <w:p w:rsidR="00587125" w:rsidRPr="009878E6" w:rsidP="009878E6" w14:paraId="377F2C4A" w14:textId="77777777">
            <w:pPr>
              <w:spacing w:line="276" w:lineRule="auto"/>
              <w:contextualSpacing/>
              <w:jc w:val="right"/>
              <w:rPr>
                <w:rFonts w:ascii="Times New Roman" w:eastAsia="Calibri" w:hAnsi="Times New Roman" w:cs="Times New Roman"/>
                <w:sz w:val="18"/>
                <w:szCs w:val="18"/>
              </w:rPr>
            </w:pPr>
            <w:r w:rsidRPr="009878E6">
              <w:rPr>
                <w:rFonts w:ascii="Times New Roman" w:eastAsia="Calibri" w:hAnsi="Times New Roman" w:cs="Times New Roman"/>
                <w:sz w:val="18"/>
                <w:szCs w:val="18"/>
              </w:rPr>
              <w:t>$0</w:t>
            </w:r>
          </w:p>
        </w:tc>
      </w:tr>
      <w:tr w14:paraId="4A22769B" w14:textId="77777777" w:rsidTr="0034137E">
        <w:tblPrEx>
          <w:tblW w:w="0" w:type="auto"/>
          <w:tblLook w:val="04A0"/>
        </w:tblPrEx>
        <w:tc>
          <w:tcPr>
            <w:tcW w:w="7375" w:type="dxa"/>
          </w:tcPr>
          <w:p w:rsidR="00587125" w:rsidRPr="009878E6" w:rsidP="009878E6" w14:paraId="4857E355" w14:textId="77777777">
            <w:pPr>
              <w:spacing w:line="276" w:lineRule="auto"/>
              <w:contextualSpacing/>
              <w:rPr>
                <w:rFonts w:ascii="Times New Roman" w:eastAsia="Calibri" w:hAnsi="Times New Roman" w:cs="Times New Roman"/>
                <w:b/>
                <w:sz w:val="18"/>
                <w:szCs w:val="18"/>
              </w:rPr>
            </w:pPr>
            <w:r w:rsidRPr="009878E6">
              <w:rPr>
                <w:rFonts w:ascii="Times New Roman" w:eastAsia="Calibri" w:hAnsi="Times New Roman" w:cs="Times New Roman"/>
                <w:b/>
                <w:sz w:val="18"/>
                <w:szCs w:val="18"/>
              </w:rPr>
              <w:t>Total</w:t>
            </w:r>
          </w:p>
        </w:tc>
        <w:tc>
          <w:tcPr>
            <w:tcW w:w="1975" w:type="dxa"/>
            <w:vAlign w:val="center"/>
          </w:tcPr>
          <w:p w:rsidR="00587125" w:rsidRPr="009878E6" w:rsidP="009878E6" w14:paraId="6EB8FF2E" w14:textId="3E94B87B">
            <w:pPr>
              <w:spacing w:line="276" w:lineRule="auto"/>
              <w:contextualSpacing/>
              <w:jc w:val="right"/>
              <w:rPr>
                <w:rFonts w:ascii="Times New Roman" w:eastAsia="Calibri" w:hAnsi="Times New Roman" w:cs="Times New Roman"/>
                <w:b/>
                <w:bCs/>
                <w:sz w:val="18"/>
                <w:szCs w:val="18"/>
              </w:rPr>
            </w:pPr>
            <w:r w:rsidRPr="009878E6">
              <w:rPr>
                <w:rFonts w:ascii="Times New Roman" w:eastAsia="Calibri" w:hAnsi="Times New Roman" w:cs="Times New Roman"/>
                <w:b/>
                <w:bCs/>
                <w:sz w:val="18"/>
                <w:szCs w:val="18"/>
              </w:rPr>
              <w:t>$</w:t>
            </w:r>
            <w:r w:rsidR="00701AC7">
              <w:rPr>
                <w:rFonts w:ascii="Times New Roman" w:eastAsia="Calibri" w:hAnsi="Times New Roman" w:cs="Times New Roman"/>
                <w:b/>
                <w:bCs/>
                <w:sz w:val="18"/>
                <w:szCs w:val="18"/>
              </w:rPr>
              <w:t>421,298</w:t>
            </w:r>
          </w:p>
        </w:tc>
      </w:tr>
      <w:tr w14:paraId="470A5455" w14:textId="77777777" w:rsidTr="0034137E">
        <w:tblPrEx>
          <w:tblW w:w="0" w:type="auto"/>
          <w:tblLook w:val="04A0"/>
        </w:tblPrEx>
        <w:tc>
          <w:tcPr>
            <w:tcW w:w="9350" w:type="dxa"/>
            <w:gridSpan w:val="2"/>
          </w:tcPr>
          <w:p w:rsidR="00587125" w:rsidRPr="009878E6" w:rsidP="009878E6" w14:paraId="272CEB8E" w14:textId="0D9D5442">
            <w:pPr>
              <w:spacing w:line="276" w:lineRule="auto"/>
              <w:contextualSpacing/>
              <w:rPr>
                <w:rFonts w:ascii="Times New Roman" w:eastAsia="Calibri" w:hAnsi="Times New Roman" w:cs="Times New Roman"/>
                <w:sz w:val="18"/>
                <w:szCs w:val="18"/>
              </w:rPr>
            </w:pPr>
            <w:bookmarkStart w:id="7" w:name="OLE_LINK1"/>
            <w:r w:rsidRPr="009878E6">
              <w:rPr>
                <w:rFonts w:ascii="Times New Roman" w:eastAsia="Calibri" w:hAnsi="Times New Roman" w:cs="Times New Roman"/>
                <w:sz w:val="18"/>
                <w:szCs w:val="18"/>
                <w:vertAlign w:val="superscript"/>
              </w:rPr>
              <w:t>1</w:t>
            </w:r>
            <w:r w:rsidRPr="009878E6">
              <w:rPr>
                <w:rFonts w:ascii="Times New Roman" w:eastAsia="Calibri" w:hAnsi="Times New Roman" w:cs="Times New Roman"/>
                <w:sz w:val="18"/>
                <w:szCs w:val="18"/>
              </w:rPr>
              <w:t xml:space="preserve"> Office of Personnel Management </w:t>
            </w:r>
            <w:r w:rsidRPr="009878E6" w:rsidR="00701AC7">
              <w:rPr>
                <w:rFonts w:ascii="Times New Roman" w:eastAsia="Calibri" w:hAnsi="Times New Roman" w:cs="Times New Roman"/>
                <w:sz w:val="18"/>
                <w:szCs w:val="18"/>
              </w:rPr>
              <w:t>202</w:t>
            </w:r>
            <w:r w:rsidR="00701AC7">
              <w:rPr>
                <w:rFonts w:ascii="Times New Roman" w:eastAsia="Calibri" w:hAnsi="Times New Roman" w:cs="Times New Roman"/>
                <w:sz w:val="18"/>
                <w:szCs w:val="18"/>
              </w:rPr>
              <w:t>3</w:t>
            </w:r>
            <w:r w:rsidRPr="009878E6" w:rsidR="00701AC7">
              <w:rPr>
                <w:rFonts w:ascii="Times New Roman" w:eastAsia="Calibri" w:hAnsi="Times New Roman" w:cs="Times New Roman"/>
                <w:sz w:val="18"/>
                <w:szCs w:val="18"/>
              </w:rPr>
              <w:t xml:space="preserve"> </w:t>
            </w:r>
            <w:r w:rsidRPr="009878E6">
              <w:rPr>
                <w:rFonts w:ascii="Times New Roman" w:eastAsia="Calibri" w:hAnsi="Times New Roman" w:cs="Times New Roman"/>
                <w:sz w:val="18"/>
                <w:szCs w:val="18"/>
              </w:rPr>
              <w:t xml:space="preserve">Pay and Leave Tables for the Washington-Baltimore-Arlington, DC-MD-VA-WV-PA locality. Available online at </w:t>
            </w:r>
            <w:hyperlink r:id="rId10" w:history="1">
              <w:r w:rsidR="00701AC7">
                <w:rPr>
                  <w:rStyle w:val="Hyperlink"/>
                  <w:rFonts w:ascii="Times New Roman" w:eastAsia="Calibri" w:hAnsi="Times New Roman" w:cs="Times New Roman"/>
                  <w:sz w:val="18"/>
                  <w:szCs w:val="18"/>
                </w:rPr>
                <w:t>https://www.opm.gov/policy-data-oversight/pay-leave/salaries-wages/salary-tables/pdf/2023/DCB.pdf</w:t>
              </w:r>
            </w:hyperlink>
            <w:r w:rsidRPr="009878E6">
              <w:rPr>
                <w:rFonts w:ascii="Times New Roman" w:eastAsia="Calibri" w:hAnsi="Times New Roman" w:cs="Times New Roman"/>
                <w:sz w:val="18"/>
                <w:szCs w:val="18"/>
              </w:rPr>
              <w:t xml:space="preserve">. Accessed </w:t>
            </w:r>
            <w:r w:rsidR="00701AC7">
              <w:rPr>
                <w:rFonts w:ascii="Times New Roman" w:eastAsia="Calibri" w:hAnsi="Times New Roman" w:cs="Times New Roman"/>
                <w:sz w:val="18"/>
                <w:szCs w:val="18"/>
              </w:rPr>
              <w:t xml:space="preserve">March 20, 2023. </w:t>
            </w:r>
          </w:p>
          <w:p w:rsidR="00587125" w:rsidRPr="009878E6" w:rsidP="009878E6" w14:paraId="015578DD" w14:textId="77777777">
            <w:pPr>
              <w:spacing w:line="276" w:lineRule="auto"/>
              <w:contextualSpacing/>
              <w:rPr>
                <w:rFonts w:ascii="Times New Roman" w:eastAsia="Calibri" w:hAnsi="Times New Roman" w:cs="Times New Roman"/>
                <w:sz w:val="18"/>
                <w:szCs w:val="18"/>
              </w:rPr>
            </w:pPr>
            <w:r w:rsidRPr="009878E6">
              <w:rPr>
                <w:rFonts w:ascii="Times New Roman" w:eastAsia="Calibri" w:hAnsi="Times New Roman" w:cs="Times New Roman"/>
                <w:sz w:val="18"/>
                <w:szCs w:val="18"/>
                <w:vertAlign w:val="superscript"/>
              </w:rPr>
              <w:t>2</w:t>
            </w:r>
            <w:r w:rsidRPr="009878E6">
              <w:rPr>
                <w:rFonts w:ascii="Times New Roman" w:eastAsia="Calibri" w:hAnsi="Times New Roman" w:cs="Times New Roman"/>
                <w:sz w:val="18"/>
                <w:szCs w:val="18"/>
              </w:rPr>
              <w:t xml:space="preserve"> Wage rate includes a 1.45 multiplier to reflect the fully-loaded wage rate.</w:t>
            </w:r>
            <w:bookmarkEnd w:id="7"/>
          </w:p>
        </w:tc>
      </w:tr>
      <w:bookmarkEnd w:id="6"/>
    </w:tbl>
    <w:p w:rsidR="00587125" w:rsidRPr="009878E6" w:rsidP="009878E6" w14:paraId="4B21AC0D" w14:textId="77777777">
      <w:pPr>
        <w:contextualSpacing/>
        <w:rPr>
          <w:rFonts w:ascii="Times New Roman" w:hAnsi="Times New Roman" w:cs="Times New Roman"/>
          <w:sz w:val="24"/>
          <w:szCs w:val="24"/>
        </w:rPr>
      </w:pPr>
    </w:p>
    <w:p w:rsidR="00F7228A" w:rsidRPr="009878E6" w:rsidP="009878E6" w14:paraId="0580F61D" w14:textId="7BC60873">
      <w:pPr>
        <w:contextualSpacing/>
        <w:rPr>
          <w:rFonts w:ascii="Times New Roman" w:hAnsi="Times New Roman" w:cs="Times New Roman"/>
          <w:sz w:val="24"/>
          <w:szCs w:val="24"/>
        </w:rPr>
      </w:pPr>
      <w:r w:rsidRPr="009878E6">
        <w:rPr>
          <w:rFonts w:ascii="Times New Roman" w:hAnsi="Times New Roman" w:cs="Times New Roman"/>
          <w:sz w:val="24"/>
          <w:szCs w:val="24"/>
        </w:rPr>
        <w:t xml:space="preserve">The estimate of total annual cost burden to the Federal Government resulting from the </w:t>
      </w:r>
      <w:r w:rsidRPr="009878E6" w:rsidR="00C362C2">
        <w:rPr>
          <w:rFonts w:ascii="Times New Roman" w:hAnsi="Times New Roman" w:cs="Times New Roman"/>
          <w:sz w:val="24"/>
          <w:szCs w:val="24"/>
        </w:rPr>
        <w:t>c</w:t>
      </w:r>
      <w:r w:rsidRPr="009878E6">
        <w:rPr>
          <w:rFonts w:ascii="Times New Roman" w:hAnsi="Times New Roman" w:cs="Times New Roman"/>
          <w:sz w:val="24"/>
          <w:szCs w:val="24"/>
        </w:rPr>
        <w:t xml:space="preserve">ollection of information is based upon a one-time collection within the three-year approval period for the instrument. </w:t>
      </w:r>
      <w:r w:rsidRPr="009878E6" w:rsidR="00756215">
        <w:rPr>
          <w:rFonts w:ascii="Times New Roman" w:hAnsi="Times New Roman" w:cs="Times New Roman"/>
          <w:sz w:val="24"/>
          <w:szCs w:val="24"/>
        </w:rPr>
        <w:t xml:space="preserve"> FEMA provides additional information regarding:</w:t>
      </w:r>
    </w:p>
    <w:p w:rsidR="0088159E" w:rsidRPr="009878E6" w:rsidP="009878E6" w14:paraId="0C046B06" w14:textId="3E45B4CE">
      <w:pPr>
        <w:pStyle w:val="ListParagraph"/>
        <w:numPr>
          <w:ilvl w:val="0"/>
          <w:numId w:val="11"/>
        </w:numPr>
        <w:spacing w:after="0"/>
        <w:rPr>
          <w:rFonts w:ascii="Times New Roman" w:hAnsi="Times New Roman" w:cs="Times New Roman"/>
          <w:sz w:val="24"/>
          <w:szCs w:val="24"/>
        </w:rPr>
      </w:pPr>
      <w:r w:rsidRPr="009878E6">
        <w:rPr>
          <w:rFonts w:ascii="Times New Roman" w:hAnsi="Times New Roman" w:cs="Times New Roman"/>
          <w:sz w:val="24"/>
          <w:szCs w:val="24"/>
        </w:rPr>
        <w:t xml:space="preserve">Facilities </w:t>
      </w:r>
      <w:r w:rsidRPr="009878E6" w:rsidR="00F9412C">
        <w:rPr>
          <w:rFonts w:ascii="Times New Roman" w:hAnsi="Times New Roman" w:cs="Times New Roman"/>
          <w:sz w:val="24"/>
          <w:szCs w:val="24"/>
        </w:rPr>
        <w:t>–</w:t>
      </w:r>
      <w:r w:rsidRPr="009878E6">
        <w:rPr>
          <w:rFonts w:ascii="Times New Roman" w:hAnsi="Times New Roman" w:cs="Times New Roman"/>
          <w:sz w:val="24"/>
          <w:szCs w:val="24"/>
        </w:rPr>
        <w:t xml:space="preserve"> </w:t>
      </w:r>
      <w:r w:rsidRPr="009878E6" w:rsidR="00F9412C">
        <w:rPr>
          <w:rFonts w:ascii="Times New Roman" w:hAnsi="Times New Roman" w:cs="Times New Roman"/>
          <w:sz w:val="24"/>
          <w:szCs w:val="24"/>
        </w:rPr>
        <w:t>no additional costs have been incurred for the information collection.</w:t>
      </w:r>
    </w:p>
    <w:p w:rsidR="00F9412C" w:rsidRPr="009878E6" w:rsidP="009878E6" w14:paraId="1CCE8247" w14:textId="556B6F25">
      <w:pPr>
        <w:pStyle w:val="ListParagraph"/>
        <w:numPr>
          <w:ilvl w:val="0"/>
          <w:numId w:val="11"/>
        </w:numPr>
        <w:spacing w:after="0"/>
        <w:rPr>
          <w:rFonts w:ascii="Times New Roman" w:hAnsi="Times New Roman" w:cs="Times New Roman"/>
          <w:sz w:val="24"/>
          <w:szCs w:val="24"/>
        </w:rPr>
      </w:pPr>
      <w:r w:rsidRPr="009878E6">
        <w:rPr>
          <w:rFonts w:ascii="Times New Roman" w:hAnsi="Times New Roman" w:cs="Times New Roman"/>
          <w:sz w:val="24"/>
          <w:szCs w:val="24"/>
        </w:rPr>
        <w:t>Computer Hardware and Software – no additional costs have been incurred for the information collection.</w:t>
      </w:r>
    </w:p>
    <w:p w:rsidR="00F9412C" w:rsidRPr="009878E6" w:rsidP="009878E6" w14:paraId="1593CEC3" w14:textId="13361748">
      <w:pPr>
        <w:pStyle w:val="ListParagraph"/>
        <w:numPr>
          <w:ilvl w:val="0"/>
          <w:numId w:val="11"/>
        </w:numPr>
        <w:spacing w:after="0"/>
        <w:rPr>
          <w:rFonts w:ascii="Times New Roman" w:hAnsi="Times New Roman" w:cs="Times New Roman"/>
          <w:sz w:val="24"/>
          <w:szCs w:val="24"/>
        </w:rPr>
      </w:pPr>
      <w:r w:rsidRPr="009878E6">
        <w:rPr>
          <w:rFonts w:ascii="Times New Roman" w:hAnsi="Times New Roman" w:cs="Times New Roman"/>
          <w:sz w:val="24"/>
          <w:szCs w:val="24"/>
        </w:rPr>
        <w:t>Equipment Maintenance – no additional costs have been incurred for the information collection.</w:t>
      </w:r>
    </w:p>
    <w:p w:rsidR="00756215" w:rsidRPr="009878E6" w:rsidP="009878E6" w14:paraId="1D27F3D5" w14:textId="11F67771">
      <w:pPr>
        <w:pStyle w:val="ListParagraph"/>
        <w:numPr>
          <w:ilvl w:val="0"/>
          <w:numId w:val="11"/>
        </w:numPr>
        <w:spacing w:after="0"/>
        <w:rPr>
          <w:rFonts w:ascii="Times New Roman" w:hAnsi="Times New Roman" w:cs="Times New Roman"/>
          <w:sz w:val="24"/>
          <w:szCs w:val="24"/>
        </w:rPr>
      </w:pPr>
      <w:r w:rsidRPr="009878E6">
        <w:rPr>
          <w:rFonts w:ascii="Times New Roman" w:hAnsi="Times New Roman" w:cs="Times New Roman"/>
          <w:sz w:val="24"/>
          <w:szCs w:val="24"/>
        </w:rPr>
        <w:t>Travel – no travel is expected for the information collection.</w:t>
      </w:r>
    </w:p>
    <w:p w:rsidR="00F7228A" w:rsidRPr="009878E6" w:rsidP="009878E6" w14:paraId="40039225" w14:textId="77777777">
      <w:pPr>
        <w:spacing w:after="0"/>
        <w:contextualSpacing/>
        <w:rPr>
          <w:rFonts w:ascii="Times New Roman" w:hAnsi="Times New Roman" w:cs="Times New Roman"/>
          <w:sz w:val="24"/>
          <w:szCs w:val="24"/>
        </w:rPr>
      </w:pPr>
    </w:p>
    <w:p w:rsidR="00562915" w:rsidRPr="009878E6" w:rsidP="009878E6" w14:paraId="16A38F50" w14:textId="747A8760">
      <w:pPr>
        <w:contextualSpacing/>
        <w:rPr>
          <w:rFonts w:ascii="Times New Roman" w:hAnsi="Times New Roman" w:cs="Times New Roman"/>
          <w:b/>
          <w:sz w:val="24"/>
          <w:szCs w:val="24"/>
        </w:rPr>
      </w:pPr>
      <w:r w:rsidRPr="009878E6">
        <w:rPr>
          <w:rFonts w:ascii="Times New Roman" w:hAnsi="Times New Roman" w:cs="Times New Roman"/>
          <w:sz w:val="24"/>
          <w:szCs w:val="24"/>
        </w:rPr>
        <w:fldChar w:fldCharType="begin"/>
      </w:r>
      <w:r w:rsidRPr="009878E6">
        <w:rPr>
          <w:rFonts w:ascii="Times New Roman" w:hAnsi="Times New Roman" w:cs="Times New Roman"/>
          <w:sz w:val="24"/>
          <w:szCs w:val="24"/>
        </w:rPr>
        <w:instrText>ADVANCE \R 0.95</w:instrText>
      </w:r>
      <w:r w:rsidRPr="009878E6">
        <w:rPr>
          <w:rFonts w:ascii="Times New Roman" w:hAnsi="Times New Roman" w:cs="Times New Roman"/>
          <w:sz w:val="24"/>
          <w:szCs w:val="24"/>
        </w:rPr>
        <w:fldChar w:fldCharType="end"/>
      </w:r>
      <w:r w:rsidRPr="009878E6">
        <w:rPr>
          <w:rFonts w:ascii="Times New Roman" w:hAnsi="Times New Roman" w:cs="Times New Roman"/>
          <w:sz w:val="24"/>
          <w:szCs w:val="24"/>
        </w:rPr>
        <w:fldChar w:fldCharType="begin"/>
      </w:r>
      <w:r w:rsidRPr="009878E6">
        <w:rPr>
          <w:rFonts w:ascii="Times New Roman" w:hAnsi="Times New Roman" w:cs="Times New Roman"/>
          <w:sz w:val="24"/>
          <w:szCs w:val="24"/>
        </w:rPr>
        <w:instrText>ADVANCE \R 0.95</w:instrText>
      </w:r>
      <w:r w:rsidRPr="009878E6">
        <w:rPr>
          <w:rFonts w:ascii="Times New Roman" w:hAnsi="Times New Roman" w:cs="Times New Roman"/>
          <w:sz w:val="24"/>
          <w:szCs w:val="24"/>
        </w:rPr>
        <w:fldChar w:fldCharType="end"/>
      </w:r>
      <w:r w:rsidRPr="009878E6">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562915" w:rsidRPr="009878E6" w:rsidP="009878E6" w14:paraId="1BBDA4F7" w14:textId="5D8356C8">
      <w:pPr>
        <w:pStyle w:val="NormalWeb"/>
        <w:spacing w:line="276" w:lineRule="auto"/>
        <w:contextualSpacing/>
        <w:rPr>
          <w:i/>
          <w:iCs/>
          <w:sz w:val="20"/>
          <w:szCs w:val="20"/>
        </w:rPr>
      </w:pPr>
      <w:r w:rsidRPr="009878E6">
        <w:rPr>
          <w:i/>
          <w:iCs/>
          <w:sz w:val="20"/>
          <w:szCs w:val="20"/>
        </w:rPr>
        <w:t xml:space="preserve">A </w:t>
      </w:r>
      <w:r w:rsidRPr="009878E6" w:rsidR="00AD3158">
        <w:rPr>
          <w:b/>
          <w:bCs/>
          <w:i/>
          <w:iCs/>
          <w:sz w:val="20"/>
          <w:szCs w:val="20"/>
        </w:rPr>
        <w:t>“</w:t>
      </w:r>
      <w:r w:rsidRPr="009878E6">
        <w:rPr>
          <w:b/>
          <w:bCs/>
          <w:i/>
          <w:iCs/>
          <w:sz w:val="20"/>
          <w:szCs w:val="20"/>
        </w:rPr>
        <w:t>Program increase</w:t>
      </w:r>
      <w:r w:rsidRPr="009878E6" w:rsidR="00AD3158">
        <w:rPr>
          <w:b/>
          <w:bCs/>
          <w:i/>
          <w:iCs/>
          <w:sz w:val="20"/>
          <w:szCs w:val="20"/>
        </w:rPr>
        <w:t>”</w:t>
      </w:r>
      <w:r w:rsidRPr="009878E6">
        <w:rPr>
          <w:i/>
          <w:iCs/>
          <w:sz w:val="20"/>
          <w:szCs w:val="20"/>
        </w:rPr>
        <w:t xml:space="preserve"> is an additional burden resulting from an </w:t>
      </w:r>
      <w:r w:rsidRPr="009878E6" w:rsidR="7A1AB3C3">
        <w:rPr>
          <w:i/>
          <w:iCs/>
          <w:sz w:val="20"/>
          <w:szCs w:val="20"/>
        </w:rPr>
        <w:t xml:space="preserve">Federal </w:t>
      </w:r>
      <w:r w:rsidRPr="009878E6" w:rsidR="00284B5D">
        <w:rPr>
          <w:i/>
          <w:iCs/>
          <w:sz w:val="20"/>
          <w:szCs w:val="20"/>
        </w:rPr>
        <w:t>G</w:t>
      </w:r>
      <w:r w:rsidRPr="009878E6">
        <w:rPr>
          <w:i/>
          <w:iCs/>
          <w:sz w:val="20"/>
          <w:szCs w:val="20"/>
        </w:rPr>
        <w:t xml:space="preserve">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00562915" w:rsidRPr="009878E6" w:rsidP="009878E6" w14:paraId="556E5459" w14:textId="408F1310">
      <w:pPr>
        <w:pStyle w:val="NormalWeb"/>
        <w:spacing w:line="276" w:lineRule="auto"/>
        <w:contextualSpacing/>
        <w:rPr>
          <w:i/>
          <w:iCs/>
          <w:sz w:val="20"/>
          <w:szCs w:val="20"/>
        </w:rPr>
      </w:pPr>
      <w:r w:rsidRPr="009878E6">
        <w:rPr>
          <w:i/>
          <w:iCs/>
          <w:sz w:val="20"/>
          <w:szCs w:val="20"/>
        </w:rPr>
        <w:t xml:space="preserve">A </w:t>
      </w:r>
      <w:r w:rsidRPr="009878E6" w:rsidR="00AD3158">
        <w:rPr>
          <w:b/>
          <w:bCs/>
          <w:i/>
          <w:iCs/>
          <w:sz w:val="20"/>
          <w:szCs w:val="20"/>
        </w:rPr>
        <w:t>“</w:t>
      </w:r>
      <w:r w:rsidRPr="009878E6">
        <w:rPr>
          <w:b/>
          <w:bCs/>
          <w:i/>
          <w:iCs/>
          <w:sz w:val="20"/>
          <w:szCs w:val="20"/>
        </w:rPr>
        <w:t>Program decrease</w:t>
      </w:r>
      <w:r w:rsidRPr="009878E6" w:rsidR="7D456A91">
        <w:rPr>
          <w:b/>
          <w:bCs/>
          <w:i/>
          <w:iCs/>
          <w:sz w:val="20"/>
          <w:szCs w:val="20"/>
        </w:rPr>
        <w:t>”</w:t>
      </w:r>
      <w:r w:rsidRPr="009878E6">
        <w:rPr>
          <w:b/>
          <w:bCs/>
          <w:i/>
          <w:iCs/>
          <w:sz w:val="20"/>
          <w:szCs w:val="20"/>
        </w:rPr>
        <w:t xml:space="preserve">, </w:t>
      </w:r>
      <w:r w:rsidRPr="009878E6">
        <w:rPr>
          <w:i/>
          <w:iCs/>
          <w:sz w:val="20"/>
          <w:szCs w:val="20"/>
        </w:rPr>
        <w:t xml:space="preserve">is a reduction in burden because of: (1) the discontinuation of an information collection; or (2) a change in an existing information collection by a Federal </w:t>
      </w:r>
      <w:r w:rsidR="000B7CAE">
        <w:rPr>
          <w:i/>
          <w:iCs/>
          <w:sz w:val="20"/>
          <w:szCs w:val="20"/>
        </w:rPr>
        <w:t>A</w:t>
      </w:r>
      <w:r w:rsidRPr="009878E6">
        <w:rPr>
          <w:i/>
          <w:iCs/>
          <w:sz w:val="20"/>
          <w:szCs w:val="20"/>
        </w:rPr>
        <w:t xml:space="preserve">gency (e.g., the use of </w:t>
      </w:r>
      <w:r w:rsidRPr="009878E6">
        <w:rPr>
          <w:i/>
          <w:iCs/>
          <w:sz w:val="20"/>
          <w:szCs w:val="20"/>
        </w:rPr>
        <w:t xml:space="preserve">sampling (or smaller samples), a decrease in the amount of information requested (fewer questions), or a decrease in reporting frequency). </w:t>
      </w:r>
    </w:p>
    <w:p w:rsidR="00562915" w:rsidRPr="009878E6" w:rsidP="009878E6" w14:paraId="04A6B227" w14:textId="317E60EF">
      <w:pPr>
        <w:pStyle w:val="NormalWeb"/>
        <w:spacing w:line="276" w:lineRule="auto"/>
        <w:contextualSpacing/>
        <w:rPr>
          <w:i/>
          <w:iCs/>
          <w:sz w:val="20"/>
          <w:szCs w:val="20"/>
        </w:rPr>
      </w:pPr>
      <w:r w:rsidRPr="009878E6">
        <w:rPr>
          <w:i/>
          <w:iCs/>
          <w:sz w:val="20"/>
          <w:szCs w:val="20"/>
        </w:rPr>
        <w:t>An</w:t>
      </w:r>
      <w:r w:rsidRPr="009878E6" w:rsidR="023B5D83">
        <w:rPr>
          <w:i/>
          <w:iCs/>
          <w:sz w:val="20"/>
          <w:szCs w:val="20"/>
        </w:rPr>
        <w:t xml:space="preserve"> </w:t>
      </w:r>
      <w:bookmarkStart w:id="8" w:name="_Hlk116570215"/>
      <w:r w:rsidRPr="009878E6" w:rsidR="7F0A3468">
        <w:rPr>
          <w:b/>
          <w:bCs/>
          <w:i/>
          <w:iCs/>
          <w:sz w:val="20"/>
          <w:szCs w:val="20"/>
        </w:rPr>
        <w:t>“</w:t>
      </w:r>
      <w:bookmarkEnd w:id="8"/>
      <w:r w:rsidRPr="009878E6" w:rsidR="023B5D83">
        <w:rPr>
          <w:b/>
          <w:bCs/>
          <w:i/>
          <w:iCs/>
          <w:sz w:val="20"/>
          <w:szCs w:val="20"/>
        </w:rPr>
        <w:t>Adjustment</w:t>
      </w:r>
      <w:bookmarkStart w:id="9" w:name="_Hlk116570295"/>
      <w:r w:rsidRPr="009878E6" w:rsidR="4812AF8F">
        <w:rPr>
          <w:b/>
          <w:bCs/>
          <w:i/>
          <w:iCs/>
          <w:sz w:val="20"/>
          <w:szCs w:val="20"/>
        </w:rPr>
        <w:t>”</w:t>
      </w:r>
      <w:bookmarkEnd w:id="9"/>
      <w:r w:rsidRPr="009878E6" w:rsidR="023B5D83">
        <w:rPr>
          <w:i/>
          <w:iCs/>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tbl>
      <w:tblPr>
        <w:tblStyle w:val="TableGrid"/>
        <w:tblW w:w="10429" w:type="dxa"/>
        <w:tblInd w:w="-635" w:type="dxa"/>
        <w:tblLook w:val="04A0"/>
      </w:tblPr>
      <w:tblGrid>
        <w:gridCol w:w="2042"/>
        <w:gridCol w:w="1828"/>
        <w:gridCol w:w="1156"/>
        <w:gridCol w:w="1236"/>
        <w:gridCol w:w="1658"/>
        <w:gridCol w:w="1273"/>
        <w:gridCol w:w="1236"/>
      </w:tblGrid>
      <w:tr w14:paraId="775F1559" w14:textId="77777777" w:rsidTr="000E46EA">
        <w:tblPrEx>
          <w:tblW w:w="10429" w:type="dxa"/>
          <w:tblInd w:w="-635" w:type="dxa"/>
          <w:tblLook w:val="04A0"/>
        </w:tblPrEx>
        <w:tc>
          <w:tcPr>
            <w:tcW w:w="10429" w:type="dxa"/>
            <w:gridSpan w:val="7"/>
            <w:shd w:val="clear" w:color="auto" w:fill="95B3D7" w:themeFill="accent1" w:themeFillTint="99"/>
          </w:tcPr>
          <w:p w:rsidR="00867B29" w:rsidRPr="009878E6" w:rsidP="009878E6" w14:paraId="74E7B030" w14:textId="77777777">
            <w:pPr>
              <w:spacing w:line="276" w:lineRule="auto"/>
              <w:contextualSpacing/>
              <w:jc w:val="center"/>
              <w:rPr>
                <w:rFonts w:ascii="Times New Roman" w:hAnsi="Times New Roman" w:cs="Times New Roman"/>
                <w:b/>
                <w:sz w:val="20"/>
                <w:szCs w:val="20"/>
              </w:rPr>
            </w:pPr>
            <w:bookmarkStart w:id="10" w:name="_Hlk23326361"/>
            <w:r w:rsidRPr="009878E6">
              <w:rPr>
                <w:rFonts w:ascii="Times New Roman" w:hAnsi="Times New Roman" w:cs="Times New Roman"/>
                <w:b/>
                <w:sz w:val="20"/>
                <w:szCs w:val="20"/>
              </w:rPr>
              <w:t>Itemized Changes in Annual Burden Hours</w:t>
            </w:r>
          </w:p>
        </w:tc>
      </w:tr>
      <w:tr w14:paraId="67B50551" w14:textId="77777777" w:rsidTr="000E46EA">
        <w:tblPrEx>
          <w:tblW w:w="10429" w:type="dxa"/>
          <w:tblInd w:w="-635" w:type="dxa"/>
          <w:tblLook w:val="04A0"/>
        </w:tblPrEx>
        <w:tc>
          <w:tcPr>
            <w:tcW w:w="2042" w:type="dxa"/>
            <w:shd w:val="clear" w:color="auto" w:fill="95B3D7" w:themeFill="accent1" w:themeFillTint="99"/>
          </w:tcPr>
          <w:p w:rsidR="00867B29" w:rsidRPr="009878E6" w:rsidP="009878E6" w14:paraId="15C2F78A" w14:textId="77777777">
            <w:pPr>
              <w:spacing w:line="276" w:lineRule="auto"/>
              <w:contextualSpacing/>
              <w:rPr>
                <w:rFonts w:ascii="Times New Roman" w:hAnsi="Times New Roman" w:cs="Times New Roman"/>
                <w:b/>
                <w:bCs/>
                <w:sz w:val="18"/>
                <w:szCs w:val="18"/>
              </w:rPr>
            </w:pPr>
            <w:r w:rsidRPr="009878E6">
              <w:rPr>
                <w:rFonts w:ascii="Times New Roman" w:hAnsi="Times New Roman" w:cs="Times New Roman"/>
                <w:b/>
                <w:bCs/>
                <w:sz w:val="18"/>
                <w:szCs w:val="18"/>
              </w:rPr>
              <w:t>Data Collection Activity/Instrument</w:t>
            </w:r>
          </w:p>
        </w:tc>
        <w:tc>
          <w:tcPr>
            <w:tcW w:w="1828" w:type="dxa"/>
            <w:shd w:val="clear" w:color="auto" w:fill="95B3D7" w:themeFill="accent1" w:themeFillTint="99"/>
          </w:tcPr>
          <w:p w:rsidR="00867B29" w:rsidRPr="009878E6" w:rsidP="009878E6" w14:paraId="739F1483" w14:textId="77777777">
            <w:pPr>
              <w:spacing w:line="276" w:lineRule="auto"/>
              <w:contextualSpacing/>
              <w:rPr>
                <w:rFonts w:ascii="Times New Roman" w:hAnsi="Times New Roman" w:cs="Times New Roman"/>
                <w:b/>
                <w:bCs/>
                <w:sz w:val="18"/>
                <w:szCs w:val="18"/>
              </w:rPr>
            </w:pPr>
            <w:r w:rsidRPr="009878E6">
              <w:rPr>
                <w:rFonts w:ascii="Times New Roman" w:hAnsi="Times New Roman" w:cs="Times New Roman"/>
                <w:b/>
                <w:bCs/>
                <w:sz w:val="18"/>
                <w:szCs w:val="18"/>
              </w:rPr>
              <w:t>Program Change (hours currently on OMB inventory)</w:t>
            </w:r>
          </w:p>
        </w:tc>
        <w:tc>
          <w:tcPr>
            <w:tcW w:w="1156" w:type="dxa"/>
            <w:shd w:val="clear" w:color="auto" w:fill="95B3D7" w:themeFill="accent1" w:themeFillTint="99"/>
          </w:tcPr>
          <w:p w:rsidR="00867B29" w:rsidRPr="009878E6" w:rsidP="009878E6" w14:paraId="38E2EC50" w14:textId="77777777">
            <w:pPr>
              <w:spacing w:line="276" w:lineRule="auto"/>
              <w:contextualSpacing/>
              <w:rPr>
                <w:rFonts w:ascii="Times New Roman" w:hAnsi="Times New Roman" w:cs="Times New Roman"/>
                <w:b/>
                <w:sz w:val="18"/>
                <w:szCs w:val="18"/>
              </w:rPr>
            </w:pPr>
            <w:r w:rsidRPr="009878E6">
              <w:rPr>
                <w:rFonts w:ascii="Times New Roman" w:hAnsi="Times New Roman" w:cs="Times New Roman"/>
                <w:b/>
                <w:sz w:val="18"/>
                <w:szCs w:val="18"/>
              </w:rPr>
              <w:t>Program Change (new)</w:t>
            </w:r>
          </w:p>
        </w:tc>
        <w:tc>
          <w:tcPr>
            <w:tcW w:w="1236" w:type="dxa"/>
            <w:shd w:val="clear" w:color="auto" w:fill="95B3D7" w:themeFill="accent1" w:themeFillTint="99"/>
          </w:tcPr>
          <w:p w:rsidR="00867B29" w:rsidRPr="009878E6" w:rsidP="009878E6" w14:paraId="74908350" w14:textId="77777777">
            <w:pPr>
              <w:spacing w:line="276" w:lineRule="auto"/>
              <w:contextualSpacing/>
              <w:rPr>
                <w:rFonts w:ascii="Times New Roman" w:hAnsi="Times New Roman" w:cs="Times New Roman"/>
                <w:b/>
                <w:sz w:val="18"/>
                <w:szCs w:val="18"/>
              </w:rPr>
            </w:pPr>
            <w:r w:rsidRPr="009878E6">
              <w:rPr>
                <w:rFonts w:ascii="Times New Roman" w:hAnsi="Times New Roman" w:cs="Times New Roman"/>
                <w:b/>
                <w:sz w:val="18"/>
                <w:szCs w:val="18"/>
              </w:rPr>
              <w:t>Difference</w:t>
            </w:r>
          </w:p>
        </w:tc>
        <w:tc>
          <w:tcPr>
            <w:tcW w:w="1658" w:type="dxa"/>
            <w:shd w:val="clear" w:color="auto" w:fill="95B3D7" w:themeFill="accent1" w:themeFillTint="99"/>
          </w:tcPr>
          <w:p w:rsidR="00867B29" w:rsidRPr="009878E6" w:rsidP="009878E6" w14:paraId="670A947D" w14:textId="77777777">
            <w:pPr>
              <w:spacing w:line="276" w:lineRule="auto"/>
              <w:contextualSpacing/>
              <w:rPr>
                <w:rFonts w:ascii="Times New Roman" w:hAnsi="Times New Roman" w:cs="Times New Roman"/>
                <w:b/>
                <w:sz w:val="18"/>
                <w:szCs w:val="18"/>
              </w:rPr>
            </w:pPr>
            <w:r w:rsidRPr="009878E6">
              <w:rPr>
                <w:rFonts w:ascii="Times New Roman" w:hAnsi="Times New Roman" w:cs="Times New Roman"/>
                <w:b/>
                <w:sz w:val="18"/>
                <w:szCs w:val="18"/>
              </w:rPr>
              <w:t>Adjustment (hours currently on OMB inventory)</w:t>
            </w:r>
          </w:p>
        </w:tc>
        <w:tc>
          <w:tcPr>
            <w:tcW w:w="1273" w:type="dxa"/>
            <w:shd w:val="clear" w:color="auto" w:fill="95B3D7" w:themeFill="accent1" w:themeFillTint="99"/>
          </w:tcPr>
          <w:p w:rsidR="00867B29" w:rsidRPr="009878E6" w:rsidP="009878E6" w14:paraId="1BEF6624" w14:textId="77777777">
            <w:pPr>
              <w:spacing w:line="276" w:lineRule="auto"/>
              <w:contextualSpacing/>
              <w:rPr>
                <w:rFonts w:ascii="Times New Roman" w:hAnsi="Times New Roman" w:cs="Times New Roman"/>
                <w:b/>
                <w:bCs/>
                <w:sz w:val="18"/>
                <w:szCs w:val="18"/>
              </w:rPr>
            </w:pPr>
            <w:r w:rsidRPr="009878E6">
              <w:rPr>
                <w:rFonts w:ascii="Times New Roman" w:hAnsi="Times New Roman" w:cs="Times New Roman"/>
                <w:b/>
                <w:bCs/>
                <w:sz w:val="18"/>
                <w:szCs w:val="18"/>
              </w:rPr>
              <w:t>Adjustment (new)</w:t>
            </w:r>
          </w:p>
        </w:tc>
        <w:tc>
          <w:tcPr>
            <w:tcW w:w="1236" w:type="dxa"/>
            <w:shd w:val="clear" w:color="auto" w:fill="95B3D7" w:themeFill="accent1" w:themeFillTint="99"/>
          </w:tcPr>
          <w:p w:rsidR="00867B29" w:rsidRPr="009878E6" w:rsidP="009878E6" w14:paraId="4A2E27AD" w14:textId="77777777">
            <w:pPr>
              <w:spacing w:line="276" w:lineRule="auto"/>
              <w:contextualSpacing/>
              <w:rPr>
                <w:rFonts w:ascii="Times New Roman" w:hAnsi="Times New Roman" w:cs="Times New Roman"/>
                <w:b/>
                <w:bCs/>
                <w:sz w:val="18"/>
                <w:szCs w:val="18"/>
              </w:rPr>
            </w:pPr>
            <w:r w:rsidRPr="009878E6">
              <w:rPr>
                <w:rFonts w:ascii="Times New Roman" w:hAnsi="Times New Roman" w:cs="Times New Roman"/>
                <w:b/>
                <w:bCs/>
                <w:sz w:val="18"/>
                <w:szCs w:val="18"/>
              </w:rPr>
              <w:t>Difference</w:t>
            </w:r>
          </w:p>
        </w:tc>
      </w:tr>
      <w:tr w14:paraId="01D4F5D1" w14:textId="77777777" w:rsidTr="000E46EA">
        <w:tblPrEx>
          <w:tblW w:w="10429" w:type="dxa"/>
          <w:tblInd w:w="-635" w:type="dxa"/>
          <w:tblLook w:val="04A0"/>
        </w:tblPrEx>
        <w:tc>
          <w:tcPr>
            <w:tcW w:w="2042" w:type="dxa"/>
            <w:vAlign w:val="center"/>
          </w:tcPr>
          <w:p w:rsidR="00867B29" w:rsidRPr="009878E6" w:rsidP="009878E6" w14:paraId="2699DCBA" w14:textId="41D575EE">
            <w:pPr>
              <w:spacing w:line="276" w:lineRule="auto"/>
              <w:contextualSpacing/>
              <w:rPr>
                <w:rFonts w:ascii="Times New Roman" w:hAnsi="Times New Roman" w:cs="Times New Roman"/>
                <w:sz w:val="18"/>
                <w:szCs w:val="18"/>
              </w:rPr>
            </w:pPr>
            <w:r w:rsidRPr="009878E6">
              <w:rPr>
                <w:rFonts w:ascii="Times New Roman" w:hAnsi="Times New Roman" w:cs="Times New Roman"/>
                <w:sz w:val="18"/>
                <w:szCs w:val="18"/>
              </w:rPr>
              <w:t xml:space="preserve">Floodplain Administrator National Training Needs Assessment / FEMA </w:t>
            </w:r>
            <w:r w:rsidR="000B7CAE">
              <w:rPr>
                <w:rFonts w:ascii="Times New Roman" w:hAnsi="Times New Roman" w:cs="Times New Roman"/>
                <w:sz w:val="18"/>
                <w:szCs w:val="18"/>
              </w:rPr>
              <w:t xml:space="preserve">Form </w:t>
            </w:r>
            <w:r w:rsidRPr="000E46EA" w:rsidR="000B7CAE">
              <w:rPr>
                <w:rFonts w:ascii="Times New Roman" w:hAnsi="Times New Roman" w:cs="Times New Roman"/>
                <w:color w:val="000000" w:themeColor="text1"/>
                <w:sz w:val="18"/>
                <w:szCs w:val="18"/>
              </w:rPr>
              <w:t>FF-</w:t>
            </w:r>
            <w:r w:rsidRPr="000E46EA" w:rsidR="00983BFD">
              <w:rPr>
                <w:rFonts w:ascii="Times New Roman" w:hAnsi="Times New Roman" w:cs="Times New Roman"/>
                <w:color w:val="000000" w:themeColor="text1"/>
                <w:sz w:val="18"/>
                <w:szCs w:val="18"/>
              </w:rPr>
              <w:t>206</w:t>
            </w:r>
            <w:r w:rsidRPr="000E46EA" w:rsidR="000B7CAE">
              <w:rPr>
                <w:rFonts w:ascii="Times New Roman" w:hAnsi="Times New Roman" w:cs="Times New Roman"/>
                <w:color w:val="000000" w:themeColor="text1"/>
                <w:sz w:val="18"/>
                <w:szCs w:val="18"/>
              </w:rPr>
              <w:t>-FY-</w:t>
            </w:r>
            <w:r w:rsidRPr="000E46EA" w:rsidR="00983BFD">
              <w:rPr>
                <w:rFonts w:ascii="Times New Roman" w:hAnsi="Times New Roman" w:cs="Times New Roman"/>
                <w:color w:val="000000" w:themeColor="text1"/>
                <w:sz w:val="18"/>
                <w:szCs w:val="18"/>
              </w:rPr>
              <w:t>22</w:t>
            </w:r>
            <w:r w:rsidRPr="000E46EA" w:rsidR="000B7CAE">
              <w:rPr>
                <w:rFonts w:ascii="Times New Roman" w:hAnsi="Times New Roman" w:cs="Times New Roman"/>
                <w:color w:val="000000" w:themeColor="text1"/>
                <w:sz w:val="18"/>
                <w:szCs w:val="18"/>
              </w:rPr>
              <w:t>-</w:t>
            </w:r>
            <w:r w:rsidRPr="000E46EA" w:rsidR="00983BFD">
              <w:rPr>
                <w:rFonts w:ascii="Times New Roman" w:hAnsi="Times New Roman" w:cs="Times New Roman"/>
                <w:color w:val="000000" w:themeColor="text1"/>
                <w:sz w:val="18"/>
                <w:szCs w:val="18"/>
              </w:rPr>
              <w:t>159</w:t>
            </w:r>
          </w:p>
        </w:tc>
        <w:tc>
          <w:tcPr>
            <w:tcW w:w="1828" w:type="dxa"/>
            <w:vAlign w:val="center"/>
          </w:tcPr>
          <w:p w:rsidR="00867B29" w:rsidRPr="009878E6" w:rsidP="009878E6" w14:paraId="77B59F69" w14:textId="541C7383">
            <w:pPr>
              <w:spacing w:line="276" w:lineRule="auto"/>
              <w:contextualSpacing/>
              <w:jc w:val="right"/>
              <w:rPr>
                <w:rFonts w:ascii="Times New Roman" w:hAnsi="Times New Roman" w:cs="Times New Roman"/>
                <w:sz w:val="18"/>
                <w:szCs w:val="18"/>
              </w:rPr>
            </w:pPr>
            <w:r w:rsidRPr="009878E6">
              <w:rPr>
                <w:rFonts w:ascii="Times New Roman" w:hAnsi="Times New Roman" w:cs="Times New Roman"/>
                <w:sz w:val="18"/>
                <w:szCs w:val="18"/>
              </w:rPr>
              <w:t>0</w:t>
            </w:r>
          </w:p>
        </w:tc>
        <w:tc>
          <w:tcPr>
            <w:tcW w:w="1156" w:type="dxa"/>
            <w:vAlign w:val="center"/>
          </w:tcPr>
          <w:p w:rsidR="00867B29" w:rsidRPr="009878E6" w:rsidP="009878E6" w14:paraId="0DB1892A" w14:textId="7B033DD5">
            <w:pPr>
              <w:spacing w:line="276" w:lineRule="auto"/>
              <w:contextualSpacing/>
              <w:jc w:val="right"/>
              <w:rPr>
                <w:rFonts w:ascii="Times New Roman" w:hAnsi="Times New Roman" w:cs="Times New Roman"/>
                <w:sz w:val="18"/>
                <w:szCs w:val="18"/>
              </w:rPr>
            </w:pPr>
            <w:r w:rsidRPr="009878E6">
              <w:rPr>
                <w:rFonts w:ascii="Times New Roman" w:hAnsi="Times New Roman" w:cs="Times New Roman"/>
                <w:sz w:val="18"/>
                <w:szCs w:val="18"/>
              </w:rPr>
              <w:t>3,</w:t>
            </w:r>
            <w:r w:rsidRPr="009878E6" w:rsidR="00396EC9">
              <w:rPr>
                <w:rFonts w:ascii="Times New Roman" w:hAnsi="Times New Roman" w:cs="Times New Roman"/>
                <w:sz w:val="18"/>
                <w:szCs w:val="18"/>
              </w:rPr>
              <w:t>16</w:t>
            </w:r>
            <w:r w:rsidR="00FE011C">
              <w:rPr>
                <w:rFonts w:ascii="Times New Roman" w:hAnsi="Times New Roman" w:cs="Times New Roman"/>
                <w:sz w:val="18"/>
                <w:szCs w:val="18"/>
              </w:rPr>
              <w:t>2</w:t>
            </w:r>
          </w:p>
        </w:tc>
        <w:tc>
          <w:tcPr>
            <w:tcW w:w="1236" w:type="dxa"/>
            <w:vAlign w:val="center"/>
          </w:tcPr>
          <w:p w:rsidR="00867B29" w:rsidRPr="009878E6" w:rsidP="009878E6" w14:paraId="6EE7DA36" w14:textId="46680226">
            <w:pPr>
              <w:spacing w:line="276" w:lineRule="auto"/>
              <w:contextualSpacing/>
              <w:jc w:val="right"/>
              <w:rPr>
                <w:rFonts w:ascii="Times New Roman" w:hAnsi="Times New Roman" w:cs="Times New Roman"/>
                <w:sz w:val="18"/>
                <w:szCs w:val="18"/>
              </w:rPr>
            </w:pPr>
            <w:r w:rsidRPr="009878E6">
              <w:rPr>
                <w:rFonts w:ascii="Times New Roman" w:hAnsi="Times New Roman" w:cs="Times New Roman"/>
                <w:sz w:val="18"/>
                <w:szCs w:val="18"/>
              </w:rPr>
              <w:t>3,</w:t>
            </w:r>
            <w:r w:rsidRPr="009878E6" w:rsidR="00396EC9">
              <w:rPr>
                <w:rFonts w:ascii="Times New Roman" w:hAnsi="Times New Roman" w:cs="Times New Roman"/>
                <w:sz w:val="18"/>
                <w:szCs w:val="18"/>
              </w:rPr>
              <w:t>16</w:t>
            </w:r>
            <w:r w:rsidR="00FE011C">
              <w:rPr>
                <w:rFonts w:ascii="Times New Roman" w:hAnsi="Times New Roman" w:cs="Times New Roman"/>
                <w:sz w:val="18"/>
                <w:szCs w:val="18"/>
              </w:rPr>
              <w:t>2</w:t>
            </w:r>
          </w:p>
        </w:tc>
        <w:tc>
          <w:tcPr>
            <w:tcW w:w="1658" w:type="dxa"/>
            <w:vAlign w:val="center"/>
          </w:tcPr>
          <w:p w:rsidR="00867B29" w:rsidRPr="009878E6" w:rsidP="009878E6" w14:paraId="4FAB2E2C" w14:textId="77777777">
            <w:pPr>
              <w:spacing w:line="276" w:lineRule="auto"/>
              <w:contextualSpacing/>
              <w:jc w:val="right"/>
              <w:rPr>
                <w:rFonts w:ascii="Times New Roman" w:hAnsi="Times New Roman" w:cs="Times New Roman"/>
                <w:sz w:val="18"/>
                <w:szCs w:val="18"/>
              </w:rPr>
            </w:pPr>
          </w:p>
        </w:tc>
        <w:tc>
          <w:tcPr>
            <w:tcW w:w="1273" w:type="dxa"/>
            <w:vAlign w:val="center"/>
          </w:tcPr>
          <w:p w:rsidR="00867B29" w:rsidRPr="009878E6" w:rsidP="009878E6" w14:paraId="75171ED4" w14:textId="77777777">
            <w:pPr>
              <w:spacing w:line="276" w:lineRule="auto"/>
              <w:contextualSpacing/>
              <w:jc w:val="right"/>
              <w:rPr>
                <w:rFonts w:ascii="Times New Roman" w:hAnsi="Times New Roman" w:cs="Times New Roman"/>
                <w:sz w:val="18"/>
                <w:szCs w:val="18"/>
              </w:rPr>
            </w:pPr>
          </w:p>
        </w:tc>
        <w:tc>
          <w:tcPr>
            <w:tcW w:w="1236" w:type="dxa"/>
            <w:vAlign w:val="center"/>
          </w:tcPr>
          <w:p w:rsidR="00867B29" w:rsidRPr="009878E6" w:rsidP="009878E6" w14:paraId="1306AAD9" w14:textId="77777777">
            <w:pPr>
              <w:spacing w:line="276" w:lineRule="auto"/>
              <w:contextualSpacing/>
              <w:jc w:val="right"/>
              <w:rPr>
                <w:rFonts w:ascii="Times New Roman" w:hAnsi="Times New Roman" w:cs="Times New Roman"/>
                <w:sz w:val="18"/>
                <w:szCs w:val="18"/>
              </w:rPr>
            </w:pPr>
          </w:p>
        </w:tc>
      </w:tr>
      <w:tr w14:paraId="36F55AD7" w14:textId="77777777" w:rsidTr="000E46EA">
        <w:tblPrEx>
          <w:tblW w:w="10429" w:type="dxa"/>
          <w:tblInd w:w="-635" w:type="dxa"/>
          <w:tblLook w:val="04A0"/>
        </w:tblPrEx>
        <w:tc>
          <w:tcPr>
            <w:tcW w:w="2042" w:type="dxa"/>
            <w:vAlign w:val="center"/>
          </w:tcPr>
          <w:p w:rsidR="00867B29" w:rsidRPr="009878E6" w:rsidP="009878E6" w14:paraId="61E70221" w14:textId="77777777">
            <w:pPr>
              <w:spacing w:line="276" w:lineRule="auto"/>
              <w:contextualSpacing/>
              <w:rPr>
                <w:rFonts w:ascii="Times New Roman" w:hAnsi="Times New Roman" w:cs="Times New Roman"/>
                <w:b/>
                <w:sz w:val="18"/>
                <w:szCs w:val="18"/>
              </w:rPr>
            </w:pPr>
            <w:r w:rsidRPr="009878E6">
              <w:rPr>
                <w:rFonts w:ascii="Times New Roman" w:hAnsi="Times New Roman" w:cs="Times New Roman"/>
                <w:b/>
                <w:sz w:val="18"/>
                <w:szCs w:val="18"/>
              </w:rPr>
              <w:t>Total</w:t>
            </w:r>
          </w:p>
        </w:tc>
        <w:tc>
          <w:tcPr>
            <w:tcW w:w="1828" w:type="dxa"/>
            <w:vAlign w:val="center"/>
          </w:tcPr>
          <w:p w:rsidR="00867B29" w:rsidRPr="009878E6" w:rsidP="009878E6" w14:paraId="76499676" w14:textId="77777777">
            <w:pPr>
              <w:spacing w:line="276" w:lineRule="auto"/>
              <w:contextualSpacing/>
              <w:jc w:val="right"/>
              <w:rPr>
                <w:rFonts w:ascii="Times New Roman" w:hAnsi="Times New Roman" w:cs="Times New Roman"/>
                <w:b/>
                <w:sz w:val="18"/>
                <w:szCs w:val="18"/>
              </w:rPr>
            </w:pPr>
            <w:r w:rsidRPr="009878E6">
              <w:rPr>
                <w:rFonts w:ascii="Times New Roman" w:hAnsi="Times New Roman" w:cs="Times New Roman"/>
                <w:b/>
                <w:sz w:val="18"/>
                <w:szCs w:val="18"/>
              </w:rPr>
              <w:t>0</w:t>
            </w:r>
          </w:p>
        </w:tc>
        <w:tc>
          <w:tcPr>
            <w:tcW w:w="1156" w:type="dxa"/>
            <w:vAlign w:val="center"/>
          </w:tcPr>
          <w:p w:rsidR="00867B29" w:rsidRPr="009878E6" w:rsidP="009878E6" w14:paraId="001E21FC" w14:textId="1F2749B1">
            <w:pPr>
              <w:spacing w:line="276" w:lineRule="auto"/>
              <w:contextualSpacing/>
              <w:jc w:val="right"/>
              <w:rPr>
                <w:rFonts w:ascii="Times New Roman" w:hAnsi="Times New Roman" w:cs="Times New Roman"/>
                <w:b/>
                <w:sz w:val="18"/>
                <w:szCs w:val="18"/>
              </w:rPr>
            </w:pPr>
            <w:r w:rsidRPr="009878E6">
              <w:rPr>
                <w:rFonts w:ascii="Times New Roman" w:hAnsi="Times New Roman" w:cs="Times New Roman"/>
                <w:b/>
                <w:sz w:val="18"/>
                <w:szCs w:val="18"/>
              </w:rPr>
              <w:t>3,</w:t>
            </w:r>
            <w:r w:rsidRPr="009878E6" w:rsidR="00396EC9">
              <w:rPr>
                <w:rFonts w:ascii="Times New Roman" w:hAnsi="Times New Roman" w:cs="Times New Roman"/>
                <w:b/>
                <w:sz w:val="18"/>
                <w:szCs w:val="18"/>
              </w:rPr>
              <w:t>16</w:t>
            </w:r>
            <w:r w:rsidR="00FE011C">
              <w:rPr>
                <w:rFonts w:ascii="Times New Roman" w:hAnsi="Times New Roman" w:cs="Times New Roman"/>
                <w:b/>
                <w:sz w:val="18"/>
                <w:szCs w:val="18"/>
              </w:rPr>
              <w:t>2</w:t>
            </w:r>
          </w:p>
        </w:tc>
        <w:tc>
          <w:tcPr>
            <w:tcW w:w="1236" w:type="dxa"/>
            <w:vAlign w:val="center"/>
          </w:tcPr>
          <w:p w:rsidR="00867B29" w:rsidRPr="009878E6" w:rsidP="009878E6" w14:paraId="1F0A706E" w14:textId="4142D5A1">
            <w:pPr>
              <w:spacing w:line="276" w:lineRule="auto"/>
              <w:contextualSpacing/>
              <w:jc w:val="right"/>
              <w:rPr>
                <w:rFonts w:ascii="Times New Roman" w:hAnsi="Times New Roman" w:cs="Times New Roman"/>
                <w:b/>
                <w:sz w:val="18"/>
                <w:szCs w:val="18"/>
              </w:rPr>
            </w:pPr>
            <w:r w:rsidRPr="009878E6">
              <w:rPr>
                <w:rFonts w:ascii="Times New Roman" w:hAnsi="Times New Roman" w:cs="Times New Roman"/>
                <w:b/>
                <w:sz w:val="18"/>
                <w:szCs w:val="18"/>
              </w:rPr>
              <w:t>3,</w:t>
            </w:r>
            <w:r w:rsidRPr="009878E6" w:rsidR="00396EC9">
              <w:rPr>
                <w:rFonts w:ascii="Times New Roman" w:hAnsi="Times New Roman" w:cs="Times New Roman"/>
                <w:b/>
                <w:sz w:val="18"/>
                <w:szCs w:val="18"/>
              </w:rPr>
              <w:t>16</w:t>
            </w:r>
            <w:r w:rsidR="00FE011C">
              <w:rPr>
                <w:rFonts w:ascii="Times New Roman" w:hAnsi="Times New Roman" w:cs="Times New Roman"/>
                <w:b/>
                <w:sz w:val="18"/>
                <w:szCs w:val="18"/>
              </w:rPr>
              <w:t>2</w:t>
            </w:r>
          </w:p>
        </w:tc>
        <w:tc>
          <w:tcPr>
            <w:tcW w:w="1658" w:type="dxa"/>
            <w:vAlign w:val="center"/>
          </w:tcPr>
          <w:p w:rsidR="00867B29" w:rsidRPr="009878E6" w:rsidP="009878E6" w14:paraId="6E87E20F" w14:textId="77777777">
            <w:pPr>
              <w:spacing w:line="276" w:lineRule="auto"/>
              <w:contextualSpacing/>
              <w:jc w:val="right"/>
              <w:rPr>
                <w:rFonts w:ascii="Times New Roman" w:hAnsi="Times New Roman" w:cs="Times New Roman"/>
                <w:b/>
                <w:sz w:val="18"/>
                <w:szCs w:val="18"/>
              </w:rPr>
            </w:pPr>
            <w:r w:rsidRPr="009878E6">
              <w:rPr>
                <w:rFonts w:ascii="Times New Roman" w:hAnsi="Times New Roman" w:cs="Times New Roman"/>
                <w:b/>
                <w:sz w:val="18"/>
                <w:szCs w:val="18"/>
              </w:rPr>
              <w:t>0</w:t>
            </w:r>
          </w:p>
        </w:tc>
        <w:tc>
          <w:tcPr>
            <w:tcW w:w="1273" w:type="dxa"/>
            <w:vAlign w:val="center"/>
          </w:tcPr>
          <w:p w:rsidR="00867B29" w:rsidRPr="009878E6" w:rsidP="009878E6" w14:paraId="6DF84737" w14:textId="77777777">
            <w:pPr>
              <w:spacing w:line="276" w:lineRule="auto"/>
              <w:contextualSpacing/>
              <w:jc w:val="right"/>
              <w:rPr>
                <w:rFonts w:ascii="Times New Roman" w:hAnsi="Times New Roman" w:cs="Times New Roman"/>
                <w:b/>
                <w:sz w:val="18"/>
                <w:szCs w:val="18"/>
              </w:rPr>
            </w:pPr>
            <w:r w:rsidRPr="009878E6">
              <w:rPr>
                <w:rFonts w:ascii="Times New Roman" w:hAnsi="Times New Roman" w:cs="Times New Roman"/>
                <w:b/>
                <w:sz w:val="18"/>
                <w:szCs w:val="18"/>
              </w:rPr>
              <w:t>0</w:t>
            </w:r>
          </w:p>
        </w:tc>
        <w:tc>
          <w:tcPr>
            <w:tcW w:w="1236" w:type="dxa"/>
            <w:vAlign w:val="center"/>
          </w:tcPr>
          <w:p w:rsidR="00867B29" w:rsidRPr="009878E6" w:rsidP="009878E6" w14:paraId="68D10D3A" w14:textId="77777777">
            <w:pPr>
              <w:spacing w:line="276" w:lineRule="auto"/>
              <w:contextualSpacing/>
              <w:jc w:val="right"/>
              <w:rPr>
                <w:rFonts w:ascii="Times New Roman" w:hAnsi="Times New Roman" w:cs="Times New Roman"/>
                <w:b/>
                <w:sz w:val="18"/>
                <w:szCs w:val="18"/>
              </w:rPr>
            </w:pPr>
            <w:r w:rsidRPr="009878E6">
              <w:rPr>
                <w:rFonts w:ascii="Times New Roman" w:hAnsi="Times New Roman" w:cs="Times New Roman"/>
                <w:b/>
                <w:sz w:val="18"/>
                <w:szCs w:val="18"/>
              </w:rPr>
              <w:t>0</w:t>
            </w:r>
          </w:p>
        </w:tc>
      </w:tr>
      <w:bookmarkEnd w:id="10"/>
    </w:tbl>
    <w:p w:rsidR="00E025F2" w:rsidRPr="009878E6" w:rsidP="009878E6" w14:paraId="552BD3D6" w14:textId="77777777">
      <w:pPr>
        <w:pStyle w:val="NormalWeb"/>
        <w:spacing w:line="276" w:lineRule="auto"/>
        <w:contextualSpacing/>
        <w:rPr>
          <w:i/>
        </w:rPr>
      </w:pPr>
    </w:p>
    <w:p w:rsidR="005A0053" w:rsidRPr="009878E6" w:rsidP="009878E6" w14:paraId="4F69F0D1" w14:textId="28403F41">
      <w:pPr>
        <w:pStyle w:val="NormalWeb"/>
        <w:spacing w:line="276" w:lineRule="auto"/>
        <w:contextualSpacing/>
        <w:rPr>
          <w:iCs/>
        </w:rPr>
      </w:pPr>
      <w:r w:rsidRPr="009878E6">
        <w:rPr>
          <w:b/>
          <w:bCs/>
          <w:i/>
        </w:rPr>
        <w:t>Explain:</w:t>
      </w:r>
      <w:r w:rsidRPr="009878E6" w:rsidR="00E6464B">
        <w:rPr>
          <w:iCs/>
        </w:rPr>
        <w:t xml:space="preserve">  This is a n</w:t>
      </w:r>
      <w:r w:rsidRPr="009878E6">
        <w:rPr>
          <w:iCs/>
        </w:rPr>
        <w:t>ew information collection.</w:t>
      </w:r>
    </w:p>
    <w:p w:rsidR="00993F0A" w:rsidRPr="009878E6" w:rsidP="009878E6" w14:paraId="3E2B0BAF" w14:textId="77777777">
      <w:pPr>
        <w:pStyle w:val="NormalWeb"/>
        <w:spacing w:line="276" w:lineRule="auto"/>
        <w:contextualSpacing/>
        <w:rPr>
          <w:iCs/>
        </w:rPr>
      </w:pPr>
    </w:p>
    <w:tbl>
      <w:tblPr>
        <w:tblStyle w:val="TableGrid"/>
        <w:tblW w:w="10553" w:type="dxa"/>
        <w:tblInd w:w="-635" w:type="dxa"/>
        <w:tblLook w:val="04A0"/>
      </w:tblPr>
      <w:tblGrid>
        <w:gridCol w:w="2072"/>
        <w:gridCol w:w="1764"/>
        <w:gridCol w:w="1173"/>
        <w:gridCol w:w="1254"/>
        <w:gridCol w:w="1774"/>
        <w:gridCol w:w="1262"/>
        <w:gridCol w:w="1254"/>
      </w:tblGrid>
      <w:tr w14:paraId="2886145C" w14:textId="77777777" w:rsidTr="000E46EA">
        <w:tblPrEx>
          <w:tblW w:w="10553" w:type="dxa"/>
          <w:tblInd w:w="-635" w:type="dxa"/>
          <w:tblLook w:val="04A0"/>
        </w:tblPrEx>
        <w:tc>
          <w:tcPr>
            <w:tcW w:w="10553" w:type="dxa"/>
            <w:gridSpan w:val="7"/>
            <w:shd w:val="clear" w:color="auto" w:fill="95B3D7" w:themeFill="accent1" w:themeFillTint="99"/>
          </w:tcPr>
          <w:p w:rsidR="005C27D9" w:rsidRPr="009878E6" w:rsidP="009878E6" w14:paraId="58720065" w14:textId="77777777">
            <w:pPr>
              <w:spacing w:line="276" w:lineRule="auto"/>
              <w:contextualSpacing/>
              <w:jc w:val="center"/>
              <w:rPr>
                <w:rFonts w:ascii="Times New Roman" w:hAnsi="Times New Roman" w:cs="Times New Roman"/>
                <w:b/>
                <w:sz w:val="20"/>
                <w:szCs w:val="20"/>
              </w:rPr>
            </w:pPr>
            <w:bookmarkStart w:id="11" w:name="_Hlk51851522"/>
            <w:r w:rsidRPr="009878E6">
              <w:rPr>
                <w:rFonts w:ascii="Times New Roman" w:hAnsi="Times New Roman" w:cs="Times New Roman"/>
                <w:b/>
                <w:sz w:val="20"/>
                <w:szCs w:val="20"/>
              </w:rPr>
              <w:t>Itemized Changes in Annual Cost Burden</w:t>
            </w:r>
          </w:p>
        </w:tc>
      </w:tr>
      <w:tr w14:paraId="6FA183C2" w14:textId="77777777" w:rsidTr="000E46EA">
        <w:tblPrEx>
          <w:tblW w:w="10553" w:type="dxa"/>
          <w:tblInd w:w="-635" w:type="dxa"/>
          <w:tblLook w:val="04A0"/>
        </w:tblPrEx>
        <w:tc>
          <w:tcPr>
            <w:tcW w:w="2072" w:type="dxa"/>
            <w:shd w:val="clear" w:color="auto" w:fill="95B3D7" w:themeFill="accent1" w:themeFillTint="99"/>
          </w:tcPr>
          <w:p w:rsidR="005C27D9" w:rsidRPr="009878E6" w:rsidP="009878E6" w14:paraId="3AC7D5F4" w14:textId="77777777">
            <w:pPr>
              <w:spacing w:line="276" w:lineRule="auto"/>
              <w:contextualSpacing/>
              <w:jc w:val="center"/>
              <w:rPr>
                <w:rFonts w:ascii="Times New Roman" w:hAnsi="Times New Roman" w:cs="Times New Roman"/>
                <w:b/>
                <w:bCs/>
                <w:sz w:val="18"/>
                <w:szCs w:val="18"/>
              </w:rPr>
            </w:pPr>
            <w:r w:rsidRPr="009878E6">
              <w:rPr>
                <w:rFonts w:ascii="Times New Roman" w:hAnsi="Times New Roman" w:cs="Times New Roman"/>
                <w:b/>
                <w:bCs/>
                <w:sz w:val="18"/>
                <w:szCs w:val="18"/>
              </w:rPr>
              <w:t>Data Collection Activity/Instrument</w:t>
            </w:r>
          </w:p>
        </w:tc>
        <w:tc>
          <w:tcPr>
            <w:tcW w:w="1764" w:type="dxa"/>
            <w:shd w:val="clear" w:color="auto" w:fill="95B3D7" w:themeFill="accent1" w:themeFillTint="99"/>
          </w:tcPr>
          <w:p w:rsidR="005C27D9" w:rsidRPr="009878E6" w:rsidP="009878E6" w14:paraId="1F67C4E3" w14:textId="77777777">
            <w:pPr>
              <w:spacing w:line="276" w:lineRule="auto"/>
              <w:contextualSpacing/>
              <w:jc w:val="center"/>
              <w:rPr>
                <w:rFonts w:ascii="Times New Roman" w:hAnsi="Times New Roman" w:cs="Times New Roman"/>
                <w:b/>
                <w:bCs/>
                <w:sz w:val="18"/>
                <w:szCs w:val="18"/>
              </w:rPr>
            </w:pPr>
            <w:r w:rsidRPr="009878E6">
              <w:rPr>
                <w:rFonts w:ascii="Times New Roman" w:hAnsi="Times New Roman" w:cs="Times New Roman"/>
                <w:b/>
                <w:bCs/>
                <w:sz w:val="18"/>
                <w:szCs w:val="18"/>
              </w:rPr>
              <w:t>Program Change (cost currently on OMB inventory)</w:t>
            </w:r>
          </w:p>
        </w:tc>
        <w:tc>
          <w:tcPr>
            <w:tcW w:w="1173" w:type="dxa"/>
            <w:shd w:val="clear" w:color="auto" w:fill="95B3D7" w:themeFill="accent1" w:themeFillTint="99"/>
          </w:tcPr>
          <w:p w:rsidR="005C27D9" w:rsidRPr="009878E6" w:rsidP="009878E6" w14:paraId="6AF90ABC" w14:textId="77777777">
            <w:pPr>
              <w:spacing w:line="276" w:lineRule="auto"/>
              <w:contextualSpacing/>
              <w:jc w:val="center"/>
              <w:rPr>
                <w:rFonts w:ascii="Times New Roman" w:hAnsi="Times New Roman" w:cs="Times New Roman"/>
                <w:b/>
                <w:bCs/>
                <w:sz w:val="18"/>
                <w:szCs w:val="18"/>
              </w:rPr>
            </w:pPr>
            <w:r w:rsidRPr="009878E6">
              <w:rPr>
                <w:rFonts w:ascii="Times New Roman" w:hAnsi="Times New Roman" w:cs="Times New Roman"/>
                <w:b/>
                <w:bCs/>
                <w:sz w:val="18"/>
                <w:szCs w:val="18"/>
              </w:rPr>
              <w:t>Program Change (new)</w:t>
            </w:r>
          </w:p>
        </w:tc>
        <w:tc>
          <w:tcPr>
            <w:tcW w:w="1254" w:type="dxa"/>
            <w:shd w:val="clear" w:color="auto" w:fill="95B3D7" w:themeFill="accent1" w:themeFillTint="99"/>
          </w:tcPr>
          <w:p w:rsidR="005C27D9" w:rsidRPr="009878E6" w:rsidP="009878E6" w14:paraId="6F1DB911" w14:textId="77777777">
            <w:pPr>
              <w:spacing w:line="276" w:lineRule="auto"/>
              <w:contextualSpacing/>
              <w:jc w:val="center"/>
              <w:rPr>
                <w:rFonts w:ascii="Times New Roman" w:hAnsi="Times New Roman" w:cs="Times New Roman"/>
                <w:b/>
                <w:bCs/>
                <w:sz w:val="18"/>
                <w:szCs w:val="18"/>
              </w:rPr>
            </w:pPr>
            <w:r w:rsidRPr="009878E6">
              <w:rPr>
                <w:rFonts w:ascii="Times New Roman" w:hAnsi="Times New Roman" w:cs="Times New Roman"/>
                <w:b/>
                <w:bCs/>
                <w:sz w:val="18"/>
                <w:szCs w:val="18"/>
              </w:rPr>
              <w:t>Difference</w:t>
            </w:r>
          </w:p>
        </w:tc>
        <w:tc>
          <w:tcPr>
            <w:tcW w:w="1774" w:type="dxa"/>
            <w:shd w:val="clear" w:color="auto" w:fill="95B3D7" w:themeFill="accent1" w:themeFillTint="99"/>
          </w:tcPr>
          <w:p w:rsidR="005C27D9" w:rsidRPr="009878E6" w:rsidP="009878E6" w14:paraId="6251BB3B" w14:textId="77777777">
            <w:pPr>
              <w:spacing w:line="276" w:lineRule="auto"/>
              <w:contextualSpacing/>
              <w:jc w:val="center"/>
              <w:rPr>
                <w:rFonts w:ascii="Times New Roman" w:hAnsi="Times New Roman" w:cs="Times New Roman"/>
                <w:b/>
                <w:bCs/>
                <w:sz w:val="18"/>
                <w:szCs w:val="18"/>
              </w:rPr>
            </w:pPr>
            <w:r w:rsidRPr="009878E6">
              <w:rPr>
                <w:rFonts w:ascii="Times New Roman" w:hAnsi="Times New Roman" w:cs="Times New Roman"/>
                <w:b/>
                <w:bCs/>
                <w:sz w:val="18"/>
                <w:szCs w:val="18"/>
              </w:rPr>
              <w:t>Adjustment (cost currently on OMB inventory)</w:t>
            </w:r>
          </w:p>
        </w:tc>
        <w:tc>
          <w:tcPr>
            <w:tcW w:w="1262" w:type="dxa"/>
            <w:shd w:val="clear" w:color="auto" w:fill="95B3D7" w:themeFill="accent1" w:themeFillTint="99"/>
          </w:tcPr>
          <w:p w:rsidR="005C27D9" w:rsidRPr="009878E6" w:rsidP="009878E6" w14:paraId="7488C296" w14:textId="77777777">
            <w:pPr>
              <w:spacing w:line="276" w:lineRule="auto"/>
              <w:contextualSpacing/>
              <w:jc w:val="center"/>
              <w:rPr>
                <w:rFonts w:ascii="Times New Roman" w:hAnsi="Times New Roman" w:cs="Times New Roman"/>
                <w:b/>
                <w:bCs/>
                <w:sz w:val="18"/>
                <w:szCs w:val="18"/>
              </w:rPr>
            </w:pPr>
            <w:r w:rsidRPr="009878E6">
              <w:rPr>
                <w:rFonts w:ascii="Times New Roman" w:hAnsi="Times New Roman" w:cs="Times New Roman"/>
                <w:b/>
                <w:bCs/>
                <w:sz w:val="18"/>
                <w:szCs w:val="18"/>
              </w:rPr>
              <w:t>Adjustment (new)</w:t>
            </w:r>
          </w:p>
        </w:tc>
        <w:tc>
          <w:tcPr>
            <w:tcW w:w="1254" w:type="dxa"/>
            <w:shd w:val="clear" w:color="auto" w:fill="95B3D7" w:themeFill="accent1" w:themeFillTint="99"/>
          </w:tcPr>
          <w:p w:rsidR="005C27D9" w:rsidRPr="009878E6" w:rsidP="009878E6" w14:paraId="3D9DF3DF" w14:textId="77777777">
            <w:pPr>
              <w:spacing w:line="276" w:lineRule="auto"/>
              <w:contextualSpacing/>
              <w:jc w:val="center"/>
              <w:rPr>
                <w:rFonts w:ascii="Times New Roman" w:hAnsi="Times New Roman" w:cs="Times New Roman"/>
                <w:b/>
                <w:bCs/>
                <w:sz w:val="18"/>
                <w:szCs w:val="18"/>
              </w:rPr>
            </w:pPr>
            <w:r w:rsidRPr="009878E6">
              <w:rPr>
                <w:rFonts w:ascii="Times New Roman" w:hAnsi="Times New Roman" w:cs="Times New Roman"/>
                <w:b/>
                <w:bCs/>
                <w:sz w:val="18"/>
                <w:szCs w:val="18"/>
              </w:rPr>
              <w:t>Difference</w:t>
            </w:r>
          </w:p>
        </w:tc>
      </w:tr>
      <w:tr w14:paraId="246636AC" w14:textId="77777777" w:rsidTr="000E46EA">
        <w:tblPrEx>
          <w:tblW w:w="10553" w:type="dxa"/>
          <w:tblInd w:w="-635" w:type="dxa"/>
          <w:tblLook w:val="04A0"/>
        </w:tblPrEx>
        <w:tc>
          <w:tcPr>
            <w:tcW w:w="2072" w:type="dxa"/>
          </w:tcPr>
          <w:p w:rsidR="005C27D9" w:rsidRPr="009878E6" w:rsidP="009878E6" w14:paraId="224889D6" w14:textId="641FBB23">
            <w:pPr>
              <w:spacing w:line="276" w:lineRule="auto"/>
              <w:contextualSpacing/>
              <w:rPr>
                <w:rFonts w:ascii="Times New Roman" w:hAnsi="Times New Roman" w:cs="Times New Roman"/>
                <w:sz w:val="18"/>
                <w:szCs w:val="18"/>
              </w:rPr>
            </w:pPr>
            <w:r w:rsidRPr="009878E6">
              <w:rPr>
                <w:rFonts w:ascii="Times New Roman" w:hAnsi="Times New Roman" w:cs="Times New Roman"/>
                <w:sz w:val="18"/>
                <w:szCs w:val="18"/>
              </w:rPr>
              <w:t xml:space="preserve">Floodplain Administrator National Training Needs Assessment / FEMA </w:t>
            </w:r>
            <w:r w:rsidRPr="000E46EA" w:rsidR="000B7CAE">
              <w:rPr>
                <w:rFonts w:ascii="Times New Roman" w:hAnsi="Times New Roman" w:cs="Times New Roman"/>
                <w:color w:val="000000" w:themeColor="text1"/>
                <w:sz w:val="18"/>
                <w:szCs w:val="18"/>
              </w:rPr>
              <w:t>Form FF-</w:t>
            </w:r>
            <w:r w:rsidRPr="000E46EA" w:rsidR="00983BFD">
              <w:rPr>
                <w:rFonts w:ascii="Times New Roman" w:hAnsi="Times New Roman" w:cs="Times New Roman"/>
                <w:color w:val="000000" w:themeColor="text1"/>
                <w:sz w:val="18"/>
                <w:szCs w:val="18"/>
              </w:rPr>
              <w:t>206</w:t>
            </w:r>
            <w:r w:rsidRPr="000E46EA" w:rsidR="000B7CAE">
              <w:rPr>
                <w:rFonts w:ascii="Times New Roman" w:hAnsi="Times New Roman" w:cs="Times New Roman"/>
                <w:color w:val="000000" w:themeColor="text1"/>
                <w:sz w:val="18"/>
                <w:szCs w:val="18"/>
              </w:rPr>
              <w:t>-FY-</w:t>
            </w:r>
            <w:r w:rsidRPr="000E46EA" w:rsidR="00983BFD">
              <w:rPr>
                <w:rFonts w:ascii="Times New Roman" w:hAnsi="Times New Roman" w:cs="Times New Roman"/>
                <w:color w:val="000000" w:themeColor="text1"/>
                <w:sz w:val="18"/>
                <w:szCs w:val="18"/>
              </w:rPr>
              <w:t>22</w:t>
            </w:r>
            <w:r w:rsidRPr="000E46EA" w:rsidR="000B7CAE">
              <w:rPr>
                <w:rFonts w:ascii="Times New Roman" w:hAnsi="Times New Roman" w:cs="Times New Roman"/>
                <w:color w:val="000000" w:themeColor="text1"/>
                <w:sz w:val="18"/>
                <w:szCs w:val="18"/>
              </w:rPr>
              <w:t>-</w:t>
            </w:r>
            <w:r w:rsidRPr="000E46EA" w:rsidR="00983BFD">
              <w:rPr>
                <w:rFonts w:ascii="Times New Roman" w:hAnsi="Times New Roman" w:cs="Times New Roman"/>
                <w:color w:val="000000" w:themeColor="text1"/>
                <w:sz w:val="18"/>
                <w:szCs w:val="18"/>
              </w:rPr>
              <w:t>159</w:t>
            </w:r>
          </w:p>
        </w:tc>
        <w:tc>
          <w:tcPr>
            <w:tcW w:w="1764" w:type="dxa"/>
            <w:vAlign w:val="center"/>
          </w:tcPr>
          <w:p w:rsidR="005C27D9" w:rsidRPr="009878E6" w:rsidP="009878E6" w14:paraId="53DCA0FF" w14:textId="62289B82">
            <w:pPr>
              <w:spacing w:line="276" w:lineRule="auto"/>
              <w:contextualSpacing/>
              <w:jc w:val="right"/>
              <w:rPr>
                <w:rFonts w:ascii="Times New Roman" w:hAnsi="Times New Roman" w:cs="Times New Roman"/>
                <w:sz w:val="18"/>
                <w:szCs w:val="18"/>
              </w:rPr>
            </w:pPr>
            <w:r w:rsidRPr="009878E6">
              <w:rPr>
                <w:rFonts w:ascii="Times New Roman" w:hAnsi="Times New Roman" w:cs="Times New Roman"/>
                <w:sz w:val="18"/>
                <w:szCs w:val="18"/>
              </w:rPr>
              <w:t>$0</w:t>
            </w:r>
          </w:p>
        </w:tc>
        <w:tc>
          <w:tcPr>
            <w:tcW w:w="1173" w:type="dxa"/>
            <w:vAlign w:val="center"/>
          </w:tcPr>
          <w:p w:rsidR="005C27D9" w:rsidRPr="009878E6" w:rsidP="009878E6" w14:paraId="521930B3" w14:textId="1143083E">
            <w:pPr>
              <w:spacing w:line="276" w:lineRule="auto"/>
              <w:contextualSpacing/>
              <w:jc w:val="right"/>
              <w:rPr>
                <w:rFonts w:ascii="Times New Roman" w:hAnsi="Times New Roman" w:cs="Times New Roman"/>
                <w:sz w:val="18"/>
                <w:szCs w:val="18"/>
              </w:rPr>
            </w:pPr>
            <w:r w:rsidRPr="009878E6">
              <w:rPr>
                <w:rFonts w:ascii="Times New Roman" w:hAnsi="Times New Roman" w:cs="Times New Roman"/>
                <w:sz w:val="18"/>
                <w:szCs w:val="18"/>
              </w:rPr>
              <w:t>$</w:t>
            </w:r>
            <w:r w:rsidRPr="009878E6" w:rsidR="00487054">
              <w:rPr>
                <w:rFonts w:ascii="Times New Roman" w:hAnsi="Times New Roman" w:cs="Times New Roman"/>
                <w:sz w:val="18"/>
                <w:szCs w:val="18"/>
              </w:rPr>
              <w:t>124,310</w:t>
            </w:r>
          </w:p>
        </w:tc>
        <w:tc>
          <w:tcPr>
            <w:tcW w:w="1254" w:type="dxa"/>
            <w:vAlign w:val="center"/>
          </w:tcPr>
          <w:p w:rsidR="005C27D9" w:rsidRPr="009878E6" w:rsidP="009878E6" w14:paraId="2B6E299B" w14:textId="28D72360">
            <w:pPr>
              <w:spacing w:line="276" w:lineRule="auto"/>
              <w:contextualSpacing/>
              <w:jc w:val="right"/>
              <w:rPr>
                <w:rFonts w:ascii="Times New Roman" w:hAnsi="Times New Roman" w:cs="Times New Roman"/>
                <w:sz w:val="18"/>
                <w:szCs w:val="18"/>
              </w:rPr>
            </w:pPr>
            <w:r w:rsidRPr="009878E6">
              <w:rPr>
                <w:rFonts w:ascii="Times New Roman" w:hAnsi="Times New Roman" w:cs="Times New Roman"/>
                <w:sz w:val="18"/>
                <w:szCs w:val="18"/>
              </w:rPr>
              <w:t>$</w:t>
            </w:r>
            <w:r w:rsidRPr="009878E6" w:rsidR="00487054">
              <w:rPr>
                <w:rFonts w:ascii="Times New Roman" w:hAnsi="Times New Roman" w:cs="Times New Roman"/>
                <w:sz w:val="18"/>
                <w:szCs w:val="18"/>
              </w:rPr>
              <w:t>124,310</w:t>
            </w:r>
          </w:p>
        </w:tc>
        <w:tc>
          <w:tcPr>
            <w:tcW w:w="1774" w:type="dxa"/>
            <w:vAlign w:val="center"/>
          </w:tcPr>
          <w:p w:rsidR="005C27D9" w:rsidRPr="009878E6" w:rsidP="009878E6" w14:paraId="3C3EEC56" w14:textId="77777777">
            <w:pPr>
              <w:spacing w:line="276" w:lineRule="auto"/>
              <w:contextualSpacing/>
              <w:jc w:val="right"/>
              <w:rPr>
                <w:rFonts w:ascii="Times New Roman" w:hAnsi="Times New Roman" w:cs="Times New Roman"/>
                <w:sz w:val="18"/>
                <w:szCs w:val="18"/>
              </w:rPr>
            </w:pPr>
          </w:p>
        </w:tc>
        <w:tc>
          <w:tcPr>
            <w:tcW w:w="1262" w:type="dxa"/>
            <w:vAlign w:val="center"/>
          </w:tcPr>
          <w:p w:rsidR="005C27D9" w:rsidRPr="009878E6" w:rsidP="009878E6" w14:paraId="54FD6E97" w14:textId="77777777">
            <w:pPr>
              <w:spacing w:line="276" w:lineRule="auto"/>
              <w:contextualSpacing/>
              <w:jc w:val="right"/>
              <w:rPr>
                <w:rFonts w:ascii="Times New Roman" w:hAnsi="Times New Roman" w:cs="Times New Roman"/>
                <w:sz w:val="18"/>
                <w:szCs w:val="18"/>
              </w:rPr>
            </w:pPr>
          </w:p>
        </w:tc>
        <w:tc>
          <w:tcPr>
            <w:tcW w:w="1254" w:type="dxa"/>
            <w:vAlign w:val="center"/>
          </w:tcPr>
          <w:p w:rsidR="005C27D9" w:rsidRPr="009878E6" w:rsidP="009878E6" w14:paraId="19887E69" w14:textId="77777777">
            <w:pPr>
              <w:spacing w:line="276" w:lineRule="auto"/>
              <w:contextualSpacing/>
              <w:jc w:val="right"/>
              <w:rPr>
                <w:rFonts w:ascii="Times New Roman" w:hAnsi="Times New Roman" w:cs="Times New Roman"/>
                <w:sz w:val="18"/>
                <w:szCs w:val="18"/>
              </w:rPr>
            </w:pPr>
          </w:p>
        </w:tc>
      </w:tr>
      <w:tr w14:paraId="0AC0F826" w14:textId="77777777" w:rsidTr="000E46EA">
        <w:tblPrEx>
          <w:tblW w:w="10553" w:type="dxa"/>
          <w:tblInd w:w="-635" w:type="dxa"/>
          <w:tblLook w:val="04A0"/>
        </w:tblPrEx>
        <w:tc>
          <w:tcPr>
            <w:tcW w:w="2072" w:type="dxa"/>
          </w:tcPr>
          <w:p w:rsidR="005C27D9" w:rsidRPr="009878E6" w:rsidP="009878E6" w14:paraId="004C24A1" w14:textId="77777777">
            <w:pPr>
              <w:spacing w:line="276" w:lineRule="auto"/>
              <w:contextualSpacing/>
              <w:rPr>
                <w:rFonts w:ascii="Times New Roman" w:hAnsi="Times New Roman" w:cs="Times New Roman"/>
                <w:b/>
                <w:sz w:val="18"/>
                <w:szCs w:val="18"/>
              </w:rPr>
            </w:pPr>
            <w:r w:rsidRPr="009878E6">
              <w:rPr>
                <w:rFonts w:ascii="Times New Roman" w:hAnsi="Times New Roman" w:cs="Times New Roman"/>
                <w:b/>
                <w:sz w:val="18"/>
                <w:szCs w:val="18"/>
              </w:rPr>
              <w:t>Total</w:t>
            </w:r>
          </w:p>
        </w:tc>
        <w:tc>
          <w:tcPr>
            <w:tcW w:w="1764" w:type="dxa"/>
            <w:vAlign w:val="center"/>
          </w:tcPr>
          <w:p w:rsidR="005C27D9" w:rsidRPr="009878E6" w:rsidP="009878E6" w14:paraId="0425D430" w14:textId="77777777">
            <w:pPr>
              <w:spacing w:line="276" w:lineRule="auto"/>
              <w:contextualSpacing/>
              <w:jc w:val="right"/>
              <w:rPr>
                <w:rFonts w:ascii="Times New Roman" w:hAnsi="Times New Roman" w:cs="Times New Roman"/>
                <w:b/>
                <w:sz w:val="18"/>
                <w:szCs w:val="18"/>
              </w:rPr>
            </w:pPr>
            <w:r w:rsidRPr="009878E6">
              <w:rPr>
                <w:rFonts w:ascii="Times New Roman" w:hAnsi="Times New Roman" w:cs="Times New Roman"/>
                <w:b/>
                <w:sz w:val="18"/>
                <w:szCs w:val="18"/>
              </w:rPr>
              <w:t>$0</w:t>
            </w:r>
          </w:p>
        </w:tc>
        <w:tc>
          <w:tcPr>
            <w:tcW w:w="1173" w:type="dxa"/>
            <w:vAlign w:val="center"/>
          </w:tcPr>
          <w:p w:rsidR="005C27D9" w:rsidRPr="009878E6" w:rsidP="009878E6" w14:paraId="3A49E28C" w14:textId="5F47E62D">
            <w:pPr>
              <w:spacing w:line="276" w:lineRule="auto"/>
              <w:contextualSpacing/>
              <w:jc w:val="right"/>
              <w:rPr>
                <w:rFonts w:ascii="Times New Roman" w:hAnsi="Times New Roman" w:cs="Times New Roman"/>
                <w:b/>
                <w:sz w:val="18"/>
                <w:szCs w:val="18"/>
              </w:rPr>
            </w:pPr>
            <w:r w:rsidRPr="009878E6">
              <w:rPr>
                <w:rFonts w:ascii="Times New Roman" w:hAnsi="Times New Roman" w:cs="Times New Roman"/>
                <w:b/>
                <w:sz w:val="18"/>
                <w:szCs w:val="18"/>
              </w:rPr>
              <w:t>$</w:t>
            </w:r>
            <w:r w:rsidRPr="009878E6" w:rsidR="00487054">
              <w:rPr>
                <w:rFonts w:ascii="Times New Roman" w:hAnsi="Times New Roman" w:cs="Times New Roman"/>
                <w:b/>
                <w:sz w:val="18"/>
                <w:szCs w:val="18"/>
              </w:rPr>
              <w:t>1</w:t>
            </w:r>
            <w:r w:rsidR="00FE011C">
              <w:rPr>
                <w:rFonts w:ascii="Times New Roman" w:hAnsi="Times New Roman" w:cs="Times New Roman"/>
                <w:b/>
                <w:sz w:val="18"/>
                <w:szCs w:val="18"/>
              </w:rPr>
              <w:t>37,895</w:t>
            </w:r>
          </w:p>
        </w:tc>
        <w:tc>
          <w:tcPr>
            <w:tcW w:w="1254" w:type="dxa"/>
            <w:vAlign w:val="center"/>
          </w:tcPr>
          <w:p w:rsidR="005C27D9" w:rsidRPr="009878E6" w:rsidP="009878E6" w14:paraId="3F84E40B" w14:textId="64563D43">
            <w:pPr>
              <w:spacing w:line="276" w:lineRule="auto"/>
              <w:contextualSpacing/>
              <w:jc w:val="right"/>
              <w:rPr>
                <w:rFonts w:ascii="Times New Roman" w:hAnsi="Times New Roman" w:cs="Times New Roman"/>
                <w:b/>
                <w:sz w:val="18"/>
                <w:szCs w:val="18"/>
              </w:rPr>
            </w:pPr>
            <w:r w:rsidRPr="009878E6">
              <w:rPr>
                <w:rFonts w:ascii="Times New Roman" w:hAnsi="Times New Roman" w:cs="Times New Roman"/>
                <w:b/>
                <w:sz w:val="18"/>
                <w:szCs w:val="18"/>
              </w:rPr>
              <w:t>$</w:t>
            </w:r>
            <w:r w:rsidRPr="009878E6" w:rsidR="00487054">
              <w:rPr>
                <w:rFonts w:ascii="Times New Roman" w:hAnsi="Times New Roman" w:cs="Times New Roman"/>
                <w:b/>
                <w:sz w:val="18"/>
                <w:szCs w:val="18"/>
              </w:rPr>
              <w:t>1</w:t>
            </w:r>
            <w:r w:rsidR="00FE011C">
              <w:rPr>
                <w:rFonts w:ascii="Times New Roman" w:hAnsi="Times New Roman" w:cs="Times New Roman"/>
                <w:b/>
                <w:sz w:val="18"/>
                <w:szCs w:val="18"/>
              </w:rPr>
              <w:t>37,895</w:t>
            </w:r>
          </w:p>
        </w:tc>
        <w:tc>
          <w:tcPr>
            <w:tcW w:w="1774" w:type="dxa"/>
            <w:vAlign w:val="center"/>
          </w:tcPr>
          <w:p w:rsidR="005C27D9" w:rsidRPr="009878E6" w:rsidP="009878E6" w14:paraId="682D631E" w14:textId="77777777">
            <w:pPr>
              <w:spacing w:line="276" w:lineRule="auto"/>
              <w:contextualSpacing/>
              <w:jc w:val="right"/>
              <w:rPr>
                <w:rFonts w:ascii="Times New Roman" w:hAnsi="Times New Roman" w:cs="Times New Roman"/>
                <w:b/>
                <w:sz w:val="18"/>
                <w:szCs w:val="18"/>
              </w:rPr>
            </w:pPr>
            <w:r w:rsidRPr="009878E6">
              <w:rPr>
                <w:rFonts w:ascii="Times New Roman" w:hAnsi="Times New Roman" w:cs="Times New Roman"/>
                <w:b/>
                <w:sz w:val="18"/>
                <w:szCs w:val="18"/>
              </w:rPr>
              <w:t>$0</w:t>
            </w:r>
          </w:p>
        </w:tc>
        <w:tc>
          <w:tcPr>
            <w:tcW w:w="1262" w:type="dxa"/>
            <w:vAlign w:val="center"/>
          </w:tcPr>
          <w:p w:rsidR="005C27D9" w:rsidRPr="009878E6" w:rsidP="009878E6" w14:paraId="30407008" w14:textId="77777777">
            <w:pPr>
              <w:spacing w:line="276" w:lineRule="auto"/>
              <w:contextualSpacing/>
              <w:jc w:val="right"/>
              <w:rPr>
                <w:rFonts w:ascii="Times New Roman" w:hAnsi="Times New Roman" w:cs="Times New Roman"/>
                <w:b/>
                <w:sz w:val="18"/>
                <w:szCs w:val="18"/>
              </w:rPr>
            </w:pPr>
            <w:r w:rsidRPr="009878E6">
              <w:rPr>
                <w:rFonts w:ascii="Times New Roman" w:hAnsi="Times New Roman" w:cs="Times New Roman"/>
                <w:b/>
                <w:sz w:val="18"/>
                <w:szCs w:val="18"/>
              </w:rPr>
              <w:t>$0</w:t>
            </w:r>
          </w:p>
        </w:tc>
        <w:tc>
          <w:tcPr>
            <w:tcW w:w="1254" w:type="dxa"/>
            <w:vAlign w:val="center"/>
          </w:tcPr>
          <w:p w:rsidR="005C27D9" w:rsidRPr="009878E6" w:rsidP="009878E6" w14:paraId="3316BF98" w14:textId="77777777">
            <w:pPr>
              <w:spacing w:line="276" w:lineRule="auto"/>
              <w:contextualSpacing/>
              <w:jc w:val="right"/>
              <w:rPr>
                <w:rFonts w:ascii="Times New Roman" w:hAnsi="Times New Roman" w:cs="Times New Roman"/>
                <w:b/>
                <w:sz w:val="18"/>
                <w:szCs w:val="18"/>
              </w:rPr>
            </w:pPr>
            <w:r w:rsidRPr="009878E6">
              <w:rPr>
                <w:rFonts w:ascii="Times New Roman" w:hAnsi="Times New Roman" w:cs="Times New Roman"/>
                <w:b/>
                <w:sz w:val="18"/>
                <w:szCs w:val="18"/>
              </w:rPr>
              <w:t>$0</w:t>
            </w:r>
          </w:p>
        </w:tc>
      </w:tr>
      <w:bookmarkEnd w:id="11"/>
    </w:tbl>
    <w:p w:rsidR="00E025F2" w:rsidRPr="009878E6" w:rsidP="009878E6" w14:paraId="2FAE5A78" w14:textId="77777777">
      <w:pPr>
        <w:pStyle w:val="NormalWeb"/>
        <w:spacing w:line="276" w:lineRule="auto"/>
        <w:contextualSpacing/>
        <w:rPr>
          <w:iCs/>
        </w:rPr>
      </w:pPr>
    </w:p>
    <w:p w:rsidR="00E6464B" w:rsidRPr="009878E6" w:rsidP="009878E6" w14:paraId="4C6928B2" w14:textId="51DF60DC">
      <w:pPr>
        <w:pStyle w:val="NormalWeb"/>
        <w:spacing w:line="276" w:lineRule="auto"/>
        <w:contextualSpacing/>
        <w:rPr>
          <w:iCs/>
        </w:rPr>
      </w:pPr>
      <w:r w:rsidRPr="009878E6">
        <w:rPr>
          <w:b/>
          <w:bCs/>
          <w:i/>
        </w:rPr>
        <w:t>Explain:</w:t>
      </w:r>
      <w:r w:rsidRPr="009878E6">
        <w:rPr>
          <w:iCs/>
        </w:rPr>
        <w:t xml:space="preserve">  This is a new information collection.</w:t>
      </w:r>
    </w:p>
    <w:p w:rsidR="00E6464B" w:rsidRPr="009878E6" w:rsidP="009878E6" w14:paraId="794B1E89" w14:textId="77777777">
      <w:pPr>
        <w:pStyle w:val="NormalWeb"/>
        <w:spacing w:line="276" w:lineRule="auto"/>
        <w:contextualSpacing/>
        <w:rPr>
          <w:iCs/>
        </w:rPr>
      </w:pPr>
    </w:p>
    <w:p w:rsidR="00562915" w:rsidRPr="009878E6" w:rsidP="009878E6" w14:paraId="077463A9" w14:textId="77777777">
      <w:pPr>
        <w:contextualSpacing/>
        <w:rPr>
          <w:rFonts w:ascii="Times New Roman" w:hAnsi="Times New Roman" w:cs="Times New Roman"/>
          <w:sz w:val="24"/>
          <w:szCs w:val="24"/>
        </w:rPr>
      </w:pPr>
      <w:r w:rsidRPr="009878E6">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9878E6">
        <w:rPr>
          <w:rFonts w:ascii="Times New Roman" w:hAnsi="Times New Roman" w:cs="Times New Roman"/>
          <w:sz w:val="24"/>
          <w:szCs w:val="24"/>
        </w:rPr>
        <w:fldChar w:fldCharType="begin"/>
      </w:r>
      <w:r w:rsidRPr="009878E6">
        <w:rPr>
          <w:rFonts w:ascii="Times New Roman" w:hAnsi="Times New Roman" w:cs="Times New Roman"/>
          <w:sz w:val="24"/>
          <w:szCs w:val="24"/>
        </w:rPr>
        <w:instrText>ADVANCE \R 0.95</w:instrText>
      </w:r>
      <w:r w:rsidRPr="009878E6">
        <w:rPr>
          <w:rFonts w:ascii="Times New Roman" w:hAnsi="Times New Roman" w:cs="Times New Roman"/>
          <w:sz w:val="24"/>
          <w:szCs w:val="24"/>
        </w:rPr>
        <w:fldChar w:fldCharType="end"/>
      </w:r>
    </w:p>
    <w:p w:rsidR="00D92E28" w:rsidRPr="009878E6" w:rsidP="009878E6" w14:paraId="66A238F2" w14:textId="77777777">
      <w:pPr>
        <w:contextualSpacing/>
        <w:rPr>
          <w:rFonts w:ascii="Times New Roman" w:hAnsi="Times New Roman" w:cs="Times New Roman"/>
          <w:sz w:val="24"/>
          <w:szCs w:val="24"/>
        </w:rPr>
      </w:pPr>
    </w:p>
    <w:p w:rsidR="00E8612F" w:rsidRPr="009878E6" w:rsidP="009878E6" w14:paraId="6C6AFB98" w14:textId="6F3F335C">
      <w:pPr>
        <w:contextualSpacing/>
        <w:rPr>
          <w:rFonts w:ascii="Times New Roman" w:hAnsi="Times New Roman" w:cs="Times New Roman"/>
          <w:sz w:val="24"/>
          <w:szCs w:val="24"/>
        </w:rPr>
      </w:pPr>
      <w:r w:rsidRPr="009878E6">
        <w:rPr>
          <w:rFonts w:ascii="Times New Roman" w:hAnsi="Times New Roman" w:cs="Times New Roman"/>
          <w:sz w:val="24"/>
          <w:szCs w:val="24"/>
        </w:rPr>
        <w:t xml:space="preserve">All data collected will be analyzed, including frequency descriptions and use of statistical tests of significance and correlation and regression analysis. </w:t>
      </w:r>
      <w:r w:rsidRPr="009878E6">
        <w:rPr>
          <w:rFonts w:ascii="Times New Roman" w:hAnsi="Times New Roman" w:cs="Times New Roman"/>
          <w:sz w:val="24"/>
          <w:szCs w:val="24"/>
        </w:rPr>
        <w:t xml:space="preserve">Analytical techniques that will be used for analysis include: T-tests and chi-square tests; Pearson’s correlations; </w:t>
      </w:r>
      <w:r w:rsidRPr="009878E6">
        <w:rPr>
          <w:rFonts w:ascii="Times New Roman" w:hAnsi="Times New Roman" w:cs="Times New Roman"/>
          <w:sz w:val="24"/>
          <w:szCs w:val="24"/>
        </w:rPr>
        <w:t xml:space="preserve">Ordinary Least Squares and Ordered Logit Regressions; Polychoric correlations; and Confirmatory Factor Analysis. </w:t>
      </w:r>
    </w:p>
    <w:p w:rsidR="00D92E28" w:rsidRPr="009878E6" w:rsidP="009878E6" w14:paraId="694424EB" w14:textId="77777777">
      <w:pPr>
        <w:contextualSpacing/>
        <w:rPr>
          <w:rFonts w:ascii="Times New Roman" w:hAnsi="Times New Roman" w:cs="Times New Roman"/>
          <w:sz w:val="24"/>
          <w:szCs w:val="24"/>
        </w:rPr>
      </w:pPr>
    </w:p>
    <w:p w:rsidR="00E8612F" w:rsidRPr="009878E6" w:rsidP="009878E6" w14:paraId="7B7463AB" w14:textId="786F84BC">
      <w:pPr>
        <w:contextualSpacing/>
        <w:rPr>
          <w:rFonts w:ascii="Times New Roman" w:hAnsi="Times New Roman" w:cs="Times New Roman"/>
          <w:sz w:val="24"/>
          <w:szCs w:val="24"/>
        </w:rPr>
      </w:pPr>
      <w:r w:rsidRPr="009878E6">
        <w:rPr>
          <w:rFonts w:ascii="Times New Roman" w:hAnsi="Times New Roman" w:cs="Times New Roman"/>
          <w:sz w:val="24"/>
          <w:szCs w:val="24"/>
        </w:rPr>
        <w:t>T-tests and chi-square tests will be used to test differences in means of variables, telling us how the variable averages vary. Pearson’s correlations will be used to find associations between variables and scales. Those with higher correlations are linearly related and move in coordination with one another. Ordinary Least Squares (OLS) and Ordered Logit Regressions will be used to find associations between variables and scales, while controlling for other variables (i.e., controlling for variables like age, education level, income, etc.) Regressions allow us to find statistically significant relationships between sets of variables. Polychoric correlations will be used to find associations between categorical variables (i.e., variables that have no rank order like race or gender). Finally, we will use Confirmatory Factor Analysis (CFA) to find latent scales or assumptions amongst the variables (e.g., a hidden association between years employed, training history, and turnover rates).</w:t>
      </w:r>
    </w:p>
    <w:p w:rsidR="00D92E28" w:rsidRPr="009878E6" w:rsidP="009878E6" w14:paraId="7210B8A9" w14:textId="77777777">
      <w:pPr>
        <w:contextualSpacing/>
        <w:rPr>
          <w:rFonts w:ascii="Times New Roman" w:hAnsi="Times New Roman" w:cs="Times New Roman"/>
          <w:sz w:val="24"/>
          <w:szCs w:val="24"/>
        </w:rPr>
      </w:pPr>
    </w:p>
    <w:p w:rsidR="00295FB5" w:rsidRPr="009878E6" w:rsidP="009878E6" w14:paraId="5348DCE5" w14:textId="213C9F55">
      <w:pPr>
        <w:contextualSpacing/>
        <w:rPr>
          <w:rFonts w:ascii="Times New Roman" w:hAnsi="Times New Roman" w:cs="Times New Roman"/>
          <w:sz w:val="24"/>
          <w:szCs w:val="24"/>
        </w:rPr>
      </w:pPr>
      <w:r w:rsidRPr="009878E6">
        <w:rPr>
          <w:rFonts w:ascii="Times New Roman" w:hAnsi="Times New Roman" w:cs="Times New Roman"/>
          <w:sz w:val="24"/>
          <w:szCs w:val="24"/>
        </w:rPr>
        <w:t>Based on these assessments, a final report and strategy document will be shared with NFIP Coordinators who represent State, Tribal, and Territorial Governments. The final report and strategy document will also be shared with the Association of State Floodplain Managers (ASFPM), a non-profit 501</w:t>
      </w:r>
      <w:r w:rsidRPr="009878E6" w:rsidR="484C7A03">
        <w:rPr>
          <w:rFonts w:ascii="Times New Roman" w:hAnsi="Times New Roman" w:cs="Times New Roman"/>
          <w:sz w:val="24"/>
          <w:szCs w:val="24"/>
        </w:rPr>
        <w:t>(</w:t>
      </w:r>
      <w:r w:rsidRPr="009878E6">
        <w:rPr>
          <w:rFonts w:ascii="Times New Roman" w:hAnsi="Times New Roman" w:cs="Times New Roman"/>
          <w:sz w:val="24"/>
          <w:szCs w:val="24"/>
        </w:rPr>
        <w:t>c</w:t>
      </w:r>
      <w:r w:rsidRPr="009878E6" w:rsidR="6DE694B4">
        <w:rPr>
          <w:rFonts w:ascii="Times New Roman" w:hAnsi="Times New Roman" w:cs="Times New Roman"/>
          <w:sz w:val="24"/>
          <w:szCs w:val="24"/>
        </w:rPr>
        <w:t>)(</w:t>
      </w:r>
      <w:r w:rsidRPr="009878E6">
        <w:rPr>
          <w:rFonts w:ascii="Times New Roman" w:hAnsi="Times New Roman" w:cs="Times New Roman"/>
          <w:sz w:val="24"/>
          <w:szCs w:val="24"/>
        </w:rPr>
        <w:t>3</w:t>
      </w:r>
      <w:r w:rsidRPr="009878E6" w:rsidR="4280709E">
        <w:rPr>
          <w:rFonts w:ascii="Times New Roman" w:hAnsi="Times New Roman" w:cs="Times New Roman"/>
          <w:sz w:val="24"/>
          <w:szCs w:val="24"/>
        </w:rPr>
        <w:t>)</w:t>
      </w:r>
      <w:r w:rsidRPr="009878E6">
        <w:rPr>
          <w:rFonts w:ascii="Times New Roman" w:hAnsi="Times New Roman" w:cs="Times New Roman"/>
          <w:sz w:val="24"/>
          <w:szCs w:val="24"/>
        </w:rPr>
        <w:t xml:space="preserve"> organization that administers the Certified Floodplain Manager exam and licensure. FEMA and ASFPM are parties to a cooperative agreement where ASFPM delivers the FEMA-developed EL027</w:t>
      </w:r>
      <w:r w:rsidRPr="009878E6" w:rsidR="47A2DD74">
        <w:rPr>
          <w:rFonts w:ascii="Times New Roman" w:hAnsi="Times New Roman" w:cs="Times New Roman"/>
          <w:sz w:val="24"/>
          <w:szCs w:val="24"/>
        </w:rPr>
        <w:t>3</w:t>
      </w:r>
      <w:r w:rsidRPr="009878E6">
        <w:rPr>
          <w:rFonts w:ascii="Times New Roman" w:hAnsi="Times New Roman" w:cs="Times New Roman"/>
          <w:sz w:val="24"/>
          <w:szCs w:val="24"/>
        </w:rPr>
        <w:t xml:space="preserve"> Managing Floodplain Development through the NFIP to FPAs on behalf of FEMA.</w:t>
      </w:r>
    </w:p>
    <w:p w:rsidR="00D92E28" w:rsidRPr="009878E6" w:rsidP="009878E6" w14:paraId="57B65A30" w14:textId="77777777">
      <w:pPr>
        <w:contextualSpacing/>
        <w:rPr>
          <w:rFonts w:ascii="Times New Roman" w:hAnsi="Times New Roman" w:cs="Times New Roman"/>
          <w:sz w:val="24"/>
          <w:szCs w:val="24"/>
        </w:rPr>
      </w:pPr>
    </w:p>
    <w:p w:rsidR="00295FB5" w:rsidRPr="009878E6" w:rsidP="009878E6" w14:paraId="49B5635E" w14:textId="06892E00">
      <w:pPr>
        <w:contextualSpacing/>
        <w:rPr>
          <w:rFonts w:ascii="Times New Roman" w:hAnsi="Times New Roman" w:cs="Times New Roman"/>
          <w:sz w:val="24"/>
          <w:szCs w:val="24"/>
        </w:rPr>
      </w:pPr>
      <w:r w:rsidRPr="009878E6">
        <w:rPr>
          <w:rFonts w:ascii="Times New Roman" w:hAnsi="Times New Roman" w:cs="Times New Roman"/>
          <w:sz w:val="24"/>
          <w:szCs w:val="24"/>
        </w:rPr>
        <w:t>A public-facing report will include observations and recommended training strategies and will be posted on FEMA’s Floodplain Management Division webpage. The report will refer to States and Regions but not call out individual communities. Instead, it will refer to them in representational ways such as a “rural and inland town in Southeast New York with a population under 50,000”.</w:t>
      </w:r>
    </w:p>
    <w:p w:rsidR="00D92E28" w:rsidRPr="009878E6" w:rsidP="009878E6" w14:paraId="13D60DF8" w14:textId="77777777">
      <w:pPr>
        <w:contextualSpacing/>
        <w:rPr>
          <w:rFonts w:ascii="Times New Roman" w:hAnsi="Times New Roman" w:cs="Times New Roman"/>
          <w:sz w:val="24"/>
          <w:szCs w:val="24"/>
        </w:rPr>
      </w:pPr>
    </w:p>
    <w:p w:rsidR="00D92E28" w:rsidRPr="009878E6" w:rsidP="009878E6" w14:paraId="622F55A6" w14:textId="77777777">
      <w:pPr>
        <w:contextualSpacing/>
        <w:rPr>
          <w:rFonts w:ascii="Times New Roman" w:hAnsi="Times New Roman" w:cs="Times New Roman"/>
          <w:sz w:val="24"/>
          <w:szCs w:val="24"/>
        </w:rPr>
      </w:pPr>
      <w:r w:rsidRPr="009878E6">
        <w:rPr>
          <w:rFonts w:ascii="Times New Roman" w:hAnsi="Times New Roman" w:cs="Times New Roman"/>
          <w:sz w:val="24"/>
          <w:szCs w:val="24"/>
        </w:rPr>
        <w:br w:type="page"/>
      </w:r>
    </w:p>
    <w:p w:rsidR="00295FB5" w:rsidRPr="009878E6" w:rsidP="009878E6" w14:paraId="5FF7431C" w14:textId="001FE20A">
      <w:pPr>
        <w:contextualSpacing/>
        <w:rPr>
          <w:rFonts w:ascii="Times New Roman" w:hAnsi="Times New Roman" w:cs="Times New Roman"/>
          <w:sz w:val="24"/>
          <w:szCs w:val="24"/>
        </w:rPr>
      </w:pPr>
      <w:r w:rsidRPr="009878E6">
        <w:rPr>
          <w:rFonts w:ascii="Times New Roman" w:hAnsi="Times New Roman" w:cs="Times New Roman"/>
          <w:sz w:val="24"/>
          <w:szCs w:val="24"/>
        </w:rPr>
        <w:t xml:space="preserve">The entire project schedule is estimated to take </w:t>
      </w:r>
      <w:r w:rsidRPr="009878E6" w:rsidR="00FE708C">
        <w:rPr>
          <w:rFonts w:ascii="Times New Roman" w:hAnsi="Times New Roman" w:cs="Times New Roman"/>
          <w:sz w:val="24"/>
          <w:szCs w:val="24"/>
        </w:rPr>
        <w:t>2</w:t>
      </w:r>
      <w:r w:rsidRPr="009878E6" w:rsidR="005A0053">
        <w:rPr>
          <w:rFonts w:ascii="Times New Roman" w:hAnsi="Times New Roman" w:cs="Times New Roman"/>
          <w:sz w:val="24"/>
          <w:szCs w:val="24"/>
        </w:rPr>
        <w:t>2</w:t>
      </w:r>
      <w:r w:rsidRPr="009878E6">
        <w:rPr>
          <w:rFonts w:ascii="Times New Roman" w:hAnsi="Times New Roman" w:cs="Times New Roman"/>
          <w:sz w:val="24"/>
          <w:szCs w:val="24"/>
        </w:rPr>
        <w:t xml:space="preserve"> months.  The </w:t>
      </w:r>
      <w:r w:rsidRPr="009878E6" w:rsidR="00FE708C">
        <w:rPr>
          <w:rFonts w:ascii="Times New Roman" w:hAnsi="Times New Roman" w:cs="Times New Roman"/>
          <w:sz w:val="24"/>
          <w:szCs w:val="24"/>
        </w:rPr>
        <w:t>anticipated</w:t>
      </w:r>
      <w:r w:rsidRPr="009878E6">
        <w:rPr>
          <w:rFonts w:ascii="Times New Roman" w:hAnsi="Times New Roman" w:cs="Times New Roman"/>
          <w:sz w:val="24"/>
          <w:szCs w:val="24"/>
        </w:rPr>
        <w:t xml:space="preserve"> schedule is:</w:t>
      </w:r>
    </w:p>
    <w:p w:rsidR="00D92E28" w:rsidRPr="009878E6" w:rsidP="009878E6" w14:paraId="34C4E206" w14:textId="77777777">
      <w:pPr>
        <w:contextualSpacing/>
        <w:rPr>
          <w:rFonts w:ascii="Times New Roman" w:hAnsi="Times New Roman" w:cs="Times New Roman"/>
          <w:sz w:val="24"/>
          <w:szCs w:val="24"/>
        </w:rPr>
      </w:pPr>
    </w:p>
    <w:tbl>
      <w:tblPr>
        <w:tblStyle w:val="TableGrid"/>
        <w:tblW w:w="0" w:type="auto"/>
        <w:jc w:val="center"/>
        <w:tblLook w:val="04A0"/>
      </w:tblPr>
      <w:tblGrid>
        <w:gridCol w:w="4315"/>
        <w:gridCol w:w="2430"/>
      </w:tblGrid>
      <w:tr w14:paraId="3406848F" w14:textId="77777777" w:rsidTr="00B40E31">
        <w:tblPrEx>
          <w:tblW w:w="0" w:type="auto"/>
          <w:jc w:val="center"/>
          <w:tblLook w:val="04A0"/>
        </w:tblPrEx>
        <w:trPr>
          <w:jc w:val="center"/>
        </w:trPr>
        <w:tc>
          <w:tcPr>
            <w:tcW w:w="4315" w:type="dxa"/>
          </w:tcPr>
          <w:p w:rsidR="00295FB5" w:rsidRPr="009878E6" w:rsidP="009878E6" w14:paraId="6B3AACDF" w14:textId="2B8E4A89">
            <w:pPr>
              <w:spacing w:line="276" w:lineRule="auto"/>
              <w:contextualSpacing/>
              <w:rPr>
                <w:rFonts w:ascii="Times New Roman" w:hAnsi="Times New Roman" w:cs="Times New Roman"/>
                <w:b/>
                <w:bCs/>
                <w:sz w:val="24"/>
                <w:szCs w:val="24"/>
              </w:rPr>
            </w:pPr>
            <w:r w:rsidRPr="009878E6">
              <w:rPr>
                <w:rFonts w:ascii="Times New Roman" w:hAnsi="Times New Roman" w:cs="Times New Roman"/>
                <w:b/>
                <w:bCs/>
                <w:sz w:val="24"/>
                <w:szCs w:val="24"/>
              </w:rPr>
              <w:t>Activity</w:t>
            </w:r>
          </w:p>
        </w:tc>
        <w:tc>
          <w:tcPr>
            <w:tcW w:w="2430" w:type="dxa"/>
          </w:tcPr>
          <w:p w:rsidR="00295FB5" w:rsidRPr="009878E6" w:rsidP="009878E6" w14:paraId="4506E185" w14:textId="52807D1C">
            <w:pPr>
              <w:spacing w:line="276" w:lineRule="auto"/>
              <w:contextualSpacing/>
              <w:rPr>
                <w:rFonts w:ascii="Times New Roman" w:hAnsi="Times New Roman" w:cs="Times New Roman"/>
                <w:b/>
                <w:bCs/>
                <w:sz w:val="24"/>
                <w:szCs w:val="24"/>
              </w:rPr>
            </w:pPr>
            <w:r w:rsidRPr="009878E6">
              <w:rPr>
                <w:rFonts w:ascii="Times New Roman" w:hAnsi="Times New Roman" w:cs="Times New Roman"/>
                <w:b/>
                <w:bCs/>
                <w:sz w:val="24"/>
                <w:szCs w:val="24"/>
              </w:rPr>
              <w:t>Duration</w:t>
            </w:r>
          </w:p>
        </w:tc>
      </w:tr>
      <w:tr w14:paraId="77EA93D5" w14:textId="77777777" w:rsidTr="00B40E31">
        <w:tblPrEx>
          <w:tblW w:w="0" w:type="auto"/>
          <w:jc w:val="center"/>
          <w:tblLook w:val="04A0"/>
        </w:tblPrEx>
        <w:trPr>
          <w:jc w:val="center"/>
        </w:trPr>
        <w:tc>
          <w:tcPr>
            <w:tcW w:w="4315" w:type="dxa"/>
          </w:tcPr>
          <w:p w:rsidR="00295FB5" w:rsidRPr="009878E6" w:rsidP="009878E6" w14:paraId="7918223C" w14:textId="48A88FE6">
            <w:pPr>
              <w:spacing w:line="276" w:lineRule="auto"/>
              <w:contextualSpacing/>
              <w:rPr>
                <w:rFonts w:ascii="Times New Roman" w:hAnsi="Times New Roman" w:cs="Times New Roman"/>
                <w:sz w:val="24"/>
                <w:szCs w:val="24"/>
              </w:rPr>
            </w:pPr>
            <w:r w:rsidRPr="009878E6">
              <w:rPr>
                <w:rFonts w:ascii="Times New Roman" w:hAnsi="Times New Roman" w:cs="Times New Roman"/>
                <w:sz w:val="24"/>
                <w:szCs w:val="24"/>
              </w:rPr>
              <w:t>Develop Survey Questions</w:t>
            </w:r>
          </w:p>
        </w:tc>
        <w:tc>
          <w:tcPr>
            <w:tcW w:w="2430" w:type="dxa"/>
          </w:tcPr>
          <w:p w:rsidR="00295FB5" w:rsidRPr="009878E6" w:rsidP="009878E6" w14:paraId="2DE65228" w14:textId="6DBBE726">
            <w:pPr>
              <w:spacing w:line="276" w:lineRule="auto"/>
              <w:contextualSpacing/>
              <w:rPr>
                <w:rFonts w:ascii="Times New Roman" w:hAnsi="Times New Roman" w:cs="Times New Roman"/>
                <w:sz w:val="24"/>
                <w:szCs w:val="24"/>
              </w:rPr>
            </w:pPr>
            <w:r w:rsidRPr="009878E6">
              <w:rPr>
                <w:rFonts w:ascii="Times New Roman" w:hAnsi="Times New Roman" w:cs="Times New Roman"/>
                <w:sz w:val="24"/>
                <w:szCs w:val="24"/>
              </w:rPr>
              <w:t>3 months</w:t>
            </w:r>
          </w:p>
        </w:tc>
      </w:tr>
      <w:tr w14:paraId="589D4A58" w14:textId="77777777" w:rsidTr="00B40E31">
        <w:tblPrEx>
          <w:tblW w:w="0" w:type="auto"/>
          <w:jc w:val="center"/>
          <w:tblLook w:val="04A0"/>
        </w:tblPrEx>
        <w:trPr>
          <w:jc w:val="center"/>
        </w:trPr>
        <w:tc>
          <w:tcPr>
            <w:tcW w:w="4315" w:type="dxa"/>
          </w:tcPr>
          <w:p w:rsidR="00FE708C" w:rsidRPr="009878E6" w:rsidP="009878E6" w14:paraId="711F0118" w14:textId="29F2C74F">
            <w:pPr>
              <w:spacing w:line="276" w:lineRule="auto"/>
              <w:contextualSpacing/>
              <w:rPr>
                <w:rFonts w:ascii="Times New Roman" w:hAnsi="Times New Roman" w:cs="Times New Roman"/>
                <w:sz w:val="24"/>
                <w:szCs w:val="24"/>
              </w:rPr>
            </w:pPr>
            <w:r w:rsidRPr="009878E6">
              <w:rPr>
                <w:rFonts w:ascii="Times New Roman" w:hAnsi="Times New Roman" w:cs="Times New Roman"/>
                <w:sz w:val="24"/>
                <w:szCs w:val="24"/>
              </w:rPr>
              <w:t xml:space="preserve">Test and Train </w:t>
            </w:r>
          </w:p>
        </w:tc>
        <w:tc>
          <w:tcPr>
            <w:tcW w:w="2430" w:type="dxa"/>
          </w:tcPr>
          <w:p w:rsidR="00FE708C" w:rsidRPr="009878E6" w:rsidP="009878E6" w14:paraId="4D79E6EF" w14:textId="261BFAA2">
            <w:pPr>
              <w:spacing w:line="276" w:lineRule="auto"/>
              <w:contextualSpacing/>
              <w:rPr>
                <w:rFonts w:ascii="Times New Roman" w:hAnsi="Times New Roman" w:cs="Times New Roman"/>
                <w:sz w:val="24"/>
                <w:szCs w:val="24"/>
              </w:rPr>
            </w:pPr>
            <w:r w:rsidRPr="009878E6">
              <w:rPr>
                <w:rFonts w:ascii="Times New Roman" w:hAnsi="Times New Roman" w:cs="Times New Roman"/>
                <w:sz w:val="24"/>
                <w:szCs w:val="24"/>
              </w:rPr>
              <w:t>1 month</w:t>
            </w:r>
          </w:p>
        </w:tc>
      </w:tr>
      <w:tr w14:paraId="303B9AC1" w14:textId="77777777" w:rsidTr="00B40E31">
        <w:tblPrEx>
          <w:tblW w:w="0" w:type="auto"/>
          <w:jc w:val="center"/>
          <w:tblLook w:val="04A0"/>
        </w:tblPrEx>
        <w:trPr>
          <w:jc w:val="center"/>
        </w:trPr>
        <w:tc>
          <w:tcPr>
            <w:tcW w:w="4315" w:type="dxa"/>
          </w:tcPr>
          <w:p w:rsidR="00FE708C" w:rsidRPr="009878E6" w:rsidP="009878E6" w14:paraId="49BDFFF1" w14:textId="0A8530A6">
            <w:pPr>
              <w:spacing w:line="276" w:lineRule="auto"/>
              <w:contextualSpacing/>
              <w:rPr>
                <w:rFonts w:ascii="Times New Roman" w:hAnsi="Times New Roman" w:cs="Times New Roman"/>
                <w:sz w:val="24"/>
                <w:szCs w:val="24"/>
              </w:rPr>
            </w:pPr>
            <w:r w:rsidRPr="009878E6">
              <w:rPr>
                <w:rFonts w:ascii="Times New Roman" w:hAnsi="Times New Roman" w:cs="Times New Roman"/>
                <w:sz w:val="24"/>
                <w:szCs w:val="24"/>
              </w:rPr>
              <w:t>OMB Approval</w:t>
            </w:r>
          </w:p>
        </w:tc>
        <w:tc>
          <w:tcPr>
            <w:tcW w:w="2430" w:type="dxa"/>
          </w:tcPr>
          <w:p w:rsidR="00FE708C" w:rsidRPr="009878E6" w:rsidP="009878E6" w14:paraId="1910AFF9" w14:textId="2343FCDF">
            <w:pPr>
              <w:spacing w:line="276" w:lineRule="auto"/>
              <w:contextualSpacing/>
              <w:rPr>
                <w:rFonts w:ascii="Times New Roman" w:hAnsi="Times New Roman" w:cs="Times New Roman"/>
                <w:sz w:val="24"/>
                <w:szCs w:val="24"/>
              </w:rPr>
            </w:pPr>
            <w:r w:rsidRPr="009878E6">
              <w:rPr>
                <w:rFonts w:ascii="Times New Roman" w:hAnsi="Times New Roman" w:cs="Times New Roman"/>
                <w:sz w:val="24"/>
                <w:szCs w:val="24"/>
              </w:rPr>
              <w:t>8 months</w:t>
            </w:r>
          </w:p>
        </w:tc>
      </w:tr>
      <w:tr w14:paraId="6E03ACF7" w14:textId="77777777" w:rsidTr="00B40E31">
        <w:tblPrEx>
          <w:tblW w:w="0" w:type="auto"/>
          <w:jc w:val="center"/>
          <w:tblLook w:val="04A0"/>
        </w:tblPrEx>
        <w:trPr>
          <w:jc w:val="center"/>
        </w:trPr>
        <w:tc>
          <w:tcPr>
            <w:tcW w:w="4315" w:type="dxa"/>
          </w:tcPr>
          <w:p w:rsidR="00FE708C" w:rsidRPr="009878E6" w:rsidP="009878E6" w14:paraId="6A68207C" w14:textId="20EFF5E1">
            <w:pPr>
              <w:spacing w:line="276" w:lineRule="auto"/>
              <w:contextualSpacing/>
              <w:rPr>
                <w:rFonts w:ascii="Times New Roman" w:hAnsi="Times New Roman" w:cs="Times New Roman"/>
                <w:sz w:val="24"/>
                <w:szCs w:val="24"/>
              </w:rPr>
            </w:pPr>
            <w:r w:rsidRPr="009878E6">
              <w:rPr>
                <w:rFonts w:ascii="Times New Roman" w:hAnsi="Times New Roman" w:cs="Times New Roman"/>
                <w:sz w:val="24"/>
                <w:szCs w:val="24"/>
              </w:rPr>
              <w:t>Launch Survey</w:t>
            </w:r>
          </w:p>
        </w:tc>
        <w:tc>
          <w:tcPr>
            <w:tcW w:w="2430" w:type="dxa"/>
          </w:tcPr>
          <w:p w:rsidR="00FE708C" w:rsidRPr="009878E6" w:rsidP="009878E6" w14:paraId="37B320F2" w14:textId="6FA12DB1">
            <w:pPr>
              <w:spacing w:line="276" w:lineRule="auto"/>
              <w:contextualSpacing/>
              <w:rPr>
                <w:rFonts w:ascii="Times New Roman" w:hAnsi="Times New Roman" w:cs="Times New Roman"/>
                <w:sz w:val="24"/>
                <w:szCs w:val="24"/>
              </w:rPr>
            </w:pPr>
            <w:r w:rsidRPr="009878E6">
              <w:rPr>
                <w:rFonts w:ascii="Times New Roman" w:hAnsi="Times New Roman" w:cs="Times New Roman"/>
                <w:sz w:val="24"/>
                <w:szCs w:val="24"/>
              </w:rPr>
              <w:t>1 month after approval</w:t>
            </w:r>
          </w:p>
        </w:tc>
      </w:tr>
      <w:tr w14:paraId="1F8CDD92" w14:textId="77777777" w:rsidTr="00B40E31">
        <w:tblPrEx>
          <w:tblW w:w="0" w:type="auto"/>
          <w:jc w:val="center"/>
          <w:tblLook w:val="04A0"/>
        </w:tblPrEx>
        <w:trPr>
          <w:jc w:val="center"/>
        </w:trPr>
        <w:tc>
          <w:tcPr>
            <w:tcW w:w="4315" w:type="dxa"/>
          </w:tcPr>
          <w:p w:rsidR="00FE708C" w:rsidRPr="009878E6" w:rsidP="009878E6" w14:paraId="0DCFC573" w14:textId="2AEA74CC">
            <w:pPr>
              <w:spacing w:line="276" w:lineRule="auto"/>
              <w:contextualSpacing/>
              <w:rPr>
                <w:rFonts w:ascii="Times New Roman" w:hAnsi="Times New Roman" w:cs="Times New Roman"/>
                <w:sz w:val="24"/>
                <w:szCs w:val="24"/>
              </w:rPr>
            </w:pPr>
            <w:r w:rsidRPr="009878E6">
              <w:rPr>
                <w:rFonts w:ascii="Times New Roman" w:hAnsi="Times New Roman" w:cs="Times New Roman"/>
                <w:sz w:val="24"/>
                <w:szCs w:val="24"/>
              </w:rPr>
              <w:t>Collect Data</w:t>
            </w:r>
          </w:p>
        </w:tc>
        <w:tc>
          <w:tcPr>
            <w:tcW w:w="2430" w:type="dxa"/>
          </w:tcPr>
          <w:p w:rsidR="00FE708C" w:rsidRPr="009878E6" w:rsidP="009878E6" w14:paraId="76D68A84" w14:textId="0C535321">
            <w:pPr>
              <w:spacing w:line="276" w:lineRule="auto"/>
              <w:contextualSpacing/>
              <w:rPr>
                <w:rFonts w:ascii="Times New Roman" w:hAnsi="Times New Roman" w:cs="Times New Roman"/>
                <w:sz w:val="24"/>
                <w:szCs w:val="24"/>
              </w:rPr>
            </w:pPr>
            <w:r w:rsidRPr="009878E6">
              <w:rPr>
                <w:rFonts w:ascii="Times New Roman" w:hAnsi="Times New Roman" w:cs="Times New Roman"/>
                <w:sz w:val="24"/>
                <w:szCs w:val="24"/>
              </w:rPr>
              <w:t>2</w:t>
            </w:r>
            <w:r w:rsidRPr="009878E6">
              <w:rPr>
                <w:rFonts w:ascii="Times New Roman" w:hAnsi="Times New Roman" w:cs="Times New Roman"/>
                <w:sz w:val="24"/>
                <w:szCs w:val="24"/>
              </w:rPr>
              <w:t xml:space="preserve"> months</w:t>
            </w:r>
          </w:p>
        </w:tc>
      </w:tr>
      <w:tr w14:paraId="2F60DA99" w14:textId="77777777" w:rsidTr="00B40E31">
        <w:tblPrEx>
          <w:tblW w:w="0" w:type="auto"/>
          <w:jc w:val="center"/>
          <w:tblLook w:val="04A0"/>
        </w:tblPrEx>
        <w:trPr>
          <w:jc w:val="center"/>
        </w:trPr>
        <w:tc>
          <w:tcPr>
            <w:tcW w:w="4315" w:type="dxa"/>
          </w:tcPr>
          <w:p w:rsidR="00FE708C" w:rsidRPr="009878E6" w:rsidP="009878E6" w14:paraId="0FDD98C4" w14:textId="18099632">
            <w:pPr>
              <w:spacing w:line="276" w:lineRule="auto"/>
              <w:contextualSpacing/>
              <w:rPr>
                <w:rFonts w:ascii="Times New Roman" w:hAnsi="Times New Roman" w:cs="Times New Roman"/>
                <w:sz w:val="24"/>
                <w:szCs w:val="24"/>
              </w:rPr>
            </w:pPr>
            <w:r w:rsidRPr="009878E6">
              <w:rPr>
                <w:rFonts w:ascii="Times New Roman" w:hAnsi="Times New Roman" w:cs="Times New Roman"/>
                <w:sz w:val="24"/>
                <w:szCs w:val="24"/>
              </w:rPr>
              <w:t>Analyze Data</w:t>
            </w:r>
          </w:p>
        </w:tc>
        <w:tc>
          <w:tcPr>
            <w:tcW w:w="2430" w:type="dxa"/>
          </w:tcPr>
          <w:p w:rsidR="00FE708C" w:rsidRPr="009878E6" w:rsidP="009878E6" w14:paraId="433A51CC" w14:textId="2B90C58D">
            <w:pPr>
              <w:spacing w:line="276" w:lineRule="auto"/>
              <w:contextualSpacing/>
              <w:rPr>
                <w:rFonts w:ascii="Times New Roman" w:hAnsi="Times New Roman" w:cs="Times New Roman"/>
                <w:sz w:val="24"/>
                <w:szCs w:val="24"/>
              </w:rPr>
            </w:pPr>
            <w:r w:rsidRPr="009878E6">
              <w:rPr>
                <w:rFonts w:ascii="Times New Roman" w:hAnsi="Times New Roman" w:cs="Times New Roman"/>
                <w:sz w:val="24"/>
                <w:szCs w:val="24"/>
              </w:rPr>
              <w:t>3 months</w:t>
            </w:r>
          </w:p>
        </w:tc>
      </w:tr>
      <w:tr w14:paraId="13FD6D2B" w14:textId="77777777" w:rsidTr="00B40E31">
        <w:tblPrEx>
          <w:tblW w:w="0" w:type="auto"/>
          <w:jc w:val="center"/>
          <w:tblLook w:val="04A0"/>
        </w:tblPrEx>
        <w:trPr>
          <w:jc w:val="center"/>
        </w:trPr>
        <w:tc>
          <w:tcPr>
            <w:tcW w:w="4315" w:type="dxa"/>
          </w:tcPr>
          <w:p w:rsidR="00FE708C" w:rsidRPr="009878E6" w:rsidP="009878E6" w14:paraId="60EE50F5" w14:textId="5BBFA8E2">
            <w:pPr>
              <w:spacing w:line="276" w:lineRule="auto"/>
              <w:contextualSpacing/>
              <w:rPr>
                <w:rFonts w:ascii="Times New Roman" w:hAnsi="Times New Roman" w:cs="Times New Roman"/>
                <w:sz w:val="24"/>
                <w:szCs w:val="24"/>
              </w:rPr>
            </w:pPr>
            <w:r w:rsidRPr="009878E6">
              <w:rPr>
                <w:rFonts w:ascii="Times New Roman" w:hAnsi="Times New Roman" w:cs="Times New Roman"/>
                <w:sz w:val="24"/>
                <w:szCs w:val="24"/>
              </w:rPr>
              <w:t>Final Report</w:t>
            </w:r>
          </w:p>
        </w:tc>
        <w:tc>
          <w:tcPr>
            <w:tcW w:w="2430" w:type="dxa"/>
          </w:tcPr>
          <w:p w:rsidR="00FE708C" w:rsidRPr="009878E6" w:rsidP="009878E6" w14:paraId="31A4A291" w14:textId="1C06899D">
            <w:pPr>
              <w:spacing w:line="276" w:lineRule="auto"/>
              <w:contextualSpacing/>
              <w:rPr>
                <w:rFonts w:ascii="Times New Roman" w:hAnsi="Times New Roman" w:cs="Times New Roman"/>
                <w:sz w:val="24"/>
                <w:szCs w:val="24"/>
              </w:rPr>
            </w:pPr>
            <w:r w:rsidRPr="009878E6">
              <w:rPr>
                <w:rFonts w:ascii="Times New Roman" w:hAnsi="Times New Roman" w:cs="Times New Roman"/>
                <w:sz w:val="24"/>
                <w:szCs w:val="24"/>
              </w:rPr>
              <w:t>2 months</w:t>
            </w:r>
          </w:p>
        </w:tc>
      </w:tr>
      <w:tr w14:paraId="52FF7ED4" w14:textId="77777777" w:rsidTr="00B40E31">
        <w:tblPrEx>
          <w:tblW w:w="0" w:type="auto"/>
          <w:jc w:val="center"/>
          <w:tblLook w:val="04A0"/>
        </w:tblPrEx>
        <w:trPr>
          <w:jc w:val="center"/>
        </w:trPr>
        <w:tc>
          <w:tcPr>
            <w:tcW w:w="4315" w:type="dxa"/>
          </w:tcPr>
          <w:p w:rsidR="00FE708C" w:rsidRPr="009878E6" w:rsidP="009878E6" w14:paraId="71CC9D29" w14:textId="659F07E2">
            <w:pPr>
              <w:spacing w:line="276" w:lineRule="auto"/>
              <w:contextualSpacing/>
              <w:rPr>
                <w:rFonts w:ascii="Times New Roman" w:hAnsi="Times New Roman" w:cs="Times New Roman"/>
                <w:sz w:val="24"/>
                <w:szCs w:val="24"/>
              </w:rPr>
            </w:pPr>
            <w:r w:rsidRPr="009878E6">
              <w:rPr>
                <w:rFonts w:ascii="Times New Roman" w:hAnsi="Times New Roman" w:cs="Times New Roman"/>
                <w:sz w:val="24"/>
                <w:szCs w:val="24"/>
              </w:rPr>
              <w:t>Publication (internal clearance)</w:t>
            </w:r>
          </w:p>
        </w:tc>
        <w:tc>
          <w:tcPr>
            <w:tcW w:w="2430" w:type="dxa"/>
          </w:tcPr>
          <w:p w:rsidR="00FE708C" w:rsidRPr="009878E6" w:rsidP="009878E6" w14:paraId="51B6203C" w14:textId="2DB3B5C0">
            <w:pPr>
              <w:spacing w:line="276" w:lineRule="auto"/>
              <w:contextualSpacing/>
              <w:rPr>
                <w:rFonts w:ascii="Times New Roman" w:hAnsi="Times New Roman" w:cs="Times New Roman"/>
                <w:sz w:val="24"/>
                <w:szCs w:val="24"/>
              </w:rPr>
            </w:pPr>
            <w:r w:rsidRPr="009878E6">
              <w:rPr>
                <w:rFonts w:ascii="Times New Roman" w:hAnsi="Times New Roman" w:cs="Times New Roman"/>
                <w:sz w:val="24"/>
                <w:szCs w:val="24"/>
              </w:rPr>
              <w:t>2 months</w:t>
            </w:r>
          </w:p>
        </w:tc>
      </w:tr>
      <w:tr w14:paraId="4907E46C" w14:textId="77777777" w:rsidTr="00B40E31">
        <w:tblPrEx>
          <w:tblW w:w="0" w:type="auto"/>
          <w:jc w:val="center"/>
          <w:tblLook w:val="04A0"/>
        </w:tblPrEx>
        <w:trPr>
          <w:jc w:val="center"/>
        </w:trPr>
        <w:tc>
          <w:tcPr>
            <w:tcW w:w="4315" w:type="dxa"/>
          </w:tcPr>
          <w:p w:rsidR="00FE708C" w:rsidRPr="009878E6" w:rsidP="009878E6" w14:paraId="3277FC63" w14:textId="33EBB97F">
            <w:pPr>
              <w:spacing w:line="276" w:lineRule="auto"/>
              <w:contextualSpacing/>
              <w:rPr>
                <w:rFonts w:ascii="Times New Roman" w:hAnsi="Times New Roman" w:cs="Times New Roman"/>
                <w:b/>
                <w:bCs/>
                <w:sz w:val="24"/>
                <w:szCs w:val="24"/>
              </w:rPr>
            </w:pPr>
            <w:r w:rsidRPr="009878E6">
              <w:rPr>
                <w:rFonts w:ascii="Times New Roman" w:hAnsi="Times New Roman" w:cs="Times New Roman"/>
                <w:b/>
                <w:bCs/>
                <w:sz w:val="24"/>
                <w:szCs w:val="24"/>
              </w:rPr>
              <w:t>TOTAL</w:t>
            </w:r>
          </w:p>
        </w:tc>
        <w:tc>
          <w:tcPr>
            <w:tcW w:w="2430" w:type="dxa"/>
          </w:tcPr>
          <w:p w:rsidR="00FE708C" w:rsidRPr="009878E6" w:rsidP="009878E6" w14:paraId="401A38F5" w14:textId="0DCA08B2">
            <w:pPr>
              <w:spacing w:line="276" w:lineRule="auto"/>
              <w:contextualSpacing/>
              <w:rPr>
                <w:rFonts w:ascii="Times New Roman" w:hAnsi="Times New Roman" w:cs="Times New Roman"/>
                <w:b/>
                <w:bCs/>
                <w:sz w:val="24"/>
                <w:szCs w:val="24"/>
              </w:rPr>
            </w:pPr>
            <w:r w:rsidRPr="009878E6">
              <w:rPr>
                <w:rFonts w:ascii="Times New Roman" w:hAnsi="Times New Roman" w:cs="Times New Roman"/>
                <w:b/>
                <w:bCs/>
                <w:sz w:val="24"/>
                <w:szCs w:val="24"/>
              </w:rPr>
              <w:t>2</w:t>
            </w:r>
            <w:r w:rsidRPr="009878E6" w:rsidR="005A0053">
              <w:rPr>
                <w:rFonts w:ascii="Times New Roman" w:hAnsi="Times New Roman" w:cs="Times New Roman"/>
                <w:b/>
                <w:bCs/>
                <w:sz w:val="24"/>
                <w:szCs w:val="24"/>
              </w:rPr>
              <w:t>2</w:t>
            </w:r>
            <w:r w:rsidRPr="009878E6">
              <w:rPr>
                <w:rFonts w:ascii="Times New Roman" w:hAnsi="Times New Roman" w:cs="Times New Roman"/>
                <w:b/>
                <w:bCs/>
                <w:sz w:val="24"/>
                <w:szCs w:val="24"/>
              </w:rPr>
              <w:t xml:space="preserve"> months</w:t>
            </w:r>
          </w:p>
        </w:tc>
      </w:tr>
    </w:tbl>
    <w:p w:rsidR="00295FB5" w:rsidRPr="009878E6" w:rsidP="009878E6" w14:paraId="5E4F3603" w14:textId="77777777">
      <w:pPr>
        <w:contextualSpacing/>
        <w:rPr>
          <w:rFonts w:ascii="Times New Roman" w:hAnsi="Times New Roman" w:cs="Times New Roman"/>
          <w:sz w:val="24"/>
          <w:szCs w:val="24"/>
        </w:rPr>
      </w:pPr>
    </w:p>
    <w:p w:rsidR="00562915" w:rsidRPr="009878E6" w:rsidP="009878E6" w14:paraId="422A1C5F" w14:textId="4EB1E856">
      <w:pPr>
        <w:contextualSpacing/>
        <w:rPr>
          <w:rFonts w:ascii="Times New Roman" w:hAnsi="Times New Roman" w:cs="Times New Roman"/>
          <w:b/>
          <w:bCs/>
          <w:sz w:val="24"/>
          <w:szCs w:val="24"/>
        </w:rPr>
      </w:pPr>
      <w:r w:rsidRPr="009878E6">
        <w:rPr>
          <w:rFonts w:ascii="Times New Roman" w:hAnsi="Times New Roman" w:cs="Times New Roman"/>
          <w:b/>
          <w:bCs/>
          <w:sz w:val="24"/>
          <w:szCs w:val="24"/>
        </w:rPr>
        <w:fldChar w:fldCharType="begin"/>
      </w:r>
      <w:r w:rsidRPr="009878E6">
        <w:rPr>
          <w:rFonts w:ascii="Times New Roman" w:hAnsi="Times New Roman" w:cs="Times New Roman"/>
          <w:b/>
          <w:bCs/>
          <w:sz w:val="24"/>
          <w:szCs w:val="24"/>
        </w:rPr>
        <w:instrText>ADVANCE \R 0.95</w:instrText>
      </w:r>
      <w:r w:rsidRPr="009878E6">
        <w:rPr>
          <w:rFonts w:ascii="Times New Roman" w:hAnsi="Times New Roman" w:cs="Times New Roman"/>
          <w:b/>
          <w:bCs/>
          <w:sz w:val="24"/>
          <w:szCs w:val="24"/>
        </w:rPr>
        <w:fldChar w:fldCharType="end"/>
      </w:r>
      <w:r w:rsidRPr="009878E6">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D92E28" w:rsidRPr="009878E6" w:rsidP="009878E6" w14:paraId="4AE7D9A1" w14:textId="77777777">
      <w:pPr>
        <w:contextualSpacing/>
        <w:rPr>
          <w:rFonts w:ascii="Times New Roman" w:hAnsi="Times New Roman" w:cs="Times New Roman"/>
          <w:color w:val="000000"/>
          <w:sz w:val="24"/>
          <w:szCs w:val="24"/>
        </w:rPr>
      </w:pPr>
    </w:p>
    <w:p w:rsidR="00562915" w:rsidRPr="009878E6" w:rsidP="009878E6" w14:paraId="648F4C17" w14:textId="0D8F3B6F">
      <w:pPr>
        <w:contextualSpacing/>
        <w:rPr>
          <w:rFonts w:ascii="Times New Roman" w:hAnsi="Times New Roman" w:cs="Times New Roman"/>
          <w:b/>
          <w:bCs/>
          <w:color w:val="000000"/>
          <w:sz w:val="24"/>
          <w:szCs w:val="24"/>
        </w:rPr>
      </w:pPr>
      <w:r w:rsidRPr="009878E6">
        <w:rPr>
          <w:rFonts w:ascii="Times New Roman" w:hAnsi="Times New Roman" w:cs="Times New Roman"/>
          <w:color w:val="000000"/>
          <w:sz w:val="24"/>
          <w:szCs w:val="24"/>
        </w:rPr>
        <w:t>This collection does not seek approval to not display the expiration date for OMB approval.</w:t>
      </w:r>
      <w:r w:rsidRPr="009878E6">
        <w:rPr>
          <w:rFonts w:ascii="Times New Roman" w:hAnsi="Times New Roman" w:cs="Times New Roman"/>
          <w:b/>
          <w:bCs/>
          <w:color w:val="000000"/>
          <w:sz w:val="24"/>
          <w:szCs w:val="24"/>
        </w:rPr>
        <w:fldChar w:fldCharType="begin"/>
      </w:r>
      <w:r w:rsidRPr="009878E6">
        <w:rPr>
          <w:rFonts w:ascii="Times New Roman" w:hAnsi="Times New Roman" w:cs="Times New Roman"/>
          <w:b/>
          <w:bCs/>
          <w:color w:val="000000"/>
          <w:sz w:val="24"/>
          <w:szCs w:val="24"/>
        </w:rPr>
        <w:instrText>ADVANCE \R 0.95</w:instrText>
      </w:r>
      <w:r w:rsidRPr="009878E6">
        <w:rPr>
          <w:rFonts w:ascii="Times New Roman" w:hAnsi="Times New Roman" w:cs="Times New Roman"/>
          <w:b/>
          <w:bCs/>
          <w:color w:val="000000"/>
          <w:sz w:val="24"/>
          <w:szCs w:val="24"/>
        </w:rPr>
        <w:fldChar w:fldCharType="end"/>
      </w:r>
    </w:p>
    <w:p w:rsidR="00D92E28" w:rsidRPr="009878E6" w:rsidP="009878E6" w14:paraId="0824F9C9" w14:textId="77777777">
      <w:pPr>
        <w:contextualSpacing/>
        <w:rPr>
          <w:rFonts w:ascii="Times New Roman" w:hAnsi="Times New Roman" w:cs="Times New Roman"/>
          <w:b/>
          <w:bCs/>
          <w:color w:val="000000"/>
          <w:sz w:val="24"/>
          <w:szCs w:val="24"/>
        </w:rPr>
      </w:pPr>
    </w:p>
    <w:p w:rsidR="00562915" w:rsidRPr="009878E6" w:rsidP="009878E6" w14:paraId="6866F78D" w14:textId="77777777">
      <w:pPr>
        <w:contextualSpacing/>
        <w:rPr>
          <w:rFonts w:ascii="Times New Roman" w:hAnsi="Times New Roman" w:cs="Times New Roman"/>
          <w:b/>
          <w:bCs/>
          <w:color w:val="000000" w:themeColor="text1"/>
          <w:sz w:val="24"/>
          <w:szCs w:val="24"/>
        </w:rPr>
      </w:pPr>
      <w:r w:rsidRPr="009878E6">
        <w:rPr>
          <w:rFonts w:ascii="Times New Roman" w:hAnsi="Times New Roman" w:cs="Times New Roman"/>
          <w:b/>
          <w:bCs/>
          <w:sz w:val="24"/>
          <w:szCs w:val="24"/>
        </w:rPr>
        <w:fldChar w:fldCharType="begin"/>
      </w:r>
      <w:r w:rsidRPr="009878E6">
        <w:rPr>
          <w:rFonts w:ascii="Times New Roman" w:hAnsi="Times New Roman" w:cs="Times New Roman"/>
          <w:b/>
          <w:bCs/>
          <w:sz w:val="24"/>
          <w:szCs w:val="24"/>
        </w:rPr>
        <w:instrText>ADVANCE \R 0.95</w:instrText>
      </w:r>
      <w:r w:rsidRPr="009878E6">
        <w:rPr>
          <w:rFonts w:ascii="Times New Roman" w:hAnsi="Times New Roman" w:cs="Times New Roman"/>
          <w:b/>
          <w:bCs/>
          <w:sz w:val="24"/>
          <w:szCs w:val="24"/>
        </w:rPr>
        <w:fldChar w:fldCharType="end"/>
      </w:r>
      <w:r w:rsidRPr="009878E6">
        <w:rPr>
          <w:rFonts w:ascii="Times New Roman" w:hAnsi="Times New Roman" w:cs="Times New Roman"/>
          <w:b/>
          <w:bCs/>
          <w:sz w:val="24"/>
          <w:szCs w:val="24"/>
        </w:rPr>
        <w:t>18.  Explain each exception to the certification statement identified in Item 19 “</w:t>
      </w:r>
      <w:r w:rsidRPr="009878E6">
        <w:rPr>
          <w:rFonts w:ascii="Times New Roman" w:hAnsi="Times New Roman" w:cs="Times New Roman"/>
          <w:b/>
          <w:bCs/>
          <w:color w:val="000000" w:themeColor="text1"/>
          <w:sz w:val="24"/>
          <w:szCs w:val="24"/>
        </w:rPr>
        <w:t>Certification for Paperwork Reduction Act Submissions,” of OMB Form 83-I.</w:t>
      </w:r>
    </w:p>
    <w:p w:rsidR="00D92E28" w:rsidRPr="009878E6" w:rsidP="009878E6" w14:paraId="5883686F" w14:textId="77777777">
      <w:pPr>
        <w:contextualSpacing/>
        <w:rPr>
          <w:rFonts w:ascii="Times New Roman" w:hAnsi="Times New Roman" w:cs="Times New Roman"/>
          <w:color w:val="000000" w:themeColor="text1"/>
          <w:sz w:val="24"/>
          <w:szCs w:val="24"/>
        </w:rPr>
      </w:pPr>
      <w:r w:rsidRPr="009878E6">
        <w:rPr>
          <w:rFonts w:ascii="Times New Roman" w:hAnsi="Times New Roman" w:cs="Times New Roman"/>
          <w:color w:val="000000" w:themeColor="text1"/>
          <w:sz w:val="24"/>
          <w:szCs w:val="24"/>
        </w:rPr>
        <w:fldChar w:fldCharType="begin"/>
      </w:r>
      <w:r w:rsidRPr="009878E6">
        <w:rPr>
          <w:rFonts w:ascii="Times New Roman" w:hAnsi="Times New Roman" w:cs="Times New Roman"/>
          <w:color w:val="000000" w:themeColor="text1"/>
          <w:sz w:val="24"/>
          <w:szCs w:val="24"/>
        </w:rPr>
        <w:instrText>ADVANCE \R 0.95</w:instrText>
      </w:r>
      <w:r w:rsidRPr="009878E6">
        <w:rPr>
          <w:rFonts w:ascii="Times New Roman" w:hAnsi="Times New Roman" w:cs="Times New Roman"/>
          <w:color w:val="000000" w:themeColor="text1"/>
          <w:sz w:val="24"/>
          <w:szCs w:val="24"/>
        </w:rPr>
        <w:fldChar w:fldCharType="end"/>
      </w:r>
    </w:p>
    <w:p w:rsidR="00562915" w:rsidRPr="009878E6" w:rsidP="009878E6" w14:paraId="5133DD53" w14:textId="3B94DA31">
      <w:pPr>
        <w:contextualSpacing/>
        <w:rPr>
          <w:rFonts w:ascii="Times New Roman" w:hAnsi="Times New Roman" w:cs="Times New Roman"/>
          <w:color w:val="000000" w:themeColor="text1"/>
          <w:sz w:val="24"/>
          <w:szCs w:val="24"/>
        </w:rPr>
      </w:pPr>
      <w:r w:rsidRPr="009878E6">
        <w:rPr>
          <w:rFonts w:ascii="Times New Roman" w:hAnsi="Times New Roman" w:cs="Times New Roman"/>
          <w:color w:val="000000" w:themeColor="text1"/>
          <w:sz w:val="24"/>
          <w:szCs w:val="24"/>
        </w:rPr>
        <w:t xml:space="preserve">This collection does not seek exception to “Certification for Paperwork Reduction Act Submissions”.  </w:t>
      </w:r>
    </w:p>
    <w:sectPr>
      <w:footerReference w:type="even" r:id="rId11"/>
      <w:footerReference w:type="default" r:id="rId1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36FE" w:rsidP="003136FE" w14:paraId="52C372E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136FE" w14:paraId="2F1B948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36FE" w:rsidP="003136FE" w14:paraId="048E92E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667D">
      <w:rPr>
        <w:rStyle w:val="PageNumber"/>
        <w:noProof/>
      </w:rPr>
      <w:t>5</w:t>
    </w:r>
    <w:r>
      <w:rPr>
        <w:rStyle w:val="PageNumber"/>
      </w:rPr>
      <w:fldChar w:fldCharType="end"/>
    </w:r>
  </w:p>
  <w:p w:rsidR="003136FE" w14:paraId="6CA73356"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83B2B" w14:paraId="1175CB54" w14:textId="77777777">
      <w:pPr>
        <w:spacing w:after="0" w:line="240" w:lineRule="auto"/>
      </w:pPr>
      <w:r>
        <w:separator/>
      </w:r>
    </w:p>
  </w:footnote>
  <w:footnote w:type="continuationSeparator" w:id="1">
    <w:p w:rsidR="00683B2B" w14:paraId="53E49D58" w14:textId="77777777">
      <w:pPr>
        <w:spacing w:after="0" w:line="240" w:lineRule="auto"/>
      </w:pPr>
      <w:r>
        <w:continuationSeparator/>
      </w:r>
    </w:p>
  </w:footnote>
  <w:footnote w:type="continuationNotice" w:id="2">
    <w:p w:rsidR="00683B2B" w14:paraId="1AF4DA26" w14:textId="77777777">
      <w:pPr>
        <w:spacing w:after="0" w:line="240" w:lineRule="auto"/>
      </w:pPr>
    </w:p>
  </w:footnote>
  <w:footnote w:id="3">
    <w:p w:rsidR="00840CD4" w:rsidRPr="009878E6" w:rsidP="009878E6" w14:paraId="21428BB7" w14:textId="30539D12">
      <w:pPr>
        <w:pStyle w:val="FootnoteText"/>
        <w:spacing w:line="276" w:lineRule="auto"/>
        <w:contextualSpacing/>
        <w:rPr>
          <w:rFonts w:ascii="Times New Roman" w:hAnsi="Times New Roman" w:cs="Times New Roman"/>
          <w:sz w:val="18"/>
          <w:szCs w:val="18"/>
        </w:rPr>
      </w:pPr>
      <w:r w:rsidRPr="009878E6">
        <w:rPr>
          <w:rStyle w:val="FootnoteReference"/>
          <w:rFonts w:ascii="Times New Roman" w:hAnsi="Times New Roman" w:cs="Times New Roman"/>
          <w:sz w:val="18"/>
          <w:szCs w:val="18"/>
        </w:rPr>
        <w:footnoteRef/>
      </w:r>
      <w:r w:rsidRPr="009878E6">
        <w:rPr>
          <w:rFonts w:ascii="Times New Roman" w:hAnsi="Times New Roman" w:cs="Times New Roman"/>
          <w:sz w:val="18"/>
          <w:szCs w:val="18"/>
        </w:rPr>
        <w:t xml:space="preserve"> FEMA.gov. “Big Cost of Flooding”. Retrieved October 2022. </w:t>
      </w:r>
      <w:hyperlink r:id="rId1" w:history="1">
        <w:r w:rsidRPr="009878E6" w:rsidR="00E26114">
          <w:rPr>
            <w:rStyle w:val="Hyperlink"/>
            <w:rFonts w:ascii="Times New Roman" w:hAnsi="Times New Roman" w:cs="Times New Roman"/>
            <w:sz w:val="18"/>
            <w:szCs w:val="18"/>
          </w:rPr>
          <w:t>https://www.floodsmart.gov/sites/default/files/flood-loss-potential_jul19.pdf</w:t>
        </w:r>
      </w:hyperlink>
      <w:r w:rsidRPr="009878E6" w:rsidR="00E26114">
        <w:rPr>
          <w:rFonts w:ascii="Times New Roman" w:hAnsi="Times New Roman" w:cs="Times New Roman"/>
          <w:sz w:val="18"/>
          <w:szCs w:val="18"/>
        </w:rPr>
        <w:t>.</w:t>
      </w:r>
    </w:p>
  </w:footnote>
  <w:footnote w:id="4">
    <w:p w:rsidR="000F4356" w:rsidRPr="009878E6" w:rsidP="009878E6" w14:paraId="3E5C1A02" w14:textId="2DB53990">
      <w:pPr>
        <w:pStyle w:val="FootnoteText"/>
        <w:spacing w:line="276" w:lineRule="auto"/>
        <w:contextualSpacing/>
        <w:rPr>
          <w:rFonts w:ascii="Times New Roman" w:hAnsi="Times New Roman" w:cs="Times New Roman"/>
          <w:sz w:val="18"/>
          <w:szCs w:val="18"/>
        </w:rPr>
      </w:pPr>
      <w:r w:rsidRPr="009878E6">
        <w:rPr>
          <w:rStyle w:val="FootnoteReference"/>
          <w:rFonts w:ascii="Times New Roman" w:hAnsi="Times New Roman" w:cs="Times New Roman"/>
          <w:sz w:val="18"/>
          <w:szCs w:val="18"/>
        </w:rPr>
        <w:footnoteRef/>
      </w:r>
      <w:r w:rsidRPr="009878E6">
        <w:rPr>
          <w:rFonts w:ascii="Times New Roman" w:hAnsi="Times New Roman" w:cs="Times New Roman"/>
          <w:sz w:val="18"/>
          <w:szCs w:val="18"/>
        </w:rPr>
        <w:t xml:space="preserve"> USGCRP, 2018: Impacts, Risks, and Adaptation in the United States: Fourth National Climate Assessment, Volume II [Reidmiller, D.R., C.W. Avery, D.R. Easterling, K.E. Kunkel, K.L.M. Lewis, T.K. Maycock, and B.C. Stewart (eds.)]. U.S. Global Change Research Program, Washington, DC, USA, 1515 pp. doi: 10.7930/NCA4.2018.  </w:t>
      </w:r>
    </w:p>
  </w:footnote>
  <w:footnote w:id="5">
    <w:p w:rsidR="00840CD4" w:rsidRPr="009878E6" w:rsidP="009878E6" w14:paraId="53AFFB39" w14:textId="7DFE31A6">
      <w:pPr>
        <w:pStyle w:val="FootnoteText"/>
        <w:spacing w:line="276" w:lineRule="auto"/>
        <w:contextualSpacing/>
        <w:rPr>
          <w:rFonts w:ascii="Times New Roman" w:hAnsi="Times New Roman" w:cs="Times New Roman"/>
          <w:sz w:val="18"/>
          <w:szCs w:val="18"/>
        </w:rPr>
      </w:pPr>
      <w:r w:rsidRPr="009878E6">
        <w:rPr>
          <w:rStyle w:val="FootnoteReference"/>
          <w:rFonts w:ascii="Times New Roman" w:hAnsi="Times New Roman" w:cs="Times New Roman"/>
          <w:sz w:val="18"/>
          <w:szCs w:val="18"/>
        </w:rPr>
        <w:footnoteRef/>
      </w:r>
      <w:r w:rsidRPr="009878E6">
        <w:rPr>
          <w:rFonts w:ascii="Times New Roman" w:hAnsi="Times New Roman" w:cs="Times New Roman"/>
          <w:sz w:val="18"/>
          <w:szCs w:val="18"/>
        </w:rPr>
        <w:t xml:space="preserve"> EPA.gov. “Manage Flood Risk.” Retrieved October 2022. </w:t>
      </w:r>
      <w:hyperlink r:id="rId2" w:anchor=":~:text=As%20a%20result%2C%20the%20risk,to%20increase%20by%20%24750%20million" w:history="1">
        <w:r w:rsidRPr="009878E6" w:rsidR="00E26114">
          <w:rPr>
            <w:rStyle w:val="Hyperlink"/>
            <w:rFonts w:ascii="Times New Roman" w:hAnsi="Times New Roman" w:cs="Times New Roman"/>
            <w:sz w:val="18"/>
            <w:szCs w:val="18"/>
          </w:rPr>
          <w:t>https://www.epa.gov/green-infrastructure/manage-flood-risk#:~:text=As%20a%20result%2C%20the%20risk,to%20increase%20by%20%24750%20million</w:t>
        </w:r>
      </w:hyperlink>
      <w:r w:rsidRPr="009878E6" w:rsidR="00E26114">
        <w:rPr>
          <w:rFonts w:ascii="Times New Roman" w:hAnsi="Times New Roman" w:cs="Times New Roman"/>
          <w:sz w:val="18"/>
          <w:szCs w:val="18"/>
        </w:rPr>
        <w:t xml:space="preserve">. </w:t>
      </w:r>
    </w:p>
  </w:footnote>
  <w:footnote w:id="6">
    <w:p w:rsidR="000F4356" w:rsidP="009878E6" w14:paraId="2F7C818F" w14:textId="303029E5">
      <w:pPr>
        <w:pStyle w:val="FootnoteText"/>
        <w:spacing w:line="276" w:lineRule="auto"/>
        <w:contextualSpacing/>
      </w:pPr>
      <w:r w:rsidRPr="009878E6">
        <w:rPr>
          <w:rStyle w:val="FootnoteReference"/>
          <w:rFonts w:ascii="Times New Roman" w:hAnsi="Times New Roman" w:cs="Times New Roman"/>
          <w:sz w:val="18"/>
          <w:szCs w:val="18"/>
        </w:rPr>
        <w:footnoteRef/>
      </w:r>
      <w:r w:rsidRPr="009878E6">
        <w:rPr>
          <w:rFonts w:ascii="Times New Roman" w:hAnsi="Times New Roman" w:cs="Times New Roman"/>
          <w:sz w:val="18"/>
          <w:szCs w:val="18"/>
        </w:rPr>
        <w:t xml:space="preserve"> </w:t>
      </w:r>
      <w:r w:rsidRPr="009878E6" w:rsidR="001E404C">
        <w:rPr>
          <w:rFonts w:ascii="Times New Roman" w:hAnsi="Times New Roman" w:cs="Times New Roman"/>
          <w:sz w:val="18"/>
          <w:szCs w:val="18"/>
        </w:rPr>
        <w:t>AECOM, Michael Baker Jr., Inc., and Deloitte Consulting, LLP. 2013. The Impact of Climate Change and Population Growth on the National Flood Insurance Program through 2100.</w:t>
      </w:r>
      <w:r w:rsidRPr="00B40E31" w:rsidR="001E404C">
        <w:rPr>
          <w:sz w:val="22"/>
          <w:szCs w:val="22"/>
        </w:rPr>
        <w:t xml:space="preserve"> </w:t>
      </w:r>
    </w:p>
  </w:footnote>
  <w:footnote w:id="7">
    <w:p w:rsidR="00D81F18" w:rsidRPr="00AD3158" w:rsidP="009878E6" w14:paraId="19E343CA" w14:textId="43FCAA7D">
      <w:pPr>
        <w:pStyle w:val="FootnoteText"/>
        <w:spacing w:line="276" w:lineRule="auto"/>
        <w:contextualSpacing/>
        <w:rPr>
          <w:rFonts w:ascii="Times New Roman" w:hAnsi="Times New Roman" w:cs="Times New Roman"/>
          <w:sz w:val="18"/>
          <w:szCs w:val="18"/>
        </w:rPr>
      </w:pPr>
      <w:r w:rsidRPr="00AD3158">
        <w:rPr>
          <w:rStyle w:val="FootnoteReference"/>
          <w:rFonts w:ascii="Times New Roman" w:hAnsi="Times New Roman" w:cs="Times New Roman"/>
          <w:sz w:val="18"/>
          <w:szCs w:val="18"/>
        </w:rPr>
        <w:footnoteRef/>
      </w:r>
      <w:r w:rsidRPr="00AD3158">
        <w:rPr>
          <w:rFonts w:ascii="Times New Roman" w:hAnsi="Times New Roman" w:cs="Times New Roman"/>
          <w:sz w:val="18"/>
          <w:szCs w:val="18"/>
        </w:rPr>
        <w:t xml:space="preserve"> 44 CFR § 59.22</w:t>
      </w:r>
    </w:p>
  </w:footnote>
  <w:footnote w:id="8">
    <w:p w:rsidR="00BA2EFA" w:rsidRPr="009878E6" w:rsidP="009878E6" w14:paraId="14E0B122" w14:textId="0A9254D7">
      <w:pPr>
        <w:pStyle w:val="FootnoteText"/>
        <w:spacing w:line="276" w:lineRule="auto"/>
        <w:contextualSpacing/>
        <w:rPr>
          <w:rFonts w:ascii="Times New Roman" w:hAnsi="Times New Roman" w:cs="Times New Roman"/>
          <w:sz w:val="18"/>
          <w:szCs w:val="18"/>
        </w:rPr>
      </w:pPr>
      <w:r w:rsidRPr="009878E6">
        <w:rPr>
          <w:rStyle w:val="FootnoteReference"/>
          <w:rFonts w:ascii="Times New Roman" w:hAnsi="Times New Roman" w:cs="Times New Roman"/>
          <w:sz w:val="18"/>
          <w:szCs w:val="18"/>
        </w:rPr>
        <w:footnoteRef/>
      </w:r>
      <w:r w:rsidRPr="009878E6">
        <w:rPr>
          <w:rFonts w:ascii="Times New Roman" w:hAnsi="Times New Roman" w:cs="Times New Roman"/>
          <w:sz w:val="18"/>
          <w:szCs w:val="18"/>
        </w:rPr>
        <w:t xml:space="preserve"> U.S. Office of Management and Budget. 2020. OMB Circular No. A-11; Section 280. Retrieved October 2022. </w:t>
      </w:r>
      <w:hyperlink r:id="rId3" w:history="1">
        <w:r w:rsidRPr="009878E6" w:rsidR="00AD3158">
          <w:rPr>
            <w:rStyle w:val="Hyperlink"/>
            <w:rFonts w:ascii="Times New Roman" w:hAnsi="Times New Roman" w:cs="Times New Roman"/>
            <w:sz w:val="18"/>
            <w:szCs w:val="18"/>
          </w:rPr>
          <w:t>https://www.performance.gov/cx/assets/files/a11-280.pdf</w:t>
        </w:r>
      </w:hyperlink>
      <w:r w:rsidRPr="009878E6">
        <w:rPr>
          <w:rFonts w:ascii="Times New Roman" w:hAnsi="Times New Roman" w:cs="Times New Roman"/>
          <w:sz w:val="18"/>
          <w:szCs w:val="18"/>
        </w:rPr>
        <w:t>.</w:t>
      </w:r>
    </w:p>
  </w:footnote>
  <w:footnote w:id="9">
    <w:p w:rsidR="00BA2EFA" w:rsidP="009878E6" w14:paraId="00423872" w14:textId="655B957A">
      <w:pPr>
        <w:pStyle w:val="FootnoteText"/>
        <w:spacing w:line="276" w:lineRule="auto"/>
        <w:contextualSpacing/>
      </w:pPr>
      <w:r w:rsidRPr="009878E6">
        <w:rPr>
          <w:rStyle w:val="FootnoteReference"/>
          <w:rFonts w:ascii="Times New Roman" w:hAnsi="Times New Roman" w:cs="Times New Roman"/>
          <w:sz w:val="18"/>
          <w:szCs w:val="18"/>
        </w:rPr>
        <w:footnoteRef/>
      </w:r>
      <w:r w:rsidRPr="009878E6">
        <w:rPr>
          <w:rFonts w:ascii="Times New Roman" w:hAnsi="Times New Roman" w:cs="Times New Roman"/>
          <w:sz w:val="18"/>
          <w:szCs w:val="18"/>
        </w:rPr>
        <w:t xml:space="preserve"> Ibid.</w:t>
      </w:r>
    </w:p>
  </w:footnote>
  <w:footnote w:id="10">
    <w:p w:rsidR="00FF33A0" w:rsidRPr="00AD3158" w:rsidP="00FF33A0" w14:paraId="1521B530" w14:textId="6F5D7C8A">
      <w:pPr>
        <w:pStyle w:val="FootnoteText"/>
        <w:rPr>
          <w:rFonts w:ascii="Times New Roman" w:hAnsi="Times New Roman" w:cs="Times New Roman"/>
          <w:sz w:val="18"/>
          <w:szCs w:val="18"/>
        </w:rPr>
      </w:pPr>
      <w:r w:rsidRPr="00AD3158">
        <w:rPr>
          <w:rStyle w:val="FootnoteReference"/>
          <w:rFonts w:ascii="Times New Roman" w:hAnsi="Times New Roman" w:cs="Times New Roman"/>
          <w:sz w:val="18"/>
          <w:szCs w:val="18"/>
        </w:rPr>
        <w:footnoteRef/>
      </w:r>
      <w:r w:rsidRPr="00AD3158">
        <w:rPr>
          <w:rFonts w:ascii="Times New Roman" w:hAnsi="Times New Roman" w:cs="Times New Roman"/>
          <w:sz w:val="18"/>
          <w:szCs w:val="18"/>
        </w:rPr>
        <w:t xml:space="preserve"> Bureau of Labor Statistics, Employer Costs for Employee Compensation, Table 1.  Available at </w:t>
      </w:r>
      <w:hyperlink r:id="rId4" w:history="1">
        <w:r w:rsidR="00AE3DA1">
          <w:rPr>
            <w:rStyle w:val="Hyperlink"/>
            <w:rFonts w:ascii="Times New Roman" w:hAnsi="Times New Roman" w:cs="Times New Roman"/>
            <w:sz w:val="18"/>
            <w:szCs w:val="18"/>
          </w:rPr>
          <w:t>https://www.bls.gov/news.release/archives/ecec_03172023.pdf</w:t>
        </w:r>
      </w:hyperlink>
      <w:r w:rsidRPr="00AD3158">
        <w:rPr>
          <w:rFonts w:ascii="Times New Roman" w:hAnsi="Times New Roman" w:cs="Times New Roman"/>
          <w:sz w:val="18"/>
          <w:szCs w:val="18"/>
        </w:rPr>
        <w:t xml:space="preserve">.  </w:t>
      </w:r>
      <w:r w:rsidRPr="00AD3158">
        <w:rPr>
          <w:rStyle w:val="normaltextrun"/>
          <w:rFonts w:ascii="Times New Roman" w:eastAsia="Times New Roman" w:hAnsi="Times New Roman" w:cs="Times New Roman"/>
          <w:color w:val="000000"/>
          <w:sz w:val="18"/>
          <w:szCs w:val="18"/>
          <w:shd w:val="clear" w:color="auto" w:fill="FFFFFF"/>
        </w:rPr>
        <w:t xml:space="preserve">Accessed </w:t>
      </w:r>
      <w:r w:rsidR="001C46D1">
        <w:rPr>
          <w:rStyle w:val="normaltextrun"/>
          <w:rFonts w:ascii="Times New Roman" w:eastAsia="Times New Roman" w:hAnsi="Times New Roman" w:cs="Times New Roman"/>
          <w:color w:val="000000"/>
          <w:sz w:val="18"/>
          <w:szCs w:val="18"/>
          <w:shd w:val="clear" w:color="auto" w:fill="FFFFFF"/>
        </w:rPr>
        <w:t>March 20, 2023</w:t>
      </w:r>
      <w:r w:rsidRPr="00AD3158">
        <w:rPr>
          <w:rFonts w:ascii="Times New Roman" w:hAnsi="Times New Roman" w:cs="Times New Roman"/>
          <w:sz w:val="18"/>
          <w:szCs w:val="18"/>
        </w:rPr>
        <w:t xml:space="preserve">.  </w:t>
      </w:r>
    </w:p>
    <w:p w:rsidR="00624A01" w:rsidRPr="00AD3158" w14:paraId="381136F2" w14:textId="6A53BE14">
      <w:pPr>
        <w:pStyle w:val="FootnoteText"/>
        <w:rPr>
          <w:rFonts w:ascii="Times New Roman" w:hAnsi="Times New Roman" w:cs="Times New Roman"/>
          <w:sz w:val="18"/>
          <w:szCs w:val="18"/>
        </w:rPr>
      </w:pPr>
      <w:r w:rsidRPr="00AD3158">
        <w:rPr>
          <w:rFonts w:ascii="Times New Roman" w:hAnsi="Times New Roman" w:cs="Times New Roman"/>
          <w:sz w:val="18"/>
          <w:szCs w:val="18"/>
        </w:rPr>
        <w:t xml:space="preserve">The wage multiplier is calculated by dividing total compensation for State and </w:t>
      </w:r>
      <w:r w:rsidRPr="00AD3158" w:rsidR="004B453D">
        <w:rPr>
          <w:rFonts w:ascii="Times New Roman" w:hAnsi="Times New Roman" w:cs="Times New Roman"/>
          <w:sz w:val="18"/>
          <w:szCs w:val="18"/>
        </w:rPr>
        <w:t>L</w:t>
      </w:r>
      <w:r w:rsidRPr="00AD3158">
        <w:rPr>
          <w:rFonts w:ascii="Times New Roman" w:hAnsi="Times New Roman" w:cs="Times New Roman"/>
          <w:sz w:val="18"/>
          <w:szCs w:val="18"/>
        </w:rPr>
        <w:t xml:space="preserve">ocal </w:t>
      </w:r>
      <w:r w:rsidRPr="00AD3158" w:rsidR="004B453D">
        <w:rPr>
          <w:rFonts w:ascii="Times New Roman" w:hAnsi="Times New Roman" w:cs="Times New Roman"/>
          <w:sz w:val="18"/>
          <w:szCs w:val="18"/>
        </w:rPr>
        <w:t>G</w:t>
      </w:r>
      <w:r w:rsidRPr="00AD3158">
        <w:rPr>
          <w:rFonts w:ascii="Times New Roman" w:hAnsi="Times New Roman" w:cs="Times New Roman"/>
          <w:sz w:val="18"/>
          <w:szCs w:val="18"/>
        </w:rPr>
        <w:t>overnment workers of $</w:t>
      </w:r>
      <w:r w:rsidR="00AE3DA1">
        <w:rPr>
          <w:rFonts w:ascii="Times New Roman" w:hAnsi="Times New Roman" w:cs="Times New Roman"/>
          <w:sz w:val="18"/>
          <w:szCs w:val="18"/>
        </w:rPr>
        <w:t>57.60</w:t>
      </w:r>
      <w:r w:rsidRPr="00AD3158">
        <w:rPr>
          <w:rFonts w:ascii="Times New Roman" w:hAnsi="Times New Roman" w:cs="Times New Roman"/>
          <w:sz w:val="18"/>
          <w:szCs w:val="18"/>
        </w:rPr>
        <w:t xml:space="preserve"> by Wages and salaries for State and </w:t>
      </w:r>
      <w:r w:rsidRPr="00AD3158" w:rsidR="004B453D">
        <w:rPr>
          <w:rFonts w:ascii="Times New Roman" w:hAnsi="Times New Roman" w:cs="Times New Roman"/>
          <w:sz w:val="18"/>
          <w:szCs w:val="18"/>
        </w:rPr>
        <w:t>L</w:t>
      </w:r>
      <w:r w:rsidRPr="00AD3158">
        <w:rPr>
          <w:rFonts w:ascii="Times New Roman" w:hAnsi="Times New Roman" w:cs="Times New Roman"/>
          <w:sz w:val="18"/>
          <w:szCs w:val="18"/>
        </w:rPr>
        <w:t xml:space="preserve">ocal </w:t>
      </w:r>
      <w:r w:rsidRPr="00AD3158" w:rsidR="004B453D">
        <w:rPr>
          <w:rFonts w:ascii="Times New Roman" w:hAnsi="Times New Roman" w:cs="Times New Roman"/>
          <w:sz w:val="18"/>
          <w:szCs w:val="18"/>
        </w:rPr>
        <w:t>G</w:t>
      </w:r>
      <w:r w:rsidRPr="00AD3158">
        <w:rPr>
          <w:rFonts w:ascii="Times New Roman" w:hAnsi="Times New Roman" w:cs="Times New Roman"/>
          <w:sz w:val="18"/>
          <w:szCs w:val="18"/>
        </w:rPr>
        <w:t>overnment workers of $</w:t>
      </w:r>
      <w:r w:rsidR="00942C53">
        <w:rPr>
          <w:rFonts w:ascii="Times New Roman" w:hAnsi="Times New Roman" w:cs="Times New Roman"/>
          <w:sz w:val="18"/>
          <w:szCs w:val="18"/>
        </w:rPr>
        <w:t>35.69</w:t>
      </w:r>
      <w:r w:rsidRPr="00AD3158">
        <w:rPr>
          <w:rFonts w:ascii="Times New Roman" w:hAnsi="Times New Roman" w:cs="Times New Roman"/>
          <w:sz w:val="18"/>
          <w:szCs w:val="18"/>
        </w:rPr>
        <w:t xml:space="preserve"> per hour yielding a benefits multiplier of approximately 1.61.</w:t>
      </w:r>
    </w:p>
  </w:footnote>
  <w:footnote w:id="11">
    <w:p w:rsidR="0094632C" w:rsidRPr="00AD3158" w:rsidP="0094632C" w14:paraId="6E44057B" w14:textId="29B002EC">
      <w:pPr>
        <w:pStyle w:val="FootnoteText"/>
        <w:rPr>
          <w:rFonts w:ascii="Times New Roman" w:hAnsi="Times New Roman" w:cs="Times New Roman"/>
          <w:sz w:val="18"/>
          <w:szCs w:val="18"/>
        </w:rPr>
      </w:pPr>
      <w:r w:rsidRPr="00AD3158">
        <w:rPr>
          <w:rStyle w:val="FootnoteReference"/>
          <w:rFonts w:ascii="Times New Roman" w:hAnsi="Times New Roman" w:cs="Times New Roman"/>
          <w:sz w:val="18"/>
          <w:szCs w:val="18"/>
        </w:rPr>
        <w:footnoteRef/>
      </w:r>
      <w:r w:rsidRPr="00AD3158">
        <w:rPr>
          <w:rFonts w:ascii="Times New Roman" w:hAnsi="Times New Roman" w:cs="Times New Roman"/>
          <w:sz w:val="18"/>
          <w:szCs w:val="18"/>
        </w:rPr>
        <w:t xml:space="preserve"> Information on the mean wage rate from the U.S. Department of Labor, Bureau of Labor Statistics is available online at: </w:t>
      </w:r>
      <w:hyperlink r:id="rId5" w:history="1">
        <w:r w:rsidRPr="00AD3158" w:rsidR="00864E23">
          <w:rPr>
            <w:rStyle w:val="Hyperlink"/>
            <w:rFonts w:ascii="Times New Roman" w:hAnsi="Times New Roman" w:cs="Times New Roman"/>
            <w:sz w:val="18"/>
            <w:szCs w:val="18"/>
          </w:rPr>
          <w:t>https://www.bls.gov/oes/2021/may/oes173031.htm</w:t>
        </w:r>
      </w:hyperlink>
      <w:r w:rsidRPr="00AD3158" w:rsidR="00864E23">
        <w:rPr>
          <w:rFonts w:ascii="Times New Roman" w:hAnsi="Times New Roman" w:cs="Times New Roman"/>
          <w:sz w:val="18"/>
          <w:szCs w:val="18"/>
        </w:rPr>
        <w:t xml:space="preserve">. Accessed on </w:t>
      </w:r>
      <w:r w:rsidR="001C46D1">
        <w:rPr>
          <w:rFonts w:ascii="Times New Roman" w:hAnsi="Times New Roman" w:cs="Times New Roman"/>
          <w:sz w:val="18"/>
          <w:szCs w:val="18"/>
        </w:rPr>
        <w:t>March 20, 2023</w:t>
      </w:r>
      <w:r w:rsidRPr="00AD3158" w:rsidR="005B239C">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232F8"/>
    <w:multiLevelType w:val="hybridMultilevel"/>
    <w:tmpl w:val="15B06B48"/>
    <w:lvl w:ilvl="0">
      <w:start w:val="7"/>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277037"/>
    <w:multiLevelType w:val="hybridMultilevel"/>
    <w:tmpl w:val="82A8DF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9F08F7"/>
    <w:multiLevelType w:val="hybridMultilevel"/>
    <w:tmpl w:val="1BFCEF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835DD3"/>
    <w:multiLevelType w:val="hybridMultilevel"/>
    <w:tmpl w:val="7B62E0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AD50F37"/>
    <w:multiLevelType w:val="hybridMultilevel"/>
    <w:tmpl w:val="8AF41A2C"/>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EB12828"/>
    <w:multiLevelType w:val="hybridMultilevel"/>
    <w:tmpl w:val="05A62FA6"/>
    <w:lvl w:ilvl="0">
      <w:start w:val="3"/>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9513184"/>
    <w:multiLevelType w:val="hybridMultilevel"/>
    <w:tmpl w:val="E8B27786"/>
    <w:lvl w:ilvl="0">
      <w:start w:val="2"/>
      <w:numFmt w:val="lowerLetter"/>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3A8A7B64"/>
    <w:multiLevelType w:val="hybridMultilevel"/>
    <w:tmpl w:val="ECECDF26"/>
    <w:lvl w:ilvl="0">
      <w:start w:val="2"/>
      <w:numFmt w:val="lowerLetter"/>
      <w:lvlText w:val="(%1)"/>
      <w:lvlJc w:val="left"/>
      <w:pPr>
        <w:tabs>
          <w:tab w:val="num" w:pos="1080"/>
        </w:tabs>
        <w:ind w:left="108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ACF51DD"/>
    <w:multiLevelType w:val="hybridMultilevel"/>
    <w:tmpl w:val="AC9A10D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9">
    <w:nsid w:val="3CB4189E"/>
    <w:multiLevelType w:val="hybridMultilevel"/>
    <w:tmpl w:val="2DFEAD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1785533"/>
    <w:multiLevelType w:val="hybridMultilevel"/>
    <w:tmpl w:val="9566F9C0"/>
    <w:lvl w:ilvl="0">
      <w:start w:val="2"/>
      <w:numFmt w:val="lowerLetter"/>
      <w:lvlText w:val="(%1)"/>
      <w:lvlJc w:val="left"/>
      <w:pPr>
        <w:tabs>
          <w:tab w:val="num" w:pos="1080"/>
        </w:tabs>
        <w:ind w:left="108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8CF7EEC"/>
    <w:multiLevelType w:val="hybridMultilevel"/>
    <w:tmpl w:val="E36E92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8874F81"/>
    <w:multiLevelType w:val="hybridMultilevel"/>
    <w:tmpl w:val="FCE214D2"/>
    <w:lvl w:ilvl="0">
      <w:start w:val="1"/>
      <w:numFmt w:val="lowerLetter"/>
      <w:lvlText w:val="(%1)"/>
      <w:lvlJc w:val="left"/>
      <w:pPr>
        <w:tabs>
          <w:tab w:val="num" w:pos="1080"/>
        </w:tabs>
        <w:ind w:left="1080" w:hanging="360"/>
      </w:pPr>
      <w:rPr>
        <w:rFonts w:ascii="Times New Roman" w:hAnsi="Times New Roman" w:cs="Times New Roman" w:hint="default"/>
        <w:b/>
        <w:bCs/>
        <w:sz w:val="24"/>
        <w:szCs w:val="24"/>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6E6E3F0F"/>
    <w:multiLevelType w:val="hybridMultilevel"/>
    <w:tmpl w:val="DE8051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2BE2654"/>
    <w:multiLevelType w:val="hybridMultilevel"/>
    <w:tmpl w:val="B8E23D0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9374760">
    <w:abstractNumId w:val="14"/>
  </w:num>
  <w:num w:numId="2" w16cid:durableId="736510739">
    <w:abstractNumId w:val="12"/>
  </w:num>
  <w:num w:numId="3" w16cid:durableId="1760323873">
    <w:abstractNumId w:val="6"/>
  </w:num>
  <w:num w:numId="4" w16cid:durableId="1012294425">
    <w:abstractNumId w:val="5"/>
  </w:num>
  <w:num w:numId="5" w16cid:durableId="1530333596">
    <w:abstractNumId w:val="3"/>
  </w:num>
  <w:num w:numId="6" w16cid:durableId="1464352672">
    <w:abstractNumId w:val="9"/>
  </w:num>
  <w:num w:numId="7" w16cid:durableId="264315378">
    <w:abstractNumId w:val="8"/>
  </w:num>
  <w:num w:numId="8" w16cid:durableId="1146626691">
    <w:abstractNumId w:val="11"/>
  </w:num>
  <w:num w:numId="9" w16cid:durableId="929431712">
    <w:abstractNumId w:val="13"/>
  </w:num>
  <w:num w:numId="10" w16cid:durableId="1213690444">
    <w:abstractNumId w:val="2"/>
  </w:num>
  <w:num w:numId="11" w16cid:durableId="1822383861">
    <w:abstractNumId w:val="1"/>
  </w:num>
  <w:num w:numId="12" w16cid:durableId="2024554470">
    <w:abstractNumId w:val="10"/>
  </w:num>
  <w:num w:numId="13" w16cid:durableId="82722856">
    <w:abstractNumId w:val="7"/>
  </w:num>
  <w:num w:numId="14" w16cid:durableId="1195119872">
    <w:abstractNumId w:val="4"/>
  </w:num>
  <w:num w:numId="15" w16cid:durableId="385491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15"/>
    <w:rsid w:val="00013F7B"/>
    <w:rsid w:val="00025DDB"/>
    <w:rsid w:val="000325CA"/>
    <w:rsid w:val="00033A27"/>
    <w:rsid w:val="000364E1"/>
    <w:rsid w:val="00040C42"/>
    <w:rsid w:val="00043E84"/>
    <w:rsid w:val="00044119"/>
    <w:rsid w:val="00054FB0"/>
    <w:rsid w:val="00065D7F"/>
    <w:rsid w:val="00066ACE"/>
    <w:rsid w:val="0007248B"/>
    <w:rsid w:val="000758E5"/>
    <w:rsid w:val="000816F5"/>
    <w:rsid w:val="00081EA8"/>
    <w:rsid w:val="00092024"/>
    <w:rsid w:val="00092B49"/>
    <w:rsid w:val="000943E7"/>
    <w:rsid w:val="00094589"/>
    <w:rsid w:val="0009597C"/>
    <w:rsid w:val="00096433"/>
    <w:rsid w:val="000A00D8"/>
    <w:rsid w:val="000A2D9F"/>
    <w:rsid w:val="000B7CAE"/>
    <w:rsid w:val="000C107E"/>
    <w:rsid w:val="000D40FD"/>
    <w:rsid w:val="000E2546"/>
    <w:rsid w:val="000E4214"/>
    <w:rsid w:val="000E46EA"/>
    <w:rsid w:val="000F0C56"/>
    <w:rsid w:val="000F23F9"/>
    <w:rsid w:val="000F4356"/>
    <w:rsid w:val="00101349"/>
    <w:rsid w:val="0010588B"/>
    <w:rsid w:val="00106954"/>
    <w:rsid w:val="0011091C"/>
    <w:rsid w:val="0011482A"/>
    <w:rsid w:val="00114B9A"/>
    <w:rsid w:val="001150F8"/>
    <w:rsid w:val="00122F91"/>
    <w:rsid w:val="001232B6"/>
    <w:rsid w:val="001400E8"/>
    <w:rsid w:val="00143E70"/>
    <w:rsid w:val="001440C1"/>
    <w:rsid w:val="00147719"/>
    <w:rsid w:val="00150D4C"/>
    <w:rsid w:val="00152B47"/>
    <w:rsid w:val="001555F8"/>
    <w:rsid w:val="001650AF"/>
    <w:rsid w:val="00166546"/>
    <w:rsid w:val="00171BFA"/>
    <w:rsid w:val="001822E7"/>
    <w:rsid w:val="001919BE"/>
    <w:rsid w:val="00194297"/>
    <w:rsid w:val="00194A25"/>
    <w:rsid w:val="001A057D"/>
    <w:rsid w:val="001B2124"/>
    <w:rsid w:val="001C46D1"/>
    <w:rsid w:val="001D541E"/>
    <w:rsid w:val="001E404C"/>
    <w:rsid w:val="001F08E4"/>
    <w:rsid w:val="001F2AED"/>
    <w:rsid w:val="001F2D3E"/>
    <w:rsid w:val="001F4D25"/>
    <w:rsid w:val="001F5E38"/>
    <w:rsid w:val="00204BD7"/>
    <w:rsid w:val="0020781B"/>
    <w:rsid w:val="00221C4F"/>
    <w:rsid w:val="00221E17"/>
    <w:rsid w:val="0022672E"/>
    <w:rsid w:val="00241372"/>
    <w:rsid w:val="00242F21"/>
    <w:rsid w:val="00243776"/>
    <w:rsid w:val="00243A60"/>
    <w:rsid w:val="00246929"/>
    <w:rsid w:val="002626A6"/>
    <w:rsid w:val="00265C27"/>
    <w:rsid w:val="00266495"/>
    <w:rsid w:val="00267BCF"/>
    <w:rsid w:val="0027258B"/>
    <w:rsid w:val="00277AEC"/>
    <w:rsid w:val="00281AE1"/>
    <w:rsid w:val="00281B78"/>
    <w:rsid w:val="00284051"/>
    <w:rsid w:val="00284B5D"/>
    <w:rsid w:val="00290C1D"/>
    <w:rsid w:val="00290D2A"/>
    <w:rsid w:val="00295FB5"/>
    <w:rsid w:val="002A1B82"/>
    <w:rsid w:val="002A2081"/>
    <w:rsid w:val="002A4270"/>
    <w:rsid w:val="002B27E9"/>
    <w:rsid w:val="002B2B7C"/>
    <w:rsid w:val="002B69EB"/>
    <w:rsid w:val="002C5973"/>
    <w:rsid w:val="002D1143"/>
    <w:rsid w:val="002D2709"/>
    <w:rsid w:val="002E0872"/>
    <w:rsid w:val="002E2BE8"/>
    <w:rsid w:val="002E377C"/>
    <w:rsid w:val="002E3D3C"/>
    <w:rsid w:val="002E6815"/>
    <w:rsid w:val="002F7718"/>
    <w:rsid w:val="0030073F"/>
    <w:rsid w:val="00302E63"/>
    <w:rsid w:val="003136FE"/>
    <w:rsid w:val="00315787"/>
    <w:rsid w:val="00316B8F"/>
    <w:rsid w:val="003218EA"/>
    <w:rsid w:val="00336ADE"/>
    <w:rsid w:val="0034137E"/>
    <w:rsid w:val="003420AA"/>
    <w:rsid w:val="003427F6"/>
    <w:rsid w:val="00350CDA"/>
    <w:rsid w:val="00355757"/>
    <w:rsid w:val="00361464"/>
    <w:rsid w:val="00363F03"/>
    <w:rsid w:val="00372A10"/>
    <w:rsid w:val="003743E5"/>
    <w:rsid w:val="003878CA"/>
    <w:rsid w:val="00394E4E"/>
    <w:rsid w:val="00395E09"/>
    <w:rsid w:val="00396EC9"/>
    <w:rsid w:val="00397F51"/>
    <w:rsid w:val="003A1F91"/>
    <w:rsid w:val="003A79AE"/>
    <w:rsid w:val="003A7F63"/>
    <w:rsid w:val="003B16CD"/>
    <w:rsid w:val="003B32B9"/>
    <w:rsid w:val="003B3DC0"/>
    <w:rsid w:val="003B68DD"/>
    <w:rsid w:val="003B72DE"/>
    <w:rsid w:val="003C1CDF"/>
    <w:rsid w:val="003C1EDE"/>
    <w:rsid w:val="003C2C90"/>
    <w:rsid w:val="003C3F54"/>
    <w:rsid w:val="003C3F58"/>
    <w:rsid w:val="003C4EF6"/>
    <w:rsid w:val="003C70CF"/>
    <w:rsid w:val="003D3BB3"/>
    <w:rsid w:val="003D4C27"/>
    <w:rsid w:val="003F02D0"/>
    <w:rsid w:val="004128E9"/>
    <w:rsid w:val="004308CE"/>
    <w:rsid w:val="00430983"/>
    <w:rsid w:val="004349AE"/>
    <w:rsid w:val="00437C9A"/>
    <w:rsid w:val="004402B0"/>
    <w:rsid w:val="00441955"/>
    <w:rsid w:val="00446F40"/>
    <w:rsid w:val="00451B41"/>
    <w:rsid w:val="00451CA0"/>
    <w:rsid w:val="00454DE0"/>
    <w:rsid w:val="00455ECE"/>
    <w:rsid w:val="00474E9B"/>
    <w:rsid w:val="004750CB"/>
    <w:rsid w:val="0048546E"/>
    <w:rsid w:val="00487054"/>
    <w:rsid w:val="004A2FBB"/>
    <w:rsid w:val="004A4BDF"/>
    <w:rsid w:val="004B1BD0"/>
    <w:rsid w:val="004B27E3"/>
    <w:rsid w:val="004B453D"/>
    <w:rsid w:val="004B5C73"/>
    <w:rsid w:val="004C0A29"/>
    <w:rsid w:val="004C43FB"/>
    <w:rsid w:val="004C55D2"/>
    <w:rsid w:val="004E4C59"/>
    <w:rsid w:val="004E4EA1"/>
    <w:rsid w:val="004E7EAD"/>
    <w:rsid w:val="0050166E"/>
    <w:rsid w:val="00507AA1"/>
    <w:rsid w:val="005106DD"/>
    <w:rsid w:val="00510881"/>
    <w:rsid w:val="005237DB"/>
    <w:rsid w:val="00530209"/>
    <w:rsid w:val="00532273"/>
    <w:rsid w:val="00533255"/>
    <w:rsid w:val="00536A8F"/>
    <w:rsid w:val="005431DB"/>
    <w:rsid w:val="00557D1B"/>
    <w:rsid w:val="005612D1"/>
    <w:rsid w:val="005613CA"/>
    <w:rsid w:val="00562915"/>
    <w:rsid w:val="0057175E"/>
    <w:rsid w:val="00572F27"/>
    <w:rsid w:val="00587125"/>
    <w:rsid w:val="00591297"/>
    <w:rsid w:val="00591F84"/>
    <w:rsid w:val="00593C77"/>
    <w:rsid w:val="00594002"/>
    <w:rsid w:val="00597D45"/>
    <w:rsid w:val="005A0053"/>
    <w:rsid w:val="005B239C"/>
    <w:rsid w:val="005B7E74"/>
    <w:rsid w:val="005B7FA8"/>
    <w:rsid w:val="005C07BE"/>
    <w:rsid w:val="005C27D9"/>
    <w:rsid w:val="005C3A25"/>
    <w:rsid w:val="005C7693"/>
    <w:rsid w:val="005D1DD4"/>
    <w:rsid w:val="005D4BDE"/>
    <w:rsid w:val="005E1F6D"/>
    <w:rsid w:val="005E6345"/>
    <w:rsid w:val="005E6793"/>
    <w:rsid w:val="0060039D"/>
    <w:rsid w:val="00611CD6"/>
    <w:rsid w:val="00612BEA"/>
    <w:rsid w:val="00620304"/>
    <w:rsid w:val="006236B0"/>
    <w:rsid w:val="00624403"/>
    <w:rsid w:val="00624A01"/>
    <w:rsid w:val="00626BB1"/>
    <w:rsid w:val="006275EE"/>
    <w:rsid w:val="00635719"/>
    <w:rsid w:val="00653A2D"/>
    <w:rsid w:val="006625E7"/>
    <w:rsid w:val="00674910"/>
    <w:rsid w:val="00675B61"/>
    <w:rsid w:val="00675FE8"/>
    <w:rsid w:val="00683A0F"/>
    <w:rsid w:val="00683B2B"/>
    <w:rsid w:val="00684298"/>
    <w:rsid w:val="0068563F"/>
    <w:rsid w:val="00685C12"/>
    <w:rsid w:val="00686067"/>
    <w:rsid w:val="006B583A"/>
    <w:rsid w:val="006B58A6"/>
    <w:rsid w:val="006B5943"/>
    <w:rsid w:val="006B71EB"/>
    <w:rsid w:val="006C30D1"/>
    <w:rsid w:val="006C4C3F"/>
    <w:rsid w:val="006C5CA4"/>
    <w:rsid w:val="00701AC7"/>
    <w:rsid w:val="00706BF5"/>
    <w:rsid w:val="007103B8"/>
    <w:rsid w:val="0071324B"/>
    <w:rsid w:val="00723719"/>
    <w:rsid w:val="0072680C"/>
    <w:rsid w:val="00733F93"/>
    <w:rsid w:val="007344FD"/>
    <w:rsid w:val="00742B07"/>
    <w:rsid w:val="00742BE4"/>
    <w:rsid w:val="00746443"/>
    <w:rsid w:val="00756215"/>
    <w:rsid w:val="00757122"/>
    <w:rsid w:val="00757C81"/>
    <w:rsid w:val="00760D1B"/>
    <w:rsid w:val="00762B5C"/>
    <w:rsid w:val="00764B49"/>
    <w:rsid w:val="007717B2"/>
    <w:rsid w:val="007742B3"/>
    <w:rsid w:val="007749C9"/>
    <w:rsid w:val="00781A82"/>
    <w:rsid w:val="007846BD"/>
    <w:rsid w:val="00784CCD"/>
    <w:rsid w:val="00792416"/>
    <w:rsid w:val="0079402E"/>
    <w:rsid w:val="007B3626"/>
    <w:rsid w:val="007B5775"/>
    <w:rsid w:val="007C3251"/>
    <w:rsid w:val="007C4604"/>
    <w:rsid w:val="007E0E6C"/>
    <w:rsid w:val="007E164A"/>
    <w:rsid w:val="007F044C"/>
    <w:rsid w:val="007F18B9"/>
    <w:rsid w:val="0080603D"/>
    <w:rsid w:val="00830058"/>
    <w:rsid w:val="0083CA7C"/>
    <w:rsid w:val="00840CD4"/>
    <w:rsid w:val="00845428"/>
    <w:rsid w:val="00845F16"/>
    <w:rsid w:val="00847B51"/>
    <w:rsid w:val="00860EC4"/>
    <w:rsid w:val="00864E23"/>
    <w:rsid w:val="008652C2"/>
    <w:rsid w:val="00865C71"/>
    <w:rsid w:val="00867B29"/>
    <w:rsid w:val="00867F42"/>
    <w:rsid w:val="00875873"/>
    <w:rsid w:val="00876C18"/>
    <w:rsid w:val="00880C48"/>
    <w:rsid w:val="0088159E"/>
    <w:rsid w:val="008977CD"/>
    <w:rsid w:val="008A01D0"/>
    <w:rsid w:val="008A026A"/>
    <w:rsid w:val="008A1E42"/>
    <w:rsid w:val="008A24E1"/>
    <w:rsid w:val="008A43B2"/>
    <w:rsid w:val="008B0B3C"/>
    <w:rsid w:val="008B70EE"/>
    <w:rsid w:val="008C1226"/>
    <w:rsid w:val="008C3643"/>
    <w:rsid w:val="008D6023"/>
    <w:rsid w:val="008E58A0"/>
    <w:rsid w:val="008F6898"/>
    <w:rsid w:val="00902021"/>
    <w:rsid w:val="00912828"/>
    <w:rsid w:val="00916E6A"/>
    <w:rsid w:val="00922F5A"/>
    <w:rsid w:val="0093221E"/>
    <w:rsid w:val="009410BB"/>
    <w:rsid w:val="00942AD5"/>
    <w:rsid w:val="00942C53"/>
    <w:rsid w:val="0094632C"/>
    <w:rsid w:val="00957A7E"/>
    <w:rsid w:val="00960473"/>
    <w:rsid w:val="00967CCE"/>
    <w:rsid w:val="009757B8"/>
    <w:rsid w:val="009760D8"/>
    <w:rsid w:val="00976BBE"/>
    <w:rsid w:val="00981DC9"/>
    <w:rsid w:val="0098255B"/>
    <w:rsid w:val="00983130"/>
    <w:rsid w:val="00983BFD"/>
    <w:rsid w:val="0098421F"/>
    <w:rsid w:val="00984CC9"/>
    <w:rsid w:val="0098686E"/>
    <w:rsid w:val="009878E6"/>
    <w:rsid w:val="00993F0A"/>
    <w:rsid w:val="009B234B"/>
    <w:rsid w:val="009B4B00"/>
    <w:rsid w:val="009B7693"/>
    <w:rsid w:val="009C7832"/>
    <w:rsid w:val="009D1152"/>
    <w:rsid w:val="009F0B23"/>
    <w:rsid w:val="009F11D3"/>
    <w:rsid w:val="009F1A8C"/>
    <w:rsid w:val="009F3BAB"/>
    <w:rsid w:val="00A04952"/>
    <w:rsid w:val="00A05BD7"/>
    <w:rsid w:val="00A06346"/>
    <w:rsid w:val="00A20EC4"/>
    <w:rsid w:val="00A21410"/>
    <w:rsid w:val="00A324A6"/>
    <w:rsid w:val="00A32C38"/>
    <w:rsid w:val="00A339FC"/>
    <w:rsid w:val="00A444D4"/>
    <w:rsid w:val="00A50859"/>
    <w:rsid w:val="00A52B2F"/>
    <w:rsid w:val="00A557FB"/>
    <w:rsid w:val="00A61F06"/>
    <w:rsid w:val="00A70C8A"/>
    <w:rsid w:val="00A727E6"/>
    <w:rsid w:val="00A77ACF"/>
    <w:rsid w:val="00A852C9"/>
    <w:rsid w:val="00A85B3E"/>
    <w:rsid w:val="00A87B52"/>
    <w:rsid w:val="00A93379"/>
    <w:rsid w:val="00A97C74"/>
    <w:rsid w:val="00AA0394"/>
    <w:rsid w:val="00AB1B3D"/>
    <w:rsid w:val="00AB402E"/>
    <w:rsid w:val="00AC40D0"/>
    <w:rsid w:val="00AC6551"/>
    <w:rsid w:val="00AD1036"/>
    <w:rsid w:val="00AD3158"/>
    <w:rsid w:val="00AD546D"/>
    <w:rsid w:val="00AE21D5"/>
    <w:rsid w:val="00AE3DA1"/>
    <w:rsid w:val="00AE529C"/>
    <w:rsid w:val="00B07F7A"/>
    <w:rsid w:val="00B15B26"/>
    <w:rsid w:val="00B15C67"/>
    <w:rsid w:val="00B230FD"/>
    <w:rsid w:val="00B409F2"/>
    <w:rsid w:val="00B40E31"/>
    <w:rsid w:val="00B41409"/>
    <w:rsid w:val="00B4690B"/>
    <w:rsid w:val="00B5265B"/>
    <w:rsid w:val="00B53B79"/>
    <w:rsid w:val="00B53D8B"/>
    <w:rsid w:val="00B55F25"/>
    <w:rsid w:val="00B56C17"/>
    <w:rsid w:val="00B61056"/>
    <w:rsid w:val="00B651A9"/>
    <w:rsid w:val="00B70B6E"/>
    <w:rsid w:val="00B71339"/>
    <w:rsid w:val="00B82A12"/>
    <w:rsid w:val="00B92093"/>
    <w:rsid w:val="00B92B09"/>
    <w:rsid w:val="00B92F8C"/>
    <w:rsid w:val="00B936C5"/>
    <w:rsid w:val="00BA29E1"/>
    <w:rsid w:val="00BA2EFA"/>
    <w:rsid w:val="00BB543D"/>
    <w:rsid w:val="00BC42F9"/>
    <w:rsid w:val="00BC4902"/>
    <w:rsid w:val="00BD6802"/>
    <w:rsid w:val="00BD75FC"/>
    <w:rsid w:val="00BD78FD"/>
    <w:rsid w:val="00BE1613"/>
    <w:rsid w:val="00BE2BE0"/>
    <w:rsid w:val="00BE42FA"/>
    <w:rsid w:val="00BE783A"/>
    <w:rsid w:val="00BF5941"/>
    <w:rsid w:val="00BF6F9A"/>
    <w:rsid w:val="00C00682"/>
    <w:rsid w:val="00C04040"/>
    <w:rsid w:val="00C0474F"/>
    <w:rsid w:val="00C05257"/>
    <w:rsid w:val="00C205C0"/>
    <w:rsid w:val="00C27C49"/>
    <w:rsid w:val="00C362C2"/>
    <w:rsid w:val="00C40B55"/>
    <w:rsid w:val="00C60A98"/>
    <w:rsid w:val="00C72DB9"/>
    <w:rsid w:val="00C852F0"/>
    <w:rsid w:val="00CA48FD"/>
    <w:rsid w:val="00CB478C"/>
    <w:rsid w:val="00CC05D1"/>
    <w:rsid w:val="00CC5D9A"/>
    <w:rsid w:val="00CD19C9"/>
    <w:rsid w:val="00CD33BB"/>
    <w:rsid w:val="00CE030C"/>
    <w:rsid w:val="00CE74B4"/>
    <w:rsid w:val="00CF07BF"/>
    <w:rsid w:val="00CF08C2"/>
    <w:rsid w:val="00CF7AAC"/>
    <w:rsid w:val="00D17305"/>
    <w:rsid w:val="00D173AA"/>
    <w:rsid w:val="00D21E36"/>
    <w:rsid w:val="00D24ADC"/>
    <w:rsid w:val="00D302EE"/>
    <w:rsid w:val="00D32CE8"/>
    <w:rsid w:val="00D46BE1"/>
    <w:rsid w:val="00D55FA6"/>
    <w:rsid w:val="00D61EDA"/>
    <w:rsid w:val="00D62101"/>
    <w:rsid w:val="00D65B17"/>
    <w:rsid w:val="00D71934"/>
    <w:rsid w:val="00D732E3"/>
    <w:rsid w:val="00D75BA2"/>
    <w:rsid w:val="00D76CAB"/>
    <w:rsid w:val="00D81F18"/>
    <w:rsid w:val="00D82749"/>
    <w:rsid w:val="00D92E28"/>
    <w:rsid w:val="00D9667D"/>
    <w:rsid w:val="00D97FF3"/>
    <w:rsid w:val="00DA3515"/>
    <w:rsid w:val="00DA5625"/>
    <w:rsid w:val="00DA76A1"/>
    <w:rsid w:val="00DB03C9"/>
    <w:rsid w:val="00DC6875"/>
    <w:rsid w:val="00E01211"/>
    <w:rsid w:val="00E015FF"/>
    <w:rsid w:val="00E025F2"/>
    <w:rsid w:val="00E055F8"/>
    <w:rsid w:val="00E126D2"/>
    <w:rsid w:val="00E1388B"/>
    <w:rsid w:val="00E21AF2"/>
    <w:rsid w:val="00E26114"/>
    <w:rsid w:val="00E26689"/>
    <w:rsid w:val="00E322AC"/>
    <w:rsid w:val="00E3309A"/>
    <w:rsid w:val="00E36D59"/>
    <w:rsid w:val="00E45BAC"/>
    <w:rsid w:val="00E5083E"/>
    <w:rsid w:val="00E54E14"/>
    <w:rsid w:val="00E60986"/>
    <w:rsid w:val="00E62B1F"/>
    <w:rsid w:val="00E6464B"/>
    <w:rsid w:val="00E70D56"/>
    <w:rsid w:val="00E728C9"/>
    <w:rsid w:val="00E73EA1"/>
    <w:rsid w:val="00E8612F"/>
    <w:rsid w:val="00E94018"/>
    <w:rsid w:val="00EA27F0"/>
    <w:rsid w:val="00EA7539"/>
    <w:rsid w:val="00EB4654"/>
    <w:rsid w:val="00EC0B23"/>
    <w:rsid w:val="00EC707A"/>
    <w:rsid w:val="00ED3C43"/>
    <w:rsid w:val="00ED4669"/>
    <w:rsid w:val="00EE380D"/>
    <w:rsid w:val="00EF6F45"/>
    <w:rsid w:val="00F0176D"/>
    <w:rsid w:val="00F057EB"/>
    <w:rsid w:val="00F34277"/>
    <w:rsid w:val="00F4391C"/>
    <w:rsid w:val="00F44617"/>
    <w:rsid w:val="00F44DB4"/>
    <w:rsid w:val="00F4599C"/>
    <w:rsid w:val="00F53590"/>
    <w:rsid w:val="00F57366"/>
    <w:rsid w:val="00F61FA6"/>
    <w:rsid w:val="00F638C5"/>
    <w:rsid w:val="00F70139"/>
    <w:rsid w:val="00F71F77"/>
    <w:rsid w:val="00F7228A"/>
    <w:rsid w:val="00F812D5"/>
    <w:rsid w:val="00F85FEE"/>
    <w:rsid w:val="00F9412C"/>
    <w:rsid w:val="00F946E4"/>
    <w:rsid w:val="00FB0F90"/>
    <w:rsid w:val="00FB23CC"/>
    <w:rsid w:val="00FB2F17"/>
    <w:rsid w:val="00FC01C2"/>
    <w:rsid w:val="00FD35B8"/>
    <w:rsid w:val="00FE011C"/>
    <w:rsid w:val="00FE48DE"/>
    <w:rsid w:val="00FE6213"/>
    <w:rsid w:val="00FE708C"/>
    <w:rsid w:val="00FF2C0A"/>
    <w:rsid w:val="00FF33A0"/>
    <w:rsid w:val="01A3546B"/>
    <w:rsid w:val="023B5D83"/>
    <w:rsid w:val="02523E30"/>
    <w:rsid w:val="02B14E08"/>
    <w:rsid w:val="03B71274"/>
    <w:rsid w:val="04200F33"/>
    <w:rsid w:val="0741952D"/>
    <w:rsid w:val="07917CA6"/>
    <w:rsid w:val="089E67F6"/>
    <w:rsid w:val="09F2DAEB"/>
    <w:rsid w:val="0EA52B76"/>
    <w:rsid w:val="0EC0A21E"/>
    <w:rsid w:val="0FB9C28E"/>
    <w:rsid w:val="129FA4F9"/>
    <w:rsid w:val="146279DE"/>
    <w:rsid w:val="1613BD95"/>
    <w:rsid w:val="16A6CAF8"/>
    <w:rsid w:val="16DA6D76"/>
    <w:rsid w:val="175823CB"/>
    <w:rsid w:val="178FEB8D"/>
    <w:rsid w:val="17C70C91"/>
    <w:rsid w:val="18B656CB"/>
    <w:rsid w:val="19D6C6CC"/>
    <w:rsid w:val="1D724FCF"/>
    <w:rsid w:val="1D857116"/>
    <w:rsid w:val="1EBD5CC6"/>
    <w:rsid w:val="1ED5D5B3"/>
    <w:rsid w:val="20B10F2A"/>
    <w:rsid w:val="25D2F63E"/>
    <w:rsid w:val="26C97835"/>
    <w:rsid w:val="26DCF9C7"/>
    <w:rsid w:val="2775E770"/>
    <w:rsid w:val="2A734054"/>
    <w:rsid w:val="2BF11575"/>
    <w:rsid w:val="2CE0286B"/>
    <w:rsid w:val="2CEC6B0A"/>
    <w:rsid w:val="2D443BDB"/>
    <w:rsid w:val="2E422CF8"/>
    <w:rsid w:val="2F02D05F"/>
    <w:rsid w:val="2FDA61A0"/>
    <w:rsid w:val="310924E8"/>
    <w:rsid w:val="32112FCE"/>
    <w:rsid w:val="3250A671"/>
    <w:rsid w:val="32758345"/>
    <w:rsid w:val="36043933"/>
    <w:rsid w:val="36515A2F"/>
    <w:rsid w:val="36E8848D"/>
    <w:rsid w:val="374CE385"/>
    <w:rsid w:val="38B12B80"/>
    <w:rsid w:val="3AF773C1"/>
    <w:rsid w:val="3D66CE28"/>
    <w:rsid w:val="3DB428F9"/>
    <w:rsid w:val="3DC93EED"/>
    <w:rsid w:val="42100A45"/>
    <w:rsid w:val="4280709E"/>
    <w:rsid w:val="44BC64FB"/>
    <w:rsid w:val="4568F2BE"/>
    <w:rsid w:val="45996DD1"/>
    <w:rsid w:val="45D11D18"/>
    <w:rsid w:val="4618231A"/>
    <w:rsid w:val="47A2DD74"/>
    <w:rsid w:val="4812AF8F"/>
    <w:rsid w:val="484C7A03"/>
    <w:rsid w:val="506C452D"/>
    <w:rsid w:val="50A8D8BF"/>
    <w:rsid w:val="519496C1"/>
    <w:rsid w:val="51A17E59"/>
    <w:rsid w:val="51C9CEB0"/>
    <w:rsid w:val="523EFF96"/>
    <w:rsid w:val="554D471D"/>
    <w:rsid w:val="56214A8D"/>
    <w:rsid w:val="58389966"/>
    <w:rsid w:val="58EB065B"/>
    <w:rsid w:val="591544DC"/>
    <w:rsid w:val="5ADB86D1"/>
    <w:rsid w:val="5B611031"/>
    <w:rsid w:val="5BD6EA86"/>
    <w:rsid w:val="5D1008CA"/>
    <w:rsid w:val="5DEFC311"/>
    <w:rsid w:val="5E98B0F3"/>
    <w:rsid w:val="60DD983A"/>
    <w:rsid w:val="623B6CCE"/>
    <w:rsid w:val="64999473"/>
    <w:rsid w:val="65018DF0"/>
    <w:rsid w:val="6581DEF8"/>
    <w:rsid w:val="65FA3D7E"/>
    <w:rsid w:val="66AFE0F0"/>
    <w:rsid w:val="68E61D63"/>
    <w:rsid w:val="6B17DD45"/>
    <w:rsid w:val="6DE694B4"/>
    <w:rsid w:val="6E43B687"/>
    <w:rsid w:val="71AAA6BF"/>
    <w:rsid w:val="7378BFE6"/>
    <w:rsid w:val="745358DE"/>
    <w:rsid w:val="745F8CD2"/>
    <w:rsid w:val="76530A07"/>
    <w:rsid w:val="7772D2E6"/>
    <w:rsid w:val="7A073C1B"/>
    <w:rsid w:val="7A1AB3C3"/>
    <w:rsid w:val="7A5626E2"/>
    <w:rsid w:val="7A951C75"/>
    <w:rsid w:val="7AD96C85"/>
    <w:rsid w:val="7D1189C1"/>
    <w:rsid w:val="7D456A91"/>
    <w:rsid w:val="7D4C29B9"/>
    <w:rsid w:val="7D99C67B"/>
    <w:rsid w:val="7DA0A4FA"/>
    <w:rsid w:val="7F0A34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C32499"/>
  <w15:docId w15:val="{E16666F1-3970-4CC5-87DF-7454DB198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4051"/>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paragraph" w:styleId="FootnoteText">
    <w:name w:val="footnote text"/>
    <w:basedOn w:val="Normal"/>
    <w:link w:val="FootnoteTextChar"/>
    <w:uiPriority w:val="99"/>
    <w:unhideWhenUsed/>
    <w:rsid w:val="000F4356"/>
    <w:pPr>
      <w:spacing w:after="0" w:line="240" w:lineRule="auto"/>
    </w:pPr>
    <w:rPr>
      <w:sz w:val="20"/>
      <w:szCs w:val="20"/>
    </w:rPr>
  </w:style>
  <w:style w:type="character" w:customStyle="1" w:styleId="FootnoteTextChar">
    <w:name w:val="Footnote Text Char"/>
    <w:basedOn w:val="DefaultParagraphFont"/>
    <w:link w:val="FootnoteText"/>
    <w:uiPriority w:val="99"/>
    <w:rsid w:val="000F4356"/>
    <w:rPr>
      <w:sz w:val="20"/>
      <w:szCs w:val="20"/>
    </w:rPr>
  </w:style>
  <w:style w:type="character" w:styleId="FootnoteReference">
    <w:name w:val="footnote reference"/>
    <w:basedOn w:val="DefaultParagraphFont"/>
    <w:uiPriority w:val="99"/>
    <w:semiHidden/>
    <w:unhideWhenUsed/>
    <w:rsid w:val="000F4356"/>
    <w:rPr>
      <w:vertAlign w:val="superscript"/>
    </w:rPr>
  </w:style>
  <w:style w:type="character" w:styleId="UnresolvedMention">
    <w:name w:val="Unresolved Mention"/>
    <w:basedOn w:val="DefaultParagraphFont"/>
    <w:uiPriority w:val="99"/>
    <w:semiHidden/>
    <w:unhideWhenUsed/>
    <w:rsid w:val="00FF2C0A"/>
    <w:rPr>
      <w:color w:val="605E5C"/>
      <w:shd w:val="clear" w:color="auto" w:fill="E1DFDD"/>
    </w:rPr>
  </w:style>
  <w:style w:type="character" w:styleId="FollowedHyperlink">
    <w:name w:val="FollowedHyperlink"/>
    <w:basedOn w:val="DefaultParagraphFont"/>
    <w:uiPriority w:val="99"/>
    <w:semiHidden/>
    <w:unhideWhenUsed/>
    <w:rsid w:val="00D71934"/>
    <w:rPr>
      <w:color w:val="800080" w:themeColor="followedHyperlink"/>
      <w:u w:val="single"/>
    </w:rPr>
  </w:style>
  <w:style w:type="table" w:styleId="TableGrid">
    <w:name w:val="Table Grid"/>
    <w:basedOn w:val="TableNormal"/>
    <w:uiPriority w:val="39"/>
    <w:rsid w:val="00295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17305"/>
    <w:rPr>
      <w:sz w:val="16"/>
      <w:szCs w:val="16"/>
    </w:rPr>
  </w:style>
  <w:style w:type="paragraph" w:styleId="CommentText">
    <w:name w:val="annotation text"/>
    <w:basedOn w:val="Normal"/>
    <w:link w:val="CommentTextChar"/>
    <w:uiPriority w:val="99"/>
    <w:unhideWhenUsed/>
    <w:rsid w:val="00D17305"/>
    <w:pPr>
      <w:spacing w:line="240" w:lineRule="auto"/>
    </w:pPr>
    <w:rPr>
      <w:sz w:val="20"/>
      <w:szCs w:val="20"/>
    </w:rPr>
  </w:style>
  <w:style w:type="character" w:customStyle="1" w:styleId="CommentTextChar">
    <w:name w:val="Comment Text Char"/>
    <w:basedOn w:val="DefaultParagraphFont"/>
    <w:link w:val="CommentText"/>
    <w:uiPriority w:val="99"/>
    <w:rsid w:val="00D17305"/>
    <w:rPr>
      <w:sz w:val="20"/>
      <w:szCs w:val="20"/>
    </w:rPr>
  </w:style>
  <w:style w:type="paragraph" w:styleId="CommentSubject">
    <w:name w:val="annotation subject"/>
    <w:basedOn w:val="CommentText"/>
    <w:next w:val="CommentText"/>
    <w:link w:val="CommentSubjectChar"/>
    <w:uiPriority w:val="99"/>
    <w:semiHidden/>
    <w:unhideWhenUsed/>
    <w:rsid w:val="00D17305"/>
    <w:rPr>
      <w:b/>
      <w:bCs/>
    </w:rPr>
  </w:style>
  <w:style w:type="character" w:customStyle="1" w:styleId="CommentSubjectChar">
    <w:name w:val="Comment Subject Char"/>
    <w:basedOn w:val="CommentTextChar"/>
    <w:link w:val="CommentSubject"/>
    <w:uiPriority w:val="99"/>
    <w:semiHidden/>
    <w:rsid w:val="00D17305"/>
    <w:rPr>
      <w:b/>
      <w:bCs/>
      <w:sz w:val="20"/>
      <w:szCs w:val="20"/>
    </w:rPr>
  </w:style>
  <w:style w:type="paragraph" w:styleId="Revision">
    <w:name w:val="Revision"/>
    <w:hidden/>
    <w:uiPriority w:val="99"/>
    <w:semiHidden/>
    <w:rsid w:val="00171BFA"/>
    <w:pPr>
      <w:spacing w:after="0" w:line="240" w:lineRule="auto"/>
    </w:pPr>
  </w:style>
  <w:style w:type="character" w:customStyle="1" w:styleId="normaltextrun">
    <w:name w:val="normaltextrun"/>
    <w:basedOn w:val="DefaultParagraphFont"/>
    <w:rsid w:val="00624A01"/>
  </w:style>
  <w:style w:type="paragraph" w:styleId="Header">
    <w:name w:val="header"/>
    <w:basedOn w:val="Normal"/>
    <w:link w:val="HeaderChar"/>
    <w:uiPriority w:val="99"/>
    <w:semiHidden/>
    <w:unhideWhenUsed/>
    <w:rsid w:val="003F02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02D0"/>
  </w:style>
  <w:style w:type="table" w:customStyle="1" w:styleId="TableGrid1">
    <w:name w:val="Table Grid1"/>
    <w:basedOn w:val="TableNormal"/>
    <w:next w:val="TableGrid"/>
    <w:uiPriority w:val="39"/>
    <w:rsid w:val="00101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87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opm.gov/policy-data-oversight/pay-leave/salaries-wages/salary-tables/pdf/2023/DCB.pdf"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questionpro.co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loodsmart.gov/sites/default/files/flood-loss-potential_jul19.pdf" TargetMode="External" /><Relationship Id="rId2" Type="http://schemas.openxmlformats.org/officeDocument/2006/relationships/hyperlink" Target="https://www.epa.gov/green-infrastructure/manage-flood-risk" TargetMode="External" /><Relationship Id="rId3" Type="http://schemas.openxmlformats.org/officeDocument/2006/relationships/hyperlink" Target="https://www.performance.gov/cx/assets/files/a11-280.pdf" TargetMode="External" /><Relationship Id="rId4" Type="http://schemas.openxmlformats.org/officeDocument/2006/relationships/hyperlink" Target="https://www.bls.gov/news.release/archives/ecec_03172023.pdf" TargetMode="External" /><Relationship Id="rId5" Type="http://schemas.openxmlformats.org/officeDocument/2006/relationships/hyperlink" Target="https://www.bls.gov/oes/2021/may/oes17303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D68D6125B1BD54DAA60C7256F5C0B54" ma:contentTypeVersion="9" ma:contentTypeDescription="Create a new document." ma:contentTypeScope="" ma:versionID="0142ddfedd1b920a755101042e4e74ce">
  <xsd:schema xmlns:xsd="http://www.w3.org/2001/XMLSchema" xmlns:xs="http://www.w3.org/2001/XMLSchema" xmlns:p="http://schemas.microsoft.com/office/2006/metadata/properties" xmlns:ns2="5583a38e-5bd1-4cf9-b4f2-d9b49c295657" xmlns:ns3="6eb55b38-6b90-44f1-82fa-b685e93e7cb3" targetNamespace="http://schemas.microsoft.com/office/2006/metadata/properties" ma:root="true" ma:fieldsID="ee939bc0de0fd712eb3d5998c4711fde" ns2:_="" ns3:_="">
    <xsd:import namespace="5583a38e-5bd1-4cf9-b4f2-d9b49c295657"/>
    <xsd:import namespace="6eb55b38-6b90-44f1-82fa-b685e93e7c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a38e-5bd1-4cf9-b4f2-d9b49c295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b55b38-6b90-44f1-82fa-b685e93e7cb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336aa1c-391a-437d-9dba-2e749cea61e1}" ma:internalName="TaxCatchAll" ma:showField="CatchAllData" ma:web="6eb55b38-6b90-44f1-82fa-b685e93e7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583a38e-5bd1-4cf9-b4f2-d9b49c295657">
      <Terms xmlns="http://schemas.microsoft.com/office/infopath/2007/PartnerControls"/>
    </lcf76f155ced4ddcb4097134ff3c332f>
    <TaxCatchAll xmlns="6eb55b38-6b90-44f1-82fa-b685e93e7cb3" xsi:nil="true"/>
  </documentManagement>
</p:properties>
</file>

<file path=customXml/itemProps1.xml><?xml version="1.0" encoding="utf-8"?>
<ds:datastoreItem xmlns:ds="http://schemas.openxmlformats.org/officeDocument/2006/customXml" ds:itemID="{285E8257-C27A-48D0-836C-33BF51C3D5D4}">
  <ds:schemaRefs>
    <ds:schemaRef ds:uri="http://schemas.openxmlformats.org/officeDocument/2006/bibliography"/>
  </ds:schemaRefs>
</ds:datastoreItem>
</file>

<file path=customXml/itemProps2.xml><?xml version="1.0" encoding="utf-8"?>
<ds:datastoreItem xmlns:ds="http://schemas.openxmlformats.org/officeDocument/2006/customXml" ds:itemID="{97CE400A-78A0-45CE-9318-3A13BA5C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a38e-5bd1-4cf9-b4f2-d9b49c295657"/>
    <ds:schemaRef ds:uri="6eb55b38-6b90-44f1-82fa-b685e93e7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7B9CAB-2271-4876-92D9-F2EC5EBDA5B8}">
  <ds:schemaRefs>
    <ds:schemaRef ds:uri="http://schemas.microsoft.com/sharepoint/v3/contenttype/forms"/>
  </ds:schemaRefs>
</ds:datastoreItem>
</file>

<file path=customXml/itemProps4.xml><?xml version="1.0" encoding="utf-8"?>
<ds:datastoreItem xmlns:ds="http://schemas.openxmlformats.org/officeDocument/2006/customXml" ds:itemID="{687CDE8E-CF9E-42A9-9293-6EA3666E8166}">
  <ds:schemaRefs>
    <ds:schemaRef ds:uri="http://schemas.microsoft.com/office/2006/metadata/properties"/>
    <ds:schemaRef ds:uri="http://schemas.microsoft.com/office/infopath/2007/PartnerControls"/>
    <ds:schemaRef ds:uri="5583a38e-5bd1-4cf9-b4f2-d9b49c295657"/>
    <ds:schemaRef ds:uri="6eb55b38-6b90-44f1-82fa-b685e93e7cb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8052</Words>
  <Characters>45900</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Crosby, Kevin</cp:lastModifiedBy>
  <cp:revision>3</cp:revision>
  <cp:lastPrinted>2022-11-03T14:36:00Z</cp:lastPrinted>
  <dcterms:created xsi:type="dcterms:W3CDTF">2023-09-01T15:23:00Z</dcterms:created>
  <dcterms:modified xsi:type="dcterms:W3CDTF">2023-09-01T15:26:00Z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0x010100AD68D6125B1BD54DAA60C7256F5C0B54</vt:lpwstr>
  </property>
  <property fmtid="{D5CDD505-2E9C-101B-9397-08002B2CF9AE}" pid="3" name="MediaServiceImageTags">
    <vt:lpwstr/>
  </property>
</Properties>
</file>