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5E96" w:rsidRPr="00596A43" w:rsidP="000C4293" w14:paraId="7E4489ED" w14:textId="77777777">
      <w:pPr>
        <w:pStyle w:val="Title"/>
        <w:jc w:val="both"/>
        <w:rPr>
          <w:sz w:val="24"/>
          <w:szCs w:val="24"/>
        </w:rPr>
      </w:pPr>
    </w:p>
    <w:p w:rsidR="00EB5E96" w:rsidRPr="00596A43" w:rsidP="006A0B1C" w14:paraId="266C45C8" w14:textId="77777777">
      <w:pPr>
        <w:pStyle w:val="Title"/>
        <w:rPr>
          <w:sz w:val="24"/>
          <w:szCs w:val="24"/>
        </w:rPr>
      </w:pPr>
      <w:r w:rsidRPr="00596A43">
        <w:rPr>
          <w:sz w:val="24"/>
          <w:szCs w:val="24"/>
        </w:rPr>
        <w:t>Supporting Statement for Paperwork Reduction Act Submissions</w:t>
      </w:r>
    </w:p>
    <w:p w:rsidR="00EB5E96" w:rsidRPr="00596A43" w:rsidP="000C4293" w14:paraId="22BDC6BA" w14:textId="77777777">
      <w:pPr>
        <w:tabs>
          <w:tab w:val="left" w:pos="-720"/>
        </w:tabs>
        <w:suppressAutoHyphens/>
        <w:ind w:right="-720"/>
        <w:jc w:val="both"/>
        <w:rPr>
          <w:b/>
        </w:rPr>
      </w:pPr>
    </w:p>
    <w:p w:rsidR="00EB5E96" w:rsidRPr="00596A43" w:rsidP="00D73BBC" w14:paraId="657D8278" w14:textId="18C14634">
      <w:pPr>
        <w:tabs>
          <w:tab w:val="left" w:pos="-720"/>
        </w:tabs>
        <w:suppressAutoHyphens/>
        <w:jc w:val="center"/>
        <w:rPr>
          <w:b/>
        </w:rPr>
      </w:pPr>
      <w:r w:rsidRPr="00596A43">
        <w:rPr>
          <w:b/>
        </w:rPr>
        <w:t>Title:</w:t>
      </w:r>
      <w:r w:rsidR="00053EA1">
        <w:rPr>
          <w:b/>
        </w:rPr>
        <w:t xml:space="preserve">  </w:t>
      </w:r>
      <w:r w:rsidRPr="003F1520" w:rsidR="000D4D09">
        <w:rPr>
          <w:b/>
        </w:rPr>
        <w:t xml:space="preserve">The Department of Homeland Security, </w:t>
      </w:r>
      <w:r w:rsidR="00B2202D">
        <w:rPr>
          <w:b/>
        </w:rPr>
        <w:t>Emergency Communications Division</w:t>
      </w:r>
      <w:r w:rsidR="00BA7F67">
        <w:rPr>
          <w:b/>
        </w:rPr>
        <w:t>,</w:t>
      </w:r>
      <w:r w:rsidR="000D4D09">
        <w:rPr>
          <w:b/>
        </w:rPr>
        <w:t xml:space="preserve"> </w:t>
      </w:r>
      <w:r w:rsidR="006678C7">
        <w:rPr>
          <w:b/>
        </w:rPr>
        <w:t>Communications Assets Survey and Mapping (CASM) Tool</w:t>
      </w:r>
      <w:r w:rsidR="00BA7F67">
        <w:rPr>
          <w:b/>
        </w:rPr>
        <w:t xml:space="preserve"> </w:t>
      </w:r>
      <w:r w:rsidR="00547F8A">
        <w:rPr>
          <w:b/>
        </w:rPr>
        <w:t>R</w:t>
      </w:r>
      <w:r w:rsidR="00BA7F67">
        <w:rPr>
          <w:b/>
        </w:rPr>
        <w:t xml:space="preserve">egistration </w:t>
      </w:r>
      <w:r w:rsidR="00547F8A">
        <w:rPr>
          <w:b/>
        </w:rPr>
        <w:t>F</w:t>
      </w:r>
      <w:r w:rsidR="00BA7F67">
        <w:rPr>
          <w:b/>
        </w:rPr>
        <w:t>orm</w:t>
      </w:r>
    </w:p>
    <w:p w:rsidR="00EB5E96" w:rsidRPr="00596A43" w:rsidP="00D73BBC" w14:paraId="1B031894" w14:textId="77777777">
      <w:pPr>
        <w:tabs>
          <w:tab w:val="left" w:pos="-720"/>
        </w:tabs>
        <w:suppressAutoHyphens/>
        <w:jc w:val="center"/>
        <w:rPr>
          <w:b/>
        </w:rPr>
      </w:pPr>
    </w:p>
    <w:p w:rsidR="00EB5E96" w:rsidRPr="00596A43" w:rsidP="00D73BBC" w14:paraId="60D29737" w14:textId="69B751AC">
      <w:pPr>
        <w:tabs>
          <w:tab w:val="left" w:pos="-720"/>
        </w:tabs>
        <w:suppressAutoHyphens/>
        <w:jc w:val="center"/>
        <w:rPr>
          <w:b/>
        </w:rPr>
      </w:pPr>
      <w:r w:rsidRPr="00596A43">
        <w:rPr>
          <w:b/>
        </w:rPr>
        <w:t xml:space="preserve">OMB Control Number:  </w:t>
      </w:r>
      <w:r w:rsidRPr="00596A43" w:rsidR="000A6FC5">
        <w:rPr>
          <w:b/>
        </w:rPr>
        <w:t>1670-</w:t>
      </w:r>
      <w:r w:rsidR="00E53FF2">
        <w:rPr>
          <w:b/>
        </w:rPr>
        <w:t>0043</w:t>
      </w:r>
    </w:p>
    <w:p w:rsidR="00EB5E96" w:rsidP="00D73BBC" w14:paraId="0A0014B1" w14:textId="77777777">
      <w:pPr>
        <w:tabs>
          <w:tab w:val="left" w:pos="-720"/>
        </w:tabs>
        <w:suppressAutoHyphens/>
        <w:jc w:val="center"/>
      </w:pPr>
    </w:p>
    <w:p w:rsidR="009F06EB" w:rsidRPr="00CB393B" w:rsidP="00D73BBC" w14:paraId="40267982" w14:textId="77777777">
      <w:pPr>
        <w:tabs>
          <w:tab w:val="left" w:pos="-720"/>
        </w:tabs>
        <w:suppressAutoHyphens/>
        <w:jc w:val="center"/>
        <w:rPr>
          <w:b/>
        </w:rPr>
      </w:pPr>
      <w:r w:rsidRPr="00CB393B">
        <w:rPr>
          <w:b/>
        </w:rPr>
        <w:t>Supporting Statement A</w:t>
      </w:r>
    </w:p>
    <w:p w:rsidR="009F06EB" w:rsidRPr="00596A43" w:rsidP="000C4293" w14:paraId="1F103457" w14:textId="77777777">
      <w:pPr>
        <w:tabs>
          <w:tab w:val="left" w:pos="-720"/>
        </w:tabs>
        <w:suppressAutoHyphens/>
        <w:jc w:val="both"/>
      </w:pPr>
    </w:p>
    <w:p w:rsidR="00EB5E96" w:rsidRPr="00596A43" w:rsidP="000C4293" w14:paraId="4BB4A55A" w14:textId="77777777">
      <w:pPr>
        <w:pStyle w:val="Heading1"/>
        <w:jc w:val="both"/>
        <w:rPr>
          <w:sz w:val="24"/>
          <w:szCs w:val="24"/>
        </w:rPr>
      </w:pPr>
      <w:r w:rsidRPr="00596A43">
        <w:rPr>
          <w:sz w:val="24"/>
          <w:szCs w:val="24"/>
        </w:rPr>
        <w:t>A.  Justification</w:t>
      </w:r>
    </w:p>
    <w:p w:rsidR="00EB5E96" w:rsidRPr="00596A43" w:rsidP="000C4293" w14:paraId="6C384CED" w14:textId="77777777">
      <w:pPr>
        <w:tabs>
          <w:tab w:val="left" w:pos="-720"/>
        </w:tabs>
        <w:suppressAutoHyphens/>
        <w:jc w:val="both"/>
      </w:pPr>
    </w:p>
    <w:p w:rsidR="00EB5E96" w:rsidRPr="00596A43" w:rsidP="000C4293" w14:paraId="46EC1B21"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596A43" w:rsidP="000C4293" w14:paraId="6AD9A4B7" w14:textId="77777777">
      <w:pPr>
        <w:tabs>
          <w:tab w:val="left" w:pos="-720"/>
        </w:tabs>
        <w:suppressAutoHyphens/>
        <w:jc w:val="both"/>
      </w:pPr>
    </w:p>
    <w:p w:rsidR="00187248" w:rsidP="000C4293" w14:paraId="66783B0B" w14:textId="3E096C1E">
      <w:pPr>
        <w:tabs>
          <w:tab w:val="left" w:pos="-720"/>
        </w:tabs>
        <w:suppressAutoHyphens/>
        <w:jc w:val="both"/>
        <w:rPr>
          <w:spacing w:val="-3"/>
        </w:rPr>
      </w:pPr>
      <w:r w:rsidRPr="00E53FF2">
        <w:rPr>
          <w:spacing w:val="-3"/>
        </w:rPr>
        <w:t>The Department of Homeland Security (DHS) Cybersecurity and Infrastructure Security Agency (CISA) Emergency Communications Division (ECD), formed under Title XVIII of the Homeland Security Act of 2002, 6 U.S.C. § 571 et seq., as amended, is required, pursuant to 6 U.S.C. § 572, to develop and maintain the Nation</w:t>
      </w:r>
      <w:r w:rsidR="00DF4B31">
        <w:rPr>
          <w:spacing w:val="-3"/>
        </w:rPr>
        <w:t>al</w:t>
      </w:r>
      <w:r w:rsidRPr="00E53FF2">
        <w:rPr>
          <w:spacing w:val="-3"/>
        </w:rPr>
        <w:t xml:space="preserve"> Emergency Communications Plan (NECP).  The vision of the NECP is to ensure emergency response personnel can communicate as needed, on demand, and as authorized.  To achieve this vision, ECD provides the Communications Assets and Survey Mapping (CASM) tool.  The CASM tool is the primary resource nationwide for the emergency communications community to inventory and share asset and training information for the purpose of planning public safety communications operability and interoperability.</w:t>
      </w:r>
    </w:p>
    <w:p w:rsidR="00EC4220" w:rsidRPr="00596A43" w:rsidP="000C4293" w14:paraId="2D7DFC40" w14:textId="77777777">
      <w:pPr>
        <w:tabs>
          <w:tab w:val="left" w:pos="-720"/>
        </w:tabs>
        <w:suppressAutoHyphens/>
        <w:jc w:val="both"/>
        <w:rPr>
          <w:b/>
          <w:spacing w:val="-3"/>
          <w:u w:val="single"/>
        </w:rPr>
      </w:pPr>
    </w:p>
    <w:p w:rsidR="00EB5E96" w:rsidRPr="00596A43" w:rsidP="000C4293" w14:paraId="5542E24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D73BBC" w:rsidP="00D73BBC" w14:paraId="01EF1B55" w14:textId="77777777">
      <w:pPr>
        <w:tabs>
          <w:tab w:val="left" w:pos="-720"/>
        </w:tabs>
        <w:suppressAutoHyphens/>
        <w:jc w:val="both"/>
        <w:rPr>
          <w:i/>
          <w:spacing w:val="-3"/>
          <w:sz w:val="20"/>
        </w:rPr>
      </w:pPr>
    </w:p>
    <w:p w:rsidR="00E53FF2" w:rsidP="00E53FF2" w14:paraId="3E4011F5" w14:textId="6E661605">
      <w:pPr>
        <w:tabs>
          <w:tab w:val="left" w:pos="-720"/>
        </w:tabs>
        <w:suppressAutoHyphens/>
        <w:jc w:val="both"/>
      </w:pPr>
      <w:r>
        <w:t>ECD</w:t>
      </w:r>
      <w:r>
        <w:t xml:space="preserve"> provides the Communications Assets Survey and Mapping (CASM) Tool as a secure and free nationwide database to contain communications capabilities for use by Federal, State, Local, Territorial, and Tribal (SLTT) emergency personnel.  CASM allows Federal employees and SLTT Statewide Interoperability Coordinators (SWIC) to inventory emergency communication equipment and resources.   The information entered is voluntary and used by SWIC to support tactical planning and coordination during emergencies.  </w:t>
      </w:r>
      <w:r w:rsidR="000E2B1B">
        <w:t>ECD</w:t>
      </w:r>
      <w:r>
        <w:t xml:space="preserve"> does not utilize the information entered into CASM.  </w:t>
      </w:r>
      <w:r w:rsidR="000E2B1B">
        <w:t xml:space="preserve">ECD </w:t>
      </w:r>
      <w:r>
        <w:t xml:space="preserve">only provides, maintains, and stores the information entered in the CASM database and only has administrative access to the information entered.   </w:t>
      </w:r>
    </w:p>
    <w:p w:rsidR="00E53FF2" w:rsidP="00E53FF2" w14:paraId="7F66A3D7" w14:textId="77777777">
      <w:pPr>
        <w:tabs>
          <w:tab w:val="left" w:pos="-720"/>
        </w:tabs>
        <w:suppressAutoHyphens/>
        <w:jc w:val="both"/>
      </w:pPr>
    </w:p>
    <w:p w:rsidR="00E53FF2" w:rsidRPr="00E53FF2" w:rsidP="00E53FF2" w14:paraId="3AFDB90C" w14:textId="46C49A77">
      <w:pPr>
        <w:tabs>
          <w:tab w:val="left" w:pos="-720"/>
        </w:tabs>
        <w:suppressAutoHyphens/>
        <w:jc w:val="both"/>
        <w:rPr>
          <w:u w:val="single"/>
        </w:rPr>
      </w:pPr>
      <w:r w:rsidRPr="00E53FF2">
        <w:rPr>
          <w:u w:val="single"/>
        </w:rPr>
        <w:t xml:space="preserve">CASM Registration </w:t>
      </w:r>
    </w:p>
    <w:p w:rsidR="000F649A" w:rsidP="00E53FF2" w14:paraId="5D5FB4A1" w14:textId="4D6FF87E">
      <w:pPr>
        <w:tabs>
          <w:tab w:val="left" w:pos="-720"/>
        </w:tabs>
        <w:suppressAutoHyphens/>
        <w:jc w:val="both"/>
      </w:pPr>
      <w:r>
        <w:t>To get access to the CASM Tool, users click on the “Request New Access” link on the CASM login page (</w:t>
      </w:r>
      <w:hyperlink r:id="rId10" w:history="1">
        <w:r w:rsidRPr="00506C7F" w:rsidR="00DF4B31">
          <w:rPr>
            <w:rStyle w:val="Hyperlink"/>
          </w:rPr>
          <w:t>www.cisa.gov/safecom/casm-tool</w:t>
        </w:r>
      </w:hyperlink>
      <w:r w:rsidR="00DF4B31">
        <w:t>)</w:t>
      </w:r>
      <w:r>
        <w:t xml:space="preserve">. The registration requires that users enter their name, contact information, reason for their access request, type of data to access, and access level.  Once entered, the access request is routed to their organization’s approving authority. Once the organization’s approving authority vets and authorizes the access request, the user account is automatically </w:t>
      </w:r>
      <w:r w:rsidR="00DF4B31">
        <w:t>created,</w:t>
      </w:r>
      <w:r>
        <w:t xml:space="preserve"> and users are notified via an auto-generated email.  </w:t>
      </w:r>
    </w:p>
    <w:p w:rsidR="00DF4B31" w:rsidP="00EC4220" w14:paraId="29E505EB" w14:textId="77777777">
      <w:pPr>
        <w:tabs>
          <w:tab w:val="left" w:pos="-720"/>
        </w:tabs>
        <w:suppressAutoHyphens/>
        <w:jc w:val="both"/>
        <w:rPr>
          <w:u w:val="single"/>
        </w:rPr>
      </w:pPr>
    </w:p>
    <w:p w:rsidR="00DF4B31" w:rsidP="00EC4220" w14:paraId="4DA7FBEF" w14:textId="77777777">
      <w:pPr>
        <w:tabs>
          <w:tab w:val="left" w:pos="-720"/>
        </w:tabs>
        <w:suppressAutoHyphens/>
        <w:jc w:val="both"/>
        <w:rPr>
          <w:u w:val="single"/>
        </w:rPr>
      </w:pPr>
    </w:p>
    <w:p w:rsidR="000F649A" w:rsidRPr="000F649A" w:rsidP="00EC4220" w14:paraId="3BA16512" w14:textId="5220C164">
      <w:pPr>
        <w:tabs>
          <w:tab w:val="left" w:pos="-720"/>
        </w:tabs>
        <w:suppressAutoHyphens/>
        <w:jc w:val="both"/>
        <w:rPr>
          <w:u w:val="single"/>
        </w:rPr>
      </w:pPr>
      <w:r w:rsidRPr="000F649A">
        <w:rPr>
          <w:u w:val="single"/>
        </w:rPr>
        <w:t xml:space="preserve">CASM </w:t>
      </w:r>
      <w:r w:rsidR="006A69D5">
        <w:rPr>
          <w:u w:val="single"/>
        </w:rPr>
        <w:t>Modules</w:t>
      </w:r>
      <w:r w:rsidRPr="000F649A">
        <w:rPr>
          <w:u w:val="single"/>
        </w:rPr>
        <w:t xml:space="preserve"> </w:t>
      </w:r>
    </w:p>
    <w:p w:rsidR="008F7407" w:rsidP="00EC4220" w14:paraId="1398DAFD" w14:textId="02C03B2B">
      <w:pPr>
        <w:tabs>
          <w:tab w:val="left" w:pos="-720"/>
        </w:tabs>
        <w:suppressAutoHyphens/>
        <w:jc w:val="both"/>
      </w:pPr>
      <w:r w:rsidRPr="00E53FF2">
        <w:t xml:space="preserve">The CASM consists of voluntary modules related to the different types of capabilities. There is a module for Assets, which contains information about emergency equipment, the equipment capabilities and location.   There is a Personnel module, which contains personnel name, contact information and information about their Communications Unit (COMU) training.  The Personnel module allows SWICs to track their personnel’s COMU training.  </w:t>
      </w:r>
    </w:p>
    <w:p w:rsidR="00E53FF2" w:rsidRPr="00596A43" w:rsidP="00EC4220" w14:paraId="57991E2A" w14:textId="77777777">
      <w:pPr>
        <w:tabs>
          <w:tab w:val="left" w:pos="-720"/>
        </w:tabs>
        <w:suppressAutoHyphens/>
        <w:jc w:val="both"/>
      </w:pPr>
    </w:p>
    <w:p w:rsidR="00EB5E96" w:rsidRPr="00596A43" w:rsidP="000C4293" w14:paraId="6A15E57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00EB5E96" w:rsidRPr="00596A43" w:rsidP="000C4293" w14:paraId="6511D47C" w14:textId="77777777">
      <w:pPr>
        <w:tabs>
          <w:tab w:val="left" w:pos="-720"/>
        </w:tabs>
        <w:suppressAutoHyphens/>
        <w:jc w:val="both"/>
      </w:pPr>
    </w:p>
    <w:p w:rsidR="0068412F" w:rsidP="0024181E" w14:paraId="78117E59" w14:textId="53231A7C">
      <w:pPr>
        <w:tabs>
          <w:tab w:val="left" w:pos="-720"/>
        </w:tabs>
        <w:suppressAutoHyphens/>
        <w:jc w:val="both"/>
      </w:pPr>
      <w:r w:rsidRPr="006B3952">
        <w:t xml:space="preserve">All information is collected via electronic means.  The CASM </w:t>
      </w:r>
      <w:r w:rsidRPr="006B3952" w:rsidR="000F649A">
        <w:t xml:space="preserve">registration and database </w:t>
      </w:r>
      <w:r w:rsidRPr="006B3952">
        <w:t>tool is available online via</w:t>
      </w:r>
      <w:r w:rsidRPr="006B3952" w:rsidR="000F649A">
        <w:t xml:space="preserve"> </w:t>
      </w:r>
      <w:hyperlink r:id="rId11" w:history="1">
        <w:r w:rsidRPr="00637819" w:rsidR="00250803">
          <w:rPr>
            <w:rStyle w:val="Hyperlink"/>
          </w:rPr>
          <w:t>https://casm.dhs.gov/</w:t>
        </w:r>
      </w:hyperlink>
      <w:r w:rsidRPr="006B3952" w:rsidR="000F649A">
        <w:t>.   Users can also access and enter information via the CASM Resource Finder mobile app.</w:t>
      </w:r>
      <w:r w:rsidR="000F649A">
        <w:t xml:space="preserve"> </w:t>
      </w:r>
    </w:p>
    <w:p w:rsidR="0068412F" w:rsidP="0024181E" w14:paraId="52290C59" w14:textId="77777777">
      <w:pPr>
        <w:tabs>
          <w:tab w:val="left" w:pos="-720"/>
        </w:tabs>
        <w:suppressAutoHyphens/>
        <w:jc w:val="both"/>
      </w:pPr>
    </w:p>
    <w:p w:rsidR="00E14FC3" w:rsidRPr="00596A43" w:rsidP="000C4293" w14:paraId="0BCBA174" w14:textId="77777777">
      <w:pPr>
        <w:tabs>
          <w:tab w:val="left" w:pos="-720"/>
        </w:tabs>
        <w:suppressAutoHyphens/>
        <w:jc w:val="both"/>
      </w:pPr>
    </w:p>
    <w:p w:rsidR="00EB5E96" w:rsidRPr="00596A43" w:rsidP="000C4293" w14:paraId="1DFDA0E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rsidR="00EB5E96" w:rsidRPr="00596A43" w:rsidP="000C4293" w14:paraId="2613905F" w14:textId="77777777">
      <w:pPr>
        <w:tabs>
          <w:tab w:val="left" w:pos="-720"/>
        </w:tabs>
        <w:suppressAutoHyphens/>
        <w:jc w:val="both"/>
      </w:pPr>
      <w:r w:rsidRPr="00596A43">
        <w:fldChar w:fldCharType="begin"/>
      </w:r>
      <w:r w:rsidRPr="00596A43">
        <w:instrText>ADVANCE \R 0.95</w:instrText>
      </w:r>
      <w:r w:rsidRPr="00596A43">
        <w:fldChar w:fldCharType="end"/>
      </w:r>
    </w:p>
    <w:p w:rsidR="00EB5E96" w:rsidP="000C4293" w14:paraId="5796520B" w14:textId="6C9E2837">
      <w:pPr>
        <w:tabs>
          <w:tab w:val="left" w:pos="-720"/>
        </w:tabs>
        <w:suppressAutoHyphens/>
        <w:jc w:val="both"/>
      </w:pPr>
      <w:r>
        <w:t>A search of reginfo.gov revealed that t</w:t>
      </w:r>
      <w:r w:rsidRPr="000C6B9E" w:rsidR="000C6B9E">
        <w:t xml:space="preserve">his information is </w:t>
      </w:r>
      <w:r w:rsidR="000C6B9E">
        <w:t xml:space="preserve">specific to the </w:t>
      </w:r>
      <w:r w:rsidR="00226A81">
        <w:t xml:space="preserve">ECD </w:t>
      </w:r>
      <w:r w:rsidR="000C6B9E">
        <w:t xml:space="preserve">Technical Assistance program and as such is </w:t>
      </w:r>
      <w:r w:rsidRPr="000C6B9E" w:rsidR="000C6B9E">
        <w:t xml:space="preserve">not </w:t>
      </w:r>
      <w:r w:rsidR="002850AF">
        <w:t xml:space="preserve">otherwise </w:t>
      </w:r>
      <w:r w:rsidRPr="000C6B9E" w:rsidR="000C6B9E">
        <w:t>collected in any form and not duplicated elsewhere.</w:t>
      </w:r>
    </w:p>
    <w:p w:rsidR="00AA3F82" w:rsidRPr="00596A43" w:rsidP="000C4293" w14:paraId="3CD65F6A" w14:textId="77777777">
      <w:pPr>
        <w:tabs>
          <w:tab w:val="left" w:pos="-720"/>
        </w:tabs>
        <w:suppressAutoHyphens/>
        <w:jc w:val="both"/>
      </w:pPr>
    </w:p>
    <w:p w:rsidR="00EB5E96" w:rsidRPr="00596A43" w:rsidP="000C4293" w14:paraId="0717432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00EB5E96" w:rsidRPr="00596A43" w:rsidP="000C4293" w14:paraId="2278A469" w14:textId="77777777">
      <w:pPr>
        <w:tabs>
          <w:tab w:val="left" w:pos="-720"/>
        </w:tabs>
        <w:suppressAutoHyphens/>
        <w:jc w:val="both"/>
        <w:rPr>
          <w:spacing w:val="-3"/>
        </w:rPr>
      </w:pPr>
    </w:p>
    <w:p w:rsidR="00EB5E96" w:rsidP="000C4293" w14:paraId="0948172E" w14:textId="77777777">
      <w:pPr>
        <w:tabs>
          <w:tab w:val="left" w:pos="-720"/>
        </w:tabs>
        <w:suppressAutoHyphens/>
        <w:jc w:val="both"/>
        <w:rPr>
          <w:spacing w:val="-3"/>
        </w:rPr>
      </w:pPr>
      <w:r w:rsidRPr="002850AF">
        <w:rPr>
          <w:spacing w:val="-3"/>
        </w:rPr>
        <w:t>This information collection does not impact small businesses or other small entities.</w:t>
      </w:r>
    </w:p>
    <w:p w:rsidR="00AA3F82" w:rsidRPr="00596A43" w:rsidP="000C4293" w14:paraId="2DADFAAE" w14:textId="77777777">
      <w:pPr>
        <w:tabs>
          <w:tab w:val="left" w:pos="-720"/>
        </w:tabs>
        <w:suppressAutoHyphens/>
        <w:jc w:val="both"/>
        <w:rPr>
          <w:spacing w:val="-3"/>
        </w:rPr>
      </w:pPr>
    </w:p>
    <w:p w:rsidR="00EB5E96" w:rsidRPr="00596A43" w:rsidP="000C4293" w14:paraId="0676BD2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00EB5E96" w:rsidRPr="00596A43" w:rsidP="000C4293" w14:paraId="14444AA1" w14:textId="77777777">
      <w:pPr>
        <w:tabs>
          <w:tab w:val="left" w:pos="-720"/>
        </w:tabs>
        <w:suppressAutoHyphens/>
        <w:jc w:val="both"/>
        <w:rPr>
          <w:spacing w:val="-3"/>
        </w:rPr>
      </w:pPr>
    </w:p>
    <w:p w:rsidR="005D7769" w:rsidP="000C4293" w14:paraId="1AEFCFD1" w14:textId="0A79AAB0">
      <w:pPr>
        <w:tabs>
          <w:tab w:val="left" w:pos="-720"/>
        </w:tabs>
        <w:suppressAutoHyphens/>
        <w:jc w:val="both"/>
        <w:rPr>
          <w:spacing w:val="-3"/>
        </w:rPr>
      </w:pPr>
      <w:r w:rsidRPr="008F7407">
        <w:rPr>
          <w:spacing w:val="-3"/>
        </w:rPr>
        <w:t xml:space="preserve">If </w:t>
      </w:r>
      <w:r w:rsidR="00226A81">
        <w:rPr>
          <w:spacing w:val="-3"/>
        </w:rPr>
        <w:t>ECD</w:t>
      </w:r>
      <w:r w:rsidRPr="008F7407" w:rsidR="00226A81">
        <w:rPr>
          <w:spacing w:val="-3"/>
        </w:rPr>
        <w:t xml:space="preserve"> </w:t>
      </w:r>
      <w:r w:rsidRPr="008F7407">
        <w:rPr>
          <w:spacing w:val="-3"/>
        </w:rPr>
        <w:t xml:space="preserve">does not </w:t>
      </w:r>
      <w:r w:rsidRPr="008F7407" w:rsidR="008F78DB">
        <w:rPr>
          <w:spacing w:val="-3"/>
        </w:rPr>
        <w:t>provide</w:t>
      </w:r>
      <w:r w:rsidRPr="008F7407">
        <w:rPr>
          <w:spacing w:val="-3"/>
        </w:rPr>
        <w:t xml:space="preserve"> this </w:t>
      </w:r>
      <w:r w:rsidRPr="008F7407" w:rsidR="008F78DB">
        <w:rPr>
          <w:spacing w:val="-3"/>
        </w:rPr>
        <w:t>database</w:t>
      </w:r>
      <w:r w:rsidR="00C55AB5">
        <w:rPr>
          <w:spacing w:val="-3"/>
        </w:rPr>
        <w:t>,</w:t>
      </w:r>
      <w:r w:rsidRPr="008F7407">
        <w:rPr>
          <w:spacing w:val="-3"/>
        </w:rPr>
        <w:t xml:space="preserve"> </w:t>
      </w:r>
      <w:r w:rsidRPr="008F7407" w:rsidR="008F78DB">
        <w:rPr>
          <w:spacing w:val="-3"/>
        </w:rPr>
        <w:t>emergency personnel</w:t>
      </w:r>
      <w:r w:rsidRPr="008F7407">
        <w:rPr>
          <w:spacing w:val="-3"/>
        </w:rPr>
        <w:t xml:space="preserve"> will not be able to </w:t>
      </w:r>
      <w:r w:rsidRPr="008F7407" w:rsidR="008F78DB">
        <w:rPr>
          <w:spacing w:val="-3"/>
        </w:rPr>
        <w:t>share inventory of emergency equipment and assets, which reduce</w:t>
      </w:r>
      <w:r w:rsidRPr="008F7407" w:rsidR="008F7407">
        <w:rPr>
          <w:spacing w:val="-3"/>
        </w:rPr>
        <w:t>s</w:t>
      </w:r>
      <w:r w:rsidRPr="008F7407" w:rsidR="008F78DB">
        <w:rPr>
          <w:spacing w:val="-3"/>
        </w:rPr>
        <w:t xml:space="preserve"> the ability to </w:t>
      </w:r>
      <w:r w:rsidRPr="008F7407" w:rsidR="008F7407">
        <w:rPr>
          <w:spacing w:val="-3"/>
        </w:rPr>
        <w:t xml:space="preserve">prepare for, </w:t>
      </w:r>
      <w:r w:rsidRPr="008F7407" w:rsidR="008F78DB">
        <w:rPr>
          <w:spacing w:val="-3"/>
        </w:rPr>
        <w:t>communicate</w:t>
      </w:r>
      <w:r w:rsidRPr="008F7407" w:rsidR="008F7407">
        <w:rPr>
          <w:spacing w:val="-3"/>
        </w:rPr>
        <w:t xml:space="preserve"> and respond</w:t>
      </w:r>
      <w:r w:rsidRPr="008F7407" w:rsidR="008F78DB">
        <w:rPr>
          <w:spacing w:val="-3"/>
        </w:rPr>
        <w:t xml:space="preserve"> during emergencies</w:t>
      </w:r>
      <w:r w:rsidRPr="008F7407">
        <w:rPr>
          <w:spacing w:val="-3"/>
        </w:rPr>
        <w:t xml:space="preserve">.  </w:t>
      </w:r>
    </w:p>
    <w:p w:rsidR="00AA3F82" w:rsidRPr="00596A43" w:rsidP="000C4293" w14:paraId="7D0449C8" w14:textId="77777777">
      <w:pPr>
        <w:tabs>
          <w:tab w:val="left" w:pos="-720"/>
        </w:tabs>
        <w:suppressAutoHyphens/>
        <w:jc w:val="both"/>
        <w:rPr>
          <w:spacing w:val="-3"/>
        </w:rPr>
      </w:pPr>
    </w:p>
    <w:p w:rsidR="00EB5E96" w:rsidRPr="00596A43" w:rsidP="000C4293" w14:paraId="288F7B1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00EB5E96" w:rsidRPr="00596A43" w:rsidP="000C4293" w14:paraId="2371D788" w14:textId="77777777">
      <w:pPr>
        <w:shd w:val="pct25" w:color="auto" w:fill="FFFFFF"/>
        <w:tabs>
          <w:tab w:val="left" w:pos="-720"/>
        </w:tabs>
        <w:suppressAutoHyphens/>
        <w:jc w:val="both"/>
      </w:pPr>
    </w:p>
    <w:p w:rsidR="00EB5E96" w:rsidRPr="00596A43" w:rsidP="00AE41B7" w14:paraId="61663C65"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rsidR="00EB5E96" w:rsidRPr="00596A43" w:rsidP="00AE41B7" w14:paraId="2A27CD2D" w14:textId="77777777">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rsidR="00EB5E96" w:rsidRPr="00596A43" w:rsidP="000C4293" w14:paraId="53F7130F"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rsidR="00EB5E96" w:rsidRPr="00596A43" w:rsidP="00AE41B7" w14:paraId="48A30CE0"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rsidR="00EB5E96" w:rsidRPr="00596A43" w:rsidP="00AE41B7" w14:paraId="3231D2D4"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rsidR="00EB5E96" w:rsidRPr="00596A43" w:rsidP="00AE41B7" w14:paraId="3C71E69B"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rsidR="00AE41B7">
        <w:t>(</w:t>
      </w:r>
      <w:r w:rsidRPr="00596A43">
        <w:t>f) Requiring the use of a statistical data classification that has not been reviewed and approved by OMB.</w:t>
      </w:r>
    </w:p>
    <w:p w:rsidR="00EB5E96" w:rsidRPr="00596A43" w:rsidP="00AE41B7" w14:paraId="78A8AF1B"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596A43" w:rsidP="00AE41B7" w14:paraId="7A52A71A"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002B0649" w:rsidRPr="00596A43" w:rsidP="000C4293" w14:paraId="4FE179DE" w14:textId="77777777">
      <w:pPr>
        <w:tabs>
          <w:tab w:val="left" w:pos="-720"/>
        </w:tabs>
        <w:suppressAutoHyphens/>
        <w:ind w:left="144"/>
        <w:jc w:val="both"/>
      </w:pPr>
      <w:r w:rsidRPr="00596A43">
        <w:fldChar w:fldCharType="begin"/>
      </w:r>
      <w:r w:rsidRPr="00596A43">
        <w:instrText>ADVANCE \R 0.95</w:instrText>
      </w:r>
      <w:r w:rsidRPr="00596A43">
        <w:fldChar w:fldCharType="end"/>
      </w:r>
    </w:p>
    <w:p w:rsidR="00AE41B7" w:rsidP="000C4293" w14:paraId="180D295F" w14:textId="77777777">
      <w:pPr>
        <w:tabs>
          <w:tab w:val="left" w:pos="-720"/>
        </w:tabs>
        <w:suppressAutoHyphens/>
        <w:jc w:val="both"/>
      </w:pPr>
      <w:r w:rsidRPr="002850AF">
        <w:t>The special circumstances contained in item 7 of the Supporting Statement are not applicable to this information collection.</w:t>
      </w:r>
    </w:p>
    <w:p w:rsidR="002850AF" w:rsidRPr="00596A43" w:rsidP="000C4293" w14:paraId="4BF8CE52" w14:textId="77777777">
      <w:pPr>
        <w:tabs>
          <w:tab w:val="left" w:pos="-720"/>
        </w:tabs>
        <w:suppressAutoHyphens/>
        <w:jc w:val="both"/>
      </w:pPr>
    </w:p>
    <w:p w:rsidR="00EB5E96" w:rsidRPr="00596A43" w:rsidP="004C21F8" w14:paraId="230FEB18"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00BF3DDA" w:rsidRPr="00596A43" w:rsidP="00E73458" w14:paraId="34BAC040"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3DDA" w:rsidP="004C21F8" w14:paraId="7B6E2A7E" w14:textId="77777777">
      <w:pPr>
        <w:shd w:val="pct25" w:color="auto" w:fill="auto"/>
        <w:tabs>
          <w:tab w:val="left" w:pos="-720"/>
        </w:tabs>
        <w:suppressAutoHyphens/>
        <w:jc w:val="both"/>
      </w:pPr>
    </w:p>
    <w:p w:rsidR="00BF3DDA" w:rsidP="004C21F8" w14:paraId="4C611C68" w14:textId="77777777">
      <w:pPr>
        <w:shd w:val="pct25" w:color="auto" w:fill="auto"/>
        <w:tabs>
          <w:tab w:val="left" w:pos="-720"/>
        </w:tabs>
        <w:suppressAutoHyphens/>
        <w:jc w:val="both"/>
      </w:pP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F3DDA" w:rsidRPr="00313DB6" w:rsidP="004C21F8" w14:paraId="448BACB4" w14:textId="77777777">
      <w:pPr>
        <w:shd w:val="pct25" w:color="auto" w:fill="auto"/>
        <w:tabs>
          <w:tab w:val="left" w:pos="-720"/>
        </w:tabs>
        <w:suppressAutoHyphens/>
        <w:jc w:val="both"/>
        <w:rPr>
          <w:color w:val="FFFFFF"/>
        </w:rPr>
      </w:pPr>
    </w:p>
    <w:p w:rsidR="00EB5E96" w:rsidRPr="00596A43" w:rsidP="004C21F8" w14:paraId="3D6D56F3"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rsidR="00146E48">
        <w:t>c. Describe</w:t>
      </w:r>
      <w:r w:rsidRPr="00596A43">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26AD6EC9" w14:textId="77777777">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7"/>
        <w:gridCol w:w="1522"/>
        <w:gridCol w:w="1214"/>
        <w:gridCol w:w="1877"/>
        <w:gridCol w:w="1188"/>
        <w:gridCol w:w="1392"/>
      </w:tblGrid>
      <w:tr w14:paraId="36D01F78" w14:textId="77777777" w:rsidTr="00E76E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57" w:type="dxa"/>
            <w:shd w:val="clear" w:color="auto" w:fill="000000"/>
          </w:tcPr>
          <w:p w:rsidR="00E73458" w:rsidP="00D73965" w14:paraId="667FEBEF" w14:textId="77777777">
            <w:pPr>
              <w:tabs>
                <w:tab w:val="left" w:pos="-720"/>
              </w:tabs>
              <w:suppressAutoHyphens/>
              <w:jc w:val="both"/>
            </w:pPr>
          </w:p>
        </w:tc>
        <w:tc>
          <w:tcPr>
            <w:tcW w:w="1522" w:type="dxa"/>
            <w:shd w:val="clear" w:color="auto" w:fill="BFBFBF"/>
          </w:tcPr>
          <w:p w:rsidR="00E73458" w:rsidRPr="00E73458" w:rsidP="00D73965" w14:paraId="548B24A3" w14:textId="77777777">
            <w:pPr>
              <w:tabs>
                <w:tab w:val="left" w:pos="-720"/>
              </w:tabs>
              <w:suppressAutoHyphens/>
              <w:jc w:val="center"/>
              <w:rPr>
                <w:b/>
              </w:rPr>
            </w:pPr>
            <w:r w:rsidRPr="00E73458">
              <w:rPr>
                <w:b/>
              </w:rPr>
              <w:t>Date of Publication</w:t>
            </w:r>
          </w:p>
        </w:tc>
        <w:tc>
          <w:tcPr>
            <w:tcW w:w="1214" w:type="dxa"/>
            <w:shd w:val="clear" w:color="auto" w:fill="BFBFBF"/>
            <w:vAlign w:val="center"/>
          </w:tcPr>
          <w:p w:rsidR="00E73458" w:rsidRPr="00E73458" w:rsidP="00D73965" w14:paraId="790961DF" w14:textId="77777777">
            <w:pPr>
              <w:tabs>
                <w:tab w:val="left" w:pos="-720"/>
              </w:tabs>
              <w:suppressAutoHyphens/>
              <w:jc w:val="center"/>
              <w:rPr>
                <w:b/>
              </w:rPr>
            </w:pPr>
            <w:r w:rsidRPr="00E73458">
              <w:rPr>
                <w:b/>
              </w:rPr>
              <w:t>Volume #</w:t>
            </w:r>
          </w:p>
        </w:tc>
        <w:tc>
          <w:tcPr>
            <w:tcW w:w="1877" w:type="dxa"/>
            <w:shd w:val="clear" w:color="auto" w:fill="BFBFBF"/>
            <w:vAlign w:val="center"/>
          </w:tcPr>
          <w:p w:rsidR="00E73458" w:rsidRPr="00E73458" w:rsidP="00D73965" w14:paraId="77FC8DFC" w14:textId="77777777">
            <w:pPr>
              <w:tabs>
                <w:tab w:val="left" w:pos="-720"/>
              </w:tabs>
              <w:suppressAutoHyphens/>
              <w:jc w:val="center"/>
              <w:rPr>
                <w:b/>
              </w:rPr>
            </w:pPr>
            <w:r w:rsidRPr="00E73458">
              <w:rPr>
                <w:b/>
              </w:rPr>
              <w:t>Number #</w:t>
            </w:r>
          </w:p>
        </w:tc>
        <w:tc>
          <w:tcPr>
            <w:tcW w:w="1188" w:type="dxa"/>
            <w:shd w:val="clear" w:color="auto" w:fill="BFBFBF"/>
            <w:vAlign w:val="center"/>
          </w:tcPr>
          <w:p w:rsidR="00E73458" w:rsidRPr="00E73458" w:rsidP="00D73965" w14:paraId="2EE004FE" w14:textId="77777777">
            <w:pPr>
              <w:tabs>
                <w:tab w:val="left" w:pos="-720"/>
              </w:tabs>
              <w:suppressAutoHyphens/>
              <w:jc w:val="center"/>
              <w:rPr>
                <w:b/>
              </w:rPr>
            </w:pPr>
            <w:r w:rsidRPr="00E73458">
              <w:rPr>
                <w:b/>
              </w:rPr>
              <w:t>Page #</w:t>
            </w:r>
          </w:p>
        </w:tc>
        <w:tc>
          <w:tcPr>
            <w:tcW w:w="1392" w:type="dxa"/>
            <w:shd w:val="clear" w:color="auto" w:fill="BFBFBF"/>
          </w:tcPr>
          <w:p w:rsidR="00E73458" w:rsidRPr="00E73458" w:rsidP="00D73965" w14:paraId="632C5545" w14:textId="77777777">
            <w:pPr>
              <w:tabs>
                <w:tab w:val="left" w:pos="-720"/>
              </w:tabs>
              <w:suppressAutoHyphens/>
              <w:jc w:val="center"/>
              <w:rPr>
                <w:b/>
              </w:rPr>
            </w:pPr>
            <w:r w:rsidRPr="00E73458">
              <w:rPr>
                <w:b/>
              </w:rPr>
              <w:t>Comments Addressed</w:t>
            </w:r>
          </w:p>
        </w:tc>
      </w:tr>
      <w:tr w14:paraId="3C9D8085" w14:textId="77777777" w:rsidTr="008A5DC5">
        <w:tblPrEx>
          <w:tblW w:w="0" w:type="auto"/>
          <w:tblLook w:val="04A0"/>
        </w:tblPrEx>
        <w:tc>
          <w:tcPr>
            <w:tcW w:w="2157" w:type="dxa"/>
            <w:vAlign w:val="center"/>
          </w:tcPr>
          <w:p w:rsidR="00E76E43" w:rsidRPr="008F4B01" w:rsidP="00E76E43" w14:paraId="69540B8B" w14:textId="5A24A6B7">
            <w:pPr>
              <w:tabs>
                <w:tab w:val="left" w:pos="-720"/>
              </w:tabs>
              <w:suppressAutoHyphens/>
              <w:jc w:val="center"/>
              <w:rPr>
                <w:i/>
                <w:color w:val="000000"/>
              </w:rPr>
            </w:pPr>
            <w:r w:rsidRPr="00D3411B">
              <w:rPr>
                <w:i/>
              </w:rPr>
              <w:t>60</w:t>
            </w:r>
            <w:r>
              <w:rPr>
                <w:i/>
              </w:rPr>
              <w:t>-</w:t>
            </w:r>
            <w:r w:rsidRPr="00D3411B">
              <w:rPr>
                <w:i/>
              </w:rPr>
              <w:t>Day Federal Register Notice:</w:t>
            </w:r>
          </w:p>
        </w:tc>
        <w:tc>
          <w:tcPr>
            <w:tcW w:w="1522" w:type="dxa"/>
            <w:vAlign w:val="center"/>
          </w:tcPr>
          <w:p w:rsidR="00E76E43" w:rsidRPr="008F4B01" w:rsidP="00E76E43" w14:paraId="584BC23D" w14:textId="3E6F236D">
            <w:pPr>
              <w:tabs>
                <w:tab w:val="left" w:pos="-720"/>
              </w:tabs>
              <w:suppressAutoHyphens/>
              <w:jc w:val="center"/>
              <w:rPr>
                <w:color w:val="000000"/>
              </w:rPr>
            </w:pPr>
            <w:r>
              <w:rPr>
                <w:color w:val="000000"/>
              </w:rPr>
              <w:t>11/</w:t>
            </w:r>
            <w:r w:rsidR="008048A4">
              <w:rPr>
                <w:color w:val="000000"/>
              </w:rPr>
              <w:t>04/2022</w:t>
            </w:r>
          </w:p>
        </w:tc>
        <w:tc>
          <w:tcPr>
            <w:tcW w:w="1214" w:type="dxa"/>
            <w:vAlign w:val="center"/>
          </w:tcPr>
          <w:p w:rsidR="00E76E43" w:rsidRPr="008F4B01" w:rsidP="008A5DC5" w14:paraId="6D6789D4" w14:textId="79945F4E">
            <w:pPr>
              <w:jc w:val="center"/>
              <w:rPr>
                <w:color w:val="000000"/>
              </w:rPr>
            </w:pPr>
            <w:r>
              <w:rPr>
                <w:color w:val="000000"/>
              </w:rPr>
              <w:t>87</w:t>
            </w:r>
          </w:p>
        </w:tc>
        <w:tc>
          <w:tcPr>
            <w:tcW w:w="1877" w:type="dxa"/>
            <w:vAlign w:val="center"/>
          </w:tcPr>
          <w:p w:rsidR="00E76E43" w:rsidRPr="008F4B01" w:rsidP="008A5DC5" w14:paraId="381F8AE5" w14:textId="2BD343D6">
            <w:pPr>
              <w:jc w:val="center"/>
              <w:rPr>
                <w:color w:val="000000"/>
              </w:rPr>
            </w:pPr>
            <w:r>
              <w:rPr>
                <w:color w:val="000000"/>
              </w:rPr>
              <w:t>213</w:t>
            </w:r>
          </w:p>
        </w:tc>
        <w:tc>
          <w:tcPr>
            <w:tcW w:w="1188" w:type="dxa"/>
            <w:vAlign w:val="center"/>
          </w:tcPr>
          <w:p w:rsidR="00E76E43" w:rsidRPr="008F4B01" w:rsidP="008A5DC5" w14:paraId="2D2036DA" w14:textId="4DB9559E">
            <w:pPr>
              <w:jc w:val="center"/>
              <w:rPr>
                <w:color w:val="000000"/>
              </w:rPr>
            </w:pPr>
            <w:r>
              <w:rPr>
                <w:color w:val="000000"/>
              </w:rPr>
              <w:t>66719-66720</w:t>
            </w:r>
          </w:p>
        </w:tc>
        <w:tc>
          <w:tcPr>
            <w:tcW w:w="1392" w:type="dxa"/>
            <w:vAlign w:val="center"/>
          </w:tcPr>
          <w:p w:rsidR="00E76E43" w:rsidRPr="008F4B01" w:rsidP="008A5DC5" w14:paraId="47E523DC" w14:textId="72ABD4B1">
            <w:pPr>
              <w:jc w:val="center"/>
              <w:rPr>
                <w:color w:val="000000"/>
              </w:rPr>
            </w:pPr>
            <w:r>
              <w:rPr>
                <w:color w:val="000000"/>
              </w:rPr>
              <w:t>0</w:t>
            </w:r>
          </w:p>
        </w:tc>
      </w:tr>
      <w:tr w14:paraId="0614EC0E" w14:textId="77777777" w:rsidTr="008A5DC5">
        <w:tblPrEx>
          <w:tblW w:w="0" w:type="auto"/>
          <w:tblLook w:val="04A0"/>
        </w:tblPrEx>
        <w:tc>
          <w:tcPr>
            <w:tcW w:w="2157" w:type="dxa"/>
            <w:vAlign w:val="center"/>
          </w:tcPr>
          <w:p w:rsidR="00E76E43" w:rsidRPr="008F4B01" w:rsidP="00E76E43" w14:paraId="015840BE" w14:textId="64B0DB4F">
            <w:pPr>
              <w:tabs>
                <w:tab w:val="left" w:pos="-720"/>
              </w:tabs>
              <w:suppressAutoHyphens/>
              <w:jc w:val="center"/>
              <w:rPr>
                <w:color w:val="000000"/>
              </w:rPr>
            </w:pPr>
            <w:r w:rsidRPr="00D3411B">
              <w:rPr>
                <w:i/>
              </w:rPr>
              <w:t>30-Day Federal Register Notice</w:t>
            </w:r>
          </w:p>
        </w:tc>
        <w:tc>
          <w:tcPr>
            <w:tcW w:w="1522" w:type="dxa"/>
          </w:tcPr>
          <w:p w:rsidR="00E76E43" w:rsidRPr="008F4B01" w:rsidP="00E76E43" w14:paraId="31B86502" w14:textId="3D18291B">
            <w:pPr>
              <w:tabs>
                <w:tab w:val="left" w:pos="-720"/>
              </w:tabs>
              <w:suppressAutoHyphens/>
              <w:jc w:val="center"/>
              <w:rPr>
                <w:color w:val="000000"/>
              </w:rPr>
            </w:pPr>
            <w:r>
              <w:rPr>
                <w:color w:val="000000"/>
              </w:rPr>
              <w:t>2/</w:t>
            </w:r>
            <w:r w:rsidR="00A621C4">
              <w:rPr>
                <w:color w:val="000000"/>
              </w:rPr>
              <w:t>28/2023</w:t>
            </w:r>
          </w:p>
        </w:tc>
        <w:tc>
          <w:tcPr>
            <w:tcW w:w="1214" w:type="dxa"/>
            <w:vAlign w:val="center"/>
          </w:tcPr>
          <w:p w:rsidR="00E76E43" w:rsidRPr="008F4B01" w:rsidP="008A5DC5" w14:paraId="0A07C91C" w14:textId="58D744B7">
            <w:pPr>
              <w:jc w:val="center"/>
              <w:rPr>
                <w:color w:val="000000"/>
              </w:rPr>
            </w:pPr>
            <w:r>
              <w:rPr>
                <w:color w:val="000000"/>
              </w:rPr>
              <w:t>88</w:t>
            </w:r>
          </w:p>
        </w:tc>
        <w:tc>
          <w:tcPr>
            <w:tcW w:w="1877" w:type="dxa"/>
            <w:vAlign w:val="center"/>
          </w:tcPr>
          <w:p w:rsidR="00E76E43" w:rsidRPr="008F4B01" w:rsidP="008A5DC5" w14:paraId="67BAEBCF" w14:textId="5F22D8C4">
            <w:pPr>
              <w:jc w:val="center"/>
              <w:rPr>
                <w:color w:val="000000"/>
              </w:rPr>
            </w:pPr>
            <w:r>
              <w:rPr>
                <w:color w:val="000000"/>
              </w:rPr>
              <w:t>39</w:t>
            </w:r>
          </w:p>
        </w:tc>
        <w:tc>
          <w:tcPr>
            <w:tcW w:w="1188" w:type="dxa"/>
            <w:vAlign w:val="center"/>
          </w:tcPr>
          <w:p w:rsidR="00E76E43" w:rsidRPr="008F4B01" w:rsidP="008A5DC5" w14:paraId="08F541FA" w14:textId="7172C5BC">
            <w:pPr>
              <w:jc w:val="center"/>
              <w:rPr>
                <w:color w:val="000000"/>
              </w:rPr>
            </w:pPr>
            <w:r>
              <w:rPr>
                <w:color w:val="000000"/>
              </w:rPr>
              <w:t>12690-12691</w:t>
            </w:r>
          </w:p>
        </w:tc>
        <w:tc>
          <w:tcPr>
            <w:tcW w:w="1392" w:type="dxa"/>
            <w:vAlign w:val="center"/>
          </w:tcPr>
          <w:p w:rsidR="00E76E43" w:rsidRPr="008F4B01" w:rsidP="008A5DC5" w14:paraId="43F0C07A" w14:textId="3FEA4EAC">
            <w:pPr>
              <w:jc w:val="center"/>
              <w:rPr>
                <w:color w:val="000000"/>
              </w:rPr>
            </w:pPr>
          </w:p>
        </w:tc>
      </w:tr>
    </w:tbl>
    <w:p w:rsidR="00E73458" w:rsidRPr="008F4B01" w:rsidP="000C4293" w14:paraId="6BB07F7E" w14:textId="77777777">
      <w:pPr>
        <w:tabs>
          <w:tab w:val="left" w:pos="-720"/>
        </w:tabs>
        <w:suppressAutoHyphens/>
        <w:jc w:val="both"/>
        <w:rPr>
          <w:color w:val="000000"/>
        </w:rPr>
      </w:pPr>
    </w:p>
    <w:p w:rsidR="00816F49" w:rsidP="000C4293" w14:paraId="6D17FDA1" w14:textId="77777777">
      <w:pPr>
        <w:tabs>
          <w:tab w:val="left" w:pos="-720"/>
        </w:tabs>
        <w:suppressAutoHyphens/>
        <w:jc w:val="both"/>
      </w:pPr>
    </w:p>
    <w:p w:rsidR="00AA3F82" w:rsidRPr="00596A43" w:rsidP="000C4293" w14:paraId="4C6A093E" w14:textId="77777777">
      <w:pPr>
        <w:tabs>
          <w:tab w:val="left" w:pos="-720"/>
        </w:tabs>
        <w:suppressAutoHyphens/>
        <w:jc w:val="both"/>
      </w:pPr>
    </w:p>
    <w:p w:rsidR="00EB5E96" w:rsidRPr="00596A43" w:rsidP="000C4293" w14:paraId="1AF15DD3"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00EB5E96" w:rsidRPr="00596A43" w:rsidP="000C4293" w14:paraId="38A93A60" w14:textId="77777777">
      <w:pPr>
        <w:tabs>
          <w:tab w:val="left" w:pos="-720"/>
        </w:tabs>
        <w:suppressAutoHyphens/>
        <w:jc w:val="both"/>
      </w:pPr>
    </w:p>
    <w:p w:rsidR="00303A0D" w:rsidRPr="005B56AC" w:rsidP="00303A0D" w14:paraId="4F313CBB" w14:textId="77777777">
      <w:r w:rsidRPr="005B56AC">
        <w:t>There is no offer of monetary or material value for this information collection.</w:t>
      </w:r>
    </w:p>
    <w:p w:rsidR="000A4447" w:rsidRPr="00596A43" w:rsidP="000A4447" w14:paraId="2EF3B331" w14:textId="77777777">
      <w:pPr>
        <w:tabs>
          <w:tab w:val="left" w:pos="-720"/>
        </w:tabs>
        <w:suppressAutoHyphens/>
      </w:pPr>
    </w:p>
    <w:p w:rsidR="00EB5E96" w:rsidRPr="00596A43" w:rsidP="000C4293" w14:paraId="562E2FC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00EB5E96" w:rsidRPr="00596A43" w:rsidP="000C4293" w14:paraId="44EC8C83" w14:textId="77777777">
      <w:pPr>
        <w:tabs>
          <w:tab w:val="left" w:pos="-720"/>
        </w:tabs>
        <w:suppressAutoHyphens/>
        <w:jc w:val="both"/>
      </w:pPr>
      <w:r w:rsidRPr="00596A43">
        <w:fldChar w:fldCharType="begin"/>
      </w:r>
      <w:r w:rsidRPr="00596A43">
        <w:instrText>ADVANCE \R 0.95</w:instrText>
      </w:r>
      <w:r w:rsidRPr="00596A43">
        <w:fldChar w:fldCharType="end"/>
      </w:r>
    </w:p>
    <w:p w:rsidR="00F03DDE" w:rsidRPr="00BB1B6C" w:rsidP="00F03DDE" w14:paraId="41D74A8B" w14:textId="77777777">
      <w:pPr>
        <w:rPr>
          <w:spacing w:val="-3"/>
        </w:rPr>
      </w:pPr>
      <w:r w:rsidRPr="00BB1B6C">
        <w:rPr>
          <w:spacing w:val="-3"/>
        </w:rPr>
        <w:t xml:space="preserve">While there are no assurances of confidentiality, information is protected by the Privacy Act of 1974 and is kept private or anonymous to the extent allowable by law.  </w:t>
      </w:r>
    </w:p>
    <w:p w:rsidR="00F03DDE" w:rsidRPr="00BB1B6C" w:rsidP="00F03DDE" w14:paraId="7B537EE0" w14:textId="77777777">
      <w:pPr>
        <w:rPr>
          <w:spacing w:val="-3"/>
        </w:rPr>
      </w:pPr>
    </w:p>
    <w:p w:rsidR="00F03DDE" w:rsidRPr="00BB1B6C" w:rsidP="00F03DDE" w14:paraId="4D37430C" w14:textId="48672DB0">
      <w:pPr>
        <w:rPr>
          <w:spacing w:val="-3"/>
        </w:rPr>
      </w:pPr>
      <w:r w:rsidRPr="00BB1B6C">
        <w:rPr>
          <w:spacing w:val="-3"/>
        </w:rPr>
        <w:t>The DHS Privacy Office review finds that this is a privacy sensitive collection requiring a Privacy Impact Assessment (PIA) and System of Records Notice (SORN).  The collection is covered by PIA – DHS/ALL/PIA-006 DHS General Contacts List and SORN – DHS/ALL-002 DHS Mailing and Other Lists System, 73 FR 71659 (Nov. 25, 2008</w:t>
      </w:r>
      <w:r w:rsidR="00FF7C5A">
        <w:rPr>
          <w:spacing w:val="-3"/>
        </w:rPr>
        <w:t>) and SORN – DHS/ALL-004 General Information Technology Access Account Records System (GITAARS), 77 FR 70792 (Nov. 27, 2012)</w:t>
      </w:r>
      <w:r w:rsidRPr="00BB1B6C">
        <w:rPr>
          <w:spacing w:val="-3"/>
        </w:rPr>
        <w:t xml:space="preserve">. </w:t>
      </w:r>
    </w:p>
    <w:p w:rsidR="000955D6" w:rsidP="000955D6" w14:paraId="5C13FDF2" w14:textId="77777777"/>
    <w:p w:rsidR="00CA7AF8" w:rsidP="000C4293" w14:paraId="1A4223D3" w14:textId="36A8CC4B">
      <w:pPr>
        <w:tabs>
          <w:tab w:val="left" w:pos="-720"/>
        </w:tabs>
        <w:suppressAutoHyphens/>
        <w:jc w:val="both"/>
      </w:pPr>
    </w:p>
    <w:p w:rsidR="00EB5E96" w:rsidRPr="00596A43" w:rsidP="000C4293" w14:paraId="7665279F" w14:textId="77777777">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596A43" w:rsidP="000C4293" w14:paraId="21ADF407" w14:textId="77777777">
      <w:pPr>
        <w:shd w:val="clear" w:color="auto" w:fill="FFFFFF"/>
        <w:tabs>
          <w:tab w:val="left" w:pos="-720"/>
        </w:tabs>
        <w:suppressAutoHyphens/>
        <w:jc w:val="both"/>
      </w:pPr>
    </w:p>
    <w:p w:rsidR="00303A0D" w:rsidRPr="005B56AC" w:rsidP="00303A0D" w14:paraId="29776E5C" w14:textId="77777777">
      <w:r w:rsidRPr="005B56AC">
        <w:t>There are no questions of sensitive nature.</w:t>
      </w:r>
    </w:p>
    <w:p w:rsidR="00AA3F82" w:rsidRPr="00596A43" w:rsidP="000C4293" w14:paraId="65D193A4" w14:textId="77777777">
      <w:pPr>
        <w:shd w:val="clear" w:color="auto" w:fill="FFFFFF"/>
        <w:tabs>
          <w:tab w:val="left" w:pos="-720"/>
        </w:tabs>
        <w:suppressAutoHyphens/>
        <w:jc w:val="both"/>
      </w:pPr>
    </w:p>
    <w:p w:rsidR="00EB5E96" w:rsidRPr="00596A43" w:rsidP="000C4293" w14:paraId="3419DAB6"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00EB5E96" w:rsidRPr="00596A43" w:rsidP="000C4293" w14:paraId="5EE853A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rsidR="00146E48">
        <w:t>a. Indicate</w:t>
      </w:r>
      <w:r w:rsidRPr="00596A43">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B5E96" w:rsidRPr="00596A43" w:rsidP="000C4293" w14:paraId="11DF12B4" w14:textId="77777777">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rsidR="00EB5E96" w:rsidRPr="00596A43" w:rsidP="000C4293" w14:paraId="35DD4AB9" w14:textId="77777777">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B68FA" w:rsidRPr="00596A43" w:rsidP="003B68FA" w14:paraId="0588720E" w14:textId="77777777">
      <w:pPr>
        <w:tabs>
          <w:tab w:val="left" w:pos="-720"/>
        </w:tabs>
        <w:suppressAutoHyphens/>
        <w:jc w:val="both"/>
      </w:pPr>
    </w:p>
    <w:p w:rsidR="000B50AB" w:rsidP="00303A0D" w14:paraId="2865CAA9" w14:textId="7B629D2E">
      <w:r>
        <w:t xml:space="preserve">ECD </w:t>
      </w:r>
      <w:r w:rsidRPr="002D535D" w:rsidR="00303A0D">
        <w:t>estimates that stakeholders (</w:t>
      </w:r>
      <w:r>
        <w:t xml:space="preserve">i.e., SLTT emergency personnel including </w:t>
      </w:r>
      <w:r w:rsidRPr="002D535D" w:rsidR="00303A0D">
        <w:t>police, fire, EMS, emergency managers, dispatchers, radio operators</w:t>
      </w:r>
      <w:r w:rsidRPr="002D535D" w:rsidR="006D71F1">
        <w:t>, government workers, etc.) enter equipment and training capabilities into the CASM tool</w:t>
      </w:r>
      <w:r w:rsidRPr="002D535D" w:rsidR="00303A0D">
        <w:t xml:space="preserve">.  </w:t>
      </w:r>
      <w:r w:rsidR="00B833C9">
        <w:t xml:space="preserve">Each </w:t>
      </w:r>
      <w:r w:rsidR="00BA5124">
        <w:t xml:space="preserve">SLTT appoints a single point of contact for emergency response coordination called a Statewide Interoperability Coordinator (SWIC). </w:t>
      </w:r>
      <w:r w:rsidR="00B833C9">
        <w:t xml:space="preserve"> Therefore, it estimated that there can be </w:t>
      </w:r>
      <w:r w:rsidR="00BA5124">
        <w:t xml:space="preserve">a total of 56 respondents for the CASM registration and tool.  </w:t>
      </w:r>
    </w:p>
    <w:p w:rsidR="000B50AB" w:rsidP="00303A0D" w14:paraId="566CAD17" w14:textId="77777777"/>
    <w:p w:rsidR="006D71F1" w:rsidP="00303A0D" w14:paraId="5E8C2434" w14:textId="75649764">
      <w:r>
        <w:t xml:space="preserve">ECD </w:t>
      </w:r>
      <w:r w:rsidRPr="002D535D" w:rsidR="00C00322">
        <w:t xml:space="preserve">estimates that it takes </w:t>
      </w:r>
      <w:r w:rsidR="009756AD">
        <w:t xml:space="preserve">a </w:t>
      </w:r>
      <w:r w:rsidR="00BA5124">
        <w:t>SWIC</w:t>
      </w:r>
      <w:r w:rsidRPr="002D535D" w:rsidR="00C00322">
        <w:t xml:space="preserve"> approximately </w:t>
      </w:r>
      <w:r w:rsidR="000B50AB">
        <w:t>0.08 hours (</w:t>
      </w:r>
      <w:r w:rsidRPr="002D535D" w:rsidR="00C00322">
        <w:t>5 minutes</w:t>
      </w:r>
      <w:r w:rsidR="000B50AB">
        <w:t>)</w:t>
      </w:r>
      <w:r w:rsidRPr="002D535D" w:rsidR="00C00322">
        <w:t xml:space="preserve"> to complete the request to register for the CASM tool.  </w:t>
      </w:r>
      <w:r w:rsidR="00226A81">
        <w:t>DHS</w:t>
      </w:r>
      <w:r w:rsidRPr="002D535D" w:rsidR="00226A81">
        <w:t xml:space="preserve"> </w:t>
      </w:r>
      <w:r w:rsidRPr="002D535D">
        <w:t>estimated</w:t>
      </w:r>
      <w:r w:rsidRPr="002D535D" w:rsidR="00303A0D">
        <w:t xml:space="preserve"> the total time required to </w:t>
      </w:r>
      <w:r w:rsidRPr="002D535D">
        <w:t xml:space="preserve">enter information into the CASM </w:t>
      </w:r>
      <w:r w:rsidR="00C00322">
        <w:t>modules is</w:t>
      </w:r>
      <w:r w:rsidRPr="002D535D">
        <w:t xml:space="preserve"> approximately </w:t>
      </w:r>
      <w:r w:rsidR="000B50AB">
        <w:t>0.5 hours (</w:t>
      </w:r>
      <w:r w:rsidRPr="002D535D">
        <w:t>30 minutes</w:t>
      </w:r>
      <w:r w:rsidR="000B50AB">
        <w:t>)</w:t>
      </w:r>
      <w:r w:rsidRPr="002D535D">
        <w:t xml:space="preserve"> per submission. </w:t>
      </w:r>
    </w:p>
    <w:p w:rsidR="00BF2339" w:rsidRPr="002D535D" w:rsidP="00303A0D" w14:paraId="30CECDF3" w14:textId="0F0E7661">
      <w:r>
        <w:t xml:space="preserve">To estimate the labor costs for the respondents (including stakeholders and SWICs), </w:t>
      </w:r>
      <w:r w:rsidR="00226A81">
        <w:t xml:space="preserve">DHS </w:t>
      </w:r>
      <w:r>
        <w:t xml:space="preserve">uses the average hourly compensation rate for State and local government workers.  </w:t>
      </w:r>
      <w:r w:rsidR="00226A81">
        <w:t xml:space="preserve">DHS </w:t>
      </w:r>
      <w:r>
        <w:t>used Bureau of Labor Statistics (BLS) data to estimate the average hourly wage rate for State and local government staff for all occupations.</w:t>
      </w:r>
      <w:r>
        <w:rPr>
          <w:rStyle w:val="FootnoteReference"/>
        </w:rPr>
        <w:footnoteReference w:id="2"/>
      </w:r>
      <w:r>
        <w:t xml:space="preserve">  The weighted average hourly wage rate for State and local government workers is $</w:t>
      </w:r>
      <w:r w:rsidR="00B96768">
        <w:t>2</w:t>
      </w:r>
      <w:r w:rsidR="00666FCA">
        <w:t>9</w:t>
      </w:r>
      <w:r w:rsidR="00B96768">
        <w:t>.4</w:t>
      </w:r>
      <w:r w:rsidR="00666FCA">
        <w:t>5</w:t>
      </w:r>
      <w:r>
        <w:t>.</w:t>
      </w:r>
      <w:r>
        <w:rPr>
          <w:rStyle w:val="FootnoteReference"/>
        </w:rPr>
        <w:footnoteReference w:id="3"/>
      </w:r>
      <w:r w:rsidRPr="005B56AC">
        <w:t xml:space="preserve">  </w:t>
      </w:r>
      <w:r>
        <w:t xml:space="preserve">To account for benefits, </w:t>
      </w:r>
      <w:r w:rsidR="00226A81">
        <w:t xml:space="preserve">DHS </w:t>
      </w:r>
      <w:r>
        <w:t>multiplies this average hourly wage rate by a compensation factor of 1.</w:t>
      </w:r>
      <w:r w:rsidR="00B96768">
        <w:t>616</w:t>
      </w:r>
      <w:r w:rsidR="00666FCA">
        <w:t>3</w:t>
      </w:r>
      <w:r>
        <w:rPr>
          <w:rStyle w:val="FootnoteReference"/>
        </w:rPr>
        <w:footnoteReference w:id="4"/>
      </w:r>
      <w:r>
        <w:t>, which is the ratio of total compensation to salaries and wages.  The average hourly compensation rate is $4</w:t>
      </w:r>
      <w:r w:rsidR="00666FCA">
        <w:t>7</w:t>
      </w:r>
      <w:r w:rsidR="00B96768">
        <w:t>.</w:t>
      </w:r>
      <w:r w:rsidR="00666FCA">
        <w:t>6</w:t>
      </w:r>
      <w:r w:rsidR="00B96768">
        <w:t>0</w:t>
      </w:r>
      <w:r>
        <w:t>.</w:t>
      </w:r>
      <w:r>
        <w:rPr>
          <w:rStyle w:val="FootnoteReference"/>
        </w:rPr>
        <w:footnoteReference w:id="5"/>
      </w:r>
      <w:r>
        <w:t xml:space="preserve">  </w:t>
      </w:r>
    </w:p>
    <w:p w:rsidR="00C00322" w:rsidP="00303A0D" w14:paraId="4155C3AB" w14:textId="77777777"/>
    <w:p w:rsidR="00303A0D" w:rsidRPr="002D535D" w:rsidP="00303A0D" w14:paraId="4A320ABC" w14:textId="06D86264">
      <w:r w:rsidRPr="002D535D">
        <w:t xml:space="preserve">Therefore, the total annual burden associated with the proposed elements of this collection is </w:t>
      </w:r>
      <w:r w:rsidR="000B50AB">
        <w:t>0.58 hours (</w:t>
      </w:r>
      <w:r w:rsidR="00BF2339">
        <w:t xml:space="preserve">35 </w:t>
      </w:r>
      <w:r w:rsidRPr="002D535D">
        <w:t>minutes</w:t>
      </w:r>
      <w:r w:rsidR="000B50AB">
        <w:t>)</w:t>
      </w:r>
      <w:r w:rsidR="008B7880">
        <w:t xml:space="preserve"> per response</w:t>
      </w:r>
      <w:r w:rsidRPr="002D535D">
        <w:t xml:space="preserve">.  For an estimated </w:t>
      </w:r>
      <w:r w:rsidR="00BF2339">
        <w:t>56</w:t>
      </w:r>
      <w:r w:rsidRPr="002D535D" w:rsidR="00BF2339">
        <w:t xml:space="preserve"> </w:t>
      </w:r>
      <w:r w:rsidRPr="002D535D">
        <w:t xml:space="preserve">respondents, the burden is </w:t>
      </w:r>
      <w:r w:rsidR="00BF2339">
        <w:t xml:space="preserve">341 </w:t>
      </w:r>
      <w:r w:rsidRPr="002D535D">
        <w:t>hours</w:t>
      </w:r>
      <w:r w:rsidR="008B7880">
        <w:t xml:space="preserve"> per year</w:t>
      </w:r>
      <w:r w:rsidRPr="002D535D">
        <w:t xml:space="preserve">.  At a rate of </w:t>
      </w:r>
      <w:r w:rsidRPr="002D535D" w:rsidR="00BF2339">
        <w:t>$</w:t>
      </w:r>
      <w:r w:rsidR="00BF2339">
        <w:t>4</w:t>
      </w:r>
      <w:r w:rsidR="004B2088">
        <w:t>7.60</w:t>
      </w:r>
      <w:r w:rsidRPr="002D535D" w:rsidR="00BF2339">
        <w:t xml:space="preserve"> </w:t>
      </w:r>
      <w:r w:rsidRPr="002D535D">
        <w:t xml:space="preserve">per hour, the dollar value of the total annual burden hours associated with the existing elements of this information collection equals </w:t>
      </w:r>
      <w:r w:rsidRPr="002D535D" w:rsidR="00BF2339">
        <w:t>$</w:t>
      </w:r>
      <w:r w:rsidR="00B96768">
        <w:t>1</w:t>
      </w:r>
      <w:r w:rsidR="004B2088">
        <w:t>6,215</w:t>
      </w:r>
      <w:r w:rsidRPr="002D535D" w:rsidR="00BF2339">
        <w:t>.</w:t>
      </w:r>
    </w:p>
    <w:p w:rsidR="000955D6" w:rsidRPr="002D535D" w:rsidP="00303A0D" w14:paraId="7CD2ACDA" w14:textId="77777777"/>
    <w:p w:rsidR="00575374" w:rsidRPr="002D535D" w:rsidP="008B7880" w14:paraId="393E303D" w14:textId="77777777">
      <w:r w:rsidRPr="002D535D">
        <w:t>Table A.12: Estimated Annualized Burden Hours and Costs</w:t>
      </w:r>
    </w:p>
    <w:tbl>
      <w:tblPr>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6"/>
        <w:gridCol w:w="1352"/>
        <w:gridCol w:w="1443"/>
        <w:gridCol w:w="1169"/>
        <w:gridCol w:w="1259"/>
        <w:gridCol w:w="989"/>
        <w:gridCol w:w="1167"/>
        <w:gridCol w:w="1259"/>
      </w:tblGrid>
      <w:tr w14:paraId="7E2FEB67" w14:textId="77777777" w:rsidTr="00C64605">
        <w:tblPrEx>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635" w:type="pct"/>
            <w:vMerge w:val="restart"/>
            <w:vAlign w:val="center"/>
          </w:tcPr>
          <w:p w:rsidR="00311527" w:rsidRPr="0019784C" w:rsidP="008B7880" w14:paraId="37B11269" w14:textId="5A7048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19784C">
              <w:rPr>
                <w:b/>
                <w:bCs/>
                <w:sz w:val="20"/>
                <w:szCs w:val="20"/>
              </w:rPr>
              <w:t>Form Name</w:t>
            </w:r>
          </w:p>
        </w:tc>
        <w:tc>
          <w:tcPr>
            <w:tcW w:w="683" w:type="pct"/>
            <w:tcBorders>
              <w:bottom w:val="nil"/>
            </w:tcBorders>
            <w:vAlign w:val="center"/>
          </w:tcPr>
          <w:p w:rsidR="00311527" w:rsidRPr="0019784C" w:rsidP="008B7880" w14:paraId="1F1C18B8" w14:textId="5D7437F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Number of Respondents</w:t>
            </w:r>
          </w:p>
        </w:tc>
        <w:tc>
          <w:tcPr>
            <w:tcW w:w="729" w:type="pct"/>
            <w:tcBorders>
              <w:bottom w:val="nil"/>
            </w:tcBorders>
            <w:vAlign w:val="center"/>
          </w:tcPr>
          <w:p w:rsidR="00311527" w:rsidRPr="0019784C" w:rsidP="008B7880" w14:paraId="13ED04C4" w14:textId="4E93C8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Number of Responses per Respondent</w:t>
            </w:r>
          </w:p>
        </w:tc>
        <w:tc>
          <w:tcPr>
            <w:tcW w:w="591" w:type="pct"/>
            <w:tcBorders>
              <w:bottom w:val="nil"/>
            </w:tcBorders>
            <w:vAlign w:val="center"/>
          </w:tcPr>
          <w:p w:rsidR="00311527" w:rsidRPr="0019784C" w:rsidP="00311527" w14:paraId="6E95A012" w14:textId="75E4AF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Total Responses</w:t>
            </w:r>
          </w:p>
        </w:tc>
        <w:tc>
          <w:tcPr>
            <w:tcW w:w="636" w:type="pct"/>
            <w:tcBorders>
              <w:bottom w:val="nil"/>
            </w:tcBorders>
            <w:vAlign w:val="center"/>
          </w:tcPr>
          <w:p w:rsidR="00311527" w:rsidRPr="0019784C" w:rsidP="008B7880" w14:paraId="578057DA" w14:textId="6C14A1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Average Burden per Response (hours)</w:t>
            </w:r>
          </w:p>
        </w:tc>
        <w:tc>
          <w:tcPr>
            <w:tcW w:w="500" w:type="pct"/>
            <w:tcBorders>
              <w:bottom w:val="nil"/>
            </w:tcBorders>
            <w:vAlign w:val="center"/>
          </w:tcPr>
          <w:p w:rsidR="00311527" w:rsidRPr="0019784C" w:rsidP="008B7880" w14:paraId="71B734A3" w14:textId="03FEBB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Total Annual Burden (hours)</w:t>
            </w:r>
          </w:p>
        </w:tc>
        <w:tc>
          <w:tcPr>
            <w:tcW w:w="590" w:type="pct"/>
            <w:tcBorders>
              <w:bottom w:val="nil"/>
            </w:tcBorders>
            <w:vAlign w:val="center"/>
          </w:tcPr>
          <w:p w:rsidR="00311527" w:rsidRPr="0019784C" w:rsidP="008B7880" w14:paraId="1C6B4761" w14:textId="5E7A306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Average Hourly Compensation Rate</w:t>
            </w:r>
          </w:p>
        </w:tc>
        <w:tc>
          <w:tcPr>
            <w:tcW w:w="637" w:type="pct"/>
            <w:tcBorders>
              <w:bottom w:val="nil"/>
            </w:tcBorders>
            <w:vAlign w:val="center"/>
          </w:tcPr>
          <w:p w:rsidR="00311527" w:rsidRPr="0019784C" w:rsidP="008B7880" w14:paraId="5A9E18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Total Annual Respondent Cost</w:t>
            </w:r>
          </w:p>
        </w:tc>
      </w:tr>
      <w:tr w14:paraId="3EF555BA" w14:textId="77777777" w:rsidTr="00C64605">
        <w:tblPrEx>
          <w:tblW w:w="5291" w:type="pct"/>
          <w:jc w:val="center"/>
          <w:tblLayout w:type="fixed"/>
          <w:tblLook w:val="01E0"/>
        </w:tblPrEx>
        <w:trPr>
          <w:jc w:val="center"/>
        </w:trPr>
        <w:tc>
          <w:tcPr>
            <w:tcW w:w="635" w:type="pct"/>
            <w:vMerge/>
            <w:vAlign w:val="center"/>
          </w:tcPr>
          <w:p w:rsidR="00311527" w:rsidRPr="0019784C" w:rsidP="000B50AB" w14:paraId="3F000E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p>
        </w:tc>
        <w:tc>
          <w:tcPr>
            <w:tcW w:w="683" w:type="pct"/>
            <w:tcBorders>
              <w:top w:val="nil"/>
            </w:tcBorders>
            <w:vAlign w:val="center"/>
          </w:tcPr>
          <w:p w:rsidR="00311527" w:rsidRPr="0019784C" w:rsidP="00F27289" w14:paraId="00388005" w14:textId="5B591E7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A</w:t>
            </w:r>
          </w:p>
        </w:tc>
        <w:tc>
          <w:tcPr>
            <w:tcW w:w="729" w:type="pct"/>
            <w:tcBorders>
              <w:top w:val="nil"/>
            </w:tcBorders>
            <w:vAlign w:val="center"/>
          </w:tcPr>
          <w:p w:rsidR="00311527" w:rsidRPr="0019784C" w:rsidP="00F27289" w14:paraId="1293F28C" w14:textId="7CC29F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B</w:t>
            </w:r>
          </w:p>
        </w:tc>
        <w:tc>
          <w:tcPr>
            <w:tcW w:w="591" w:type="pct"/>
            <w:tcBorders>
              <w:top w:val="nil"/>
            </w:tcBorders>
            <w:vAlign w:val="center"/>
          </w:tcPr>
          <w:p w:rsidR="00311527" w:rsidRPr="0019784C" w:rsidP="00F27289" w14:paraId="7127028A" w14:textId="695E2C99">
            <w:pPr>
              <w:jc w:val="center"/>
              <w:rPr>
                <w:b/>
                <w:sz w:val="20"/>
                <w:szCs w:val="20"/>
              </w:rPr>
            </w:pPr>
            <w:r w:rsidRPr="0019784C">
              <w:rPr>
                <w:b/>
                <w:sz w:val="20"/>
                <w:szCs w:val="20"/>
              </w:rPr>
              <w:t>C=A x B</w:t>
            </w:r>
          </w:p>
        </w:tc>
        <w:tc>
          <w:tcPr>
            <w:tcW w:w="636" w:type="pct"/>
            <w:tcBorders>
              <w:top w:val="nil"/>
            </w:tcBorders>
            <w:vAlign w:val="center"/>
          </w:tcPr>
          <w:p w:rsidR="00311527" w:rsidRPr="0019784C" w:rsidP="00F27289" w14:paraId="50CC9736" w14:textId="7D2AC6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C</w:t>
            </w:r>
          </w:p>
        </w:tc>
        <w:tc>
          <w:tcPr>
            <w:tcW w:w="500" w:type="pct"/>
            <w:tcBorders>
              <w:top w:val="nil"/>
            </w:tcBorders>
            <w:vAlign w:val="center"/>
          </w:tcPr>
          <w:p w:rsidR="00311527" w:rsidRPr="0019784C" w:rsidP="00F27289" w14:paraId="53D1DD38" w14:textId="558B86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D = A × B × C</w:t>
            </w:r>
          </w:p>
        </w:tc>
        <w:tc>
          <w:tcPr>
            <w:tcW w:w="590" w:type="pct"/>
            <w:tcBorders>
              <w:top w:val="nil"/>
            </w:tcBorders>
            <w:vAlign w:val="center"/>
          </w:tcPr>
          <w:p w:rsidR="00311527" w:rsidRPr="0019784C" w:rsidP="00F27289" w14:paraId="3520A142" w14:textId="6A426F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E</w:t>
            </w:r>
          </w:p>
        </w:tc>
        <w:tc>
          <w:tcPr>
            <w:tcW w:w="637" w:type="pct"/>
            <w:tcBorders>
              <w:top w:val="nil"/>
            </w:tcBorders>
            <w:vAlign w:val="center"/>
          </w:tcPr>
          <w:p w:rsidR="00311527" w:rsidRPr="0019784C" w:rsidP="00F27289" w14:paraId="3FD73ABE" w14:textId="48B611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0"/>
                <w:szCs w:val="20"/>
              </w:rPr>
            </w:pPr>
            <w:r w:rsidRPr="0019784C">
              <w:rPr>
                <w:b/>
                <w:bCs/>
                <w:sz w:val="20"/>
                <w:szCs w:val="20"/>
              </w:rPr>
              <w:t>F = D × E</w:t>
            </w:r>
          </w:p>
        </w:tc>
      </w:tr>
      <w:tr w14:paraId="447FB99E" w14:textId="77777777" w:rsidTr="00C64605">
        <w:tblPrEx>
          <w:tblW w:w="5291" w:type="pct"/>
          <w:jc w:val="center"/>
          <w:tblLayout w:type="fixed"/>
          <w:tblLook w:val="01E0"/>
        </w:tblPrEx>
        <w:trPr>
          <w:jc w:val="center"/>
        </w:trPr>
        <w:tc>
          <w:tcPr>
            <w:tcW w:w="635" w:type="pct"/>
            <w:vAlign w:val="center"/>
          </w:tcPr>
          <w:p w:rsidR="00B96768" w:rsidRPr="0019784C" w:rsidP="00B96768" w14:paraId="7F86097E" w14:textId="77777777">
            <w:pPr>
              <w:rPr>
                <w:color w:val="0D0D0D"/>
                <w:sz w:val="20"/>
                <w:szCs w:val="20"/>
              </w:rPr>
            </w:pPr>
            <w:r w:rsidRPr="0019784C">
              <w:rPr>
                <w:color w:val="0D0D0D"/>
                <w:sz w:val="20"/>
                <w:szCs w:val="20"/>
              </w:rPr>
              <w:t xml:space="preserve">CASM </w:t>
            </w:r>
          </w:p>
          <w:p w:rsidR="00B96768" w:rsidRPr="0019784C" w:rsidP="00B96768" w14:paraId="77AF68E2" w14:textId="7ACF5893">
            <w:pPr>
              <w:rPr>
                <w:color w:val="0D0D0D"/>
                <w:sz w:val="20"/>
                <w:szCs w:val="20"/>
              </w:rPr>
            </w:pPr>
            <w:r w:rsidRPr="0019784C">
              <w:rPr>
                <w:color w:val="0D0D0D"/>
                <w:sz w:val="20"/>
                <w:szCs w:val="20"/>
              </w:rPr>
              <w:t>Registration</w:t>
            </w:r>
          </w:p>
        </w:tc>
        <w:tc>
          <w:tcPr>
            <w:tcW w:w="683" w:type="pct"/>
            <w:vAlign w:val="center"/>
          </w:tcPr>
          <w:p w:rsidR="00B96768" w:rsidRPr="0019784C" w:rsidP="00B96768" w14:paraId="1F579AD8" w14:textId="77777777">
            <w:pPr>
              <w:jc w:val="center"/>
              <w:rPr>
                <w:color w:val="0D0D0D"/>
                <w:sz w:val="20"/>
                <w:szCs w:val="20"/>
              </w:rPr>
            </w:pPr>
            <w:r w:rsidRPr="0019784C">
              <w:rPr>
                <w:color w:val="0D0D0D"/>
                <w:sz w:val="20"/>
                <w:szCs w:val="20"/>
              </w:rPr>
              <w:t>56</w:t>
            </w:r>
          </w:p>
        </w:tc>
        <w:tc>
          <w:tcPr>
            <w:tcW w:w="729" w:type="pct"/>
            <w:vAlign w:val="center"/>
          </w:tcPr>
          <w:p w:rsidR="00B96768" w:rsidRPr="0019784C" w:rsidP="00B96768" w14:paraId="7EDC03F1" w14:textId="77777777">
            <w:pPr>
              <w:jc w:val="center"/>
              <w:rPr>
                <w:color w:val="0D0D0D"/>
                <w:sz w:val="20"/>
                <w:szCs w:val="20"/>
              </w:rPr>
            </w:pPr>
            <w:r w:rsidRPr="0019784C">
              <w:rPr>
                <w:color w:val="0D0D0D"/>
                <w:sz w:val="20"/>
                <w:szCs w:val="20"/>
              </w:rPr>
              <w:t>1</w:t>
            </w:r>
          </w:p>
        </w:tc>
        <w:tc>
          <w:tcPr>
            <w:tcW w:w="591" w:type="pct"/>
            <w:vAlign w:val="center"/>
          </w:tcPr>
          <w:p w:rsidR="00B96768" w:rsidRPr="0019784C" w:rsidP="00B96768" w14:paraId="35D8F2B5" w14:textId="349695DD">
            <w:pPr>
              <w:jc w:val="center"/>
              <w:rPr>
                <w:color w:val="0D0D0D"/>
                <w:sz w:val="20"/>
                <w:szCs w:val="20"/>
              </w:rPr>
            </w:pPr>
            <w:r w:rsidRPr="0019784C">
              <w:rPr>
                <w:color w:val="0D0D0D"/>
                <w:sz w:val="20"/>
                <w:szCs w:val="20"/>
              </w:rPr>
              <w:t>56</w:t>
            </w:r>
          </w:p>
        </w:tc>
        <w:tc>
          <w:tcPr>
            <w:tcW w:w="636" w:type="pct"/>
            <w:vAlign w:val="center"/>
          </w:tcPr>
          <w:p w:rsidR="00B96768" w:rsidRPr="0019784C" w:rsidP="00B96768" w14:paraId="0B0B5009" w14:textId="3FCCFB7E">
            <w:pPr>
              <w:jc w:val="center"/>
              <w:rPr>
                <w:color w:val="0D0D0D"/>
                <w:sz w:val="20"/>
                <w:szCs w:val="20"/>
              </w:rPr>
            </w:pPr>
            <w:r w:rsidRPr="0019784C">
              <w:rPr>
                <w:color w:val="0D0D0D"/>
                <w:sz w:val="20"/>
                <w:szCs w:val="20"/>
              </w:rPr>
              <w:t xml:space="preserve">0.08 </w:t>
            </w:r>
          </w:p>
        </w:tc>
        <w:tc>
          <w:tcPr>
            <w:tcW w:w="500" w:type="pct"/>
            <w:vAlign w:val="center"/>
          </w:tcPr>
          <w:p w:rsidR="00B96768" w:rsidRPr="0019784C" w:rsidP="00B96768" w14:paraId="4C0A1F11" w14:textId="77777777">
            <w:pPr>
              <w:jc w:val="center"/>
              <w:rPr>
                <w:color w:val="0D0D0D"/>
                <w:sz w:val="20"/>
                <w:szCs w:val="20"/>
              </w:rPr>
            </w:pPr>
            <w:r w:rsidRPr="0019784C">
              <w:rPr>
                <w:color w:val="0D0D0D"/>
                <w:sz w:val="20"/>
                <w:szCs w:val="20"/>
              </w:rPr>
              <w:t>5</w:t>
            </w:r>
          </w:p>
        </w:tc>
        <w:tc>
          <w:tcPr>
            <w:tcW w:w="590" w:type="pct"/>
            <w:vAlign w:val="center"/>
          </w:tcPr>
          <w:p w:rsidR="00B96768" w:rsidRPr="0019784C" w:rsidP="00B96768" w14:paraId="3B56B90D" w14:textId="4F398C95">
            <w:pPr>
              <w:jc w:val="center"/>
              <w:rPr>
                <w:sz w:val="20"/>
                <w:szCs w:val="20"/>
              </w:rPr>
            </w:pPr>
            <w:r w:rsidRPr="0019784C">
              <w:rPr>
                <w:color w:val="000000"/>
                <w:sz w:val="20"/>
                <w:szCs w:val="20"/>
              </w:rPr>
              <w:t>$4</w:t>
            </w:r>
            <w:r w:rsidR="00666FCA">
              <w:rPr>
                <w:color w:val="000000"/>
                <w:sz w:val="20"/>
                <w:szCs w:val="20"/>
              </w:rPr>
              <w:t>7</w:t>
            </w:r>
            <w:r w:rsidRPr="0019784C">
              <w:rPr>
                <w:color w:val="000000"/>
                <w:sz w:val="20"/>
                <w:szCs w:val="20"/>
              </w:rPr>
              <w:t>.</w:t>
            </w:r>
            <w:r w:rsidR="00666FCA">
              <w:rPr>
                <w:color w:val="000000"/>
                <w:sz w:val="20"/>
                <w:szCs w:val="20"/>
              </w:rPr>
              <w:t>6</w:t>
            </w:r>
            <w:r w:rsidRPr="0019784C">
              <w:rPr>
                <w:color w:val="000000"/>
                <w:sz w:val="20"/>
                <w:szCs w:val="20"/>
              </w:rPr>
              <w:t>0</w:t>
            </w:r>
          </w:p>
        </w:tc>
        <w:tc>
          <w:tcPr>
            <w:tcW w:w="637" w:type="pct"/>
            <w:shd w:val="clear" w:color="auto" w:fill="auto"/>
            <w:vAlign w:val="center"/>
          </w:tcPr>
          <w:p w:rsidR="00B96768" w:rsidRPr="0019784C" w:rsidP="00B96768" w14:paraId="0905F474" w14:textId="6DD320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19784C">
              <w:rPr>
                <w:color w:val="000000"/>
                <w:sz w:val="20"/>
                <w:szCs w:val="20"/>
              </w:rPr>
              <w:t>$2</w:t>
            </w:r>
            <w:r w:rsidR="004B2088">
              <w:rPr>
                <w:color w:val="000000"/>
                <w:sz w:val="20"/>
                <w:szCs w:val="20"/>
              </w:rPr>
              <w:t>22</w:t>
            </w:r>
          </w:p>
        </w:tc>
      </w:tr>
      <w:tr w14:paraId="52FEB450" w14:textId="77777777" w:rsidTr="00C64605">
        <w:tblPrEx>
          <w:tblW w:w="5291" w:type="pct"/>
          <w:jc w:val="center"/>
          <w:tblLayout w:type="fixed"/>
          <w:tblLook w:val="01E0"/>
        </w:tblPrEx>
        <w:trPr>
          <w:jc w:val="center"/>
        </w:trPr>
        <w:tc>
          <w:tcPr>
            <w:tcW w:w="635" w:type="pct"/>
            <w:vAlign w:val="center"/>
          </w:tcPr>
          <w:p w:rsidR="00B96768" w:rsidRPr="0019784C" w:rsidP="00B96768" w14:paraId="7D08EFED" w14:textId="1E7FD2F9">
            <w:pPr>
              <w:rPr>
                <w:color w:val="0D0D0D"/>
                <w:sz w:val="20"/>
                <w:szCs w:val="20"/>
              </w:rPr>
            </w:pPr>
            <w:r w:rsidRPr="0019784C">
              <w:rPr>
                <w:color w:val="0D0D0D"/>
                <w:sz w:val="20"/>
                <w:szCs w:val="20"/>
              </w:rPr>
              <w:t>CASM Modules</w:t>
            </w:r>
          </w:p>
        </w:tc>
        <w:tc>
          <w:tcPr>
            <w:tcW w:w="683" w:type="pct"/>
            <w:vAlign w:val="center"/>
          </w:tcPr>
          <w:p w:rsidR="00B96768" w:rsidRPr="0019784C" w:rsidP="00B96768" w14:paraId="5AE94BC2" w14:textId="77777777">
            <w:pPr>
              <w:jc w:val="center"/>
              <w:rPr>
                <w:color w:val="0D0D0D"/>
                <w:sz w:val="20"/>
                <w:szCs w:val="20"/>
              </w:rPr>
            </w:pPr>
            <w:r w:rsidRPr="0019784C">
              <w:rPr>
                <w:color w:val="0D0D0D"/>
                <w:sz w:val="20"/>
                <w:szCs w:val="20"/>
              </w:rPr>
              <w:t>56</w:t>
            </w:r>
          </w:p>
        </w:tc>
        <w:tc>
          <w:tcPr>
            <w:tcW w:w="729" w:type="pct"/>
            <w:vAlign w:val="center"/>
          </w:tcPr>
          <w:p w:rsidR="00B96768" w:rsidRPr="0019784C" w:rsidP="00B96768" w14:paraId="430C4AA3" w14:textId="77777777">
            <w:pPr>
              <w:jc w:val="center"/>
              <w:rPr>
                <w:color w:val="0D0D0D"/>
                <w:sz w:val="20"/>
                <w:szCs w:val="20"/>
              </w:rPr>
            </w:pPr>
            <w:r w:rsidRPr="0019784C">
              <w:rPr>
                <w:color w:val="0D0D0D"/>
                <w:sz w:val="20"/>
                <w:szCs w:val="20"/>
              </w:rPr>
              <w:t>12</w:t>
            </w:r>
          </w:p>
        </w:tc>
        <w:tc>
          <w:tcPr>
            <w:tcW w:w="591" w:type="pct"/>
            <w:vAlign w:val="center"/>
          </w:tcPr>
          <w:p w:rsidR="00B96768" w:rsidRPr="0019784C" w:rsidP="00B96768" w14:paraId="64325755" w14:textId="04DA3C3A">
            <w:pPr>
              <w:jc w:val="center"/>
              <w:rPr>
                <w:color w:val="0D0D0D"/>
                <w:sz w:val="20"/>
                <w:szCs w:val="20"/>
              </w:rPr>
            </w:pPr>
            <w:r w:rsidRPr="0019784C">
              <w:rPr>
                <w:color w:val="0D0D0D"/>
                <w:sz w:val="20"/>
                <w:szCs w:val="20"/>
              </w:rPr>
              <w:t>672</w:t>
            </w:r>
          </w:p>
        </w:tc>
        <w:tc>
          <w:tcPr>
            <w:tcW w:w="636" w:type="pct"/>
            <w:vAlign w:val="center"/>
          </w:tcPr>
          <w:p w:rsidR="00B96768" w:rsidRPr="0019784C" w:rsidP="00B96768" w14:paraId="099F50F1" w14:textId="5EE3CCBD">
            <w:pPr>
              <w:jc w:val="center"/>
              <w:rPr>
                <w:color w:val="0D0D0D"/>
                <w:sz w:val="20"/>
                <w:szCs w:val="20"/>
              </w:rPr>
            </w:pPr>
            <w:r w:rsidRPr="0019784C">
              <w:rPr>
                <w:color w:val="0D0D0D"/>
                <w:sz w:val="20"/>
                <w:szCs w:val="20"/>
              </w:rPr>
              <w:t>0.5</w:t>
            </w:r>
          </w:p>
        </w:tc>
        <w:tc>
          <w:tcPr>
            <w:tcW w:w="500" w:type="pct"/>
            <w:vAlign w:val="center"/>
          </w:tcPr>
          <w:p w:rsidR="00B96768" w:rsidRPr="0019784C" w:rsidP="00B96768" w14:paraId="3FF0EB38" w14:textId="77777777">
            <w:pPr>
              <w:jc w:val="center"/>
              <w:rPr>
                <w:color w:val="0D0D0D"/>
                <w:sz w:val="20"/>
                <w:szCs w:val="20"/>
              </w:rPr>
            </w:pPr>
            <w:r w:rsidRPr="0019784C">
              <w:rPr>
                <w:color w:val="0D0D0D"/>
                <w:sz w:val="20"/>
                <w:szCs w:val="20"/>
              </w:rPr>
              <w:t>336</w:t>
            </w:r>
          </w:p>
        </w:tc>
        <w:tc>
          <w:tcPr>
            <w:tcW w:w="590" w:type="pct"/>
            <w:vAlign w:val="center"/>
          </w:tcPr>
          <w:p w:rsidR="00B96768" w:rsidRPr="0019784C" w:rsidP="00B96768" w14:paraId="187C89A1" w14:textId="3A0F7E6A">
            <w:pPr>
              <w:jc w:val="center"/>
              <w:rPr>
                <w:sz w:val="20"/>
                <w:szCs w:val="20"/>
              </w:rPr>
            </w:pPr>
            <w:r w:rsidRPr="0019784C">
              <w:rPr>
                <w:color w:val="000000"/>
                <w:sz w:val="20"/>
                <w:szCs w:val="20"/>
              </w:rPr>
              <w:t>$4</w:t>
            </w:r>
            <w:r w:rsidR="00666FCA">
              <w:rPr>
                <w:color w:val="000000"/>
                <w:sz w:val="20"/>
                <w:szCs w:val="20"/>
              </w:rPr>
              <w:t>7</w:t>
            </w:r>
            <w:r w:rsidRPr="0019784C">
              <w:rPr>
                <w:color w:val="000000"/>
                <w:sz w:val="20"/>
                <w:szCs w:val="20"/>
              </w:rPr>
              <w:t>.</w:t>
            </w:r>
            <w:r w:rsidR="00666FCA">
              <w:rPr>
                <w:color w:val="000000"/>
                <w:sz w:val="20"/>
                <w:szCs w:val="20"/>
              </w:rPr>
              <w:t>6</w:t>
            </w:r>
            <w:r w:rsidRPr="0019784C">
              <w:rPr>
                <w:color w:val="000000"/>
                <w:sz w:val="20"/>
                <w:szCs w:val="20"/>
              </w:rPr>
              <w:t>0</w:t>
            </w:r>
          </w:p>
        </w:tc>
        <w:tc>
          <w:tcPr>
            <w:tcW w:w="637" w:type="pct"/>
            <w:shd w:val="clear" w:color="auto" w:fill="auto"/>
            <w:vAlign w:val="center"/>
          </w:tcPr>
          <w:p w:rsidR="00B96768" w:rsidRPr="0019784C" w:rsidP="00B96768" w14:paraId="7CB8A77F" w14:textId="7F7179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D0D0D"/>
                <w:sz w:val="20"/>
                <w:szCs w:val="20"/>
              </w:rPr>
            </w:pPr>
            <w:r w:rsidRPr="0019784C">
              <w:rPr>
                <w:color w:val="000000"/>
                <w:sz w:val="20"/>
                <w:szCs w:val="20"/>
              </w:rPr>
              <w:t>$15,</w:t>
            </w:r>
            <w:r w:rsidR="004B2088">
              <w:rPr>
                <w:color w:val="000000"/>
                <w:sz w:val="20"/>
                <w:szCs w:val="20"/>
              </w:rPr>
              <w:t>993</w:t>
            </w:r>
          </w:p>
        </w:tc>
      </w:tr>
      <w:tr w14:paraId="6413674A" w14:textId="77777777" w:rsidTr="00C64605">
        <w:tblPrEx>
          <w:tblW w:w="5291" w:type="pct"/>
          <w:jc w:val="center"/>
          <w:tblLayout w:type="fixed"/>
          <w:tblLook w:val="01E0"/>
        </w:tblPrEx>
        <w:trPr>
          <w:jc w:val="center"/>
        </w:trPr>
        <w:tc>
          <w:tcPr>
            <w:tcW w:w="635" w:type="pct"/>
            <w:shd w:val="clear" w:color="auto" w:fill="auto"/>
            <w:vAlign w:val="center"/>
          </w:tcPr>
          <w:p w:rsidR="00B96768" w:rsidRPr="00C64605" w:rsidP="00B96768" w14:paraId="00D7C6F1" w14:textId="76DE99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C64605">
              <w:rPr>
                <w:b/>
                <w:bCs/>
                <w:sz w:val="20"/>
                <w:szCs w:val="20"/>
              </w:rPr>
              <w:t>Total</w:t>
            </w:r>
          </w:p>
        </w:tc>
        <w:tc>
          <w:tcPr>
            <w:tcW w:w="683" w:type="pct"/>
            <w:vAlign w:val="center"/>
          </w:tcPr>
          <w:p w:rsidR="00B96768" w:rsidRPr="00C64605" w:rsidP="00B96768" w14:paraId="70F7A985" w14:textId="77777777">
            <w:pPr>
              <w:jc w:val="center"/>
              <w:rPr>
                <w:b/>
                <w:color w:val="0D0D0D"/>
                <w:sz w:val="20"/>
                <w:szCs w:val="20"/>
              </w:rPr>
            </w:pPr>
            <w:r w:rsidRPr="00C64605">
              <w:rPr>
                <w:b/>
                <w:color w:val="0D0D0D"/>
                <w:sz w:val="20"/>
                <w:szCs w:val="20"/>
              </w:rPr>
              <w:t>56</w:t>
            </w:r>
          </w:p>
        </w:tc>
        <w:tc>
          <w:tcPr>
            <w:tcW w:w="729" w:type="pct"/>
            <w:shd w:val="clear" w:color="auto" w:fill="AEAAAA" w:themeFill="background2" w:themeFillShade="BF"/>
            <w:vAlign w:val="center"/>
          </w:tcPr>
          <w:p w:rsidR="00B96768" w:rsidRPr="00C64605" w:rsidP="00B96768" w14:paraId="682F4655" w14:textId="77777777">
            <w:pPr>
              <w:jc w:val="center"/>
              <w:rPr>
                <w:b/>
                <w:color w:val="0D0D0D"/>
                <w:sz w:val="20"/>
                <w:szCs w:val="20"/>
              </w:rPr>
            </w:pPr>
          </w:p>
        </w:tc>
        <w:tc>
          <w:tcPr>
            <w:tcW w:w="591" w:type="pct"/>
            <w:vAlign w:val="center"/>
          </w:tcPr>
          <w:p w:rsidR="00B96768" w:rsidRPr="00C64605" w:rsidP="00B96768" w14:paraId="02CBDFBB" w14:textId="3BB06D68">
            <w:pPr>
              <w:jc w:val="center"/>
              <w:rPr>
                <w:b/>
                <w:color w:val="0D0D0D"/>
                <w:sz w:val="20"/>
                <w:szCs w:val="20"/>
              </w:rPr>
            </w:pPr>
            <w:r w:rsidRPr="00C64605">
              <w:rPr>
                <w:b/>
                <w:color w:val="0D0D0D"/>
                <w:sz w:val="20"/>
                <w:szCs w:val="20"/>
              </w:rPr>
              <w:t>728</w:t>
            </w:r>
          </w:p>
        </w:tc>
        <w:tc>
          <w:tcPr>
            <w:tcW w:w="636" w:type="pct"/>
            <w:shd w:val="clear" w:color="auto" w:fill="AEAAAA" w:themeFill="background2" w:themeFillShade="BF"/>
            <w:vAlign w:val="center"/>
          </w:tcPr>
          <w:p w:rsidR="00B96768" w:rsidRPr="00C64605" w:rsidP="00B96768" w14:paraId="2E361080" w14:textId="3C1B0727">
            <w:pPr>
              <w:jc w:val="center"/>
              <w:rPr>
                <w:b/>
                <w:color w:val="0D0D0D"/>
                <w:sz w:val="20"/>
                <w:szCs w:val="20"/>
              </w:rPr>
            </w:pPr>
          </w:p>
        </w:tc>
        <w:tc>
          <w:tcPr>
            <w:tcW w:w="500" w:type="pct"/>
            <w:vAlign w:val="center"/>
          </w:tcPr>
          <w:p w:rsidR="00B96768" w:rsidRPr="00C64605" w:rsidP="00B96768" w14:paraId="6B23BE90" w14:textId="77777777">
            <w:pPr>
              <w:jc w:val="center"/>
              <w:rPr>
                <w:b/>
                <w:color w:val="0D0D0D"/>
                <w:sz w:val="20"/>
                <w:szCs w:val="20"/>
              </w:rPr>
            </w:pPr>
            <w:r w:rsidRPr="00C64605">
              <w:rPr>
                <w:b/>
                <w:color w:val="0D0D0D"/>
                <w:sz w:val="20"/>
                <w:szCs w:val="20"/>
              </w:rPr>
              <w:t>341</w:t>
            </w:r>
          </w:p>
        </w:tc>
        <w:tc>
          <w:tcPr>
            <w:tcW w:w="590" w:type="pct"/>
            <w:shd w:val="clear" w:color="auto" w:fill="AEAAAA" w:themeFill="background2" w:themeFillShade="BF"/>
            <w:vAlign w:val="center"/>
          </w:tcPr>
          <w:p w:rsidR="00B96768" w:rsidRPr="00C64605" w:rsidP="00B96768" w14:paraId="55527FC4" w14:textId="1EF5905D">
            <w:pPr>
              <w:jc w:val="center"/>
              <w:rPr>
                <w:b/>
                <w:color w:val="0D0D0D"/>
                <w:sz w:val="20"/>
                <w:szCs w:val="20"/>
              </w:rPr>
            </w:pPr>
            <w:r w:rsidRPr="00C64605">
              <w:rPr>
                <w:b/>
                <w:bCs/>
                <w:color w:val="000000"/>
                <w:sz w:val="20"/>
                <w:szCs w:val="20"/>
              </w:rPr>
              <w:t> </w:t>
            </w:r>
          </w:p>
        </w:tc>
        <w:tc>
          <w:tcPr>
            <w:tcW w:w="637" w:type="pct"/>
            <w:shd w:val="clear" w:color="auto" w:fill="auto"/>
            <w:vAlign w:val="center"/>
          </w:tcPr>
          <w:p w:rsidR="00B96768" w:rsidRPr="00C64605" w:rsidP="00B96768" w14:paraId="58FC59F1" w14:textId="3F40D1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C64605">
              <w:rPr>
                <w:b/>
                <w:bCs/>
                <w:color w:val="000000"/>
                <w:sz w:val="20"/>
                <w:szCs w:val="20"/>
              </w:rPr>
              <w:t>$1</w:t>
            </w:r>
            <w:r w:rsidR="004B2088">
              <w:rPr>
                <w:b/>
                <w:bCs/>
                <w:color w:val="000000"/>
                <w:sz w:val="20"/>
                <w:szCs w:val="20"/>
              </w:rPr>
              <w:t>6,215</w:t>
            </w:r>
          </w:p>
        </w:tc>
      </w:tr>
    </w:tbl>
    <w:p w:rsidR="00303A0D" w:rsidRPr="009756AD" w:rsidP="00303A0D" w14:paraId="576E5B92" w14:textId="5F8E676C">
      <w:pPr>
        <w:rPr>
          <w:sz w:val="22"/>
        </w:rPr>
      </w:pPr>
      <w:r w:rsidRPr="009756AD">
        <w:rPr>
          <w:sz w:val="22"/>
        </w:rPr>
        <w:t>Note: Totals may not add due to rounding.</w:t>
      </w:r>
    </w:p>
    <w:p w:rsidR="009756AD" w:rsidP="00303A0D" w14:paraId="75228EE5" w14:textId="77777777"/>
    <w:p w:rsidR="00EB5E96" w:rsidRPr="00596A43" w:rsidP="000C4293" w14:paraId="3FBBDA23" w14:textId="77777777">
      <w:pPr>
        <w:shd w:val="pct25" w:color="auto" w:fill="auto"/>
        <w:tabs>
          <w:tab w:val="left" w:pos="-720"/>
        </w:tabs>
        <w:suppressAutoHyphens/>
        <w:jc w:val="both"/>
      </w:pP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EB5E96" w:rsidRPr="00596A43" w:rsidP="000C4293" w14:paraId="24AC5259" w14:textId="77777777">
      <w:pPr>
        <w:shd w:val="pct25" w:color="auto" w:fill="auto"/>
        <w:tabs>
          <w:tab w:val="left" w:pos="-720"/>
        </w:tabs>
        <w:suppressAutoHyphens/>
        <w:jc w:val="both"/>
      </w:pPr>
    </w:p>
    <w:p w:rsidR="00EB5E96" w:rsidRPr="00596A43" w:rsidP="000C4293" w14:paraId="01DFEDD0" w14:textId="61651BBD">
      <w:pPr>
        <w:pStyle w:val="BodyText3"/>
        <w:tabs>
          <w:tab w:val="clear" w:pos="720"/>
          <w:tab w:val="left" w:pos="810"/>
        </w:tabs>
        <w:jc w:val="both"/>
        <w:rPr>
          <w:sz w:val="24"/>
          <w:szCs w:val="24"/>
        </w:rPr>
      </w:pPr>
      <w:r w:rsidRPr="00596A43">
        <w:rPr>
          <w:sz w:val="24"/>
          <w:szCs w:val="24"/>
        </w:rPr>
        <w:t>The cost estimate should be split into two components</w:t>
      </w:r>
      <w:r w:rsidRPr="00596A43" w:rsidR="00DF4B31">
        <w:rPr>
          <w:sz w:val="24"/>
          <w:szCs w:val="24"/>
        </w:rPr>
        <w:t>: (</w:t>
      </w:r>
      <w:r w:rsidRPr="00596A43">
        <w:rPr>
          <w:sz w:val="24"/>
          <w:szCs w:val="24"/>
        </w:rPr>
        <w:t xml:space="preserve">1) a total capital and start-up cost component (annualized over its expected useful life); and (b) a total operation and maintenance and purchase of services component.  The estimates should </w:t>
      </w:r>
      <w:r w:rsidRPr="00596A43">
        <w:rPr>
          <w:sz w:val="24"/>
          <w:szCs w:val="24"/>
        </w:rPr>
        <w:t>take into account</w:t>
      </w:r>
      <w:r w:rsidRPr="00596A43">
        <w:rPr>
          <w:sz w:val="24"/>
          <w:szCs w:val="24"/>
        </w:rPr>
        <w:t xml:space="preserve"> costs associated with </w:t>
      </w:r>
      <w:r w:rsidRPr="00596A43">
        <w:rPr>
          <w:sz w:val="24"/>
          <w:szCs w:val="24"/>
        </w:rPr>
        <w:t xml:space="preserve">generating, maintaining, and disclosing or providing the information.  Include descriptions of methods used to estimate major cost factors including system and technology acquisition, expected useful life of capital equipment, the discount rate(s), and the </w:t>
      </w:r>
      <w:r w:rsidRPr="00596A43">
        <w:rPr>
          <w:sz w:val="24"/>
          <w:szCs w:val="24"/>
        </w:rPr>
        <w:t>time period</w:t>
      </w:r>
      <w:r w:rsidRPr="00596A43">
        <w:rPr>
          <w:sz w:val="24"/>
          <w:szCs w:val="24"/>
        </w:rPr>
        <w:t xml:space="preserve"> over which costs will be incurred.  Capital and start-up costs include, among other items, preparations for collecting information such as purchasing computers and software; monitoring, sampling, </w:t>
      </w:r>
      <w:r w:rsidRPr="00596A43">
        <w:rPr>
          <w:sz w:val="24"/>
          <w:szCs w:val="24"/>
        </w:rPr>
        <w:t>drilling</w:t>
      </w:r>
      <w:r w:rsidRPr="00596A43">
        <w:rPr>
          <w:sz w:val="24"/>
          <w:szCs w:val="24"/>
        </w:rPr>
        <w:t xml:space="preserve"> and testing equipment; and record storage facilities.</w:t>
      </w:r>
    </w:p>
    <w:p w:rsidR="00EB5E96" w:rsidRPr="00596A43" w:rsidP="000C4293" w14:paraId="06B2F100"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p>
    <w:p w:rsidR="00EB5E96" w:rsidRPr="00596A43" w:rsidP="000C4293" w14:paraId="19D43577" w14:textId="77777777">
      <w:pPr>
        <w:shd w:val="pct25" w:color="auto" w:fill="FFFFFF"/>
        <w:tabs>
          <w:tab w:val="left" w:pos="-720"/>
        </w:tabs>
        <w:suppressAutoHyphens/>
        <w:jc w:val="both"/>
      </w:pPr>
      <w:r w:rsidRPr="00596A43">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596A43">
        <w:t>process</w:t>
      </w:r>
      <w:r w:rsidRPr="00596A43">
        <w:t xml:space="preserve"> and use existing economic or regulatory impact analysis associated with the rulemaking containing the information collection as appropriate.</w:t>
      </w:r>
    </w:p>
    <w:p w:rsidR="00EB5E96" w:rsidRPr="00596A43" w:rsidP="000C4293" w14:paraId="7D13E3FE" w14:textId="77777777">
      <w:pPr>
        <w:shd w:val="pct25" w:color="auto" w:fill="FFFFFF"/>
        <w:tabs>
          <w:tab w:val="left" w:pos="-720"/>
        </w:tabs>
        <w:suppressAutoHyphens/>
        <w:jc w:val="both"/>
      </w:pPr>
    </w:p>
    <w:p w:rsidR="00EB5E96" w:rsidRPr="00596A43" w:rsidP="000C4293" w14:paraId="7F1E8D0E" w14:textId="77777777">
      <w:pPr>
        <w:shd w:val="pct25" w:color="auto" w:fill="FFFFFF"/>
        <w:tabs>
          <w:tab w:val="left" w:pos="-720"/>
        </w:tabs>
        <w:suppressAutoHyphens/>
        <w:jc w:val="both"/>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EB5E96" w:rsidRPr="00596A43" w:rsidP="000C4293" w14:paraId="52164B65" w14:textId="77777777">
      <w:pPr>
        <w:shd w:val="clear" w:color="auto" w:fill="FFFFFF"/>
        <w:tabs>
          <w:tab w:val="left" w:pos="-720"/>
        </w:tabs>
        <w:suppressAutoHyphens/>
        <w:jc w:val="both"/>
      </w:pPr>
    </w:p>
    <w:p w:rsidR="00575374" w:rsidRPr="005B56AC" w:rsidP="00575374" w14:paraId="3C573E87" w14:textId="77777777">
      <w:r w:rsidRPr="005B56AC">
        <w:t xml:space="preserve">There </w:t>
      </w:r>
      <w:r w:rsidR="000F649A">
        <w:t>are no recordkeeping, capital, start-up, or maintenance costs associated with this information collection.</w:t>
      </w:r>
    </w:p>
    <w:p w:rsidR="00333D1E" w:rsidRPr="00596A43" w:rsidP="000C4293" w14:paraId="7A069CE7" w14:textId="77777777">
      <w:pPr>
        <w:shd w:val="clear" w:color="auto" w:fill="FFFFFF"/>
        <w:tabs>
          <w:tab w:val="left" w:pos="-720"/>
        </w:tabs>
        <w:suppressAutoHyphens/>
        <w:jc w:val="both"/>
      </w:pPr>
    </w:p>
    <w:p w:rsidR="00FC307F" w:rsidRPr="00596A43" w:rsidP="000C4293" w14:paraId="6ABE3E48"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Pr="00596A43"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rsidR="00EB5E96" w:rsidRPr="00596A43" w:rsidP="000C4293" w14:paraId="1F682D72" w14:textId="77777777">
      <w:pPr>
        <w:suppressAutoHyphens/>
        <w:jc w:val="both"/>
      </w:pPr>
      <w:r w:rsidRPr="00596A43">
        <w:fldChar w:fldCharType="begin"/>
      </w:r>
      <w:r w:rsidRPr="00596A43">
        <w:instrText>ADVANCE \R 0.95</w:instrText>
      </w:r>
      <w:r w:rsidRPr="00596A43">
        <w:fldChar w:fldCharType="end"/>
      </w:r>
    </w:p>
    <w:p w:rsidR="00333D1E" w:rsidRPr="006B3952" w:rsidP="00A25930" w14:paraId="015BBA27" w14:textId="746A081C">
      <w:pPr>
        <w:pStyle w:val="CommentText"/>
        <w:rPr>
          <w:highlight w:val="yellow"/>
        </w:rPr>
      </w:pPr>
      <w:r>
        <w:rPr>
          <w:rStyle w:val="CommentReference"/>
          <w:sz w:val="24"/>
          <w:szCs w:val="24"/>
        </w:rPr>
        <w:t>The annual cost of this collection to the Federal Government is estimated to be $</w:t>
      </w:r>
      <w:r w:rsidR="006C3D51">
        <w:rPr>
          <w:rStyle w:val="CommentReference"/>
          <w:sz w:val="24"/>
          <w:szCs w:val="24"/>
        </w:rPr>
        <w:t>3.0</w:t>
      </w:r>
      <w:r>
        <w:rPr>
          <w:rStyle w:val="CommentReference"/>
          <w:sz w:val="24"/>
          <w:szCs w:val="24"/>
        </w:rPr>
        <w:t xml:space="preserve"> million.  The annual cost of this collection is based on the CASM-related portion of the </w:t>
      </w:r>
      <w:r w:rsidRPr="00A25930">
        <w:rPr>
          <w:rStyle w:val="CommentReference"/>
          <w:sz w:val="24"/>
          <w:szCs w:val="24"/>
        </w:rPr>
        <w:t>overall contract for Technical Assistance (TA) program.  A</w:t>
      </w:r>
      <w:r>
        <w:rPr>
          <w:rStyle w:val="CommentReference"/>
          <w:sz w:val="24"/>
          <w:szCs w:val="24"/>
        </w:rPr>
        <w:t xml:space="preserve">pproximately 12 percent </w:t>
      </w:r>
      <w:r w:rsidRPr="00A25930">
        <w:rPr>
          <w:rStyle w:val="CommentReference"/>
          <w:sz w:val="24"/>
          <w:szCs w:val="24"/>
        </w:rPr>
        <w:t>of the TA contract provides funding for the CASM Help Desk and CASM Database Maintenance.</w:t>
      </w:r>
    </w:p>
    <w:p w:rsidR="001D2526" w:rsidRPr="001D2526" w:rsidP="001D2526" w14:paraId="370113FB" w14:textId="77777777">
      <w:pPr>
        <w:suppressAutoHyphens/>
        <w:ind w:left="720"/>
        <w:jc w:val="both"/>
        <w:rPr>
          <w:color w:val="FF0000"/>
        </w:rPr>
      </w:pPr>
    </w:p>
    <w:p w:rsidR="00EB5E96" w:rsidRPr="00596A43" w:rsidP="000C4293" w14:paraId="3F68454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EB5E96" w:rsidRPr="00596A43" w:rsidP="000C4293" w14:paraId="1E3753FF" w14:textId="77777777">
      <w:pPr>
        <w:tabs>
          <w:tab w:val="left" w:pos="-720"/>
        </w:tabs>
        <w:suppressAutoHyphens/>
        <w:jc w:val="both"/>
      </w:pPr>
      <w:r w:rsidRPr="00596A43">
        <w:fldChar w:fldCharType="begin"/>
      </w:r>
      <w:r w:rsidRPr="00596A43">
        <w:instrText>ADVANCE \R 0.95</w:instrText>
      </w:r>
      <w:r w:rsidRPr="00596A43">
        <w:fldChar w:fldCharType="end"/>
      </w:r>
    </w:p>
    <w:p w:rsidR="00EB5E96" w:rsidP="000C4293" w14:paraId="0B53A814" w14:textId="5D6A3DB1">
      <w:pPr>
        <w:tabs>
          <w:tab w:val="left" w:pos="-720"/>
        </w:tabs>
        <w:suppressAutoHyphens/>
        <w:jc w:val="both"/>
      </w:pPr>
      <w:r w:rsidRPr="00E53FF2">
        <w:t xml:space="preserve">This is an </w:t>
      </w:r>
      <w:r w:rsidRPr="00E53FF2">
        <w:rPr>
          <w:b/>
          <w:bCs/>
        </w:rPr>
        <w:t>EXTENSION</w:t>
      </w:r>
      <w:r w:rsidRPr="00E53FF2">
        <w:t xml:space="preserve"> of a currently approved collection</w:t>
      </w:r>
      <w:r w:rsidR="00234AD7">
        <w:t xml:space="preserve"> without change.</w:t>
      </w:r>
    </w:p>
    <w:p w:rsidR="00E53FF2" w:rsidRPr="00596A43" w:rsidP="000C4293" w14:paraId="282BDCE7" w14:textId="77777777">
      <w:pPr>
        <w:tabs>
          <w:tab w:val="left" w:pos="-720"/>
        </w:tabs>
        <w:suppressAutoHyphens/>
        <w:jc w:val="both"/>
      </w:pPr>
    </w:p>
    <w:p w:rsidR="00EB5E96" w:rsidRPr="00596A43" w:rsidP="000C4293" w14:paraId="2363CAD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4669E0E4" w14:textId="77777777">
      <w:pPr>
        <w:suppressAutoHyphens/>
        <w:jc w:val="both"/>
      </w:pPr>
      <w:r w:rsidRPr="00596A43">
        <w:fldChar w:fldCharType="begin"/>
      </w:r>
      <w:r w:rsidRPr="00596A43">
        <w:instrText>ADVANCE \R 0.95</w:instrText>
      </w:r>
      <w:r w:rsidRPr="00596A43">
        <w:fldChar w:fldCharType="end"/>
      </w:r>
    </w:p>
    <w:p w:rsidR="000B3F3A" w:rsidRPr="005B56AC" w:rsidP="000B3F3A" w14:paraId="66E5608B" w14:textId="77777777">
      <w:r w:rsidRPr="005B56AC">
        <w:t>This information collection will not be published for statistical purposes.</w:t>
      </w:r>
    </w:p>
    <w:p w:rsidR="00EB5E96" w:rsidRPr="00596A43" w:rsidP="000C4293" w14:paraId="08B5ACE9" w14:textId="77777777">
      <w:pPr>
        <w:suppressAutoHyphens/>
        <w:jc w:val="both"/>
      </w:pPr>
    </w:p>
    <w:p w:rsidR="00EB5E96" w:rsidRPr="00596A43" w:rsidP="000C4293" w14:paraId="3CB7162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00EB5E96" w:rsidRPr="00596A43" w:rsidP="000C4293" w14:paraId="56D98FC9" w14:textId="77777777">
      <w:pPr>
        <w:tabs>
          <w:tab w:val="left" w:pos="-720"/>
        </w:tabs>
        <w:suppressAutoHyphens/>
        <w:jc w:val="both"/>
      </w:pPr>
      <w:r w:rsidRPr="00596A43">
        <w:fldChar w:fldCharType="begin"/>
      </w:r>
      <w:r w:rsidRPr="00596A43">
        <w:instrText>ADVANCE \R 0.95</w:instrText>
      </w:r>
      <w:r w:rsidRPr="00596A43">
        <w:fldChar w:fldCharType="end"/>
      </w:r>
    </w:p>
    <w:p w:rsidR="000B3F3A" w:rsidRPr="005B56AC" w:rsidP="000B3F3A" w14:paraId="736E0601" w14:textId="61BD88B3">
      <w:r>
        <w:t>ECD</w:t>
      </w:r>
      <w:r w:rsidRPr="005B56AC">
        <w:t xml:space="preserve"> </w:t>
      </w:r>
      <w:r w:rsidRPr="005B56AC">
        <w:t>will display the expiration date for OMB approval of this information collection.</w:t>
      </w:r>
    </w:p>
    <w:p w:rsidR="00447C3A" w:rsidRPr="00596A43" w:rsidP="000C4293" w14:paraId="5EE95B75" w14:textId="77777777">
      <w:pPr>
        <w:tabs>
          <w:tab w:val="left" w:pos="-720"/>
        </w:tabs>
        <w:suppressAutoHyphens/>
        <w:jc w:val="both"/>
      </w:pPr>
    </w:p>
    <w:p w:rsidR="0077056F" w:rsidRPr="00596A43" w:rsidP="000C4293" w14:paraId="3966848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0077056F" w:rsidRPr="00596A43" w:rsidP="0077056F" w14:paraId="2CF6ED89" w14:textId="77777777">
      <w:pPr>
        <w:tabs>
          <w:tab w:val="left" w:pos="-720"/>
        </w:tabs>
        <w:suppressAutoHyphens/>
        <w:jc w:val="both"/>
      </w:pPr>
    </w:p>
    <w:p w:rsidR="000B3F3A" w:rsidP="000B3F3A" w14:paraId="180366FB" w14:textId="73F80D39">
      <w:r>
        <w:t>ECD</w:t>
      </w:r>
      <w:r w:rsidRPr="005B56AC">
        <w:t xml:space="preserve"> </w:t>
      </w:r>
      <w:r w:rsidRPr="005B56AC">
        <w:t>does not request an exception to the certification of this information collection.</w:t>
      </w:r>
    </w:p>
    <w:p w:rsidR="0077056F" w:rsidRPr="00596A43" w:rsidP="0077056F" w14:paraId="5592663A" w14:textId="77777777">
      <w:pPr>
        <w:tabs>
          <w:tab w:val="left" w:pos="-720"/>
        </w:tabs>
        <w:suppressAutoHyphens/>
        <w:jc w:val="both"/>
      </w:pPr>
    </w:p>
    <w:sectPr w:rsidSect="00460234">
      <w:footerReference w:type="even" r:id="rId12"/>
      <w:footerReference w:type="default" r:id="rId13"/>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7CE" w:rsidP="00DB0532" w14:paraId="59D8480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37CE" w:rsidP="00DC6E79" w14:paraId="594F0BE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7CE" w:rsidP="00DB0532" w14:paraId="147D2709" w14:textId="61241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289">
      <w:rPr>
        <w:rStyle w:val="PageNumber"/>
        <w:noProof/>
      </w:rPr>
      <w:t>7</w:t>
    </w:r>
    <w:r>
      <w:rPr>
        <w:rStyle w:val="PageNumber"/>
      </w:rPr>
      <w:fldChar w:fldCharType="end"/>
    </w:r>
  </w:p>
  <w:p w:rsidR="00BE37CE" w:rsidP="00DC6E79" w14:paraId="204F37F9"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17567" w14:paraId="3FF70D63" w14:textId="77777777">
      <w:r>
        <w:separator/>
      </w:r>
    </w:p>
  </w:footnote>
  <w:footnote w:type="continuationSeparator" w:id="1">
    <w:p w:rsidR="00317567" w14:paraId="5F56890F" w14:textId="77777777">
      <w:r>
        <w:continuationSeparator/>
      </w:r>
    </w:p>
  </w:footnote>
  <w:footnote w:id="2">
    <w:p w:rsidR="00BE37CE" w:rsidRPr="00FF43DC" w:rsidP="00FF43DC" w14:paraId="4077E966" w14:textId="27783E41">
      <w:pPr>
        <w:rPr>
          <w:rFonts w:ascii="Calibri" w:hAnsi="Calibri" w:cs="Calibri"/>
          <w:color w:val="000000"/>
        </w:rPr>
      </w:pPr>
      <w:r>
        <w:rPr>
          <w:rStyle w:val="FootnoteReference"/>
        </w:rPr>
        <w:footnoteRef/>
      </w:r>
      <w:r>
        <w:t xml:space="preserve"> </w:t>
      </w:r>
      <w:r w:rsidRPr="00B96768">
        <w:rPr>
          <w:sz w:val="20"/>
          <w:szCs w:val="20"/>
        </w:rPr>
        <w:t>BLS. Occupational Employment Statistics.  May 20</w:t>
      </w:r>
      <w:r w:rsidRPr="00B96768" w:rsidR="00B96768">
        <w:rPr>
          <w:sz w:val="20"/>
          <w:szCs w:val="20"/>
        </w:rPr>
        <w:t>2</w:t>
      </w:r>
      <w:r w:rsidR="007116BE">
        <w:rPr>
          <w:sz w:val="20"/>
          <w:szCs w:val="20"/>
        </w:rPr>
        <w:t>1</w:t>
      </w:r>
      <w:r w:rsidRPr="00B96768">
        <w:rPr>
          <w:sz w:val="20"/>
          <w:szCs w:val="20"/>
        </w:rPr>
        <w:t>.  National industry-specific and by</w:t>
      </w:r>
      <w:r w:rsidR="003439B6">
        <w:rPr>
          <w:sz w:val="20"/>
          <w:szCs w:val="20"/>
        </w:rPr>
        <w:t xml:space="preserve"> jurisdiction</w:t>
      </w:r>
      <w:r w:rsidRPr="00B96768">
        <w:rPr>
          <w:sz w:val="20"/>
          <w:szCs w:val="20"/>
        </w:rPr>
        <w:t>.  All Occupations (00-0000).</w:t>
      </w:r>
      <w:r w:rsidR="00C023B0">
        <w:rPr>
          <w:sz w:val="20"/>
          <w:szCs w:val="20"/>
        </w:rPr>
        <w:t xml:space="preserve"> </w:t>
      </w:r>
      <w:hyperlink w:history="1"/>
      <w:r w:rsidRPr="00B96768">
        <w:rPr>
          <w:sz w:val="20"/>
          <w:szCs w:val="20"/>
        </w:rPr>
        <w:t xml:space="preserve">There are </w:t>
      </w:r>
      <w:r w:rsidRPr="00B96768" w:rsidR="00B96768">
        <w:rPr>
          <w:sz w:val="20"/>
          <w:szCs w:val="20"/>
        </w:rPr>
        <w:t>4,5</w:t>
      </w:r>
      <w:r w:rsidR="003439B6">
        <w:rPr>
          <w:sz w:val="20"/>
          <w:szCs w:val="20"/>
        </w:rPr>
        <w:t>53,290</w:t>
      </w:r>
      <w:r w:rsidRPr="00B96768">
        <w:rPr>
          <w:sz w:val="20"/>
          <w:szCs w:val="20"/>
        </w:rPr>
        <w:t xml:space="preserve"> State government employees that earn an average hourly wage of $</w:t>
      </w:r>
      <w:r w:rsidRPr="00B96768" w:rsidR="00B96768">
        <w:rPr>
          <w:sz w:val="20"/>
          <w:szCs w:val="20"/>
        </w:rPr>
        <w:t>31.</w:t>
      </w:r>
      <w:r w:rsidR="00982B89">
        <w:rPr>
          <w:sz w:val="20"/>
          <w:szCs w:val="20"/>
        </w:rPr>
        <w:t>95</w:t>
      </w:r>
      <w:r w:rsidRPr="00B96768" w:rsidR="00B96768">
        <w:rPr>
          <w:sz w:val="20"/>
          <w:szCs w:val="20"/>
        </w:rPr>
        <w:t xml:space="preserve"> (</w:t>
      </w:r>
      <w:hyperlink r:id="rId1" w:history="1">
        <w:r w:rsidRPr="007116BE" w:rsidR="007116BE">
          <w:rPr>
            <w:rStyle w:val="Hyperlink"/>
            <w:sz w:val="20"/>
            <w:szCs w:val="20"/>
          </w:rPr>
          <w:t>https://www.bls.gov/oes/2021</w:t>
        </w:r>
        <w:r w:rsidRPr="00320D07" w:rsidR="007116BE">
          <w:rPr>
            <w:rStyle w:val="Hyperlink"/>
            <w:sz w:val="20"/>
            <w:szCs w:val="20"/>
          </w:rPr>
          <w:t>/may/999201.htm</w:t>
        </w:r>
      </w:hyperlink>
      <w:r w:rsidRPr="00B96768" w:rsidR="00B96768">
        <w:rPr>
          <w:sz w:val="20"/>
          <w:szCs w:val="20"/>
        </w:rPr>
        <w:t>)</w:t>
      </w:r>
      <w:r w:rsidRPr="00B96768">
        <w:rPr>
          <w:sz w:val="20"/>
          <w:szCs w:val="20"/>
        </w:rPr>
        <w:t xml:space="preserve">.  There are </w:t>
      </w:r>
      <w:r w:rsidRPr="003439B6" w:rsidR="003439B6">
        <w:rPr>
          <w:sz w:val="20"/>
          <w:szCs w:val="20"/>
        </w:rPr>
        <w:t>13,905,440</w:t>
      </w:r>
      <w:r w:rsidR="003439B6">
        <w:rPr>
          <w:sz w:val="20"/>
          <w:szCs w:val="20"/>
        </w:rPr>
        <w:t xml:space="preserve"> </w:t>
      </w:r>
      <w:r w:rsidRPr="00B96768">
        <w:rPr>
          <w:sz w:val="20"/>
          <w:szCs w:val="20"/>
        </w:rPr>
        <w:t>local government employees that earn an average hourly wage of $</w:t>
      </w:r>
      <w:r w:rsidRPr="00B96768" w:rsidR="00B96768">
        <w:rPr>
          <w:sz w:val="20"/>
          <w:szCs w:val="20"/>
        </w:rPr>
        <w:t>2</w:t>
      </w:r>
      <w:r w:rsidR="00982B89">
        <w:rPr>
          <w:sz w:val="20"/>
          <w:szCs w:val="20"/>
        </w:rPr>
        <w:t>8.63</w:t>
      </w:r>
      <w:r w:rsidRPr="00B96768" w:rsidR="00B96768">
        <w:rPr>
          <w:sz w:val="20"/>
          <w:szCs w:val="20"/>
        </w:rPr>
        <w:t xml:space="preserve"> (</w:t>
      </w:r>
      <w:hyperlink r:id="rId2" w:history="1">
        <w:r w:rsidRPr="003439B6" w:rsidR="004E7069">
          <w:rPr>
            <w:rStyle w:val="Hyperlink"/>
            <w:sz w:val="20"/>
            <w:szCs w:val="20"/>
          </w:rPr>
          <w:t>https://www.bls.gov/oes/2021/may/999301.htm</w:t>
        </w:r>
      </w:hyperlink>
      <w:r w:rsidRPr="00B96768" w:rsidR="00B96768">
        <w:rPr>
          <w:sz w:val="20"/>
          <w:szCs w:val="20"/>
        </w:rPr>
        <w:t>)</w:t>
      </w:r>
      <w:r w:rsidRPr="00B96768">
        <w:rPr>
          <w:sz w:val="20"/>
          <w:szCs w:val="20"/>
        </w:rPr>
        <w:t>.</w:t>
      </w:r>
    </w:p>
  </w:footnote>
  <w:footnote w:id="3">
    <w:p w:rsidR="00BE37CE" w:rsidP="00BF2339" w14:paraId="5341B8E8" w14:textId="1C962997">
      <w:pPr>
        <w:pStyle w:val="FootnoteText"/>
        <w:spacing w:after="60"/>
      </w:pPr>
      <w:r>
        <w:rPr>
          <w:rStyle w:val="FootnoteReference"/>
        </w:rPr>
        <w:footnoteRef/>
      </w:r>
      <w:r>
        <w:t xml:space="preserve"> $</w:t>
      </w:r>
      <w:r w:rsidR="00B96768">
        <w:t>2</w:t>
      </w:r>
      <w:r w:rsidR="003439B6">
        <w:t>9</w:t>
      </w:r>
      <w:r w:rsidR="00B96768">
        <w:t>.4</w:t>
      </w:r>
      <w:r w:rsidR="003439B6">
        <w:t>5</w:t>
      </w:r>
      <w:r>
        <w:t xml:space="preserve"> per hour = (</w:t>
      </w:r>
      <w:r w:rsidR="00B96768">
        <w:t>4,5</w:t>
      </w:r>
      <w:r w:rsidR="003439B6">
        <w:t>53</w:t>
      </w:r>
      <w:r w:rsidR="00B96768">
        <w:t>,2</w:t>
      </w:r>
      <w:r w:rsidR="003439B6">
        <w:t>9</w:t>
      </w:r>
      <w:r w:rsidR="00B96768">
        <w:t>0</w:t>
      </w:r>
      <w:r>
        <w:t xml:space="preserve"> State government employees × $</w:t>
      </w:r>
      <w:r w:rsidR="00B96768">
        <w:t>31.</w:t>
      </w:r>
      <w:r w:rsidR="003439B6">
        <w:t>95</w:t>
      </w:r>
      <w:r>
        <w:t xml:space="preserve"> per hour + </w:t>
      </w:r>
      <w:r w:rsidRPr="00C023B0" w:rsidR="00C023B0">
        <w:t xml:space="preserve">13,905,440 </w:t>
      </w:r>
      <w:r>
        <w:t>local government employees × $</w:t>
      </w:r>
      <w:r w:rsidR="00B96768">
        <w:t>2</w:t>
      </w:r>
      <w:r w:rsidR="00982B89">
        <w:t>8.63</w:t>
      </w:r>
      <w:r>
        <w:t xml:space="preserve"> per hour) ÷ (</w:t>
      </w:r>
      <w:r w:rsidR="00B96768">
        <w:t>4,5</w:t>
      </w:r>
      <w:r w:rsidR="003439B6">
        <w:t>53</w:t>
      </w:r>
      <w:r w:rsidR="00B96768">
        <w:t>,2</w:t>
      </w:r>
      <w:r w:rsidR="003439B6">
        <w:t>9</w:t>
      </w:r>
      <w:r w:rsidR="00B96768">
        <w:t>0</w:t>
      </w:r>
      <w:r>
        <w:t xml:space="preserve"> State government employees + </w:t>
      </w:r>
      <w:r w:rsidR="00B96768">
        <w:t>1</w:t>
      </w:r>
      <w:r w:rsidR="003439B6">
        <w:t>3</w:t>
      </w:r>
      <w:r w:rsidR="00B96768">
        <w:t>,</w:t>
      </w:r>
      <w:r w:rsidR="003439B6">
        <w:t>905</w:t>
      </w:r>
      <w:r w:rsidR="00B96768">
        <w:t>,</w:t>
      </w:r>
      <w:r w:rsidR="003439B6">
        <w:t>4</w:t>
      </w:r>
      <w:r w:rsidR="00B96768">
        <w:t>40</w:t>
      </w:r>
      <w:r>
        <w:t xml:space="preserve"> local government employees).</w:t>
      </w:r>
    </w:p>
  </w:footnote>
  <w:footnote w:id="4">
    <w:p w:rsidR="00B96768" w:rsidP="00B96768" w14:paraId="64183CF8" w14:textId="6AFF5453">
      <w:pPr>
        <w:rPr>
          <w:rFonts w:ascii="Arial" w:hAnsi="Arial" w:cs="Arial"/>
          <w:color w:val="203764"/>
          <w:sz w:val="22"/>
          <w:szCs w:val="22"/>
        </w:rPr>
      </w:pPr>
      <w:r>
        <w:rPr>
          <w:rStyle w:val="FootnoteReference"/>
        </w:rPr>
        <w:footnoteRef/>
      </w:r>
      <w:r>
        <w:t xml:space="preserve"> </w:t>
      </w:r>
      <w:r w:rsidRPr="00FF43DC">
        <w:rPr>
          <w:sz w:val="20"/>
          <w:szCs w:val="20"/>
        </w:rPr>
        <w:t>BLS.  Employer Costs for Employee Compensation –</w:t>
      </w:r>
      <w:r w:rsidR="00666FCA">
        <w:rPr>
          <w:sz w:val="20"/>
          <w:szCs w:val="20"/>
        </w:rPr>
        <w:t xml:space="preserve">March </w:t>
      </w:r>
      <w:r w:rsidRPr="00FF43DC">
        <w:rPr>
          <w:sz w:val="20"/>
          <w:szCs w:val="20"/>
        </w:rPr>
        <w:t>20</w:t>
      </w:r>
      <w:r w:rsidRPr="00FF43DC">
        <w:rPr>
          <w:sz w:val="20"/>
          <w:szCs w:val="20"/>
        </w:rPr>
        <w:t>2</w:t>
      </w:r>
      <w:r w:rsidR="00666FCA">
        <w:rPr>
          <w:sz w:val="20"/>
          <w:szCs w:val="20"/>
        </w:rPr>
        <w:t>2</w:t>
      </w:r>
      <w:r w:rsidRPr="00FF43DC">
        <w:rPr>
          <w:sz w:val="20"/>
          <w:szCs w:val="20"/>
        </w:rPr>
        <w:t>, released</w:t>
      </w:r>
      <w:r w:rsidR="00666FCA">
        <w:rPr>
          <w:sz w:val="20"/>
          <w:szCs w:val="20"/>
        </w:rPr>
        <w:t xml:space="preserve"> June 16</w:t>
      </w:r>
      <w:r w:rsidRPr="00FF43DC">
        <w:rPr>
          <w:sz w:val="20"/>
          <w:szCs w:val="20"/>
        </w:rPr>
        <w:t>, 202</w:t>
      </w:r>
      <w:r w:rsidR="00666FCA">
        <w:rPr>
          <w:sz w:val="20"/>
          <w:szCs w:val="20"/>
        </w:rPr>
        <w:t>2</w:t>
      </w:r>
      <w:r w:rsidRPr="00FF43DC">
        <w:rPr>
          <w:sz w:val="20"/>
          <w:szCs w:val="20"/>
        </w:rPr>
        <w:t xml:space="preserve">.  </w:t>
      </w:r>
      <w:r w:rsidR="004B3C37">
        <w:rPr>
          <w:sz w:val="20"/>
          <w:szCs w:val="20"/>
        </w:rPr>
        <w:t xml:space="preserve">State and local government costs. </w:t>
      </w:r>
      <w:hyperlink r:id="rId3" w:history="1">
        <w:r w:rsidRPr="00FF43DC" w:rsidR="004B3C37">
          <w:rPr>
            <w:rStyle w:val="Hyperlink"/>
            <w:sz w:val="20"/>
            <w:szCs w:val="20"/>
          </w:rPr>
          <w:t>https://www.bls.gov/news.release/pdf/ecec.pdf</w:t>
        </w:r>
      </w:hyperlink>
    </w:p>
    <w:p w:rsidR="00BE37CE" w:rsidP="00BF2339" w14:paraId="1B5F87BB" w14:textId="171B94BD">
      <w:pPr>
        <w:pStyle w:val="FootnoteText"/>
        <w:spacing w:after="60"/>
      </w:pPr>
      <w:r>
        <w:t xml:space="preserve"> </w:t>
      </w:r>
      <w:r>
        <w:t>The compensation factor of 1.</w:t>
      </w:r>
      <w:r>
        <w:t>616</w:t>
      </w:r>
      <w:r w:rsidR="00666FCA">
        <w:t>3</w:t>
      </w:r>
      <w:r>
        <w:t xml:space="preserve"> </w:t>
      </w:r>
      <w:r>
        <w:t>is estimated by dividing total compensation ($</w:t>
      </w:r>
      <w:r>
        <w:t>5</w:t>
      </w:r>
      <w:r w:rsidR="00666FCA">
        <w:t>5</w:t>
      </w:r>
      <w:r>
        <w:t>.47</w:t>
      </w:r>
      <w:r>
        <w:t>) by wages and salaries ($</w:t>
      </w:r>
      <w:r>
        <w:t>3</w:t>
      </w:r>
      <w:r w:rsidR="00666FCA">
        <w:t>4.32</w:t>
      </w:r>
      <w:r>
        <w:t>).</w:t>
      </w:r>
    </w:p>
  </w:footnote>
  <w:footnote w:id="5">
    <w:p w:rsidR="00BE37CE" w:rsidP="00BF2339" w14:paraId="3AE6D68B" w14:textId="7201B4D1">
      <w:pPr>
        <w:pStyle w:val="FootnoteText"/>
        <w:spacing w:after="60"/>
      </w:pPr>
      <w:r>
        <w:rPr>
          <w:rStyle w:val="FootnoteReference"/>
        </w:rPr>
        <w:footnoteRef/>
      </w:r>
      <w:r>
        <w:t xml:space="preserve"> $</w:t>
      </w:r>
      <w:r w:rsidR="00B96768">
        <w:t>4</w:t>
      </w:r>
      <w:r w:rsidR="00666FCA">
        <w:t>7</w:t>
      </w:r>
      <w:r w:rsidR="00B96768">
        <w:t>.</w:t>
      </w:r>
      <w:r w:rsidR="00666FCA">
        <w:t>6</w:t>
      </w:r>
      <w:r w:rsidR="00B96768">
        <w:t>0</w:t>
      </w:r>
      <w:r>
        <w:t xml:space="preserve"> = $</w:t>
      </w:r>
      <w:r w:rsidR="00B96768">
        <w:t>2</w:t>
      </w:r>
      <w:r w:rsidR="00666FCA">
        <w:t>9</w:t>
      </w:r>
      <w:r w:rsidR="00B96768">
        <w:t>.4</w:t>
      </w:r>
      <w:r w:rsidR="00666FCA">
        <w:t>5</w:t>
      </w:r>
      <w:r>
        <w:t xml:space="preserve"> × 1.</w:t>
      </w:r>
      <w:r w:rsidR="00B96768">
        <w:t>616</w:t>
      </w:r>
      <w:r w:rsidR="00666FCA">
        <w:t>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827698"/>
    <w:multiLevelType w:val="hybridMultilevel"/>
    <w:tmpl w:val="441A2FE6"/>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DB87F32"/>
    <w:multiLevelType w:val="hybridMultilevel"/>
    <w:tmpl w:val="CF4C2846"/>
    <w:lvl w:ilvl="0">
      <w:start w:val="5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B765740"/>
    <w:multiLevelType w:val="hybridMultilevel"/>
    <w:tmpl w:val="A8205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7F4122D5"/>
    <w:multiLevelType w:val="hybridMultilevel"/>
    <w:tmpl w:val="9F400A90"/>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2"/>
  </w:num>
  <w:num w:numId="4">
    <w:abstractNumId w:val="11"/>
  </w:num>
  <w:num w:numId="5">
    <w:abstractNumId w:val="14"/>
  </w:num>
  <w:num w:numId="6">
    <w:abstractNumId w:val="20"/>
  </w:num>
  <w:num w:numId="7">
    <w:abstractNumId w:val="21"/>
  </w:num>
  <w:num w:numId="8">
    <w:abstractNumId w:val="16"/>
  </w:num>
  <w:num w:numId="9">
    <w:abstractNumId w:val="8"/>
  </w:num>
  <w:num w:numId="10">
    <w:abstractNumId w:val="26"/>
  </w:num>
  <w:num w:numId="11">
    <w:abstractNumId w:val="13"/>
  </w:num>
  <w:num w:numId="12">
    <w:abstractNumId w:val="7"/>
  </w:num>
  <w:num w:numId="13">
    <w:abstractNumId w:val="27"/>
  </w:num>
  <w:num w:numId="14">
    <w:abstractNumId w:val="5"/>
  </w:num>
  <w:num w:numId="15">
    <w:abstractNumId w:val="15"/>
  </w:num>
  <w:num w:numId="16">
    <w:abstractNumId w:val="9"/>
  </w:num>
  <w:num w:numId="17">
    <w:abstractNumId w:val="24"/>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8"/>
  </w:num>
  <w:num w:numId="20">
    <w:abstractNumId w:val="23"/>
  </w:num>
  <w:num w:numId="21">
    <w:abstractNumId w:val="17"/>
  </w:num>
  <w:num w:numId="22">
    <w:abstractNumId w:val="12"/>
  </w:num>
  <w:num w:numId="23">
    <w:abstractNumId w:val="4"/>
  </w:num>
  <w:num w:numId="24">
    <w:abstractNumId w:val="3"/>
  </w:num>
  <w:num w:numId="25">
    <w:abstractNumId w:val="1"/>
  </w:num>
  <w:num w:numId="26">
    <w:abstractNumId w:val="10"/>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D6"/>
    <w:rsid w:val="00002E84"/>
    <w:rsid w:val="0000777B"/>
    <w:rsid w:val="00007D6C"/>
    <w:rsid w:val="00012695"/>
    <w:rsid w:val="00012FBC"/>
    <w:rsid w:val="00020CAE"/>
    <w:rsid w:val="00026D1D"/>
    <w:rsid w:val="000319C5"/>
    <w:rsid w:val="000335C8"/>
    <w:rsid w:val="00042924"/>
    <w:rsid w:val="00047173"/>
    <w:rsid w:val="000512CF"/>
    <w:rsid w:val="00051FDA"/>
    <w:rsid w:val="00053802"/>
    <w:rsid w:val="00053EA1"/>
    <w:rsid w:val="0005433B"/>
    <w:rsid w:val="00060E27"/>
    <w:rsid w:val="00062E26"/>
    <w:rsid w:val="00066A15"/>
    <w:rsid w:val="00076EF2"/>
    <w:rsid w:val="000770B8"/>
    <w:rsid w:val="00077198"/>
    <w:rsid w:val="00084050"/>
    <w:rsid w:val="00090161"/>
    <w:rsid w:val="00092A60"/>
    <w:rsid w:val="00094928"/>
    <w:rsid w:val="000955D6"/>
    <w:rsid w:val="000A4447"/>
    <w:rsid w:val="000A6FC5"/>
    <w:rsid w:val="000B3F3A"/>
    <w:rsid w:val="000B50AB"/>
    <w:rsid w:val="000C4293"/>
    <w:rsid w:val="000C6B9E"/>
    <w:rsid w:val="000D26F2"/>
    <w:rsid w:val="000D4D09"/>
    <w:rsid w:val="000E2B1B"/>
    <w:rsid w:val="000E7B5C"/>
    <w:rsid w:val="000F649A"/>
    <w:rsid w:val="001137C6"/>
    <w:rsid w:val="001408DE"/>
    <w:rsid w:val="00141549"/>
    <w:rsid w:val="00141C5C"/>
    <w:rsid w:val="00146E48"/>
    <w:rsid w:val="00162EC1"/>
    <w:rsid w:val="00163EC5"/>
    <w:rsid w:val="00171D81"/>
    <w:rsid w:val="00187248"/>
    <w:rsid w:val="00191158"/>
    <w:rsid w:val="001932C7"/>
    <w:rsid w:val="00194A62"/>
    <w:rsid w:val="0019784C"/>
    <w:rsid w:val="001A199D"/>
    <w:rsid w:val="001A2C95"/>
    <w:rsid w:val="001A30DD"/>
    <w:rsid w:val="001B6DF0"/>
    <w:rsid w:val="001C18B1"/>
    <w:rsid w:val="001C4B22"/>
    <w:rsid w:val="001C4CC1"/>
    <w:rsid w:val="001D2526"/>
    <w:rsid w:val="00200388"/>
    <w:rsid w:val="002030D4"/>
    <w:rsid w:val="00217509"/>
    <w:rsid w:val="00222489"/>
    <w:rsid w:val="0022399E"/>
    <w:rsid w:val="00226A81"/>
    <w:rsid w:val="00230A25"/>
    <w:rsid w:val="00234552"/>
    <w:rsid w:val="00234AD7"/>
    <w:rsid w:val="00235123"/>
    <w:rsid w:val="002366B4"/>
    <w:rsid w:val="00237711"/>
    <w:rsid w:val="0024181E"/>
    <w:rsid w:val="00250803"/>
    <w:rsid w:val="00251725"/>
    <w:rsid w:val="00264251"/>
    <w:rsid w:val="00264743"/>
    <w:rsid w:val="00272CF0"/>
    <w:rsid w:val="002850AF"/>
    <w:rsid w:val="00290AAB"/>
    <w:rsid w:val="00297C37"/>
    <w:rsid w:val="002A7031"/>
    <w:rsid w:val="002B0649"/>
    <w:rsid w:val="002B4BF6"/>
    <w:rsid w:val="002C05B0"/>
    <w:rsid w:val="002C0949"/>
    <w:rsid w:val="002C6202"/>
    <w:rsid w:val="002D3A10"/>
    <w:rsid w:val="002D535D"/>
    <w:rsid w:val="002D6219"/>
    <w:rsid w:val="002F2A01"/>
    <w:rsid w:val="002F7B46"/>
    <w:rsid w:val="00303A0D"/>
    <w:rsid w:val="00311527"/>
    <w:rsid w:val="00313DB6"/>
    <w:rsid w:val="00317167"/>
    <w:rsid w:val="00317567"/>
    <w:rsid w:val="00320D07"/>
    <w:rsid w:val="003263B3"/>
    <w:rsid w:val="00333D1E"/>
    <w:rsid w:val="00341049"/>
    <w:rsid w:val="0034148A"/>
    <w:rsid w:val="003439B6"/>
    <w:rsid w:val="00344AE0"/>
    <w:rsid w:val="00353667"/>
    <w:rsid w:val="00364EE8"/>
    <w:rsid w:val="00370CE0"/>
    <w:rsid w:val="00377D10"/>
    <w:rsid w:val="00381F93"/>
    <w:rsid w:val="00383A50"/>
    <w:rsid w:val="0039325E"/>
    <w:rsid w:val="00394081"/>
    <w:rsid w:val="003A3B94"/>
    <w:rsid w:val="003A4655"/>
    <w:rsid w:val="003B48E0"/>
    <w:rsid w:val="003B5E20"/>
    <w:rsid w:val="003B68FA"/>
    <w:rsid w:val="003C4DEC"/>
    <w:rsid w:val="003D64C9"/>
    <w:rsid w:val="003E054A"/>
    <w:rsid w:val="003E0D23"/>
    <w:rsid w:val="003E2CC1"/>
    <w:rsid w:val="003E4418"/>
    <w:rsid w:val="003E6DD8"/>
    <w:rsid w:val="003F1520"/>
    <w:rsid w:val="0040116A"/>
    <w:rsid w:val="004076BD"/>
    <w:rsid w:val="00413E8E"/>
    <w:rsid w:val="0042209B"/>
    <w:rsid w:val="0044706F"/>
    <w:rsid w:val="00447C3A"/>
    <w:rsid w:val="00460144"/>
    <w:rsid w:val="00460234"/>
    <w:rsid w:val="00462C47"/>
    <w:rsid w:val="004801BB"/>
    <w:rsid w:val="00482F9B"/>
    <w:rsid w:val="004A0DE6"/>
    <w:rsid w:val="004A42B4"/>
    <w:rsid w:val="004B2088"/>
    <w:rsid w:val="004B3C37"/>
    <w:rsid w:val="004B5F3F"/>
    <w:rsid w:val="004B62D9"/>
    <w:rsid w:val="004C2141"/>
    <w:rsid w:val="004C21F8"/>
    <w:rsid w:val="004D12F8"/>
    <w:rsid w:val="004E1B81"/>
    <w:rsid w:val="004E2C6C"/>
    <w:rsid w:val="004E7069"/>
    <w:rsid w:val="004F19C6"/>
    <w:rsid w:val="00506C7F"/>
    <w:rsid w:val="0051005D"/>
    <w:rsid w:val="00514570"/>
    <w:rsid w:val="005202D4"/>
    <w:rsid w:val="005420D3"/>
    <w:rsid w:val="00547F8A"/>
    <w:rsid w:val="00550B78"/>
    <w:rsid w:val="00573B59"/>
    <w:rsid w:val="00575374"/>
    <w:rsid w:val="00580711"/>
    <w:rsid w:val="005817B5"/>
    <w:rsid w:val="005924FE"/>
    <w:rsid w:val="00596A43"/>
    <w:rsid w:val="005A0C14"/>
    <w:rsid w:val="005B56AC"/>
    <w:rsid w:val="005C3DCA"/>
    <w:rsid w:val="005C7058"/>
    <w:rsid w:val="005D0717"/>
    <w:rsid w:val="005D6E8A"/>
    <w:rsid w:val="005D6EC2"/>
    <w:rsid w:val="005D7769"/>
    <w:rsid w:val="005D781B"/>
    <w:rsid w:val="005E615B"/>
    <w:rsid w:val="006050C8"/>
    <w:rsid w:val="00606789"/>
    <w:rsid w:val="00612159"/>
    <w:rsid w:val="006145D1"/>
    <w:rsid w:val="00615DFD"/>
    <w:rsid w:val="00625391"/>
    <w:rsid w:val="00637819"/>
    <w:rsid w:val="00644E9D"/>
    <w:rsid w:val="006470F1"/>
    <w:rsid w:val="00657687"/>
    <w:rsid w:val="006651B2"/>
    <w:rsid w:val="00666FCA"/>
    <w:rsid w:val="006678C7"/>
    <w:rsid w:val="006749D4"/>
    <w:rsid w:val="0068258B"/>
    <w:rsid w:val="0068412F"/>
    <w:rsid w:val="0069034D"/>
    <w:rsid w:val="006A0B1C"/>
    <w:rsid w:val="006A69D5"/>
    <w:rsid w:val="006A7FF1"/>
    <w:rsid w:val="006B3952"/>
    <w:rsid w:val="006B4994"/>
    <w:rsid w:val="006C3D51"/>
    <w:rsid w:val="006D0E62"/>
    <w:rsid w:val="006D5CCE"/>
    <w:rsid w:val="006D6856"/>
    <w:rsid w:val="006D71F1"/>
    <w:rsid w:val="006D785E"/>
    <w:rsid w:val="006E32D9"/>
    <w:rsid w:val="006F25E4"/>
    <w:rsid w:val="006F4B9D"/>
    <w:rsid w:val="00707E04"/>
    <w:rsid w:val="007116BE"/>
    <w:rsid w:val="007277A8"/>
    <w:rsid w:val="00741B83"/>
    <w:rsid w:val="00742F2D"/>
    <w:rsid w:val="00743F3A"/>
    <w:rsid w:val="007443F3"/>
    <w:rsid w:val="00752D76"/>
    <w:rsid w:val="00755772"/>
    <w:rsid w:val="00756D88"/>
    <w:rsid w:val="0077056F"/>
    <w:rsid w:val="007747DC"/>
    <w:rsid w:val="00774935"/>
    <w:rsid w:val="007D0399"/>
    <w:rsid w:val="007D6702"/>
    <w:rsid w:val="007F61EC"/>
    <w:rsid w:val="007F79EE"/>
    <w:rsid w:val="00801BDE"/>
    <w:rsid w:val="008048A4"/>
    <w:rsid w:val="00816F49"/>
    <w:rsid w:val="008250BE"/>
    <w:rsid w:val="00840338"/>
    <w:rsid w:val="008419A6"/>
    <w:rsid w:val="008500FB"/>
    <w:rsid w:val="00851BF1"/>
    <w:rsid w:val="00852B13"/>
    <w:rsid w:val="008719E8"/>
    <w:rsid w:val="00875586"/>
    <w:rsid w:val="008804CB"/>
    <w:rsid w:val="00886AC0"/>
    <w:rsid w:val="00887178"/>
    <w:rsid w:val="008924F0"/>
    <w:rsid w:val="008A165F"/>
    <w:rsid w:val="008A221D"/>
    <w:rsid w:val="008A5DC5"/>
    <w:rsid w:val="008A698A"/>
    <w:rsid w:val="008B7403"/>
    <w:rsid w:val="008B7880"/>
    <w:rsid w:val="008C27C3"/>
    <w:rsid w:val="008D61ED"/>
    <w:rsid w:val="008D744F"/>
    <w:rsid w:val="008E4152"/>
    <w:rsid w:val="008E4DCF"/>
    <w:rsid w:val="008F2F44"/>
    <w:rsid w:val="008F4B01"/>
    <w:rsid w:val="008F5537"/>
    <w:rsid w:val="008F7407"/>
    <w:rsid w:val="008F78DB"/>
    <w:rsid w:val="00913A27"/>
    <w:rsid w:val="0091717F"/>
    <w:rsid w:val="00924C84"/>
    <w:rsid w:val="00932EA7"/>
    <w:rsid w:val="009333F5"/>
    <w:rsid w:val="0093542A"/>
    <w:rsid w:val="00941EFC"/>
    <w:rsid w:val="00942617"/>
    <w:rsid w:val="0094389A"/>
    <w:rsid w:val="00944494"/>
    <w:rsid w:val="009478C1"/>
    <w:rsid w:val="009501B2"/>
    <w:rsid w:val="009539A8"/>
    <w:rsid w:val="00961FD6"/>
    <w:rsid w:val="0096453F"/>
    <w:rsid w:val="0096736F"/>
    <w:rsid w:val="009756AD"/>
    <w:rsid w:val="00982B89"/>
    <w:rsid w:val="00982F9A"/>
    <w:rsid w:val="00992E69"/>
    <w:rsid w:val="00993F06"/>
    <w:rsid w:val="00995211"/>
    <w:rsid w:val="009A7B24"/>
    <w:rsid w:val="009B4A68"/>
    <w:rsid w:val="009C4719"/>
    <w:rsid w:val="009D0EDC"/>
    <w:rsid w:val="009D1279"/>
    <w:rsid w:val="009D55A5"/>
    <w:rsid w:val="009E3320"/>
    <w:rsid w:val="009F06EB"/>
    <w:rsid w:val="009F24D6"/>
    <w:rsid w:val="009F5E5D"/>
    <w:rsid w:val="00A00007"/>
    <w:rsid w:val="00A0781B"/>
    <w:rsid w:val="00A10D40"/>
    <w:rsid w:val="00A10E77"/>
    <w:rsid w:val="00A200D1"/>
    <w:rsid w:val="00A244AE"/>
    <w:rsid w:val="00A25930"/>
    <w:rsid w:val="00A42A18"/>
    <w:rsid w:val="00A476E8"/>
    <w:rsid w:val="00A621C4"/>
    <w:rsid w:val="00A7110B"/>
    <w:rsid w:val="00A7144B"/>
    <w:rsid w:val="00A84061"/>
    <w:rsid w:val="00AA3F82"/>
    <w:rsid w:val="00AA6813"/>
    <w:rsid w:val="00AC4824"/>
    <w:rsid w:val="00AC555C"/>
    <w:rsid w:val="00AE0D1F"/>
    <w:rsid w:val="00AE41B7"/>
    <w:rsid w:val="00AE6323"/>
    <w:rsid w:val="00AF4918"/>
    <w:rsid w:val="00B02152"/>
    <w:rsid w:val="00B1287C"/>
    <w:rsid w:val="00B137DA"/>
    <w:rsid w:val="00B139CF"/>
    <w:rsid w:val="00B16ED0"/>
    <w:rsid w:val="00B17D05"/>
    <w:rsid w:val="00B2202D"/>
    <w:rsid w:val="00B35A9A"/>
    <w:rsid w:val="00B410FE"/>
    <w:rsid w:val="00B47D85"/>
    <w:rsid w:val="00B57157"/>
    <w:rsid w:val="00B65159"/>
    <w:rsid w:val="00B67664"/>
    <w:rsid w:val="00B71C10"/>
    <w:rsid w:val="00B833C9"/>
    <w:rsid w:val="00B91395"/>
    <w:rsid w:val="00B96768"/>
    <w:rsid w:val="00BA11D1"/>
    <w:rsid w:val="00BA2768"/>
    <w:rsid w:val="00BA5124"/>
    <w:rsid w:val="00BA7F67"/>
    <w:rsid w:val="00BB1B6C"/>
    <w:rsid w:val="00BB3BE3"/>
    <w:rsid w:val="00BC0228"/>
    <w:rsid w:val="00BC4542"/>
    <w:rsid w:val="00BC4683"/>
    <w:rsid w:val="00BD2204"/>
    <w:rsid w:val="00BE37CE"/>
    <w:rsid w:val="00BE4B9B"/>
    <w:rsid w:val="00BF1853"/>
    <w:rsid w:val="00BF2339"/>
    <w:rsid w:val="00BF3DDA"/>
    <w:rsid w:val="00C00322"/>
    <w:rsid w:val="00C023B0"/>
    <w:rsid w:val="00C02BC9"/>
    <w:rsid w:val="00C05E74"/>
    <w:rsid w:val="00C10ACB"/>
    <w:rsid w:val="00C234A4"/>
    <w:rsid w:val="00C25670"/>
    <w:rsid w:val="00C3419E"/>
    <w:rsid w:val="00C362A4"/>
    <w:rsid w:val="00C443A2"/>
    <w:rsid w:val="00C520DC"/>
    <w:rsid w:val="00C55264"/>
    <w:rsid w:val="00C55AB5"/>
    <w:rsid w:val="00C64417"/>
    <w:rsid w:val="00C64605"/>
    <w:rsid w:val="00C72F8D"/>
    <w:rsid w:val="00C75797"/>
    <w:rsid w:val="00C77539"/>
    <w:rsid w:val="00C819DD"/>
    <w:rsid w:val="00C83AFD"/>
    <w:rsid w:val="00C86FC2"/>
    <w:rsid w:val="00CA51E1"/>
    <w:rsid w:val="00CA7AF8"/>
    <w:rsid w:val="00CB393B"/>
    <w:rsid w:val="00CB6507"/>
    <w:rsid w:val="00CB6EE6"/>
    <w:rsid w:val="00CB76AC"/>
    <w:rsid w:val="00CC0878"/>
    <w:rsid w:val="00CC0F12"/>
    <w:rsid w:val="00CD1A4D"/>
    <w:rsid w:val="00CD2DFE"/>
    <w:rsid w:val="00CE3D0D"/>
    <w:rsid w:val="00CE50A2"/>
    <w:rsid w:val="00CF45CF"/>
    <w:rsid w:val="00D01BCF"/>
    <w:rsid w:val="00D04C05"/>
    <w:rsid w:val="00D124C3"/>
    <w:rsid w:val="00D3411B"/>
    <w:rsid w:val="00D607D8"/>
    <w:rsid w:val="00D64540"/>
    <w:rsid w:val="00D73965"/>
    <w:rsid w:val="00D73BBC"/>
    <w:rsid w:val="00D869D0"/>
    <w:rsid w:val="00D93841"/>
    <w:rsid w:val="00DA0968"/>
    <w:rsid w:val="00DA1BE2"/>
    <w:rsid w:val="00DB0532"/>
    <w:rsid w:val="00DB625F"/>
    <w:rsid w:val="00DB6BCE"/>
    <w:rsid w:val="00DC6E79"/>
    <w:rsid w:val="00DD300E"/>
    <w:rsid w:val="00DD6682"/>
    <w:rsid w:val="00DF4B31"/>
    <w:rsid w:val="00E05D65"/>
    <w:rsid w:val="00E12104"/>
    <w:rsid w:val="00E14FC3"/>
    <w:rsid w:val="00E2481E"/>
    <w:rsid w:val="00E32CA4"/>
    <w:rsid w:val="00E3488A"/>
    <w:rsid w:val="00E476EF"/>
    <w:rsid w:val="00E53FF2"/>
    <w:rsid w:val="00E6431A"/>
    <w:rsid w:val="00E70D44"/>
    <w:rsid w:val="00E73458"/>
    <w:rsid w:val="00E76E43"/>
    <w:rsid w:val="00E8209F"/>
    <w:rsid w:val="00E91FCE"/>
    <w:rsid w:val="00E94379"/>
    <w:rsid w:val="00E95E15"/>
    <w:rsid w:val="00EA0840"/>
    <w:rsid w:val="00EA5301"/>
    <w:rsid w:val="00EA7003"/>
    <w:rsid w:val="00EB5E96"/>
    <w:rsid w:val="00EC4220"/>
    <w:rsid w:val="00EE66D1"/>
    <w:rsid w:val="00EF4144"/>
    <w:rsid w:val="00EF73D7"/>
    <w:rsid w:val="00F03DDE"/>
    <w:rsid w:val="00F049F5"/>
    <w:rsid w:val="00F148C9"/>
    <w:rsid w:val="00F20513"/>
    <w:rsid w:val="00F27289"/>
    <w:rsid w:val="00F312B8"/>
    <w:rsid w:val="00F33B1A"/>
    <w:rsid w:val="00F37F32"/>
    <w:rsid w:val="00F415B7"/>
    <w:rsid w:val="00F4411A"/>
    <w:rsid w:val="00F574E5"/>
    <w:rsid w:val="00F930EE"/>
    <w:rsid w:val="00FA0992"/>
    <w:rsid w:val="00FA5507"/>
    <w:rsid w:val="00FB30D5"/>
    <w:rsid w:val="00FC307F"/>
    <w:rsid w:val="00FD214A"/>
    <w:rsid w:val="00FD2846"/>
    <w:rsid w:val="00FD2C76"/>
    <w:rsid w:val="00FD2FFE"/>
    <w:rsid w:val="00FE0F6B"/>
    <w:rsid w:val="00FE35A8"/>
    <w:rsid w:val="00FE5940"/>
    <w:rsid w:val="00FE6A9D"/>
    <w:rsid w:val="00FF1073"/>
    <w:rsid w:val="00FF1759"/>
    <w:rsid w:val="00FF27A0"/>
    <w:rsid w:val="00FF39AE"/>
    <w:rsid w:val="00FF43DC"/>
    <w:rsid w:val="00FF7C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EDE5D7"/>
  <w15:chartTrackingRefBased/>
  <w15:docId w15:val="{59001A37-292F-490E-B216-CFAC46D4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303A0D"/>
    <w:rPr>
      <w:vertAlign w:val="superscript"/>
    </w:rPr>
  </w:style>
  <w:style w:type="paragraph" w:styleId="Revision">
    <w:name w:val="Revision"/>
    <w:hidden/>
    <w:uiPriority w:val="99"/>
    <w:semiHidden/>
    <w:rsid w:val="0000777B"/>
    <w:rPr>
      <w:sz w:val="24"/>
      <w:szCs w:val="24"/>
    </w:rPr>
  </w:style>
  <w:style w:type="paragraph" w:styleId="ListParagraph">
    <w:name w:val="List Paragraph"/>
    <w:basedOn w:val="Normal"/>
    <w:uiPriority w:val="34"/>
    <w:qFormat/>
    <w:rsid w:val="000955D6"/>
    <w:pPr>
      <w:ind w:left="720"/>
    </w:pPr>
    <w:rPr>
      <w:rFonts w:ascii="Calibri" w:eastAsia="Calibri" w:hAnsi="Calibri"/>
      <w:sz w:val="22"/>
      <w:szCs w:val="22"/>
    </w:rPr>
  </w:style>
  <w:style w:type="paragraph" w:customStyle="1" w:styleId="Default">
    <w:name w:val="Default"/>
    <w:basedOn w:val="Normal"/>
    <w:rsid w:val="000955D6"/>
    <w:pPr>
      <w:autoSpaceDE w:val="0"/>
      <w:autoSpaceDN w:val="0"/>
    </w:pPr>
    <w:rPr>
      <w:rFonts w:eastAsia="Calibri"/>
      <w:color w:val="000000"/>
    </w:rPr>
  </w:style>
  <w:style w:type="character" w:styleId="FollowedHyperlink">
    <w:name w:val="FollowedHyperlink"/>
    <w:rsid w:val="00E70D44"/>
    <w:rPr>
      <w:color w:val="954F72"/>
      <w:u w:val="single"/>
    </w:rPr>
  </w:style>
  <w:style w:type="character" w:customStyle="1" w:styleId="CommentTextChar">
    <w:name w:val="Comment Text Char"/>
    <w:link w:val="CommentText"/>
    <w:rsid w:val="006B3952"/>
  </w:style>
  <w:style w:type="paragraph" w:styleId="FootnoteText">
    <w:name w:val="footnote text"/>
    <w:basedOn w:val="Normal"/>
    <w:link w:val="FootnoteTextChar"/>
    <w:rsid w:val="00BF2339"/>
    <w:rPr>
      <w:sz w:val="20"/>
      <w:szCs w:val="20"/>
    </w:rPr>
  </w:style>
  <w:style w:type="character" w:customStyle="1" w:styleId="FootnoteTextChar">
    <w:name w:val="Footnote Text Char"/>
    <w:basedOn w:val="DefaultParagraphFont"/>
    <w:link w:val="FootnoteText"/>
    <w:rsid w:val="00BF2339"/>
  </w:style>
  <w:style w:type="character" w:styleId="UnresolvedMention">
    <w:name w:val="Unresolved Mention"/>
    <w:basedOn w:val="DefaultParagraphFont"/>
    <w:uiPriority w:val="99"/>
    <w:semiHidden/>
    <w:unhideWhenUsed/>
    <w:rsid w:val="00DF4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isa.gov/safecom/casm-tool" TargetMode="External" /><Relationship Id="rId11" Type="http://schemas.openxmlformats.org/officeDocument/2006/relationships/hyperlink" Target="https://casm.dhs.go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999201.htm" TargetMode="External" /><Relationship Id="rId2" Type="http://schemas.openxmlformats.org/officeDocument/2006/relationships/hyperlink" Target="https://www.bls.gov/oes/2021/may/999301.htm" TargetMode="External" /><Relationship Id="rId3"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PRA-ECD-00001369</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Tilte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7" ma:contentTypeDescription="Create a new document." ma:contentTypeScope="" ma:versionID="ce3b8387bc92b61337faac2622f517fe">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40de8d6d74b3a20dae01818bf756d26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l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Pending OCPO/OCE/OCC Approval (60-Day FRN)"/>
          <xsd:enumeration value="Pending OCIO Approval (60-Day FRN)"/>
          <xsd:enumeration value="Pending OCC Regulatory Approval (60-Day FRN)"/>
          <xsd:enumeration value="Pending Federal Docket Number (60-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Sent to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lte" ma:index="38" nillable="true" ma:displayName="Request Tilte" ma:format="Dropdown" ma:internalName="RequestTil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2.xml><?xml version="1.0" encoding="utf-8"?>
<ds:datastoreItem xmlns:ds="http://schemas.openxmlformats.org/officeDocument/2006/customXml" ds:itemID="{581E9074-9E48-4F36-9531-06DF0718917D}">
  <ds:schemaRefs>
    <ds:schemaRef ds:uri="http://schemas.microsoft.com/office/2006/metadata/properties"/>
    <ds:schemaRef ds:uri="http://schemas.microsoft.com/office/infopath/2007/PartnerControls"/>
    <ds:schemaRef ds:uri="fe9628a8-4e73-4825-8be1-523eedfc6754"/>
    <ds:schemaRef ds:uri="35ed0374-b151-4ae4-94a0-04f0fe261645"/>
  </ds:schemaRefs>
</ds:datastoreItem>
</file>

<file path=customXml/itemProps3.xml><?xml version="1.0" encoding="utf-8"?>
<ds:datastoreItem xmlns:ds="http://schemas.openxmlformats.org/officeDocument/2006/customXml" ds:itemID="{0D382D4F-4CFE-4111-BB40-D8A3351F6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5.xml><?xml version="1.0" encoding="utf-8"?>
<ds:datastoreItem xmlns:ds="http://schemas.openxmlformats.org/officeDocument/2006/customXml" ds:itemID="{C098FF5F-3A61-42C4-88B1-53F13D5B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2612</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12</cp:revision>
  <cp:lastPrinted>2014-03-26T15:03:00Z</cp:lastPrinted>
  <dcterms:created xsi:type="dcterms:W3CDTF">2022-09-09T17:09:00Z</dcterms:created>
  <dcterms:modified xsi:type="dcterms:W3CDTF">2023-03-30T20:35:00Z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0x0101009471D1F9F56563478D31D8EF70E6A94E</vt:lpwstr>
  </property>
  <property fmtid="{D5CDD505-2E9C-101B-9397-08002B2CF9AE}" pid="5" name="Document Type">
    <vt:lpwstr>ICR Forms &amp; Templates</vt:lpwstr>
  </property>
  <property fmtid="{D5CDD505-2E9C-101B-9397-08002B2CF9AE}" pid="6" name="ICR Element">
    <vt:lpwstr>Supporting Statement A</vt:lpwstr>
  </property>
  <property fmtid="{D5CDD505-2E9C-101B-9397-08002B2CF9AE}" pid="7" name="MSIP_Label_a2eef23d-2e95-4428-9a3c-2526d95b164a_ActionId">
    <vt:lpwstr>c28ff8c0-e14f-40fb-b49e-e0c1380417d4</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2023-03-30T20:18:59Z</vt:lpwstr>
  </property>
  <property fmtid="{D5CDD505-2E9C-101B-9397-08002B2CF9AE}" pid="13" name="MSIP_Label_a2eef23d-2e95-4428-9a3c-2526d95b164a_SiteId">
    <vt:lpwstr>3ccde76c-946d-4a12-bb7a-fc9d0842354a</vt:lpwstr>
  </property>
  <property fmtid="{D5CDD505-2E9C-101B-9397-08002B2CF9AE}" pid="14" name="_dlc_DocId">
    <vt:lpwstr>5YJZXJV6V4SC-1276-943</vt:lpwstr>
  </property>
  <property fmtid="{D5CDD505-2E9C-101B-9397-08002B2CF9AE}" pid="15" name="_dlc_DocIdItemGuid">
    <vt:lpwstr>af688746-d734-4bb2-b585-e9ee34d7db79</vt:lpwstr>
  </property>
  <property fmtid="{D5CDD505-2E9C-101B-9397-08002B2CF9AE}" pid="16" name="_dlc_DocIdUrl">
    <vt:lpwstr>http://sptapp.dhs.gov/ESTT/NPPD_CIO/_layouts/DocIdRedir.aspx?ID=5YJZXJV6V4SC-1276-943, 5YJZXJV6V4SC-1276-943</vt:lpwstr>
  </property>
</Properties>
</file>