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39F14EF8" w14:textId="157B5BD0">
      <w:pPr>
        <w:jc w:val="center"/>
      </w:pPr>
      <w:r>
        <w:t>UNITED STATES OF AMERICA</w:t>
      </w:r>
    </w:p>
    <w:p w:rsidR="00A2604E" w:rsidP="00A2604E" w14:paraId="796F63BF" w14:textId="77777777">
      <w:pPr>
        <w:jc w:val="center"/>
      </w:pPr>
      <w:r>
        <w:t>FEDERAL ENERGY REGULATORY COMMISSION</w:t>
      </w:r>
    </w:p>
    <w:p w:rsidR="00A2604E" w:rsidP="00A2604E" w14:paraId="4152868E" w14:textId="77777777"/>
    <w:p w:rsidR="00A2604E" w:rsidP="00A2604E" w14:paraId="1600CC48" w14:textId="57819C95">
      <w:pPr>
        <w:jc w:val="center"/>
      </w:pPr>
      <w:r w:rsidRPr="00AC750B">
        <w:t>[</w:t>
      </w:r>
      <w:r w:rsidR="004E4EAD">
        <w:t xml:space="preserve">Docket No. </w:t>
      </w:r>
      <w:r w:rsidRPr="00A50EB4" w:rsidR="00A50EB4">
        <w:t>IC23-10-000</w:t>
      </w:r>
      <w:r w:rsidRPr="00AC750B">
        <w:t>]</w:t>
      </w:r>
    </w:p>
    <w:p w:rsidR="00A2604E" w:rsidP="00A2604E" w14:paraId="37A99FB4" w14:textId="77777777"/>
    <w:p w:rsidR="005A7903" w:rsidRPr="00466D3F" w:rsidP="005A7903" w14:paraId="465B32C7" w14:textId="0C4697FC">
      <w:pPr>
        <w:jc w:val="center"/>
      </w:pPr>
      <w:r w:rsidRPr="00466D3F">
        <w:t>COMMISSION INFORMATION COLLECTION ACTIVITIES (FERC-</w:t>
      </w:r>
      <w:r w:rsidR="0024392F">
        <w:t>603</w:t>
      </w:r>
      <w:r w:rsidRPr="00466D3F">
        <w:t>);</w:t>
      </w:r>
      <w:r>
        <w:t xml:space="preserve"> </w:t>
      </w:r>
      <w:r w:rsidRPr="00466D3F">
        <w:t>COMMENT REQUEST; EXTENSION</w:t>
      </w:r>
    </w:p>
    <w:p w:rsidR="00810D18" w:rsidP="00810D18" w14:paraId="6FC67CE5" w14:textId="1157AFF8"/>
    <w:p w:rsidR="007356B8" w:rsidP="00A24253" w14:paraId="1C382AA4" w14:textId="13505B2D">
      <w:pPr>
        <w:jc w:val="center"/>
      </w:pPr>
      <w:r w:rsidRPr="00A24253">
        <w:t>(August 24, 2023)</w:t>
      </w:r>
    </w:p>
    <w:p w:rsidR="00A24253" w:rsidRPr="00A24253" w:rsidP="00A24253" w14:paraId="0CC68014" w14:textId="77777777"/>
    <w:p w:rsidR="00A2604E" w:rsidP="00A2604E" w14:paraId="2B06BEDA" w14:textId="77777777">
      <w:r w:rsidRPr="00AB4DBF">
        <w:rPr>
          <w:b/>
        </w:rPr>
        <w:t>AGENCY:</w:t>
      </w:r>
      <w:r w:rsidRPr="00AB4DBF">
        <w:t xml:space="preserve">  Federal Energy Regulatory Commission.</w:t>
      </w:r>
    </w:p>
    <w:p w:rsidR="00A2604E" w:rsidRPr="00AB4DBF" w:rsidP="00A2604E" w14:paraId="3CD46B7D" w14:textId="77777777"/>
    <w:p w:rsidR="00A2604E" w:rsidP="00A2604E" w14:paraId="3C2C8063" w14:textId="77777777">
      <w:pPr>
        <w:spacing w:line="480" w:lineRule="auto"/>
      </w:pPr>
      <w:r w:rsidRPr="00CE64F2">
        <w:rPr>
          <w:b/>
        </w:rPr>
        <w:t>ACTION:</w:t>
      </w:r>
      <w:r>
        <w:t xml:space="preserve">  Notice of information collection and request for comments.</w:t>
      </w:r>
    </w:p>
    <w:p w:rsidR="00A2604E" w:rsidP="00F8646E" w14:paraId="124637F9" w14:textId="6CBAB75E">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24392F">
        <w:t>603</w:t>
      </w:r>
      <w:r w:rsidRPr="005A7903" w:rsidR="005A7903">
        <w:t xml:space="preserve"> (</w:t>
      </w:r>
      <w:r w:rsidRPr="008D6F07" w:rsidR="008D6F07">
        <w:t>Critical Energy/Electric Infrastructure Information Data Request)</w:t>
      </w:r>
      <w:r w:rsidR="008D6F07">
        <w:t>,</w:t>
      </w:r>
      <w:r w:rsidRPr="005A7903" w:rsidR="005A7903">
        <w:t xml:space="preserve"> which will be submitted to the Office of Management and Budget (OMB) for a review of the information collection requirements.</w:t>
      </w:r>
    </w:p>
    <w:p w:rsidR="007C1916" w:rsidRPr="007C1916" w:rsidP="007C1916" w14:paraId="442CCE36" w14:textId="4EBC3054">
      <w:pPr>
        <w:spacing w:line="480" w:lineRule="auto"/>
      </w:pPr>
      <w:r w:rsidRPr="00CE64F2">
        <w:rPr>
          <w:b/>
        </w:rPr>
        <w:t>DATES:</w:t>
      </w:r>
      <w:r>
        <w:t xml:space="preserve">  Comments on the collection of information are due </w:t>
      </w:r>
      <w:bookmarkStart w:id="0" w:name="OLE_LINK1"/>
      <w:r w:rsidRPr="007C1916">
        <w:rPr>
          <w:b/>
        </w:rPr>
        <w:t>[</w:t>
      </w:r>
      <w:r w:rsidRPr="00F11631">
        <w:rPr>
          <w:b/>
          <w:caps/>
        </w:rPr>
        <w:t xml:space="preserve">Insert Date 30 days after </w:t>
      </w:r>
      <w:r w:rsidR="00B65A09">
        <w:rPr>
          <w:b/>
          <w:caps/>
        </w:rPr>
        <w:t xml:space="preserve">date of </w:t>
      </w:r>
      <w:r w:rsidRPr="00F11631">
        <w:rPr>
          <w:b/>
          <w:caps/>
        </w:rPr>
        <w:t>publication in the Federal Register]</w:t>
      </w:r>
      <w:r w:rsidRPr="00F11631" w:rsidR="00B65A09">
        <w:rPr>
          <w:b/>
          <w:caps/>
        </w:rPr>
        <w:t>.</w:t>
      </w:r>
      <w:r w:rsidRPr="00F11631" w:rsidR="00B65A09">
        <w:rPr>
          <w:caps/>
        </w:rPr>
        <w:t xml:space="preserve">  </w:t>
      </w:r>
    </w:p>
    <w:p w:rsidR="00343A03" w:rsidP="00D50830" w14:paraId="2AFF287E" w14:textId="1AC29AE2">
      <w:pPr>
        <w:spacing w:line="480" w:lineRule="auto"/>
      </w:pPr>
      <w:r w:rsidRPr="007C1916">
        <w:rPr>
          <w:b/>
        </w:rPr>
        <w:t>ADDRESSES:</w:t>
      </w:r>
      <w:r w:rsidRPr="007C1916">
        <w:t xml:space="preserve">  </w:t>
      </w:r>
      <w:r w:rsidRPr="00096CAD">
        <w:rPr>
          <w:iCs/>
          <w:szCs w:val="26"/>
        </w:rPr>
        <w:t xml:space="preserve">Send written comments on </w:t>
      </w:r>
      <w:r w:rsidR="00016EDB">
        <w:rPr>
          <w:iCs/>
          <w:szCs w:val="26"/>
        </w:rPr>
        <w:t>FERC-</w:t>
      </w:r>
      <w:r w:rsidR="008D6F07">
        <w:rPr>
          <w:iCs/>
          <w:szCs w:val="26"/>
        </w:rPr>
        <w:t>603</w:t>
      </w:r>
      <w:r w:rsidRPr="00096CAD">
        <w:rPr>
          <w:iCs/>
          <w:szCs w:val="26"/>
        </w:rPr>
        <w:t xml:space="preserve"> to OMB through </w:t>
      </w:r>
      <w:hyperlink r:id="rId10" w:history="1">
        <w:r w:rsidRPr="00096CAD">
          <w:rPr>
            <w:rStyle w:val="Hyperlink"/>
            <w:szCs w:val="26"/>
          </w:rPr>
          <w:t>www.reginfo.gov/public/do/PRAMain</w:t>
        </w:r>
      </w:hyperlink>
      <w:r w:rsidRPr="00096CAD">
        <w:rPr>
          <w:szCs w:val="26"/>
        </w:rPr>
        <w:t>,</w:t>
      </w:r>
      <w:r w:rsidRPr="00096CAD">
        <w:rPr>
          <w:iCs/>
          <w:szCs w:val="26"/>
        </w:rPr>
        <w:t xml:space="preserve"> Attention:  Federal Energy Regulatory Commission Desk Officer.  Please identify the OMB control number (</w:t>
      </w:r>
      <w:r w:rsidRPr="005A7903" w:rsidR="005A7903">
        <w:rPr>
          <w:iCs/>
          <w:szCs w:val="26"/>
        </w:rPr>
        <w:t>1902-</w:t>
      </w:r>
      <w:r w:rsidR="007C5DAB">
        <w:rPr>
          <w:iCs/>
          <w:szCs w:val="26"/>
        </w:rPr>
        <w:t>0197</w:t>
      </w:r>
      <w:r w:rsidRPr="00096CAD">
        <w:rPr>
          <w:iCs/>
          <w:szCs w:val="26"/>
        </w:rPr>
        <w:t>) in the subject line</w:t>
      </w:r>
      <w:r>
        <w:rPr>
          <w:iCs/>
          <w:szCs w:val="26"/>
        </w:rPr>
        <w:t>.  Y</w:t>
      </w:r>
      <w:r w:rsidRPr="00096CAD">
        <w:rPr>
          <w:iCs/>
          <w:szCs w:val="26"/>
        </w:rPr>
        <w:t xml:space="preserve">our comments </w:t>
      </w:r>
      <w:r w:rsidRPr="00096CAD">
        <w:rPr>
          <w:szCs w:val="26"/>
        </w:rPr>
        <w:t xml:space="preserve">should be sent within 30 days of publication of this notice </w:t>
      </w:r>
      <w:r>
        <w:rPr>
          <w:szCs w:val="26"/>
        </w:rPr>
        <w:t>in the Federal Register.</w:t>
      </w:r>
    </w:p>
    <w:p w:rsidR="00D65D56" w:rsidP="00D65D56" w14:paraId="6073EEC6" w14:textId="4B870F68">
      <w:pPr>
        <w:spacing w:line="480" w:lineRule="auto"/>
      </w:pPr>
      <w:r>
        <w:t xml:space="preserve">Please submit copies of your comments </w:t>
      </w:r>
      <w:r>
        <w:t xml:space="preserve">(identified by Docket No. </w:t>
      </w:r>
      <w:r w:rsidRPr="00A50EB4" w:rsidR="00174626">
        <w:t>IC23-10-000</w:t>
      </w:r>
      <w:r>
        <w:t xml:space="preserve">) </w:t>
      </w:r>
      <w:r>
        <w:t>to the Commission as noted below</w:t>
      </w:r>
      <w:r>
        <w:t xml:space="preserve">.  Electronic filing through </w:t>
      </w:r>
      <w:hyperlink r:id="rId11" w:history="1">
        <w:r w:rsidRPr="00FA7F6F" w:rsidR="005012B1">
          <w:rPr>
            <w:rStyle w:val="Hyperlink"/>
          </w:rPr>
          <w:t>https://www.ferc.gov</w:t>
        </w:r>
      </w:hyperlink>
      <w:r>
        <w:t xml:space="preserve"> is preferred.</w:t>
      </w:r>
    </w:p>
    <w:p w:rsidR="00D65D56" w:rsidP="0027045E"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00310EFC" w:rsidRPr="00CB7448" w:rsidP="007C1916" w14:paraId="1D7D8F0D" w14:textId="77777777">
      <w:pPr>
        <w:spacing w:line="480" w:lineRule="auto"/>
        <w:rPr>
          <w:i/>
          <w:szCs w:val="26"/>
        </w:rPr>
      </w:pPr>
      <w:r w:rsidRPr="00CB7448">
        <w:rPr>
          <w:i/>
          <w:szCs w:val="26"/>
        </w:rPr>
        <w:t xml:space="preserve">Instructions: </w:t>
      </w:r>
    </w:p>
    <w:p w:rsidR="008E5123" w:rsidRPr="00CB7448" w:rsidP="008E5123" w14:paraId="2BAFDB88" w14:textId="2FBE1604">
      <w:pPr>
        <w:spacing w:line="480" w:lineRule="auto"/>
      </w:pPr>
      <w:r w:rsidRPr="01B0190F">
        <w:rPr>
          <w:i/>
          <w:iCs/>
        </w:rPr>
        <w:t>OMB submissions</w:t>
      </w:r>
      <w:r>
        <w:t xml:space="preserve"> must be formatted and filed in accordance with submission guidelines at</w:t>
      </w:r>
      <w:r w:rsidRPr="01B0190F">
        <w:rPr>
          <w:i/>
          <w:iCs/>
        </w:rPr>
        <w:t xml:space="preserve"> </w:t>
      </w:r>
      <w:hyperlink r:id="rId10" w:history="1">
        <w:r>
          <w:t>www.reginfo.gov/public/do/PRAMain</w:t>
        </w:r>
      </w:hyperlink>
      <w:r w:rsidR="2DD93070">
        <w:t xml:space="preserve">.  </w:t>
      </w:r>
      <w:r>
        <w:t xml:space="preserve">Using the search function under the “Currently Under Review field,” select Federal Energy Regulatory Commission; click “submit” and select “comment” to the right of the subject collection. </w:t>
      </w:r>
    </w:p>
    <w:p w:rsidR="00D50830" w:rsidRPr="00CB7447" w:rsidP="01B0190F" w14:paraId="7554CFE1" w14:textId="2EC430A9">
      <w:pPr>
        <w:spacing w:line="480" w:lineRule="auto"/>
        <w:rPr>
          <w:sz w:val="24"/>
        </w:rPr>
      </w:pPr>
      <w:r>
        <w:t>FERC submissions must be formatted and filed in accordance with submission guidelines at:</w:t>
      </w:r>
      <w:r w:rsidR="00D12811">
        <w:t xml:space="preserve">  </w:t>
      </w:r>
      <w:hyperlink r:id="rId11">
        <w:r w:rsidRPr="01B0190F" w:rsidR="005012B1">
          <w:rPr>
            <w:rStyle w:val="Hyperlink"/>
          </w:rPr>
          <w:t>https://www.ferc.gov</w:t>
        </w:r>
      </w:hyperlink>
      <w:r>
        <w:t>.</w:t>
      </w:r>
      <w:r w:rsidR="00C44372">
        <w:t xml:space="preserve"> </w:t>
      </w:r>
      <w:r>
        <w:t>For user assistance, contact FERC Online Support by e-mail at ferconlinesupport@ferc.gov, or by phone at</w:t>
      </w:r>
      <w:bookmarkStart w:id="1" w:name="_Int_wYFWxlkc"/>
      <w:r>
        <w:t>:  (</w:t>
      </w:r>
      <w:bookmarkEnd w:id="1"/>
      <w:r>
        <w:t>866) 208-3676 (toll-free).</w:t>
      </w:r>
    </w:p>
    <w:p w:rsidR="00C44372" w:rsidP="00A2604E" w14:paraId="0A8B7F1C" w14:textId="69CBA684">
      <w:pPr>
        <w:spacing w:line="480" w:lineRule="auto"/>
      </w:pPr>
      <w:r>
        <w:rPr>
          <w:i/>
        </w:rPr>
        <w:t>Docket:</w:t>
      </w:r>
      <w:r>
        <w:t xml:space="preserve"> Users interested in receiving automatic notification of activity in this docket or in viewing/downloading comments and issuances in this docket may do so at </w:t>
      </w:r>
      <w:bookmarkEnd w:id="0"/>
      <w:hyperlink r:id="rId11" w:history="1">
        <w:r w:rsidRPr="00FA7F6F" w:rsidR="005012B1">
          <w:rPr>
            <w:rStyle w:val="Hyperlink"/>
          </w:rPr>
          <w:t>https://www.ferc.gov</w:t>
        </w:r>
      </w:hyperlink>
      <w:r>
        <w:t xml:space="preserve">. </w:t>
      </w:r>
    </w:p>
    <w:p w:rsidR="00A2604E" w:rsidP="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r:id="rId12" w:history="1">
        <w:r w:rsidRPr="00006D4B">
          <w:rPr>
            <w:rStyle w:val="Hyperlink"/>
          </w:rPr>
          <w:t>DataClearance@FERC.gov</w:t>
        </w:r>
      </w:hyperlink>
      <w:r w:rsidR="00034C49">
        <w:t xml:space="preserve"> and</w:t>
      </w:r>
      <w:r>
        <w:t xml:space="preserve"> telephone at (202) 502-8663</w:t>
      </w:r>
      <w:r w:rsidR="00754526">
        <w:t>.</w:t>
      </w:r>
    </w:p>
    <w:p w:rsidR="005A7903" w:rsidP="005A7903" w14:paraId="4553AE5A" w14:textId="2D720A37">
      <w:pPr>
        <w:spacing w:line="480" w:lineRule="auto"/>
      </w:pPr>
      <w:r w:rsidRPr="00466D3F">
        <w:rPr>
          <w:b/>
        </w:rPr>
        <w:t>SUPPLEMENTARY INFORMATION:</w:t>
      </w:r>
      <w:r w:rsidRPr="00466D3F">
        <w:t xml:space="preserve">  </w:t>
      </w:r>
    </w:p>
    <w:p w:rsidR="00B657E7" w:rsidRPr="00B657E7" w:rsidP="00B657E7" w14:paraId="17EEA6DB" w14:textId="77777777">
      <w:pPr>
        <w:spacing w:line="480" w:lineRule="auto"/>
        <w:rPr>
          <w:i/>
          <w:iCs/>
        </w:rPr>
      </w:pPr>
      <w:r w:rsidRPr="00B657E7">
        <w:rPr>
          <w:i/>
          <w:iCs/>
        </w:rPr>
        <w:t>Title</w:t>
      </w:r>
      <w:r w:rsidRPr="00B657E7">
        <w:t>: FERC-603, Critical Energy/Electric Infrastructure Information Data Request.</w:t>
      </w:r>
    </w:p>
    <w:p w:rsidR="00B657E7" w:rsidRPr="00B657E7" w:rsidP="00B657E7" w14:paraId="3983E159" w14:textId="77777777">
      <w:pPr>
        <w:spacing w:line="480" w:lineRule="auto"/>
        <w:rPr>
          <w:i/>
          <w:iCs/>
        </w:rPr>
      </w:pPr>
      <w:r w:rsidRPr="00B657E7">
        <w:rPr>
          <w:i/>
          <w:iCs/>
        </w:rPr>
        <w:t>OMB Control No</w:t>
      </w:r>
      <w:r w:rsidRPr="00B657E7">
        <w:t>.: 1902-0197.</w:t>
      </w:r>
    </w:p>
    <w:p w:rsidR="00B657E7" w:rsidRPr="00B657E7" w:rsidP="00B657E7" w14:paraId="1368D93E" w14:textId="77777777">
      <w:pPr>
        <w:spacing w:line="480" w:lineRule="auto"/>
        <w:rPr>
          <w:i/>
          <w:iCs/>
        </w:rPr>
      </w:pPr>
      <w:r w:rsidRPr="00B657E7">
        <w:rPr>
          <w:i/>
          <w:iCs/>
        </w:rPr>
        <w:t>Type of Request</w:t>
      </w:r>
      <w:r w:rsidRPr="00B657E7">
        <w:t>:  Three-year extension of the FERC-603 information collection requirements with no changes to the current reporting and recordkeeping requirements.</w:t>
      </w:r>
      <w:r>
        <w:rPr>
          <w:b/>
          <w:vertAlign w:val="superscript"/>
        </w:rPr>
        <w:footnoteReference w:id="3"/>
      </w:r>
    </w:p>
    <w:p w:rsidR="00B657E7" w:rsidRPr="00B657E7" w:rsidP="00B657E7" w14:paraId="3862E50F" w14:textId="77777777">
      <w:pPr>
        <w:spacing w:line="480" w:lineRule="auto"/>
      </w:pPr>
      <w:r w:rsidRPr="00B657E7">
        <w:rPr>
          <w:i/>
          <w:iCs/>
        </w:rPr>
        <w:t>Abstract</w:t>
      </w:r>
      <w:r w:rsidRPr="00B657E7">
        <w:t>:  In accordance with section 215A(d) of the Federal Power Act</w:t>
      </w:r>
      <w:r>
        <w:rPr>
          <w:b/>
          <w:vertAlign w:val="superscript"/>
        </w:rPr>
        <w:footnoteReference w:id="4"/>
      </w:r>
      <w:r w:rsidRPr="00B657E7">
        <w:t xml:space="preserve"> and 18 CFR 388.113, this collection of information provides that persons may seek Critical Energy/Electric Infrastructure Information (CEII).  To receive CEII, they must show they have a legitimate need for such information, and they must submit a non-disclosure agreement that decreases the likelihood that such information could be used to plan or execute terrorist attacks.</w:t>
      </w:r>
    </w:p>
    <w:p w:rsidR="000F39AA" w:rsidP="00B657E7" w14:paraId="7E196D90" w14:textId="77777777">
      <w:pPr>
        <w:spacing w:line="480" w:lineRule="auto"/>
      </w:pPr>
      <w:r w:rsidRPr="00B657E7">
        <w:t>This collection of information provides an alternative to seeking CEII in accordance with the Freedom of Information Act (FOIA).</w:t>
      </w:r>
      <w:r>
        <w:rPr>
          <w:b/>
          <w:vertAlign w:val="superscript"/>
        </w:rPr>
        <w:footnoteReference w:id="5"/>
      </w:r>
      <w:r w:rsidRPr="00B657E7">
        <w:t xml:space="preserve">  That statute requires federal agencies to disclose the requested information unless one or more of several FOIA exemptions justifies withholding of the requested information.  In the case of CEII, two FOIA</w:t>
      </w:r>
    </w:p>
    <w:p w:rsidR="000F39AA" w14:paraId="3126B48A" w14:textId="77777777">
      <w:pPr>
        <w:spacing w:after="160" w:line="259" w:lineRule="auto"/>
      </w:pPr>
      <w:r>
        <w:br w:type="page"/>
      </w:r>
    </w:p>
    <w:p w:rsidR="00B657E7" w:rsidRPr="00B657E7" w:rsidP="00B657E7" w14:paraId="44FA3981" w14:textId="6AC36AE1">
      <w:pPr>
        <w:spacing w:line="480" w:lineRule="auto"/>
      </w:pPr>
      <w:r w:rsidRPr="00B657E7">
        <w:t xml:space="preserve"> exemptions are likely to apply to CEII</w:t>
      </w:r>
      <w:r w:rsidR="007D7099">
        <w:t>,</w:t>
      </w:r>
      <w:r>
        <w:rPr>
          <w:b/>
          <w:vertAlign w:val="superscript"/>
        </w:rPr>
        <w:footnoteReference w:id="6"/>
      </w:r>
      <w:r w:rsidRPr="00B657E7">
        <w:t xml:space="preserve"> and </w:t>
      </w:r>
      <w:r w:rsidR="00316D92">
        <w:t xml:space="preserve">applying one of them </w:t>
      </w:r>
      <w:r w:rsidRPr="00B657E7">
        <w:t>frequently result</w:t>
      </w:r>
      <w:r w:rsidR="00316D92">
        <w:t>s</w:t>
      </w:r>
      <w:r w:rsidRPr="00B657E7">
        <w:t xml:space="preserve"> in a decision to withhold the information from the FOIA requester.  The Commission realizes that this process could prevent persons with a legitimate need for CEII from obtaining such information.  For example, market participants seeking to develop new or expanded energy resources may have such a need.</w:t>
      </w:r>
    </w:p>
    <w:p w:rsidR="00B657E7" w:rsidRPr="00B657E7" w:rsidP="00B657E7" w14:paraId="4E7CE786" w14:textId="77777777">
      <w:pPr>
        <w:spacing w:line="480" w:lineRule="auto"/>
      </w:pPr>
      <w:r>
        <w:t xml:space="preserve">In the aftermath of the September 11, </w:t>
      </w:r>
      <w:bookmarkStart w:id="2" w:name="_Int_4Xlbpe61"/>
      <w:r>
        <w:t>2001</w:t>
      </w:r>
      <w:bookmarkEnd w:id="2"/>
      <w:r>
        <w:t xml:space="preserve"> terrorist attacks, the Commission determined that it was important to improve the appropriate treatment of CEII, both to assist requesters with a legitimate need for CEII, and to restrict access to the sensitive information due to the ongoing terrorism threat.  The Commission promulgated 18 CFR 388.113 to achieve those goals.</w:t>
      </w:r>
    </w:p>
    <w:p w:rsidR="00B657E7" w:rsidRPr="00B657E7" w:rsidP="00B657E7" w14:paraId="28CADB78" w14:textId="77777777">
      <w:pPr>
        <w:spacing w:line="480" w:lineRule="auto"/>
        <w:rPr>
          <w:bCs/>
        </w:rPr>
      </w:pPr>
      <w:r w:rsidRPr="00B657E7">
        <w:rPr>
          <w:bCs/>
        </w:rPr>
        <w:t>Under 18 CFR 388.13(g)(5), a request for CEII must contain:</w:t>
      </w:r>
    </w:p>
    <w:p w:rsidR="00B657E7" w:rsidRPr="00B657E7" w:rsidP="01B0190F" w14:paraId="095251A1" w14:textId="77777777">
      <w:pPr>
        <w:numPr>
          <w:ilvl w:val="0"/>
          <w:numId w:val="9"/>
        </w:numPr>
        <w:spacing w:line="480" w:lineRule="auto"/>
      </w:pPr>
      <w:r>
        <w:t xml:space="preserve">The requester's name, title, address, and telephone </w:t>
      </w:r>
      <w:bookmarkStart w:id="3" w:name="_Int_mz9eNRZA"/>
      <w:r>
        <w:t>number;</w:t>
      </w:r>
      <w:bookmarkEnd w:id="3"/>
    </w:p>
    <w:p w:rsidR="00B657E7" w:rsidRPr="00B657E7" w:rsidP="01B0190F" w14:paraId="36124875" w14:textId="77777777">
      <w:pPr>
        <w:numPr>
          <w:ilvl w:val="0"/>
          <w:numId w:val="9"/>
        </w:numPr>
        <w:spacing w:line="480" w:lineRule="auto"/>
      </w:pPr>
      <w:r>
        <w:t xml:space="preserve">The name, address, and telephone number of the person or entity on whose behalf the information is </w:t>
      </w:r>
      <w:bookmarkStart w:id="4" w:name="_Int_iqy5K3Wv"/>
      <w:r>
        <w:t>requested;</w:t>
      </w:r>
      <w:bookmarkEnd w:id="4"/>
    </w:p>
    <w:p w:rsidR="00B657E7" w:rsidRPr="00B657E7" w:rsidP="00B657E7" w14:paraId="76728877" w14:textId="77777777">
      <w:pPr>
        <w:numPr>
          <w:ilvl w:val="0"/>
          <w:numId w:val="9"/>
        </w:numPr>
        <w:spacing w:line="480" w:lineRule="auto"/>
        <w:rPr>
          <w:bCs/>
        </w:rPr>
      </w:pPr>
      <w:r w:rsidRPr="00B657E7">
        <w:rPr>
          <w:bCs/>
        </w:rPr>
        <w:t>A detailed Statement of Need; and</w:t>
      </w:r>
    </w:p>
    <w:p w:rsidR="00B657E7" w:rsidRPr="00B657E7" w:rsidP="00B657E7" w14:paraId="22EA46E0" w14:textId="77777777">
      <w:pPr>
        <w:numPr>
          <w:ilvl w:val="0"/>
          <w:numId w:val="9"/>
        </w:numPr>
        <w:spacing w:line="480" w:lineRule="auto"/>
        <w:rPr>
          <w:bCs/>
        </w:rPr>
      </w:pPr>
      <w:r w:rsidRPr="00B657E7">
        <w:rPr>
          <w:bCs/>
        </w:rPr>
        <w:t>An executed non-disclosure agreement.</w:t>
      </w:r>
    </w:p>
    <w:p w:rsidR="00B657E7" w:rsidRPr="00B657E7" w:rsidP="00B657E7" w14:paraId="10ADCCC7" w14:textId="77777777">
      <w:pPr>
        <w:spacing w:line="480" w:lineRule="auto"/>
        <w:rPr>
          <w:bCs/>
        </w:rPr>
      </w:pPr>
      <w:r w:rsidRPr="00B657E7">
        <w:rPr>
          <w:bCs/>
        </w:rPr>
        <w:t>Under 18 CFR 388.133(h)(2), the non-disclosure agreement indicates the individual's willingness to adhere to limitations on the use and disclosure of the information requested, and stipulates at minimum that the CEII:</w:t>
      </w:r>
    </w:p>
    <w:p w:rsidR="00B657E7" w:rsidRPr="00B657E7" w:rsidP="01B0190F" w14:paraId="7695BA1E" w14:textId="77777777">
      <w:pPr>
        <w:numPr>
          <w:ilvl w:val="0"/>
          <w:numId w:val="10"/>
        </w:numPr>
        <w:spacing w:line="480" w:lineRule="auto"/>
      </w:pPr>
      <w:r>
        <w:t xml:space="preserve">Will only be used for the purpose for which it was </w:t>
      </w:r>
      <w:bookmarkStart w:id="5" w:name="_Int_26jic1rE"/>
      <w:r>
        <w:t>requested;</w:t>
      </w:r>
      <w:bookmarkEnd w:id="5"/>
    </w:p>
    <w:p w:rsidR="00B657E7" w:rsidRPr="00B657E7" w:rsidP="01B0190F" w14:paraId="69120A35" w14:textId="77777777">
      <w:pPr>
        <w:numPr>
          <w:ilvl w:val="0"/>
          <w:numId w:val="10"/>
        </w:numPr>
        <w:spacing w:line="480" w:lineRule="auto"/>
      </w:pPr>
      <w:r>
        <w:t xml:space="preserve">May only be discussed with authorized </w:t>
      </w:r>
      <w:bookmarkStart w:id="6" w:name="_Int_l4qlIKiW"/>
      <w:r>
        <w:t>recipients;</w:t>
      </w:r>
      <w:bookmarkEnd w:id="6"/>
    </w:p>
    <w:p w:rsidR="00B657E7" w:rsidRPr="00B657E7" w:rsidP="01B0190F" w14:paraId="741E7016" w14:textId="77777777">
      <w:pPr>
        <w:numPr>
          <w:ilvl w:val="0"/>
          <w:numId w:val="10"/>
        </w:numPr>
        <w:spacing w:line="480" w:lineRule="auto"/>
      </w:pPr>
      <w:r>
        <w:t xml:space="preserve">Must be kept in a secure place in a manner that would prevent unauthorized </w:t>
      </w:r>
      <w:bookmarkStart w:id="7" w:name="_Int_ZeeuyCgn"/>
      <w:r>
        <w:t>access;</w:t>
      </w:r>
      <w:bookmarkEnd w:id="7"/>
    </w:p>
    <w:p w:rsidR="00B657E7" w:rsidRPr="00B657E7" w:rsidP="00B657E7" w14:paraId="4EBEFE38" w14:textId="77777777">
      <w:pPr>
        <w:numPr>
          <w:ilvl w:val="0"/>
          <w:numId w:val="10"/>
        </w:numPr>
        <w:spacing w:line="480" w:lineRule="auto"/>
        <w:rPr>
          <w:bCs/>
        </w:rPr>
      </w:pPr>
      <w:r w:rsidRPr="00B657E7">
        <w:rPr>
          <w:bCs/>
        </w:rPr>
        <w:t>Must be destroyed or returned to the Commission upon request; and</w:t>
      </w:r>
    </w:p>
    <w:p w:rsidR="00B657E7" w:rsidRPr="00B657E7" w:rsidP="00B657E7" w14:paraId="102B787F" w14:textId="77777777">
      <w:pPr>
        <w:numPr>
          <w:ilvl w:val="0"/>
          <w:numId w:val="10"/>
        </w:numPr>
        <w:spacing w:line="480" w:lineRule="auto"/>
        <w:rPr>
          <w:bCs/>
        </w:rPr>
      </w:pPr>
      <w:r w:rsidRPr="00B657E7">
        <w:rPr>
          <w:bCs/>
        </w:rPr>
        <w:t>Is not subject to release under either FOIA or Sunshine Laws.</w:t>
      </w:r>
    </w:p>
    <w:p w:rsidR="00B657E7" w:rsidRPr="00B657E7" w:rsidP="00B657E7" w14:paraId="6EBA64EB" w14:textId="77777777">
      <w:pPr>
        <w:spacing w:line="480" w:lineRule="auto"/>
        <w:rPr>
          <w:bCs/>
        </w:rPr>
      </w:pPr>
      <w:r w:rsidRPr="00B657E7">
        <w:rPr>
          <w:bCs/>
        </w:rPr>
        <w:t>In addition, the non-disclosure agreement provides that the Commission may audit the recipient's compliance with the non-disclosure agreement; that a recipient is obligated to protect the CEII even after a designation has lapsed</w:t>
      </w:r>
      <w:r>
        <w:rPr>
          <w:b/>
          <w:bCs/>
          <w:vertAlign w:val="superscript"/>
        </w:rPr>
        <w:footnoteReference w:id="7"/>
      </w:r>
      <w:r w:rsidRPr="00B657E7">
        <w:rPr>
          <w:bCs/>
        </w:rPr>
        <w:t xml:space="preserve"> until the CEII Coordinator</w:t>
      </w:r>
      <w:r>
        <w:rPr>
          <w:b/>
          <w:bCs/>
          <w:vertAlign w:val="superscript"/>
        </w:rPr>
        <w:footnoteReference w:id="8"/>
      </w:r>
      <w:r w:rsidRPr="00A24253">
        <w:rPr>
          <w:b/>
          <w:bCs/>
        </w:rPr>
        <w:t xml:space="preserve"> </w:t>
      </w:r>
      <w:r w:rsidRPr="00B657E7">
        <w:rPr>
          <w:bCs/>
        </w:rPr>
        <w:t>determines the information should no longer be designated as CEII; and the recipient is required to promptly report all unauthorized disclosures of CEII to the Commission.</w:t>
      </w:r>
    </w:p>
    <w:p w:rsidR="00B657E7" w:rsidRPr="00B657E7" w:rsidP="00B657E7" w14:paraId="7FBE81D4" w14:textId="77777777">
      <w:pPr>
        <w:spacing w:line="480" w:lineRule="auto"/>
        <w:rPr>
          <w:i/>
          <w:iCs/>
        </w:rPr>
      </w:pPr>
      <w:r w:rsidRPr="00B657E7">
        <w:rPr>
          <w:i/>
          <w:iCs/>
        </w:rPr>
        <w:t>Type of Respondents</w:t>
      </w:r>
      <w:r w:rsidRPr="00B657E7">
        <w:t>: Persons seeking access to CEII.</w:t>
      </w:r>
    </w:p>
    <w:p w:rsidR="00B657E7" w:rsidRPr="00B657E7" w:rsidP="00B657E7" w14:paraId="4A87A8F6" w14:textId="77777777">
      <w:pPr>
        <w:spacing w:line="480" w:lineRule="auto"/>
        <w:rPr>
          <w:i/>
          <w:iCs/>
        </w:rPr>
      </w:pPr>
      <w:r w:rsidRPr="00B657E7">
        <w:rPr>
          <w:i/>
          <w:iCs/>
        </w:rPr>
        <w:t>Estimate of Annual Burden</w:t>
      </w:r>
      <w:r w:rsidRPr="00B657E7">
        <w:t>:  The Commission estimates the total annual burden</w:t>
      </w:r>
      <w:r>
        <w:rPr>
          <w:b/>
          <w:vertAlign w:val="superscript"/>
        </w:rPr>
        <w:footnoteReference w:id="9"/>
      </w:r>
      <w:r w:rsidRPr="00B657E7">
        <w:t xml:space="preserve"> and cost</w:t>
      </w:r>
      <w:r>
        <w:rPr>
          <w:b/>
          <w:vertAlign w:val="superscript"/>
        </w:rPr>
        <w:footnoteReference w:id="10"/>
      </w:r>
      <w:r w:rsidRPr="00B657E7">
        <w:rPr>
          <w:b/>
          <w:bCs/>
        </w:rPr>
        <w:t xml:space="preserve"> </w:t>
      </w:r>
      <w:r w:rsidRPr="00B657E7">
        <w:t>for this information collection as follows.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873"/>
        <w:gridCol w:w="1620"/>
        <w:gridCol w:w="1260"/>
        <w:gridCol w:w="1434"/>
        <w:gridCol w:w="1531"/>
      </w:tblGrid>
      <w:tr w14:paraId="5E9D4485" w14:textId="77777777" w:rsidTr="002A6ACD">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700"/>
          <w:jc w:val="right"/>
        </w:trPr>
        <w:tc>
          <w:tcPr>
            <w:tcW w:w="163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5169C473" w14:textId="77777777">
            <w:pPr>
              <w:jc w:val="center"/>
              <w:rPr>
                <w:b/>
              </w:rPr>
            </w:pPr>
            <w:r w:rsidRPr="00B657E7">
              <w:rPr>
                <w:b/>
              </w:rPr>
              <w:t>(1)</w:t>
            </w:r>
          </w:p>
          <w:p w:rsidR="00B657E7" w:rsidRPr="00B657E7" w:rsidP="002A6ACD" w14:paraId="61A25CDF" w14:textId="77777777">
            <w:pPr>
              <w:jc w:val="center"/>
              <w:rPr>
                <w:b/>
              </w:rPr>
            </w:pPr>
            <w:r w:rsidRPr="00B657E7">
              <w:rPr>
                <w:b/>
              </w:rPr>
              <w:t>Number of Respondents</w:t>
            </w:r>
          </w:p>
        </w:tc>
        <w:tc>
          <w:tcPr>
            <w:tcW w:w="187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2CD1C2D6" w14:textId="77777777">
            <w:pPr>
              <w:jc w:val="center"/>
              <w:rPr>
                <w:b/>
              </w:rPr>
            </w:pPr>
            <w:r w:rsidRPr="00B657E7">
              <w:rPr>
                <w:b/>
              </w:rPr>
              <w:t>(2)</w:t>
            </w:r>
          </w:p>
          <w:p w:rsidR="00B657E7" w:rsidRPr="00B657E7" w:rsidP="002A6ACD" w14:paraId="062C4DD5" w14:textId="77777777">
            <w:pPr>
              <w:jc w:val="center"/>
              <w:rPr>
                <w:b/>
              </w:rPr>
            </w:pPr>
            <w:r w:rsidRPr="00B657E7">
              <w:rPr>
                <w:b/>
              </w:rPr>
              <w:t>Annual 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6CB29FCB" w14:textId="77777777">
            <w:pPr>
              <w:jc w:val="center"/>
              <w:rPr>
                <w:b/>
              </w:rPr>
            </w:pPr>
          </w:p>
          <w:p w:rsidR="00B657E7" w:rsidRPr="00B657E7" w:rsidP="002A6ACD" w14:paraId="1BA93086" w14:textId="77777777">
            <w:pPr>
              <w:jc w:val="center"/>
              <w:rPr>
                <w:b/>
              </w:rPr>
            </w:pPr>
            <w:r w:rsidRPr="00B657E7">
              <w:rPr>
                <w:b/>
              </w:rPr>
              <w:t>(3)</w:t>
            </w:r>
          </w:p>
          <w:p w:rsidR="00B657E7" w:rsidRPr="00B657E7" w:rsidP="002A6ACD" w14:paraId="44B74F3C" w14:textId="77777777">
            <w:pPr>
              <w:jc w:val="center"/>
              <w:rPr>
                <w:b/>
              </w:rPr>
            </w:pPr>
            <w:r w:rsidRPr="00B657E7">
              <w:rPr>
                <w:b/>
              </w:rPr>
              <w:t>Total Number of Responses (Column 1 x Column 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4767805F" w14:textId="77777777">
            <w:pPr>
              <w:jc w:val="center"/>
              <w:rPr>
                <w:b/>
              </w:rPr>
            </w:pPr>
            <w:r w:rsidRPr="00B657E7">
              <w:rPr>
                <w:b/>
              </w:rPr>
              <w:t>(4)</w:t>
            </w:r>
          </w:p>
          <w:p w:rsidR="00B657E7" w:rsidRPr="00B657E7" w:rsidP="002A6ACD" w14:paraId="68B4929A" w14:textId="77777777">
            <w:pPr>
              <w:jc w:val="center"/>
              <w:rPr>
                <w:b/>
              </w:rPr>
            </w:pPr>
            <w:r w:rsidRPr="00B657E7">
              <w:rPr>
                <w:b/>
              </w:rPr>
              <w:t>Average Burden &amp; Cost Per Response</w:t>
            </w:r>
          </w:p>
        </w:tc>
        <w:tc>
          <w:tcPr>
            <w:tcW w:w="143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726912D5" w14:textId="77777777">
            <w:pPr>
              <w:jc w:val="center"/>
              <w:rPr>
                <w:b/>
              </w:rPr>
            </w:pPr>
            <w:r w:rsidRPr="00B657E7">
              <w:rPr>
                <w:b/>
              </w:rPr>
              <w:t>(5)</w:t>
            </w:r>
          </w:p>
          <w:p w:rsidR="00B657E7" w:rsidRPr="00B657E7" w:rsidP="002A6ACD" w14:paraId="44045D01" w14:textId="77777777">
            <w:pPr>
              <w:jc w:val="center"/>
              <w:rPr>
                <w:b/>
              </w:rPr>
            </w:pPr>
            <w:r w:rsidRPr="00B657E7">
              <w:rPr>
                <w:b/>
              </w:rPr>
              <w:t>Total Annual Burden Hours &amp; Total Annual Cost</w:t>
            </w:r>
          </w:p>
          <w:p w:rsidR="00B657E7" w:rsidRPr="00B657E7" w:rsidP="002A6ACD" w14:paraId="7670D14B" w14:textId="77777777">
            <w:pPr>
              <w:jc w:val="center"/>
              <w:rPr>
                <w:b/>
              </w:rPr>
            </w:pPr>
            <w:r w:rsidRPr="00B657E7">
              <w:rPr>
                <w:b/>
              </w:rPr>
              <w:t>(Column 3 x Column 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B657E7" w:rsidRPr="00B657E7" w:rsidP="002A6ACD" w14:paraId="611A1398" w14:textId="77777777">
            <w:pPr>
              <w:jc w:val="center"/>
              <w:rPr>
                <w:b/>
              </w:rPr>
            </w:pPr>
            <w:r w:rsidRPr="00B657E7">
              <w:rPr>
                <w:b/>
              </w:rPr>
              <w:t>(6)</w:t>
            </w:r>
          </w:p>
          <w:p w:rsidR="00B657E7" w:rsidRPr="00B657E7" w:rsidP="002A6ACD" w14:paraId="406E970B" w14:textId="77777777">
            <w:pPr>
              <w:jc w:val="center"/>
              <w:rPr>
                <w:b/>
              </w:rPr>
            </w:pPr>
            <w:r w:rsidRPr="00B657E7">
              <w:rPr>
                <w:b/>
              </w:rPr>
              <w:t>Cost per Respondent</w:t>
            </w:r>
          </w:p>
          <w:p w:rsidR="00B657E7" w:rsidRPr="00B657E7" w:rsidP="002A6ACD" w14:paraId="6DA55F41" w14:textId="77777777">
            <w:pPr>
              <w:jc w:val="center"/>
              <w:rPr>
                <w:b/>
              </w:rPr>
            </w:pPr>
            <w:r w:rsidRPr="00B657E7">
              <w:rPr>
                <w:b/>
              </w:rPr>
              <w:t>($)</w:t>
            </w:r>
          </w:p>
          <w:p w:rsidR="00B657E7" w:rsidRPr="00B657E7" w:rsidP="002A6ACD" w14:paraId="7C442DC8" w14:textId="77777777">
            <w:pPr>
              <w:jc w:val="center"/>
              <w:rPr>
                <w:b/>
              </w:rPr>
            </w:pPr>
            <w:r w:rsidRPr="00B657E7">
              <w:rPr>
                <w:b/>
              </w:rPr>
              <w:t>(Column 5 ÷ Column 1)</w:t>
            </w:r>
          </w:p>
        </w:tc>
      </w:tr>
      <w:tr w14:paraId="240814CC" w14:textId="77777777" w:rsidTr="002A6ACD">
        <w:tblPrEx>
          <w:tblW w:w="0" w:type="auto"/>
          <w:jc w:val="right"/>
          <w:tblLook w:val="01E0"/>
        </w:tblPrEx>
        <w:trPr>
          <w:cantSplit/>
          <w:jc w:val="right"/>
        </w:trPr>
        <w:tc>
          <w:tcPr>
            <w:tcW w:w="1632" w:type="dxa"/>
            <w:tcBorders>
              <w:top w:val="single" w:sz="4" w:space="0" w:color="auto"/>
              <w:left w:val="single" w:sz="4" w:space="0" w:color="auto"/>
              <w:bottom w:val="single" w:sz="4" w:space="0" w:color="auto"/>
              <w:right w:val="single" w:sz="4" w:space="0" w:color="auto"/>
            </w:tcBorders>
            <w:vAlign w:val="bottom"/>
            <w:hideMark/>
          </w:tcPr>
          <w:p w:rsidR="00B657E7" w:rsidRPr="00B657E7" w:rsidP="002A6ACD" w14:paraId="525A8DB0" w14:textId="77777777">
            <w:pPr>
              <w:jc w:val="right"/>
            </w:pPr>
            <w:r w:rsidRPr="00B657E7">
              <w:t>50</w:t>
            </w:r>
          </w:p>
        </w:tc>
        <w:tc>
          <w:tcPr>
            <w:tcW w:w="1873" w:type="dxa"/>
            <w:tcBorders>
              <w:top w:val="single" w:sz="4" w:space="0" w:color="auto"/>
              <w:left w:val="single" w:sz="4" w:space="0" w:color="auto"/>
              <w:bottom w:val="single" w:sz="4" w:space="0" w:color="auto"/>
              <w:right w:val="single" w:sz="4" w:space="0" w:color="auto"/>
            </w:tcBorders>
            <w:vAlign w:val="bottom"/>
            <w:hideMark/>
          </w:tcPr>
          <w:p w:rsidR="00B657E7" w:rsidRPr="00B657E7" w:rsidP="002A6ACD" w14:paraId="76FA7DF0" w14:textId="77777777">
            <w:pPr>
              <w:jc w:val="right"/>
            </w:pPr>
            <w:r w:rsidRPr="00B657E7">
              <w:t>1</w:t>
            </w:r>
          </w:p>
        </w:tc>
        <w:tc>
          <w:tcPr>
            <w:tcW w:w="1620" w:type="dxa"/>
            <w:tcBorders>
              <w:top w:val="single" w:sz="4" w:space="0" w:color="auto"/>
              <w:left w:val="single" w:sz="4" w:space="0" w:color="auto"/>
              <w:bottom w:val="single" w:sz="4" w:space="0" w:color="auto"/>
              <w:right w:val="single" w:sz="4" w:space="0" w:color="auto"/>
            </w:tcBorders>
            <w:vAlign w:val="bottom"/>
            <w:hideMark/>
          </w:tcPr>
          <w:p w:rsidR="00B657E7" w:rsidRPr="00B657E7" w:rsidP="002A6ACD" w14:paraId="02BE5AB3" w14:textId="77777777">
            <w:pPr>
              <w:jc w:val="right"/>
            </w:pPr>
            <w:r w:rsidRPr="00B657E7">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657E7" w:rsidRPr="00B657E7" w:rsidP="002A6ACD" w14:paraId="5BAA37E7" w14:textId="77777777">
            <w:pPr>
              <w:jc w:val="right"/>
            </w:pPr>
            <w:r w:rsidRPr="00B657E7">
              <w:t>0.3 hrs.; $27.30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657E7" w:rsidRPr="00B657E7" w:rsidP="002A6ACD" w14:paraId="2C2F7F93" w14:textId="77777777">
            <w:pPr>
              <w:jc w:val="right"/>
            </w:pPr>
            <w:r w:rsidRPr="00B657E7">
              <w:t>15 hrs.; $1,365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B657E7" w:rsidRPr="00B657E7" w:rsidP="002A6ACD" w14:paraId="353DEF0A" w14:textId="77777777">
            <w:pPr>
              <w:jc w:val="right"/>
            </w:pPr>
            <w:r w:rsidRPr="00B657E7">
              <w:t>$27.30</w:t>
            </w:r>
          </w:p>
        </w:tc>
      </w:tr>
    </w:tbl>
    <w:p w:rsidR="00B657E7" w:rsidRPr="00B657E7" w:rsidP="00B657E7" w14:paraId="6512987E" w14:textId="77777777">
      <w:pPr>
        <w:spacing w:line="480" w:lineRule="auto"/>
      </w:pPr>
    </w:p>
    <w:p w:rsidR="007F5937" w:rsidRPr="007F5937" w:rsidP="007F5937" w14:paraId="5EDD4817" w14:textId="77777777">
      <w:pPr>
        <w:spacing w:line="480" w:lineRule="auto"/>
      </w:pPr>
      <w:r w:rsidRPr="007F5937">
        <w:rPr>
          <w:iCs/>
        </w:rPr>
        <w:t>The Request Form</w:t>
      </w:r>
      <w:r>
        <w:rPr>
          <w:b/>
          <w:bCs/>
          <w:vertAlign w:val="superscript"/>
        </w:rPr>
        <w:footnoteReference w:id="11"/>
      </w:r>
      <w:r w:rsidRPr="007F5937">
        <w:rPr>
          <w:iCs/>
        </w:rPr>
        <w:t xml:space="preserve"> is </w:t>
      </w:r>
      <w:r w:rsidRPr="007F5937">
        <w:t xml:space="preserve">attached to this notice but will not be published in the Federal Register.  It will be posted in the Commission’s </w:t>
      </w:r>
      <w:r w:rsidRPr="007F5937">
        <w:t>eLibrary</w:t>
      </w:r>
      <w:r w:rsidRPr="007F5937">
        <w:t xml:space="preserve"> system with this Notice. </w:t>
      </w:r>
    </w:p>
    <w:p w:rsidR="002A6ACD" w:rsidRPr="002A6ACD" w:rsidP="002A6ACD" w14:paraId="40506CB1" w14:textId="2A50412A">
      <w:pPr>
        <w:spacing w:line="480" w:lineRule="auto"/>
      </w:pPr>
      <w:r w:rsidRPr="00B657E7">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w:t>
      </w:r>
      <w:r w:rsidRPr="00B657E7">
        <w:t>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2A6ACD" w:rsidP="00A24253" w14:paraId="00B18C8F" w14:textId="3FBE9D2C"/>
    <w:p w:rsidR="00A24253" w:rsidP="00A24253" w14:paraId="0EA06B51" w14:textId="74789FBF"/>
    <w:p w:rsidR="00A24253" w:rsidP="00A24253" w14:paraId="52955494" w14:textId="15D48AA3"/>
    <w:p w:rsidR="00A24253" w:rsidP="00A24253" w14:paraId="15D73B0D" w14:textId="0574704E"/>
    <w:p w:rsidR="00A24253" w:rsidRPr="00A24253" w:rsidP="00A24253" w14:paraId="5F051BFA" w14:textId="41690BC3">
      <w:pPr>
        <w:ind w:firstLine="2174"/>
        <w:jc w:val="center"/>
      </w:pPr>
      <w:r w:rsidRPr="00A24253">
        <w:t>Kimberly D. Bose,</w:t>
      </w:r>
    </w:p>
    <w:p w:rsidR="00A24253" w:rsidRPr="00A24253" w:rsidP="00A24253" w14:paraId="74973248" w14:textId="75F50BC2">
      <w:pPr>
        <w:ind w:firstLine="2174"/>
        <w:jc w:val="center"/>
      </w:pPr>
      <w:r w:rsidRPr="00A24253">
        <w:t>Secretary.</w:t>
      </w:r>
    </w:p>
    <w:p w:rsidR="00A24253" w:rsidRPr="00B657E7" w:rsidP="00A24253" w14:paraId="085D1547" w14:textId="77777777"/>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7701B" w:rsidP="00B01B16" w14:paraId="055F85B4" w14:textId="77777777">
      <w:r>
        <w:separator/>
      </w:r>
    </w:p>
  </w:footnote>
  <w:footnote w:type="continuationSeparator" w:id="1">
    <w:p w:rsidR="00B7701B" w:rsidP="00B01B16" w14:paraId="55FF2BEC" w14:textId="77777777">
      <w:r>
        <w:continuationSeparator/>
      </w:r>
    </w:p>
  </w:footnote>
  <w:footnote w:type="continuationNotice" w:id="2">
    <w:p w:rsidR="00B7701B" w14:paraId="20309F5A" w14:textId="77777777"/>
  </w:footnote>
  <w:footnote w:id="3">
    <w:p w:rsidR="00B657E7" w:rsidRPr="006B1387" w:rsidP="000B1B53" w14:paraId="69AA8586" w14:textId="77777777">
      <w:pPr>
        <w:pStyle w:val="FootnoteText"/>
        <w:rPr>
          <w:sz w:val="26"/>
          <w:szCs w:val="26"/>
        </w:rPr>
      </w:pPr>
      <w:r w:rsidRPr="00A24253">
        <w:rPr>
          <w:rStyle w:val="FootnoteReference"/>
        </w:rPr>
        <w:footnoteRef/>
      </w:r>
      <w:r w:rsidRPr="00B514BF">
        <w:rPr>
          <w:sz w:val="26"/>
          <w:szCs w:val="26"/>
        </w:rPr>
        <w:t xml:space="preserve"> </w:t>
      </w:r>
      <w:r w:rsidRPr="006B1387">
        <w:rPr>
          <w:sz w:val="26"/>
          <w:szCs w:val="26"/>
        </w:rPr>
        <w:t xml:space="preserve">The CEII request form and five versions of the non-disclosure agreement (General Non-Disclosure Agreement, Media Non-Disclosure Agreement, Federal Agency Acknowledgement and Agreement, State Agency Employee Non-Disclosure Agreement, and Consultant Non-Disclosure Agreement) are posted at </w:t>
      </w:r>
      <w:hyperlink r:id="rId1" w:history="1">
        <w:r w:rsidRPr="006B1387">
          <w:rPr>
            <w:rStyle w:val="Hyperlink"/>
            <w:sz w:val="26"/>
            <w:szCs w:val="26"/>
          </w:rPr>
          <w:t>https://www.ferc.gov/legal/ceii-foia/ceii.asp</w:t>
        </w:r>
      </w:hyperlink>
      <w:r w:rsidRPr="006B1387">
        <w:rPr>
          <w:sz w:val="26"/>
          <w:szCs w:val="26"/>
        </w:rPr>
        <w:t xml:space="preserve">. </w:t>
      </w:r>
    </w:p>
  </w:footnote>
  <w:footnote w:id="4">
    <w:p w:rsidR="00B657E7" w:rsidRPr="00682588" w:rsidP="000B1B53" w14:paraId="714D6E2A" w14:textId="2937438C">
      <w:pPr>
        <w:pStyle w:val="FootnoteText"/>
        <w:rPr>
          <w:bCs/>
          <w:sz w:val="26"/>
        </w:rPr>
      </w:pPr>
      <w:r w:rsidRPr="00A24253">
        <w:rPr>
          <w:rStyle w:val="FootnoteReference"/>
          <w:bCs/>
        </w:rPr>
        <w:footnoteRef/>
      </w:r>
      <w:r w:rsidRPr="00682588">
        <w:rPr>
          <w:bCs/>
          <w:sz w:val="26"/>
        </w:rPr>
        <w:t xml:space="preserve"> 16 U.S.C. 824o-1(d).</w:t>
      </w:r>
    </w:p>
  </w:footnote>
  <w:footnote w:id="5">
    <w:p w:rsidR="00B657E7" w:rsidP="00B657E7" w14:paraId="7E80D1FD" w14:textId="128ECDDE">
      <w:pPr>
        <w:pStyle w:val="FootnoteText"/>
      </w:pPr>
      <w:r w:rsidRPr="00A24253">
        <w:rPr>
          <w:rStyle w:val="FootnoteReference"/>
        </w:rPr>
        <w:footnoteRef/>
      </w:r>
      <w:r>
        <w:t xml:space="preserve"> </w:t>
      </w:r>
      <w:r w:rsidRPr="006B1387">
        <w:rPr>
          <w:sz w:val="26"/>
        </w:rPr>
        <w:t>5 U.S.C. 552</w:t>
      </w:r>
      <w:r>
        <w:rPr>
          <w:sz w:val="26"/>
        </w:rPr>
        <w:t xml:space="preserve"> (2018).</w:t>
      </w:r>
    </w:p>
  </w:footnote>
  <w:footnote w:id="6">
    <w:p w:rsidR="00B657E7" w:rsidRPr="00502DC0" w:rsidP="00876051" w14:paraId="2F04DF6E" w14:textId="5C7B7EEF">
      <w:pPr>
        <w:pStyle w:val="FootnoteText"/>
        <w:rPr>
          <w:sz w:val="26"/>
        </w:rPr>
      </w:pPr>
      <w:r w:rsidRPr="00A24253">
        <w:rPr>
          <w:rStyle w:val="FootnoteReference"/>
          <w:bCs/>
        </w:rPr>
        <w:footnoteRef/>
      </w:r>
      <w:r w:rsidR="002723FD">
        <w:rPr>
          <w:sz w:val="26"/>
        </w:rPr>
        <w:t xml:space="preserve"> </w:t>
      </w:r>
      <w:r w:rsidR="002723FD">
        <w:rPr>
          <w:rStyle w:val="normaltextrun"/>
          <w:color w:val="000000"/>
          <w:sz w:val="26"/>
          <w:szCs w:val="26"/>
          <w:shd w:val="clear" w:color="auto" w:fill="FFFFFF"/>
        </w:rPr>
        <w:t>The relevant FOIA exemptions are Exemption 3, which allows the withholding </w:t>
      </w:r>
      <w:r w:rsidR="002723FD">
        <w:rPr>
          <w:rStyle w:val="normaltextrun"/>
          <w:color w:val="0078D4"/>
          <w:sz w:val="26"/>
          <w:szCs w:val="26"/>
          <w:u w:val="single"/>
          <w:shd w:val="clear" w:color="auto" w:fill="FFFFFF"/>
        </w:rPr>
        <w:t>o</w:t>
      </w:r>
      <w:r w:rsidR="002723FD">
        <w:rPr>
          <w:rStyle w:val="normaltextrun"/>
          <w:color w:val="000000"/>
          <w:sz w:val="26"/>
          <w:szCs w:val="26"/>
          <w:shd w:val="clear" w:color="auto" w:fill="FFFFFF"/>
        </w:rPr>
        <w:t>f information prohibited from disclosure by another statute and Exemption 7, which protects from disclosure certain law enforcement information, including information the disclosure of which might jeopardize a person's life or safety.</w:t>
      </w:r>
    </w:p>
  </w:footnote>
  <w:footnote w:id="7">
    <w:p w:rsidR="00B657E7" w:rsidRPr="005D4EAF" w:rsidP="00876051" w14:paraId="33A28540" w14:textId="7A3ABB47">
      <w:pPr>
        <w:pStyle w:val="FootnoteText"/>
        <w:rPr>
          <w:sz w:val="26"/>
        </w:rPr>
      </w:pPr>
      <w:r w:rsidRPr="00A24253">
        <w:rPr>
          <w:b/>
          <w:bCs/>
          <w:sz w:val="26"/>
          <w:vertAlign w:val="superscript"/>
        </w:rPr>
        <w:footnoteRef/>
      </w:r>
      <w:r w:rsidRPr="00A24253">
        <w:rPr>
          <w:b/>
          <w:bCs/>
          <w:sz w:val="26"/>
        </w:rPr>
        <w:t xml:space="preserve"> </w:t>
      </w:r>
      <w:r>
        <w:rPr>
          <w:sz w:val="26"/>
        </w:rPr>
        <w:t>T</w:t>
      </w:r>
      <w:r w:rsidRPr="005D4EAF">
        <w:rPr>
          <w:sz w:val="26"/>
        </w:rPr>
        <w:t xml:space="preserve">he Commission’s regulation at 18 CFR 388.113 provides criteria and procedures to designate information as CEII.  </w:t>
      </w:r>
      <w:r>
        <w:rPr>
          <w:sz w:val="26"/>
        </w:rPr>
        <w:t>A designation may last for up to five years, unless it is re-designated.  A designation may be removed at any time, in whole in part, if the Commission determines that the unauthorized disclosure of CEII can no longer be used to impair the security or reliability of the bulk-power system or distribution facilities or any other form of energy infrastructure.</w:t>
      </w:r>
    </w:p>
  </w:footnote>
  <w:footnote w:id="8">
    <w:p w:rsidR="00B657E7" w:rsidRPr="00814518" w:rsidP="00876051" w14:paraId="7CDEB174" w14:textId="77777777">
      <w:pPr>
        <w:pStyle w:val="FootnoteText"/>
        <w:rPr>
          <w:sz w:val="26"/>
        </w:rPr>
      </w:pPr>
      <w:r w:rsidRPr="00814518">
        <w:rPr>
          <w:rStyle w:val="FootnoteReference"/>
          <w:bCs/>
        </w:rPr>
        <w:footnoteRef/>
      </w:r>
      <w:r w:rsidRPr="00814518">
        <w:rPr>
          <w:sz w:val="26"/>
        </w:rPr>
        <w:t xml:space="preserve"> The regulation at 18 CFR 375.313 delegates authority to a CEII Coordinator to receive and review all requests for CEII, make determinations regarding such requests, establish reasonable conditions on the release of CEIII, and release CEII to requesters who agree in writing to abide by the conditions set forth by the Coordinator.</w:t>
      </w:r>
    </w:p>
  </w:footnote>
  <w:footnote w:id="9">
    <w:p w:rsidR="00B657E7" w:rsidP="00B657E7" w14:paraId="064A9ABE" w14:textId="77777777">
      <w:pPr>
        <w:pStyle w:val="FootnoteText"/>
        <w:rPr>
          <w:sz w:val="26"/>
          <w:szCs w:val="26"/>
        </w:rPr>
      </w:pPr>
    </w:p>
    <w:p w:rsidR="00B657E7" w:rsidRPr="00881CA4" w:rsidP="00BA0F5D" w14:paraId="771F1834" w14:textId="77777777">
      <w:pPr>
        <w:pStyle w:val="FootnoteText"/>
        <w:rPr>
          <w:sz w:val="26"/>
          <w:szCs w:val="26"/>
        </w:rPr>
      </w:pPr>
      <w:r w:rsidRPr="00A24253">
        <w:rPr>
          <w:rStyle w:val="FootnoteReference"/>
        </w:rPr>
        <w:footnoteRef/>
      </w:r>
      <w:r w:rsidRPr="004B7B04">
        <w:rPr>
          <w:b/>
          <w:sz w:val="26"/>
          <w:szCs w:val="26"/>
        </w:rPr>
        <w:t xml:space="preserve"> </w:t>
      </w:r>
      <w:r w:rsidRPr="00881CA4">
        <w:rPr>
          <w:sz w:val="26"/>
          <w:szCs w:val="26"/>
        </w:rPr>
        <w:t xml:space="preserve">“Burden” is the total time, effort, or financial resources expended by persons to generate, maintain, retain, or disclose or provide information to or for a </w:t>
      </w:r>
      <w:r>
        <w:rPr>
          <w:sz w:val="26"/>
          <w:szCs w:val="26"/>
        </w:rPr>
        <w:t>f</w:t>
      </w:r>
      <w:r w:rsidRPr="00881CA4">
        <w:rPr>
          <w:sz w:val="26"/>
          <w:szCs w:val="26"/>
        </w:rPr>
        <w:t xml:space="preserve">ederal agency. For further explanation of what is included in the information collection burden, refer to 5 </w:t>
      </w:r>
      <w:r>
        <w:rPr>
          <w:sz w:val="26"/>
          <w:szCs w:val="26"/>
        </w:rPr>
        <w:t>CFR</w:t>
      </w:r>
      <w:r w:rsidRPr="00881CA4">
        <w:rPr>
          <w:sz w:val="26"/>
          <w:szCs w:val="26"/>
        </w:rPr>
        <w:t xml:space="preserve"> 1320.3.</w:t>
      </w:r>
    </w:p>
  </w:footnote>
  <w:footnote w:id="10">
    <w:p w:rsidR="00B657E7" w:rsidP="000B1B53" w14:paraId="692D40B5" w14:textId="77777777">
      <w:pPr>
        <w:pStyle w:val="FootnoteText"/>
      </w:pPr>
      <w:r w:rsidRPr="00A24253">
        <w:rPr>
          <w:rStyle w:val="FootnoteReference"/>
        </w:rPr>
        <w:footnoteRef/>
      </w:r>
      <w:r w:rsidRPr="00A24253">
        <w:rPr>
          <w:sz w:val="26"/>
          <w:szCs w:val="26"/>
        </w:rPr>
        <w:t xml:space="preserve"> </w:t>
      </w:r>
      <w:r w:rsidRPr="00881CA4">
        <w:rPr>
          <w:sz w:val="26"/>
          <w:szCs w:val="26"/>
        </w:rPr>
        <w:t>The Commission staff thinks that the average respondent for this collection is similarly situated to the Commission, in terms of salary plus benefits.  Based upon the FERC’s 20</w:t>
      </w:r>
      <w:r>
        <w:rPr>
          <w:sz w:val="26"/>
          <w:szCs w:val="26"/>
        </w:rPr>
        <w:t>22</w:t>
      </w:r>
      <w:r w:rsidRPr="00881CA4">
        <w:rPr>
          <w:sz w:val="26"/>
          <w:szCs w:val="26"/>
        </w:rPr>
        <w:t xml:space="preserve"> average cost for salary plus benefits, the average hourly cost is $</w:t>
      </w:r>
      <w:r>
        <w:rPr>
          <w:sz w:val="26"/>
          <w:szCs w:val="26"/>
        </w:rPr>
        <w:t>91</w:t>
      </w:r>
      <w:r w:rsidRPr="00881CA4">
        <w:rPr>
          <w:sz w:val="26"/>
          <w:szCs w:val="26"/>
        </w:rPr>
        <w:t>/hour.</w:t>
      </w:r>
    </w:p>
  </w:footnote>
  <w:footnote w:id="11">
    <w:p w:rsidR="007F5937" w:rsidP="00E554FF" w14:paraId="6A23910A" w14:textId="77777777">
      <w:pPr>
        <w:pStyle w:val="FootnoteText"/>
        <w:rPr>
          <w:sz w:val="26"/>
          <w:szCs w:val="26"/>
        </w:rPr>
      </w:pPr>
      <w:r w:rsidRPr="00A24253">
        <w:rPr>
          <w:rStyle w:val="FootnoteReference"/>
          <w:bCs/>
        </w:rPr>
        <w:footnoteRef/>
      </w:r>
      <w:r>
        <w:rPr>
          <w:sz w:val="26"/>
          <w:szCs w:val="26"/>
        </w:rPr>
        <w:t xml:space="preserve"> The Request Form (and sample non-disclosure agreements) and additional information about the CEII program are posted at:  </w:t>
      </w:r>
      <w:hyperlink r:id="rId2" w:history="1">
        <w:r>
          <w:rPr>
            <w:rStyle w:val="Hyperlink"/>
          </w:rPr>
          <w:t>https://www.ferc.gov/enforcement-legal/ceii/overview</w:t>
        </w:r>
      </w:hyperlink>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B63" w:rsidP="00810D18" w14:paraId="1230597F" w14:textId="5DABB4C5">
    <w:pPr>
      <w:pStyle w:val="Header"/>
    </w:pPr>
    <w:r>
      <w:t xml:space="preserve">Docket No. </w:t>
    </w:r>
    <w:r w:rsidRPr="00174626" w:rsidR="00174626">
      <w:t>IC23-10-000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71BD0"/>
    <w:multiLevelType w:val="hybridMultilevel"/>
    <w:tmpl w:val="4FB6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924A35"/>
    <w:multiLevelType w:val="hybridMultilevel"/>
    <w:tmpl w:val="0A826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1"/>
  </w:num>
  <w:num w:numId="5">
    <w:abstractNumId w:val="8"/>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D4B"/>
    <w:rsid w:val="000122E1"/>
    <w:rsid w:val="00016EDB"/>
    <w:rsid w:val="00023EA9"/>
    <w:rsid w:val="000241AE"/>
    <w:rsid w:val="00033530"/>
    <w:rsid w:val="0003365C"/>
    <w:rsid w:val="00034C49"/>
    <w:rsid w:val="000459B6"/>
    <w:rsid w:val="00053B4B"/>
    <w:rsid w:val="00056C5D"/>
    <w:rsid w:val="00062427"/>
    <w:rsid w:val="000861D3"/>
    <w:rsid w:val="00096CAD"/>
    <w:rsid w:val="000A0250"/>
    <w:rsid w:val="000A7E68"/>
    <w:rsid w:val="000B1B53"/>
    <w:rsid w:val="000B7F82"/>
    <w:rsid w:val="000C75EF"/>
    <w:rsid w:val="000E2568"/>
    <w:rsid w:val="000F0B0E"/>
    <w:rsid w:val="000F39AA"/>
    <w:rsid w:val="0010087B"/>
    <w:rsid w:val="00101E3A"/>
    <w:rsid w:val="00112C9F"/>
    <w:rsid w:val="00122CFF"/>
    <w:rsid w:val="001240C7"/>
    <w:rsid w:val="001479DF"/>
    <w:rsid w:val="0015578A"/>
    <w:rsid w:val="00155DE9"/>
    <w:rsid w:val="00156BBB"/>
    <w:rsid w:val="001600DF"/>
    <w:rsid w:val="00171725"/>
    <w:rsid w:val="00174626"/>
    <w:rsid w:val="00181BF7"/>
    <w:rsid w:val="00191376"/>
    <w:rsid w:val="001A6AD6"/>
    <w:rsid w:val="001B78B8"/>
    <w:rsid w:val="001E6510"/>
    <w:rsid w:val="001F73EE"/>
    <w:rsid w:val="00200437"/>
    <w:rsid w:val="002023A4"/>
    <w:rsid w:val="00224BF2"/>
    <w:rsid w:val="0024392F"/>
    <w:rsid w:val="00254C99"/>
    <w:rsid w:val="0027045E"/>
    <w:rsid w:val="002723FD"/>
    <w:rsid w:val="0027452E"/>
    <w:rsid w:val="00293D56"/>
    <w:rsid w:val="002A6ACD"/>
    <w:rsid w:val="002B531B"/>
    <w:rsid w:val="002B7AA8"/>
    <w:rsid w:val="002D5237"/>
    <w:rsid w:val="002E0351"/>
    <w:rsid w:val="002F24E8"/>
    <w:rsid w:val="002F3E94"/>
    <w:rsid w:val="002F697A"/>
    <w:rsid w:val="00302F75"/>
    <w:rsid w:val="00303717"/>
    <w:rsid w:val="003060F0"/>
    <w:rsid w:val="003062C2"/>
    <w:rsid w:val="00310EFC"/>
    <w:rsid w:val="00311D90"/>
    <w:rsid w:val="003149BC"/>
    <w:rsid w:val="003149EC"/>
    <w:rsid w:val="00316D92"/>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A32F4"/>
    <w:rsid w:val="003C3E7A"/>
    <w:rsid w:val="003C5CBE"/>
    <w:rsid w:val="003C7BC3"/>
    <w:rsid w:val="003E44AD"/>
    <w:rsid w:val="003F5968"/>
    <w:rsid w:val="0040127B"/>
    <w:rsid w:val="00406999"/>
    <w:rsid w:val="0040718A"/>
    <w:rsid w:val="00425DA2"/>
    <w:rsid w:val="00426898"/>
    <w:rsid w:val="00443282"/>
    <w:rsid w:val="0044338D"/>
    <w:rsid w:val="0045734B"/>
    <w:rsid w:val="004609EE"/>
    <w:rsid w:val="00466D3F"/>
    <w:rsid w:val="004759C4"/>
    <w:rsid w:val="00485A51"/>
    <w:rsid w:val="004879AA"/>
    <w:rsid w:val="0049480F"/>
    <w:rsid w:val="004B7B04"/>
    <w:rsid w:val="004B7B57"/>
    <w:rsid w:val="004C70C8"/>
    <w:rsid w:val="004C77EF"/>
    <w:rsid w:val="004D27A2"/>
    <w:rsid w:val="004E4EAD"/>
    <w:rsid w:val="004F26DA"/>
    <w:rsid w:val="005012B1"/>
    <w:rsid w:val="00502DC0"/>
    <w:rsid w:val="00513DA8"/>
    <w:rsid w:val="00514B50"/>
    <w:rsid w:val="00516493"/>
    <w:rsid w:val="0052393B"/>
    <w:rsid w:val="0054073B"/>
    <w:rsid w:val="0054746C"/>
    <w:rsid w:val="005648E2"/>
    <w:rsid w:val="00566C57"/>
    <w:rsid w:val="0058081B"/>
    <w:rsid w:val="00585F73"/>
    <w:rsid w:val="00586696"/>
    <w:rsid w:val="005975DD"/>
    <w:rsid w:val="005A0148"/>
    <w:rsid w:val="005A2F24"/>
    <w:rsid w:val="005A3F56"/>
    <w:rsid w:val="005A7903"/>
    <w:rsid w:val="005A7C58"/>
    <w:rsid w:val="005B4DA4"/>
    <w:rsid w:val="005C6D4E"/>
    <w:rsid w:val="005D16A1"/>
    <w:rsid w:val="005D4EAF"/>
    <w:rsid w:val="005E6D8A"/>
    <w:rsid w:val="005F3DAA"/>
    <w:rsid w:val="005F726F"/>
    <w:rsid w:val="005F729D"/>
    <w:rsid w:val="006128A5"/>
    <w:rsid w:val="006144F3"/>
    <w:rsid w:val="0062085E"/>
    <w:rsid w:val="00625EFF"/>
    <w:rsid w:val="00633DB5"/>
    <w:rsid w:val="00634374"/>
    <w:rsid w:val="0063716C"/>
    <w:rsid w:val="006374BA"/>
    <w:rsid w:val="00637F43"/>
    <w:rsid w:val="00642602"/>
    <w:rsid w:val="00644A1B"/>
    <w:rsid w:val="00650FA1"/>
    <w:rsid w:val="006536D8"/>
    <w:rsid w:val="00654BA4"/>
    <w:rsid w:val="00656DF0"/>
    <w:rsid w:val="00666A01"/>
    <w:rsid w:val="00680D78"/>
    <w:rsid w:val="00682588"/>
    <w:rsid w:val="00692352"/>
    <w:rsid w:val="00695E65"/>
    <w:rsid w:val="006963BC"/>
    <w:rsid w:val="006A34AE"/>
    <w:rsid w:val="006A423E"/>
    <w:rsid w:val="006B1387"/>
    <w:rsid w:val="006B7B2E"/>
    <w:rsid w:val="006C6B0C"/>
    <w:rsid w:val="006D552E"/>
    <w:rsid w:val="006E10F4"/>
    <w:rsid w:val="006E75AA"/>
    <w:rsid w:val="006E7CBB"/>
    <w:rsid w:val="006F3647"/>
    <w:rsid w:val="00714F57"/>
    <w:rsid w:val="00727594"/>
    <w:rsid w:val="00727C5E"/>
    <w:rsid w:val="007349A2"/>
    <w:rsid w:val="007356B8"/>
    <w:rsid w:val="00741C80"/>
    <w:rsid w:val="0074219E"/>
    <w:rsid w:val="0075009F"/>
    <w:rsid w:val="00754526"/>
    <w:rsid w:val="00754574"/>
    <w:rsid w:val="007731D6"/>
    <w:rsid w:val="00777183"/>
    <w:rsid w:val="00782ACA"/>
    <w:rsid w:val="00793E94"/>
    <w:rsid w:val="007B588C"/>
    <w:rsid w:val="007C1916"/>
    <w:rsid w:val="007C5DAB"/>
    <w:rsid w:val="007C6AC2"/>
    <w:rsid w:val="007C729C"/>
    <w:rsid w:val="007D7099"/>
    <w:rsid w:val="007E2F40"/>
    <w:rsid w:val="007F5937"/>
    <w:rsid w:val="007F612A"/>
    <w:rsid w:val="007F64F2"/>
    <w:rsid w:val="00803CA2"/>
    <w:rsid w:val="00807CAC"/>
    <w:rsid w:val="00810D18"/>
    <w:rsid w:val="008115BF"/>
    <w:rsid w:val="00812B30"/>
    <w:rsid w:val="00814518"/>
    <w:rsid w:val="00821DAB"/>
    <w:rsid w:val="00824D81"/>
    <w:rsid w:val="00836DF9"/>
    <w:rsid w:val="0084158A"/>
    <w:rsid w:val="00847229"/>
    <w:rsid w:val="00853ABC"/>
    <w:rsid w:val="0085755E"/>
    <w:rsid w:val="00872AB9"/>
    <w:rsid w:val="00876051"/>
    <w:rsid w:val="00881405"/>
    <w:rsid w:val="00881CA4"/>
    <w:rsid w:val="0089069F"/>
    <w:rsid w:val="00895DA2"/>
    <w:rsid w:val="00897359"/>
    <w:rsid w:val="008A020E"/>
    <w:rsid w:val="008B6E06"/>
    <w:rsid w:val="008C572B"/>
    <w:rsid w:val="008D25B7"/>
    <w:rsid w:val="008D2EF9"/>
    <w:rsid w:val="008D300A"/>
    <w:rsid w:val="008D5479"/>
    <w:rsid w:val="008D5932"/>
    <w:rsid w:val="008D6F07"/>
    <w:rsid w:val="008E0B8C"/>
    <w:rsid w:val="008E0DF5"/>
    <w:rsid w:val="008E3273"/>
    <w:rsid w:val="008E5123"/>
    <w:rsid w:val="008E7400"/>
    <w:rsid w:val="00901C05"/>
    <w:rsid w:val="009179E9"/>
    <w:rsid w:val="00937284"/>
    <w:rsid w:val="00940C0F"/>
    <w:rsid w:val="0095311D"/>
    <w:rsid w:val="00954CCB"/>
    <w:rsid w:val="009744C8"/>
    <w:rsid w:val="00975C8A"/>
    <w:rsid w:val="00981886"/>
    <w:rsid w:val="00990FEC"/>
    <w:rsid w:val="009971F0"/>
    <w:rsid w:val="009A1B08"/>
    <w:rsid w:val="009A6E91"/>
    <w:rsid w:val="009B4450"/>
    <w:rsid w:val="009B747B"/>
    <w:rsid w:val="009C25C4"/>
    <w:rsid w:val="009C4A13"/>
    <w:rsid w:val="009E0F58"/>
    <w:rsid w:val="009E5557"/>
    <w:rsid w:val="009E66F8"/>
    <w:rsid w:val="009F7DE3"/>
    <w:rsid w:val="00A038F9"/>
    <w:rsid w:val="00A15605"/>
    <w:rsid w:val="00A1585A"/>
    <w:rsid w:val="00A24253"/>
    <w:rsid w:val="00A2534D"/>
    <w:rsid w:val="00A2604E"/>
    <w:rsid w:val="00A43A4A"/>
    <w:rsid w:val="00A507F0"/>
    <w:rsid w:val="00A508EB"/>
    <w:rsid w:val="00A50EB4"/>
    <w:rsid w:val="00A664DF"/>
    <w:rsid w:val="00A713D0"/>
    <w:rsid w:val="00A72814"/>
    <w:rsid w:val="00A759B3"/>
    <w:rsid w:val="00A82A29"/>
    <w:rsid w:val="00A8344E"/>
    <w:rsid w:val="00A8690F"/>
    <w:rsid w:val="00A86D9E"/>
    <w:rsid w:val="00AA4050"/>
    <w:rsid w:val="00AA516A"/>
    <w:rsid w:val="00AA5B0E"/>
    <w:rsid w:val="00AB4DBF"/>
    <w:rsid w:val="00AB6B32"/>
    <w:rsid w:val="00AC66FD"/>
    <w:rsid w:val="00AC750B"/>
    <w:rsid w:val="00AC77B8"/>
    <w:rsid w:val="00AD4128"/>
    <w:rsid w:val="00AD7FF1"/>
    <w:rsid w:val="00AE1F12"/>
    <w:rsid w:val="00AE3A78"/>
    <w:rsid w:val="00AE4155"/>
    <w:rsid w:val="00AE4B7C"/>
    <w:rsid w:val="00AF349B"/>
    <w:rsid w:val="00B01B16"/>
    <w:rsid w:val="00B13EE3"/>
    <w:rsid w:val="00B22DCB"/>
    <w:rsid w:val="00B2382E"/>
    <w:rsid w:val="00B34A0B"/>
    <w:rsid w:val="00B34F4B"/>
    <w:rsid w:val="00B447D7"/>
    <w:rsid w:val="00B46E93"/>
    <w:rsid w:val="00B46F03"/>
    <w:rsid w:val="00B5066A"/>
    <w:rsid w:val="00B514BF"/>
    <w:rsid w:val="00B5546C"/>
    <w:rsid w:val="00B55B8C"/>
    <w:rsid w:val="00B56882"/>
    <w:rsid w:val="00B657E7"/>
    <w:rsid w:val="00B65A09"/>
    <w:rsid w:val="00B76085"/>
    <w:rsid w:val="00B76A1F"/>
    <w:rsid w:val="00B7701B"/>
    <w:rsid w:val="00B82F8C"/>
    <w:rsid w:val="00B961C3"/>
    <w:rsid w:val="00BA0F5D"/>
    <w:rsid w:val="00BA0FBC"/>
    <w:rsid w:val="00BA218C"/>
    <w:rsid w:val="00BA5479"/>
    <w:rsid w:val="00BB179A"/>
    <w:rsid w:val="00BB7D82"/>
    <w:rsid w:val="00BC200B"/>
    <w:rsid w:val="00BD74AE"/>
    <w:rsid w:val="00BE31A8"/>
    <w:rsid w:val="00BE3392"/>
    <w:rsid w:val="00BE3FE7"/>
    <w:rsid w:val="00BF29D8"/>
    <w:rsid w:val="00BF2D74"/>
    <w:rsid w:val="00BF38BC"/>
    <w:rsid w:val="00BF4CC8"/>
    <w:rsid w:val="00BF7AC7"/>
    <w:rsid w:val="00C1124F"/>
    <w:rsid w:val="00C21412"/>
    <w:rsid w:val="00C37BFF"/>
    <w:rsid w:val="00C44372"/>
    <w:rsid w:val="00C51458"/>
    <w:rsid w:val="00C53580"/>
    <w:rsid w:val="00C55838"/>
    <w:rsid w:val="00C55F30"/>
    <w:rsid w:val="00C728C5"/>
    <w:rsid w:val="00C77EF7"/>
    <w:rsid w:val="00C81A97"/>
    <w:rsid w:val="00C820F1"/>
    <w:rsid w:val="00C91512"/>
    <w:rsid w:val="00CA6636"/>
    <w:rsid w:val="00CA6D76"/>
    <w:rsid w:val="00CB7447"/>
    <w:rsid w:val="00CB7448"/>
    <w:rsid w:val="00CB769C"/>
    <w:rsid w:val="00CC431F"/>
    <w:rsid w:val="00CD37C7"/>
    <w:rsid w:val="00CD57EB"/>
    <w:rsid w:val="00CD5C97"/>
    <w:rsid w:val="00CD786C"/>
    <w:rsid w:val="00CE3598"/>
    <w:rsid w:val="00CE64F2"/>
    <w:rsid w:val="00CF4753"/>
    <w:rsid w:val="00CF71E0"/>
    <w:rsid w:val="00D0083B"/>
    <w:rsid w:val="00D12811"/>
    <w:rsid w:val="00D42209"/>
    <w:rsid w:val="00D43B63"/>
    <w:rsid w:val="00D44183"/>
    <w:rsid w:val="00D50830"/>
    <w:rsid w:val="00D65D56"/>
    <w:rsid w:val="00D85255"/>
    <w:rsid w:val="00D9761F"/>
    <w:rsid w:val="00DA529F"/>
    <w:rsid w:val="00DC5017"/>
    <w:rsid w:val="00DD18FF"/>
    <w:rsid w:val="00DD2ED3"/>
    <w:rsid w:val="00DD7F1B"/>
    <w:rsid w:val="00DE09FF"/>
    <w:rsid w:val="00DE5E4E"/>
    <w:rsid w:val="00E024B6"/>
    <w:rsid w:val="00E13A02"/>
    <w:rsid w:val="00E31680"/>
    <w:rsid w:val="00E34382"/>
    <w:rsid w:val="00E3662E"/>
    <w:rsid w:val="00E41DB9"/>
    <w:rsid w:val="00E44C01"/>
    <w:rsid w:val="00E554FF"/>
    <w:rsid w:val="00E655BE"/>
    <w:rsid w:val="00E75CE9"/>
    <w:rsid w:val="00E762BB"/>
    <w:rsid w:val="00E77B33"/>
    <w:rsid w:val="00E808B6"/>
    <w:rsid w:val="00E8661B"/>
    <w:rsid w:val="00E91FD5"/>
    <w:rsid w:val="00E92E09"/>
    <w:rsid w:val="00EA6337"/>
    <w:rsid w:val="00EA689F"/>
    <w:rsid w:val="00EB119D"/>
    <w:rsid w:val="00EB36AC"/>
    <w:rsid w:val="00EB749E"/>
    <w:rsid w:val="00EC6D58"/>
    <w:rsid w:val="00EF1D00"/>
    <w:rsid w:val="00EF2866"/>
    <w:rsid w:val="00EF33BE"/>
    <w:rsid w:val="00F0383C"/>
    <w:rsid w:val="00F0669A"/>
    <w:rsid w:val="00F11631"/>
    <w:rsid w:val="00F12A43"/>
    <w:rsid w:val="00F24AB0"/>
    <w:rsid w:val="00F309CB"/>
    <w:rsid w:val="00F33E2E"/>
    <w:rsid w:val="00F44A0E"/>
    <w:rsid w:val="00F60C79"/>
    <w:rsid w:val="00F62A51"/>
    <w:rsid w:val="00F8646E"/>
    <w:rsid w:val="00F94A83"/>
    <w:rsid w:val="00F9675E"/>
    <w:rsid w:val="00FA7F6F"/>
    <w:rsid w:val="00FC3F00"/>
    <w:rsid w:val="00FE4B8E"/>
    <w:rsid w:val="00FF1D71"/>
    <w:rsid w:val="00FF3FE9"/>
    <w:rsid w:val="01B0190F"/>
    <w:rsid w:val="0BB2EF92"/>
    <w:rsid w:val="2DD93070"/>
    <w:rsid w:val="6E1716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23FD"/>
  </w:style>
  <w:style w:type="character" w:customStyle="1" w:styleId="eop">
    <w:name w:val="eop"/>
    <w:basedOn w:val="DefaultParagraphFont"/>
    <w:rsid w:val="0027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legal/ceii-foia/ceii.asp" TargetMode="External" /><Relationship Id="rId2" Type="http://schemas.openxmlformats.org/officeDocument/2006/relationships/hyperlink" Target="https://www.ferc.gov/enforcement-legal/ceii/ov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2B073D9-0373-4482-BBCB-2C18035438AB}">
  <ds:schemaRefs>
    <ds:schemaRef ds:uri="Microsoft.SharePoint.Taxonomy.ContentTypeSync"/>
  </ds:schemaRefs>
</ds:datastoreItem>
</file>

<file path=customXml/itemProps2.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3.xml><?xml version="1.0" encoding="utf-8"?>
<ds:datastoreItem xmlns:ds="http://schemas.openxmlformats.org/officeDocument/2006/customXml" ds:itemID="{632C9C8E-53E6-42E8-AFF9-ACC60B77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2023-08-25T17:39:00Z</dcterms:created>
  <dcterms:modified xsi:type="dcterms:W3CDTF">2023-08-25T17:39:00Z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fe9b8013-29f8-42a0-aee9-ac7131004f40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2023-08-25T17:38:00Z</vt:lpwstr>
  </property>
  <property fmtid="{D5CDD505-2E9C-101B-9397-08002B2CF9AE}" pid="8" name="MSIP_Label_6155a89b-0f08-4a93-8ea2-8a916d6643b5_SiteId">
    <vt:lpwstr>19caa9e9-04ff-43fa-885f-d77fac387903</vt:lpwstr>
  </property>
</Properties>
</file>