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4021E013" w:rsidP="658603D2" w14:paraId="4D28C42B" w14:textId="6CCB0004">
      <w:pPr>
        <w:pStyle w:val="Heading1"/>
        <w:bidi w:val="0"/>
        <w:spacing w:before="0" w:beforeAutospacing="0" w:after="0" w:afterAutospacing="0" w:line="240" w:lineRule="auto"/>
        <w:ind w:left="0" w:right="0"/>
        <w:jc w:val="center"/>
      </w:pPr>
      <w:r w:rsidRPr="658603D2">
        <w:rPr>
          <w:color w:val="000000" w:themeColor="text1" w:themeShade="FF" w:themeTint="FF"/>
        </w:rPr>
        <w:t>Eviction Counseling Survey</w:t>
      </w:r>
    </w:p>
    <w:p w:rsidR="009E118C" w:rsidRPr="00C879B4" w:rsidP="00FA2F70" w14:paraId="0FE0D721" w14:textId="7A9DDD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F17F74">
        <w:rPr>
          <w:rFonts w:ascii="Helvetica" w:hAnsi="Helvetica"/>
          <w:b/>
          <w:color w:val="000000"/>
          <w:sz w:val="24"/>
        </w:rPr>
        <w:t>NEW</w:t>
      </w:r>
    </w:p>
    <w:p w:rsidR="009E118C" w:rsidRPr="00C879B4" w:rsidP="00FA2F70" w14:paraId="3FA9CA5B" w14:textId="228BCC7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Forms: </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r>
      <w:r w:rsidRPr="00C879B4">
        <w:rPr>
          <w:rFonts w:ascii="Helvetica" w:hAnsi="Helvetica"/>
          <w:b/>
          <w:color w:val="000000"/>
          <w:sz w:val="24"/>
        </w:rPr>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658603D2">
        <w:tblPrEx>
          <w:tblW w:w="0" w:type="auto"/>
          <w:tblInd w:w="108" w:type="dxa"/>
          <w:tblLook w:val="04A0"/>
        </w:tblPrEx>
        <w:tc>
          <w:tcPr>
            <w:tcW w:w="9252" w:type="dxa"/>
            <w:shd w:val="clear" w:color="auto" w:fill="auto"/>
          </w:tcPr>
          <w:p w:rsidR="00FA2F70" w:rsidRPr="00C879B4"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RPr="00C879B4"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658603D2">
        <w:tblPrEx>
          <w:tblW w:w="0" w:type="auto"/>
          <w:tblInd w:w="108" w:type="dxa"/>
          <w:tblLook w:val="04A0"/>
        </w:tblPrEx>
        <w:tc>
          <w:tcPr>
            <w:tcW w:w="9252" w:type="dxa"/>
            <w:shd w:val="clear" w:color="auto" w:fill="auto"/>
          </w:tcPr>
          <w:p w:rsidR="003C6323" w:rsidRPr="007A649A" w:rsidP="007A649A" w14:paraId="43962CD7" w14:textId="5043AB36">
            <w:pPr>
              <w:spacing w:after="0" w:line="240" w:lineRule="auto"/>
              <w:rPr>
                <w:rFonts w:ascii="Times New Roman" w:hAnsi="Times New Roman"/>
                <w:color w:val="000000"/>
                <w:sz w:val="24"/>
                <w:szCs w:val="24"/>
              </w:rPr>
            </w:pPr>
            <w:r w:rsidRPr="007A649A">
              <w:rPr>
                <w:rFonts w:ascii="Times New Roman" w:hAnsi="Times New Roman"/>
                <w:color w:val="000000"/>
                <w:sz w:val="24"/>
                <w:szCs w:val="24"/>
              </w:rPr>
              <w:t>The Office of Housing Counseling is responsible for administration of the Department’s Housing Counseling Program, authorized by Section 106 of the Housing and Urban Development Act of 1968 (12 U.S.C. 1701w and 1701x). The Housing Counseling Program supports the delivery of a wide variety of housing counseling services to homebuyers, homeowners, low-to moderate–income renters</w:t>
            </w:r>
            <w:r w:rsidRPr="007A649A" w:rsidR="00751A0B">
              <w:rPr>
                <w:rFonts w:ascii="Times New Roman" w:hAnsi="Times New Roman"/>
                <w:color w:val="000000"/>
                <w:sz w:val="24"/>
                <w:szCs w:val="24"/>
              </w:rPr>
              <w:t>,</w:t>
            </w:r>
            <w:r w:rsidRPr="007A649A">
              <w:rPr>
                <w:rFonts w:ascii="Times New Roman" w:hAnsi="Times New Roman"/>
                <w:color w:val="000000"/>
                <w:sz w:val="24"/>
                <w:szCs w:val="24"/>
              </w:rPr>
              <w:t xml:space="preserve"> and </w:t>
            </w:r>
            <w:r w:rsidRPr="007A649A" w:rsidR="00751A0B">
              <w:rPr>
                <w:rFonts w:ascii="Times New Roman" w:hAnsi="Times New Roman"/>
                <w:color w:val="000000"/>
                <w:sz w:val="24"/>
                <w:szCs w:val="24"/>
              </w:rPr>
              <w:t>people experiencing</w:t>
            </w:r>
            <w:r w:rsidRPr="007A649A">
              <w:rPr>
                <w:rFonts w:ascii="Times New Roman" w:hAnsi="Times New Roman"/>
                <w:color w:val="000000"/>
                <w:sz w:val="24"/>
                <w:szCs w:val="24"/>
              </w:rPr>
              <w:t xml:space="preserve"> homeless</w:t>
            </w:r>
            <w:r w:rsidRPr="007A649A" w:rsidR="00751A0B">
              <w:rPr>
                <w:rFonts w:ascii="Times New Roman" w:hAnsi="Times New Roman"/>
                <w:color w:val="000000"/>
                <w:sz w:val="24"/>
                <w:szCs w:val="24"/>
              </w:rPr>
              <w:t>ness</w:t>
            </w:r>
            <w:r w:rsidRPr="007A649A">
              <w:rPr>
                <w:rFonts w:ascii="Times New Roman" w:hAnsi="Times New Roman"/>
                <w:color w:val="000000"/>
                <w:sz w:val="24"/>
                <w:szCs w:val="24"/>
              </w:rPr>
              <w:t>. The primary objectives of the program are to expand homeownership opportunities, preserve homeownership</w:t>
            </w:r>
            <w:r w:rsidRPr="007A649A" w:rsidR="00751A0B">
              <w:rPr>
                <w:rFonts w:ascii="Times New Roman" w:hAnsi="Times New Roman"/>
                <w:color w:val="000000"/>
                <w:sz w:val="24"/>
                <w:szCs w:val="24"/>
              </w:rPr>
              <w:t>,</w:t>
            </w:r>
            <w:r w:rsidRPr="007A649A">
              <w:rPr>
                <w:rFonts w:ascii="Times New Roman" w:hAnsi="Times New Roman"/>
                <w:color w:val="000000"/>
                <w:sz w:val="24"/>
                <w:szCs w:val="24"/>
              </w:rPr>
              <w:t xml:space="preserve"> and improve access to affordable housing. The housing counselors provide guidance and advice to help families and individuals improve their housing conditions. </w:t>
            </w:r>
          </w:p>
          <w:p w:rsidR="007A649A" w:rsidRPr="007A649A" w:rsidP="007A649A" w14:paraId="0B7689B4" w14:textId="77777777">
            <w:pPr>
              <w:spacing w:after="0" w:line="240" w:lineRule="auto"/>
              <w:rPr>
                <w:rFonts w:ascii="Times New Roman" w:hAnsi="Times New Roman"/>
                <w:color w:val="000000"/>
                <w:sz w:val="24"/>
                <w:szCs w:val="24"/>
              </w:rPr>
            </w:pPr>
          </w:p>
          <w:p w:rsidR="007B043C" w:rsidRPr="007A649A" w:rsidP="007A649A" w14:paraId="2CA9979E" w14:textId="7F679AB0">
            <w:pPr>
              <w:spacing w:after="0" w:line="240" w:lineRule="auto"/>
              <w:rPr>
                <w:rFonts w:ascii="Times New Roman" w:hAnsi="Times New Roman"/>
                <w:color w:val="000000"/>
                <w:sz w:val="24"/>
                <w:szCs w:val="24"/>
              </w:rPr>
            </w:pPr>
            <w:r w:rsidRPr="658603D2" w:rsidR="7962E334">
              <w:rPr>
                <w:rFonts w:ascii="Times New Roman" w:hAnsi="Times New Roman"/>
                <w:color w:val="000000" w:themeColor="text1" w:themeShade="FF" w:themeTint="FF"/>
                <w:sz w:val="24"/>
                <w:szCs w:val="24"/>
              </w:rPr>
              <w:t xml:space="preserve">The COVID-19 pandemic and its associated economic effects </w:t>
            </w:r>
            <w:r w:rsidRPr="658603D2" w:rsidR="5C0D4E03">
              <w:rPr>
                <w:rFonts w:ascii="Times New Roman" w:hAnsi="Times New Roman"/>
                <w:color w:val="000000" w:themeColor="text1" w:themeShade="FF" w:themeTint="FF"/>
                <w:sz w:val="24"/>
                <w:szCs w:val="24"/>
              </w:rPr>
              <w:t xml:space="preserve">have created </w:t>
            </w:r>
            <w:r w:rsidRPr="658603D2" w:rsidR="7962E334">
              <w:rPr>
                <w:rFonts w:ascii="Times New Roman" w:hAnsi="Times New Roman"/>
                <w:color w:val="000000" w:themeColor="text1" w:themeShade="FF" w:themeTint="FF"/>
                <w:sz w:val="24"/>
                <w:szCs w:val="24"/>
              </w:rPr>
              <w:t>unprecedented challenges for renter households across the country. In recent months, these challenges have increased with the winding down of the federal Emergency Rental Assistance (ERA) program and the lifting of most eviction moratoria.</w:t>
            </w:r>
            <w:r w:rsidRPr="658603D2" w:rsidR="5C0D4E03">
              <w:rPr>
                <w:rFonts w:ascii="Times New Roman" w:hAnsi="Times New Roman"/>
                <w:color w:val="000000" w:themeColor="text1" w:themeShade="FF" w:themeTint="FF"/>
                <w:sz w:val="24"/>
                <w:szCs w:val="24"/>
              </w:rPr>
              <w:t xml:space="preserve"> </w:t>
            </w:r>
            <w:r w:rsidRPr="658603D2" w:rsidR="7962E334">
              <w:rPr>
                <w:rFonts w:ascii="Times New Roman" w:hAnsi="Times New Roman"/>
                <w:color w:val="000000" w:themeColor="text1" w:themeShade="FF" w:themeTint="FF"/>
                <w:sz w:val="24"/>
                <w:szCs w:val="24"/>
              </w:rPr>
              <w:t>Housing counseling agencies play an important role in helping households prevent eviction, including securing re</w:t>
            </w:r>
            <w:r w:rsidRPr="658603D2" w:rsidR="34A02C8F">
              <w:rPr>
                <w:rFonts w:ascii="Times New Roman" w:hAnsi="Times New Roman"/>
                <w:color w:val="000000" w:themeColor="text1" w:themeShade="FF" w:themeTint="FF"/>
                <w:sz w:val="24"/>
                <w:szCs w:val="24"/>
              </w:rPr>
              <w:t>ntal assistance</w:t>
            </w:r>
            <w:r w:rsidRPr="658603D2" w:rsidR="7962E334">
              <w:rPr>
                <w:rFonts w:ascii="Times New Roman" w:hAnsi="Times New Roman"/>
                <w:color w:val="000000" w:themeColor="text1" w:themeShade="FF" w:themeTint="FF"/>
                <w:sz w:val="24"/>
                <w:szCs w:val="24"/>
              </w:rPr>
              <w:t xml:space="preserve"> </w:t>
            </w:r>
            <w:r w:rsidRPr="658603D2" w:rsidR="7962E334">
              <w:rPr>
                <w:rFonts w:ascii="Times New Roman" w:hAnsi="Times New Roman"/>
                <w:color w:val="000000" w:themeColor="text1" w:themeShade="FF" w:themeTint="FF"/>
                <w:sz w:val="24"/>
                <w:szCs w:val="24"/>
              </w:rPr>
              <w:t>funds and pursuing other eviction prevention programs and strategies.</w:t>
            </w:r>
          </w:p>
          <w:p w:rsidR="007A649A" w:rsidRPr="007A649A" w:rsidP="007A649A" w14:paraId="14287C6A" w14:textId="77777777">
            <w:pPr>
              <w:spacing w:after="0" w:line="240" w:lineRule="auto"/>
              <w:rPr>
                <w:rFonts w:ascii="Times New Roman" w:hAnsi="Times New Roman"/>
                <w:color w:val="000000"/>
                <w:sz w:val="24"/>
                <w:szCs w:val="24"/>
              </w:rPr>
            </w:pPr>
          </w:p>
          <w:p w:rsidR="003B01A8" w:rsidRPr="007A649A" w:rsidP="007A649A" w14:paraId="62007BCC" w14:textId="38F1488E">
            <w:pPr>
              <w:spacing w:after="0" w:line="240" w:lineRule="auto"/>
              <w:rPr>
                <w:rFonts w:ascii="Times New Roman" w:hAnsi="Times New Roman"/>
                <w:color w:val="000000"/>
                <w:sz w:val="24"/>
                <w:szCs w:val="24"/>
              </w:rPr>
            </w:pPr>
            <w:r w:rsidRPr="658603D2" w:rsidR="5C0D4E03">
              <w:rPr>
                <w:rFonts w:ascii="Times New Roman" w:hAnsi="Times New Roman"/>
                <w:color w:val="000000" w:themeColor="text1" w:themeShade="FF" w:themeTint="FF"/>
                <w:sz w:val="24"/>
                <w:szCs w:val="24"/>
              </w:rPr>
              <w:t>G</w:t>
            </w:r>
            <w:r w:rsidRPr="658603D2" w:rsidR="7962E334">
              <w:rPr>
                <w:rFonts w:ascii="Times New Roman" w:hAnsi="Times New Roman"/>
                <w:color w:val="000000" w:themeColor="text1" w:themeShade="FF" w:themeTint="FF"/>
                <w:sz w:val="24"/>
                <w:szCs w:val="24"/>
              </w:rPr>
              <w:t xml:space="preserve">iven how quickly the eviction landscape is changing and the enormous increase in rental instability, it is critical that HUD better understand how counseling agencies are assisting households with eviction prevention. </w:t>
            </w:r>
            <w:r w:rsidRPr="658603D2" w:rsidR="5C0D4E03">
              <w:rPr>
                <w:rFonts w:ascii="Times New Roman" w:hAnsi="Times New Roman"/>
                <w:color w:val="000000" w:themeColor="text1" w:themeShade="FF" w:themeTint="FF"/>
                <w:sz w:val="24"/>
                <w:szCs w:val="24"/>
              </w:rPr>
              <w:t xml:space="preserve">The </w:t>
            </w:r>
            <w:r w:rsidRPr="658603D2" w:rsidR="4374F9DF">
              <w:rPr>
                <w:rFonts w:ascii="Times New Roman" w:hAnsi="Times New Roman"/>
                <w:color w:val="000000" w:themeColor="text1" w:themeShade="FF" w:themeTint="FF"/>
                <w:sz w:val="24"/>
                <w:szCs w:val="24"/>
              </w:rPr>
              <w:t>Eviction Counseling Survey</w:t>
            </w:r>
            <w:r w:rsidRPr="658603D2" w:rsidR="7962E334">
              <w:rPr>
                <w:rFonts w:ascii="Times New Roman" w:hAnsi="Times New Roman"/>
                <w:color w:val="000000" w:themeColor="text1" w:themeShade="FF" w:themeTint="FF"/>
                <w:sz w:val="24"/>
                <w:szCs w:val="24"/>
              </w:rPr>
              <w:t xml:space="preserve"> will improve HUD’s ability to guide counseling agencies as they continue to support consumers </w:t>
            </w:r>
            <w:r w:rsidRPr="658603D2" w:rsidR="4503CC7C">
              <w:rPr>
                <w:rFonts w:ascii="Times New Roman" w:hAnsi="Times New Roman"/>
                <w:color w:val="000000" w:themeColor="text1" w:themeShade="FF" w:themeTint="FF"/>
                <w:sz w:val="24"/>
                <w:szCs w:val="24"/>
              </w:rPr>
              <w:t>with rental and eviction counseling</w:t>
            </w:r>
            <w:r w:rsidRPr="658603D2" w:rsidR="7962E334">
              <w:rPr>
                <w:rFonts w:ascii="Times New Roman" w:hAnsi="Times New Roman"/>
                <w:color w:val="000000" w:themeColor="text1" w:themeShade="FF" w:themeTint="FF"/>
                <w:sz w:val="24"/>
                <w:szCs w:val="24"/>
              </w:rPr>
              <w:t xml:space="preserve">. </w:t>
            </w:r>
            <w:r w:rsidRPr="658603D2" w:rsidR="0BFA2A9A">
              <w:rPr>
                <w:rFonts w:ascii="Times New Roman" w:hAnsi="Times New Roman"/>
                <w:color w:val="000000" w:themeColor="text1" w:themeShade="FF" w:themeTint="FF"/>
                <w:sz w:val="24"/>
                <w:szCs w:val="24"/>
              </w:rPr>
              <w:t>The data collection</w:t>
            </w:r>
            <w:r w:rsidRPr="658603D2" w:rsidR="7962E334">
              <w:rPr>
                <w:rFonts w:ascii="Times New Roman" w:hAnsi="Times New Roman"/>
                <w:color w:val="000000" w:themeColor="text1" w:themeShade="FF" w:themeTint="FF"/>
                <w:sz w:val="24"/>
                <w:szCs w:val="24"/>
              </w:rPr>
              <w:t xml:space="preserve"> will also help satisfy Congress’s request in the FY22 Joint Explanatory Statement that HUD work with housing counselors to identify predominant causes of eviction, ways to improve eviction counseling services, and barriers to collecting data on households at risk of eviction. Finally, the survey is also a vital tool for </w:t>
            </w:r>
            <w:r w:rsidRPr="658603D2" w:rsidR="1A495E61">
              <w:rPr>
                <w:rFonts w:ascii="Times New Roman" w:hAnsi="Times New Roman"/>
                <w:color w:val="000000" w:themeColor="text1" w:themeShade="FF" w:themeTint="FF"/>
                <w:sz w:val="24"/>
                <w:szCs w:val="24"/>
              </w:rPr>
              <w:t>the Office of Housing Counseling</w:t>
            </w:r>
            <w:r w:rsidRPr="658603D2" w:rsidR="7962E334">
              <w:rPr>
                <w:rFonts w:ascii="Times New Roman" w:hAnsi="Times New Roman"/>
                <w:color w:val="000000" w:themeColor="text1" w:themeShade="FF" w:themeTint="FF"/>
                <w:sz w:val="24"/>
                <w:szCs w:val="24"/>
              </w:rPr>
              <w:t xml:space="preserve"> to address the </w:t>
            </w:r>
            <w:r w:rsidRPr="658603D2" w:rsidR="7962E334">
              <w:rPr>
                <w:rFonts w:ascii="Times New Roman" w:hAnsi="Times New Roman"/>
                <w:sz w:val="24"/>
                <w:szCs w:val="24"/>
              </w:rPr>
              <w:t>disproportionate impact of evictions on under-represented communities, including communities of color and low-to-moderate income communities.</w:t>
            </w:r>
            <w:r w:rsidRPr="658603D2" w:rsidR="7962E334">
              <w:rPr>
                <w:rFonts w:ascii="Times New Roman" w:hAnsi="Times New Roman"/>
                <w:color w:val="000000" w:themeColor="text1" w:themeShade="FF" w:themeTint="FF"/>
                <w:sz w:val="24"/>
                <w:szCs w:val="24"/>
              </w:rPr>
              <w:t xml:space="preserve"> Addressing this disproportionate impact is in line with critical elements of HUD’s strategic plan.</w:t>
            </w:r>
          </w:p>
          <w:p w:rsidR="001F14E7" w:rsidP="001F14E7" w14:paraId="4C45F83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B3474B" w:rsidP="001F14E7" w14:paraId="1921546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B3474B" w:rsidRPr="00C879B4" w:rsidP="001F14E7" w14:paraId="7DC40196" w14:textId="334FD8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658603D2">
        <w:tblPrEx>
          <w:tblW w:w="0" w:type="auto"/>
          <w:tblInd w:w="108" w:type="dxa"/>
          <w:tblLook w:val="04A0"/>
        </w:tblPrEx>
        <w:tc>
          <w:tcPr>
            <w:tcW w:w="9360" w:type="dxa"/>
            <w:shd w:val="clear" w:color="auto" w:fill="auto"/>
          </w:tcPr>
          <w:p w:rsidR="00FA2F70" w:rsidP="001B4FB5" w14:paraId="6F3D6267" w14:textId="6F7B6A8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6B33D5" w:rsidP="001B4FB5" w14:paraId="6CB277EF" w14:textId="7A430DEC">
            <w:pPr>
              <w:spacing w:after="0" w:line="240" w:lineRule="auto"/>
              <w:rPr>
                <w:rFonts w:ascii="Times New Roman" w:hAnsi="Times New Roman"/>
                <w:b/>
                <w:color w:val="000000"/>
                <w:sz w:val="24"/>
                <w:szCs w:val="24"/>
              </w:rPr>
            </w:pPr>
          </w:p>
          <w:p w:rsidR="00025719" w:rsidP="001A58B6" w14:paraId="6608DB7D" w14:textId="1EB3008E">
            <w:pPr>
              <w:spacing w:after="0" w:line="240" w:lineRule="auto"/>
              <w:rPr>
                <w:rFonts w:ascii="Times New Roman" w:hAnsi="Times New Roman"/>
                <w:color w:val="000000"/>
                <w:sz w:val="24"/>
                <w:szCs w:val="24"/>
              </w:rPr>
            </w:pPr>
            <w:r w:rsidRPr="658603D2" w:rsidR="30283562">
              <w:rPr>
                <w:rFonts w:ascii="Times New Roman" w:hAnsi="Times New Roman"/>
                <w:color w:val="000000" w:themeColor="text1" w:themeShade="FF" w:themeTint="FF"/>
                <w:sz w:val="24"/>
                <w:szCs w:val="24"/>
              </w:rPr>
              <w:t>The “</w:t>
            </w:r>
            <w:r w:rsidRPr="658603D2" w:rsidR="7BB1E2AE">
              <w:rPr>
                <w:rFonts w:ascii="Times New Roman" w:hAnsi="Times New Roman"/>
                <w:color w:val="000000" w:themeColor="text1" w:themeShade="FF" w:themeTint="FF"/>
                <w:sz w:val="24"/>
                <w:szCs w:val="24"/>
              </w:rPr>
              <w:t>Eviction Counseling Survey</w:t>
            </w:r>
            <w:r w:rsidRPr="658603D2" w:rsidR="30283562">
              <w:rPr>
                <w:rFonts w:ascii="Times New Roman" w:hAnsi="Times New Roman"/>
                <w:color w:val="000000" w:themeColor="text1" w:themeShade="FF" w:themeTint="FF"/>
                <w:sz w:val="24"/>
                <w:szCs w:val="24"/>
              </w:rPr>
              <w:t xml:space="preserve">” </w:t>
            </w:r>
            <w:r w:rsidRPr="658603D2" w:rsidR="30283562">
              <w:rPr>
                <w:rFonts w:ascii="Times New Roman" w:hAnsi="Times New Roman"/>
                <w:color w:val="000000" w:themeColor="text1" w:themeShade="FF" w:themeTint="FF"/>
                <w:sz w:val="24"/>
                <w:szCs w:val="24"/>
              </w:rPr>
              <w:t>is a</w:t>
            </w:r>
            <w:r w:rsidRPr="658603D2" w:rsidR="579727C3">
              <w:rPr>
                <w:rFonts w:ascii="Times New Roman" w:hAnsi="Times New Roman"/>
                <w:color w:val="000000" w:themeColor="text1" w:themeShade="FF" w:themeTint="FF"/>
                <w:sz w:val="24"/>
                <w:szCs w:val="24"/>
              </w:rPr>
              <w:t xml:space="preserve">n </w:t>
            </w:r>
            <w:r w:rsidRPr="658603D2" w:rsidR="1FF7F08B">
              <w:rPr>
                <w:rFonts w:ascii="Times New Roman" w:hAnsi="Times New Roman"/>
                <w:color w:val="000000" w:themeColor="text1" w:themeShade="FF" w:themeTint="FF"/>
                <w:sz w:val="24"/>
                <w:szCs w:val="24"/>
              </w:rPr>
              <w:t>online</w:t>
            </w:r>
            <w:r w:rsidRPr="658603D2" w:rsidR="1A495E61">
              <w:rPr>
                <w:rFonts w:ascii="Times New Roman" w:hAnsi="Times New Roman"/>
                <w:color w:val="000000" w:themeColor="text1" w:themeShade="FF" w:themeTint="FF"/>
                <w:sz w:val="24"/>
                <w:szCs w:val="24"/>
              </w:rPr>
              <w:t xml:space="preserve"> survey </w:t>
            </w:r>
            <w:r w:rsidRPr="658603D2" w:rsidR="30283562">
              <w:rPr>
                <w:rFonts w:ascii="Times New Roman" w:hAnsi="Times New Roman"/>
                <w:color w:val="000000" w:themeColor="text1" w:themeShade="FF" w:themeTint="FF"/>
                <w:sz w:val="24"/>
                <w:szCs w:val="24"/>
              </w:rPr>
              <w:t>instrument developed by HUD’s Office of Housing Counseling</w:t>
            </w:r>
            <w:r w:rsidRPr="658603D2" w:rsidR="1A495E61">
              <w:rPr>
                <w:rFonts w:ascii="Times New Roman" w:hAnsi="Times New Roman"/>
                <w:color w:val="000000" w:themeColor="text1" w:themeShade="FF" w:themeTint="FF"/>
                <w:sz w:val="24"/>
                <w:szCs w:val="24"/>
              </w:rPr>
              <w:t xml:space="preserve"> in partnership with HUD’s Office of Policy Development and Research</w:t>
            </w:r>
            <w:r w:rsidRPr="658603D2" w:rsidR="30283562">
              <w:rPr>
                <w:rFonts w:ascii="Times New Roman" w:hAnsi="Times New Roman"/>
                <w:color w:val="000000" w:themeColor="text1" w:themeShade="FF" w:themeTint="FF"/>
                <w:sz w:val="24"/>
                <w:szCs w:val="24"/>
              </w:rPr>
              <w:t xml:space="preserve">. </w:t>
            </w:r>
            <w:r w:rsidRPr="658603D2" w:rsidR="193E5498">
              <w:rPr>
                <w:rFonts w:ascii="Times New Roman" w:hAnsi="Times New Roman"/>
                <w:color w:val="000000" w:themeColor="text1" w:themeShade="FF" w:themeTint="FF"/>
                <w:sz w:val="24"/>
                <w:szCs w:val="24"/>
              </w:rPr>
              <w:t xml:space="preserve">Most of </w:t>
            </w:r>
            <w:r w:rsidRPr="658603D2" w:rsidR="7AA74C8F">
              <w:rPr>
                <w:rFonts w:ascii="Times New Roman" w:hAnsi="Times New Roman"/>
                <w:color w:val="000000" w:themeColor="text1" w:themeShade="FF" w:themeTint="FF"/>
                <w:sz w:val="24"/>
                <w:szCs w:val="24"/>
              </w:rPr>
              <w:t xml:space="preserve">the HUD Certified </w:t>
            </w:r>
            <w:r w:rsidRPr="658603D2" w:rsidR="72E13A98">
              <w:rPr>
                <w:rFonts w:ascii="Times New Roman" w:hAnsi="Times New Roman"/>
                <w:color w:val="000000" w:themeColor="text1" w:themeShade="FF" w:themeTint="FF"/>
                <w:sz w:val="24"/>
                <w:szCs w:val="24"/>
              </w:rPr>
              <w:t>Housing Counseling agencies</w:t>
            </w:r>
            <w:r w:rsidRPr="658603D2" w:rsidR="72E13A98">
              <w:rPr>
                <w:rFonts w:ascii="Times New Roman" w:hAnsi="Times New Roman"/>
                <w:color w:val="000000" w:themeColor="text1" w:themeShade="FF" w:themeTint="FF"/>
                <w:sz w:val="24"/>
                <w:szCs w:val="24"/>
              </w:rPr>
              <w:t xml:space="preserve"> will be invited to complete the survey on a voluntary basis.</w:t>
            </w:r>
          </w:p>
          <w:p w:rsidR="00025719" w:rsidP="001A58B6" w14:paraId="318FBA14" w14:textId="77777777">
            <w:pPr>
              <w:spacing w:after="0" w:line="240" w:lineRule="auto"/>
              <w:rPr>
                <w:rFonts w:ascii="Times New Roman" w:hAnsi="Times New Roman"/>
                <w:color w:val="000000"/>
                <w:sz w:val="24"/>
                <w:szCs w:val="24"/>
              </w:rPr>
            </w:pPr>
          </w:p>
          <w:p w:rsidR="004F6E86" w:rsidP="001A58B6" w14:paraId="190F3A87" w14:textId="5252C905">
            <w:pPr>
              <w:spacing w:after="0" w:line="240" w:lineRule="auto"/>
              <w:rPr>
                <w:rFonts w:ascii="Times New Roman" w:hAnsi="Times New Roman"/>
                <w:color w:val="000000"/>
                <w:sz w:val="24"/>
                <w:szCs w:val="24"/>
              </w:rPr>
            </w:pPr>
            <w:r w:rsidRPr="00182567">
              <w:rPr>
                <w:rFonts w:ascii="Times New Roman" w:hAnsi="Times New Roman"/>
                <w:color w:val="000000"/>
                <w:sz w:val="24"/>
                <w:szCs w:val="24"/>
              </w:rPr>
              <w:t>HUD’s Office of Housing Counseling</w:t>
            </w:r>
            <w:r>
              <w:rPr>
                <w:rFonts w:ascii="Times New Roman" w:hAnsi="Times New Roman"/>
                <w:color w:val="000000"/>
                <w:sz w:val="24"/>
                <w:szCs w:val="24"/>
              </w:rPr>
              <w:t xml:space="preserve"> will use the information </w:t>
            </w:r>
            <w:r w:rsidR="00047B71">
              <w:rPr>
                <w:rFonts w:ascii="Times New Roman" w:hAnsi="Times New Roman"/>
                <w:color w:val="000000"/>
                <w:sz w:val="24"/>
                <w:szCs w:val="24"/>
              </w:rPr>
              <w:t xml:space="preserve">collected through the survey </w:t>
            </w:r>
            <w:r>
              <w:rPr>
                <w:rFonts w:ascii="Times New Roman" w:hAnsi="Times New Roman"/>
                <w:color w:val="000000"/>
                <w:sz w:val="24"/>
                <w:szCs w:val="24"/>
              </w:rPr>
              <w:t xml:space="preserve">to improve </w:t>
            </w:r>
            <w:r w:rsidR="00021166">
              <w:rPr>
                <w:rFonts w:ascii="Times New Roman" w:hAnsi="Times New Roman"/>
                <w:color w:val="000000"/>
                <w:sz w:val="24"/>
                <w:szCs w:val="24"/>
              </w:rPr>
              <w:t xml:space="preserve">support to housing counseling agencies in providing </w:t>
            </w:r>
            <w:r>
              <w:rPr>
                <w:rFonts w:ascii="Times New Roman" w:hAnsi="Times New Roman"/>
                <w:color w:val="000000"/>
                <w:sz w:val="24"/>
                <w:szCs w:val="24"/>
              </w:rPr>
              <w:t xml:space="preserve">effective and innovative counseling services for households facing or at risk of eviction. </w:t>
            </w:r>
            <w:r>
              <w:rPr>
                <w:rFonts w:ascii="Times New Roman" w:hAnsi="Times New Roman"/>
                <w:color w:val="000000"/>
                <w:sz w:val="24"/>
                <w:szCs w:val="24"/>
              </w:rPr>
              <w:t>Specifically, the survey will:</w:t>
            </w:r>
          </w:p>
          <w:p w:rsidR="00CD3857" w:rsidP="001A58B6" w14:paraId="71710703" w14:textId="77777777">
            <w:pPr>
              <w:spacing w:after="0" w:line="240" w:lineRule="auto"/>
              <w:rPr>
                <w:rFonts w:ascii="Times New Roman" w:hAnsi="Times New Roman"/>
                <w:color w:val="000000"/>
                <w:sz w:val="24"/>
                <w:szCs w:val="24"/>
              </w:rPr>
            </w:pPr>
          </w:p>
          <w:p w:rsidR="00CD3857" w:rsidRPr="00703FFB" w:rsidP="00025719" w14:paraId="2BCC4D19" w14:textId="77777777">
            <w:pPr>
              <w:pStyle w:val="paragraph"/>
              <w:numPr>
                <w:ilvl w:val="0"/>
                <w:numId w:val="8"/>
              </w:numPr>
              <w:spacing w:before="0" w:beforeAutospacing="0" w:after="0" w:afterAutospacing="0"/>
              <w:ind w:right="360"/>
              <w:textAlignment w:val="baseline"/>
              <w:rPr>
                <w:rStyle w:val="normaltextrun"/>
              </w:rPr>
            </w:pPr>
            <w:r w:rsidRPr="00703FFB">
              <w:rPr>
                <w:rStyle w:val="normaltextrun"/>
              </w:rPr>
              <w:t xml:space="preserve">Gather critical data about the extent to which HUD-approved counseling agencies are providing services to households at risk of or facing eviction. </w:t>
            </w:r>
          </w:p>
          <w:p w:rsidR="00CD3857" w:rsidRPr="00703FFB" w:rsidP="00025719" w14:paraId="57B67DD7" w14:textId="77777777">
            <w:pPr>
              <w:pStyle w:val="paragraph"/>
              <w:numPr>
                <w:ilvl w:val="0"/>
                <w:numId w:val="8"/>
              </w:numPr>
              <w:spacing w:before="0" w:beforeAutospacing="0" w:after="0" w:afterAutospacing="0"/>
              <w:ind w:right="360"/>
              <w:textAlignment w:val="baseline"/>
            </w:pPr>
            <w:r w:rsidRPr="00703FFB">
              <w:rPr>
                <w:rStyle w:val="normaltextrun"/>
              </w:rPr>
              <w:t xml:space="preserve">Identify, develop, and implement guidance for collecting data on households at risk of eviction (pre- and post- counseling). </w:t>
            </w:r>
          </w:p>
          <w:p w:rsidR="00CD3857" w:rsidRPr="00703FFB" w:rsidP="00025719" w14:paraId="0F067F12" w14:textId="77777777">
            <w:pPr>
              <w:pStyle w:val="paragraph"/>
              <w:numPr>
                <w:ilvl w:val="0"/>
                <w:numId w:val="8"/>
              </w:numPr>
              <w:spacing w:before="0" w:beforeAutospacing="0" w:after="0" w:afterAutospacing="0"/>
              <w:ind w:right="360"/>
              <w:textAlignment w:val="baseline"/>
              <w:rPr>
                <w:rStyle w:val="normaltextrun"/>
              </w:rPr>
            </w:pPr>
            <w:r w:rsidRPr="00703FFB">
              <w:rPr>
                <w:rStyle w:val="normaltextrun"/>
              </w:rPr>
              <w:t xml:space="preserve">Improve the quality and breadth of eviction-related services offered by counseling agencies. </w:t>
            </w:r>
          </w:p>
          <w:p w:rsidR="00FA2F70" w:rsidRPr="00A15B79" w:rsidP="658603D2" w14:paraId="20F4F40B" w14:textId="4A068116">
            <w:pPr>
              <w:pStyle w:val="paragraph"/>
              <w:numPr>
                <w:ilvl w:val="0"/>
                <w:numId w:val="8"/>
              </w:numPr>
              <w:spacing w:before="0" w:beforeAutospacing="0" w:after="0" w:afterAutospacing="0"/>
              <w:ind w:right="360"/>
              <w:textAlignment w:val="baseline"/>
              <w:rPr>
                <w:rStyle w:val="normaltextrun"/>
                <w:color w:val="000000" w:themeColor="text1" w:themeShade="FF" w:themeTint="FF"/>
              </w:rPr>
            </w:pPr>
            <w:r w:rsidRPr="00703FFB" w:rsidR="1FF7F08B">
              <w:t>Advance</w:t>
            </w:r>
            <w:r w:rsidRPr="00703FFB" w:rsidR="1FF7F08B">
              <w:rPr>
                <w:rStyle w:val="normaltextrun"/>
                <w:color w:val="000000"/>
                <w:bdr w:val="none" w:sz="0" w:space="0" w:color="auto" w:frame="1"/>
              </w:rPr>
              <w:t xml:space="preserve"> an outreach campaign to increase participation in </w:t>
            </w:r>
            <w:r w:rsidRPr="00703FFB" w:rsidR="256EC3CC">
              <w:rPr>
                <w:rStyle w:val="normaltextrun"/>
                <w:color w:val="000000"/>
                <w:bdr w:val="none" w:sz="0" w:space="0" w:color="auto" w:frame="1"/>
              </w:rPr>
              <w:t xml:space="preserve">housing </w:t>
            </w:r>
            <w:r w:rsidRPr="00703FFB" w:rsidR="1FF7F08B">
              <w:rPr>
                <w:rStyle w:val="normaltextrun"/>
                <w:color w:val="000000"/>
                <w:bdr w:val="none" w:sz="0" w:space="0" w:color="auto" w:frame="1"/>
              </w:rPr>
              <w:t xml:space="preserve">counseling programs within targeted communities </w:t>
            </w:r>
            <w:r w:rsidRPr="00703FFB" w:rsidR="0BD17792">
              <w:rPr>
                <w:rStyle w:val="normaltextrun"/>
                <w:color w:val="000000"/>
                <w:bdr w:val="none" w:sz="0" w:space="0" w:color="auto" w:frame="1"/>
              </w:rPr>
              <w:t>of color</w:t>
            </w:r>
          </w:p>
        </w:tc>
      </w:tr>
      <w:tr w14:paraId="04F3D35A" w14:textId="77777777" w:rsidTr="658603D2">
        <w:tblPrEx>
          <w:tblW w:w="0" w:type="auto"/>
          <w:tblInd w:w="108" w:type="dxa"/>
          <w:tblLook w:val="04A0"/>
        </w:tblPrEx>
        <w:tc>
          <w:tcPr>
            <w:tcW w:w="9360" w:type="dxa"/>
            <w:shd w:val="clear" w:color="auto" w:fill="auto"/>
          </w:tcPr>
          <w:p w:rsidR="00FA2F70" w:rsidRPr="00C879B4" w:rsidP="001B4FB5"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658603D2">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E0BF8" w:rsidP="001B4FB5" w14:paraId="0E142073" w14:textId="77777777">
            <w:pPr>
              <w:spacing w:after="0" w:line="240" w:lineRule="auto"/>
              <w:rPr>
                <w:rFonts w:ascii="Times New Roman" w:hAnsi="Times New Roman"/>
                <w:color w:val="000000"/>
                <w:sz w:val="24"/>
                <w:szCs w:val="24"/>
              </w:rPr>
            </w:pPr>
          </w:p>
          <w:p w:rsidR="00FA2F70" w:rsidRPr="00C879B4" w:rsidP="3A7EF940" w14:paraId="06D3DF9B" w14:textId="78B72352">
            <w:pPr>
              <w:spacing w:after="0" w:line="240" w:lineRule="auto"/>
              <w:rPr>
                <w:rFonts w:ascii="Times New Roman" w:hAnsi="Times New Roman"/>
                <w:b/>
                <w:bCs/>
                <w:color w:val="000000"/>
                <w:sz w:val="24"/>
                <w:szCs w:val="24"/>
              </w:rPr>
            </w:pPr>
            <w:r w:rsidRPr="658603D2" w:rsidR="7344AFFF">
              <w:rPr>
                <w:rFonts w:ascii="Times New Roman" w:hAnsi="Times New Roman"/>
                <w:color w:val="000000" w:themeColor="text1" w:themeShade="FF" w:themeTint="FF"/>
                <w:sz w:val="24"/>
                <w:szCs w:val="24"/>
              </w:rPr>
              <w:t xml:space="preserve">The </w:t>
            </w:r>
            <w:r w:rsidRPr="658603D2" w:rsidR="692BD441">
              <w:rPr>
                <w:rFonts w:ascii="Times New Roman" w:hAnsi="Times New Roman"/>
                <w:color w:val="000000" w:themeColor="text1" w:themeShade="FF" w:themeTint="FF"/>
                <w:sz w:val="24"/>
                <w:szCs w:val="24"/>
              </w:rPr>
              <w:t>“</w:t>
            </w:r>
            <w:r w:rsidRPr="658603D2" w:rsidR="3D89268D">
              <w:rPr>
                <w:rFonts w:ascii="Times New Roman" w:hAnsi="Times New Roman"/>
                <w:color w:val="000000" w:themeColor="text1" w:themeShade="FF" w:themeTint="FF"/>
                <w:sz w:val="24"/>
                <w:szCs w:val="24"/>
              </w:rPr>
              <w:t>Eviction Counseling Survey</w:t>
            </w:r>
            <w:r w:rsidRPr="658603D2" w:rsidR="692BD441">
              <w:rPr>
                <w:rFonts w:ascii="Times New Roman" w:hAnsi="Times New Roman"/>
                <w:color w:val="000000" w:themeColor="text1" w:themeShade="FF" w:themeTint="FF"/>
                <w:sz w:val="24"/>
                <w:szCs w:val="24"/>
              </w:rPr>
              <w:t xml:space="preserve">” </w:t>
            </w:r>
            <w:r w:rsidRPr="658603D2" w:rsidR="692BD441">
              <w:rPr>
                <w:rFonts w:ascii="Times New Roman" w:hAnsi="Times New Roman"/>
                <w:sz w:val="24"/>
                <w:szCs w:val="24"/>
              </w:rPr>
              <w:t xml:space="preserve">will be conducted online using </w:t>
            </w:r>
            <w:r w:rsidRPr="658603D2" w:rsidR="58CAE18B">
              <w:rPr>
                <w:rFonts w:ascii="Times New Roman" w:hAnsi="Times New Roman"/>
                <w:sz w:val="24"/>
                <w:szCs w:val="24"/>
              </w:rPr>
              <w:t xml:space="preserve">the </w:t>
            </w:r>
            <w:r w:rsidRPr="658603D2" w:rsidR="7344AFFF">
              <w:rPr>
                <w:rFonts w:ascii="Times New Roman" w:hAnsi="Times New Roman"/>
                <w:color w:val="000000" w:themeColor="text1" w:themeShade="FF" w:themeTint="FF"/>
                <w:sz w:val="24"/>
                <w:szCs w:val="24"/>
              </w:rPr>
              <w:t>SurveyMonkey</w:t>
            </w:r>
            <w:r w:rsidRPr="658603D2" w:rsidR="58CAE18B">
              <w:rPr>
                <w:rFonts w:ascii="Times New Roman" w:hAnsi="Times New Roman"/>
                <w:color w:val="000000" w:themeColor="text1" w:themeShade="FF" w:themeTint="FF"/>
                <w:sz w:val="24"/>
                <w:szCs w:val="24"/>
              </w:rPr>
              <w:t xml:space="preserve"> survey application</w:t>
            </w:r>
            <w:r w:rsidRPr="658603D2" w:rsidR="44AABE73">
              <w:rPr>
                <w:rFonts w:ascii="Times New Roman" w:hAnsi="Times New Roman"/>
                <w:color w:val="000000" w:themeColor="text1" w:themeShade="FF" w:themeTint="FF"/>
                <w:sz w:val="24"/>
                <w:szCs w:val="24"/>
              </w:rPr>
              <w:t xml:space="preserve">. </w:t>
            </w:r>
            <w:r w:rsidRPr="658603D2" w:rsidR="28F789A2">
              <w:rPr>
                <w:rFonts w:ascii="Times New Roman" w:hAnsi="Times New Roman"/>
                <w:color w:val="000000" w:themeColor="text1" w:themeShade="FF" w:themeTint="FF"/>
                <w:sz w:val="24"/>
                <w:szCs w:val="24"/>
              </w:rPr>
              <w:t xml:space="preserve">Using SurveyMonkey minimizes respondent burden, allowing the counseling agencies to answer the questions and </w:t>
            </w:r>
            <w:r w:rsidRPr="658603D2" w:rsidR="1A27D3BA">
              <w:rPr>
                <w:rFonts w:ascii="Times New Roman" w:hAnsi="Times New Roman"/>
                <w:color w:val="000000" w:themeColor="text1" w:themeShade="FF" w:themeTint="FF"/>
                <w:sz w:val="24"/>
                <w:szCs w:val="24"/>
              </w:rPr>
              <w:t>transmit the survey to HUD by way of a submit b</w:t>
            </w:r>
            <w:r w:rsidRPr="658603D2" w:rsidR="40DB4878">
              <w:rPr>
                <w:rFonts w:ascii="Times New Roman" w:hAnsi="Times New Roman"/>
                <w:color w:val="000000" w:themeColor="text1" w:themeShade="FF" w:themeTint="FF"/>
                <w:sz w:val="24"/>
                <w:szCs w:val="24"/>
              </w:rPr>
              <w:t>u</w:t>
            </w:r>
            <w:r w:rsidRPr="658603D2" w:rsidR="1A27D3BA">
              <w:rPr>
                <w:rFonts w:ascii="Times New Roman" w:hAnsi="Times New Roman"/>
                <w:color w:val="000000" w:themeColor="text1" w:themeShade="FF" w:themeTint="FF"/>
                <w:sz w:val="24"/>
                <w:szCs w:val="24"/>
              </w:rPr>
              <w:t xml:space="preserve">tton. No additional steps are required. </w:t>
            </w:r>
            <w:r w:rsidRPr="658603D2" w:rsidR="45598BC5">
              <w:rPr>
                <w:rFonts w:ascii="Times New Roman" w:hAnsi="Times New Roman"/>
                <w:color w:val="000000" w:themeColor="text1" w:themeShade="FF" w:themeTint="FF"/>
                <w:sz w:val="24"/>
                <w:szCs w:val="24"/>
              </w:rPr>
              <w:t xml:space="preserve">If the agency does not </w:t>
            </w:r>
            <w:r w:rsidRPr="658603D2" w:rsidR="342BCF14">
              <w:rPr>
                <w:rFonts w:ascii="Times New Roman" w:hAnsi="Times New Roman"/>
                <w:color w:val="000000" w:themeColor="text1" w:themeShade="FF" w:themeTint="FF"/>
                <w:sz w:val="24"/>
                <w:szCs w:val="24"/>
              </w:rPr>
              <w:t>complete</w:t>
            </w:r>
            <w:r w:rsidRPr="658603D2" w:rsidR="45598BC5">
              <w:rPr>
                <w:rFonts w:ascii="Times New Roman" w:hAnsi="Times New Roman"/>
                <w:color w:val="000000" w:themeColor="text1" w:themeShade="FF" w:themeTint="FF"/>
                <w:sz w:val="24"/>
                <w:szCs w:val="24"/>
              </w:rPr>
              <w:t xml:space="preserve"> a question, </w:t>
            </w:r>
            <w:r w:rsidRPr="658603D2" w:rsidR="28F789A2">
              <w:rPr>
                <w:rFonts w:ascii="Times New Roman" w:hAnsi="Times New Roman"/>
                <w:color w:val="000000" w:themeColor="text1" w:themeShade="FF" w:themeTint="FF"/>
                <w:sz w:val="24"/>
                <w:szCs w:val="24"/>
              </w:rPr>
              <w:t xml:space="preserve">the </w:t>
            </w:r>
            <w:r w:rsidRPr="658603D2" w:rsidR="58CAE18B">
              <w:rPr>
                <w:rFonts w:ascii="Times New Roman" w:hAnsi="Times New Roman"/>
                <w:color w:val="000000" w:themeColor="text1" w:themeShade="FF" w:themeTint="FF"/>
                <w:sz w:val="24"/>
                <w:szCs w:val="24"/>
              </w:rPr>
              <w:t>application</w:t>
            </w:r>
            <w:r w:rsidRPr="658603D2" w:rsidR="28F789A2">
              <w:rPr>
                <w:rFonts w:ascii="Times New Roman" w:hAnsi="Times New Roman"/>
                <w:color w:val="000000" w:themeColor="text1" w:themeShade="FF" w:themeTint="FF"/>
                <w:sz w:val="24"/>
                <w:szCs w:val="24"/>
              </w:rPr>
              <w:t xml:space="preserve"> will promp</w:t>
            </w:r>
            <w:r w:rsidRPr="658603D2" w:rsidR="6B06865A">
              <w:rPr>
                <w:rFonts w:ascii="Times New Roman" w:hAnsi="Times New Roman"/>
                <w:color w:val="000000" w:themeColor="text1" w:themeShade="FF" w:themeTint="FF"/>
                <w:sz w:val="24"/>
                <w:szCs w:val="24"/>
              </w:rPr>
              <w:t>t them to fill in an answer b</w:t>
            </w:r>
            <w:r w:rsidRPr="658603D2" w:rsidR="342BCF14">
              <w:rPr>
                <w:rFonts w:ascii="Times New Roman" w:hAnsi="Times New Roman"/>
                <w:color w:val="000000" w:themeColor="text1" w:themeShade="FF" w:themeTint="FF"/>
                <w:sz w:val="24"/>
                <w:szCs w:val="24"/>
              </w:rPr>
              <w:t xml:space="preserve">efore allowing them to move to the next set of questions. </w:t>
            </w:r>
            <w:r w:rsidRPr="658603D2" w:rsidR="6B06865A">
              <w:rPr>
                <w:rFonts w:ascii="Times New Roman" w:hAnsi="Times New Roman"/>
                <w:color w:val="000000" w:themeColor="text1" w:themeShade="FF" w:themeTint="FF"/>
                <w:sz w:val="24"/>
                <w:szCs w:val="24"/>
              </w:rPr>
              <w:t xml:space="preserve">HUD intends to launch the survey </w:t>
            </w:r>
            <w:r w:rsidRPr="658603D2" w:rsidR="7344AFFF">
              <w:rPr>
                <w:rFonts w:ascii="Times New Roman" w:hAnsi="Times New Roman"/>
                <w:color w:val="000000" w:themeColor="text1" w:themeShade="FF" w:themeTint="FF"/>
                <w:sz w:val="24"/>
                <w:szCs w:val="24"/>
              </w:rPr>
              <w:t xml:space="preserve">immediately after </w:t>
            </w:r>
            <w:r w:rsidRPr="658603D2" w:rsidR="40DB4878">
              <w:rPr>
                <w:rFonts w:ascii="Times New Roman" w:hAnsi="Times New Roman"/>
                <w:color w:val="000000" w:themeColor="text1" w:themeShade="FF" w:themeTint="FF"/>
                <w:sz w:val="24"/>
                <w:szCs w:val="24"/>
              </w:rPr>
              <w:t>approval of the PRA by sending</w:t>
            </w:r>
            <w:r w:rsidRPr="658603D2" w:rsidR="6B06865A">
              <w:rPr>
                <w:rFonts w:ascii="Times New Roman" w:hAnsi="Times New Roman"/>
                <w:color w:val="000000" w:themeColor="text1" w:themeShade="FF" w:themeTint="FF"/>
                <w:sz w:val="24"/>
                <w:szCs w:val="24"/>
              </w:rPr>
              <w:t xml:space="preserve"> housing counseling agencies an email with an invitat</w:t>
            </w:r>
            <w:r w:rsidRPr="658603D2" w:rsidR="3A893D81">
              <w:rPr>
                <w:rFonts w:ascii="Times New Roman" w:hAnsi="Times New Roman"/>
                <w:color w:val="000000" w:themeColor="text1" w:themeShade="FF" w:themeTint="FF"/>
                <w:sz w:val="24"/>
                <w:szCs w:val="24"/>
              </w:rPr>
              <w:t>ion to complete the survey and a link to the survey.</w:t>
            </w:r>
          </w:p>
        </w:tc>
      </w:tr>
      <w:tr w14:paraId="02CFCC81" w14:textId="77777777" w:rsidTr="658603D2">
        <w:tblPrEx>
          <w:tblW w:w="0" w:type="auto"/>
          <w:tblInd w:w="108" w:type="dxa"/>
          <w:tblLook w:val="04A0"/>
        </w:tblPrEx>
        <w:tc>
          <w:tcPr>
            <w:tcW w:w="9360" w:type="dxa"/>
            <w:shd w:val="clear" w:color="auto" w:fill="auto"/>
          </w:tcPr>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658603D2">
        <w:tblPrEx>
          <w:tblW w:w="0" w:type="auto"/>
          <w:tblInd w:w="108" w:type="dxa"/>
          <w:tblLook w:val="04A0"/>
        </w:tblPrEx>
        <w:trPr>
          <w:trHeight w:val="531"/>
        </w:trPr>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14:paraId="68FCCE3E" w14:textId="77777777">
            <w:pPr>
              <w:spacing w:after="0" w:line="240" w:lineRule="auto"/>
              <w:rPr>
                <w:rFonts w:ascii="Times New Roman" w:hAnsi="Times New Roman"/>
                <w:b/>
                <w:color w:val="000000"/>
                <w:sz w:val="24"/>
                <w:szCs w:val="24"/>
              </w:rPr>
            </w:pPr>
          </w:p>
          <w:p w:rsidR="00895A2D" w:rsidRPr="00895A2D" w:rsidP="658603D2" w14:paraId="2F707C2C" w14:textId="18A3A0D0">
            <w:pPr>
              <w:spacing w:after="0" w:line="240" w:lineRule="auto"/>
              <w:rPr>
                <w:rFonts w:ascii="Times New Roman" w:hAnsi="Times New Roman"/>
                <w:color w:val="000000"/>
                <w:sz w:val="24"/>
                <w:szCs w:val="24"/>
              </w:rPr>
            </w:pPr>
            <w:r w:rsidRPr="658603D2" w:rsidR="12380DF6">
              <w:rPr>
                <w:rFonts w:ascii="Times New Roman" w:hAnsi="Times New Roman"/>
                <w:color w:val="000000" w:themeColor="text1" w:themeShade="FF" w:themeTint="FF"/>
                <w:sz w:val="24"/>
                <w:szCs w:val="24"/>
              </w:rPr>
              <w:t>While</w:t>
            </w:r>
            <w:r w:rsidRPr="658603D2" w:rsidR="1E408CFC">
              <w:rPr>
                <w:rFonts w:ascii="Times New Roman" w:hAnsi="Times New Roman"/>
                <w:color w:val="000000" w:themeColor="text1" w:themeShade="FF" w:themeTint="FF"/>
                <w:sz w:val="24"/>
                <w:szCs w:val="24"/>
              </w:rPr>
              <w:t xml:space="preserve"> </w:t>
            </w:r>
            <w:r w:rsidRPr="658603D2" w:rsidR="0FD83D28">
              <w:rPr>
                <w:rFonts w:ascii="Times New Roman" w:hAnsi="Times New Roman"/>
                <w:color w:val="000000" w:themeColor="text1" w:themeShade="FF" w:themeTint="FF"/>
                <w:sz w:val="24"/>
                <w:szCs w:val="24"/>
              </w:rPr>
              <w:t xml:space="preserve">the Office of Housing Counseling </w:t>
            </w:r>
            <w:r w:rsidRPr="658603D2" w:rsidR="12380DF6">
              <w:rPr>
                <w:rFonts w:ascii="Times New Roman" w:hAnsi="Times New Roman"/>
                <w:color w:val="000000" w:themeColor="text1" w:themeShade="FF" w:themeTint="FF"/>
                <w:sz w:val="24"/>
                <w:szCs w:val="24"/>
              </w:rPr>
              <w:t>collects basic information on the number of households served through rental counseling and eviction counseling, it does not collect information</w:t>
            </w:r>
            <w:r w:rsidRPr="658603D2" w:rsidR="7105719B">
              <w:rPr>
                <w:rFonts w:ascii="Times New Roman" w:hAnsi="Times New Roman"/>
                <w:color w:val="000000" w:themeColor="text1" w:themeShade="FF" w:themeTint="FF"/>
                <w:sz w:val="24"/>
                <w:szCs w:val="24"/>
              </w:rPr>
              <w:t xml:space="preserve"> </w:t>
            </w:r>
            <w:r w:rsidRPr="658603D2" w:rsidR="4FD1EC39">
              <w:rPr>
                <w:rFonts w:ascii="Times New Roman" w:hAnsi="Times New Roman"/>
                <w:color w:val="000000" w:themeColor="text1" w:themeShade="FF" w:themeTint="FF"/>
                <w:sz w:val="24"/>
                <w:szCs w:val="24"/>
              </w:rPr>
              <w:t>included in the survey on</w:t>
            </w:r>
            <w:r w:rsidRPr="658603D2" w:rsidR="2816C04F">
              <w:rPr>
                <w:rFonts w:ascii="Times New Roman" w:hAnsi="Times New Roman"/>
                <w:color w:val="000000" w:themeColor="text1" w:themeShade="FF" w:themeTint="FF"/>
                <w:sz w:val="24"/>
                <w:szCs w:val="24"/>
              </w:rPr>
              <w:t xml:space="preserve"> more</w:t>
            </w:r>
            <w:r w:rsidRPr="658603D2" w:rsidR="5156A83E">
              <w:rPr>
                <w:rFonts w:ascii="Times New Roman" w:hAnsi="Times New Roman"/>
                <w:color w:val="000000" w:themeColor="text1" w:themeShade="FF" w:themeTint="FF"/>
                <w:sz w:val="24"/>
                <w:szCs w:val="24"/>
              </w:rPr>
              <w:t xml:space="preserve"> </w:t>
            </w:r>
            <w:r w:rsidRPr="658603D2" w:rsidR="5156A83E">
              <w:rPr>
                <w:rFonts w:ascii="Times New Roman" w:hAnsi="Times New Roman"/>
                <w:color w:val="000000" w:themeColor="text1" w:themeShade="FF" w:themeTint="FF"/>
                <w:sz w:val="24"/>
                <w:szCs w:val="24"/>
              </w:rPr>
              <w:t xml:space="preserve">specific rental </w:t>
            </w:r>
            <w:r w:rsidRPr="658603D2" w:rsidR="55A8E20D">
              <w:rPr>
                <w:rFonts w:ascii="Times New Roman" w:hAnsi="Times New Roman"/>
                <w:color w:val="000000" w:themeColor="text1" w:themeShade="FF" w:themeTint="FF"/>
                <w:sz w:val="24"/>
                <w:szCs w:val="24"/>
              </w:rPr>
              <w:t xml:space="preserve">and eviction </w:t>
            </w:r>
            <w:r w:rsidRPr="658603D2" w:rsidR="5156A83E">
              <w:rPr>
                <w:rFonts w:ascii="Times New Roman" w:hAnsi="Times New Roman"/>
                <w:color w:val="000000" w:themeColor="text1" w:themeShade="FF" w:themeTint="FF"/>
                <w:sz w:val="24"/>
                <w:szCs w:val="24"/>
              </w:rPr>
              <w:t>counseling</w:t>
            </w:r>
            <w:r w:rsidRPr="658603D2" w:rsidR="4FD1EC39">
              <w:rPr>
                <w:rFonts w:ascii="Times New Roman" w:hAnsi="Times New Roman"/>
                <w:color w:val="000000" w:themeColor="text1" w:themeShade="FF" w:themeTint="FF"/>
                <w:sz w:val="24"/>
                <w:szCs w:val="24"/>
              </w:rPr>
              <w:t xml:space="preserve"> </w:t>
            </w:r>
            <w:r w:rsidRPr="658603D2" w:rsidR="4FD1EC39">
              <w:rPr>
                <w:rFonts w:ascii="Times New Roman" w:hAnsi="Times New Roman"/>
                <w:color w:val="000000" w:themeColor="text1" w:themeShade="FF" w:themeTint="FF"/>
                <w:sz w:val="24"/>
                <w:szCs w:val="24"/>
              </w:rPr>
              <w:t xml:space="preserve">topics such as: </w:t>
            </w:r>
            <w:r w:rsidRPr="658603D2" w:rsidR="7105719B">
              <w:rPr>
                <w:rFonts w:ascii="Times New Roman" w:hAnsi="Times New Roman"/>
                <w:color w:val="000000" w:themeColor="text1" w:themeShade="FF" w:themeTint="FF"/>
                <w:sz w:val="24"/>
                <w:szCs w:val="24"/>
              </w:rPr>
              <w:t xml:space="preserve">how agencies are providing </w:t>
            </w:r>
            <w:r w:rsidRPr="658603D2" w:rsidR="724A365C">
              <w:rPr>
                <w:rFonts w:ascii="Times New Roman" w:hAnsi="Times New Roman"/>
                <w:color w:val="000000" w:themeColor="text1" w:themeShade="FF" w:themeTint="FF"/>
                <w:sz w:val="24"/>
                <w:szCs w:val="24"/>
              </w:rPr>
              <w:t xml:space="preserve">eviction </w:t>
            </w:r>
            <w:r w:rsidRPr="658603D2" w:rsidR="7105719B">
              <w:rPr>
                <w:rFonts w:ascii="Times New Roman" w:hAnsi="Times New Roman"/>
                <w:color w:val="000000" w:themeColor="text1" w:themeShade="FF" w:themeTint="FF"/>
                <w:sz w:val="24"/>
                <w:szCs w:val="24"/>
              </w:rPr>
              <w:t xml:space="preserve">counseling, how they are identifying </w:t>
            </w:r>
            <w:r w:rsidRPr="658603D2" w:rsidR="7DD37B34">
              <w:rPr>
                <w:rFonts w:ascii="Times New Roman" w:hAnsi="Times New Roman"/>
                <w:color w:val="000000" w:themeColor="text1" w:themeShade="FF" w:themeTint="FF"/>
                <w:sz w:val="24"/>
                <w:szCs w:val="24"/>
              </w:rPr>
              <w:t xml:space="preserve">eviction </w:t>
            </w:r>
            <w:r w:rsidRPr="658603D2" w:rsidR="7105719B">
              <w:rPr>
                <w:rFonts w:ascii="Times New Roman" w:hAnsi="Times New Roman"/>
                <w:color w:val="000000" w:themeColor="text1" w:themeShade="FF" w:themeTint="FF"/>
                <w:sz w:val="24"/>
                <w:szCs w:val="24"/>
              </w:rPr>
              <w:t xml:space="preserve">clients, what challenges they face in assisting </w:t>
            </w:r>
            <w:r w:rsidRPr="658603D2" w:rsidR="365905AA">
              <w:rPr>
                <w:rFonts w:ascii="Times New Roman" w:hAnsi="Times New Roman"/>
                <w:color w:val="000000" w:themeColor="text1" w:themeShade="FF" w:themeTint="FF"/>
                <w:sz w:val="24"/>
                <w:szCs w:val="24"/>
              </w:rPr>
              <w:t xml:space="preserve">eviction </w:t>
            </w:r>
            <w:r w:rsidRPr="658603D2" w:rsidR="7105719B">
              <w:rPr>
                <w:rFonts w:ascii="Times New Roman" w:hAnsi="Times New Roman"/>
                <w:color w:val="000000" w:themeColor="text1" w:themeShade="FF" w:themeTint="FF"/>
                <w:sz w:val="24"/>
                <w:szCs w:val="24"/>
              </w:rPr>
              <w:t xml:space="preserve">clients, and </w:t>
            </w:r>
            <w:r w:rsidRPr="658603D2" w:rsidR="4FD1EC39">
              <w:rPr>
                <w:rFonts w:ascii="Times New Roman" w:hAnsi="Times New Roman"/>
                <w:color w:val="000000" w:themeColor="text1" w:themeShade="FF" w:themeTint="FF"/>
                <w:sz w:val="24"/>
                <w:szCs w:val="24"/>
              </w:rPr>
              <w:t xml:space="preserve">how they track </w:t>
            </w:r>
            <w:r w:rsidRPr="658603D2" w:rsidR="3A974095">
              <w:rPr>
                <w:rFonts w:ascii="Times New Roman" w:hAnsi="Times New Roman"/>
                <w:color w:val="000000" w:themeColor="text1" w:themeShade="FF" w:themeTint="FF"/>
                <w:sz w:val="24"/>
                <w:szCs w:val="24"/>
              </w:rPr>
              <w:t xml:space="preserve">eviction </w:t>
            </w:r>
            <w:r w:rsidRPr="658603D2" w:rsidR="4FD1EC39">
              <w:rPr>
                <w:rFonts w:ascii="Times New Roman" w:hAnsi="Times New Roman"/>
                <w:color w:val="000000" w:themeColor="text1" w:themeShade="FF" w:themeTint="FF"/>
                <w:sz w:val="24"/>
                <w:szCs w:val="24"/>
              </w:rPr>
              <w:t xml:space="preserve">outcomes. </w:t>
            </w:r>
            <w:r w:rsidRPr="658603D2" w:rsidR="3F3A2E04">
              <w:rPr>
                <w:rFonts w:ascii="Times New Roman" w:hAnsi="Times New Roman"/>
                <w:color w:val="000000" w:themeColor="text1" w:themeShade="FF" w:themeTint="FF"/>
                <w:sz w:val="24"/>
                <w:szCs w:val="24"/>
              </w:rPr>
              <w:t xml:space="preserve">Therefore, </w:t>
            </w:r>
            <w:r w:rsidRPr="658603D2" w:rsidR="4FD1EC39">
              <w:rPr>
                <w:rFonts w:ascii="Times New Roman" w:hAnsi="Times New Roman"/>
                <w:color w:val="000000" w:themeColor="text1" w:themeShade="FF" w:themeTint="FF"/>
                <w:sz w:val="24"/>
                <w:szCs w:val="24"/>
              </w:rPr>
              <w:t>the survey does not dup</w:t>
            </w:r>
            <w:r w:rsidRPr="658603D2" w:rsidR="708C0B49">
              <w:rPr>
                <w:rFonts w:ascii="Times New Roman" w:hAnsi="Times New Roman"/>
                <w:color w:val="000000" w:themeColor="text1" w:themeShade="FF" w:themeTint="FF"/>
                <w:sz w:val="24"/>
                <w:szCs w:val="24"/>
              </w:rPr>
              <w:t xml:space="preserve">licate </w:t>
            </w:r>
            <w:r w:rsidRPr="658603D2" w:rsidR="0FD83D28">
              <w:rPr>
                <w:rFonts w:ascii="Times New Roman" w:hAnsi="Times New Roman"/>
                <w:color w:val="000000" w:themeColor="text1" w:themeShade="FF" w:themeTint="FF"/>
                <w:sz w:val="24"/>
                <w:szCs w:val="24"/>
              </w:rPr>
              <w:t xml:space="preserve">other sources for this information.  </w:t>
            </w:r>
          </w:p>
        </w:tc>
      </w:tr>
      <w:tr w14:paraId="59410D16" w14:textId="77777777" w:rsidTr="658603D2">
        <w:tblPrEx>
          <w:tblW w:w="0" w:type="auto"/>
          <w:tblInd w:w="108" w:type="dxa"/>
          <w:tblLook w:val="04A0"/>
        </w:tblPrEx>
        <w:tc>
          <w:tcPr>
            <w:tcW w:w="9360" w:type="dxa"/>
            <w:shd w:val="clear" w:color="auto" w:fill="auto"/>
          </w:tcPr>
          <w:p w:rsidR="00FA2F70" w:rsidRPr="00C879B4" w:rsidP="001B4FB5" w14:paraId="22D179F9" w14:textId="77777777">
            <w:pPr>
              <w:spacing w:after="0" w:line="240" w:lineRule="auto"/>
              <w:rPr>
                <w:rFonts w:ascii="Times New Roman" w:hAnsi="Times New Roman"/>
                <w:b/>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C879B4" w:rsidP="001B4FB5" w14:paraId="2A383C1A" w14:textId="23D9F6E1">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Some housing counseling agencies may be small </w:t>
            </w:r>
            <w:r w:rsidR="003E42B3">
              <w:rPr>
                <w:rFonts w:ascii="Times New Roman" w:hAnsi="Times New Roman"/>
                <w:color w:val="000000"/>
                <w:sz w:val="24"/>
                <w:szCs w:val="24"/>
              </w:rPr>
              <w:t>not-for-profit institutions</w:t>
            </w:r>
            <w:r>
              <w:rPr>
                <w:rFonts w:ascii="Times New Roman" w:hAnsi="Times New Roman"/>
                <w:color w:val="000000"/>
                <w:sz w:val="24"/>
                <w:szCs w:val="24"/>
              </w:rPr>
              <w:t xml:space="preserve">. </w:t>
            </w:r>
            <w:r w:rsidR="00532178">
              <w:rPr>
                <w:rFonts w:ascii="Times New Roman" w:hAnsi="Times New Roman"/>
                <w:color w:val="000000"/>
                <w:sz w:val="24"/>
                <w:szCs w:val="24"/>
              </w:rPr>
              <w:t xml:space="preserve">Keeping the survey short and using SurveyMonkey to deliver the survey online are ways to minimize burden. The survey is only collecting information essential for HUD to better support agencies in providing effective eviction counseling. </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D1493E" w:rsidP="00D1493E" w14:paraId="1791111F" w14:textId="77777777">
            <w:pPr>
              <w:pStyle w:val="Heading2"/>
              <w:spacing w:after="0"/>
              <w:rPr>
                <w:rFonts w:ascii="Times New Roman" w:hAnsi="Times New Roman"/>
                <w:b w:val="0"/>
                <w:color w:val="000000"/>
                <w:sz w:val="24"/>
                <w:szCs w:val="24"/>
              </w:rPr>
            </w:pPr>
          </w:p>
          <w:p w:rsidR="00FA2F70" w:rsidRPr="00C879B4" w:rsidP="007A649A" w14:paraId="2120A543" w14:textId="2301EB95">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If</w:t>
            </w:r>
            <w:r w:rsidR="005D5EBF">
              <w:rPr>
                <w:rFonts w:ascii="Times New Roman" w:hAnsi="Times New Roman"/>
                <w:color w:val="000000"/>
                <w:sz w:val="24"/>
                <w:szCs w:val="24"/>
              </w:rPr>
              <w:t xml:space="preserve"> HUD were not permitted to conduct the survey, the Office of Housing Counseling would be missing vital information on how best to support its housing counseling agencies in providing eviction counseling</w:t>
            </w:r>
            <w:r w:rsidR="006C379E">
              <w:rPr>
                <w:rFonts w:ascii="Times New Roman" w:hAnsi="Times New Roman"/>
                <w:color w:val="000000"/>
                <w:sz w:val="24"/>
                <w:szCs w:val="24"/>
              </w:rPr>
              <w:t>, which could result in</w:t>
            </w:r>
            <w:r w:rsidR="00676864">
              <w:rPr>
                <w:rFonts w:ascii="Times New Roman" w:hAnsi="Times New Roman"/>
                <w:color w:val="000000"/>
                <w:sz w:val="24"/>
                <w:szCs w:val="24"/>
              </w:rPr>
              <w:t xml:space="preserve"> some households missing out on innovative and effective </w:t>
            </w:r>
            <w:r w:rsidR="007A649A">
              <w:rPr>
                <w:rFonts w:ascii="Times New Roman" w:hAnsi="Times New Roman"/>
                <w:color w:val="000000"/>
                <w:sz w:val="24"/>
                <w:szCs w:val="24"/>
              </w:rPr>
              <w:t xml:space="preserve">services. In addition, HUD would not be able to </w:t>
            </w:r>
            <w:r w:rsidRPr="007A649A" w:rsidR="007A649A">
              <w:rPr>
                <w:rFonts w:ascii="Times New Roman" w:hAnsi="Times New Roman"/>
                <w:color w:val="000000"/>
                <w:sz w:val="24"/>
                <w:szCs w:val="24"/>
              </w:rPr>
              <w:t>satisfy Congress’s request in the FY22 Joint Explanatory Statement that HUD work with housing counselors to identify predominant causes of eviction, ways to improve eviction counseling services, and barriers to collecting data on households at risk of eviction.</w:t>
            </w:r>
          </w:p>
        </w:tc>
      </w:tr>
      <w:tr w14:paraId="6CEB6682" w14:textId="77777777" w:rsidTr="00D35DDB">
        <w:tblPrEx>
          <w:tblW w:w="0" w:type="auto"/>
          <w:tblInd w:w="108" w:type="dxa"/>
          <w:tblLook w:val="04A0"/>
        </w:tblPrEx>
        <w:tc>
          <w:tcPr>
            <w:tcW w:w="9360" w:type="dxa"/>
            <w:shd w:val="clear" w:color="auto" w:fill="auto"/>
          </w:tcPr>
          <w:p w:rsidR="00FA2F70" w:rsidRPr="00C879B4" w:rsidP="001B4FB5" w14:paraId="0DCC2D1D" w14:textId="77777777">
            <w:pPr>
              <w:spacing w:after="0" w:line="240" w:lineRule="auto"/>
              <w:rPr>
                <w:rFonts w:ascii="Times New Roman" w:hAnsi="Times New Roman"/>
                <w:b/>
                <w:color w:val="000000"/>
                <w:sz w:val="24"/>
                <w:szCs w:val="24"/>
              </w:rPr>
            </w:pP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RPr="00C879B4" w:rsidP="001B4FB5" w14:paraId="0D23A25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D35DDB" w:rsidP="001B4FB5" w14:paraId="2B168751" w14:textId="31968848">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76F709E6" w14:textId="77777777">
            <w:pPr>
              <w:spacing w:after="0" w:line="240" w:lineRule="auto"/>
              <w:rPr>
                <w:rFonts w:ascii="Times New Roman" w:hAnsi="Times New Roman"/>
                <w:color w:val="000000"/>
                <w:sz w:val="24"/>
                <w:szCs w:val="24"/>
              </w:rPr>
            </w:pPr>
          </w:p>
          <w:p w:rsidR="00FA2F70" w:rsidRPr="00C879B4" w:rsidP="001B4FB5"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00D35DDB" w:rsidP="001B4FB5" w14:paraId="57F16BED" w14:textId="6C830AF1">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7A47B290" w14:textId="77777777">
            <w:pPr>
              <w:spacing w:after="0" w:line="240" w:lineRule="auto"/>
              <w:rPr>
                <w:rFonts w:ascii="Times New Roman" w:hAnsi="Times New Roman"/>
                <w:color w:val="000000"/>
                <w:sz w:val="24"/>
                <w:szCs w:val="24"/>
              </w:rPr>
            </w:pPr>
          </w:p>
          <w:p w:rsidR="00695EEE" w:rsidRPr="00C879B4" w:rsidP="001B4FB5" w14:paraId="63C6479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695EEE" w:rsidP="001B4FB5" w14:paraId="48B4C27F" w14:textId="2533D7AA">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50E55BCA" w14:textId="77777777">
            <w:pPr>
              <w:spacing w:after="0" w:line="240" w:lineRule="auto"/>
              <w:rPr>
                <w:rFonts w:ascii="Times New Roman" w:hAnsi="Times New Roman"/>
                <w:color w:val="000000"/>
                <w:sz w:val="24"/>
                <w:szCs w:val="24"/>
              </w:rPr>
            </w:pPr>
          </w:p>
          <w:p w:rsidR="00FA2F70" w:rsidRPr="00C879B4" w:rsidP="001B4FB5"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D35DDB" w:rsidP="001B4FB5" w14:paraId="76CC6914" w14:textId="0F4BE225">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6D2F5CD0" w14:textId="77777777">
            <w:pPr>
              <w:spacing w:after="0" w:line="240" w:lineRule="auto"/>
              <w:rPr>
                <w:rFonts w:ascii="Times New Roman" w:hAnsi="Times New Roman"/>
                <w:color w:val="000000"/>
                <w:sz w:val="24"/>
                <w:szCs w:val="24"/>
              </w:rPr>
            </w:pPr>
          </w:p>
          <w:p w:rsidR="00FA2F70" w:rsidP="001B4FB5" w14:paraId="1AE81509" w14:textId="6EC89A79">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E03C90" w:rsidP="00E03C90" w14:paraId="0D96122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E03C90" w:rsidRPr="00C879B4" w:rsidP="001B4FB5" w14:paraId="20DB0686" w14:textId="77777777">
            <w:pPr>
              <w:spacing w:after="0" w:line="240" w:lineRule="auto"/>
              <w:rPr>
                <w:rFonts w:ascii="Times New Roman" w:hAnsi="Times New Roman"/>
                <w:color w:val="000000"/>
                <w:sz w:val="24"/>
                <w:szCs w:val="24"/>
              </w:rPr>
            </w:pPr>
          </w:p>
          <w:p w:rsidR="00FA2F70" w:rsidRPr="00C879B4" w:rsidP="001B4FB5"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E03C90" w:rsidRPr="00E03C90" w:rsidP="00E03C90" w14:paraId="55C7015C" w14:textId="77777777">
            <w:pPr>
              <w:spacing w:after="0" w:line="240" w:lineRule="auto"/>
              <w:rPr>
                <w:rFonts w:ascii="Times New Roman" w:hAnsi="Times New Roman"/>
                <w:color w:val="000000"/>
                <w:sz w:val="24"/>
                <w:szCs w:val="24"/>
              </w:rPr>
            </w:pPr>
            <w:r w:rsidRPr="00E03C90">
              <w:rPr>
                <w:rFonts w:ascii="Times New Roman" w:hAnsi="Times New Roman"/>
                <w:color w:val="000000"/>
                <w:sz w:val="24"/>
                <w:szCs w:val="24"/>
              </w:rPr>
              <w:t>Not Applicable</w:t>
            </w:r>
          </w:p>
          <w:p w:rsidR="00D35DDB" w:rsidRPr="00C879B4" w:rsidP="001B4FB5" w14:paraId="29E7717D" w14:textId="77777777">
            <w:pPr>
              <w:spacing w:after="0" w:line="240" w:lineRule="auto"/>
              <w:rPr>
                <w:rFonts w:ascii="Times New Roman" w:hAnsi="Times New Roman"/>
                <w:color w:val="000000"/>
                <w:sz w:val="24"/>
                <w:szCs w:val="24"/>
              </w:rPr>
            </w:pPr>
          </w:p>
          <w:p w:rsidR="00FA2F70" w:rsidRPr="00C879B4" w:rsidP="001B4FB5" w14:paraId="2EF992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03C90" w:rsidP="00E03C90" w14:paraId="6A914BEB"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D35DDB" w:rsidRPr="00C879B4" w:rsidP="001B4FB5" w14:paraId="37655EDB" w14:textId="77777777">
            <w:pPr>
              <w:spacing w:after="0" w:line="240" w:lineRule="auto"/>
              <w:rPr>
                <w:rFonts w:ascii="Times New Roman" w:hAnsi="Times New Roman"/>
                <w:color w:val="000000"/>
                <w:sz w:val="24"/>
                <w:szCs w:val="24"/>
              </w:rPr>
            </w:pPr>
          </w:p>
          <w:p w:rsidR="00FA2F70" w:rsidRPr="00C879B4" w:rsidP="00834D96"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E03C90" w:rsidP="00E03C90" w14:paraId="631A57ED"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FA2F70" w:rsidRPr="00C879B4" w:rsidP="001B4FB5" w14:paraId="1ED5B677" w14:textId="77777777">
            <w:pPr>
              <w:spacing w:after="0" w:line="240" w:lineRule="auto"/>
              <w:rPr>
                <w:rFonts w:ascii="Times New Roman" w:hAnsi="Times New Roman"/>
                <w:b/>
                <w:color w:val="000000"/>
                <w:sz w:val="24"/>
                <w:szCs w:val="24"/>
              </w:rPr>
            </w:pP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658603D2">
        <w:tblPrEx>
          <w:tblW w:w="0" w:type="auto"/>
          <w:tblInd w:w="108" w:type="dxa"/>
          <w:tblLook w:val="04A0"/>
        </w:tblPrEx>
        <w:tc>
          <w:tcPr>
            <w:tcW w:w="9360" w:type="dxa"/>
            <w:shd w:val="clear" w:color="auto" w:fill="auto"/>
          </w:tcPr>
          <w:p w:rsidR="0021340A" w:rsidRPr="00C879B4" w:rsidP="001B4FB5"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879B4" w:rsidP="009B0365" w14:paraId="7DA4073C" w14:textId="77777777">
            <w:pPr>
              <w:spacing w:after="0" w:line="240" w:lineRule="auto"/>
              <w:rPr>
                <w:rFonts w:ascii="Times New Roman" w:hAnsi="Times New Roman"/>
                <w:color w:val="000000"/>
              </w:rPr>
            </w:pPr>
          </w:p>
          <w:p w:rsidR="00834D96" w:rsidP="00834D96" w14:paraId="54317CBD" w14:textId="2507FF42">
            <w:pPr>
              <w:tabs>
                <w:tab w:val="left" w:pos="1080"/>
              </w:tabs>
              <w:overflowPunct w:val="0"/>
              <w:autoSpaceDE w:val="0"/>
              <w:autoSpaceDN w:val="0"/>
              <w:adjustRightInd w:val="0"/>
              <w:spacing w:after="0" w:line="240" w:lineRule="auto"/>
              <w:rPr>
                <w:rFonts w:ascii="Times New Roman" w:hAnsi="Times New Roman"/>
                <w:sz w:val="24"/>
                <w:szCs w:val="24"/>
              </w:rPr>
            </w:pPr>
            <w:r w:rsidRPr="658603D2" w:rsidR="36E9F3BB">
              <w:rPr>
                <w:rFonts w:ascii="Times New Roman" w:hAnsi="Times New Roman"/>
                <w:sz w:val="24"/>
                <w:szCs w:val="24"/>
              </w:rPr>
              <w:t>In accordance with 5</w:t>
            </w:r>
            <w:r w:rsidRPr="658603D2" w:rsidR="36E9F3BB">
              <w:rPr>
                <w:rFonts w:ascii="Times New Roman" w:hAnsi="Times New Roman"/>
                <w:sz w:val="24"/>
                <w:szCs w:val="24"/>
              </w:rPr>
              <w:t xml:space="preserve"> </w:t>
            </w:r>
            <w:r w:rsidRPr="658603D2" w:rsidR="36E9F3BB">
              <w:rPr>
                <w:rFonts w:ascii="Times New Roman" w:hAnsi="Times New Roman"/>
                <w:sz w:val="24"/>
                <w:szCs w:val="24"/>
              </w:rPr>
              <w:t xml:space="preserve">CFR 1320.8(d), a 60-day Federal Register Notice soliciting public comments was announced in the Federal Register on </w:t>
            </w:r>
            <w:r w:rsidRPr="658603D2" w:rsidR="36E9F3BB">
              <w:rPr>
                <w:rFonts w:ascii="Times New Roman" w:hAnsi="Times New Roman"/>
                <w:sz w:val="24"/>
                <w:szCs w:val="24"/>
                <w:highlight w:val="yellow"/>
              </w:rPr>
              <w:t>XX-XX-XXXX</w:t>
            </w:r>
            <w:r w:rsidRPr="658603D2" w:rsidR="36E9F3BB">
              <w:rPr>
                <w:rFonts w:ascii="Times New Roman" w:hAnsi="Times New Roman"/>
                <w:sz w:val="24"/>
                <w:szCs w:val="24"/>
              </w:rPr>
              <w:t xml:space="preserve">, Volume </w:t>
            </w:r>
            <w:r w:rsidRPr="658603D2" w:rsidR="36E9F3BB">
              <w:rPr>
                <w:rFonts w:ascii="Times New Roman" w:hAnsi="Times New Roman"/>
                <w:sz w:val="24"/>
                <w:szCs w:val="24"/>
                <w:highlight w:val="yellow"/>
              </w:rPr>
              <w:t>XX</w:t>
            </w:r>
            <w:r w:rsidRPr="658603D2" w:rsidR="36E9F3BB">
              <w:rPr>
                <w:rFonts w:ascii="Times New Roman" w:hAnsi="Times New Roman"/>
                <w:sz w:val="24"/>
                <w:szCs w:val="24"/>
              </w:rPr>
              <w:t xml:space="preserve">, Page </w:t>
            </w:r>
            <w:r w:rsidRPr="658603D2" w:rsidR="36E9F3BB">
              <w:rPr>
                <w:rFonts w:ascii="Times New Roman" w:hAnsi="Times New Roman"/>
                <w:sz w:val="24"/>
                <w:szCs w:val="24"/>
                <w:highlight w:val="yellow"/>
              </w:rPr>
              <w:t>XXXXX</w:t>
            </w:r>
            <w:r w:rsidRPr="658603D2" w:rsidR="36E9F3BB">
              <w:rPr>
                <w:rFonts w:ascii="Times New Roman" w:hAnsi="Times New Roman"/>
                <w:sz w:val="24"/>
                <w:szCs w:val="24"/>
              </w:rPr>
              <w:t>.</w:t>
            </w:r>
            <w:r w:rsidR="36E9F3BB">
              <w:t xml:space="preserve"> </w:t>
            </w:r>
            <w:r w:rsidRPr="658603D2" w:rsidR="36E9F3BB">
              <w:rPr>
                <w:rFonts w:ascii="Times New Roman" w:hAnsi="Times New Roman"/>
                <w:sz w:val="24"/>
                <w:szCs w:val="24"/>
              </w:rPr>
              <w:t>No comments were received.</w:t>
            </w:r>
          </w:p>
          <w:p w:rsidR="00834D96"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RPr="00C879B4" w:rsidP="14E2F325" w14:paraId="1A0BF226" w14:textId="75CFAE23">
            <w:pPr>
              <w:spacing w:after="0" w:line="240" w:lineRule="auto"/>
              <w:rPr>
                <w:rFonts w:ascii="Times New Roman" w:hAnsi="Times New Roman"/>
                <w:b/>
                <w:bCs/>
                <w:color w:val="000000"/>
                <w:sz w:val="24"/>
                <w:szCs w:val="24"/>
              </w:rPr>
            </w:pPr>
            <w:r w:rsidRPr="658603D2" w:rsidR="36E9F3BB">
              <w:rPr>
                <w:rFonts w:ascii="Times New Roman" w:eastAsia="Calibri" w:hAnsi="Times New Roman"/>
                <w:color w:val="000000" w:themeColor="text1" w:themeShade="FF" w:themeTint="FF"/>
                <w:sz w:val="24"/>
                <w:szCs w:val="24"/>
              </w:rPr>
              <w:t xml:space="preserve">A 30-day Federal Register Notice inviting public comments was published </w:t>
            </w:r>
            <w:r w:rsidRPr="658603D2" w:rsidR="36E9F3BB">
              <w:rPr>
                <w:rFonts w:ascii="Times New Roman" w:eastAsia="Calibri" w:hAnsi="Times New Roman"/>
                <w:sz w:val="24"/>
                <w:szCs w:val="24"/>
              </w:rPr>
              <w:t>on</w:t>
            </w:r>
            <w:r w:rsidRPr="658603D2" w:rsidR="36E9F3BB">
              <w:rPr>
                <w:rFonts w:ascii="Times New Roman" w:eastAsia="Calibri" w:hAnsi="Times New Roman"/>
                <w:color w:val="000000" w:themeColor="text1" w:themeShade="FF" w:themeTint="FF"/>
                <w:sz w:val="24"/>
                <w:szCs w:val="24"/>
              </w:rPr>
              <w:t xml:space="preserve"> </w:t>
            </w:r>
            <w:r w:rsidRPr="658603D2" w:rsidR="36E9F3BB">
              <w:rPr>
                <w:rFonts w:ascii="Times New Roman" w:eastAsia="Calibri" w:hAnsi="Times New Roman"/>
                <w:color w:val="000000" w:themeColor="text1" w:themeShade="FF" w:themeTint="FF"/>
                <w:sz w:val="24"/>
                <w:szCs w:val="24"/>
                <w:highlight w:val="yellow"/>
              </w:rPr>
              <w:t>XX-XX-XXXX</w:t>
            </w:r>
            <w:r w:rsidRPr="658603D2" w:rsidR="36E9F3BB">
              <w:rPr>
                <w:rFonts w:ascii="Times New Roman" w:eastAsia="Calibri" w:hAnsi="Times New Roman"/>
                <w:color w:val="000000" w:themeColor="text1" w:themeShade="FF" w:themeTint="FF"/>
                <w:sz w:val="24"/>
                <w:szCs w:val="24"/>
              </w:rPr>
              <w:t xml:space="preserve">, Volume </w:t>
            </w:r>
            <w:r w:rsidRPr="658603D2" w:rsidR="36E9F3BB">
              <w:rPr>
                <w:rFonts w:ascii="Times New Roman" w:eastAsia="Calibri" w:hAnsi="Times New Roman"/>
                <w:color w:val="000000" w:themeColor="text1" w:themeShade="FF" w:themeTint="FF"/>
                <w:sz w:val="24"/>
                <w:szCs w:val="24"/>
                <w:highlight w:val="yellow"/>
              </w:rPr>
              <w:t>XX</w:t>
            </w:r>
            <w:r w:rsidRPr="658603D2" w:rsidR="36E9F3BB">
              <w:rPr>
                <w:rFonts w:ascii="Times New Roman" w:eastAsia="Calibri" w:hAnsi="Times New Roman"/>
                <w:color w:val="000000" w:themeColor="text1" w:themeShade="FF" w:themeTint="FF"/>
                <w:sz w:val="24"/>
                <w:szCs w:val="24"/>
              </w:rPr>
              <w:t xml:space="preserve">, Page </w:t>
            </w:r>
            <w:r w:rsidRPr="658603D2" w:rsidR="36E9F3BB">
              <w:rPr>
                <w:rFonts w:ascii="Times New Roman" w:eastAsia="Calibri" w:hAnsi="Times New Roman"/>
                <w:color w:val="000000" w:themeColor="text1" w:themeShade="FF" w:themeTint="FF"/>
                <w:sz w:val="24"/>
                <w:szCs w:val="24"/>
                <w:highlight w:val="yellow"/>
              </w:rPr>
              <w:t>XXXXX</w:t>
            </w:r>
            <w:r w:rsidRPr="658603D2" w:rsidR="36E9F3BB">
              <w:rPr>
                <w:rFonts w:ascii="Times New Roman" w:eastAsia="Calibri" w:hAnsi="Times New Roman"/>
                <w:color w:val="000000" w:themeColor="text1" w:themeShade="FF" w:themeTint="FF"/>
                <w:sz w:val="24"/>
                <w:szCs w:val="24"/>
              </w:rPr>
              <w:t>.  No comments were received</w:t>
            </w:r>
            <w:r w:rsidRPr="658603D2" w:rsidR="36E9F3BB">
              <w:rPr>
                <w:rFonts w:ascii="Times New Roman" w:eastAsia="Calibri" w:hAnsi="Times New Roman"/>
                <w:color w:val="000000" w:themeColor="text1" w:themeShade="FF" w:themeTint="FF"/>
                <w:sz w:val="24"/>
                <w:szCs w:val="24"/>
              </w:rPr>
              <w:t>.</w:t>
            </w:r>
          </w:p>
        </w:tc>
      </w:tr>
      <w:tr w14:paraId="03AA6D69" w14:textId="77777777" w:rsidTr="658603D2">
        <w:tblPrEx>
          <w:tblW w:w="0" w:type="auto"/>
          <w:tblInd w:w="108" w:type="dxa"/>
          <w:tblLook w:val="04A0"/>
        </w:tblPrEx>
        <w:tc>
          <w:tcPr>
            <w:tcW w:w="9360" w:type="dxa"/>
            <w:shd w:val="clear" w:color="auto" w:fill="auto"/>
          </w:tcPr>
          <w:p w:rsidR="00FA2F70" w:rsidRPr="00C879B4" w:rsidP="001B4FB5" w14:paraId="7F87468C" w14:textId="77777777">
            <w:pPr>
              <w:spacing w:after="0" w:line="240" w:lineRule="auto"/>
              <w:rPr>
                <w:rFonts w:ascii="Times New Roman" w:hAnsi="Times New Roman"/>
                <w:b/>
                <w:color w:val="000000"/>
                <w:sz w:val="24"/>
                <w:szCs w:val="24"/>
              </w:rPr>
            </w:pPr>
          </w:p>
        </w:tc>
      </w:tr>
    </w:tbl>
    <w:p w:rsidR="00FA2F70" w:rsidRPr="00C879B4"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879B4" w:rsidP="00834D96" w14:paraId="10565E91" w14:textId="68964683">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5D7696">
              <w:rPr>
                <w:rFonts w:ascii="Times New Roman" w:hAnsi="Times New Roman"/>
                <w:b/>
                <w:color w:val="000000"/>
                <w:sz w:val="24"/>
                <w:szCs w:val="24"/>
              </w:rPr>
              <w:t>renumeration</w:t>
            </w:r>
            <w:r w:rsidRPr="00C879B4">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RPr="00C879B4" w:rsidP="001B4FB5" w14:paraId="4DF2F8C2" w14:textId="5A6E8695">
            <w:pPr>
              <w:spacing w:after="0" w:line="240" w:lineRule="auto"/>
              <w:rPr>
                <w:rFonts w:ascii="Times New Roman" w:hAnsi="Times New Roman"/>
                <w:color w:val="000000"/>
                <w:sz w:val="24"/>
                <w:szCs w:val="24"/>
              </w:rPr>
            </w:pPr>
            <w:r w:rsidRPr="00D375E3">
              <w:rPr>
                <w:rFonts w:ascii="Times New Roman" w:hAnsi="Times New Roman"/>
                <w:color w:val="000000"/>
                <w:sz w:val="24"/>
                <w:szCs w:val="24"/>
              </w:rPr>
              <w:t xml:space="preserve">There are no payments or gifts to respondents with respect to this collection. </w:t>
            </w: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C879B4" w:rsidP="00834D96"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0D35DDB">
        <w:tblPrEx>
          <w:tblW w:w="0" w:type="auto"/>
          <w:tblInd w:w="108" w:type="dxa"/>
          <w:tblLook w:val="04A0"/>
        </w:tblPrEx>
        <w:tc>
          <w:tcPr>
            <w:tcW w:w="9360" w:type="dxa"/>
            <w:shd w:val="clear" w:color="auto" w:fill="auto"/>
          </w:tcPr>
          <w:p w:rsidR="003E0BF8" w:rsidP="000B371E" w14:paraId="306A5BF3" w14:textId="77777777">
            <w:pPr>
              <w:spacing w:after="0" w:line="240" w:lineRule="auto"/>
              <w:rPr>
                <w:rFonts w:ascii="Times New Roman" w:hAnsi="Times New Roman"/>
                <w:bCs/>
                <w:color w:val="000000"/>
                <w:sz w:val="24"/>
                <w:szCs w:val="24"/>
              </w:rPr>
            </w:pPr>
          </w:p>
          <w:p w:rsidR="000B371E" w:rsidRPr="000B371E" w:rsidP="000B371E" w14:paraId="0ABA34B3" w14:textId="352D92ED">
            <w:pPr>
              <w:spacing w:after="0" w:line="240" w:lineRule="auto"/>
              <w:rPr>
                <w:rFonts w:ascii="Times New Roman" w:hAnsi="Times New Roman"/>
                <w:b/>
                <w:bCs/>
                <w:color w:val="000000"/>
                <w:sz w:val="24"/>
                <w:szCs w:val="24"/>
              </w:rPr>
            </w:pPr>
            <w:r>
              <w:rPr>
                <w:rFonts w:ascii="Times New Roman" w:hAnsi="Times New Roman"/>
                <w:bCs/>
                <w:color w:val="000000"/>
                <w:sz w:val="24"/>
                <w:szCs w:val="24"/>
              </w:rPr>
              <w:t>There is no PII colle</w:t>
            </w:r>
            <w:r w:rsidR="006B1962">
              <w:rPr>
                <w:rFonts w:ascii="Times New Roman" w:hAnsi="Times New Roman"/>
                <w:bCs/>
                <w:color w:val="000000"/>
                <w:sz w:val="24"/>
                <w:szCs w:val="24"/>
              </w:rPr>
              <w:t>c</w:t>
            </w:r>
            <w:r>
              <w:rPr>
                <w:rFonts w:ascii="Times New Roman" w:hAnsi="Times New Roman"/>
                <w:bCs/>
                <w:color w:val="000000"/>
                <w:sz w:val="24"/>
                <w:szCs w:val="24"/>
              </w:rPr>
              <w:t>ted in this survey</w:t>
            </w:r>
            <w:r>
              <w:rPr>
                <w:rFonts w:ascii="Times New Roman" w:hAnsi="Times New Roman"/>
                <w:bCs/>
                <w:color w:val="000000"/>
                <w:sz w:val="24"/>
                <w:szCs w:val="24"/>
              </w:rPr>
              <w:t xml:space="preserve">. </w:t>
            </w:r>
            <w:r w:rsidRPr="000B371E">
              <w:rPr>
                <w:rFonts w:ascii="Times New Roman" w:hAnsi="Times New Roman"/>
                <w:bCs/>
                <w:color w:val="000000"/>
                <w:sz w:val="24"/>
                <w:szCs w:val="24"/>
              </w:rPr>
              <w:t>HUD is committed to protecting the privacy of individuals’ information stored electronically or in paper form, in accordance with federal privacy laws, guidance, and best practices.</w:t>
            </w:r>
            <w:r w:rsidRPr="000B371E">
              <w:rPr>
                <w:rFonts w:ascii="Times New Roman" w:hAnsi="Times New Roman"/>
                <w:b/>
                <w:bCs/>
                <w:i/>
                <w:color w:val="000000"/>
                <w:sz w:val="24"/>
                <w:szCs w:val="24"/>
              </w:rPr>
              <w:t xml:space="preserve">  </w:t>
            </w:r>
          </w:p>
          <w:p w:rsidR="0021340A" w:rsidRPr="00200733" w:rsidP="001B4FB5" w14:paraId="2829C847" w14:textId="248464A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313" w:type="dxa"/>
        <w:tblInd w:w="-72" w:type="dxa"/>
        <w:tblLook w:val="04A0"/>
      </w:tblPr>
      <w:tblGrid>
        <w:gridCol w:w="180"/>
        <w:gridCol w:w="1026"/>
        <w:gridCol w:w="1117"/>
        <w:gridCol w:w="1357"/>
        <w:gridCol w:w="1199"/>
        <w:gridCol w:w="1177"/>
        <w:gridCol w:w="1077"/>
        <w:gridCol w:w="846"/>
        <w:gridCol w:w="1077"/>
        <w:gridCol w:w="702"/>
        <w:gridCol w:w="555"/>
      </w:tblGrid>
      <w:tr w14:paraId="4635DB9E" w14:textId="77777777" w:rsidTr="658603D2">
        <w:tblPrEx>
          <w:tblW w:w="10313" w:type="dxa"/>
          <w:tblInd w:w="-72" w:type="dxa"/>
          <w:tblLook w:val="04A0"/>
        </w:tblPrEx>
        <w:trPr>
          <w:gridBefore w:val="1"/>
          <w:gridAfter w:val="1"/>
          <w:wBefore w:w="180" w:type="dxa"/>
          <w:wAfter w:w="555" w:type="dxa"/>
        </w:trPr>
        <w:tc>
          <w:tcPr>
            <w:tcW w:w="9578" w:type="dxa"/>
            <w:gridSpan w:val="9"/>
            <w:shd w:val="clear" w:color="auto" w:fill="auto"/>
          </w:tcPr>
          <w:p w:rsidR="0021340A" w:rsidP="001B4FB5"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E0BF8" w:rsidP="001B4FB5" w14:paraId="382A29CE" w14:textId="77777777">
            <w:pPr>
              <w:spacing w:after="0" w:line="240" w:lineRule="auto"/>
              <w:rPr>
                <w:rFonts w:ascii="Times New Roman" w:hAnsi="Times New Roman"/>
                <w:color w:val="000000"/>
                <w:sz w:val="24"/>
                <w:szCs w:val="24"/>
              </w:rPr>
            </w:pPr>
          </w:p>
          <w:p w:rsidR="00B62C5B" w:rsidP="001B4FB5" w14:paraId="399BE5A1" w14:textId="7B56488C">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There are no questions of a sensitive nature included with this collection</w:t>
            </w:r>
            <w:r w:rsidRPr="00E76B5F">
              <w:rPr>
                <w:rFonts w:ascii="Times New Roman" w:hAnsi="Times New Roman"/>
                <w:b/>
                <w:color w:val="000000"/>
                <w:sz w:val="24"/>
                <w:szCs w:val="24"/>
              </w:rPr>
              <w:t>.</w:t>
            </w:r>
          </w:p>
          <w:p w:rsidR="00DF0E7C" w:rsidRPr="00C879B4" w:rsidP="001B4FB5" w14:paraId="7A7E1C32" w14:textId="77777777">
            <w:pPr>
              <w:spacing w:after="0" w:line="240" w:lineRule="auto"/>
              <w:rPr>
                <w:rFonts w:ascii="Times New Roman" w:hAnsi="Times New Roman"/>
                <w:b/>
                <w:color w:val="000000"/>
                <w:sz w:val="24"/>
                <w:szCs w:val="24"/>
              </w:rPr>
            </w:pPr>
          </w:p>
          <w:p w:rsidR="00B62C5B" w:rsidRPr="00C879B4" w:rsidP="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C879B4" w:rsidP="00B62C5B" w14:paraId="75B66AD3" w14:textId="77777777">
            <w:pPr>
              <w:spacing w:after="0" w:line="240" w:lineRule="auto"/>
              <w:rPr>
                <w:rFonts w:ascii="Times New Roman" w:hAnsi="Times New Roman"/>
                <w:color w:val="000000"/>
                <w:sz w:val="24"/>
                <w:szCs w:val="24"/>
              </w:rPr>
            </w:pPr>
          </w:p>
          <w:p w:rsidR="0021340A" w:rsidRPr="00C879B4" w:rsidP="002C7DF4"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493F79E3" w14:textId="77777777" w:rsidTr="658603D2">
        <w:tblPrEx>
          <w:tblW w:w="10313" w:type="dxa"/>
          <w:tblInd w:w="-72" w:type="dxa"/>
          <w:tblLook w:val="04A0"/>
        </w:tblPrEx>
        <w:tc>
          <w:tcPr>
            <w:tcW w:w="1206"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107" w:type="dxa"/>
            <w:gridSpan w:val="9"/>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658603D2">
        <w:tblPrEx>
          <w:tblW w:w="10313" w:type="dxa"/>
          <w:tblInd w:w="-72" w:type="dxa"/>
          <w:tblLook w:val="04A0"/>
        </w:tblPrEx>
        <w:tc>
          <w:tcPr>
            <w:tcW w:w="1206"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107" w:type="dxa"/>
            <w:gridSpan w:val="9"/>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658603D2">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F71" w:rsidP="00A6656E" w14:paraId="76865CBF" w14:textId="77777777">
            <w:pPr>
              <w:ind w:right="-108"/>
              <w:jc w:val="center"/>
              <w:rPr>
                <w:rFonts w:ascii="Helvetica" w:hAnsi="Helvetica"/>
                <w:b/>
                <w:bCs/>
                <w:color w:val="000000"/>
                <w:sz w:val="18"/>
              </w:rPr>
            </w:pPr>
          </w:p>
          <w:p w:rsidR="006C1F71" w:rsidP="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6C1F71"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A6656E"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r>
            <w:r w:rsidRPr="00C879B4">
              <w:rPr>
                <w:rFonts w:ascii="Helvetica" w:hAnsi="Helvetica"/>
                <w:b/>
                <w:bCs/>
                <w:color w:val="000000"/>
                <w:sz w:val="18"/>
              </w:rP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2"/>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658603D2">
        <w:tblPrEx>
          <w:tblW w:w="10313" w:type="dxa"/>
          <w:tblInd w:w="-72" w:type="dxa"/>
          <w:tblLook w:val="0000"/>
        </w:tblPrEx>
        <w:trPr>
          <w:trHeight w:val="584"/>
        </w:trPr>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3A7EF940" w14:paraId="235EDD2D" w14:textId="4CD24206">
            <w:pPr>
              <w:bidi w:val="0"/>
              <w:spacing w:before="0" w:beforeAutospacing="0" w:after="200" w:afterAutospacing="0" w:line="276" w:lineRule="auto"/>
              <w:ind w:left="0" w:right="0"/>
              <w:jc w:val="left"/>
            </w:pPr>
            <w:r w:rsidRPr="3A7EF940" w:rsidR="032B2CC1">
              <w:rPr>
                <w:rFonts w:ascii="Helvetica" w:hAnsi="Helvetica"/>
                <w:color w:val="000000" w:themeColor="text1" w:themeShade="FF" w:themeTint="FF"/>
                <w:sz w:val="18"/>
                <w:szCs w:val="18"/>
              </w:rPr>
              <w:t>Not for Profit Institutions</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F71" w:rsidRPr="00C879B4" w:rsidP="658603D2" w14:paraId="0957D3DA" w14:textId="20453A5E">
            <w:pPr>
              <w:bidi w:val="0"/>
              <w:spacing w:before="0" w:beforeAutospacing="0" w:after="200" w:afterAutospacing="0" w:line="276" w:lineRule="auto"/>
              <w:ind w:left="0" w:right="0"/>
              <w:jc w:val="center"/>
            </w:pPr>
            <w:r w:rsidRPr="658603D2" w:rsidR="733101B7">
              <w:rPr>
                <w:rFonts w:ascii="Helvetica" w:hAnsi="Helvetica"/>
                <w:color w:val="000000" w:themeColor="text1" w:themeShade="FF" w:themeTint="FF"/>
                <w:sz w:val="18"/>
                <w:szCs w:val="18"/>
              </w:rPr>
              <w:t>Eviction Counseling Survey</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09671722" w14:textId="114F2C66">
            <w:pPr>
              <w:jc w:val="center"/>
              <w:rPr>
                <w:rFonts w:ascii="Helvetica" w:hAnsi="Helvetica"/>
                <w:color w:val="000000"/>
                <w:sz w:val="18"/>
                <w:szCs w:val="18"/>
              </w:rPr>
            </w:pPr>
            <w:r w:rsidRPr="3A7EF940" w:rsidR="186DF7D0">
              <w:rPr>
                <w:rFonts w:ascii="Helvetica" w:hAnsi="Helvetica"/>
                <w:color w:val="000000" w:themeColor="text1" w:themeShade="FF" w:themeTint="FF"/>
                <w:sz w:val="18"/>
                <w:szCs w:val="18"/>
              </w:rPr>
              <w:t>1</w:t>
            </w:r>
            <w:r w:rsidRPr="3A7EF940" w:rsidR="5E784D08">
              <w:rPr>
                <w:rFonts w:ascii="Helvetica" w:hAnsi="Helvetica"/>
                <w:color w:val="000000" w:themeColor="text1" w:themeShade="FF" w:themeTint="FF"/>
                <w:sz w:val="18"/>
                <w:szCs w:val="18"/>
              </w:rPr>
              <w:t>,</w:t>
            </w:r>
            <w:r w:rsidRPr="3A7EF940" w:rsidR="113831B6">
              <w:rPr>
                <w:rFonts w:ascii="Helvetica" w:hAnsi="Helvetica"/>
                <w:color w:val="000000" w:themeColor="text1" w:themeShade="FF" w:themeTint="FF"/>
                <w:sz w:val="18"/>
                <w:szCs w:val="18"/>
              </w:rPr>
              <w:t>5</w:t>
            </w:r>
            <w:r w:rsidRPr="3A7EF940" w:rsidR="186DF7D0">
              <w:rPr>
                <w:rFonts w:ascii="Helvetica" w:hAnsi="Helvetica"/>
                <w:color w:val="000000" w:themeColor="text1" w:themeShade="FF" w:themeTint="FF"/>
                <w:sz w:val="18"/>
                <w:szCs w:val="18"/>
              </w:rPr>
              <w:t>00</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52EF2B06" w14:textId="5741D9AB">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3C525D72" w14:textId="5FB77C1C">
            <w:pPr>
              <w:jc w:val="center"/>
              <w:rPr>
                <w:rFonts w:ascii="Helvetica" w:hAnsi="Helvetica"/>
                <w:color w:val="000000"/>
                <w:sz w:val="18"/>
                <w:szCs w:val="18"/>
              </w:rPr>
            </w:pPr>
            <w:r w:rsidRPr="3A7EF940" w:rsidR="186DF7D0">
              <w:rPr>
                <w:rFonts w:ascii="Helvetica" w:hAnsi="Helvetica"/>
                <w:color w:val="000000" w:themeColor="text1" w:themeShade="FF" w:themeTint="FF"/>
                <w:sz w:val="18"/>
                <w:szCs w:val="18"/>
              </w:rPr>
              <w:t>1</w:t>
            </w:r>
            <w:r w:rsidRPr="3A7EF940" w:rsidR="5E784D08">
              <w:rPr>
                <w:rFonts w:ascii="Helvetica" w:hAnsi="Helvetica"/>
                <w:color w:val="000000" w:themeColor="text1" w:themeShade="FF" w:themeTint="FF"/>
                <w:sz w:val="18"/>
                <w:szCs w:val="18"/>
              </w:rPr>
              <w:t>,</w:t>
            </w:r>
            <w:r w:rsidRPr="3A7EF940" w:rsidR="7CD14BCC">
              <w:rPr>
                <w:rFonts w:ascii="Helvetica" w:hAnsi="Helvetica"/>
                <w:color w:val="000000" w:themeColor="text1" w:themeShade="FF" w:themeTint="FF"/>
                <w:sz w:val="18"/>
                <w:szCs w:val="18"/>
              </w:rPr>
              <w:t>5</w:t>
            </w:r>
            <w:r w:rsidRPr="3A7EF940" w:rsidR="186DF7D0">
              <w:rPr>
                <w:rFonts w:ascii="Helvetica" w:hAnsi="Helvetica"/>
                <w:color w:val="000000" w:themeColor="text1" w:themeShade="FF" w:themeTint="FF"/>
                <w:sz w:val="18"/>
                <w:szCs w:val="18"/>
              </w:rPr>
              <w:t>00</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3A7EF940" w14:paraId="3ED7B734" w14:textId="6DB4D742">
            <w:pPr>
              <w:jc w:val="center"/>
              <w:rPr>
                <w:rFonts w:ascii="Helvetica" w:hAnsi="Helvetica"/>
                <w:color w:val="000000"/>
                <w:sz w:val="18"/>
                <w:szCs w:val="18"/>
              </w:rPr>
            </w:pPr>
            <w:r w:rsidRPr="3A7EF940" w:rsidR="05E4B6D6">
              <w:rPr>
                <w:rFonts w:ascii="Helvetica" w:hAnsi="Helvetica"/>
                <w:color w:val="000000" w:themeColor="text1" w:themeShade="FF" w:themeTint="FF"/>
                <w:sz w:val="18"/>
                <w:szCs w:val="18"/>
              </w:rPr>
              <w:t>.</w:t>
            </w:r>
            <w:r w:rsidRPr="3A7EF940" w:rsidR="76AF71F9">
              <w:rPr>
                <w:rFonts w:ascii="Helvetica" w:hAnsi="Helvetica"/>
                <w:color w:val="000000" w:themeColor="text1" w:themeShade="FF" w:themeTint="FF"/>
                <w:sz w:val="18"/>
                <w:szCs w:val="18"/>
              </w:rPr>
              <w:t>5</w:t>
            </w:r>
            <w:r w:rsidRPr="3A7EF940" w:rsidR="2319BD94">
              <w:rPr>
                <w:rFonts w:ascii="Helvetica" w:hAnsi="Helvetica"/>
                <w:color w:val="000000" w:themeColor="text1" w:themeShade="FF" w:themeTint="FF"/>
                <w:sz w:val="18"/>
                <w:szCs w:val="18"/>
              </w:rPr>
              <w:t>0</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749C2918" w14:textId="21838F6E">
            <w:pPr>
              <w:jc w:val="center"/>
              <w:rPr>
                <w:rFonts w:ascii="Helvetica" w:hAnsi="Helvetica"/>
                <w:color w:val="000000"/>
                <w:sz w:val="18"/>
                <w:szCs w:val="18"/>
              </w:rPr>
            </w:pPr>
            <w:r w:rsidRPr="3A7EF940" w:rsidR="333E793B">
              <w:rPr>
                <w:rFonts w:ascii="Helvetica" w:hAnsi="Helvetica"/>
                <w:color w:val="000000" w:themeColor="text1" w:themeShade="FF" w:themeTint="FF"/>
                <w:sz w:val="18"/>
                <w:szCs w:val="18"/>
              </w:rPr>
              <w:t>75</w:t>
            </w:r>
            <w:r w:rsidRPr="3A7EF940" w:rsidR="7BCBFE8D">
              <w:rPr>
                <w:rFonts w:ascii="Helvetica" w:hAnsi="Helvetica"/>
                <w:color w:val="000000" w:themeColor="text1" w:themeShade="FF" w:themeTint="FF"/>
                <w:sz w:val="18"/>
                <w:szCs w:val="18"/>
              </w:rPr>
              <w:t>0</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DF5C7E" w:rsidP="00B106EA" w14:paraId="25E16A71" w14:textId="57A150C6">
            <w:pPr>
              <w:jc w:val="right"/>
              <w:rPr>
                <w:rFonts w:ascii="Helvetica" w:hAnsi="Helvetica"/>
                <w:bCs/>
                <w:color w:val="000000"/>
                <w:sz w:val="18"/>
              </w:rPr>
            </w:pPr>
            <w:r w:rsidRPr="00DF5C7E">
              <w:rPr>
                <w:rFonts w:ascii="Helvetica" w:hAnsi="Helvetica"/>
                <w:bCs/>
                <w:color w:val="000000"/>
                <w:sz w:val="18"/>
              </w:rPr>
              <w:t>$</w:t>
            </w:r>
            <w:r w:rsidRPr="00DF5C7E" w:rsidR="00A83CEC">
              <w:rPr>
                <w:rFonts w:ascii="Helvetica" w:hAnsi="Helvetica"/>
                <w:bCs/>
                <w:color w:val="000000"/>
                <w:sz w:val="18"/>
              </w:rPr>
              <w:t>5</w:t>
            </w:r>
            <w:r w:rsidR="00F842DF">
              <w:rPr>
                <w:rFonts w:ascii="Helvetica" w:hAnsi="Helvetica"/>
                <w:bCs/>
                <w:color w:val="000000"/>
                <w:sz w:val="18"/>
              </w:rPr>
              <w:t>3</w:t>
            </w:r>
            <w:r w:rsidRPr="00DF5C7E" w:rsidR="00A83CEC">
              <w:rPr>
                <w:rFonts w:ascii="Helvetica" w:hAnsi="Helvetica"/>
                <w:bCs/>
                <w:color w:val="000000"/>
                <w:sz w:val="18"/>
              </w:rPr>
              <w:t>.</w:t>
            </w:r>
            <w:r w:rsidR="00D37CA0">
              <w:rPr>
                <w:rFonts w:ascii="Helvetica" w:hAnsi="Helvetica"/>
                <w:bCs/>
                <w:color w:val="000000"/>
                <w:sz w:val="18"/>
              </w:rPr>
              <w:t>74</w:t>
            </w:r>
          </w:p>
        </w:tc>
        <w:tc>
          <w:tcPr>
            <w:tcW w:w="1257" w:type="dxa"/>
            <w:gridSpan w:val="2"/>
            <w:tcBorders>
              <w:top w:val="single" w:sz="4" w:space="0" w:color="auto"/>
              <w:left w:val="single" w:sz="4" w:space="0" w:color="auto"/>
              <w:bottom w:val="single" w:sz="4" w:space="0" w:color="auto"/>
              <w:right w:val="single" w:sz="4" w:space="0" w:color="auto"/>
            </w:tcBorders>
          </w:tcPr>
          <w:p w:rsidR="00F842DF" w:rsidP="00F842DF" w14:paraId="56F5C791" w14:textId="77777777">
            <w:pPr>
              <w:spacing w:after="0"/>
              <w:jc w:val="right"/>
              <w:rPr>
                <w:rFonts w:ascii="Helvetica" w:hAnsi="Helvetica"/>
                <w:bCs/>
                <w:color w:val="000000"/>
                <w:sz w:val="18"/>
              </w:rPr>
            </w:pPr>
          </w:p>
          <w:p w:rsidR="006C1F71" w:rsidRPr="00DF5C7E" w:rsidP="3A7EF940" w14:paraId="53BD3A1B" w14:textId="72CB9CF2">
            <w:pPr>
              <w:jc w:val="right"/>
              <w:rPr>
                <w:rFonts w:ascii="Helvetica" w:hAnsi="Helvetica"/>
                <w:color w:val="000000"/>
                <w:sz w:val="18"/>
                <w:szCs w:val="18"/>
              </w:rPr>
            </w:pPr>
            <w:r w:rsidRPr="3A7EF940" w:rsidR="37633DA3">
              <w:rPr>
                <w:rFonts w:ascii="Helvetica" w:hAnsi="Helvetica"/>
                <w:color w:val="000000" w:themeColor="text1" w:themeShade="FF" w:themeTint="FF"/>
                <w:sz w:val="18"/>
                <w:szCs w:val="18"/>
              </w:rPr>
              <w:t>$</w:t>
            </w:r>
            <w:r w:rsidRPr="3A7EF940" w:rsidR="0713AB47">
              <w:rPr>
                <w:rFonts w:ascii="Helvetica" w:hAnsi="Helvetica"/>
                <w:color w:val="000000" w:themeColor="text1" w:themeShade="FF" w:themeTint="FF"/>
                <w:sz w:val="18"/>
                <w:szCs w:val="18"/>
              </w:rPr>
              <w:t>40,305</w:t>
            </w:r>
            <w:r w:rsidRPr="3A7EF940" w:rsidR="0F44D5D0">
              <w:rPr>
                <w:rFonts w:ascii="Helvetica" w:hAnsi="Helvetica"/>
                <w:color w:val="000000" w:themeColor="text1" w:themeShade="FF" w:themeTint="FF"/>
                <w:sz w:val="18"/>
                <w:szCs w:val="18"/>
              </w:rPr>
              <w:t>.00</w:t>
            </w:r>
          </w:p>
        </w:tc>
      </w:tr>
      <w:tr w14:paraId="665E9521" w14:textId="77777777" w:rsidTr="658603D2">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17" w:type="dxa"/>
            <w:tcBorders>
              <w:top w:val="single" w:sz="4" w:space="0" w:color="auto"/>
              <w:left w:val="single" w:sz="4" w:space="0" w:color="auto"/>
              <w:bottom w:val="single" w:sz="4" w:space="0" w:color="auto"/>
              <w:right w:val="single" w:sz="4" w:space="0" w:color="auto"/>
            </w:tcBorders>
            <w:shd w:val="clear" w:color="auto" w:fill="000000" w:themeFill="text1"/>
          </w:tcPr>
          <w:p w:rsidR="006C1F71" w:rsidRPr="00C879B4" w:rsidP="00B106EA" w14:paraId="62CE5E03"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21F971F5" w14:textId="4AE21D9D">
            <w:pPr>
              <w:jc w:val="center"/>
              <w:rPr>
                <w:rFonts w:ascii="Helvetica" w:hAnsi="Helvetica"/>
                <w:color w:val="000000"/>
                <w:sz w:val="18"/>
                <w:szCs w:val="18"/>
              </w:rPr>
            </w:pPr>
            <w:r w:rsidRPr="3A7EF940" w:rsidR="37633DA3">
              <w:rPr>
                <w:rFonts w:ascii="Helvetica" w:hAnsi="Helvetica"/>
                <w:color w:val="000000" w:themeColor="text1" w:themeShade="FF" w:themeTint="FF"/>
                <w:sz w:val="18"/>
                <w:szCs w:val="18"/>
              </w:rPr>
              <w:t>1</w:t>
            </w:r>
            <w:r w:rsidRPr="3A7EF940" w:rsidR="5E784D08">
              <w:rPr>
                <w:rFonts w:ascii="Helvetica" w:hAnsi="Helvetica"/>
                <w:color w:val="000000" w:themeColor="text1" w:themeShade="FF" w:themeTint="FF"/>
                <w:sz w:val="18"/>
                <w:szCs w:val="18"/>
              </w:rPr>
              <w:t>,</w:t>
            </w:r>
            <w:r w:rsidRPr="3A7EF940" w:rsidR="521096DF">
              <w:rPr>
                <w:rFonts w:ascii="Helvetica" w:hAnsi="Helvetica"/>
                <w:color w:val="000000" w:themeColor="text1" w:themeShade="FF" w:themeTint="FF"/>
                <w:sz w:val="18"/>
                <w:szCs w:val="18"/>
              </w:rPr>
              <w:t>5</w:t>
            </w:r>
            <w:r w:rsidRPr="3A7EF940" w:rsidR="37633DA3">
              <w:rPr>
                <w:rFonts w:ascii="Helvetica" w:hAnsi="Helvetica"/>
                <w:color w:val="000000" w:themeColor="text1" w:themeShade="FF" w:themeTint="FF"/>
                <w:sz w:val="18"/>
                <w:szCs w:val="18"/>
              </w:rPr>
              <w:t>00</w:t>
            </w:r>
          </w:p>
        </w:tc>
        <w:tc>
          <w:tcPr>
            <w:tcW w:w="119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1F71" w:rsidRPr="00C879B4" w:rsidP="00B106EA" w14:paraId="799587D0"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78881F29" w14:textId="0A501EFF">
            <w:pPr>
              <w:jc w:val="center"/>
              <w:rPr>
                <w:rFonts w:ascii="Helvetica" w:hAnsi="Helvetica"/>
                <w:color w:val="000000"/>
                <w:sz w:val="18"/>
                <w:szCs w:val="18"/>
              </w:rPr>
            </w:pPr>
            <w:r w:rsidRPr="3A7EF940" w:rsidR="37633DA3">
              <w:rPr>
                <w:rFonts w:ascii="Helvetica" w:hAnsi="Helvetica"/>
                <w:color w:val="000000" w:themeColor="text1" w:themeShade="FF" w:themeTint="FF"/>
                <w:sz w:val="18"/>
                <w:szCs w:val="18"/>
              </w:rPr>
              <w:t>1</w:t>
            </w:r>
            <w:r w:rsidRPr="3A7EF940" w:rsidR="5E784D08">
              <w:rPr>
                <w:rFonts w:ascii="Helvetica" w:hAnsi="Helvetica"/>
                <w:color w:val="000000" w:themeColor="text1" w:themeShade="FF" w:themeTint="FF"/>
                <w:sz w:val="18"/>
                <w:szCs w:val="18"/>
              </w:rPr>
              <w:t>,</w:t>
            </w:r>
            <w:r w:rsidRPr="3A7EF940" w:rsidR="40EFCA94">
              <w:rPr>
                <w:rFonts w:ascii="Helvetica" w:hAnsi="Helvetica"/>
                <w:color w:val="000000" w:themeColor="text1" w:themeShade="FF" w:themeTint="FF"/>
                <w:sz w:val="18"/>
                <w:szCs w:val="18"/>
              </w:rPr>
              <w:t>5</w:t>
            </w:r>
            <w:r w:rsidRPr="3A7EF940" w:rsidR="37633DA3">
              <w:rPr>
                <w:rFonts w:ascii="Helvetica" w:hAnsi="Helvetica"/>
                <w:color w:val="000000" w:themeColor="text1" w:themeShade="FF" w:themeTint="FF"/>
                <w:sz w:val="18"/>
                <w:szCs w:val="18"/>
              </w:rPr>
              <w:t>00</w:t>
            </w:r>
          </w:p>
        </w:tc>
        <w:tc>
          <w:tcPr>
            <w:tcW w:w="10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1F71" w:rsidRPr="00C879B4" w:rsidP="00B106EA" w14:paraId="1920579E"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3A7EF940" w14:paraId="08CDF549" w14:textId="42B44847">
            <w:pPr>
              <w:jc w:val="center"/>
              <w:rPr>
                <w:rFonts w:ascii="Helvetica" w:hAnsi="Helvetica"/>
                <w:color w:val="000000"/>
                <w:sz w:val="18"/>
                <w:szCs w:val="18"/>
              </w:rPr>
            </w:pPr>
            <w:r w:rsidRPr="3A7EF940" w:rsidR="1A4D257D">
              <w:rPr>
                <w:rFonts w:ascii="Helvetica" w:hAnsi="Helvetica"/>
                <w:color w:val="000000" w:themeColor="text1" w:themeShade="FF" w:themeTint="FF"/>
                <w:sz w:val="18"/>
                <w:szCs w:val="18"/>
              </w:rPr>
              <w:t>750</w:t>
            </w:r>
          </w:p>
        </w:tc>
        <w:tc>
          <w:tcPr>
            <w:tcW w:w="10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1F71" w:rsidRPr="00DF5C7E" w:rsidP="00B106EA" w14:paraId="60479D6D" w14:textId="77777777">
            <w:pPr>
              <w:jc w:val="right"/>
              <w:rPr>
                <w:rFonts w:ascii="Helvetica" w:hAnsi="Helvetica"/>
                <w:bCs/>
                <w:color w:val="000000"/>
                <w:sz w:val="18"/>
              </w:rPr>
            </w:pPr>
          </w:p>
        </w:tc>
        <w:tc>
          <w:tcPr>
            <w:tcW w:w="1257" w:type="dxa"/>
            <w:gridSpan w:val="2"/>
            <w:tcBorders>
              <w:top w:val="single" w:sz="4" w:space="0" w:color="auto"/>
              <w:left w:val="single" w:sz="4" w:space="0" w:color="auto"/>
              <w:bottom w:val="single" w:sz="4" w:space="0" w:color="auto"/>
              <w:right w:val="single" w:sz="4" w:space="0" w:color="auto"/>
            </w:tcBorders>
          </w:tcPr>
          <w:p w:rsidR="006C1F71" w:rsidRPr="00DF5C7E" w:rsidP="3A7EF940" w14:paraId="366F495F" w14:textId="778E8B7C">
            <w:pPr>
              <w:jc w:val="right"/>
              <w:rPr>
                <w:rFonts w:ascii="Helvetica" w:hAnsi="Helvetica"/>
                <w:color w:val="000000"/>
                <w:sz w:val="18"/>
                <w:szCs w:val="18"/>
              </w:rPr>
            </w:pPr>
            <w:r w:rsidRPr="3A7EF940" w:rsidR="33F12448">
              <w:rPr>
                <w:rFonts w:ascii="Helvetica" w:hAnsi="Helvetica"/>
                <w:color w:val="000000" w:themeColor="text1" w:themeShade="FF" w:themeTint="FF"/>
                <w:sz w:val="18"/>
                <w:szCs w:val="18"/>
              </w:rPr>
              <w:t>$</w:t>
            </w:r>
            <w:r w:rsidRPr="3A7EF940" w:rsidR="5E54D099">
              <w:rPr>
                <w:rFonts w:ascii="Helvetica" w:hAnsi="Helvetica"/>
                <w:color w:val="000000" w:themeColor="text1" w:themeShade="FF" w:themeTint="FF"/>
                <w:sz w:val="18"/>
                <w:szCs w:val="18"/>
              </w:rPr>
              <w:t>40,305</w:t>
            </w:r>
            <w:r w:rsidRPr="3A7EF940" w:rsidR="5BEC3481">
              <w:rPr>
                <w:rFonts w:ascii="Helvetica" w:hAnsi="Helvetica"/>
                <w:color w:val="000000" w:themeColor="text1" w:themeShade="FF" w:themeTint="FF"/>
                <w:sz w:val="18"/>
                <w:szCs w:val="18"/>
              </w:rPr>
              <w:t>.00</w:t>
            </w:r>
          </w:p>
        </w:tc>
      </w:tr>
    </w:tbl>
    <w:p w:rsidR="006B76CD" w:rsidRPr="00DF5C7E" w:rsidP="006B76CD" w14:paraId="558C081A" w14:textId="77777777">
      <w:pPr>
        <w:spacing w:after="0"/>
        <w:rPr>
          <w:sz w:val="16"/>
          <w:szCs w:val="16"/>
        </w:rPr>
      </w:pPr>
      <w:r w:rsidRPr="00DF5C7E">
        <w:rPr>
          <w:sz w:val="16"/>
          <w:szCs w:val="16"/>
        </w:rPr>
        <w:t xml:space="preserve">Note: The “Avg. Hourly Wage Rate” for each respondent includes a 1.46 multiplier to reflect a fully-loaded wage rate. </w:t>
      </w:r>
    </w:p>
    <w:p w:rsidR="006B76CD" w:rsidRPr="00DF5C7E" w:rsidP="006B76CD" w14:paraId="781FA39C" w14:textId="77777777">
      <w:pPr>
        <w:spacing w:after="0" w:line="240" w:lineRule="auto"/>
        <w:ind w:left="-450" w:firstLine="450"/>
        <w:rPr>
          <w:sz w:val="16"/>
          <w:szCs w:val="16"/>
        </w:rPr>
      </w:pPr>
      <w:r w:rsidRPr="00DF5C7E">
        <w:rPr>
          <w:sz w:val="16"/>
          <w:szCs w:val="16"/>
        </w:rPr>
        <w:t>“Type of Respondent” should be entered exactly as chosen in Question 3 of the OMB Form 83-I</w:t>
      </w:r>
    </w:p>
    <w:p w:rsidR="006B76CD" w:rsidRPr="00DF5C7E" w:rsidP="006B76CD" w14:paraId="70D49387" w14:textId="77777777">
      <w:pPr>
        <w:tabs>
          <w:tab w:val="left" w:pos="-720"/>
        </w:tabs>
        <w:suppressAutoHyphens/>
        <w:spacing w:after="0" w:line="240" w:lineRule="auto"/>
        <w:rPr>
          <w:rFonts w:ascii="Times New Roman" w:hAnsi="Times New Roman"/>
          <w:b/>
          <w:sz w:val="24"/>
          <w:szCs w:val="24"/>
        </w:rPr>
      </w:pPr>
    </w:p>
    <w:p w:rsidR="006B76CD" w:rsidP="006B76CD" w14:paraId="262C85A0" w14:textId="77777777">
      <w:pPr>
        <w:tabs>
          <w:tab w:val="left" w:pos="-720"/>
        </w:tabs>
        <w:suppressAutoHyphens/>
        <w:spacing w:after="0" w:line="240" w:lineRule="auto"/>
        <w:rPr>
          <w:rFonts w:ascii="Times New Roman" w:hAnsi="Times New Roman"/>
          <w:b/>
          <w:sz w:val="24"/>
          <w:szCs w:val="24"/>
        </w:rPr>
      </w:pPr>
      <w:r w:rsidRPr="00DF5C7E">
        <w:rPr>
          <w:rFonts w:ascii="Times New Roman" w:hAnsi="Times New Roman"/>
          <w:b/>
          <w:sz w:val="24"/>
          <w:szCs w:val="24"/>
        </w:rPr>
        <w:t>Instruction for Wage-rate category multiplier</w:t>
      </w:r>
      <w:r w:rsidRPr="006625E7">
        <w:rPr>
          <w:rFonts w:ascii="Times New Roman" w:hAnsi="Times New Roman"/>
          <w:b/>
          <w:sz w:val="24"/>
          <w:szCs w:val="24"/>
        </w:rPr>
        <w:t>: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006B76CD" w:rsidRPr="006625E7" w:rsidP="006B76CD" w14:paraId="150F0E0A" w14:textId="77777777">
      <w:pPr>
        <w:tabs>
          <w:tab w:val="left" w:pos="-720"/>
        </w:tabs>
        <w:suppressAutoHyphens/>
        <w:spacing w:after="0" w:line="240" w:lineRule="auto"/>
        <w:rPr>
          <w:rFonts w:ascii="Times New Roman" w:hAnsi="Times New Roman"/>
          <w:sz w:val="24"/>
          <w:szCs w:val="24"/>
        </w:rPr>
      </w:pPr>
    </w:p>
    <w:p w:rsidR="006B76CD" w:rsidRPr="006625E7" w:rsidP="3A7EF940" w14:paraId="7D9A50F9" w14:textId="21C5DC29">
      <w:pPr>
        <w:suppressAutoHyphens/>
        <w:rPr>
          <w:rFonts w:ascii="Times New Roman" w:hAnsi="Times New Roman"/>
          <w:sz w:val="24"/>
          <w:szCs w:val="24"/>
        </w:rPr>
      </w:pPr>
      <w:r w:rsidRPr="3A7EF940" w:rsidR="7FF683DF">
        <w:rPr>
          <w:rFonts w:ascii="Times New Roman" w:hAnsi="Times New Roman"/>
          <w:sz w:val="24"/>
          <w:szCs w:val="24"/>
        </w:rPr>
        <w:t>According to the U.S. Department of Labor, Bureau of Labor Statistics website (</w:t>
      </w:r>
      <w:hyperlink r:id="rId7">
        <w:r w:rsidRPr="3A7EF940" w:rsidR="7FF683DF">
          <w:rPr>
            <w:rStyle w:val="Hyperlink"/>
            <w:rFonts w:ascii="Times New Roman" w:hAnsi="Times New Roman"/>
            <w:b/>
            <w:bCs/>
            <w:sz w:val="24"/>
            <w:szCs w:val="24"/>
          </w:rPr>
          <w:t>https://www.bls.gov/oes/current/oes_nat.htm</w:t>
        </w:r>
      </w:hyperlink>
      <w:r w:rsidRPr="3A7EF940" w:rsidR="7FF683DF">
        <w:rPr>
          <w:rFonts w:ascii="Times New Roman" w:hAnsi="Times New Roman"/>
          <w:sz w:val="24"/>
          <w:szCs w:val="24"/>
        </w:rPr>
        <w:t xml:space="preserve">) </w:t>
      </w:r>
      <w:r w:rsidRPr="3A7EF940" w:rsidR="7FF683DF">
        <w:rPr>
          <w:rFonts w:ascii="Times New Roman" w:hAnsi="Times New Roman"/>
          <w:sz w:val="24"/>
          <w:szCs w:val="24"/>
        </w:rPr>
        <w:t>the</w:t>
      </w:r>
      <w:r w:rsidRPr="3A7EF940" w:rsidR="7FF683DF">
        <w:rPr>
          <w:rFonts w:ascii="Times New Roman" w:hAnsi="Times New Roman"/>
          <w:sz w:val="24"/>
          <w:szCs w:val="24"/>
        </w:rPr>
        <w:t xml:space="preserve"> median wage rate category for Business and Financial Operations Occupations (13-0000) is estimated to be $</w:t>
      </w:r>
      <w:r w:rsidRPr="3A7EF940" w:rsidR="62CFDE48">
        <w:rPr>
          <w:rFonts w:ascii="Times New Roman" w:hAnsi="Times New Roman"/>
          <w:sz w:val="24"/>
          <w:szCs w:val="24"/>
        </w:rPr>
        <w:t>3</w:t>
      </w:r>
      <w:r w:rsidRPr="3A7EF940" w:rsidR="70949CA7">
        <w:rPr>
          <w:rFonts w:ascii="Times New Roman" w:hAnsi="Times New Roman"/>
          <w:sz w:val="24"/>
          <w:szCs w:val="24"/>
        </w:rPr>
        <w:t>6</w:t>
      </w:r>
      <w:r w:rsidRPr="3A7EF940" w:rsidR="62CFDE48">
        <w:rPr>
          <w:rFonts w:ascii="Times New Roman" w:hAnsi="Times New Roman"/>
          <w:sz w:val="24"/>
          <w:szCs w:val="24"/>
        </w:rPr>
        <w:t>.</w:t>
      </w:r>
      <w:r w:rsidRPr="3A7EF940" w:rsidR="70949CA7">
        <w:rPr>
          <w:rFonts w:ascii="Times New Roman" w:hAnsi="Times New Roman"/>
          <w:sz w:val="24"/>
          <w:szCs w:val="24"/>
        </w:rPr>
        <w:t>81</w:t>
      </w:r>
      <w:r w:rsidRPr="3A7EF940" w:rsidR="7FF683DF">
        <w:rPr>
          <w:rFonts w:ascii="Times New Roman" w:hAnsi="Times New Roman"/>
          <w:sz w:val="24"/>
          <w:szCs w:val="24"/>
        </w:rPr>
        <w:t xml:space="preserve"> (hourly wage rate) x 1.46 (the wage rate multiplier) </w:t>
      </w:r>
      <w:r w:rsidRPr="3A7EF940" w:rsidR="7FF683DF">
        <w:rPr>
          <w:rFonts w:ascii="Times New Roman" w:hAnsi="Times New Roman"/>
          <w:sz w:val="24"/>
          <w:szCs w:val="24"/>
        </w:rPr>
        <w:t>=$</w:t>
      </w:r>
      <w:r w:rsidRPr="3A7EF940" w:rsidR="5160443C">
        <w:rPr>
          <w:rFonts w:ascii="Times New Roman" w:hAnsi="Times New Roman"/>
          <w:sz w:val="24"/>
          <w:szCs w:val="24"/>
        </w:rPr>
        <w:t>53.74</w:t>
      </w:r>
      <w:r w:rsidRPr="3A7EF940" w:rsidR="7FF683DF">
        <w:rPr>
          <w:rFonts w:ascii="Times New Roman" w:hAnsi="Times New Roman"/>
          <w:sz w:val="24"/>
          <w:szCs w:val="24"/>
        </w:rPr>
        <w:t xml:space="preserve"> (fully loaded wage rate</w:t>
      </w:r>
      <w:r w:rsidRPr="3A7EF940" w:rsidR="7FF683DF">
        <w:rPr>
          <w:rFonts w:ascii="Times New Roman" w:hAnsi="Times New Roman"/>
          <w:sz w:val="24"/>
          <w:szCs w:val="24"/>
        </w:rPr>
        <w:t>)</w:t>
      </w:r>
      <w:r w:rsidRPr="3A7EF940" w:rsidR="30E12123">
        <w:rPr>
          <w:rFonts w:ascii="Times New Roman" w:hAnsi="Times New Roman"/>
          <w:sz w:val="24"/>
          <w:szCs w:val="24"/>
        </w:rPr>
        <w:t>, therefore, the estimated burden hour cost to respondents</w:t>
      </w:r>
      <w:r w:rsidRPr="3A7EF940" w:rsidR="7A4B5FF6">
        <w:rPr>
          <w:rFonts w:ascii="Times New Roman" w:hAnsi="Times New Roman"/>
          <w:sz w:val="24"/>
          <w:szCs w:val="24"/>
        </w:rPr>
        <w:t xml:space="preserve"> </w:t>
      </w:r>
      <w:r w:rsidRPr="3A7EF940" w:rsidR="7A4B5FF6">
        <w:rPr>
          <w:rFonts w:ascii="Times New Roman" w:hAnsi="Times New Roman"/>
          <w:sz w:val="24"/>
          <w:szCs w:val="24"/>
        </w:rPr>
        <w:t xml:space="preserve">for </w:t>
      </w:r>
      <w:r w:rsidRPr="3A7EF940" w:rsidR="7A4B5FF6">
        <w:rPr>
          <w:rFonts w:ascii="Times New Roman" w:hAnsi="Times New Roman"/>
          <w:sz w:val="24"/>
          <w:szCs w:val="24"/>
        </w:rPr>
        <w:t>Business and Financial Operations Occupations</w:t>
      </w:r>
      <w:r w:rsidRPr="3A7EF940" w:rsidR="30E12123">
        <w:rPr>
          <w:rFonts w:ascii="Times New Roman" w:hAnsi="Times New Roman"/>
          <w:color w:val="0000FF"/>
          <w:sz w:val="24"/>
          <w:szCs w:val="24"/>
        </w:rPr>
        <w:t xml:space="preserve"> </w:t>
      </w:r>
      <w:r w:rsidRPr="3A7EF940" w:rsidR="30E12123">
        <w:rPr>
          <w:rFonts w:ascii="Times New Roman" w:hAnsi="Times New Roman"/>
          <w:sz w:val="24"/>
          <w:szCs w:val="24"/>
        </w:rPr>
        <w:t>is estimated to</w:t>
      </w:r>
      <w:r w:rsidRPr="3A7EF940" w:rsidR="73FADC0D">
        <w:rPr>
          <w:rFonts w:ascii="Times New Roman" w:hAnsi="Times New Roman"/>
          <w:sz w:val="24"/>
          <w:szCs w:val="24"/>
        </w:rPr>
        <w:t xml:space="preserve"> </w:t>
      </w:r>
      <w:r w:rsidRPr="3A7EF940" w:rsidR="73FADC0D">
        <w:rPr>
          <w:rFonts w:ascii="Times New Roman" w:hAnsi="Times New Roman"/>
          <w:sz w:val="24"/>
          <w:szCs w:val="24"/>
        </w:rPr>
        <w:t>$</w:t>
      </w:r>
      <w:r w:rsidRPr="3A7EF940" w:rsidR="49F03DD8">
        <w:rPr>
          <w:rFonts w:ascii="Times New Roman" w:hAnsi="Times New Roman"/>
          <w:sz w:val="24"/>
          <w:szCs w:val="24"/>
        </w:rPr>
        <w:t>40,305</w:t>
      </w:r>
      <w:r w:rsidRPr="3A7EF940" w:rsidR="66B73BF1">
        <w:rPr>
          <w:rFonts w:ascii="Times New Roman" w:hAnsi="Times New Roman"/>
          <w:sz w:val="24"/>
          <w:szCs w:val="24"/>
        </w:rPr>
        <w:t>.</w:t>
      </w:r>
      <w:r w:rsidRPr="3A7EF940" w:rsidR="0F2C718D">
        <w:rPr>
          <w:rFonts w:ascii="Times New Roman" w:hAnsi="Times New Roman"/>
          <w:sz w:val="24"/>
          <w:szCs w:val="24"/>
        </w:rPr>
        <w:t>0</w:t>
      </w:r>
      <w:r w:rsidRPr="3A7EF940" w:rsidR="37063507">
        <w:rPr>
          <w:rFonts w:ascii="Times New Roman" w:hAnsi="Times New Roman"/>
          <w:sz w:val="24"/>
          <w:szCs w:val="24"/>
        </w:rPr>
        <w:t>0</w:t>
      </w:r>
      <w:r w:rsidRPr="3A7EF940" w:rsidR="30E12123">
        <w:rPr>
          <w:rFonts w:ascii="Times New Roman" w:hAnsi="Times New Roman"/>
          <w:color w:val="0000FF"/>
          <w:sz w:val="24"/>
          <w:szCs w:val="24"/>
        </w:rPr>
        <w:t xml:space="preserve"> </w:t>
      </w:r>
      <w:r w:rsidRPr="3A7EF940" w:rsidR="30E12123">
        <w:rPr>
          <w:rFonts w:ascii="Times New Roman" w:hAnsi="Times New Roman"/>
          <w:sz w:val="24"/>
          <w:szCs w:val="24"/>
        </w:rPr>
        <w:t>annually.</w:t>
      </w:r>
    </w:p>
    <w:tbl>
      <w:tblPr>
        <w:tblW w:w="0" w:type="auto"/>
        <w:tblInd w:w="108" w:type="dxa"/>
        <w:tblLook w:val="04A0"/>
      </w:tblPr>
      <w:tblGrid>
        <w:gridCol w:w="9252"/>
      </w:tblGrid>
      <w:tr w14:paraId="70A992F7" w14:textId="77777777" w:rsidTr="009D190B">
        <w:tblPrEx>
          <w:tblW w:w="0" w:type="auto"/>
          <w:tblInd w:w="108" w:type="dxa"/>
          <w:tblLook w:val="04A0"/>
        </w:tblPrEx>
        <w:tc>
          <w:tcPr>
            <w:tcW w:w="9252" w:type="dxa"/>
            <w:shd w:val="clear" w:color="auto" w:fill="auto"/>
          </w:tcPr>
          <w:p w:rsidR="0021340A" w:rsidRPr="00C879B4" w:rsidP="001B4FB5"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1B4FB5" w14:paraId="3FB24E4F" w14:textId="77777777">
            <w:pPr>
              <w:spacing w:after="0" w:line="240" w:lineRule="auto"/>
              <w:rPr>
                <w:rFonts w:ascii="Times New Roman" w:hAnsi="Times New Roman"/>
                <w:b/>
                <w:color w:val="000000"/>
                <w:sz w:val="24"/>
                <w:szCs w:val="24"/>
              </w:rPr>
            </w:pPr>
          </w:p>
          <w:p w:rsidR="0021340A" w:rsidRPr="00C879B4" w:rsidP="001B4FB5"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C879B4" w:rsidP="001B4FB5" w14:paraId="7527F54D" w14:textId="77777777">
            <w:pPr>
              <w:spacing w:after="0" w:line="240" w:lineRule="auto"/>
              <w:rPr>
                <w:rFonts w:ascii="Times New Roman" w:hAnsi="Times New Roman"/>
                <w:color w:val="000000"/>
                <w:sz w:val="24"/>
                <w:szCs w:val="24"/>
              </w:rPr>
            </w:pPr>
          </w:p>
          <w:p w:rsidR="0021340A" w:rsidRPr="00C879B4" w:rsidP="001B4FB5"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C879B4" w:rsidP="001B4FB5" w14:paraId="5FFC009C" w14:textId="77777777">
            <w:pPr>
              <w:spacing w:after="0" w:line="240" w:lineRule="auto"/>
              <w:rPr>
                <w:rFonts w:ascii="Times New Roman" w:hAnsi="Times New Roman"/>
                <w:color w:val="000000"/>
                <w:sz w:val="24"/>
                <w:szCs w:val="24"/>
              </w:rPr>
            </w:pPr>
          </w:p>
          <w:p w:rsidR="0021340A" w:rsidP="001B4FB5" w14:paraId="61B03FD4" w14:textId="6C795F1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D190B" w:rsidP="001B4FB5" w14:paraId="0741D6C4" w14:textId="03D8D5C7">
            <w:pPr>
              <w:spacing w:after="0" w:line="240" w:lineRule="auto"/>
              <w:rPr>
                <w:rFonts w:ascii="Times New Roman" w:hAnsi="Times New Roman"/>
                <w:color w:val="000000"/>
                <w:sz w:val="24"/>
                <w:szCs w:val="24"/>
              </w:rPr>
            </w:pPr>
          </w:p>
          <w:p w:rsidR="00734482" w:rsidP="009D190B" w14:paraId="6D269AC0" w14:textId="480A3CC1">
            <w:pPr>
              <w:spacing w:after="0" w:line="240" w:lineRule="auto"/>
              <w:rPr>
                <w:color w:val="000000"/>
                <w:szCs w:val="24"/>
              </w:rPr>
            </w:pPr>
            <w:r>
              <w:rPr>
                <w:rFonts w:ascii="Times New Roman" w:hAnsi="Times New Roman"/>
                <w:color w:val="000000"/>
                <w:sz w:val="24"/>
                <w:szCs w:val="24"/>
              </w:rPr>
              <w:t>There are no recordkeeping, capital, start-up or maintenance costs associated with this information collection.</w:t>
            </w:r>
          </w:p>
          <w:p w:rsidR="0021340A" w:rsidRPr="00C879B4" w:rsidP="00734482" w14:paraId="418D9C14" w14:textId="581C12CE">
            <w:pPr>
              <w:pStyle w:val="BodyTextIndent2"/>
              <w:ind w:left="0"/>
              <w:rPr>
                <w:b/>
                <w:color w:val="000000"/>
                <w:szCs w:val="24"/>
              </w:rPr>
            </w:pPr>
            <w:r w:rsidRPr="00E76B5F">
              <w:rPr>
                <w:color w:val="000000"/>
                <w:szCs w:val="24"/>
              </w:rPr>
              <w:t xml:space="preserve"> </w:t>
            </w:r>
          </w:p>
        </w:tc>
      </w:tr>
      <w:tr w14:paraId="2F4177A0" w14:textId="77777777" w:rsidTr="007C0E06">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272D6B"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14:paraId="7BE4F779" w14:textId="77777777">
            <w:pPr>
              <w:spacing w:after="0" w:line="240" w:lineRule="auto"/>
              <w:rPr>
                <w:rFonts w:ascii="Times New Roman" w:hAnsi="Times New Roman"/>
                <w:color w:val="000000"/>
                <w:sz w:val="24"/>
                <w:szCs w:val="24"/>
              </w:rPr>
            </w:pPr>
          </w:p>
          <w:p w:rsidR="00272D6B" w:rsidRPr="00C879B4"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tblPrEx>
          <w:tblW w:w="9198" w:type="dxa"/>
          <w:tblLook w:val="0000"/>
        </w:tblPrEx>
        <w:trPr>
          <w:trHeight w:val="495"/>
        </w:trPr>
        <w:tc>
          <w:tcPr>
            <w:tcW w:w="7680" w:type="dxa"/>
          </w:tcPr>
          <w:p w:rsidR="00272D6B" w:rsidRPr="000646B7" w14:paraId="60A0279F" w14:textId="6FA27FE6">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r w:rsidRPr="000646B7">
              <w:rPr>
                <w:rFonts w:ascii="Times New Roman" w:eastAsia="Calibri" w:hAnsi="Times New Roman"/>
                <w:sz w:val="18"/>
                <w:szCs w:val="18"/>
              </w:rPr>
              <w:t xml:space="preserve"> </w:t>
            </w:r>
            <w:r w:rsidR="008B1893">
              <w:rPr>
                <w:rFonts w:ascii="Times New Roman" w:eastAsia="Calibri" w:hAnsi="Times New Roman"/>
                <w:b/>
                <w:sz w:val="18"/>
                <w:szCs w:val="18"/>
              </w:rPr>
              <w:t>N/A</w:t>
            </w:r>
            <w:r w:rsidRPr="000646B7">
              <w:rPr>
                <w:rFonts w:ascii="Times New Roman" w:eastAsia="Calibri" w:hAnsi="Times New Roman"/>
                <w:sz w:val="18"/>
                <w:szCs w:val="18"/>
              </w:rPr>
              <w:t xml:space="preserve"> </w:t>
            </w:r>
          </w:p>
        </w:tc>
        <w:tc>
          <w:tcPr>
            <w:tcW w:w="1518" w:type="dxa"/>
          </w:tcPr>
          <w:p w:rsidR="00272D6B" w:rsidRPr="000646B7" w14:paraId="7B1CEA6E" w14:textId="66C9B1E1">
            <w:pPr>
              <w:rPr>
                <w:rFonts w:ascii="Times New Roman" w:eastAsia="Calibri" w:hAnsi="Times New Roman"/>
                <w:sz w:val="18"/>
                <w:szCs w:val="18"/>
              </w:rPr>
            </w:pPr>
            <w:r w:rsidRPr="000646B7">
              <w:rPr>
                <w:rFonts w:ascii="Times New Roman" w:eastAsia="Calibri" w:hAnsi="Times New Roman"/>
                <w:sz w:val="18"/>
                <w:szCs w:val="18"/>
              </w:rPr>
              <w:t> </w:t>
            </w:r>
            <w:r w:rsidR="008B1893">
              <w:rPr>
                <w:rFonts w:ascii="Times New Roman" w:eastAsia="Calibri" w:hAnsi="Times New Roman"/>
                <w:sz w:val="18"/>
                <w:szCs w:val="18"/>
              </w:rPr>
              <w:t>$0</w:t>
            </w:r>
          </w:p>
        </w:tc>
      </w:tr>
      <w:tr w14:paraId="37CF5465" w14:textId="77777777">
        <w:tblPrEx>
          <w:tblW w:w="9198" w:type="dxa"/>
          <w:tblLook w:val="0000"/>
        </w:tblPrEx>
        <w:trPr>
          <w:trHeight w:val="510"/>
        </w:trPr>
        <w:tc>
          <w:tcPr>
            <w:tcW w:w="7680" w:type="dxa"/>
          </w:tcPr>
          <w:p w:rsidR="000333E8" w:rsidRPr="000333E8" w:rsidP="000333E8" w14:paraId="364BA9F0" w14:textId="77777777">
            <w:pPr>
              <w:rPr>
                <w:rFonts w:ascii="Times New Roman" w:eastAsia="Calibri" w:hAnsi="Times New Roman"/>
                <w:sz w:val="18"/>
                <w:szCs w:val="18"/>
              </w:rPr>
            </w:pPr>
            <w:r w:rsidRPr="000333E8">
              <w:rPr>
                <w:rFonts w:ascii="Times New Roman" w:eastAsia="Calibri" w:hAnsi="Times New Roman"/>
                <w:sz w:val="18"/>
                <w:szCs w:val="18"/>
              </w:rPr>
              <w:t>Staff Salaries:</w:t>
            </w:r>
          </w:p>
          <w:p w:rsidR="00272D6B" w:rsidRPr="00AA5516" w:rsidP="000333E8" w14:paraId="6DC0C1C3" w14:textId="4028AA43">
            <w:pPr>
              <w:rPr>
                <w:rFonts w:ascii="Times New Roman" w:eastAsia="Calibri" w:hAnsi="Times New Roman"/>
              </w:rPr>
            </w:pPr>
            <w:r w:rsidRPr="000333E8">
              <w:rPr>
                <w:rFonts w:ascii="Times New Roman" w:eastAsia="Calibri" w:hAnsi="Times New Roman"/>
                <w:sz w:val="18"/>
                <w:szCs w:val="18"/>
              </w:rPr>
              <w:t>(</w:t>
            </w:r>
            <w:r w:rsidR="0011739F">
              <w:rPr>
                <w:rFonts w:ascii="Times New Roman" w:eastAsia="Calibri" w:hAnsi="Times New Roman"/>
                <w:sz w:val="18"/>
                <w:szCs w:val="18"/>
              </w:rPr>
              <w:t>4</w:t>
            </w:r>
            <w:r w:rsidRPr="000333E8">
              <w:rPr>
                <w:rFonts w:ascii="Times New Roman" w:eastAsia="Calibri" w:hAnsi="Times New Roman"/>
                <w:sz w:val="18"/>
                <w:szCs w:val="18"/>
              </w:rPr>
              <w:t xml:space="preserve">)  GS - 13, step 3 employees spending approximately 25% of time annually reviewing </w:t>
            </w:r>
            <w:r w:rsidR="00C246EA">
              <w:rPr>
                <w:rFonts w:ascii="Times New Roman" w:eastAsia="Calibri" w:hAnsi="Times New Roman"/>
                <w:sz w:val="18"/>
                <w:szCs w:val="18"/>
              </w:rPr>
              <w:t xml:space="preserve">the </w:t>
            </w:r>
            <w:r w:rsidRPr="000333E8">
              <w:rPr>
                <w:rFonts w:ascii="Times New Roman" w:eastAsia="Calibri" w:hAnsi="Times New Roman"/>
                <w:sz w:val="18"/>
                <w:szCs w:val="18"/>
              </w:rPr>
              <w:t>reports</w:t>
            </w:r>
            <w:r w:rsidR="00C246EA">
              <w:rPr>
                <w:rFonts w:ascii="Times New Roman" w:eastAsia="Calibri" w:hAnsi="Times New Roman"/>
                <w:sz w:val="18"/>
                <w:szCs w:val="18"/>
              </w:rPr>
              <w:t xml:space="preserve"> and analyzing the dat</w:t>
            </w:r>
            <w:r w:rsidR="009A1010">
              <w:rPr>
                <w:rFonts w:ascii="Times New Roman" w:eastAsia="Calibri" w:hAnsi="Times New Roman"/>
                <w:sz w:val="18"/>
                <w:szCs w:val="18"/>
              </w:rPr>
              <w:t>a</w:t>
            </w:r>
            <w:r w:rsidRPr="000333E8">
              <w:rPr>
                <w:rFonts w:ascii="Times New Roman" w:eastAsia="Calibri" w:hAnsi="Times New Roman"/>
                <w:sz w:val="18"/>
                <w:szCs w:val="18"/>
              </w:rPr>
              <w:t xml:space="preserve"> </w:t>
            </w:r>
            <w:r w:rsidR="009A1010">
              <w:rPr>
                <w:rFonts w:ascii="Times New Roman" w:eastAsia="Calibri" w:hAnsi="Times New Roman"/>
                <w:sz w:val="18"/>
                <w:szCs w:val="18"/>
              </w:rPr>
              <w:t>from</w:t>
            </w:r>
            <w:r w:rsidRPr="000333E8">
              <w:rPr>
                <w:rFonts w:ascii="Times New Roman" w:eastAsia="Calibri" w:hAnsi="Times New Roman"/>
                <w:sz w:val="18"/>
                <w:szCs w:val="18"/>
              </w:rPr>
              <w:t xml:space="preserve"> this </w:t>
            </w:r>
            <w:r w:rsidR="009A1010">
              <w:rPr>
                <w:rFonts w:ascii="Times New Roman" w:eastAsia="Calibri" w:hAnsi="Times New Roman"/>
                <w:sz w:val="18"/>
                <w:szCs w:val="18"/>
              </w:rPr>
              <w:t>survey</w:t>
            </w:r>
            <w:r w:rsidRPr="000333E8">
              <w:rPr>
                <w:rFonts w:ascii="Times New Roman" w:eastAsia="Calibri" w:hAnsi="Times New Roman"/>
                <w:sz w:val="18"/>
                <w:szCs w:val="18"/>
              </w:rPr>
              <w:t>. (1) (GS-13, Step 3 - $</w:t>
            </w:r>
            <w:r w:rsidR="0011739F">
              <w:rPr>
                <w:rFonts w:ascii="Times New Roman" w:eastAsia="Calibri" w:hAnsi="Times New Roman"/>
                <w:sz w:val="18"/>
                <w:szCs w:val="18"/>
              </w:rPr>
              <w:t>113</w:t>
            </w:r>
            <w:r w:rsidRPr="000333E8">
              <w:rPr>
                <w:rFonts w:ascii="Times New Roman" w:eastAsia="Calibri" w:hAnsi="Times New Roman"/>
                <w:sz w:val="18"/>
                <w:szCs w:val="18"/>
              </w:rPr>
              <w:t>,</w:t>
            </w:r>
            <w:r w:rsidR="0011739F">
              <w:rPr>
                <w:rFonts w:ascii="Times New Roman" w:eastAsia="Calibri" w:hAnsi="Times New Roman"/>
                <w:sz w:val="18"/>
                <w:szCs w:val="18"/>
              </w:rPr>
              <w:t>944</w:t>
            </w:r>
            <w:r w:rsidRPr="000333E8">
              <w:rPr>
                <w:rFonts w:ascii="Times New Roman" w:eastAsia="Calibri" w:hAnsi="Times New Roman"/>
                <w:sz w:val="18"/>
                <w:szCs w:val="18"/>
              </w:rPr>
              <w:t>.00 = $</w:t>
            </w:r>
            <w:r w:rsidR="0011739F">
              <w:rPr>
                <w:rFonts w:ascii="Times New Roman" w:eastAsia="Calibri" w:hAnsi="Times New Roman"/>
                <w:sz w:val="18"/>
                <w:szCs w:val="18"/>
              </w:rPr>
              <w:t>113,944</w:t>
            </w:r>
            <w:r w:rsidRPr="000333E8">
              <w:rPr>
                <w:rFonts w:ascii="Times New Roman" w:eastAsia="Calibri" w:hAnsi="Times New Roman"/>
                <w:sz w:val="18"/>
                <w:szCs w:val="18"/>
              </w:rPr>
              <w:t>.00 x 1.46 (wage rate multiplier) =</w:t>
            </w:r>
            <w:r w:rsidR="00026F09">
              <w:rPr>
                <w:rFonts w:ascii="Times New Roman" w:eastAsia="Calibri" w:hAnsi="Times New Roman"/>
                <w:sz w:val="18"/>
                <w:szCs w:val="18"/>
              </w:rPr>
              <w:t>166,353.24</w:t>
            </w:r>
            <w:r w:rsidRPr="000333E8">
              <w:rPr>
                <w:rFonts w:ascii="Times New Roman" w:eastAsia="Calibri" w:hAnsi="Times New Roman"/>
                <w:sz w:val="18"/>
                <w:szCs w:val="18"/>
              </w:rPr>
              <w:t xml:space="preserve"> x .25 of time spent = $</w:t>
            </w:r>
            <w:r w:rsidR="00630D06">
              <w:rPr>
                <w:rFonts w:ascii="Times New Roman" w:eastAsia="Calibri" w:hAnsi="Times New Roman"/>
                <w:sz w:val="18"/>
                <w:szCs w:val="18"/>
              </w:rPr>
              <w:t>41,589.56</w:t>
            </w:r>
            <w:r w:rsidRPr="000333E8">
              <w:rPr>
                <w:rFonts w:ascii="Times New Roman" w:eastAsia="Calibri" w:hAnsi="Times New Roman"/>
                <w:sz w:val="18"/>
                <w:szCs w:val="18"/>
              </w:rPr>
              <w:t xml:space="preserve">. (times </w:t>
            </w:r>
            <w:r w:rsidR="009A1010">
              <w:rPr>
                <w:rFonts w:ascii="Times New Roman" w:eastAsia="Calibri" w:hAnsi="Times New Roman"/>
                <w:sz w:val="18"/>
                <w:szCs w:val="18"/>
              </w:rPr>
              <w:t>4</w:t>
            </w:r>
            <w:r w:rsidRPr="000333E8">
              <w:rPr>
                <w:rFonts w:ascii="Times New Roman" w:eastAsia="Calibri" w:hAnsi="Times New Roman"/>
                <w:sz w:val="18"/>
                <w:szCs w:val="18"/>
              </w:rPr>
              <w:t xml:space="preserve"> employees)</w:t>
            </w:r>
          </w:p>
        </w:tc>
        <w:tc>
          <w:tcPr>
            <w:tcW w:w="1518" w:type="dxa"/>
            <w:noWrap/>
          </w:tcPr>
          <w:p w:rsidR="00272D6B" w:rsidRPr="000646B7" w14:paraId="16D656DF" w14:textId="015C15BF">
            <w:pPr>
              <w:rPr>
                <w:rFonts w:ascii="Times New Roman" w:eastAsia="Calibri" w:hAnsi="Times New Roman"/>
                <w:sz w:val="18"/>
                <w:szCs w:val="18"/>
              </w:rPr>
            </w:pPr>
            <w:r w:rsidRPr="000646B7">
              <w:rPr>
                <w:rFonts w:ascii="Times New Roman" w:eastAsia="Calibri" w:hAnsi="Times New Roman"/>
                <w:sz w:val="18"/>
                <w:szCs w:val="18"/>
              </w:rPr>
              <w:t> </w:t>
            </w:r>
            <w:r w:rsidR="00630D06">
              <w:rPr>
                <w:rFonts w:ascii="Times New Roman" w:eastAsia="Calibri" w:hAnsi="Times New Roman"/>
                <w:sz w:val="18"/>
                <w:szCs w:val="18"/>
              </w:rPr>
              <w:t>$166,358.24</w:t>
            </w:r>
          </w:p>
        </w:tc>
      </w:tr>
      <w:tr w14:paraId="2050DC25" w14:textId="77777777">
        <w:tblPrEx>
          <w:tblW w:w="9198" w:type="dxa"/>
          <w:tblLook w:val="0000"/>
        </w:tblPrEx>
        <w:trPr>
          <w:trHeight w:val="270"/>
        </w:trPr>
        <w:tc>
          <w:tcPr>
            <w:tcW w:w="7680" w:type="dxa"/>
            <w:noWrap/>
          </w:tcPr>
          <w:p w:rsidR="00272D6B" w:rsidRPr="000646B7" w14:paraId="27E5870D"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272D6B" w:rsidRPr="000646B7" w14:paraId="2B7AC7D4" w14:textId="6A821626">
            <w:pPr>
              <w:rPr>
                <w:rFonts w:ascii="Times New Roman" w:eastAsia="Calibri" w:hAnsi="Times New Roman"/>
                <w:sz w:val="18"/>
                <w:szCs w:val="18"/>
              </w:rPr>
            </w:pPr>
            <w:r w:rsidRPr="000646B7">
              <w:rPr>
                <w:rFonts w:ascii="Times New Roman" w:eastAsia="Calibri" w:hAnsi="Times New Roman"/>
                <w:sz w:val="18"/>
                <w:szCs w:val="18"/>
              </w:rPr>
              <w:t> </w:t>
            </w:r>
            <w:r w:rsidR="002C6B7E">
              <w:rPr>
                <w:rFonts w:ascii="Times New Roman" w:eastAsia="Calibri" w:hAnsi="Times New Roman"/>
                <w:sz w:val="18"/>
                <w:szCs w:val="18"/>
              </w:rPr>
              <w:t>N/A</w:t>
            </w:r>
          </w:p>
        </w:tc>
      </w:tr>
      <w:tr w14:paraId="56688FC5" w14:textId="77777777">
        <w:tblPrEx>
          <w:tblW w:w="9198" w:type="dxa"/>
          <w:tblLook w:val="0000"/>
        </w:tblPrEx>
        <w:trPr>
          <w:trHeight w:val="240"/>
        </w:trPr>
        <w:tc>
          <w:tcPr>
            <w:tcW w:w="7680" w:type="dxa"/>
            <w:noWrap/>
          </w:tcPr>
          <w:p w:rsidR="00272D6B" w:rsidRPr="000646B7"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14:paraId="5F1226D5" w14:textId="2A799C92">
            <w:pPr>
              <w:rPr>
                <w:rFonts w:ascii="Times New Roman" w:eastAsia="Calibri" w:hAnsi="Times New Roman"/>
                <w:sz w:val="18"/>
                <w:szCs w:val="18"/>
              </w:rPr>
            </w:pPr>
            <w:r>
              <w:rPr>
                <w:rFonts w:ascii="Times New Roman" w:eastAsia="Calibri" w:hAnsi="Times New Roman"/>
                <w:sz w:val="18"/>
                <w:szCs w:val="18"/>
              </w:rPr>
              <w:t>N/A</w:t>
            </w:r>
          </w:p>
        </w:tc>
      </w:tr>
      <w:tr w14:paraId="18AD725F" w14:textId="77777777">
        <w:tblPrEx>
          <w:tblW w:w="9198" w:type="dxa"/>
          <w:tblLook w:val="0000"/>
        </w:tblPrEx>
        <w:trPr>
          <w:trHeight w:val="255"/>
        </w:trPr>
        <w:tc>
          <w:tcPr>
            <w:tcW w:w="7680" w:type="dxa"/>
            <w:noWrap/>
          </w:tcPr>
          <w:p w:rsidR="00272D6B" w:rsidRPr="000646B7"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272D6B" w:rsidRPr="000646B7" w14:paraId="00C174E0" w14:textId="277517A9">
            <w:pPr>
              <w:rPr>
                <w:rFonts w:ascii="Times New Roman" w:eastAsia="Calibri" w:hAnsi="Times New Roman"/>
                <w:sz w:val="18"/>
                <w:szCs w:val="18"/>
              </w:rPr>
            </w:pPr>
            <w:r>
              <w:rPr>
                <w:rFonts w:ascii="Times New Roman" w:eastAsia="Calibri" w:hAnsi="Times New Roman"/>
                <w:sz w:val="18"/>
                <w:szCs w:val="18"/>
              </w:rPr>
              <w:t>N/A</w:t>
            </w:r>
          </w:p>
        </w:tc>
      </w:tr>
      <w:tr w14:paraId="13BD9DB9" w14:textId="77777777">
        <w:tblPrEx>
          <w:tblW w:w="9198" w:type="dxa"/>
          <w:tblLook w:val="0000"/>
        </w:tblPrEx>
        <w:trPr>
          <w:trHeight w:val="255"/>
        </w:trPr>
        <w:tc>
          <w:tcPr>
            <w:tcW w:w="7680" w:type="dxa"/>
            <w:noWrap/>
          </w:tcPr>
          <w:p w:rsidR="00272D6B" w:rsidRPr="000646B7"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14:paraId="6DF965A7" w14:textId="4A2D133E">
            <w:pPr>
              <w:rPr>
                <w:rFonts w:ascii="Times New Roman" w:eastAsia="Calibri" w:hAnsi="Times New Roman"/>
                <w:sz w:val="18"/>
                <w:szCs w:val="18"/>
              </w:rPr>
            </w:pPr>
            <w:r>
              <w:rPr>
                <w:rFonts w:ascii="Times New Roman" w:eastAsia="Calibri" w:hAnsi="Times New Roman"/>
                <w:sz w:val="18"/>
                <w:szCs w:val="18"/>
              </w:rPr>
              <w:t>N/A</w:t>
            </w:r>
          </w:p>
        </w:tc>
      </w:tr>
      <w:tr w14:paraId="4ED8881F" w14:textId="77777777">
        <w:tblPrEx>
          <w:tblW w:w="9198" w:type="dxa"/>
          <w:tblLook w:val="0000"/>
        </w:tblPrEx>
        <w:trPr>
          <w:trHeight w:val="255"/>
        </w:trPr>
        <w:tc>
          <w:tcPr>
            <w:tcW w:w="7680" w:type="dxa"/>
            <w:noWrap/>
          </w:tcPr>
          <w:p w:rsidR="00272D6B" w:rsidRPr="000646B7"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14:paraId="1AF1F1DE" w14:textId="289EF651">
            <w:pPr>
              <w:rPr>
                <w:rFonts w:ascii="Times New Roman" w:eastAsia="Calibri" w:hAnsi="Times New Roman"/>
                <w:sz w:val="18"/>
                <w:szCs w:val="18"/>
              </w:rPr>
            </w:pPr>
            <w:r>
              <w:rPr>
                <w:rFonts w:ascii="Times New Roman" w:eastAsia="Calibri" w:hAnsi="Times New Roman"/>
                <w:sz w:val="18"/>
                <w:szCs w:val="18"/>
              </w:rPr>
              <w:t>N/A</w:t>
            </w:r>
          </w:p>
        </w:tc>
      </w:tr>
      <w:tr w14:paraId="45B55D56" w14:textId="77777777">
        <w:tblPrEx>
          <w:tblW w:w="9198" w:type="dxa"/>
          <w:tblLook w:val="0000"/>
        </w:tblPrEx>
        <w:trPr>
          <w:trHeight w:val="255"/>
        </w:trPr>
        <w:tc>
          <w:tcPr>
            <w:tcW w:w="7680" w:type="dxa"/>
            <w:noWrap/>
          </w:tcPr>
          <w:p w:rsidR="00272D6B" w:rsidRPr="000646B7"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14:paraId="45FE3EA0" w14:textId="4F310E5D">
            <w:pPr>
              <w:rPr>
                <w:rFonts w:ascii="Times New Roman" w:eastAsia="Calibri" w:hAnsi="Times New Roman"/>
                <w:sz w:val="18"/>
                <w:szCs w:val="18"/>
              </w:rPr>
            </w:pPr>
            <w:r>
              <w:rPr>
                <w:rFonts w:ascii="Times New Roman" w:eastAsia="Calibri" w:hAnsi="Times New Roman"/>
                <w:sz w:val="18"/>
                <w:szCs w:val="18"/>
              </w:rPr>
              <w:t>N/A</w:t>
            </w:r>
          </w:p>
        </w:tc>
      </w:tr>
      <w:tr w14:paraId="30000E8D" w14:textId="77777777">
        <w:tblPrEx>
          <w:tblW w:w="9198" w:type="dxa"/>
          <w:tblLook w:val="0000"/>
        </w:tblPrEx>
        <w:trPr>
          <w:trHeight w:val="255"/>
        </w:trPr>
        <w:tc>
          <w:tcPr>
            <w:tcW w:w="7680" w:type="dxa"/>
            <w:noWrap/>
          </w:tcPr>
          <w:p w:rsidR="00272D6B" w:rsidRPr="000646B7"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14:paraId="494D27E3" w14:textId="1160C97D">
            <w:pPr>
              <w:rPr>
                <w:rFonts w:ascii="Times New Roman" w:eastAsia="Calibri" w:hAnsi="Times New Roman"/>
                <w:sz w:val="18"/>
                <w:szCs w:val="18"/>
              </w:rPr>
            </w:pPr>
            <w:r>
              <w:rPr>
                <w:rFonts w:ascii="Times New Roman" w:eastAsia="Calibri" w:hAnsi="Times New Roman"/>
                <w:sz w:val="18"/>
                <w:szCs w:val="18"/>
              </w:rPr>
              <w:t>N/A</w:t>
            </w:r>
          </w:p>
        </w:tc>
      </w:tr>
      <w:tr w14:paraId="079A4852" w14:textId="77777777">
        <w:tblPrEx>
          <w:tblW w:w="9198" w:type="dxa"/>
          <w:tblLook w:val="0000"/>
        </w:tblPrEx>
        <w:trPr>
          <w:trHeight w:val="270"/>
        </w:trPr>
        <w:tc>
          <w:tcPr>
            <w:tcW w:w="7680" w:type="dxa"/>
            <w:noWrap/>
          </w:tcPr>
          <w:p w:rsidR="00272D6B" w:rsidRPr="000646B7"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14:paraId="2B2D6577" w14:textId="3C0F22CB">
            <w:pPr>
              <w:rPr>
                <w:rFonts w:ascii="Times New Roman" w:eastAsia="Calibri" w:hAnsi="Times New Roman"/>
                <w:b/>
                <w:bCs/>
                <w:sz w:val="18"/>
                <w:szCs w:val="18"/>
              </w:rPr>
            </w:pPr>
            <w:r w:rsidRPr="000646B7">
              <w:rPr>
                <w:rFonts w:ascii="Times New Roman" w:eastAsia="Calibri" w:hAnsi="Times New Roman"/>
                <w:b/>
                <w:bCs/>
                <w:sz w:val="18"/>
                <w:szCs w:val="18"/>
              </w:rPr>
              <w:t>$</w:t>
            </w:r>
            <w:r w:rsidR="003E2F29">
              <w:rPr>
                <w:rFonts w:ascii="Times New Roman" w:eastAsia="Calibri" w:hAnsi="Times New Roman"/>
                <w:b/>
                <w:bCs/>
                <w:sz w:val="18"/>
                <w:szCs w:val="18"/>
              </w:rPr>
              <w:t>166,358.24</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tbl>
      <w:tblPr>
        <w:tblW w:w="0" w:type="auto"/>
        <w:tblInd w:w="108" w:type="dxa"/>
        <w:tblLook w:val="04A0"/>
      </w:tblPr>
      <w:tblGrid>
        <w:gridCol w:w="9252"/>
      </w:tblGrid>
      <w:tr w14:paraId="4CB222F4" w14:textId="77777777" w:rsidTr="658603D2">
        <w:tblPrEx>
          <w:tblW w:w="0" w:type="auto"/>
          <w:tblInd w:w="108" w:type="dxa"/>
          <w:tblLook w:val="04A0"/>
        </w:tblPrEx>
        <w:tc>
          <w:tcPr>
            <w:tcW w:w="9252"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658603D2">
        <w:tblPrEx>
          <w:tblW w:w="0" w:type="auto"/>
          <w:tblInd w:w="108" w:type="dxa"/>
          <w:tblLook w:val="04A0"/>
        </w:tblPrEx>
        <w:tc>
          <w:tcPr>
            <w:tcW w:w="9252" w:type="dxa"/>
            <w:shd w:val="clear" w:color="auto" w:fill="auto"/>
          </w:tcPr>
          <w:p w:rsidR="0021340A" w:rsidRPr="00C879B4" w:rsidP="3A7EF940" w14:paraId="68F3BF02" w14:textId="3A09434E">
            <w:pPr>
              <w:spacing w:after="0" w:line="240" w:lineRule="auto"/>
              <w:rPr>
                <w:rFonts w:ascii="Times New Roman" w:hAnsi="Times New Roman"/>
                <w:b/>
                <w:bCs/>
                <w:color w:val="000000"/>
                <w:sz w:val="24"/>
                <w:szCs w:val="24"/>
              </w:rPr>
            </w:pPr>
            <w:r w:rsidRPr="658603D2" w:rsidR="541EAB10">
              <w:rPr>
                <w:rFonts w:ascii="Times New Roman" w:hAnsi="Times New Roman"/>
                <w:sz w:val="24"/>
                <w:szCs w:val="24"/>
              </w:rPr>
              <w:t xml:space="preserve">As for the </w:t>
            </w:r>
            <w:r w:rsidRPr="658603D2" w:rsidR="30227C2B">
              <w:rPr>
                <w:rFonts w:ascii="Times New Roman" w:hAnsi="Times New Roman"/>
                <w:sz w:val="24"/>
                <w:szCs w:val="24"/>
              </w:rPr>
              <w:t>Eviction Counseling Survey</w:t>
            </w:r>
            <w:r w:rsidRPr="658603D2" w:rsidR="541EAB10">
              <w:rPr>
                <w:rFonts w:ascii="Times New Roman" w:hAnsi="Times New Roman"/>
                <w:sz w:val="24"/>
                <w:szCs w:val="24"/>
              </w:rPr>
              <w:t xml:space="preserve">, the previously approved burden </w:t>
            </w:r>
            <w:r w:rsidRPr="658603D2" w:rsidR="541EAB10">
              <w:rPr>
                <w:rFonts w:ascii="Times New Roman" w:hAnsi="Times New Roman"/>
                <w:sz w:val="24"/>
                <w:szCs w:val="24"/>
              </w:rPr>
              <w:t>hours</w:t>
            </w:r>
            <w:r w:rsidRPr="658603D2" w:rsidR="541EAB10">
              <w:rPr>
                <w:rFonts w:ascii="Times New Roman" w:hAnsi="Times New Roman"/>
                <w:sz w:val="24"/>
                <w:szCs w:val="24"/>
              </w:rPr>
              <w:t xml:space="preserve"> were 0 as this is a new collection and the current estimated annual hour burden is </w:t>
            </w:r>
            <w:r w:rsidRPr="658603D2" w:rsidR="71DF2554">
              <w:rPr>
                <w:rFonts w:ascii="Times New Roman" w:hAnsi="Times New Roman"/>
                <w:sz w:val="24"/>
                <w:szCs w:val="24"/>
              </w:rPr>
              <w:t xml:space="preserve">750 </w:t>
            </w:r>
            <w:r w:rsidRPr="658603D2" w:rsidR="541EAB10">
              <w:rPr>
                <w:rFonts w:ascii="Times New Roman" w:hAnsi="Times New Roman"/>
                <w:sz w:val="24"/>
                <w:szCs w:val="24"/>
              </w:rPr>
              <w:t>hours</w:t>
            </w:r>
            <w:r w:rsidRPr="658603D2" w:rsidR="541EAB10">
              <w:rPr>
                <w:rFonts w:ascii="Times New Roman" w:hAnsi="Times New Roman"/>
                <w:sz w:val="24"/>
                <w:szCs w:val="24"/>
              </w:rPr>
              <w:t xml:space="preserve">. Therefore, the burden </w:t>
            </w:r>
            <w:r w:rsidRPr="658603D2" w:rsidR="541EAB10">
              <w:rPr>
                <w:rFonts w:ascii="Times New Roman" w:hAnsi="Times New Roman"/>
                <w:sz w:val="24"/>
                <w:szCs w:val="24"/>
              </w:rPr>
              <w:t>hours</w:t>
            </w:r>
            <w:r w:rsidRPr="658603D2" w:rsidR="541EAB10">
              <w:rPr>
                <w:rFonts w:ascii="Times New Roman" w:hAnsi="Times New Roman"/>
                <w:sz w:val="24"/>
                <w:szCs w:val="24"/>
              </w:rPr>
              <w:t xml:space="preserve"> are positive program changes</w:t>
            </w:r>
            <w:r w:rsidRPr="658603D2" w:rsidR="13E9300E">
              <w:rPr>
                <w:rFonts w:ascii="Times New Roman" w:hAnsi="Times New Roman"/>
                <w:color w:val="000000" w:themeColor="text1" w:themeShade="FF" w:themeTint="FF"/>
                <w:sz w:val="24"/>
                <w:szCs w:val="24"/>
              </w:rPr>
              <w:t>.</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3A7EF940">
        <w:tblPrEx>
          <w:tblW w:w="0" w:type="auto"/>
          <w:tblInd w:w="108" w:type="dxa"/>
          <w:tblLook w:val="04A0"/>
        </w:tblPrEx>
        <w:tc>
          <w:tcPr>
            <w:tcW w:w="9360"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3A7EF940">
        <w:tblPrEx>
          <w:tblW w:w="0" w:type="auto"/>
          <w:tblInd w:w="108" w:type="dxa"/>
          <w:tblLook w:val="04A0"/>
        </w:tblPrEx>
        <w:tc>
          <w:tcPr>
            <w:tcW w:w="9360" w:type="dxa"/>
            <w:shd w:val="clear" w:color="auto" w:fill="auto"/>
          </w:tcPr>
          <w:p w:rsidR="0021340A" w:rsidP="001B4FB5" w14:paraId="3AFC8265" w14:textId="77777777">
            <w:pPr>
              <w:spacing w:after="0" w:line="240" w:lineRule="auto"/>
              <w:rPr>
                <w:rFonts w:ascii="Times New Roman" w:hAnsi="Times New Roman"/>
                <w:b/>
                <w:color w:val="000000"/>
                <w:sz w:val="24"/>
                <w:szCs w:val="24"/>
              </w:rPr>
            </w:pPr>
          </w:p>
          <w:p w:rsidR="002D1C63" w:rsidRPr="00E26F18" w:rsidP="14E2F325" w14:paraId="7A415CFB" w14:textId="36FBFCD5">
            <w:pPr>
              <w:spacing w:after="0" w:line="240" w:lineRule="auto"/>
              <w:rPr>
                <w:rFonts w:ascii="Times New Roman" w:hAnsi="Times New Roman"/>
                <w:color w:val="000000"/>
                <w:sz w:val="24"/>
                <w:szCs w:val="24"/>
              </w:rPr>
            </w:pPr>
            <w:r w:rsidRPr="3A7EF940" w:rsidR="3DC902E0">
              <w:rPr>
                <w:rFonts w:ascii="Times New Roman" w:hAnsi="Times New Roman"/>
                <w:color w:val="000000" w:themeColor="text1" w:themeShade="FF" w:themeTint="FF"/>
                <w:sz w:val="24"/>
                <w:szCs w:val="24"/>
              </w:rPr>
              <w:t>The survey results will be analyzed and shared as part of a report to Congress</w:t>
            </w:r>
            <w:r w:rsidRPr="3A7EF940" w:rsidR="72C030B2">
              <w:rPr>
                <w:rFonts w:ascii="Times New Roman" w:hAnsi="Times New Roman"/>
                <w:color w:val="000000" w:themeColor="text1" w:themeShade="FF" w:themeTint="FF"/>
                <w:sz w:val="24"/>
                <w:szCs w:val="24"/>
              </w:rPr>
              <w:t xml:space="preserve">. </w:t>
            </w:r>
            <w:r w:rsidRPr="3A7EF940" w:rsidR="1C00751B">
              <w:rPr>
                <w:rFonts w:ascii="Times New Roman" w:hAnsi="Times New Roman"/>
                <w:color w:val="000000" w:themeColor="text1" w:themeShade="FF" w:themeTint="FF"/>
                <w:sz w:val="24"/>
                <w:szCs w:val="24"/>
              </w:rPr>
              <w:t>HUD’s Office of Housing Counseling may also share survey results at</w:t>
            </w:r>
            <w:r w:rsidRPr="3A7EF940" w:rsidR="5168B8D7">
              <w:rPr>
                <w:rFonts w:ascii="Times New Roman" w:hAnsi="Times New Roman"/>
                <w:color w:val="000000" w:themeColor="text1" w:themeShade="FF" w:themeTint="FF"/>
                <w:sz w:val="24"/>
                <w:szCs w:val="24"/>
              </w:rPr>
              <w:t xml:space="preserve"> OHC sponsored events, such as OHC’s Annual Conference in the summer of 2023. </w:t>
            </w:r>
            <w:r w:rsidRPr="3A7EF940" w:rsidR="2902BE20">
              <w:rPr>
                <w:rFonts w:ascii="Times New Roman" w:hAnsi="Times New Roman"/>
                <w:color w:val="000000" w:themeColor="text1" w:themeShade="FF" w:themeTint="FF"/>
                <w:sz w:val="24"/>
                <w:szCs w:val="24"/>
              </w:rPr>
              <w:t>No complex analytical techniques will be used. The analysis will be tabulation and cross-tabulation of closed-ended survey responses and narrative summaries of open-ended responses.</w:t>
            </w: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B58B5" w:rsidP="001B4FB5" w14:paraId="1A1D766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17. If seeking approval to not display the expiration date for OMB approval of the information collection, explain the reasons that display would be inappropriate.</w:t>
            </w:r>
          </w:p>
          <w:p w:rsidR="009D190B" w:rsidP="001B4FB5" w14:paraId="0E36D75B" w14:textId="77777777">
            <w:pPr>
              <w:spacing w:after="0" w:line="240" w:lineRule="auto"/>
              <w:rPr>
                <w:rFonts w:ascii="Times New Roman" w:hAnsi="Times New Roman"/>
                <w:bCs/>
                <w:color w:val="000000"/>
                <w:sz w:val="24"/>
                <w:szCs w:val="24"/>
              </w:rPr>
            </w:pPr>
          </w:p>
          <w:p w:rsidR="0021340A" w:rsidRPr="002B58B5" w:rsidP="001B4FB5" w14:paraId="20ACDDE7" w14:textId="43F7A30C">
            <w:pPr>
              <w:spacing w:after="0" w:line="240" w:lineRule="auto"/>
              <w:rPr>
                <w:rFonts w:ascii="Times New Roman" w:hAnsi="Times New Roman"/>
                <w:bCs/>
                <w:color w:val="000000"/>
                <w:sz w:val="24"/>
                <w:szCs w:val="24"/>
              </w:rPr>
            </w:pPr>
            <w:r w:rsidRPr="002B58B5">
              <w:rPr>
                <w:rFonts w:ascii="Times New Roman" w:hAnsi="Times New Roman"/>
                <w:bCs/>
                <w:color w:val="000000"/>
                <w:sz w:val="24"/>
                <w:szCs w:val="24"/>
              </w:rPr>
              <w:t>HUD will display the expiration date for OMB approval of this information collection.</w:t>
            </w:r>
            <w:r w:rsidRPr="002B58B5">
              <w:rPr>
                <w:rFonts w:ascii="Times New Roman" w:hAnsi="Times New Roman"/>
                <w:bCs/>
                <w:color w:val="000000"/>
                <w:sz w:val="24"/>
                <w:szCs w:val="24"/>
              </w:rPr>
              <w:t xml:space="preserve"> </w:t>
            </w:r>
          </w:p>
          <w:p w:rsidR="0021340A" w:rsidRPr="00C879B4"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21340A" w:rsidRPr="00C879B4" w:rsidP="001B4FB5" w14:paraId="0F6C8358" w14:textId="7777777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FF627C" w:rsidP="00FF627C" w14:paraId="7FCA5E47" w14:textId="77777777">
            <w:pPr>
              <w:tabs>
                <w:tab w:val="num" w:pos="1170"/>
              </w:tabs>
              <w:overflowPunct w:val="0"/>
              <w:autoSpaceDE w:val="0"/>
              <w:autoSpaceDN w:val="0"/>
              <w:adjustRightInd w:val="0"/>
              <w:spacing w:after="0" w:line="240" w:lineRule="auto"/>
              <w:rPr>
                <w:rFonts w:ascii="Times New Roman" w:hAnsi="Times New Roman"/>
                <w:sz w:val="24"/>
                <w:szCs w:val="20"/>
              </w:rPr>
            </w:pPr>
          </w:p>
          <w:p w:rsidR="00FF627C" w:rsidP="00FF627C" w14:paraId="452D1C87" w14:textId="5428D703">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9D190B" w:rsidP="00FF627C" w14:paraId="3DCD6CF3" w14:textId="0CD97E79">
            <w:pPr>
              <w:tabs>
                <w:tab w:val="num" w:pos="1170"/>
              </w:tabs>
              <w:overflowPunct w:val="0"/>
              <w:autoSpaceDE w:val="0"/>
              <w:autoSpaceDN w:val="0"/>
              <w:adjustRightInd w:val="0"/>
              <w:spacing w:after="0" w:line="240" w:lineRule="auto"/>
              <w:rPr>
                <w:rFonts w:ascii="Times New Roman" w:hAnsi="Times New Roman"/>
                <w:sz w:val="24"/>
                <w:szCs w:val="20"/>
              </w:rPr>
            </w:pPr>
          </w:p>
          <w:p w:rsidR="009D190B" w:rsidP="009D190B" w14:paraId="3A259637" w14:textId="42369394">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272D6B" w:rsidRPr="00C879B4" w:rsidP="00DF5C7E" w14:paraId="5C1D0A1C" w14:textId="2CDAFD37">
            <w:pPr>
              <w:tabs>
                <w:tab w:val="num" w:pos="1170"/>
              </w:tabs>
              <w:overflowPunct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075224">
      <w:footerReference w:type="even" r:id="rId8"/>
      <w:footerReference w:type="default" r:id="rId9"/>
      <w:pgSz w:w="12240" w:h="15840" w:orient="portrait"/>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34C6536B"/>
    <w:multiLevelType w:val="hybridMultilevel"/>
    <w:tmpl w:val="BD0C257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6346466C"/>
    <w:multiLevelType w:val="hybridMultilevel"/>
    <w:tmpl w:val="E44CE1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54021424">
    <w:abstractNumId w:val="1"/>
  </w:num>
  <w:num w:numId="2" w16cid:durableId="1704745437">
    <w:abstractNumId w:val="6"/>
  </w:num>
  <w:num w:numId="3" w16cid:durableId="1823623699">
    <w:abstractNumId w:val="0"/>
  </w:num>
  <w:num w:numId="4" w16cid:durableId="1167206289">
    <w:abstractNumId w:val="5"/>
  </w:num>
  <w:num w:numId="5" w16cid:durableId="1040395896">
    <w:abstractNumId w:val="4"/>
  </w:num>
  <w:num w:numId="6" w16cid:durableId="1880773728">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960260240">
    <w:abstractNumId w:val="3"/>
  </w:num>
  <w:num w:numId="8" w16cid:durableId="2079134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1166"/>
    <w:rsid w:val="0002197B"/>
    <w:rsid w:val="00025719"/>
    <w:rsid w:val="00026F09"/>
    <w:rsid w:val="000333E8"/>
    <w:rsid w:val="00043C6C"/>
    <w:rsid w:val="00047B71"/>
    <w:rsid w:val="000617E3"/>
    <w:rsid w:val="000646B7"/>
    <w:rsid w:val="00075224"/>
    <w:rsid w:val="00076645"/>
    <w:rsid w:val="00081364"/>
    <w:rsid w:val="0009580C"/>
    <w:rsid w:val="000A06E9"/>
    <w:rsid w:val="000B1ED5"/>
    <w:rsid w:val="000B371E"/>
    <w:rsid w:val="000B4874"/>
    <w:rsid w:val="000C62BB"/>
    <w:rsid w:val="000C68E5"/>
    <w:rsid w:val="000D0549"/>
    <w:rsid w:val="000D2611"/>
    <w:rsid w:val="000D7FD0"/>
    <w:rsid w:val="000F735C"/>
    <w:rsid w:val="00101513"/>
    <w:rsid w:val="0011739F"/>
    <w:rsid w:val="00147E45"/>
    <w:rsid w:val="00152434"/>
    <w:rsid w:val="00164BAE"/>
    <w:rsid w:val="00166C3F"/>
    <w:rsid w:val="00167FD2"/>
    <w:rsid w:val="00174045"/>
    <w:rsid w:val="00182567"/>
    <w:rsid w:val="00190038"/>
    <w:rsid w:val="00194AE2"/>
    <w:rsid w:val="001A58B6"/>
    <w:rsid w:val="001A7509"/>
    <w:rsid w:val="001B476B"/>
    <w:rsid w:val="001B4FB5"/>
    <w:rsid w:val="001C5814"/>
    <w:rsid w:val="001C6560"/>
    <w:rsid w:val="001E4F5B"/>
    <w:rsid w:val="001F14E7"/>
    <w:rsid w:val="00200733"/>
    <w:rsid w:val="0021190A"/>
    <w:rsid w:val="0021340A"/>
    <w:rsid w:val="0022186B"/>
    <w:rsid w:val="00222650"/>
    <w:rsid w:val="00241471"/>
    <w:rsid w:val="002441FB"/>
    <w:rsid w:val="002455D2"/>
    <w:rsid w:val="00266A5E"/>
    <w:rsid w:val="00272D6B"/>
    <w:rsid w:val="00276A7E"/>
    <w:rsid w:val="0029110D"/>
    <w:rsid w:val="00294E98"/>
    <w:rsid w:val="00296DF2"/>
    <w:rsid w:val="002B1E69"/>
    <w:rsid w:val="002B58B5"/>
    <w:rsid w:val="002C6B7E"/>
    <w:rsid w:val="002C7DF4"/>
    <w:rsid w:val="002D1C63"/>
    <w:rsid w:val="002D2845"/>
    <w:rsid w:val="002D577D"/>
    <w:rsid w:val="002D7294"/>
    <w:rsid w:val="002E79E5"/>
    <w:rsid w:val="00311ED4"/>
    <w:rsid w:val="00320358"/>
    <w:rsid w:val="00321485"/>
    <w:rsid w:val="00326201"/>
    <w:rsid w:val="00357F49"/>
    <w:rsid w:val="00364335"/>
    <w:rsid w:val="00365266"/>
    <w:rsid w:val="00382FCC"/>
    <w:rsid w:val="00397DF1"/>
    <w:rsid w:val="003A119C"/>
    <w:rsid w:val="003A3C62"/>
    <w:rsid w:val="003A564C"/>
    <w:rsid w:val="003B01A8"/>
    <w:rsid w:val="003C400F"/>
    <w:rsid w:val="003C6323"/>
    <w:rsid w:val="003D3048"/>
    <w:rsid w:val="003E0BF8"/>
    <w:rsid w:val="003E2F29"/>
    <w:rsid w:val="003E42B3"/>
    <w:rsid w:val="003F4D24"/>
    <w:rsid w:val="00401BD8"/>
    <w:rsid w:val="004070D6"/>
    <w:rsid w:val="00441809"/>
    <w:rsid w:val="004939BF"/>
    <w:rsid w:val="004A789B"/>
    <w:rsid w:val="004C58A9"/>
    <w:rsid w:val="004D0A64"/>
    <w:rsid w:val="004E078B"/>
    <w:rsid w:val="004E1344"/>
    <w:rsid w:val="004E2BCC"/>
    <w:rsid w:val="004F597F"/>
    <w:rsid w:val="004F6E86"/>
    <w:rsid w:val="0050120C"/>
    <w:rsid w:val="00503608"/>
    <w:rsid w:val="0051047C"/>
    <w:rsid w:val="00520897"/>
    <w:rsid w:val="00526ADC"/>
    <w:rsid w:val="00532178"/>
    <w:rsid w:val="00545308"/>
    <w:rsid w:val="00560E48"/>
    <w:rsid w:val="00566A56"/>
    <w:rsid w:val="005918FA"/>
    <w:rsid w:val="005A03B1"/>
    <w:rsid w:val="005A6EB8"/>
    <w:rsid w:val="005A7FAF"/>
    <w:rsid w:val="005B19CC"/>
    <w:rsid w:val="005D21A4"/>
    <w:rsid w:val="005D39EA"/>
    <w:rsid w:val="005D5EBF"/>
    <w:rsid w:val="005D7696"/>
    <w:rsid w:val="005E1CA8"/>
    <w:rsid w:val="005E2F36"/>
    <w:rsid w:val="006039F4"/>
    <w:rsid w:val="00610CFD"/>
    <w:rsid w:val="00630D06"/>
    <w:rsid w:val="0063497D"/>
    <w:rsid w:val="006435BE"/>
    <w:rsid w:val="006625E7"/>
    <w:rsid w:val="0066398E"/>
    <w:rsid w:val="00666CF0"/>
    <w:rsid w:val="006717F4"/>
    <w:rsid w:val="00676864"/>
    <w:rsid w:val="006827E6"/>
    <w:rsid w:val="006947E3"/>
    <w:rsid w:val="00695EEE"/>
    <w:rsid w:val="00697022"/>
    <w:rsid w:val="006A15AB"/>
    <w:rsid w:val="006A6943"/>
    <w:rsid w:val="006A7059"/>
    <w:rsid w:val="006B117A"/>
    <w:rsid w:val="006B1962"/>
    <w:rsid w:val="006B33D5"/>
    <w:rsid w:val="006B76CD"/>
    <w:rsid w:val="006C1F71"/>
    <w:rsid w:val="006C379E"/>
    <w:rsid w:val="006E0422"/>
    <w:rsid w:val="006E0718"/>
    <w:rsid w:val="00702C81"/>
    <w:rsid w:val="00703FFB"/>
    <w:rsid w:val="00706946"/>
    <w:rsid w:val="00710819"/>
    <w:rsid w:val="00711F61"/>
    <w:rsid w:val="00734482"/>
    <w:rsid w:val="00736492"/>
    <w:rsid w:val="00741B05"/>
    <w:rsid w:val="00751A0B"/>
    <w:rsid w:val="00752F1D"/>
    <w:rsid w:val="0075410C"/>
    <w:rsid w:val="00760CC6"/>
    <w:rsid w:val="00767CC8"/>
    <w:rsid w:val="00772AF9"/>
    <w:rsid w:val="00780E99"/>
    <w:rsid w:val="0078529B"/>
    <w:rsid w:val="00786230"/>
    <w:rsid w:val="00797FB9"/>
    <w:rsid w:val="007A649A"/>
    <w:rsid w:val="007B043C"/>
    <w:rsid w:val="007B6131"/>
    <w:rsid w:val="007C0E06"/>
    <w:rsid w:val="007C3F6D"/>
    <w:rsid w:val="007E0D9D"/>
    <w:rsid w:val="007E21A7"/>
    <w:rsid w:val="007F17F9"/>
    <w:rsid w:val="00834D96"/>
    <w:rsid w:val="00861C99"/>
    <w:rsid w:val="00892FA6"/>
    <w:rsid w:val="00895A2D"/>
    <w:rsid w:val="008A2221"/>
    <w:rsid w:val="008A3C18"/>
    <w:rsid w:val="008B1893"/>
    <w:rsid w:val="008E634C"/>
    <w:rsid w:val="008F4C7F"/>
    <w:rsid w:val="00922458"/>
    <w:rsid w:val="00934001"/>
    <w:rsid w:val="009419D6"/>
    <w:rsid w:val="00943E2A"/>
    <w:rsid w:val="009814CB"/>
    <w:rsid w:val="00982371"/>
    <w:rsid w:val="009A1010"/>
    <w:rsid w:val="009A3A5E"/>
    <w:rsid w:val="009A4FD4"/>
    <w:rsid w:val="009A4FD6"/>
    <w:rsid w:val="009B0365"/>
    <w:rsid w:val="009D190B"/>
    <w:rsid w:val="009E118C"/>
    <w:rsid w:val="009F2565"/>
    <w:rsid w:val="00A14BAB"/>
    <w:rsid w:val="00A15B79"/>
    <w:rsid w:val="00A17031"/>
    <w:rsid w:val="00A2523A"/>
    <w:rsid w:val="00A33DED"/>
    <w:rsid w:val="00A352F3"/>
    <w:rsid w:val="00A41140"/>
    <w:rsid w:val="00A50306"/>
    <w:rsid w:val="00A55194"/>
    <w:rsid w:val="00A6656E"/>
    <w:rsid w:val="00A80199"/>
    <w:rsid w:val="00A83CEC"/>
    <w:rsid w:val="00A92635"/>
    <w:rsid w:val="00A93CDF"/>
    <w:rsid w:val="00A9726C"/>
    <w:rsid w:val="00AA04EA"/>
    <w:rsid w:val="00AA5516"/>
    <w:rsid w:val="00AC2748"/>
    <w:rsid w:val="00AE0CE8"/>
    <w:rsid w:val="00AE2E96"/>
    <w:rsid w:val="00AF5C6E"/>
    <w:rsid w:val="00B004A7"/>
    <w:rsid w:val="00B106EA"/>
    <w:rsid w:val="00B131AB"/>
    <w:rsid w:val="00B26FED"/>
    <w:rsid w:val="00B315B8"/>
    <w:rsid w:val="00B32113"/>
    <w:rsid w:val="00B3474B"/>
    <w:rsid w:val="00B372BC"/>
    <w:rsid w:val="00B55623"/>
    <w:rsid w:val="00B62C5B"/>
    <w:rsid w:val="00B63018"/>
    <w:rsid w:val="00B6345B"/>
    <w:rsid w:val="00B67968"/>
    <w:rsid w:val="00B7253E"/>
    <w:rsid w:val="00B85ED4"/>
    <w:rsid w:val="00BA0907"/>
    <w:rsid w:val="00BB0F74"/>
    <w:rsid w:val="00BB3D2D"/>
    <w:rsid w:val="00BE4D1E"/>
    <w:rsid w:val="00C246EA"/>
    <w:rsid w:val="00C3407B"/>
    <w:rsid w:val="00C5674F"/>
    <w:rsid w:val="00C60DF0"/>
    <w:rsid w:val="00C7381B"/>
    <w:rsid w:val="00C76DDD"/>
    <w:rsid w:val="00C818DC"/>
    <w:rsid w:val="00C82860"/>
    <w:rsid w:val="00C879B4"/>
    <w:rsid w:val="00CB45ED"/>
    <w:rsid w:val="00CD3857"/>
    <w:rsid w:val="00CF512D"/>
    <w:rsid w:val="00D06675"/>
    <w:rsid w:val="00D127E8"/>
    <w:rsid w:val="00D1493E"/>
    <w:rsid w:val="00D2003B"/>
    <w:rsid w:val="00D35DDB"/>
    <w:rsid w:val="00D375E3"/>
    <w:rsid w:val="00D37CA0"/>
    <w:rsid w:val="00D46EC0"/>
    <w:rsid w:val="00D51ECC"/>
    <w:rsid w:val="00D720B2"/>
    <w:rsid w:val="00DA2A63"/>
    <w:rsid w:val="00DB2038"/>
    <w:rsid w:val="00DB7657"/>
    <w:rsid w:val="00DC1E6C"/>
    <w:rsid w:val="00DD585C"/>
    <w:rsid w:val="00DE2ACB"/>
    <w:rsid w:val="00DF0E7C"/>
    <w:rsid w:val="00DF2C79"/>
    <w:rsid w:val="00DF2D60"/>
    <w:rsid w:val="00DF5C7E"/>
    <w:rsid w:val="00E03C90"/>
    <w:rsid w:val="00E07B62"/>
    <w:rsid w:val="00E20E1C"/>
    <w:rsid w:val="00E26F18"/>
    <w:rsid w:val="00E36827"/>
    <w:rsid w:val="00E53DE7"/>
    <w:rsid w:val="00E7045A"/>
    <w:rsid w:val="00E71582"/>
    <w:rsid w:val="00E74E2F"/>
    <w:rsid w:val="00E76A5C"/>
    <w:rsid w:val="00E76B5F"/>
    <w:rsid w:val="00E8026F"/>
    <w:rsid w:val="00E8028A"/>
    <w:rsid w:val="00E81BB8"/>
    <w:rsid w:val="00E965B6"/>
    <w:rsid w:val="00EA7C8E"/>
    <w:rsid w:val="00EB7884"/>
    <w:rsid w:val="00EC01B0"/>
    <w:rsid w:val="00EC4E49"/>
    <w:rsid w:val="00ED4444"/>
    <w:rsid w:val="00EF54ED"/>
    <w:rsid w:val="00F17541"/>
    <w:rsid w:val="00F17F74"/>
    <w:rsid w:val="00F45425"/>
    <w:rsid w:val="00F52D8E"/>
    <w:rsid w:val="00F60DE7"/>
    <w:rsid w:val="00F842DF"/>
    <w:rsid w:val="00FA2F70"/>
    <w:rsid w:val="00FE1CC8"/>
    <w:rsid w:val="00FE59CE"/>
    <w:rsid w:val="00FF627C"/>
    <w:rsid w:val="010F29C2"/>
    <w:rsid w:val="013A9D6F"/>
    <w:rsid w:val="01A3CA61"/>
    <w:rsid w:val="01B3C712"/>
    <w:rsid w:val="032B2CC1"/>
    <w:rsid w:val="0592345D"/>
    <w:rsid w:val="05E4B6D6"/>
    <w:rsid w:val="05F3C88C"/>
    <w:rsid w:val="069F1FAD"/>
    <w:rsid w:val="0713AB47"/>
    <w:rsid w:val="076C78C1"/>
    <w:rsid w:val="09BF2D4D"/>
    <w:rsid w:val="0A4D6986"/>
    <w:rsid w:val="0B8977F3"/>
    <w:rsid w:val="0BD17792"/>
    <w:rsid w:val="0BFA2A9A"/>
    <w:rsid w:val="0E87A0C4"/>
    <w:rsid w:val="0F2C718D"/>
    <w:rsid w:val="0F44D5D0"/>
    <w:rsid w:val="0FD83D28"/>
    <w:rsid w:val="113831B6"/>
    <w:rsid w:val="1222A140"/>
    <w:rsid w:val="1234B2F4"/>
    <w:rsid w:val="12380DF6"/>
    <w:rsid w:val="127E442F"/>
    <w:rsid w:val="13E9300E"/>
    <w:rsid w:val="14BDCE50"/>
    <w:rsid w:val="14E2F325"/>
    <w:rsid w:val="1584B668"/>
    <w:rsid w:val="1650C9E5"/>
    <w:rsid w:val="16B530B1"/>
    <w:rsid w:val="186DF7D0"/>
    <w:rsid w:val="193E5498"/>
    <w:rsid w:val="1943F1CB"/>
    <w:rsid w:val="19D50772"/>
    <w:rsid w:val="1A27D3BA"/>
    <w:rsid w:val="1A495E61"/>
    <w:rsid w:val="1A4D257D"/>
    <w:rsid w:val="1BB6B0F4"/>
    <w:rsid w:val="1BF85404"/>
    <w:rsid w:val="1C00751B"/>
    <w:rsid w:val="1C5A74C9"/>
    <w:rsid w:val="1CAA4736"/>
    <w:rsid w:val="1E408CFC"/>
    <w:rsid w:val="1F1DCA50"/>
    <w:rsid w:val="1F6CC22E"/>
    <w:rsid w:val="1FF7F08B"/>
    <w:rsid w:val="2319BD94"/>
    <w:rsid w:val="249DC61A"/>
    <w:rsid w:val="256EC3CC"/>
    <w:rsid w:val="25A5C20F"/>
    <w:rsid w:val="27EA941F"/>
    <w:rsid w:val="2816C04F"/>
    <w:rsid w:val="28F789A2"/>
    <w:rsid w:val="2902BE20"/>
    <w:rsid w:val="2BAD4F4E"/>
    <w:rsid w:val="2CCC539A"/>
    <w:rsid w:val="2CFAE3AF"/>
    <w:rsid w:val="2F4E0616"/>
    <w:rsid w:val="2FF88725"/>
    <w:rsid w:val="30227C2B"/>
    <w:rsid w:val="30283562"/>
    <w:rsid w:val="30E12123"/>
    <w:rsid w:val="333E793B"/>
    <w:rsid w:val="33F12448"/>
    <w:rsid w:val="33FB614A"/>
    <w:rsid w:val="342BCF14"/>
    <w:rsid w:val="345586FE"/>
    <w:rsid w:val="34A02C8F"/>
    <w:rsid w:val="365905AA"/>
    <w:rsid w:val="36E9F3BB"/>
    <w:rsid w:val="37063507"/>
    <w:rsid w:val="37633DA3"/>
    <w:rsid w:val="38B5AA10"/>
    <w:rsid w:val="3A3BB4EC"/>
    <w:rsid w:val="3A7EF940"/>
    <w:rsid w:val="3A893D81"/>
    <w:rsid w:val="3A974095"/>
    <w:rsid w:val="3D89268D"/>
    <w:rsid w:val="3DC902E0"/>
    <w:rsid w:val="3E86354B"/>
    <w:rsid w:val="3F3A2E04"/>
    <w:rsid w:val="4021E013"/>
    <w:rsid w:val="40DB4878"/>
    <w:rsid w:val="40EFCA94"/>
    <w:rsid w:val="4374F9DF"/>
    <w:rsid w:val="44AABE73"/>
    <w:rsid w:val="4503CC7C"/>
    <w:rsid w:val="45598BC5"/>
    <w:rsid w:val="45ADDF1D"/>
    <w:rsid w:val="478F406D"/>
    <w:rsid w:val="47C7DFAC"/>
    <w:rsid w:val="49F03DD8"/>
    <w:rsid w:val="4DF601DC"/>
    <w:rsid w:val="4FD1EC39"/>
    <w:rsid w:val="505E368C"/>
    <w:rsid w:val="5156A83E"/>
    <w:rsid w:val="5160443C"/>
    <w:rsid w:val="5168B8D7"/>
    <w:rsid w:val="518A2A70"/>
    <w:rsid w:val="519CB809"/>
    <w:rsid w:val="519D0D49"/>
    <w:rsid w:val="521096DF"/>
    <w:rsid w:val="53463590"/>
    <w:rsid w:val="541EAB10"/>
    <w:rsid w:val="54E91B17"/>
    <w:rsid w:val="55A8E20D"/>
    <w:rsid w:val="56AD2C87"/>
    <w:rsid w:val="570221FD"/>
    <w:rsid w:val="579727C3"/>
    <w:rsid w:val="58CAE18B"/>
    <w:rsid w:val="5AC174D4"/>
    <w:rsid w:val="5B4D21E2"/>
    <w:rsid w:val="5BEC3481"/>
    <w:rsid w:val="5C0D4E03"/>
    <w:rsid w:val="5E54D099"/>
    <w:rsid w:val="5E784D08"/>
    <w:rsid w:val="5F734519"/>
    <w:rsid w:val="610FBF79"/>
    <w:rsid w:val="61C1B5C3"/>
    <w:rsid w:val="62CFDE48"/>
    <w:rsid w:val="646F7F01"/>
    <w:rsid w:val="656D94A9"/>
    <w:rsid w:val="658603D2"/>
    <w:rsid w:val="66B73BF1"/>
    <w:rsid w:val="6853CD01"/>
    <w:rsid w:val="68638703"/>
    <w:rsid w:val="692BD441"/>
    <w:rsid w:val="6A50F75D"/>
    <w:rsid w:val="6AFAF85D"/>
    <w:rsid w:val="6B06865A"/>
    <w:rsid w:val="6B766DEB"/>
    <w:rsid w:val="708C0B49"/>
    <w:rsid w:val="70949CA7"/>
    <w:rsid w:val="7105719B"/>
    <w:rsid w:val="71DF2554"/>
    <w:rsid w:val="724A365C"/>
    <w:rsid w:val="72655754"/>
    <w:rsid w:val="72C030B2"/>
    <w:rsid w:val="72E13A98"/>
    <w:rsid w:val="733101B7"/>
    <w:rsid w:val="7344AFFF"/>
    <w:rsid w:val="73A354E1"/>
    <w:rsid w:val="73FADC0D"/>
    <w:rsid w:val="7436EE35"/>
    <w:rsid w:val="7559157A"/>
    <w:rsid w:val="756F99B7"/>
    <w:rsid w:val="75FEAB55"/>
    <w:rsid w:val="76AF71F9"/>
    <w:rsid w:val="77971E00"/>
    <w:rsid w:val="77C9B9C9"/>
    <w:rsid w:val="7962E334"/>
    <w:rsid w:val="7A4B5FF6"/>
    <w:rsid w:val="7AA74C8F"/>
    <w:rsid w:val="7B187B0E"/>
    <w:rsid w:val="7BB1E2AE"/>
    <w:rsid w:val="7BCBFE8D"/>
    <w:rsid w:val="7CD14BCC"/>
    <w:rsid w:val="7CD42786"/>
    <w:rsid w:val="7DD37B34"/>
    <w:rsid w:val="7E7E33D6"/>
    <w:rsid w:val="7FF68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15:docId w15:val="{FDDD75CC-8C9F-4AAF-815E-6B112CE3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UnresolvedMention">
    <w:name w:val="Unresolved Mention"/>
    <w:basedOn w:val="DefaultParagraphFont"/>
    <w:uiPriority w:val="99"/>
    <w:semiHidden/>
    <w:unhideWhenUsed/>
    <w:rsid w:val="00767CC8"/>
    <w:rPr>
      <w:color w:val="605E5C"/>
      <w:shd w:val="clear" w:color="auto" w:fill="E1DFDD"/>
    </w:rPr>
  </w:style>
  <w:style w:type="paragraph" w:styleId="BodyTextIndent2">
    <w:name w:val="Body Text Indent 2"/>
    <w:basedOn w:val="Normal"/>
    <w:link w:val="BodyTextIndent2Char"/>
    <w:rsid w:val="00734482"/>
    <w:pPr>
      <w:overflowPunct w:val="0"/>
      <w:autoSpaceDE w:val="0"/>
      <w:autoSpaceDN w:val="0"/>
      <w:adjustRightInd w:val="0"/>
      <w:spacing w:after="0" w:line="240" w:lineRule="auto"/>
      <w:ind w:left="360"/>
      <w:textAlignment w:val="baseline"/>
    </w:pPr>
    <w:rPr>
      <w:rFonts w:ascii="Times New Roman" w:hAnsi="Times New Roman"/>
      <w:sz w:val="24"/>
      <w:szCs w:val="20"/>
    </w:rPr>
  </w:style>
  <w:style w:type="character" w:customStyle="1" w:styleId="BodyTextIndent2Char">
    <w:name w:val="Body Text Indent 2 Char"/>
    <w:basedOn w:val="DefaultParagraphFont"/>
    <w:link w:val="BodyTextIndent2"/>
    <w:rsid w:val="00734482"/>
    <w:rPr>
      <w:rFonts w:ascii="Times New Roman" w:hAnsi="Times New Roman"/>
      <w:sz w:val="24"/>
    </w:rPr>
  </w:style>
  <w:style w:type="character" w:styleId="FollowedHyperlink">
    <w:name w:val="FollowedHyperlink"/>
    <w:basedOn w:val="DefaultParagraphFont"/>
    <w:uiPriority w:val="99"/>
    <w:semiHidden/>
    <w:unhideWhenUsed/>
    <w:rsid w:val="00241471"/>
    <w:rPr>
      <w:color w:val="954F72" w:themeColor="followedHyperlink"/>
      <w:u w:val="single"/>
    </w:rPr>
  </w:style>
  <w:style w:type="character" w:styleId="CommentReference">
    <w:name w:val="annotation reference"/>
    <w:basedOn w:val="DefaultParagraphFont"/>
    <w:uiPriority w:val="99"/>
    <w:semiHidden/>
    <w:unhideWhenUsed/>
    <w:rsid w:val="003E0BF8"/>
    <w:rPr>
      <w:sz w:val="16"/>
      <w:szCs w:val="16"/>
    </w:rPr>
  </w:style>
  <w:style w:type="paragraph" w:styleId="CommentText">
    <w:name w:val="annotation text"/>
    <w:basedOn w:val="Normal"/>
    <w:link w:val="CommentTextChar"/>
    <w:uiPriority w:val="99"/>
    <w:unhideWhenUsed/>
    <w:rsid w:val="003E0BF8"/>
    <w:pPr>
      <w:spacing w:line="240" w:lineRule="auto"/>
    </w:pPr>
    <w:rPr>
      <w:sz w:val="20"/>
      <w:szCs w:val="20"/>
    </w:rPr>
  </w:style>
  <w:style w:type="character" w:customStyle="1" w:styleId="CommentTextChar">
    <w:name w:val="Comment Text Char"/>
    <w:basedOn w:val="DefaultParagraphFont"/>
    <w:link w:val="CommentText"/>
    <w:uiPriority w:val="99"/>
    <w:rsid w:val="003E0BF8"/>
  </w:style>
  <w:style w:type="paragraph" w:styleId="CommentSubject">
    <w:name w:val="annotation subject"/>
    <w:basedOn w:val="CommentText"/>
    <w:next w:val="CommentText"/>
    <w:link w:val="CommentSubjectChar"/>
    <w:uiPriority w:val="99"/>
    <w:semiHidden/>
    <w:unhideWhenUsed/>
    <w:rsid w:val="003E0BF8"/>
    <w:rPr>
      <w:b/>
      <w:bCs/>
    </w:rPr>
  </w:style>
  <w:style w:type="character" w:customStyle="1" w:styleId="CommentSubjectChar">
    <w:name w:val="Comment Subject Char"/>
    <w:basedOn w:val="CommentTextChar"/>
    <w:link w:val="CommentSubject"/>
    <w:uiPriority w:val="99"/>
    <w:semiHidden/>
    <w:rsid w:val="003E0BF8"/>
    <w:rPr>
      <w:b/>
      <w:bCs/>
    </w:rPr>
  </w:style>
  <w:style w:type="paragraph" w:customStyle="1" w:styleId="paragraph">
    <w:name w:val="paragraph"/>
    <w:basedOn w:val="Normal"/>
    <w:rsid w:val="003B01A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B01A8"/>
  </w:style>
  <w:style w:type="character" w:customStyle="1" w:styleId="eop">
    <w:name w:val="eop"/>
    <w:basedOn w:val="DefaultParagraphFont"/>
    <w:rsid w:val="003B01A8"/>
  </w:style>
  <w:style w:type="character" w:customStyle="1" w:styleId="superscript">
    <w:name w:val="superscript"/>
    <w:basedOn w:val="DefaultParagraphFont"/>
    <w:rsid w:val="003B01A8"/>
  </w:style>
  <w:style w:type="paragraph" w:styleId="FootnoteText">
    <w:name w:val="footnote text"/>
    <w:basedOn w:val="Normal"/>
    <w:link w:val="FootnoteTextChar"/>
    <w:uiPriority w:val="99"/>
    <w:semiHidden/>
    <w:unhideWhenUsed/>
    <w:rsid w:val="003B01A8"/>
    <w:pPr>
      <w:widowControl w:val="0"/>
      <w:overflowPunct w:val="0"/>
      <w:autoSpaceDE w:val="0"/>
      <w:autoSpaceDN w:val="0"/>
      <w:adjustRightInd w:val="0"/>
      <w:spacing w:after="0" w:line="240" w:lineRule="auto"/>
      <w:textAlignment w:val="baseline"/>
    </w:pPr>
    <w:rPr>
      <w:rFonts w:ascii="Times New Roman" w:hAnsi="Times New Roman"/>
      <w:spacing w:val="-3"/>
      <w:sz w:val="20"/>
      <w:szCs w:val="20"/>
    </w:rPr>
  </w:style>
  <w:style w:type="character" w:customStyle="1" w:styleId="FootnoteTextChar">
    <w:name w:val="Footnote Text Char"/>
    <w:basedOn w:val="DefaultParagraphFont"/>
    <w:link w:val="FootnoteText"/>
    <w:uiPriority w:val="99"/>
    <w:semiHidden/>
    <w:rsid w:val="003B01A8"/>
    <w:rPr>
      <w:rFonts w:ascii="Times New Roman" w:hAnsi="Times New Roman"/>
      <w:spacing w:val="-3"/>
    </w:rPr>
  </w:style>
  <w:style w:type="character" w:styleId="FootnoteReference">
    <w:name w:val="footnote reference"/>
    <w:basedOn w:val="DefaultParagraphFont"/>
    <w:uiPriority w:val="99"/>
    <w:semiHidden/>
    <w:unhideWhenUsed/>
    <w:rsid w:val="003B0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4" ma:contentTypeDescription="Create a new document." ma:contentTypeScope="" ma:versionID="2cd49d90d403be5f0ad58c390bed39ef">
  <xsd:schema xmlns:xsd="http://www.w3.org/2001/XMLSchema" xmlns:xs="http://www.w3.org/2001/XMLSchema" xmlns:p="http://schemas.microsoft.com/office/2006/metadata/properties" xmlns:ns2="ba319603-f71a-48c2-8060-76d261417389" xmlns:ns3="0b6d7606-f113-4f44-988f-469405979d5a" targetNamespace="http://schemas.microsoft.com/office/2006/metadata/properties" ma:root="true" ma:fieldsID="d96e4865ef3783e5fd85db35d01c85e8" ns2:_="" ns3:_="">
    <xsd:import namespace="ba319603-f71a-48c2-8060-76d261417389"/>
    <xsd:import namespace="0b6d7606-f113-4f44-988f-469405979d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19603-f71a-48c2-8060-76d26141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d7606-f113-4f44-988f-469405979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2.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68093-019F-48DE-B2D2-F083E014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19603-f71a-48c2-8060-76d261417389"/>
    <ds:schemaRef ds:uri="0b6d7606-f113-4f44-988f-46940597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Housing and Urban Development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Porton, Adam R</cp:lastModifiedBy>
  <cp:revision>56</cp:revision>
  <cp:lastPrinted>2015-10-22T20:43:00Z</cp:lastPrinted>
  <dcterms:created xsi:type="dcterms:W3CDTF">2022-09-27T18:21:00Z</dcterms:created>
  <dcterms:modified xsi:type="dcterms:W3CDTF">2023-01-26T23:26:59Z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