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362D" w14:paraId="66E05D22" w14:textId="129EBCC8"/>
    <w:p w:rsidR="00441D54" w:rsidP="00441D54" w14:paraId="70181890" w14:textId="77777777">
      <w:pPr>
        <w:spacing w:after="160" w:line="252" w:lineRule="auto"/>
        <w:rPr>
          <w:b/>
          <w:bCs/>
        </w:rPr>
      </w:pPr>
      <w:r>
        <w:rPr>
          <w:b/>
          <w:bCs/>
        </w:rPr>
        <w:t>RE: OMB Collection 2502-0621, Housing Counseling Notice of Funding Opportunity (NOFO)</w:t>
      </w:r>
    </w:p>
    <w:p w:rsidR="00441D54" w14:paraId="6EBCFFEC" w14:textId="79E83890">
      <w:pPr>
        <w:rPr>
          <w:b/>
          <w:bCs/>
        </w:rPr>
      </w:pPr>
      <w:r w:rsidRPr="00441D54">
        <w:rPr>
          <w:b/>
          <w:bCs/>
        </w:rPr>
        <w:t>*Quarterly and Final Reporting*</w:t>
      </w:r>
    </w:p>
    <w:tbl>
      <w:tblPr>
        <w:tblStyle w:val="GridTable2Accent3"/>
        <w:tblW w:w="10440" w:type="dxa"/>
        <w:tblInd w:w="-533" w:type="dxa"/>
        <w:tblLayout w:type="fixed"/>
        <w:tblLook w:val="0000"/>
      </w:tblPr>
      <w:tblGrid>
        <w:gridCol w:w="1795"/>
        <w:gridCol w:w="1260"/>
        <w:gridCol w:w="1170"/>
        <w:gridCol w:w="1170"/>
        <w:gridCol w:w="1080"/>
        <w:gridCol w:w="1080"/>
        <w:gridCol w:w="810"/>
        <w:gridCol w:w="990"/>
        <w:gridCol w:w="1085"/>
      </w:tblGrid>
      <w:tr w14:paraId="12104283" w14:textId="77777777" w:rsidTr="00441D54">
        <w:tblPrEx>
          <w:tblW w:w="10440" w:type="dxa"/>
          <w:tblInd w:w="-533" w:type="dxa"/>
          <w:tblLayout w:type="fixed"/>
          <w:tblLook w:val="0000"/>
        </w:tblPrEx>
        <w:tc>
          <w:tcPr>
            <w:tcW w:w="1795" w:type="dxa"/>
          </w:tcPr>
          <w:p w:rsidR="00441D54" w:rsidRPr="00034B82" w:rsidP="00686787" w14:paraId="448D4657" w14:textId="77777777">
            <w:pPr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Information Collection / Type of Respondent</w:t>
            </w:r>
          </w:p>
        </w:tc>
        <w:tc>
          <w:tcPr>
            <w:tcW w:w="1260" w:type="dxa"/>
          </w:tcPr>
          <w:p w:rsidR="00441D54" w:rsidRPr="00034B82" w:rsidP="00686787" w14:paraId="7AD05124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</w:p>
          <w:p w:rsidR="00441D54" w:rsidRPr="00034B82" w:rsidP="00686787" w14:paraId="24C5D49B" w14:textId="77777777">
            <w:pPr>
              <w:ind w:right="-108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 xml:space="preserve">Form Name / Form Number </w:t>
            </w:r>
          </w:p>
        </w:tc>
        <w:tc>
          <w:tcPr>
            <w:tcW w:w="1170" w:type="dxa"/>
          </w:tcPr>
          <w:p w:rsidR="00441D54" w:rsidRPr="00034B82" w:rsidP="00686787" w14:paraId="547A01F8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Number of Respondents</w:t>
            </w:r>
          </w:p>
        </w:tc>
        <w:tc>
          <w:tcPr>
            <w:tcW w:w="1170" w:type="dxa"/>
          </w:tcPr>
          <w:p w:rsidR="00441D54" w:rsidRPr="00034B82" w:rsidP="00686787" w14:paraId="67AA61C1" w14:textId="77777777">
            <w:pPr>
              <w:ind w:left="72"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Frequency of Response</w:t>
            </w:r>
          </w:p>
        </w:tc>
        <w:tc>
          <w:tcPr>
            <w:tcW w:w="1080" w:type="dxa"/>
          </w:tcPr>
          <w:p w:rsidR="00441D54" w:rsidRPr="00034B82" w:rsidP="00686787" w14:paraId="0E752114" w14:textId="77777777">
            <w:pPr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Respons</w:t>
            </w:r>
            <w:r>
              <w:rPr>
                <w:rFonts w:ascii="Helvetica" w:hAnsi="Helvetica"/>
                <w:b/>
                <w:bCs/>
                <w:sz w:val="18"/>
              </w:rPr>
              <w:t>e</w:t>
            </w:r>
            <w:r w:rsidRPr="00034B82">
              <w:rPr>
                <w:rFonts w:ascii="Helvetica" w:hAnsi="Helvetica"/>
                <w:b/>
                <w:bCs/>
                <w:sz w:val="18"/>
              </w:rPr>
              <w:t>s Per Year</w:t>
            </w:r>
          </w:p>
        </w:tc>
        <w:tc>
          <w:tcPr>
            <w:tcW w:w="1080" w:type="dxa"/>
          </w:tcPr>
          <w:p w:rsidR="00441D54" w:rsidRPr="00034B82" w:rsidP="00686787" w14:paraId="3E82A853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Average</w:t>
            </w:r>
            <w:r w:rsidRPr="00034B82">
              <w:rPr>
                <w:rFonts w:ascii="Helvetica" w:hAnsi="Helvetica"/>
                <w:b/>
                <w:bCs/>
                <w:sz w:val="18"/>
              </w:rPr>
              <w:br/>
              <w:t>Burden Hours Per Response</w:t>
            </w:r>
          </w:p>
        </w:tc>
        <w:tc>
          <w:tcPr>
            <w:tcW w:w="810" w:type="dxa"/>
          </w:tcPr>
          <w:p w:rsidR="00441D54" w:rsidRPr="00034B82" w:rsidP="00686787" w14:paraId="35804A80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Annual Burden Hours</w:t>
            </w:r>
          </w:p>
        </w:tc>
        <w:tc>
          <w:tcPr>
            <w:tcW w:w="990" w:type="dxa"/>
          </w:tcPr>
          <w:p w:rsidR="00441D54" w:rsidRPr="00034B82" w:rsidP="00686787" w14:paraId="15B6DBE1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Hourly Cost per Response</w:t>
            </w:r>
          </w:p>
          <w:p w:rsidR="00441D54" w:rsidRPr="00034B82" w:rsidP="00686787" w14:paraId="231E163D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(Hourly Wage Rate)</w:t>
            </w:r>
          </w:p>
        </w:tc>
        <w:tc>
          <w:tcPr>
            <w:tcW w:w="1085" w:type="dxa"/>
          </w:tcPr>
          <w:p w:rsidR="00441D54" w:rsidRPr="00034B82" w:rsidP="00686787" w14:paraId="5447F149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</w:p>
          <w:p w:rsidR="00441D54" w:rsidRPr="00034B82" w:rsidP="00686787" w14:paraId="6700502A" w14:textId="77777777">
            <w:pPr>
              <w:ind w:right="-108"/>
              <w:jc w:val="center"/>
              <w:rPr>
                <w:rFonts w:ascii="Helvetica" w:hAnsi="Helvetica"/>
                <w:b/>
                <w:bCs/>
                <w:sz w:val="18"/>
              </w:rPr>
            </w:pPr>
            <w:r w:rsidRPr="00034B82">
              <w:rPr>
                <w:rFonts w:ascii="Helvetica" w:hAnsi="Helvetica"/>
                <w:b/>
                <w:bCs/>
                <w:sz w:val="18"/>
              </w:rPr>
              <w:t>Total Annual Respondent Cost</w:t>
            </w:r>
          </w:p>
        </w:tc>
      </w:tr>
      <w:tr w14:paraId="451EC3ED" w14:textId="77777777" w:rsidTr="00441D54">
        <w:tblPrEx>
          <w:tblW w:w="10440" w:type="dxa"/>
          <w:tblInd w:w="-533" w:type="dxa"/>
          <w:tblLayout w:type="fixed"/>
          <w:tblLook w:val="0000"/>
        </w:tblPrEx>
        <w:tc>
          <w:tcPr>
            <w:tcW w:w="1795" w:type="dxa"/>
          </w:tcPr>
          <w:p w:rsidR="00441D54" w:rsidRPr="00441D54" w:rsidP="00441D54" w14:paraId="61E3E823" w14:textId="77777777">
            <w:pPr>
              <w:rPr>
                <w:rFonts w:ascii="Helvetica" w:hAnsi="Helvetica" w:cs="Times New Roman"/>
                <w:bCs/>
                <w:sz w:val="18"/>
                <w:szCs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  <w:szCs w:val="18"/>
              </w:rPr>
              <w:t>Not-for-profit HUD-approved Housing Counseling Intermediaries and Local agencies</w:t>
            </w:r>
          </w:p>
        </w:tc>
        <w:tc>
          <w:tcPr>
            <w:tcW w:w="1260" w:type="dxa"/>
          </w:tcPr>
          <w:p w:rsidR="00441D54" w:rsidRPr="00441D54" w:rsidP="00441D54" w14:paraId="7F4D6F50" w14:textId="77777777">
            <w:pPr>
              <w:jc w:val="center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441D54">
              <w:rPr>
                <w:rFonts w:ascii="Helvetica" w:hAnsi="Helvetica" w:cs="Helvetica"/>
                <w:bCs/>
                <w:sz w:val="18"/>
                <w:szCs w:val="18"/>
              </w:rPr>
              <w:t>Quarterly and final reporting</w:t>
            </w:r>
          </w:p>
        </w:tc>
        <w:tc>
          <w:tcPr>
            <w:tcW w:w="1170" w:type="dxa"/>
          </w:tcPr>
          <w:p w:rsidR="00441D54" w:rsidRPr="00441D54" w:rsidP="00441D54" w14:paraId="58B43FC8" w14:textId="77777777">
            <w:pPr>
              <w:jc w:val="center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300</w:t>
            </w:r>
          </w:p>
        </w:tc>
        <w:tc>
          <w:tcPr>
            <w:tcW w:w="1170" w:type="dxa"/>
          </w:tcPr>
          <w:p w:rsidR="00441D54" w:rsidRPr="00441D54" w:rsidP="00441D54" w14:paraId="15FFAEE8" w14:textId="77777777">
            <w:pPr>
              <w:jc w:val="center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5</w:t>
            </w:r>
          </w:p>
        </w:tc>
        <w:tc>
          <w:tcPr>
            <w:tcW w:w="1080" w:type="dxa"/>
          </w:tcPr>
          <w:p w:rsidR="00441D54" w:rsidRPr="00441D54" w:rsidP="00441D54" w14:paraId="0CE5A631" w14:textId="77777777">
            <w:pPr>
              <w:jc w:val="center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1,500</w:t>
            </w:r>
          </w:p>
        </w:tc>
        <w:tc>
          <w:tcPr>
            <w:tcW w:w="1080" w:type="dxa"/>
          </w:tcPr>
          <w:p w:rsidR="00441D54" w:rsidRPr="00441D54" w:rsidP="00441D54" w14:paraId="61256A35" w14:textId="77777777">
            <w:pPr>
              <w:jc w:val="center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1</w:t>
            </w:r>
          </w:p>
        </w:tc>
        <w:tc>
          <w:tcPr>
            <w:tcW w:w="810" w:type="dxa"/>
          </w:tcPr>
          <w:p w:rsidR="00441D54" w:rsidRPr="00441D54" w:rsidP="00441D54" w14:paraId="73686D3C" w14:textId="77777777">
            <w:pPr>
              <w:jc w:val="center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1,500</w:t>
            </w:r>
          </w:p>
        </w:tc>
        <w:tc>
          <w:tcPr>
            <w:tcW w:w="990" w:type="dxa"/>
          </w:tcPr>
          <w:p w:rsidR="00441D54" w:rsidRPr="00441D54" w:rsidP="00441D54" w14:paraId="08338BEA" w14:textId="77777777">
            <w:pPr>
              <w:jc w:val="right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$53.74</w:t>
            </w:r>
          </w:p>
        </w:tc>
        <w:tc>
          <w:tcPr>
            <w:tcW w:w="1085" w:type="dxa"/>
          </w:tcPr>
          <w:p w:rsidR="00441D54" w:rsidRPr="00441D54" w:rsidP="00441D54" w14:paraId="3C8B3FE3" w14:textId="77777777">
            <w:pPr>
              <w:jc w:val="right"/>
              <w:rPr>
                <w:rFonts w:ascii="Helvetica" w:hAnsi="Helvetica" w:cs="Times New Roman"/>
                <w:bCs/>
                <w:sz w:val="18"/>
              </w:rPr>
            </w:pPr>
            <w:r w:rsidRPr="00441D54">
              <w:rPr>
                <w:rFonts w:ascii="Helvetica" w:hAnsi="Helvetica" w:cs="Times New Roman"/>
                <w:bCs/>
                <w:sz w:val="18"/>
              </w:rPr>
              <w:t>$80,610</w:t>
            </w:r>
          </w:p>
        </w:tc>
      </w:tr>
    </w:tbl>
    <w:p w:rsidR="00441D54" w14:paraId="635D7E5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54"/>
    <w:rsid w:val="00034B82"/>
    <w:rsid w:val="00441D54"/>
    <w:rsid w:val="0056362D"/>
    <w:rsid w:val="00686787"/>
    <w:rsid w:val="009171B2"/>
    <w:rsid w:val="00C831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D56745"/>
  <w15:chartTrackingRefBased/>
  <w15:docId w15:val="{DA3029B5-4087-4B82-8703-E5D67DF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D54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Accent3">
    <w:name w:val="Grid Table 2 Accent 3"/>
    <w:basedOn w:val="TableNormal"/>
    <w:uiPriority w:val="47"/>
    <w:rsid w:val="00441D5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>U.S. Department of Housing and Urban Development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Sherina M</dc:creator>
  <cp:lastModifiedBy>Greene, Sherina M</cp:lastModifiedBy>
  <cp:revision>1</cp:revision>
  <dcterms:created xsi:type="dcterms:W3CDTF">2023-03-27T17:01:00Z</dcterms:created>
  <dcterms:modified xsi:type="dcterms:W3CDTF">2023-03-27T17:07:00Z</dcterms:modified>
</cp:coreProperties>
</file>