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6D73" w:rsidP="00BA2086" w14:paraId="083A8F34" w14:textId="77777777">
      <w:pPr>
        <w:pStyle w:val="paragraph"/>
        <w:spacing w:before="0" w:beforeAutospacing="0" w:after="0" w:afterAutospacing="0"/>
        <w:textAlignment w:val="baseline"/>
        <w:rPr>
          <w:rStyle w:val="normaltextrun"/>
          <w:rFonts w:ascii="Arial" w:hAnsi="Arial" w:cs="Arial"/>
          <w:b/>
          <w:bCs/>
        </w:rPr>
      </w:pPr>
    </w:p>
    <w:p w:rsidR="0084687A" w:rsidP="00BA2086" w14:paraId="798591F0" w14:textId="76DCF23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Federal Maritime Commission</w:t>
      </w:r>
    </w:p>
    <w:p w:rsidR="00123BEF" w:rsidP="00BA2086" w14:paraId="16881748" w14:textId="2924D1D0">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Title: Container vessel imports and exports.</w:t>
      </w:r>
    </w:p>
    <w:p w:rsidR="0084687A" w:rsidRPr="0084687A" w:rsidP="00BA2086" w14:paraId="2C315AD0" w14:textId="65A8C48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ICR Reference No. 202303-3072-001</w:t>
      </w:r>
    </w:p>
    <w:p w:rsidR="0084687A" w:rsidP="00BA2086" w14:paraId="3C6DEE6D" w14:textId="77777777">
      <w:pPr>
        <w:pStyle w:val="paragraph"/>
        <w:spacing w:before="0" w:beforeAutospacing="0" w:after="0" w:afterAutospacing="0"/>
        <w:textAlignment w:val="baseline"/>
        <w:rPr>
          <w:rStyle w:val="normaltextrun"/>
          <w:rFonts w:ascii="Arial" w:hAnsi="Arial" w:cs="Arial"/>
          <w:b/>
          <w:bCs/>
        </w:rPr>
      </w:pPr>
    </w:p>
    <w:p w:rsidR="00BA2086" w:rsidP="00BA2086" w14:paraId="0C8CCE8F" w14:textId="154613A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A. Justification</w:t>
      </w:r>
      <w:r>
        <w:rPr>
          <w:rStyle w:val="eop"/>
          <w:rFonts w:ascii="Arial" w:hAnsi="Arial" w:cs="Arial"/>
        </w:rPr>
        <w:t> </w:t>
      </w:r>
    </w:p>
    <w:p w:rsidR="00BA2086" w:rsidP="00BA2086" w14:paraId="10DCEB5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P="00BA2086" w14:paraId="063E1718" w14:textId="1A67B369">
      <w:pPr>
        <w:pStyle w:val="paragraph"/>
        <w:spacing w:before="0" w:beforeAutospacing="0" w:after="0" w:afterAutospacing="0"/>
        <w:textAlignment w:val="baseline"/>
        <w:rPr>
          <w:rStyle w:val="eop"/>
          <w:rFonts w:ascii="Arial" w:hAnsi="Arial" w:cs="Arial"/>
        </w:rPr>
      </w:pPr>
      <w:r>
        <w:rPr>
          <w:rStyle w:val="normaltextrun"/>
          <w:rFonts w:ascii="Arial" w:hAnsi="Arial" w:cs="Arial"/>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Style w:val="eop"/>
          <w:rFonts w:ascii="Arial" w:hAnsi="Arial" w:cs="Arial"/>
        </w:rPr>
        <w:t> </w:t>
      </w:r>
    </w:p>
    <w:p w:rsidR="00193C04" w:rsidP="00BA2086" w14:paraId="175A8DED" w14:textId="7AB3F8ED">
      <w:pPr>
        <w:pStyle w:val="paragraph"/>
        <w:spacing w:before="0" w:beforeAutospacing="0" w:after="0" w:afterAutospacing="0"/>
        <w:textAlignment w:val="baseline"/>
        <w:rPr>
          <w:rFonts w:ascii="Segoe UI" w:hAnsi="Segoe UI" w:cs="Segoe UI"/>
          <w:sz w:val="18"/>
          <w:szCs w:val="18"/>
        </w:rPr>
      </w:pPr>
    </w:p>
    <w:p w:rsidR="006F31DA" w:rsidP="00D10633" w14:paraId="650616D4" w14:textId="30E8EE61">
      <w:pPr>
        <w:pStyle w:val="paragraph"/>
        <w:spacing w:after="0"/>
        <w:textAlignment w:val="baseline"/>
        <w:rPr>
          <w:rFonts w:asciiTheme="minorHAnsi" w:hAnsiTheme="minorHAnsi" w:cstheme="minorHAnsi"/>
          <w:color w:val="333333"/>
          <w:sz w:val="22"/>
          <w:szCs w:val="22"/>
        </w:rPr>
      </w:pPr>
      <w:r w:rsidRPr="006154A4">
        <w:rPr>
          <w:rFonts w:asciiTheme="minorHAnsi" w:hAnsiTheme="minorHAnsi" w:cstheme="minorBidi"/>
        </w:rPr>
        <w:t xml:space="preserve">The Ocean Shipping Reform Act of 2022 </w:t>
      </w:r>
      <w:r w:rsidRPr="006154A4" w:rsidR="00416790">
        <w:rPr>
          <w:rFonts w:asciiTheme="minorHAnsi" w:hAnsiTheme="minorHAnsi" w:cstheme="minorBidi"/>
        </w:rPr>
        <w:t xml:space="preserve">(OSRA 2022) </w:t>
      </w:r>
      <w:r w:rsidRPr="006154A4">
        <w:rPr>
          <w:rFonts w:asciiTheme="minorHAnsi" w:hAnsiTheme="minorHAnsi" w:cstheme="minorBidi"/>
        </w:rPr>
        <w:t>includes the following language, “</w:t>
      </w:r>
      <w:r w:rsidRPr="006154A4">
        <w:rPr>
          <w:rFonts w:asciiTheme="minorHAnsi" w:hAnsiTheme="minorHAnsi" w:cstheme="minorBidi"/>
        </w:rPr>
        <w:t xml:space="preserve">The Federal Maritime Commission shall publish on its website a calendar quarterly report that describes the total import and export tonnage and the total loaded and empty 20-foot equivalent units per vessel (making port in the United States, including any territory or possession of the United States) operated by each ocean common carrier covered under this chapter. Ocean common carriers under this chapter shall provide </w:t>
      </w:r>
      <w:r w:rsidRPr="00EE3A18">
        <w:rPr>
          <w:rFonts w:asciiTheme="minorHAnsi" w:hAnsiTheme="minorHAnsi" w:cstheme="minorHAnsi"/>
        </w:rPr>
        <w:t>to the Commission all necessary information, as determined by the Commission, for completion of this report.”</w:t>
      </w:r>
      <w:r w:rsidRPr="00BB0972" w:rsidR="00114E76">
        <w:rPr>
          <w:rFonts w:asciiTheme="minorHAnsi" w:hAnsiTheme="minorHAnsi" w:cstheme="minorHAnsi"/>
        </w:rPr>
        <w:t xml:space="preserve"> </w:t>
      </w:r>
      <w:bookmarkStart w:id="0" w:name="_Hlk126232990"/>
      <w:r w:rsidRPr="00BB0972" w:rsidR="00114E76">
        <w:rPr>
          <w:rFonts w:asciiTheme="minorHAnsi" w:hAnsiTheme="minorHAnsi" w:cstheme="minorHAnsi"/>
        </w:rPr>
        <w:t>Ocean</w:t>
      </w:r>
      <w:r w:rsidRPr="00EE3A18" w:rsidR="00114E76">
        <w:rPr>
          <w:rFonts w:asciiTheme="minorHAnsi" w:hAnsiTheme="minorHAnsi" w:cstheme="minorHAnsi"/>
        </w:rPr>
        <w:t xml:space="preserve"> Shipping Reform Act of 2022, P</w:t>
      </w:r>
      <w:r w:rsidRPr="00EE3A18" w:rsidR="00A113A8">
        <w:rPr>
          <w:rFonts w:asciiTheme="minorHAnsi" w:hAnsiTheme="minorHAnsi" w:cstheme="minorHAnsi"/>
        </w:rPr>
        <w:t xml:space="preserve">ub. </w:t>
      </w:r>
      <w:r w:rsidRPr="00EE3A18" w:rsidR="00114E76">
        <w:rPr>
          <w:rFonts w:asciiTheme="minorHAnsi" w:hAnsiTheme="minorHAnsi" w:cstheme="minorHAnsi"/>
        </w:rPr>
        <w:t>L</w:t>
      </w:r>
      <w:r w:rsidRPr="00EE3A18" w:rsidR="00A113A8">
        <w:rPr>
          <w:rFonts w:asciiTheme="minorHAnsi" w:hAnsiTheme="minorHAnsi" w:cstheme="minorHAnsi"/>
        </w:rPr>
        <w:t>.</w:t>
      </w:r>
      <w:r w:rsidRPr="00EE3A18" w:rsidR="00114E76">
        <w:rPr>
          <w:rFonts w:asciiTheme="minorHAnsi" w:hAnsiTheme="minorHAnsi" w:cstheme="minorHAnsi"/>
        </w:rPr>
        <w:t xml:space="preserve"> 117-146</w:t>
      </w:r>
      <w:r w:rsidRPr="00EE3A18" w:rsidR="00040AC5">
        <w:rPr>
          <w:rFonts w:asciiTheme="minorHAnsi" w:hAnsiTheme="minorHAnsi" w:cstheme="minorHAnsi"/>
        </w:rPr>
        <w:t xml:space="preserve">, </w:t>
      </w:r>
      <w:r w:rsidRPr="00D10633" w:rsidR="00040AC5">
        <w:rPr>
          <w:rFonts w:asciiTheme="minorHAnsi" w:hAnsiTheme="minorHAnsi" w:cstheme="minorHAnsi"/>
          <w:color w:val="000000"/>
        </w:rPr>
        <w:t>136 Stat 1272</w:t>
      </w:r>
      <w:r w:rsidRPr="00D10633" w:rsidR="000911CF">
        <w:rPr>
          <w:rFonts w:asciiTheme="minorHAnsi" w:hAnsiTheme="minorHAnsi" w:cstheme="minorHAnsi"/>
          <w:color w:val="000000"/>
        </w:rPr>
        <w:t xml:space="preserve"> (2022)</w:t>
      </w:r>
      <w:r w:rsidRPr="00D10633" w:rsidR="00040AC5">
        <w:rPr>
          <w:rFonts w:asciiTheme="minorHAnsi" w:hAnsiTheme="minorHAnsi" w:cstheme="minorHAnsi"/>
          <w:color w:val="000000"/>
        </w:rPr>
        <w:t xml:space="preserve"> </w:t>
      </w:r>
      <w:bookmarkEnd w:id="0"/>
      <w:r w:rsidRPr="00D10633" w:rsidR="00D4481C">
        <w:rPr>
          <w:rFonts w:asciiTheme="minorHAnsi" w:hAnsiTheme="minorHAnsi" w:cstheme="minorHAnsi"/>
          <w:color w:val="000000"/>
        </w:rPr>
        <w:t>(codified at 46 U.S.C. 41110</w:t>
      </w:r>
      <w:r w:rsidR="00FE6804">
        <w:rPr>
          <w:rFonts w:asciiTheme="minorHAnsi" w:hAnsiTheme="minorHAnsi" w:cstheme="minorHAnsi"/>
          <w:color w:val="000000"/>
        </w:rPr>
        <w:t>)</w:t>
      </w:r>
      <w:r w:rsidRPr="00EE3A18" w:rsidR="000C763D">
        <w:rPr>
          <w:rFonts w:asciiTheme="minorHAnsi" w:hAnsiTheme="minorHAnsi" w:cstheme="minorHAnsi"/>
        </w:rPr>
        <w:t xml:space="preserve">. </w:t>
      </w:r>
    </w:p>
    <w:p w:rsidR="00193C04" w:rsidRPr="006F31DA" w:rsidP="00BA2086" w14:paraId="364094CD" w14:textId="77777777">
      <w:pPr>
        <w:pStyle w:val="paragraph"/>
        <w:spacing w:before="0" w:beforeAutospacing="0" w:after="0" w:afterAutospacing="0"/>
        <w:textAlignment w:val="baseline"/>
        <w:rPr>
          <w:rFonts w:asciiTheme="minorHAnsi" w:hAnsiTheme="minorHAnsi" w:cstheme="minorHAnsi"/>
          <w:sz w:val="22"/>
          <w:szCs w:val="22"/>
        </w:rPr>
      </w:pPr>
    </w:p>
    <w:p w:rsidR="00BA2086" w:rsidRPr="006F31DA" w:rsidP="00BA2086" w14:paraId="1708B210" w14:textId="77777777">
      <w:pPr>
        <w:pStyle w:val="paragraph"/>
        <w:spacing w:before="0" w:beforeAutospacing="0" w:after="0" w:afterAutospacing="0"/>
        <w:textAlignment w:val="baseline"/>
        <w:rPr>
          <w:rFonts w:asciiTheme="minorHAnsi" w:hAnsiTheme="minorHAnsi" w:cstheme="minorHAnsi"/>
          <w:sz w:val="22"/>
          <w:szCs w:val="22"/>
        </w:rPr>
      </w:pPr>
      <w:r w:rsidRPr="006F31DA">
        <w:rPr>
          <w:rStyle w:val="eop"/>
          <w:rFonts w:asciiTheme="minorHAnsi" w:hAnsiTheme="minorHAnsi" w:cstheme="minorHAnsi"/>
          <w:sz w:val="22"/>
          <w:szCs w:val="22"/>
        </w:rPr>
        <w:t> </w:t>
      </w:r>
    </w:p>
    <w:p w:rsidR="003F02BF" w:rsidP="3F892FE0" w14:paraId="1D96B53A" w14:textId="7C5C9387">
      <w:pPr>
        <w:pStyle w:val="paragraph"/>
        <w:spacing w:before="0" w:beforeAutospacing="0" w:after="0" w:afterAutospacing="0"/>
        <w:textAlignment w:val="baseline"/>
        <w:rPr>
          <w:rStyle w:val="normaltextrun"/>
          <w:rFonts w:ascii="Arial" w:hAnsi="Arial" w:cs="Arial"/>
        </w:rPr>
      </w:pPr>
      <w:r w:rsidRPr="3F892FE0">
        <w:rPr>
          <w:rStyle w:val="normaltextrun"/>
          <w:rFonts w:ascii="Arial" w:hAnsi="Arial" w:cs="Arial"/>
        </w:rPr>
        <w:t>2. Indicate how, by whom, and for what purpose the information is to be used. Except for a new collection, indicate the actual use the agency has made of the information received from the current collection.</w:t>
      </w:r>
    </w:p>
    <w:p w:rsidR="003F02BF" w:rsidP="00BA2086" w14:paraId="2A46AB6D" w14:textId="742B4C7C">
      <w:pPr>
        <w:pStyle w:val="paragraph"/>
        <w:spacing w:before="0" w:beforeAutospacing="0" w:after="0" w:afterAutospacing="0"/>
        <w:textAlignment w:val="baseline"/>
        <w:rPr>
          <w:rStyle w:val="normaltextrun"/>
          <w:rFonts w:ascii="Arial" w:hAnsi="Arial" w:cs="Arial"/>
        </w:rPr>
      </w:pPr>
    </w:p>
    <w:p w:rsidR="003F02BF" w:rsidP="3F892FE0" w14:paraId="3C2233B9" w14:textId="34EBB99D">
      <w:pPr>
        <w:pStyle w:val="paragraph"/>
        <w:spacing w:before="0" w:beforeAutospacing="0" w:after="0" w:afterAutospacing="0"/>
        <w:textAlignment w:val="baseline"/>
        <w:rPr>
          <w:rStyle w:val="normaltextrun"/>
          <w:rFonts w:asciiTheme="minorHAnsi" w:eastAsiaTheme="minorEastAsia" w:hAnsiTheme="minorHAnsi" w:cstheme="minorBidi"/>
        </w:rPr>
      </w:pPr>
      <w:r w:rsidRPr="3F892FE0">
        <w:rPr>
          <w:rStyle w:val="normaltextrun"/>
          <w:rFonts w:asciiTheme="minorHAnsi" w:eastAsiaTheme="minorEastAsia" w:hAnsiTheme="minorHAnsi" w:cstheme="minorBidi"/>
        </w:rPr>
        <w:t xml:space="preserve">The information will be used to compile and publish a quarterly report on total import and export tonnage and total loaded and empty 20-foot equivalent units </w:t>
      </w:r>
      <w:r w:rsidRPr="3F892FE0" w:rsidR="0B5F9160">
        <w:rPr>
          <w:rStyle w:val="normaltextrun"/>
          <w:rFonts w:asciiTheme="minorHAnsi" w:eastAsiaTheme="minorEastAsia" w:hAnsiTheme="minorHAnsi" w:cstheme="minorBidi"/>
        </w:rPr>
        <w:t xml:space="preserve">(TEUs) </w:t>
      </w:r>
      <w:r w:rsidRPr="3F892FE0">
        <w:rPr>
          <w:rStyle w:val="normaltextrun"/>
          <w:rFonts w:asciiTheme="minorHAnsi" w:eastAsiaTheme="minorEastAsia" w:hAnsiTheme="minorHAnsi" w:cstheme="minorBidi"/>
        </w:rPr>
        <w:t xml:space="preserve">per vessel operated by common carriers. The universe will be </w:t>
      </w:r>
      <w:r w:rsidRPr="3F892FE0" w:rsidR="28E42B88">
        <w:rPr>
          <w:rStyle w:val="normaltextrun"/>
          <w:rFonts w:asciiTheme="minorHAnsi" w:eastAsiaTheme="minorEastAsia" w:hAnsiTheme="minorHAnsi" w:cstheme="minorBidi"/>
        </w:rPr>
        <w:t>ve</w:t>
      </w:r>
      <w:r w:rsidRPr="3F892FE0" w:rsidR="1D0B860F">
        <w:rPr>
          <w:rStyle w:val="normaltextrun"/>
          <w:rFonts w:asciiTheme="minorHAnsi" w:eastAsiaTheme="minorEastAsia" w:hAnsiTheme="minorHAnsi" w:cstheme="minorBidi"/>
        </w:rPr>
        <w:t xml:space="preserve">ssel-operating common </w:t>
      </w:r>
      <w:r w:rsidRPr="3F892FE0">
        <w:rPr>
          <w:rStyle w:val="normaltextrun"/>
          <w:rFonts w:asciiTheme="minorHAnsi" w:eastAsiaTheme="minorEastAsia" w:hAnsiTheme="minorHAnsi" w:cstheme="minorBidi"/>
        </w:rPr>
        <w:t xml:space="preserve">carriers </w:t>
      </w:r>
      <w:r w:rsidRPr="3F892FE0" w:rsidR="1D0B860F">
        <w:rPr>
          <w:rStyle w:val="normaltextrun"/>
          <w:rFonts w:asciiTheme="minorHAnsi" w:eastAsiaTheme="minorEastAsia" w:hAnsiTheme="minorHAnsi" w:cstheme="minorBidi"/>
        </w:rPr>
        <w:t xml:space="preserve">that </w:t>
      </w:r>
      <w:r w:rsidRPr="3F892FE0">
        <w:rPr>
          <w:rStyle w:val="normaltextrun"/>
          <w:rFonts w:asciiTheme="minorHAnsi" w:eastAsiaTheme="minorEastAsia" w:hAnsiTheme="minorHAnsi" w:cstheme="minorBidi"/>
        </w:rPr>
        <w:t xml:space="preserve">transport 1,500 or more 20-foot equivalent units per month (total across imports and exports, regardless of whether they are laden) in or out of the U.S. in </w:t>
      </w:r>
      <w:r w:rsidRPr="3F892FE0" w:rsidR="442296C5">
        <w:rPr>
          <w:rStyle w:val="normaltextrun"/>
          <w:rFonts w:asciiTheme="minorHAnsi" w:eastAsiaTheme="minorEastAsia" w:hAnsiTheme="minorHAnsi" w:cstheme="minorBidi"/>
        </w:rPr>
        <w:t>oceanborn</w:t>
      </w:r>
      <w:r w:rsidRPr="3F892FE0" w:rsidR="76B23498">
        <w:rPr>
          <w:rStyle w:val="normaltextrun"/>
          <w:rFonts w:asciiTheme="minorHAnsi" w:eastAsiaTheme="minorEastAsia" w:hAnsiTheme="minorHAnsi" w:cstheme="minorBidi"/>
        </w:rPr>
        <w:t>e</w:t>
      </w:r>
      <w:r w:rsidRPr="3F892FE0" w:rsidR="442296C5">
        <w:rPr>
          <w:rStyle w:val="normaltextrun"/>
          <w:rFonts w:asciiTheme="minorHAnsi" w:eastAsiaTheme="minorEastAsia" w:hAnsiTheme="minorHAnsi" w:cstheme="minorBidi"/>
        </w:rPr>
        <w:t xml:space="preserve"> foreign commerce. </w:t>
      </w:r>
    </w:p>
    <w:p w:rsidR="00192B08" w:rsidP="63917C60" w14:paraId="16F1199F" w14:textId="77777777">
      <w:pPr>
        <w:pStyle w:val="paragraph"/>
        <w:spacing w:before="0" w:beforeAutospacing="0" w:after="0" w:afterAutospacing="0"/>
        <w:textAlignment w:val="baseline"/>
        <w:rPr>
          <w:rStyle w:val="normaltextrun"/>
          <w:rFonts w:asciiTheme="minorHAnsi" w:eastAsiaTheme="minorEastAsia" w:hAnsiTheme="minorHAnsi" w:cstheme="minorBidi"/>
        </w:rPr>
      </w:pPr>
    </w:p>
    <w:p w:rsidR="00192B08" w:rsidP="3F892FE0" w14:paraId="0FFB013F" w14:textId="43B8E548">
      <w:pPr>
        <w:pStyle w:val="paragraph"/>
        <w:spacing w:before="0" w:beforeAutospacing="0" w:after="0" w:afterAutospacing="0"/>
        <w:textAlignment w:val="baseline"/>
        <w:rPr>
          <w:rStyle w:val="normaltextrun"/>
          <w:rFonts w:asciiTheme="minorHAnsi" w:eastAsiaTheme="minorEastAsia" w:hAnsiTheme="minorHAnsi" w:cstheme="minorBidi"/>
        </w:rPr>
      </w:pPr>
      <w:r w:rsidRPr="3F892FE0">
        <w:rPr>
          <w:rStyle w:val="normaltextrun"/>
          <w:rFonts w:asciiTheme="minorHAnsi" w:eastAsiaTheme="minorEastAsia" w:hAnsiTheme="minorHAnsi" w:cstheme="minorBidi"/>
        </w:rPr>
        <w:t>Specifically, data will be collecte</w:t>
      </w:r>
      <w:r w:rsidRPr="3F892FE0" w:rsidR="4F45683C">
        <w:rPr>
          <w:rStyle w:val="normaltextrun"/>
          <w:rFonts w:asciiTheme="minorHAnsi" w:eastAsiaTheme="minorEastAsia" w:hAnsiTheme="minorHAnsi" w:cstheme="minorBidi"/>
        </w:rPr>
        <w:t xml:space="preserve">d from </w:t>
      </w:r>
      <w:r w:rsidRPr="3F892FE0" w:rsidR="5E6A3AB7">
        <w:rPr>
          <w:rStyle w:val="normaltextrun"/>
          <w:rFonts w:asciiTheme="minorHAnsi" w:eastAsiaTheme="minorEastAsia" w:hAnsiTheme="minorHAnsi" w:cstheme="minorBidi"/>
        </w:rPr>
        <w:t xml:space="preserve">vessel-operating common </w:t>
      </w:r>
      <w:r w:rsidRPr="3F892FE0" w:rsidR="4F45683C">
        <w:rPr>
          <w:rStyle w:val="normaltextrun"/>
          <w:rFonts w:asciiTheme="minorHAnsi" w:eastAsiaTheme="minorEastAsia" w:hAnsiTheme="minorHAnsi" w:cstheme="minorBidi"/>
        </w:rPr>
        <w:t>carr</w:t>
      </w:r>
      <w:r w:rsidRPr="3F892FE0" w:rsidR="0CB7B77A">
        <w:rPr>
          <w:rStyle w:val="normaltextrun"/>
          <w:rFonts w:asciiTheme="minorHAnsi" w:eastAsiaTheme="minorEastAsia" w:hAnsiTheme="minorHAnsi" w:cstheme="minorBidi"/>
        </w:rPr>
        <w:t>iers on the characteristics of their containers loaded or unloaded at each port of call on any service</w:t>
      </w:r>
      <w:r w:rsidRPr="3F892FE0" w:rsidR="08A967AF">
        <w:rPr>
          <w:rStyle w:val="normaltextrun"/>
          <w:rFonts w:asciiTheme="minorHAnsi" w:eastAsiaTheme="minorEastAsia" w:hAnsiTheme="minorHAnsi" w:cstheme="minorBidi"/>
        </w:rPr>
        <w:t xml:space="preserve"> that transports their containers. Specifically, for each port of call, carriers will report on the tonnage and number of </w:t>
      </w:r>
      <w:r w:rsidRPr="3F892FE0" w:rsidR="09EFBE66">
        <w:rPr>
          <w:rStyle w:val="normaltextrun"/>
          <w:rFonts w:asciiTheme="minorHAnsi" w:eastAsiaTheme="minorEastAsia" w:hAnsiTheme="minorHAnsi" w:cstheme="minorBidi"/>
        </w:rPr>
        <w:t>empty and laden containers loaded or unloaded from the vessel. Containers will be further disaggregated into 20</w:t>
      </w:r>
      <w:r w:rsidRPr="3F892FE0" w:rsidR="72E8E501">
        <w:rPr>
          <w:rStyle w:val="normaltextrun"/>
          <w:rFonts w:asciiTheme="minorHAnsi" w:eastAsiaTheme="minorEastAsia" w:hAnsiTheme="minorHAnsi" w:cstheme="minorBidi"/>
        </w:rPr>
        <w:t>-</w:t>
      </w:r>
      <w:r w:rsidRPr="3F892FE0" w:rsidR="09EFBE66">
        <w:rPr>
          <w:rStyle w:val="normaltextrun"/>
          <w:rFonts w:asciiTheme="minorHAnsi" w:eastAsiaTheme="minorEastAsia" w:hAnsiTheme="minorHAnsi" w:cstheme="minorBidi"/>
        </w:rPr>
        <w:t>foot, 40</w:t>
      </w:r>
      <w:r w:rsidRPr="3F892FE0" w:rsidR="72E8E501">
        <w:rPr>
          <w:rStyle w:val="normaltextrun"/>
          <w:rFonts w:asciiTheme="minorHAnsi" w:eastAsiaTheme="minorEastAsia" w:hAnsiTheme="minorHAnsi" w:cstheme="minorBidi"/>
        </w:rPr>
        <w:t>-</w:t>
      </w:r>
      <w:r w:rsidRPr="3F892FE0" w:rsidR="09EFBE66">
        <w:rPr>
          <w:rStyle w:val="normaltextrun"/>
          <w:rFonts w:asciiTheme="minorHAnsi" w:eastAsiaTheme="minorEastAsia" w:hAnsiTheme="minorHAnsi" w:cstheme="minorBidi"/>
        </w:rPr>
        <w:t>foot, and 45</w:t>
      </w:r>
      <w:r w:rsidRPr="3F892FE0" w:rsidR="72E8E501">
        <w:rPr>
          <w:rStyle w:val="normaltextrun"/>
          <w:rFonts w:asciiTheme="minorHAnsi" w:eastAsiaTheme="minorEastAsia" w:hAnsiTheme="minorHAnsi" w:cstheme="minorBidi"/>
        </w:rPr>
        <w:t>-</w:t>
      </w:r>
      <w:r w:rsidRPr="3F892FE0" w:rsidR="09EFBE66">
        <w:rPr>
          <w:rStyle w:val="normaltextrun"/>
          <w:rFonts w:asciiTheme="minorHAnsi" w:eastAsiaTheme="minorEastAsia" w:hAnsiTheme="minorHAnsi" w:cstheme="minorBidi"/>
        </w:rPr>
        <w:t xml:space="preserve">foot containers to allow computation of the </w:t>
      </w:r>
      <w:r w:rsidRPr="3F892FE0" w:rsidR="59DD8BF2">
        <w:rPr>
          <w:rStyle w:val="normaltextrun"/>
          <w:rFonts w:asciiTheme="minorHAnsi" w:eastAsiaTheme="minorEastAsia" w:hAnsiTheme="minorHAnsi" w:cstheme="minorBidi"/>
        </w:rPr>
        <w:t>TEU statistic specified in OSRA</w:t>
      </w:r>
      <w:r w:rsidRPr="3F892FE0" w:rsidR="28DF3A1F">
        <w:rPr>
          <w:rStyle w:val="normaltextrun"/>
          <w:rFonts w:asciiTheme="minorHAnsi" w:eastAsiaTheme="minorEastAsia" w:hAnsiTheme="minorHAnsi" w:cstheme="minorBidi"/>
        </w:rPr>
        <w:t xml:space="preserve"> 2022</w:t>
      </w:r>
      <w:r w:rsidRPr="3F892FE0" w:rsidR="59DD8BF2">
        <w:rPr>
          <w:rStyle w:val="normaltextrun"/>
          <w:rFonts w:asciiTheme="minorHAnsi" w:eastAsiaTheme="minorEastAsia" w:hAnsiTheme="minorHAnsi" w:cstheme="minorBidi"/>
        </w:rPr>
        <w:t>.</w:t>
      </w:r>
    </w:p>
    <w:p w:rsidR="00BA2086" w:rsidP="00BA2086" w14:paraId="43A3C815" w14:textId="39B3300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P="00BA2086" w14:paraId="7D3FB74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RPr="00C10CD5" w:rsidP="0CE44981" w14:paraId="1066FCFB" w14:textId="77777777">
      <w:pPr>
        <w:pStyle w:val="paragraph"/>
        <w:spacing w:before="0" w:beforeAutospacing="0" w:after="0" w:afterAutospacing="0"/>
        <w:textAlignment w:val="baseline"/>
        <w:rPr>
          <w:rFonts w:ascii="Segoe UI" w:hAnsi="Segoe UI" w:cs="Segoe UI"/>
          <w:sz w:val="18"/>
          <w:szCs w:val="18"/>
        </w:rPr>
      </w:pPr>
      <w:r w:rsidRPr="0CE44981">
        <w:rPr>
          <w:rStyle w:val="normaltextrun"/>
          <w:rFonts w:ascii="Arial" w:hAnsi="Arial" w:cs="Arial"/>
        </w:rPr>
        <w:t xml:space="preserve">3. Describe whether, and to what extent, the collection of information involves the use of automated, electronic, mechanical, or other technological collection techniques or other </w:t>
      </w:r>
      <w:r w:rsidRPr="0CE44981">
        <w:rPr>
          <w:rStyle w:val="normaltextrun"/>
          <w:rFonts w:ascii="Arial" w:hAnsi="Arial" w:cs="Arial"/>
        </w:rPr>
        <w:t xml:space="preserve">forms of information technology, e.g., permitting electronic submission of responses, </w:t>
      </w:r>
      <w:r w:rsidRPr="00C10CD5">
        <w:rPr>
          <w:rStyle w:val="normaltextrun"/>
          <w:rFonts w:ascii="Arial" w:hAnsi="Arial" w:cs="Arial"/>
        </w:rPr>
        <w:t>and the basis for the decision for adopting this means of collection. Also describe any consideration of using information technology to reduce burden.</w:t>
      </w:r>
      <w:r w:rsidRPr="00C10CD5">
        <w:rPr>
          <w:rStyle w:val="eop"/>
          <w:rFonts w:ascii="Arial" w:hAnsi="Arial" w:cs="Arial"/>
        </w:rPr>
        <w:t> </w:t>
      </w:r>
    </w:p>
    <w:p w:rsidR="22AB90B4" w:rsidRPr="00C10CD5" w:rsidP="22AB90B4" w14:paraId="563E27DF" w14:textId="3C316E5D">
      <w:pPr>
        <w:pStyle w:val="paragraph"/>
        <w:spacing w:before="0" w:beforeAutospacing="0" w:after="0" w:afterAutospacing="0"/>
        <w:rPr>
          <w:rStyle w:val="eop"/>
          <w:rFonts w:asciiTheme="minorHAnsi" w:eastAsiaTheme="minorEastAsia" w:hAnsiTheme="minorHAnsi" w:cstheme="minorBidi"/>
        </w:rPr>
      </w:pPr>
    </w:p>
    <w:p w:rsidR="22AB90B4" w:rsidP="3F892FE0" w14:paraId="0BA14698" w14:textId="6D34CE35">
      <w:pPr>
        <w:pStyle w:val="paragraph"/>
        <w:spacing w:before="0" w:beforeAutospacing="0" w:after="0" w:afterAutospacing="0"/>
        <w:rPr>
          <w:rStyle w:val="eop"/>
          <w:rFonts w:asciiTheme="minorHAnsi" w:eastAsiaTheme="minorEastAsia" w:hAnsiTheme="minorHAnsi" w:cstheme="minorBidi"/>
        </w:rPr>
      </w:pPr>
      <w:r w:rsidRPr="3F892FE0">
        <w:rPr>
          <w:rStyle w:val="eop"/>
          <w:rFonts w:asciiTheme="minorHAnsi" w:eastAsiaTheme="minorEastAsia" w:hAnsiTheme="minorHAnsi" w:cstheme="minorBidi"/>
        </w:rPr>
        <w:t xml:space="preserve">This information will be collected via the Commission’s </w:t>
      </w:r>
      <w:r w:rsidRPr="3F892FE0">
        <w:rPr>
          <w:rStyle w:val="eop"/>
          <w:rFonts w:asciiTheme="minorHAnsi" w:eastAsiaTheme="minorEastAsia" w:hAnsiTheme="minorHAnsi" w:cstheme="minorBidi"/>
        </w:rPr>
        <w:t>eMonitoring</w:t>
      </w:r>
      <w:r w:rsidRPr="3F892FE0">
        <w:rPr>
          <w:rStyle w:val="eop"/>
          <w:rFonts w:asciiTheme="minorHAnsi" w:eastAsiaTheme="minorEastAsia" w:hAnsiTheme="minorHAnsi" w:cstheme="minorBidi"/>
        </w:rPr>
        <w:t xml:space="preserve"> system, which is the </w:t>
      </w:r>
      <w:r w:rsidRPr="3F892FE0" w:rsidR="07A1B28F">
        <w:rPr>
          <w:rStyle w:val="eop"/>
          <w:rFonts w:asciiTheme="minorHAnsi" w:eastAsiaTheme="minorEastAsia" w:hAnsiTheme="minorHAnsi" w:cstheme="minorBidi"/>
        </w:rPr>
        <w:t xml:space="preserve">electronic </w:t>
      </w:r>
      <w:r w:rsidRPr="3F892FE0">
        <w:rPr>
          <w:rStyle w:val="eop"/>
          <w:rFonts w:asciiTheme="minorHAnsi" w:eastAsiaTheme="minorEastAsia" w:hAnsiTheme="minorHAnsi" w:cstheme="minorBidi"/>
        </w:rPr>
        <w:t xml:space="preserve">system currently used for collection of data from regulated entities under 46 CFR Part 535. Respondents will be provided an Excel template to fill and submit via </w:t>
      </w:r>
      <w:r w:rsidRPr="3F892FE0">
        <w:rPr>
          <w:rStyle w:val="eop"/>
          <w:rFonts w:asciiTheme="minorHAnsi" w:eastAsiaTheme="minorEastAsia" w:hAnsiTheme="minorHAnsi" w:cstheme="minorBidi"/>
        </w:rPr>
        <w:t>eMonitoring</w:t>
      </w:r>
      <w:r w:rsidRPr="3F892FE0">
        <w:rPr>
          <w:rStyle w:val="eop"/>
          <w:rFonts w:asciiTheme="minorHAnsi" w:eastAsiaTheme="minorEastAsia" w:hAnsiTheme="minorHAnsi" w:cstheme="minorBidi"/>
        </w:rPr>
        <w:t>.</w:t>
      </w:r>
    </w:p>
    <w:p w:rsidR="00BA2086" w:rsidP="00BA2086" w14:paraId="5A03E91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P="00BA2086" w14:paraId="63123B99" w14:textId="77777777">
      <w:pPr>
        <w:pStyle w:val="paragraph"/>
        <w:spacing w:before="0" w:beforeAutospacing="0" w:after="0" w:afterAutospacing="0"/>
        <w:textAlignment w:val="baseline"/>
        <w:rPr>
          <w:rFonts w:ascii="Segoe UI" w:hAnsi="Segoe UI" w:cs="Segoe UI"/>
          <w:sz w:val="18"/>
          <w:szCs w:val="18"/>
        </w:rPr>
      </w:pPr>
      <w:r w:rsidRPr="22AB90B4">
        <w:rPr>
          <w:rStyle w:val="normaltextrun"/>
          <w:rFonts w:ascii="Arial" w:hAnsi="Arial" w:cs="Arial"/>
        </w:rPr>
        <w:t>4. Describe efforts to identify duplication. Show specifically why any similar information already available cannot be used or modified for use for the purposes described in Item 2 above.</w:t>
      </w:r>
      <w:r w:rsidRPr="22AB90B4">
        <w:rPr>
          <w:rStyle w:val="eop"/>
          <w:rFonts w:ascii="Arial" w:hAnsi="Arial" w:cs="Arial"/>
        </w:rPr>
        <w:t> </w:t>
      </w:r>
    </w:p>
    <w:p w:rsidR="22AB90B4" w:rsidP="22AB90B4" w14:paraId="1CD654E4" w14:textId="7F90A6E2">
      <w:pPr>
        <w:pStyle w:val="paragraph"/>
        <w:spacing w:before="0" w:beforeAutospacing="0" w:after="0" w:afterAutospacing="0"/>
        <w:rPr>
          <w:rStyle w:val="eop"/>
        </w:rPr>
      </w:pPr>
    </w:p>
    <w:p w:rsidR="008C42DB" w:rsidP="3F892FE0" w14:paraId="0DEAD873" w14:textId="7225EA46">
      <w:pPr>
        <w:pStyle w:val="paragraph"/>
        <w:spacing w:before="0" w:beforeAutospacing="0" w:after="0" w:afterAutospacing="0"/>
        <w:rPr>
          <w:rStyle w:val="eop"/>
          <w:rFonts w:asciiTheme="minorHAnsi" w:eastAsiaTheme="minorEastAsia" w:hAnsiTheme="minorHAnsi" w:cstheme="minorBidi"/>
        </w:rPr>
      </w:pPr>
      <w:r w:rsidRPr="3F892FE0">
        <w:rPr>
          <w:rStyle w:val="eop"/>
          <w:rFonts w:asciiTheme="minorHAnsi" w:eastAsiaTheme="minorEastAsia" w:hAnsiTheme="minorHAnsi" w:cstheme="minorBidi"/>
        </w:rPr>
        <w:t>The report is mandated under OSRA 2022. There is currently no system</w:t>
      </w:r>
      <w:r w:rsidRPr="3F892FE0" w:rsidR="16D1EB89">
        <w:rPr>
          <w:rStyle w:val="eop"/>
          <w:rFonts w:asciiTheme="minorHAnsi" w:eastAsiaTheme="minorEastAsia" w:hAnsiTheme="minorHAnsi" w:cstheme="minorBidi"/>
        </w:rPr>
        <w:t>at</w:t>
      </w:r>
      <w:r w:rsidRPr="3F892FE0">
        <w:rPr>
          <w:rStyle w:val="eop"/>
          <w:rFonts w:asciiTheme="minorHAnsi" w:eastAsiaTheme="minorEastAsia" w:hAnsiTheme="minorHAnsi" w:cstheme="minorBidi"/>
        </w:rPr>
        <w:t xml:space="preserve">ic, </w:t>
      </w:r>
      <w:r w:rsidRPr="3F892FE0" w:rsidR="72596872">
        <w:rPr>
          <w:rStyle w:val="eop"/>
          <w:rFonts w:asciiTheme="minorHAnsi" w:eastAsiaTheme="minorEastAsia" w:hAnsiTheme="minorHAnsi" w:cstheme="minorBidi"/>
        </w:rPr>
        <w:t xml:space="preserve">reliable </w:t>
      </w:r>
      <w:r w:rsidRPr="3F892FE0">
        <w:rPr>
          <w:rStyle w:val="eop"/>
          <w:rFonts w:asciiTheme="minorHAnsi" w:eastAsiaTheme="minorEastAsia" w:hAnsiTheme="minorHAnsi" w:cstheme="minorBidi"/>
        </w:rPr>
        <w:t>information on the number of empty containers transported on vessels</w:t>
      </w:r>
      <w:r w:rsidRPr="3F892FE0" w:rsidR="6FE51E3A">
        <w:rPr>
          <w:rStyle w:val="eop"/>
          <w:rFonts w:asciiTheme="minorHAnsi" w:eastAsiaTheme="minorEastAsia" w:hAnsiTheme="minorHAnsi" w:cstheme="minorBidi"/>
        </w:rPr>
        <w:t xml:space="preserve"> that is provided to the </w:t>
      </w:r>
      <w:r w:rsidRPr="3F892FE0" w:rsidR="1984C994">
        <w:rPr>
          <w:rStyle w:val="eop"/>
          <w:rFonts w:asciiTheme="minorHAnsi" w:eastAsiaTheme="minorEastAsia" w:hAnsiTheme="minorHAnsi" w:cstheme="minorBidi"/>
        </w:rPr>
        <w:t xml:space="preserve">shipping </w:t>
      </w:r>
      <w:r w:rsidRPr="3F892FE0" w:rsidR="6FE51E3A">
        <w:rPr>
          <w:rStyle w:val="eop"/>
          <w:rFonts w:asciiTheme="minorHAnsi" w:eastAsiaTheme="minorEastAsia" w:hAnsiTheme="minorHAnsi" w:cstheme="minorBidi"/>
        </w:rPr>
        <w:t xml:space="preserve">public in a timely fashion and </w:t>
      </w:r>
      <w:r w:rsidRPr="3F892FE0" w:rsidR="16D1EB89">
        <w:rPr>
          <w:rStyle w:val="eop"/>
          <w:rFonts w:asciiTheme="minorHAnsi" w:eastAsiaTheme="minorEastAsia" w:hAnsiTheme="minorHAnsi" w:cstheme="minorBidi"/>
        </w:rPr>
        <w:t>allows analysis of space at both the carrier and vessel level</w:t>
      </w:r>
      <w:r w:rsidRPr="3F892FE0">
        <w:rPr>
          <w:rStyle w:val="eop"/>
          <w:rFonts w:asciiTheme="minorHAnsi" w:eastAsiaTheme="minorEastAsia" w:hAnsiTheme="minorHAnsi" w:cstheme="minorBidi"/>
        </w:rPr>
        <w:t xml:space="preserve">. </w:t>
      </w:r>
      <w:r w:rsidRPr="3F892FE0" w:rsidR="16D1EB89">
        <w:rPr>
          <w:rStyle w:val="eop"/>
          <w:rFonts w:asciiTheme="minorHAnsi" w:eastAsiaTheme="minorEastAsia" w:hAnsiTheme="minorHAnsi" w:cstheme="minorBidi"/>
        </w:rPr>
        <w:t xml:space="preserve">The Army Corps of Engineers collects information on </w:t>
      </w:r>
      <w:r w:rsidRPr="3F892FE0" w:rsidR="323C01CC">
        <w:rPr>
          <w:rStyle w:val="eop"/>
          <w:rFonts w:asciiTheme="minorHAnsi" w:eastAsiaTheme="minorEastAsia" w:hAnsiTheme="minorHAnsi" w:cstheme="minorBidi"/>
        </w:rPr>
        <w:t>laden and empty containers by size at the vessel level. These data are aggregated and published with a two</w:t>
      </w:r>
      <w:r w:rsidRPr="3F892FE0" w:rsidR="0B5F9160">
        <w:rPr>
          <w:rStyle w:val="eop"/>
          <w:rFonts w:asciiTheme="minorHAnsi" w:eastAsiaTheme="minorEastAsia" w:hAnsiTheme="minorHAnsi" w:cstheme="minorBidi"/>
        </w:rPr>
        <w:t>-</w:t>
      </w:r>
      <w:r w:rsidRPr="3F892FE0" w:rsidR="323C01CC">
        <w:rPr>
          <w:rStyle w:val="eop"/>
          <w:rFonts w:asciiTheme="minorHAnsi" w:eastAsiaTheme="minorEastAsia" w:hAnsiTheme="minorHAnsi" w:cstheme="minorBidi"/>
        </w:rPr>
        <w:t xml:space="preserve">year lag. </w:t>
      </w:r>
      <w:r w:rsidRPr="3F892FE0" w:rsidR="32673439">
        <w:rPr>
          <w:rStyle w:val="eop"/>
          <w:rFonts w:asciiTheme="minorHAnsi" w:eastAsiaTheme="minorEastAsia" w:hAnsiTheme="minorHAnsi" w:cstheme="minorBidi"/>
        </w:rPr>
        <w:t xml:space="preserve">The reporting unit is the vessel. </w:t>
      </w:r>
      <w:r w:rsidRPr="3F892FE0" w:rsidR="5BD9173E">
        <w:rPr>
          <w:rStyle w:val="eop"/>
          <w:rFonts w:asciiTheme="minorHAnsi" w:eastAsiaTheme="minorEastAsia" w:hAnsiTheme="minorHAnsi" w:cstheme="minorBidi"/>
        </w:rPr>
        <w:t xml:space="preserve">Understanding </w:t>
      </w:r>
      <w:r w:rsidRPr="3F892FE0" w:rsidR="32673439">
        <w:rPr>
          <w:rStyle w:val="eop"/>
          <w:rFonts w:asciiTheme="minorHAnsi" w:eastAsiaTheme="minorEastAsia" w:hAnsiTheme="minorHAnsi" w:cstheme="minorBidi"/>
        </w:rPr>
        <w:t xml:space="preserve">the number of empty and full containers on a vessel is </w:t>
      </w:r>
      <w:r w:rsidRPr="3F892FE0" w:rsidR="4A2A16C2">
        <w:rPr>
          <w:rStyle w:val="eop"/>
          <w:rFonts w:asciiTheme="minorHAnsi" w:eastAsiaTheme="minorEastAsia" w:hAnsiTheme="minorHAnsi" w:cstheme="minorBidi"/>
        </w:rPr>
        <w:t xml:space="preserve">important, but an incomplete picture if it is not disaggregated by the carriers using space on that vessel. </w:t>
      </w:r>
      <w:r w:rsidRPr="3F892FE0" w:rsidR="21EA36A7">
        <w:rPr>
          <w:rStyle w:val="eop"/>
          <w:rFonts w:asciiTheme="minorHAnsi" w:eastAsiaTheme="minorEastAsia" w:hAnsiTheme="minorHAnsi" w:cstheme="minorBidi"/>
        </w:rPr>
        <w:t>U.S. exporters and importers move cargo (under</w:t>
      </w:r>
      <w:r w:rsidRPr="3F892FE0" w:rsidR="5D570884">
        <w:rPr>
          <w:rStyle w:val="eop"/>
          <w:rFonts w:asciiTheme="minorHAnsi" w:eastAsiaTheme="minorEastAsia" w:hAnsiTheme="minorHAnsi" w:cstheme="minorBidi"/>
        </w:rPr>
        <w:t xml:space="preserve"> contract or on the spot market) with individual ocean carrier</w:t>
      </w:r>
      <w:r w:rsidRPr="3F892FE0" w:rsidR="50C475C6">
        <w:rPr>
          <w:rStyle w:val="eop"/>
          <w:rFonts w:asciiTheme="minorHAnsi" w:eastAsiaTheme="minorEastAsia" w:hAnsiTheme="minorHAnsi" w:cstheme="minorBidi"/>
        </w:rPr>
        <w:t>s. A</w:t>
      </w:r>
      <w:r w:rsidRPr="3F892FE0" w:rsidR="6965A8DA">
        <w:rPr>
          <w:rStyle w:val="eop"/>
          <w:rFonts w:asciiTheme="minorHAnsi" w:eastAsiaTheme="minorEastAsia" w:hAnsiTheme="minorHAnsi" w:cstheme="minorBidi"/>
        </w:rPr>
        <w:t>ccess to</w:t>
      </w:r>
      <w:r w:rsidRPr="3F892FE0" w:rsidR="20CD87A6">
        <w:rPr>
          <w:rStyle w:val="eop"/>
          <w:rFonts w:asciiTheme="minorHAnsi" w:eastAsiaTheme="minorEastAsia" w:hAnsiTheme="minorHAnsi" w:cstheme="minorBidi"/>
        </w:rPr>
        <w:t xml:space="preserve"> detailed </w:t>
      </w:r>
      <w:r w:rsidRPr="3F892FE0" w:rsidR="4B2D957D">
        <w:rPr>
          <w:rStyle w:val="eop"/>
          <w:rFonts w:asciiTheme="minorHAnsi" w:eastAsiaTheme="minorEastAsia" w:hAnsiTheme="minorHAnsi" w:cstheme="minorBidi"/>
        </w:rPr>
        <w:t>information about individual carrier</w:t>
      </w:r>
      <w:r w:rsidRPr="3F892FE0" w:rsidR="6195515F">
        <w:rPr>
          <w:rStyle w:val="eop"/>
          <w:rFonts w:asciiTheme="minorHAnsi" w:eastAsiaTheme="minorEastAsia" w:hAnsiTheme="minorHAnsi" w:cstheme="minorBidi"/>
        </w:rPr>
        <w:t xml:space="preserve">s’ </w:t>
      </w:r>
      <w:r w:rsidRPr="3F892FE0" w:rsidR="20CD87A6">
        <w:rPr>
          <w:rStyle w:val="eop"/>
          <w:rFonts w:asciiTheme="minorHAnsi" w:eastAsiaTheme="minorEastAsia" w:hAnsiTheme="minorHAnsi" w:cstheme="minorBidi"/>
        </w:rPr>
        <w:t xml:space="preserve">containers </w:t>
      </w:r>
      <w:r w:rsidRPr="3F892FE0" w:rsidR="1DBF895B">
        <w:rPr>
          <w:rStyle w:val="eop"/>
          <w:rFonts w:asciiTheme="minorHAnsi" w:eastAsiaTheme="minorEastAsia" w:hAnsiTheme="minorHAnsi" w:cstheme="minorBidi"/>
        </w:rPr>
        <w:t xml:space="preserve">and/or space allocation </w:t>
      </w:r>
      <w:r w:rsidRPr="3F892FE0" w:rsidR="20CD87A6">
        <w:rPr>
          <w:rStyle w:val="eop"/>
          <w:rFonts w:asciiTheme="minorHAnsi" w:eastAsiaTheme="minorEastAsia" w:hAnsiTheme="minorHAnsi" w:cstheme="minorBidi"/>
        </w:rPr>
        <w:t xml:space="preserve">on a particular vessel </w:t>
      </w:r>
      <w:r w:rsidRPr="3F892FE0" w:rsidR="5B307164">
        <w:rPr>
          <w:rStyle w:val="eop"/>
          <w:rFonts w:asciiTheme="minorHAnsi" w:eastAsiaTheme="minorEastAsia" w:hAnsiTheme="minorHAnsi" w:cstheme="minorBidi"/>
        </w:rPr>
        <w:t xml:space="preserve">is </w:t>
      </w:r>
      <w:r w:rsidRPr="3F892FE0" w:rsidR="1DBF895B">
        <w:rPr>
          <w:rStyle w:val="eop"/>
          <w:rFonts w:asciiTheme="minorHAnsi" w:eastAsiaTheme="minorEastAsia" w:hAnsiTheme="minorHAnsi" w:cstheme="minorBidi"/>
        </w:rPr>
        <w:t xml:space="preserve">useful to </w:t>
      </w:r>
      <w:r w:rsidRPr="3F892FE0" w:rsidR="2F585124">
        <w:rPr>
          <w:rStyle w:val="eop"/>
          <w:rFonts w:asciiTheme="minorHAnsi" w:eastAsiaTheme="minorEastAsia" w:hAnsiTheme="minorHAnsi" w:cstheme="minorBidi"/>
        </w:rPr>
        <w:t xml:space="preserve">shippers </w:t>
      </w:r>
      <w:r w:rsidRPr="3F892FE0" w:rsidR="7820A298">
        <w:rPr>
          <w:rStyle w:val="eop"/>
          <w:rFonts w:asciiTheme="minorHAnsi" w:eastAsiaTheme="minorEastAsia" w:hAnsiTheme="minorHAnsi" w:cstheme="minorBidi"/>
        </w:rPr>
        <w:t xml:space="preserve">for </w:t>
      </w:r>
      <w:r w:rsidRPr="3F892FE0" w:rsidR="0F9843EA">
        <w:rPr>
          <w:rStyle w:val="eop"/>
          <w:rFonts w:asciiTheme="minorHAnsi" w:eastAsiaTheme="minorEastAsia" w:hAnsiTheme="minorHAnsi" w:cstheme="minorBidi"/>
        </w:rPr>
        <w:t>their planning</w:t>
      </w:r>
      <w:r w:rsidRPr="3F892FE0" w:rsidR="7820A298">
        <w:rPr>
          <w:rStyle w:val="eop"/>
          <w:rFonts w:asciiTheme="minorHAnsi" w:eastAsiaTheme="minorEastAsia" w:hAnsiTheme="minorHAnsi" w:cstheme="minorBidi"/>
        </w:rPr>
        <w:t xml:space="preserve"> and contract </w:t>
      </w:r>
      <w:r w:rsidRPr="3F892FE0" w:rsidR="0F9843EA">
        <w:rPr>
          <w:rStyle w:val="eop"/>
          <w:rFonts w:asciiTheme="minorHAnsi" w:eastAsiaTheme="minorEastAsia" w:hAnsiTheme="minorHAnsi" w:cstheme="minorBidi"/>
        </w:rPr>
        <w:t>negotiation/implementation purposes.</w:t>
      </w:r>
      <w:r w:rsidRPr="3F892FE0" w:rsidR="5D570884">
        <w:rPr>
          <w:rStyle w:val="eop"/>
          <w:rFonts w:asciiTheme="minorHAnsi" w:eastAsiaTheme="minorEastAsia" w:hAnsiTheme="minorHAnsi" w:cstheme="minorBidi"/>
        </w:rPr>
        <w:t xml:space="preserve"> </w:t>
      </w:r>
      <w:r w:rsidRPr="3F892FE0" w:rsidR="4A2A16C2">
        <w:rPr>
          <w:rStyle w:val="eop"/>
          <w:rFonts w:asciiTheme="minorHAnsi" w:eastAsiaTheme="minorEastAsia" w:hAnsiTheme="minorHAnsi" w:cstheme="minorBidi"/>
        </w:rPr>
        <w:t xml:space="preserve">Most container ships are not </w:t>
      </w:r>
      <w:r w:rsidRPr="3F892FE0" w:rsidR="6069810B">
        <w:rPr>
          <w:rStyle w:val="eop"/>
          <w:rFonts w:asciiTheme="minorHAnsi" w:eastAsiaTheme="minorEastAsia" w:hAnsiTheme="minorHAnsi" w:cstheme="minorBidi"/>
        </w:rPr>
        <w:t xml:space="preserve">exclusively carrying containers for a single ocean common carrier. So, for example, knowing that a ship with 4,000 TEU capacity is sailing </w:t>
      </w:r>
      <w:r w:rsidRPr="3F892FE0" w:rsidR="2B940F9F">
        <w:rPr>
          <w:rStyle w:val="eop"/>
          <w:rFonts w:asciiTheme="minorHAnsi" w:eastAsiaTheme="minorEastAsia" w:hAnsiTheme="minorHAnsi" w:cstheme="minorBidi"/>
        </w:rPr>
        <w:t>75</w:t>
      </w:r>
      <w:r w:rsidRPr="3F892FE0" w:rsidR="6069810B">
        <w:rPr>
          <w:rStyle w:val="eop"/>
          <w:rFonts w:asciiTheme="minorHAnsi" w:eastAsiaTheme="minorEastAsia" w:hAnsiTheme="minorHAnsi" w:cstheme="minorBidi"/>
        </w:rPr>
        <w:t xml:space="preserve"> percent empty </w:t>
      </w:r>
      <w:r w:rsidRPr="3F892FE0" w:rsidR="2B940F9F">
        <w:rPr>
          <w:rStyle w:val="eop"/>
          <w:rFonts w:asciiTheme="minorHAnsi" w:eastAsiaTheme="minorEastAsia" w:hAnsiTheme="minorHAnsi" w:cstheme="minorBidi"/>
        </w:rPr>
        <w:t xml:space="preserve">when it leaves the United States does not necessarily imply that the operator of the ship </w:t>
      </w:r>
      <w:r w:rsidRPr="3F892FE0" w:rsidR="34271C5E">
        <w:rPr>
          <w:rStyle w:val="eop"/>
          <w:rFonts w:asciiTheme="minorHAnsi" w:eastAsiaTheme="minorEastAsia" w:hAnsiTheme="minorHAnsi" w:cstheme="minorBidi"/>
        </w:rPr>
        <w:t>is responsible for those empty containers. It could be the case that 1,500 units of capacity are held by another ocean common carrier, who has refused all export loads</w:t>
      </w:r>
      <w:r w:rsidRPr="3F892FE0" w:rsidR="2BB3EDAE">
        <w:rPr>
          <w:rStyle w:val="eop"/>
          <w:rFonts w:asciiTheme="minorHAnsi" w:eastAsiaTheme="minorEastAsia" w:hAnsiTheme="minorHAnsi" w:cstheme="minorBidi"/>
        </w:rPr>
        <w:t xml:space="preserve">. Information on the vessel and how space is used at the carrier level on any given vessel </w:t>
      </w:r>
      <w:r w:rsidR="003B0593">
        <w:rPr>
          <w:rStyle w:val="eop"/>
          <w:rFonts w:asciiTheme="minorHAnsi" w:eastAsiaTheme="minorEastAsia" w:hAnsiTheme="minorHAnsi" w:cstheme="minorBidi"/>
        </w:rPr>
        <w:t>is necessary to meet the statutory mandate</w:t>
      </w:r>
      <w:r w:rsidRPr="3F892FE0" w:rsidR="7C290F9E">
        <w:rPr>
          <w:rStyle w:val="eop"/>
          <w:rFonts w:asciiTheme="minorHAnsi" w:eastAsiaTheme="minorEastAsia" w:hAnsiTheme="minorHAnsi" w:cstheme="minorBidi"/>
        </w:rPr>
        <w:t>.</w:t>
      </w:r>
    </w:p>
    <w:p w:rsidR="008C42DB" w:rsidP="63917C60" w14:paraId="26B824FC" w14:textId="77777777">
      <w:pPr>
        <w:pStyle w:val="paragraph"/>
        <w:spacing w:before="0" w:beforeAutospacing="0" w:after="0" w:afterAutospacing="0"/>
        <w:rPr>
          <w:rStyle w:val="eop"/>
          <w:rFonts w:asciiTheme="minorHAnsi" w:eastAsiaTheme="minorEastAsia" w:hAnsiTheme="minorHAnsi" w:cstheme="minorBidi"/>
        </w:rPr>
      </w:pPr>
    </w:p>
    <w:p w:rsidR="00EC2630" w:rsidRPr="00555CBC" w:rsidP="3F892FE0" w14:paraId="7EF515E7" w14:textId="0E9E6704">
      <w:pPr>
        <w:pStyle w:val="paragraph"/>
        <w:spacing w:before="0" w:beforeAutospacing="0" w:after="0" w:afterAutospacing="0"/>
        <w:rPr>
          <w:rStyle w:val="eop"/>
          <w:rFonts w:asciiTheme="minorHAnsi" w:eastAsiaTheme="minorEastAsia" w:hAnsiTheme="minorHAnsi" w:cstheme="minorHAnsi"/>
        </w:rPr>
      </w:pPr>
      <w:r w:rsidRPr="00555CBC">
        <w:rPr>
          <w:rStyle w:val="eop"/>
          <w:rFonts w:asciiTheme="minorHAnsi" w:eastAsiaTheme="minorEastAsia" w:hAnsiTheme="minorHAnsi" w:cstheme="minorHAnsi"/>
        </w:rPr>
        <w:t>W</w:t>
      </w:r>
      <w:r w:rsidRPr="00555CBC" w:rsidR="491ED74F">
        <w:rPr>
          <w:rStyle w:val="eop"/>
          <w:rFonts w:asciiTheme="minorHAnsi" w:eastAsiaTheme="minorEastAsia" w:hAnsiTheme="minorHAnsi" w:cstheme="minorHAnsi"/>
        </w:rPr>
        <w:t xml:space="preserve">hile there are alternate sources of data on laden containers, these </w:t>
      </w:r>
      <w:r w:rsidR="003B0593">
        <w:rPr>
          <w:rStyle w:val="eop"/>
          <w:rFonts w:asciiTheme="minorHAnsi" w:eastAsiaTheme="minorEastAsia" w:hAnsiTheme="minorHAnsi" w:cstheme="minorHAnsi"/>
        </w:rPr>
        <w:t>do not satisfy the requirements of the OSRA 2022 mandate</w:t>
      </w:r>
      <w:r w:rsidRPr="00555CBC" w:rsidR="491ED74F">
        <w:rPr>
          <w:rStyle w:val="eop"/>
          <w:rFonts w:asciiTheme="minorHAnsi" w:eastAsiaTheme="minorEastAsia" w:hAnsiTheme="minorHAnsi" w:cstheme="minorHAnsi"/>
        </w:rPr>
        <w:t xml:space="preserve">; they are based on converting container weight to an estimated count of containers using sophisticated algorithms. </w:t>
      </w:r>
      <w:r w:rsidRPr="00555CBC" w:rsidR="7C290F9E">
        <w:rPr>
          <w:rStyle w:val="eop"/>
          <w:rFonts w:asciiTheme="minorHAnsi" w:eastAsiaTheme="minorEastAsia" w:hAnsiTheme="minorHAnsi" w:cstheme="minorHAnsi"/>
        </w:rPr>
        <w:t>Commercial vendors of this information acquire the underlying data from U</w:t>
      </w:r>
      <w:r w:rsidRPr="00555CBC" w:rsidR="6FA62D6B">
        <w:rPr>
          <w:rStyle w:val="eop"/>
          <w:rFonts w:asciiTheme="minorHAnsi" w:eastAsiaTheme="minorEastAsia" w:hAnsiTheme="minorHAnsi" w:cstheme="minorHAnsi"/>
        </w:rPr>
        <w:t>.</w:t>
      </w:r>
      <w:r w:rsidRPr="00555CBC" w:rsidR="7C290F9E">
        <w:rPr>
          <w:rStyle w:val="eop"/>
          <w:rFonts w:asciiTheme="minorHAnsi" w:eastAsiaTheme="minorEastAsia" w:hAnsiTheme="minorHAnsi" w:cstheme="minorHAnsi"/>
        </w:rPr>
        <w:t>S</w:t>
      </w:r>
      <w:r w:rsidRPr="00555CBC" w:rsidR="6FA62D6B">
        <w:rPr>
          <w:rStyle w:val="eop"/>
          <w:rFonts w:asciiTheme="minorHAnsi" w:eastAsiaTheme="minorEastAsia" w:hAnsiTheme="minorHAnsi" w:cstheme="minorHAnsi"/>
        </w:rPr>
        <w:t>.</w:t>
      </w:r>
      <w:r w:rsidRPr="00555CBC" w:rsidR="7C290F9E">
        <w:rPr>
          <w:rStyle w:val="eop"/>
          <w:rFonts w:asciiTheme="minorHAnsi" w:eastAsiaTheme="minorEastAsia" w:hAnsiTheme="minorHAnsi" w:cstheme="minorHAnsi"/>
        </w:rPr>
        <w:t xml:space="preserve"> Customs and Border Protection and then spend considerable resources to </w:t>
      </w:r>
      <w:r w:rsidRPr="00555CBC" w:rsidR="0B5F9160">
        <w:rPr>
          <w:rStyle w:val="eop"/>
          <w:rFonts w:asciiTheme="minorHAnsi" w:eastAsiaTheme="minorEastAsia" w:hAnsiTheme="minorHAnsi" w:cstheme="minorHAnsi"/>
        </w:rPr>
        <w:t xml:space="preserve">refine the data and convert to </w:t>
      </w:r>
      <w:r w:rsidRPr="00555CBC">
        <w:rPr>
          <w:rStyle w:val="eop"/>
          <w:rFonts w:asciiTheme="minorHAnsi" w:eastAsiaTheme="minorEastAsia" w:hAnsiTheme="minorHAnsi" w:cstheme="minorHAnsi"/>
        </w:rPr>
        <w:t xml:space="preserve">estimated </w:t>
      </w:r>
      <w:r w:rsidRPr="00555CBC" w:rsidR="0B5F9160">
        <w:rPr>
          <w:rStyle w:val="eop"/>
          <w:rFonts w:asciiTheme="minorHAnsi" w:eastAsiaTheme="minorEastAsia" w:hAnsiTheme="minorHAnsi" w:cstheme="minorHAnsi"/>
        </w:rPr>
        <w:t>TEUs.</w:t>
      </w:r>
      <w:r w:rsidRPr="00555CBC" w:rsidR="65697658">
        <w:rPr>
          <w:rStyle w:val="eop"/>
          <w:rFonts w:asciiTheme="minorHAnsi" w:eastAsiaTheme="minorEastAsia" w:hAnsiTheme="minorHAnsi" w:cstheme="minorHAnsi"/>
        </w:rPr>
        <w:t xml:space="preserve"> </w:t>
      </w:r>
      <w:r w:rsidRPr="00555CBC" w:rsidR="00555CBC">
        <w:rPr>
          <w:rFonts w:asciiTheme="minorHAnsi" w:hAnsiTheme="minorHAnsi" w:cstheme="minorHAnsi"/>
        </w:rPr>
        <w:t xml:space="preserve">Not only is it costly to produce this information using the commercial vendor approaches, but results in only estimated TEUs, is incomplete at the carrier/vessel level, and estimates can vary by methodology used. The FMC believes </w:t>
      </w:r>
      <w:r w:rsidR="00831A3E">
        <w:rPr>
          <w:rFonts w:asciiTheme="minorHAnsi" w:hAnsiTheme="minorHAnsi" w:cstheme="minorHAnsi"/>
        </w:rPr>
        <w:t xml:space="preserve">that using commercial vendor data or attempting to duplicate this data would </w:t>
      </w:r>
      <w:r w:rsidR="00D17E0D">
        <w:rPr>
          <w:rFonts w:asciiTheme="minorHAnsi" w:hAnsiTheme="minorHAnsi" w:cstheme="minorHAnsi"/>
        </w:rPr>
        <w:t xml:space="preserve">not provide </w:t>
      </w:r>
      <w:r w:rsidRPr="00555CBC" w:rsidR="00555CBC">
        <w:rPr>
          <w:rFonts w:asciiTheme="minorHAnsi" w:hAnsiTheme="minorHAnsi" w:cstheme="minorHAnsi"/>
        </w:rPr>
        <w:t>the information required to produce the report mandated by OSRA 2022. Moreover, attempting to duplicate commercial vendor methodologies to produce its own estimates would</w:t>
      </w:r>
      <w:r w:rsidR="00D17E0D">
        <w:rPr>
          <w:rFonts w:asciiTheme="minorHAnsi" w:hAnsiTheme="minorHAnsi" w:cstheme="minorHAnsi"/>
        </w:rPr>
        <w:t xml:space="preserve"> raise the risk of erroneous dat</w:t>
      </w:r>
      <w:r w:rsidR="00560032">
        <w:rPr>
          <w:rFonts w:asciiTheme="minorHAnsi" w:hAnsiTheme="minorHAnsi" w:cstheme="minorHAnsi"/>
        </w:rPr>
        <w:t>a, is not required to satisfy the OSRA 2022 mandate,</w:t>
      </w:r>
      <w:r w:rsidR="00D17E0D">
        <w:rPr>
          <w:rFonts w:asciiTheme="minorHAnsi" w:hAnsiTheme="minorHAnsi" w:cstheme="minorHAnsi"/>
        </w:rPr>
        <w:t xml:space="preserve"> and </w:t>
      </w:r>
      <w:r w:rsidRPr="00555CBC" w:rsidR="00555CBC">
        <w:rPr>
          <w:rFonts w:asciiTheme="minorHAnsi" w:hAnsiTheme="minorHAnsi" w:cstheme="minorHAnsi"/>
        </w:rPr>
        <w:t>come</w:t>
      </w:r>
      <w:r w:rsidR="00560032">
        <w:rPr>
          <w:rFonts w:asciiTheme="minorHAnsi" w:hAnsiTheme="minorHAnsi" w:cstheme="minorHAnsi"/>
        </w:rPr>
        <w:t>s</w:t>
      </w:r>
      <w:r w:rsidRPr="00555CBC" w:rsidR="00555CBC">
        <w:rPr>
          <w:rFonts w:asciiTheme="minorHAnsi" w:hAnsiTheme="minorHAnsi" w:cstheme="minorHAnsi"/>
        </w:rPr>
        <w:t xml:space="preserve"> at a considerable and needless cost to taxpayers. Based on its research, the FMC believes the most cost effective, efficient, and reliable approach to meeting this OSRA 2022 reporting requirement is to collect the underlying </w:t>
      </w:r>
      <w:r w:rsidRPr="00555CBC" w:rsidR="00555CBC">
        <w:rPr>
          <w:rFonts w:asciiTheme="minorHAnsi" w:hAnsiTheme="minorHAnsi" w:cstheme="minorHAnsi"/>
        </w:rPr>
        <w:t xml:space="preserve">data directly from the vessel-operating common carriers, who </w:t>
      </w:r>
      <w:r w:rsidRPr="00555CBC" w:rsidR="70ACE791">
        <w:rPr>
          <w:rStyle w:val="eop"/>
          <w:rFonts w:asciiTheme="minorHAnsi" w:eastAsiaTheme="minorEastAsia" w:hAnsiTheme="minorHAnsi" w:cstheme="minorHAnsi"/>
        </w:rPr>
        <w:t>know precisely</w:t>
      </w:r>
      <w:r w:rsidRPr="00555CBC" w:rsidR="70ACE791">
        <w:rPr>
          <w:rStyle w:val="eop"/>
          <w:rFonts w:asciiTheme="minorHAnsi" w:eastAsiaTheme="minorEastAsia" w:hAnsiTheme="minorHAnsi" w:cstheme="minorHAnsi"/>
        </w:rPr>
        <w:t xml:space="preserve"> the quantity and size of containers that they move on vessels (those under their control and those where they have a space allocation).</w:t>
      </w:r>
    </w:p>
    <w:p w:rsidR="00ED221B" w:rsidP="00BA2086" w14:paraId="2FFAAFA4" w14:textId="77777777">
      <w:pPr>
        <w:pStyle w:val="paragraph"/>
        <w:spacing w:before="0" w:beforeAutospacing="0" w:after="0" w:afterAutospacing="0"/>
        <w:textAlignment w:val="baseline"/>
        <w:rPr>
          <w:rStyle w:val="eop"/>
          <w:rFonts w:asciiTheme="minorHAnsi" w:eastAsiaTheme="minorEastAsia" w:hAnsiTheme="minorHAnsi" w:cstheme="minorBidi"/>
        </w:rPr>
      </w:pPr>
    </w:p>
    <w:p w:rsidR="00ED221B" w:rsidP="3F892FE0" w14:paraId="53299A3A" w14:textId="4458D2A5">
      <w:pPr>
        <w:pStyle w:val="paragraph"/>
        <w:spacing w:before="0" w:beforeAutospacing="0" w:after="0" w:afterAutospacing="0"/>
        <w:textAlignment w:val="baseline"/>
        <w:rPr>
          <w:rStyle w:val="eop"/>
          <w:rFonts w:asciiTheme="minorHAnsi" w:eastAsiaTheme="minorEastAsia" w:hAnsiTheme="minorHAnsi" w:cstheme="minorBidi"/>
        </w:rPr>
      </w:pPr>
      <w:r w:rsidRPr="3F892FE0">
        <w:rPr>
          <w:rStyle w:val="eop"/>
          <w:rFonts w:asciiTheme="minorHAnsi" w:eastAsiaTheme="minorEastAsia" w:hAnsiTheme="minorHAnsi" w:cstheme="minorBidi"/>
        </w:rPr>
        <w:t xml:space="preserve">Finally, there is no source of information on tons or TEUs of freight that is on- or off-loaded at Canadian or Mexican ports </w:t>
      </w:r>
      <w:r w:rsidRPr="3F892FE0" w:rsidR="4D570FC2">
        <w:rPr>
          <w:rStyle w:val="eop"/>
          <w:rFonts w:asciiTheme="minorHAnsi" w:eastAsiaTheme="minorEastAsia" w:hAnsiTheme="minorHAnsi" w:cstheme="minorBidi"/>
        </w:rPr>
        <w:t xml:space="preserve">on services that </w:t>
      </w:r>
      <w:r w:rsidRPr="3F892FE0" w:rsidR="54FD9F04">
        <w:rPr>
          <w:rStyle w:val="eop"/>
          <w:rFonts w:asciiTheme="minorHAnsi" w:eastAsiaTheme="minorEastAsia" w:hAnsiTheme="minorHAnsi" w:cstheme="minorBidi"/>
        </w:rPr>
        <w:t xml:space="preserve">also </w:t>
      </w:r>
      <w:r w:rsidRPr="3F892FE0" w:rsidR="4D570FC2">
        <w:rPr>
          <w:rStyle w:val="eop"/>
          <w:rFonts w:asciiTheme="minorHAnsi" w:eastAsiaTheme="minorEastAsia" w:hAnsiTheme="minorHAnsi" w:cstheme="minorBidi"/>
        </w:rPr>
        <w:t>call at U.S.</w:t>
      </w:r>
      <w:r w:rsidRPr="3F892FE0" w:rsidR="6FA62D6B">
        <w:rPr>
          <w:rStyle w:val="eop"/>
          <w:rFonts w:asciiTheme="minorHAnsi" w:eastAsiaTheme="minorEastAsia" w:hAnsiTheme="minorHAnsi" w:cstheme="minorBidi"/>
        </w:rPr>
        <w:t xml:space="preserve"> ports.</w:t>
      </w:r>
      <w:r w:rsidRPr="3F892FE0" w:rsidR="4D570FC2">
        <w:rPr>
          <w:rStyle w:val="eop"/>
          <w:rFonts w:asciiTheme="minorHAnsi" w:eastAsiaTheme="minorEastAsia" w:hAnsiTheme="minorHAnsi" w:cstheme="minorBidi"/>
        </w:rPr>
        <w:t xml:space="preserve"> It is often the case that U.S. </w:t>
      </w:r>
      <w:r w:rsidRPr="3F892FE0" w:rsidR="6FA62D6B">
        <w:rPr>
          <w:rStyle w:val="eop"/>
          <w:rFonts w:asciiTheme="minorHAnsi" w:eastAsiaTheme="minorEastAsia" w:hAnsiTheme="minorHAnsi" w:cstheme="minorBidi"/>
        </w:rPr>
        <w:t>exporters and importers</w:t>
      </w:r>
      <w:r w:rsidRPr="3F892FE0" w:rsidR="37C2DCC8">
        <w:rPr>
          <w:rStyle w:val="eop"/>
          <w:rFonts w:asciiTheme="minorHAnsi" w:eastAsiaTheme="minorEastAsia" w:hAnsiTheme="minorHAnsi" w:cstheme="minorBidi"/>
        </w:rPr>
        <w:t xml:space="preserve"> ship </w:t>
      </w:r>
      <w:r w:rsidRPr="3F892FE0" w:rsidR="4D570FC2">
        <w:rPr>
          <w:rStyle w:val="eop"/>
          <w:rFonts w:asciiTheme="minorHAnsi" w:eastAsiaTheme="minorEastAsia" w:hAnsiTheme="minorHAnsi" w:cstheme="minorBidi"/>
        </w:rPr>
        <w:t xml:space="preserve">freight that moves through either Mexican or Canadian ports. For example, </w:t>
      </w:r>
      <w:r w:rsidRPr="3F892FE0" w:rsidR="095592CC">
        <w:rPr>
          <w:rStyle w:val="eop"/>
          <w:rFonts w:asciiTheme="minorHAnsi" w:eastAsiaTheme="minorEastAsia" w:hAnsiTheme="minorHAnsi" w:cstheme="minorBidi"/>
        </w:rPr>
        <w:t xml:space="preserve">rail service from the Ports of Vancouver or Prince Rupert is used by U.S. </w:t>
      </w:r>
      <w:r w:rsidRPr="3F892FE0" w:rsidR="022952A8">
        <w:rPr>
          <w:rStyle w:val="eop"/>
          <w:rFonts w:asciiTheme="minorHAnsi" w:eastAsiaTheme="minorEastAsia" w:hAnsiTheme="minorHAnsi" w:cstheme="minorBidi"/>
        </w:rPr>
        <w:t>exporters and importers</w:t>
      </w:r>
      <w:r w:rsidRPr="3F892FE0" w:rsidR="095592CC">
        <w:rPr>
          <w:rStyle w:val="eop"/>
          <w:rFonts w:asciiTheme="minorHAnsi" w:eastAsiaTheme="minorEastAsia" w:hAnsiTheme="minorHAnsi" w:cstheme="minorBidi"/>
        </w:rPr>
        <w:t xml:space="preserve"> in the upper Midwest.</w:t>
      </w:r>
    </w:p>
    <w:p w:rsidR="00BA2086" w:rsidP="00BA2086" w14:paraId="4D853C6A" w14:textId="0B14973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22AB90B4" w:rsidRPr="00CB7A39" w:rsidP="00CB7A39" w14:paraId="1911909C" w14:textId="28C93846">
      <w:pPr>
        <w:pStyle w:val="paragraph"/>
        <w:spacing w:before="0" w:beforeAutospacing="0" w:after="0" w:afterAutospacing="0"/>
        <w:textAlignment w:val="baseline"/>
        <w:rPr>
          <w:rStyle w:val="eop"/>
          <w:rFonts w:ascii="Segoe UI" w:hAnsi="Segoe UI" w:cs="Segoe UI"/>
          <w:sz w:val="18"/>
          <w:szCs w:val="18"/>
        </w:rPr>
      </w:pPr>
      <w:r w:rsidRPr="22AB90B4">
        <w:rPr>
          <w:rStyle w:val="normaltextrun"/>
          <w:rFonts w:ascii="Arial" w:hAnsi="Arial" w:cs="Arial"/>
        </w:rPr>
        <w:t>5. If the collection of information impacts small businesses or other small entities, describe any methods used to minimize burden.</w:t>
      </w:r>
      <w:r w:rsidRPr="22AB90B4">
        <w:rPr>
          <w:rStyle w:val="eop"/>
          <w:rFonts w:ascii="Arial" w:hAnsi="Arial" w:cs="Arial"/>
        </w:rPr>
        <w:t> </w:t>
      </w:r>
    </w:p>
    <w:p w:rsidR="22AB90B4" w:rsidP="00D10633" w14:paraId="6327AF1E" w14:textId="4F843592">
      <w:pPr>
        <w:pStyle w:val="paragraph"/>
        <w:spacing w:after="0"/>
        <w:rPr>
          <w:rStyle w:val="eop"/>
          <w:rFonts w:asciiTheme="minorHAnsi" w:eastAsiaTheme="minorEastAsia" w:hAnsiTheme="minorHAnsi" w:cstheme="minorBidi"/>
        </w:rPr>
      </w:pPr>
      <w:r w:rsidRPr="3F892FE0">
        <w:rPr>
          <w:rStyle w:val="eop"/>
          <w:rFonts w:asciiTheme="minorHAnsi" w:eastAsiaTheme="minorEastAsia" w:hAnsiTheme="minorHAnsi" w:cstheme="minorBidi"/>
        </w:rPr>
        <w:t xml:space="preserve">There will be no impact on small business. </w:t>
      </w:r>
      <w:r w:rsidRPr="3F892FE0" w:rsidR="002918AD">
        <w:rPr>
          <w:rStyle w:val="eop"/>
          <w:rFonts w:asciiTheme="minorHAnsi" w:eastAsiaTheme="minorEastAsia" w:hAnsiTheme="minorHAnsi" w:cstheme="minorBidi"/>
        </w:rPr>
        <w:t xml:space="preserve">FMC policies and procedures on the Small Business Regulatory Enforcement Fairness Act are available here: </w:t>
      </w:r>
      <w:hyperlink r:id="rId9" w:history="1">
        <w:r w:rsidRPr="3F892FE0" w:rsidR="002918AD">
          <w:rPr>
            <w:rStyle w:val="Hyperlink"/>
            <w:rFonts w:asciiTheme="minorHAnsi" w:eastAsiaTheme="minorEastAsia" w:hAnsiTheme="minorHAnsi" w:cstheme="minorBidi"/>
          </w:rPr>
          <w:t>https://www.fmc.gov/about-the-fmc/small-business-regulatory-enforcement-fairness-act-considerations/</w:t>
        </w:r>
      </w:hyperlink>
      <w:r w:rsidRPr="3F892FE0" w:rsidR="002918AD">
        <w:rPr>
          <w:rStyle w:val="eop"/>
          <w:rFonts w:asciiTheme="minorHAnsi" w:eastAsiaTheme="minorEastAsia" w:hAnsiTheme="minorHAnsi" w:cstheme="minorBidi"/>
        </w:rPr>
        <w:t xml:space="preserve">. </w:t>
      </w:r>
      <w:r w:rsidRPr="3F892FE0" w:rsidR="343BAFF9">
        <w:rPr>
          <w:rStyle w:val="eop"/>
          <w:rFonts w:asciiTheme="minorHAnsi" w:eastAsiaTheme="minorEastAsia" w:hAnsiTheme="minorHAnsi" w:cstheme="minorBidi"/>
        </w:rPr>
        <w:t xml:space="preserve">This information will be collected from vessel-operating common carriers serving the U.S. </w:t>
      </w:r>
      <w:r w:rsidRPr="3F892FE0" w:rsidR="56BA52CD">
        <w:rPr>
          <w:rStyle w:val="eop"/>
          <w:rFonts w:asciiTheme="minorHAnsi" w:eastAsiaTheme="minorEastAsia" w:hAnsiTheme="minorHAnsi" w:cstheme="minorBidi"/>
        </w:rPr>
        <w:t xml:space="preserve">foreign </w:t>
      </w:r>
      <w:r w:rsidRPr="3F892FE0" w:rsidR="343BAFF9">
        <w:rPr>
          <w:rStyle w:val="eop"/>
          <w:rFonts w:asciiTheme="minorHAnsi" w:eastAsiaTheme="minorEastAsia" w:hAnsiTheme="minorHAnsi" w:cstheme="minorBidi"/>
        </w:rPr>
        <w:t>oceanborn</w:t>
      </w:r>
      <w:r w:rsidRPr="3F892FE0" w:rsidR="1167A2B4">
        <w:rPr>
          <w:rStyle w:val="eop"/>
          <w:rFonts w:asciiTheme="minorHAnsi" w:eastAsiaTheme="minorEastAsia" w:hAnsiTheme="minorHAnsi" w:cstheme="minorBidi"/>
        </w:rPr>
        <w:t>e</w:t>
      </w:r>
      <w:r w:rsidRPr="3F892FE0" w:rsidR="343BAFF9">
        <w:rPr>
          <w:rStyle w:val="eop"/>
          <w:rFonts w:asciiTheme="minorHAnsi" w:eastAsiaTheme="minorEastAsia" w:hAnsiTheme="minorHAnsi" w:cstheme="minorBidi"/>
        </w:rPr>
        <w:t xml:space="preserve"> trades. </w:t>
      </w:r>
      <w:r w:rsidRPr="3F892FE0" w:rsidR="5C748C29">
        <w:rPr>
          <w:rStyle w:val="eop"/>
          <w:rFonts w:asciiTheme="minorHAnsi" w:eastAsiaTheme="minorEastAsia" w:hAnsiTheme="minorHAnsi" w:cstheme="minorBidi"/>
        </w:rPr>
        <w:t xml:space="preserve">To reduce the burden on these </w:t>
      </w:r>
      <w:r w:rsidR="002918AD">
        <w:rPr>
          <w:rStyle w:val="eop"/>
          <w:rFonts w:asciiTheme="minorHAnsi" w:eastAsiaTheme="minorEastAsia" w:hAnsiTheme="minorHAnsi" w:cstheme="minorBidi"/>
        </w:rPr>
        <w:t>small</w:t>
      </w:r>
      <w:r w:rsidRPr="3F892FE0" w:rsidR="002918AD">
        <w:rPr>
          <w:rStyle w:val="eop"/>
          <w:rFonts w:asciiTheme="minorHAnsi" w:eastAsiaTheme="minorEastAsia" w:hAnsiTheme="minorHAnsi" w:cstheme="minorBidi"/>
        </w:rPr>
        <w:t xml:space="preserve"> </w:t>
      </w:r>
      <w:r w:rsidRPr="3F892FE0" w:rsidR="5C748C29">
        <w:rPr>
          <w:rStyle w:val="eop"/>
          <w:rFonts w:asciiTheme="minorHAnsi" w:eastAsiaTheme="minorEastAsia" w:hAnsiTheme="minorHAnsi" w:cstheme="minorBidi"/>
        </w:rPr>
        <w:t xml:space="preserve">companies, </w:t>
      </w:r>
      <w:r w:rsidRPr="3F892FE0" w:rsidR="084FE36C">
        <w:rPr>
          <w:rStyle w:val="eop"/>
          <w:rFonts w:asciiTheme="minorHAnsi" w:eastAsiaTheme="minorEastAsia" w:hAnsiTheme="minorHAnsi" w:cstheme="minorBidi"/>
        </w:rPr>
        <w:t xml:space="preserve">this </w:t>
      </w:r>
      <w:r w:rsidRPr="3F892FE0">
        <w:rPr>
          <w:rStyle w:val="eop"/>
          <w:rFonts w:asciiTheme="minorHAnsi" w:eastAsiaTheme="minorEastAsia" w:hAnsiTheme="minorHAnsi" w:cstheme="minorBidi"/>
        </w:rPr>
        <w:t xml:space="preserve">data will be collected from </w:t>
      </w:r>
      <w:r w:rsidRPr="3F892FE0" w:rsidR="084FE36C">
        <w:rPr>
          <w:rStyle w:val="eop"/>
          <w:rFonts w:asciiTheme="minorHAnsi" w:eastAsiaTheme="minorEastAsia" w:hAnsiTheme="minorHAnsi" w:cstheme="minorBidi"/>
        </w:rPr>
        <w:t>vessel-operating</w:t>
      </w:r>
      <w:r w:rsidRPr="3F892FE0">
        <w:rPr>
          <w:rStyle w:val="eop"/>
          <w:rFonts w:asciiTheme="minorHAnsi" w:eastAsiaTheme="minorEastAsia" w:hAnsiTheme="minorHAnsi" w:cstheme="minorBidi"/>
        </w:rPr>
        <w:t xml:space="preserve"> common carriers who transport (either import or export) at least 1,500 TEUs per month.</w:t>
      </w:r>
      <w:r w:rsidR="00831A3E">
        <w:rPr>
          <w:rStyle w:val="eop"/>
          <w:rFonts w:asciiTheme="minorHAnsi" w:eastAsiaTheme="minorEastAsia" w:hAnsiTheme="minorHAnsi" w:cstheme="minorBidi"/>
        </w:rPr>
        <w:t xml:space="preserve"> Vessel-operating common carriers transporting more than 1,500 TEUs per month are </w:t>
      </w:r>
      <w:r w:rsidR="002918AD">
        <w:rPr>
          <w:rStyle w:val="eop"/>
          <w:rFonts w:asciiTheme="minorHAnsi" w:eastAsiaTheme="minorEastAsia" w:hAnsiTheme="minorHAnsi" w:cstheme="minorBidi"/>
        </w:rPr>
        <w:t xml:space="preserve">generally </w:t>
      </w:r>
      <w:r w:rsidR="00831A3E">
        <w:rPr>
          <w:rStyle w:val="eop"/>
          <w:rFonts w:asciiTheme="minorHAnsi" w:eastAsiaTheme="minorEastAsia" w:hAnsiTheme="minorHAnsi" w:cstheme="minorBidi"/>
        </w:rPr>
        <w:t xml:space="preserve">not small businesses. </w:t>
      </w:r>
      <w:r w:rsidRPr="002918AD" w:rsidR="002918AD">
        <w:rPr>
          <w:rStyle w:val="eop"/>
          <w:rFonts w:asciiTheme="minorHAnsi" w:eastAsiaTheme="minorEastAsia" w:hAnsiTheme="minorHAnsi" w:cstheme="minorBidi"/>
        </w:rPr>
        <w:t xml:space="preserve"> FMC Policy and Procedures regarding Proper Consideration of Small Entities in Rulemakings (Feb. 7, 2003),</w:t>
      </w:r>
      <w:r w:rsidR="002918AD">
        <w:rPr>
          <w:rStyle w:val="eop"/>
          <w:rFonts w:asciiTheme="minorHAnsi" w:eastAsiaTheme="minorEastAsia" w:hAnsiTheme="minorHAnsi" w:cstheme="minorBidi"/>
        </w:rPr>
        <w:t xml:space="preserve"> </w:t>
      </w:r>
      <w:r w:rsidRPr="002918AD" w:rsidR="002918AD">
        <w:rPr>
          <w:rStyle w:val="eop"/>
          <w:rFonts w:asciiTheme="minorHAnsi" w:eastAsiaTheme="minorEastAsia" w:hAnsiTheme="minorHAnsi" w:cstheme="minorBidi"/>
        </w:rPr>
        <w:t xml:space="preserve">available at: </w:t>
      </w:r>
      <w:hyperlink r:id="rId10" w:history="1">
        <w:r w:rsidRPr="00147B37" w:rsidR="00CB7A39">
          <w:rPr>
            <w:rStyle w:val="Hyperlink"/>
            <w:rFonts w:asciiTheme="minorHAnsi" w:eastAsiaTheme="minorEastAsia" w:hAnsiTheme="minorHAnsi" w:cstheme="minorBidi"/>
          </w:rPr>
          <w:t>https://www.fmc.gov/wpcontent/uploads/2018/10/SBREFA_Guidelines_2003.pdf</w:t>
        </w:r>
      </w:hyperlink>
      <w:r w:rsidRPr="002918AD" w:rsidR="002918AD">
        <w:rPr>
          <w:rStyle w:val="eop"/>
          <w:rFonts w:asciiTheme="minorHAnsi" w:eastAsiaTheme="minorEastAsia" w:hAnsiTheme="minorHAnsi" w:cstheme="minorBidi"/>
        </w:rPr>
        <w:t>.</w:t>
      </w:r>
    </w:p>
    <w:p w:rsidR="00BA2086" w:rsidP="00BA2086" w14:paraId="392F1AE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P="00BA2086" w14:paraId="5F28BBE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6. Describe the consequence to Federal program or policy activities if the collection is not conducted or is conducted less frequently, as well as any technical or legal obstacles to reducing burden.</w:t>
      </w:r>
      <w:r>
        <w:rPr>
          <w:rStyle w:val="eop"/>
          <w:rFonts w:ascii="Arial" w:hAnsi="Arial" w:cs="Arial"/>
        </w:rPr>
        <w:t> </w:t>
      </w:r>
    </w:p>
    <w:p w:rsidR="00BA2086" w:rsidP="00BA2086" w14:paraId="38BE7E64" w14:textId="77777777">
      <w:pPr>
        <w:pStyle w:val="paragraph"/>
        <w:spacing w:before="0" w:beforeAutospacing="0" w:after="0" w:afterAutospacing="0"/>
        <w:textAlignment w:val="baseline"/>
        <w:rPr>
          <w:rFonts w:ascii="Segoe UI" w:hAnsi="Segoe UI" w:cs="Segoe UI"/>
          <w:sz w:val="18"/>
          <w:szCs w:val="18"/>
        </w:rPr>
      </w:pPr>
      <w:r w:rsidRPr="22AB90B4">
        <w:rPr>
          <w:rStyle w:val="eop"/>
          <w:rFonts w:ascii="Arial" w:hAnsi="Arial" w:cs="Arial"/>
        </w:rPr>
        <w:t> </w:t>
      </w:r>
    </w:p>
    <w:p w:rsidR="22AB90B4" w:rsidP="3F892FE0" w14:paraId="1EEEE662" w14:textId="559E8E2D">
      <w:pPr>
        <w:pStyle w:val="paragraph"/>
        <w:spacing w:before="0" w:beforeAutospacing="0" w:after="0" w:afterAutospacing="0"/>
        <w:rPr>
          <w:rStyle w:val="eop"/>
          <w:rFonts w:asciiTheme="minorHAnsi" w:eastAsiaTheme="minorEastAsia" w:hAnsiTheme="minorHAnsi" w:cstheme="minorBidi"/>
        </w:rPr>
      </w:pPr>
      <w:r w:rsidRPr="3F892FE0">
        <w:rPr>
          <w:rStyle w:val="eop"/>
          <w:rFonts w:asciiTheme="minorHAnsi" w:eastAsiaTheme="minorEastAsia" w:hAnsiTheme="minorHAnsi" w:cstheme="minorBidi"/>
        </w:rPr>
        <w:t xml:space="preserve">This report is mandated under OSRA 2022. Failure to collect </w:t>
      </w:r>
      <w:r w:rsidRPr="3F892FE0" w:rsidR="16992045">
        <w:rPr>
          <w:rStyle w:val="eop"/>
          <w:rFonts w:asciiTheme="minorHAnsi" w:eastAsiaTheme="minorEastAsia" w:hAnsiTheme="minorHAnsi" w:cstheme="minorBidi"/>
        </w:rPr>
        <w:t xml:space="preserve">and publish this </w:t>
      </w:r>
      <w:r w:rsidRPr="3F892FE0">
        <w:rPr>
          <w:rStyle w:val="eop"/>
          <w:rFonts w:asciiTheme="minorHAnsi" w:eastAsiaTheme="minorEastAsia" w:hAnsiTheme="minorHAnsi" w:cstheme="minorBidi"/>
        </w:rPr>
        <w:t>data will render the Commission unable to produce the report required by statute.</w:t>
      </w:r>
    </w:p>
    <w:p w:rsidR="22AB90B4" w:rsidP="22AB90B4" w14:paraId="1D7C5665" w14:textId="39BFECEC">
      <w:pPr>
        <w:pStyle w:val="paragraph"/>
        <w:spacing w:before="0" w:beforeAutospacing="0" w:after="0" w:afterAutospacing="0"/>
        <w:rPr>
          <w:rStyle w:val="eop"/>
        </w:rPr>
      </w:pPr>
    </w:p>
    <w:p w:rsidR="00BA2086" w:rsidP="00BA2086" w14:paraId="7F038F8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7. Explain any special circumstances that would cause an information collection to be conducted in a manner: </w:t>
      </w:r>
      <w:r>
        <w:rPr>
          <w:rStyle w:val="eop"/>
          <w:rFonts w:ascii="Arial" w:hAnsi="Arial" w:cs="Arial"/>
        </w:rPr>
        <w:t> </w:t>
      </w:r>
    </w:p>
    <w:p w:rsidR="00BA2086" w:rsidP="00BA2086" w14:paraId="46A5252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P="00BA2086" w14:paraId="488F023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 </w:t>
      </w:r>
      <w:r>
        <w:rPr>
          <w:rStyle w:val="contextualspellingandgrammarerror"/>
          <w:rFonts w:ascii="Arial" w:hAnsi="Arial" w:cs="Arial"/>
        </w:rPr>
        <w:t>requiring</w:t>
      </w:r>
      <w:r>
        <w:rPr>
          <w:rStyle w:val="normaltextrun"/>
          <w:rFonts w:ascii="Arial" w:hAnsi="Arial" w:cs="Arial"/>
        </w:rPr>
        <w:t xml:space="preserve"> respondents to report information to the agency more often than quarterly; </w:t>
      </w:r>
      <w:r>
        <w:rPr>
          <w:rStyle w:val="eop"/>
          <w:rFonts w:ascii="Arial" w:hAnsi="Arial" w:cs="Arial"/>
        </w:rPr>
        <w:t> </w:t>
      </w:r>
    </w:p>
    <w:p w:rsidR="00BA2086" w:rsidP="00BA2086" w14:paraId="3153CE0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 </w:t>
      </w:r>
      <w:r>
        <w:rPr>
          <w:rStyle w:val="contextualspellingandgrammarerror"/>
          <w:rFonts w:ascii="Arial" w:hAnsi="Arial" w:cs="Arial"/>
        </w:rPr>
        <w:t>requiring</w:t>
      </w:r>
      <w:r>
        <w:rPr>
          <w:rStyle w:val="normaltextrun"/>
          <w:rFonts w:ascii="Arial" w:hAnsi="Arial" w:cs="Arial"/>
        </w:rPr>
        <w:t xml:space="preserve"> respondents to prepare a written response to a collection of information in fewer than 30 days after receipt of it; </w:t>
      </w:r>
      <w:r>
        <w:rPr>
          <w:rStyle w:val="eop"/>
          <w:rFonts w:ascii="Arial" w:hAnsi="Arial" w:cs="Arial"/>
        </w:rPr>
        <w:t> </w:t>
      </w:r>
    </w:p>
    <w:p w:rsidR="00BA2086" w:rsidP="00BA2086" w14:paraId="77145755"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 </w:t>
      </w:r>
      <w:r>
        <w:rPr>
          <w:rStyle w:val="contextualspellingandgrammarerror"/>
          <w:rFonts w:ascii="Arial" w:hAnsi="Arial" w:cs="Arial"/>
        </w:rPr>
        <w:t>requiring</w:t>
      </w:r>
      <w:r>
        <w:rPr>
          <w:rStyle w:val="normaltextrun"/>
          <w:rFonts w:ascii="Arial" w:hAnsi="Arial" w:cs="Arial"/>
        </w:rPr>
        <w:t xml:space="preserve"> respondents to submit more than an original and two copies of any document; </w:t>
      </w:r>
      <w:r>
        <w:rPr>
          <w:rStyle w:val="eop"/>
          <w:rFonts w:ascii="Arial" w:hAnsi="Arial" w:cs="Arial"/>
        </w:rPr>
        <w:t> </w:t>
      </w:r>
    </w:p>
    <w:p w:rsidR="00BA2086" w:rsidP="00BA2086" w14:paraId="626741D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 </w:t>
      </w:r>
      <w:r>
        <w:rPr>
          <w:rStyle w:val="contextualspellingandgrammarerror"/>
          <w:rFonts w:ascii="Arial" w:hAnsi="Arial" w:cs="Arial"/>
        </w:rPr>
        <w:t>requiring</w:t>
      </w:r>
      <w:r>
        <w:rPr>
          <w:rStyle w:val="normaltextrun"/>
          <w:rFonts w:ascii="Arial" w:hAnsi="Arial" w:cs="Arial"/>
        </w:rPr>
        <w:t xml:space="preserve"> respondents to retain records, other than health, medical, government contract, grant-in-aid, or tax records, for more than three years; </w:t>
      </w:r>
      <w:r>
        <w:rPr>
          <w:rStyle w:val="eop"/>
          <w:rFonts w:ascii="Arial" w:hAnsi="Arial" w:cs="Arial"/>
        </w:rPr>
        <w:t> </w:t>
      </w:r>
    </w:p>
    <w:p w:rsidR="00BA2086" w:rsidP="00BA2086" w14:paraId="2E5535D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 </w:t>
      </w:r>
      <w:r>
        <w:rPr>
          <w:rStyle w:val="contextualspellingandgrammarerror"/>
          <w:rFonts w:ascii="Arial" w:hAnsi="Arial" w:cs="Arial"/>
        </w:rPr>
        <w:t>in</w:t>
      </w:r>
      <w:r>
        <w:rPr>
          <w:rStyle w:val="normaltextrun"/>
          <w:rFonts w:ascii="Arial" w:hAnsi="Arial" w:cs="Arial"/>
        </w:rPr>
        <w:t xml:space="preserve"> connection with a statistical survey, that is not designed to produce valid and reliable results that can be generalized to the universe of study; </w:t>
      </w:r>
      <w:r>
        <w:rPr>
          <w:rStyle w:val="eop"/>
          <w:rFonts w:ascii="Arial" w:hAnsi="Arial" w:cs="Arial"/>
        </w:rPr>
        <w:t> </w:t>
      </w:r>
    </w:p>
    <w:p w:rsidR="00BA2086" w:rsidP="00BA2086" w14:paraId="16001C9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 </w:t>
      </w:r>
      <w:r>
        <w:rPr>
          <w:rStyle w:val="contextualspellingandgrammarerror"/>
          <w:rFonts w:ascii="Arial" w:hAnsi="Arial" w:cs="Arial"/>
        </w:rPr>
        <w:t>requiring</w:t>
      </w:r>
      <w:r>
        <w:rPr>
          <w:rStyle w:val="normaltextrun"/>
          <w:rFonts w:ascii="Arial" w:hAnsi="Arial" w:cs="Arial"/>
        </w:rPr>
        <w:t xml:space="preserve"> the use of a statistical data classification that has not been reviewed and approved by OMB; </w:t>
      </w:r>
      <w:r>
        <w:rPr>
          <w:rStyle w:val="eop"/>
          <w:rFonts w:ascii="Arial" w:hAnsi="Arial" w:cs="Arial"/>
        </w:rPr>
        <w:t> </w:t>
      </w:r>
    </w:p>
    <w:p w:rsidR="00BA2086" w:rsidP="00BA2086" w14:paraId="1D55239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 </w:t>
      </w:r>
      <w:r>
        <w:rPr>
          <w:rStyle w:val="contextualspellingandgrammarerror"/>
          <w:rFonts w:ascii="Arial" w:hAnsi="Arial" w:cs="Arial"/>
        </w:rPr>
        <w:t>that</w:t>
      </w:r>
      <w:r>
        <w:rPr>
          <w:rStyle w:val="normaltextrun"/>
          <w:rFonts w:ascii="Arial" w:hAnsi="Arial" w:cs="Arial"/>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Pr>
          <w:rStyle w:val="eop"/>
          <w:rFonts w:ascii="Arial" w:hAnsi="Arial" w:cs="Arial"/>
        </w:rPr>
        <w:t> </w:t>
      </w:r>
    </w:p>
    <w:p w:rsidR="00BA2086" w:rsidP="00BA2086" w14:paraId="66426EA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 </w:t>
      </w:r>
      <w:r>
        <w:rPr>
          <w:rStyle w:val="contextualspellingandgrammarerror"/>
          <w:rFonts w:ascii="Arial" w:hAnsi="Arial" w:cs="Arial"/>
        </w:rPr>
        <w:t>requiring</w:t>
      </w:r>
      <w:r>
        <w:rPr>
          <w:rStyle w:val="normaltextrun"/>
          <w:rFonts w:ascii="Arial" w:hAnsi="Arial" w:cs="Arial"/>
        </w:rPr>
        <w:t xml:space="preserve"> respondents to submit proprietary trade secrets, or other confidential information unless the agency can demonstrate that it has instituted procedures to protect the information's confidentiality to the extent permitted by law.</w:t>
      </w:r>
      <w:r>
        <w:rPr>
          <w:rStyle w:val="eop"/>
          <w:rFonts w:ascii="Arial" w:hAnsi="Arial" w:cs="Arial"/>
        </w:rPr>
        <w:t> </w:t>
      </w:r>
    </w:p>
    <w:p w:rsidR="00BA2086" w:rsidP="00BA2086" w14:paraId="1D9BFBF9" w14:textId="77777777">
      <w:pPr>
        <w:pStyle w:val="paragraph"/>
        <w:spacing w:before="0" w:beforeAutospacing="0" w:after="0" w:afterAutospacing="0"/>
        <w:textAlignment w:val="baseline"/>
        <w:rPr>
          <w:rFonts w:ascii="Segoe UI" w:hAnsi="Segoe UI" w:cs="Segoe UI"/>
          <w:sz w:val="18"/>
          <w:szCs w:val="18"/>
        </w:rPr>
      </w:pPr>
      <w:r w:rsidRPr="22AB90B4">
        <w:rPr>
          <w:rStyle w:val="eop"/>
          <w:rFonts w:ascii="Arial" w:hAnsi="Arial" w:cs="Arial"/>
        </w:rPr>
        <w:t> </w:t>
      </w:r>
    </w:p>
    <w:p w:rsidR="22AB90B4" w:rsidP="3F892FE0" w14:paraId="46BF845E" w14:textId="741BB9CA">
      <w:pPr>
        <w:pStyle w:val="paragraph"/>
        <w:spacing w:before="0" w:beforeAutospacing="0" w:after="0" w:afterAutospacing="0"/>
        <w:rPr>
          <w:rStyle w:val="eop"/>
        </w:rPr>
      </w:pPr>
      <w:r w:rsidRPr="3F892FE0">
        <w:rPr>
          <w:rStyle w:val="eop"/>
          <w:rFonts w:asciiTheme="minorHAnsi" w:eastAsiaTheme="minorEastAsia" w:hAnsiTheme="minorHAnsi" w:cstheme="minorBidi"/>
        </w:rPr>
        <w:t xml:space="preserve">The information collection </w:t>
      </w:r>
      <w:r w:rsidRPr="3F892FE0" w:rsidR="63917C60">
        <w:rPr>
          <w:rStyle w:val="eop"/>
          <w:rFonts w:asciiTheme="minorHAnsi" w:eastAsiaTheme="minorEastAsia" w:hAnsiTheme="minorHAnsi" w:cstheme="minorBidi"/>
        </w:rPr>
        <w:t xml:space="preserve">requires carriers to submit </w:t>
      </w:r>
      <w:r w:rsidRPr="3F892FE0" w:rsidR="63917C60">
        <w:rPr>
          <w:rStyle w:val="eop"/>
          <w:rFonts w:asciiTheme="minorHAnsi" w:eastAsiaTheme="minorEastAsia" w:hAnsiTheme="minorHAnsi" w:cstheme="minorBidi"/>
        </w:rPr>
        <w:t>on a monthly basis</w:t>
      </w:r>
      <w:r w:rsidRPr="3F892FE0" w:rsidR="63917C60">
        <w:rPr>
          <w:rStyle w:val="eop"/>
          <w:rFonts w:asciiTheme="minorHAnsi" w:eastAsiaTheme="minorEastAsia" w:hAnsiTheme="minorHAnsi" w:cstheme="minorBidi"/>
        </w:rPr>
        <w:t xml:space="preserve">. </w:t>
      </w:r>
      <w:r w:rsidR="00763E52">
        <w:rPr>
          <w:rStyle w:val="eop"/>
          <w:rFonts w:asciiTheme="minorHAnsi" w:eastAsiaTheme="minorEastAsia" w:hAnsiTheme="minorHAnsi" w:cstheme="minorBidi"/>
        </w:rPr>
        <w:t>As</w:t>
      </w:r>
      <w:r w:rsidRPr="3F892FE0" w:rsidR="00763E52">
        <w:rPr>
          <w:rStyle w:val="eop"/>
          <w:rFonts w:asciiTheme="minorHAnsi" w:eastAsiaTheme="minorEastAsia" w:hAnsiTheme="minorHAnsi" w:cstheme="minorBidi"/>
        </w:rPr>
        <w:t xml:space="preserve"> </w:t>
      </w:r>
      <w:r w:rsidRPr="3F892FE0" w:rsidR="63917C60">
        <w:rPr>
          <w:rStyle w:val="eop"/>
          <w:rFonts w:asciiTheme="minorHAnsi" w:eastAsiaTheme="minorEastAsia" w:hAnsiTheme="minorHAnsi" w:cstheme="minorBidi"/>
        </w:rPr>
        <w:t xml:space="preserve">Congress requires </w:t>
      </w:r>
      <w:r w:rsidRPr="3F892FE0" w:rsidR="75315B23">
        <w:rPr>
          <w:rStyle w:val="eop"/>
          <w:rFonts w:asciiTheme="minorHAnsi" w:eastAsiaTheme="minorEastAsia" w:hAnsiTheme="minorHAnsi" w:cstheme="minorBidi"/>
        </w:rPr>
        <w:t xml:space="preserve">the </w:t>
      </w:r>
      <w:r w:rsidRPr="3F892FE0" w:rsidR="63917C60">
        <w:rPr>
          <w:rStyle w:val="eop"/>
          <w:rFonts w:asciiTheme="minorHAnsi" w:eastAsiaTheme="minorEastAsia" w:hAnsiTheme="minorHAnsi" w:cstheme="minorBidi"/>
        </w:rPr>
        <w:t xml:space="preserve">FMC to publish a report quarterly, to meet key milestones and </w:t>
      </w:r>
      <w:r w:rsidRPr="3F892FE0" w:rsidR="63917C60">
        <w:rPr>
          <w:rStyle w:val="eop"/>
          <w:rFonts w:asciiTheme="minorHAnsi" w:eastAsiaTheme="minorEastAsia" w:hAnsiTheme="minorHAnsi" w:cstheme="minorBidi"/>
        </w:rPr>
        <w:t>have the ability to</w:t>
      </w:r>
      <w:r w:rsidRPr="3F892FE0" w:rsidR="63917C60">
        <w:rPr>
          <w:rStyle w:val="eop"/>
          <w:rFonts w:asciiTheme="minorHAnsi" w:eastAsiaTheme="minorEastAsia" w:hAnsiTheme="minorHAnsi" w:cstheme="minorBidi"/>
        </w:rPr>
        <w:t xml:space="preserve"> properly review and validate submitted data, FMC </w:t>
      </w:r>
      <w:r w:rsidR="002918AD">
        <w:rPr>
          <w:rStyle w:val="eop"/>
          <w:rFonts w:asciiTheme="minorHAnsi" w:eastAsiaTheme="minorEastAsia" w:hAnsiTheme="minorHAnsi" w:cstheme="minorBidi"/>
        </w:rPr>
        <w:t>needs to require</w:t>
      </w:r>
      <w:r w:rsidRPr="3F892FE0" w:rsidR="63917C60">
        <w:rPr>
          <w:rStyle w:val="eop"/>
          <w:rFonts w:asciiTheme="minorHAnsi" w:eastAsiaTheme="minorEastAsia" w:hAnsiTheme="minorHAnsi" w:cstheme="minorBidi"/>
        </w:rPr>
        <w:t xml:space="preserve"> monthly submission. Requiring less frequent submission would increase the time between data receipt and the quarterly publication, which would substantially </w:t>
      </w:r>
      <w:r w:rsidR="002918AD">
        <w:rPr>
          <w:rStyle w:val="eop"/>
          <w:rFonts w:asciiTheme="minorHAnsi" w:eastAsiaTheme="minorEastAsia" w:hAnsiTheme="minorHAnsi" w:cstheme="minorBidi"/>
        </w:rPr>
        <w:t>impact the Commission’s ability to comply with the OSRA 2022 mandate</w:t>
      </w:r>
      <w:r w:rsidRPr="3F892FE0" w:rsidR="63917C60">
        <w:rPr>
          <w:rStyle w:val="eop"/>
          <w:rFonts w:asciiTheme="minorHAnsi" w:eastAsiaTheme="minorEastAsia" w:hAnsiTheme="minorHAnsi" w:cstheme="minorBidi"/>
        </w:rPr>
        <w:t xml:space="preserve">. </w:t>
      </w:r>
    </w:p>
    <w:p w:rsidR="63917C60" w:rsidP="63917C60" w14:paraId="1218173E" w14:textId="690EA1BE">
      <w:pPr>
        <w:pStyle w:val="paragraph"/>
        <w:spacing w:before="0" w:beforeAutospacing="0" w:after="0" w:afterAutospacing="0"/>
        <w:rPr>
          <w:rStyle w:val="eop"/>
        </w:rPr>
      </w:pPr>
    </w:p>
    <w:p w:rsidR="63917C60" w:rsidP="3F892FE0" w14:paraId="6CC94980" w14:textId="77F9E34E">
      <w:pPr>
        <w:pStyle w:val="paragraph"/>
        <w:spacing w:before="0" w:beforeAutospacing="0" w:after="0" w:afterAutospacing="0"/>
        <w:rPr>
          <w:rStyle w:val="eop"/>
          <w:rFonts w:asciiTheme="minorHAnsi" w:eastAsiaTheme="minorEastAsia" w:hAnsiTheme="minorHAnsi" w:cstheme="minorBidi"/>
        </w:rPr>
      </w:pPr>
      <w:r w:rsidRPr="3F892FE0">
        <w:rPr>
          <w:rStyle w:val="eop"/>
          <w:rFonts w:asciiTheme="minorHAnsi" w:eastAsiaTheme="minorEastAsia" w:hAnsiTheme="minorHAnsi" w:cstheme="minorBidi"/>
        </w:rPr>
        <w:t xml:space="preserve">While </w:t>
      </w:r>
      <w:r w:rsidR="00D41038">
        <w:rPr>
          <w:rStyle w:val="eop"/>
          <w:rFonts w:asciiTheme="minorHAnsi" w:eastAsiaTheme="minorEastAsia" w:hAnsiTheme="minorHAnsi" w:cstheme="minorBidi"/>
        </w:rPr>
        <w:t>the Customs and Border Protection and Army Corps of Engineers</w:t>
      </w:r>
      <w:r w:rsidRPr="3F892FE0" w:rsidR="00D41038">
        <w:rPr>
          <w:rStyle w:val="eop"/>
          <w:rFonts w:asciiTheme="minorHAnsi" w:eastAsiaTheme="minorEastAsia" w:hAnsiTheme="minorHAnsi" w:cstheme="minorBidi"/>
        </w:rPr>
        <w:t xml:space="preserve"> </w:t>
      </w:r>
      <w:r w:rsidRPr="3F892FE0">
        <w:rPr>
          <w:rStyle w:val="eop"/>
          <w:rFonts w:asciiTheme="minorHAnsi" w:eastAsiaTheme="minorEastAsia" w:hAnsiTheme="minorHAnsi" w:cstheme="minorBidi"/>
        </w:rPr>
        <w:t xml:space="preserve">collections </w:t>
      </w:r>
      <w:r w:rsidRPr="3F892FE0" w:rsidR="625A2D10">
        <w:rPr>
          <w:rStyle w:val="eop"/>
          <w:rFonts w:asciiTheme="minorHAnsi" w:eastAsiaTheme="minorEastAsia" w:hAnsiTheme="minorHAnsi" w:cstheme="minorBidi"/>
        </w:rPr>
        <w:t xml:space="preserve">cannot be leveraged to create the data product required </w:t>
      </w:r>
      <w:r w:rsidR="00D41038">
        <w:rPr>
          <w:rStyle w:val="eop"/>
          <w:rFonts w:asciiTheme="minorHAnsi" w:eastAsiaTheme="minorEastAsia" w:hAnsiTheme="minorHAnsi" w:cstheme="minorBidi"/>
        </w:rPr>
        <w:t>by</w:t>
      </w:r>
      <w:r w:rsidRPr="3F892FE0" w:rsidR="00D41038">
        <w:rPr>
          <w:rStyle w:val="eop"/>
          <w:rFonts w:asciiTheme="minorHAnsi" w:eastAsiaTheme="minorEastAsia" w:hAnsiTheme="minorHAnsi" w:cstheme="minorBidi"/>
        </w:rPr>
        <w:t xml:space="preserve"> </w:t>
      </w:r>
      <w:r w:rsidRPr="3F892FE0" w:rsidR="625A2D10">
        <w:rPr>
          <w:rStyle w:val="eop"/>
          <w:rFonts w:asciiTheme="minorHAnsi" w:eastAsiaTheme="minorEastAsia" w:hAnsiTheme="minorHAnsi" w:cstheme="minorBidi"/>
        </w:rPr>
        <w:t xml:space="preserve">the FMC, the FMC has leveraged the existing forms and templates for these other data reporting efforts and developed a data collection tool that </w:t>
      </w:r>
      <w:r w:rsidRPr="3F892FE0" w:rsidR="161A2504">
        <w:rPr>
          <w:rStyle w:val="eop"/>
          <w:rFonts w:asciiTheme="minorHAnsi" w:eastAsiaTheme="minorEastAsia" w:hAnsiTheme="minorHAnsi" w:cstheme="minorBidi"/>
        </w:rPr>
        <w:t xml:space="preserve">uses identical measures and naming conventions </w:t>
      </w:r>
      <w:r w:rsidRPr="3F892FE0" w:rsidR="161A2504">
        <w:rPr>
          <w:rStyle w:val="eop"/>
          <w:rFonts w:asciiTheme="minorHAnsi" w:eastAsiaTheme="minorEastAsia" w:hAnsiTheme="minorHAnsi" w:cstheme="minorBidi"/>
        </w:rPr>
        <w:t>in an effort to</w:t>
      </w:r>
      <w:r w:rsidRPr="3F892FE0" w:rsidR="161A2504">
        <w:rPr>
          <w:rStyle w:val="eop"/>
          <w:rFonts w:asciiTheme="minorHAnsi" w:eastAsiaTheme="minorEastAsia" w:hAnsiTheme="minorHAnsi" w:cstheme="minorBidi"/>
        </w:rPr>
        <w:t xml:space="preserve"> minimize additional costs </w:t>
      </w:r>
      <w:r w:rsidRPr="3F892FE0" w:rsidR="7B0D7259">
        <w:rPr>
          <w:rStyle w:val="eop"/>
          <w:rFonts w:asciiTheme="minorHAnsi" w:eastAsiaTheme="minorEastAsia" w:hAnsiTheme="minorHAnsi" w:cstheme="minorBidi"/>
        </w:rPr>
        <w:t xml:space="preserve">to </w:t>
      </w:r>
      <w:r w:rsidRPr="3F892FE0" w:rsidR="161A2504">
        <w:rPr>
          <w:rStyle w:val="eop"/>
          <w:rFonts w:asciiTheme="minorHAnsi" w:eastAsiaTheme="minorEastAsia" w:hAnsiTheme="minorHAnsi" w:cstheme="minorBidi"/>
        </w:rPr>
        <w:t>the respondents</w:t>
      </w:r>
      <w:r w:rsidRPr="3F892FE0">
        <w:rPr>
          <w:rStyle w:val="eop"/>
          <w:rFonts w:asciiTheme="minorHAnsi" w:eastAsiaTheme="minorEastAsia" w:hAnsiTheme="minorHAnsi" w:cstheme="minorBidi"/>
        </w:rPr>
        <w:t>.</w:t>
      </w:r>
      <w:r w:rsidR="00D41038">
        <w:rPr>
          <w:rStyle w:val="eop"/>
          <w:rFonts w:asciiTheme="minorHAnsi" w:eastAsiaTheme="minorEastAsia" w:hAnsiTheme="minorHAnsi" w:cstheme="minorBidi"/>
        </w:rPr>
        <w:t xml:space="preserve"> </w:t>
      </w:r>
    </w:p>
    <w:p w:rsidR="22AB90B4" w:rsidP="22AB90B4" w14:paraId="0EBBC5C9" w14:textId="3A4F6732">
      <w:pPr>
        <w:pStyle w:val="paragraph"/>
        <w:spacing w:before="0" w:beforeAutospacing="0" w:after="0" w:afterAutospacing="0"/>
        <w:rPr>
          <w:rStyle w:val="eop"/>
        </w:rPr>
      </w:pPr>
    </w:p>
    <w:p w:rsidR="22AB90B4" w:rsidP="22AB90B4" w14:paraId="35486CCC" w14:textId="5C64515E">
      <w:pPr>
        <w:pStyle w:val="paragraph"/>
        <w:spacing w:before="0" w:beforeAutospacing="0" w:after="0" w:afterAutospacing="0"/>
        <w:rPr>
          <w:rStyle w:val="eop"/>
        </w:rPr>
      </w:pPr>
    </w:p>
    <w:p w:rsidR="00BA2086" w:rsidRPr="0074537C" w:rsidP="22AB90B4" w14:paraId="041E4A3D" w14:textId="77777777">
      <w:pPr>
        <w:pStyle w:val="paragraph"/>
        <w:spacing w:before="0" w:beforeAutospacing="0" w:after="0" w:afterAutospacing="0"/>
        <w:textAlignment w:val="baseline"/>
        <w:rPr>
          <w:rFonts w:ascii="Segoe UI" w:hAnsi="Segoe UI" w:cs="Segoe UI"/>
          <w:sz w:val="18"/>
          <w:szCs w:val="18"/>
        </w:rPr>
      </w:pPr>
      <w:r w:rsidRPr="0074537C">
        <w:rPr>
          <w:rStyle w:val="normaltextrun"/>
          <w:rFonts w:ascii="Arial" w:hAnsi="Arial" w:cs="Arial"/>
        </w:rPr>
        <w:t xml:space="preserve">8. If applicable, provide a copy and identify the date and page number of </w:t>
      </w:r>
      <w:r w:rsidRPr="0074537C">
        <w:rPr>
          <w:rStyle w:val="contextualspellingandgrammarerror"/>
          <w:rFonts w:ascii="Arial" w:hAnsi="Arial" w:cs="Arial"/>
        </w:rPr>
        <w:t>publication</w:t>
      </w:r>
      <w:r w:rsidRPr="0074537C">
        <w:rPr>
          <w:rStyle w:val="normaltextrun"/>
          <w:rFonts w:ascii="Arial" w:hAnsi="Arial" w:cs="Arial"/>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r w:rsidRPr="0074537C">
        <w:rPr>
          <w:rStyle w:val="eop"/>
          <w:rFonts w:ascii="Arial" w:hAnsi="Arial" w:cs="Arial"/>
        </w:rPr>
        <w:t> </w:t>
      </w:r>
    </w:p>
    <w:p w:rsidR="00BA2086" w:rsidRPr="0074537C" w:rsidP="22AB90B4" w14:paraId="1912C447" w14:textId="77777777">
      <w:pPr>
        <w:pStyle w:val="paragraph"/>
        <w:spacing w:before="0" w:beforeAutospacing="0" w:after="0" w:afterAutospacing="0"/>
        <w:textAlignment w:val="baseline"/>
        <w:rPr>
          <w:rFonts w:ascii="Segoe UI" w:hAnsi="Segoe UI" w:cs="Segoe UI"/>
          <w:sz w:val="18"/>
          <w:szCs w:val="18"/>
        </w:rPr>
      </w:pPr>
      <w:r w:rsidRPr="0074537C">
        <w:rPr>
          <w:rStyle w:val="eop"/>
          <w:rFonts w:ascii="Arial" w:hAnsi="Arial" w:cs="Arial"/>
        </w:rPr>
        <w:t> </w:t>
      </w:r>
    </w:p>
    <w:p w:rsidR="00BA2086" w:rsidRPr="0074537C" w:rsidP="22AB90B4" w14:paraId="0000A187" w14:textId="77777777">
      <w:pPr>
        <w:pStyle w:val="paragraph"/>
        <w:spacing w:before="0" w:beforeAutospacing="0" w:after="0" w:afterAutospacing="0"/>
        <w:textAlignment w:val="baseline"/>
        <w:rPr>
          <w:rFonts w:ascii="Segoe UI" w:hAnsi="Segoe UI" w:cs="Segoe UI"/>
          <w:sz w:val="18"/>
          <w:szCs w:val="18"/>
        </w:rPr>
      </w:pPr>
      <w:r w:rsidRPr="0074537C">
        <w:rPr>
          <w:rStyle w:val="normaltextrun"/>
          <w:rFonts w:ascii="Arial" w:hAnsi="Arial" w:cs="Arial"/>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r w:rsidRPr="0074537C">
        <w:rPr>
          <w:rStyle w:val="eop"/>
          <w:rFonts w:ascii="Arial" w:hAnsi="Arial" w:cs="Arial"/>
        </w:rPr>
        <w:t> </w:t>
      </w:r>
    </w:p>
    <w:p w:rsidR="00BA2086" w:rsidRPr="0074537C" w:rsidP="22AB90B4" w14:paraId="33416154" w14:textId="77777777">
      <w:pPr>
        <w:pStyle w:val="paragraph"/>
        <w:spacing w:before="0" w:beforeAutospacing="0" w:after="0" w:afterAutospacing="0"/>
        <w:textAlignment w:val="baseline"/>
        <w:rPr>
          <w:rFonts w:ascii="Segoe UI" w:hAnsi="Segoe UI" w:cs="Segoe UI"/>
          <w:sz w:val="18"/>
          <w:szCs w:val="18"/>
        </w:rPr>
      </w:pPr>
      <w:r w:rsidRPr="0074537C">
        <w:rPr>
          <w:rStyle w:val="eop"/>
          <w:rFonts w:ascii="Arial" w:hAnsi="Arial" w:cs="Arial"/>
        </w:rPr>
        <w:t> </w:t>
      </w:r>
    </w:p>
    <w:p w:rsidR="00BA2086" w:rsidRPr="0074537C" w:rsidP="22AB90B4" w14:paraId="6E3FB093" w14:textId="77777777">
      <w:pPr>
        <w:pStyle w:val="paragraph"/>
        <w:spacing w:before="0" w:beforeAutospacing="0" w:after="0" w:afterAutospacing="0"/>
        <w:textAlignment w:val="baseline"/>
        <w:rPr>
          <w:rStyle w:val="eop"/>
          <w:rFonts w:ascii="Arial" w:hAnsi="Arial" w:cs="Arial"/>
        </w:rPr>
      </w:pPr>
      <w:r w:rsidRPr="0074537C">
        <w:rPr>
          <w:rStyle w:val="normaltextrun"/>
          <w:rFonts w:ascii="Arial" w:hAnsi="Arial" w:cs="Arial"/>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74537C">
        <w:rPr>
          <w:rStyle w:val="eop"/>
          <w:rFonts w:ascii="Arial" w:hAnsi="Arial" w:cs="Arial"/>
        </w:rPr>
        <w:t> </w:t>
      </w:r>
    </w:p>
    <w:p w:rsidR="006A7B3A" w:rsidP="22AB90B4" w14:paraId="57C3B28C" w14:textId="77777777">
      <w:pPr>
        <w:pStyle w:val="paragraph"/>
        <w:spacing w:before="0" w:beforeAutospacing="0" w:after="0" w:afterAutospacing="0"/>
        <w:textAlignment w:val="baseline"/>
        <w:rPr>
          <w:rStyle w:val="eop"/>
          <w:rFonts w:ascii="Arial" w:hAnsi="Arial" w:cs="Arial"/>
          <w:highlight w:val="yellow"/>
        </w:rPr>
      </w:pPr>
    </w:p>
    <w:p w:rsidR="006A7B3A" w:rsidRPr="00464690" w:rsidP="3F892FE0" w14:paraId="2C3F931B" w14:textId="2A59E700">
      <w:pPr>
        <w:pStyle w:val="paragraph"/>
        <w:spacing w:before="0" w:beforeAutospacing="0" w:after="0" w:afterAutospacing="0"/>
        <w:textAlignment w:val="baseline"/>
        <w:rPr>
          <w:rStyle w:val="eop"/>
          <w:rFonts w:asciiTheme="minorHAnsi" w:hAnsiTheme="minorHAnsi" w:cstheme="minorBidi"/>
        </w:rPr>
      </w:pPr>
      <w:r w:rsidRPr="00464690">
        <w:rPr>
          <w:rStyle w:val="eop"/>
          <w:rFonts w:asciiTheme="minorHAnsi" w:hAnsiTheme="minorHAnsi" w:cstheme="minorBidi"/>
        </w:rPr>
        <w:t xml:space="preserve">The FMC filed a 60-day notice in the Federal Register </w:t>
      </w:r>
      <w:r w:rsidRPr="00464690" w:rsidR="1065534F">
        <w:rPr>
          <w:rStyle w:val="eop"/>
          <w:rFonts w:asciiTheme="minorHAnsi" w:hAnsiTheme="minorHAnsi" w:cstheme="minorBidi"/>
        </w:rPr>
        <w:t xml:space="preserve">on August 8, </w:t>
      </w:r>
      <w:r w:rsidRPr="00464690" w:rsidR="003E1B0C">
        <w:rPr>
          <w:rStyle w:val="eop"/>
          <w:rFonts w:asciiTheme="minorHAnsi" w:hAnsiTheme="minorHAnsi" w:cstheme="minorBidi"/>
        </w:rPr>
        <w:t>2022,</w:t>
      </w:r>
      <w:r w:rsidRPr="00464690" w:rsidR="1065534F">
        <w:rPr>
          <w:rStyle w:val="eop"/>
          <w:rFonts w:asciiTheme="minorHAnsi" w:hAnsiTheme="minorHAnsi" w:cstheme="minorBidi"/>
        </w:rPr>
        <w:t xml:space="preserve"> at 87 FR 48182</w:t>
      </w:r>
      <w:r w:rsidRPr="00464690" w:rsidR="60801FBB">
        <w:rPr>
          <w:rStyle w:val="eop"/>
          <w:rFonts w:asciiTheme="minorHAnsi" w:hAnsiTheme="minorHAnsi" w:cstheme="minorBidi"/>
        </w:rPr>
        <w:t xml:space="preserve">. The comment period closed on October 7, 2022. The Commission </w:t>
      </w:r>
      <w:r w:rsidRPr="00464690" w:rsidR="0B052CA6">
        <w:rPr>
          <w:rStyle w:val="eop"/>
          <w:rFonts w:asciiTheme="minorHAnsi" w:hAnsiTheme="minorHAnsi" w:cstheme="minorBidi"/>
        </w:rPr>
        <w:t>specifically requested comments o</w:t>
      </w:r>
      <w:r w:rsidRPr="00464690" w:rsidR="2DACF05D">
        <w:rPr>
          <w:rStyle w:val="eop"/>
          <w:rFonts w:asciiTheme="minorHAnsi" w:hAnsiTheme="minorHAnsi" w:cstheme="minorBidi"/>
        </w:rPr>
        <w:t>n</w:t>
      </w:r>
      <w:r w:rsidRPr="00464690" w:rsidR="0B052CA6">
        <w:rPr>
          <w:rStyle w:val="eop"/>
          <w:rFonts w:asciiTheme="minorHAnsi" w:hAnsiTheme="minorHAnsi" w:cstheme="minorBidi"/>
        </w:rPr>
        <w:t xml:space="preserve"> the necessity and utility of the data collection, the estimated burden, ways to enhance collection, and the use of automated collection techniques. The agency received </w:t>
      </w:r>
      <w:r w:rsidRPr="00464690" w:rsidR="3B47881D">
        <w:rPr>
          <w:rStyle w:val="eop"/>
          <w:rFonts w:asciiTheme="minorHAnsi" w:hAnsiTheme="minorHAnsi" w:cstheme="minorBidi"/>
        </w:rPr>
        <w:t xml:space="preserve">six comments, </w:t>
      </w:r>
      <w:r w:rsidRPr="00464690" w:rsidR="3B47881D">
        <w:rPr>
          <w:rStyle w:val="eop"/>
          <w:rFonts w:asciiTheme="minorHAnsi" w:hAnsiTheme="minorHAnsi" w:cstheme="minorBidi"/>
        </w:rPr>
        <w:t>four in support of collection and two opposed. The World Shipping Council and Maritime Exchange for the Delaware River and Bay indicated th</w:t>
      </w:r>
      <w:r w:rsidRPr="00464690" w:rsidR="771AD5CF">
        <w:rPr>
          <w:rStyle w:val="eop"/>
          <w:rFonts w:asciiTheme="minorHAnsi" w:hAnsiTheme="minorHAnsi" w:cstheme="minorBidi"/>
        </w:rPr>
        <w:t xml:space="preserve">eir belief that the data collection was redundant with existing data collections, specifically those of </w:t>
      </w:r>
      <w:bookmarkStart w:id="1" w:name="_Hlk126676242"/>
      <w:r w:rsidRPr="00464690" w:rsidR="771AD5CF">
        <w:rPr>
          <w:rStyle w:val="eop"/>
          <w:rFonts w:asciiTheme="minorHAnsi" w:hAnsiTheme="minorHAnsi" w:cstheme="minorBidi"/>
        </w:rPr>
        <w:t xml:space="preserve">Customs and Border Protection </w:t>
      </w:r>
      <w:bookmarkEnd w:id="1"/>
      <w:r w:rsidRPr="00464690" w:rsidR="771AD5CF">
        <w:rPr>
          <w:rStyle w:val="eop"/>
          <w:rFonts w:asciiTheme="minorHAnsi" w:hAnsiTheme="minorHAnsi" w:cstheme="minorBidi"/>
        </w:rPr>
        <w:t xml:space="preserve">and Army Corps of Engineers. Our evaluation of the overlap of these data collections is addressed in detail in #4. We reiterate that </w:t>
      </w:r>
      <w:r w:rsidRPr="00464690" w:rsidR="1D5C8A9C">
        <w:rPr>
          <w:rStyle w:val="eop"/>
          <w:rFonts w:asciiTheme="minorHAnsi" w:hAnsiTheme="minorHAnsi" w:cstheme="minorBidi"/>
        </w:rPr>
        <w:t xml:space="preserve">while </w:t>
      </w:r>
      <w:r w:rsidRPr="00464690" w:rsidR="009A73C0">
        <w:rPr>
          <w:rStyle w:val="eop"/>
          <w:rFonts w:asciiTheme="minorHAnsi" w:hAnsiTheme="minorHAnsi" w:cstheme="minorBidi"/>
        </w:rPr>
        <w:t>some</w:t>
      </w:r>
      <w:r w:rsidRPr="00464690" w:rsidR="771AD5CF">
        <w:rPr>
          <w:rStyle w:val="eop"/>
          <w:rFonts w:asciiTheme="minorHAnsi" w:hAnsiTheme="minorHAnsi" w:cstheme="minorBidi"/>
        </w:rPr>
        <w:t xml:space="preserve"> </w:t>
      </w:r>
      <w:r w:rsidRPr="00464690" w:rsidR="009A73C0">
        <w:rPr>
          <w:rStyle w:val="eop"/>
          <w:rFonts w:asciiTheme="minorHAnsi" w:hAnsiTheme="minorHAnsi" w:cstheme="minorBidi"/>
        </w:rPr>
        <w:t xml:space="preserve">parts of </w:t>
      </w:r>
      <w:r w:rsidRPr="00464690" w:rsidR="7B228576">
        <w:rPr>
          <w:rStyle w:val="eop"/>
          <w:rFonts w:asciiTheme="minorHAnsi" w:hAnsiTheme="minorHAnsi" w:cstheme="minorBidi"/>
        </w:rPr>
        <w:t>exi</w:t>
      </w:r>
      <w:r w:rsidRPr="00464690" w:rsidR="0098651B">
        <w:rPr>
          <w:rStyle w:val="eop"/>
          <w:rFonts w:asciiTheme="minorHAnsi" w:hAnsiTheme="minorHAnsi" w:cstheme="minorBidi"/>
        </w:rPr>
        <w:t>s</w:t>
      </w:r>
      <w:r w:rsidRPr="00464690" w:rsidR="7B228576">
        <w:rPr>
          <w:rStyle w:val="eop"/>
          <w:rFonts w:asciiTheme="minorHAnsi" w:hAnsiTheme="minorHAnsi" w:cstheme="minorBidi"/>
        </w:rPr>
        <w:t xml:space="preserve">ting </w:t>
      </w:r>
      <w:r w:rsidRPr="00464690" w:rsidR="771AD5CF">
        <w:rPr>
          <w:rStyle w:val="eop"/>
          <w:rFonts w:asciiTheme="minorHAnsi" w:hAnsiTheme="minorHAnsi" w:cstheme="minorBidi"/>
        </w:rPr>
        <w:t xml:space="preserve">collections </w:t>
      </w:r>
      <w:r w:rsidRPr="00464690" w:rsidR="009A73C0">
        <w:rPr>
          <w:rStyle w:val="eop"/>
          <w:rFonts w:asciiTheme="minorHAnsi" w:hAnsiTheme="minorHAnsi" w:cstheme="minorBidi"/>
        </w:rPr>
        <w:t xml:space="preserve">of other agencies </w:t>
      </w:r>
      <w:r w:rsidRPr="00464690" w:rsidR="1D5C8A9C">
        <w:rPr>
          <w:rStyle w:val="eop"/>
          <w:rFonts w:asciiTheme="minorHAnsi" w:hAnsiTheme="minorHAnsi" w:cstheme="minorBidi"/>
        </w:rPr>
        <w:t xml:space="preserve">do overlap with the proposed data collection, there is not </w:t>
      </w:r>
      <w:r w:rsidRPr="00464690" w:rsidR="009A73C0">
        <w:rPr>
          <w:rStyle w:val="eop"/>
          <w:rFonts w:asciiTheme="minorHAnsi" w:hAnsiTheme="minorHAnsi" w:cstheme="minorBidi"/>
        </w:rPr>
        <w:t xml:space="preserve">sufficient </w:t>
      </w:r>
      <w:r w:rsidRPr="00464690" w:rsidR="1D5C8A9C">
        <w:rPr>
          <w:rStyle w:val="eop"/>
          <w:rFonts w:asciiTheme="minorHAnsi" w:hAnsiTheme="minorHAnsi" w:cstheme="minorBidi"/>
        </w:rPr>
        <w:t>overlap</w:t>
      </w:r>
      <w:r w:rsidRPr="00464690" w:rsidR="46272DC5">
        <w:rPr>
          <w:rStyle w:val="eop"/>
          <w:rFonts w:asciiTheme="minorHAnsi" w:hAnsiTheme="minorHAnsi" w:cstheme="minorBidi"/>
        </w:rPr>
        <w:t>.</w:t>
      </w:r>
      <w:r w:rsidRPr="00464690" w:rsidR="1D5C8A9C">
        <w:rPr>
          <w:rStyle w:val="eop"/>
          <w:rFonts w:asciiTheme="minorHAnsi" w:hAnsiTheme="minorHAnsi" w:cstheme="minorBidi"/>
        </w:rPr>
        <w:t xml:space="preserve"> </w:t>
      </w:r>
      <w:r w:rsidRPr="00464690" w:rsidR="3D3EEC8D">
        <w:rPr>
          <w:rStyle w:val="eop"/>
          <w:rFonts w:asciiTheme="minorHAnsi" w:hAnsiTheme="minorHAnsi" w:cstheme="minorBidi"/>
        </w:rPr>
        <w:t>Importantly</w:t>
      </w:r>
      <w:r w:rsidRPr="00464690" w:rsidR="1D5C8A9C">
        <w:rPr>
          <w:rStyle w:val="eop"/>
          <w:rFonts w:asciiTheme="minorHAnsi" w:hAnsiTheme="minorHAnsi" w:cstheme="minorBidi"/>
        </w:rPr>
        <w:t>, there are gaps in</w:t>
      </w:r>
      <w:r w:rsidRPr="00464690" w:rsidR="11CE2353">
        <w:rPr>
          <w:rStyle w:val="eop"/>
          <w:rFonts w:asciiTheme="minorHAnsi" w:hAnsiTheme="minorHAnsi" w:cstheme="minorBidi"/>
        </w:rPr>
        <w:t xml:space="preserve"> these</w:t>
      </w:r>
      <w:r w:rsidRPr="00464690" w:rsidR="1D5C8A9C">
        <w:rPr>
          <w:rStyle w:val="eop"/>
          <w:rFonts w:asciiTheme="minorHAnsi" w:hAnsiTheme="minorHAnsi" w:cstheme="minorBidi"/>
        </w:rPr>
        <w:t xml:space="preserve"> </w:t>
      </w:r>
      <w:r w:rsidRPr="00464690" w:rsidR="3D3EEC8D">
        <w:rPr>
          <w:rStyle w:val="eop"/>
          <w:rFonts w:asciiTheme="minorHAnsi" w:hAnsiTheme="minorHAnsi" w:cstheme="minorBidi"/>
        </w:rPr>
        <w:t xml:space="preserve">existing </w:t>
      </w:r>
      <w:r w:rsidRPr="00464690" w:rsidR="1D5C8A9C">
        <w:rPr>
          <w:rStyle w:val="eop"/>
          <w:rFonts w:asciiTheme="minorHAnsi" w:hAnsiTheme="minorHAnsi" w:cstheme="minorBidi"/>
        </w:rPr>
        <w:t xml:space="preserve">information </w:t>
      </w:r>
      <w:r w:rsidRPr="00464690" w:rsidR="3D3EEC8D">
        <w:rPr>
          <w:rStyle w:val="eop"/>
          <w:rFonts w:asciiTheme="minorHAnsi" w:hAnsiTheme="minorHAnsi" w:cstheme="minorBidi"/>
        </w:rPr>
        <w:t xml:space="preserve">collections </w:t>
      </w:r>
      <w:r w:rsidRPr="00464690" w:rsidR="1D5C8A9C">
        <w:rPr>
          <w:rStyle w:val="eop"/>
          <w:rFonts w:asciiTheme="minorHAnsi" w:hAnsiTheme="minorHAnsi" w:cstheme="minorBidi"/>
        </w:rPr>
        <w:t>that</w:t>
      </w:r>
      <w:r w:rsidRPr="00464690" w:rsidR="3D3EEC8D">
        <w:rPr>
          <w:rStyle w:val="eop"/>
          <w:rFonts w:asciiTheme="minorHAnsi" w:hAnsiTheme="minorHAnsi" w:cstheme="minorBidi"/>
        </w:rPr>
        <w:t xml:space="preserve"> </w:t>
      </w:r>
      <w:r w:rsidRPr="00464690" w:rsidR="2A11C500">
        <w:rPr>
          <w:rStyle w:val="eop"/>
          <w:rFonts w:asciiTheme="minorHAnsi" w:hAnsiTheme="minorHAnsi" w:cstheme="minorBidi"/>
        </w:rPr>
        <w:t xml:space="preserve">would not allow </w:t>
      </w:r>
      <w:r w:rsidRPr="00464690" w:rsidR="49163BC2">
        <w:rPr>
          <w:rStyle w:val="eop"/>
          <w:rFonts w:asciiTheme="minorHAnsi" w:hAnsiTheme="minorHAnsi" w:cstheme="minorBidi"/>
        </w:rPr>
        <w:t xml:space="preserve">timely and accurate </w:t>
      </w:r>
      <w:r w:rsidRPr="00464690" w:rsidR="77E497D0">
        <w:rPr>
          <w:rStyle w:val="eop"/>
          <w:rFonts w:asciiTheme="minorHAnsi" w:hAnsiTheme="minorHAnsi" w:cstheme="minorBidi"/>
        </w:rPr>
        <w:t xml:space="preserve">reporting </w:t>
      </w:r>
      <w:r w:rsidRPr="00464690" w:rsidR="3A37DE61">
        <w:rPr>
          <w:rStyle w:val="eop"/>
          <w:rFonts w:asciiTheme="minorHAnsi" w:hAnsiTheme="minorHAnsi" w:cstheme="minorBidi"/>
        </w:rPr>
        <w:t xml:space="preserve">of </w:t>
      </w:r>
      <w:r w:rsidRPr="00464690" w:rsidR="49E05F86">
        <w:rPr>
          <w:rStyle w:val="eop"/>
          <w:rFonts w:asciiTheme="minorHAnsi" w:hAnsiTheme="minorHAnsi" w:cstheme="minorBidi"/>
        </w:rPr>
        <w:t xml:space="preserve">loaded and empty containers per vessel </w:t>
      </w:r>
      <w:r w:rsidRPr="00464690" w:rsidR="77E497D0">
        <w:rPr>
          <w:rStyle w:val="eop"/>
          <w:rFonts w:asciiTheme="minorHAnsi" w:hAnsiTheme="minorHAnsi" w:cstheme="minorBidi"/>
        </w:rPr>
        <w:t xml:space="preserve">at the </w:t>
      </w:r>
      <w:r w:rsidRPr="00464690" w:rsidR="3D3EEC8D">
        <w:rPr>
          <w:rStyle w:val="eop"/>
          <w:rFonts w:asciiTheme="minorHAnsi" w:hAnsiTheme="minorHAnsi" w:cstheme="minorBidi"/>
        </w:rPr>
        <w:t>carrier-level</w:t>
      </w:r>
      <w:r w:rsidRPr="00464690" w:rsidR="3A273F50">
        <w:rPr>
          <w:rStyle w:val="eop"/>
          <w:rFonts w:asciiTheme="minorHAnsi" w:hAnsiTheme="minorHAnsi" w:cstheme="minorBidi"/>
        </w:rPr>
        <w:t xml:space="preserve">, preventing their use </w:t>
      </w:r>
      <w:r w:rsidRPr="00464690" w:rsidR="52CC7526">
        <w:rPr>
          <w:rStyle w:val="eop"/>
          <w:rFonts w:asciiTheme="minorHAnsi" w:hAnsiTheme="minorHAnsi" w:cstheme="minorBidi"/>
        </w:rPr>
        <w:t xml:space="preserve">in meeting the reporting requirements mandated </w:t>
      </w:r>
      <w:r w:rsidRPr="00464690" w:rsidR="2A11C500">
        <w:rPr>
          <w:rStyle w:val="eop"/>
          <w:rFonts w:asciiTheme="minorHAnsi" w:hAnsiTheme="minorHAnsi" w:cstheme="minorBidi"/>
        </w:rPr>
        <w:t xml:space="preserve">by OSRA 2022. </w:t>
      </w:r>
      <w:r w:rsidRPr="00464690" w:rsidR="1D5C8A9C">
        <w:rPr>
          <w:rStyle w:val="eop"/>
          <w:rFonts w:asciiTheme="minorHAnsi" w:hAnsiTheme="minorHAnsi" w:cstheme="minorBidi"/>
        </w:rPr>
        <w:t xml:space="preserve"> </w:t>
      </w:r>
    </w:p>
    <w:p w:rsidR="0073463F" w:rsidRPr="00464690" w:rsidP="22AB90B4" w14:paraId="71B7D5DB" w14:textId="77777777">
      <w:pPr>
        <w:pStyle w:val="paragraph"/>
        <w:spacing w:before="0" w:beforeAutospacing="0" w:after="0" w:afterAutospacing="0"/>
        <w:textAlignment w:val="baseline"/>
        <w:rPr>
          <w:rStyle w:val="eop"/>
          <w:rFonts w:asciiTheme="minorHAnsi" w:hAnsiTheme="minorHAnsi" w:cstheme="minorHAnsi"/>
        </w:rPr>
      </w:pPr>
    </w:p>
    <w:p w:rsidR="002743FC" w:rsidRPr="00464690" w:rsidP="22AB90B4" w14:paraId="5E44CCFD" w14:textId="55FFC2D1">
      <w:pPr>
        <w:pStyle w:val="paragraph"/>
        <w:spacing w:before="0" w:beforeAutospacing="0" w:after="0" w:afterAutospacing="0"/>
        <w:textAlignment w:val="baseline"/>
        <w:rPr>
          <w:rStyle w:val="eop"/>
          <w:rFonts w:asciiTheme="minorHAnsi" w:hAnsiTheme="minorHAnsi" w:cstheme="minorBidi"/>
        </w:rPr>
      </w:pPr>
      <w:r w:rsidRPr="00464690">
        <w:rPr>
          <w:rStyle w:val="eop"/>
          <w:rFonts w:asciiTheme="minorHAnsi" w:hAnsiTheme="minorHAnsi" w:cstheme="minorBidi"/>
        </w:rPr>
        <w:t>American Cotton Shippers Association</w:t>
      </w:r>
      <w:r w:rsidRPr="00464690" w:rsidR="42F54DDD">
        <w:rPr>
          <w:rStyle w:val="eop"/>
          <w:rFonts w:asciiTheme="minorHAnsi" w:hAnsiTheme="minorHAnsi" w:cstheme="minorBidi"/>
        </w:rPr>
        <w:t>,</w:t>
      </w:r>
      <w:r w:rsidRPr="00464690" w:rsidR="00507CB8">
        <w:rPr>
          <w:rStyle w:val="eop"/>
          <w:rFonts w:asciiTheme="minorHAnsi" w:hAnsiTheme="minorHAnsi" w:cstheme="minorBidi"/>
        </w:rPr>
        <w:t xml:space="preserve"> National Fisheries Institute</w:t>
      </w:r>
      <w:r w:rsidRPr="00464690">
        <w:rPr>
          <w:rStyle w:val="eop"/>
          <w:rFonts w:asciiTheme="minorHAnsi" w:hAnsiTheme="minorHAnsi" w:cstheme="minorBidi"/>
        </w:rPr>
        <w:t xml:space="preserve">, </w:t>
      </w:r>
      <w:r w:rsidRPr="00464690">
        <w:rPr>
          <w:rStyle w:val="eop"/>
          <w:rFonts w:asciiTheme="minorHAnsi" w:hAnsiTheme="minorHAnsi" w:cstheme="minorBidi"/>
        </w:rPr>
        <w:t>BassTech</w:t>
      </w:r>
      <w:r w:rsidRPr="00464690">
        <w:rPr>
          <w:rStyle w:val="eop"/>
          <w:rFonts w:asciiTheme="minorHAnsi" w:hAnsiTheme="minorHAnsi" w:cstheme="minorBidi"/>
        </w:rPr>
        <w:t xml:space="preserve"> International, </w:t>
      </w:r>
      <w:r w:rsidRPr="00464690" w:rsidR="00507CB8">
        <w:rPr>
          <w:rStyle w:val="eop"/>
          <w:rFonts w:asciiTheme="minorHAnsi" w:hAnsiTheme="minorHAnsi" w:cstheme="minorBidi"/>
        </w:rPr>
        <w:t xml:space="preserve">and </w:t>
      </w:r>
      <w:r w:rsidRPr="00464690">
        <w:rPr>
          <w:rStyle w:val="eop"/>
          <w:rFonts w:asciiTheme="minorHAnsi" w:hAnsiTheme="minorHAnsi" w:cstheme="minorBidi"/>
        </w:rPr>
        <w:t>National Industrial Transportation League</w:t>
      </w:r>
      <w:r w:rsidRPr="00464690" w:rsidR="00507CB8">
        <w:rPr>
          <w:rStyle w:val="eop"/>
          <w:rFonts w:asciiTheme="minorHAnsi" w:hAnsiTheme="minorHAnsi" w:cstheme="minorBidi"/>
        </w:rPr>
        <w:t xml:space="preserve"> indicated their support for the proposed data collection. The first two did not specifically address the questions posed by the Commission and focused their comments on other initiatives outside the scope of this data collection</w:t>
      </w:r>
      <w:r w:rsidRPr="00464690" w:rsidR="008605AE">
        <w:rPr>
          <w:rStyle w:val="eop"/>
          <w:rFonts w:asciiTheme="minorHAnsi" w:hAnsiTheme="minorHAnsi" w:cstheme="minorBidi"/>
        </w:rPr>
        <w:t xml:space="preserve"> that they think should be FMC priorities.</w:t>
      </w:r>
      <w:r w:rsidRPr="00464690" w:rsidR="006D4396">
        <w:rPr>
          <w:rStyle w:val="eop"/>
          <w:rFonts w:asciiTheme="minorHAnsi" w:hAnsiTheme="minorHAnsi" w:cstheme="minorBidi"/>
        </w:rPr>
        <w:t xml:space="preserve"> </w:t>
      </w:r>
      <w:r w:rsidRPr="00464690" w:rsidR="0034208C">
        <w:rPr>
          <w:rStyle w:val="eop"/>
          <w:rFonts w:asciiTheme="minorHAnsi" w:hAnsiTheme="minorHAnsi" w:cstheme="minorBidi"/>
        </w:rPr>
        <w:t>BassTech</w:t>
      </w:r>
      <w:r w:rsidRPr="00464690" w:rsidR="0034208C">
        <w:rPr>
          <w:rStyle w:val="eop"/>
          <w:rFonts w:asciiTheme="minorHAnsi" w:hAnsiTheme="minorHAnsi" w:cstheme="minorBidi"/>
        </w:rPr>
        <w:t xml:space="preserve"> indicated that they would find it useful to have the statistics disaggregated by container size</w:t>
      </w:r>
      <w:r w:rsidRPr="00464690" w:rsidR="00DC7ADD">
        <w:rPr>
          <w:rStyle w:val="eop"/>
          <w:rFonts w:asciiTheme="minorHAnsi" w:hAnsiTheme="minorHAnsi" w:cstheme="minorBidi"/>
        </w:rPr>
        <w:t xml:space="preserve">, that the burden estimates may be generous, </w:t>
      </w:r>
      <w:r w:rsidRPr="00464690" w:rsidR="005B6B36">
        <w:rPr>
          <w:rStyle w:val="eop"/>
          <w:rFonts w:asciiTheme="minorHAnsi" w:hAnsiTheme="minorHAnsi" w:cstheme="minorBidi"/>
        </w:rPr>
        <w:t>e</w:t>
      </w:r>
      <w:r w:rsidRPr="00464690" w:rsidR="00DC7ADD">
        <w:rPr>
          <w:rStyle w:val="eop"/>
          <w:rFonts w:asciiTheme="minorHAnsi" w:hAnsiTheme="minorHAnsi" w:cstheme="minorBidi"/>
        </w:rPr>
        <w:t>ncourage</w:t>
      </w:r>
      <w:r w:rsidRPr="00464690" w:rsidR="005B6B36">
        <w:rPr>
          <w:rStyle w:val="eop"/>
          <w:rFonts w:asciiTheme="minorHAnsi" w:hAnsiTheme="minorHAnsi" w:cstheme="minorBidi"/>
        </w:rPr>
        <w:t>d</w:t>
      </w:r>
      <w:r w:rsidRPr="00464690" w:rsidR="00DC7ADD">
        <w:rPr>
          <w:rStyle w:val="eop"/>
          <w:rFonts w:asciiTheme="minorHAnsi" w:hAnsiTheme="minorHAnsi" w:cstheme="minorBidi"/>
        </w:rPr>
        <w:t xml:space="preserve"> consistency</w:t>
      </w:r>
      <w:r w:rsidRPr="00464690" w:rsidR="003B2201">
        <w:rPr>
          <w:rStyle w:val="eop"/>
          <w:rFonts w:asciiTheme="minorHAnsi" w:hAnsiTheme="minorHAnsi" w:cstheme="minorBidi"/>
        </w:rPr>
        <w:t xml:space="preserve"> and specificity in defining data elements</w:t>
      </w:r>
      <w:r w:rsidRPr="00464690" w:rsidR="005B6B36">
        <w:rPr>
          <w:rStyle w:val="eop"/>
          <w:rFonts w:asciiTheme="minorHAnsi" w:hAnsiTheme="minorHAnsi" w:cstheme="minorBidi"/>
        </w:rPr>
        <w:t xml:space="preserve">, and </w:t>
      </w:r>
      <w:r w:rsidRPr="00464690" w:rsidR="009A73C0">
        <w:rPr>
          <w:rStyle w:val="eop"/>
          <w:rFonts w:asciiTheme="minorHAnsi" w:hAnsiTheme="minorHAnsi" w:cstheme="minorBidi"/>
        </w:rPr>
        <w:t xml:space="preserve">supported </w:t>
      </w:r>
      <w:r w:rsidRPr="00464690" w:rsidR="005B6B36">
        <w:rPr>
          <w:rStyle w:val="eop"/>
          <w:rFonts w:asciiTheme="minorHAnsi" w:hAnsiTheme="minorHAnsi" w:cstheme="minorBidi"/>
        </w:rPr>
        <w:t>automated collection to reduce burden</w:t>
      </w:r>
      <w:r w:rsidRPr="00464690" w:rsidR="003B2201">
        <w:rPr>
          <w:rStyle w:val="eop"/>
          <w:rFonts w:asciiTheme="minorHAnsi" w:hAnsiTheme="minorHAnsi" w:cstheme="minorBidi"/>
        </w:rPr>
        <w:t xml:space="preserve">. Similarly, the National Industry Transportation League indicated that </w:t>
      </w:r>
      <w:r w:rsidRPr="00464690" w:rsidR="00036152">
        <w:rPr>
          <w:rStyle w:val="eop"/>
          <w:rFonts w:asciiTheme="minorHAnsi" w:hAnsiTheme="minorHAnsi" w:cstheme="minorBidi"/>
        </w:rPr>
        <w:t>the burden estimates appeared reasonable, that ocean carriers should be required to submit the same elements in the same format, and that automated collection would re</w:t>
      </w:r>
      <w:r w:rsidRPr="00464690" w:rsidR="005B6B36">
        <w:rPr>
          <w:rStyle w:val="eop"/>
          <w:rFonts w:asciiTheme="minorHAnsi" w:hAnsiTheme="minorHAnsi" w:cstheme="minorBidi"/>
        </w:rPr>
        <w:t>duce burden.</w:t>
      </w:r>
    </w:p>
    <w:p w:rsidR="008605AE" w:rsidRPr="00464690" w:rsidP="22AB90B4" w14:paraId="5A57B090" w14:textId="77777777">
      <w:pPr>
        <w:pStyle w:val="paragraph"/>
        <w:spacing w:before="0" w:beforeAutospacing="0" w:after="0" w:afterAutospacing="0"/>
        <w:textAlignment w:val="baseline"/>
        <w:rPr>
          <w:rStyle w:val="eop"/>
          <w:rFonts w:ascii="Arial" w:hAnsi="Arial" w:cs="Arial"/>
        </w:rPr>
      </w:pPr>
    </w:p>
    <w:p w:rsidR="00C051AF" w:rsidRPr="00464690" w:rsidP="3F892FE0" w14:paraId="392377FF" w14:textId="5083B7BA">
      <w:pPr>
        <w:pStyle w:val="paragraph"/>
        <w:spacing w:before="0" w:beforeAutospacing="0" w:after="0" w:afterAutospacing="0"/>
        <w:textAlignment w:val="baseline"/>
        <w:rPr>
          <w:rStyle w:val="eop"/>
          <w:rFonts w:asciiTheme="minorHAnsi" w:hAnsiTheme="minorHAnsi" w:cstheme="minorBidi"/>
        </w:rPr>
      </w:pPr>
      <w:r w:rsidRPr="00464690">
        <w:rPr>
          <w:rStyle w:val="eop"/>
          <w:rFonts w:asciiTheme="minorHAnsi" w:hAnsiTheme="minorHAnsi" w:cstheme="minorBidi"/>
        </w:rPr>
        <w:t>During the 60-day comment period,</w:t>
      </w:r>
      <w:r w:rsidRPr="00464690" w:rsidR="5C9195E8">
        <w:rPr>
          <w:rStyle w:val="eop"/>
          <w:rFonts w:asciiTheme="minorHAnsi" w:hAnsiTheme="minorHAnsi" w:cstheme="minorBidi"/>
        </w:rPr>
        <w:t xml:space="preserve"> the</w:t>
      </w:r>
      <w:r w:rsidRPr="00464690">
        <w:rPr>
          <w:rStyle w:val="eop"/>
          <w:rFonts w:asciiTheme="minorHAnsi" w:hAnsiTheme="minorHAnsi" w:cstheme="minorBidi"/>
        </w:rPr>
        <w:t xml:space="preserve"> FMC consulted with two ocean carriers to </w:t>
      </w:r>
      <w:r w:rsidRPr="00464690" w:rsidR="2D1E39C3">
        <w:rPr>
          <w:rStyle w:val="eop"/>
          <w:rFonts w:asciiTheme="minorHAnsi" w:hAnsiTheme="minorHAnsi" w:cstheme="minorBidi"/>
        </w:rPr>
        <w:t xml:space="preserve">review potential template formats for data collection. Both carriers provided useful feedback that was incorporated into a revised data collection template. Additionally, a carrier suggested further breaking out the container categories by size, </w:t>
      </w:r>
      <w:r w:rsidRPr="00464690" w:rsidR="2D1E39C3">
        <w:rPr>
          <w:rStyle w:val="eop"/>
          <w:rFonts w:asciiTheme="minorHAnsi" w:hAnsiTheme="minorHAnsi" w:cstheme="minorBidi"/>
        </w:rPr>
        <w:t>similar to</w:t>
      </w:r>
      <w:r w:rsidRPr="00464690" w:rsidR="2D1E39C3">
        <w:rPr>
          <w:rStyle w:val="eop"/>
          <w:rFonts w:asciiTheme="minorHAnsi" w:hAnsiTheme="minorHAnsi" w:cstheme="minorBidi"/>
        </w:rPr>
        <w:t xml:space="preserve"> the </w:t>
      </w:r>
      <w:r w:rsidRPr="00464690" w:rsidR="2D1E39C3">
        <w:rPr>
          <w:rStyle w:val="eop"/>
          <w:rFonts w:asciiTheme="minorHAnsi" w:hAnsiTheme="minorHAnsi" w:cstheme="minorBidi"/>
        </w:rPr>
        <w:t>BassTech</w:t>
      </w:r>
      <w:r w:rsidRPr="00464690" w:rsidR="2D1E39C3">
        <w:rPr>
          <w:rStyle w:val="eop"/>
          <w:rFonts w:asciiTheme="minorHAnsi" w:hAnsiTheme="minorHAnsi" w:cstheme="minorBidi"/>
        </w:rPr>
        <w:t xml:space="preserve"> suggestion. Another carrier stressed the importance of accounting for Mexican and Canadian </w:t>
      </w:r>
      <w:r w:rsidRPr="00464690" w:rsidR="68C39681">
        <w:rPr>
          <w:rStyle w:val="eop"/>
          <w:rFonts w:asciiTheme="minorHAnsi" w:hAnsiTheme="minorHAnsi" w:cstheme="minorBidi"/>
        </w:rPr>
        <w:t>freight that is carried on vessels that have U.S.</w:t>
      </w:r>
      <w:r w:rsidRPr="00464690" w:rsidR="13191D17">
        <w:rPr>
          <w:rStyle w:val="eop"/>
          <w:rFonts w:asciiTheme="minorHAnsi" w:hAnsiTheme="minorHAnsi" w:cstheme="minorBidi"/>
        </w:rPr>
        <w:t xml:space="preserve"> port</w:t>
      </w:r>
      <w:r w:rsidRPr="00464690" w:rsidR="68C39681">
        <w:rPr>
          <w:rStyle w:val="eop"/>
          <w:rFonts w:asciiTheme="minorHAnsi" w:hAnsiTheme="minorHAnsi" w:cstheme="minorBidi"/>
        </w:rPr>
        <w:t xml:space="preserve"> calls, as that </w:t>
      </w:r>
      <w:r w:rsidRPr="00464690" w:rsidR="3F489941">
        <w:rPr>
          <w:rStyle w:val="eop"/>
          <w:rFonts w:asciiTheme="minorHAnsi" w:hAnsiTheme="minorHAnsi" w:cstheme="minorBidi"/>
        </w:rPr>
        <w:t xml:space="preserve">would </w:t>
      </w:r>
      <w:r w:rsidRPr="00464690" w:rsidR="68C39681">
        <w:rPr>
          <w:rStyle w:val="eop"/>
          <w:rFonts w:asciiTheme="minorHAnsi" w:hAnsiTheme="minorHAnsi" w:cstheme="minorBidi"/>
        </w:rPr>
        <w:t xml:space="preserve">be the most complete accounting for how the vessel capacity is utilized. As an example, if a vessel calls at Seattle and then Vancouver and </w:t>
      </w:r>
      <w:r w:rsidRPr="00464690" w:rsidR="551D764E">
        <w:rPr>
          <w:rStyle w:val="eop"/>
          <w:rFonts w:asciiTheme="minorHAnsi" w:hAnsiTheme="minorHAnsi" w:cstheme="minorBidi"/>
        </w:rPr>
        <w:t xml:space="preserve">the data only collects the Seattle port of call, it could appear as if the vessel is sailing with considerable </w:t>
      </w:r>
      <w:r w:rsidRPr="00464690" w:rsidR="038804BB">
        <w:rPr>
          <w:rStyle w:val="eop"/>
          <w:rFonts w:asciiTheme="minorHAnsi" w:hAnsiTheme="minorHAnsi" w:cstheme="minorBidi"/>
        </w:rPr>
        <w:t xml:space="preserve">available </w:t>
      </w:r>
      <w:r w:rsidRPr="00464690" w:rsidR="551D764E">
        <w:rPr>
          <w:rStyle w:val="eop"/>
          <w:rFonts w:asciiTheme="minorHAnsi" w:hAnsiTheme="minorHAnsi" w:cstheme="minorBidi"/>
        </w:rPr>
        <w:t xml:space="preserve">capacity, when, in fact, it is taking on </w:t>
      </w:r>
      <w:r w:rsidRPr="00464690" w:rsidR="5EF1FB71">
        <w:rPr>
          <w:rStyle w:val="eop"/>
          <w:rFonts w:asciiTheme="minorHAnsi" w:hAnsiTheme="minorHAnsi" w:cstheme="minorBidi"/>
        </w:rPr>
        <w:t xml:space="preserve">export </w:t>
      </w:r>
      <w:r w:rsidRPr="00464690" w:rsidR="551D764E">
        <w:rPr>
          <w:rStyle w:val="eop"/>
          <w:rFonts w:asciiTheme="minorHAnsi" w:hAnsiTheme="minorHAnsi" w:cstheme="minorBidi"/>
        </w:rPr>
        <w:t>freight in Vancouver before returning to Asia.</w:t>
      </w:r>
    </w:p>
    <w:p w:rsidR="005B6CC2" w:rsidRPr="00464690" w:rsidP="00DE463A" w14:paraId="4E5A19C0" w14:textId="77777777">
      <w:pPr>
        <w:pStyle w:val="paragraph"/>
        <w:spacing w:before="0" w:beforeAutospacing="0" w:after="0" w:afterAutospacing="0"/>
        <w:textAlignment w:val="baseline"/>
        <w:rPr>
          <w:rStyle w:val="eop"/>
          <w:rFonts w:asciiTheme="minorHAnsi" w:hAnsiTheme="minorHAnsi" w:cstheme="minorBidi"/>
        </w:rPr>
      </w:pPr>
    </w:p>
    <w:p w:rsidR="00DE463A" w:rsidRPr="00464690" w:rsidP="00DE463A" w14:paraId="6999979A" w14:textId="4FE1A145">
      <w:pPr>
        <w:spacing w:line="240" w:lineRule="auto"/>
        <w:rPr>
          <w:sz w:val="24"/>
          <w:szCs w:val="24"/>
        </w:rPr>
      </w:pPr>
      <w:r w:rsidRPr="00464690">
        <w:rPr>
          <w:rStyle w:val="eop"/>
          <w:sz w:val="24"/>
          <w:szCs w:val="24"/>
        </w:rPr>
        <w:t xml:space="preserve">The FMC filed a 30-day notice in the Federal Register on December 8, 2022, at 87 FR 75629. </w:t>
      </w:r>
      <w:r w:rsidRPr="00464690" w:rsidR="00DF511E">
        <w:rPr>
          <w:rStyle w:val="eop"/>
          <w:sz w:val="24"/>
          <w:szCs w:val="24"/>
        </w:rPr>
        <w:t xml:space="preserve">The 30-day notice </w:t>
      </w:r>
      <w:r w:rsidRPr="00464690">
        <w:rPr>
          <w:rStyle w:val="eop"/>
          <w:sz w:val="24"/>
          <w:szCs w:val="24"/>
        </w:rPr>
        <w:t xml:space="preserve">invited feedback on </w:t>
      </w:r>
      <w:r w:rsidRPr="00464690">
        <w:rPr>
          <w:sz w:val="24"/>
          <w:szCs w:val="24"/>
        </w:rPr>
        <w:t xml:space="preserve">the value of collecting information on cargo loaded and off-loaded outside of the U.S. on service strings that include U.S. port calls. The </w:t>
      </w:r>
      <w:r w:rsidRPr="00464690" w:rsidR="008809AF">
        <w:rPr>
          <w:sz w:val="24"/>
          <w:szCs w:val="24"/>
        </w:rPr>
        <w:t>Commission received on</w:t>
      </w:r>
      <w:r w:rsidRPr="00464690" w:rsidR="000A4CDC">
        <w:rPr>
          <w:sz w:val="24"/>
          <w:szCs w:val="24"/>
        </w:rPr>
        <w:t>e</w:t>
      </w:r>
      <w:r w:rsidRPr="00464690" w:rsidR="008809AF">
        <w:rPr>
          <w:sz w:val="24"/>
          <w:szCs w:val="24"/>
        </w:rPr>
        <w:t xml:space="preserve"> response to the 30-day notice</w:t>
      </w:r>
      <w:r w:rsidRPr="00464690" w:rsidR="000A4CDC">
        <w:rPr>
          <w:sz w:val="24"/>
          <w:szCs w:val="24"/>
        </w:rPr>
        <w:t xml:space="preserve">, from the World Shipping Council. </w:t>
      </w:r>
      <w:r w:rsidRPr="00464690" w:rsidR="000A4CDC">
        <w:rPr>
          <w:sz w:val="24"/>
          <w:szCs w:val="24"/>
        </w:rPr>
        <w:t>Similar to</w:t>
      </w:r>
      <w:r w:rsidRPr="00464690" w:rsidR="000A4CDC">
        <w:rPr>
          <w:sz w:val="24"/>
          <w:szCs w:val="24"/>
        </w:rPr>
        <w:t xml:space="preserve"> their comments on the 60-day notice, the World Shipping Council contends that the PRA requires that the Commission not collect any information from </w:t>
      </w:r>
      <w:r w:rsidRPr="00464690" w:rsidR="00FB4C79">
        <w:rPr>
          <w:sz w:val="24"/>
          <w:szCs w:val="24"/>
        </w:rPr>
        <w:t xml:space="preserve">respondents that might exist in other government databases or in commercial data sets. As described in </w:t>
      </w:r>
      <w:r w:rsidRPr="00464690" w:rsidR="00852E53">
        <w:rPr>
          <w:sz w:val="24"/>
          <w:szCs w:val="24"/>
        </w:rPr>
        <w:t xml:space="preserve">#4, the Commission notes that while data </w:t>
      </w:r>
      <w:r w:rsidRPr="00464690" w:rsidR="001662D7">
        <w:rPr>
          <w:sz w:val="24"/>
          <w:szCs w:val="24"/>
        </w:rPr>
        <w:t xml:space="preserve">are </w:t>
      </w:r>
      <w:r w:rsidRPr="00464690" w:rsidR="00246436">
        <w:rPr>
          <w:sz w:val="24"/>
          <w:szCs w:val="24"/>
        </w:rPr>
        <w:t xml:space="preserve">submitted to </w:t>
      </w:r>
      <w:r w:rsidRPr="00464690" w:rsidR="009A73C0">
        <w:rPr>
          <w:sz w:val="24"/>
          <w:szCs w:val="24"/>
        </w:rPr>
        <w:t xml:space="preserve">Customs and Border Protection </w:t>
      </w:r>
      <w:r w:rsidRPr="00464690" w:rsidR="00246436">
        <w:rPr>
          <w:sz w:val="24"/>
          <w:szCs w:val="24"/>
        </w:rPr>
        <w:t>and the Army Corps of Engineers, th</w:t>
      </w:r>
      <w:r w:rsidRPr="00464690" w:rsidR="009D6B5C">
        <w:rPr>
          <w:sz w:val="24"/>
          <w:szCs w:val="24"/>
        </w:rPr>
        <w:t>e</w:t>
      </w:r>
      <w:r w:rsidRPr="00464690" w:rsidR="009201F0">
        <w:rPr>
          <w:sz w:val="24"/>
          <w:szCs w:val="24"/>
        </w:rPr>
        <w:t xml:space="preserve"> data submitted to Army Corps of Engineers </w:t>
      </w:r>
      <w:r w:rsidRPr="00464690" w:rsidR="0005560B">
        <w:rPr>
          <w:sz w:val="24"/>
          <w:szCs w:val="24"/>
        </w:rPr>
        <w:t xml:space="preserve">are limited to the name of the operator of the vessel, as opposed to carriers who have freight on a particular vessel. Further </w:t>
      </w:r>
      <w:r w:rsidRPr="00464690" w:rsidR="0005560B">
        <w:rPr>
          <w:sz w:val="24"/>
          <w:szCs w:val="24"/>
        </w:rPr>
        <w:t>these data are available with a considerable lag</w:t>
      </w:r>
      <w:r w:rsidRPr="00464690" w:rsidR="00824377">
        <w:rPr>
          <w:sz w:val="24"/>
          <w:szCs w:val="24"/>
        </w:rPr>
        <w:t xml:space="preserve"> that would not allow the Commission to meet the OSRA 2022 mandates</w:t>
      </w:r>
      <w:r w:rsidRPr="00464690" w:rsidR="0005560B">
        <w:rPr>
          <w:sz w:val="24"/>
          <w:szCs w:val="24"/>
        </w:rPr>
        <w:t>.</w:t>
      </w:r>
    </w:p>
    <w:p w:rsidR="0005560B" w:rsidRPr="00464690" w:rsidP="00DE463A" w14:paraId="1CC9ED5E" w14:textId="45826F1E">
      <w:pPr>
        <w:spacing w:line="240" w:lineRule="auto"/>
        <w:rPr>
          <w:sz w:val="24"/>
          <w:szCs w:val="24"/>
        </w:rPr>
      </w:pPr>
      <w:r w:rsidRPr="00464690">
        <w:rPr>
          <w:sz w:val="24"/>
          <w:szCs w:val="24"/>
        </w:rPr>
        <w:t>The</w:t>
      </w:r>
      <w:r w:rsidRPr="00464690" w:rsidR="008628E1">
        <w:rPr>
          <w:sz w:val="24"/>
          <w:szCs w:val="24"/>
        </w:rPr>
        <w:t xml:space="preserve"> data submitted to </w:t>
      </w:r>
      <w:r w:rsidRPr="00464690" w:rsidR="00824377">
        <w:rPr>
          <w:rStyle w:val="eop"/>
          <w:sz w:val="24"/>
          <w:szCs w:val="24"/>
        </w:rPr>
        <w:t xml:space="preserve">Customs and Border Protection </w:t>
      </w:r>
      <w:r w:rsidRPr="00464690" w:rsidR="008628E1">
        <w:rPr>
          <w:sz w:val="24"/>
          <w:szCs w:val="24"/>
        </w:rPr>
        <w:t xml:space="preserve">are at a much more disaggregated level than required by FMC and are not reviewed and </w:t>
      </w:r>
      <w:r w:rsidRPr="00464690" w:rsidR="00F86661">
        <w:rPr>
          <w:sz w:val="24"/>
          <w:szCs w:val="24"/>
        </w:rPr>
        <w:t xml:space="preserve">processed by </w:t>
      </w:r>
      <w:r w:rsidRPr="00464690" w:rsidR="00824377">
        <w:rPr>
          <w:rStyle w:val="eop"/>
          <w:sz w:val="24"/>
          <w:szCs w:val="24"/>
        </w:rPr>
        <w:t xml:space="preserve">Customs and Border Protection </w:t>
      </w:r>
      <w:r w:rsidRPr="00464690" w:rsidR="00F86661">
        <w:rPr>
          <w:sz w:val="24"/>
          <w:szCs w:val="24"/>
        </w:rPr>
        <w:t xml:space="preserve">with a goal of obtaining accurate counts of TEUs. The </w:t>
      </w:r>
      <w:r w:rsidRPr="00464690" w:rsidR="00824377">
        <w:rPr>
          <w:rStyle w:val="eop"/>
          <w:sz w:val="24"/>
          <w:szCs w:val="24"/>
        </w:rPr>
        <w:t xml:space="preserve">Customs and Border Protection </w:t>
      </w:r>
      <w:r w:rsidRPr="00464690" w:rsidR="00F86661">
        <w:rPr>
          <w:sz w:val="24"/>
          <w:szCs w:val="24"/>
        </w:rPr>
        <w:t>data that</w:t>
      </w:r>
      <w:r w:rsidRPr="00464690" w:rsidR="00735F28">
        <w:rPr>
          <w:sz w:val="24"/>
          <w:szCs w:val="24"/>
        </w:rPr>
        <w:t xml:space="preserve"> </w:t>
      </w:r>
      <w:r w:rsidRPr="00464690" w:rsidR="00877895">
        <w:rPr>
          <w:sz w:val="24"/>
          <w:szCs w:val="24"/>
        </w:rPr>
        <w:t>are</w:t>
      </w:r>
      <w:r w:rsidRPr="00464690" w:rsidR="00F86661">
        <w:rPr>
          <w:sz w:val="24"/>
          <w:szCs w:val="24"/>
        </w:rPr>
        <w:t xml:space="preserve"> shared with commercial vendors, such as PIERS, are</w:t>
      </w:r>
      <w:r w:rsidRPr="00464690" w:rsidR="00EE4D6A">
        <w:rPr>
          <w:sz w:val="24"/>
          <w:szCs w:val="24"/>
        </w:rPr>
        <w:t xml:space="preserve"> subsequently cleaned by the private vendor and an estimate of TEUs generated using an algorithm</w:t>
      </w:r>
      <w:r w:rsidRPr="00464690" w:rsidR="00DA782A">
        <w:rPr>
          <w:sz w:val="24"/>
          <w:szCs w:val="24"/>
        </w:rPr>
        <w:t xml:space="preserve">. Further, PIERS and other vendors are focused on reporting information on </w:t>
      </w:r>
      <w:r w:rsidRPr="00464690" w:rsidR="00DA782A">
        <w:rPr>
          <w:b/>
          <w:bCs/>
          <w:sz w:val="24"/>
          <w:szCs w:val="24"/>
        </w:rPr>
        <w:t>laden</w:t>
      </w:r>
      <w:r w:rsidRPr="00464690" w:rsidR="00DA782A">
        <w:rPr>
          <w:sz w:val="24"/>
          <w:szCs w:val="24"/>
        </w:rPr>
        <w:t xml:space="preserve"> containers</w:t>
      </w:r>
      <w:r w:rsidRPr="00464690" w:rsidR="005D1B06">
        <w:rPr>
          <w:sz w:val="24"/>
          <w:szCs w:val="24"/>
        </w:rPr>
        <w:t xml:space="preserve">, and do not provide estimates of empty containers. </w:t>
      </w:r>
      <w:r w:rsidRPr="00464690" w:rsidR="000A1FB1">
        <w:rPr>
          <w:sz w:val="24"/>
          <w:szCs w:val="24"/>
        </w:rPr>
        <w:t>Any</w:t>
      </w:r>
      <w:r w:rsidRPr="00464690" w:rsidR="005D1B06">
        <w:rPr>
          <w:sz w:val="24"/>
          <w:szCs w:val="24"/>
        </w:rPr>
        <w:t xml:space="preserve"> model </w:t>
      </w:r>
      <w:r w:rsidRPr="00464690" w:rsidR="000A1FB1">
        <w:rPr>
          <w:sz w:val="24"/>
          <w:szCs w:val="24"/>
        </w:rPr>
        <w:t xml:space="preserve">created </w:t>
      </w:r>
      <w:r w:rsidRPr="00464690" w:rsidR="005D1B06">
        <w:rPr>
          <w:sz w:val="24"/>
          <w:szCs w:val="24"/>
        </w:rPr>
        <w:t xml:space="preserve">to assume that empty containers would represent the difference between ship capacity and laden containers, </w:t>
      </w:r>
      <w:r w:rsidRPr="00464690" w:rsidR="007F649D">
        <w:rPr>
          <w:sz w:val="24"/>
          <w:szCs w:val="24"/>
        </w:rPr>
        <w:t xml:space="preserve">would not necessarily be accurate. </w:t>
      </w:r>
      <w:r w:rsidRPr="00464690" w:rsidR="00210812">
        <w:rPr>
          <w:sz w:val="24"/>
          <w:szCs w:val="24"/>
        </w:rPr>
        <w:t>Vessels</w:t>
      </w:r>
      <w:r w:rsidRPr="00464690" w:rsidR="007F649D">
        <w:rPr>
          <w:sz w:val="24"/>
          <w:szCs w:val="24"/>
        </w:rPr>
        <w:t xml:space="preserve"> may leave the U.S. without reaching container capacity</w:t>
      </w:r>
      <w:r w:rsidRPr="00464690" w:rsidR="00210812">
        <w:rPr>
          <w:sz w:val="24"/>
          <w:szCs w:val="24"/>
        </w:rPr>
        <w:t>. Vessels may also depart the U.S. and take on freight at foreign ports</w:t>
      </w:r>
      <w:r w:rsidRPr="00464690" w:rsidR="00996BEE">
        <w:rPr>
          <w:sz w:val="24"/>
          <w:szCs w:val="24"/>
        </w:rPr>
        <w:t>.</w:t>
      </w:r>
      <w:r w:rsidRPr="00464690" w:rsidR="005A38CF">
        <w:rPr>
          <w:sz w:val="24"/>
          <w:szCs w:val="24"/>
        </w:rPr>
        <w:t xml:space="preserve"> Thus, </w:t>
      </w:r>
      <w:r w:rsidRPr="00464690" w:rsidR="00D63481">
        <w:rPr>
          <w:sz w:val="24"/>
          <w:szCs w:val="24"/>
        </w:rPr>
        <w:t>this information is insufficient to meet the mandates of OSRA 2022.</w:t>
      </w:r>
    </w:p>
    <w:p w:rsidR="00996BEE" w:rsidRPr="00464690" w:rsidP="00DE463A" w14:paraId="4E7172E4" w14:textId="5EBBB19B">
      <w:pPr>
        <w:spacing w:line="240" w:lineRule="auto"/>
        <w:rPr>
          <w:sz w:val="24"/>
          <w:szCs w:val="24"/>
        </w:rPr>
      </w:pPr>
      <w:r w:rsidRPr="00464690">
        <w:rPr>
          <w:sz w:val="24"/>
          <w:szCs w:val="24"/>
        </w:rPr>
        <w:t xml:space="preserve">The FMC disagrees with the World Shipping Council assessment that </w:t>
      </w:r>
      <w:r w:rsidRPr="00464690" w:rsidR="000A1FB1">
        <w:rPr>
          <w:sz w:val="24"/>
          <w:szCs w:val="24"/>
        </w:rPr>
        <w:t>OSRA 2022</w:t>
      </w:r>
      <w:r w:rsidRPr="00464690">
        <w:rPr>
          <w:sz w:val="24"/>
          <w:szCs w:val="24"/>
        </w:rPr>
        <w:t xml:space="preserve"> does not allow the FMC to duplicate data collection. While it is not ideal to collect information on both full and empty containers</w:t>
      </w:r>
      <w:r w:rsidRPr="00464690" w:rsidR="005A38CF">
        <w:rPr>
          <w:sz w:val="24"/>
          <w:szCs w:val="24"/>
        </w:rPr>
        <w:t>,</w:t>
      </w:r>
      <w:r w:rsidRPr="00464690" w:rsidR="000A1FB1">
        <w:rPr>
          <w:sz w:val="24"/>
          <w:szCs w:val="24"/>
        </w:rPr>
        <w:t xml:space="preserve"> in the Commission’s judgment, this is the only way to meet the requirements of OSRA 2022. </w:t>
      </w:r>
      <w:r w:rsidRPr="00464690" w:rsidR="005A38CF">
        <w:rPr>
          <w:sz w:val="24"/>
          <w:szCs w:val="24"/>
        </w:rPr>
        <w:t xml:space="preserve"> </w:t>
      </w:r>
      <w:r w:rsidRPr="00464690" w:rsidR="001303DD">
        <w:rPr>
          <w:sz w:val="24"/>
          <w:szCs w:val="24"/>
        </w:rPr>
        <w:t xml:space="preserve">OSRA </w:t>
      </w:r>
      <w:r w:rsidRPr="00464690" w:rsidR="001E2928">
        <w:rPr>
          <w:sz w:val="24"/>
          <w:szCs w:val="24"/>
        </w:rPr>
        <w:t xml:space="preserve">2022 </w:t>
      </w:r>
      <w:r w:rsidRPr="00464690" w:rsidR="001303DD">
        <w:rPr>
          <w:sz w:val="24"/>
          <w:szCs w:val="24"/>
        </w:rPr>
        <w:t xml:space="preserve">requires data on laden and empty </w:t>
      </w:r>
      <w:r w:rsidRPr="00464690" w:rsidR="001303DD">
        <w:rPr>
          <w:sz w:val="24"/>
          <w:szCs w:val="24"/>
        </w:rPr>
        <w:t>containers, and</w:t>
      </w:r>
      <w:r w:rsidRPr="00464690" w:rsidR="001303DD">
        <w:rPr>
          <w:sz w:val="24"/>
          <w:szCs w:val="24"/>
        </w:rPr>
        <w:t xml:space="preserve"> r</w:t>
      </w:r>
      <w:r w:rsidRPr="00464690" w:rsidR="000A1FB1">
        <w:rPr>
          <w:sz w:val="24"/>
          <w:szCs w:val="24"/>
        </w:rPr>
        <w:t>estricting</w:t>
      </w:r>
      <w:r w:rsidRPr="00464690" w:rsidR="005A38CF">
        <w:rPr>
          <w:sz w:val="24"/>
          <w:szCs w:val="24"/>
        </w:rPr>
        <w:t xml:space="preserve"> the collection to only empty containers and then </w:t>
      </w:r>
      <w:r w:rsidRPr="00464690" w:rsidR="00F16227">
        <w:rPr>
          <w:sz w:val="24"/>
          <w:szCs w:val="24"/>
        </w:rPr>
        <w:t>using PIERS or other data sources to understand full containers may lead to inaccuracies</w:t>
      </w:r>
      <w:r w:rsidRPr="00464690" w:rsidR="001303DD">
        <w:rPr>
          <w:sz w:val="24"/>
          <w:szCs w:val="24"/>
        </w:rPr>
        <w:t>.</w:t>
      </w:r>
      <w:r w:rsidRPr="00464690" w:rsidR="00F16227">
        <w:rPr>
          <w:sz w:val="24"/>
          <w:szCs w:val="24"/>
        </w:rPr>
        <w:t xml:space="preserve"> </w:t>
      </w:r>
      <w:r w:rsidRPr="00464690" w:rsidR="001303DD">
        <w:rPr>
          <w:sz w:val="24"/>
          <w:szCs w:val="24"/>
        </w:rPr>
        <w:t xml:space="preserve">Without </w:t>
      </w:r>
      <w:r w:rsidRPr="00464690" w:rsidR="00F16227">
        <w:rPr>
          <w:sz w:val="24"/>
          <w:szCs w:val="24"/>
        </w:rPr>
        <w:t xml:space="preserve">an initial data collection, we are unable to </w:t>
      </w:r>
      <w:r w:rsidRPr="00464690" w:rsidR="00EB2CCC">
        <w:rPr>
          <w:sz w:val="24"/>
          <w:szCs w:val="24"/>
        </w:rPr>
        <w:t xml:space="preserve">ascertain how inaccurate the blended estimates would be. The Commission plans to study this </w:t>
      </w:r>
      <w:r w:rsidRPr="00464690" w:rsidR="00EE1561">
        <w:rPr>
          <w:sz w:val="24"/>
          <w:szCs w:val="24"/>
        </w:rPr>
        <w:t>and measure the disparity during our first year of direct data collection.</w:t>
      </w:r>
      <w:r w:rsidRPr="00464690" w:rsidR="00EB2CCC">
        <w:rPr>
          <w:sz w:val="24"/>
          <w:szCs w:val="24"/>
        </w:rPr>
        <w:t xml:space="preserve"> </w:t>
      </w:r>
      <w:r w:rsidRPr="00464690" w:rsidR="00EE1561">
        <w:rPr>
          <w:sz w:val="24"/>
          <w:szCs w:val="24"/>
        </w:rPr>
        <w:t xml:space="preserve">The Commission will </w:t>
      </w:r>
      <w:r w:rsidRPr="00464690" w:rsidR="00EB2CCC">
        <w:rPr>
          <w:sz w:val="24"/>
          <w:szCs w:val="24"/>
        </w:rPr>
        <w:t>also work with C</w:t>
      </w:r>
      <w:r w:rsidRPr="00464690" w:rsidR="009A4696">
        <w:rPr>
          <w:sz w:val="24"/>
          <w:szCs w:val="24"/>
        </w:rPr>
        <w:t xml:space="preserve">ustoms and </w:t>
      </w:r>
      <w:r w:rsidRPr="00464690" w:rsidR="00EB2CCC">
        <w:rPr>
          <w:sz w:val="24"/>
          <w:szCs w:val="24"/>
        </w:rPr>
        <w:t>B</w:t>
      </w:r>
      <w:r w:rsidRPr="00464690" w:rsidR="009A4696">
        <w:rPr>
          <w:sz w:val="24"/>
          <w:szCs w:val="24"/>
        </w:rPr>
        <w:t xml:space="preserve">order </w:t>
      </w:r>
      <w:r w:rsidRPr="00464690" w:rsidR="00EB2CCC">
        <w:rPr>
          <w:sz w:val="24"/>
          <w:szCs w:val="24"/>
        </w:rPr>
        <w:t>P</w:t>
      </w:r>
      <w:r w:rsidRPr="00464690" w:rsidR="009A4696">
        <w:rPr>
          <w:sz w:val="24"/>
          <w:szCs w:val="24"/>
        </w:rPr>
        <w:t>rotection</w:t>
      </w:r>
      <w:r w:rsidRPr="00464690" w:rsidR="00EB2CCC">
        <w:rPr>
          <w:sz w:val="24"/>
          <w:szCs w:val="24"/>
        </w:rPr>
        <w:t xml:space="preserve"> to evaluate the timing</w:t>
      </w:r>
      <w:r w:rsidRPr="00464690" w:rsidR="007C2BFB">
        <w:rPr>
          <w:sz w:val="24"/>
          <w:szCs w:val="24"/>
        </w:rPr>
        <w:t xml:space="preserve">, </w:t>
      </w:r>
      <w:r w:rsidRPr="00464690" w:rsidR="00EB2CCC">
        <w:rPr>
          <w:sz w:val="24"/>
          <w:szCs w:val="24"/>
        </w:rPr>
        <w:t>feasibility</w:t>
      </w:r>
      <w:r w:rsidRPr="00464690" w:rsidR="007C2BFB">
        <w:rPr>
          <w:sz w:val="24"/>
          <w:szCs w:val="24"/>
        </w:rPr>
        <w:t>, and cost</w:t>
      </w:r>
      <w:r w:rsidRPr="00464690" w:rsidR="00EB2CCC">
        <w:rPr>
          <w:sz w:val="24"/>
          <w:szCs w:val="24"/>
        </w:rPr>
        <w:t xml:space="preserve"> of </w:t>
      </w:r>
      <w:r w:rsidRPr="00464690" w:rsidR="007C2BFB">
        <w:rPr>
          <w:sz w:val="24"/>
          <w:szCs w:val="24"/>
        </w:rPr>
        <w:t>C</w:t>
      </w:r>
      <w:r w:rsidRPr="00464690" w:rsidR="009A4696">
        <w:rPr>
          <w:sz w:val="24"/>
          <w:szCs w:val="24"/>
        </w:rPr>
        <w:t xml:space="preserve">ustoms and </w:t>
      </w:r>
      <w:r w:rsidRPr="00464690" w:rsidR="007C2BFB">
        <w:rPr>
          <w:sz w:val="24"/>
          <w:szCs w:val="24"/>
        </w:rPr>
        <w:t>B</w:t>
      </w:r>
      <w:r w:rsidRPr="00464690" w:rsidR="009A4696">
        <w:rPr>
          <w:sz w:val="24"/>
          <w:szCs w:val="24"/>
        </w:rPr>
        <w:t xml:space="preserve">order </w:t>
      </w:r>
      <w:r w:rsidRPr="00464690" w:rsidR="007C2BFB">
        <w:rPr>
          <w:sz w:val="24"/>
          <w:szCs w:val="24"/>
        </w:rPr>
        <w:t>P</w:t>
      </w:r>
      <w:r w:rsidRPr="00464690" w:rsidR="009A4696">
        <w:rPr>
          <w:sz w:val="24"/>
          <w:szCs w:val="24"/>
        </w:rPr>
        <w:t>rotection</w:t>
      </w:r>
      <w:r w:rsidRPr="00464690" w:rsidR="007C2BFB">
        <w:rPr>
          <w:sz w:val="24"/>
          <w:szCs w:val="24"/>
        </w:rPr>
        <w:t xml:space="preserve"> creating a report for the Commission </w:t>
      </w:r>
      <w:r w:rsidRPr="00464690" w:rsidR="002F6EC2">
        <w:rPr>
          <w:sz w:val="24"/>
          <w:szCs w:val="24"/>
        </w:rPr>
        <w:t xml:space="preserve">that would provide information on laden and empty containers by vessel name and carrier </w:t>
      </w:r>
      <w:r w:rsidRPr="00464690" w:rsidR="0088021E">
        <w:rPr>
          <w:sz w:val="24"/>
          <w:szCs w:val="24"/>
        </w:rPr>
        <w:t>name.</w:t>
      </w:r>
    </w:p>
    <w:p w:rsidR="00AD469B" w:rsidRPr="00464690" w:rsidP="00DE463A" w14:paraId="04C06569" w14:textId="4A2D0473">
      <w:pPr>
        <w:spacing w:line="240" w:lineRule="auto"/>
        <w:rPr>
          <w:sz w:val="24"/>
          <w:szCs w:val="24"/>
        </w:rPr>
      </w:pPr>
      <w:r w:rsidRPr="00464690">
        <w:rPr>
          <w:sz w:val="24"/>
          <w:szCs w:val="24"/>
        </w:rPr>
        <w:t xml:space="preserve">We additionally note that in either of these scenarios, the </w:t>
      </w:r>
      <w:r w:rsidRPr="00464690" w:rsidR="00CD1CC0">
        <w:rPr>
          <w:sz w:val="24"/>
          <w:szCs w:val="24"/>
        </w:rPr>
        <w:t xml:space="preserve">data would not include information on containers loaded or unloaded at ports outside of the U.S. (primarily Canada and Mexico) </w:t>
      </w:r>
      <w:r w:rsidRPr="00464690" w:rsidR="00474DFA">
        <w:rPr>
          <w:sz w:val="24"/>
          <w:szCs w:val="24"/>
        </w:rPr>
        <w:t xml:space="preserve">which are then moved in or out of the U.S.  </w:t>
      </w:r>
      <w:r w:rsidRPr="00464690" w:rsidR="003D1DCD">
        <w:rPr>
          <w:sz w:val="24"/>
          <w:szCs w:val="24"/>
        </w:rPr>
        <w:t>This is only available through direct data collection.</w:t>
      </w:r>
    </w:p>
    <w:p w:rsidR="006A7B3A" w:rsidRPr="00EE1561" w:rsidP="22AB90B4" w14:paraId="4C8D2FEA" w14:textId="14C71D82">
      <w:pPr>
        <w:pStyle w:val="paragraph"/>
        <w:spacing w:before="0" w:beforeAutospacing="0" w:after="0" w:afterAutospacing="0"/>
        <w:textAlignment w:val="baseline"/>
        <w:rPr>
          <w:rFonts w:ascii="Segoe UI" w:hAnsi="Segoe UI" w:cs="Segoe UI"/>
          <w:color w:val="2F5496" w:themeColor="accent1" w:themeShade="BF"/>
          <w:sz w:val="18"/>
          <w:szCs w:val="18"/>
        </w:rPr>
      </w:pPr>
    </w:p>
    <w:p w:rsidR="00BA2086" w:rsidP="00BA2086" w14:paraId="1C65F5F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P="00BA2086" w14:paraId="0E9989E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9. Explain any decision to provide any payment or gift to respondents, other than remuneration of contractors or grantees.</w:t>
      </w:r>
      <w:r>
        <w:rPr>
          <w:rStyle w:val="eop"/>
          <w:rFonts w:ascii="Arial" w:hAnsi="Arial" w:cs="Arial"/>
        </w:rPr>
        <w:t> </w:t>
      </w:r>
    </w:p>
    <w:p w:rsidR="00BA2086" w:rsidP="63917C60" w14:paraId="334C2ADA" w14:textId="77777777">
      <w:pPr>
        <w:pStyle w:val="paragraph"/>
        <w:spacing w:before="0" w:beforeAutospacing="0" w:after="0" w:afterAutospacing="0"/>
        <w:textAlignment w:val="baseline"/>
        <w:rPr>
          <w:rFonts w:asciiTheme="minorHAnsi" w:eastAsiaTheme="minorEastAsia" w:hAnsiTheme="minorHAnsi" w:cstheme="minorBidi"/>
          <w:sz w:val="18"/>
          <w:szCs w:val="18"/>
        </w:rPr>
      </w:pPr>
      <w:r w:rsidRPr="63917C60">
        <w:rPr>
          <w:rStyle w:val="eop"/>
          <w:rFonts w:asciiTheme="minorHAnsi" w:eastAsiaTheme="minorEastAsia" w:hAnsiTheme="minorHAnsi" w:cstheme="minorBidi"/>
        </w:rPr>
        <w:t> </w:t>
      </w:r>
    </w:p>
    <w:p w:rsidR="22AB90B4" w:rsidP="63917C60" w14:paraId="5ACD822D" w14:textId="2467240B">
      <w:pPr>
        <w:pStyle w:val="paragraph"/>
        <w:spacing w:before="0" w:beforeAutospacing="0" w:after="0" w:afterAutospacing="0"/>
        <w:rPr>
          <w:rStyle w:val="eop"/>
          <w:rFonts w:asciiTheme="minorHAnsi" w:eastAsiaTheme="minorEastAsia" w:hAnsiTheme="minorHAnsi" w:cstheme="minorBidi"/>
        </w:rPr>
      </w:pPr>
      <w:r w:rsidRPr="63917C60">
        <w:rPr>
          <w:rStyle w:val="eop"/>
          <w:rFonts w:asciiTheme="minorHAnsi" w:eastAsiaTheme="minorEastAsia" w:hAnsiTheme="minorHAnsi" w:cstheme="minorBidi"/>
        </w:rPr>
        <w:t>Not applicable</w:t>
      </w:r>
      <w:r w:rsidR="003E1B0C">
        <w:rPr>
          <w:rStyle w:val="eop"/>
          <w:rFonts w:asciiTheme="minorHAnsi" w:eastAsiaTheme="minorEastAsia" w:hAnsiTheme="minorHAnsi" w:cstheme="minorBidi"/>
        </w:rPr>
        <w:t>.</w:t>
      </w:r>
    </w:p>
    <w:p w:rsidR="22AB90B4" w:rsidP="22AB90B4" w14:paraId="5713946E" w14:textId="74C896FD">
      <w:pPr>
        <w:pStyle w:val="paragraph"/>
        <w:spacing w:before="0" w:beforeAutospacing="0" w:after="0" w:afterAutospacing="0"/>
        <w:rPr>
          <w:rStyle w:val="eop"/>
        </w:rPr>
      </w:pPr>
    </w:p>
    <w:p w:rsidR="00BA2086" w:rsidP="00BA2086" w14:paraId="0C14AF1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10. Describe any assurance of confidentiality provided to respondents and the basis for the assurance in statute, regulation, or agency policy.</w:t>
      </w:r>
      <w:r>
        <w:rPr>
          <w:rStyle w:val="eop"/>
          <w:rFonts w:ascii="Arial" w:hAnsi="Arial" w:cs="Arial"/>
        </w:rPr>
        <w:t> </w:t>
      </w:r>
    </w:p>
    <w:p w:rsidR="00BA2086" w:rsidP="00BA2086" w14:paraId="108C9F54" w14:textId="77777777">
      <w:pPr>
        <w:pStyle w:val="paragraph"/>
        <w:spacing w:before="0" w:beforeAutospacing="0" w:after="0" w:afterAutospacing="0"/>
        <w:textAlignment w:val="baseline"/>
        <w:rPr>
          <w:rFonts w:ascii="Segoe UI" w:hAnsi="Segoe UI" w:cs="Segoe UI"/>
          <w:sz w:val="18"/>
          <w:szCs w:val="18"/>
        </w:rPr>
      </w:pPr>
      <w:r w:rsidRPr="22AB90B4">
        <w:rPr>
          <w:rStyle w:val="eop"/>
          <w:rFonts w:ascii="Arial" w:hAnsi="Arial" w:cs="Arial"/>
        </w:rPr>
        <w:t> </w:t>
      </w:r>
    </w:p>
    <w:p w:rsidR="22AB90B4" w:rsidP="63917C60" w14:paraId="53FA96B6" w14:textId="10304C75">
      <w:pPr>
        <w:pStyle w:val="paragraph"/>
        <w:spacing w:before="0" w:beforeAutospacing="0" w:after="0" w:afterAutospacing="0"/>
        <w:rPr>
          <w:rFonts w:asciiTheme="minorHAnsi" w:eastAsiaTheme="minorEastAsia" w:hAnsiTheme="minorHAnsi" w:cstheme="minorBidi"/>
        </w:rPr>
      </w:pPr>
      <w:r w:rsidRPr="63917C60">
        <w:rPr>
          <w:rStyle w:val="eop"/>
          <w:rFonts w:asciiTheme="minorHAnsi" w:eastAsiaTheme="minorEastAsia" w:hAnsiTheme="minorHAnsi" w:cstheme="minorBidi"/>
        </w:rPr>
        <w:t>46 USC 41110(b) states, “</w:t>
      </w:r>
      <w:r w:rsidRPr="63917C60">
        <w:rPr>
          <w:rFonts w:asciiTheme="minorHAnsi" w:eastAsiaTheme="minorEastAsia" w:hAnsiTheme="minorHAnsi" w:cstheme="minorBidi"/>
        </w:rPr>
        <w:t>Nothing in this section, and the amendment made by this section, shall be construed to compel the public disclosure of any confidential or proprietary data, in accordance with section 552(b)(4) of title 5, United States Code.”</w:t>
      </w:r>
    </w:p>
    <w:p w:rsidR="22AB90B4" w:rsidP="22AB90B4" w14:paraId="16CEFD17" w14:textId="08AE2EAB">
      <w:pPr>
        <w:pStyle w:val="paragraph"/>
        <w:spacing w:before="0" w:beforeAutospacing="0" w:after="0" w:afterAutospacing="0"/>
        <w:rPr>
          <w:rStyle w:val="eop"/>
        </w:rPr>
      </w:pPr>
    </w:p>
    <w:p w:rsidR="22AB90B4" w:rsidP="22AB90B4" w14:paraId="350EBD1C" w14:textId="333E4339">
      <w:pPr>
        <w:pStyle w:val="paragraph"/>
        <w:spacing w:before="0" w:beforeAutospacing="0" w:after="0" w:afterAutospacing="0"/>
        <w:rPr>
          <w:rStyle w:val="eop"/>
        </w:rPr>
      </w:pPr>
    </w:p>
    <w:p w:rsidR="00BA2086" w:rsidP="22AB90B4" w14:paraId="407458E5" w14:textId="5C615592">
      <w:pPr>
        <w:pStyle w:val="paragraph"/>
        <w:spacing w:before="0" w:beforeAutospacing="0" w:after="0" w:afterAutospacing="0"/>
        <w:textAlignment w:val="baseline"/>
        <w:rPr>
          <w:rFonts w:ascii="Segoe UI" w:hAnsi="Segoe UI" w:cs="Segoe UI"/>
          <w:sz w:val="18"/>
          <w:szCs w:val="18"/>
        </w:rPr>
      </w:pPr>
      <w:r w:rsidRPr="22AB90B4">
        <w:rPr>
          <w:rStyle w:val="normaltextrun"/>
          <w:rFonts w:ascii="Arial" w:hAnsi="Arial" w:cs="Arial"/>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2086" w:rsidP="22AB90B4" w14:paraId="5C643662" w14:textId="4175CA3A">
      <w:pPr>
        <w:pStyle w:val="paragraph"/>
        <w:spacing w:before="0" w:beforeAutospacing="0" w:after="0" w:afterAutospacing="0"/>
        <w:textAlignment w:val="baseline"/>
        <w:rPr>
          <w:rStyle w:val="eop"/>
          <w:rFonts w:ascii="Arial" w:hAnsi="Arial" w:cs="Arial"/>
        </w:rPr>
      </w:pPr>
    </w:p>
    <w:p w:rsidR="00BA2086" w:rsidP="63917C60" w14:paraId="7DC91AED" w14:textId="79DFC00D">
      <w:pPr>
        <w:pStyle w:val="paragraph"/>
        <w:spacing w:before="0" w:beforeAutospacing="0" w:after="0" w:afterAutospacing="0"/>
        <w:textAlignment w:val="baseline"/>
        <w:rPr>
          <w:rFonts w:asciiTheme="minorHAnsi" w:eastAsiaTheme="minorEastAsia" w:hAnsiTheme="minorHAnsi" w:cstheme="minorBidi"/>
        </w:rPr>
      </w:pPr>
      <w:r w:rsidRPr="63917C60">
        <w:rPr>
          <w:rStyle w:val="eop"/>
          <w:rFonts w:asciiTheme="minorHAnsi" w:eastAsiaTheme="minorEastAsia" w:hAnsiTheme="minorHAnsi" w:cstheme="minorBidi"/>
        </w:rPr>
        <w:t>Not applicable </w:t>
      </w:r>
    </w:p>
    <w:p w:rsidR="00BA2086" w:rsidP="00BA2086" w14:paraId="271AE5E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P="00BA2086" w14:paraId="4DF235F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12. Provide estimates of the hour burden of the collection of information. The statement should: </w:t>
      </w:r>
      <w:r>
        <w:rPr>
          <w:rStyle w:val="eop"/>
          <w:rFonts w:ascii="Arial" w:hAnsi="Arial" w:cs="Arial"/>
        </w:rPr>
        <w:t> </w:t>
      </w:r>
    </w:p>
    <w:p w:rsidR="00BA2086" w:rsidP="00BA2086" w14:paraId="600D324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P="63917C60" w14:paraId="754E96B2" w14:textId="77777777">
      <w:pPr>
        <w:pStyle w:val="paragraph"/>
        <w:spacing w:before="0" w:beforeAutospacing="0" w:after="0" w:afterAutospacing="0"/>
        <w:textAlignment w:val="baseline"/>
        <w:rPr>
          <w:rFonts w:ascii="Segoe UI" w:hAnsi="Segoe UI" w:cs="Segoe UI"/>
          <w:sz w:val="18"/>
          <w:szCs w:val="18"/>
        </w:rPr>
      </w:pPr>
      <w:r w:rsidRPr="63917C60">
        <w:rPr>
          <w:rStyle w:val="normaltextrun"/>
          <w:rFonts w:ascii="Arial" w:hAnsi="Arial" w:cs="Arial"/>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w:t>
      </w:r>
      <w:r w:rsidRPr="63917C60">
        <w:rPr>
          <w:rStyle w:val="normaltextrun"/>
          <w:rFonts w:ascii="Arial" w:hAnsi="Arial" w:cs="Arial"/>
        </w:rPr>
        <w:t>form</w:t>
      </w:r>
      <w:r w:rsidRPr="63917C60">
        <w:rPr>
          <w:rStyle w:val="normaltextrun"/>
          <w:rFonts w:ascii="Arial" w:hAnsi="Arial" w:cs="Arial"/>
        </w:rPr>
        <w:t xml:space="preserve"> and aggregate the hour burdens. </w:t>
      </w:r>
      <w:r w:rsidRPr="63917C60">
        <w:rPr>
          <w:rStyle w:val="eop"/>
          <w:rFonts w:ascii="Arial" w:hAnsi="Arial" w:cs="Arial"/>
        </w:rPr>
        <w:t> </w:t>
      </w:r>
    </w:p>
    <w:p w:rsidR="00BA2086" w:rsidP="63917C60" w14:paraId="62F820C0" w14:textId="77777777">
      <w:pPr>
        <w:pStyle w:val="paragraph"/>
        <w:spacing w:before="0" w:beforeAutospacing="0" w:after="0" w:afterAutospacing="0"/>
        <w:textAlignment w:val="baseline"/>
        <w:rPr>
          <w:rStyle w:val="eop"/>
          <w:rFonts w:ascii="Arial" w:hAnsi="Arial" w:cs="Arial"/>
        </w:rPr>
      </w:pPr>
      <w:r w:rsidRPr="63917C60">
        <w:rPr>
          <w:rStyle w:val="normaltextrun"/>
          <w:rFonts w:ascii="Arial" w:hAnsi="Arial" w:cs="Arial"/>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r w:rsidRPr="63917C60">
        <w:rPr>
          <w:rStyle w:val="eop"/>
          <w:rFonts w:ascii="Arial" w:hAnsi="Arial" w:cs="Arial"/>
        </w:rPr>
        <w:t> </w:t>
      </w:r>
    </w:p>
    <w:p w:rsidR="63917C60" w:rsidP="63917C60" w14:paraId="5F07A2E7" w14:textId="4CA4D0F5">
      <w:pPr>
        <w:pStyle w:val="paragraph"/>
        <w:spacing w:before="0" w:beforeAutospacing="0" w:after="0" w:afterAutospacing="0"/>
        <w:rPr>
          <w:rStyle w:val="eop"/>
          <w:highlight w:val="yellow"/>
        </w:rPr>
      </w:pPr>
    </w:p>
    <w:p w:rsidR="63917C60" w:rsidRPr="00464690" w:rsidP="63917C60" w14:paraId="5BABDF28" w14:textId="0B363AEA">
      <w:pPr>
        <w:pStyle w:val="paragraph"/>
        <w:spacing w:before="0" w:beforeAutospacing="0" w:after="0" w:afterAutospacing="0"/>
        <w:rPr>
          <w:rStyle w:val="eop"/>
          <w:rFonts w:asciiTheme="minorHAnsi" w:hAnsiTheme="minorHAnsi" w:cstheme="minorHAnsi"/>
          <w:highlight w:val="yellow"/>
        </w:rPr>
      </w:pPr>
      <w:r w:rsidRPr="63917C60">
        <w:rPr>
          <w:rStyle w:val="eop"/>
          <w:rFonts w:asciiTheme="minorHAnsi" w:eastAsiaTheme="minorEastAsia" w:hAnsiTheme="minorHAnsi" w:cstheme="minorBidi"/>
        </w:rPr>
        <w:t>FMC assumes a respondent universe of 70 vessel-operating common carriers, based on data sources on vessels operated and containers carried over the past year obtained from PIERS (</w:t>
      </w:r>
      <w:hyperlink r:id="rId11">
        <w:r w:rsidRPr="63917C60">
          <w:rPr>
            <w:rStyle w:val="Hyperlink"/>
            <w:rFonts w:asciiTheme="minorHAnsi" w:eastAsiaTheme="minorEastAsia" w:hAnsiTheme="minorHAnsi" w:cstheme="minorBidi"/>
          </w:rPr>
          <w:t>https://ihsmarkit.com/products/piers.html</w:t>
        </w:r>
      </w:hyperlink>
      <w:r w:rsidRPr="63917C60">
        <w:rPr>
          <w:rStyle w:val="eop"/>
          <w:rFonts w:asciiTheme="minorHAnsi" w:eastAsiaTheme="minorEastAsia" w:hAnsiTheme="minorHAnsi" w:cstheme="minorBidi"/>
        </w:rPr>
        <w:t xml:space="preserve">) and </w:t>
      </w:r>
      <w:r w:rsidRPr="63917C60">
        <w:rPr>
          <w:rStyle w:val="eop"/>
          <w:rFonts w:asciiTheme="minorHAnsi" w:eastAsiaTheme="minorEastAsia" w:hAnsiTheme="minorHAnsi" w:cstheme="minorBidi"/>
        </w:rPr>
        <w:t>Alphaliner</w:t>
      </w:r>
      <w:r w:rsidRPr="63917C60">
        <w:rPr>
          <w:rStyle w:val="eop"/>
          <w:rFonts w:asciiTheme="minorHAnsi" w:eastAsiaTheme="minorEastAsia" w:hAnsiTheme="minorHAnsi" w:cstheme="minorBidi"/>
        </w:rPr>
        <w:t xml:space="preserve"> (</w:t>
      </w:r>
      <w:hyperlink r:id="rId12">
        <w:r w:rsidRPr="63917C60">
          <w:rPr>
            <w:rStyle w:val="Hyperlink"/>
            <w:rFonts w:asciiTheme="minorHAnsi" w:eastAsiaTheme="minorEastAsia" w:hAnsiTheme="minorHAnsi" w:cstheme="minorBidi"/>
          </w:rPr>
          <w:t>https://public.alphaliner.com/</w:t>
        </w:r>
      </w:hyperlink>
      <w:r w:rsidRPr="63917C60">
        <w:rPr>
          <w:rStyle w:val="eop"/>
          <w:rFonts w:asciiTheme="minorHAnsi" w:eastAsiaTheme="minorEastAsia" w:hAnsiTheme="minorHAnsi" w:cstheme="minorBidi"/>
        </w:rPr>
        <w:t>).</w:t>
      </w:r>
    </w:p>
    <w:p w:rsidR="63917C60" w:rsidP="63917C60" w14:paraId="347D9D66" w14:textId="07E848BD">
      <w:pPr>
        <w:pStyle w:val="paragraph"/>
        <w:spacing w:before="0" w:beforeAutospacing="0" w:after="0" w:afterAutospacing="0"/>
        <w:rPr>
          <w:rStyle w:val="eop"/>
          <w:rFonts w:asciiTheme="minorHAnsi" w:eastAsiaTheme="minorEastAsia" w:hAnsiTheme="minorHAnsi" w:cstheme="minorBidi"/>
        </w:rPr>
      </w:pPr>
    </w:p>
    <w:p w:rsidR="63917C60" w:rsidRPr="00464690" w:rsidP="3F892FE0" w14:paraId="31012AF6" w14:textId="6509D6B9">
      <w:pPr>
        <w:pStyle w:val="paragraph"/>
        <w:spacing w:before="0" w:beforeAutospacing="0" w:after="0" w:afterAutospacing="0"/>
        <w:rPr>
          <w:rStyle w:val="eop"/>
          <w:rFonts w:asciiTheme="minorHAnsi" w:hAnsiTheme="minorHAnsi" w:cstheme="minorHAnsi"/>
          <w:highlight w:val="yellow"/>
        </w:rPr>
      </w:pPr>
      <w:r w:rsidRPr="00D10633">
        <w:rPr>
          <w:rStyle w:val="eop"/>
          <w:rFonts w:asciiTheme="minorHAnsi" w:eastAsiaTheme="minorEastAsia" w:hAnsiTheme="minorHAnsi" w:cstheme="minorBidi"/>
        </w:rPr>
        <w:t>B</w:t>
      </w:r>
      <w:r w:rsidRPr="00D10633">
        <w:rPr>
          <w:rStyle w:val="eop"/>
          <w:rFonts w:asciiTheme="minorHAnsi" w:eastAsiaTheme="minorEastAsia" w:hAnsiTheme="minorHAnsi" w:cstheme="minorBidi"/>
        </w:rPr>
        <w:t xml:space="preserve">urden is estimated at </w:t>
      </w:r>
      <w:r w:rsidRPr="00D10633" w:rsidR="00AA44DF">
        <w:rPr>
          <w:rStyle w:val="eop"/>
          <w:rFonts w:asciiTheme="minorHAnsi" w:eastAsiaTheme="minorEastAsia" w:hAnsiTheme="minorHAnsi" w:cstheme="minorBidi"/>
        </w:rPr>
        <w:t>6.67</w:t>
      </w:r>
      <w:r w:rsidRPr="00D10633">
        <w:rPr>
          <w:rStyle w:val="eop"/>
          <w:rFonts w:asciiTheme="minorHAnsi" w:eastAsiaTheme="minorEastAsia" w:hAnsiTheme="minorHAnsi" w:cstheme="minorBidi"/>
        </w:rPr>
        <w:t xml:space="preserve"> hours </w:t>
      </w:r>
      <w:r w:rsidR="00992509">
        <w:rPr>
          <w:rStyle w:val="eop"/>
          <w:rFonts w:asciiTheme="minorHAnsi" w:eastAsiaTheme="minorEastAsia" w:hAnsiTheme="minorHAnsi" w:cstheme="minorBidi"/>
        </w:rPr>
        <w:t>(</w:t>
      </w:r>
      <w:r w:rsidR="00F324D9">
        <w:rPr>
          <w:rStyle w:val="eop"/>
          <w:rFonts w:asciiTheme="minorHAnsi" w:eastAsiaTheme="minorEastAsia" w:hAnsiTheme="minorHAnsi" w:cstheme="minorBidi"/>
        </w:rPr>
        <w:t>6 hours, 20</w:t>
      </w:r>
      <w:r w:rsidR="00992509">
        <w:rPr>
          <w:rStyle w:val="eop"/>
          <w:rFonts w:asciiTheme="minorHAnsi" w:eastAsiaTheme="minorEastAsia" w:hAnsiTheme="minorHAnsi" w:cstheme="minorBidi"/>
        </w:rPr>
        <w:t xml:space="preserve"> minutes) </w:t>
      </w:r>
      <w:r w:rsidRPr="00D10633">
        <w:rPr>
          <w:rStyle w:val="eop"/>
          <w:rFonts w:asciiTheme="minorHAnsi" w:eastAsiaTheme="minorEastAsia" w:hAnsiTheme="minorHAnsi" w:cstheme="minorBidi"/>
        </w:rPr>
        <w:t xml:space="preserve">per </w:t>
      </w:r>
      <w:r w:rsidRPr="00D10633" w:rsidR="00AA44DF">
        <w:rPr>
          <w:rStyle w:val="eop"/>
          <w:rFonts w:asciiTheme="minorHAnsi" w:eastAsiaTheme="minorEastAsia" w:hAnsiTheme="minorHAnsi" w:cstheme="minorBidi"/>
        </w:rPr>
        <w:t>response</w:t>
      </w:r>
      <w:r w:rsidRPr="00D10633" w:rsidR="00BB0845">
        <w:rPr>
          <w:rStyle w:val="eop"/>
          <w:rFonts w:asciiTheme="minorHAnsi" w:eastAsiaTheme="minorEastAsia" w:hAnsiTheme="minorHAnsi" w:cstheme="minorBidi"/>
        </w:rPr>
        <w:t xml:space="preserve"> (which would total 80 hours per year per carrier</w:t>
      </w:r>
      <w:r w:rsidRPr="00D10633" w:rsidR="00B527E5">
        <w:rPr>
          <w:rStyle w:val="eop"/>
          <w:rFonts w:asciiTheme="minorHAnsi" w:eastAsiaTheme="minorEastAsia" w:hAnsiTheme="minorHAnsi" w:cstheme="minorBidi"/>
        </w:rPr>
        <w:t xml:space="preserve"> under monthly reporting</w:t>
      </w:r>
      <w:r w:rsidRPr="00D10633" w:rsidR="00BB0845">
        <w:rPr>
          <w:rStyle w:val="eop"/>
          <w:rFonts w:asciiTheme="minorHAnsi" w:eastAsiaTheme="minorEastAsia" w:hAnsiTheme="minorHAnsi" w:cstheme="minorBidi"/>
        </w:rPr>
        <w:t>)</w:t>
      </w:r>
      <w:r w:rsidRPr="00D10633">
        <w:rPr>
          <w:rStyle w:val="eop"/>
          <w:rFonts w:asciiTheme="minorHAnsi" w:eastAsiaTheme="minorEastAsia" w:hAnsiTheme="minorHAnsi" w:cstheme="minorBidi"/>
        </w:rPr>
        <w:t>.</w:t>
      </w:r>
      <w:r>
        <w:rPr>
          <w:rStyle w:val="FootnoteReference"/>
          <w:rFonts w:asciiTheme="minorHAnsi" w:eastAsiaTheme="minorEastAsia" w:hAnsiTheme="minorHAnsi" w:cstheme="minorBidi"/>
        </w:rPr>
        <w:footnoteReference w:id="3"/>
      </w:r>
      <w:r w:rsidRPr="00DF0961">
        <w:rPr>
          <w:rStyle w:val="eop"/>
          <w:rFonts w:asciiTheme="minorHAnsi" w:eastAsiaTheme="minorEastAsia" w:hAnsiTheme="minorHAnsi" w:cstheme="minorBidi"/>
        </w:rPr>
        <w:t xml:space="preserve"> This</w:t>
      </w:r>
      <w:r w:rsidRPr="3F892FE0">
        <w:rPr>
          <w:rStyle w:val="eop"/>
          <w:rFonts w:asciiTheme="minorHAnsi" w:eastAsiaTheme="minorEastAsia" w:hAnsiTheme="minorHAnsi" w:cstheme="minorBidi"/>
        </w:rPr>
        <w:t xml:space="preserve"> is based on FMC burden estimates for comparable levels of data collection in other programs, including Part 535. As </w:t>
      </w:r>
      <w:r w:rsidRPr="3F892FE0" w:rsidR="07F0C4D0">
        <w:rPr>
          <w:rStyle w:val="eop"/>
          <w:rFonts w:asciiTheme="minorHAnsi" w:eastAsiaTheme="minorEastAsia" w:hAnsiTheme="minorHAnsi" w:cstheme="minorBidi"/>
        </w:rPr>
        <w:t xml:space="preserve">the </w:t>
      </w:r>
      <w:r w:rsidRPr="3F892FE0">
        <w:rPr>
          <w:rStyle w:val="eop"/>
          <w:rFonts w:asciiTheme="minorHAnsi" w:eastAsiaTheme="minorEastAsia" w:hAnsiTheme="minorHAnsi" w:cstheme="minorBidi"/>
        </w:rPr>
        <w:t>FMC believes the bulk of the collected data resides in existing systems, we assume 80% of the burden hours involve staff working with IT systems and the remaining 20% will involve management review and approval of the data submission.</w:t>
      </w:r>
      <w:r>
        <w:rPr>
          <w:rStyle w:val="eop"/>
          <w:rFonts w:asciiTheme="minorHAnsi" w:eastAsiaTheme="minorEastAsia" w:hAnsiTheme="minorHAnsi" w:cstheme="minorBidi"/>
        </w:rPr>
        <w:t xml:space="preserve"> Total burden is estimated at 5,600 hours per year.</w:t>
      </w:r>
    </w:p>
    <w:p w:rsidR="63917C60" w:rsidP="63917C60" w14:paraId="295E3B96" w14:textId="7A735AC3">
      <w:pPr>
        <w:pStyle w:val="paragraph"/>
        <w:spacing w:before="0" w:beforeAutospacing="0" w:after="0" w:afterAutospacing="0"/>
        <w:rPr>
          <w:rStyle w:val="eop"/>
          <w:rFonts w:asciiTheme="minorHAnsi" w:eastAsiaTheme="minorEastAsia" w:hAnsiTheme="minorHAnsi" w:cstheme="minorBidi"/>
        </w:rPr>
      </w:pPr>
    </w:p>
    <w:p w:rsidR="63917C60" w:rsidRPr="00464690" w:rsidP="63917C60" w14:paraId="60BEEAFB" w14:textId="587A26A7">
      <w:pPr>
        <w:pStyle w:val="paragraph"/>
        <w:spacing w:before="0" w:beforeAutospacing="0" w:after="0" w:afterAutospacing="0"/>
        <w:rPr>
          <w:rStyle w:val="eop"/>
          <w:rFonts w:asciiTheme="minorHAnsi" w:hAnsiTheme="minorHAnsi" w:cstheme="minorHAnsi"/>
          <w:highlight w:val="yellow"/>
        </w:rPr>
      </w:pPr>
      <w:r w:rsidRPr="63917C60">
        <w:rPr>
          <w:rStyle w:val="eop"/>
          <w:rFonts w:asciiTheme="minorHAnsi" w:eastAsiaTheme="minorEastAsia" w:hAnsiTheme="minorHAnsi" w:cstheme="minorBidi"/>
        </w:rPr>
        <w:t>We use the most recent Occupational Employment and Wage Statistics (</w:t>
      </w:r>
      <w:hyperlink r:id="rId13">
        <w:r w:rsidRPr="63917C60">
          <w:rPr>
            <w:rStyle w:val="Hyperlink"/>
            <w:rFonts w:asciiTheme="minorHAnsi" w:eastAsiaTheme="minorEastAsia" w:hAnsiTheme="minorHAnsi" w:cstheme="minorBidi"/>
          </w:rPr>
          <w:t>https://www.bls.gov/oes/</w:t>
        </w:r>
      </w:hyperlink>
      <w:r w:rsidRPr="63917C60">
        <w:rPr>
          <w:rStyle w:val="eop"/>
          <w:rFonts w:asciiTheme="minorHAnsi" w:eastAsiaTheme="minorEastAsia" w:hAnsiTheme="minorHAnsi" w:cstheme="minorBidi"/>
        </w:rPr>
        <w:t>) as the basis for the hourly wage estimates and select occupational codes most related to the functions identified above. Overhead is assumed to be 1</w:t>
      </w:r>
      <w:r w:rsidR="009B32A3">
        <w:rPr>
          <w:rStyle w:val="eop"/>
          <w:rFonts w:asciiTheme="minorHAnsi" w:eastAsiaTheme="minorEastAsia" w:hAnsiTheme="minorHAnsi" w:cstheme="minorBidi"/>
        </w:rPr>
        <w:t>02.93</w:t>
      </w:r>
      <w:r w:rsidRPr="63917C60">
        <w:rPr>
          <w:rStyle w:val="eop"/>
          <w:rFonts w:asciiTheme="minorHAnsi" w:eastAsiaTheme="minorEastAsia" w:hAnsiTheme="minorHAnsi" w:cstheme="minorBidi"/>
        </w:rPr>
        <w:t xml:space="preserve">%. </w:t>
      </w:r>
    </w:p>
    <w:p w:rsidR="00BA2086" w:rsidP="63917C60" w14:paraId="640D49C7" w14:textId="77777777">
      <w:pPr>
        <w:pStyle w:val="paragraph"/>
        <w:spacing w:before="0" w:beforeAutospacing="0" w:after="0" w:afterAutospacing="0"/>
        <w:textAlignment w:val="baseline"/>
        <w:rPr>
          <w:rFonts w:ascii="Segoe UI" w:hAnsi="Segoe UI" w:cs="Segoe UI"/>
          <w:sz w:val="18"/>
          <w:szCs w:val="18"/>
        </w:rPr>
      </w:pPr>
      <w:r w:rsidRPr="63917C60">
        <w:rPr>
          <w:rStyle w:val="eop"/>
          <w:rFonts w:ascii="Arial" w:hAnsi="Arial" w:cs="Arial"/>
        </w:rPr>
        <w:t> </w:t>
      </w:r>
    </w:p>
    <w:tbl>
      <w:tblPr>
        <w:tblStyle w:val="GridTableLight"/>
        <w:tblW w:w="0" w:type="auto"/>
        <w:tblLayout w:type="fixed"/>
        <w:tblLook w:val="06A0"/>
      </w:tblPr>
      <w:tblGrid>
        <w:gridCol w:w="2025"/>
        <w:gridCol w:w="2055"/>
        <w:gridCol w:w="1770"/>
        <w:gridCol w:w="1275"/>
        <w:gridCol w:w="1515"/>
      </w:tblGrid>
      <w:tr w14:paraId="419663D2" w14:textId="77777777" w:rsidTr="63917C60">
        <w:tblPrEx>
          <w:tblW w:w="0" w:type="auto"/>
          <w:tblLayout w:type="fixed"/>
          <w:tblLook w:val="06A0"/>
        </w:tblPrEx>
        <w:trPr>
          <w:trHeight w:val="750"/>
        </w:trPr>
        <w:tc>
          <w:tcPr>
            <w:tcW w:w="2025" w:type="dxa"/>
          </w:tcPr>
          <w:p w:rsidR="63917C60" w14:paraId="3DFF2254" w14:textId="0524D1B9">
            <w:r w:rsidRPr="63917C60">
              <w:rPr>
                <w:rFonts w:ascii="Calibri" w:eastAsia="Calibri" w:hAnsi="Calibri" w:cs="Calibri"/>
                <w:color w:val="000000" w:themeColor="text1"/>
              </w:rPr>
              <w:t>Title (and SOC)</w:t>
            </w:r>
          </w:p>
        </w:tc>
        <w:tc>
          <w:tcPr>
            <w:tcW w:w="2055" w:type="dxa"/>
          </w:tcPr>
          <w:p w:rsidR="63917C60" w14:paraId="76521646" w14:textId="28CB0A4F">
            <w:r w:rsidRPr="63917C60">
              <w:rPr>
                <w:rFonts w:ascii="Calibri" w:eastAsia="Calibri" w:hAnsi="Calibri" w:cs="Calibri"/>
                <w:color w:val="000000" w:themeColor="text1"/>
              </w:rPr>
              <w:t>OEWS hourly wage estimate, 2021</w:t>
            </w:r>
          </w:p>
        </w:tc>
        <w:tc>
          <w:tcPr>
            <w:tcW w:w="1770" w:type="dxa"/>
          </w:tcPr>
          <w:p w:rsidR="63917C60" w14:paraId="03CDD84C" w14:textId="4CDBE843">
            <w:r w:rsidRPr="63917C60">
              <w:rPr>
                <w:rFonts w:ascii="Calibri" w:eastAsia="Calibri" w:hAnsi="Calibri" w:cs="Calibri"/>
                <w:color w:val="000000" w:themeColor="text1"/>
              </w:rPr>
              <w:t>with overhead</w:t>
            </w:r>
          </w:p>
        </w:tc>
        <w:tc>
          <w:tcPr>
            <w:tcW w:w="1275" w:type="dxa"/>
          </w:tcPr>
          <w:p w:rsidR="63917C60" w14:paraId="5955CA40" w14:textId="473BA9A8">
            <w:r w:rsidRPr="63917C60">
              <w:rPr>
                <w:rFonts w:ascii="Calibri" w:eastAsia="Calibri" w:hAnsi="Calibri" w:cs="Calibri"/>
                <w:color w:val="000000" w:themeColor="text1"/>
              </w:rPr>
              <w:t>assumed hours</w:t>
            </w:r>
          </w:p>
        </w:tc>
        <w:tc>
          <w:tcPr>
            <w:tcW w:w="1515" w:type="dxa"/>
          </w:tcPr>
          <w:p w:rsidR="63917C60" w14:paraId="140BCC73" w14:textId="18A0C251">
            <w:r w:rsidRPr="63917C60">
              <w:rPr>
                <w:rFonts w:ascii="Calibri" w:eastAsia="Calibri" w:hAnsi="Calibri" w:cs="Calibri"/>
                <w:color w:val="000000" w:themeColor="text1"/>
              </w:rPr>
              <w:t>total</w:t>
            </w:r>
          </w:p>
        </w:tc>
      </w:tr>
      <w:tr w14:paraId="6D02F38E" w14:textId="77777777" w:rsidTr="63917C60">
        <w:tblPrEx>
          <w:tblW w:w="0" w:type="auto"/>
          <w:tblLayout w:type="fixed"/>
          <w:tblLook w:val="06A0"/>
        </w:tblPrEx>
        <w:trPr>
          <w:trHeight w:val="285"/>
        </w:trPr>
        <w:tc>
          <w:tcPr>
            <w:tcW w:w="2025" w:type="dxa"/>
          </w:tcPr>
          <w:p w:rsidR="63917C60" w14:paraId="4950651B" w14:textId="65CD76F6">
            <w:r w:rsidRPr="63917C60">
              <w:rPr>
                <w:rFonts w:ascii="Calibri" w:eastAsia="Calibri" w:hAnsi="Calibri" w:cs="Calibri"/>
                <w:color w:val="000000" w:themeColor="text1"/>
              </w:rPr>
              <w:t>Manager (11-1021)</w:t>
            </w:r>
          </w:p>
        </w:tc>
        <w:tc>
          <w:tcPr>
            <w:tcW w:w="2055" w:type="dxa"/>
          </w:tcPr>
          <w:p w:rsidR="63917C60" w14:paraId="7A3143B2" w14:textId="5FE27B69">
            <w:r w:rsidRPr="63917C60">
              <w:rPr>
                <w:rFonts w:ascii="Calibri" w:eastAsia="Calibri" w:hAnsi="Calibri" w:cs="Calibri"/>
                <w:color w:val="000000" w:themeColor="text1"/>
              </w:rPr>
              <w:t xml:space="preserve"> $55.41 </w:t>
            </w:r>
          </w:p>
        </w:tc>
        <w:tc>
          <w:tcPr>
            <w:tcW w:w="1770" w:type="dxa"/>
          </w:tcPr>
          <w:p w:rsidR="63917C60" w14:paraId="0949327A" w14:textId="22162F50">
            <w:r w:rsidRPr="63917C60">
              <w:rPr>
                <w:rFonts w:ascii="Calibri" w:eastAsia="Calibri" w:hAnsi="Calibri" w:cs="Calibri"/>
                <w:color w:val="000000" w:themeColor="text1"/>
              </w:rPr>
              <w:t xml:space="preserve"> $11</w:t>
            </w:r>
            <w:r w:rsidR="000D7AB2">
              <w:rPr>
                <w:rFonts w:ascii="Calibri" w:eastAsia="Calibri" w:hAnsi="Calibri" w:cs="Calibri"/>
                <w:color w:val="000000" w:themeColor="text1"/>
              </w:rPr>
              <w:t>2.44</w:t>
            </w:r>
            <w:r w:rsidRPr="63917C60">
              <w:rPr>
                <w:rFonts w:ascii="Calibri" w:eastAsia="Calibri" w:hAnsi="Calibri" w:cs="Calibri"/>
                <w:color w:val="000000" w:themeColor="text1"/>
              </w:rPr>
              <w:t xml:space="preserve"> </w:t>
            </w:r>
          </w:p>
        </w:tc>
        <w:tc>
          <w:tcPr>
            <w:tcW w:w="1275" w:type="dxa"/>
          </w:tcPr>
          <w:p w:rsidR="63917C60" w14:paraId="36866A1F" w14:textId="08676B69">
            <w:r w:rsidRPr="63917C60">
              <w:rPr>
                <w:rFonts w:ascii="Calibri" w:eastAsia="Calibri" w:hAnsi="Calibri" w:cs="Calibri"/>
                <w:color w:val="000000" w:themeColor="text1"/>
              </w:rPr>
              <w:t>1,120</w:t>
            </w:r>
          </w:p>
        </w:tc>
        <w:tc>
          <w:tcPr>
            <w:tcW w:w="1515" w:type="dxa"/>
          </w:tcPr>
          <w:p w:rsidR="63917C60" w14:paraId="52159840" w14:textId="3ABC5505">
            <w:r w:rsidRPr="63917C60">
              <w:rPr>
                <w:rFonts w:ascii="Calibri" w:eastAsia="Calibri" w:hAnsi="Calibri" w:cs="Calibri"/>
                <w:color w:val="000000" w:themeColor="text1"/>
              </w:rPr>
              <w:t xml:space="preserve"> $1</w:t>
            </w:r>
            <w:r w:rsidR="000D7AB2">
              <w:rPr>
                <w:rFonts w:ascii="Calibri" w:eastAsia="Calibri" w:hAnsi="Calibri" w:cs="Calibri"/>
                <w:color w:val="000000" w:themeColor="text1"/>
              </w:rPr>
              <w:t>25,93</w:t>
            </w:r>
            <w:r w:rsidR="005D0659">
              <w:rPr>
                <w:rFonts w:ascii="Calibri" w:eastAsia="Calibri" w:hAnsi="Calibri" w:cs="Calibri"/>
                <w:color w:val="000000" w:themeColor="text1"/>
              </w:rPr>
              <w:t>2.80</w:t>
            </w:r>
            <w:r w:rsidRPr="63917C60">
              <w:rPr>
                <w:rFonts w:ascii="Calibri" w:eastAsia="Calibri" w:hAnsi="Calibri" w:cs="Calibri"/>
                <w:color w:val="000000" w:themeColor="text1"/>
              </w:rPr>
              <w:t xml:space="preserve"> </w:t>
            </w:r>
          </w:p>
        </w:tc>
      </w:tr>
      <w:tr w14:paraId="2C336C26" w14:textId="77777777" w:rsidTr="63917C60">
        <w:tblPrEx>
          <w:tblW w:w="0" w:type="auto"/>
          <w:tblLayout w:type="fixed"/>
          <w:tblLook w:val="06A0"/>
        </w:tblPrEx>
        <w:trPr>
          <w:trHeight w:val="285"/>
        </w:trPr>
        <w:tc>
          <w:tcPr>
            <w:tcW w:w="2025" w:type="dxa"/>
          </w:tcPr>
          <w:p w:rsidR="63917C60" w14:paraId="5796F1D8" w14:textId="5A568A3D">
            <w:r w:rsidRPr="63917C60">
              <w:rPr>
                <w:rFonts w:ascii="Calibri" w:eastAsia="Calibri" w:hAnsi="Calibri" w:cs="Calibri"/>
                <w:color w:val="000000" w:themeColor="text1"/>
              </w:rPr>
              <w:t>Computer Systems Analyst (11-3021)</w:t>
            </w:r>
          </w:p>
        </w:tc>
        <w:tc>
          <w:tcPr>
            <w:tcW w:w="2055" w:type="dxa"/>
          </w:tcPr>
          <w:p w:rsidR="63917C60" w14:paraId="3AC16815" w14:textId="185DD3BF">
            <w:r w:rsidRPr="63917C60">
              <w:rPr>
                <w:rFonts w:ascii="Calibri" w:eastAsia="Calibri" w:hAnsi="Calibri" w:cs="Calibri"/>
                <w:color w:val="000000" w:themeColor="text1"/>
              </w:rPr>
              <w:t xml:space="preserve"> $49.14 </w:t>
            </w:r>
          </w:p>
        </w:tc>
        <w:tc>
          <w:tcPr>
            <w:tcW w:w="1770" w:type="dxa"/>
          </w:tcPr>
          <w:p w:rsidR="63917C60" w14:paraId="47899922" w14:textId="65A4377A">
            <w:r w:rsidRPr="63917C60">
              <w:rPr>
                <w:rFonts w:ascii="Calibri" w:eastAsia="Calibri" w:hAnsi="Calibri" w:cs="Calibri"/>
                <w:color w:val="000000" w:themeColor="text1"/>
              </w:rPr>
              <w:t xml:space="preserve"> $</w:t>
            </w:r>
            <w:r w:rsidR="000D7AB2">
              <w:rPr>
                <w:rFonts w:ascii="Calibri" w:eastAsia="Calibri" w:hAnsi="Calibri" w:cs="Calibri"/>
                <w:color w:val="000000" w:themeColor="text1"/>
              </w:rPr>
              <w:t>99.72</w:t>
            </w:r>
            <w:r w:rsidRPr="63917C60">
              <w:rPr>
                <w:rFonts w:ascii="Calibri" w:eastAsia="Calibri" w:hAnsi="Calibri" w:cs="Calibri"/>
                <w:color w:val="000000" w:themeColor="text1"/>
              </w:rPr>
              <w:t xml:space="preserve"> </w:t>
            </w:r>
          </w:p>
        </w:tc>
        <w:tc>
          <w:tcPr>
            <w:tcW w:w="1275" w:type="dxa"/>
          </w:tcPr>
          <w:p w:rsidR="63917C60" w14:paraId="4111AB48" w14:textId="02CA1D00">
            <w:r w:rsidRPr="63917C60">
              <w:rPr>
                <w:rFonts w:ascii="Calibri" w:eastAsia="Calibri" w:hAnsi="Calibri" w:cs="Calibri"/>
                <w:color w:val="000000" w:themeColor="text1"/>
              </w:rPr>
              <w:t>4,480</w:t>
            </w:r>
          </w:p>
        </w:tc>
        <w:tc>
          <w:tcPr>
            <w:tcW w:w="1515" w:type="dxa"/>
          </w:tcPr>
          <w:p w:rsidR="63917C60" w14:paraId="4C0785A0" w14:textId="66166BD1">
            <w:r w:rsidRPr="63917C60">
              <w:rPr>
                <w:rFonts w:ascii="Calibri" w:eastAsia="Calibri" w:hAnsi="Calibri" w:cs="Calibri"/>
                <w:color w:val="000000" w:themeColor="text1"/>
              </w:rPr>
              <w:t xml:space="preserve"> $4</w:t>
            </w:r>
            <w:r w:rsidR="000D7AB2">
              <w:rPr>
                <w:rFonts w:ascii="Calibri" w:eastAsia="Calibri" w:hAnsi="Calibri" w:cs="Calibri"/>
                <w:color w:val="000000" w:themeColor="text1"/>
              </w:rPr>
              <w:t>46,74</w:t>
            </w:r>
            <w:r w:rsidR="00A92749">
              <w:rPr>
                <w:rFonts w:ascii="Calibri" w:eastAsia="Calibri" w:hAnsi="Calibri" w:cs="Calibri"/>
                <w:color w:val="000000" w:themeColor="text1"/>
              </w:rPr>
              <w:t>5.60</w:t>
            </w:r>
            <w:r w:rsidRPr="63917C60">
              <w:rPr>
                <w:rFonts w:ascii="Calibri" w:eastAsia="Calibri" w:hAnsi="Calibri" w:cs="Calibri"/>
                <w:color w:val="000000" w:themeColor="text1"/>
              </w:rPr>
              <w:t xml:space="preserve"> </w:t>
            </w:r>
          </w:p>
        </w:tc>
      </w:tr>
      <w:tr w14:paraId="6EB6575F" w14:textId="77777777" w:rsidTr="63917C60">
        <w:tblPrEx>
          <w:tblW w:w="0" w:type="auto"/>
          <w:tblLayout w:type="fixed"/>
          <w:tblLook w:val="06A0"/>
        </w:tblPrEx>
        <w:trPr>
          <w:trHeight w:val="285"/>
        </w:trPr>
        <w:tc>
          <w:tcPr>
            <w:tcW w:w="2025" w:type="dxa"/>
          </w:tcPr>
          <w:p w:rsidR="63917C60" w14:paraId="330D5B99" w14:textId="3F5B922A"/>
        </w:tc>
        <w:tc>
          <w:tcPr>
            <w:tcW w:w="2055" w:type="dxa"/>
          </w:tcPr>
          <w:p w:rsidR="63917C60" w14:paraId="114A46ED" w14:textId="14809540"/>
        </w:tc>
        <w:tc>
          <w:tcPr>
            <w:tcW w:w="1770" w:type="dxa"/>
          </w:tcPr>
          <w:p w:rsidR="63917C60" w14:paraId="16056E37" w14:textId="3D843E65"/>
        </w:tc>
        <w:tc>
          <w:tcPr>
            <w:tcW w:w="1275" w:type="dxa"/>
          </w:tcPr>
          <w:p w:rsidR="63917C60" w14:paraId="6217B7D2" w14:textId="1FA4B9DF">
            <w:r>
              <w:t>5,600</w:t>
            </w:r>
          </w:p>
        </w:tc>
        <w:tc>
          <w:tcPr>
            <w:tcW w:w="1515" w:type="dxa"/>
          </w:tcPr>
          <w:p w:rsidR="63917C60" w14:paraId="18D0B752" w14:textId="05332A50">
            <w:r w:rsidRPr="63917C60">
              <w:rPr>
                <w:rFonts w:ascii="Calibri" w:eastAsia="Calibri" w:hAnsi="Calibri" w:cs="Calibri"/>
                <w:color w:val="000000" w:themeColor="text1"/>
              </w:rPr>
              <w:t xml:space="preserve"> $</w:t>
            </w:r>
            <w:r w:rsidR="000D7AB2">
              <w:rPr>
                <w:rFonts w:ascii="Calibri" w:eastAsia="Calibri" w:hAnsi="Calibri" w:cs="Calibri"/>
                <w:color w:val="000000" w:themeColor="text1"/>
              </w:rPr>
              <w:t>572,6</w:t>
            </w:r>
            <w:r w:rsidR="00A92749">
              <w:rPr>
                <w:rFonts w:ascii="Calibri" w:eastAsia="Calibri" w:hAnsi="Calibri" w:cs="Calibri"/>
                <w:color w:val="000000" w:themeColor="text1"/>
              </w:rPr>
              <w:t>78.40</w:t>
            </w:r>
          </w:p>
        </w:tc>
      </w:tr>
    </w:tbl>
    <w:p w:rsidR="63917C60" w:rsidP="63917C60" w14:paraId="43E71A3B" w14:textId="2CA7C745">
      <w:pPr>
        <w:pStyle w:val="paragraph"/>
        <w:spacing w:before="0" w:beforeAutospacing="0" w:after="0" w:afterAutospacing="0"/>
        <w:rPr>
          <w:rStyle w:val="eop"/>
          <w:rFonts w:asciiTheme="minorHAnsi" w:eastAsiaTheme="minorEastAsia" w:hAnsiTheme="minorHAnsi" w:cstheme="minorBidi"/>
        </w:rPr>
      </w:pPr>
    </w:p>
    <w:p w:rsidR="63917C60" w:rsidP="63917C60" w14:paraId="229CBCE3" w14:textId="16EAFC6E">
      <w:pPr>
        <w:pStyle w:val="paragraph"/>
        <w:spacing w:before="0" w:beforeAutospacing="0" w:after="0" w:afterAutospacing="0"/>
        <w:rPr>
          <w:rStyle w:val="eop"/>
          <w:rFonts w:asciiTheme="minorHAnsi" w:eastAsiaTheme="minorEastAsia" w:hAnsiTheme="minorHAnsi" w:cstheme="minorBidi"/>
        </w:rPr>
      </w:pPr>
      <w:r w:rsidRPr="63917C60">
        <w:rPr>
          <w:rStyle w:val="eop"/>
          <w:rFonts w:asciiTheme="minorHAnsi" w:eastAsiaTheme="minorEastAsia" w:hAnsiTheme="minorHAnsi" w:cstheme="minorBidi"/>
        </w:rPr>
        <w:t>Total respondent burden is estimated to be $</w:t>
      </w:r>
      <w:r w:rsidR="000D7AB2">
        <w:rPr>
          <w:rStyle w:val="eop"/>
          <w:rFonts w:asciiTheme="minorHAnsi" w:eastAsiaTheme="minorEastAsia" w:hAnsiTheme="minorHAnsi" w:cstheme="minorBidi"/>
        </w:rPr>
        <w:t>572,6</w:t>
      </w:r>
      <w:r w:rsidR="001652F9">
        <w:rPr>
          <w:rStyle w:val="eop"/>
          <w:rFonts w:asciiTheme="minorHAnsi" w:eastAsiaTheme="minorEastAsia" w:hAnsiTheme="minorHAnsi" w:cstheme="minorBidi"/>
        </w:rPr>
        <w:t>78.40</w:t>
      </w:r>
      <w:r w:rsidRPr="63917C60">
        <w:rPr>
          <w:rStyle w:val="eop"/>
          <w:rFonts w:asciiTheme="minorHAnsi" w:eastAsiaTheme="minorEastAsia" w:hAnsiTheme="minorHAnsi" w:cstheme="minorBidi"/>
        </w:rPr>
        <w:t>.</w:t>
      </w:r>
    </w:p>
    <w:p w:rsidR="63917C60" w:rsidP="63917C60" w14:paraId="0A194248" w14:textId="0441B508">
      <w:pPr>
        <w:pStyle w:val="paragraph"/>
        <w:spacing w:before="0" w:beforeAutospacing="0" w:after="0" w:afterAutospacing="0"/>
        <w:rPr>
          <w:rStyle w:val="eop"/>
        </w:rPr>
      </w:pPr>
    </w:p>
    <w:p w:rsidR="00BA2086" w:rsidP="63917C60" w14:paraId="6CD443F0" w14:textId="77777777">
      <w:pPr>
        <w:pStyle w:val="paragraph"/>
        <w:spacing w:before="0" w:beforeAutospacing="0" w:after="0" w:afterAutospacing="0"/>
        <w:textAlignment w:val="baseline"/>
        <w:rPr>
          <w:rFonts w:ascii="Segoe UI" w:hAnsi="Segoe UI" w:cs="Segoe UI"/>
          <w:sz w:val="18"/>
          <w:szCs w:val="18"/>
        </w:rPr>
      </w:pPr>
      <w:r w:rsidRPr="63917C60">
        <w:rPr>
          <w:rStyle w:val="normaltextrun"/>
          <w:rFonts w:ascii="Arial" w:hAnsi="Arial" w:cs="Arial"/>
        </w:rPr>
        <w:t>13. Provide an estimate for the total annual cost burden to respondents or record keepers resulting from the collection of information. (Do not include the cost of any hour burden already reflected on the burden worksheet).</w:t>
      </w:r>
      <w:r w:rsidRPr="63917C60">
        <w:rPr>
          <w:rStyle w:val="eop"/>
          <w:rFonts w:ascii="Arial" w:hAnsi="Arial" w:cs="Arial"/>
        </w:rPr>
        <w:t> </w:t>
      </w:r>
    </w:p>
    <w:p w:rsidR="00BA2086" w:rsidP="63917C60" w14:paraId="263F3691" w14:textId="77777777">
      <w:pPr>
        <w:pStyle w:val="paragraph"/>
        <w:spacing w:before="0" w:beforeAutospacing="0" w:after="0" w:afterAutospacing="0"/>
        <w:textAlignment w:val="baseline"/>
        <w:rPr>
          <w:rFonts w:ascii="Segoe UI" w:hAnsi="Segoe UI" w:cs="Segoe UI"/>
          <w:sz w:val="18"/>
          <w:szCs w:val="18"/>
        </w:rPr>
      </w:pPr>
      <w:r w:rsidRPr="63917C60">
        <w:rPr>
          <w:rStyle w:val="eop"/>
          <w:rFonts w:ascii="Arial" w:hAnsi="Arial" w:cs="Arial"/>
        </w:rPr>
        <w:t> </w:t>
      </w:r>
    </w:p>
    <w:p w:rsidR="00BA2086" w:rsidP="63917C60" w14:paraId="621D0D33" w14:textId="77777777">
      <w:pPr>
        <w:pStyle w:val="paragraph"/>
        <w:spacing w:before="0" w:beforeAutospacing="0" w:after="0" w:afterAutospacing="0"/>
        <w:textAlignment w:val="baseline"/>
        <w:rPr>
          <w:rFonts w:ascii="Segoe UI" w:hAnsi="Segoe UI" w:cs="Segoe UI"/>
          <w:sz w:val="18"/>
          <w:szCs w:val="18"/>
        </w:rPr>
      </w:pPr>
      <w:r w:rsidRPr="63917C60">
        <w:rPr>
          <w:rStyle w:val="normaltextrun"/>
          <w:rFonts w:ascii="Arial" w:hAnsi="Arial" w:cs="Arial"/>
        </w:rPr>
        <w:t xml:space="preserve">* The cost estimate should be split into two components: (a) a total capital and start-up cost component (annualized over its expected useful life) and (b) a total operation and maintenance and purchase of services component. The estimates should </w:t>
      </w:r>
      <w:r w:rsidRPr="63917C60">
        <w:rPr>
          <w:rStyle w:val="advancedproofingissue"/>
          <w:rFonts w:ascii="Arial" w:hAnsi="Arial" w:cs="Arial"/>
        </w:rPr>
        <w:t>take into account</w:t>
      </w:r>
      <w:r w:rsidRPr="63917C60">
        <w:rPr>
          <w:rStyle w:val="normaltextrun"/>
          <w:rFonts w:ascii="Arial" w:hAnsi="Arial" w:cs="Arial"/>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63917C60">
        <w:rPr>
          <w:rStyle w:val="normaltextrun"/>
          <w:rFonts w:ascii="Arial" w:hAnsi="Arial" w:cs="Arial"/>
        </w:rPr>
        <w:t>time period</w:t>
      </w:r>
      <w:r w:rsidRPr="63917C60">
        <w:rPr>
          <w:rStyle w:val="normaltextrun"/>
          <w:rFonts w:ascii="Arial" w:hAnsi="Arial" w:cs="Arial"/>
        </w:rPr>
        <w:t xml:space="preserve"> over which costs will be incurred. Capital and start-up costs include, among other items, preparations for collecting information such as purchasing computers and software; monitoring, sampling, </w:t>
      </w:r>
      <w:r w:rsidRPr="63917C60">
        <w:rPr>
          <w:rStyle w:val="normaltextrun"/>
          <w:rFonts w:ascii="Arial" w:hAnsi="Arial" w:cs="Arial"/>
        </w:rPr>
        <w:t>drilling</w:t>
      </w:r>
      <w:r w:rsidRPr="63917C60">
        <w:rPr>
          <w:rStyle w:val="normaltextrun"/>
          <w:rFonts w:ascii="Arial" w:hAnsi="Arial" w:cs="Arial"/>
        </w:rPr>
        <w:t xml:space="preserve"> and testing equipment; and record storage facilities. </w:t>
      </w:r>
      <w:r w:rsidRPr="63917C60">
        <w:rPr>
          <w:rStyle w:val="eop"/>
          <w:rFonts w:ascii="Arial" w:hAnsi="Arial" w:cs="Arial"/>
        </w:rPr>
        <w:t> </w:t>
      </w:r>
    </w:p>
    <w:p w:rsidR="00BA2086" w:rsidP="63917C60" w14:paraId="0F904408" w14:textId="77777777">
      <w:pPr>
        <w:pStyle w:val="paragraph"/>
        <w:spacing w:before="0" w:beforeAutospacing="0" w:after="0" w:afterAutospacing="0"/>
        <w:textAlignment w:val="baseline"/>
        <w:rPr>
          <w:rFonts w:ascii="Segoe UI" w:hAnsi="Segoe UI" w:cs="Segoe UI"/>
          <w:sz w:val="18"/>
          <w:szCs w:val="18"/>
        </w:rPr>
      </w:pPr>
      <w:r w:rsidRPr="63917C60">
        <w:rPr>
          <w:rStyle w:val="eop"/>
          <w:rFonts w:ascii="Arial" w:hAnsi="Arial" w:cs="Arial"/>
        </w:rPr>
        <w:t> </w:t>
      </w:r>
    </w:p>
    <w:p w:rsidR="00BA2086" w:rsidP="63917C60" w14:paraId="2C8EACF7" w14:textId="77777777">
      <w:pPr>
        <w:pStyle w:val="paragraph"/>
        <w:spacing w:before="0" w:beforeAutospacing="0" w:after="0" w:afterAutospacing="0"/>
        <w:textAlignment w:val="baseline"/>
        <w:rPr>
          <w:rFonts w:ascii="Segoe UI" w:hAnsi="Segoe UI" w:cs="Segoe UI"/>
          <w:sz w:val="18"/>
          <w:szCs w:val="18"/>
        </w:rPr>
      </w:pPr>
      <w:r w:rsidRPr="63917C60">
        <w:rPr>
          <w:rStyle w:val="normaltextrun"/>
          <w:rFonts w:ascii="Arial" w:hAnsi="Arial" w:cs="Arial"/>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63917C60">
        <w:rPr>
          <w:rStyle w:val="normaltextrun"/>
          <w:rFonts w:ascii="Arial" w:hAnsi="Arial" w:cs="Arial"/>
        </w:rPr>
        <w:t>process</w:t>
      </w:r>
      <w:r w:rsidRPr="63917C60">
        <w:rPr>
          <w:rStyle w:val="normaltextrun"/>
          <w:rFonts w:ascii="Arial" w:hAnsi="Arial" w:cs="Arial"/>
        </w:rPr>
        <w:t xml:space="preserve"> and use existing economic or regulatory impact analysis associated with the rulemaking containing the information collection, as appropriate.</w:t>
      </w:r>
      <w:r w:rsidRPr="63917C60">
        <w:rPr>
          <w:rStyle w:val="eop"/>
          <w:rFonts w:ascii="Arial" w:hAnsi="Arial" w:cs="Arial"/>
        </w:rPr>
        <w:t> </w:t>
      </w:r>
    </w:p>
    <w:p w:rsidR="00BA2086" w:rsidP="63917C60" w14:paraId="788E5333" w14:textId="77777777">
      <w:pPr>
        <w:pStyle w:val="paragraph"/>
        <w:spacing w:before="0" w:beforeAutospacing="0" w:after="0" w:afterAutospacing="0"/>
        <w:textAlignment w:val="baseline"/>
        <w:rPr>
          <w:rFonts w:ascii="Segoe UI" w:hAnsi="Segoe UI" w:cs="Segoe UI"/>
          <w:sz w:val="18"/>
          <w:szCs w:val="18"/>
        </w:rPr>
      </w:pPr>
      <w:r w:rsidRPr="63917C60">
        <w:rPr>
          <w:rStyle w:val="normaltextrun"/>
          <w:rFonts w:ascii="Arial" w:hAnsi="Arial" w:cs="Arial"/>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63917C60">
        <w:rPr>
          <w:rStyle w:val="eop"/>
          <w:rFonts w:ascii="Arial" w:hAnsi="Arial" w:cs="Arial"/>
        </w:rPr>
        <w:t> </w:t>
      </w:r>
    </w:p>
    <w:p w:rsidR="00BA2086" w:rsidP="63917C60" w14:paraId="071AB2B5" w14:textId="77777777">
      <w:pPr>
        <w:pStyle w:val="paragraph"/>
        <w:spacing w:before="0" w:beforeAutospacing="0" w:after="0" w:afterAutospacing="0"/>
        <w:textAlignment w:val="baseline"/>
        <w:rPr>
          <w:rStyle w:val="eop"/>
          <w:rFonts w:ascii="Arial" w:hAnsi="Arial" w:cs="Arial"/>
        </w:rPr>
      </w:pPr>
      <w:r w:rsidRPr="63917C60">
        <w:rPr>
          <w:rStyle w:val="eop"/>
          <w:rFonts w:ascii="Arial" w:hAnsi="Arial" w:cs="Arial"/>
        </w:rPr>
        <w:t> </w:t>
      </w:r>
    </w:p>
    <w:p w:rsidR="63917C60" w:rsidP="63917C60" w14:paraId="6FAD967A" w14:textId="41959662">
      <w:pPr>
        <w:pStyle w:val="paragraph"/>
        <w:spacing w:before="0" w:beforeAutospacing="0" w:after="0" w:afterAutospacing="0"/>
        <w:rPr>
          <w:rStyle w:val="eop"/>
          <w:highlight w:val="yellow"/>
        </w:rPr>
      </w:pPr>
    </w:p>
    <w:p w:rsidR="63917C60" w:rsidP="63917C60" w14:paraId="600B7CFC" w14:textId="7A5CCFE5">
      <w:pPr>
        <w:pStyle w:val="paragraph"/>
        <w:spacing w:before="0" w:beforeAutospacing="0" w:after="0" w:afterAutospacing="0"/>
        <w:rPr>
          <w:rStyle w:val="eop"/>
          <w:highlight w:val="yellow"/>
        </w:rPr>
      </w:pPr>
    </w:p>
    <w:p w:rsidR="63917C60" w:rsidP="3F892FE0" w14:paraId="2E7C516B" w14:textId="15CC2BA1">
      <w:pPr>
        <w:rPr>
          <w:rFonts w:eastAsiaTheme="minorEastAsia"/>
          <w:color w:val="000000" w:themeColor="text1"/>
          <w:sz w:val="24"/>
          <w:szCs w:val="24"/>
        </w:rPr>
      </w:pPr>
      <w:r w:rsidRPr="3F892FE0">
        <w:rPr>
          <w:rFonts w:eastAsiaTheme="minorEastAsia"/>
          <w:color w:val="000000" w:themeColor="text1"/>
          <w:sz w:val="24"/>
          <w:szCs w:val="24"/>
        </w:rPr>
        <w:t xml:space="preserve">There are no capital/start-up or ongoing operation/maintenance costs associated with this information collection. </w:t>
      </w:r>
      <w:r w:rsidRPr="3F892FE0" w:rsidR="3975D8A9">
        <w:rPr>
          <w:rFonts w:eastAsiaTheme="minorEastAsia"/>
          <w:color w:val="000000" w:themeColor="text1"/>
          <w:sz w:val="24"/>
          <w:szCs w:val="24"/>
        </w:rPr>
        <w:t xml:space="preserve">The </w:t>
      </w:r>
      <w:r w:rsidRPr="3F892FE0">
        <w:rPr>
          <w:rFonts w:eastAsiaTheme="minorEastAsia"/>
          <w:color w:val="000000" w:themeColor="text1"/>
          <w:sz w:val="24"/>
          <w:szCs w:val="24"/>
        </w:rPr>
        <w:t xml:space="preserve">FMC anticipates that respondents will generate reports from existing systems, as the data collected is similar, but not identical to, data that is </w:t>
      </w:r>
      <w:r w:rsidRPr="3F892FE0" w:rsidR="732A0CF4">
        <w:rPr>
          <w:rFonts w:eastAsiaTheme="minorEastAsia"/>
          <w:color w:val="000000" w:themeColor="text1"/>
          <w:sz w:val="24"/>
          <w:szCs w:val="24"/>
        </w:rPr>
        <w:t xml:space="preserve">already </w:t>
      </w:r>
      <w:r w:rsidRPr="3F892FE0">
        <w:rPr>
          <w:rFonts w:eastAsiaTheme="minorEastAsia"/>
          <w:color w:val="000000" w:themeColor="text1"/>
          <w:sz w:val="24"/>
          <w:szCs w:val="24"/>
        </w:rPr>
        <w:t>submitted to other government agencies and clients on a flow basis.</w:t>
      </w:r>
    </w:p>
    <w:p w:rsidR="63917C60" w:rsidP="63917C60" w14:paraId="79EE120D" w14:textId="71C7903C">
      <w:pPr>
        <w:pStyle w:val="paragraph"/>
        <w:spacing w:before="0" w:beforeAutospacing="0" w:after="0" w:afterAutospacing="0"/>
        <w:rPr>
          <w:rStyle w:val="eop"/>
          <w:highlight w:val="yellow"/>
        </w:rPr>
      </w:pPr>
    </w:p>
    <w:p w:rsidR="63917C60" w:rsidP="63917C60" w14:paraId="6AE24A09" w14:textId="1CEAA9A1">
      <w:pPr>
        <w:pStyle w:val="paragraph"/>
        <w:spacing w:before="0" w:beforeAutospacing="0" w:after="0" w:afterAutospacing="0"/>
        <w:rPr>
          <w:rStyle w:val="eop"/>
          <w:highlight w:val="yellow"/>
        </w:rPr>
      </w:pPr>
    </w:p>
    <w:p w:rsidR="00BA2086" w:rsidP="63917C60" w14:paraId="264681E1" w14:textId="77777777">
      <w:pPr>
        <w:pStyle w:val="paragraph"/>
        <w:spacing w:before="0" w:beforeAutospacing="0" w:after="0" w:afterAutospacing="0"/>
        <w:textAlignment w:val="baseline"/>
        <w:rPr>
          <w:rFonts w:ascii="Segoe UI" w:hAnsi="Segoe UI" w:cs="Segoe UI"/>
          <w:sz w:val="18"/>
          <w:szCs w:val="18"/>
        </w:rPr>
      </w:pPr>
      <w:r w:rsidRPr="63917C60">
        <w:rPr>
          <w:rStyle w:val="normaltextrun"/>
          <w:rFonts w:ascii="Arial" w:hAnsi="Arial" w:cs="Arial"/>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Pr="63917C60">
        <w:rPr>
          <w:rStyle w:val="eop"/>
          <w:rFonts w:ascii="Arial" w:hAnsi="Arial" w:cs="Arial"/>
        </w:rPr>
        <w:t> </w:t>
      </w:r>
    </w:p>
    <w:p w:rsidR="00BA2086" w:rsidP="63917C60" w14:paraId="79F14A16" w14:textId="77777777">
      <w:pPr>
        <w:pStyle w:val="paragraph"/>
        <w:spacing w:before="0" w:beforeAutospacing="0" w:after="0" w:afterAutospacing="0"/>
        <w:textAlignment w:val="baseline"/>
        <w:rPr>
          <w:rFonts w:ascii="Segoe UI" w:hAnsi="Segoe UI" w:cs="Segoe UI"/>
          <w:sz w:val="18"/>
          <w:szCs w:val="18"/>
        </w:rPr>
      </w:pPr>
      <w:r w:rsidRPr="63917C60">
        <w:rPr>
          <w:rStyle w:val="eop"/>
          <w:rFonts w:ascii="Arial" w:hAnsi="Arial" w:cs="Arial"/>
        </w:rPr>
        <w:t> </w:t>
      </w:r>
    </w:p>
    <w:p w:rsidR="00BA2086" w:rsidP="63917C60" w14:paraId="38B4146C" w14:textId="77777777">
      <w:pPr>
        <w:pStyle w:val="paragraph"/>
        <w:spacing w:before="0" w:beforeAutospacing="0" w:after="0" w:afterAutospacing="0"/>
        <w:textAlignment w:val="baseline"/>
        <w:rPr>
          <w:rFonts w:ascii="Segoe UI" w:hAnsi="Segoe UI" w:cs="Segoe UI"/>
          <w:sz w:val="18"/>
          <w:szCs w:val="18"/>
        </w:rPr>
      </w:pPr>
      <w:r w:rsidRPr="63917C60">
        <w:rPr>
          <w:rStyle w:val="normaltextrun"/>
          <w:rFonts w:ascii="Arial" w:hAnsi="Arial" w:cs="Arial"/>
        </w:rPr>
        <w:t>Agencies may also aggregate cost estimates from Items 12, 13, and 14 in a single table.</w:t>
      </w:r>
      <w:r w:rsidRPr="63917C60">
        <w:rPr>
          <w:rStyle w:val="eop"/>
          <w:rFonts w:ascii="Arial" w:hAnsi="Arial" w:cs="Arial"/>
        </w:rPr>
        <w:t> </w:t>
      </w:r>
    </w:p>
    <w:p w:rsidR="63917C60" w:rsidP="63917C60" w14:paraId="237AD7E2" w14:textId="523B1D76">
      <w:pPr>
        <w:pStyle w:val="paragraph"/>
        <w:spacing w:before="0" w:beforeAutospacing="0" w:after="0" w:afterAutospacing="0"/>
        <w:rPr>
          <w:rStyle w:val="eop"/>
          <w:rFonts w:ascii="Arial" w:hAnsi="Arial" w:cs="Arial"/>
        </w:rPr>
      </w:pPr>
    </w:p>
    <w:p w:rsidR="63917C60" w:rsidP="63917C60" w14:paraId="66F78B60" w14:textId="188AFCD1">
      <w:pPr>
        <w:rPr>
          <w:rFonts w:eastAsiaTheme="minorEastAsia"/>
          <w:color w:val="000000" w:themeColor="text1"/>
          <w:sz w:val="24"/>
          <w:szCs w:val="24"/>
        </w:rPr>
      </w:pPr>
      <w:r w:rsidRPr="63917C60">
        <w:rPr>
          <w:rFonts w:eastAsiaTheme="minorEastAsia"/>
          <w:color w:val="000000" w:themeColor="text1"/>
          <w:sz w:val="24"/>
          <w:szCs w:val="24"/>
        </w:rPr>
        <w:t>The cost to the Federal Government for this collection of information is estimated to be $2</w:t>
      </w:r>
      <w:r w:rsidR="000D7AB2">
        <w:rPr>
          <w:rFonts w:eastAsiaTheme="minorEastAsia"/>
          <w:color w:val="000000" w:themeColor="text1"/>
          <w:sz w:val="24"/>
          <w:szCs w:val="24"/>
        </w:rPr>
        <w:t>4</w:t>
      </w:r>
      <w:r w:rsidR="009263FA">
        <w:rPr>
          <w:rFonts w:eastAsiaTheme="minorEastAsia"/>
          <w:color w:val="000000" w:themeColor="text1"/>
          <w:sz w:val="24"/>
          <w:szCs w:val="24"/>
        </w:rPr>
        <w:t>5,105.58</w:t>
      </w:r>
      <w:r w:rsidRPr="63917C60">
        <w:rPr>
          <w:rFonts w:eastAsiaTheme="minorEastAsia"/>
          <w:color w:val="000000" w:themeColor="text1"/>
          <w:sz w:val="24"/>
          <w:szCs w:val="24"/>
        </w:rPr>
        <w:t>. This includes wages, overhead, and benefits for staff associated with the data collection, analysis, report formatting, and posting to the FMC website. Overhead is assumed to be 1</w:t>
      </w:r>
      <w:r w:rsidR="00A742EC">
        <w:rPr>
          <w:rFonts w:eastAsiaTheme="minorEastAsia"/>
          <w:color w:val="000000" w:themeColor="text1"/>
          <w:sz w:val="24"/>
          <w:szCs w:val="24"/>
        </w:rPr>
        <w:t>02.93</w:t>
      </w:r>
      <w:r w:rsidRPr="63917C60">
        <w:rPr>
          <w:rFonts w:eastAsiaTheme="minorEastAsia"/>
          <w:color w:val="000000" w:themeColor="text1"/>
          <w:sz w:val="24"/>
          <w:szCs w:val="24"/>
        </w:rPr>
        <w:t>%.</w:t>
      </w:r>
    </w:p>
    <w:p w:rsidR="63917C60" w:rsidP="63917C60" w14:paraId="22A1F1DD" w14:textId="34AD4704">
      <w:pPr>
        <w:rPr>
          <w:rFonts w:ascii="Times New Roman" w:eastAsia="Times New Roman" w:hAnsi="Times New Roman" w:cs="Times New Roman"/>
          <w:color w:val="000000" w:themeColor="text1"/>
          <w:sz w:val="24"/>
          <w:szCs w:val="24"/>
        </w:rPr>
      </w:pPr>
    </w:p>
    <w:tbl>
      <w:tblPr>
        <w:tblStyle w:val="GridTableLight"/>
        <w:tblW w:w="0" w:type="auto"/>
        <w:tblLayout w:type="fixed"/>
        <w:tblLook w:val="06A0"/>
      </w:tblPr>
      <w:tblGrid>
        <w:gridCol w:w="2025"/>
        <w:gridCol w:w="960"/>
        <w:gridCol w:w="1395"/>
        <w:gridCol w:w="945"/>
        <w:gridCol w:w="1335"/>
        <w:gridCol w:w="1245"/>
        <w:gridCol w:w="1564"/>
      </w:tblGrid>
      <w:tr w14:paraId="4008E573" w14:textId="77777777" w:rsidTr="3F892FE0">
        <w:tblPrEx>
          <w:tblW w:w="0" w:type="auto"/>
          <w:tblLayout w:type="fixed"/>
          <w:tblLook w:val="06A0"/>
        </w:tblPrEx>
        <w:trPr>
          <w:trHeight w:val="570"/>
        </w:trPr>
        <w:tc>
          <w:tcPr>
            <w:tcW w:w="2025" w:type="dxa"/>
          </w:tcPr>
          <w:p w:rsidR="63917C60" w14:paraId="4871E06E" w14:textId="3F26E3B6">
            <w:r w:rsidRPr="63917C60">
              <w:rPr>
                <w:rFonts w:ascii="Calibri" w:eastAsia="Calibri" w:hAnsi="Calibri" w:cs="Calibri"/>
                <w:color w:val="000000" w:themeColor="text1"/>
              </w:rPr>
              <w:t>Title</w:t>
            </w:r>
          </w:p>
        </w:tc>
        <w:tc>
          <w:tcPr>
            <w:tcW w:w="960" w:type="dxa"/>
          </w:tcPr>
          <w:p w:rsidR="63917C60" w14:paraId="5736F175" w14:textId="0C4F1CB6">
            <w:r w:rsidRPr="63917C60">
              <w:rPr>
                <w:rFonts w:ascii="Calibri" w:eastAsia="Calibri" w:hAnsi="Calibri" w:cs="Calibri"/>
                <w:color w:val="000000" w:themeColor="text1"/>
              </w:rPr>
              <w:t>GS level</w:t>
            </w:r>
          </w:p>
        </w:tc>
        <w:tc>
          <w:tcPr>
            <w:tcW w:w="1395" w:type="dxa"/>
          </w:tcPr>
          <w:p w:rsidR="63917C60" w14:paraId="74FFA626" w14:textId="1F7A52A8">
            <w:r w:rsidRPr="63917C60">
              <w:rPr>
                <w:rFonts w:ascii="Calibri" w:eastAsia="Calibri" w:hAnsi="Calibri" w:cs="Calibri"/>
                <w:color w:val="000000" w:themeColor="text1"/>
              </w:rPr>
              <w:t>2022 Annual</w:t>
            </w:r>
          </w:p>
        </w:tc>
        <w:tc>
          <w:tcPr>
            <w:tcW w:w="945" w:type="dxa"/>
          </w:tcPr>
          <w:p w:rsidR="63917C60" w14:paraId="31FFCEB6" w14:textId="4568218B">
            <w:r w:rsidRPr="63917C60">
              <w:rPr>
                <w:rFonts w:ascii="Calibri" w:eastAsia="Calibri" w:hAnsi="Calibri" w:cs="Calibri"/>
                <w:color w:val="000000" w:themeColor="text1"/>
              </w:rPr>
              <w:t>2022 hourly</w:t>
            </w:r>
          </w:p>
        </w:tc>
        <w:tc>
          <w:tcPr>
            <w:tcW w:w="1335" w:type="dxa"/>
          </w:tcPr>
          <w:p w:rsidR="63917C60" w14:paraId="055A5196" w14:textId="3F52EBD7">
            <w:r w:rsidRPr="63917C60">
              <w:rPr>
                <w:rFonts w:ascii="Calibri" w:eastAsia="Calibri" w:hAnsi="Calibri" w:cs="Calibri"/>
                <w:color w:val="000000" w:themeColor="text1"/>
              </w:rPr>
              <w:t>with overhead</w:t>
            </w:r>
          </w:p>
        </w:tc>
        <w:tc>
          <w:tcPr>
            <w:tcW w:w="1245" w:type="dxa"/>
          </w:tcPr>
          <w:p w:rsidR="63917C60" w14:paraId="356B08C2" w14:textId="4FF835C4">
            <w:r w:rsidRPr="63917C60">
              <w:rPr>
                <w:rFonts w:ascii="Calibri" w:eastAsia="Calibri" w:hAnsi="Calibri" w:cs="Calibri"/>
                <w:color w:val="000000" w:themeColor="text1"/>
              </w:rPr>
              <w:t>assumed hours</w:t>
            </w:r>
          </w:p>
        </w:tc>
        <w:tc>
          <w:tcPr>
            <w:tcW w:w="1564" w:type="dxa"/>
          </w:tcPr>
          <w:p w:rsidR="63917C60" w14:paraId="21F0A467" w14:textId="44F51800">
            <w:r w:rsidRPr="63917C60">
              <w:rPr>
                <w:rFonts w:ascii="Calibri" w:eastAsia="Calibri" w:hAnsi="Calibri" w:cs="Calibri"/>
                <w:color w:val="000000" w:themeColor="text1"/>
              </w:rPr>
              <w:t>total</w:t>
            </w:r>
          </w:p>
        </w:tc>
      </w:tr>
      <w:tr w14:paraId="362A7EA2" w14:textId="77777777" w:rsidTr="3F892FE0">
        <w:tblPrEx>
          <w:tblW w:w="0" w:type="auto"/>
          <w:tblLayout w:type="fixed"/>
          <w:tblLook w:val="06A0"/>
        </w:tblPrEx>
        <w:trPr>
          <w:trHeight w:val="285"/>
        </w:trPr>
        <w:tc>
          <w:tcPr>
            <w:tcW w:w="2025" w:type="dxa"/>
          </w:tcPr>
          <w:p w:rsidR="63917C60" w14:paraId="37A1E08D" w14:textId="51363113">
            <w:r w:rsidRPr="63917C60">
              <w:rPr>
                <w:rFonts w:ascii="Calibri" w:eastAsia="Calibri" w:hAnsi="Calibri" w:cs="Calibri"/>
                <w:color w:val="000000" w:themeColor="text1"/>
              </w:rPr>
              <w:t>Operations Research Analyst</w:t>
            </w:r>
          </w:p>
        </w:tc>
        <w:tc>
          <w:tcPr>
            <w:tcW w:w="960" w:type="dxa"/>
          </w:tcPr>
          <w:p w:rsidR="63917C60" w14:paraId="23993F67" w14:textId="2ED941F0">
            <w:r w:rsidRPr="63917C60">
              <w:rPr>
                <w:rFonts w:ascii="Calibri" w:eastAsia="Calibri" w:hAnsi="Calibri" w:cs="Calibri"/>
                <w:color w:val="000000" w:themeColor="text1"/>
              </w:rPr>
              <w:t>13/5</w:t>
            </w:r>
          </w:p>
        </w:tc>
        <w:tc>
          <w:tcPr>
            <w:tcW w:w="1395" w:type="dxa"/>
          </w:tcPr>
          <w:p w:rsidR="63917C60" w14:paraId="23B786AA" w14:textId="5008A8EC">
            <w:r w:rsidRPr="63917C60">
              <w:rPr>
                <w:rFonts w:ascii="Calibri" w:eastAsia="Calibri" w:hAnsi="Calibri" w:cs="Calibri"/>
                <w:color w:val="000000" w:themeColor="text1"/>
              </w:rPr>
              <w:t xml:space="preserve"> $121,065 </w:t>
            </w:r>
          </w:p>
        </w:tc>
        <w:tc>
          <w:tcPr>
            <w:tcW w:w="945" w:type="dxa"/>
          </w:tcPr>
          <w:p w:rsidR="63917C60" w14:paraId="607B1EBB" w14:textId="76D13900">
            <w:r w:rsidRPr="63917C60">
              <w:rPr>
                <w:rFonts w:ascii="Calibri" w:eastAsia="Calibri" w:hAnsi="Calibri" w:cs="Calibri"/>
                <w:color w:val="000000" w:themeColor="text1"/>
              </w:rPr>
              <w:t xml:space="preserve"> $58.01 </w:t>
            </w:r>
          </w:p>
        </w:tc>
        <w:tc>
          <w:tcPr>
            <w:tcW w:w="1335" w:type="dxa"/>
          </w:tcPr>
          <w:p w:rsidR="63917C60" w14:paraId="18E908B3" w14:textId="2D88ABEE">
            <w:r w:rsidRPr="63917C60">
              <w:rPr>
                <w:rFonts w:ascii="Calibri" w:eastAsia="Calibri" w:hAnsi="Calibri" w:cs="Calibri"/>
                <w:color w:val="000000" w:themeColor="text1"/>
              </w:rPr>
              <w:t xml:space="preserve"> $</w:t>
            </w:r>
            <w:r w:rsidR="00A742EC">
              <w:rPr>
                <w:rFonts w:ascii="Calibri" w:eastAsia="Calibri" w:hAnsi="Calibri" w:cs="Calibri"/>
                <w:color w:val="000000" w:themeColor="text1"/>
              </w:rPr>
              <w:t>117.72</w:t>
            </w:r>
          </w:p>
        </w:tc>
        <w:tc>
          <w:tcPr>
            <w:tcW w:w="1245" w:type="dxa"/>
          </w:tcPr>
          <w:p w:rsidR="63917C60" w14:paraId="5CC17509" w14:textId="275F1915">
            <w:r w:rsidRPr="63917C60">
              <w:rPr>
                <w:rFonts w:ascii="Calibri" w:eastAsia="Calibri" w:hAnsi="Calibri" w:cs="Calibri"/>
                <w:color w:val="000000" w:themeColor="text1"/>
              </w:rPr>
              <w:t>1,000</w:t>
            </w:r>
          </w:p>
        </w:tc>
        <w:tc>
          <w:tcPr>
            <w:tcW w:w="1564" w:type="dxa"/>
          </w:tcPr>
          <w:p w:rsidR="63917C60" w14:paraId="3C5F6A69" w14:textId="27119A65">
            <w:r w:rsidRPr="63917C60">
              <w:rPr>
                <w:rFonts w:ascii="Calibri" w:eastAsia="Calibri" w:hAnsi="Calibri" w:cs="Calibri"/>
                <w:color w:val="000000" w:themeColor="text1"/>
              </w:rPr>
              <w:t xml:space="preserve"> $1</w:t>
            </w:r>
            <w:r w:rsidR="00AA48F8">
              <w:rPr>
                <w:rFonts w:ascii="Calibri" w:eastAsia="Calibri" w:hAnsi="Calibri" w:cs="Calibri"/>
                <w:color w:val="000000" w:themeColor="text1"/>
              </w:rPr>
              <w:t>17,7</w:t>
            </w:r>
            <w:r w:rsidR="009C1557">
              <w:rPr>
                <w:rFonts w:ascii="Calibri" w:eastAsia="Calibri" w:hAnsi="Calibri" w:cs="Calibri"/>
                <w:color w:val="000000" w:themeColor="text1"/>
              </w:rPr>
              <w:t>20</w:t>
            </w:r>
            <w:r w:rsidRPr="63917C60">
              <w:rPr>
                <w:rFonts w:ascii="Calibri" w:eastAsia="Calibri" w:hAnsi="Calibri" w:cs="Calibri"/>
                <w:color w:val="000000" w:themeColor="text1"/>
              </w:rPr>
              <w:t xml:space="preserve"> </w:t>
            </w:r>
          </w:p>
        </w:tc>
      </w:tr>
      <w:tr w14:paraId="130862CB" w14:textId="77777777" w:rsidTr="3F892FE0">
        <w:tblPrEx>
          <w:tblW w:w="0" w:type="auto"/>
          <w:tblLayout w:type="fixed"/>
          <w:tblLook w:val="06A0"/>
        </w:tblPrEx>
        <w:trPr>
          <w:trHeight w:val="285"/>
        </w:trPr>
        <w:tc>
          <w:tcPr>
            <w:tcW w:w="2025" w:type="dxa"/>
          </w:tcPr>
          <w:p w:rsidR="63917C60" w14:paraId="0A040520" w14:textId="10D88045">
            <w:r w:rsidRPr="63917C60">
              <w:rPr>
                <w:rFonts w:ascii="Calibri" w:eastAsia="Calibri" w:hAnsi="Calibri" w:cs="Calibri"/>
                <w:color w:val="000000" w:themeColor="text1"/>
              </w:rPr>
              <w:t>Economist</w:t>
            </w:r>
          </w:p>
        </w:tc>
        <w:tc>
          <w:tcPr>
            <w:tcW w:w="960" w:type="dxa"/>
          </w:tcPr>
          <w:p w:rsidR="63917C60" w14:paraId="5DFBECF4" w14:textId="404C423F">
            <w:r w:rsidRPr="63917C60">
              <w:rPr>
                <w:rFonts w:ascii="Calibri" w:eastAsia="Calibri" w:hAnsi="Calibri" w:cs="Calibri"/>
                <w:color w:val="000000" w:themeColor="text1"/>
              </w:rPr>
              <w:t>13/5</w:t>
            </w:r>
          </w:p>
        </w:tc>
        <w:tc>
          <w:tcPr>
            <w:tcW w:w="1395" w:type="dxa"/>
          </w:tcPr>
          <w:p w:rsidR="63917C60" w14:paraId="0656DB71" w14:textId="009BC69A">
            <w:r w:rsidRPr="63917C60">
              <w:rPr>
                <w:rFonts w:ascii="Calibri" w:eastAsia="Calibri" w:hAnsi="Calibri" w:cs="Calibri"/>
                <w:color w:val="000000" w:themeColor="text1"/>
              </w:rPr>
              <w:t xml:space="preserve"> $121,065 </w:t>
            </w:r>
          </w:p>
        </w:tc>
        <w:tc>
          <w:tcPr>
            <w:tcW w:w="945" w:type="dxa"/>
          </w:tcPr>
          <w:p w:rsidR="63917C60" w14:paraId="41C4F483" w14:textId="411B7254">
            <w:r w:rsidRPr="63917C60">
              <w:rPr>
                <w:rFonts w:ascii="Calibri" w:eastAsia="Calibri" w:hAnsi="Calibri" w:cs="Calibri"/>
                <w:color w:val="000000" w:themeColor="text1"/>
              </w:rPr>
              <w:t xml:space="preserve"> $58.01 </w:t>
            </w:r>
          </w:p>
        </w:tc>
        <w:tc>
          <w:tcPr>
            <w:tcW w:w="1335" w:type="dxa"/>
          </w:tcPr>
          <w:p w:rsidR="63917C60" w14:paraId="748D1E97" w14:textId="55C3642B">
            <w:r w:rsidRPr="63917C60">
              <w:rPr>
                <w:rFonts w:ascii="Calibri" w:eastAsia="Calibri" w:hAnsi="Calibri" w:cs="Calibri"/>
                <w:color w:val="000000" w:themeColor="text1"/>
              </w:rPr>
              <w:t xml:space="preserve"> $1</w:t>
            </w:r>
            <w:r w:rsidR="00A742EC">
              <w:rPr>
                <w:rFonts w:ascii="Calibri" w:eastAsia="Calibri" w:hAnsi="Calibri" w:cs="Calibri"/>
                <w:color w:val="000000" w:themeColor="text1"/>
              </w:rPr>
              <w:t>17.72</w:t>
            </w:r>
            <w:r w:rsidRPr="63917C60">
              <w:rPr>
                <w:rFonts w:ascii="Calibri" w:eastAsia="Calibri" w:hAnsi="Calibri" w:cs="Calibri"/>
                <w:color w:val="000000" w:themeColor="text1"/>
              </w:rPr>
              <w:t xml:space="preserve"> </w:t>
            </w:r>
          </w:p>
        </w:tc>
        <w:tc>
          <w:tcPr>
            <w:tcW w:w="1245" w:type="dxa"/>
          </w:tcPr>
          <w:p w:rsidR="63917C60" w14:paraId="593D72E1" w14:textId="23330EDB">
            <w:r w:rsidRPr="63917C60">
              <w:rPr>
                <w:rFonts w:ascii="Calibri" w:eastAsia="Calibri" w:hAnsi="Calibri" w:cs="Calibri"/>
                <w:color w:val="000000" w:themeColor="text1"/>
              </w:rPr>
              <w:t>1,000</w:t>
            </w:r>
          </w:p>
        </w:tc>
        <w:tc>
          <w:tcPr>
            <w:tcW w:w="1564" w:type="dxa"/>
          </w:tcPr>
          <w:p w:rsidR="63917C60" w14:paraId="2FBEE6DB" w14:textId="695CDE92">
            <w:r w:rsidRPr="63917C60">
              <w:rPr>
                <w:rFonts w:ascii="Calibri" w:eastAsia="Calibri" w:hAnsi="Calibri" w:cs="Calibri"/>
                <w:color w:val="000000" w:themeColor="text1"/>
              </w:rPr>
              <w:t xml:space="preserve"> $1</w:t>
            </w:r>
            <w:r w:rsidR="00AA48F8">
              <w:rPr>
                <w:rFonts w:ascii="Calibri" w:eastAsia="Calibri" w:hAnsi="Calibri" w:cs="Calibri"/>
                <w:color w:val="000000" w:themeColor="text1"/>
              </w:rPr>
              <w:t>17,7</w:t>
            </w:r>
            <w:r w:rsidR="009C1557">
              <w:rPr>
                <w:rFonts w:ascii="Calibri" w:eastAsia="Calibri" w:hAnsi="Calibri" w:cs="Calibri"/>
                <w:color w:val="000000" w:themeColor="text1"/>
              </w:rPr>
              <w:t>20</w:t>
            </w:r>
            <w:r w:rsidRPr="63917C60">
              <w:rPr>
                <w:rFonts w:ascii="Calibri" w:eastAsia="Calibri" w:hAnsi="Calibri" w:cs="Calibri"/>
                <w:color w:val="000000" w:themeColor="text1"/>
              </w:rPr>
              <w:t xml:space="preserve"> </w:t>
            </w:r>
          </w:p>
        </w:tc>
      </w:tr>
      <w:tr w14:paraId="2AC8A520" w14:textId="77777777" w:rsidTr="3F892FE0">
        <w:tblPrEx>
          <w:tblW w:w="0" w:type="auto"/>
          <w:tblLayout w:type="fixed"/>
          <w:tblLook w:val="06A0"/>
        </w:tblPrEx>
        <w:trPr>
          <w:trHeight w:val="285"/>
        </w:trPr>
        <w:tc>
          <w:tcPr>
            <w:tcW w:w="2025" w:type="dxa"/>
          </w:tcPr>
          <w:p w:rsidR="63917C60" w14:paraId="218D7F59" w14:textId="4D6AD050">
            <w:r w:rsidRPr="63917C60">
              <w:rPr>
                <w:rFonts w:ascii="Calibri" w:eastAsia="Calibri" w:hAnsi="Calibri" w:cs="Calibri"/>
                <w:color w:val="000000" w:themeColor="text1"/>
              </w:rPr>
              <w:t>Operations Research Analyst</w:t>
            </w:r>
          </w:p>
        </w:tc>
        <w:tc>
          <w:tcPr>
            <w:tcW w:w="960" w:type="dxa"/>
          </w:tcPr>
          <w:p w:rsidR="63917C60" w14:paraId="3637F478" w14:textId="1B4182FB">
            <w:r w:rsidRPr="63917C60">
              <w:rPr>
                <w:rFonts w:ascii="Calibri" w:eastAsia="Calibri" w:hAnsi="Calibri" w:cs="Calibri"/>
                <w:color w:val="000000" w:themeColor="text1"/>
              </w:rPr>
              <w:t>15/5</w:t>
            </w:r>
          </w:p>
        </w:tc>
        <w:tc>
          <w:tcPr>
            <w:tcW w:w="1395" w:type="dxa"/>
          </w:tcPr>
          <w:p w:rsidR="63917C60" w14:paraId="2B008C08" w14:textId="1FC874C9">
            <w:r w:rsidRPr="63917C60">
              <w:rPr>
                <w:rFonts w:ascii="Calibri" w:eastAsia="Calibri" w:hAnsi="Calibri" w:cs="Calibri"/>
                <w:color w:val="000000" w:themeColor="text1"/>
              </w:rPr>
              <w:t xml:space="preserve"> $168,242 </w:t>
            </w:r>
          </w:p>
        </w:tc>
        <w:tc>
          <w:tcPr>
            <w:tcW w:w="945" w:type="dxa"/>
          </w:tcPr>
          <w:p w:rsidR="63917C60" w14:paraId="7556C28C" w14:textId="0C2CD6E4">
            <w:r w:rsidRPr="63917C60">
              <w:rPr>
                <w:rFonts w:ascii="Calibri" w:eastAsia="Calibri" w:hAnsi="Calibri" w:cs="Calibri"/>
                <w:color w:val="000000" w:themeColor="text1"/>
              </w:rPr>
              <w:t xml:space="preserve"> $80.61 </w:t>
            </w:r>
          </w:p>
        </w:tc>
        <w:tc>
          <w:tcPr>
            <w:tcW w:w="1335" w:type="dxa"/>
          </w:tcPr>
          <w:p w:rsidR="63917C60" w14:paraId="318A5E6D" w14:textId="2504C4D0">
            <w:r w:rsidRPr="63917C60">
              <w:rPr>
                <w:rFonts w:ascii="Calibri" w:eastAsia="Calibri" w:hAnsi="Calibri" w:cs="Calibri"/>
                <w:color w:val="000000" w:themeColor="text1"/>
              </w:rPr>
              <w:t xml:space="preserve"> $1</w:t>
            </w:r>
            <w:r w:rsidR="00A742EC">
              <w:rPr>
                <w:rFonts w:ascii="Calibri" w:eastAsia="Calibri" w:hAnsi="Calibri" w:cs="Calibri"/>
                <w:color w:val="000000" w:themeColor="text1"/>
              </w:rPr>
              <w:t>63.59</w:t>
            </w:r>
            <w:r w:rsidRPr="63917C60">
              <w:rPr>
                <w:rFonts w:ascii="Calibri" w:eastAsia="Calibri" w:hAnsi="Calibri" w:cs="Calibri"/>
                <w:color w:val="000000" w:themeColor="text1"/>
              </w:rPr>
              <w:t xml:space="preserve"> </w:t>
            </w:r>
          </w:p>
        </w:tc>
        <w:tc>
          <w:tcPr>
            <w:tcW w:w="1245" w:type="dxa"/>
          </w:tcPr>
          <w:p w:rsidR="63917C60" w14:paraId="714E4FEB" w14:textId="0F8DACAA">
            <w:r w:rsidRPr="63917C60">
              <w:rPr>
                <w:rFonts w:ascii="Calibri" w:eastAsia="Calibri" w:hAnsi="Calibri" w:cs="Calibri"/>
                <w:color w:val="000000" w:themeColor="text1"/>
              </w:rPr>
              <w:t>50</w:t>
            </w:r>
          </w:p>
        </w:tc>
        <w:tc>
          <w:tcPr>
            <w:tcW w:w="1564" w:type="dxa"/>
          </w:tcPr>
          <w:p w:rsidR="63917C60" w14:paraId="609E065F" w14:textId="0AC822F3">
            <w:r w:rsidRPr="63917C60">
              <w:rPr>
                <w:rFonts w:ascii="Calibri" w:eastAsia="Calibri" w:hAnsi="Calibri" w:cs="Calibri"/>
                <w:color w:val="000000" w:themeColor="text1"/>
              </w:rPr>
              <w:t xml:space="preserve"> $8,</w:t>
            </w:r>
            <w:r w:rsidR="00AA48F8">
              <w:rPr>
                <w:rFonts w:ascii="Calibri" w:eastAsia="Calibri" w:hAnsi="Calibri" w:cs="Calibri"/>
                <w:color w:val="000000" w:themeColor="text1"/>
              </w:rPr>
              <w:t>179.5</w:t>
            </w:r>
            <w:r w:rsidR="009C1557">
              <w:rPr>
                <w:rFonts w:ascii="Calibri" w:eastAsia="Calibri" w:hAnsi="Calibri" w:cs="Calibri"/>
                <w:color w:val="000000" w:themeColor="text1"/>
              </w:rPr>
              <w:t>0</w:t>
            </w:r>
          </w:p>
        </w:tc>
      </w:tr>
      <w:tr w14:paraId="6EB549AF" w14:textId="77777777" w:rsidTr="3F892FE0">
        <w:tblPrEx>
          <w:tblW w:w="0" w:type="auto"/>
          <w:tblLayout w:type="fixed"/>
          <w:tblLook w:val="06A0"/>
        </w:tblPrEx>
        <w:trPr>
          <w:trHeight w:val="285"/>
        </w:trPr>
        <w:tc>
          <w:tcPr>
            <w:tcW w:w="2025" w:type="dxa"/>
          </w:tcPr>
          <w:p w:rsidR="63917C60" w14:paraId="6F8FB43C" w14:textId="4B7E479B">
            <w:r w:rsidRPr="63917C60">
              <w:rPr>
                <w:rFonts w:ascii="Calibri" w:eastAsia="Calibri" w:hAnsi="Calibri" w:cs="Calibri"/>
                <w:color w:val="000000" w:themeColor="text1"/>
              </w:rPr>
              <w:t>Program Support Specialist</w:t>
            </w:r>
          </w:p>
        </w:tc>
        <w:tc>
          <w:tcPr>
            <w:tcW w:w="960" w:type="dxa"/>
          </w:tcPr>
          <w:p w:rsidR="63917C60" w14:paraId="7373FB2E" w14:textId="32275736">
            <w:r w:rsidRPr="63917C60">
              <w:rPr>
                <w:rFonts w:ascii="Calibri" w:eastAsia="Calibri" w:hAnsi="Calibri" w:cs="Calibri"/>
                <w:color w:val="000000" w:themeColor="text1"/>
              </w:rPr>
              <w:t>11/5</w:t>
            </w:r>
          </w:p>
        </w:tc>
        <w:tc>
          <w:tcPr>
            <w:tcW w:w="1395" w:type="dxa"/>
          </w:tcPr>
          <w:p w:rsidR="63917C60" w14:paraId="5C5B1AE5" w14:textId="44605231">
            <w:r w:rsidRPr="63917C60">
              <w:rPr>
                <w:rFonts w:ascii="Calibri" w:eastAsia="Calibri" w:hAnsi="Calibri" w:cs="Calibri"/>
                <w:color w:val="000000" w:themeColor="text1"/>
              </w:rPr>
              <w:t xml:space="preserve"> $84,941 </w:t>
            </w:r>
          </w:p>
        </w:tc>
        <w:tc>
          <w:tcPr>
            <w:tcW w:w="945" w:type="dxa"/>
          </w:tcPr>
          <w:p w:rsidR="63917C60" w14:paraId="597FF07A" w14:textId="550CE0DC">
            <w:r w:rsidRPr="63917C60">
              <w:rPr>
                <w:rFonts w:ascii="Calibri" w:eastAsia="Calibri" w:hAnsi="Calibri" w:cs="Calibri"/>
                <w:color w:val="000000" w:themeColor="text1"/>
              </w:rPr>
              <w:t xml:space="preserve"> $40.70 </w:t>
            </w:r>
          </w:p>
        </w:tc>
        <w:tc>
          <w:tcPr>
            <w:tcW w:w="1335" w:type="dxa"/>
          </w:tcPr>
          <w:p w:rsidR="63917C60" w14:paraId="3B053CF3" w14:textId="0583E829">
            <w:r w:rsidRPr="63917C60">
              <w:rPr>
                <w:rFonts w:ascii="Calibri" w:eastAsia="Calibri" w:hAnsi="Calibri" w:cs="Calibri"/>
                <w:color w:val="000000" w:themeColor="text1"/>
              </w:rPr>
              <w:t xml:space="preserve"> $8</w:t>
            </w:r>
            <w:r w:rsidR="00A742EC">
              <w:rPr>
                <w:rFonts w:ascii="Calibri" w:eastAsia="Calibri" w:hAnsi="Calibri" w:cs="Calibri"/>
                <w:color w:val="000000" w:themeColor="text1"/>
              </w:rPr>
              <w:t>2.59</w:t>
            </w:r>
            <w:r w:rsidRPr="63917C60">
              <w:rPr>
                <w:rFonts w:ascii="Calibri" w:eastAsia="Calibri" w:hAnsi="Calibri" w:cs="Calibri"/>
                <w:color w:val="000000" w:themeColor="text1"/>
              </w:rPr>
              <w:t xml:space="preserve"> </w:t>
            </w:r>
          </w:p>
        </w:tc>
        <w:tc>
          <w:tcPr>
            <w:tcW w:w="1245" w:type="dxa"/>
          </w:tcPr>
          <w:p w:rsidR="63917C60" w14:paraId="31C5B675" w14:textId="64CB18CD">
            <w:r w:rsidRPr="63917C60">
              <w:rPr>
                <w:rFonts w:ascii="Calibri" w:eastAsia="Calibri" w:hAnsi="Calibri" w:cs="Calibri"/>
                <w:color w:val="000000" w:themeColor="text1"/>
              </w:rPr>
              <w:t>12</w:t>
            </w:r>
          </w:p>
        </w:tc>
        <w:tc>
          <w:tcPr>
            <w:tcW w:w="1564" w:type="dxa"/>
          </w:tcPr>
          <w:p w:rsidR="63917C60" w14:paraId="4DCE9737" w14:textId="3AF16911">
            <w:r w:rsidRPr="63917C60">
              <w:rPr>
                <w:rFonts w:ascii="Calibri" w:eastAsia="Calibri" w:hAnsi="Calibri" w:cs="Calibri"/>
                <w:color w:val="000000" w:themeColor="text1"/>
              </w:rPr>
              <w:t xml:space="preserve"> $</w:t>
            </w:r>
            <w:r w:rsidR="00AA48F8">
              <w:rPr>
                <w:rFonts w:ascii="Calibri" w:eastAsia="Calibri" w:hAnsi="Calibri" w:cs="Calibri"/>
                <w:color w:val="000000" w:themeColor="text1"/>
              </w:rPr>
              <w:t>991.</w:t>
            </w:r>
            <w:r w:rsidR="009C1557">
              <w:rPr>
                <w:rFonts w:ascii="Calibri" w:eastAsia="Calibri" w:hAnsi="Calibri" w:cs="Calibri"/>
                <w:color w:val="000000" w:themeColor="text1"/>
              </w:rPr>
              <w:t>08</w:t>
            </w:r>
            <w:r w:rsidRPr="63917C60">
              <w:rPr>
                <w:rFonts w:ascii="Calibri" w:eastAsia="Calibri" w:hAnsi="Calibri" w:cs="Calibri"/>
                <w:color w:val="000000" w:themeColor="text1"/>
              </w:rPr>
              <w:t xml:space="preserve"> </w:t>
            </w:r>
          </w:p>
        </w:tc>
      </w:tr>
      <w:tr w14:paraId="2212DBCD" w14:textId="77777777" w:rsidTr="3F892FE0">
        <w:tblPrEx>
          <w:tblW w:w="0" w:type="auto"/>
          <w:tblLayout w:type="fixed"/>
          <w:tblLook w:val="06A0"/>
        </w:tblPrEx>
        <w:trPr>
          <w:trHeight w:val="285"/>
        </w:trPr>
        <w:tc>
          <w:tcPr>
            <w:tcW w:w="2025" w:type="dxa"/>
          </w:tcPr>
          <w:p w:rsidR="63917C60" w14:paraId="622E0F29" w14:textId="23B43938">
            <w:r w:rsidRPr="63917C60">
              <w:rPr>
                <w:rFonts w:ascii="Calibri" w:eastAsia="Calibri" w:hAnsi="Calibri" w:cs="Calibri"/>
                <w:color w:val="000000" w:themeColor="text1"/>
              </w:rPr>
              <w:t>Program Analyst</w:t>
            </w:r>
          </w:p>
        </w:tc>
        <w:tc>
          <w:tcPr>
            <w:tcW w:w="960" w:type="dxa"/>
          </w:tcPr>
          <w:p w:rsidR="63917C60" w14:paraId="1E0EE24F" w14:textId="0E72F8EA">
            <w:r w:rsidRPr="63917C60">
              <w:rPr>
                <w:rFonts w:ascii="Calibri" w:eastAsia="Calibri" w:hAnsi="Calibri" w:cs="Calibri"/>
                <w:color w:val="000000" w:themeColor="text1"/>
              </w:rPr>
              <w:t>12/5</w:t>
            </w:r>
          </w:p>
        </w:tc>
        <w:tc>
          <w:tcPr>
            <w:tcW w:w="1395" w:type="dxa"/>
          </w:tcPr>
          <w:p w:rsidR="63917C60" w14:paraId="1A280CE6" w14:textId="053B9D22">
            <w:r w:rsidRPr="63917C60">
              <w:rPr>
                <w:rFonts w:ascii="Calibri" w:eastAsia="Calibri" w:hAnsi="Calibri" w:cs="Calibri"/>
                <w:color w:val="000000" w:themeColor="text1"/>
              </w:rPr>
              <w:t xml:space="preserve"> $101,813 </w:t>
            </w:r>
          </w:p>
        </w:tc>
        <w:tc>
          <w:tcPr>
            <w:tcW w:w="945" w:type="dxa"/>
          </w:tcPr>
          <w:p w:rsidR="63917C60" w14:paraId="0F04E4F9" w14:textId="3437885E">
            <w:r w:rsidRPr="63917C60">
              <w:rPr>
                <w:rFonts w:ascii="Calibri" w:eastAsia="Calibri" w:hAnsi="Calibri" w:cs="Calibri"/>
                <w:color w:val="000000" w:themeColor="text1"/>
              </w:rPr>
              <w:t xml:space="preserve"> $48.78 </w:t>
            </w:r>
          </w:p>
        </w:tc>
        <w:tc>
          <w:tcPr>
            <w:tcW w:w="1335" w:type="dxa"/>
          </w:tcPr>
          <w:p w:rsidR="63917C60" w14:paraId="6F7139B4" w14:textId="6FE1FA80">
            <w:r w:rsidRPr="63917C60">
              <w:rPr>
                <w:rFonts w:ascii="Calibri" w:eastAsia="Calibri" w:hAnsi="Calibri" w:cs="Calibri"/>
                <w:color w:val="000000" w:themeColor="text1"/>
              </w:rPr>
              <w:t xml:space="preserve"> $</w:t>
            </w:r>
            <w:r w:rsidR="00AA48F8">
              <w:rPr>
                <w:rFonts w:ascii="Calibri" w:eastAsia="Calibri" w:hAnsi="Calibri" w:cs="Calibri"/>
                <w:color w:val="000000" w:themeColor="text1"/>
              </w:rPr>
              <w:t>99.00</w:t>
            </w:r>
            <w:r w:rsidRPr="63917C60">
              <w:rPr>
                <w:rFonts w:ascii="Calibri" w:eastAsia="Calibri" w:hAnsi="Calibri" w:cs="Calibri"/>
                <w:color w:val="000000" w:themeColor="text1"/>
              </w:rPr>
              <w:t xml:space="preserve"> </w:t>
            </w:r>
          </w:p>
        </w:tc>
        <w:tc>
          <w:tcPr>
            <w:tcW w:w="1245" w:type="dxa"/>
          </w:tcPr>
          <w:p w:rsidR="63917C60" w14:paraId="69F8E6CD" w14:textId="1CE68F65">
            <w:r w:rsidRPr="63917C60">
              <w:rPr>
                <w:rFonts w:ascii="Calibri" w:eastAsia="Calibri" w:hAnsi="Calibri" w:cs="Calibri"/>
                <w:color w:val="000000" w:themeColor="text1"/>
              </w:rPr>
              <w:t>5</w:t>
            </w:r>
          </w:p>
        </w:tc>
        <w:tc>
          <w:tcPr>
            <w:tcW w:w="1564" w:type="dxa"/>
          </w:tcPr>
          <w:p w:rsidR="63917C60" w14:paraId="2B582DEE" w14:textId="5A589222">
            <w:r w:rsidRPr="63917C60">
              <w:rPr>
                <w:rFonts w:ascii="Calibri" w:eastAsia="Calibri" w:hAnsi="Calibri" w:cs="Calibri"/>
                <w:color w:val="000000" w:themeColor="text1"/>
              </w:rPr>
              <w:t xml:space="preserve"> $</w:t>
            </w:r>
            <w:r w:rsidR="00AA48F8">
              <w:rPr>
                <w:rFonts w:ascii="Calibri" w:eastAsia="Calibri" w:hAnsi="Calibri" w:cs="Calibri"/>
                <w:color w:val="000000" w:themeColor="text1"/>
              </w:rPr>
              <w:t>49</w:t>
            </w:r>
            <w:r w:rsidR="009C1557">
              <w:rPr>
                <w:rFonts w:ascii="Calibri" w:eastAsia="Calibri" w:hAnsi="Calibri" w:cs="Calibri"/>
                <w:color w:val="000000" w:themeColor="text1"/>
              </w:rPr>
              <w:t>5.00</w:t>
            </w:r>
            <w:r w:rsidRPr="63917C60">
              <w:rPr>
                <w:rFonts w:ascii="Calibri" w:eastAsia="Calibri" w:hAnsi="Calibri" w:cs="Calibri"/>
                <w:color w:val="000000" w:themeColor="text1"/>
              </w:rPr>
              <w:t xml:space="preserve"> </w:t>
            </w:r>
          </w:p>
        </w:tc>
      </w:tr>
      <w:tr w14:paraId="252426D3" w14:textId="77777777" w:rsidTr="3F892FE0">
        <w:tblPrEx>
          <w:tblW w:w="0" w:type="auto"/>
          <w:tblLayout w:type="fixed"/>
          <w:tblLook w:val="06A0"/>
        </w:tblPrEx>
        <w:trPr>
          <w:trHeight w:val="285"/>
        </w:trPr>
        <w:tc>
          <w:tcPr>
            <w:tcW w:w="2025" w:type="dxa"/>
          </w:tcPr>
          <w:p w:rsidR="63917C60" w14:paraId="0C8C7075" w14:textId="22D28B15"/>
        </w:tc>
        <w:tc>
          <w:tcPr>
            <w:tcW w:w="960" w:type="dxa"/>
          </w:tcPr>
          <w:p w:rsidR="63917C60" w14:paraId="1B0AE21A" w14:textId="6362B99B"/>
        </w:tc>
        <w:tc>
          <w:tcPr>
            <w:tcW w:w="1395" w:type="dxa"/>
          </w:tcPr>
          <w:p w:rsidR="63917C60" w14:paraId="4C6D38B8" w14:textId="629A31BB"/>
        </w:tc>
        <w:tc>
          <w:tcPr>
            <w:tcW w:w="945" w:type="dxa"/>
          </w:tcPr>
          <w:p w:rsidR="63917C60" w14:paraId="02369D55" w14:textId="235A6FD7"/>
        </w:tc>
        <w:tc>
          <w:tcPr>
            <w:tcW w:w="1335" w:type="dxa"/>
          </w:tcPr>
          <w:p w:rsidR="63917C60" w14:paraId="27696CED" w14:textId="6D8B7C71"/>
        </w:tc>
        <w:tc>
          <w:tcPr>
            <w:tcW w:w="1245" w:type="dxa"/>
          </w:tcPr>
          <w:p w:rsidR="63917C60" w14:paraId="1E940E57" w14:textId="23352ECB"/>
        </w:tc>
        <w:tc>
          <w:tcPr>
            <w:tcW w:w="1564" w:type="dxa"/>
          </w:tcPr>
          <w:p w:rsidR="63917C60" w14:paraId="223C4272" w14:textId="5619FC31">
            <w:r w:rsidRPr="3F892FE0">
              <w:rPr>
                <w:rFonts w:ascii="Calibri" w:eastAsia="Calibri" w:hAnsi="Calibri" w:cs="Calibri"/>
                <w:color w:val="000000" w:themeColor="text1"/>
              </w:rPr>
              <w:t xml:space="preserve"> $</w:t>
            </w:r>
            <w:r w:rsidRPr="3F892FE0" w:rsidR="5C3BC5D4">
              <w:rPr>
                <w:rFonts w:ascii="Calibri" w:eastAsia="Calibri" w:hAnsi="Calibri" w:cs="Calibri"/>
                <w:color w:val="000000" w:themeColor="text1"/>
              </w:rPr>
              <w:t>245</w:t>
            </w:r>
            <w:r w:rsidRPr="3F892FE0" w:rsidR="3C94D3B9">
              <w:rPr>
                <w:rFonts w:ascii="Calibri" w:eastAsia="Calibri" w:hAnsi="Calibri" w:cs="Calibri"/>
                <w:color w:val="000000" w:themeColor="text1"/>
              </w:rPr>
              <w:t>,</w:t>
            </w:r>
            <w:r w:rsidRPr="3F892FE0" w:rsidR="5C3BC5D4">
              <w:rPr>
                <w:rFonts w:ascii="Calibri" w:eastAsia="Calibri" w:hAnsi="Calibri" w:cs="Calibri"/>
                <w:color w:val="000000" w:themeColor="text1"/>
              </w:rPr>
              <w:t>105.58</w:t>
            </w:r>
          </w:p>
        </w:tc>
      </w:tr>
    </w:tbl>
    <w:p w:rsidR="63917C60" w:rsidP="63917C60" w14:paraId="5BE0920A" w14:textId="3E2A8807">
      <w:pPr>
        <w:pStyle w:val="paragraph"/>
        <w:spacing w:before="0" w:beforeAutospacing="0" w:after="0" w:afterAutospacing="0"/>
        <w:rPr>
          <w:rStyle w:val="eop"/>
        </w:rPr>
      </w:pPr>
    </w:p>
    <w:p w:rsidR="00BA2086" w:rsidP="00BA2086" w14:paraId="6F80326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P="00BA2086" w14:paraId="241A519E" w14:textId="77777777">
      <w:pPr>
        <w:pStyle w:val="paragraph"/>
        <w:spacing w:before="0" w:beforeAutospacing="0" w:after="0" w:afterAutospacing="0"/>
        <w:textAlignment w:val="baseline"/>
        <w:rPr>
          <w:rFonts w:ascii="Segoe UI" w:hAnsi="Segoe UI" w:cs="Segoe UI"/>
          <w:sz w:val="18"/>
          <w:szCs w:val="18"/>
        </w:rPr>
      </w:pPr>
      <w:r w:rsidRPr="22AB90B4">
        <w:rPr>
          <w:rStyle w:val="normaltextrun"/>
          <w:rFonts w:ascii="Arial" w:hAnsi="Arial" w:cs="Arial"/>
        </w:rPr>
        <w:t>15. Explain the reasons for any program changes or adjustments reported on the burden worksheet.</w:t>
      </w:r>
      <w:r w:rsidRPr="22AB90B4">
        <w:rPr>
          <w:rStyle w:val="eop"/>
          <w:rFonts w:ascii="Arial" w:hAnsi="Arial" w:cs="Arial"/>
        </w:rPr>
        <w:t> </w:t>
      </w:r>
    </w:p>
    <w:p w:rsidR="22AB90B4" w:rsidP="22AB90B4" w14:paraId="411F12C9" w14:textId="71CAAC1D">
      <w:pPr>
        <w:pStyle w:val="paragraph"/>
        <w:spacing w:before="0" w:beforeAutospacing="0" w:after="0" w:afterAutospacing="0"/>
        <w:rPr>
          <w:rStyle w:val="eop"/>
          <w:rFonts w:asciiTheme="minorHAnsi" w:eastAsiaTheme="minorEastAsia" w:hAnsiTheme="minorHAnsi" w:cstheme="minorBidi"/>
          <w:sz w:val="22"/>
          <w:szCs w:val="22"/>
        </w:rPr>
      </w:pPr>
    </w:p>
    <w:p w:rsidR="22AB90B4" w:rsidP="63917C60" w14:paraId="626FE3BB" w14:textId="6DB93247">
      <w:pPr>
        <w:pStyle w:val="paragraph"/>
        <w:spacing w:before="0" w:beforeAutospacing="0" w:after="0" w:afterAutospacing="0"/>
        <w:rPr>
          <w:rStyle w:val="eop"/>
          <w:rFonts w:asciiTheme="minorHAnsi" w:eastAsiaTheme="minorEastAsia" w:hAnsiTheme="minorHAnsi" w:cstheme="minorBidi"/>
        </w:rPr>
      </w:pPr>
      <w:r w:rsidRPr="63917C60">
        <w:rPr>
          <w:rStyle w:val="eop"/>
          <w:rFonts w:asciiTheme="minorHAnsi" w:eastAsiaTheme="minorEastAsia" w:hAnsiTheme="minorHAnsi" w:cstheme="minorBidi"/>
        </w:rPr>
        <w:t>Not applicable.</w:t>
      </w:r>
    </w:p>
    <w:p w:rsidR="00BA2086" w:rsidP="00BA2086" w14:paraId="20B9D6D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RPr="00A81A7C" w:rsidP="22AB90B4" w14:paraId="1474CC88" w14:textId="77777777">
      <w:pPr>
        <w:pStyle w:val="paragraph"/>
        <w:spacing w:before="0" w:beforeAutospacing="0" w:after="0" w:afterAutospacing="0"/>
        <w:textAlignment w:val="baseline"/>
        <w:rPr>
          <w:rFonts w:ascii="Segoe UI" w:hAnsi="Segoe UI" w:cs="Segoe UI"/>
          <w:sz w:val="18"/>
          <w:szCs w:val="18"/>
        </w:rPr>
      </w:pPr>
      <w:r w:rsidRPr="00A81A7C">
        <w:rPr>
          <w:rStyle w:val="normaltextrun"/>
          <w:rFonts w:ascii="Arial" w:hAnsi="Arial" w:cs="Arial"/>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A81A7C">
        <w:rPr>
          <w:rStyle w:val="eop"/>
          <w:rFonts w:ascii="Arial" w:hAnsi="Arial" w:cs="Arial"/>
        </w:rPr>
        <w:t> </w:t>
      </w:r>
    </w:p>
    <w:p w:rsidR="00BA2086" w:rsidP="63917C60" w14:paraId="5FD734A0" w14:textId="77777777">
      <w:pPr>
        <w:pStyle w:val="paragraph"/>
        <w:spacing w:before="0" w:beforeAutospacing="0" w:after="0" w:afterAutospacing="0"/>
        <w:textAlignment w:val="baseline"/>
        <w:rPr>
          <w:rFonts w:ascii="Segoe UI" w:hAnsi="Segoe UI" w:cs="Segoe UI"/>
          <w:sz w:val="18"/>
          <w:szCs w:val="18"/>
        </w:rPr>
      </w:pPr>
      <w:r w:rsidRPr="63917C60">
        <w:rPr>
          <w:rStyle w:val="eop"/>
          <w:rFonts w:ascii="Arial" w:hAnsi="Arial" w:cs="Arial"/>
        </w:rPr>
        <w:t> </w:t>
      </w:r>
    </w:p>
    <w:p w:rsidR="63917C60" w:rsidP="3F892FE0" w14:paraId="1182344F" w14:textId="248FDCDD">
      <w:pPr>
        <w:pStyle w:val="paragraph"/>
        <w:spacing w:before="0" w:beforeAutospacing="0" w:after="0" w:afterAutospacing="0"/>
        <w:rPr>
          <w:rStyle w:val="eop"/>
          <w:rFonts w:asciiTheme="minorHAnsi" w:eastAsiaTheme="minorEastAsia" w:hAnsiTheme="minorHAnsi" w:cstheme="minorBidi"/>
        </w:rPr>
      </w:pPr>
      <w:r w:rsidRPr="3F892FE0">
        <w:rPr>
          <w:rStyle w:val="eop"/>
          <w:rFonts w:asciiTheme="minorHAnsi" w:eastAsiaTheme="minorEastAsia" w:hAnsiTheme="minorHAnsi" w:cstheme="minorBidi"/>
        </w:rPr>
        <w:t xml:space="preserve">Collected data will be published on the FMC website. </w:t>
      </w:r>
      <w:r w:rsidRPr="3F892FE0" w:rsidR="00F86D8C">
        <w:rPr>
          <w:rStyle w:val="eop"/>
          <w:rFonts w:asciiTheme="minorHAnsi" w:eastAsiaTheme="minorEastAsia" w:hAnsiTheme="minorHAnsi" w:cstheme="minorBidi"/>
        </w:rPr>
        <w:t>The</w:t>
      </w:r>
      <w:r w:rsidRPr="3F892FE0">
        <w:rPr>
          <w:rStyle w:val="eop"/>
          <w:rFonts w:asciiTheme="minorHAnsi" w:eastAsiaTheme="minorEastAsia" w:hAnsiTheme="minorHAnsi" w:cstheme="minorBidi"/>
        </w:rPr>
        <w:t xml:space="preserve"> </w:t>
      </w:r>
      <w:r w:rsidR="003A1AE3">
        <w:rPr>
          <w:rStyle w:val="eop"/>
          <w:rFonts w:asciiTheme="minorHAnsi" w:eastAsiaTheme="minorEastAsia" w:hAnsiTheme="minorHAnsi" w:cstheme="minorBidi"/>
        </w:rPr>
        <w:t>OSRA 2022</w:t>
      </w:r>
      <w:r w:rsidRPr="3F892FE0" w:rsidR="003A1AE3">
        <w:rPr>
          <w:rStyle w:val="eop"/>
          <w:rFonts w:asciiTheme="minorHAnsi" w:eastAsiaTheme="minorEastAsia" w:hAnsiTheme="minorHAnsi" w:cstheme="minorBidi"/>
        </w:rPr>
        <w:t xml:space="preserve"> </w:t>
      </w:r>
      <w:r w:rsidRPr="3F892FE0">
        <w:rPr>
          <w:rStyle w:val="eop"/>
          <w:rFonts w:asciiTheme="minorHAnsi" w:eastAsiaTheme="minorEastAsia" w:hAnsiTheme="minorHAnsi" w:cstheme="minorBidi"/>
        </w:rPr>
        <w:t>language requires publication at the vessel level</w:t>
      </w:r>
      <w:r w:rsidRPr="3F892FE0" w:rsidR="00F86D8C">
        <w:rPr>
          <w:rStyle w:val="eop"/>
          <w:rFonts w:asciiTheme="minorHAnsi" w:eastAsiaTheme="minorEastAsia" w:hAnsiTheme="minorHAnsi" w:cstheme="minorBidi"/>
        </w:rPr>
        <w:t>. However</w:t>
      </w:r>
      <w:r w:rsidRPr="3F892FE0">
        <w:rPr>
          <w:rStyle w:val="eop"/>
          <w:rFonts w:asciiTheme="minorHAnsi" w:eastAsiaTheme="minorEastAsia" w:hAnsiTheme="minorHAnsi" w:cstheme="minorBidi"/>
        </w:rPr>
        <w:t>,</w:t>
      </w:r>
      <w:r w:rsidRPr="3F892FE0" w:rsidR="00F86D8C">
        <w:rPr>
          <w:rStyle w:val="eop"/>
          <w:rFonts w:asciiTheme="minorHAnsi" w:eastAsiaTheme="minorEastAsia" w:hAnsiTheme="minorHAnsi" w:cstheme="minorBidi"/>
        </w:rPr>
        <w:t xml:space="preserve"> </w:t>
      </w:r>
      <w:r w:rsidRPr="3F892FE0" w:rsidR="00956002">
        <w:rPr>
          <w:rStyle w:val="eop"/>
          <w:rFonts w:asciiTheme="minorHAnsi" w:eastAsiaTheme="minorEastAsia" w:hAnsiTheme="minorHAnsi" w:cstheme="minorBidi"/>
        </w:rPr>
        <w:t xml:space="preserve">as detailed in #4 above, </w:t>
      </w:r>
      <w:r w:rsidRPr="3F892FE0" w:rsidR="00F86D8C">
        <w:rPr>
          <w:rStyle w:val="eop"/>
          <w:rFonts w:asciiTheme="minorHAnsi" w:eastAsiaTheme="minorEastAsia" w:hAnsiTheme="minorHAnsi" w:cstheme="minorBidi"/>
        </w:rPr>
        <w:t>in order to</w:t>
      </w:r>
      <w:r w:rsidRPr="3F892FE0" w:rsidR="00F86D8C">
        <w:rPr>
          <w:rStyle w:val="eop"/>
          <w:rFonts w:asciiTheme="minorHAnsi" w:eastAsiaTheme="minorEastAsia" w:hAnsiTheme="minorHAnsi" w:cstheme="minorBidi"/>
        </w:rPr>
        <w:t xml:space="preserve"> </w:t>
      </w:r>
      <w:r w:rsidRPr="3F892FE0" w:rsidR="003F69DA">
        <w:rPr>
          <w:rStyle w:val="eop"/>
          <w:rFonts w:asciiTheme="minorHAnsi" w:eastAsiaTheme="minorEastAsia" w:hAnsiTheme="minorHAnsi" w:cstheme="minorBidi"/>
        </w:rPr>
        <w:t xml:space="preserve">produce an accurate picture of </w:t>
      </w:r>
      <w:r w:rsidRPr="3F892FE0" w:rsidR="00154425">
        <w:rPr>
          <w:rStyle w:val="eop"/>
          <w:rFonts w:asciiTheme="minorHAnsi" w:eastAsiaTheme="minorEastAsia" w:hAnsiTheme="minorHAnsi" w:cstheme="minorBidi"/>
        </w:rPr>
        <w:t xml:space="preserve">total loaded and empty containers </w:t>
      </w:r>
      <w:r w:rsidRPr="3F892FE0" w:rsidR="00E96162">
        <w:rPr>
          <w:rStyle w:val="eop"/>
          <w:rFonts w:asciiTheme="minorHAnsi" w:eastAsiaTheme="minorEastAsia" w:hAnsiTheme="minorHAnsi" w:cstheme="minorBidi"/>
        </w:rPr>
        <w:t xml:space="preserve">moving in U.S. </w:t>
      </w:r>
      <w:r w:rsidRPr="3F892FE0" w:rsidR="005323F4">
        <w:rPr>
          <w:rStyle w:val="eop"/>
          <w:rFonts w:asciiTheme="minorHAnsi" w:eastAsiaTheme="minorEastAsia" w:hAnsiTheme="minorHAnsi" w:cstheme="minorBidi"/>
        </w:rPr>
        <w:t xml:space="preserve">foreign </w:t>
      </w:r>
      <w:r w:rsidRPr="3F892FE0" w:rsidR="00E96162">
        <w:rPr>
          <w:rStyle w:val="eop"/>
          <w:rFonts w:asciiTheme="minorHAnsi" w:eastAsiaTheme="minorEastAsia" w:hAnsiTheme="minorHAnsi" w:cstheme="minorBidi"/>
        </w:rPr>
        <w:t>oceanborn</w:t>
      </w:r>
      <w:r w:rsidRPr="3F892FE0" w:rsidR="009B5501">
        <w:rPr>
          <w:rStyle w:val="eop"/>
          <w:rFonts w:asciiTheme="minorHAnsi" w:eastAsiaTheme="minorEastAsia" w:hAnsiTheme="minorHAnsi" w:cstheme="minorBidi"/>
        </w:rPr>
        <w:t>e</w:t>
      </w:r>
      <w:r w:rsidRPr="3F892FE0" w:rsidR="00E96162">
        <w:rPr>
          <w:rStyle w:val="eop"/>
          <w:rFonts w:asciiTheme="minorHAnsi" w:eastAsiaTheme="minorEastAsia" w:hAnsiTheme="minorHAnsi" w:cstheme="minorBidi"/>
        </w:rPr>
        <w:t xml:space="preserve"> trades</w:t>
      </w:r>
      <w:r w:rsidRPr="3F892FE0" w:rsidR="006561CF">
        <w:rPr>
          <w:rStyle w:val="eop"/>
          <w:rFonts w:asciiTheme="minorHAnsi" w:eastAsiaTheme="minorEastAsia" w:hAnsiTheme="minorHAnsi" w:cstheme="minorBidi"/>
        </w:rPr>
        <w:t xml:space="preserve"> </w:t>
      </w:r>
      <w:r w:rsidRPr="3F892FE0" w:rsidR="003F69DA">
        <w:rPr>
          <w:rStyle w:val="eop"/>
          <w:rFonts w:asciiTheme="minorHAnsi" w:eastAsiaTheme="minorEastAsia" w:hAnsiTheme="minorHAnsi" w:cstheme="minorBidi"/>
        </w:rPr>
        <w:t>at the ve</w:t>
      </w:r>
      <w:r w:rsidRPr="3F892FE0" w:rsidR="00956002">
        <w:rPr>
          <w:rStyle w:val="eop"/>
          <w:rFonts w:asciiTheme="minorHAnsi" w:eastAsiaTheme="minorEastAsia" w:hAnsiTheme="minorHAnsi" w:cstheme="minorBidi"/>
        </w:rPr>
        <w:t>ssel level</w:t>
      </w:r>
      <w:r w:rsidRPr="3F892FE0" w:rsidR="006561CF">
        <w:rPr>
          <w:rStyle w:val="eop"/>
          <w:rFonts w:asciiTheme="minorHAnsi" w:eastAsiaTheme="minorEastAsia" w:hAnsiTheme="minorHAnsi" w:cstheme="minorBidi"/>
        </w:rPr>
        <w:t xml:space="preserve">, </w:t>
      </w:r>
      <w:r w:rsidRPr="3F892FE0" w:rsidR="000A5D17">
        <w:rPr>
          <w:rStyle w:val="eop"/>
          <w:rFonts w:asciiTheme="minorHAnsi" w:eastAsiaTheme="minorEastAsia" w:hAnsiTheme="minorHAnsi" w:cstheme="minorBidi"/>
        </w:rPr>
        <w:t>data</w:t>
      </w:r>
      <w:r w:rsidRPr="3F892FE0" w:rsidR="006561CF">
        <w:rPr>
          <w:rStyle w:val="eop"/>
          <w:rFonts w:asciiTheme="minorHAnsi" w:eastAsiaTheme="minorEastAsia" w:hAnsiTheme="minorHAnsi" w:cstheme="minorBidi"/>
        </w:rPr>
        <w:t xml:space="preserve"> must be collected at the carrier level.</w:t>
      </w:r>
      <w:r w:rsidRPr="3F892FE0">
        <w:rPr>
          <w:rStyle w:val="eop"/>
          <w:rFonts w:asciiTheme="minorHAnsi" w:eastAsiaTheme="minorEastAsia" w:hAnsiTheme="minorHAnsi" w:cstheme="minorBidi"/>
        </w:rPr>
        <w:t xml:space="preserve"> </w:t>
      </w:r>
      <w:r w:rsidRPr="3F892FE0" w:rsidR="00855227">
        <w:rPr>
          <w:rStyle w:val="eop"/>
          <w:rFonts w:asciiTheme="minorHAnsi" w:eastAsiaTheme="minorEastAsia" w:hAnsiTheme="minorHAnsi" w:cstheme="minorBidi"/>
        </w:rPr>
        <w:t>The</w:t>
      </w:r>
      <w:r w:rsidRPr="3F892FE0" w:rsidR="00685918">
        <w:rPr>
          <w:rStyle w:val="eop"/>
          <w:rFonts w:asciiTheme="minorHAnsi" w:eastAsiaTheme="minorEastAsia" w:hAnsiTheme="minorHAnsi" w:cstheme="minorBidi"/>
        </w:rPr>
        <w:t xml:space="preserve"> </w:t>
      </w:r>
      <w:r w:rsidRPr="3F892FE0">
        <w:rPr>
          <w:rStyle w:val="eop"/>
          <w:rFonts w:asciiTheme="minorHAnsi" w:eastAsiaTheme="minorEastAsia" w:hAnsiTheme="minorHAnsi" w:cstheme="minorBidi"/>
        </w:rPr>
        <w:t xml:space="preserve">FMC believes there will be utility to the shipping public by allowing users to easily view </w:t>
      </w:r>
      <w:r w:rsidRPr="3F892FE0" w:rsidR="000A5D17">
        <w:rPr>
          <w:rStyle w:val="eop"/>
          <w:rFonts w:asciiTheme="minorHAnsi" w:eastAsiaTheme="minorEastAsia" w:hAnsiTheme="minorHAnsi" w:cstheme="minorBidi"/>
        </w:rPr>
        <w:t>both the carrier- and vessel-level</w:t>
      </w:r>
      <w:r w:rsidRPr="3F892FE0" w:rsidR="009B6765">
        <w:rPr>
          <w:rStyle w:val="eop"/>
          <w:rFonts w:asciiTheme="minorHAnsi" w:eastAsiaTheme="minorEastAsia" w:hAnsiTheme="minorHAnsi" w:cstheme="minorBidi"/>
        </w:rPr>
        <w:t xml:space="preserve"> information and intends to publish both.</w:t>
      </w:r>
      <w:r w:rsidRPr="3F892FE0">
        <w:rPr>
          <w:rStyle w:val="eop"/>
          <w:rFonts w:asciiTheme="minorHAnsi" w:eastAsiaTheme="minorEastAsia" w:hAnsiTheme="minorHAnsi" w:cstheme="minorBidi"/>
        </w:rPr>
        <w:t xml:space="preserve"> We will provide the data to the public via downloadable Excel workbook, </w:t>
      </w:r>
      <w:r w:rsidRPr="3F892FE0" w:rsidR="006879AC">
        <w:rPr>
          <w:rStyle w:val="eop"/>
          <w:rFonts w:asciiTheme="minorHAnsi" w:eastAsiaTheme="minorEastAsia" w:hAnsiTheme="minorHAnsi" w:cstheme="minorBidi"/>
        </w:rPr>
        <w:t>and also</w:t>
      </w:r>
      <w:r w:rsidRPr="3F892FE0">
        <w:rPr>
          <w:rStyle w:val="eop"/>
          <w:rFonts w:asciiTheme="minorHAnsi" w:eastAsiaTheme="minorEastAsia" w:hAnsiTheme="minorHAnsi" w:cstheme="minorBidi"/>
        </w:rPr>
        <w:t xml:space="preserve"> provide a written report summarizing information at the carrier level, as well as in aggregate across all collected data.</w:t>
      </w:r>
    </w:p>
    <w:p w:rsidR="63917C60" w:rsidP="63917C60" w14:paraId="0A3CBABA" w14:textId="758F617A">
      <w:pPr>
        <w:pStyle w:val="paragraph"/>
        <w:spacing w:before="0" w:beforeAutospacing="0" w:after="0" w:afterAutospacing="0"/>
        <w:rPr>
          <w:rStyle w:val="eop"/>
        </w:rPr>
      </w:pPr>
    </w:p>
    <w:p w:rsidR="63917C60" w:rsidP="3F892FE0" w14:paraId="58B1716D" w14:textId="67E12F09">
      <w:pPr>
        <w:pStyle w:val="paragraph"/>
        <w:spacing w:before="0" w:beforeAutospacing="0" w:after="0" w:afterAutospacing="0"/>
        <w:rPr>
          <w:rStyle w:val="eop"/>
          <w:rFonts w:asciiTheme="minorHAnsi" w:eastAsiaTheme="minorEastAsia" w:hAnsiTheme="minorHAnsi" w:cstheme="minorBidi"/>
        </w:rPr>
      </w:pPr>
      <w:r w:rsidRPr="3F892FE0">
        <w:rPr>
          <w:rStyle w:val="eop"/>
          <w:rFonts w:asciiTheme="minorHAnsi" w:eastAsiaTheme="minorEastAsia" w:hAnsiTheme="minorHAnsi" w:cstheme="minorBidi"/>
        </w:rPr>
        <w:t xml:space="preserve">The report is required to be published quarterly. </w:t>
      </w:r>
      <w:r w:rsidRPr="3F892FE0" w:rsidR="30C0413E">
        <w:rPr>
          <w:rStyle w:val="eop"/>
          <w:rFonts w:asciiTheme="minorHAnsi" w:eastAsiaTheme="minorEastAsia" w:hAnsiTheme="minorHAnsi" w:cstheme="minorBidi"/>
        </w:rPr>
        <w:t xml:space="preserve">The </w:t>
      </w:r>
      <w:r w:rsidRPr="3F892FE0">
        <w:rPr>
          <w:rStyle w:val="eop"/>
          <w:rFonts w:asciiTheme="minorHAnsi" w:eastAsiaTheme="minorEastAsia" w:hAnsiTheme="minorHAnsi" w:cstheme="minorBidi"/>
        </w:rPr>
        <w:t xml:space="preserve">FMC anticipates requiring data submission </w:t>
      </w:r>
      <w:r w:rsidRPr="3F892FE0" w:rsidR="602B2D80">
        <w:rPr>
          <w:rStyle w:val="eop"/>
          <w:rFonts w:asciiTheme="minorHAnsi" w:eastAsiaTheme="minorEastAsia" w:hAnsiTheme="minorHAnsi" w:cstheme="minorBidi"/>
        </w:rPr>
        <w:t xml:space="preserve">30 </w:t>
      </w:r>
      <w:r w:rsidRPr="3F892FE0">
        <w:rPr>
          <w:rStyle w:val="eop"/>
          <w:rFonts w:asciiTheme="minorHAnsi" w:eastAsiaTheme="minorEastAsia" w:hAnsiTheme="minorHAnsi" w:cstheme="minorBidi"/>
        </w:rPr>
        <w:t xml:space="preserve">days after the end of each calendar month. Allowing 30 days to review and validate, develop data tables, and draft the report, will result in the quarterly report being published to the website </w:t>
      </w:r>
      <w:r w:rsidRPr="3F892FE0" w:rsidR="602B2D80">
        <w:rPr>
          <w:rStyle w:val="eop"/>
          <w:rFonts w:asciiTheme="minorHAnsi" w:eastAsiaTheme="minorEastAsia" w:hAnsiTheme="minorHAnsi" w:cstheme="minorBidi"/>
        </w:rPr>
        <w:t>roughly 60</w:t>
      </w:r>
      <w:r w:rsidRPr="3F892FE0">
        <w:rPr>
          <w:rStyle w:val="eop"/>
          <w:rFonts w:asciiTheme="minorHAnsi" w:eastAsiaTheme="minorEastAsia" w:hAnsiTheme="minorHAnsi" w:cstheme="minorBidi"/>
        </w:rPr>
        <w:t xml:space="preserve"> days after the end of each calendar quarter.</w:t>
      </w:r>
    </w:p>
    <w:p w:rsidR="63917C60" w:rsidP="63917C60" w14:paraId="4997B114" w14:textId="21AC7E5B">
      <w:pPr>
        <w:pStyle w:val="paragraph"/>
        <w:spacing w:before="0" w:beforeAutospacing="0" w:after="0" w:afterAutospacing="0"/>
        <w:rPr>
          <w:rStyle w:val="eop"/>
        </w:rPr>
      </w:pPr>
    </w:p>
    <w:p w:rsidR="63917C60" w:rsidP="3F892FE0" w14:paraId="7C381D20" w14:textId="675DE3ED">
      <w:pPr>
        <w:pStyle w:val="paragraph"/>
        <w:spacing w:before="0" w:beforeAutospacing="0" w:after="0" w:afterAutospacing="0"/>
        <w:rPr>
          <w:rStyle w:val="eop"/>
        </w:rPr>
      </w:pPr>
      <w:r w:rsidRPr="3F892FE0">
        <w:rPr>
          <w:rStyle w:val="eop"/>
          <w:rFonts w:asciiTheme="minorHAnsi" w:eastAsiaTheme="minorEastAsia" w:hAnsiTheme="minorHAnsi" w:cstheme="minorBidi"/>
        </w:rPr>
        <w:t xml:space="preserve">With an anticipated start data of collection in early 2023, </w:t>
      </w:r>
      <w:r w:rsidRPr="3F892FE0" w:rsidR="30C0413E">
        <w:rPr>
          <w:rStyle w:val="eop"/>
          <w:rFonts w:asciiTheme="minorHAnsi" w:eastAsiaTheme="minorEastAsia" w:hAnsiTheme="minorHAnsi" w:cstheme="minorBidi"/>
        </w:rPr>
        <w:t xml:space="preserve">The </w:t>
      </w:r>
      <w:r w:rsidRPr="3F892FE0">
        <w:rPr>
          <w:rStyle w:val="eop"/>
          <w:rFonts w:asciiTheme="minorHAnsi" w:eastAsiaTheme="minorEastAsia" w:hAnsiTheme="minorHAnsi" w:cstheme="minorBidi"/>
        </w:rPr>
        <w:t>FMC expects to publish the first quarterly report that aligns with Q1 2023 data, on June 14, 2023.</w:t>
      </w:r>
    </w:p>
    <w:p w:rsidR="63917C60" w:rsidP="63917C60" w14:paraId="4FA34AF9" w14:textId="2769004E">
      <w:pPr>
        <w:pStyle w:val="paragraph"/>
        <w:spacing w:before="0" w:beforeAutospacing="0" w:after="0" w:afterAutospacing="0"/>
        <w:rPr>
          <w:rStyle w:val="eop"/>
        </w:rPr>
      </w:pPr>
    </w:p>
    <w:p w:rsidR="22AB90B4" w:rsidP="22AB90B4" w14:paraId="013F511E" w14:textId="433E651D">
      <w:pPr>
        <w:pStyle w:val="paragraph"/>
        <w:spacing w:before="0" w:beforeAutospacing="0" w:after="0" w:afterAutospacing="0"/>
        <w:rPr>
          <w:rStyle w:val="eop"/>
        </w:rPr>
      </w:pPr>
    </w:p>
    <w:p w:rsidR="22AB90B4" w:rsidP="22AB90B4" w14:paraId="4BFEE867" w14:textId="74397D9C">
      <w:pPr>
        <w:pStyle w:val="paragraph"/>
        <w:spacing w:before="0" w:beforeAutospacing="0" w:after="0" w:afterAutospacing="0"/>
        <w:rPr>
          <w:rStyle w:val="eop"/>
        </w:rPr>
      </w:pPr>
    </w:p>
    <w:p w:rsidR="00BA2086" w:rsidP="00BA2086" w14:paraId="5E0AD94E" w14:textId="77777777">
      <w:pPr>
        <w:pStyle w:val="paragraph"/>
        <w:spacing w:before="0" w:beforeAutospacing="0" w:after="0" w:afterAutospacing="0"/>
        <w:textAlignment w:val="baseline"/>
        <w:rPr>
          <w:rFonts w:ascii="Segoe UI" w:hAnsi="Segoe UI" w:cs="Segoe UI"/>
          <w:sz w:val="18"/>
          <w:szCs w:val="18"/>
        </w:rPr>
      </w:pPr>
      <w:r w:rsidRPr="22AB90B4">
        <w:rPr>
          <w:rStyle w:val="normaltextrun"/>
          <w:rFonts w:ascii="Arial" w:hAnsi="Arial" w:cs="Arial"/>
        </w:rPr>
        <w:t>17. If seeking approval to not display the expiration date for OMB approval of the information collection, explain the reasons that display would be inappropriate. </w:t>
      </w:r>
      <w:r w:rsidRPr="22AB90B4">
        <w:rPr>
          <w:rStyle w:val="eop"/>
          <w:rFonts w:ascii="Arial" w:hAnsi="Arial" w:cs="Arial"/>
        </w:rPr>
        <w:t> </w:t>
      </w:r>
    </w:p>
    <w:p w:rsidR="22AB90B4" w:rsidP="22AB90B4" w14:paraId="30176356" w14:textId="1A6A9E91">
      <w:pPr>
        <w:pStyle w:val="paragraph"/>
        <w:spacing w:before="0" w:beforeAutospacing="0" w:after="0" w:afterAutospacing="0"/>
        <w:rPr>
          <w:rStyle w:val="eop"/>
        </w:rPr>
      </w:pPr>
    </w:p>
    <w:p w:rsidR="22AB90B4" w:rsidP="63917C60" w14:paraId="1A7689E5" w14:textId="69D9574A">
      <w:pPr>
        <w:pStyle w:val="paragraph"/>
        <w:spacing w:before="0" w:beforeAutospacing="0" w:after="0" w:afterAutospacing="0"/>
        <w:rPr>
          <w:rStyle w:val="eop"/>
          <w:rFonts w:asciiTheme="minorHAnsi" w:eastAsiaTheme="minorEastAsia" w:hAnsiTheme="minorHAnsi" w:cstheme="minorBidi"/>
        </w:rPr>
      </w:pPr>
      <w:r w:rsidRPr="63917C60">
        <w:rPr>
          <w:rStyle w:val="eop"/>
          <w:rFonts w:asciiTheme="minorHAnsi" w:eastAsiaTheme="minorEastAsia" w:hAnsiTheme="minorHAnsi" w:cstheme="minorBidi"/>
        </w:rPr>
        <w:t xml:space="preserve">Not applicable. </w:t>
      </w:r>
    </w:p>
    <w:p w:rsidR="00BA2086" w:rsidP="00BA2086" w14:paraId="613F76D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BA2086" w:rsidP="00BA2086" w14:paraId="5ABF6A2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18. Explain each exception to the topics of the certification statement identified in “Certification for Paperwork Reduction Act Submissions,”</w:t>
      </w:r>
      <w:r>
        <w:rPr>
          <w:rStyle w:val="eop"/>
          <w:rFonts w:ascii="Arial" w:hAnsi="Arial" w:cs="Arial"/>
        </w:rPr>
        <w:t> </w:t>
      </w:r>
    </w:p>
    <w:p w:rsidR="00805011" w14:paraId="6BB42111" w14:textId="77777777"/>
    <w:p w:rsidR="22AB90B4" w:rsidP="63917C60" w14:paraId="06AC7826" w14:textId="3A0D7673">
      <w:pPr>
        <w:rPr>
          <w:sz w:val="24"/>
          <w:szCs w:val="24"/>
        </w:rPr>
      </w:pPr>
      <w:r w:rsidRPr="63917C60">
        <w:rPr>
          <w:sz w:val="24"/>
          <w:szCs w:val="24"/>
        </w:rPr>
        <w:t>Not applicable</w:t>
      </w:r>
      <w:r w:rsidR="003E1B0C">
        <w:rPr>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0B68" w:rsidP="000B775D" w14:paraId="6292F6F7" w14:textId="77777777">
      <w:pPr>
        <w:spacing w:after="0" w:line="240" w:lineRule="auto"/>
      </w:pPr>
      <w:r>
        <w:separator/>
      </w:r>
    </w:p>
  </w:footnote>
  <w:footnote w:type="continuationSeparator" w:id="1">
    <w:p w:rsidR="00B20B68" w:rsidP="000B775D" w14:paraId="52C9F94E" w14:textId="77777777">
      <w:pPr>
        <w:spacing w:after="0" w:line="240" w:lineRule="auto"/>
      </w:pPr>
      <w:r>
        <w:continuationSeparator/>
      </w:r>
    </w:p>
  </w:footnote>
  <w:footnote w:type="continuationNotice" w:id="2">
    <w:p w:rsidR="00B20B68" w14:paraId="7BEBD2A1" w14:textId="77777777">
      <w:pPr>
        <w:spacing w:after="0" w:line="240" w:lineRule="auto"/>
      </w:pPr>
    </w:p>
  </w:footnote>
  <w:footnote w:id="3">
    <w:p w:rsidR="000B775D" w14:paraId="3E42420B" w14:textId="4B0E8000">
      <w:pPr>
        <w:pStyle w:val="FootnoteText"/>
      </w:pPr>
      <w:r>
        <w:rPr>
          <w:rStyle w:val="FootnoteReference"/>
        </w:rPr>
        <w:footnoteRef/>
      </w:r>
      <w:r>
        <w:t xml:space="preserve"> When the Commission calculated an estimated time per response in the two Federal Register notices, the Commission </w:t>
      </w:r>
      <w:r w:rsidR="00281CEE">
        <w:t xml:space="preserve">based this on the total yearly burden per vessel-operating common carrier. The Commission has broken this yearly per-carrier number into </w:t>
      </w:r>
      <w:r w:rsidR="00E83CFC">
        <w:t xml:space="preserve">a burden estimate </w:t>
      </w:r>
      <w:r w:rsidR="0058775D">
        <w:t>per-response.</w:t>
      </w:r>
      <w:r w:rsidR="003A1AE3">
        <w:t xml:space="preserve"> Vessel-operating common carriers are required to respond once a month.</w:t>
      </w:r>
      <w:r w:rsidR="0058775D">
        <w:t xml:space="preserve"> So</w:t>
      </w:r>
      <w:r w:rsidR="00615496">
        <w:t>,</w:t>
      </w:r>
      <w:r w:rsidR="0058775D">
        <w:t xml:space="preserve"> while the total annual burden on carriers has not changed</w:t>
      </w:r>
      <w:r w:rsidR="000E0E37">
        <w:t xml:space="preserve"> and the time per </w:t>
      </w:r>
      <w:r w:rsidR="003A1AE3">
        <w:t xml:space="preserve">monthly </w:t>
      </w:r>
      <w:r w:rsidR="000E0E37">
        <w:t>response has not changed, the</w:t>
      </w:r>
      <w:r w:rsidR="003A1AE3">
        <w:t xml:space="preserve"> Commission is reflecting a different number when reporting the estimated time per response.  </w:t>
      </w:r>
      <w:r w:rsidR="000E0E37">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86"/>
    <w:rsid w:val="000018C0"/>
    <w:rsid w:val="0000543B"/>
    <w:rsid w:val="000133A3"/>
    <w:rsid w:val="00023E80"/>
    <w:rsid w:val="00025709"/>
    <w:rsid w:val="00033C0D"/>
    <w:rsid w:val="0003447F"/>
    <w:rsid w:val="00036152"/>
    <w:rsid w:val="00040AC5"/>
    <w:rsid w:val="0005560B"/>
    <w:rsid w:val="00056108"/>
    <w:rsid w:val="00072D5A"/>
    <w:rsid w:val="000911CF"/>
    <w:rsid w:val="00097160"/>
    <w:rsid w:val="000A039A"/>
    <w:rsid w:val="000A1FB1"/>
    <w:rsid w:val="000A4CDC"/>
    <w:rsid w:val="000A5D17"/>
    <w:rsid w:val="000B0530"/>
    <w:rsid w:val="000B775D"/>
    <w:rsid w:val="000C25BC"/>
    <w:rsid w:val="000C763D"/>
    <w:rsid w:val="000D4C52"/>
    <w:rsid w:val="000D737B"/>
    <w:rsid w:val="000D7AB2"/>
    <w:rsid w:val="000E0E37"/>
    <w:rsid w:val="000E7723"/>
    <w:rsid w:val="000F5FC0"/>
    <w:rsid w:val="00114E76"/>
    <w:rsid w:val="00123BEF"/>
    <w:rsid w:val="001303DD"/>
    <w:rsid w:val="00147B37"/>
    <w:rsid w:val="00154425"/>
    <w:rsid w:val="00155C14"/>
    <w:rsid w:val="00162CF5"/>
    <w:rsid w:val="001652F9"/>
    <w:rsid w:val="001662D7"/>
    <w:rsid w:val="0018322E"/>
    <w:rsid w:val="00192B08"/>
    <w:rsid w:val="00193C04"/>
    <w:rsid w:val="001A4573"/>
    <w:rsid w:val="001B18B3"/>
    <w:rsid w:val="001E24AC"/>
    <w:rsid w:val="001E2928"/>
    <w:rsid w:val="002003D2"/>
    <w:rsid w:val="00210812"/>
    <w:rsid w:val="00212BAA"/>
    <w:rsid w:val="00227E4C"/>
    <w:rsid w:val="002326C6"/>
    <w:rsid w:val="00234DAB"/>
    <w:rsid w:val="00243560"/>
    <w:rsid w:val="00246436"/>
    <w:rsid w:val="00253326"/>
    <w:rsid w:val="0026506B"/>
    <w:rsid w:val="002729E3"/>
    <w:rsid w:val="002743FC"/>
    <w:rsid w:val="002778C2"/>
    <w:rsid w:val="00280E35"/>
    <w:rsid w:val="00281CEE"/>
    <w:rsid w:val="00287BC4"/>
    <w:rsid w:val="002918AD"/>
    <w:rsid w:val="00291DFB"/>
    <w:rsid w:val="002B14D7"/>
    <w:rsid w:val="002B3B06"/>
    <w:rsid w:val="002B5143"/>
    <w:rsid w:val="002B5E63"/>
    <w:rsid w:val="002D1AE2"/>
    <w:rsid w:val="002D39AF"/>
    <w:rsid w:val="002E132E"/>
    <w:rsid w:val="002F22AF"/>
    <w:rsid w:val="002F6EC2"/>
    <w:rsid w:val="00301AB5"/>
    <w:rsid w:val="00326E3D"/>
    <w:rsid w:val="0033352D"/>
    <w:rsid w:val="0034208C"/>
    <w:rsid w:val="00370A46"/>
    <w:rsid w:val="00382595"/>
    <w:rsid w:val="00394F23"/>
    <w:rsid w:val="003A1AE3"/>
    <w:rsid w:val="003B0593"/>
    <w:rsid w:val="003B2201"/>
    <w:rsid w:val="003B26C3"/>
    <w:rsid w:val="003B6D91"/>
    <w:rsid w:val="003B7340"/>
    <w:rsid w:val="003C26F6"/>
    <w:rsid w:val="003D1DCD"/>
    <w:rsid w:val="003D42B0"/>
    <w:rsid w:val="003E0778"/>
    <w:rsid w:val="003E1B0C"/>
    <w:rsid w:val="003F02BF"/>
    <w:rsid w:val="003F2627"/>
    <w:rsid w:val="003F69DA"/>
    <w:rsid w:val="00401FD6"/>
    <w:rsid w:val="00402DB1"/>
    <w:rsid w:val="00416790"/>
    <w:rsid w:val="004409D0"/>
    <w:rsid w:val="004547FC"/>
    <w:rsid w:val="004617FC"/>
    <w:rsid w:val="00464690"/>
    <w:rsid w:val="00470CE8"/>
    <w:rsid w:val="00474DFA"/>
    <w:rsid w:val="00480DA2"/>
    <w:rsid w:val="0048108F"/>
    <w:rsid w:val="00481D6E"/>
    <w:rsid w:val="004C5EE4"/>
    <w:rsid w:val="004E1E7A"/>
    <w:rsid w:val="004E67C9"/>
    <w:rsid w:val="00507CB8"/>
    <w:rsid w:val="0051699B"/>
    <w:rsid w:val="00524BC9"/>
    <w:rsid w:val="005323F4"/>
    <w:rsid w:val="00540070"/>
    <w:rsid w:val="00555CBC"/>
    <w:rsid w:val="00560032"/>
    <w:rsid w:val="00572512"/>
    <w:rsid w:val="005804E2"/>
    <w:rsid w:val="00585528"/>
    <w:rsid w:val="00585EB0"/>
    <w:rsid w:val="005869D1"/>
    <w:rsid w:val="0058775D"/>
    <w:rsid w:val="00590B4B"/>
    <w:rsid w:val="005A0A39"/>
    <w:rsid w:val="005A38CF"/>
    <w:rsid w:val="005B03E4"/>
    <w:rsid w:val="005B6B36"/>
    <w:rsid w:val="005B6CC2"/>
    <w:rsid w:val="005D0659"/>
    <w:rsid w:val="005D1B06"/>
    <w:rsid w:val="005F5B75"/>
    <w:rsid w:val="0060734A"/>
    <w:rsid w:val="00615496"/>
    <w:rsid w:val="006154A4"/>
    <w:rsid w:val="006265C4"/>
    <w:rsid w:val="0064661C"/>
    <w:rsid w:val="006561CF"/>
    <w:rsid w:val="00685918"/>
    <w:rsid w:val="006879AC"/>
    <w:rsid w:val="006A0160"/>
    <w:rsid w:val="006A7B3A"/>
    <w:rsid w:val="006D4396"/>
    <w:rsid w:val="006E54BD"/>
    <w:rsid w:val="006F0C0A"/>
    <w:rsid w:val="006F31DA"/>
    <w:rsid w:val="007003C2"/>
    <w:rsid w:val="0071636C"/>
    <w:rsid w:val="00730BDC"/>
    <w:rsid w:val="0073463F"/>
    <w:rsid w:val="007355F8"/>
    <w:rsid w:val="00735F28"/>
    <w:rsid w:val="0074537C"/>
    <w:rsid w:val="00745BCB"/>
    <w:rsid w:val="00763E52"/>
    <w:rsid w:val="007732E9"/>
    <w:rsid w:val="00774512"/>
    <w:rsid w:val="00774777"/>
    <w:rsid w:val="0078296A"/>
    <w:rsid w:val="00791C06"/>
    <w:rsid w:val="007C2BFB"/>
    <w:rsid w:val="007C7D34"/>
    <w:rsid w:val="007D3860"/>
    <w:rsid w:val="007F649D"/>
    <w:rsid w:val="0080255B"/>
    <w:rsid w:val="008042C0"/>
    <w:rsid w:val="00805011"/>
    <w:rsid w:val="00807E0B"/>
    <w:rsid w:val="00810953"/>
    <w:rsid w:val="00820EE4"/>
    <w:rsid w:val="00822783"/>
    <w:rsid w:val="00823EA8"/>
    <w:rsid w:val="00824377"/>
    <w:rsid w:val="0083117C"/>
    <w:rsid w:val="00831A3E"/>
    <w:rsid w:val="00846037"/>
    <w:rsid w:val="0084687A"/>
    <w:rsid w:val="0084697A"/>
    <w:rsid w:val="00852E53"/>
    <w:rsid w:val="00855227"/>
    <w:rsid w:val="008605AE"/>
    <w:rsid w:val="008628E1"/>
    <w:rsid w:val="00877895"/>
    <w:rsid w:val="0088021E"/>
    <w:rsid w:val="008809AF"/>
    <w:rsid w:val="00881A61"/>
    <w:rsid w:val="008845D2"/>
    <w:rsid w:val="00887958"/>
    <w:rsid w:val="0089605E"/>
    <w:rsid w:val="008A35FB"/>
    <w:rsid w:val="008A5C63"/>
    <w:rsid w:val="008C27CF"/>
    <w:rsid w:val="008C42DB"/>
    <w:rsid w:val="008C4FF5"/>
    <w:rsid w:val="008D5C6C"/>
    <w:rsid w:val="008D7226"/>
    <w:rsid w:val="008E1009"/>
    <w:rsid w:val="009201F0"/>
    <w:rsid w:val="009263FA"/>
    <w:rsid w:val="009331A6"/>
    <w:rsid w:val="009447BC"/>
    <w:rsid w:val="00954A9E"/>
    <w:rsid w:val="009557D6"/>
    <w:rsid w:val="00956002"/>
    <w:rsid w:val="00974291"/>
    <w:rsid w:val="0098651B"/>
    <w:rsid w:val="00992509"/>
    <w:rsid w:val="00996BEE"/>
    <w:rsid w:val="009A1E89"/>
    <w:rsid w:val="009A4696"/>
    <w:rsid w:val="009A73C0"/>
    <w:rsid w:val="009B32A3"/>
    <w:rsid w:val="009B3C77"/>
    <w:rsid w:val="009B5501"/>
    <w:rsid w:val="009B6765"/>
    <w:rsid w:val="009B7465"/>
    <w:rsid w:val="009C1557"/>
    <w:rsid w:val="009D6B5C"/>
    <w:rsid w:val="009E13E6"/>
    <w:rsid w:val="009E72E3"/>
    <w:rsid w:val="009F1080"/>
    <w:rsid w:val="00A113A8"/>
    <w:rsid w:val="00A142EC"/>
    <w:rsid w:val="00A24700"/>
    <w:rsid w:val="00A30E04"/>
    <w:rsid w:val="00A42B9B"/>
    <w:rsid w:val="00A63AFE"/>
    <w:rsid w:val="00A66DC5"/>
    <w:rsid w:val="00A742EC"/>
    <w:rsid w:val="00A81A7C"/>
    <w:rsid w:val="00A8225C"/>
    <w:rsid w:val="00A92749"/>
    <w:rsid w:val="00AA04DC"/>
    <w:rsid w:val="00AA44DF"/>
    <w:rsid w:val="00AA47FE"/>
    <w:rsid w:val="00AA48F8"/>
    <w:rsid w:val="00AC6D73"/>
    <w:rsid w:val="00AD2CC3"/>
    <w:rsid w:val="00AD469B"/>
    <w:rsid w:val="00AF2633"/>
    <w:rsid w:val="00B01A20"/>
    <w:rsid w:val="00B20B68"/>
    <w:rsid w:val="00B25DFC"/>
    <w:rsid w:val="00B2724E"/>
    <w:rsid w:val="00B3068B"/>
    <w:rsid w:val="00B30C4E"/>
    <w:rsid w:val="00B527E5"/>
    <w:rsid w:val="00B5593B"/>
    <w:rsid w:val="00B564B8"/>
    <w:rsid w:val="00B653EB"/>
    <w:rsid w:val="00B66377"/>
    <w:rsid w:val="00B7361E"/>
    <w:rsid w:val="00B819F8"/>
    <w:rsid w:val="00B90D00"/>
    <w:rsid w:val="00B91A69"/>
    <w:rsid w:val="00BA2086"/>
    <w:rsid w:val="00BA66CD"/>
    <w:rsid w:val="00BB0845"/>
    <w:rsid w:val="00BB0972"/>
    <w:rsid w:val="00BF12C0"/>
    <w:rsid w:val="00BF1D04"/>
    <w:rsid w:val="00C02EE0"/>
    <w:rsid w:val="00C051AF"/>
    <w:rsid w:val="00C10CD5"/>
    <w:rsid w:val="00C431F3"/>
    <w:rsid w:val="00C62A7F"/>
    <w:rsid w:val="00C834C3"/>
    <w:rsid w:val="00C85E63"/>
    <w:rsid w:val="00C953D8"/>
    <w:rsid w:val="00CA4655"/>
    <w:rsid w:val="00CB49A7"/>
    <w:rsid w:val="00CB7A39"/>
    <w:rsid w:val="00CC2444"/>
    <w:rsid w:val="00CD1CC0"/>
    <w:rsid w:val="00CE4207"/>
    <w:rsid w:val="00D10633"/>
    <w:rsid w:val="00D17E0D"/>
    <w:rsid w:val="00D37105"/>
    <w:rsid w:val="00D4088B"/>
    <w:rsid w:val="00D41038"/>
    <w:rsid w:val="00D4481C"/>
    <w:rsid w:val="00D500BA"/>
    <w:rsid w:val="00D6144E"/>
    <w:rsid w:val="00D63481"/>
    <w:rsid w:val="00D670BF"/>
    <w:rsid w:val="00D72715"/>
    <w:rsid w:val="00DA1440"/>
    <w:rsid w:val="00DA782A"/>
    <w:rsid w:val="00DC4ED7"/>
    <w:rsid w:val="00DC7ADD"/>
    <w:rsid w:val="00DD0D83"/>
    <w:rsid w:val="00DD6F8E"/>
    <w:rsid w:val="00DE463A"/>
    <w:rsid w:val="00DE5EE7"/>
    <w:rsid w:val="00DF0961"/>
    <w:rsid w:val="00DF511E"/>
    <w:rsid w:val="00DF7B6C"/>
    <w:rsid w:val="00E21E81"/>
    <w:rsid w:val="00E26042"/>
    <w:rsid w:val="00E414AC"/>
    <w:rsid w:val="00E56DEA"/>
    <w:rsid w:val="00E60F5D"/>
    <w:rsid w:val="00E83CFC"/>
    <w:rsid w:val="00E96162"/>
    <w:rsid w:val="00EB2CCC"/>
    <w:rsid w:val="00EC1B97"/>
    <w:rsid w:val="00EC1C18"/>
    <w:rsid w:val="00EC1E8F"/>
    <w:rsid w:val="00EC2630"/>
    <w:rsid w:val="00EC4A7D"/>
    <w:rsid w:val="00ED221B"/>
    <w:rsid w:val="00ED3510"/>
    <w:rsid w:val="00EE1561"/>
    <w:rsid w:val="00EE3A18"/>
    <w:rsid w:val="00EE4309"/>
    <w:rsid w:val="00EE4D6A"/>
    <w:rsid w:val="00EE69D0"/>
    <w:rsid w:val="00EF4AB2"/>
    <w:rsid w:val="00F03379"/>
    <w:rsid w:val="00F063D9"/>
    <w:rsid w:val="00F1443D"/>
    <w:rsid w:val="00F16227"/>
    <w:rsid w:val="00F23F61"/>
    <w:rsid w:val="00F324D9"/>
    <w:rsid w:val="00F604DD"/>
    <w:rsid w:val="00F61534"/>
    <w:rsid w:val="00F657F4"/>
    <w:rsid w:val="00F712EB"/>
    <w:rsid w:val="00F86661"/>
    <w:rsid w:val="00F86D8C"/>
    <w:rsid w:val="00F9383D"/>
    <w:rsid w:val="00FA6322"/>
    <w:rsid w:val="00FA68AD"/>
    <w:rsid w:val="00FB4C79"/>
    <w:rsid w:val="00FC7261"/>
    <w:rsid w:val="00FD2671"/>
    <w:rsid w:val="00FD5D3E"/>
    <w:rsid w:val="00FD5E64"/>
    <w:rsid w:val="00FE0157"/>
    <w:rsid w:val="00FE6804"/>
    <w:rsid w:val="00FF2A79"/>
    <w:rsid w:val="00FF5722"/>
    <w:rsid w:val="022952A8"/>
    <w:rsid w:val="02CE77E3"/>
    <w:rsid w:val="038804BB"/>
    <w:rsid w:val="052BFFE5"/>
    <w:rsid w:val="059D636C"/>
    <w:rsid w:val="05CF2E07"/>
    <w:rsid w:val="0617D64D"/>
    <w:rsid w:val="07A1B28F"/>
    <w:rsid w:val="07BB9339"/>
    <w:rsid w:val="07F0C4D0"/>
    <w:rsid w:val="084FE36C"/>
    <w:rsid w:val="08A967AF"/>
    <w:rsid w:val="08AE1BC0"/>
    <w:rsid w:val="095592CC"/>
    <w:rsid w:val="09EFBE66"/>
    <w:rsid w:val="0A27B33C"/>
    <w:rsid w:val="0A317C5A"/>
    <w:rsid w:val="0B052CA6"/>
    <w:rsid w:val="0B5F9160"/>
    <w:rsid w:val="0C8F045C"/>
    <w:rsid w:val="0CB7B77A"/>
    <w:rsid w:val="0CE44981"/>
    <w:rsid w:val="0D1DEA68"/>
    <w:rsid w:val="0D3A4307"/>
    <w:rsid w:val="0EE1FC02"/>
    <w:rsid w:val="0F9843EA"/>
    <w:rsid w:val="1065534F"/>
    <w:rsid w:val="1167A2B4"/>
    <w:rsid w:val="118C934B"/>
    <w:rsid w:val="11A3CAAE"/>
    <w:rsid w:val="11AE3FAB"/>
    <w:rsid w:val="11B4CB70"/>
    <w:rsid w:val="11BCF30B"/>
    <w:rsid w:val="11CE2353"/>
    <w:rsid w:val="13191D17"/>
    <w:rsid w:val="14DB6B70"/>
    <w:rsid w:val="1585ECA9"/>
    <w:rsid w:val="15FBBEFF"/>
    <w:rsid w:val="161A2504"/>
    <w:rsid w:val="16992045"/>
    <w:rsid w:val="16CF2BC0"/>
    <w:rsid w:val="16D1EB89"/>
    <w:rsid w:val="18130C32"/>
    <w:rsid w:val="19143356"/>
    <w:rsid w:val="1984C994"/>
    <w:rsid w:val="19A02933"/>
    <w:rsid w:val="19ED2AD7"/>
    <w:rsid w:val="1A69E870"/>
    <w:rsid w:val="1B167E71"/>
    <w:rsid w:val="1B1A4D34"/>
    <w:rsid w:val="1C107063"/>
    <w:rsid w:val="1C6E6D83"/>
    <w:rsid w:val="1D0B860F"/>
    <w:rsid w:val="1D5C8A9C"/>
    <w:rsid w:val="1D661889"/>
    <w:rsid w:val="1DBF895B"/>
    <w:rsid w:val="1E5C5C1E"/>
    <w:rsid w:val="20CD87A6"/>
    <w:rsid w:val="20DA83E8"/>
    <w:rsid w:val="21B1C6DD"/>
    <w:rsid w:val="21EA36A7"/>
    <w:rsid w:val="2218E4FB"/>
    <w:rsid w:val="22AB90B4"/>
    <w:rsid w:val="23F176C7"/>
    <w:rsid w:val="253A63CE"/>
    <w:rsid w:val="26212562"/>
    <w:rsid w:val="2726A502"/>
    <w:rsid w:val="28127B6A"/>
    <w:rsid w:val="284CAFB2"/>
    <w:rsid w:val="28DF3A1F"/>
    <w:rsid w:val="28E42B88"/>
    <w:rsid w:val="2A11C500"/>
    <w:rsid w:val="2B4A1C2C"/>
    <w:rsid w:val="2B940F9F"/>
    <w:rsid w:val="2BB3EDAE"/>
    <w:rsid w:val="2D17F6E4"/>
    <w:rsid w:val="2D1E39C3"/>
    <w:rsid w:val="2D9FDE93"/>
    <w:rsid w:val="2DACF05D"/>
    <w:rsid w:val="2DFCCEEF"/>
    <w:rsid w:val="2F585124"/>
    <w:rsid w:val="3098D920"/>
    <w:rsid w:val="30B6D172"/>
    <w:rsid w:val="30C0413E"/>
    <w:rsid w:val="3101483A"/>
    <w:rsid w:val="31B95DB0"/>
    <w:rsid w:val="323C01CC"/>
    <w:rsid w:val="32673439"/>
    <w:rsid w:val="32C3D535"/>
    <w:rsid w:val="34271C5E"/>
    <w:rsid w:val="343BAFF9"/>
    <w:rsid w:val="350644D6"/>
    <w:rsid w:val="350778EF"/>
    <w:rsid w:val="362AFAF0"/>
    <w:rsid w:val="3767DE9E"/>
    <w:rsid w:val="3775F660"/>
    <w:rsid w:val="37C2DCC8"/>
    <w:rsid w:val="38BF71CB"/>
    <w:rsid w:val="3919EE5C"/>
    <w:rsid w:val="3975D8A9"/>
    <w:rsid w:val="39D3B6D5"/>
    <w:rsid w:val="39DEAE27"/>
    <w:rsid w:val="3A273F50"/>
    <w:rsid w:val="3A37DE61"/>
    <w:rsid w:val="3B0A064B"/>
    <w:rsid w:val="3B47881D"/>
    <w:rsid w:val="3C4267C2"/>
    <w:rsid w:val="3C94D3B9"/>
    <w:rsid w:val="3D3EEC8D"/>
    <w:rsid w:val="3E46B69E"/>
    <w:rsid w:val="3F489941"/>
    <w:rsid w:val="3F892FE0"/>
    <w:rsid w:val="40FC8E07"/>
    <w:rsid w:val="412CEDC7"/>
    <w:rsid w:val="426E409C"/>
    <w:rsid w:val="42F54DDD"/>
    <w:rsid w:val="432567E1"/>
    <w:rsid w:val="442296C5"/>
    <w:rsid w:val="44648E89"/>
    <w:rsid w:val="44F5E765"/>
    <w:rsid w:val="45C901C8"/>
    <w:rsid w:val="46272DC5"/>
    <w:rsid w:val="48377F39"/>
    <w:rsid w:val="4857A4F8"/>
    <w:rsid w:val="488804B8"/>
    <w:rsid w:val="49163BC2"/>
    <w:rsid w:val="491ED74F"/>
    <w:rsid w:val="49E05F86"/>
    <w:rsid w:val="4A0D2087"/>
    <w:rsid w:val="4A2A16C2"/>
    <w:rsid w:val="4A92521C"/>
    <w:rsid w:val="4B2D957D"/>
    <w:rsid w:val="4CB84DC4"/>
    <w:rsid w:val="4D220E32"/>
    <w:rsid w:val="4D570FC2"/>
    <w:rsid w:val="4DF72DC9"/>
    <w:rsid w:val="4F45683C"/>
    <w:rsid w:val="50389A0C"/>
    <w:rsid w:val="50C475C6"/>
    <w:rsid w:val="521FF44E"/>
    <w:rsid w:val="5224CEA9"/>
    <w:rsid w:val="52CC7526"/>
    <w:rsid w:val="542F4E9E"/>
    <w:rsid w:val="54438F14"/>
    <w:rsid w:val="54C580A9"/>
    <w:rsid w:val="54FA4D87"/>
    <w:rsid w:val="54FD41E4"/>
    <w:rsid w:val="54FD9F04"/>
    <w:rsid w:val="551D764E"/>
    <w:rsid w:val="567B19F3"/>
    <w:rsid w:val="569235D5"/>
    <w:rsid w:val="56BA52CD"/>
    <w:rsid w:val="588F607B"/>
    <w:rsid w:val="59DD8BF2"/>
    <w:rsid w:val="5B307164"/>
    <w:rsid w:val="5B6C8368"/>
    <w:rsid w:val="5BD9173E"/>
    <w:rsid w:val="5BF1AA6A"/>
    <w:rsid w:val="5C3BC5D4"/>
    <w:rsid w:val="5C748C29"/>
    <w:rsid w:val="5C9195E8"/>
    <w:rsid w:val="5D570884"/>
    <w:rsid w:val="5D62D19E"/>
    <w:rsid w:val="5D8C5020"/>
    <w:rsid w:val="5E6A3AB7"/>
    <w:rsid w:val="5EF1FB71"/>
    <w:rsid w:val="6014D29E"/>
    <w:rsid w:val="602B2D80"/>
    <w:rsid w:val="60679FD0"/>
    <w:rsid w:val="6069810B"/>
    <w:rsid w:val="60801FBB"/>
    <w:rsid w:val="608F08C1"/>
    <w:rsid w:val="618ADB54"/>
    <w:rsid w:val="6195515F"/>
    <w:rsid w:val="62251C91"/>
    <w:rsid w:val="6233CFF1"/>
    <w:rsid w:val="625A2D10"/>
    <w:rsid w:val="63917C60"/>
    <w:rsid w:val="63BCB37A"/>
    <w:rsid w:val="65697658"/>
    <w:rsid w:val="656B70B3"/>
    <w:rsid w:val="68C39681"/>
    <w:rsid w:val="6909844C"/>
    <w:rsid w:val="6965A8DA"/>
    <w:rsid w:val="6A3EE1D6"/>
    <w:rsid w:val="6A9E574B"/>
    <w:rsid w:val="6B8F4E82"/>
    <w:rsid w:val="6C1979C9"/>
    <w:rsid w:val="6FA62D6B"/>
    <w:rsid w:val="6FE51E3A"/>
    <w:rsid w:val="70ACE791"/>
    <w:rsid w:val="71A564BA"/>
    <w:rsid w:val="72596872"/>
    <w:rsid w:val="72E8E501"/>
    <w:rsid w:val="732A0CF4"/>
    <w:rsid w:val="73D96E9C"/>
    <w:rsid w:val="73F6F6B4"/>
    <w:rsid w:val="74A74BB7"/>
    <w:rsid w:val="75315B23"/>
    <w:rsid w:val="760CC3CF"/>
    <w:rsid w:val="76B23498"/>
    <w:rsid w:val="771AD5CF"/>
    <w:rsid w:val="7783D7B5"/>
    <w:rsid w:val="77E497D0"/>
    <w:rsid w:val="7820A298"/>
    <w:rsid w:val="7B0D7259"/>
    <w:rsid w:val="7B228576"/>
    <w:rsid w:val="7BC0F912"/>
    <w:rsid w:val="7C290F9E"/>
    <w:rsid w:val="7CB8D0AE"/>
    <w:rsid w:val="7CC6CFA8"/>
    <w:rsid w:val="7E59E3C6"/>
    <w:rsid w:val="7E6E474F"/>
    <w:rsid w:val="7F0888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464329"/>
  <w15:docId w15:val="{97399868-CF62-4A9D-8793-813A0D7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A20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2086"/>
  </w:style>
  <w:style w:type="character" w:customStyle="1" w:styleId="eop">
    <w:name w:val="eop"/>
    <w:basedOn w:val="DefaultParagraphFont"/>
    <w:rsid w:val="00BA2086"/>
  </w:style>
  <w:style w:type="character" w:customStyle="1" w:styleId="contextualspellingandgrammarerror">
    <w:name w:val="contextualspellingandgrammarerror"/>
    <w:basedOn w:val="DefaultParagraphFont"/>
    <w:rsid w:val="00BA2086"/>
  </w:style>
  <w:style w:type="character" w:customStyle="1" w:styleId="advancedproofingissue">
    <w:name w:val="advancedproofingissue"/>
    <w:basedOn w:val="DefaultParagraphFont"/>
    <w:rsid w:val="00BA2086"/>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537C"/>
    <w:rPr>
      <w:b/>
      <w:bCs/>
    </w:rPr>
  </w:style>
  <w:style w:type="character" w:customStyle="1" w:styleId="CommentSubjectChar">
    <w:name w:val="Comment Subject Char"/>
    <w:basedOn w:val="CommentTextChar"/>
    <w:link w:val="CommentSubject"/>
    <w:uiPriority w:val="99"/>
    <w:semiHidden/>
    <w:rsid w:val="0074537C"/>
    <w:rPr>
      <w:b/>
      <w:bCs/>
      <w:sz w:val="20"/>
      <w:szCs w:val="20"/>
    </w:rPr>
  </w:style>
  <w:style w:type="character" w:styleId="Mention">
    <w:name w:val="Mention"/>
    <w:basedOn w:val="DefaultParagraphFont"/>
    <w:uiPriority w:val="99"/>
    <w:unhideWhenUsed/>
    <w:rsid w:val="0074537C"/>
    <w:rPr>
      <w:color w:val="2B579A"/>
      <w:shd w:val="clear" w:color="auto" w:fill="E1DFDD"/>
    </w:rPr>
  </w:style>
  <w:style w:type="paragraph" w:styleId="Revision">
    <w:name w:val="Revision"/>
    <w:hidden/>
    <w:uiPriority w:val="99"/>
    <w:semiHidden/>
    <w:rsid w:val="003B6D91"/>
    <w:pPr>
      <w:spacing w:after="0" w:line="240" w:lineRule="auto"/>
    </w:pPr>
  </w:style>
  <w:style w:type="character" w:styleId="UnresolvedMention">
    <w:name w:val="Unresolved Mention"/>
    <w:basedOn w:val="DefaultParagraphFont"/>
    <w:uiPriority w:val="99"/>
    <w:semiHidden/>
    <w:unhideWhenUsed/>
    <w:rsid w:val="008C27CF"/>
    <w:rPr>
      <w:color w:val="605E5C"/>
      <w:shd w:val="clear" w:color="auto" w:fill="E1DFDD"/>
    </w:rPr>
  </w:style>
  <w:style w:type="character" w:customStyle="1" w:styleId="coconcept15">
    <w:name w:val="co_concept_1_5"/>
    <w:basedOn w:val="DefaultParagraphFont"/>
    <w:rsid w:val="00040AC5"/>
  </w:style>
  <w:style w:type="paragraph" w:styleId="FootnoteText">
    <w:name w:val="footnote text"/>
    <w:basedOn w:val="Normal"/>
    <w:link w:val="FootnoteTextChar"/>
    <w:uiPriority w:val="99"/>
    <w:semiHidden/>
    <w:unhideWhenUsed/>
    <w:rsid w:val="000B77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75D"/>
    <w:rPr>
      <w:sz w:val="20"/>
      <w:szCs w:val="20"/>
    </w:rPr>
  </w:style>
  <w:style w:type="character" w:styleId="FootnoteReference">
    <w:name w:val="footnote reference"/>
    <w:basedOn w:val="DefaultParagraphFont"/>
    <w:uiPriority w:val="99"/>
    <w:semiHidden/>
    <w:unhideWhenUsed/>
    <w:rsid w:val="000B775D"/>
    <w:rPr>
      <w:vertAlign w:val="superscript"/>
    </w:rPr>
  </w:style>
  <w:style w:type="paragraph" w:styleId="Header">
    <w:name w:val="header"/>
    <w:basedOn w:val="Normal"/>
    <w:link w:val="HeaderChar"/>
    <w:uiPriority w:val="99"/>
    <w:semiHidden/>
    <w:unhideWhenUsed/>
    <w:rsid w:val="00F144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443D"/>
  </w:style>
  <w:style w:type="paragraph" w:styleId="Footer">
    <w:name w:val="footer"/>
    <w:basedOn w:val="Normal"/>
    <w:link w:val="FooterChar"/>
    <w:uiPriority w:val="99"/>
    <w:semiHidden/>
    <w:unhideWhenUsed/>
    <w:rsid w:val="00F144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4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mc.gov/wpcontent/uploads/2018/10/SBREFA_Guidelines_2003.pdf" TargetMode="External" /><Relationship Id="rId11" Type="http://schemas.openxmlformats.org/officeDocument/2006/relationships/hyperlink" Target="https://ihsmarkit.com/products/piers.html" TargetMode="External" /><Relationship Id="rId12" Type="http://schemas.openxmlformats.org/officeDocument/2006/relationships/hyperlink" Target="https://public.alphaliner.com/" TargetMode="External" /><Relationship Id="rId13" Type="http://schemas.openxmlformats.org/officeDocument/2006/relationships/hyperlink" Target="https://www.bls.gov/oes/"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mc.gov/about-the-fmc/small-business-regulatory-enforcement-fairness-act-consider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qah xmlns="11dcfa2c-9e4d-4e32-bb01-36a5fd84c020">
      <UserInfo>
        <DisplayName/>
        <AccountId xsi:nil="true"/>
        <AccountType/>
      </UserInfo>
    </tqah>
    <TaxCatchAll xmlns="423a852c-62af-4193-8983-80019e6b30ef" xsi:nil="true"/>
    <lcf76f155ced4ddcb4097134ff3c332f xmlns="11dcfa2c-9e4d-4e32-bb01-36a5fd84c020">
      <Terms xmlns="http://schemas.microsoft.com/office/infopath/2007/PartnerControls"/>
    </lcf76f155ced4ddcb4097134ff3c332f>
    <AgreementAssignedto_x003a_ xmlns="11dcfa2c-9e4d-4e32-bb01-36a5fd84c020">
      <UserInfo>
        <DisplayName/>
        <AccountId xsi:nil="true"/>
        <AccountType/>
      </UserInfo>
    </AgreementAssignedto_x003a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1F7C8F9643014B99C34DDCD45DC8F6" ma:contentTypeVersion="21" ma:contentTypeDescription="Create a new document." ma:contentTypeScope="" ma:versionID="66fcd262756f6de07f42a9d0b41dea8e">
  <xsd:schema xmlns:xsd="http://www.w3.org/2001/XMLSchema" xmlns:xs="http://www.w3.org/2001/XMLSchema" xmlns:p="http://schemas.microsoft.com/office/2006/metadata/properties" xmlns:ns2="423a852c-62af-4193-8983-80019e6b30ef" xmlns:ns3="11dcfa2c-9e4d-4e32-bb01-36a5fd84c020" targetNamespace="http://schemas.microsoft.com/office/2006/metadata/properties" ma:root="true" ma:fieldsID="93b0a7313a373c5c93b897cd68c95328" ns2:_="" ns3:_="">
    <xsd:import namespace="423a852c-62af-4193-8983-80019e6b30ef"/>
    <xsd:import namespace="11dcfa2c-9e4d-4e32-bb01-36a5fd84c02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AgreementAssignedto_x003a_" minOccurs="0"/>
                <xsd:element ref="ns3:tqah"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a852c-62af-4193-8983-80019e6b30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f33ac0ad-44c1-4f01-9dfe-1cdf36ae0936}" ma:internalName="TaxCatchAll" ma:showField="CatchAllData" ma:web="423a852c-62af-4193-8983-80019e6b30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dcfa2c-9e4d-4e32-bb01-36a5fd84c02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AgreementAssignedto_x003a_" ma:index="19" nillable="true" ma:displayName="Agmt Assigned to:" ma:description="Economist or Analyst assigned to agreement" ma:format="Dropdown" ma:list="UserInfo" ma:SharePointGroup="0" ma:internalName="AgreementAssignedto_x003a_"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qah" ma:index="20" nillable="true" ma:displayName="Person or Group" ma:list="UserInfo" ma:internalName="tqa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dad8285-8358-40ef-aa88-1e032fe15f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E4722-B267-4CA2-BC0A-8AB3D6E536CC}">
  <ds:schemaRefs>
    <ds:schemaRef ds:uri="http://schemas.microsoft.com/sharepoint/v3/contenttype/forms"/>
  </ds:schemaRefs>
</ds:datastoreItem>
</file>

<file path=customXml/itemProps2.xml><?xml version="1.0" encoding="utf-8"?>
<ds:datastoreItem xmlns:ds="http://schemas.openxmlformats.org/officeDocument/2006/customXml" ds:itemID="{2D80C96D-D57E-4DDE-A351-959EB47B61A1}">
  <ds:schemaRefs>
    <ds:schemaRef ds:uri="423a852c-62af-4193-8983-80019e6b30ef"/>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11dcfa2c-9e4d-4e32-bb01-36a5fd84c020"/>
    <ds:schemaRef ds:uri="http://www.w3.org/XML/1998/namespace"/>
    <ds:schemaRef ds:uri="http://purl.org/dc/terms/"/>
  </ds:schemaRefs>
</ds:datastoreItem>
</file>

<file path=customXml/itemProps3.xml><?xml version="1.0" encoding="utf-8"?>
<ds:datastoreItem xmlns:ds="http://schemas.openxmlformats.org/officeDocument/2006/customXml" ds:itemID="{11017B7C-7C53-491F-AEA6-6686D7625F04}">
  <ds:schemaRefs>
    <ds:schemaRef ds:uri="http://schemas.openxmlformats.org/officeDocument/2006/bibliography"/>
  </ds:schemaRefs>
</ds:datastoreItem>
</file>

<file path=customXml/itemProps4.xml><?xml version="1.0" encoding="utf-8"?>
<ds:datastoreItem xmlns:ds="http://schemas.openxmlformats.org/officeDocument/2006/customXml" ds:itemID="{BB3E0B15-56E0-4D71-8AA2-1BFF9F20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a852c-62af-4193-8983-80019e6b30ef"/>
    <ds:schemaRef ds:uri="11dcfa2c-9e4d-4e32-bb01-36a5fd84c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4066</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Monaco</dc:creator>
  <cp:lastModifiedBy>Tara Nielsen</cp:lastModifiedBy>
  <cp:revision>2</cp:revision>
  <dcterms:created xsi:type="dcterms:W3CDTF">2023-03-16T20:53:00Z</dcterms:created>
  <dcterms:modified xsi:type="dcterms:W3CDTF">2023-03-16T20:53:00Z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0x010100161F7C8F9643014B99C34DDCD45DC8F6</vt:lpwstr>
  </property>
  <property fmtid="{D5CDD505-2E9C-101B-9397-08002B2CF9AE}" pid="3" name="MediaServiceImageTags">
    <vt:lpwstr/>
  </property>
</Properties>
</file>