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10A1" w:rsidP="003600C8" w:rsidRDefault="00527BB1" w14:paraId="01F22D17" w14:textId="2E39969E">
      <w:pPr>
        <w:pStyle w:val="StyleMainTitleBefore12pt"/>
      </w:pPr>
      <w:r>
        <w:t>SUSPICIOUS ACTIVITY REPORTS</w:t>
      </w:r>
    </w:p>
    <w:p w:rsidR="00405E23" w:rsidP="003600C8" w:rsidRDefault="005710A1" w14:paraId="42B88679" w14:textId="77777777">
      <w:pPr>
        <w:pStyle w:val="StyleMainTitleBefore12pt"/>
      </w:pPr>
      <w:r>
        <w:t>UNDER 10 CFR PART 73</w:t>
      </w:r>
    </w:p>
    <w:p w:rsidRPr="009B126C" w:rsidR="009A0FDC" w:rsidP="00BE1873" w:rsidRDefault="009A0FDC" w14:paraId="3C0BB5DD" w14:textId="77777777">
      <w:pPr>
        <w:jc w:val="center"/>
        <w:rPr>
          <w:sz w:val="28"/>
          <w:szCs w:val="28"/>
        </w:rPr>
      </w:pPr>
    </w:p>
    <w:p w:rsidRPr="00767029" w:rsidR="001003E2" w:rsidP="003600C8" w:rsidRDefault="00405E23" w14:paraId="284CAAF7" w14:textId="7783325F">
      <w:pPr>
        <w:pStyle w:val="Heading1"/>
        <w:numPr>
          <w:ilvl w:val="0"/>
          <w:numId w:val="0"/>
        </w:numPr>
        <w:spacing w:after="0"/>
        <w:jc w:val="center"/>
      </w:pPr>
      <w:bookmarkStart w:name="_Toc182970625" w:id="0"/>
      <w:bookmarkStart w:name="_Toc383167273" w:id="1"/>
      <w:bookmarkStart w:name="_Toc507399990" w:id="2"/>
      <w:bookmarkStart w:name="_Toc26362829" w:id="3"/>
      <w:bookmarkStart w:name="_Toc29213172" w:id="4"/>
      <w:bookmarkStart w:name="_Toc73021716" w:id="5"/>
      <w:r w:rsidRPr="009B126C">
        <w:rPr>
          <w:sz w:val="28"/>
          <w:szCs w:val="28"/>
        </w:rPr>
        <w:t xml:space="preserve">A. </w:t>
      </w:r>
      <w:r w:rsidR="002E7BC2">
        <w:rPr>
          <w:sz w:val="28"/>
          <w:szCs w:val="28"/>
        </w:rPr>
        <w:t xml:space="preserve"> </w:t>
      </w:r>
      <w:r w:rsidRPr="009B126C">
        <w:rPr>
          <w:sz w:val="28"/>
          <w:szCs w:val="28"/>
        </w:rPr>
        <w:t>INTRODUCTION</w:t>
      </w:r>
      <w:bookmarkEnd w:id="0"/>
      <w:bookmarkEnd w:id="1"/>
      <w:bookmarkEnd w:id="2"/>
      <w:bookmarkEnd w:id="3"/>
      <w:bookmarkEnd w:id="4"/>
      <w:bookmarkEnd w:id="5"/>
    </w:p>
    <w:p w:rsidR="00C5126D" w:rsidP="003600C8" w:rsidRDefault="00C5126D" w14:paraId="20478ABE" w14:textId="77777777">
      <w:pPr>
        <w:rPr>
          <w:b/>
        </w:rPr>
      </w:pPr>
    </w:p>
    <w:p w:rsidRPr="00AB1D14" w:rsidR="00B916C8" w:rsidP="003600C8" w:rsidRDefault="00FC6786" w14:paraId="73A259A9" w14:textId="77777777">
      <w:pPr>
        <w:pStyle w:val="Heading2"/>
        <w:numPr>
          <w:ilvl w:val="0"/>
          <w:numId w:val="0"/>
        </w:numPr>
        <w:rPr>
          <w:szCs w:val="22"/>
        </w:rPr>
      </w:pPr>
      <w:bookmarkStart w:name="_Toc507399991" w:id="6"/>
      <w:bookmarkStart w:name="_Toc26362830" w:id="7"/>
      <w:bookmarkStart w:name="_Toc29213173" w:id="8"/>
      <w:bookmarkStart w:name="_Toc73021717" w:id="9"/>
      <w:r w:rsidRPr="00AB1D14">
        <w:rPr>
          <w:szCs w:val="22"/>
        </w:rPr>
        <w:t>Purpose</w:t>
      </w:r>
      <w:bookmarkEnd w:id="6"/>
      <w:bookmarkEnd w:id="7"/>
      <w:bookmarkEnd w:id="8"/>
      <w:bookmarkEnd w:id="9"/>
    </w:p>
    <w:p w:rsidRPr="00AB1D14" w:rsidR="00B916C8" w:rsidP="003600C8" w:rsidRDefault="00B916C8" w14:paraId="3656A2E7" w14:textId="77777777">
      <w:pPr>
        <w:rPr>
          <w:rFonts w:ascii="Arial" w:hAnsi="Arial" w:cs="Arial"/>
          <w:b/>
          <w:szCs w:val="22"/>
          <w:highlight w:val="cyan"/>
        </w:rPr>
      </w:pPr>
    </w:p>
    <w:p w:rsidRPr="00AB1D14" w:rsidR="00AC17E8" w:rsidP="00337FC4" w:rsidRDefault="008540BB" w14:paraId="34B45129" w14:textId="510F6950">
      <w:pPr>
        <w:ind w:firstLine="720"/>
        <w:rPr>
          <w:szCs w:val="22"/>
        </w:rPr>
      </w:pPr>
      <w:r w:rsidRPr="00AB1D14">
        <w:rPr>
          <w:szCs w:val="22"/>
        </w:rPr>
        <w:t xml:space="preserve">This regulatory guide </w:t>
      </w:r>
      <w:r w:rsidRPr="00AB1D14" w:rsidR="0021174E">
        <w:rPr>
          <w:szCs w:val="22"/>
        </w:rPr>
        <w:t xml:space="preserve">(RG) </w:t>
      </w:r>
      <w:r w:rsidRPr="00AB1D14">
        <w:rPr>
          <w:szCs w:val="22"/>
        </w:rPr>
        <w:t>describes methods and procedures that the staff of the U.S.</w:t>
      </w:r>
      <w:r w:rsidRPr="00AB1D14" w:rsidR="00AC6E8A">
        <w:rPr>
          <w:szCs w:val="22"/>
        </w:rPr>
        <w:t> </w:t>
      </w:r>
      <w:r w:rsidRPr="00AB1D14">
        <w:rPr>
          <w:szCs w:val="22"/>
        </w:rPr>
        <w:t xml:space="preserve">Nuclear Regulatory Commission (NRC) considers acceptable </w:t>
      </w:r>
      <w:r w:rsidRPr="00AB1D14" w:rsidR="006D4417">
        <w:rPr>
          <w:szCs w:val="22"/>
        </w:rPr>
        <w:t>for use</w:t>
      </w:r>
      <w:r w:rsidRPr="00AB1D14" w:rsidR="00AC6E8A">
        <w:rPr>
          <w:szCs w:val="22"/>
        </w:rPr>
        <w:t xml:space="preserve"> by licensees</w:t>
      </w:r>
      <w:r w:rsidRPr="00AB1D14" w:rsidR="006D4417">
        <w:rPr>
          <w:szCs w:val="22"/>
        </w:rPr>
        <w:t xml:space="preserve"> </w:t>
      </w:r>
      <w:r w:rsidRPr="00E00C0C" w:rsidR="00013D03">
        <w:t>to comply with NRC regulations for implementing the provisions of</w:t>
      </w:r>
      <w:r w:rsidRPr="00AB1D14" w:rsidR="00013D03">
        <w:rPr>
          <w:szCs w:val="22"/>
        </w:rPr>
        <w:t xml:space="preserve"> </w:t>
      </w:r>
      <w:r w:rsidRPr="00AB1D14" w:rsidR="003B2764">
        <w:rPr>
          <w:szCs w:val="22"/>
        </w:rPr>
        <w:t>Title</w:t>
      </w:r>
      <w:r w:rsidRPr="00AB1D14" w:rsidR="00AC6E8A">
        <w:rPr>
          <w:szCs w:val="22"/>
        </w:rPr>
        <w:t> </w:t>
      </w:r>
      <w:r w:rsidRPr="00AB1D14" w:rsidR="003B2764">
        <w:rPr>
          <w:szCs w:val="22"/>
        </w:rPr>
        <w:t xml:space="preserve">10 of the </w:t>
      </w:r>
      <w:r w:rsidRPr="00AB1D14" w:rsidR="003B2764">
        <w:rPr>
          <w:i/>
          <w:szCs w:val="22"/>
        </w:rPr>
        <w:t>Code of Federal Regulations</w:t>
      </w:r>
      <w:r w:rsidRPr="00AB1D14" w:rsidR="003B2764">
        <w:rPr>
          <w:szCs w:val="22"/>
        </w:rPr>
        <w:t xml:space="preserve"> (10</w:t>
      </w:r>
      <w:r w:rsidRPr="00AB1D14" w:rsidR="00AC6E8A">
        <w:rPr>
          <w:szCs w:val="22"/>
        </w:rPr>
        <w:t> </w:t>
      </w:r>
      <w:r w:rsidRPr="00AB1D14" w:rsidR="003B2764">
        <w:rPr>
          <w:szCs w:val="22"/>
        </w:rPr>
        <w:t>CFR)</w:t>
      </w:r>
      <w:r w:rsidRPr="00AB1D14" w:rsidR="00D157BE">
        <w:rPr>
          <w:szCs w:val="22"/>
        </w:rPr>
        <w:t> </w:t>
      </w:r>
      <w:r w:rsidRPr="00AB1D14" w:rsidR="0029240B">
        <w:rPr>
          <w:szCs w:val="22"/>
        </w:rPr>
        <w:t>Part</w:t>
      </w:r>
      <w:r w:rsidRPr="00AB1D14" w:rsidR="00AC6E8A">
        <w:rPr>
          <w:szCs w:val="22"/>
        </w:rPr>
        <w:t> </w:t>
      </w:r>
      <w:r w:rsidRPr="00AB1D14" w:rsidR="003B2764">
        <w:rPr>
          <w:szCs w:val="22"/>
        </w:rPr>
        <w:t>73, “</w:t>
      </w:r>
      <w:r w:rsidRPr="00AB1D14" w:rsidR="00262146">
        <w:rPr>
          <w:szCs w:val="22"/>
        </w:rPr>
        <w:t>Physical P</w:t>
      </w:r>
      <w:r w:rsidRPr="00AB1D14" w:rsidR="003B2764">
        <w:rPr>
          <w:szCs w:val="22"/>
        </w:rPr>
        <w:t>rotection of Plants and Materials” (Ref. 1)</w:t>
      </w:r>
      <w:r w:rsidRPr="00AB1D14" w:rsidR="006D4417">
        <w:rPr>
          <w:szCs w:val="22"/>
        </w:rPr>
        <w:t xml:space="preserve">. </w:t>
      </w:r>
    </w:p>
    <w:p w:rsidRPr="00AB1D14" w:rsidR="00CF2D3E" w:rsidP="00337FC4" w:rsidRDefault="00CF2D3E" w14:paraId="049A5230" w14:textId="77777777">
      <w:pPr>
        <w:rPr>
          <w:szCs w:val="22"/>
        </w:rPr>
      </w:pPr>
    </w:p>
    <w:p w:rsidRPr="00AB1D14" w:rsidR="005B2D80" w:rsidP="008046F2" w:rsidRDefault="00FC6786" w14:paraId="2F4FA912" w14:textId="6D3D149F">
      <w:pPr>
        <w:pStyle w:val="Heading2"/>
        <w:numPr>
          <w:ilvl w:val="0"/>
          <w:numId w:val="0"/>
        </w:numPr>
        <w:rPr>
          <w:szCs w:val="22"/>
        </w:rPr>
      </w:pPr>
      <w:bookmarkStart w:name="_Toc507399992" w:id="10"/>
      <w:bookmarkStart w:name="_Toc26362831" w:id="11"/>
      <w:bookmarkStart w:name="_Toc73021718" w:id="12"/>
      <w:bookmarkStart w:name="_Toc29213174" w:id="13"/>
      <w:r w:rsidRPr="00AB1D14">
        <w:rPr>
          <w:szCs w:val="22"/>
        </w:rPr>
        <w:t>Applicability</w:t>
      </w:r>
      <w:bookmarkEnd w:id="10"/>
      <w:bookmarkEnd w:id="11"/>
      <w:bookmarkEnd w:id="12"/>
      <w:r w:rsidRPr="00AB1D14" w:rsidR="005B2D80">
        <w:rPr>
          <w:szCs w:val="22"/>
        </w:rPr>
        <w:t xml:space="preserve">   </w:t>
      </w:r>
      <w:bookmarkEnd w:id="13"/>
    </w:p>
    <w:p w:rsidRPr="00AB1D14" w:rsidR="005B2D80" w:rsidP="008046F2" w:rsidRDefault="005B2D80" w14:paraId="1E15E2C5" w14:textId="77777777">
      <w:pPr>
        <w:rPr>
          <w:rFonts w:ascii="Arial" w:hAnsi="Arial" w:cs="Arial"/>
          <w:b/>
          <w:szCs w:val="22"/>
          <w:highlight w:val="cyan"/>
        </w:rPr>
      </w:pPr>
    </w:p>
    <w:p w:rsidR="00EC1513" w:rsidRDefault="0021174E" w14:paraId="48A96121" w14:textId="5EB65440">
      <w:pPr>
        <w:ind w:firstLine="720"/>
        <w:rPr>
          <w:szCs w:val="22"/>
        </w:rPr>
      </w:pPr>
      <w:r w:rsidRPr="00AB1D14">
        <w:rPr>
          <w:szCs w:val="22"/>
        </w:rPr>
        <w:t xml:space="preserve">This </w:t>
      </w:r>
      <w:r w:rsidRPr="00AB1D14" w:rsidR="00ED4F21">
        <w:rPr>
          <w:szCs w:val="22"/>
        </w:rPr>
        <w:t xml:space="preserve">RG </w:t>
      </w:r>
      <w:r w:rsidRPr="00AB1D14">
        <w:rPr>
          <w:szCs w:val="22"/>
        </w:rPr>
        <w:t xml:space="preserve">applies to </w:t>
      </w:r>
      <w:r w:rsidRPr="00AB1D14" w:rsidR="00344B25">
        <w:rPr>
          <w:szCs w:val="22"/>
        </w:rPr>
        <w:t xml:space="preserve">NRC </w:t>
      </w:r>
      <w:r w:rsidRPr="00AB1D14" w:rsidR="00E144E0">
        <w:rPr>
          <w:szCs w:val="22"/>
        </w:rPr>
        <w:t xml:space="preserve">licensees </w:t>
      </w:r>
      <w:r w:rsidRPr="00AB1D14" w:rsidR="009E26B8">
        <w:rPr>
          <w:szCs w:val="22"/>
        </w:rPr>
        <w:t xml:space="preserve">who are </w:t>
      </w:r>
      <w:r w:rsidRPr="00AB1D14" w:rsidR="00E144E0">
        <w:rPr>
          <w:szCs w:val="22"/>
        </w:rPr>
        <w:t xml:space="preserve">subject to </w:t>
      </w:r>
      <w:r w:rsidRPr="00AB1D14" w:rsidR="0031327F">
        <w:rPr>
          <w:szCs w:val="22"/>
        </w:rPr>
        <w:t>the provisions of 10 CFR </w:t>
      </w:r>
      <w:r w:rsidRPr="00AB1D14" w:rsidR="00E144E0">
        <w:rPr>
          <w:szCs w:val="22"/>
        </w:rPr>
        <w:t>73.1215, “Suspicious activity reports</w:t>
      </w:r>
      <w:r w:rsidRPr="00AB1D14" w:rsidR="009E26B8">
        <w:rPr>
          <w:szCs w:val="22"/>
        </w:rPr>
        <w:t>,</w:t>
      </w:r>
      <w:r w:rsidRPr="00AB1D14" w:rsidR="00E144E0">
        <w:rPr>
          <w:szCs w:val="22"/>
        </w:rPr>
        <w:t>”</w:t>
      </w:r>
      <w:r w:rsidRPr="00AB1D14" w:rsidR="009E26B8">
        <w:rPr>
          <w:szCs w:val="22"/>
        </w:rPr>
        <w:t xml:space="preserve"> (SARs)</w:t>
      </w:r>
      <w:r w:rsidR="002E7BC2">
        <w:rPr>
          <w:szCs w:val="22"/>
        </w:rPr>
        <w:t xml:space="preserve">. </w:t>
      </w:r>
      <w:r w:rsidRPr="00AB1D14" w:rsidR="0031327F">
        <w:rPr>
          <w:szCs w:val="22"/>
        </w:rPr>
        <w:t xml:space="preserve">This </w:t>
      </w:r>
      <w:r w:rsidRPr="00AB1D14" w:rsidR="009E26B8">
        <w:rPr>
          <w:szCs w:val="22"/>
        </w:rPr>
        <w:t>includes</w:t>
      </w:r>
      <w:r w:rsidRPr="00AB1D14" w:rsidR="00625735">
        <w:rPr>
          <w:szCs w:val="22"/>
        </w:rPr>
        <w:t xml:space="preserve"> </w:t>
      </w:r>
      <w:r w:rsidR="00DE3F71">
        <w:rPr>
          <w:szCs w:val="22"/>
        </w:rPr>
        <w:t xml:space="preserve">licensees of </w:t>
      </w:r>
      <w:r w:rsidR="004F0981">
        <w:rPr>
          <w:szCs w:val="22"/>
        </w:rPr>
        <w:t xml:space="preserve">facilities </w:t>
      </w:r>
      <w:r w:rsidRPr="00AB1D14" w:rsidR="00582ED4">
        <w:rPr>
          <w:szCs w:val="22"/>
        </w:rPr>
        <w:t xml:space="preserve">licensed under </w:t>
      </w:r>
      <w:r w:rsidRPr="00AB1D14" w:rsidR="007A73F3">
        <w:rPr>
          <w:szCs w:val="22"/>
        </w:rPr>
        <w:t xml:space="preserve">both </w:t>
      </w:r>
      <w:r w:rsidRPr="00AB1D14" w:rsidR="00582ED4">
        <w:rPr>
          <w:szCs w:val="22"/>
        </w:rPr>
        <w:t>10</w:t>
      </w:r>
      <w:r w:rsidRPr="00AB1D14" w:rsidR="008F45C2">
        <w:rPr>
          <w:szCs w:val="22"/>
        </w:rPr>
        <w:t> </w:t>
      </w:r>
      <w:r w:rsidRPr="00AB1D14" w:rsidR="00582ED4">
        <w:rPr>
          <w:szCs w:val="22"/>
        </w:rPr>
        <w:t>CFR</w:t>
      </w:r>
      <w:r w:rsidRPr="00AB1D14" w:rsidR="008F45C2">
        <w:rPr>
          <w:szCs w:val="22"/>
        </w:rPr>
        <w:t> </w:t>
      </w:r>
      <w:r w:rsidRPr="00AB1D14" w:rsidR="00582ED4">
        <w:rPr>
          <w:szCs w:val="22"/>
        </w:rPr>
        <w:t>Part</w:t>
      </w:r>
      <w:r w:rsidRPr="00AB1D14" w:rsidR="008F45C2">
        <w:rPr>
          <w:szCs w:val="22"/>
        </w:rPr>
        <w:t> </w:t>
      </w:r>
      <w:r w:rsidRPr="00AB1D14" w:rsidR="00582ED4">
        <w:rPr>
          <w:szCs w:val="22"/>
        </w:rPr>
        <w:t>50</w:t>
      </w:r>
      <w:r w:rsidRPr="00AB1D14" w:rsidR="008F45C2">
        <w:rPr>
          <w:szCs w:val="22"/>
        </w:rPr>
        <w:t>, “Domestic Licensing of Production and Utilization Facilities,”</w:t>
      </w:r>
      <w:r w:rsidRPr="00AB1D14" w:rsidR="00582ED4">
        <w:rPr>
          <w:szCs w:val="22"/>
        </w:rPr>
        <w:t xml:space="preserve"> </w:t>
      </w:r>
      <w:r w:rsidRPr="00AB1D14" w:rsidR="00015D94">
        <w:rPr>
          <w:szCs w:val="22"/>
        </w:rPr>
        <w:t>(Ref.</w:t>
      </w:r>
      <w:r w:rsidRPr="00AB1D14" w:rsidR="007A73F3">
        <w:rPr>
          <w:szCs w:val="22"/>
        </w:rPr>
        <w:t> </w:t>
      </w:r>
      <w:r w:rsidRPr="00AB1D14" w:rsidR="00015D94">
        <w:rPr>
          <w:szCs w:val="22"/>
        </w:rPr>
        <w:t xml:space="preserve">2) </w:t>
      </w:r>
      <w:r w:rsidRPr="00AB1D14" w:rsidR="00582ED4">
        <w:rPr>
          <w:szCs w:val="22"/>
        </w:rPr>
        <w:t>and 10</w:t>
      </w:r>
      <w:r w:rsidRPr="00AB1D14" w:rsidR="008F45C2">
        <w:rPr>
          <w:szCs w:val="22"/>
        </w:rPr>
        <w:t> </w:t>
      </w:r>
      <w:r w:rsidRPr="00AB1D14" w:rsidR="00582ED4">
        <w:rPr>
          <w:szCs w:val="22"/>
        </w:rPr>
        <w:t>CFR</w:t>
      </w:r>
      <w:r w:rsidRPr="00AB1D14" w:rsidR="008F45C2">
        <w:rPr>
          <w:szCs w:val="22"/>
        </w:rPr>
        <w:t> </w:t>
      </w:r>
      <w:r w:rsidRPr="00AB1D14" w:rsidR="00582ED4">
        <w:rPr>
          <w:szCs w:val="22"/>
        </w:rPr>
        <w:t>Part</w:t>
      </w:r>
      <w:r w:rsidRPr="00AB1D14" w:rsidR="008F45C2">
        <w:rPr>
          <w:szCs w:val="22"/>
        </w:rPr>
        <w:t> </w:t>
      </w:r>
      <w:r w:rsidRPr="00AB1D14" w:rsidR="00582ED4">
        <w:rPr>
          <w:szCs w:val="22"/>
        </w:rPr>
        <w:t>52</w:t>
      </w:r>
      <w:r w:rsidRPr="00AB1D14" w:rsidR="00262146">
        <w:rPr>
          <w:szCs w:val="22"/>
        </w:rPr>
        <w:t>, “Licenses, Certifications, and Approvals for Nuclear Power Plants”</w:t>
      </w:r>
      <w:r w:rsidRPr="00AB1D14" w:rsidR="00015D94">
        <w:rPr>
          <w:szCs w:val="22"/>
        </w:rPr>
        <w:t xml:space="preserve"> (Ref. 3)</w:t>
      </w:r>
      <w:r w:rsidRPr="00AB1D14" w:rsidR="005364CC">
        <w:rPr>
          <w:szCs w:val="22"/>
        </w:rPr>
        <w:t>.</w:t>
      </w:r>
      <w:r w:rsidR="002B4E76">
        <w:rPr>
          <w:szCs w:val="22"/>
        </w:rPr>
        <w:t xml:space="preserve"> </w:t>
      </w:r>
      <w:r w:rsidR="00123E3A">
        <w:rPr>
          <w:szCs w:val="22"/>
        </w:rPr>
        <w:t xml:space="preserve">This RG also applies to </w:t>
      </w:r>
      <w:r w:rsidR="00DE3F71">
        <w:rPr>
          <w:szCs w:val="22"/>
        </w:rPr>
        <w:t xml:space="preserve">licensees possessing </w:t>
      </w:r>
      <w:r w:rsidRPr="00D1057C" w:rsidR="00205BE4">
        <w:rPr>
          <w:szCs w:val="22"/>
        </w:rPr>
        <w:t>special nuclear material</w:t>
      </w:r>
      <w:r w:rsidRPr="00D1057C" w:rsidR="008270E1">
        <w:rPr>
          <w:szCs w:val="22"/>
        </w:rPr>
        <w:t xml:space="preserve"> licensed under 10 CFR Part 70, “Domestic Licensing of Special Nuclear Material” (Ref. </w:t>
      </w:r>
      <w:r w:rsidRPr="00D1057C" w:rsidR="004218A0">
        <w:rPr>
          <w:szCs w:val="22"/>
        </w:rPr>
        <w:t>4</w:t>
      </w:r>
      <w:r w:rsidRPr="00D1057C" w:rsidR="008270E1">
        <w:rPr>
          <w:szCs w:val="22"/>
        </w:rPr>
        <w:t xml:space="preserve">) and </w:t>
      </w:r>
      <w:r w:rsidR="00DE3F71">
        <w:rPr>
          <w:szCs w:val="22"/>
        </w:rPr>
        <w:t xml:space="preserve">licensees of </w:t>
      </w:r>
      <w:r w:rsidRPr="00D1057C" w:rsidR="00205BE4">
        <w:rPr>
          <w:szCs w:val="22"/>
        </w:rPr>
        <w:t xml:space="preserve">radioactive </w:t>
      </w:r>
      <w:r w:rsidRPr="00D1057C" w:rsidR="008270E1">
        <w:rPr>
          <w:szCs w:val="22"/>
        </w:rPr>
        <w:t>was</w:t>
      </w:r>
      <w:r w:rsidRPr="00D1057C" w:rsidR="00205BE4">
        <w:rPr>
          <w:szCs w:val="22"/>
        </w:rPr>
        <w:t>te storage facilities licensed under 10</w:t>
      </w:r>
      <w:r w:rsidRPr="00D1057C" w:rsidR="004218A0">
        <w:rPr>
          <w:szCs w:val="22"/>
        </w:rPr>
        <w:t> </w:t>
      </w:r>
      <w:r w:rsidRPr="00D1057C" w:rsidR="00205BE4">
        <w:rPr>
          <w:szCs w:val="22"/>
        </w:rPr>
        <w:t>CFR Part 72</w:t>
      </w:r>
      <w:r w:rsidRPr="00EC1513" w:rsidR="00205BE4">
        <w:rPr>
          <w:szCs w:val="22"/>
        </w:rPr>
        <w:t>, “</w:t>
      </w:r>
      <w:r w:rsidRPr="00337FC4" w:rsidR="00205BE4">
        <w:rPr>
          <w:szCs w:val="22"/>
          <w:shd w:val="clear" w:color="auto" w:fill="FFFFFF"/>
        </w:rPr>
        <w:t>Licensing Requirements for the Independent Storage of Spent Nuclear Fuel and High-Level Radioactive Waste, and Reactor-Related Greater Than Class C Waste”</w:t>
      </w:r>
      <w:r w:rsidRPr="00EC1513" w:rsidR="00205BE4">
        <w:rPr>
          <w:szCs w:val="22"/>
        </w:rPr>
        <w:t xml:space="preserve"> </w:t>
      </w:r>
      <w:r w:rsidRPr="00D1057C" w:rsidR="00205BE4">
        <w:rPr>
          <w:szCs w:val="22"/>
        </w:rPr>
        <w:t xml:space="preserve">(Ref. </w:t>
      </w:r>
      <w:r w:rsidRPr="00D1057C" w:rsidR="004218A0">
        <w:rPr>
          <w:szCs w:val="22"/>
        </w:rPr>
        <w:t>5</w:t>
      </w:r>
      <w:r w:rsidRPr="00D1057C" w:rsidR="00205BE4">
        <w:rPr>
          <w:szCs w:val="22"/>
        </w:rPr>
        <w:t>). Moreover,</w:t>
      </w:r>
      <w:r w:rsidRPr="00D1057C" w:rsidR="004218A0">
        <w:rPr>
          <w:szCs w:val="22"/>
        </w:rPr>
        <w:t xml:space="preserve"> this RG also apples to </w:t>
      </w:r>
      <w:r w:rsidR="00DE3F71">
        <w:rPr>
          <w:szCs w:val="22"/>
        </w:rPr>
        <w:t>licensees transporting</w:t>
      </w:r>
      <w:r w:rsidRPr="00D1057C" w:rsidR="004218A0">
        <w:rPr>
          <w:szCs w:val="22"/>
        </w:rPr>
        <w:t xml:space="preserve"> certain types of special nuclear material and radioactive waste</w:t>
      </w:r>
      <w:r w:rsidR="002E7BC2">
        <w:rPr>
          <w:szCs w:val="22"/>
        </w:rPr>
        <w:t xml:space="preserve">. </w:t>
      </w:r>
      <w:r w:rsidR="001F5546">
        <w:rPr>
          <w:szCs w:val="22"/>
        </w:rPr>
        <w:t xml:space="preserve">A detailed discussion of the applicability of 10 CFR 73.1215 to licensees </w:t>
      </w:r>
      <w:r w:rsidR="00BA7A46">
        <w:rPr>
          <w:szCs w:val="22"/>
        </w:rPr>
        <w:t xml:space="preserve">who are </w:t>
      </w:r>
      <w:r w:rsidR="001F5546">
        <w:rPr>
          <w:szCs w:val="22"/>
        </w:rPr>
        <w:t>subject to 10 CFR Part</w:t>
      </w:r>
      <w:r w:rsidR="00876FB3">
        <w:rPr>
          <w:szCs w:val="22"/>
        </w:rPr>
        <w:t xml:space="preserve"> 50, Part 52, Part 70, or Part 72 is found in this RG’s </w:t>
      </w:r>
      <w:r w:rsidR="00852E1A">
        <w:rPr>
          <w:szCs w:val="22"/>
        </w:rPr>
        <w:t xml:space="preserve">section </w:t>
      </w:r>
      <w:r w:rsidR="0055405B">
        <w:rPr>
          <w:szCs w:val="22"/>
        </w:rPr>
        <w:t>“</w:t>
      </w:r>
      <w:r w:rsidR="00852E1A">
        <w:rPr>
          <w:szCs w:val="22"/>
        </w:rPr>
        <w:t>B</w:t>
      </w:r>
      <w:r w:rsidR="002E7BC2">
        <w:rPr>
          <w:szCs w:val="22"/>
        </w:rPr>
        <w:t xml:space="preserve">. </w:t>
      </w:r>
      <w:r w:rsidR="004D10EF">
        <w:rPr>
          <w:szCs w:val="22"/>
        </w:rPr>
        <w:t xml:space="preserve"> </w:t>
      </w:r>
      <w:r w:rsidR="0055405B">
        <w:rPr>
          <w:szCs w:val="22"/>
        </w:rPr>
        <w:t xml:space="preserve">Discussion” </w:t>
      </w:r>
      <w:r w:rsidR="00876FB3">
        <w:rPr>
          <w:szCs w:val="22"/>
        </w:rPr>
        <w:t>under the subsection “Applicability to Specific Facilities, Materials, and Shipping Activities.”</w:t>
      </w:r>
    </w:p>
    <w:p w:rsidRPr="00AB1D14" w:rsidR="00FE6A8C" w:rsidP="00D818A2" w:rsidRDefault="00FE6A8C" w14:paraId="2500065B" w14:textId="77777777">
      <w:pPr>
        <w:rPr>
          <w:szCs w:val="22"/>
        </w:rPr>
      </w:pPr>
    </w:p>
    <w:p w:rsidRPr="00AB1D14" w:rsidR="00B916C8" w:rsidP="008046F2" w:rsidRDefault="00FC6786" w14:paraId="0D00A2F5" w14:textId="77777777">
      <w:pPr>
        <w:pStyle w:val="Heading2"/>
        <w:numPr>
          <w:ilvl w:val="0"/>
          <w:numId w:val="0"/>
        </w:numPr>
        <w:rPr>
          <w:szCs w:val="22"/>
        </w:rPr>
      </w:pPr>
      <w:bookmarkStart w:name="_Toc507399993" w:id="14"/>
      <w:bookmarkStart w:name="_Toc26362832" w:id="15"/>
      <w:bookmarkStart w:name="_Toc29213175" w:id="16"/>
      <w:bookmarkStart w:name="_Toc73021719" w:id="17"/>
      <w:r w:rsidRPr="00AB1D14">
        <w:rPr>
          <w:szCs w:val="22"/>
        </w:rPr>
        <w:t>Applicable Regulations</w:t>
      </w:r>
      <w:bookmarkEnd w:id="14"/>
      <w:bookmarkEnd w:id="15"/>
      <w:bookmarkEnd w:id="16"/>
      <w:bookmarkEnd w:id="17"/>
    </w:p>
    <w:p w:rsidRPr="00AB1D14" w:rsidR="00B916C8" w:rsidP="005B4F6A" w:rsidRDefault="00B916C8" w14:paraId="6C7858EF" w14:textId="77777777">
      <w:pPr>
        <w:rPr>
          <w:rFonts w:ascii="Arial" w:hAnsi="Arial" w:cs="Arial"/>
          <w:szCs w:val="22"/>
          <w:highlight w:val="cyan"/>
        </w:rPr>
      </w:pPr>
    </w:p>
    <w:p w:rsidRPr="00213823" w:rsidR="00C6185A" w:rsidP="00D818A2" w:rsidRDefault="005837FA" w14:paraId="5FF8B10C" w14:textId="6F14A366">
      <w:pPr>
        <w:pStyle w:val="ListParagraph"/>
        <w:numPr>
          <w:ilvl w:val="0"/>
          <w:numId w:val="11"/>
        </w:numPr>
        <w:rPr>
          <w:sz w:val="22"/>
          <w:szCs w:val="22"/>
        </w:rPr>
      </w:pPr>
      <w:r w:rsidRPr="00213823">
        <w:rPr>
          <w:sz w:val="22"/>
          <w:szCs w:val="22"/>
        </w:rPr>
        <w:t>10 CFR Part 73</w:t>
      </w:r>
      <w:r w:rsidRPr="00213823" w:rsidR="008107A7">
        <w:rPr>
          <w:sz w:val="22"/>
          <w:szCs w:val="22"/>
        </w:rPr>
        <w:t xml:space="preserve"> </w:t>
      </w:r>
      <w:r w:rsidRPr="00213823" w:rsidR="00E529AE">
        <w:rPr>
          <w:sz w:val="22"/>
          <w:szCs w:val="22"/>
        </w:rPr>
        <w:t>require</w:t>
      </w:r>
      <w:r w:rsidRPr="00213823" w:rsidR="00C6185A">
        <w:rPr>
          <w:sz w:val="22"/>
          <w:szCs w:val="22"/>
        </w:rPr>
        <w:t>s</w:t>
      </w:r>
      <w:r w:rsidRPr="00213823" w:rsidR="00E529AE">
        <w:rPr>
          <w:sz w:val="22"/>
          <w:szCs w:val="22"/>
        </w:rPr>
        <w:t xml:space="preserve"> </w:t>
      </w:r>
      <w:r w:rsidRPr="00213823" w:rsidR="00D86822">
        <w:rPr>
          <w:sz w:val="22"/>
          <w:szCs w:val="22"/>
        </w:rPr>
        <w:t xml:space="preserve">licensees to </w:t>
      </w:r>
      <w:r w:rsidRPr="00213823" w:rsidR="00B549E4">
        <w:rPr>
          <w:sz w:val="22"/>
          <w:szCs w:val="22"/>
        </w:rPr>
        <w:t>establish</w:t>
      </w:r>
      <w:r w:rsidRPr="00213823" w:rsidR="00D86822">
        <w:rPr>
          <w:sz w:val="22"/>
          <w:szCs w:val="22"/>
        </w:rPr>
        <w:t xml:space="preserve"> and maintain</w:t>
      </w:r>
      <w:r w:rsidRPr="00213823" w:rsidR="00B549E4">
        <w:rPr>
          <w:sz w:val="22"/>
          <w:szCs w:val="22"/>
        </w:rPr>
        <w:t xml:space="preserve"> a physical protection system </w:t>
      </w:r>
      <w:r w:rsidRPr="00213823" w:rsidR="00AE696E">
        <w:rPr>
          <w:sz w:val="22"/>
          <w:szCs w:val="22"/>
        </w:rPr>
        <w:t xml:space="preserve">which will have capabilities for the protection of special nuclear material (SNM) at fixed sites and in transit and of the plants </w:t>
      </w:r>
      <w:r w:rsidRPr="00213823" w:rsidR="001258E9">
        <w:rPr>
          <w:sz w:val="22"/>
          <w:szCs w:val="22"/>
        </w:rPr>
        <w:t>or facilities</w:t>
      </w:r>
      <w:r w:rsidRPr="00213823" w:rsidR="00EA7546">
        <w:rPr>
          <w:sz w:val="22"/>
          <w:szCs w:val="22"/>
        </w:rPr>
        <w:t xml:space="preserve"> </w:t>
      </w:r>
      <w:r w:rsidRPr="00213823" w:rsidR="00AE696E">
        <w:rPr>
          <w:sz w:val="22"/>
          <w:szCs w:val="22"/>
        </w:rPr>
        <w:t>in which SNM is used</w:t>
      </w:r>
      <w:r w:rsidR="002E7BC2">
        <w:rPr>
          <w:sz w:val="22"/>
          <w:szCs w:val="22"/>
        </w:rPr>
        <w:t xml:space="preserve">. </w:t>
      </w:r>
      <w:r w:rsidRPr="00213823" w:rsidR="00AE696E">
        <w:rPr>
          <w:sz w:val="22"/>
          <w:szCs w:val="22"/>
        </w:rPr>
        <w:t>This includes production and utilization facilities</w:t>
      </w:r>
      <w:r w:rsidR="002B4E76">
        <w:rPr>
          <w:sz w:val="22"/>
          <w:szCs w:val="22"/>
        </w:rPr>
        <w:t>,</w:t>
      </w:r>
      <w:r w:rsidRPr="00213823" w:rsidR="00AE696E">
        <w:rPr>
          <w:sz w:val="22"/>
          <w:szCs w:val="22"/>
        </w:rPr>
        <w:t xml:space="preserve"> including both operating and decommissioning </w:t>
      </w:r>
      <w:r w:rsidRPr="00213823" w:rsidR="009D22D1">
        <w:rPr>
          <w:sz w:val="22"/>
          <w:szCs w:val="22"/>
        </w:rPr>
        <w:t xml:space="preserve">production rectors, </w:t>
      </w:r>
      <w:r w:rsidRPr="00213823" w:rsidR="00AE696E">
        <w:rPr>
          <w:sz w:val="22"/>
          <w:szCs w:val="22"/>
        </w:rPr>
        <w:t>power reactors</w:t>
      </w:r>
      <w:r w:rsidRPr="00213823" w:rsidR="009D22D1">
        <w:rPr>
          <w:sz w:val="22"/>
          <w:szCs w:val="22"/>
        </w:rPr>
        <w:t>,</w:t>
      </w:r>
      <w:r w:rsidRPr="00213823" w:rsidR="00AE696E">
        <w:rPr>
          <w:sz w:val="22"/>
          <w:szCs w:val="22"/>
        </w:rPr>
        <w:t xml:space="preserve"> non-power reactors</w:t>
      </w:r>
      <w:r w:rsidRPr="00213823" w:rsidR="00D57C3D">
        <w:rPr>
          <w:sz w:val="22"/>
          <w:szCs w:val="22"/>
        </w:rPr>
        <w:t>, and other non-power production and utilization facilities</w:t>
      </w:r>
      <w:r w:rsidR="002E7BC2">
        <w:rPr>
          <w:sz w:val="22"/>
          <w:szCs w:val="22"/>
        </w:rPr>
        <w:t xml:space="preserve">. </w:t>
      </w:r>
      <w:r w:rsidRPr="00213823" w:rsidR="000E38F1">
        <w:rPr>
          <w:sz w:val="22"/>
          <w:szCs w:val="22"/>
        </w:rPr>
        <w:t xml:space="preserve">It also </w:t>
      </w:r>
      <w:r w:rsidRPr="00213823" w:rsidR="000E38F1">
        <w:rPr>
          <w:sz w:val="22"/>
          <w:szCs w:val="22"/>
        </w:rPr>
        <w:lastRenderedPageBreak/>
        <w:t>includes</w:t>
      </w:r>
      <w:r w:rsidRPr="00213823" w:rsidR="00AE696E">
        <w:rPr>
          <w:sz w:val="22"/>
          <w:szCs w:val="22"/>
        </w:rPr>
        <w:t xml:space="preserve"> facilities possessing or transportation activities </w:t>
      </w:r>
      <w:proofErr w:type="gramStart"/>
      <w:r w:rsidRPr="00213823" w:rsidR="00AE696E">
        <w:rPr>
          <w:sz w:val="22"/>
          <w:szCs w:val="22"/>
        </w:rPr>
        <w:t>involving</w:t>
      </w:r>
      <w:r w:rsidR="000E25D1">
        <w:rPr>
          <w:sz w:val="22"/>
          <w:szCs w:val="22"/>
        </w:rPr>
        <w:t>:</w:t>
      </w:r>
      <w:proofErr w:type="gramEnd"/>
      <w:r w:rsidRPr="00213823" w:rsidR="00AE696E">
        <w:rPr>
          <w:sz w:val="22"/>
          <w:szCs w:val="22"/>
        </w:rPr>
        <w:t xml:space="preserve"> strategic special nuclear material (SSNM), SNM, spent nuclear fuel (SNF), and high-level radioactive waste (HLW). </w:t>
      </w:r>
    </w:p>
    <w:p w:rsidRPr="00AB1D14" w:rsidR="00C6185A" w:rsidP="00D818A2" w:rsidRDefault="00C6185A" w14:paraId="62AD0CAC" w14:textId="77777777">
      <w:pPr>
        <w:ind w:left="720" w:hanging="360"/>
        <w:rPr>
          <w:szCs w:val="22"/>
        </w:rPr>
      </w:pPr>
    </w:p>
    <w:p w:rsidRPr="00AB1D14" w:rsidR="00B63EC5" w:rsidP="0055405B" w:rsidRDefault="00B63EC5" w14:paraId="23CC113B" w14:textId="77777777">
      <w:pPr>
        <w:pStyle w:val="ListParagraph"/>
        <w:numPr>
          <w:ilvl w:val="1"/>
          <w:numId w:val="11"/>
        </w:numPr>
        <w:rPr>
          <w:sz w:val="22"/>
          <w:szCs w:val="22"/>
        </w:rPr>
      </w:pPr>
      <w:r w:rsidRPr="00AB1D14">
        <w:rPr>
          <w:sz w:val="22"/>
          <w:szCs w:val="22"/>
        </w:rPr>
        <w:t xml:space="preserve">10 CFR 73.1200, “Notification of physical security events,” requires licensees to notify the NRC Headquarters Operations Center of </w:t>
      </w:r>
      <w:r w:rsidRPr="00AB1D14" w:rsidR="007C25CA">
        <w:rPr>
          <w:sz w:val="22"/>
          <w:szCs w:val="22"/>
        </w:rPr>
        <w:t xml:space="preserve">involving imminent or actual hostile actions, significant security events, security challenges, and security program failures. </w:t>
      </w:r>
    </w:p>
    <w:p w:rsidRPr="00AB1D14" w:rsidR="00B63EC5" w:rsidP="00337FC4" w:rsidRDefault="00B63EC5" w14:paraId="66BDC9BD" w14:textId="77777777">
      <w:pPr>
        <w:pStyle w:val="ListParagraph"/>
        <w:ind w:hanging="360"/>
        <w:rPr>
          <w:sz w:val="22"/>
          <w:szCs w:val="22"/>
        </w:rPr>
      </w:pPr>
    </w:p>
    <w:p w:rsidRPr="00AB1D14" w:rsidR="00DF5003" w:rsidP="0055405B" w:rsidRDefault="00527BB1" w14:paraId="19F1588A" w14:textId="6829A9F3">
      <w:pPr>
        <w:pStyle w:val="ListParagraph"/>
        <w:numPr>
          <w:ilvl w:val="1"/>
          <w:numId w:val="11"/>
        </w:numPr>
        <w:rPr>
          <w:sz w:val="22"/>
          <w:szCs w:val="22"/>
        </w:rPr>
      </w:pPr>
      <w:r w:rsidRPr="00AB1D14">
        <w:rPr>
          <w:sz w:val="22"/>
          <w:szCs w:val="22"/>
        </w:rPr>
        <w:t>10 CFR 73.1215</w:t>
      </w:r>
      <w:r w:rsidRPr="00AB1D14" w:rsidR="00E529AE">
        <w:rPr>
          <w:sz w:val="22"/>
          <w:szCs w:val="22"/>
        </w:rPr>
        <w:t>, “</w:t>
      </w:r>
      <w:r w:rsidRPr="00AB1D14">
        <w:rPr>
          <w:sz w:val="22"/>
          <w:szCs w:val="22"/>
        </w:rPr>
        <w:t xml:space="preserve">Suspicious </w:t>
      </w:r>
      <w:r w:rsidR="00E76E1F">
        <w:rPr>
          <w:sz w:val="22"/>
          <w:szCs w:val="22"/>
        </w:rPr>
        <w:t>a</w:t>
      </w:r>
      <w:r w:rsidRPr="00AB1D14">
        <w:rPr>
          <w:sz w:val="22"/>
          <w:szCs w:val="22"/>
        </w:rPr>
        <w:t xml:space="preserve">ctivity </w:t>
      </w:r>
      <w:r w:rsidR="00E76E1F">
        <w:rPr>
          <w:sz w:val="22"/>
          <w:szCs w:val="22"/>
        </w:rPr>
        <w:t>r</w:t>
      </w:r>
      <w:r w:rsidRPr="00AB1D14">
        <w:rPr>
          <w:sz w:val="22"/>
          <w:szCs w:val="22"/>
        </w:rPr>
        <w:t>eports</w:t>
      </w:r>
      <w:r w:rsidRPr="00AB1D14" w:rsidR="00E6229D">
        <w:rPr>
          <w:sz w:val="22"/>
          <w:szCs w:val="22"/>
        </w:rPr>
        <w:t>,</w:t>
      </w:r>
      <w:r w:rsidRPr="00AB1D14" w:rsidR="00A15D03">
        <w:rPr>
          <w:sz w:val="22"/>
          <w:szCs w:val="22"/>
        </w:rPr>
        <w:t>”</w:t>
      </w:r>
      <w:r w:rsidRPr="00AB1D14" w:rsidR="00DF5003">
        <w:rPr>
          <w:sz w:val="22"/>
          <w:szCs w:val="22"/>
        </w:rPr>
        <w:t xml:space="preserve"> </w:t>
      </w:r>
      <w:r w:rsidRPr="00AB1D14" w:rsidR="00C6185A">
        <w:rPr>
          <w:sz w:val="22"/>
          <w:szCs w:val="22"/>
        </w:rPr>
        <w:t xml:space="preserve">requires </w:t>
      </w:r>
      <w:r w:rsidRPr="00AB1D14" w:rsidR="005837FA">
        <w:rPr>
          <w:sz w:val="22"/>
          <w:szCs w:val="22"/>
        </w:rPr>
        <w:t xml:space="preserve">licensees to </w:t>
      </w:r>
      <w:r w:rsidRPr="00AB1D14" w:rsidR="005B1F0C">
        <w:rPr>
          <w:sz w:val="22"/>
          <w:szCs w:val="22"/>
        </w:rPr>
        <w:t xml:space="preserve">report suspicious activities </w:t>
      </w:r>
      <w:r w:rsidRPr="00AB1D14" w:rsidR="00C653C9">
        <w:rPr>
          <w:sz w:val="22"/>
          <w:szCs w:val="22"/>
        </w:rPr>
        <w:t>involving</w:t>
      </w:r>
      <w:r w:rsidRPr="00AB1D14" w:rsidR="000C39CF">
        <w:rPr>
          <w:sz w:val="22"/>
          <w:szCs w:val="22"/>
        </w:rPr>
        <w:t xml:space="preserve"> licensee</w:t>
      </w:r>
      <w:r w:rsidRPr="00AB1D14" w:rsidR="005B1F0C">
        <w:rPr>
          <w:sz w:val="22"/>
          <w:szCs w:val="22"/>
        </w:rPr>
        <w:t xml:space="preserve"> facilities, materials, and shipping activities to</w:t>
      </w:r>
      <w:r w:rsidRPr="00AB1D14" w:rsidR="005837FA">
        <w:rPr>
          <w:sz w:val="22"/>
          <w:szCs w:val="22"/>
        </w:rPr>
        <w:t xml:space="preserve"> </w:t>
      </w:r>
      <w:r w:rsidRPr="00AB1D14">
        <w:rPr>
          <w:sz w:val="22"/>
          <w:szCs w:val="22"/>
        </w:rPr>
        <w:t>the</w:t>
      </w:r>
      <w:r w:rsidRPr="00AB1D14" w:rsidR="005B1F0C">
        <w:rPr>
          <w:sz w:val="22"/>
          <w:szCs w:val="22"/>
        </w:rPr>
        <w:t xml:space="preserve">ir </w:t>
      </w:r>
      <w:r w:rsidRPr="00AB1D14" w:rsidR="001E3D2A">
        <w:rPr>
          <w:sz w:val="22"/>
          <w:szCs w:val="22"/>
        </w:rPr>
        <w:t xml:space="preserve">applicable </w:t>
      </w:r>
      <w:r w:rsidRPr="00AB1D14" w:rsidR="005B1F0C">
        <w:rPr>
          <w:sz w:val="22"/>
          <w:szCs w:val="22"/>
        </w:rPr>
        <w:t xml:space="preserve">local law enforcement </w:t>
      </w:r>
      <w:r w:rsidRPr="00AB1D14" w:rsidR="00D875D3">
        <w:rPr>
          <w:sz w:val="22"/>
          <w:szCs w:val="22"/>
        </w:rPr>
        <w:t xml:space="preserve">agency </w:t>
      </w:r>
      <w:r w:rsidRPr="00AB1D14" w:rsidR="005B1F0C">
        <w:rPr>
          <w:sz w:val="22"/>
          <w:szCs w:val="22"/>
        </w:rPr>
        <w:t xml:space="preserve">(LLEA), their </w:t>
      </w:r>
      <w:r w:rsidRPr="00AB1D14" w:rsidR="00713A0C">
        <w:rPr>
          <w:sz w:val="22"/>
          <w:szCs w:val="22"/>
        </w:rPr>
        <w:t>applicable</w:t>
      </w:r>
      <w:r w:rsidRPr="00AB1D14">
        <w:rPr>
          <w:sz w:val="22"/>
          <w:szCs w:val="22"/>
        </w:rPr>
        <w:t xml:space="preserve"> </w:t>
      </w:r>
      <w:r w:rsidRPr="00AB1D14" w:rsidR="005B1F0C">
        <w:rPr>
          <w:sz w:val="22"/>
          <w:szCs w:val="22"/>
        </w:rPr>
        <w:t xml:space="preserve">Federal Bureau of Investigation (FBI) </w:t>
      </w:r>
      <w:r w:rsidRPr="00AB1D14">
        <w:rPr>
          <w:sz w:val="22"/>
          <w:szCs w:val="22"/>
        </w:rPr>
        <w:t>local field office</w:t>
      </w:r>
      <w:r w:rsidRPr="00AB1D14" w:rsidR="005B1F0C">
        <w:rPr>
          <w:sz w:val="22"/>
          <w:szCs w:val="22"/>
        </w:rPr>
        <w:t xml:space="preserve">, </w:t>
      </w:r>
      <w:r w:rsidRPr="00AB1D14" w:rsidR="00EE0A29">
        <w:rPr>
          <w:sz w:val="22"/>
          <w:szCs w:val="22"/>
        </w:rPr>
        <w:t>the</w:t>
      </w:r>
      <w:r w:rsidRPr="00AB1D14" w:rsidR="005837FA">
        <w:rPr>
          <w:sz w:val="22"/>
          <w:szCs w:val="22"/>
        </w:rPr>
        <w:t xml:space="preserve"> NRC Headquarters Operations Center</w:t>
      </w:r>
      <w:r w:rsidRPr="00AB1D14" w:rsidR="00C71CF3">
        <w:rPr>
          <w:sz w:val="22"/>
          <w:szCs w:val="22"/>
        </w:rPr>
        <w:t xml:space="preserve">, and subsequently, their </w:t>
      </w:r>
      <w:r w:rsidRPr="00AB1D14" w:rsidR="00713A0C">
        <w:rPr>
          <w:sz w:val="22"/>
          <w:szCs w:val="22"/>
        </w:rPr>
        <w:t>applicable</w:t>
      </w:r>
      <w:r w:rsidRPr="00AB1D14" w:rsidR="00C71CF3">
        <w:rPr>
          <w:sz w:val="22"/>
          <w:szCs w:val="22"/>
        </w:rPr>
        <w:t xml:space="preserve"> Federal Aviation Administration (FAA) </w:t>
      </w:r>
      <w:r w:rsidRPr="00AB1D14" w:rsidR="00925FCD">
        <w:rPr>
          <w:sz w:val="22"/>
          <w:szCs w:val="22"/>
        </w:rPr>
        <w:t xml:space="preserve">local </w:t>
      </w:r>
      <w:r w:rsidRPr="00AB1D14" w:rsidR="00C71CF3">
        <w:rPr>
          <w:sz w:val="22"/>
          <w:szCs w:val="22"/>
        </w:rPr>
        <w:t xml:space="preserve">control tower </w:t>
      </w:r>
      <w:r w:rsidRPr="00AB1D14" w:rsidR="00BD0DC1">
        <w:rPr>
          <w:sz w:val="22"/>
          <w:szCs w:val="22"/>
        </w:rPr>
        <w:t xml:space="preserve">if the </w:t>
      </w:r>
      <w:r w:rsidRPr="00AB1D14" w:rsidR="00F71EE8">
        <w:rPr>
          <w:sz w:val="22"/>
          <w:szCs w:val="22"/>
        </w:rPr>
        <w:t xml:space="preserve">suspicious </w:t>
      </w:r>
      <w:r w:rsidRPr="00AB1D14" w:rsidR="00BD0DC1">
        <w:rPr>
          <w:sz w:val="22"/>
          <w:szCs w:val="22"/>
        </w:rPr>
        <w:t xml:space="preserve">activity involves </w:t>
      </w:r>
      <w:r w:rsidRPr="00AB1D14" w:rsidR="00F71EE8">
        <w:rPr>
          <w:sz w:val="22"/>
          <w:szCs w:val="22"/>
        </w:rPr>
        <w:t>aircraft</w:t>
      </w:r>
      <w:r w:rsidR="002E7BC2">
        <w:rPr>
          <w:sz w:val="22"/>
          <w:szCs w:val="22"/>
        </w:rPr>
        <w:t xml:space="preserve">. </w:t>
      </w:r>
      <w:r w:rsidRPr="00AB1D14" w:rsidR="001D5794">
        <w:rPr>
          <w:sz w:val="22"/>
          <w:szCs w:val="22"/>
        </w:rPr>
        <w:br/>
      </w:r>
    </w:p>
    <w:p w:rsidRPr="00AB1D14" w:rsidR="002021D7" w:rsidP="00337FC4" w:rsidRDefault="002021D7" w14:paraId="5ADE69CB" w14:textId="5D519C3D">
      <w:pPr>
        <w:pStyle w:val="ListParagraph"/>
        <w:numPr>
          <w:ilvl w:val="0"/>
          <w:numId w:val="11"/>
        </w:numPr>
        <w:rPr>
          <w:sz w:val="22"/>
          <w:szCs w:val="22"/>
        </w:rPr>
      </w:pPr>
      <w:r w:rsidRPr="00AB1D14">
        <w:rPr>
          <w:sz w:val="22"/>
          <w:szCs w:val="22"/>
        </w:rPr>
        <w:t xml:space="preserve">10 CFR Part 95, “Facility Security Clearance and Safeguarding of National Security Information and Restricted Data,” </w:t>
      </w:r>
      <w:r w:rsidRPr="00AB1D14" w:rsidR="00BA7771">
        <w:rPr>
          <w:sz w:val="22"/>
          <w:szCs w:val="22"/>
        </w:rPr>
        <w:t>establishes</w:t>
      </w:r>
      <w:r w:rsidRPr="00AB1D14">
        <w:rPr>
          <w:sz w:val="22"/>
          <w:szCs w:val="22"/>
        </w:rPr>
        <w:t xml:space="preserve"> procedures for </w:t>
      </w:r>
      <w:r w:rsidRPr="00AB1D14" w:rsidR="00BA7771">
        <w:rPr>
          <w:sz w:val="22"/>
          <w:szCs w:val="22"/>
        </w:rPr>
        <w:t xml:space="preserve">obtaining facility security clearances and for </w:t>
      </w:r>
      <w:r w:rsidRPr="00AB1D14">
        <w:rPr>
          <w:sz w:val="22"/>
          <w:szCs w:val="22"/>
        </w:rPr>
        <w:t xml:space="preserve">safeguarding </w:t>
      </w:r>
      <w:r w:rsidRPr="00AB1D14" w:rsidR="00051CEB">
        <w:rPr>
          <w:sz w:val="22"/>
          <w:szCs w:val="22"/>
        </w:rPr>
        <w:t>S</w:t>
      </w:r>
      <w:r w:rsidRPr="00AB1D14">
        <w:rPr>
          <w:sz w:val="22"/>
          <w:szCs w:val="22"/>
        </w:rPr>
        <w:t>ecret</w:t>
      </w:r>
      <w:r w:rsidRPr="00AB1D14" w:rsidR="00F71EE8">
        <w:rPr>
          <w:sz w:val="22"/>
          <w:szCs w:val="22"/>
        </w:rPr>
        <w:t xml:space="preserve"> </w:t>
      </w:r>
      <w:r w:rsidRPr="00AB1D14">
        <w:rPr>
          <w:sz w:val="22"/>
          <w:szCs w:val="22"/>
        </w:rPr>
        <w:t xml:space="preserve">and </w:t>
      </w:r>
      <w:r w:rsidRPr="00AB1D14" w:rsidR="00051CEB">
        <w:rPr>
          <w:sz w:val="22"/>
          <w:szCs w:val="22"/>
        </w:rPr>
        <w:t>C</w:t>
      </w:r>
      <w:r w:rsidRPr="00AB1D14">
        <w:rPr>
          <w:sz w:val="22"/>
          <w:szCs w:val="22"/>
        </w:rPr>
        <w:t>onfidential</w:t>
      </w:r>
      <w:r w:rsidRPr="00AB1D14" w:rsidR="00F71EE8">
        <w:rPr>
          <w:sz w:val="22"/>
          <w:szCs w:val="22"/>
        </w:rPr>
        <w:t xml:space="preserve"> </w:t>
      </w:r>
      <w:r w:rsidRPr="00AB1D14" w:rsidR="00051CEB">
        <w:rPr>
          <w:sz w:val="22"/>
          <w:szCs w:val="22"/>
        </w:rPr>
        <w:t>N</w:t>
      </w:r>
      <w:r w:rsidRPr="00AB1D14">
        <w:rPr>
          <w:sz w:val="22"/>
          <w:szCs w:val="22"/>
        </w:rPr>
        <w:t xml:space="preserve">ational </w:t>
      </w:r>
      <w:r w:rsidRPr="00AB1D14" w:rsidR="00051CEB">
        <w:rPr>
          <w:sz w:val="22"/>
          <w:szCs w:val="22"/>
        </w:rPr>
        <w:t>S</w:t>
      </w:r>
      <w:r w:rsidRPr="00AB1D14">
        <w:rPr>
          <w:sz w:val="22"/>
          <w:szCs w:val="22"/>
        </w:rPr>
        <w:t xml:space="preserve">ecurity </w:t>
      </w:r>
      <w:r w:rsidRPr="00AB1D14" w:rsidR="00051CEB">
        <w:rPr>
          <w:sz w:val="22"/>
          <w:szCs w:val="22"/>
        </w:rPr>
        <w:t>I</w:t>
      </w:r>
      <w:r w:rsidRPr="00AB1D14">
        <w:rPr>
          <w:sz w:val="22"/>
          <w:szCs w:val="22"/>
        </w:rPr>
        <w:t xml:space="preserve">nformation </w:t>
      </w:r>
      <w:r w:rsidRPr="00AB1D14" w:rsidR="00051CEB">
        <w:rPr>
          <w:sz w:val="22"/>
          <w:szCs w:val="22"/>
        </w:rPr>
        <w:t xml:space="preserve">(NSI) </w:t>
      </w:r>
      <w:r w:rsidRPr="00AB1D14">
        <w:rPr>
          <w:sz w:val="22"/>
          <w:szCs w:val="22"/>
        </w:rPr>
        <w:t xml:space="preserve">and </w:t>
      </w:r>
      <w:r w:rsidRPr="00AB1D14" w:rsidR="00F71EE8">
        <w:rPr>
          <w:sz w:val="22"/>
          <w:szCs w:val="22"/>
        </w:rPr>
        <w:t xml:space="preserve">Restricted Data </w:t>
      </w:r>
      <w:r w:rsidRPr="00AB1D14" w:rsidR="00E00E09">
        <w:rPr>
          <w:sz w:val="22"/>
          <w:szCs w:val="22"/>
        </w:rPr>
        <w:t>(RD)</w:t>
      </w:r>
      <w:r w:rsidRPr="00AB1D14">
        <w:rPr>
          <w:sz w:val="22"/>
          <w:szCs w:val="22"/>
        </w:rPr>
        <w:t xml:space="preserve"> received or developed in conjunction with activities licensed</w:t>
      </w:r>
      <w:r w:rsidRPr="00AB1D14" w:rsidR="00BA7771">
        <w:rPr>
          <w:sz w:val="22"/>
          <w:szCs w:val="22"/>
        </w:rPr>
        <w:t>, certified,</w:t>
      </w:r>
      <w:r w:rsidRPr="00AB1D14">
        <w:rPr>
          <w:sz w:val="22"/>
          <w:szCs w:val="22"/>
        </w:rPr>
        <w:t xml:space="preserve"> or regulated by the Commission</w:t>
      </w:r>
      <w:r w:rsidRPr="00AB1D14" w:rsidR="002F2741">
        <w:rPr>
          <w:sz w:val="22"/>
          <w:szCs w:val="22"/>
        </w:rPr>
        <w:t xml:space="preserve"> (Ref. </w:t>
      </w:r>
      <w:r w:rsidR="004A2A71">
        <w:rPr>
          <w:sz w:val="22"/>
          <w:szCs w:val="22"/>
        </w:rPr>
        <w:t>6</w:t>
      </w:r>
      <w:r w:rsidRPr="00AB1D14">
        <w:rPr>
          <w:sz w:val="22"/>
          <w:szCs w:val="22"/>
        </w:rPr>
        <w:t>).</w:t>
      </w:r>
    </w:p>
    <w:p w:rsidRPr="00AB1D14" w:rsidR="002021D7" w:rsidP="00337FC4" w:rsidRDefault="002021D7" w14:paraId="218D6B69" w14:textId="77777777">
      <w:pPr>
        <w:pStyle w:val="ListParagraph"/>
        <w:ind w:hanging="360"/>
        <w:rPr>
          <w:sz w:val="22"/>
          <w:szCs w:val="22"/>
        </w:rPr>
      </w:pPr>
    </w:p>
    <w:p w:rsidRPr="00AB1D14" w:rsidR="002021D7" w:rsidP="0055405B" w:rsidRDefault="002021D7" w14:paraId="495E6CBE" w14:textId="77777777">
      <w:pPr>
        <w:pStyle w:val="ListParagraph"/>
        <w:numPr>
          <w:ilvl w:val="1"/>
          <w:numId w:val="11"/>
        </w:numPr>
        <w:rPr>
          <w:sz w:val="22"/>
          <w:szCs w:val="22"/>
        </w:rPr>
      </w:pPr>
      <w:r w:rsidRPr="00AB1D14">
        <w:rPr>
          <w:sz w:val="22"/>
          <w:szCs w:val="22"/>
        </w:rPr>
        <w:t>10 CFR 95.57, “Reports,” requires</w:t>
      </w:r>
      <w:r w:rsidR="00E02297">
        <w:rPr>
          <w:sz w:val="22"/>
          <w:szCs w:val="22"/>
        </w:rPr>
        <w:t>, in part, that</w:t>
      </w:r>
      <w:r w:rsidRPr="00AB1D14">
        <w:rPr>
          <w:sz w:val="22"/>
          <w:szCs w:val="22"/>
        </w:rPr>
        <w:t xml:space="preserve"> licensees </w:t>
      </w:r>
      <w:r w:rsidRPr="00AB1D14" w:rsidR="007F0335">
        <w:rPr>
          <w:sz w:val="22"/>
          <w:szCs w:val="22"/>
        </w:rPr>
        <w:t>report any alleged or suspected violation of the Atomic Energy Act</w:t>
      </w:r>
      <w:r w:rsidRPr="00AB1D14" w:rsidR="00EE0A29">
        <w:rPr>
          <w:sz w:val="22"/>
          <w:szCs w:val="22"/>
        </w:rPr>
        <w:t xml:space="preserve"> of 1954</w:t>
      </w:r>
      <w:r w:rsidRPr="00AB1D14" w:rsidR="007F0335">
        <w:rPr>
          <w:sz w:val="22"/>
          <w:szCs w:val="22"/>
        </w:rPr>
        <w:t xml:space="preserve">, </w:t>
      </w:r>
      <w:r w:rsidRPr="00AB1D14" w:rsidR="003B215C">
        <w:rPr>
          <w:sz w:val="22"/>
          <w:szCs w:val="22"/>
        </w:rPr>
        <w:t xml:space="preserve">as amended (AEA); </w:t>
      </w:r>
      <w:r w:rsidRPr="00AB1D14" w:rsidR="007F0335">
        <w:rPr>
          <w:sz w:val="22"/>
          <w:szCs w:val="22"/>
        </w:rPr>
        <w:t>Espionage Act</w:t>
      </w:r>
      <w:r w:rsidRPr="00AB1D14" w:rsidR="003B215C">
        <w:rPr>
          <w:sz w:val="22"/>
          <w:szCs w:val="22"/>
        </w:rPr>
        <w:t>;</w:t>
      </w:r>
      <w:r w:rsidRPr="00AB1D14" w:rsidR="007F0335">
        <w:rPr>
          <w:sz w:val="22"/>
          <w:szCs w:val="22"/>
        </w:rPr>
        <w:t xml:space="preserve"> or other Federal statutes related to </w:t>
      </w:r>
      <w:r w:rsidRPr="00AB1D14" w:rsidR="00EE0A29">
        <w:rPr>
          <w:sz w:val="22"/>
          <w:szCs w:val="22"/>
        </w:rPr>
        <w:t xml:space="preserve">protection of </w:t>
      </w:r>
      <w:r w:rsidRPr="00AB1D14" w:rsidR="007F0335">
        <w:rPr>
          <w:sz w:val="22"/>
          <w:szCs w:val="22"/>
        </w:rPr>
        <w:t>classified information (e.g.,</w:t>
      </w:r>
      <w:r w:rsidRPr="00AB1D14" w:rsidR="00E82B95">
        <w:rPr>
          <w:sz w:val="22"/>
          <w:szCs w:val="22"/>
        </w:rPr>
        <w:t> </w:t>
      </w:r>
      <w:r w:rsidRPr="00AB1D14" w:rsidR="0075616A">
        <w:rPr>
          <w:sz w:val="22"/>
          <w:szCs w:val="22"/>
        </w:rPr>
        <w:t xml:space="preserve">the </w:t>
      </w:r>
      <w:r w:rsidRPr="00AB1D14" w:rsidR="005B1F0C">
        <w:rPr>
          <w:sz w:val="22"/>
          <w:szCs w:val="22"/>
        </w:rPr>
        <w:t xml:space="preserve">loss, </w:t>
      </w:r>
      <w:r w:rsidRPr="00AB1D14" w:rsidR="00F156C0">
        <w:rPr>
          <w:sz w:val="22"/>
          <w:szCs w:val="22"/>
        </w:rPr>
        <w:t xml:space="preserve">theft, or </w:t>
      </w:r>
      <w:r w:rsidRPr="00AB1D14" w:rsidR="00FA2FEE">
        <w:rPr>
          <w:sz w:val="22"/>
          <w:szCs w:val="22"/>
        </w:rPr>
        <w:t xml:space="preserve">deliberate </w:t>
      </w:r>
      <w:r w:rsidRPr="00AB1D14" w:rsidR="007F0335">
        <w:rPr>
          <w:sz w:val="22"/>
          <w:szCs w:val="22"/>
        </w:rPr>
        <w:t xml:space="preserve">disclosure of classified </w:t>
      </w:r>
      <w:r w:rsidRPr="00AB1D14" w:rsidR="00FD1E4E">
        <w:rPr>
          <w:sz w:val="22"/>
          <w:szCs w:val="22"/>
        </w:rPr>
        <w:t>NSI</w:t>
      </w:r>
      <w:r w:rsidRPr="00AB1D14" w:rsidR="007F0335">
        <w:rPr>
          <w:sz w:val="22"/>
          <w:szCs w:val="22"/>
        </w:rPr>
        <w:t xml:space="preserve"> </w:t>
      </w:r>
      <w:r w:rsidRPr="00AB1D14" w:rsidR="008D5BC7">
        <w:rPr>
          <w:sz w:val="22"/>
          <w:szCs w:val="22"/>
        </w:rPr>
        <w:t xml:space="preserve">or </w:t>
      </w:r>
      <w:r w:rsidRPr="00AB1D14" w:rsidR="0075616A">
        <w:rPr>
          <w:sz w:val="22"/>
          <w:szCs w:val="22"/>
        </w:rPr>
        <w:t xml:space="preserve">RD </w:t>
      </w:r>
      <w:r w:rsidRPr="00AB1D14" w:rsidR="007F0335">
        <w:rPr>
          <w:sz w:val="22"/>
          <w:szCs w:val="22"/>
        </w:rPr>
        <w:t xml:space="preserve">to </w:t>
      </w:r>
      <w:r w:rsidRPr="00AB1D14" w:rsidR="00EE0A29">
        <w:rPr>
          <w:sz w:val="22"/>
          <w:szCs w:val="22"/>
        </w:rPr>
        <w:t xml:space="preserve">unauthorized </w:t>
      </w:r>
      <w:r w:rsidRPr="00AB1D14" w:rsidR="007F0335">
        <w:rPr>
          <w:sz w:val="22"/>
          <w:szCs w:val="22"/>
        </w:rPr>
        <w:t>person</w:t>
      </w:r>
      <w:r w:rsidRPr="00AB1D14" w:rsidR="00EE0A29">
        <w:rPr>
          <w:sz w:val="22"/>
          <w:szCs w:val="22"/>
        </w:rPr>
        <w:t>s</w:t>
      </w:r>
      <w:r w:rsidRPr="00AB1D14" w:rsidR="007F0335">
        <w:rPr>
          <w:sz w:val="22"/>
          <w:szCs w:val="22"/>
        </w:rPr>
        <w:t>).</w:t>
      </w:r>
    </w:p>
    <w:p w:rsidRPr="00AB1D14" w:rsidR="00504DD5" w:rsidP="00337FC4" w:rsidRDefault="00504DD5" w14:paraId="467E8772" w14:textId="77777777">
      <w:pPr>
        <w:pStyle w:val="ListParagraph"/>
        <w:ind w:hanging="360"/>
        <w:rPr>
          <w:sz w:val="22"/>
          <w:szCs w:val="22"/>
        </w:rPr>
      </w:pPr>
    </w:p>
    <w:p w:rsidRPr="00AB1D14" w:rsidR="00504DD5" w:rsidP="00337FC4" w:rsidRDefault="00C83575" w14:paraId="7F1EF2C2" w14:textId="36DC8451">
      <w:pPr>
        <w:pStyle w:val="ListParagraph"/>
        <w:numPr>
          <w:ilvl w:val="0"/>
          <w:numId w:val="11"/>
        </w:numPr>
        <w:rPr>
          <w:sz w:val="22"/>
          <w:szCs w:val="22"/>
        </w:rPr>
      </w:pPr>
      <w:bookmarkStart w:name="_Toc507399994" w:id="18"/>
      <w:r w:rsidRPr="00AB1D14">
        <w:rPr>
          <w:sz w:val="22"/>
          <w:szCs w:val="22"/>
        </w:rPr>
        <w:t>10 CFR Part 150, “</w:t>
      </w:r>
      <w:r w:rsidRPr="00AB1D14" w:rsidR="00504DD5">
        <w:rPr>
          <w:sz w:val="22"/>
          <w:szCs w:val="22"/>
        </w:rPr>
        <w:t>Exemptions and Continued Regulatory Authority in Agreement States and In Offshore Waters Under Section 274,” provide</w:t>
      </w:r>
      <w:r w:rsidR="000E25D1">
        <w:rPr>
          <w:sz w:val="22"/>
          <w:szCs w:val="22"/>
        </w:rPr>
        <w:t>s</w:t>
      </w:r>
      <w:r w:rsidRPr="00AB1D14" w:rsidR="00504DD5">
        <w:rPr>
          <w:sz w:val="22"/>
          <w:szCs w:val="22"/>
        </w:rPr>
        <w:t xml:space="preserve"> certain exemptions to persons in Agreement States from the licen</w:t>
      </w:r>
      <w:r w:rsidRPr="00AB1D14" w:rsidR="00F71EE8">
        <w:rPr>
          <w:sz w:val="22"/>
          <w:szCs w:val="22"/>
        </w:rPr>
        <w:t>sing requirements contained in C</w:t>
      </w:r>
      <w:r w:rsidRPr="00AB1D14" w:rsidR="00504DD5">
        <w:rPr>
          <w:sz w:val="22"/>
          <w:szCs w:val="22"/>
        </w:rPr>
        <w:t xml:space="preserve">hapters 6, 7, and 8 of the AEA and from the regulations of the Commission imposing requirements upon persons who receive, possess, use or transfer byproduct material, source, or special nuclear material in quantities not sufficient to form a critical mass; and to define activities in Agreement States and in offshore waters over which the regulatory authority of the Commission continues (Ref. </w:t>
      </w:r>
      <w:r w:rsidR="004A2A71">
        <w:rPr>
          <w:sz w:val="22"/>
          <w:szCs w:val="22"/>
        </w:rPr>
        <w:t>7</w:t>
      </w:r>
      <w:r w:rsidRPr="00AB1D14" w:rsidR="00504DD5">
        <w:rPr>
          <w:sz w:val="22"/>
          <w:szCs w:val="22"/>
        </w:rPr>
        <w:t>).</w:t>
      </w:r>
    </w:p>
    <w:p w:rsidRPr="00AB1D14" w:rsidR="00504DD5" w:rsidP="00337FC4" w:rsidRDefault="00504DD5" w14:paraId="6153EE37" w14:textId="77777777">
      <w:pPr>
        <w:pStyle w:val="ListParagraph"/>
        <w:ind w:hanging="360"/>
        <w:rPr>
          <w:sz w:val="22"/>
          <w:szCs w:val="22"/>
        </w:rPr>
      </w:pPr>
    </w:p>
    <w:p w:rsidRPr="00AB1D14" w:rsidR="00504DD5" w:rsidP="0055405B" w:rsidRDefault="00504DD5" w14:paraId="6BE6A9FD" w14:textId="77777777">
      <w:pPr>
        <w:pStyle w:val="ListParagraph"/>
        <w:numPr>
          <w:ilvl w:val="1"/>
          <w:numId w:val="11"/>
        </w:numPr>
        <w:rPr>
          <w:sz w:val="22"/>
          <w:szCs w:val="22"/>
        </w:rPr>
      </w:pPr>
      <w:r w:rsidRPr="00AB1D14">
        <w:rPr>
          <w:sz w:val="22"/>
          <w:szCs w:val="22"/>
        </w:rPr>
        <w:t xml:space="preserve">10 CFR 150.11, </w:t>
      </w:r>
      <w:r w:rsidR="004518B5">
        <w:rPr>
          <w:sz w:val="22"/>
          <w:szCs w:val="22"/>
        </w:rPr>
        <w:t>“</w:t>
      </w:r>
      <w:r w:rsidRPr="00AB1D14">
        <w:rPr>
          <w:sz w:val="22"/>
          <w:szCs w:val="22"/>
        </w:rPr>
        <w:t xml:space="preserve">Critical mass,” specifies the maximum quantity of </w:t>
      </w:r>
      <w:r w:rsidRPr="00AB1D14" w:rsidR="00E00857">
        <w:rPr>
          <w:sz w:val="22"/>
          <w:szCs w:val="22"/>
        </w:rPr>
        <w:t>SSNM or SNM that may be possessed by an Agreement State licensee.</w:t>
      </w:r>
    </w:p>
    <w:p w:rsidRPr="00AB1D14" w:rsidR="00504DD5" w:rsidP="00337FC4" w:rsidRDefault="00504DD5" w14:paraId="0B145257" w14:textId="77777777">
      <w:pPr>
        <w:pStyle w:val="ListParagraph"/>
        <w:ind w:hanging="360"/>
        <w:rPr>
          <w:sz w:val="22"/>
          <w:szCs w:val="22"/>
        </w:rPr>
      </w:pPr>
    </w:p>
    <w:p w:rsidRPr="00AB1D14" w:rsidR="00504DD5" w:rsidP="0055405B" w:rsidRDefault="00504DD5" w14:paraId="25A777CC" w14:textId="77777777">
      <w:pPr>
        <w:pStyle w:val="ListParagraph"/>
        <w:numPr>
          <w:ilvl w:val="1"/>
          <w:numId w:val="11"/>
        </w:numPr>
        <w:rPr>
          <w:sz w:val="22"/>
          <w:szCs w:val="22"/>
        </w:rPr>
      </w:pPr>
      <w:r w:rsidRPr="00AB1D14">
        <w:rPr>
          <w:sz w:val="22"/>
          <w:szCs w:val="22"/>
        </w:rPr>
        <w:t xml:space="preserve">10 CFR 150.14, “Commission </w:t>
      </w:r>
      <w:r w:rsidR="00E76E1F">
        <w:rPr>
          <w:sz w:val="22"/>
          <w:szCs w:val="22"/>
        </w:rPr>
        <w:t>r</w:t>
      </w:r>
      <w:r w:rsidRPr="00AB1D14">
        <w:rPr>
          <w:sz w:val="22"/>
          <w:szCs w:val="22"/>
        </w:rPr>
        <w:t xml:space="preserve">egulatory </w:t>
      </w:r>
      <w:r w:rsidR="00E76E1F">
        <w:rPr>
          <w:sz w:val="22"/>
          <w:szCs w:val="22"/>
        </w:rPr>
        <w:t>a</w:t>
      </w:r>
      <w:r w:rsidRPr="00AB1D14">
        <w:rPr>
          <w:sz w:val="22"/>
          <w:szCs w:val="22"/>
        </w:rPr>
        <w:t xml:space="preserve">uthority </w:t>
      </w:r>
      <w:r w:rsidR="00E76E1F">
        <w:rPr>
          <w:sz w:val="22"/>
          <w:szCs w:val="22"/>
        </w:rPr>
        <w:t>for physical protection</w:t>
      </w:r>
      <w:r w:rsidRPr="00AB1D14">
        <w:rPr>
          <w:sz w:val="22"/>
          <w:szCs w:val="22"/>
        </w:rPr>
        <w:t>,” specifies that Agreement State licensees possessing a Category III quantity of SSNM remain subject to the NRC</w:t>
      </w:r>
      <w:r w:rsidRPr="00AB1D14" w:rsidR="00E00857">
        <w:rPr>
          <w:sz w:val="22"/>
          <w:szCs w:val="22"/>
        </w:rPr>
        <w:t>’s</w:t>
      </w:r>
      <w:r w:rsidRPr="00AB1D14">
        <w:rPr>
          <w:sz w:val="22"/>
          <w:szCs w:val="22"/>
        </w:rPr>
        <w:t xml:space="preserve"> physical security requirements </w:t>
      </w:r>
      <w:r w:rsidRPr="00AB1D14" w:rsidR="00F71EE8">
        <w:rPr>
          <w:sz w:val="22"/>
          <w:szCs w:val="22"/>
        </w:rPr>
        <w:t>under</w:t>
      </w:r>
      <w:r w:rsidRPr="00AB1D14">
        <w:rPr>
          <w:sz w:val="22"/>
          <w:szCs w:val="22"/>
        </w:rPr>
        <w:t xml:space="preserve"> 10 CFR 73.67</w:t>
      </w:r>
      <w:r w:rsidRPr="00AB1D14" w:rsidR="00E00857">
        <w:rPr>
          <w:sz w:val="22"/>
          <w:szCs w:val="22"/>
        </w:rPr>
        <w:t xml:space="preserve">, “Licensee </w:t>
      </w:r>
      <w:r w:rsidR="00E76E1F">
        <w:rPr>
          <w:sz w:val="22"/>
          <w:szCs w:val="22"/>
        </w:rPr>
        <w:t>f</w:t>
      </w:r>
      <w:r w:rsidRPr="00AB1D14" w:rsidR="00E00857">
        <w:rPr>
          <w:sz w:val="22"/>
          <w:szCs w:val="22"/>
        </w:rPr>
        <w:t xml:space="preserve">ixed </w:t>
      </w:r>
      <w:r w:rsidR="00E76E1F">
        <w:rPr>
          <w:sz w:val="22"/>
          <w:szCs w:val="22"/>
        </w:rPr>
        <w:t>s</w:t>
      </w:r>
      <w:r w:rsidRPr="00AB1D14" w:rsidR="00E00857">
        <w:rPr>
          <w:sz w:val="22"/>
          <w:szCs w:val="22"/>
        </w:rPr>
        <w:t xml:space="preserve">ite and </w:t>
      </w:r>
      <w:r w:rsidR="00E76E1F">
        <w:rPr>
          <w:sz w:val="22"/>
          <w:szCs w:val="22"/>
        </w:rPr>
        <w:t>i</w:t>
      </w:r>
      <w:r w:rsidRPr="00AB1D14" w:rsidR="00E00857">
        <w:rPr>
          <w:sz w:val="22"/>
          <w:szCs w:val="22"/>
        </w:rPr>
        <w:t>n-</w:t>
      </w:r>
      <w:r w:rsidR="00E76E1F">
        <w:rPr>
          <w:sz w:val="22"/>
          <w:szCs w:val="22"/>
        </w:rPr>
        <w:t>t</w:t>
      </w:r>
      <w:r w:rsidRPr="00AB1D14" w:rsidR="00E00857">
        <w:rPr>
          <w:sz w:val="22"/>
          <w:szCs w:val="22"/>
        </w:rPr>
        <w:t xml:space="preserve">ransit </w:t>
      </w:r>
      <w:r w:rsidR="00E76E1F">
        <w:rPr>
          <w:sz w:val="22"/>
          <w:szCs w:val="22"/>
        </w:rPr>
        <w:t>r</w:t>
      </w:r>
      <w:r w:rsidRPr="00AB1D14" w:rsidR="00E00857">
        <w:rPr>
          <w:sz w:val="22"/>
          <w:szCs w:val="22"/>
        </w:rPr>
        <w:t xml:space="preserve">equirements for the </w:t>
      </w:r>
      <w:r w:rsidR="00E76E1F">
        <w:rPr>
          <w:sz w:val="22"/>
          <w:szCs w:val="22"/>
        </w:rPr>
        <w:t>p</w:t>
      </w:r>
      <w:r w:rsidRPr="00AB1D14" w:rsidR="00E00857">
        <w:rPr>
          <w:sz w:val="22"/>
          <w:szCs w:val="22"/>
        </w:rPr>
        <w:t xml:space="preserve">hysical </w:t>
      </w:r>
      <w:r w:rsidR="00E76E1F">
        <w:rPr>
          <w:sz w:val="22"/>
          <w:szCs w:val="22"/>
        </w:rPr>
        <w:t>p</w:t>
      </w:r>
      <w:r w:rsidRPr="00AB1D14" w:rsidR="00E00857">
        <w:rPr>
          <w:sz w:val="22"/>
          <w:szCs w:val="22"/>
        </w:rPr>
        <w:t xml:space="preserve">rotection of </w:t>
      </w:r>
      <w:r w:rsidR="00E76E1F">
        <w:rPr>
          <w:sz w:val="22"/>
          <w:szCs w:val="22"/>
        </w:rPr>
        <w:t>s</w:t>
      </w:r>
      <w:r w:rsidRPr="00AB1D14" w:rsidR="00E00857">
        <w:rPr>
          <w:sz w:val="22"/>
          <w:szCs w:val="22"/>
        </w:rPr>
        <w:t xml:space="preserve">pecial </w:t>
      </w:r>
      <w:r w:rsidR="00E76E1F">
        <w:rPr>
          <w:sz w:val="22"/>
          <w:szCs w:val="22"/>
        </w:rPr>
        <w:t>n</w:t>
      </w:r>
      <w:r w:rsidRPr="00AB1D14" w:rsidR="00E00857">
        <w:rPr>
          <w:sz w:val="22"/>
          <w:szCs w:val="22"/>
        </w:rPr>
        <w:t xml:space="preserve">uclear </w:t>
      </w:r>
      <w:r w:rsidR="00E76E1F">
        <w:rPr>
          <w:sz w:val="22"/>
          <w:szCs w:val="22"/>
        </w:rPr>
        <w:t>m</w:t>
      </w:r>
      <w:r w:rsidRPr="00AB1D14" w:rsidR="00E00857">
        <w:rPr>
          <w:sz w:val="22"/>
          <w:szCs w:val="22"/>
        </w:rPr>
        <w:t xml:space="preserve">aterial of </w:t>
      </w:r>
      <w:r w:rsidR="00E76E1F">
        <w:rPr>
          <w:sz w:val="22"/>
          <w:szCs w:val="22"/>
        </w:rPr>
        <w:t>m</w:t>
      </w:r>
      <w:r w:rsidRPr="00AB1D14" w:rsidR="00E00857">
        <w:rPr>
          <w:sz w:val="22"/>
          <w:szCs w:val="22"/>
        </w:rPr>
        <w:t xml:space="preserve">oderate and </w:t>
      </w:r>
      <w:r w:rsidR="00E76E1F">
        <w:rPr>
          <w:sz w:val="22"/>
          <w:szCs w:val="22"/>
        </w:rPr>
        <w:t>l</w:t>
      </w:r>
      <w:r w:rsidRPr="00AB1D14" w:rsidR="00E00857">
        <w:rPr>
          <w:sz w:val="22"/>
          <w:szCs w:val="22"/>
        </w:rPr>
        <w:t xml:space="preserve">ow </w:t>
      </w:r>
      <w:r w:rsidR="00E76E1F">
        <w:rPr>
          <w:sz w:val="22"/>
          <w:szCs w:val="22"/>
        </w:rPr>
        <w:t>s</w:t>
      </w:r>
      <w:r w:rsidRPr="00AB1D14" w:rsidR="00E00857">
        <w:rPr>
          <w:sz w:val="22"/>
          <w:szCs w:val="22"/>
        </w:rPr>
        <w:t xml:space="preserve">trategic </w:t>
      </w:r>
      <w:r w:rsidR="00E76E1F">
        <w:rPr>
          <w:sz w:val="22"/>
          <w:szCs w:val="22"/>
        </w:rPr>
        <w:t>s</w:t>
      </w:r>
      <w:r w:rsidRPr="00AB1D14" w:rsidR="00E00857">
        <w:rPr>
          <w:sz w:val="22"/>
          <w:szCs w:val="22"/>
        </w:rPr>
        <w:t>ignificance.”</w:t>
      </w:r>
    </w:p>
    <w:p w:rsidRPr="00AB1D14" w:rsidR="002021D7" w:rsidP="008046F2" w:rsidRDefault="002021D7" w14:paraId="24AB9CAF" w14:textId="77777777">
      <w:pPr>
        <w:pStyle w:val="ListParagraph"/>
        <w:rPr>
          <w:sz w:val="22"/>
          <w:szCs w:val="22"/>
        </w:rPr>
      </w:pPr>
    </w:p>
    <w:p w:rsidRPr="00AB1D14" w:rsidR="00C30CC9" w:rsidP="005B4F6A" w:rsidRDefault="00FC6786" w14:paraId="66A6BBAA" w14:textId="77777777">
      <w:pPr>
        <w:pStyle w:val="Heading2"/>
        <w:numPr>
          <w:ilvl w:val="0"/>
          <w:numId w:val="0"/>
        </w:numPr>
        <w:rPr>
          <w:szCs w:val="22"/>
        </w:rPr>
      </w:pPr>
      <w:bookmarkStart w:name="_Toc26362833" w:id="19"/>
      <w:bookmarkStart w:name="_Toc29213176" w:id="20"/>
      <w:bookmarkStart w:name="_Toc73021720" w:id="21"/>
      <w:r w:rsidRPr="00AB1D14">
        <w:rPr>
          <w:szCs w:val="22"/>
        </w:rPr>
        <w:t>Related Guidance</w:t>
      </w:r>
      <w:bookmarkEnd w:id="18"/>
      <w:bookmarkEnd w:id="19"/>
      <w:bookmarkEnd w:id="20"/>
      <w:bookmarkEnd w:id="21"/>
    </w:p>
    <w:p w:rsidRPr="00AB1D14" w:rsidR="00C30CC9" w:rsidP="005B4F6A" w:rsidRDefault="00C30CC9" w14:paraId="257A5DA6" w14:textId="77777777">
      <w:pPr>
        <w:rPr>
          <w:b/>
          <w:szCs w:val="22"/>
        </w:rPr>
      </w:pPr>
    </w:p>
    <w:p w:rsidRPr="0072741D" w:rsidR="00E202DE" w:rsidP="0072741D" w:rsidRDefault="002634A7" w14:paraId="62676A91" w14:textId="1394ABB0">
      <w:pPr>
        <w:pStyle w:val="ListParagraph"/>
        <w:numPr>
          <w:ilvl w:val="0"/>
          <w:numId w:val="9"/>
        </w:numPr>
        <w:rPr>
          <w:sz w:val="22"/>
          <w:szCs w:val="22"/>
        </w:rPr>
      </w:pPr>
      <w:r w:rsidRPr="00682BAF">
        <w:rPr>
          <w:sz w:val="22"/>
          <w:szCs w:val="22"/>
        </w:rPr>
        <w:t>Regulatory Guide (RG) 5.62</w:t>
      </w:r>
      <w:r w:rsidRPr="00682BAF" w:rsidR="00CC0DFE">
        <w:rPr>
          <w:sz w:val="22"/>
          <w:szCs w:val="22"/>
        </w:rPr>
        <w:t>,</w:t>
      </w:r>
      <w:r w:rsidRPr="00682BAF" w:rsidR="00233BF2">
        <w:rPr>
          <w:sz w:val="22"/>
          <w:szCs w:val="22"/>
        </w:rPr>
        <w:t xml:space="preserve"> “Physical Security Event Notifications, Reports, and Records</w:t>
      </w:r>
      <w:r w:rsidRPr="00682BAF" w:rsidR="00CD3AD3">
        <w:rPr>
          <w:sz w:val="22"/>
          <w:szCs w:val="22"/>
        </w:rPr>
        <w:t>,</w:t>
      </w:r>
      <w:r w:rsidRPr="00682BAF" w:rsidR="00233BF2">
        <w:rPr>
          <w:sz w:val="22"/>
          <w:szCs w:val="22"/>
        </w:rPr>
        <w:t xml:space="preserve">” </w:t>
      </w:r>
      <w:r w:rsidRPr="00682BAF" w:rsidR="00754087">
        <w:rPr>
          <w:sz w:val="22"/>
          <w:szCs w:val="22"/>
        </w:rPr>
        <w:t xml:space="preserve">provides guidance </w:t>
      </w:r>
      <w:r w:rsidR="00E8387C">
        <w:rPr>
          <w:sz w:val="22"/>
          <w:szCs w:val="22"/>
        </w:rPr>
        <w:t xml:space="preserve">on </w:t>
      </w:r>
      <w:r w:rsidR="009A5E0D">
        <w:rPr>
          <w:sz w:val="22"/>
          <w:szCs w:val="22"/>
        </w:rPr>
        <w:t>physical security event notifications</w:t>
      </w:r>
      <w:r w:rsidR="00B11927">
        <w:rPr>
          <w:sz w:val="22"/>
          <w:szCs w:val="22"/>
        </w:rPr>
        <w:t>.  For example, a notification</w:t>
      </w:r>
      <w:r w:rsidR="009A5E0D">
        <w:rPr>
          <w:sz w:val="22"/>
          <w:szCs w:val="22"/>
        </w:rPr>
        <w:t xml:space="preserve"> that may arise because of</w:t>
      </w:r>
      <w:r w:rsidR="005F46CF">
        <w:rPr>
          <w:sz w:val="22"/>
          <w:szCs w:val="22"/>
        </w:rPr>
        <w:t xml:space="preserve"> an</w:t>
      </w:r>
      <w:r w:rsidR="009A5E0D">
        <w:rPr>
          <w:sz w:val="22"/>
          <w:szCs w:val="22"/>
        </w:rPr>
        <w:t xml:space="preserve"> </w:t>
      </w:r>
      <w:r w:rsidR="003173CA">
        <w:rPr>
          <w:sz w:val="22"/>
          <w:szCs w:val="22"/>
        </w:rPr>
        <w:t xml:space="preserve">LLEA response to </w:t>
      </w:r>
      <w:r w:rsidR="009A5E0D">
        <w:rPr>
          <w:sz w:val="22"/>
          <w:szCs w:val="22"/>
        </w:rPr>
        <w:t>a suspicious activity report</w:t>
      </w:r>
      <w:r w:rsidRPr="00682BAF" w:rsidR="00754087">
        <w:rPr>
          <w:sz w:val="22"/>
          <w:szCs w:val="22"/>
        </w:rPr>
        <w:t xml:space="preserve"> </w:t>
      </w:r>
      <w:r w:rsidRPr="00682BAF" w:rsidR="00233BF2">
        <w:rPr>
          <w:sz w:val="22"/>
          <w:szCs w:val="22"/>
        </w:rPr>
        <w:t>(Ref. </w:t>
      </w:r>
      <w:r w:rsidR="007478DD">
        <w:rPr>
          <w:sz w:val="22"/>
          <w:szCs w:val="22"/>
        </w:rPr>
        <w:t>8</w:t>
      </w:r>
      <w:r w:rsidRPr="00682BAF" w:rsidR="00233BF2">
        <w:rPr>
          <w:sz w:val="22"/>
          <w:szCs w:val="22"/>
        </w:rPr>
        <w:t>)</w:t>
      </w:r>
      <w:r w:rsidR="007478DD">
        <w:rPr>
          <w:sz w:val="22"/>
          <w:szCs w:val="22"/>
        </w:rPr>
        <w:t>.</w:t>
      </w:r>
      <w:r w:rsidRPr="00772A53" w:rsidR="00772A53">
        <w:rPr>
          <w:rStyle w:val="FootnoteReference"/>
          <w:sz w:val="22"/>
          <w:szCs w:val="22"/>
        </w:rPr>
        <w:t xml:space="preserve"> </w:t>
      </w:r>
      <w:r w:rsidRPr="00AB1D14" w:rsidR="00772A53">
        <w:rPr>
          <w:rStyle w:val="FootnoteReference"/>
          <w:sz w:val="22"/>
          <w:szCs w:val="22"/>
        </w:rPr>
        <w:footnoteReference w:id="2"/>
      </w:r>
    </w:p>
    <w:p w:rsidRPr="00AB1D14" w:rsidR="00767029" w:rsidP="005B4F6A" w:rsidRDefault="00767029" w14:paraId="34701E88" w14:textId="77777777">
      <w:pPr>
        <w:rPr>
          <w:b/>
          <w:szCs w:val="22"/>
        </w:rPr>
      </w:pPr>
    </w:p>
    <w:p w:rsidRPr="00AB1D14" w:rsidR="00C30CC9" w:rsidP="005B4F6A" w:rsidRDefault="00FC6786" w14:paraId="4C5029C9" w14:textId="77777777">
      <w:pPr>
        <w:pStyle w:val="Heading2"/>
        <w:numPr>
          <w:ilvl w:val="0"/>
          <w:numId w:val="0"/>
        </w:numPr>
        <w:rPr>
          <w:szCs w:val="22"/>
        </w:rPr>
      </w:pPr>
      <w:bookmarkStart w:name="_Toc507399995" w:id="22"/>
      <w:bookmarkStart w:name="_Toc26362834" w:id="23"/>
      <w:bookmarkStart w:name="_Toc29213177" w:id="24"/>
      <w:bookmarkStart w:name="_Toc73021721" w:id="25"/>
      <w:r w:rsidRPr="00AB1D14">
        <w:rPr>
          <w:szCs w:val="22"/>
        </w:rPr>
        <w:t>Purpose of Regulatory Guides</w:t>
      </w:r>
      <w:bookmarkEnd w:id="22"/>
      <w:bookmarkEnd w:id="23"/>
      <w:bookmarkEnd w:id="24"/>
      <w:bookmarkEnd w:id="25"/>
    </w:p>
    <w:p w:rsidRPr="00AB1D14" w:rsidR="00C30CC9" w:rsidP="00241873" w:rsidRDefault="00C30CC9" w14:paraId="3A5FF0D1" w14:textId="77777777">
      <w:pPr>
        <w:keepNext/>
        <w:rPr>
          <w:szCs w:val="22"/>
        </w:rPr>
      </w:pPr>
      <w:r w:rsidRPr="00AB1D14">
        <w:rPr>
          <w:szCs w:val="22"/>
        </w:rPr>
        <w:tab/>
      </w:r>
    </w:p>
    <w:p w:rsidRPr="00AB1D14" w:rsidR="007117D7" w:rsidP="00241873" w:rsidRDefault="00C30CC9" w14:paraId="0DA651E1" w14:textId="0449F4B5">
      <w:pPr>
        <w:pStyle w:val="Footer"/>
        <w:keepNext/>
        <w:tabs>
          <w:tab w:val="clear" w:pos="4320"/>
          <w:tab w:val="center" w:pos="720"/>
        </w:tabs>
        <w:jc w:val="left"/>
        <w:rPr>
          <w:szCs w:val="22"/>
        </w:rPr>
      </w:pPr>
      <w:r w:rsidRPr="00AB1D14">
        <w:rPr>
          <w:szCs w:val="22"/>
        </w:rPr>
        <w:tab/>
      </w:r>
      <w:r w:rsidR="00B05D57">
        <w:rPr>
          <w:szCs w:val="22"/>
        </w:rPr>
        <w:tab/>
      </w:r>
      <w:r w:rsidRPr="00AB1D14">
        <w:rPr>
          <w:szCs w:val="22"/>
        </w:rPr>
        <w:t xml:space="preserve">The NRC issues regulatory guides to describe to the public methods that the staff considers acceptable for use in implementing specific parts of the agency’s regulations, to explain techniques that the staff uses in evaluating specific </w:t>
      </w:r>
      <w:r w:rsidR="00E822A0">
        <w:rPr>
          <w:szCs w:val="22"/>
        </w:rPr>
        <w:t>issue</w:t>
      </w:r>
      <w:r w:rsidRPr="00AB1D14" w:rsidR="00E822A0">
        <w:rPr>
          <w:szCs w:val="22"/>
        </w:rPr>
        <w:t xml:space="preserve">s </w:t>
      </w:r>
      <w:r w:rsidRPr="00AB1D14" w:rsidR="001B2EB3">
        <w:rPr>
          <w:szCs w:val="22"/>
        </w:rPr>
        <w:t>or postulated events</w:t>
      </w:r>
      <w:r w:rsidRPr="00AB1D14">
        <w:rPr>
          <w:szCs w:val="22"/>
        </w:rPr>
        <w:t>, and to provide gui</w:t>
      </w:r>
      <w:r w:rsidRPr="00AB1D14" w:rsidR="001B2EB3">
        <w:rPr>
          <w:szCs w:val="22"/>
        </w:rPr>
        <w:t>dance to applicants</w:t>
      </w:r>
      <w:r w:rsidRPr="00AB1D14" w:rsidR="00671DF9">
        <w:rPr>
          <w:szCs w:val="22"/>
        </w:rPr>
        <w:t xml:space="preserve">. </w:t>
      </w:r>
      <w:r w:rsidRPr="00AB1D14">
        <w:rPr>
          <w:szCs w:val="22"/>
        </w:rPr>
        <w:t xml:space="preserve">Regulatory guides are not </w:t>
      </w:r>
      <w:r w:rsidR="006B4931">
        <w:rPr>
          <w:szCs w:val="22"/>
        </w:rPr>
        <w:t xml:space="preserve">a </w:t>
      </w:r>
      <w:r w:rsidRPr="00AB1D14">
        <w:rPr>
          <w:szCs w:val="22"/>
        </w:rPr>
        <w:t xml:space="preserve">substitute for regulations and compliance with </w:t>
      </w:r>
      <w:r w:rsidRPr="00AB1D14" w:rsidR="00891652">
        <w:rPr>
          <w:szCs w:val="22"/>
        </w:rPr>
        <w:t>regulatory guides</w:t>
      </w:r>
      <w:r w:rsidRPr="00AB1D14">
        <w:rPr>
          <w:szCs w:val="22"/>
        </w:rPr>
        <w:t xml:space="preserve"> is not required</w:t>
      </w:r>
      <w:r w:rsidRPr="00AB1D14" w:rsidR="00671DF9">
        <w:rPr>
          <w:szCs w:val="22"/>
        </w:rPr>
        <w:t xml:space="preserve">. </w:t>
      </w:r>
      <w:r w:rsidRPr="00AB1D14">
        <w:rPr>
          <w:szCs w:val="22"/>
        </w:rPr>
        <w:t>Methods and solutions that differ from those set forth in regulatory guides will be deemed acceptable if they provide a basis for the findings required for the issuance or continuance of a permit or license by the Commission.</w:t>
      </w:r>
    </w:p>
    <w:p w:rsidRPr="00AB1D14" w:rsidR="007E261A" w:rsidP="00241873" w:rsidRDefault="007E261A" w14:paraId="409FD0F2" w14:textId="77777777">
      <w:pPr>
        <w:pStyle w:val="Footer"/>
        <w:tabs>
          <w:tab w:val="clear" w:pos="4320"/>
          <w:tab w:val="center" w:pos="720"/>
        </w:tabs>
        <w:jc w:val="left"/>
        <w:rPr>
          <w:szCs w:val="22"/>
        </w:rPr>
      </w:pPr>
    </w:p>
    <w:p w:rsidRPr="00AB1D14" w:rsidR="00C30CC9" w:rsidP="00C7721E" w:rsidRDefault="00FC6786" w14:paraId="4E1FB432" w14:textId="77777777">
      <w:pPr>
        <w:pStyle w:val="Heading2"/>
        <w:keepLines/>
        <w:numPr>
          <w:ilvl w:val="0"/>
          <w:numId w:val="0"/>
        </w:numPr>
        <w:rPr>
          <w:szCs w:val="22"/>
        </w:rPr>
      </w:pPr>
      <w:bookmarkStart w:name="_Toc507399996" w:id="26"/>
      <w:bookmarkStart w:name="_Toc26362835" w:id="27"/>
      <w:bookmarkStart w:name="_Toc29213178" w:id="28"/>
      <w:bookmarkStart w:name="_Toc73021722" w:id="29"/>
      <w:r w:rsidRPr="00AB1D14">
        <w:rPr>
          <w:szCs w:val="22"/>
        </w:rPr>
        <w:t>Paperwork Reduction Act</w:t>
      </w:r>
      <w:bookmarkEnd w:id="26"/>
      <w:bookmarkEnd w:id="27"/>
      <w:bookmarkEnd w:id="28"/>
      <w:bookmarkEnd w:id="29"/>
    </w:p>
    <w:p w:rsidR="006E0FB5" w:rsidP="006E0FB5" w:rsidRDefault="006E0FB5" w14:paraId="3150CBAA" w14:textId="77777777">
      <w:pPr>
        <w:pStyle w:val="FootnoteText"/>
        <w:ind w:left="0" w:firstLine="720"/>
        <w:rPr>
          <w:sz w:val="22"/>
          <w:szCs w:val="22"/>
        </w:rPr>
      </w:pPr>
      <w:bookmarkStart w:name="_Toc182970626" w:id="30"/>
    </w:p>
    <w:p w:rsidR="006E0FB5" w:rsidP="006E0FB5" w:rsidRDefault="006E0FB5" w14:paraId="03A20903" w14:textId="3EBEE693">
      <w:pPr>
        <w:pStyle w:val="FootnoteText"/>
        <w:ind w:left="0" w:firstLine="720"/>
        <w:rPr>
          <w:sz w:val="22"/>
          <w:szCs w:val="22"/>
        </w:rPr>
      </w:pPr>
      <w:r w:rsidRPr="00F16914">
        <w:rPr>
          <w:sz w:val="22"/>
          <w:szCs w:val="22"/>
        </w:rPr>
        <w:t xml:space="preserve">This </w:t>
      </w:r>
      <w:r>
        <w:rPr>
          <w:sz w:val="22"/>
          <w:szCs w:val="22"/>
        </w:rPr>
        <w:t xml:space="preserve">RG </w:t>
      </w:r>
      <w:r w:rsidRPr="00F16914">
        <w:rPr>
          <w:sz w:val="22"/>
          <w:szCs w:val="22"/>
        </w:rPr>
        <w:t>provides voluntary guidance for implementing the mandatory information collections in 10 CFR</w:t>
      </w:r>
      <w:r w:rsidRPr="001201A3">
        <w:rPr>
          <w:sz w:val="22"/>
          <w:szCs w:val="22"/>
        </w:rPr>
        <w:t xml:space="preserve"> </w:t>
      </w:r>
      <w:r w:rsidRPr="00F16914">
        <w:rPr>
          <w:sz w:val="22"/>
          <w:szCs w:val="22"/>
        </w:rPr>
        <w:t xml:space="preserve">Part </w:t>
      </w:r>
      <w:r w:rsidRPr="009C4502" w:rsidR="00CF43B1">
        <w:rPr>
          <w:sz w:val="22"/>
          <w:szCs w:val="22"/>
        </w:rPr>
        <w:t>73</w:t>
      </w:r>
      <w:r w:rsidRPr="00F16914">
        <w:rPr>
          <w:sz w:val="22"/>
          <w:szCs w:val="22"/>
        </w:rPr>
        <w:t xml:space="preserve"> that are subject to the </w:t>
      </w:r>
      <w:r w:rsidRPr="00EB0E0F">
        <w:rPr>
          <w:i/>
          <w:sz w:val="22"/>
        </w:rPr>
        <w:t>Paperwork Reduction Act of 1995</w:t>
      </w:r>
      <w:r w:rsidRPr="00F16914">
        <w:rPr>
          <w:sz w:val="22"/>
          <w:szCs w:val="22"/>
        </w:rPr>
        <w:t xml:space="preserve"> (44 U.S.C. 3501 et. seq.).</w:t>
      </w:r>
      <w:r w:rsidRPr="001201A3">
        <w:rPr>
          <w:sz w:val="22"/>
          <w:szCs w:val="22"/>
        </w:rPr>
        <w:t xml:space="preserve"> </w:t>
      </w:r>
      <w:r w:rsidRPr="00F16914" w:rsidR="009F2AE2">
        <w:rPr>
          <w:sz w:val="22"/>
          <w:szCs w:val="22"/>
        </w:rPr>
        <w:t>Th</w:t>
      </w:r>
      <w:r w:rsidR="009F2AE2">
        <w:rPr>
          <w:sz w:val="22"/>
          <w:szCs w:val="22"/>
        </w:rPr>
        <w:t>is information</w:t>
      </w:r>
      <w:r w:rsidRPr="00F16914">
        <w:rPr>
          <w:sz w:val="22"/>
          <w:szCs w:val="22"/>
        </w:rPr>
        <w:t xml:space="preserve"> collection w</w:t>
      </w:r>
      <w:r w:rsidR="00AE09E9">
        <w:rPr>
          <w:sz w:val="22"/>
          <w:szCs w:val="22"/>
        </w:rPr>
        <w:t>as</w:t>
      </w:r>
      <w:r w:rsidRPr="00F16914">
        <w:rPr>
          <w:sz w:val="22"/>
          <w:szCs w:val="22"/>
        </w:rPr>
        <w:t xml:space="preserve"> approved by the Office of</w:t>
      </w:r>
      <w:r>
        <w:rPr>
          <w:sz w:val="22"/>
          <w:szCs w:val="22"/>
        </w:rPr>
        <w:t xml:space="preserve"> </w:t>
      </w:r>
      <w:r w:rsidRPr="00F16914">
        <w:rPr>
          <w:sz w:val="22"/>
          <w:szCs w:val="22"/>
        </w:rPr>
        <w:t>Management and Budget</w:t>
      </w:r>
      <w:r>
        <w:rPr>
          <w:sz w:val="22"/>
          <w:szCs w:val="22"/>
        </w:rPr>
        <w:t xml:space="preserve"> (OMB)</w:t>
      </w:r>
      <w:r w:rsidRPr="00F16914">
        <w:rPr>
          <w:sz w:val="22"/>
          <w:szCs w:val="22"/>
        </w:rPr>
        <w:t xml:space="preserve">, approval number </w:t>
      </w:r>
      <w:r w:rsidRPr="009C4502">
        <w:rPr>
          <w:sz w:val="22"/>
          <w:szCs w:val="22"/>
        </w:rPr>
        <w:t>3150-</w:t>
      </w:r>
      <w:r w:rsidRPr="009C4502" w:rsidR="00CF43B1">
        <w:rPr>
          <w:sz w:val="22"/>
          <w:szCs w:val="22"/>
        </w:rPr>
        <w:t>00</w:t>
      </w:r>
      <w:r w:rsidRPr="009C4502" w:rsidR="00C00DA9">
        <w:rPr>
          <w:sz w:val="22"/>
          <w:szCs w:val="22"/>
        </w:rPr>
        <w:t>02</w:t>
      </w:r>
      <w:r w:rsidR="002E7BC2">
        <w:rPr>
          <w:sz w:val="22"/>
          <w:szCs w:val="22"/>
        </w:rPr>
        <w:t xml:space="preserve">. </w:t>
      </w:r>
      <w:r w:rsidRPr="00F16914">
        <w:rPr>
          <w:sz w:val="22"/>
          <w:szCs w:val="22"/>
        </w:rPr>
        <w:t xml:space="preserve">Send comments regarding this information collection to the </w:t>
      </w:r>
      <w:r w:rsidR="0012675B">
        <w:rPr>
          <w:sz w:val="22"/>
          <w:szCs w:val="22"/>
        </w:rPr>
        <w:t>FOIA, Library, and Information Collections Branch</w:t>
      </w:r>
      <w:r>
        <w:rPr>
          <w:sz w:val="22"/>
          <w:szCs w:val="22"/>
        </w:rPr>
        <w:t xml:space="preserve"> (T6</w:t>
      </w:r>
      <w:r w:rsidR="00683FAD">
        <w:rPr>
          <w:sz w:val="22"/>
          <w:szCs w:val="22"/>
        </w:rPr>
        <w:noBreakHyphen/>
      </w:r>
      <w:r>
        <w:rPr>
          <w:sz w:val="22"/>
          <w:szCs w:val="22"/>
        </w:rPr>
        <w:t>A10M</w:t>
      </w:r>
      <w:r w:rsidRPr="00F16914">
        <w:rPr>
          <w:sz w:val="22"/>
          <w:szCs w:val="22"/>
        </w:rPr>
        <w:t>), U.S. Nuclear Regulatory Commission, Washington, DC 20555-0001, or</w:t>
      </w:r>
      <w:r>
        <w:rPr>
          <w:sz w:val="22"/>
          <w:szCs w:val="22"/>
        </w:rPr>
        <w:t xml:space="preserve"> </w:t>
      </w:r>
      <w:r w:rsidRPr="00F16914">
        <w:rPr>
          <w:sz w:val="22"/>
          <w:szCs w:val="22"/>
        </w:rPr>
        <w:t>by</w:t>
      </w:r>
      <w:r>
        <w:rPr>
          <w:sz w:val="22"/>
          <w:szCs w:val="22"/>
        </w:rPr>
        <w:t xml:space="preserve"> </w:t>
      </w:r>
      <w:r w:rsidRPr="00F16914">
        <w:rPr>
          <w:sz w:val="22"/>
          <w:szCs w:val="22"/>
        </w:rPr>
        <w:t xml:space="preserve">e-mail to </w:t>
      </w:r>
      <w:hyperlink w:history="1" r:id="rId11">
        <w:r w:rsidRPr="005D1A71">
          <w:rPr>
            <w:rStyle w:val="Hyperlink"/>
            <w:sz w:val="22"/>
            <w:szCs w:val="22"/>
          </w:rPr>
          <w:t>Infocollects.Resource@nrc.gov</w:t>
        </w:r>
      </w:hyperlink>
      <w:r w:rsidRPr="00F16914">
        <w:rPr>
          <w:sz w:val="22"/>
          <w:szCs w:val="22"/>
        </w:rPr>
        <w:t>, and to the OMB reviewer at:  OMB Office of Information and Regulatory</w:t>
      </w:r>
      <w:r>
        <w:rPr>
          <w:sz w:val="22"/>
          <w:szCs w:val="22"/>
        </w:rPr>
        <w:t xml:space="preserve"> </w:t>
      </w:r>
      <w:r w:rsidRPr="00F16914">
        <w:rPr>
          <w:sz w:val="22"/>
          <w:szCs w:val="22"/>
        </w:rPr>
        <w:t xml:space="preserve">Affairs </w:t>
      </w:r>
      <w:r w:rsidRPr="00CD2F96">
        <w:rPr>
          <w:sz w:val="22"/>
          <w:szCs w:val="22"/>
        </w:rPr>
        <w:t>(</w:t>
      </w:r>
      <w:r w:rsidRPr="009C4502">
        <w:rPr>
          <w:sz w:val="22"/>
          <w:szCs w:val="22"/>
        </w:rPr>
        <w:t>3150-00</w:t>
      </w:r>
      <w:r w:rsidRPr="009C4502" w:rsidR="00C00DA9">
        <w:rPr>
          <w:sz w:val="22"/>
          <w:szCs w:val="22"/>
        </w:rPr>
        <w:t>02</w:t>
      </w:r>
      <w:r w:rsidRPr="00CD2F96">
        <w:rPr>
          <w:sz w:val="22"/>
          <w:szCs w:val="22"/>
        </w:rPr>
        <w:t>),</w:t>
      </w:r>
      <w:r w:rsidRPr="00F16914">
        <w:rPr>
          <w:sz w:val="22"/>
          <w:szCs w:val="22"/>
        </w:rPr>
        <w:t xml:space="preserve"> Attn: Desk Officer for the Nuclear Regulatory Commission, 725 17th Street, NW Washington, DC</w:t>
      </w:r>
      <w:r w:rsidR="00AE09E9">
        <w:rPr>
          <w:sz w:val="22"/>
          <w:szCs w:val="22"/>
        </w:rPr>
        <w:t xml:space="preserve"> </w:t>
      </w:r>
      <w:r w:rsidRPr="00F16914">
        <w:rPr>
          <w:sz w:val="22"/>
          <w:szCs w:val="22"/>
        </w:rPr>
        <w:t xml:space="preserve">20503; e- mail:  </w:t>
      </w:r>
      <w:hyperlink w:history="1" r:id="rId12">
        <w:r w:rsidRPr="005D1A71">
          <w:rPr>
            <w:rStyle w:val="Hyperlink"/>
            <w:sz w:val="22"/>
            <w:szCs w:val="22"/>
          </w:rPr>
          <w:t>oira_submission@omb.eop.gov</w:t>
        </w:r>
      </w:hyperlink>
      <w:r w:rsidRPr="00F16914">
        <w:rPr>
          <w:sz w:val="22"/>
          <w:szCs w:val="22"/>
        </w:rPr>
        <w:t>.</w:t>
      </w:r>
    </w:p>
    <w:p w:rsidRPr="00AB1D14" w:rsidR="00F863CE" w:rsidP="00295E00" w:rsidRDefault="00F863CE" w14:paraId="7A4059CE" w14:textId="77777777">
      <w:pPr>
        <w:ind w:firstLine="720"/>
        <w:rPr>
          <w:szCs w:val="22"/>
        </w:rPr>
      </w:pPr>
    </w:p>
    <w:p w:rsidRPr="00AB1D14" w:rsidR="00F863CE" w:rsidP="00295E00" w:rsidRDefault="00FC6786" w14:paraId="11C22A00" w14:textId="77777777">
      <w:pPr>
        <w:pStyle w:val="Heading2"/>
        <w:numPr>
          <w:ilvl w:val="0"/>
          <w:numId w:val="0"/>
        </w:numPr>
        <w:rPr>
          <w:szCs w:val="22"/>
        </w:rPr>
      </w:pPr>
      <w:bookmarkStart w:name="_Toc496270161" w:id="31"/>
      <w:bookmarkStart w:name="_Toc507399997" w:id="32"/>
      <w:bookmarkStart w:name="_Toc26362836" w:id="33"/>
      <w:bookmarkStart w:name="_Toc29213179" w:id="34"/>
      <w:bookmarkStart w:name="_Toc73021723" w:id="35"/>
      <w:r w:rsidRPr="00AB1D14">
        <w:rPr>
          <w:szCs w:val="22"/>
        </w:rPr>
        <w:t>Public Protection Notification</w:t>
      </w:r>
      <w:bookmarkEnd w:id="31"/>
      <w:bookmarkEnd w:id="32"/>
      <w:bookmarkEnd w:id="33"/>
      <w:bookmarkEnd w:id="34"/>
      <w:bookmarkEnd w:id="35"/>
    </w:p>
    <w:p w:rsidRPr="00AB1D14" w:rsidR="00F863CE" w:rsidP="00295E00" w:rsidRDefault="00F863CE" w14:paraId="60D206B5" w14:textId="77777777">
      <w:pPr>
        <w:keepNext/>
        <w:keepLines/>
        <w:rPr>
          <w:szCs w:val="22"/>
        </w:rPr>
      </w:pPr>
    </w:p>
    <w:p w:rsidR="00F863CE" w:rsidP="00241873" w:rsidRDefault="00F863CE" w14:paraId="74583D3F" w14:textId="77777777">
      <w:pPr>
        <w:keepNext/>
        <w:keepLines/>
        <w:ind w:firstLine="720"/>
      </w:pPr>
      <w:r w:rsidRPr="00AB1D14">
        <w:rPr>
          <w:szCs w:val="22"/>
        </w:rPr>
        <w:t>The NRC may not conduct or sponsor, and a person is not required to respond to, a request for information or an information collection requirement unless the requesting document displays a valid OMB control number.</w:t>
      </w:r>
    </w:p>
    <w:p w:rsidR="00F863CE" w:rsidP="00521930" w:rsidRDefault="00F863CE" w14:paraId="78327E83" w14:textId="77777777">
      <w:pPr>
        <w:ind w:firstLine="720"/>
      </w:pPr>
    </w:p>
    <w:p w:rsidRPr="009C64E5" w:rsidR="00596E3A" w:rsidP="009C64E5" w:rsidRDefault="00940BA9" w14:paraId="442C65B2" w14:textId="77777777">
      <w:pPr>
        <w:jc w:val="center"/>
        <w:rPr>
          <w:sz w:val="28"/>
          <w:szCs w:val="28"/>
        </w:rPr>
      </w:pPr>
      <w:r>
        <w:br w:type="page"/>
      </w:r>
      <w:r w:rsidRPr="00C7569C" w:rsidR="007E69FD">
        <w:rPr>
          <w:b/>
          <w:sz w:val="24"/>
          <w:szCs w:val="24"/>
        </w:rPr>
        <w:lastRenderedPageBreak/>
        <w:t>TABLE OF CONTENT</w:t>
      </w:r>
      <w:r w:rsidRPr="00C7569C" w:rsidR="001F6E94">
        <w:rPr>
          <w:b/>
          <w:sz w:val="24"/>
          <w:szCs w:val="24"/>
        </w:rPr>
        <w:t>S</w:t>
      </w:r>
    </w:p>
    <w:p w:rsidR="00596E3A" w:rsidP="0023507B" w:rsidRDefault="00596E3A" w14:paraId="76462C1C" w14:textId="77777777">
      <w:pPr>
        <w:jc w:val="center"/>
      </w:pPr>
    </w:p>
    <w:p w:rsidRPr="00CF6F3D" w:rsidR="00405E23" w:rsidP="00DD5179" w:rsidRDefault="00405E23" w14:paraId="7D173530" w14:textId="77777777">
      <w:pPr>
        <w:tabs>
          <w:tab w:val="right" w:pos="9360"/>
        </w:tabs>
      </w:pPr>
      <w:r w:rsidRPr="00CF6F3D">
        <w:tab/>
      </w:r>
      <w:r w:rsidRPr="00CF6F3D">
        <w:rPr>
          <w:u w:val="single"/>
        </w:rPr>
        <w:t>Page</w:t>
      </w:r>
    </w:p>
    <w:sdt>
      <w:sdtPr>
        <w:rPr>
          <w:rFonts w:ascii="Times New Roman" w:hAnsi="Times New Roman" w:eastAsia="Times New Roman" w:cs="Times New Roman"/>
          <w:b w:val="0"/>
          <w:bCs w:val="0"/>
          <w:color w:val="auto"/>
          <w:sz w:val="22"/>
          <w:szCs w:val="22"/>
          <w:lang w:eastAsia="en-US"/>
        </w:rPr>
        <w:id w:val="248090657"/>
        <w:docPartObj>
          <w:docPartGallery w:val="Table of Contents"/>
          <w:docPartUnique/>
        </w:docPartObj>
      </w:sdtPr>
      <w:sdtEndPr>
        <w:rPr>
          <w:noProof/>
          <w:szCs w:val="20"/>
        </w:rPr>
      </w:sdtEndPr>
      <w:sdtContent>
        <w:p w:rsidR="00344DB5" w:rsidP="00C96ACE" w:rsidRDefault="00344DB5" w14:paraId="7E607EED" w14:textId="77777777">
          <w:pPr>
            <w:pStyle w:val="TOCHeading"/>
          </w:pPr>
        </w:p>
        <w:p w:rsidR="00194A8C" w:rsidRDefault="00344DB5" w14:paraId="60512018" w14:textId="1EC07FE2">
          <w:pPr>
            <w:pStyle w:val="TOC1"/>
            <w:rPr>
              <w:rFonts w:asciiTheme="minorHAnsi" w:hAnsiTheme="minorHAnsi" w:eastAsiaTheme="minorEastAsia" w:cstheme="minorBidi"/>
              <w:sz w:val="22"/>
              <w:szCs w:val="22"/>
            </w:rPr>
          </w:pPr>
          <w:r>
            <w:fldChar w:fldCharType="begin"/>
          </w:r>
          <w:r>
            <w:instrText xml:space="preserve"> TOC \o "1-3" \h \z \u </w:instrText>
          </w:r>
          <w:r>
            <w:fldChar w:fldCharType="separate"/>
          </w:r>
          <w:hyperlink w:history="1" w:anchor="_Toc73021716">
            <w:r w:rsidRPr="00E70CD3" w:rsidR="00194A8C">
              <w:rPr>
                <w:rStyle w:val="Hyperlink"/>
              </w:rPr>
              <w:t>A.  INTRODUCTION</w:t>
            </w:r>
            <w:r w:rsidR="00194A8C">
              <w:rPr>
                <w:webHidden/>
              </w:rPr>
              <w:tab/>
            </w:r>
            <w:r w:rsidR="00194A8C">
              <w:rPr>
                <w:webHidden/>
              </w:rPr>
              <w:fldChar w:fldCharType="begin"/>
            </w:r>
            <w:r w:rsidR="00194A8C">
              <w:rPr>
                <w:webHidden/>
              </w:rPr>
              <w:instrText xml:space="preserve"> PAGEREF _Toc73021716 \h </w:instrText>
            </w:r>
            <w:r w:rsidR="00194A8C">
              <w:rPr>
                <w:webHidden/>
              </w:rPr>
            </w:r>
            <w:r w:rsidR="00194A8C">
              <w:rPr>
                <w:webHidden/>
              </w:rPr>
              <w:fldChar w:fldCharType="separate"/>
            </w:r>
            <w:r w:rsidR="00893854">
              <w:rPr>
                <w:webHidden/>
              </w:rPr>
              <w:t>1</w:t>
            </w:r>
            <w:r w:rsidR="00194A8C">
              <w:rPr>
                <w:webHidden/>
              </w:rPr>
              <w:fldChar w:fldCharType="end"/>
            </w:r>
          </w:hyperlink>
        </w:p>
        <w:p w:rsidR="00194A8C" w:rsidRDefault="0008026A" w14:paraId="234933C1" w14:textId="0E9B4B12">
          <w:pPr>
            <w:pStyle w:val="TOC2"/>
            <w:rPr>
              <w:rFonts w:asciiTheme="minorHAnsi" w:hAnsiTheme="minorHAnsi" w:eastAsiaTheme="minorEastAsia" w:cstheme="minorBidi"/>
              <w:szCs w:val="22"/>
            </w:rPr>
          </w:pPr>
          <w:hyperlink w:history="1" w:anchor="_Toc73021717">
            <w:r w:rsidRPr="00E70CD3" w:rsidR="00194A8C">
              <w:rPr>
                <w:rStyle w:val="Hyperlink"/>
              </w:rPr>
              <w:t>Purpose</w:t>
            </w:r>
            <w:r w:rsidR="00194A8C">
              <w:rPr>
                <w:rStyle w:val="Hyperlink"/>
              </w:rPr>
              <w:tab/>
            </w:r>
            <w:r w:rsidR="00194A8C">
              <w:rPr>
                <w:webHidden/>
              </w:rPr>
              <w:tab/>
            </w:r>
            <w:r w:rsidR="00194A8C">
              <w:rPr>
                <w:webHidden/>
              </w:rPr>
              <w:fldChar w:fldCharType="begin"/>
            </w:r>
            <w:r w:rsidR="00194A8C">
              <w:rPr>
                <w:webHidden/>
              </w:rPr>
              <w:instrText xml:space="preserve"> PAGEREF _Toc73021717 \h </w:instrText>
            </w:r>
            <w:r w:rsidR="00194A8C">
              <w:rPr>
                <w:webHidden/>
              </w:rPr>
            </w:r>
            <w:r w:rsidR="00194A8C">
              <w:rPr>
                <w:webHidden/>
              </w:rPr>
              <w:fldChar w:fldCharType="separate"/>
            </w:r>
            <w:r w:rsidR="00893854">
              <w:rPr>
                <w:webHidden/>
              </w:rPr>
              <w:t>1</w:t>
            </w:r>
            <w:r w:rsidR="00194A8C">
              <w:rPr>
                <w:webHidden/>
              </w:rPr>
              <w:fldChar w:fldCharType="end"/>
            </w:r>
          </w:hyperlink>
        </w:p>
        <w:p w:rsidR="00194A8C" w:rsidRDefault="0008026A" w14:paraId="4A533054" w14:textId="650FA60C">
          <w:pPr>
            <w:pStyle w:val="TOC2"/>
            <w:rPr>
              <w:rFonts w:asciiTheme="minorHAnsi" w:hAnsiTheme="minorHAnsi" w:eastAsiaTheme="minorEastAsia" w:cstheme="minorBidi"/>
              <w:szCs w:val="22"/>
            </w:rPr>
          </w:pPr>
          <w:hyperlink w:history="1" w:anchor="_Toc73021718">
            <w:r w:rsidRPr="00E70CD3" w:rsidR="00194A8C">
              <w:rPr>
                <w:rStyle w:val="Hyperlink"/>
              </w:rPr>
              <w:t>Applicability</w:t>
            </w:r>
            <w:r w:rsidR="00194A8C">
              <w:rPr>
                <w:webHidden/>
              </w:rPr>
              <w:tab/>
            </w:r>
            <w:r w:rsidR="00194A8C">
              <w:rPr>
                <w:webHidden/>
              </w:rPr>
              <w:fldChar w:fldCharType="begin"/>
            </w:r>
            <w:r w:rsidR="00194A8C">
              <w:rPr>
                <w:webHidden/>
              </w:rPr>
              <w:instrText xml:space="preserve"> PAGEREF _Toc73021718 \h </w:instrText>
            </w:r>
            <w:r w:rsidR="00194A8C">
              <w:rPr>
                <w:webHidden/>
              </w:rPr>
            </w:r>
            <w:r w:rsidR="00194A8C">
              <w:rPr>
                <w:webHidden/>
              </w:rPr>
              <w:fldChar w:fldCharType="separate"/>
            </w:r>
            <w:r w:rsidR="00893854">
              <w:rPr>
                <w:webHidden/>
              </w:rPr>
              <w:t>1</w:t>
            </w:r>
            <w:r w:rsidR="00194A8C">
              <w:rPr>
                <w:webHidden/>
              </w:rPr>
              <w:fldChar w:fldCharType="end"/>
            </w:r>
          </w:hyperlink>
        </w:p>
        <w:p w:rsidR="00194A8C" w:rsidRDefault="0008026A" w14:paraId="7471EFB6" w14:textId="4F041AE9">
          <w:pPr>
            <w:pStyle w:val="TOC2"/>
            <w:rPr>
              <w:rFonts w:asciiTheme="minorHAnsi" w:hAnsiTheme="minorHAnsi" w:eastAsiaTheme="minorEastAsia" w:cstheme="minorBidi"/>
              <w:szCs w:val="22"/>
            </w:rPr>
          </w:pPr>
          <w:hyperlink w:history="1" w:anchor="_Toc73021719">
            <w:r w:rsidRPr="00E70CD3" w:rsidR="00194A8C">
              <w:rPr>
                <w:rStyle w:val="Hyperlink"/>
              </w:rPr>
              <w:t>Applicable Regulations</w:t>
            </w:r>
            <w:r w:rsidR="00194A8C">
              <w:rPr>
                <w:webHidden/>
              </w:rPr>
              <w:tab/>
            </w:r>
            <w:r w:rsidR="00194A8C">
              <w:rPr>
                <w:webHidden/>
              </w:rPr>
              <w:fldChar w:fldCharType="begin"/>
            </w:r>
            <w:r w:rsidR="00194A8C">
              <w:rPr>
                <w:webHidden/>
              </w:rPr>
              <w:instrText xml:space="preserve"> PAGEREF _Toc73021719 \h </w:instrText>
            </w:r>
            <w:r w:rsidR="00194A8C">
              <w:rPr>
                <w:webHidden/>
              </w:rPr>
            </w:r>
            <w:r w:rsidR="00194A8C">
              <w:rPr>
                <w:webHidden/>
              </w:rPr>
              <w:fldChar w:fldCharType="separate"/>
            </w:r>
            <w:r w:rsidR="00893854">
              <w:rPr>
                <w:webHidden/>
              </w:rPr>
              <w:t>1</w:t>
            </w:r>
            <w:r w:rsidR="00194A8C">
              <w:rPr>
                <w:webHidden/>
              </w:rPr>
              <w:fldChar w:fldCharType="end"/>
            </w:r>
          </w:hyperlink>
        </w:p>
        <w:p w:rsidR="00194A8C" w:rsidRDefault="0008026A" w14:paraId="52061A38" w14:textId="43B50A43">
          <w:pPr>
            <w:pStyle w:val="TOC2"/>
            <w:rPr>
              <w:rFonts w:asciiTheme="minorHAnsi" w:hAnsiTheme="minorHAnsi" w:eastAsiaTheme="minorEastAsia" w:cstheme="minorBidi"/>
              <w:szCs w:val="22"/>
            </w:rPr>
          </w:pPr>
          <w:hyperlink w:history="1" w:anchor="_Toc73021720">
            <w:r w:rsidRPr="00E70CD3" w:rsidR="00194A8C">
              <w:rPr>
                <w:rStyle w:val="Hyperlink"/>
              </w:rPr>
              <w:t>Related Guidance</w:t>
            </w:r>
            <w:r w:rsidR="00194A8C">
              <w:rPr>
                <w:webHidden/>
              </w:rPr>
              <w:tab/>
            </w:r>
            <w:r w:rsidR="00194A8C">
              <w:rPr>
                <w:webHidden/>
              </w:rPr>
              <w:fldChar w:fldCharType="begin"/>
            </w:r>
            <w:r w:rsidR="00194A8C">
              <w:rPr>
                <w:webHidden/>
              </w:rPr>
              <w:instrText xml:space="preserve"> PAGEREF _Toc73021720 \h </w:instrText>
            </w:r>
            <w:r w:rsidR="00194A8C">
              <w:rPr>
                <w:webHidden/>
              </w:rPr>
            </w:r>
            <w:r w:rsidR="00194A8C">
              <w:rPr>
                <w:webHidden/>
              </w:rPr>
              <w:fldChar w:fldCharType="separate"/>
            </w:r>
            <w:r w:rsidR="00893854">
              <w:rPr>
                <w:webHidden/>
              </w:rPr>
              <w:t>2</w:t>
            </w:r>
            <w:r w:rsidR="00194A8C">
              <w:rPr>
                <w:webHidden/>
              </w:rPr>
              <w:fldChar w:fldCharType="end"/>
            </w:r>
          </w:hyperlink>
        </w:p>
        <w:p w:rsidR="00194A8C" w:rsidRDefault="0008026A" w14:paraId="4F28AEFC" w14:textId="10A5B8F9">
          <w:pPr>
            <w:pStyle w:val="TOC2"/>
            <w:rPr>
              <w:rFonts w:asciiTheme="minorHAnsi" w:hAnsiTheme="minorHAnsi" w:eastAsiaTheme="minorEastAsia" w:cstheme="minorBidi"/>
              <w:szCs w:val="22"/>
            </w:rPr>
          </w:pPr>
          <w:hyperlink w:history="1" w:anchor="_Toc73021721">
            <w:r w:rsidRPr="00E70CD3" w:rsidR="00194A8C">
              <w:rPr>
                <w:rStyle w:val="Hyperlink"/>
              </w:rPr>
              <w:t>Purpose of Regulatory Guides</w:t>
            </w:r>
            <w:r w:rsidR="00194A8C">
              <w:rPr>
                <w:webHidden/>
              </w:rPr>
              <w:tab/>
            </w:r>
            <w:r w:rsidR="00194A8C">
              <w:rPr>
                <w:webHidden/>
              </w:rPr>
              <w:fldChar w:fldCharType="begin"/>
            </w:r>
            <w:r w:rsidR="00194A8C">
              <w:rPr>
                <w:webHidden/>
              </w:rPr>
              <w:instrText xml:space="preserve"> PAGEREF _Toc73021721 \h </w:instrText>
            </w:r>
            <w:r w:rsidR="00194A8C">
              <w:rPr>
                <w:webHidden/>
              </w:rPr>
            </w:r>
            <w:r w:rsidR="00194A8C">
              <w:rPr>
                <w:webHidden/>
              </w:rPr>
              <w:fldChar w:fldCharType="separate"/>
            </w:r>
            <w:r w:rsidR="00893854">
              <w:rPr>
                <w:webHidden/>
              </w:rPr>
              <w:t>3</w:t>
            </w:r>
            <w:r w:rsidR="00194A8C">
              <w:rPr>
                <w:webHidden/>
              </w:rPr>
              <w:fldChar w:fldCharType="end"/>
            </w:r>
          </w:hyperlink>
        </w:p>
        <w:p w:rsidR="00194A8C" w:rsidRDefault="0008026A" w14:paraId="66CDCED0" w14:textId="14E66D66">
          <w:pPr>
            <w:pStyle w:val="TOC2"/>
            <w:rPr>
              <w:rFonts w:asciiTheme="minorHAnsi" w:hAnsiTheme="minorHAnsi" w:eastAsiaTheme="minorEastAsia" w:cstheme="minorBidi"/>
              <w:szCs w:val="22"/>
            </w:rPr>
          </w:pPr>
          <w:hyperlink w:history="1" w:anchor="_Toc73021722">
            <w:r w:rsidRPr="00E70CD3" w:rsidR="00194A8C">
              <w:rPr>
                <w:rStyle w:val="Hyperlink"/>
              </w:rPr>
              <w:t>Paperwork Reduction Act</w:t>
            </w:r>
            <w:r w:rsidR="00194A8C">
              <w:rPr>
                <w:webHidden/>
              </w:rPr>
              <w:tab/>
            </w:r>
            <w:r w:rsidR="00194A8C">
              <w:rPr>
                <w:webHidden/>
              </w:rPr>
              <w:fldChar w:fldCharType="begin"/>
            </w:r>
            <w:r w:rsidR="00194A8C">
              <w:rPr>
                <w:webHidden/>
              </w:rPr>
              <w:instrText xml:space="preserve"> PAGEREF _Toc73021722 \h </w:instrText>
            </w:r>
            <w:r w:rsidR="00194A8C">
              <w:rPr>
                <w:webHidden/>
              </w:rPr>
            </w:r>
            <w:r w:rsidR="00194A8C">
              <w:rPr>
                <w:webHidden/>
              </w:rPr>
              <w:fldChar w:fldCharType="separate"/>
            </w:r>
            <w:r w:rsidR="00893854">
              <w:rPr>
                <w:webHidden/>
              </w:rPr>
              <w:t>3</w:t>
            </w:r>
            <w:r w:rsidR="00194A8C">
              <w:rPr>
                <w:webHidden/>
              </w:rPr>
              <w:fldChar w:fldCharType="end"/>
            </w:r>
          </w:hyperlink>
        </w:p>
        <w:p w:rsidR="00194A8C" w:rsidRDefault="0008026A" w14:paraId="0083F688" w14:textId="085A89FF">
          <w:pPr>
            <w:pStyle w:val="TOC2"/>
            <w:rPr>
              <w:rFonts w:asciiTheme="minorHAnsi" w:hAnsiTheme="minorHAnsi" w:eastAsiaTheme="minorEastAsia" w:cstheme="minorBidi"/>
              <w:szCs w:val="22"/>
            </w:rPr>
          </w:pPr>
          <w:hyperlink w:history="1" w:anchor="_Toc73021723">
            <w:r w:rsidRPr="00E70CD3" w:rsidR="00194A8C">
              <w:rPr>
                <w:rStyle w:val="Hyperlink"/>
              </w:rPr>
              <w:t>Public Protection Notification</w:t>
            </w:r>
            <w:r w:rsidR="00194A8C">
              <w:rPr>
                <w:webHidden/>
              </w:rPr>
              <w:tab/>
            </w:r>
            <w:r w:rsidR="00194A8C">
              <w:rPr>
                <w:webHidden/>
              </w:rPr>
              <w:fldChar w:fldCharType="begin"/>
            </w:r>
            <w:r w:rsidR="00194A8C">
              <w:rPr>
                <w:webHidden/>
              </w:rPr>
              <w:instrText xml:space="preserve"> PAGEREF _Toc73021723 \h </w:instrText>
            </w:r>
            <w:r w:rsidR="00194A8C">
              <w:rPr>
                <w:webHidden/>
              </w:rPr>
            </w:r>
            <w:r w:rsidR="00194A8C">
              <w:rPr>
                <w:webHidden/>
              </w:rPr>
              <w:fldChar w:fldCharType="separate"/>
            </w:r>
            <w:r w:rsidR="00893854">
              <w:rPr>
                <w:webHidden/>
              </w:rPr>
              <w:t>3</w:t>
            </w:r>
            <w:r w:rsidR="00194A8C">
              <w:rPr>
                <w:webHidden/>
              </w:rPr>
              <w:fldChar w:fldCharType="end"/>
            </w:r>
          </w:hyperlink>
        </w:p>
        <w:p w:rsidR="00194A8C" w:rsidRDefault="0008026A" w14:paraId="61956146" w14:textId="64457D02">
          <w:pPr>
            <w:pStyle w:val="TOC1"/>
            <w:rPr>
              <w:rFonts w:asciiTheme="minorHAnsi" w:hAnsiTheme="minorHAnsi" w:eastAsiaTheme="minorEastAsia" w:cstheme="minorBidi"/>
              <w:sz w:val="22"/>
              <w:szCs w:val="22"/>
            </w:rPr>
          </w:pPr>
          <w:hyperlink w:history="1" w:anchor="_Toc73021724">
            <w:r w:rsidRPr="00E70CD3" w:rsidR="00194A8C">
              <w:rPr>
                <w:rStyle w:val="Hyperlink"/>
              </w:rPr>
              <w:t>B.  DISCUSSION</w:t>
            </w:r>
            <w:r w:rsidR="00194A8C">
              <w:rPr>
                <w:webHidden/>
              </w:rPr>
              <w:tab/>
            </w:r>
            <w:r w:rsidR="00194A8C">
              <w:rPr>
                <w:webHidden/>
              </w:rPr>
              <w:fldChar w:fldCharType="begin"/>
            </w:r>
            <w:r w:rsidR="00194A8C">
              <w:rPr>
                <w:webHidden/>
              </w:rPr>
              <w:instrText xml:space="preserve"> PAGEREF _Toc73021724 \h </w:instrText>
            </w:r>
            <w:r w:rsidR="00194A8C">
              <w:rPr>
                <w:webHidden/>
              </w:rPr>
            </w:r>
            <w:r w:rsidR="00194A8C">
              <w:rPr>
                <w:webHidden/>
              </w:rPr>
              <w:fldChar w:fldCharType="separate"/>
            </w:r>
            <w:r w:rsidR="00893854">
              <w:rPr>
                <w:webHidden/>
              </w:rPr>
              <w:t>6</w:t>
            </w:r>
            <w:r w:rsidR="00194A8C">
              <w:rPr>
                <w:webHidden/>
              </w:rPr>
              <w:fldChar w:fldCharType="end"/>
            </w:r>
          </w:hyperlink>
        </w:p>
        <w:p w:rsidR="00194A8C" w:rsidRDefault="0008026A" w14:paraId="3AC1982B" w14:textId="5C9CBC8E">
          <w:pPr>
            <w:pStyle w:val="TOC2"/>
            <w:rPr>
              <w:rFonts w:asciiTheme="minorHAnsi" w:hAnsiTheme="minorHAnsi" w:eastAsiaTheme="minorEastAsia" w:cstheme="minorBidi"/>
              <w:szCs w:val="22"/>
            </w:rPr>
          </w:pPr>
          <w:hyperlink w:history="1" w:anchor="_Toc73021725">
            <w:r w:rsidRPr="00E70CD3" w:rsidR="00194A8C">
              <w:rPr>
                <w:rStyle w:val="Hyperlink"/>
              </w:rPr>
              <w:t>Reason for Issuance</w:t>
            </w:r>
            <w:r w:rsidR="00194A8C">
              <w:rPr>
                <w:webHidden/>
              </w:rPr>
              <w:tab/>
            </w:r>
            <w:r w:rsidR="00194A8C">
              <w:rPr>
                <w:webHidden/>
              </w:rPr>
              <w:fldChar w:fldCharType="begin"/>
            </w:r>
            <w:r w:rsidR="00194A8C">
              <w:rPr>
                <w:webHidden/>
              </w:rPr>
              <w:instrText xml:space="preserve"> PAGEREF _Toc73021725 \h </w:instrText>
            </w:r>
            <w:r w:rsidR="00194A8C">
              <w:rPr>
                <w:webHidden/>
              </w:rPr>
            </w:r>
            <w:r w:rsidR="00194A8C">
              <w:rPr>
                <w:webHidden/>
              </w:rPr>
              <w:fldChar w:fldCharType="separate"/>
            </w:r>
            <w:r w:rsidR="00893854">
              <w:rPr>
                <w:webHidden/>
              </w:rPr>
              <w:t>6</w:t>
            </w:r>
            <w:r w:rsidR="00194A8C">
              <w:rPr>
                <w:webHidden/>
              </w:rPr>
              <w:fldChar w:fldCharType="end"/>
            </w:r>
          </w:hyperlink>
        </w:p>
        <w:p w:rsidR="00194A8C" w:rsidRDefault="0008026A" w14:paraId="2FF7717B" w14:textId="4A0A1C91">
          <w:pPr>
            <w:pStyle w:val="TOC2"/>
            <w:rPr>
              <w:rFonts w:asciiTheme="minorHAnsi" w:hAnsiTheme="minorHAnsi" w:eastAsiaTheme="minorEastAsia" w:cstheme="minorBidi"/>
              <w:szCs w:val="22"/>
            </w:rPr>
          </w:pPr>
          <w:hyperlink w:history="1" w:anchor="_Toc73021726">
            <w:r w:rsidRPr="00E70CD3" w:rsidR="00194A8C">
              <w:rPr>
                <w:rStyle w:val="Hyperlink"/>
              </w:rPr>
              <w:t>Background</w:t>
            </w:r>
            <w:r w:rsidR="00194A8C">
              <w:rPr>
                <w:webHidden/>
              </w:rPr>
              <w:tab/>
            </w:r>
            <w:r w:rsidR="00194A8C">
              <w:rPr>
                <w:webHidden/>
              </w:rPr>
              <w:fldChar w:fldCharType="begin"/>
            </w:r>
            <w:r w:rsidR="00194A8C">
              <w:rPr>
                <w:webHidden/>
              </w:rPr>
              <w:instrText xml:space="preserve"> PAGEREF _Toc73021726 \h </w:instrText>
            </w:r>
            <w:r w:rsidR="00194A8C">
              <w:rPr>
                <w:webHidden/>
              </w:rPr>
            </w:r>
            <w:r w:rsidR="00194A8C">
              <w:rPr>
                <w:webHidden/>
              </w:rPr>
              <w:fldChar w:fldCharType="separate"/>
            </w:r>
            <w:r w:rsidR="00893854">
              <w:rPr>
                <w:webHidden/>
              </w:rPr>
              <w:t>6</w:t>
            </w:r>
            <w:r w:rsidR="00194A8C">
              <w:rPr>
                <w:webHidden/>
              </w:rPr>
              <w:fldChar w:fldCharType="end"/>
            </w:r>
          </w:hyperlink>
        </w:p>
        <w:p w:rsidR="00194A8C" w:rsidRDefault="0008026A" w14:paraId="42C93694" w14:textId="609BC7EF">
          <w:pPr>
            <w:pStyle w:val="TOC2"/>
            <w:rPr>
              <w:rFonts w:asciiTheme="minorHAnsi" w:hAnsiTheme="minorHAnsi" w:eastAsiaTheme="minorEastAsia" w:cstheme="minorBidi"/>
              <w:szCs w:val="22"/>
            </w:rPr>
          </w:pPr>
          <w:hyperlink w:history="1" w:anchor="_Toc73021727">
            <w:r w:rsidRPr="00E70CD3" w:rsidR="00194A8C">
              <w:rPr>
                <w:rStyle w:val="Hyperlink"/>
              </w:rPr>
              <w:t>Completing Assessments</w:t>
            </w:r>
            <w:r w:rsidR="00194A8C">
              <w:rPr>
                <w:webHidden/>
              </w:rPr>
              <w:tab/>
            </w:r>
            <w:r w:rsidR="00194A8C">
              <w:rPr>
                <w:webHidden/>
              </w:rPr>
              <w:fldChar w:fldCharType="begin"/>
            </w:r>
            <w:r w:rsidR="00194A8C">
              <w:rPr>
                <w:webHidden/>
              </w:rPr>
              <w:instrText xml:space="preserve"> PAGEREF _Toc73021727 \h </w:instrText>
            </w:r>
            <w:r w:rsidR="00194A8C">
              <w:rPr>
                <w:webHidden/>
              </w:rPr>
            </w:r>
            <w:r w:rsidR="00194A8C">
              <w:rPr>
                <w:webHidden/>
              </w:rPr>
              <w:fldChar w:fldCharType="separate"/>
            </w:r>
            <w:r w:rsidR="00893854">
              <w:rPr>
                <w:webHidden/>
              </w:rPr>
              <w:t>7</w:t>
            </w:r>
            <w:r w:rsidR="00194A8C">
              <w:rPr>
                <w:webHidden/>
              </w:rPr>
              <w:fldChar w:fldCharType="end"/>
            </w:r>
          </w:hyperlink>
        </w:p>
        <w:p w:rsidR="00194A8C" w:rsidRDefault="0008026A" w14:paraId="3C3F9CC3" w14:textId="46EDA793">
          <w:pPr>
            <w:pStyle w:val="TOC2"/>
            <w:rPr>
              <w:rFonts w:asciiTheme="minorHAnsi" w:hAnsiTheme="minorHAnsi" w:eastAsiaTheme="minorEastAsia" w:cstheme="minorBidi"/>
              <w:szCs w:val="22"/>
            </w:rPr>
          </w:pPr>
          <w:hyperlink w:history="1" w:anchor="_Toc73021728">
            <w:r w:rsidRPr="00E70CD3" w:rsidR="00194A8C">
              <w:rPr>
                <w:rStyle w:val="Hyperlink"/>
              </w:rPr>
              <w:t>Retraction of Invalid Reports Not Required</w:t>
            </w:r>
            <w:r w:rsidR="00194A8C">
              <w:rPr>
                <w:webHidden/>
              </w:rPr>
              <w:tab/>
            </w:r>
            <w:r w:rsidR="00194A8C">
              <w:rPr>
                <w:webHidden/>
              </w:rPr>
              <w:fldChar w:fldCharType="begin"/>
            </w:r>
            <w:r w:rsidR="00194A8C">
              <w:rPr>
                <w:webHidden/>
              </w:rPr>
              <w:instrText xml:space="preserve"> PAGEREF _Toc73021728 \h </w:instrText>
            </w:r>
            <w:r w:rsidR="00194A8C">
              <w:rPr>
                <w:webHidden/>
              </w:rPr>
            </w:r>
            <w:r w:rsidR="00194A8C">
              <w:rPr>
                <w:webHidden/>
              </w:rPr>
              <w:fldChar w:fldCharType="separate"/>
            </w:r>
            <w:r w:rsidR="00893854">
              <w:rPr>
                <w:webHidden/>
              </w:rPr>
              <w:t>7</w:t>
            </w:r>
            <w:r w:rsidR="00194A8C">
              <w:rPr>
                <w:webHidden/>
              </w:rPr>
              <w:fldChar w:fldCharType="end"/>
            </w:r>
          </w:hyperlink>
        </w:p>
        <w:p w:rsidR="00194A8C" w:rsidRDefault="0008026A" w14:paraId="6F6DCC3D" w14:textId="557715E4">
          <w:pPr>
            <w:pStyle w:val="TOC2"/>
            <w:rPr>
              <w:rFonts w:asciiTheme="minorHAnsi" w:hAnsiTheme="minorHAnsi" w:eastAsiaTheme="minorEastAsia" w:cstheme="minorBidi"/>
              <w:szCs w:val="22"/>
            </w:rPr>
          </w:pPr>
          <w:hyperlink w:history="1" w:anchor="_Toc73021729">
            <w:r w:rsidRPr="00E70CD3" w:rsidR="00194A8C">
              <w:rPr>
                <w:rStyle w:val="Hyperlink"/>
              </w:rPr>
              <w:t>Elimination of Duplication</w:t>
            </w:r>
            <w:r w:rsidR="00194A8C">
              <w:rPr>
                <w:webHidden/>
              </w:rPr>
              <w:tab/>
            </w:r>
            <w:r w:rsidR="00194A8C">
              <w:rPr>
                <w:webHidden/>
              </w:rPr>
              <w:fldChar w:fldCharType="begin"/>
            </w:r>
            <w:r w:rsidR="00194A8C">
              <w:rPr>
                <w:webHidden/>
              </w:rPr>
              <w:instrText xml:space="preserve"> PAGEREF _Toc73021729 \h </w:instrText>
            </w:r>
            <w:r w:rsidR="00194A8C">
              <w:rPr>
                <w:webHidden/>
              </w:rPr>
            </w:r>
            <w:r w:rsidR="00194A8C">
              <w:rPr>
                <w:webHidden/>
              </w:rPr>
              <w:fldChar w:fldCharType="separate"/>
            </w:r>
            <w:r w:rsidR="00893854">
              <w:rPr>
                <w:webHidden/>
              </w:rPr>
              <w:t>7</w:t>
            </w:r>
            <w:r w:rsidR="00194A8C">
              <w:rPr>
                <w:webHidden/>
              </w:rPr>
              <w:fldChar w:fldCharType="end"/>
            </w:r>
          </w:hyperlink>
        </w:p>
        <w:p w:rsidR="00194A8C" w:rsidRDefault="0008026A" w14:paraId="62413379" w14:textId="452971BC">
          <w:pPr>
            <w:pStyle w:val="TOC2"/>
            <w:rPr>
              <w:rFonts w:asciiTheme="minorHAnsi" w:hAnsiTheme="minorHAnsi" w:eastAsiaTheme="minorEastAsia" w:cstheme="minorBidi"/>
              <w:szCs w:val="22"/>
            </w:rPr>
          </w:pPr>
          <w:hyperlink w:history="1" w:anchor="_Toc73021730">
            <w:r w:rsidRPr="00E70CD3" w:rsidR="00194A8C">
              <w:rPr>
                <w:rStyle w:val="Hyperlink"/>
              </w:rPr>
              <w:t>Reporting Timeliness and Order of Precedence</w:t>
            </w:r>
            <w:r w:rsidR="00194A8C">
              <w:rPr>
                <w:webHidden/>
              </w:rPr>
              <w:tab/>
            </w:r>
            <w:r w:rsidR="00194A8C">
              <w:rPr>
                <w:webHidden/>
              </w:rPr>
              <w:fldChar w:fldCharType="begin"/>
            </w:r>
            <w:r w:rsidR="00194A8C">
              <w:rPr>
                <w:webHidden/>
              </w:rPr>
              <w:instrText xml:space="preserve"> PAGEREF _Toc73021730 \h </w:instrText>
            </w:r>
            <w:r w:rsidR="00194A8C">
              <w:rPr>
                <w:webHidden/>
              </w:rPr>
            </w:r>
            <w:r w:rsidR="00194A8C">
              <w:rPr>
                <w:webHidden/>
              </w:rPr>
              <w:fldChar w:fldCharType="separate"/>
            </w:r>
            <w:r w:rsidR="00893854">
              <w:rPr>
                <w:webHidden/>
              </w:rPr>
              <w:t>8</w:t>
            </w:r>
            <w:r w:rsidR="00194A8C">
              <w:rPr>
                <w:webHidden/>
              </w:rPr>
              <w:fldChar w:fldCharType="end"/>
            </w:r>
          </w:hyperlink>
        </w:p>
        <w:p w:rsidR="00194A8C" w:rsidRDefault="0008026A" w14:paraId="7A6097C6" w14:textId="7B966244">
          <w:pPr>
            <w:pStyle w:val="TOC2"/>
            <w:rPr>
              <w:rFonts w:asciiTheme="minorHAnsi" w:hAnsiTheme="minorHAnsi" w:eastAsiaTheme="minorEastAsia" w:cstheme="minorBidi"/>
              <w:szCs w:val="22"/>
            </w:rPr>
          </w:pPr>
          <w:hyperlink w:history="1" w:anchor="_Toc73021731">
            <w:r w:rsidRPr="00E70CD3" w:rsidR="00194A8C">
              <w:rPr>
                <w:rStyle w:val="Hyperlink"/>
              </w:rPr>
              <w:t>Applicability to Specific Facilities, Materials, and Shipping Activities</w:t>
            </w:r>
            <w:r w:rsidR="00194A8C">
              <w:rPr>
                <w:webHidden/>
              </w:rPr>
              <w:tab/>
            </w:r>
            <w:r w:rsidR="00194A8C">
              <w:rPr>
                <w:webHidden/>
              </w:rPr>
              <w:fldChar w:fldCharType="begin"/>
            </w:r>
            <w:r w:rsidR="00194A8C">
              <w:rPr>
                <w:webHidden/>
              </w:rPr>
              <w:instrText xml:space="preserve"> PAGEREF _Toc73021731 \h </w:instrText>
            </w:r>
            <w:r w:rsidR="00194A8C">
              <w:rPr>
                <w:webHidden/>
              </w:rPr>
            </w:r>
            <w:r w:rsidR="00194A8C">
              <w:rPr>
                <w:webHidden/>
              </w:rPr>
              <w:fldChar w:fldCharType="separate"/>
            </w:r>
            <w:r w:rsidR="00893854">
              <w:rPr>
                <w:webHidden/>
              </w:rPr>
              <w:t>8</w:t>
            </w:r>
            <w:r w:rsidR="00194A8C">
              <w:rPr>
                <w:webHidden/>
              </w:rPr>
              <w:fldChar w:fldCharType="end"/>
            </w:r>
          </w:hyperlink>
        </w:p>
        <w:p w:rsidR="00194A8C" w:rsidRDefault="0008026A" w14:paraId="66AB7991" w14:textId="4CD54F73">
          <w:pPr>
            <w:pStyle w:val="TOC2"/>
            <w:rPr>
              <w:rFonts w:asciiTheme="minorHAnsi" w:hAnsiTheme="minorHAnsi" w:eastAsiaTheme="minorEastAsia" w:cstheme="minorBidi"/>
              <w:szCs w:val="22"/>
            </w:rPr>
          </w:pPr>
          <w:hyperlink w:history="1" w:anchor="_Toc73021732">
            <w:r w:rsidRPr="00E70CD3" w:rsidR="00194A8C">
              <w:rPr>
                <w:rStyle w:val="Hyperlink"/>
              </w:rPr>
              <w:t>Applicants for a License or Construction Permit Holders</w:t>
            </w:r>
            <w:r w:rsidR="00194A8C">
              <w:rPr>
                <w:webHidden/>
              </w:rPr>
              <w:tab/>
            </w:r>
            <w:r w:rsidR="00194A8C">
              <w:rPr>
                <w:webHidden/>
              </w:rPr>
              <w:fldChar w:fldCharType="begin"/>
            </w:r>
            <w:r w:rsidR="00194A8C">
              <w:rPr>
                <w:webHidden/>
              </w:rPr>
              <w:instrText xml:space="preserve"> PAGEREF _Toc73021732 \h </w:instrText>
            </w:r>
            <w:r w:rsidR="00194A8C">
              <w:rPr>
                <w:webHidden/>
              </w:rPr>
            </w:r>
            <w:r w:rsidR="00194A8C">
              <w:rPr>
                <w:webHidden/>
              </w:rPr>
              <w:fldChar w:fldCharType="separate"/>
            </w:r>
            <w:r w:rsidR="00893854">
              <w:rPr>
                <w:webHidden/>
              </w:rPr>
              <w:t>11</w:t>
            </w:r>
            <w:r w:rsidR="00194A8C">
              <w:rPr>
                <w:webHidden/>
              </w:rPr>
              <w:fldChar w:fldCharType="end"/>
            </w:r>
          </w:hyperlink>
        </w:p>
        <w:p w:rsidR="00194A8C" w:rsidRDefault="0008026A" w14:paraId="5B63AC94" w14:textId="73246EB8">
          <w:pPr>
            <w:pStyle w:val="TOC2"/>
            <w:rPr>
              <w:rFonts w:asciiTheme="minorHAnsi" w:hAnsiTheme="minorHAnsi" w:eastAsiaTheme="minorEastAsia" w:cstheme="minorBidi"/>
              <w:szCs w:val="22"/>
            </w:rPr>
          </w:pPr>
          <w:hyperlink w:history="1" w:anchor="_Toc73021733">
            <w:r w:rsidRPr="00E70CD3" w:rsidR="00194A8C">
              <w:rPr>
                <w:rStyle w:val="Hyperlink"/>
              </w:rPr>
              <w:t>Notification Process</w:t>
            </w:r>
            <w:r w:rsidR="00194A8C">
              <w:rPr>
                <w:webHidden/>
              </w:rPr>
              <w:tab/>
            </w:r>
            <w:r w:rsidR="00194A8C">
              <w:rPr>
                <w:webHidden/>
              </w:rPr>
              <w:fldChar w:fldCharType="begin"/>
            </w:r>
            <w:r w:rsidR="00194A8C">
              <w:rPr>
                <w:webHidden/>
              </w:rPr>
              <w:instrText xml:space="preserve"> PAGEREF _Toc73021733 \h </w:instrText>
            </w:r>
            <w:r w:rsidR="00194A8C">
              <w:rPr>
                <w:webHidden/>
              </w:rPr>
            </w:r>
            <w:r w:rsidR="00194A8C">
              <w:rPr>
                <w:webHidden/>
              </w:rPr>
              <w:fldChar w:fldCharType="separate"/>
            </w:r>
            <w:r w:rsidR="00893854">
              <w:rPr>
                <w:webHidden/>
              </w:rPr>
              <w:t>12</w:t>
            </w:r>
            <w:r w:rsidR="00194A8C">
              <w:rPr>
                <w:webHidden/>
              </w:rPr>
              <w:fldChar w:fldCharType="end"/>
            </w:r>
          </w:hyperlink>
        </w:p>
        <w:p w:rsidR="00194A8C" w:rsidRDefault="0008026A" w14:paraId="19E0A21A" w14:textId="3293E4E2">
          <w:pPr>
            <w:pStyle w:val="TOC2"/>
            <w:rPr>
              <w:rFonts w:asciiTheme="minorHAnsi" w:hAnsiTheme="minorHAnsi" w:eastAsiaTheme="minorEastAsia" w:cstheme="minorBidi"/>
              <w:szCs w:val="22"/>
            </w:rPr>
          </w:pPr>
          <w:hyperlink w:history="1" w:anchor="_Toc73021734">
            <w:r w:rsidRPr="00E70CD3" w:rsidR="00194A8C">
              <w:rPr>
                <w:rStyle w:val="Hyperlink"/>
              </w:rPr>
              <w:t>Consideration of International Standards</w:t>
            </w:r>
            <w:r w:rsidR="00194A8C">
              <w:rPr>
                <w:webHidden/>
              </w:rPr>
              <w:tab/>
            </w:r>
            <w:r w:rsidR="00194A8C">
              <w:rPr>
                <w:webHidden/>
              </w:rPr>
              <w:fldChar w:fldCharType="begin"/>
            </w:r>
            <w:r w:rsidR="00194A8C">
              <w:rPr>
                <w:webHidden/>
              </w:rPr>
              <w:instrText xml:space="preserve"> PAGEREF _Toc73021734 \h </w:instrText>
            </w:r>
            <w:r w:rsidR="00194A8C">
              <w:rPr>
                <w:webHidden/>
              </w:rPr>
            </w:r>
            <w:r w:rsidR="00194A8C">
              <w:rPr>
                <w:webHidden/>
              </w:rPr>
              <w:fldChar w:fldCharType="separate"/>
            </w:r>
            <w:r w:rsidR="00893854">
              <w:rPr>
                <w:webHidden/>
              </w:rPr>
              <w:t>13</w:t>
            </w:r>
            <w:r w:rsidR="00194A8C">
              <w:rPr>
                <w:webHidden/>
              </w:rPr>
              <w:fldChar w:fldCharType="end"/>
            </w:r>
          </w:hyperlink>
        </w:p>
        <w:p w:rsidR="00194A8C" w:rsidRDefault="0008026A" w14:paraId="59B78E58" w14:textId="6F12865E">
          <w:pPr>
            <w:pStyle w:val="TOC1"/>
            <w:rPr>
              <w:rFonts w:asciiTheme="minorHAnsi" w:hAnsiTheme="minorHAnsi" w:eastAsiaTheme="minorEastAsia" w:cstheme="minorBidi"/>
              <w:sz w:val="22"/>
              <w:szCs w:val="22"/>
            </w:rPr>
          </w:pPr>
          <w:hyperlink w:history="1" w:anchor="_Toc73021735">
            <w:r w:rsidRPr="00E70CD3" w:rsidR="00194A8C">
              <w:rPr>
                <w:rStyle w:val="Hyperlink"/>
              </w:rPr>
              <w:t>C.  STAFF REGULATORY GUIDANCE</w:t>
            </w:r>
            <w:r w:rsidR="00194A8C">
              <w:rPr>
                <w:webHidden/>
              </w:rPr>
              <w:tab/>
            </w:r>
            <w:r w:rsidR="00194A8C">
              <w:rPr>
                <w:webHidden/>
              </w:rPr>
              <w:fldChar w:fldCharType="begin"/>
            </w:r>
            <w:r w:rsidR="00194A8C">
              <w:rPr>
                <w:webHidden/>
              </w:rPr>
              <w:instrText xml:space="preserve"> PAGEREF _Toc73021735 \h </w:instrText>
            </w:r>
            <w:r w:rsidR="00194A8C">
              <w:rPr>
                <w:webHidden/>
              </w:rPr>
            </w:r>
            <w:r w:rsidR="00194A8C">
              <w:rPr>
                <w:webHidden/>
              </w:rPr>
              <w:fldChar w:fldCharType="separate"/>
            </w:r>
            <w:r w:rsidR="00893854">
              <w:rPr>
                <w:webHidden/>
              </w:rPr>
              <w:t>14</w:t>
            </w:r>
            <w:r w:rsidR="00194A8C">
              <w:rPr>
                <w:webHidden/>
              </w:rPr>
              <w:fldChar w:fldCharType="end"/>
            </w:r>
          </w:hyperlink>
        </w:p>
        <w:p w:rsidR="00194A8C" w:rsidRDefault="0008026A" w14:paraId="71DCAA12" w14:textId="528839A1">
          <w:pPr>
            <w:pStyle w:val="TOC2"/>
            <w:rPr>
              <w:rFonts w:asciiTheme="minorHAnsi" w:hAnsiTheme="minorHAnsi" w:eastAsiaTheme="minorEastAsia" w:cstheme="minorBidi"/>
              <w:szCs w:val="22"/>
            </w:rPr>
          </w:pPr>
          <w:hyperlink w:history="1" w:anchor="_Toc73021736">
            <w:r w:rsidRPr="00E70CD3" w:rsidR="00194A8C">
              <w:rPr>
                <w:rStyle w:val="Hyperlink"/>
              </w:rPr>
              <w:t>1.</w:t>
            </w:r>
            <w:r w:rsidR="00194A8C">
              <w:rPr>
                <w:rFonts w:asciiTheme="minorHAnsi" w:hAnsiTheme="minorHAnsi" w:eastAsiaTheme="minorEastAsia" w:cstheme="minorBidi"/>
                <w:szCs w:val="22"/>
              </w:rPr>
              <w:tab/>
            </w:r>
            <w:r w:rsidRPr="00E70CD3" w:rsidR="00194A8C">
              <w:rPr>
                <w:rStyle w:val="Hyperlink"/>
              </w:rPr>
              <w:t>General Guidance on Assessing What Constitutes a Suspicious Activity</w:t>
            </w:r>
            <w:r w:rsidR="00194A8C">
              <w:rPr>
                <w:webHidden/>
              </w:rPr>
              <w:tab/>
            </w:r>
            <w:r w:rsidR="00194A8C">
              <w:rPr>
                <w:webHidden/>
              </w:rPr>
              <w:fldChar w:fldCharType="begin"/>
            </w:r>
            <w:r w:rsidR="00194A8C">
              <w:rPr>
                <w:webHidden/>
              </w:rPr>
              <w:instrText xml:space="preserve"> PAGEREF _Toc73021736 \h </w:instrText>
            </w:r>
            <w:r w:rsidR="00194A8C">
              <w:rPr>
                <w:webHidden/>
              </w:rPr>
            </w:r>
            <w:r w:rsidR="00194A8C">
              <w:rPr>
                <w:webHidden/>
              </w:rPr>
              <w:fldChar w:fldCharType="separate"/>
            </w:r>
            <w:r w:rsidR="00893854">
              <w:rPr>
                <w:webHidden/>
              </w:rPr>
              <w:t>14</w:t>
            </w:r>
            <w:r w:rsidR="00194A8C">
              <w:rPr>
                <w:webHidden/>
              </w:rPr>
              <w:fldChar w:fldCharType="end"/>
            </w:r>
          </w:hyperlink>
        </w:p>
        <w:p w:rsidR="00194A8C" w:rsidRDefault="0008026A" w14:paraId="39756827" w14:textId="4DB1869C">
          <w:pPr>
            <w:pStyle w:val="TOC2"/>
            <w:rPr>
              <w:rFonts w:asciiTheme="minorHAnsi" w:hAnsiTheme="minorHAnsi" w:eastAsiaTheme="minorEastAsia" w:cstheme="minorBidi"/>
              <w:szCs w:val="22"/>
            </w:rPr>
          </w:pPr>
          <w:hyperlink w:history="1" w:anchor="_Toc73021737">
            <w:r w:rsidRPr="00E70CD3" w:rsidR="00194A8C">
              <w:rPr>
                <w:rStyle w:val="Hyperlink"/>
              </w:rPr>
              <w:t>2.</w:t>
            </w:r>
            <w:r w:rsidR="00194A8C">
              <w:rPr>
                <w:rFonts w:asciiTheme="minorHAnsi" w:hAnsiTheme="minorHAnsi" w:eastAsiaTheme="minorEastAsia" w:cstheme="minorBidi"/>
                <w:szCs w:val="22"/>
              </w:rPr>
              <w:tab/>
            </w:r>
            <w:r w:rsidRPr="00E70CD3" w:rsidR="00194A8C">
              <w:rPr>
                <w:rStyle w:val="Hyperlink"/>
              </w:rPr>
              <w:t>Time of Discovery</w:t>
            </w:r>
            <w:r w:rsidR="00194A8C">
              <w:rPr>
                <w:webHidden/>
              </w:rPr>
              <w:tab/>
            </w:r>
            <w:r w:rsidR="00194A8C">
              <w:rPr>
                <w:webHidden/>
              </w:rPr>
              <w:fldChar w:fldCharType="begin"/>
            </w:r>
            <w:r w:rsidR="00194A8C">
              <w:rPr>
                <w:webHidden/>
              </w:rPr>
              <w:instrText xml:space="preserve"> PAGEREF _Toc73021737 \h </w:instrText>
            </w:r>
            <w:r w:rsidR="00194A8C">
              <w:rPr>
                <w:webHidden/>
              </w:rPr>
            </w:r>
            <w:r w:rsidR="00194A8C">
              <w:rPr>
                <w:webHidden/>
              </w:rPr>
              <w:fldChar w:fldCharType="separate"/>
            </w:r>
            <w:r w:rsidR="00893854">
              <w:rPr>
                <w:webHidden/>
              </w:rPr>
              <w:t>15</w:t>
            </w:r>
            <w:r w:rsidR="00194A8C">
              <w:rPr>
                <w:webHidden/>
              </w:rPr>
              <w:fldChar w:fldCharType="end"/>
            </w:r>
          </w:hyperlink>
        </w:p>
        <w:p w:rsidR="00194A8C" w:rsidRDefault="0008026A" w14:paraId="6829847F" w14:textId="24803599">
          <w:pPr>
            <w:pStyle w:val="TOC2"/>
            <w:rPr>
              <w:rFonts w:asciiTheme="minorHAnsi" w:hAnsiTheme="minorHAnsi" w:eastAsiaTheme="minorEastAsia" w:cstheme="minorBidi"/>
              <w:szCs w:val="22"/>
            </w:rPr>
          </w:pPr>
          <w:hyperlink w:history="1" w:anchor="_Toc73021738">
            <w:r w:rsidRPr="00E70CD3" w:rsidR="00194A8C">
              <w:rPr>
                <w:rStyle w:val="Hyperlink"/>
              </w:rPr>
              <w:t>3.</w:t>
            </w:r>
            <w:r w:rsidR="00194A8C">
              <w:rPr>
                <w:rFonts w:asciiTheme="minorHAnsi" w:hAnsiTheme="minorHAnsi" w:eastAsiaTheme="minorEastAsia" w:cstheme="minorBidi"/>
                <w:szCs w:val="22"/>
              </w:rPr>
              <w:tab/>
            </w:r>
            <w:r w:rsidRPr="00E70CD3" w:rsidR="00194A8C">
              <w:rPr>
                <w:rStyle w:val="Hyperlink"/>
              </w:rPr>
              <w:t>Priority of Timely Reporting versus Accuracy of Assessment</w:t>
            </w:r>
            <w:r w:rsidR="00194A8C">
              <w:rPr>
                <w:webHidden/>
              </w:rPr>
              <w:tab/>
            </w:r>
            <w:r w:rsidR="00194A8C">
              <w:rPr>
                <w:webHidden/>
              </w:rPr>
              <w:fldChar w:fldCharType="begin"/>
            </w:r>
            <w:r w:rsidR="00194A8C">
              <w:rPr>
                <w:webHidden/>
              </w:rPr>
              <w:instrText xml:space="preserve"> PAGEREF _Toc73021738 \h </w:instrText>
            </w:r>
            <w:r w:rsidR="00194A8C">
              <w:rPr>
                <w:webHidden/>
              </w:rPr>
            </w:r>
            <w:r w:rsidR="00194A8C">
              <w:rPr>
                <w:webHidden/>
              </w:rPr>
              <w:fldChar w:fldCharType="separate"/>
            </w:r>
            <w:r w:rsidR="00893854">
              <w:rPr>
                <w:webHidden/>
              </w:rPr>
              <w:t>15</w:t>
            </w:r>
            <w:r w:rsidR="00194A8C">
              <w:rPr>
                <w:webHidden/>
              </w:rPr>
              <w:fldChar w:fldCharType="end"/>
            </w:r>
          </w:hyperlink>
        </w:p>
        <w:p w:rsidR="00194A8C" w:rsidRDefault="0008026A" w14:paraId="1BCCDE4C" w14:textId="100626EA">
          <w:pPr>
            <w:pStyle w:val="TOC2"/>
            <w:rPr>
              <w:rFonts w:asciiTheme="minorHAnsi" w:hAnsiTheme="minorHAnsi" w:eastAsiaTheme="minorEastAsia" w:cstheme="minorBidi"/>
              <w:szCs w:val="22"/>
            </w:rPr>
          </w:pPr>
          <w:hyperlink w:history="1" w:anchor="_Toc73021739">
            <w:r w:rsidRPr="00E70CD3" w:rsidR="00194A8C">
              <w:rPr>
                <w:rStyle w:val="Hyperlink"/>
              </w:rPr>
              <w:t>4.</w:t>
            </w:r>
            <w:r w:rsidR="00194A8C">
              <w:rPr>
                <w:rFonts w:asciiTheme="minorHAnsi" w:hAnsiTheme="minorHAnsi" w:eastAsiaTheme="minorEastAsia" w:cstheme="minorBidi"/>
                <w:szCs w:val="22"/>
              </w:rPr>
              <w:tab/>
            </w:r>
            <w:r w:rsidRPr="00E70CD3" w:rsidR="00194A8C">
              <w:rPr>
                <w:rStyle w:val="Hyperlink"/>
              </w:rPr>
              <w:t>Applicable FBI Local Field Office for Shipping Activities</w:t>
            </w:r>
            <w:r w:rsidR="00194A8C">
              <w:rPr>
                <w:webHidden/>
              </w:rPr>
              <w:tab/>
            </w:r>
            <w:r w:rsidR="00194A8C">
              <w:rPr>
                <w:webHidden/>
              </w:rPr>
              <w:fldChar w:fldCharType="begin"/>
            </w:r>
            <w:r w:rsidR="00194A8C">
              <w:rPr>
                <w:webHidden/>
              </w:rPr>
              <w:instrText xml:space="preserve"> PAGEREF _Toc73021739 \h </w:instrText>
            </w:r>
            <w:r w:rsidR="00194A8C">
              <w:rPr>
                <w:webHidden/>
              </w:rPr>
            </w:r>
            <w:r w:rsidR="00194A8C">
              <w:rPr>
                <w:webHidden/>
              </w:rPr>
              <w:fldChar w:fldCharType="separate"/>
            </w:r>
            <w:r w:rsidR="00893854">
              <w:rPr>
                <w:webHidden/>
              </w:rPr>
              <w:t>15</w:t>
            </w:r>
            <w:r w:rsidR="00194A8C">
              <w:rPr>
                <w:webHidden/>
              </w:rPr>
              <w:fldChar w:fldCharType="end"/>
            </w:r>
          </w:hyperlink>
        </w:p>
        <w:p w:rsidR="00194A8C" w:rsidRDefault="0008026A" w14:paraId="1D78BB24" w14:textId="067C9D6F">
          <w:pPr>
            <w:pStyle w:val="TOC2"/>
            <w:rPr>
              <w:rFonts w:asciiTheme="minorHAnsi" w:hAnsiTheme="minorHAnsi" w:eastAsiaTheme="minorEastAsia" w:cstheme="minorBidi"/>
              <w:szCs w:val="22"/>
            </w:rPr>
          </w:pPr>
          <w:hyperlink w:history="1" w:anchor="_Toc73021740">
            <w:r w:rsidRPr="00E70CD3" w:rsidR="00194A8C">
              <w:rPr>
                <w:rStyle w:val="Hyperlink"/>
              </w:rPr>
              <w:t>5.</w:t>
            </w:r>
            <w:r w:rsidR="00194A8C">
              <w:rPr>
                <w:rFonts w:asciiTheme="minorHAnsi" w:hAnsiTheme="minorHAnsi" w:eastAsiaTheme="minorEastAsia" w:cstheme="minorBidi"/>
                <w:szCs w:val="22"/>
              </w:rPr>
              <w:tab/>
            </w:r>
            <w:r w:rsidRPr="00E70CD3" w:rsidR="00194A8C">
              <w:rPr>
                <w:rStyle w:val="Hyperlink"/>
              </w:rPr>
              <w:t>Examples of Suspicious Activity</w:t>
            </w:r>
            <w:r w:rsidR="00194A8C">
              <w:rPr>
                <w:webHidden/>
              </w:rPr>
              <w:tab/>
            </w:r>
            <w:r w:rsidR="00194A8C">
              <w:rPr>
                <w:webHidden/>
              </w:rPr>
              <w:fldChar w:fldCharType="begin"/>
            </w:r>
            <w:r w:rsidR="00194A8C">
              <w:rPr>
                <w:webHidden/>
              </w:rPr>
              <w:instrText xml:space="preserve"> PAGEREF _Toc73021740 \h </w:instrText>
            </w:r>
            <w:r w:rsidR="00194A8C">
              <w:rPr>
                <w:webHidden/>
              </w:rPr>
            </w:r>
            <w:r w:rsidR="00194A8C">
              <w:rPr>
                <w:webHidden/>
              </w:rPr>
              <w:fldChar w:fldCharType="separate"/>
            </w:r>
            <w:r w:rsidR="00893854">
              <w:rPr>
                <w:webHidden/>
              </w:rPr>
              <w:t>15</w:t>
            </w:r>
            <w:r w:rsidR="00194A8C">
              <w:rPr>
                <w:webHidden/>
              </w:rPr>
              <w:fldChar w:fldCharType="end"/>
            </w:r>
          </w:hyperlink>
        </w:p>
        <w:p w:rsidR="00194A8C" w:rsidRDefault="0008026A" w14:paraId="3BB00A07" w14:textId="231B4DCF">
          <w:pPr>
            <w:pStyle w:val="TOC2"/>
            <w:rPr>
              <w:rFonts w:asciiTheme="minorHAnsi" w:hAnsiTheme="minorHAnsi" w:eastAsiaTheme="minorEastAsia" w:cstheme="minorBidi"/>
              <w:szCs w:val="22"/>
            </w:rPr>
          </w:pPr>
          <w:hyperlink w:history="1" w:anchor="_Toc73021741">
            <w:r w:rsidRPr="00E70CD3" w:rsidR="00194A8C">
              <w:rPr>
                <w:rStyle w:val="Hyperlink"/>
              </w:rPr>
              <w:t>5.1</w:t>
            </w:r>
            <w:r w:rsidR="00194A8C">
              <w:rPr>
                <w:rFonts w:asciiTheme="minorHAnsi" w:hAnsiTheme="minorHAnsi" w:eastAsiaTheme="minorEastAsia" w:cstheme="minorBidi"/>
                <w:szCs w:val="22"/>
              </w:rPr>
              <w:tab/>
            </w:r>
            <w:r w:rsidRPr="00E70CD3" w:rsidR="00194A8C">
              <w:rPr>
                <w:rStyle w:val="Hyperlink"/>
              </w:rPr>
              <w:t>Elicitation of Sensitive Non-public Information</w:t>
            </w:r>
            <w:r w:rsidR="00194A8C">
              <w:rPr>
                <w:webHidden/>
              </w:rPr>
              <w:tab/>
            </w:r>
            <w:r w:rsidR="00194A8C">
              <w:rPr>
                <w:webHidden/>
              </w:rPr>
              <w:fldChar w:fldCharType="begin"/>
            </w:r>
            <w:r w:rsidR="00194A8C">
              <w:rPr>
                <w:webHidden/>
              </w:rPr>
              <w:instrText xml:space="preserve"> PAGEREF _Toc73021741 \h </w:instrText>
            </w:r>
            <w:r w:rsidR="00194A8C">
              <w:rPr>
                <w:webHidden/>
              </w:rPr>
            </w:r>
            <w:r w:rsidR="00194A8C">
              <w:rPr>
                <w:webHidden/>
              </w:rPr>
              <w:fldChar w:fldCharType="separate"/>
            </w:r>
            <w:r w:rsidR="00893854">
              <w:rPr>
                <w:webHidden/>
              </w:rPr>
              <w:t>16</w:t>
            </w:r>
            <w:r w:rsidR="00194A8C">
              <w:rPr>
                <w:webHidden/>
              </w:rPr>
              <w:fldChar w:fldCharType="end"/>
            </w:r>
          </w:hyperlink>
        </w:p>
        <w:p w:rsidR="00194A8C" w:rsidRDefault="0008026A" w14:paraId="6B7D7FFD" w14:textId="0919BE84">
          <w:pPr>
            <w:pStyle w:val="TOC2"/>
            <w:rPr>
              <w:rFonts w:asciiTheme="minorHAnsi" w:hAnsiTheme="minorHAnsi" w:eastAsiaTheme="minorEastAsia" w:cstheme="minorBidi"/>
              <w:szCs w:val="22"/>
            </w:rPr>
          </w:pPr>
          <w:hyperlink w:history="1" w:anchor="_Toc73021742">
            <w:r w:rsidRPr="00E70CD3" w:rsidR="00194A8C">
              <w:rPr>
                <w:rStyle w:val="Hyperlink"/>
              </w:rPr>
              <w:t>5.2</w:t>
            </w:r>
            <w:r w:rsidR="00194A8C">
              <w:rPr>
                <w:rFonts w:asciiTheme="minorHAnsi" w:hAnsiTheme="minorHAnsi" w:eastAsiaTheme="minorEastAsia" w:cstheme="minorBidi"/>
                <w:szCs w:val="22"/>
              </w:rPr>
              <w:tab/>
            </w:r>
            <w:r w:rsidRPr="00E70CD3" w:rsidR="00194A8C">
              <w:rPr>
                <w:rStyle w:val="Hyperlink"/>
              </w:rPr>
              <w:t>Challenges to Licensee’s Security Systems and Procedures - Facilities</w:t>
            </w:r>
            <w:r w:rsidR="00194A8C">
              <w:rPr>
                <w:webHidden/>
              </w:rPr>
              <w:tab/>
            </w:r>
            <w:r w:rsidR="00194A8C">
              <w:rPr>
                <w:webHidden/>
              </w:rPr>
              <w:fldChar w:fldCharType="begin"/>
            </w:r>
            <w:r w:rsidR="00194A8C">
              <w:rPr>
                <w:webHidden/>
              </w:rPr>
              <w:instrText xml:space="preserve"> PAGEREF _Toc73021742 \h </w:instrText>
            </w:r>
            <w:r w:rsidR="00194A8C">
              <w:rPr>
                <w:webHidden/>
              </w:rPr>
            </w:r>
            <w:r w:rsidR="00194A8C">
              <w:rPr>
                <w:webHidden/>
              </w:rPr>
              <w:fldChar w:fldCharType="separate"/>
            </w:r>
            <w:r w:rsidR="00893854">
              <w:rPr>
                <w:webHidden/>
              </w:rPr>
              <w:t>17</w:t>
            </w:r>
            <w:r w:rsidR="00194A8C">
              <w:rPr>
                <w:webHidden/>
              </w:rPr>
              <w:fldChar w:fldCharType="end"/>
            </w:r>
          </w:hyperlink>
        </w:p>
        <w:p w:rsidR="00194A8C" w:rsidRDefault="0008026A" w14:paraId="48A3F7C2" w14:textId="195C8C2D">
          <w:pPr>
            <w:pStyle w:val="TOC2"/>
            <w:rPr>
              <w:rFonts w:asciiTheme="minorHAnsi" w:hAnsiTheme="minorHAnsi" w:eastAsiaTheme="minorEastAsia" w:cstheme="minorBidi"/>
              <w:szCs w:val="22"/>
            </w:rPr>
          </w:pPr>
          <w:hyperlink w:history="1" w:anchor="_Toc73021743">
            <w:r w:rsidRPr="00E70CD3" w:rsidR="00194A8C">
              <w:rPr>
                <w:rStyle w:val="Hyperlink"/>
              </w:rPr>
              <w:t>5.3</w:t>
            </w:r>
            <w:r w:rsidR="00194A8C">
              <w:rPr>
                <w:rFonts w:asciiTheme="minorHAnsi" w:hAnsiTheme="minorHAnsi" w:eastAsiaTheme="minorEastAsia" w:cstheme="minorBidi"/>
                <w:szCs w:val="22"/>
              </w:rPr>
              <w:tab/>
            </w:r>
            <w:r w:rsidRPr="00E70CD3" w:rsidR="00194A8C">
              <w:rPr>
                <w:rStyle w:val="Hyperlink"/>
              </w:rPr>
              <w:t>Preattack Surveillance or Reconnaissance - Facilities</w:t>
            </w:r>
            <w:r w:rsidR="00194A8C">
              <w:rPr>
                <w:webHidden/>
              </w:rPr>
              <w:tab/>
            </w:r>
            <w:r w:rsidR="00194A8C">
              <w:rPr>
                <w:webHidden/>
              </w:rPr>
              <w:fldChar w:fldCharType="begin"/>
            </w:r>
            <w:r w:rsidR="00194A8C">
              <w:rPr>
                <w:webHidden/>
              </w:rPr>
              <w:instrText xml:space="preserve"> PAGEREF _Toc73021743 \h </w:instrText>
            </w:r>
            <w:r w:rsidR="00194A8C">
              <w:rPr>
                <w:webHidden/>
              </w:rPr>
            </w:r>
            <w:r w:rsidR="00194A8C">
              <w:rPr>
                <w:webHidden/>
              </w:rPr>
              <w:fldChar w:fldCharType="separate"/>
            </w:r>
            <w:r w:rsidR="00893854">
              <w:rPr>
                <w:webHidden/>
              </w:rPr>
              <w:t>17</w:t>
            </w:r>
            <w:r w:rsidR="00194A8C">
              <w:rPr>
                <w:webHidden/>
              </w:rPr>
              <w:fldChar w:fldCharType="end"/>
            </w:r>
          </w:hyperlink>
        </w:p>
        <w:p w:rsidR="00194A8C" w:rsidRDefault="0008026A" w14:paraId="5564A837" w14:textId="4A37B32F">
          <w:pPr>
            <w:pStyle w:val="TOC3"/>
            <w:rPr>
              <w:rFonts w:asciiTheme="minorHAnsi" w:hAnsiTheme="minorHAnsi" w:eastAsiaTheme="minorEastAsia" w:cstheme="minorBidi"/>
              <w:szCs w:val="22"/>
            </w:rPr>
          </w:pPr>
          <w:hyperlink w:history="1" w:anchor="_Toc73021744">
            <w:r w:rsidRPr="00E70CD3" w:rsidR="00194A8C">
              <w:rPr>
                <w:rStyle w:val="Hyperlink"/>
              </w:rPr>
              <w:t>5.3.1</w:t>
            </w:r>
            <w:r w:rsidR="00194A8C">
              <w:rPr>
                <w:rFonts w:asciiTheme="minorHAnsi" w:hAnsiTheme="minorHAnsi" w:eastAsiaTheme="minorEastAsia" w:cstheme="minorBidi"/>
                <w:szCs w:val="22"/>
              </w:rPr>
              <w:tab/>
            </w:r>
            <w:r w:rsidRPr="00E70CD3" w:rsidR="00194A8C">
              <w:rPr>
                <w:rStyle w:val="Hyperlink"/>
              </w:rPr>
              <w:t>Potentially Reportable Examples</w:t>
            </w:r>
            <w:r w:rsidR="00194A8C">
              <w:rPr>
                <w:webHidden/>
              </w:rPr>
              <w:tab/>
            </w:r>
            <w:r w:rsidR="00194A8C">
              <w:rPr>
                <w:webHidden/>
              </w:rPr>
              <w:fldChar w:fldCharType="begin"/>
            </w:r>
            <w:r w:rsidR="00194A8C">
              <w:rPr>
                <w:webHidden/>
              </w:rPr>
              <w:instrText xml:space="preserve"> PAGEREF _Toc73021744 \h </w:instrText>
            </w:r>
            <w:r w:rsidR="00194A8C">
              <w:rPr>
                <w:webHidden/>
              </w:rPr>
            </w:r>
            <w:r w:rsidR="00194A8C">
              <w:rPr>
                <w:webHidden/>
              </w:rPr>
              <w:fldChar w:fldCharType="separate"/>
            </w:r>
            <w:r w:rsidR="00893854">
              <w:rPr>
                <w:webHidden/>
              </w:rPr>
              <w:t>18</w:t>
            </w:r>
            <w:r w:rsidR="00194A8C">
              <w:rPr>
                <w:webHidden/>
              </w:rPr>
              <w:fldChar w:fldCharType="end"/>
            </w:r>
          </w:hyperlink>
        </w:p>
        <w:p w:rsidR="00194A8C" w:rsidRDefault="0008026A" w14:paraId="11961E8D" w14:textId="69B9C3C2">
          <w:pPr>
            <w:pStyle w:val="TOC3"/>
            <w:rPr>
              <w:rFonts w:asciiTheme="minorHAnsi" w:hAnsiTheme="minorHAnsi" w:eastAsiaTheme="minorEastAsia" w:cstheme="minorBidi"/>
              <w:szCs w:val="22"/>
            </w:rPr>
          </w:pPr>
          <w:hyperlink w:history="1" w:anchor="_Toc73021745">
            <w:r w:rsidRPr="00E70CD3" w:rsidR="00194A8C">
              <w:rPr>
                <w:rStyle w:val="Hyperlink"/>
              </w:rPr>
              <w:t>5.3.2</w:t>
            </w:r>
            <w:r w:rsidR="00194A8C">
              <w:rPr>
                <w:rFonts w:asciiTheme="minorHAnsi" w:hAnsiTheme="minorHAnsi" w:eastAsiaTheme="minorEastAsia" w:cstheme="minorBidi"/>
                <w:szCs w:val="22"/>
              </w:rPr>
              <w:tab/>
            </w:r>
            <w:r w:rsidRPr="00E70CD3" w:rsidR="00194A8C">
              <w:rPr>
                <w:rStyle w:val="Hyperlink"/>
              </w:rPr>
              <w:t>Potentially Not-Reportable Examples</w:t>
            </w:r>
            <w:r w:rsidR="00194A8C">
              <w:rPr>
                <w:webHidden/>
              </w:rPr>
              <w:tab/>
            </w:r>
            <w:r w:rsidR="00194A8C">
              <w:rPr>
                <w:webHidden/>
              </w:rPr>
              <w:fldChar w:fldCharType="begin"/>
            </w:r>
            <w:r w:rsidR="00194A8C">
              <w:rPr>
                <w:webHidden/>
              </w:rPr>
              <w:instrText xml:space="preserve"> PAGEREF _Toc73021745 \h </w:instrText>
            </w:r>
            <w:r w:rsidR="00194A8C">
              <w:rPr>
                <w:webHidden/>
              </w:rPr>
            </w:r>
            <w:r w:rsidR="00194A8C">
              <w:rPr>
                <w:webHidden/>
              </w:rPr>
              <w:fldChar w:fldCharType="separate"/>
            </w:r>
            <w:r w:rsidR="00893854">
              <w:rPr>
                <w:webHidden/>
              </w:rPr>
              <w:t>18</w:t>
            </w:r>
            <w:r w:rsidR="00194A8C">
              <w:rPr>
                <w:webHidden/>
              </w:rPr>
              <w:fldChar w:fldCharType="end"/>
            </w:r>
          </w:hyperlink>
        </w:p>
        <w:p w:rsidR="00194A8C" w:rsidRDefault="0008026A" w14:paraId="471EAF29" w14:textId="7FC2BA37">
          <w:pPr>
            <w:pStyle w:val="TOC2"/>
            <w:rPr>
              <w:rFonts w:asciiTheme="minorHAnsi" w:hAnsiTheme="minorHAnsi" w:eastAsiaTheme="minorEastAsia" w:cstheme="minorBidi"/>
              <w:szCs w:val="22"/>
            </w:rPr>
          </w:pPr>
          <w:hyperlink w:history="1" w:anchor="_Toc73021746">
            <w:r w:rsidRPr="00E70CD3" w:rsidR="00194A8C">
              <w:rPr>
                <w:rStyle w:val="Hyperlink"/>
              </w:rPr>
              <w:t>5.4</w:t>
            </w:r>
            <w:r w:rsidR="00194A8C">
              <w:rPr>
                <w:rFonts w:asciiTheme="minorHAnsi" w:hAnsiTheme="minorHAnsi" w:eastAsiaTheme="minorEastAsia" w:cstheme="minorBidi"/>
                <w:szCs w:val="22"/>
              </w:rPr>
              <w:tab/>
            </w:r>
            <w:r w:rsidRPr="00E70CD3" w:rsidR="00194A8C">
              <w:rPr>
                <w:rStyle w:val="Hyperlink"/>
              </w:rPr>
              <w:t>Challenges to Communication Systems or Security Systems - Shipping</w:t>
            </w:r>
            <w:r w:rsidR="00194A8C">
              <w:rPr>
                <w:webHidden/>
              </w:rPr>
              <w:tab/>
            </w:r>
            <w:r w:rsidR="00194A8C">
              <w:rPr>
                <w:webHidden/>
              </w:rPr>
              <w:fldChar w:fldCharType="begin"/>
            </w:r>
            <w:r w:rsidR="00194A8C">
              <w:rPr>
                <w:webHidden/>
              </w:rPr>
              <w:instrText xml:space="preserve"> PAGEREF _Toc73021746 \h </w:instrText>
            </w:r>
            <w:r w:rsidR="00194A8C">
              <w:rPr>
                <w:webHidden/>
              </w:rPr>
            </w:r>
            <w:r w:rsidR="00194A8C">
              <w:rPr>
                <w:webHidden/>
              </w:rPr>
              <w:fldChar w:fldCharType="separate"/>
            </w:r>
            <w:r w:rsidR="00893854">
              <w:rPr>
                <w:webHidden/>
              </w:rPr>
              <w:t>19</w:t>
            </w:r>
            <w:r w:rsidR="00194A8C">
              <w:rPr>
                <w:webHidden/>
              </w:rPr>
              <w:fldChar w:fldCharType="end"/>
            </w:r>
          </w:hyperlink>
        </w:p>
        <w:p w:rsidR="00194A8C" w:rsidRDefault="0008026A" w14:paraId="7F328A9D" w14:textId="7B333C56">
          <w:pPr>
            <w:pStyle w:val="TOC2"/>
            <w:rPr>
              <w:rFonts w:asciiTheme="minorHAnsi" w:hAnsiTheme="minorHAnsi" w:eastAsiaTheme="minorEastAsia" w:cstheme="minorBidi"/>
              <w:szCs w:val="22"/>
            </w:rPr>
          </w:pPr>
          <w:hyperlink w:history="1" w:anchor="_Toc73021747">
            <w:r w:rsidRPr="00E70CD3" w:rsidR="00194A8C">
              <w:rPr>
                <w:rStyle w:val="Hyperlink"/>
              </w:rPr>
              <w:t>5.5</w:t>
            </w:r>
            <w:r w:rsidR="00194A8C">
              <w:rPr>
                <w:rFonts w:asciiTheme="minorHAnsi" w:hAnsiTheme="minorHAnsi" w:eastAsiaTheme="minorEastAsia" w:cstheme="minorBidi"/>
                <w:szCs w:val="22"/>
              </w:rPr>
              <w:tab/>
            </w:r>
            <w:r w:rsidRPr="00E70CD3" w:rsidR="00194A8C">
              <w:rPr>
                <w:rStyle w:val="Hyperlink"/>
              </w:rPr>
              <w:t>Interference with or Harassment of an Ongoing Shipment</w:t>
            </w:r>
            <w:r w:rsidR="00194A8C">
              <w:rPr>
                <w:webHidden/>
              </w:rPr>
              <w:tab/>
            </w:r>
            <w:r w:rsidR="00194A8C">
              <w:rPr>
                <w:webHidden/>
              </w:rPr>
              <w:fldChar w:fldCharType="begin"/>
            </w:r>
            <w:r w:rsidR="00194A8C">
              <w:rPr>
                <w:webHidden/>
              </w:rPr>
              <w:instrText xml:space="preserve"> PAGEREF _Toc73021747 \h </w:instrText>
            </w:r>
            <w:r w:rsidR="00194A8C">
              <w:rPr>
                <w:webHidden/>
              </w:rPr>
            </w:r>
            <w:r w:rsidR="00194A8C">
              <w:rPr>
                <w:webHidden/>
              </w:rPr>
              <w:fldChar w:fldCharType="separate"/>
            </w:r>
            <w:r w:rsidR="00893854">
              <w:rPr>
                <w:webHidden/>
              </w:rPr>
              <w:t>19</w:t>
            </w:r>
            <w:r w:rsidR="00194A8C">
              <w:rPr>
                <w:webHidden/>
              </w:rPr>
              <w:fldChar w:fldCharType="end"/>
            </w:r>
          </w:hyperlink>
        </w:p>
        <w:p w:rsidR="00194A8C" w:rsidRDefault="0008026A" w14:paraId="50FC9741" w14:textId="71B53221">
          <w:pPr>
            <w:pStyle w:val="TOC2"/>
            <w:rPr>
              <w:rFonts w:asciiTheme="minorHAnsi" w:hAnsiTheme="minorHAnsi" w:eastAsiaTheme="minorEastAsia" w:cstheme="minorBidi"/>
              <w:szCs w:val="22"/>
            </w:rPr>
          </w:pPr>
          <w:hyperlink w:history="1" w:anchor="_Toc73021748">
            <w:r w:rsidRPr="00E70CD3" w:rsidR="00194A8C">
              <w:rPr>
                <w:rStyle w:val="Hyperlink"/>
              </w:rPr>
              <w:t>5.6</w:t>
            </w:r>
            <w:r w:rsidR="00194A8C">
              <w:rPr>
                <w:rFonts w:asciiTheme="minorHAnsi" w:hAnsiTheme="minorHAnsi" w:eastAsiaTheme="minorEastAsia" w:cstheme="minorBidi"/>
                <w:szCs w:val="22"/>
              </w:rPr>
              <w:tab/>
            </w:r>
            <w:r w:rsidRPr="00E70CD3" w:rsidR="00194A8C">
              <w:rPr>
                <w:rStyle w:val="Hyperlink"/>
              </w:rPr>
              <w:t>Preattack Surveillance or Reconnaissance - Shipment</w:t>
            </w:r>
            <w:r w:rsidR="00194A8C">
              <w:rPr>
                <w:webHidden/>
              </w:rPr>
              <w:tab/>
            </w:r>
            <w:r w:rsidR="00194A8C">
              <w:rPr>
                <w:webHidden/>
              </w:rPr>
              <w:fldChar w:fldCharType="begin"/>
            </w:r>
            <w:r w:rsidR="00194A8C">
              <w:rPr>
                <w:webHidden/>
              </w:rPr>
              <w:instrText xml:space="preserve"> PAGEREF _Toc73021748 \h </w:instrText>
            </w:r>
            <w:r w:rsidR="00194A8C">
              <w:rPr>
                <w:webHidden/>
              </w:rPr>
            </w:r>
            <w:r w:rsidR="00194A8C">
              <w:rPr>
                <w:webHidden/>
              </w:rPr>
              <w:fldChar w:fldCharType="separate"/>
            </w:r>
            <w:r w:rsidR="00893854">
              <w:rPr>
                <w:webHidden/>
              </w:rPr>
              <w:t>19</w:t>
            </w:r>
            <w:r w:rsidR="00194A8C">
              <w:rPr>
                <w:webHidden/>
              </w:rPr>
              <w:fldChar w:fldCharType="end"/>
            </w:r>
          </w:hyperlink>
        </w:p>
        <w:p w:rsidR="00194A8C" w:rsidRDefault="0008026A" w14:paraId="054379F3" w14:textId="3AD60CF3">
          <w:pPr>
            <w:pStyle w:val="TOC2"/>
            <w:rPr>
              <w:rFonts w:asciiTheme="minorHAnsi" w:hAnsiTheme="minorHAnsi" w:eastAsiaTheme="minorEastAsia" w:cstheme="minorBidi"/>
              <w:szCs w:val="22"/>
            </w:rPr>
          </w:pPr>
          <w:hyperlink w:history="1" w:anchor="_Toc73021749">
            <w:r w:rsidRPr="00E70CD3" w:rsidR="00194A8C">
              <w:rPr>
                <w:rStyle w:val="Hyperlink"/>
              </w:rPr>
              <w:t>5.7</w:t>
            </w:r>
            <w:r w:rsidR="00194A8C">
              <w:rPr>
                <w:rFonts w:asciiTheme="minorHAnsi" w:hAnsiTheme="minorHAnsi" w:eastAsiaTheme="minorEastAsia" w:cstheme="minorBidi"/>
                <w:szCs w:val="22"/>
              </w:rPr>
              <w:tab/>
            </w:r>
            <w:r w:rsidRPr="00E70CD3" w:rsidR="00194A8C">
              <w:rPr>
                <w:rStyle w:val="Hyperlink"/>
              </w:rPr>
              <w:t>Aggressive Actions to Gather Information - Enrichment Facilities</w:t>
            </w:r>
            <w:r w:rsidR="00194A8C">
              <w:rPr>
                <w:webHidden/>
              </w:rPr>
              <w:tab/>
            </w:r>
            <w:r w:rsidR="00194A8C">
              <w:rPr>
                <w:webHidden/>
              </w:rPr>
              <w:fldChar w:fldCharType="begin"/>
            </w:r>
            <w:r w:rsidR="00194A8C">
              <w:rPr>
                <w:webHidden/>
              </w:rPr>
              <w:instrText xml:space="preserve"> PAGEREF _Toc73021749 \h </w:instrText>
            </w:r>
            <w:r w:rsidR="00194A8C">
              <w:rPr>
                <w:webHidden/>
              </w:rPr>
            </w:r>
            <w:r w:rsidR="00194A8C">
              <w:rPr>
                <w:webHidden/>
              </w:rPr>
              <w:fldChar w:fldCharType="separate"/>
            </w:r>
            <w:r w:rsidR="00893854">
              <w:rPr>
                <w:webHidden/>
              </w:rPr>
              <w:t>20</w:t>
            </w:r>
            <w:r w:rsidR="00194A8C">
              <w:rPr>
                <w:webHidden/>
              </w:rPr>
              <w:fldChar w:fldCharType="end"/>
            </w:r>
          </w:hyperlink>
        </w:p>
        <w:p w:rsidR="00194A8C" w:rsidRDefault="0008026A" w14:paraId="08AA10E2" w14:textId="2B09D57E">
          <w:pPr>
            <w:pStyle w:val="TOC2"/>
            <w:rPr>
              <w:rFonts w:asciiTheme="minorHAnsi" w:hAnsiTheme="minorHAnsi" w:eastAsiaTheme="minorEastAsia" w:cstheme="minorBidi"/>
              <w:szCs w:val="22"/>
            </w:rPr>
          </w:pPr>
          <w:hyperlink w:history="1" w:anchor="_Toc73021750">
            <w:r w:rsidRPr="00E70CD3" w:rsidR="00194A8C">
              <w:rPr>
                <w:rStyle w:val="Hyperlink"/>
              </w:rPr>
              <w:t>6.</w:t>
            </w:r>
            <w:r w:rsidR="00194A8C">
              <w:rPr>
                <w:rFonts w:asciiTheme="minorHAnsi" w:hAnsiTheme="minorHAnsi" w:eastAsiaTheme="minorEastAsia" w:cstheme="minorBidi"/>
                <w:szCs w:val="22"/>
              </w:rPr>
              <w:tab/>
            </w:r>
            <w:r w:rsidRPr="00E70CD3" w:rsidR="00194A8C">
              <w:rPr>
                <w:rStyle w:val="Hyperlink"/>
              </w:rPr>
              <w:t>Potential Prohibited Activities Involving Restricted Data</w:t>
            </w:r>
            <w:r w:rsidR="00194A8C">
              <w:rPr>
                <w:webHidden/>
              </w:rPr>
              <w:tab/>
            </w:r>
            <w:r w:rsidR="00194A8C">
              <w:rPr>
                <w:webHidden/>
              </w:rPr>
              <w:fldChar w:fldCharType="begin"/>
            </w:r>
            <w:r w:rsidR="00194A8C">
              <w:rPr>
                <w:webHidden/>
              </w:rPr>
              <w:instrText xml:space="preserve"> PAGEREF _Toc73021750 \h </w:instrText>
            </w:r>
            <w:r w:rsidR="00194A8C">
              <w:rPr>
                <w:webHidden/>
              </w:rPr>
            </w:r>
            <w:r w:rsidR="00194A8C">
              <w:rPr>
                <w:webHidden/>
              </w:rPr>
              <w:fldChar w:fldCharType="separate"/>
            </w:r>
            <w:r w:rsidR="00893854">
              <w:rPr>
                <w:webHidden/>
              </w:rPr>
              <w:t>21</w:t>
            </w:r>
            <w:r w:rsidR="00194A8C">
              <w:rPr>
                <w:webHidden/>
              </w:rPr>
              <w:fldChar w:fldCharType="end"/>
            </w:r>
          </w:hyperlink>
        </w:p>
        <w:p w:rsidR="00194A8C" w:rsidRDefault="0008026A" w14:paraId="7F566B04" w14:textId="0A20514B">
          <w:pPr>
            <w:pStyle w:val="TOC2"/>
            <w:rPr>
              <w:rFonts w:asciiTheme="minorHAnsi" w:hAnsiTheme="minorHAnsi" w:eastAsiaTheme="minorEastAsia" w:cstheme="minorBidi"/>
              <w:szCs w:val="22"/>
            </w:rPr>
          </w:pPr>
          <w:hyperlink w:history="1" w:anchor="_Toc73021751">
            <w:r w:rsidRPr="00E70CD3" w:rsidR="00194A8C">
              <w:rPr>
                <w:rStyle w:val="Hyperlink"/>
              </w:rPr>
              <w:t>7.</w:t>
            </w:r>
            <w:r w:rsidR="00194A8C">
              <w:rPr>
                <w:rFonts w:asciiTheme="minorHAnsi" w:hAnsiTheme="minorHAnsi" w:eastAsiaTheme="minorEastAsia" w:cstheme="minorBidi"/>
                <w:szCs w:val="22"/>
              </w:rPr>
              <w:tab/>
            </w:r>
            <w:r w:rsidRPr="00E70CD3" w:rsidR="00194A8C">
              <w:rPr>
                <w:rStyle w:val="Hyperlink"/>
              </w:rPr>
              <w:t>Recording the Disposition of Suspicious Activities</w:t>
            </w:r>
            <w:r w:rsidR="00194A8C">
              <w:rPr>
                <w:webHidden/>
              </w:rPr>
              <w:tab/>
            </w:r>
            <w:r w:rsidR="00194A8C">
              <w:rPr>
                <w:webHidden/>
              </w:rPr>
              <w:fldChar w:fldCharType="begin"/>
            </w:r>
            <w:r w:rsidR="00194A8C">
              <w:rPr>
                <w:webHidden/>
              </w:rPr>
              <w:instrText xml:space="preserve"> PAGEREF _Toc73021751 \h </w:instrText>
            </w:r>
            <w:r w:rsidR="00194A8C">
              <w:rPr>
                <w:webHidden/>
              </w:rPr>
            </w:r>
            <w:r w:rsidR="00194A8C">
              <w:rPr>
                <w:webHidden/>
              </w:rPr>
              <w:fldChar w:fldCharType="separate"/>
            </w:r>
            <w:r w:rsidR="00893854">
              <w:rPr>
                <w:webHidden/>
              </w:rPr>
              <w:t>21</w:t>
            </w:r>
            <w:r w:rsidR="00194A8C">
              <w:rPr>
                <w:webHidden/>
              </w:rPr>
              <w:fldChar w:fldCharType="end"/>
            </w:r>
          </w:hyperlink>
        </w:p>
        <w:p w:rsidR="00194A8C" w:rsidRDefault="0008026A" w14:paraId="31546C25" w14:textId="5DCEE7DB">
          <w:pPr>
            <w:pStyle w:val="TOC2"/>
            <w:rPr>
              <w:rFonts w:asciiTheme="minorHAnsi" w:hAnsiTheme="minorHAnsi" w:eastAsiaTheme="minorEastAsia" w:cstheme="minorBidi"/>
              <w:szCs w:val="22"/>
            </w:rPr>
          </w:pPr>
          <w:hyperlink w:history="1" w:anchor="_Toc73021752">
            <w:r w:rsidRPr="00E70CD3" w:rsidR="00194A8C">
              <w:rPr>
                <w:rStyle w:val="Hyperlink"/>
              </w:rPr>
              <w:t>8.</w:t>
            </w:r>
            <w:r w:rsidR="00194A8C">
              <w:rPr>
                <w:rFonts w:asciiTheme="minorHAnsi" w:hAnsiTheme="minorHAnsi" w:eastAsiaTheme="minorEastAsia" w:cstheme="minorBidi"/>
                <w:szCs w:val="22"/>
              </w:rPr>
              <w:tab/>
            </w:r>
            <w:r w:rsidRPr="00E70CD3" w:rsidR="00194A8C">
              <w:rPr>
                <w:rStyle w:val="Hyperlink"/>
              </w:rPr>
              <w:t>Non-power Reactors and Campus Police Forces</w:t>
            </w:r>
            <w:r w:rsidR="00194A8C">
              <w:rPr>
                <w:webHidden/>
              </w:rPr>
              <w:tab/>
            </w:r>
            <w:r w:rsidR="00194A8C">
              <w:rPr>
                <w:webHidden/>
              </w:rPr>
              <w:fldChar w:fldCharType="begin"/>
            </w:r>
            <w:r w:rsidR="00194A8C">
              <w:rPr>
                <w:webHidden/>
              </w:rPr>
              <w:instrText xml:space="preserve"> PAGEREF _Toc73021752 \h </w:instrText>
            </w:r>
            <w:r w:rsidR="00194A8C">
              <w:rPr>
                <w:webHidden/>
              </w:rPr>
            </w:r>
            <w:r w:rsidR="00194A8C">
              <w:rPr>
                <w:webHidden/>
              </w:rPr>
              <w:fldChar w:fldCharType="separate"/>
            </w:r>
            <w:r w:rsidR="00893854">
              <w:rPr>
                <w:webHidden/>
              </w:rPr>
              <w:t>21</w:t>
            </w:r>
            <w:r w:rsidR="00194A8C">
              <w:rPr>
                <w:webHidden/>
              </w:rPr>
              <w:fldChar w:fldCharType="end"/>
            </w:r>
          </w:hyperlink>
        </w:p>
        <w:p w:rsidR="00194A8C" w:rsidRDefault="0008026A" w14:paraId="0EC58C4E" w14:textId="4676529A">
          <w:pPr>
            <w:pStyle w:val="TOC2"/>
            <w:rPr>
              <w:rFonts w:asciiTheme="minorHAnsi" w:hAnsiTheme="minorHAnsi" w:eastAsiaTheme="minorEastAsia" w:cstheme="minorBidi"/>
              <w:szCs w:val="22"/>
            </w:rPr>
          </w:pPr>
          <w:hyperlink w:history="1" w:anchor="_Toc73021753">
            <w:r w:rsidRPr="00E70CD3" w:rsidR="00194A8C">
              <w:rPr>
                <w:rStyle w:val="Hyperlink"/>
              </w:rPr>
              <w:t>9.</w:t>
            </w:r>
            <w:r w:rsidR="00194A8C">
              <w:rPr>
                <w:rFonts w:asciiTheme="minorHAnsi" w:hAnsiTheme="minorHAnsi" w:eastAsiaTheme="minorEastAsia" w:cstheme="minorBidi"/>
                <w:szCs w:val="22"/>
              </w:rPr>
              <w:tab/>
            </w:r>
            <w:r w:rsidRPr="00E70CD3" w:rsidR="00194A8C">
              <w:rPr>
                <w:rStyle w:val="Hyperlink"/>
              </w:rPr>
              <w:t>Discontinue Use of Previous Guidance IA-04</w:t>
            </w:r>
            <w:r w:rsidRPr="00E70CD3" w:rsidR="00194A8C">
              <w:rPr>
                <w:rStyle w:val="Hyperlink"/>
              </w:rPr>
              <w:noBreakHyphen/>
              <w:t>08</w:t>
            </w:r>
            <w:r w:rsidR="00194A8C">
              <w:rPr>
                <w:webHidden/>
              </w:rPr>
              <w:tab/>
            </w:r>
            <w:r w:rsidR="00194A8C">
              <w:rPr>
                <w:webHidden/>
              </w:rPr>
              <w:fldChar w:fldCharType="begin"/>
            </w:r>
            <w:r w:rsidR="00194A8C">
              <w:rPr>
                <w:webHidden/>
              </w:rPr>
              <w:instrText xml:space="preserve"> PAGEREF _Toc73021753 \h </w:instrText>
            </w:r>
            <w:r w:rsidR="00194A8C">
              <w:rPr>
                <w:webHidden/>
              </w:rPr>
            </w:r>
            <w:r w:rsidR="00194A8C">
              <w:rPr>
                <w:webHidden/>
              </w:rPr>
              <w:fldChar w:fldCharType="separate"/>
            </w:r>
            <w:r w:rsidR="00893854">
              <w:rPr>
                <w:webHidden/>
              </w:rPr>
              <w:t>22</w:t>
            </w:r>
            <w:r w:rsidR="00194A8C">
              <w:rPr>
                <w:webHidden/>
              </w:rPr>
              <w:fldChar w:fldCharType="end"/>
            </w:r>
          </w:hyperlink>
        </w:p>
        <w:p w:rsidR="00194A8C" w:rsidRDefault="0008026A" w14:paraId="4BA43D0A" w14:textId="2719E9C4">
          <w:pPr>
            <w:pStyle w:val="TOC2"/>
            <w:rPr>
              <w:rFonts w:asciiTheme="minorHAnsi" w:hAnsiTheme="minorHAnsi" w:eastAsiaTheme="minorEastAsia" w:cstheme="minorBidi"/>
              <w:szCs w:val="22"/>
            </w:rPr>
          </w:pPr>
          <w:hyperlink w:history="1" w:anchor="_Toc73021754">
            <w:r w:rsidRPr="00E70CD3" w:rsidR="00194A8C">
              <w:rPr>
                <w:rStyle w:val="Hyperlink"/>
              </w:rPr>
              <w:t>10.</w:t>
            </w:r>
            <w:r w:rsidR="00194A8C">
              <w:rPr>
                <w:rFonts w:asciiTheme="minorHAnsi" w:hAnsiTheme="minorHAnsi" w:eastAsiaTheme="minorEastAsia" w:cstheme="minorBidi"/>
                <w:szCs w:val="22"/>
              </w:rPr>
              <w:tab/>
            </w:r>
            <w:r w:rsidRPr="00E70CD3" w:rsidR="00194A8C">
              <w:rPr>
                <w:rStyle w:val="Hyperlink"/>
              </w:rPr>
              <w:t>DHS and FBI Guidance on Suspicious Activity Reporting</w:t>
            </w:r>
            <w:r w:rsidR="00194A8C">
              <w:rPr>
                <w:webHidden/>
              </w:rPr>
              <w:tab/>
            </w:r>
            <w:r w:rsidR="00194A8C">
              <w:rPr>
                <w:webHidden/>
              </w:rPr>
              <w:fldChar w:fldCharType="begin"/>
            </w:r>
            <w:r w:rsidR="00194A8C">
              <w:rPr>
                <w:webHidden/>
              </w:rPr>
              <w:instrText xml:space="preserve"> PAGEREF _Toc73021754 \h </w:instrText>
            </w:r>
            <w:r w:rsidR="00194A8C">
              <w:rPr>
                <w:webHidden/>
              </w:rPr>
            </w:r>
            <w:r w:rsidR="00194A8C">
              <w:rPr>
                <w:webHidden/>
              </w:rPr>
              <w:fldChar w:fldCharType="separate"/>
            </w:r>
            <w:r w:rsidR="00893854">
              <w:rPr>
                <w:webHidden/>
              </w:rPr>
              <w:t>22</w:t>
            </w:r>
            <w:r w:rsidR="00194A8C">
              <w:rPr>
                <w:webHidden/>
              </w:rPr>
              <w:fldChar w:fldCharType="end"/>
            </w:r>
          </w:hyperlink>
        </w:p>
        <w:p w:rsidR="00194A8C" w:rsidRDefault="0008026A" w14:paraId="76C68504" w14:textId="2CE304DB">
          <w:pPr>
            <w:pStyle w:val="TOC1"/>
            <w:rPr>
              <w:rFonts w:asciiTheme="minorHAnsi" w:hAnsiTheme="minorHAnsi" w:eastAsiaTheme="minorEastAsia" w:cstheme="minorBidi"/>
              <w:sz w:val="22"/>
              <w:szCs w:val="22"/>
            </w:rPr>
          </w:pPr>
          <w:hyperlink w:history="1" w:anchor="_Toc73021755">
            <w:r w:rsidRPr="00E70CD3" w:rsidR="00194A8C">
              <w:rPr>
                <w:rStyle w:val="Hyperlink"/>
              </w:rPr>
              <w:t>D.  IMPLEMENTATION</w:t>
            </w:r>
            <w:r w:rsidR="00194A8C">
              <w:rPr>
                <w:webHidden/>
              </w:rPr>
              <w:tab/>
            </w:r>
            <w:r w:rsidR="00194A8C">
              <w:rPr>
                <w:webHidden/>
              </w:rPr>
              <w:fldChar w:fldCharType="begin"/>
            </w:r>
            <w:r w:rsidR="00194A8C">
              <w:rPr>
                <w:webHidden/>
              </w:rPr>
              <w:instrText xml:space="preserve"> PAGEREF _Toc73021755 \h </w:instrText>
            </w:r>
            <w:r w:rsidR="00194A8C">
              <w:rPr>
                <w:webHidden/>
              </w:rPr>
            </w:r>
            <w:r w:rsidR="00194A8C">
              <w:rPr>
                <w:webHidden/>
              </w:rPr>
              <w:fldChar w:fldCharType="separate"/>
            </w:r>
            <w:r w:rsidR="00893854">
              <w:rPr>
                <w:webHidden/>
              </w:rPr>
              <w:t>23</w:t>
            </w:r>
            <w:r w:rsidR="00194A8C">
              <w:rPr>
                <w:webHidden/>
              </w:rPr>
              <w:fldChar w:fldCharType="end"/>
            </w:r>
          </w:hyperlink>
        </w:p>
        <w:p w:rsidR="00194A8C" w:rsidRDefault="0008026A" w14:paraId="38E9E93C" w14:textId="1A7D709E">
          <w:pPr>
            <w:pStyle w:val="TOC1"/>
            <w:rPr>
              <w:rFonts w:asciiTheme="minorHAnsi" w:hAnsiTheme="minorHAnsi" w:eastAsiaTheme="minorEastAsia" w:cstheme="minorBidi"/>
              <w:sz w:val="22"/>
              <w:szCs w:val="22"/>
            </w:rPr>
          </w:pPr>
          <w:hyperlink w:history="1" w:anchor="_Toc73021756">
            <w:r w:rsidRPr="00E70CD3" w:rsidR="00194A8C">
              <w:rPr>
                <w:rStyle w:val="Hyperlink"/>
              </w:rPr>
              <w:t>GLOSSARY</w:t>
            </w:r>
            <w:r w:rsidR="00194A8C">
              <w:rPr>
                <w:webHidden/>
              </w:rPr>
              <w:tab/>
            </w:r>
            <w:r w:rsidR="00194A8C">
              <w:rPr>
                <w:webHidden/>
              </w:rPr>
              <w:fldChar w:fldCharType="begin"/>
            </w:r>
            <w:r w:rsidR="00194A8C">
              <w:rPr>
                <w:webHidden/>
              </w:rPr>
              <w:instrText xml:space="preserve"> PAGEREF _Toc73021756 \h </w:instrText>
            </w:r>
            <w:r w:rsidR="00194A8C">
              <w:rPr>
                <w:webHidden/>
              </w:rPr>
            </w:r>
            <w:r w:rsidR="00194A8C">
              <w:rPr>
                <w:webHidden/>
              </w:rPr>
              <w:fldChar w:fldCharType="separate"/>
            </w:r>
            <w:r w:rsidR="00893854">
              <w:rPr>
                <w:webHidden/>
              </w:rPr>
              <w:t>24</w:t>
            </w:r>
            <w:r w:rsidR="00194A8C">
              <w:rPr>
                <w:webHidden/>
              </w:rPr>
              <w:fldChar w:fldCharType="end"/>
            </w:r>
          </w:hyperlink>
        </w:p>
        <w:p w:rsidR="00194A8C" w:rsidRDefault="0008026A" w14:paraId="00A5632A" w14:textId="057FA112">
          <w:pPr>
            <w:pStyle w:val="TOC1"/>
            <w:rPr>
              <w:rFonts w:asciiTheme="minorHAnsi" w:hAnsiTheme="minorHAnsi" w:eastAsiaTheme="minorEastAsia" w:cstheme="minorBidi"/>
              <w:sz w:val="22"/>
              <w:szCs w:val="22"/>
            </w:rPr>
          </w:pPr>
          <w:hyperlink w:history="1" w:anchor="_Toc73021757">
            <w:r w:rsidRPr="00E70CD3" w:rsidR="00194A8C">
              <w:rPr>
                <w:rStyle w:val="Hyperlink"/>
              </w:rPr>
              <w:t>REFERENCES</w:t>
            </w:r>
            <w:r w:rsidR="00194A8C">
              <w:rPr>
                <w:webHidden/>
              </w:rPr>
              <w:tab/>
            </w:r>
            <w:r w:rsidR="00194A8C">
              <w:rPr>
                <w:webHidden/>
              </w:rPr>
              <w:fldChar w:fldCharType="begin"/>
            </w:r>
            <w:r w:rsidR="00194A8C">
              <w:rPr>
                <w:webHidden/>
              </w:rPr>
              <w:instrText xml:space="preserve"> PAGEREF _Toc73021757 \h </w:instrText>
            </w:r>
            <w:r w:rsidR="00194A8C">
              <w:rPr>
                <w:webHidden/>
              </w:rPr>
            </w:r>
            <w:r w:rsidR="00194A8C">
              <w:rPr>
                <w:webHidden/>
              </w:rPr>
              <w:fldChar w:fldCharType="separate"/>
            </w:r>
            <w:r w:rsidR="00893854">
              <w:rPr>
                <w:webHidden/>
              </w:rPr>
              <w:t>25</w:t>
            </w:r>
            <w:r w:rsidR="00194A8C">
              <w:rPr>
                <w:webHidden/>
              </w:rPr>
              <w:fldChar w:fldCharType="end"/>
            </w:r>
          </w:hyperlink>
        </w:p>
        <w:p w:rsidR="00194A8C" w:rsidRDefault="0008026A" w14:paraId="63D9F6DB" w14:textId="06951F8B">
          <w:pPr>
            <w:pStyle w:val="TOC1"/>
            <w:rPr>
              <w:rFonts w:asciiTheme="minorHAnsi" w:hAnsiTheme="minorHAnsi" w:eastAsiaTheme="minorEastAsia" w:cstheme="minorBidi"/>
              <w:sz w:val="22"/>
              <w:szCs w:val="22"/>
            </w:rPr>
          </w:pPr>
          <w:hyperlink w:history="1" w:anchor="_Toc73021758">
            <w:r w:rsidRPr="00E70CD3" w:rsidR="00194A8C">
              <w:rPr>
                <w:rStyle w:val="Hyperlink"/>
              </w:rPr>
              <w:t>APPENDIX A</w:t>
            </w:r>
            <w:r w:rsidR="00194A8C">
              <w:rPr>
                <w:webHidden/>
              </w:rPr>
              <w:tab/>
            </w:r>
            <w:r w:rsidR="00194A8C">
              <w:rPr>
                <w:webHidden/>
              </w:rPr>
              <w:fldChar w:fldCharType="begin"/>
            </w:r>
            <w:r w:rsidR="00194A8C">
              <w:rPr>
                <w:webHidden/>
              </w:rPr>
              <w:instrText xml:space="preserve"> PAGEREF _Toc73021758 \h </w:instrText>
            </w:r>
            <w:r w:rsidR="00194A8C">
              <w:rPr>
                <w:webHidden/>
              </w:rPr>
            </w:r>
            <w:r w:rsidR="00194A8C">
              <w:rPr>
                <w:webHidden/>
              </w:rPr>
              <w:fldChar w:fldCharType="separate"/>
            </w:r>
            <w:r w:rsidR="00893854">
              <w:rPr>
                <w:webHidden/>
              </w:rPr>
              <w:t>1</w:t>
            </w:r>
            <w:r w:rsidR="00194A8C">
              <w:rPr>
                <w:webHidden/>
              </w:rPr>
              <w:fldChar w:fldCharType="end"/>
            </w:r>
          </w:hyperlink>
        </w:p>
        <w:p w:rsidR="00194A8C" w:rsidRDefault="0008026A" w14:paraId="3BE01D08" w14:textId="5A99F4E8">
          <w:pPr>
            <w:pStyle w:val="TOC1"/>
            <w:rPr>
              <w:rFonts w:asciiTheme="minorHAnsi" w:hAnsiTheme="minorHAnsi" w:eastAsiaTheme="minorEastAsia" w:cstheme="minorBidi"/>
              <w:sz w:val="22"/>
              <w:szCs w:val="22"/>
            </w:rPr>
          </w:pPr>
          <w:hyperlink w:history="1" w:anchor="_Toc73021759">
            <w:r w:rsidRPr="00E70CD3" w:rsidR="00194A8C">
              <w:rPr>
                <w:rStyle w:val="Hyperlink"/>
              </w:rPr>
              <w:t>SUSPICIOUS AVIATION-RELATED ACTIVITIES</w:t>
            </w:r>
            <w:r w:rsidR="00194A8C">
              <w:rPr>
                <w:webHidden/>
              </w:rPr>
              <w:tab/>
            </w:r>
            <w:r w:rsidR="00194A8C">
              <w:rPr>
                <w:webHidden/>
              </w:rPr>
              <w:fldChar w:fldCharType="begin"/>
            </w:r>
            <w:r w:rsidR="00194A8C">
              <w:rPr>
                <w:webHidden/>
              </w:rPr>
              <w:instrText xml:space="preserve"> PAGEREF _Toc73021759 \h </w:instrText>
            </w:r>
            <w:r w:rsidR="00194A8C">
              <w:rPr>
                <w:webHidden/>
              </w:rPr>
            </w:r>
            <w:r w:rsidR="00194A8C">
              <w:rPr>
                <w:webHidden/>
              </w:rPr>
              <w:fldChar w:fldCharType="separate"/>
            </w:r>
            <w:r w:rsidR="00893854">
              <w:rPr>
                <w:webHidden/>
              </w:rPr>
              <w:t>1</w:t>
            </w:r>
            <w:r w:rsidR="00194A8C">
              <w:rPr>
                <w:webHidden/>
              </w:rPr>
              <w:fldChar w:fldCharType="end"/>
            </w:r>
          </w:hyperlink>
        </w:p>
        <w:p w:rsidR="00194A8C" w:rsidRDefault="0008026A" w14:paraId="1FC6894F" w14:textId="32A810D6">
          <w:pPr>
            <w:pStyle w:val="TOC2"/>
            <w:rPr>
              <w:rFonts w:asciiTheme="minorHAnsi" w:hAnsiTheme="minorHAnsi" w:eastAsiaTheme="minorEastAsia" w:cstheme="minorBidi"/>
              <w:szCs w:val="22"/>
            </w:rPr>
          </w:pPr>
          <w:hyperlink w:history="1" w:anchor="_Toc73021760">
            <w:r w:rsidRPr="00E70CD3" w:rsidR="00194A8C">
              <w:rPr>
                <w:rStyle w:val="Hyperlink"/>
              </w:rPr>
              <w:t>A-1.</w:t>
            </w:r>
            <w:r w:rsidR="00194A8C">
              <w:rPr>
                <w:rFonts w:asciiTheme="minorHAnsi" w:hAnsiTheme="minorHAnsi" w:eastAsiaTheme="minorEastAsia" w:cstheme="minorBidi"/>
                <w:szCs w:val="22"/>
              </w:rPr>
              <w:tab/>
            </w:r>
            <w:r w:rsidRPr="00E70CD3" w:rsidR="00194A8C">
              <w:rPr>
                <w:rStyle w:val="Hyperlink"/>
              </w:rPr>
              <w:t>Types of Aircraft</w:t>
            </w:r>
            <w:r w:rsidR="00194A8C">
              <w:rPr>
                <w:webHidden/>
              </w:rPr>
              <w:tab/>
            </w:r>
            <w:r w:rsidR="00194A8C">
              <w:rPr>
                <w:webHidden/>
              </w:rPr>
              <w:fldChar w:fldCharType="begin"/>
            </w:r>
            <w:r w:rsidR="00194A8C">
              <w:rPr>
                <w:webHidden/>
              </w:rPr>
              <w:instrText xml:space="preserve"> PAGEREF _Toc73021760 \h </w:instrText>
            </w:r>
            <w:r w:rsidR="00194A8C">
              <w:rPr>
                <w:webHidden/>
              </w:rPr>
            </w:r>
            <w:r w:rsidR="00194A8C">
              <w:rPr>
                <w:webHidden/>
              </w:rPr>
              <w:fldChar w:fldCharType="separate"/>
            </w:r>
            <w:r w:rsidR="00893854">
              <w:rPr>
                <w:webHidden/>
              </w:rPr>
              <w:t>1</w:t>
            </w:r>
            <w:r w:rsidR="00194A8C">
              <w:rPr>
                <w:webHidden/>
              </w:rPr>
              <w:fldChar w:fldCharType="end"/>
            </w:r>
          </w:hyperlink>
        </w:p>
        <w:p w:rsidR="00194A8C" w:rsidRDefault="0008026A" w14:paraId="1E8E6787" w14:textId="368FF201">
          <w:pPr>
            <w:pStyle w:val="TOC2"/>
            <w:rPr>
              <w:rFonts w:asciiTheme="minorHAnsi" w:hAnsiTheme="minorHAnsi" w:eastAsiaTheme="minorEastAsia" w:cstheme="minorBidi"/>
              <w:szCs w:val="22"/>
            </w:rPr>
          </w:pPr>
          <w:hyperlink w:history="1" w:anchor="_Toc73021761">
            <w:r w:rsidRPr="00E70CD3" w:rsidR="00194A8C">
              <w:rPr>
                <w:rStyle w:val="Hyperlink"/>
              </w:rPr>
              <w:t>A-2.</w:t>
            </w:r>
            <w:r w:rsidR="00194A8C">
              <w:rPr>
                <w:rFonts w:asciiTheme="minorHAnsi" w:hAnsiTheme="minorHAnsi" w:eastAsiaTheme="minorEastAsia" w:cstheme="minorBidi"/>
                <w:szCs w:val="22"/>
              </w:rPr>
              <w:tab/>
            </w:r>
            <w:r w:rsidRPr="00E70CD3" w:rsidR="00194A8C">
              <w:rPr>
                <w:rStyle w:val="Hyperlink"/>
              </w:rPr>
              <w:t>Prior Coordination</w:t>
            </w:r>
            <w:r w:rsidR="00194A8C">
              <w:rPr>
                <w:webHidden/>
              </w:rPr>
              <w:tab/>
            </w:r>
            <w:r w:rsidR="00194A8C">
              <w:rPr>
                <w:webHidden/>
              </w:rPr>
              <w:fldChar w:fldCharType="begin"/>
            </w:r>
            <w:r w:rsidR="00194A8C">
              <w:rPr>
                <w:webHidden/>
              </w:rPr>
              <w:instrText xml:space="preserve"> PAGEREF _Toc73021761 \h </w:instrText>
            </w:r>
            <w:r w:rsidR="00194A8C">
              <w:rPr>
                <w:webHidden/>
              </w:rPr>
            </w:r>
            <w:r w:rsidR="00194A8C">
              <w:rPr>
                <w:webHidden/>
              </w:rPr>
              <w:fldChar w:fldCharType="separate"/>
            </w:r>
            <w:r w:rsidR="00893854">
              <w:rPr>
                <w:webHidden/>
              </w:rPr>
              <w:t>1</w:t>
            </w:r>
            <w:r w:rsidR="00194A8C">
              <w:rPr>
                <w:webHidden/>
              </w:rPr>
              <w:fldChar w:fldCharType="end"/>
            </w:r>
          </w:hyperlink>
        </w:p>
        <w:p w:rsidR="00194A8C" w:rsidRDefault="0008026A" w14:paraId="582678FD" w14:textId="553F2C31">
          <w:pPr>
            <w:pStyle w:val="TOC2"/>
            <w:rPr>
              <w:rFonts w:asciiTheme="minorHAnsi" w:hAnsiTheme="minorHAnsi" w:eastAsiaTheme="minorEastAsia" w:cstheme="minorBidi"/>
              <w:szCs w:val="22"/>
            </w:rPr>
          </w:pPr>
          <w:hyperlink w:history="1" w:anchor="_Toc73021762">
            <w:r w:rsidRPr="00E70CD3" w:rsidR="00194A8C">
              <w:rPr>
                <w:rStyle w:val="Hyperlink"/>
              </w:rPr>
              <w:t>A-2.1</w:t>
            </w:r>
            <w:r w:rsidR="00194A8C">
              <w:rPr>
                <w:rFonts w:asciiTheme="minorHAnsi" w:hAnsiTheme="minorHAnsi" w:eastAsiaTheme="minorEastAsia" w:cstheme="minorBidi"/>
                <w:szCs w:val="22"/>
              </w:rPr>
              <w:tab/>
            </w:r>
            <w:r w:rsidRPr="00E70CD3" w:rsidR="00194A8C">
              <w:rPr>
                <w:rStyle w:val="Hyperlink"/>
              </w:rPr>
              <w:t>Coordination with the FAA</w:t>
            </w:r>
            <w:r w:rsidR="00194A8C">
              <w:rPr>
                <w:webHidden/>
              </w:rPr>
              <w:tab/>
            </w:r>
            <w:r w:rsidR="00194A8C">
              <w:rPr>
                <w:webHidden/>
              </w:rPr>
              <w:fldChar w:fldCharType="begin"/>
            </w:r>
            <w:r w:rsidR="00194A8C">
              <w:rPr>
                <w:webHidden/>
              </w:rPr>
              <w:instrText xml:space="preserve"> PAGEREF _Toc73021762 \h </w:instrText>
            </w:r>
            <w:r w:rsidR="00194A8C">
              <w:rPr>
                <w:webHidden/>
              </w:rPr>
            </w:r>
            <w:r w:rsidR="00194A8C">
              <w:rPr>
                <w:webHidden/>
              </w:rPr>
              <w:fldChar w:fldCharType="separate"/>
            </w:r>
            <w:r w:rsidR="00893854">
              <w:rPr>
                <w:webHidden/>
              </w:rPr>
              <w:t>1</w:t>
            </w:r>
            <w:r w:rsidR="00194A8C">
              <w:rPr>
                <w:webHidden/>
              </w:rPr>
              <w:fldChar w:fldCharType="end"/>
            </w:r>
          </w:hyperlink>
        </w:p>
        <w:p w:rsidR="00194A8C" w:rsidRDefault="0008026A" w14:paraId="56FC5EAC" w14:textId="75176C2D">
          <w:pPr>
            <w:pStyle w:val="TOC2"/>
            <w:rPr>
              <w:rFonts w:asciiTheme="minorHAnsi" w:hAnsiTheme="minorHAnsi" w:eastAsiaTheme="minorEastAsia" w:cstheme="minorBidi"/>
              <w:szCs w:val="22"/>
            </w:rPr>
          </w:pPr>
          <w:hyperlink w:history="1" w:anchor="_Toc73021763">
            <w:r w:rsidRPr="00E70CD3" w:rsidR="00194A8C">
              <w:rPr>
                <w:rStyle w:val="Hyperlink"/>
              </w:rPr>
              <w:t>A-2.2</w:t>
            </w:r>
            <w:r w:rsidR="00194A8C">
              <w:rPr>
                <w:rFonts w:asciiTheme="minorHAnsi" w:hAnsiTheme="minorHAnsi" w:eastAsiaTheme="minorEastAsia" w:cstheme="minorBidi"/>
                <w:szCs w:val="22"/>
              </w:rPr>
              <w:tab/>
            </w:r>
            <w:r w:rsidRPr="00E70CD3" w:rsidR="00194A8C">
              <w:rPr>
                <w:rStyle w:val="Hyperlink"/>
              </w:rPr>
              <w:t>Coordination with Nearby Military Airfields</w:t>
            </w:r>
            <w:r w:rsidR="00194A8C">
              <w:rPr>
                <w:webHidden/>
              </w:rPr>
              <w:tab/>
            </w:r>
            <w:r w:rsidR="00194A8C">
              <w:rPr>
                <w:webHidden/>
              </w:rPr>
              <w:fldChar w:fldCharType="begin"/>
            </w:r>
            <w:r w:rsidR="00194A8C">
              <w:rPr>
                <w:webHidden/>
              </w:rPr>
              <w:instrText xml:space="preserve"> PAGEREF _Toc73021763 \h </w:instrText>
            </w:r>
            <w:r w:rsidR="00194A8C">
              <w:rPr>
                <w:webHidden/>
              </w:rPr>
            </w:r>
            <w:r w:rsidR="00194A8C">
              <w:rPr>
                <w:webHidden/>
              </w:rPr>
              <w:fldChar w:fldCharType="separate"/>
            </w:r>
            <w:r w:rsidR="00893854">
              <w:rPr>
                <w:webHidden/>
              </w:rPr>
              <w:t>1</w:t>
            </w:r>
            <w:r w:rsidR="00194A8C">
              <w:rPr>
                <w:webHidden/>
              </w:rPr>
              <w:fldChar w:fldCharType="end"/>
            </w:r>
          </w:hyperlink>
        </w:p>
        <w:p w:rsidR="00194A8C" w:rsidRDefault="0008026A" w14:paraId="2AC8C161" w14:textId="7B79EC5B">
          <w:pPr>
            <w:pStyle w:val="TOC2"/>
            <w:rPr>
              <w:rFonts w:asciiTheme="minorHAnsi" w:hAnsiTheme="minorHAnsi" w:eastAsiaTheme="minorEastAsia" w:cstheme="minorBidi"/>
              <w:szCs w:val="22"/>
            </w:rPr>
          </w:pPr>
          <w:hyperlink w:history="1" w:anchor="_Toc73021764">
            <w:r w:rsidRPr="00E70CD3" w:rsidR="00194A8C">
              <w:rPr>
                <w:rStyle w:val="Hyperlink"/>
              </w:rPr>
              <w:t>A-3.</w:t>
            </w:r>
            <w:r w:rsidR="00194A8C">
              <w:rPr>
                <w:rFonts w:asciiTheme="minorHAnsi" w:hAnsiTheme="minorHAnsi" w:eastAsiaTheme="minorEastAsia" w:cstheme="minorBidi"/>
                <w:szCs w:val="22"/>
              </w:rPr>
              <w:tab/>
            </w:r>
            <w:r w:rsidRPr="00E70CD3" w:rsidR="00194A8C">
              <w:rPr>
                <w:rStyle w:val="Hyperlink"/>
              </w:rPr>
              <w:t>Assessing Potentially Suspicious Aviation-Related Activity</w:t>
            </w:r>
            <w:r w:rsidR="00194A8C">
              <w:rPr>
                <w:webHidden/>
              </w:rPr>
              <w:tab/>
            </w:r>
            <w:r w:rsidR="00194A8C">
              <w:rPr>
                <w:webHidden/>
              </w:rPr>
              <w:fldChar w:fldCharType="begin"/>
            </w:r>
            <w:r w:rsidR="00194A8C">
              <w:rPr>
                <w:webHidden/>
              </w:rPr>
              <w:instrText xml:space="preserve"> PAGEREF _Toc73021764 \h </w:instrText>
            </w:r>
            <w:r w:rsidR="00194A8C">
              <w:rPr>
                <w:webHidden/>
              </w:rPr>
            </w:r>
            <w:r w:rsidR="00194A8C">
              <w:rPr>
                <w:webHidden/>
              </w:rPr>
              <w:fldChar w:fldCharType="separate"/>
            </w:r>
            <w:r w:rsidR="00893854">
              <w:rPr>
                <w:webHidden/>
              </w:rPr>
              <w:t>2</w:t>
            </w:r>
            <w:r w:rsidR="00194A8C">
              <w:rPr>
                <w:webHidden/>
              </w:rPr>
              <w:fldChar w:fldCharType="end"/>
            </w:r>
          </w:hyperlink>
        </w:p>
        <w:p w:rsidR="00194A8C" w:rsidRDefault="0008026A" w14:paraId="72AF785B" w14:textId="02AC7091">
          <w:pPr>
            <w:pStyle w:val="TOC2"/>
            <w:rPr>
              <w:rFonts w:asciiTheme="minorHAnsi" w:hAnsiTheme="minorHAnsi" w:eastAsiaTheme="minorEastAsia" w:cstheme="minorBidi"/>
              <w:szCs w:val="22"/>
            </w:rPr>
          </w:pPr>
          <w:hyperlink w:history="1" w:anchor="_Toc73021765">
            <w:r w:rsidRPr="00E70CD3" w:rsidR="00194A8C">
              <w:rPr>
                <w:rStyle w:val="Hyperlink"/>
              </w:rPr>
              <w:t>A-4.</w:t>
            </w:r>
            <w:r w:rsidR="00194A8C">
              <w:rPr>
                <w:rFonts w:asciiTheme="minorHAnsi" w:hAnsiTheme="minorHAnsi" w:eastAsiaTheme="minorEastAsia" w:cstheme="minorBidi"/>
                <w:szCs w:val="22"/>
              </w:rPr>
              <w:tab/>
            </w:r>
            <w:r w:rsidRPr="00E70CD3" w:rsidR="00194A8C">
              <w:rPr>
                <w:rStyle w:val="Hyperlink"/>
              </w:rPr>
              <w:t>Reporting of Suspicious Aviation-Related Activity</w:t>
            </w:r>
            <w:r w:rsidR="00194A8C">
              <w:rPr>
                <w:webHidden/>
              </w:rPr>
              <w:tab/>
            </w:r>
            <w:r w:rsidR="00194A8C">
              <w:rPr>
                <w:webHidden/>
              </w:rPr>
              <w:fldChar w:fldCharType="begin"/>
            </w:r>
            <w:r w:rsidR="00194A8C">
              <w:rPr>
                <w:webHidden/>
              </w:rPr>
              <w:instrText xml:space="preserve"> PAGEREF _Toc73021765 \h </w:instrText>
            </w:r>
            <w:r w:rsidR="00194A8C">
              <w:rPr>
                <w:webHidden/>
              </w:rPr>
            </w:r>
            <w:r w:rsidR="00194A8C">
              <w:rPr>
                <w:webHidden/>
              </w:rPr>
              <w:fldChar w:fldCharType="separate"/>
            </w:r>
            <w:r w:rsidR="00893854">
              <w:rPr>
                <w:webHidden/>
              </w:rPr>
              <w:t>2</w:t>
            </w:r>
            <w:r w:rsidR="00194A8C">
              <w:rPr>
                <w:webHidden/>
              </w:rPr>
              <w:fldChar w:fldCharType="end"/>
            </w:r>
          </w:hyperlink>
        </w:p>
        <w:p w:rsidR="00194A8C" w:rsidRDefault="0008026A" w14:paraId="50A93E42" w14:textId="633E948D">
          <w:pPr>
            <w:pStyle w:val="TOC2"/>
            <w:rPr>
              <w:rFonts w:asciiTheme="minorHAnsi" w:hAnsiTheme="minorHAnsi" w:eastAsiaTheme="minorEastAsia" w:cstheme="minorBidi"/>
              <w:szCs w:val="22"/>
            </w:rPr>
          </w:pPr>
          <w:hyperlink w:history="1" w:anchor="_Toc73021766">
            <w:r w:rsidRPr="00E70CD3" w:rsidR="00194A8C">
              <w:rPr>
                <w:rStyle w:val="Hyperlink"/>
              </w:rPr>
              <w:t>A-5.</w:t>
            </w:r>
            <w:r w:rsidR="00194A8C">
              <w:rPr>
                <w:rFonts w:asciiTheme="minorHAnsi" w:hAnsiTheme="minorHAnsi" w:eastAsiaTheme="minorEastAsia" w:cstheme="minorBidi"/>
                <w:szCs w:val="22"/>
              </w:rPr>
              <w:tab/>
            </w:r>
            <w:r w:rsidRPr="00E70CD3" w:rsidR="00194A8C">
              <w:rPr>
                <w:rStyle w:val="Hyperlink"/>
              </w:rPr>
              <w:t>Restricted Airspace Designation</w:t>
            </w:r>
            <w:r w:rsidR="00194A8C">
              <w:rPr>
                <w:webHidden/>
              </w:rPr>
              <w:tab/>
            </w:r>
            <w:r w:rsidR="00194A8C">
              <w:rPr>
                <w:webHidden/>
              </w:rPr>
              <w:fldChar w:fldCharType="begin"/>
            </w:r>
            <w:r w:rsidR="00194A8C">
              <w:rPr>
                <w:webHidden/>
              </w:rPr>
              <w:instrText xml:space="preserve"> PAGEREF _Toc73021766 \h </w:instrText>
            </w:r>
            <w:r w:rsidR="00194A8C">
              <w:rPr>
                <w:webHidden/>
              </w:rPr>
            </w:r>
            <w:r w:rsidR="00194A8C">
              <w:rPr>
                <w:webHidden/>
              </w:rPr>
              <w:fldChar w:fldCharType="separate"/>
            </w:r>
            <w:r w:rsidR="00893854">
              <w:rPr>
                <w:webHidden/>
              </w:rPr>
              <w:t>3</w:t>
            </w:r>
            <w:r w:rsidR="00194A8C">
              <w:rPr>
                <w:webHidden/>
              </w:rPr>
              <w:fldChar w:fldCharType="end"/>
            </w:r>
          </w:hyperlink>
        </w:p>
        <w:p w:rsidR="00344DB5" w:rsidRDefault="00344DB5" w14:paraId="4384BB2B" w14:textId="07C645EB">
          <w:r>
            <w:rPr>
              <w:noProof/>
            </w:rPr>
            <w:fldChar w:fldCharType="end"/>
          </w:r>
        </w:p>
      </w:sdtContent>
    </w:sdt>
    <w:p w:rsidRPr="00EE146B" w:rsidR="00405E23" w:rsidP="00EE146B" w:rsidRDefault="007117D7" w14:paraId="560D3B5C" w14:textId="4CBF9B48">
      <w:pPr>
        <w:pStyle w:val="Heading1"/>
        <w:numPr>
          <w:ilvl w:val="0"/>
          <w:numId w:val="0"/>
        </w:numPr>
        <w:spacing w:after="0"/>
        <w:jc w:val="center"/>
      </w:pPr>
      <w:r>
        <w:br w:type="page"/>
      </w:r>
      <w:bookmarkStart w:name="_Toc383167274" w:id="36"/>
      <w:bookmarkStart w:name="_Toc507399998" w:id="37"/>
      <w:bookmarkStart w:name="_Toc26362837" w:id="38"/>
      <w:bookmarkStart w:name="_Toc29213180" w:id="39"/>
      <w:bookmarkStart w:name="_Toc73021724" w:id="40"/>
      <w:r w:rsidRPr="000D5B80" w:rsidR="00EE146B">
        <w:rPr>
          <w:sz w:val="28"/>
          <w:szCs w:val="28"/>
        </w:rPr>
        <w:lastRenderedPageBreak/>
        <w:t>B</w:t>
      </w:r>
      <w:r w:rsidRPr="009B126C" w:rsidR="00EE146B">
        <w:rPr>
          <w:sz w:val="28"/>
          <w:szCs w:val="28"/>
        </w:rPr>
        <w:t xml:space="preserve">. </w:t>
      </w:r>
      <w:r w:rsidR="00844D4B">
        <w:rPr>
          <w:sz w:val="28"/>
          <w:szCs w:val="28"/>
        </w:rPr>
        <w:t xml:space="preserve"> </w:t>
      </w:r>
      <w:r w:rsidR="00EE146B">
        <w:rPr>
          <w:sz w:val="28"/>
          <w:szCs w:val="28"/>
        </w:rPr>
        <w:t>DISCUSSION</w:t>
      </w:r>
      <w:bookmarkEnd w:id="30"/>
      <w:bookmarkEnd w:id="36"/>
      <w:bookmarkEnd w:id="37"/>
      <w:bookmarkEnd w:id="38"/>
      <w:bookmarkEnd w:id="39"/>
      <w:bookmarkEnd w:id="40"/>
    </w:p>
    <w:p w:rsidR="004A5051" w:rsidP="004A5051" w:rsidRDefault="004A5051" w14:paraId="54AB10FC" w14:textId="77777777">
      <w:pPr>
        <w:rPr>
          <w:b/>
        </w:rPr>
      </w:pPr>
    </w:p>
    <w:p w:rsidRPr="00121B6B" w:rsidR="007E69FD" w:rsidP="00D90A42" w:rsidRDefault="00FC6786" w14:paraId="41B78836" w14:textId="77777777">
      <w:pPr>
        <w:pStyle w:val="Heading2"/>
        <w:numPr>
          <w:ilvl w:val="0"/>
          <w:numId w:val="0"/>
        </w:numPr>
        <w:rPr>
          <w:szCs w:val="22"/>
        </w:rPr>
      </w:pPr>
      <w:bookmarkStart w:name="_Toc507399999" w:id="41"/>
      <w:bookmarkStart w:name="_Toc26362838" w:id="42"/>
      <w:bookmarkStart w:name="_Toc29213181" w:id="43"/>
      <w:bookmarkStart w:name="_Toc73021725" w:id="44"/>
      <w:r w:rsidRPr="00283CAE">
        <w:rPr>
          <w:szCs w:val="22"/>
        </w:rPr>
        <w:t>Reason for Issuance</w:t>
      </w:r>
      <w:bookmarkEnd w:id="41"/>
      <w:bookmarkEnd w:id="42"/>
      <w:bookmarkEnd w:id="43"/>
      <w:bookmarkEnd w:id="44"/>
    </w:p>
    <w:p w:rsidRPr="005B4F6A" w:rsidR="007E69FD" w:rsidP="00D90A42" w:rsidRDefault="007E69FD" w14:paraId="38F15257" w14:textId="77777777">
      <w:pPr>
        <w:rPr>
          <w:szCs w:val="22"/>
        </w:rPr>
      </w:pPr>
    </w:p>
    <w:p w:rsidRPr="00C7721E" w:rsidR="007E69FD" w:rsidP="00D90A42" w:rsidRDefault="00F757B2" w14:paraId="1CF09B77" w14:textId="6C59999D">
      <w:pPr>
        <w:ind w:firstLine="720"/>
        <w:rPr>
          <w:szCs w:val="22"/>
        </w:rPr>
      </w:pPr>
      <w:r w:rsidRPr="005B4F6A">
        <w:rPr>
          <w:szCs w:val="22"/>
        </w:rPr>
        <w:t xml:space="preserve">This </w:t>
      </w:r>
      <w:r w:rsidRPr="005B4F6A" w:rsidR="00E202DE">
        <w:rPr>
          <w:szCs w:val="22"/>
        </w:rPr>
        <w:t xml:space="preserve">regulatory </w:t>
      </w:r>
      <w:r w:rsidRPr="005B4F6A" w:rsidR="005846D7">
        <w:rPr>
          <w:szCs w:val="22"/>
        </w:rPr>
        <w:t xml:space="preserve">guide </w:t>
      </w:r>
      <w:r w:rsidRPr="005B4F6A" w:rsidR="00BB00DE">
        <w:rPr>
          <w:szCs w:val="22"/>
        </w:rPr>
        <w:t>is</w:t>
      </w:r>
      <w:r w:rsidRPr="005B4F6A" w:rsidR="00E202DE">
        <w:rPr>
          <w:szCs w:val="22"/>
        </w:rPr>
        <w:t xml:space="preserve"> being issued because the NRC has promulgated new requirements </w:t>
      </w:r>
      <w:r w:rsidR="001712FE">
        <w:rPr>
          <w:szCs w:val="22"/>
        </w:rPr>
        <w:t xml:space="preserve">under 10 CFR 73.1215 </w:t>
      </w:r>
      <w:r w:rsidRPr="005B4F6A" w:rsidR="00E202DE">
        <w:rPr>
          <w:szCs w:val="22"/>
        </w:rPr>
        <w:t xml:space="preserve">on the reporting of suspicious </w:t>
      </w:r>
      <w:r w:rsidRPr="005B4F6A" w:rsidR="00705DF3">
        <w:rPr>
          <w:szCs w:val="22"/>
        </w:rPr>
        <w:t>activities</w:t>
      </w:r>
      <w:r w:rsidR="002E7BC2">
        <w:rPr>
          <w:szCs w:val="22"/>
        </w:rPr>
        <w:t xml:space="preserve">. </w:t>
      </w:r>
      <w:r w:rsidR="001712FE">
        <w:rPr>
          <w:szCs w:val="22"/>
        </w:rPr>
        <w:t>These new requirements are</w:t>
      </w:r>
      <w:r w:rsidRPr="005B4F6A" w:rsidR="00705DF3">
        <w:rPr>
          <w:szCs w:val="22"/>
        </w:rPr>
        <w:t xml:space="preserve"> </w:t>
      </w:r>
      <w:r w:rsidRPr="005B4F6A" w:rsidR="00E202DE">
        <w:rPr>
          <w:szCs w:val="22"/>
        </w:rPr>
        <w:t xml:space="preserve">part of the </w:t>
      </w:r>
      <w:r w:rsidRPr="005B4F6A" w:rsidR="0057513C">
        <w:rPr>
          <w:szCs w:val="22"/>
        </w:rPr>
        <w:t xml:space="preserve">final rule titled </w:t>
      </w:r>
      <w:r w:rsidRPr="00282608" w:rsidR="00BB00DE">
        <w:rPr>
          <w:szCs w:val="22"/>
        </w:rPr>
        <w:t xml:space="preserve">“Enhanced Weapons, Firearms Background Checks, and Security Event Notifications” </w:t>
      </w:r>
      <w:r w:rsidRPr="00241873" w:rsidR="0057513C">
        <w:rPr>
          <w:szCs w:val="22"/>
        </w:rPr>
        <w:t>(hereafter the enhanced weapons final rule) (Ref. </w:t>
      </w:r>
      <w:r w:rsidRPr="00241873" w:rsidR="004A2A71">
        <w:rPr>
          <w:szCs w:val="22"/>
        </w:rPr>
        <w:t>9</w:t>
      </w:r>
      <w:r w:rsidRPr="00241873" w:rsidR="00BB00DE">
        <w:rPr>
          <w:szCs w:val="22"/>
        </w:rPr>
        <w:t>)</w:t>
      </w:r>
      <w:r w:rsidRPr="00241873" w:rsidR="005364CC">
        <w:rPr>
          <w:szCs w:val="22"/>
        </w:rPr>
        <w:t>.</w:t>
      </w:r>
    </w:p>
    <w:p w:rsidRPr="00F9178D" w:rsidR="00E860D4" w:rsidP="00EB0E0F" w:rsidRDefault="00E860D4" w14:paraId="0AEF60D9" w14:textId="77777777">
      <w:pPr>
        <w:ind w:firstLine="720"/>
        <w:rPr>
          <w:szCs w:val="22"/>
        </w:rPr>
      </w:pPr>
    </w:p>
    <w:p w:rsidRPr="005F4FB3" w:rsidR="00BB00DE" w:rsidP="00D90A42" w:rsidRDefault="00BB00DE" w14:paraId="7EE49F9E" w14:textId="77777777">
      <w:pPr>
        <w:pStyle w:val="Heading2"/>
        <w:numPr>
          <w:ilvl w:val="0"/>
          <w:numId w:val="0"/>
        </w:numPr>
        <w:rPr>
          <w:szCs w:val="22"/>
        </w:rPr>
      </w:pPr>
      <w:bookmarkStart w:name="_Toc507400000" w:id="45"/>
      <w:bookmarkStart w:name="_Toc26362840" w:id="46"/>
      <w:bookmarkStart w:name="_Toc29213182" w:id="47"/>
      <w:bookmarkStart w:name="_Toc73021726" w:id="48"/>
      <w:bookmarkStart w:name="_Toc383167275" w:id="49"/>
      <w:r w:rsidRPr="005F4FB3">
        <w:rPr>
          <w:szCs w:val="22"/>
        </w:rPr>
        <w:t>Background</w:t>
      </w:r>
      <w:bookmarkEnd w:id="45"/>
      <w:bookmarkEnd w:id="46"/>
      <w:bookmarkEnd w:id="47"/>
      <w:bookmarkEnd w:id="48"/>
    </w:p>
    <w:bookmarkEnd w:id="49"/>
    <w:p w:rsidRPr="005F4FB3" w:rsidR="00BB00DE" w:rsidP="00D90A42" w:rsidRDefault="00BB00DE" w14:paraId="23CC7E2A" w14:textId="77777777">
      <w:pPr>
        <w:ind w:firstLine="720"/>
        <w:rPr>
          <w:szCs w:val="22"/>
        </w:rPr>
      </w:pPr>
    </w:p>
    <w:p w:rsidRPr="00B05D57" w:rsidR="00A8503D" w:rsidP="00A8503D" w:rsidRDefault="005A17E8" w14:paraId="7710DE35" w14:textId="350C4D5F">
      <w:pPr>
        <w:ind w:firstLine="720"/>
        <w:rPr>
          <w:szCs w:val="22"/>
        </w:rPr>
      </w:pPr>
      <w:r>
        <w:rPr>
          <w:szCs w:val="22"/>
        </w:rPr>
        <w:t xml:space="preserve">On February 3, 2011, the NRC issued the </w:t>
      </w:r>
      <w:r w:rsidR="00B30622">
        <w:rPr>
          <w:szCs w:val="22"/>
        </w:rPr>
        <w:t xml:space="preserve">enhanced weapons </w:t>
      </w:r>
      <w:r>
        <w:rPr>
          <w:szCs w:val="22"/>
        </w:rPr>
        <w:t>proposed</w:t>
      </w:r>
      <w:r w:rsidR="00B30622">
        <w:rPr>
          <w:szCs w:val="22"/>
        </w:rPr>
        <w:t xml:space="preserve"> rule (Ref. </w:t>
      </w:r>
      <w:r w:rsidR="003A7C40">
        <w:rPr>
          <w:szCs w:val="22"/>
        </w:rPr>
        <w:t>10</w:t>
      </w:r>
      <w:r w:rsidR="00B30622">
        <w:rPr>
          <w:szCs w:val="22"/>
        </w:rPr>
        <w:t>)</w:t>
      </w:r>
      <w:r w:rsidR="002E7BC2">
        <w:rPr>
          <w:szCs w:val="22"/>
        </w:rPr>
        <w:t xml:space="preserve">. </w:t>
      </w:r>
      <w:r w:rsidR="00B30622">
        <w:rPr>
          <w:szCs w:val="22"/>
        </w:rPr>
        <w:t>The proposed rule</w:t>
      </w:r>
      <w:r w:rsidR="007514C9">
        <w:rPr>
          <w:szCs w:val="22"/>
        </w:rPr>
        <w:t xml:space="preserve"> </w:t>
      </w:r>
      <w:r w:rsidR="00B30622">
        <w:rPr>
          <w:szCs w:val="22"/>
        </w:rPr>
        <w:t xml:space="preserve">set forth requirements for licensees seeking to apply for preemption authority under Section 161A of the </w:t>
      </w:r>
      <w:r w:rsidRPr="00B30622" w:rsidR="00B30622">
        <w:rPr>
          <w:i/>
          <w:iCs/>
          <w:szCs w:val="22"/>
        </w:rPr>
        <w:t>Atomic Energy Act of 1954</w:t>
      </w:r>
      <w:r w:rsidR="00B30622">
        <w:rPr>
          <w:szCs w:val="22"/>
        </w:rPr>
        <w:t>, as amended</w:t>
      </w:r>
      <w:r w:rsidR="002E7BC2">
        <w:rPr>
          <w:szCs w:val="22"/>
        </w:rPr>
        <w:t xml:space="preserve">. </w:t>
      </w:r>
      <w:r w:rsidR="00B30622">
        <w:rPr>
          <w:szCs w:val="22"/>
        </w:rPr>
        <w:t>Also included in the proposed rule were new requirements for certain security event notifications</w:t>
      </w:r>
      <w:r w:rsidR="002E7BC2">
        <w:rPr>
          <w:szCs w:val="22"/>
        </w:rPr>
        <w:t xml:space="preserve">. </w:t>
      </w:r>
      <w:r w:rsidR="00B30622">
        <w:rPr>
          <w:szCs w:val="22"/>
        </w:rPr>
        <w:t>On the same date, t</w:t>
      </w:r>
      <w:r w:rsidRPr="005C1AE6" w:rsidR="00A8503D">
        <w:rPr>
          <w:szCs w:val="22"/>
        </w:rPr>
        <w:t>he NRC issued Draft Regulatory Guide (DG)-5019, Revision 1, “Reporting and Recording Safeguards Events</w:t>
      </w:r>
      <w:r w:rsidRPr="00B82B6E" w:rsidR="00A8503D">
        <w:rPr>
          <w:szCs w:val="22"/>
        </w:rPr>
        <w:t>,” (Ref. 1</w:t>
      </w:r>
      <w:r w:rsidR="003A7C40">
        <w:rPr>
          <w:szCs w:val="22"/>
        </w:rPr>
        <w:t>1</w:t>
      </w:r>
      <w:r w:rsidRPr="00B82B6E" w:rsidR="00A8503D">
        <w:rPr>
          <w:szCs w:val="22"/>
        </w:rPr>
        <w:t>) for public comment</w:t>
      </w:r>
      <w:r w:rsidR="002E7BC2">
        <w:rPr>
          <w:szCs w:val="22"/>
        </w:rPr>
        <w:t xml:space="preserve">. </w:t>
      </w:r>
      <w:r w:rsidR="00A8503D">
        <w:rPr>
          <w:szCs w:val="22"/>
        </w:rPr>
        <w:t>The DG provided licensees with guidance in implementing the requirements in the proposed enhanced weapons rule</w:t>
      </w:r>
      <w:r w:rsidR="002E7BC2">
        <w:rPr>
          <w:szCs w:val="22"/>
        </w:rPr>
        <w:t xml:space="preserve">. </w:t>
      </w:r>
      <w:r w:rsidR="00A8503D">
        <w:rPr>
          <w:szCs w:val="22"/>
        </w:rPr>
        <w:t>Specifically,</w:t>
      </w:r>
      <w:r>
        <w:rPr>
          <w:szCs w:val="22"/>
        </w:rPr>
        <w:t xml:space="preserve"> </w:t>
      </w:r>
      <w:r w:rsidRPr="00605304" w:rsidR="00A8503D">
        <w:rPr>
          <w:szCs w:val="22"/>
        </w:rPr>
        <w:t>DG</w:t>
      </w:r>
      <w:r w:rsidRPr="00605304" w:rsidR="00A8503D">
        <w:rPr>
          <w:szCs w:val="22"/>
        </w:rPr>
        <w:noBreakHyphen/>
        <w:t>5019 provided proposed guidance in three broad areas</w:t>
      </w:r>
      <w:proofErr w:type="gramStart"/>
      <w:r w:rsidRPr="00605304" w:rsidR="00A8503D">
        <w:rPr>
          <w:szCs w:val="22"/>
        </w:rPr>
        <w:t>:  (</w:t>
      </w:r>
      <w:proofErr w:type="gramEnd"/>
      <w:r w:rsidRPr="00605304" w:rsidR="00A8503D">
        <w:rPr>
          <w:szCs w:val="22"/>
        </w:rPr>
        <w:t>1) physical security event notifications, reports, and records, (2) cybersecurity event notifications and reports, and (3) suspicious activity reports. The NRC subsequently relocated the cybersecurity event notification guidance in DG</w:t>
      </w:r>
      <w:r w:rsidRPr="00605304" w:rsidR="00A8503D">
        <w:rPr>
          <w:szCs w:val="22"/>
        </w:rPr>
        <w:noBreakHyphen/>
        <w:t xml:space="preserve">5019 </w:t>
      </w:r>
      <w:r w:rsidRPr="0074346B" w:rsidR="00A8503D">
        <w:rPr>
          <w:szCs w:val="22"/>
        </w:rPr>
        <w:t>into RG 5.83, “Cyber Secur</w:t>
      </w:r>
      <w:r w:rsidRPr="000A1BA3" w:rsidR="00A8503D">
        <w:rPr>
          <w:szCs w:val="22"/>
        </w:rPr>
        <w:t>ity Event Notifications” (Ref. 1</w:t>
      </w:r>
      <w:r w:rsidR="003A7C40">
        <w:rPr>
          <w:szCs w:val="22"/>
        </w:rPr>
        <w:t>2</w:t>
      </w:r>
      <w:r w:rsidRPr="000A1BA3" w:rsidR="00A8503D">
        <w:rPr>
          <w:szCs w:val="22"/>
        </w:rPr>
        <w:t>). The NRC further divid</w:t>
      </w:r>
      <w:r w:rsidR="006A4F7A">
        <w:rPr>
          <w:szCs w:val="22"/>
        </w:rPr>
        <w:t>ed</w:t>
      </w:r>
      <w:r w:rsidRPr="000A1BA3" w:rsidR="00A8503D">
        <w:rPr>
          <w:szCs w:val="22"/>
        </w:rPr>
        <w:t xml:space="preserve"> DG</w:t>
      </w:r>
      <w:r w:rsidRPr="000A1BA3" w:rsidR="00A8503D">
        <w:rPr>
          <w:szCs w:val="22"/>
        </w:rPr>
        <w:noBreakHyphen/>
        <w:t>5019 by placing the s</w:t>
      </w:r>
      <w:r w:rsidRPr="00C41CCB" w:rsidR="00A8503D">
        <w:rPr>
          <w:szCs w:val="22"/>
        </w:rPr>
        <w:t>uspicious activity reporting gui</w:t>
      </w:r>
      <w:r w:rsidRPr="002C4ACA" w:rsidR="00A8503D">
        <w:rPr>
          <w:szCs w:val="22"/>
        </w:rPr>
        <w:t xml:space="preserve">dance in this separate final </w:t>
      </w:r>
      <w:r w:rsidR="00A8503D">
        <w:rPr>
          <w:szCs w:val="22"/>
        </w:rPr>
        <w:t>RG 5.87</w:t>
      </w:r>
      <w:r w:rsidR="002E7BC2">
        <w:rPr>
          <w:szCs w:val="22"/>
        </w:rPr>
        <w:t xml:space="preserve">. </w:t>
      </w:r>
      <w:r w:rsidRPr="00C05BE2" w:rsidR="00A8503D">
        <w:rPr>
          <w:szCs w:val="22"/>
        </w:rPr>
        <w:t>The remaining guidance on physical security event notifications, written follow-up reports, and records will remain in RG 5.62</w:t>
      </w:r>
      <w:r w:rsidR="00DF30B4">
        <w:rPr>
          <w:szCs w:val="22"/>
        </w:rPr>
        <w:t>.</w:t>
      </w:r>
      <w:r w:rsidRPr="00B05D57" w:rsidR="00A8503D">
        <w:rPr>
          <w:szCs w:val="22"/>
        </w:rPr>
        <w:t xml:space="preserve"> </w:t>
      </w:r>
    </w:p>
    <w:p w:rsidR="00A8503D" w:rsidP="00A8503D" w:rsidRDefault="00A8503D" w14:paraId="5D2985FF" w14:textId="77777777">
      <w:pPr>
        <w:rPr>
          <w:szCs w:val="22"/>
        </w:rPr>
      </w:pPr>
    </w:p>
    <w:p w:rsidR="00DC4429" w:rsidP="0045033C" w:rsidRDefault="00DC4429" w14:paraId="1D067376" w14:textId="08326100">
      <w:pPr>
        <w:ind w:firstLine="720"/>
        <w:rPr>
          <w:szCs w:val="22"/>
        </w:rPr>
      </w:pPr>
      <w:r w:rsidRPr="00295E00">
        <w:rPr>
          <w:szCs w:val="22"/>
        </w:rPr>
        <w:t xml:space="preserve">This </w:t>
      </w:r>
      <w:r w:rsidR="00A8503D">
        <w:rPr>
          <w:szCs w:val="22"/>
        </w:rPr>
        <w:t xml:space="preserve">regulatory </w:t>
      </w:r>
      <w:r w:rsidRPr="00295E00">
        <w:rPr>
          <w:szCs w:val="22"/>
        </w:rPr>
        <w:t xml:space="preserve">guide provides acceptable methods </w:t>
      </w:r>
      <w:r>
        <w:rPr>
          <w:szCs w:val="22"/>
        </w:rPr>
        <w:t xml:space="preserve">that </w:t>
      </w:r>
      <w:r w:rsidRPr="00295E00">
        <w:rPr>
          <w:szCs w:val="22"/>
        </w:rPr>
        <w:t>licensees subject to 10 </w:t>
      </w:r>
      <w:r w:rsidRPr="00821BA0">
        <w:rPr>
          <w:szCs w:val="22"/>
        </w:rPr>
        <w:t>CFR </w:t>
      </w:r>
      <w:r w:rsidRPr="00F1633C">
        <w:rPr>
          <w:szCs w:val="22"/>
        </w:rPr>
        <w:t xml:space="preserve">73.1215 may use in </w:t>
      </w:r>
      <w:r w:rsidRPr="00EF2B6D">
        <w:rPr>
          <w:szCs w:val="22"/>
        </w:rPr>
        <w:t xml:space="preserve">reporting suspicious activities to </w:t>
      </w:r>
      <w:r w:rsidRPr="005017C4">
        <w:rPr>
          <w:szCs w:val="22"/>
        </w:rPr>
        <w:t>applicable LLEA, applicable FBI local field office,</w:t>
      </w:r>
      <w:r w:rsidRPr="00712BBC">
        <w:rPr>
          <w:szCs w:val="22"/>
        </w:rPr>
        <w:t xml:space="preserve"> the NRC, </w:t>
      </w:r>
      <w:proofErr w:type="gramStart"/>
      <w:r w:rsidRPr="00712BBC">
        <w:rPr>
          <w:szCs w:val="22"/>
        </w:rPr>
        <w:t>and,</w:t>
      </w:r>
      <w:proofErr w:type="gramEnd"/>
      <w:r w:rsidRPr="00712BBC">
        <w:rPr>
          <w:szCs w:val="22"/>
        </w:rPr>
        <w:t xml:space="preserve"> applicable </w:t>
      </w:r>
      <w:r w:rsidRPr="00652773">
        <w:rPr>
          <w:szCs w:val="22"/>
        </w:rPr>
        <w:t xml:space="preserve">FAA local control tower </w:t>
      </w:r>
      <w:r w:rsidRPr="009C4F4D">
        <w:rPr>
          <w:szCs w:val="22"/>
        </w:rPr>
        <w:t>(for activities involving suspicious aircraft)</w:t>
      </w:r>
      <w:r w:rsidR="002E7BC2">
        <w:rPr>
          <w:szCs w:val="22"/>
        </w:rPr>
        <w:t xml:space="preserve">. </w:t>
      </w:r>
      <w:r w:rsidRPr="0045033C" w:rsidR="00022080">
        <w:rPr>
          <w:szCs w:val="22"/>
        </w:rPr>
        <w:t>Following the events of September</w:t>
      </w:r>
      <w:r w:rsidR="00022080">
        <w:rPr>
          <w:szCs w:val="22"/>
        </w:rPr>
        <w:t> </w:t>
      </w:r>
      <w:r w:rsidRPr="0045033C" w:rsidR="00022080">
        <w:rPr>
          <w:szCs w:val="22"/>
        </w:rPr>
        <w:t>11, 2001, the NRC issued security advisories and other guidance on suspicious activities and requested that such activity be voluntarily reported to the NRC</w:t>
      </w:r>
      <w:r w:rsidR="002E7BC2">
        <w:rPr>
          <w:szCs w:val="22"/>
        </w:rPr>
        <w:t xml:space="preserve">. </w:t>
      </w:r>
      <w:r w:rsidRPr="0045033C" w:rsidR="00022080">
        <w:rPr>
          <w:szCs w:val="22"/>
        </w:rPr>
        <w:t xml:space="preserve">The new requirements </w:t>
      </w:r>
      <w:r w:rsidR="00022080">
        <w:rPr>
          <w:szCs w:val="22"/>
        </w:rPr>
        <w:t xml:space="preserve">in 10 CFR 73.1215 </w:t>
      </w:r>
      <w:r w:rsidRPr="0045033C" w:rsidR="00022080">
        <w:rPr>
          <w:szCs w:val="22"/>
        </w:rPr>
        <w:t xml:space="preserve">make the reporting of suspicious activities to these various </w:t>
      </w:r>
      <w:proofErr w:type="gramStart"/>
      <w:r w:rsidRPr="0045033C" w:rsidR="00022080">
        <w:rPr>
          <w:szCs w:val="22"/>
        </w:rPr>
        <w:t>agencies</w:t>
      </w:r>
      <w:proofErr w:type="gramEnd"/>
      <w:r w:rsidRPr="0045033C" w:rsidR="00022080">
        <w:rPr>
          <w:szCs w:val="22"/>
        </w:rPr>
        <w:t xml:space="preserve"> mandatory for certain licensees</w:t>
      </w:r>
      <w:r w:rsidR="002E7BC2">
        <w:rPr>
          <w:szCs w:val="22"/>
        </w:rPr>
        <w:t xml:space="preserve">. </w:t>
      </w:r>
      <w:r w:rsidRPr="00576624">
        <w:rPr>
          <w:szCs w:val="22"/>
        </w:rPr>
        <w:t>The guide contains both examples of suspicious activities</w:t>
      </w:r>
      <w:r w:rsidRPr="003D6372">
        <w:rPr>
          <w:szCs w:val="22"/>
        </w:rPr>
        <w:t xml:space="preserve"> that require reporting and other </w:t>
      </w:r>
      <w:r w:rsidRPr="00B0515C">
        <w:rPr>
          <w:szCs w:val="22"/>
        </w:rPr>
        <w:t xml:space="preserve">examples of activities for which a licensee may exercise discretion and not report the activity </w:t>
      </w:r>
      <w:r w:rsidRPr="00597EFB">
        <w:rPr>
          <w:szCs w:val="22"/>
        </w:rPr>
        <w:t>as suspicious</w:t>
      </w:r>
      <w:r w:rsidR="002E7BC2">
        <w:rPr>
          <w:szCs w:val="22"/>
        </w:rPr>
        <w:t xml:space="preserve">. </w:t>
      </w:r>
      <w:r w:rsidRPr="00691926">
        <w:rPr>
          <w:szCs w:val="22"/>
        </w:rPr>
        <w:t>The NRC staff does not consider the</w:t>
      </w:r>
      <w:r w:rsidRPr="00487972">
        <w:rPr>
          <w:szCs w:val="22"/>
        </w:rPr>
        <w:t>se examples to be all</w:t>
      </w:r>
      <w:r w:rsidRPr="00487972">
        <w:rPr>
          <w:szCs w:val="22"/>
        </w:rPr>
        <w:noBreakHyphen/>
        <w:t xml:space="preserve">inclusive. </w:t>
      </w:r>
    </w:p>
    <w:p w:rsidRPr="0045033C" w:rsidR="0045033C" w:rsidP="0045033C" w:rsidRDefault="0045033C" w14:paraId="1B8837F5" w14:textId="77777777">
      <w:pPr>
        <w:ind w:firstLine="720"/>
        <w:rPr>
          <w:szCs w:val="22"/>
        </w:rPr>
      </w:pPr>
      <w:r w:rsidRPr="0045033C">
        <w:rPr>
          <w:szCs w:val="22"/>
        </w:rPr>
        <w:t xml:space="preserve">  </w:t>
      </w:r>
    </w:p>
    <w:p w:rsidR="0045033C" w:rsidP="0045033C" w:rsidRDefault="004E458E" w14:paraId="53D76D6C" w14:textId="691714A3">
      <w:pPr>
        <w:ind w:firstLine="720"/>
        <w:rPr>
          <w:szCs w:val="22"/>
        </w:rPr>
      </w:pPr>
      <w:r>
        <w:rPr>
          <w:szCs w:val="22"/>
        </w:rPr>
        <w:t>The NRC has determined that licensees</w:t>
      </w:r>
      <w:r w:rsidR="00B255EE">
        <w:rPr>
          <w:szCs w:val="22"/>
        </w:rPr>
        <w:t xml:space="preserve">’ </w:t>
      </w:r>
      <w:r w:rsidRPr="0045033C" w:rsidR="00B255EE">
        <w:rPr>
          <w:szCs w:val="22"/>
        </w:rPr>
        <w:t>timely</w:t>
      </w:r>
      <w:r w:rsidRPr="0045033C" w:rsidR="0045033C">
        <w:rPr>
          <w:szCs w:val="22"/>
        </w:rPr>
        <w:t xml:space="preserve"> submission of SARs to the NRC and to law enforcement is an important part of the U.S. government’s efforts to disrupt or dissuade malevolent acts against the nation’s critical infrastructure</w:t>
      </w:r>
      <w:r w:rsidR="002E7BC2">
        <w:rPr>
          <w:szCs w:val="22"/>
        </w:rPr>
        <w:t xml:space="preserve">. </w:t>
      </w:r>
      <w:r w:rsidRPr="00D90A42" w:rsidR="00022080">
        <w:rPr>
          <w:szCs w:val="22"/>
        </w:rPr>
        <w:t>Despite the increasingly fluid and unpredictable nature of the threat environment, some elements of terrorist tactics, techniques, and procedures remain constant</w:t>
      </w:r>
      <w:r w:rsidR="002E7BC2">
        <w:rPr>
          <w:szCs w:val="22"/>
        </w:rPr>
        <w:t xml:space="preserve">. </w:t>
      </w:r>
      <w:r w:rsidR="00022080">
        <w:rPr>
          <w:szCs w:val="22"/>
        </w:rPr>
        <w:t>For example, a</w:t>
      </w:r>
      <w:r w:rsidRPr="0045033C" w:rsidR="0045033C">
        <w:rPr>
          <w:szCs w:val="22"/>
        </w:rPr>
        <w:t>ttack planning and preparation generally proceed through several predictable stages, including intelligence gathering and pre</w:t>
      </w:r>
      <w:r w:rsidR="0045033C">
        <w:rPr>
          <w:szCs w:val="22"/>
        </w:rPr>
        <w:t>-</w:t>
      </w:r>
      <w:r w:rsidRPr="0045033C" w:rsidR="0045033C">
        <w:rPr>
          <w:szCs w:val="22"/>
        </w:rPr>
        <w:t>attack surveillance</w:t>
      </w:r>
      <w:r w:rsidR="002E7BC2">
        <w:rPr>
          <w:szCs w:val="22"/>
        </w:rPr>
        <w:t xml:space="preserve">. </w:t>
      </w:r>
      <w:r w:rsidRPr="0045033C" w:rsidR="0045033C">
        <w:rPr>
          <w:szCs w:val="22"/>
        </w:rPr>
        <w:t>Reporting suspicious activities that could be indicative of preoperational surveillance or reconnaissance efforts, challenges to security systems and protocols, or elicitation of non-public information related to security or emergency response programs, offer law enforcement and security personnel the greatest opportunity to disrupt or dissuade acts of terrorism before they occur</w:t>
      </w:r>
      <w:r w:rsidR="002E7BC2">
        <w:rPr>
          <w:szCs w:val="22"/>
        </w:rPr>
        <w:t xml:space="preserve">. </w:t>
      </w:r>
      <w:r w:rsidRPr="0045033C" w:rsidR="0045033C">
        <w:rPr>
          <w:szCs w:val="22"/>
        </w:rPr>
        <w:t>Additionally, licensees’ timely submission of SARs to the NRC supports one of the agency’s primary mission essential functions of threat assessment for licensed facilities, materials, and shipping activities.</w:t>
      </w:r>
    </w:p>
    <w:p w:rsidRPr="0045033C" w:rsidR="0045033C" w:rsidP="0045033C" w:rsidRDefault="0045033C" w14:paraId="0A8DA3A7" w14:textId="77777777">
      <w:pPr>
        <w:ind w:firstLine="720"/>
        <w:rPr>
          <w:szCs w:val="22"/>
        </w:rPr>
      </w:pPr>
    </w:p>
    <w:p w:rsidR="0045033C" w:rsidP="0045033C" w:rsidRDefault="0045033C" w14:paraId="76CBE1DB" w14:textId="3734D0DA">
      <w:pPr>
        <w:ind w:firstLine="720"/>
        <w:rPr>
          <w:szCs w:val="22"/>
        </w:rPr>
      </w:pPr>
      <w:r w:rsidRPr="0045033C">
        <w:rPr>
          <w:szCs w:val="22"/>
        </w:rPr>
        <w:t>In this new regulation, the NRC is seeking to balance agency and national objectives of reporting suspicious activities, while not imposing unnecessary or undue burden on licensees</w:t>
      </w:r>
      <w:r w:rsidR="002E7BC2">
        <w:rPr>
          <w:szCs w:val="22"/>
        </w:rPr>
        <w:t xml:space="preserve">. </w:t>
      </w:r>
      <w:r w:rsidRPr="0045033C">
        <w:rPr>
          <w:szCs w:val="22"/>
        </w:rPr>
        <w:t xml:space="preserve">In this regard, it is </w:t>
      </w:r>
      <w:r w:rsidRPr="0045033C">
        <w:rPr>
          <w:szCs w:val="22"/>
        </w:rPr>
        <w:lastRenderedPageBreak/>
        <w:t xml:space="preserve">not the NRC’s intent to dispute a licensee’s conclusions about whether an event </w:t>
      </w:r>
      <w:proofErr w:type="gramStart"/>
      <w:r w:rsidRPr="0045033C">
        <w:rPr>
          <w:szCs w:val="22"/>
        </w:rPr>
        <w:t>is considered to be</w:t>
      </w:r>
      <w:proofErr w:type="gramEnd"/>
      <w:r w:rsidRPr="0045033C">
        <w:rPr>
          <w:szCs w:val="22"/>
        </w:rPr>
        <w:t xml:space="preserve"> suspicious</w:t>
      </w:r>
      <w:r w:rsidR="002E7BC2">
        <w:rPr>
          <w:szCs w:val="22"/>
        </w:rPr>
        <w:t xml:space="preserve">. </w:t>
      </w:r>
      <w:r w:rsidRPr="0045033C">
        <w:rPr>
          <w:szCs w:val="22"/>
        </w:rPr>
        <w:t>Accordingly, the NRC intends to focus any inspection and enforcement efforts regarding this new regulation on programmatic aspects (e.g., adherence to established procedures, training, points of contact, and the reporting process)</w:t>
      </w:r>
      <w:r w:rsidR="002E7BC2">
        <w:rPr>
          <w:szCs w:val="22"/>
        </w:rPr>
        <w:t xml:space="preserve">. </w:t>
      </w:r>
    </w:p>
    <w:p w:rsidRPr="00D90A42" w:rsidR="00996FEB" w:rsidP="00D90A42" w:rsidRDefault="00996FEB" w14:paraId="06A48480" w14:textId="77777777">
      <w:pPr>
        <w:ind w:firstLine="720"/>
        <w:rPr>
          <w:szCs w:val="22"/>
        </w:rPr>
      </w:pPr>
      <w:r w:rsidRPr="00D90A42">
        <w:rPr>
          <w:szCs w:val="22"/>
        </w:rPr>
        <w:t xml:space="preserve"> </w:t>
      </w:r>
    </w:p>
    <w:p w:rsidRPr="00D90A42" w:rsidR="004A5051" w:rsidP="00D90A42" w:rsidRDefault="00FC6786" w14:paraId="707BD260" w14:textId="77777777">
      <w:pPr>
        <w:pStyle w:val="Heading2"/>
        <w:keepNext w:val="0"/>
        <w:numPr>
          <w:ilvl w:val="0"/>
          <w:numId w:val="0"/>
        </w:numPr>
        <w:rPr>
          <w:szCs w:val="22"/>
        </w:rPr>
      </w:pPr>
      <w:bookmarkStart w:name="_Toc507400002" w:id="50"/>
      <w:bookmarkStart w:name="_Toc26362842" w:id="51"/>
      <w:bookmarkStart w:name="_Toc29213183" w:id="52"/>
      <w:bookmarkStart w:name="_Toc73021727" w:id="53"/>
      <w:r w:rsidRPr="00D90A42">
        <w:rPr>
          <w:szCs w:val="22"/>
        </w:rPr>
        <w:t>Completing Assessments</w:t>
      </w:r>
      <w:bookmarkEnd w:id="50"/>
      <w:bookmarkEnd w:id="51"/>
      <w:bookmarkEnd w:id="52"/>
      <w:bookmarkEnd w:id="53"/>
      <w:r w:rsidRPr="00D90A42" w:rsidR="004F716D">
        <w:rPr>
          <w:szCs w:val="22"/>
        </w:rPr>
        <w:t xml:space="preserve">  </w:t>
      </w:r>
    </w:p>
    <w:p w:rsidRPr="00D90A42" w:rsidR="004A5051" w:rsidP="00D90A42" w:rsidRDefault="004A5051" w14:paraId="5942AFB3" w14:textId="77777777">
      <w:pPr>
        <w:pStyle w:val="ListParagraph"/>
        <w:ind w:left="0"/>
        <w:rPr>
          <w:sz w:val="22"/>
          <w:szCs w:val="22"/>
        </w:rPr>
      </w:pPr>
    </w:p>
    <w:p w:rsidRPr="00D90A42" w:rsidR="00C64E97" w:rsidP="00821BA0" w:rsidRDefault="002574EC" w14:paraId="6E5B458F" w14:textId="48ACE409">
      <w:pPr>
        <w:pStyle w:val="ListParagraph"/>
        <w:ind w:left="0" w:firstLine="720"/>
        <w:rPr>
          <w:sz w:val="22"/>
          <w:szCs w:val="22"/>
        </w:rPr>
      </w:pPr>
      <w:r w:rsidRPr="00D90A42">
        <w:rPr>
          <w:sz w:val="22"/>
          <w:szCs w:val="22"/>
        </w:rPr>
        <w:t>The regulations in 10 CFR 73.1215(c) require licensees to promptly assess whether an activity is suspicious</w:t>
      </w:r>
      <w:r w:rsidRPr="00D90A42" w:rsidR="00356651">
        <w:rPr>
          <w:sz w:val="22"/>
          <w:szCs w:val="22"/>
        </w:rPr>
        <w:t xml:space="preserve"> and if so, report it </w:t>
      </w:r>
      <w:r w:rsidRPr="00D90A42" w:rsidR="00AF6504">
        <w:rPr>
          <w:sz w:val="22"/>
          <w:szCs w:val="22"/>
        </w:rPr>
        <w:t>as soon as possible</w:t>
      </w:r>
      <w:r w:rsidRPr="00D90A42">
        <w:rPr>
          <w:sz w:val="22"/>
          <w:szCs w:val="22"/>
        </w:rPr>
        <w:t xml:space="preserve">, but </w:t>
      </w:r>
      <w:r w:rsidRPr="00D90A42" w:rsidR="00054CBC">
        <w:rPr>
          <w:sz w:val="22"/>
          <w:szCs w:val="22"/>
        </w:rPr>
        <w:t>within</w:t>
      </w:r>
      <w:r w:rsidRPr="00D90A42" w:rsidR="00591F68">
        <w:rPr>
          <w:sz w:val="22"/>
          <w:szCs w:val="22"/>
        </w:rPr>
        <w:t xml:space="preserve"> </w:t>
      </w:r>
      <w:r w:rsidR="008F45AF">
        <w:rPr>
          <w:sz w:val="22"/>
          <w:szCs w:val="22"/>
        </w:rPr>
        <w:t>4</w:t>
      </w:r>
      <w:r w:rsidRPr="00D90A42" w:rsidR="008F45AF">
        <w:rPr>
          <w:sz w:val="22"/>
          <w:szCs w:val="22"/>
        </w:rPr>
        <w:t> </w:t>
      </w:r>
      <w:r w:rsidRPr="00D90A42">
        <w:rPr>
          <w:sz w:val="22"/>
          <w:szCs w:val="22"/>
        </w:rPr>
        <w:t xml:space="preserve">hours </w:t>
      </w:r>
      <w:r w:rsidRPr="00D90A42" w:rsidR="00054CBC">
        <w:rPr>
          <w:sz w:val="22"/>
          <w:szCs w:val="22"/>
        </w:rPr>
        <w:t xml:space="preserve">of </w:t>
      </w:r>
      <w:r w:rsidRPr="00D90A42">
        <w:rPr>
          <w:sz w:val="22"/>
          <w:szCs w:val="22"/>
        </w:rPr>
        <w:t>the time of discovery</w:t>
      </w:r>
      <w:r w:rsidR="002E7BC2">
        <w:rPr>
          <w:sz w:val="22"/>
          <w:szCs w:val="22"/>
        </w:rPr>
        <w:t xml:space="preserve">. </w:t>
      </w:r>
      <w:r w:rsidRPr="00D90A42" w:rsidR="0029504D">
        <w:rPr>
          <w:sz w:val="22"/>
          <w:szCs w:val="22"/>
        </w:rPr>
        <w:t>The language in 10 CFR 73.1215(c)(2</w:t>
      </w:r>
      <w:r w:rsidRPr="00D90A42" w:rsidR="00366640">
        <w:rPr>
          <w:sz w:val="22"/>
          <w:szCs w:val="22"/>
        </w:rPr>
        <w:t>)</w:t>
      </w:r>
      <w:r w:rsidRPr="00D90A42" w:rsidR="0029504D">
        <w:rPr>
          <w:sz w:val="22"/>
          <w:szCs w:val="22"/>
        </w:rPr>
        <w:t>(</w:t>
      </w:r>
      <w:proofErr w:type="spellStart"/>
      <w:r w:rsidRPr="00D90A42" w:rsidR="00366640">
        <w:rPr>
          <w:sz w:val="22"/>
          <w:szCs w:val="22"/>
        </w:rPr>
        <w:t>i</w:t>
      </w:r>
      <w:proofErr w:type="spellEnd"/>
      <w:r w:rsidRPr="00D90A42" w:rsidR="0029504D">
        <w:rPr>
          <w:sz w:val="22"/>
          <w:szCs w:val="22"/>
        </w:rPr>
        <w:t xml:space="preserve">) establishes a </w:t>
      </w:r>
      <w:r w:rsidRPr="00D90A42" w:rsidR="004E5A35">
        <w:rPr>
          <w:sz w:val="22"/>
          <w:szCs w:val="22"/>
        </w:rPr>
        <w:t xml:space="preserve">firm </w:t>
      </w:r>
      <w:r w:rsidR="00226C69">
        <w:rPr>
          <w:sz w:val="22"/>
          <w:szCs w:val="22"/>
        </w:rPr>
        <w:t>4</w:t>
      </w:r>
      <w:r w:rsidRPr="00D90A42" w:rsidR="00366640">
        <w:rPr>
          <w:sz w:val="22"/>
          <w:szCs w:val="22"/>
        </w:rPr>
        <w:t>-</w:t>
      </w:r>
      <w:r w:rsidRPr="00D90A42" w:rsidR="0029504D">
        <w:rPr>
          <w:sz w:val="22"/>
          <w:szCs w:val="22"/>
        </w:rPr>
        <w:t xml:space="preserve">hour </w:t>
      </w:r>
      <w:r w:rsidRPr="00D90A42" w:rsidR="004E5A35">
        <w:rPr>
          <w:sz w:val="22"/>
          <w:szCs w:val="22"/>
        </w:rPr>
        <w:t>time limit</w:t>
      </w:r>
      <w:r w:rsidRPr="00D90A42" w:rsidR="00366640">
        <w:rPr>
          <w:sz w:val="22"/>
          <w:szCs w:val="22"/>
        </w:rPr>
        <w:t xml:space="preserve"> for reporting suspicious activities</w:t>
      </w:r>
      <w:r w:rsidR="002E7BC2">
        <w:rPr>
          <w:sz w:val="22"/>
          <w:szCs w:val="22"/>
        </w:rPr>
        <w:t xml:space="preserve">. </w:t>
      </w:r>
      <w:r w:rsidRPr="00D90A42" w:rsidR="0059374C">
        <w:rPr>
          <w:sz w:val="22"/>
          <w:szCs w:val="22"/>
        </w:rPr>
        <w:t xml:space="preserve">By </w:t>
      </w:r>
      <w:r w:rsidRPr="00D90A42" w:rsidR="0029504D">
        <w:rPr>
          <w:sz w:val="22"/>
          <w:szCs w:val="22"/>
        </w:rPr>
        <w:t>th</w:t>
      </w:r>
      <w:r w:rsidRPr="00D90A42" w:rsidR="0059374C">
        <w:rPr>
          <w:sz w:val="22"/>
          <w:szCs w:val="22"/>
        </w:rPr>
        <w:t xml:space="preserve">e end of </w:t>
      </w:r>
      <w:r w:rsidR="00226C69">
        <w:rPr>
          <w:sz w:val="22"/>
          <w:szCs w:val="22"/>
        </w:rPr>
        <w:t>4</w:t>
      </w:r>
      <w:r w:rsidRPr="00D90A42" w:rsidR="00226C69">
        <w:rPr>
          <w:sz w:val="22"/>
          <w:szCs w:val="22"/>
        </w:rPr>
        <w:t xml:space="preserve"> </w:t>
      </w:r>
      <w:r w:rsidRPr="00D90A42" w:rsidR="0059374C">
        <w:rPr>
          <w:sz w:val="22"/>
          <w:szCs w:val="22"/>
        </w:rPr>
        <w:t>hours</w:t>
      </w:r>
      <w:r w:rsidR="003E41F6">
        <w:rPr>
          <w:sz w:val="22"/>
          <w:szCs w:val="22"/>
        </w:rPr>
        <w:t>,</w:t>
      </w:r>
      <w:r w:rsidRPr="00D90A42" w:rsidR="0059374C">
        <w:rPr>
          <w:sz w:val="22"/>
          <w:szCs w:val="22"/>
        </w:rPr>
        <w:t xml:space="preserve"> </w:t>
      </w:r>
      <w:r w:rsidRPr="00D90A42" w:rsidR="0029504D">
        <w:rPr>
          <w:sz w:val="22"/>
          <w:szCs w:val="22"/>
        </w:rPr>
        <w:t>licensee</w:t>
      </w:r>
      <w:r w:rsidRPr="00D90A42" w:rsidR="00366640">
        <w:rPr>
          <w:sz w:val="22"/>
          <w:szCs w:val="22"/>
        </w:rPr>
        <w:t>s</w:t>
      </w:r>
      <w:r w:rsidRPr="00D90A42" w:rsidR="0059374C">
        <w:rPr>
          <w:sz w:val="22"/>
          <w:szCs w:val="22"/>
        </w:rPr>
        <w:t xml:space="preserve"> need to use their best judgment </w:t>
      </w:r>
      <w:r w:rsidRPr="00D90A42" w:rsidR="00366640">
        <w:rPr>
          <w:sz w:val="22"/>
          <w:szCs w:val="22"/>
        </w:rPr>
        <w:t>and</w:t>
      </w:r>
      <w:r w:rsidRPr="00D90A42" w:rsidR="00AD6B63">
        <w:rPr>
          <w:sz w:val="22"/>
          <w:szCs w:val="22"/>
        </w:rPr>
        <w:t xml:space="preserve"> </w:t>
      </w:r>
      <w:r w:rsidRPr="00D90A42" w:rsidR="00366640">
        <w:rPr>
          <w:sz w:val="22"/>
          <w:szCs w:val="22"/>
        </w:rPr>
        <w:t xml:space="preserve">conclude their </w:t>
      </w:r>
      <w:r w:rsidRPr="00D90A42" w:rsidR="00AD6B63">
        <w:rPr>
          <w:sz w:val="22"/>
          <w:szCs w:val="22"/>
        </w:rPr>
        <w:t>assess</w:t>
      </w:r>
      <w:r w:rsidRPr="00D90A42" w:rsidR="00366640">
        <w:rPr>
          <w:sz w:val="22"/>
          <w:szCs w:val="22"/>
        </w:rPr>
        <w:t>ment of</w:t>
      </w:r>
      <w:r w:rsidRPr="00D90A42" w:rsidR="00AD6B63">
        <w:rPr>
          <w:sz w:val="22"/>
          <w:szCs w:val="22"/>
        </w:rPr>
        <w:t xml:space="preserve"> whether a</w:t>
      </w:r>
      <w:r w:rsidRPr="00D90A42" w:rsidR="00366640">
        <w:rPr>
          <w:sz w:val="22"/>
          <w:szCs w:val="22"/>
        </w:rPr>
        <w:t xml:space="preserve"> given </w:t>
      </w:r>
      <w:r w:rsidRPr="00D90A42" w:rsidR="00AD6B63">
        <w:rPr>
          <w:sz w:val="22"/>
          <w:szCs w:val="22"/>
        </w:rPr>
        <w:t>activity is suspicious</w:t>
      </w:r>
      <w:r w:rsidRPr="00D90A42" w:rsidR="0029504D">
        <w:rPr>
          <w:sz w:val="22"/>
          <w:szCs w:val="22"/>
        </w:rPr>
        <w:t xml:space="preserve"> </w:t>
      </w:r>
      <w:r w:rsidRPr="00D90A42" w:rsidR="00AD6B63">
        <w:rPr>
          <w:sz w:val="22"/>
          <w:szCs w:val="22"/>
        </w:rPr>
        <w:t>and must be reported</w:t>
      </w:r>
      <w:r w:rsidR="002E7BC2">
        <w:rPr>
          <w:sz w:val="22"/>
          <w:szCs w:val="22"/>
        </w:rPr>
        <w:t xml:space="preserve">. </w:t>
      </w:r>
      <w:r w:rsidRPr="00D90A42" w:rsidR="00263569">
        <w:rPr>
          <w:sz w:val="22"/>
          <w:szCs w:val="22"/>
        </w:rPr>
        <w:t xml:space="preserve">In accomplishing such assessments, the licensee may </w:t>
      </w:r>
      <w:proofErr w:type="gramStart"/>
      <w:r w:rsidRPr="00D90A42" w:rsidR="00263569">
        <w:rPr>
          <w:sz w:val="22"/>
          <w:szCs w:val="22"/>
        </w:rPr>
        <w:t>take into account</w:t>
      </w:r>
      <w:proofErr w:type="gramEnd"/>
      <w:r w:rsidRPr="00D90A42" w:rsidR="00263569">
        <w:rPr>
          <w:sz w:val="22"/>
          <w:szCs w:val="22"/>
        </w:rPr>
        <w:t xml:space="preserve"> other information, as determined to be relevant by the licensee, associated with its locale and the local population (e.g., the presence of parks and recreational areas or hunting seasons), video or surveillance imagery, and discussions with LLEA or other appropriate officials (e.g., government officials or campus police)</w:t>
      </w:r>
      <w:r w:rsidR="002E7BC2">
        <w:rPr>
          <w:sz w:val="22"/>
          <w:szCs w:val="22"/>
        </w:rPr>
        <w:t xml:space="preserve">. </w:t>
      </w:r>
      <w:r w:rsidRPr="00D90A42" w:rsidR="00263569">
        <w:rPr>
          <w:sz w:val="22"/>
          <w:szCs w:val="22"/>
        </w:rPr>
        <w:t>A licensee’s actions in gathering additional information or conducting discussions with LLEA or others are not considered, in and of themselves, to constitute a conclusion that an activity is suspicious.</w:t>
      </w:r>
    </w:p>
    <w:p w:rsidRPr="00D90A42" w:rsidR="003B097E" w:rsidP="00821BA0" w:rsidRDefault="003B097E" w14:paraId="3E886F7E" w14:textId="77777777">
      <w:pPr>
        <w:ind w:firstLine="720"/>
        <w:rPr>
          <w:szCs w:val="22"/>
        </w:rPr>
      </w:pPr>
    </w:p>
    <w:p w:rsidRPr="00D90A42" w:rsidR="003B097E" w:rsidP="00F1633C" w:rsidRDefault="00E07829" w14:paraId="132A0806" w14:textId="43176790">
      <w:pPr>
        <w:ind w:firstLine="720"/>
        <w:rPr>
          <w:szCs w:val="22"/>
        </w:rPr>
      </w:pPr>
      <w:r w:rsidRPr="00D90A42">
        <w:rPr>
          <w:szCs w:val="22"/>
        </w:rPr>
        <w:t>The intelligence</w:t>
      </w:r>
      <w:r w:rsidRPr="00D90A42" w:rsidR="009D6652">
        <w:rPr>
          <w:szCs w:val="22"/>
        </w:rPr>
        <w:t>-collection</w:t>
      </w:r>
      <w:r w:rsidRPr="00D90A42">
        <w:rPr>
          <w:szCs w:val="22"/>
        </w:rPr>
        <w:t xml:space="preserve"> value of a SAR to law enforcement is perishable; and </w:t>
      </w:r>
      <w:r w:rsidRPr="00D90A42" w:rsidR="009D6652">
        <w:rPr>
          <w:szCs w:val="22"/>
        </w:rPr>
        <w:t xml:space="preserve">therefore, a licensee’s </w:t>
      </w:r>
      <w:r w:rsidRPr="00D90A42">
        <w:rPr>
          <w:szCs w:val="22"/>
        </w:rPr>
        <w:t xml:space="preserve">timely submission is </w:t>
      </w:r>
      <w:r w:rsidRPr="00D90A42" w:rsidR="001B6297">
        <w:rPr>
          <w:szCs w:val="22"/>
        </w:rPr>
        <w:t>more important than a detailed assessment to determine whether a potential activity is suspicious</w:t>
      </w:r>
      <w:r w:rsidR="002E7BC2">
        <w:rPr>
          <w:szCs w:val="22"/>
        </w:rPr>
        <w:t xml:space="preserve">. </w:t>
      </w:r>
      <w:r w:rsidRPr="00D90A42">
        <w:rPr>
          <w:szCs w:val="22"/>
        </w:rPr>
        <w:t xml:space="preserve">Accordingly, the </w:t>
      </w:r>
      <w:r w:rsidRPr="00D90A42" w:rsidR="009D6652">
        <w:rPr>
          <w:szCs w:val="22"/>
        </w:rPr>
        <w:t>NRC staff recommends that licensee</w:t>
      </w:r>
      <w:r w:rsidRPr="00D90A42" w:rsidR="00B37EA1">
        <w:rPr>
          <w:szCs w:val="22"/>
        </w:rPr>
        <w:t>s</w:t>
      </w:r>
      <w:r w:rsidRPr="00D90A42" w:rsidR="009D6652">
        <w:rPr>
          <w:szCs w:val="22"/>
        </w:rPr>
        <w:t xml:space="preserve"> should err on the side of</w:t>
      </w:r>
      <w:r w:rsidRPr="00D90A42">
        <w:rPr>
          <w:szCs w:val="22"/>
        </w:rPr>
        <w:t xml:space="preserve"> </w:t>
      </w:r>
      <w:r w:rsidRPr="00D90A42" w:rsidR="00AF19B1">
        <w:rPr>
          <w:szCs w:val="22"/>
        </w:rPr>
        <w:t xml:space="preserve">prompt </w:t>
      </w:r>
      <w:r w:rsidRPr="00D90A42" w:rsidR="009D6652">
        <w:rPr>
          <w:szCs w:val="22"/>
        </w:rPr>
        <w:t>reporting</w:t>
      </w:r>
      <w:r w:rsidRPr="00D90A42" w:rsidR="002E55A4">
        <w:rPr>
          <w:szCs w:val="22"/>
        </w:rPr>
        <w:t xml:space="preserve"> of activities that initially appear to be suspicious</w:t>
      </w:r>
      <w:r w:rsidR="002E7BC2">
        <w:rPr>
          <w:szCs w:val="22"/>
        </w:rPr>
        <w:t xml:space="preserve">. </w:t>
      </w:r>
      <w:r w:rsidRPr="00D90A42" w:rsidR="00AF19B1">
        <w:rPr>
          <w:szCs w:val="22"/>
        </w:rPr>
        <w:t>S</w:t>
      </w:r>
      <w:r w:rsidRPr="00D90A42" w:rsidR="009D6652">
        <w:rPr>
          <w:szCs w:val="22"/>
        </w:rPr>
        <w:t>uspicious activity reporting is n</w:t>
      </w:r>
      <w:r w:rsidR="003E41F6">
        <w:rPr>
          <w:szCs w:val="22"/>
        </w:rPr>
        <w:t>ot</w:t>
      </w:r>
      <w:r w:rsidRPr="00D90A42" w:rsidR="009D6652">
        <w:rPr>
          <w:szCs w:val="22"/>
        </w:rPr>
        <w:t xml:space="preserve"> part of the NRC’s performance monitoring </w:t>
      </w:r>
      <w:r w:rsidRPr="00D90A42" w:rsidR="009E51E3">
        <w:rPr>
          <w:szCs w:val="22"/>
        </w:rPr>
        <w:t>program</w:t>
      </w:r>
      <w:r w:rsidR="003E41F6">
        <w:rPr>
          <w:szCs w:val="22"/>
        </w:rPr>
        <w:t>,</w:t>
      </w:r>
      <w:r w:rsidRPr="00D90A42" w:rsidR="001C0D21">
        <w:rPr>
          <w:szCs w:val="22"/>
        </w:rPr>
        <w:t xml:space="preserve"> nor</w:t>
      </w:r>
      <w:r w:rsidRPr="00D90A42" w:rsidR="009E51E3">
        <w:rPr>
          <w:szCs w:val="22"/>
        </w:rPr>
        <w:t xml:space="preserve"> is </w:t>
      </w:r>
      <w:r w:rsidR="003E41F6">
        <w:rPr>
          <w:szCs w:val="22"/>
        </w:rPr>
        <w:t xml:space="preserve">a </w:t>
      </w:r>
      <w:r w:rsidRPr="00D90A42" w:rsidR="009E51E3">
        <w:rPr>
          <w:szCs w:val="22"/>
        </w:rPr>
        <w:t xml:space="preserve">retraction required for an activity that is subsequently </w:t>
      </w:r>
      <w:r w:rsidRPr="00D90A42" w:rsidR="002E55A4">
        <w:rPr>
          <w:szCs w:val="22"/>
        </w:rPr>
        <w:t>determined not to be suspicious</w:t>
      </w:r>
      <w:r w:rsidR="002E7BC2">
        <w:rPr>
          <w:szCs w:val="22"/>
        </w:rPr>
        <w:t xml:space="preserve">. </w:t>
      </w:r>
      <w:r w:rsidRPr="00D90A42" w:rsidR="00AF19B1">
        <w:rPr>
          <w:szCs w:val="22"/>
        </w:rPr>
        <w:t>Licensees face no consequences for submitting a report that is later determined not to be a suspicious activity</w:t>
      </w:r>
      <w:r w:rsidR="002E7BC2">
        <w:rPr>
          <w:szCs w:val="22"/>
        </w:rPr>
        <w:t xml:space="preserve">. </w:t>
      </w:r>
      <w:r w:rsidRPr="00D90A42" w:rsidR="00263569">
        <w:rPr>
          <w:szCs w:val="22"/>
        </w:rPr>
        <w:t>The regulations in 10 CFR 73.1215(c) do not require a licensee to report an activity that the licensee assesses is innocent or innocuous.</w:t>
      </w:r>
      <w:r w:rsidRPr="00D90A42" w:rsidDel="00AF19B1" w:rsidR="00AF19B1">
        <w:rPr>
          <w:szCs w:val="22"/>
        </w:rPr>
        <w:t xml:space="preserve"> </w:t>
      </w:r>
    </w:p>
    <w:p w:rsidRPr="00D90A42" w:rsidR="00CA1413" w:rsidP="00F1633C" w:rsidRDefault="00CA1413" w14:paraId="4E827A16" w14:textId="77777777">
      <w:pPr>
        <w:ind w:left="1440" w:hanging="720"/>
        <w:rPr>
          <w:szCs w:val="22"/>
        </w:rPr>
      </w:pPr>
    </w:p>
    <w:p w:rsidRPr="00D90A42" w:rsidR="000B7343" w:rsidP="00EF2B6D" w:rsidRDefault="000B7343" w14:paraId="7E9288C3" w14:textId="77777777">
      <w:pPr>
        <w:pStyle w:val="Heading2"/>
        <w:keepLines/>
        <w:numPr>
          <w:ilvl w:val="0"/>
          <w:numId w:val="0"/>
        </w:numPr>
        <w:rPr>
          <w:szCs w:val="22"/>
        </w:rPr>
      </w:pPr>
      <w:bookmarkStart w:name="_Toc507400004" w:id="54"/>
      <w:bookmarkStart w:name="_Toc26362843" w:id="55"/>
      <w:bookmarkStart w:name="_Toc29213184" w:id="56"/>
      <w:bookmarkStart w:name="_Toc73021728" w:id="57"/>
      <w:r w:rsidRPr="00D90A42">
        <w:rPr>
          <w:szCs w:val="22"/>
        </w:rPr>
        <w:t>Retraction of Invalid Reports Not Required</w:t>
      </w:r>
      <w:bookmarkEnd w:id="54"/>
      <w:bookmarkEnd w:id="55"/>
      <w:bookmarkEnd w:id="56"/>
      <w:bookmarkEnd w:id="57"/>
      <w:r w:rsidRPr="00D90A42">
        <w:rPr>
          <w:szCs w:val="22"/>
        </w:rPr>
        <w:t xml:space="preserve">   </w:t>
      </w:r>
    </w:p>
    <w:p w:rsidRPr="00D90A42" w:rsidR="000B7343" w:rsidP="00EF2B6D" w:rsidRDefault="000B7343" w14:paraId="56959AD2" w14:textId="77777777">
      <w:pPr>
        <w:keepNext/>
        <w:keepLines/>
        <w:ind w:firstLine="720"/>
        <w:rPr>
          <w:szCs w:val="22"/>
        </w:rPr>
      </w:pPr>
    </w:p>
    <w:p w:rsidRPr="00D90A42" w:rsidR="000B7343" w:rsidP="005017C4" w:rsidRDefault="004E458E" w14:paraId="44615F67" w14:textId="477F8893">
      <w:pPr>
        <w:keepNext/>
        <w:keepLines/>
        <w:ind w:firstLine="720"/>
        <w:rPr>
          <w:szCs w:val="22"/>
        </w:rPr>
      </w:pPr>
      <w:r>
        <w:rPr>
          <w:szCs w:val="22"/>
        </w:rPr>
        <w:t>A licensee is not required to retract a suspicious activity report</w:t>
      </w:r>
      <w:r w:rsidR="00AB747C">
        <w:rPr>
          <w:szCs w:val="22"/>
        </w:rPr>
        <w:t xml:space="preserve"> when the licensee subsequently discovers that the activity reported is not suspicious</w:t>
      </w:r>
      <w:r w:rsidR="002E7BC2">
        <w:rPr>
          <w:szCs w:val="22"/>
        </w:rPr>
        <w:t xml:space="preserve">. </w:t>
      </w:r>
      <w:r w:rsidR="00AB747C">
        <w:rPr>
          <w:szCs w:val="22"/>
        </w:rPr>
        <w:t xml:space="preserve">Licensees will not face any consequences or penalties for reporting an activity that is subsequently determined </w:t>
      </w:r>
      <w:proofErr w:type="gramStart"/>
      <w:r w:rsidR="00AB747C">
        <w:rPr>
          <w:szCs w:val="22"/>
        </w:rPr>
        <w:t>to</w:t>
      </w:r>
      <w:proofErr w:type="gramEnd"/>
      <w:r w:rsidR="00AB747C">
        <w:rPr>
          <w:szCs w:val="22"/>
        </w:rPr>
        <w:t xml:space="preserve"> not be suspicious. </w:t>
      </w:r>
    </w:p>
    <w:p w:rsidRPr="00D90A42" w:rsidR="000B7343" w:rsidP="005017C4" w:rsidRDefault="000B7343" w14:paraId="6695C895" w14:textId="77777777">
      <w:pPr>
        <w:ind w:firstLine="720"/>
        <w:rPr>
          <w:szCs w:val="22"/>
        </w:rPr>
      </w:pPr>
    </w:p>
    <w:p w:rsidRPr="00D90A42" w:rsidR="00EF10AB" w:rsidP="00712BBC" w:rsidRDefault="00EF10AB" w14:paraId="1B3CF7FD" w14:textId="77777777">
      <w:pPr>
        <w:pStyle w:val="Heading2"/>
        <w:keepLines/>
        <w:numPr>
          <w:ilvl w:val="0"/>
          <w:numId w:val="0"/>
        </w:numPr>
        <w:rPr>
          <w:szCs w:val="22"/>
        </w:rPr>
      </w:pPr>
      <w:bookmarkStart w:name="_Toc26362844" w:id="58"/>
      <w:bookmarkStart w:name="_Toc29213185" w:id="59"/>
      <w:bookmarkStart w:name="_Toc73021729" w:id="60"/>
      <w:r w:rsidRPr="00D90A42">
        <w:rPr>
          <w:szCs w:val="22"/>
        </w:rPr>
        <w:t>Elimination of Duplication</w:t>
      </w:r>
      <w:bookmarkEnd w:id="58"/>
      <w:bookmarkEnd w:id="59"/>
      <w:bookmarkEnd w:id="60"/>
      <w:r w:rsidRPr="00D90A42">
        <w:rPr>
          <w:szCs w:val="22"/>
        </w:rPr>
        <w:t xml:space="preserve">   </w:t>
      </w:r>
    </w:p>
    <w:p w:rsidRPr="00D90A42" w:rsidR="00EF10AB" w:rsidP="00712BBC" w:rsidRDefault="00EF10AB" w14:paraId="0D02620E" w14:textId="77777777">
      <w:pPr>
        <w:keepNext/>
        <w:keepLines/>
        <w:ind w:firstLine="720"/>
        <w:rPr>
          <w:szCs w:val="22"/>
        </w:rPr>
      </w:pPr>
    </w:p>
    <w:p w:rsidRPr="00D90A42" w:rsidR="003411DB" w:rsidP="00652773" w:rsidRDefault="003411DB" w14:paraId="2F786EF4" w14:textId="02A742E0">
      <w:pPr>
        <w:ind w:firstLine="720"/>
        <w:rPr>
          <w:szCs w:val="22"/>
        </w:rPr>
      </w:pPr>
      <w:r w:rsidRPr="00D90A42">
        <w:rPr>
          <w:szCs w:val="22"/>
        </w:rPr>
        <w:t>Certain activities may be both a suspicious activity and a physical security event</w:t>
      </w:r>
      <w:r w:rsidR="002E7BC2">
        <w:rPr>
          <w:szCs w:val="22"/>
        </w:rPr>
        <w:t xml:space="preserve">. </w:t>
      </w:r>
      <w:r w:rsidRPr="00D90A42">
        <w:rPr>
          <w:szCs w:val="22"/>
        </w:rPr>
        <w:t xml:space="preserve">A suspicious activity that requires the licensee to make a physical security event notification pursuant to 10 CFR 73.1200 does not need to also be reported as a suspicious activity under 10 CFR 73.1215(c). </w:t>
      </w:r>
    </w:p>
    <w:p w:rsidRPr="00D90A42" w:rsidR="00D04FB8" w:rsidP="00652773" w:rsidRDefault="00D04FB8" w14:paraId="3A456580" w14:textId="77777777">
      <w:pPr>
        <w:ind w:firstLine="720"/>
        <w:rPr>
          <w:szCs w:val="22"/>
        </w:rPr>
      </w:pPr>
    </w:p>
    <w:p w:rsidR="00534BB3" w:rsidP="009C4F4D" w:rsidRDefault="006A4B85" w14:paraId="2FB5E2D2" w14:textId="77777777">
      <w:pPr>
        <w:ind w:firstLine="720"/>
        <w:rPr>
          <w:szCs w:val="22"/>
        </w:rPr>
      </w:pPr>
      <w:r w:rsidRPr="00D90A42">
        <w:rPr>
          <w:szCs w:val="22"/>
        </w:rPr>
        <w:t>Certain activities may be both a suspicious activity and an information security event</w:t>
      </w:r>
      <w:r w:rsidR="002E7BC2">
        <w:rPr>
          <w:szCs w:val="22"/>
        </w:rPr>
        <w:t xml:space="preserve">. </w:t>
      </w:r>
      <w:r w:rsidRPr="00D90A42" w:rsidR="003411DB">
        <w:rPr>
          <w:szCs w:val="22"/>
        </w:rPr>
        <w:t>A licensee is not required</w:t>
      </w:r>
      <w:r w:rsidRPr="00D90A42" w:rsidR="00BE2FBA">
        <w:rPr>
          <w:szCs w:val="22"/>
        </w:rPr>
        <w:t xml:space="preserve"> by 10 CFR 73.1215(f)</w:t>
      </w:r>
      <w:r w:rsidRPr="00D90A42" w:rsidR="003411DB">
        <w:rPr>
          <w:szCs w:val="22"/>
        </w:rPr>
        <w:t xml:space="preserve"> to report a suspicious activity involving </w:t>
      </w:r>
      <w:r w:rsidRPr="00D90A42" w:rsidR="00BE2FBA">
        <w:rPr>
          <w:szCs w:val="22"/>
        </w:rPr>
        <w:t xml:space="preserve">conspiracies to obtain or, </w:t>
      </w:r>
      <w:r w:rsidRPr="00D90A42" w:rsidR="003411DB">
        <w:rPr>
          <w:szCs w:val="22"/>
        </w:rPr>
        <w:t>actual</w:t>
      </w:r>
      <w:r w:rsidRPr="00D90A42" w:rsidR="00BE2FBA">
        <w:rPr>
          <w:szCs w:val="22"/>
        </w:rPr>
        <w:t xml:space="preserve"> or </w:t>
      </w:r>
      <w:r w:rsidRPr="00D90A42" w:rsidR="003411DB">
        <w:rPr>
          <w:szCs w:val="22"/>
        </w:rPr>
        <w:t>attempted</w:t>
      </w:r>
      <w:r w:rsidRPr="00D90A42" w:rsidR="00BE2FBA">
        <w:rPr>
          <w:szCs w:val="22"/>
        </w:rPr>
        <w:t xml:space="preserve"> efforts by unauthorized individuals </w:t>
      </w:r>
      <w:r w:rsidRPr="00D90A42" w:rsidR="003411DB">
        <w:rPr>
          <w:szCs w:val="22"/>
        </w:rPr>
        <w:t xml:space="preserve">to obtain RD, communicate RD, remove RD, or disclose RD </w:t>
      </w:r>
      <w:r w:rsidRPr="00D90A42" w:rsidR="00D04FB8">
        <w:rPr>
          <w:szCs w:val="22"/>
        </w:rPr>
        <w:t xml:space="preserve">if the suspicious activity </w:t>
      </w:r>
      <w:r w:rsidRPr="00D90A42" w:rsidR="003411DB">
        <w:rPr>
          <w:szCs w:val="22"/>
        </w:rPr>
        <w:t xml:space="preserve">is </w:t>
      </w:r>
      <w:r w:rsidRPr="00D90A42" w:rsidR="00BE2FBA">
        <w:rPr>
          <w:szCs w:val="22"/>
        </w:rPr>
        <w:t xml:space="preserve">also required to be </w:t>
      </w:r>
      <w:r w:rsidRPr="00D90A42" w:rsidR="00D04FB8">
        <w:rPr>
          <w:szCs w:val="22"/>
        </w:rPr>
        <w:t>report</w:t>
      </w:r>
      <w:r w:rsidRPr="00D90A42" w:rsidR="003411DB">
        <w:rPr>
          <w:szCs w:val="22"/>
        </w:rPr>
        <w:t>ed</w:t>
      </w:r>
      <w:r w:rsidRPr="00D90A42" w:rsidR="00D04FB8">
        <w:rPr>
          <w:szCs w:val="22"/>
        </w:rPr>
        <w:t xml:space="preserve"> </w:t>
      </w:r>
      <w:r w:rsidRPr="00D90A42" w:rsidR="003411DB">
        <w:rPr>
          <w:szCs w:val="22"/>
        </w:rPr>
        <w:t>pursuant to 10 CFR 95.57</w:t>
      </w:r>
      <w:r w:rsidR="002E7BC2">
        <w:rPr>
          <w:szCs w:val="22"/>
        </w:rPr>
        <w:t>.</w:t>
      </w:r>
    </w:p>
    <w:p w:rsidR="00534BB3" w:rsidP="009C4F4D" w:rsidRDefault="00534BB3" w14:paraId="67765CE3" w14:textId="77777777">
      <w:pPr>
        <w:ind w:firstLine="720"/>
        <w:rPr>
          <w:szCs w:val="22"/>
        </w:rPr>
      </w:pPr>
    </w:p>
    <w:p w:rsidRPr="00D90A42" w:rsidR="00D04FB8" w:rsidP="009C4F4D" w:rsidRDefault="006D3A74" w14:paraId="1353B7B2" w14:textId="663D7153">
      <w:pPr>
        <w:ind w:firstLine="720"/>
        <w:rPr>
          <w:szCs w:val="22"/>
        </w:rPr>
      </w:pPr>
      <w:r>
        <w:rPr>
          <w:szCs w:val="22"/>
        </w:rPr>
        <w:t xml:space="preserve">Additionally, </w:t>
      </w:r>
      <w:r w:rsidR="00F8081A">
        <w:rPr>
          <w:szCs w:val="22"/>
        </w:rPr>
        <w:t>under 10 CFR 73.1215(c)(1)(iii)</w:t>
      </w:r>
      <w:r w:rsidR="00621E3E">
        <w:rPr>
          <w:szCs w:val="22"/>
        </w:rPr>
        <w:t xml:space="preserve">, </w:t>
      </w:r>
      <w:r>
        <w:rPr>
          <w:szCs w:val="22"/>
        </w:rPr>
        <w:t>if a suspicious activ</w:t>
      </w:r>
      <w:r w:rsidR="00BF21D2">
        <w:rPr>
          <w:szCs w:val="22"/>
        </w:rPr>
        <w:t xml:space="preserve">ity report </w:t>
      </w:r>
      <w:r w:rsidR="00621E3E">
        <w:rPr>
          <w:szCs w:val="22"/>
        </w:rPr>
        <w:t xml:space="preserve">subsequently </w:t>
      </w:r>
      <w:r w:rsidR="006D3AC1">
        <w:rPr>
          <w:szCs w:val="22"/>
        </w:rPr>
        <w:t>results in a LLEA response</w:t>
      </w:r>
      <w:r w:rsidR="007F5E0C">
        <w:rPr>
          <w:szCs w:val="22"/>
        </w:rPr>
        <w:t xml:space="preserve"> </w:t>
      </w:r>
      <w:r w:rsidR="008A61D9">
        <w:rPr>
          <w:szCs w:val="22"/>
        </w:rPr>
        <w:t>then</w:t>
      </w:r>
      <w:r w:rsidR="004D6C94">
        <w:rPr>
          <w:szCs w:val="22"/>
        </w:rPr>
        <w:t xml:space="preserve"> </w:t>
      </w:r>
      <w:r w:rsidR="00286AEE">
        <w:rPr>
          <w:szCs w:val="22"/>
        </w:rPr>
        <w:t xml:space="preserve">the licensee must </w:t>
      </w:r>
      <w:r w:rsidR="001D7693">
        <w:rPr>
          <w:szCs w:val="22"/>
        </w:rPr>
        <w:t>notify the</w:t>
      </w:r>
      <w:r w:rsidR="00132768">
        <w:rPr>
          <w:szCs w:val="22"/>
        </w:rPr>
        <w:t xml:space="preserve"> NRC </w:t>
      </w:r>
      <w:r w:rsidR="006832F4">
        <w:rPr>
          <w:szCs w:val="22"/>
        </w:rPr>
        <w:t xml:space="preserve">of the event </w:t>
      </w:r>
      <w:r w:rsidR="00B04A5C">
        <w:rPr>
          <w:szCs w:val="22"/>
        </w:rPr>
        <w:t xml:space="preserve">pursuant to </w:t>
      </w:r>
      <w:r w:rsidR="00CA694F">
        <w:rPr>
          <w:szCs w:val="22"/>
        </w:rPr>
        <w:t>10</w:t>
      </w:r>
      <w:r w:rsidR="002E7336">
        <w:rPr>
          <w:szCs w:val="22"/>
        </w:rPr>
        <w:t> </w:t>
      </w:r>
      <w:r w:rsidR="00CA694F">
        <w:rPr>
          <w:szCs w:val="22"/>
        </w:rPr>
        <w:t>CFR</w:t>
      </w:r>
      <w:r w:rsidR="002D0A76">
        <w:rPr>
          <w:szCs w:val="22"/>
        </w:rPr>
        <w:t> </w:t>
      </w:r>
      <w:r w:rsidR="00CA694F">
        <w:rPr>
          <w:szCs w:val="22"/>
        </w:rPr>
        <w:t>73.1200</w:t>
      </w:r>
      <w:r w:rsidR="004D6C94">
        <w:rPr>
          <w:szCs w:val="22"/>
        </w:rPr>
        <w:t>(</w:t>
      </w:r>
      <w:r w:rsidR="00652762">
        <w:rPr>
          <w:szCs w:val="22"/>
        </w:rPr>
        <w:t>e)(3)</w:t>
      </w:r>
      <w:r w:rsidR="00203326">
        <w:rPr>
          <w:szCs w:val="22"/>
        </w:rPr>
        <w:t xml:space="preserve">, if the </w:t>
      </w:r>
      <w:r w:rsidR="00C94A6E">
        <w:rPr>
          <w:szCs w:val="22"/>
        </w:rPr>
        <w:t xml:space="preserve">LLEA response </w:t>
      </w:r>
      <w:r w:rsidRPr="00A5768B" w:rsidR="00C94A6E">
        <w:rPr>
          <w:rFonts w:eastAsia="Arial Unicode MS"/>
        </w:rPr>
        <w:t>could reasonably be expected to result in public or media inquiries</w:t>
      </w:r>
      <w:r w:rsidR="007F0830">
        <w:rPr>
          <w:rFonts w:eastAsia="Arial Unicode MS"/>
        </w:rPr>
        <w:t xml:space="preserve"> to the NRC</w:t>
      </w:r>
      <w:r w:rsidR="00CA694F">
        <w:rPr>
          <w:szCs w:val="22"/>
        </w:rPr>
        <w:t xml:space="preserve">.  </w:t>
      </w:r>
      <w:r w:rsidR="002E7BC2">
        <w:rPr>
          <w:szCs w:val="22"/>
        </w:rPr>
        <w:t xml:space="preserve"> </w:t>
      </w:r>
      <w:r w:rsidR="004B2722">
        <w:rPr>
          <w:szCs w:val="22"/>
        </w:rPr>
        <w:t>Licensees should refer to RG 5.62 for further guidance</w:t>
      </w:r>
      <w:r w:rsidR="00D355FE">
        <w:rPr>
          <w:szCs w:val="22"/>
        </w:rPr>
        <w:t xml:space="preserve"> on </w:t>
      </w:r>
      <w:r w:rsidR="007A262A">
        <w:rPr>
          <w:szCs w:val="22"/>
        </w:rPr>
        <w:t xml:space="preserve">such </w:t>
      </w:r>
      <w:r w:rsidR="0015066F">
        <w:rPr>
          <w:szCs w:val="22"/>
        </w:rPr>
        <w:t>a</w:t>
      </w:r>
      <w:r w:rsidR="00D355FE">
        <w:rPr>
          <w:szCs w:val="22"/>
        </w:rPr>
        <w:t xml:space="preserve"> notification.</w:t>
      </w:r>
    </w:p>
    <w:p w:rsidRPr="00D90A42" w:rsidR="003D08D3" w:rsidP="009C4F4D" w:rsidRDefault="003D08D3" w14:paraId="0DBAD320" w14:textId="77777777">
      <w:pPr>
        <w:ind w:firstLine="720"/>
        <w:rPr>
          <w:szCs w:val="22"/>
        </w:rPr>
      </w:pPr>
    </w:p>
    <w:p w:rsidRPr="00D90A42" w:rsidR="00F014F5" w:rsidP="00EB0E0F" w:rsidRDefault="00F014F5" w14:paraId="53423396" w14:textId="0CFA0BF4">
      <w:pPr>
        <w:pStyle w:val="Heading2"/>
        <w:keepLines/>
        <w:numPr>
          <w:ilvl w:val="0"/>
          <w:numId w:val="0"/>
        </w:numPr>
        <w:rPr>
          <w:szCs w:val="22"/>
        </w:rPr>
      </w:pPr>
      <w:bookmarkStart w:name="_Toc507400005" w:id="61"/>
      <w:bookmarkStart w:name="_Toc26362845" w:id="62"/>
      <w:bookmarkStart w:name="_Toc29213186" w:id="63"/>
      <w:bookmarkStart w:name="_Toc73021730" w:id="64"/>
      <w:r w:rsidRPr="00D90A42">
        <w:rPr>
          <w:szCs w:val="22"/>
        </w:rPr>
        <w:lastRenderedPageBreak/>
        <w:t>Reporting Timeliness</w:t>
      </w:r>
      <w:bookmarkEnd w:id="61"/>
      <w:bookmarkEnd w:id="62"/>
      <w:bookmarkEnd w:id="63"/>
      <w:r w:rsidR="002C3CE9">
        <w:rPr>
          <w:szCs w:val="22"/>
        </w:rPr>
        <w:t xml:space="preserve"> and Order of Pr</w:t>
      </w:r>
      <w:r w:rsidR="002F5018">
        <w:rPr>
          <w:szCs w:val="22"/>
        </w:rPr>
        <w:t>ecedence</w:t>
      </w:r>
      <w:bookmarkEnd w:id="64"/>
      <w:r w:rsidRPr="00D90A42">
        <w:rPr>
          <w:szCs w:val="22"/>
        </w:rPr>
        <w:t xml:space="preserve">   </w:t>
      </w:r>
    </w:p>
    <w:p w:rsidRPr="00D90A42" w:rsidR="00F014F5" w:rsidP="00EB0E0F" w:rsidRDefault="00F014F5" w14:paraId="2DC1EDD7" w14:textId="77777777">
      <w:pPr>
        <w:keepNext/>
        <w:keepLines/>
        <w:ind w:firstLine="720"/>
        <w:rPr>
          <w:szCs w:val="22"/>
        </w:rPr>
      </w:pPr>
    </w:p>
    <w:p w:rsidRPr="00D90A42" w:rsidR="00484227" w:rsidP="00EB0E0F" w:rsidRDefault="00F524A6" w14:paraId="03CE1D9C" w14:textId="7EBF5DEA">
      <w:pPr>
        <w:keepNext/>
        <w:keepLines/>
        <w:ind w:firstLine="720"/>
        <w:rPr>
          <w:szCs w:val="22"/>
        </w:rPr>
      </w:pPr>
      <w:r w:rsidRPr="00D90A42">
        <w:rPr>
          <w:szCs w:val="22"/>
        </w:rPr>
        <w:t>The regulations in</w:t>
      </w:r>
      <w:r w:rsidRPr="00D90A42" w:rsidR="00F014F5">
        <w:rPr>
          <w:szCs w:val="22"/>
        </w:rPr>
        <w:t xml:space="preserve"> </w:t>
      </w:r>
      <w:r w:rsidRPr="00D90A42" w:rsidR="006E6E4D">
        <w:rPr>
          <w:szCs w:val="22"/>
        </w:rPr>
        <w:t>10</w:t>
      </w:r>
      <w:r w:rsidRPr="00D90A42" w:rsidR="00FA6F75">
        <w:rPr>
          <w:szCs w:val="22"/>
        </w:rPr>
        <w:t> </w:t>
      </w:r>
      <w:r w:rsidRPr="00D90A42" w:rsidR="006E6E4D">
        <w:rPr>
          <w:szCs w:val="22"/>
        </w:rPr>
        <w:t>CFR</w:t>
      </w:r>
      <w:r w:rsidRPr="00D90A42" w:rsidR="00FA6F75">
        <w:rPr>
          <w:szCs w:val="22"/>
        </w:rPr>
        <w:t> </w:t>
      </w:r>
      <w:r w:rsidRPr="00D90A42" w:rsidR="006E6E4D">
        <w:rPr>
          <w:szCs w:val="22"/>
        </w:rPr>
        <w:t>73.1215</w:t>
      </w:r>
      <w:r w:rsidRPr="00D90A42">
        <w:rPr>
          <w:szCs w:val="22"/>
        </w:rPr>
        <w:t>(c) require</w:t>
      </w:r>
      <w:r w:rsidRPr="00D90A42" w:rsidR="00F014F5">
        <w:rPr>
          <w:szCs w:val="22"/>
        </w:rPr>
        <w:t xml:space="preserve"> licensees </w:t>
      </w:r>
      <w:r w:rsidRPr="00D90A42" w:rsidR="006C704E">
        <w:rPr>
          <w:szCs w:val="22"/>
        </w:rPr>
        <w:t xml:space="preserve">(or </w:t>
      </w:r>
      <w:r w:rsidRPr="00D90A42" w:rsidR="00762FB9">
        <w:rPr>
          <w:szCs w:val="22"/>
        </w:rPr>
        <w:t xml:space="preserve">a licensee’s </w:t>
      </w:r>
      <w:r w:rsidRPr="00D90A42" w:rsidR="006C704E">
        <w:rPr>
          <w:szCs w:val="22"/>
        </w:rPr>
        <w:t xml:space="preserve">movement control center for shipping activities) </w:t>
      </w:r>
      <w:r w:rsidRPr="00D90A42" w:rsidR="00F014F5">
        <w:rPr>
          <w:szCs w:val="22"/>
        </w:rPr>
        <w:t xml:space="preserve">to report suspicious activities </w:t>
      </w:r>
      <w:r w:rsidRPr="00D90A42" w:rsidR="0035307B">
        <w:rPr>
          <w:szCs w:val="22"/>
        </w:rPr>
        <w:t xml:space="preserve">applicable </w:t>
      </w:r>
      <w:r w:rsidRPr="00D90A42" w:rsidR="00F014F5">
        <w:rPr>
          <w:szCs w:val="22"/>
        </w:rPr>
        <w:t>to their fa</w:t>
      </w:r>
      <w:r w:rsidRPr="00D90A42" w:rsidR="00B81DB2">
        <w:rPr>
          <w:szCs w:val="22"/>
        </w:rPr>
        <w:t xml:space="preserve">cility, material, or </w:t>
      </w:r>
      <w:r w:rsidRPr="00D90A42" w:rsidR="003F621A">
        <w:rPr>
          <w:szCs w:val="22"/>
        </w:rPr>
        <w:t xml:space="preserve">shipping </w:t>
      </w:r>
      <w:r w:rsidRPr="00D90A42" w:rsidR="00B81DB2">
        <w:rPr>
          <w:szCs w:val="22"/>
        </w:rPr>
        <w:t>activity</w:t>
      </w:r>
      <w:r w:rsidRPr="00D90A42" w:rsidR="00441E51">
        <w:rPr>
          <w:szCs w:val="22"/>
        </w:rPr>
        <w:t xml:space="preserve"> </w:t>
      </w:r>
      <w:r w:rsidRPr="00D90A42" w:rsidR="001228F2">
        <w:rPr>
          <w:szCs w:val="22"/>
        </w:rPr>
        <w:t xml:space="preserve">as soon as </w:t>
      </w:r>
      <w:r w:rsidRPr="00D90A42" w:rsidR="007352D6">
        <w:rPr>
          <w:szCs w:val="22"/>
        </w:rPr>
        <w:t>possible</w:t>
      </w:r>
      <w:r w:rsidRPr="00D90A42" w:rsidR="001228F2">
        <w:rPr>
          <w:szCs w:val="22"/>
        </w:rPr>
        <w:t xml:space="preserve">, but within </w:t>
      </w:r>
      <w:r w:rsidR="00B014A7">
        <w:rPr>
          <w:szCs w:val="22"/>
        </w:rPr>
        <w:t>4</w:t>
      </w:r>
      <w:r w:rsidRPr="00D90A42" w:rsidR="00B014A7">
        <w:rPr>
          <w:szCs w:val="22"/>
        </w:rPr>
        <w:t xml:space="preserve"> </w:t>
      </w:r>
      <w:r w:rsidRPr="00D90A42" w:rsidR="001228F2">
        <w:rPr>
          <w:szCs w:val="22"/>
        </w:rPr>
        <w:t>hours of the time of discovery</w:t>
      </w:r>
      <w:r w:rsidRPr="00D90A42" w:rsidR="00385D55">
        <w:rPr>
          <w:szCs w:val="22"/>
        </w:rPr>
        <w:t xml:space="preserve"> in the following order:</w:t>
      </w:r>
      <w:r w:rsidRPr="00D90A42" w:rsidR="001228F2">
        <w:rPr>
          <w:szCs w:val="22"/>
        </w:rPr>
        <w:t xml:space="preserve"> </w:t>
      </w:r>
    </w:p>
    <w:p w:rsidRPr="00B9187C" w:rsidR="00484227" w:rsidP="00B9187C" w:rsidRDefault="00484227" w14:paraId="1552AE9C" w14:textId="77777777">
      <w:pPr>
        <w:ind w:firstLine="720"/>
        <w:rPr>
          <w:szCs w:val="22"/>
        </w:rPr>
      </w:pPr>
    </w:p>
    <w:p w:rsidRPr="00B9187C" w:rsidR="00C6710C" w:rsidP="00F61D84" w:rsidRDefault="002B0824" w14:paraId="20014E59" w14:textId="77777777">
      <w:pPr>
        <w:pStyle w:val="ListParagraph"/>
        <w:numPr>
          <w:ilvl w:val="0"/>
          <w:numId w:val="22"/>
        </w:numPr>
        <w:contextualSpacing w:val="0"/>
        <w:rPr>
          <w:sz w:val="22"/>
          <w:szCs w:val="22"/>
        </w:rPr>
      </w:pPr>
      <w:r w:rsidRPr="00B9187C">
        <w:rPr>
          <w:sz w:val="22"/>
          <w:szCs w:val="22"/>
        </w:rPr>
        <w:t>First, to t</w:t>
      </w:r>
      <w:r w:rsidRPr="00B9187C" w:rsidR="00F014F5">
        <w:rPr>
          <w:sz w:val="22"/>
          <w:szCs w:val="22"/>
        </w:rPr>
        <w:t>he</w:t>
      </w:r>
      <w:r w:rsidRPr="00B9187C" w:rsidR="00484227">
        <w:rPr>
          <w:sz w:val="22"/>
          <w:szCs w:val="22"/>
        </w:rPr>
        <w:t xml:space="preserve"> </w:t>
      </w:r>
      <w:r w:rsidRPr="00B9187C" w:rsidR="006C704E">
        <w:rPr>
          <w:sz w:val="22"/>
          <w:szCs w:val="22"/>
        </w:rPr>
        <w:t xml:space="preserve">applicable </w:t>
      </w:r>
      <w:proofErr w:type="gramStart"/>
      <w:r w:rsidRPr="00B9187C" w:rsidR="00484227">
        <w:rPr>
          <w:sz w:val="22"/>
          <w:szCs w:val="22"/>
        </w:rPr>
        <w:t>LLEA</w:t>
      </w:r>
      <w:r w:rsidRPr="00B9187C" w:rsidR="0013284D">
        <w:rPr>
          <w:sz w:val="22"/>
          <w:szCs w:val="22"/>
        </w:rPr>
        <w:t>;</w:t>
      </w:r>
      <w:proofErr w:type="gramEnd"/>
    </w:p>
    <w:p w:rsidRPr="00B9187C" w:rsidR="00140DFC" w:rsidP="00B9187C" w:rsidRDefault="00140DFC" w14:paraId="6D275E3B" w14:textId="77777777">
      <w:pPr>
        <w:pStyle w:val="ListParagraph"/>
        <w:ind w:left="1440"/>
        <w:contextualSpacing w:val="0"/>
        <w:rPr>
          <w:sz w:val="22"/>
          <w:szCs w:val="22"/>
        </w:rPr>
      </w:pPr>
      <w:r w:rsidRPr="00B9187C">
        <w:rPr>
          <w:sz w:val="22"/>
          <w:szCs w:val="22"/>
        </w:rPr>
        <w:t xml:space="preserve"> </w:t>
      </w:r>
      <w:r w:rsidRPr="00B9187C" w:rsidR="00671DF9">
        <w:rPr>
          <w:sz w:val="22"/>
          <w:szCs w:val="22"/>
        </w:rPr>
        <w:t xml:space="preserve"> </w:t>
      </w:r>
    </w:p>
    <w:p w:rsidR="00224894" w:rsidP="000428CE" w:rsidRDefault="005814F5" w14:paraId="1A56FC97" w14:textId="77777777">
      <w:pPr>
        <w:ind w:left="1440" w:hanging="720"/>
        <w:rPr>
          <w:szCs w:val="22"/>
        </w:rPr>
      </w:pPr>
      <w:r w:rsidRPr="00B9187C">
        <w:rPr>
          <w:b/>
          <w:szCs w:val="22"/>
        </w:rPr>
        <w:t>Notes:</w:t>
      </w:r>
      <w:r w:rsidRPr="00B9187C" w:rsidR="007752FF">
        <w:rPr>
          <w:b/>
          <w:szCs w:val="22"/>
        </w:rPr>
        <w:tab/>
      </w:r>
      <w:r w:rsidRPr="00B9187C">
        <w:rPr>
          <w:szCs w:val="22"/>
        </w:rPr>
        <w:t xml:space="preserve">The applicable LLEA </w:t>
      </w:r>
      <w:r w:rsidRPr="00B9187C" w:rsidR="00FE1034">
        <w:rPr>
          <w:szCs w:val="22"/>
        </w:rPr>
        <w:t xml:space="preserve">refers to </w:t>
      </w:r>
      <w:r w:rsidRPr="00B9187C">
        <w:rPr>
          <w:szCs w:val="22"/>
        </w:rPr>
        <w:t xml:space="preserve">the agency with jurisdiction over the site </w:t>
      </w:r>
      <w:r w:rsidRPr="00B9187C" w:rsidR="00FE1034">
        <w:rPr>
          <w:szCs w:val="22"/>
        </w:rPr>
        <w:t>containing the</w:t>
      </w:r>
      <w:r w:rsidRPr="00B9187C">
        <w:rPr>
          <w:szCs w:val="22"/>
        </w:rPr>
        <w:t xml:space="preserve"> facility or material.</w:t>
      </w:r>
    </w:p>
    <w:p w:rsidR="00224894" w:rsidP="00224894" w:rsidRDefault="00224894" w14:paraId="1624E9C6" w14:textId="77777777">
      <w:pPr>
        <w:ind w:left="1350" w:hanging="630"/>
        <w:rPr>
          <w:szCs w:val="22"/>
        </w:rPr>
      </w:pPr>
    </w:p>
    <w:p w:rsidRPr="00241873" w:rsidR="005814F5" w:rsidP="000428CE" w:rsidRDefault="005814F5" w14:paraId="21291E42" w14:textId="002A0240">
      <w:pPr>
        <w:ind w:left="1440"/>
        <w:rPr>
          <w:szCs w:val="22"/>
        </w:rPr>
      </w:pPr>
      <w:r w:rsidRPr="00B9187C">
        <w:rPr>
          <w:szCs w:val="22"/>
        </w:rPr>
        <w:t xml:space="preserve">For </w:t>
      </w:r>
      <w:r w:rsidRPr="00B9187C" w:rsidR="00FE1034">
        <w:rPr>
          <w:szCs w:val="22"/>
        </w:rPr>
        <w:t>licensees located on a college campus, the applicable LLEA refers to a city or county police department or a sheriff’s department</w:t>
      </w:r>
      <w:r w:rsidRPr="00B9187C" w:rsidR="00B157FA">
        <w:rPr>
          <w:szCs w:val="22"/>
        </w:rPr>
        <w:t xml:space="preserve"> and may</w:t>
      </w:r>
      <w:r w:rsidRPr="00B9187C" w:rsidR="0064418C">
        <w:rPr>
          <w:szCs w:val="22"/>
        </w:rPr>
        <w:t xml:space="preserve"> also</w:t>
      </w:r>
      <w:r w:rsidRPr="00B9187C" w:rsidR="00B157FA">
        <w:rPr>
          <w:szCs w:val="22"/>
        </w:rPr>
        <w:t xml:space="preserve"> </w:t>
      </w:r>
      <w:r w:rsidRPr="005B4F6A" w:rsidR="00FE1034">
        <w:rPr>
          <w:szCs w:val="22"/>
        </w:rPr>
        <w:t>refer to a campus police department</w:t>
      </w:r>
      <w:r w:rsidRPr="005B4F6A" w:rsidR="005C619F">
        <w:rPr>
          <w:szCs w:val="22"/>
        </w:rPr>
        <w:t>, depending on jurisdiction</w:t>
      </w:r>
      <w:r w:rsidR="002E7BC2">
        <w:rPr>
          <w:szCs w:val="22"/>
        </w:rPr>
        <w:t xml:space="preserve">. </w:t>
      </w:r>
      <w:r w:rsidRPr="005B4F6A" w:rsidR="00101901">
        <w:rPr>
          <w:szCs w:val="22"/>
        </w:rPr>
        <w:t xml:space="preserve">If campus police have jurisdiction over the </w:t>
      </w:r>
      <w:proofErr w:type="gramStart"/>
      <w:r w:rsidRPr="005B4F6A" w:rsidR="00D911C9">
        <w:rPr>
          <w:szCs w:val="22"/>
        </w:rPr>
        <w:t>site</w:t>
      </w:r>
      <w:proofErr w:type="gramEnd"/>
      <w:r w:rsidRPr="005B4F6A" w:rsidR="00101901">
        <w:rPr>
          <w:szCs w:val="22"/>
        </w:rPr>
        <w:t xml:space="preserve"> then licensees</w:t>
      </w:r>
      <w:r w:rsidRPr="005B4F6A" w:rsidR="00BE3BCA">
        <w:rPr>
          <w:szCs w:val="22"/>
        </w:rPr>
        <w:t xml:space="preserve"> </w:t>
      </w:r>
      <w:r w:rsidRPr="005B4F6A" w:rsidR="00AB0BD0">
        <w:rPr>
          <w:szCs w:val="22"/>
        </w:rPr>
        <w:t>may also report the suspicious activity to the</w:t>
      </w:r>
      <w:r w:rsidRPr="00A33876" w:rsidR="00BE3BCA">
        <w:rPr>
          <w:szCs w:val="22"/>
        </w:rPr>
        <w:t xml:space="preserve"> local </w:t>
      </w:r>
      <w:r w:rsidRPr="00A33876" w:rsidR="00FC1E5D">
        <w:rPr>
          <w:szCs w:val="22"/>
        </w:rPr>
        <w:t>off</w:t>
      </w:r>
      <w:r w:rsidRPr="00A33876" w:rsidR="00AB0BD0">
        <w:rPr>
          <w:szCs w:val="22"/>
        </w:rPr>
        <w:t xml:space="preserve"> </w:t>
      </w:r>
      <w:r w:rsidRPr="00A33876" w:rsidR="001777C9">
        <w:rPr>
          <w:szCs w:val="22"/>
        </w:rPr>
        <w:t xml:space="preserve">campus </w:t>
      </w:r>
      <w:r w:rsidRPr="00241873" w:rsidR="00AB0BD0">
        <w:rPr>
          <w:szCs w:val="22"/>
        </w:rPr>
        <w:t>police department,</w:t>
      </w:r>
      <w:r w:rsidRPr="00241873" w:rsidR="001777C9">
        <w:rPr>
          <w:szCs w:val="22"/>
        </w:rPr>
        <w:t xml:space="preserve"> as appropriate</w:t>
      </w:r>
      <w:r w:rsidRPr="00241873" w:rsidR="00FE1034">
        <w:rPr>
          <w:szCs w:val="22"/>
        </w:rPr>
        <w:t>.</w:t>
      </w:r>
    </w:p>
    <w:p w:rsidRPr="00241873" w:rsidR="00FE1034" w:rsidP="00F61D84" w:rsidRDefault="00FE1034" w14:paraId="417A8ED6" w14:textId="77777777">
      <w:pPr>
        <w:ind w:left="1350"/>
        <w:rPr>
          <w:szCs w:val="22"/>
        </w:rPr>
      </w:pPr>
    </w:p>
    <w:p w:rsidRPr="00241873" w:rsidR="00FE1034" w:rsidP="00C94F49" w:rsidRDefault="00FE1034" w14:paraId="15C67ED0" w14:textId="77777777">
      <w:pPr>
        <w:ind w:left="1440"/>
        <w:rPr>
          <w:szCs w:val="22"/>
        </w:rPr>
      </w:pPr>
      <w:r w:rsidRPr="00241873">
        <w:rPr>
          <w:szCs w:val="22"/>
        </w:rPr>
        <w:t xml:space="preserve">For shipping activities, the applicable LLEA refers to the agency with jurisdiction over the </w:t>
      </w:r>
      <w:r w:rsidRPr="00241873" w:rsidR="006C1E5F">
        <w:rPr>
          <w:szCs w:val="22"/>
        </w:rPr>
        <w:t xml:space="preserve">physical </w:t>
      </w:r>
      <w:r w:rsidRPr="00241873">
        <w:rPr>
          <w:szCs w:val="22"/>
        </w:rPr>
        <w:t>location where the suspicious activity occurred.</w:t>
      </w:r>
    </w:p>
    <w:p w:rsidRPr="00C7721E" w:rsidR="00FE1034" w:rsidP="00283CAE" w:rsidRDefault="00FE1034" w14:paraId="7AFBA795" w14:textId="77777777">
      <w:pPr>
        <w:ind w:left="1440"/>
        <w:rPr>
          <w:szCs w:val="22"/>
        </w:rPr>
      </w:pPr>
    </w:p>
    <w:p w:rsidRPr="00295E00" w:rsidR="00140DFC" w:rsidP="00F61D84" w:rsidRDefault="002B0824" w14:paraId="2358FDE9" w14:textId="77777777">
      <w:pPr>
        <w:pStyle w:val="ListParagraph"/>
        <w:numPr>
          <w:ilvl w:val="0"/>
          <w:numId w:val="22"/>
        </w:numPr>
        <w:contextualSpacing w:val="0"/>
        <w:rPr>
          <w:sz w:val="22"/>
          <w:szCs w:val="22"/>
        </w:rPr>
      </w:pPr>
      <w:r w:rsidRPr="00C7721E">
        <w:rPr>
          <w:sz w:val="22"/>
          <w:szCs w:val="22"/>
        </w:rPr>
        <w:t>Second, to t</w:t>
      </w:r>
      <w:r w:rsidRPr="00C7721E" w:rsidR="00140DFC">
        <w:rPr>
          <w:sz w:val="22"/>
          <w:szCs w:val="22"/>
        </w:rPr>
        <w:t>he</w:t>
      </w:r>
      <w:r w:rsidRPr="00295E00" w:rsidR="0064418C">
        <w:rPr>
          <w:sz w:val="22"/>
          <w:szCs w:val="22"/>
        </w:rPr>
        <w:t xml:space="preserve"> </w:t>
      </w:r>
      <w:r w:rsidRPr="00295E00" w:rsidR="00DB32BC">
        <w:rPr>
          <w:sz w:val="22"/>
          <w:szCs w:val="22"/>
        </w:rPr>
        <w:t xml:space="preserve">applicable </w:t>
      </w:r>
      <w:r w:rsidRPr="00295E00" w:rsidR="003F621A">
        <w:rPr>
          <w:sz w:val="22"/>
          <w:szCs w:val="22"/>
        </w:rPr>
        <w:t>FBI</w:t>
      </w:r>
      <w:r w:rsidRPr="00295E00" w:rsidR="00140DFC">
        <w:rPr>
          <w:sz w:val="22"/>
          <w:szCs w:val="22"/>
        </w:rPr>
        <w:t xml:space="preserve"> local field </w:t>
      </w:r>
      <w:proofErr w:type="gramStart"/>
      <w:r w:rsidRPr="00295E00" w:rsidR="00140DFC">
        <w:rPr>
          <w:sz w:val="22"/>
          <w:szCs w:val="22"/>
        </w:rPr>
        <w:t>office</w:t>
      </w:r>
      <w:r w:rsidRPr="00295E00" w:rsidR="0013284D">
        <w:rPr>
          <w:sz w:val="22"/>
          <w:szCs w:val="22"/>
        </w:rPr>
        <w:t>;</w:t>
      </w:r>
      <w:proofErr w:type="gramEnd"/>
    </w:p>
    <w:p w:rsidRPr="00295E00" w:rsidR="00C6710C" w:rsidP="00B9187C" w:rsidRDefault="00C6710C" w14:paraId="28119402" w14:textId="77777777">
      <w:pPr>
        <w:ind w:left="720"/>
        <w:rPr>
          <w:szCs w:val="22"/>
        </w:rPr>
      </w:pPr>
    </w:p>
    <w:p w:rsidRPr="00F1633C" w:rsidR="00C6710C" w:rsidP="00C94F49" w:rsidRDefault="00C6710C" w14:paraId="4567EBB1" w14:textId="77777777">
      <w:pPr>
        <w:ind w:left="1440" w:hanging="720"/>
        <w:rPr>
          <w:szCs w:val="22"/>
        </w:rPr>
      </w:pPr>
      <w:r w:rsidRPr="00295E00">
        <w:rPr>
          <w:b/>
          <w:szCs w:val="22"/>
        </w:rPr>
        <w:t>Note:</w:t>
      </w:r>
      <w:r w:rsidRPr="00295E00" w:rsidR="007752FF">
        <w:rPr>
          <w:b/>
          <w:szCs w:val="22"/>
        </w:rPr>
        <w:tab/>
      </w:r>
      <w:r w:rsidRPr="00295E00" w:rsidR="000B1F7C">
        <w:rPr>
          <w:szCs w:val="22"/>
        </w:rPr>
        <w:t xml:space="preserve">See Staff Regulatory Guidance position </w:t>
      </w:r>
      <w:r w:rsidRPr="00295E00" w:rsidR="000A3842">
        <w:rPr>
          <w:szCs w:val="22"/>
        </w:rPr>
        <w:t>4</w:t>
      </w:r>
      <w:r w:rsidRPr="00295E00" w:rsidR="000B1F7C">
        <w:rPr>
          <w:szCs w:val="22"/>
        </w:rPr>
        <w:t xml:space="preserve"> for further guidance on determining the applicable FBI local field office for </w:t>
      </w:r>
      <w:r w:rsidRPr="00821BA0" w:rsidR="00390819">
        <w:rPr>
          <w:szCs w:val="22"/>
        </w:rPr>
        <w:t xml:space="preserve">reporting suspicious activities for </w:t>
      </w:r>
      <w:r w:rsidRPr="00821BA0" w:rsidR="000B1F7C">
        <w:rPr>
          <w:szCs w:val="22"/>
        </w:rPr>
        <w:t>shipping activities.</w:t>
      </w:r>
    </w:p>
    <w:p w:rsidRPr="00F1633C" w:rsidR="000B1F7C" w:rsidP="005B4F6A" w:rsidRDefault="000B1F7C" w14:paraId="3EC9AC68" w14:textId="77777777">
      <w:pPr>
        <w:ind w:left="720"/>
        <w:rPr>
          <w:szCs w:val="22"/>
        </w:rPr>
      </w:pPr>
    </w:p>
    <w:p w:rsidRPr="005017C4" w:rsidR="00494107" w:rsidP="00F61D84" w:rsidRDefault="002B0824" w14:paraId="59E7FA15" w14:textId="77777777">
      <w:pPr>
        <w:pStyle w:val="ListParagraph"/>
        <w:numPr>
          <w:ilvl w:val="0"/>
          <w:numId w:val="22"/>
        </w:numPr>
        <w:rPr>
          <w:sz w:val="22"/>
          <w:szCs w:val="22"/>
        </w:rPr>
      </w:pPr>
      <w:r w:rsidRPr="00F1633C">
        <w:rPr>
          <w:sz w:val="22"/>
          <w:szCs w:val="22"/>
        </w:rPr>
        <w:t>Third, to</w:t>
      </w:r>
      <w:r w:rsidRPr="00EF2B6D" w:rsidR="00CE2543">
        <w:rPr>
          <w:sz w:val="22"/>
          <w:szCs w:val="22"/>
        </w:rPr>
        <w:t xml:space="preserve"> </w:t>
      </w:r>
      <w:r w:rsidRPr="00EF2B6D">
        <w:rPr>
          <w:sz w:val="22"/>
          <w:szCs w:val="22"/>
        </w:rPr>
        <w:t>t</w:t>
      </w:r>
      <w:r w:rsidRPr="00EF2B6D" w:rsidR="00140DFC">
        <w:rPr>
          <w:sz w:val="22"/>
          <w:szCs w:val="22"/>
        </w:rPr>
        <w:t>he NRC Headquarters Operations Center</w:t>
      </w:r>
      <w:r w:rsidRPr="00EF2B6D" w:rsidR="0013284D">
        <w:rPr>
          <w:sz w:val="22"/>
          <w:szCs w:val="22"/>
        </w:rPr>
        <w:t>; and</w:t>
      </w:r>
    </w:p>
    <w:p w:rsidRPr="005017C4" w:rsidR="00494107" w:rsidP="005B4F6A" w:rsidRDefault="00494107" w14:paraId="3371CB7A" w14:textId="77777777">
      <w:pPr>
        <w:pStyle w:val="ListParagraph"/>
        <w:ind w:left="1080"/>
        <w:rPr>
          <w:sz w:val="22"/>
          <w:szCs w:val="22"/>
        </w:rPr>
      </w:pPr>
    </w:p>
    <w:p w:rsidRPr="009C4F4D" w:rsidR="000B1F7C" w:rsidP="00F61D84" w:rsidRDefault="002B0824" w14:paraId="2F97C49D" w14:textId="77777777">
      <w:pPr>
        <w:pStyle w:val="ListParagraph"/>
        <w:numPr>
          <w:ilvl w:val="0"/>
          <w:numId w:val="22"/>
        </w:numPr>
        <w:rPr>
          <w:sz w:val="22"/>
          <w:szCs w:val="22"/>
        </w:rPr>
      </w:pPr>
      <w:r w:rsidRPr="005017C4">
        <w:rPr>
          <w:sz w:val="22"/>
          <w:szCs w:val="22"/>
        </w:rPr>
        <w:t xml:space="preserve">Lastly, to </w:t>
      </w:r>
      <w:r w:rsidRPr="00712BBC" w:rsidR="009B132C">
        <w:rPr>
          <w:sz w:val="22"/>
          <w:szCs w:val="22"/>
        </w:rPr>
        <w:t xml:space="preserve">the </w:t>
      </w:r>
      <w:r w:rsidRPr="00712BBC" w:rsidR="006C1E5F">
        <w:rPr>
          <w:sz w:val="22"/>
          <w:szCs w:val="22"/>
        </w:rPr>
        <w:t xml:space="preserve">applicable </w:t>
      </w:r>
      <w:r w:rsidRPr="00712BBC" w:rsidR="003B2FB8">
        <w:rPr>
          <w:sz w:val="22"/>
          <w:szCs w:val="22"/>
        </w:rPr>
        <w:t xml:space="preserve">FAA </w:t>
      </w:r>
      <w:r w:rsidRPr="00712BBC" w:rsidR="00264AA1">
        <w:rPr>
          <w:sz w:val="22"/>
          <w:szCs w:val="22"/>
        </w:rPr>
        <w:t xml:space="preserve">local </w:t>
      </w:r>
      <w:r w:rsidRPr="00652773" w:rsidR="003B2FB8">
        <w:rPr>
          <w:sz w:val="22"/>
          <w:szCs w:val="22"/>
        </w:rPr>
        <w:t xml:space="preserve">control </w:t>
      </w:r>
      <w:proofErr w:type="gramStart"/>
      <w:r w:rsidRPr="00652773" w:rsidR="003B2FB8">
        <w:rPr>
          <w:sz w:val="22"/>
          <w:szCs w:val="22"/>
        </w:rPr>
        <w:t>tower, i</w:t>
      </w:r>
      <w:r w:rsidRPr="00652773" w:rsidR="00494107">
        <w:rPr>
          <w:sz w:val="22"/>
          <w:szCs w:val="22"/>
        </w:rPr>
        <w:t>f</w:t>
      </w:r>
      <w:proofErr w:type="gramEnd"/>
      <w:r w:rsidRPr="00652773" w:rsidR="00494107">
        <w:rPr>
          <w:sz w:val="22"/>
          <w:szCs w:val="22"/>
        </w:rPr>
        <w:t xml:space="preserve"> the suspicious activity involves aircraft </w:t>
      </w:r>
      <w:r w:rsidRPr="009C4F4D" w:rsidR="007A7626">
        <w:rPr>
          <w:sz w:val="22"/>
          <w:szCs w:val="22"/>
        </w:rPr>
        <w:t xml:space="preserve">overflights in proximity </w:t>
      </w:r>
      <w:r w:rsidRPr="009C4F4D" w:rsidR="009B132C">
        <w:rPr>
          <w:sz w:val="22"/>
          <w:szCs w:val="22"/>
        </w:rPr>
        <w:t xml:space="preserve">to </w:t>
      </w:r>
      <w:r w:rsidRPr="009C4F4D" w:rsidR="007A7626">
        <w:rPr>
          <w:sz w:val="22"/>
          <w:szCs w:val="22"/>
        </w:rPr>
        <w:t>the licensee’s facility</w:t>
      </w:r>
      <w:r w:rsidRPr="009C4F4D" w:rsidR="00494107">
        <w:rPr>
          <w:sz w:val="22"/>
          <w:szCs w:val="22"/>
        </w:rPr>
        <w:t>.</w:t>
      </w:r>
      <w:r w:rsidRPr="009C4F4D" w:rsidR="00671DF9">
        <w:rPr>
          <w:sz w:val="22"/>
          <w:szCs w:val="22"/>
        </w:rPr>
        <w:t xml:space="preserve"> </w:t>
      </w:r>
    </w:p>
    <w:p w:rsidRPr="009C4F4D" w:rsidR="000B1F7C" w:rsidP="005B4F6A" w:rsidRDefault="000B1F7C" w14:paraId="6C5E84D6" w14:textId="77777777">
      <w:pPr>
        <w:ind w:left="720"/>
        <w:rPr>
          <w:szCs w:val="22"/>
        </w:rPr>
      </w:pPr>
    </w:p>
    <w:p w:rsidR="0033442D" w:rsidP="0073513E" w:rsidRDefault="000B1F7C" w14:paraId="35A51EBA" w14:textId="781EEF6E">
      <w:pPr>
        <w:tabs>
          <w:tab w:val="left" w:pos="1620"/>
        </w:tabs>
        <w:ind w:left="1440" w:hanging="720"/>
        <w:rPr>
          <w:szCs w:val="22"/>
        </w:rPr>
      </w:pPr>
      <w:r w:rsidRPr="009C4F4D">
        <w:rPr>
          <w:b/>
          <w:szCs w:val="22"/>
        </w:rPr>
        <w:t>Note:</w:t>
      </w:r>
      <w:r w:rsidRPr="00576624" w:rsidR="007752FF">
        <w:rPr>
          <w:b/>
          <w:szCs w:val="22"/>
        </w:rPr>
        <w:tab/>
      </w:r>
      <w:r w:rsidRPr="00576624">
        <w:rPr>
          <w:szCs w:val="22"/>
        </w:rPr>
        <w:t>The requirement to</w:t>
      </w:r>
      <w:r w:rsidRPr="00576624" w:rsidR="006C1E5F">
        <w:rPr>
          <w:szCs w:val="22"/>
        </w:rPr>
        <w:t xml:space="preserve"> report suspicious aircraft activities to applicable FAA </w:t>
      </w:r>
      <w:r w:rsidRPr="00576624" w:rsidR="003250B8">
        <w:rPr>
          <w:szCs w:val="22"/>
        </w:rPr>
        <w:t xml:space="preserve">local </w:t>
      </w:r>
      <w:r w:rsidRPr="003D6372" w:rsidR="006C1E5F">
        <w:rPr>
          <w:szCs w:val="22"/>
        </w:rPr>
        <w:t>control tower applies only to facilit</w:t>
      </w:r>
      <w:r w:rsidRPr="003D6372" w:rsidR="00A31D26">
        <w:rPr>
          <w:szCs w:val="22"/>
        </w:rPr>
        <w:t>ies and materials subject to 10 CFR </w:t>
      </w:r>
      <w:r w:rsidRPr="003D6372" w:rsidR="006C1E5F">
        <w:rPr>
          <w:szCs w:val="22"/>
        </w:rPr>
        <w:t>73.1</w:t>
      </w:r>
      <w:r w:rsidRPr="00B0515C" w:rsidR="006C1E5F">
        <w:rPr>
          <w:szCs w:val="22"/>
        </w:rPr>
        <w:t>215(d).</w:t>
      </w:r>
    </w:p>
    <w:p w:rsidR="0033442D" w:rsidP="00F61D84" w:rsidRDefault="0033442D" w14:paraId="6AD24034" w14:textId="615C38A0">
      <w:pPr>
        <w:tabs>
          <w:tab w:val="left" w:pos="1620"/>
        </w:tabs>
        <w:ind w:left="1350" w:hanging="630"/>
        <w:rPr>
          <w:szCs w:val="22"/>
        </w:rPr>
      </w:pPr>
    </w:p>
    <w:p w:rsidR="00D8373E" w:rsidP="0007265E" w:rsidRDefault="00C8192F" w14:paraId="29F5407F" w14:textId="28118C74">
      <w:pPr>
        <w:tabs>
          <w:tab w:val="left" w:pos="1620"/>
        </w:tabs>
        <w:ind w:firstLine="720"/>
        <w:rPr>
          <w:szCs w:val="22"/>
        </w:rPr>
      </w:pPr>
      <w:bookmarkStart w:name="_Hlk69737123" w:id="65"/>
      <w:r>
        <w:rPr>
          <w:szCs w:val="22"/>
        </w:rPr>
        <w:t>Under 10 CFR 73.1215(c)(2)</w:t>
      </w:r>
      <w:r w:rsidR="005977FE">
        <w:rPr>
          <w:szCs w:val="22"/>
        </w:rPr>
        <w:t xml:space="preserve">, </w:t>
      </w:r>
      <w:r w:rsidR="000E1831">
        <w:rPr>
          <w:szCs w:val="22"/>
        </w:rPr>
        <w:t xml:space="preserve">a </w:t>
      </w:r>
      <w:r w:rsidR="005977FE">
        <w:rPr>
          <w:szCs w:val="22"/>
        </w:rPr>
        <w:t>licensee must promptly</w:t>
      </w:r>
      <w:r w:rsidR="00D72044">
        <w:rPr>
          <w:szCs w:val="22"/>
        </w:rPr>
        <w:t xml:space="preserve"> assess whether an activity is suspicious.</w:t>
      </w:r>
      <w:r w:rsidR="00CE63C2">
        <w:rPr>
          <w:szCs w:val="22"/>
        </w:rPr>
        <w:t xml:space="preserve"> </w:t>
      </w:r>
      <w:r w:rsidR="000E1831">
        <w:rPr>
          <w:szCs w:val="22"/>
        </w:rPr>
        <w:t>However, i</w:t>
      </w:r>
      <w:r w:rsidR="0003211C">
        <w:rPr>
          <w:szCs w:val="22"/>
        </w:rPr>
        <w:t xml:space="preserve">n </w:t>
      </w:r>
      <w:r w:rsidR="00A9120F">
        <w:rPr>
          <w:szCs w:val="22"/>
        </w:rPr>
        <w:t>completing the assessment process</w:t>
      </w:r>
      <w:r w:rsidR="0003211C">
        <w:rPr>
          <w:szCs w:val="22"/>
        </w:rPr>
        <w:t xml:space="preserve">, </w:t>
      </w:r>
      <w:r w:rsidR="000E1831">
        <w:rPr>
          <w:szCs w:val="22"/>
        </w:rPr>
        <w:t xml:space="preserve">a </w:t>
      </w:r>
      <w:r w:rsidR="0003211C">
        <w:rPr>
          <w:szCs w:val="22"/>
        </w:rPr>
        <w:t>l</w:t>
      </w:r>
      <w:r w:rsidR="00CE63C2">
        <w:rPr>
          <w:szCs w:val="22"/>
        </w:rPr>
        <w:t>icensee may review additional information</w:t>
      </w:r>
      <w:r w:rsidR="00F6381F">
        <w:rPr>
          <w:szCs w:val="22"/>
        </w:rPr>
        <w:t xml:space="preserve">, </w:t>
      </w:r>
      <w:r w:rsidR="00F3024C">
        <w:rPr>
          <w:szCs w:val="22"/>
        </w:rPr>
        <w:t>including interacti</w:t>
      </w:r>
      <w:r w:rsidR="0003211C">
        <w:rPr>
          <w:szCs w:val="22"/>
        </w:rPr>
        <w:t>ng</w:t>
      </w:r>
      <w:r w:rsidR="00B30692">
        <w:rPr>
          <w:szCs w:val="22"/>
        </w:rPr>
        <w:t xml:space="preserve"> with LLEA, </w:t>
      </w:r>
      <w:r w:rsidR="007A14D3">
        <w:rPr>
          <w:szCs w:val="22"/>
        </w:rPr>
        <w:t>to assess whether the activity is suspicious</w:t>
      </w:r>
      <w:r w:rsidR="005F45CD">
        <w:rPr>
          <w:szCs w:val="22"/>
        </w:rPr>
        <w:t xml:space="preserve">. </w:t>
      </w:r>
      <w:r w:rsidR="0086325D">
        <w:rPr>
          <w:szCs w:val="22"/>
        </w:rPr>
        <w:t>Additionally, f</w:t>
      </w:r>
      <w:r w:rsidR="005F45CD">
        <w:rPr>
          <w:szCs w:val="22"/>
        </w:rPr>
        <w:t>or potentially</w:t>
      </w:r>
      <w:r w:rsidR="00BD0F53">
        <w:rPr>
          <w:szCs w:val="22"/>
        </w:rPr>
        <w:t xml:space="preserve"> suspicious aircraft </w:t>
      </w:r>
      <w:r w:rsidR="0003211C">
        <w:rPr>
          <w:szCs w:val="22"/>
        </w:rPr>
        <w:t>activity</w:t>
      </w:r>
      <w:r w:rsidR="00F34A73">
        <w:rPr>
          <w:szCs w:val="22"/>
        </w:rPr>
        <w:t xml:space="preserve">, the licensee may </w:t>
      </w:r>
      <w:r w:rsidR="00E10603">
        <w:rPr>
          <w:szCs w:val="22"/>
        </w:rPr>
        <w:t xml:space="preserve">also </w:t>
      </w:r>
      <w:r w:rsidR="00F34A73">
        <w:rPr>
          <w:szCs w:val="22"/>
        </w:rPr>
        <w:t>interact</w:t>
      </w:r>
      <w:r w:rsidR="00B30692">
        <w:rPr>
          <w:szCs w:val="22"/>
        </w:rPr>
        <w:t xml:space="preserve"> </w:t>
      </w:r>
      <w:r w:rsidR="002E3324">
        <w:rPr>
          <w:szCs w:val="22"/>
        </w:rPr>
        <w:t xml:space="preserve">with the applicable FAA local control tower </w:t>
      </w:r>
      <w:r w:rsidR="0086325D">
        <w:rPr>
          <w:szCs w:val="22"/>
        </w:rPr>
        <w:t>and/</w:t>
      </w:r>
      <w:r w:rsidR="002E3324">
        <w:rPr>
          <w:szCs w:val="22"/>
        </w:rPr>
        <w:t xml:space="preserve">or </w:t>
      </w:r>
      <w:r w:rsidR="004A578A">
        <w:rPr>
          <w:szCs w:val="22"/>
        </w:rPr>
        <w:t xml:space="preserve">nearby </w:t>
      </w:r>
      <w:r w:rsidR="002E3324">
        <w:rPr>
          <w:szCs w:val="22"/>
        </w:rPr>
        <w:t>milit</w:t>
      </w:r>
      <w:r w:rsidR="004A578A">
        <w:rPr>
          <w:szCs w:val="22"/>
        </w:rPr>
        <w:t>ary airfield</w:t>
      </w:r>
      <w:r w:rsidR="00A951C2">
        <w:rPr>
          <w:szCs w:val="22"/>
        </w:rPr>
        <w:t>, to assess whether the activity is suspicious</w:t>
      </w:r>
      <w:r w:rsidR="00D8322D">
        <w:rPr>
          <w:szCs w:val="22"/>
        </w:rPr>
        <w:t xml:space="preserve">. </w:t>
      </w:r>
      <w:bookmarkEnd w:id="65"/>
      <w:r w:rsidR="00D8322D">
        <w:rPr>
          <w:szCs w:val="22"/>
        </w:rPr>
        <w:t>See Appendix A for further guidance.</w:t>
      </w:r>
    </w:p>
    <w:p w:rsidRPr="00B0515C" w:rsidR="00F014F5" w:rsidP="00A33876" w:rsidRDefault="00F014F5" w14:paraId="04444C27" w14:textId="4903D712">
      <w:pPr>
        <w:ind w:firstLine="720"/>
        <w:rPr>
          <w:szCs w:val="22"/>
        </w:rPr>
      </w:pPr>
    </w:p>
    <w:p w:rsidRPr="00691926" w:rsidR="00C93601" w:rsidP="002F793B" w:rsidRDefault="00C93601" w14:paraId="4B2A1895" w14:textId="77777777">
      <w:pPr>
        <w:pStyle w:val="Heading2"/>
        <w:keepNext w:val="0"/>
        <w:numPr>
          <w:ilvl w:val="0"/>
          <w:numId w:val="0"/>
        </w:numPr>
        <w:rPr>
          <w:szCs w:val="22"/>
        </w:rPr>
      </w:pPr>
      <w:bookmarkStart w:name="_Toc507400006" w:id="66"/>
      <w:bookmarkStart w:name="_Toc26362846" w:id="67"/>
      <w:bookmarkStart w:name="_Toc29213187" w:id="68"/>
      <w:bookmarkStart w:name="_Toc73021731" w:id="69"/>
      <w:r w:rsidRPr="00B0515C">
        <w:rPr>
          <w:szCs w:val="22"/>
        </w:rPr>
        <w:t>Applicability</w:t>
      </w:r>
      <w:r w:rsidRPr="00B0515C" w:rsidR="00A9388C">
        <w:rPr>
          <w:szCs w:val="22"/>
        </w:rPr>
        <w:t xml:space="preserve"> to </w:t>
      </w:r>
      <w:r w:rsidRPr="00B0515C" w:rsidR="001830F1">
        <w:rPr>
          <w:szCs w:val="22"/>
        </w:rPr>
        <w:t xml:space="preserve">Specific </w:t>
      </w:r>
      <w:r w:rsidRPr="00B0515C" w:rsidR="00A9388C">
        <w:rPr>
          <w:szCs w:val="22"/>
        </w:rPr>
        <w:t xml:space="preserve">Facilities, Materials, and </w:t>
      </w:r>
      <w:r w:rsidRPr="00597EFB" w:rsidR="00BA0BCE">
        <w:rPr>
          <w:szCs w:val="22"/>
        </w:rPr>
        <w:t xml:space="preserve">Shipping </w:t>
      </w:r>
      <w:r w:rsidRPr="00597EFB" w:rsidR="00A9388C">
        <w:rPr>
          <w:szCs w:val="22"/>
        </w:rPr>
        <w:t>Activities</w:t>
      </w:r>
      <w:bookmarkEnd w:id="66"/>
      <w:bookmarkEnd w:id="67"/>
      <w:bookmarkEnd w:id="68"/>
      <w:bookmarkEnd w:id="69"/>
      <w:r w:rsidRPr="00691926">
        <w:rPr>
          <w:szCs w:val="22"/>
        </w:rPr>
        <w:t xml:space="preserve">   </w:t>
      </w:r>
    </w:p>
    <w:p w:rsidRPr="00487972" w:rsidR="00CD51EB" w:rsidP="002F793B" w:rsidRDefault="00CD51EB" w14:paraId="28FDFC1B" w14:textId="77777777">
      <w:pPr>
        <w:ind w:firstLine="720"/>
        <w:rPr>
          <w:szCs w:val="22"/>
        </w:rPr>
      </w:pPr>
    </w:p>
    <w:p w:rsidRPr="000A1BA3" w:rsidR="009E7FD2" w:rsidP="002F793B" w:rsidRDefault="00DC7135" w14:paraId="32BD6895" w14:textId="44F13BB2">
      <w:pPr>
        <w:ind w:firstLine="720"/>
        <w:rPr>
          <w:szCs w:val="22"/>
        </w:rPr>
      </w:pPr>
      <w:r w:rsidRPr="00487972">
        <w:rPr>
          <w:szCs w:val="22"/>
        </w:rPr>
        <w:t>The</w:t>
      </w:r>
      <w:r w:rsidRPr="00487972" w:rsidR="009B132C">
        <w:rPr>
          <w:szCs w:val="22"/>
        </w:rPr>
        <w:t xml:space="preserve"> suspicious activity reporting requirements </w:t>
      </w:r>
      <w:r w:rsidRPr="00F9178D">
        <w:rPr>
          <w:szCs w:val="22"/>
        </w:rPr>
        <w:t xml:space="preserve">in 10 CFR </w:t>
      </w:r>
      <w:r w:rsidRPr="00F9178D" w:rsidR="004D1329">
        <w:rPr>
          <w:szCs w:val="22"/>
        </w:rPr>
        <w:t>73.1215</w:t>
      </w:r>
      <w:r w:rsidRPr="00F9178D" w:rsidR="009B132C">
        <w:rPr>
          <w:szCs w:val="22"/>
        </w:rPr>
        <w:t xml:space="preserve"> </w:t>
      </w:r>
      <w:r w:rsidRPr="00F9178D">
        <w:rPr>
          <w:szCs w:val="22"/>
        </w:rPr>
        <w:t>apply to a broad range of NRC</w:t>
      </w:r>
      <w:r w:rsidRPr="005F4FB3" w:rsidR="00441E51">
        <w:rPr>
          <w:szCs w:val="22"/>
        </w:rPr>
        <w:noBreakHyphen/>
      </w:r>
      <w:r w:rsidRPr="005F4FB3">
        <w:rPr>
          <w:szCs w:val="22"/>
        </w:rPr>
        <w:t xml:space="preserve">licensed facilities, materials, and </w:t>
      </w:r>
      <w:r w:rsidRPr="005F4FB3" w:rsidR="003F621A">
        <w:rPr>
          <w:szCs w:val="22"/>
        </w:rPr>
        <w:t xml:space="preserve">shipping </w:t>
      </w:r>
      <w:r w:rsidRPr="005F4FB3">
        <w:rPr>
          <w:szCs w:val="22"/>
        </w:rPr>
        <w:t>activities</w:t>
      </w:r>
      <w:r w:rsidRPr="005C1AE6" w:rsidR="00C50893">
        <w:rPr>
          <w:szCs w:val="22"/>
        </w:rPr>
        <w:t xml:space="preserve"> that</w:t>
      </w:r>
      <w:r w:rsidRPr="005C1AE6">
        <w:rPr>
          <w:szCs w:val="22"/>
        </w:rPr>
        <w:t xml:space="preserve"> are subject t</w:t>
      </w:r>
      <w:r w:rsidRPr="00B82B6E">
        <w:rPr>
          <w:szCs w:val="22"/>
        </w:rPr>
        <w:t>o the physical security program requirements in 10</w:t>
      </w:r>
      <w:r w:rsidRPr="00B82B6E" w:rsidR="00441E51">
        <w:rPr>
          <w:szCs w:val="22"/>
        </w:rPr>
        <w:t> </w:t>
      </w:r>
      <w:r w:rsidRPr="00B82B6E">
        <w:rPr>
          <w:szCs w:val="22"/>
        </w:rPr>
        <w:t>CFR</w:t>
      </w:r>
      <w:r w:rsidRPr="00FD6ECB" w:rsidR="00441E51">
        <w:rPr>
          <w:szCs w:val="22"/>
        </w:rPr>
        <w:t> </w:t>
      </w:r>
      <w:r w:rsidRPr="00FD6ECB">
        <w:rPr>
          <w:szCs w:val="22"/>
        </w:rPr>
        <w:t>Part</w:t>
      </w:r>
      <w:r w:rsidRPr="00605304" w:rsidR="00441E51">
        <w:rPr>
          <w:szCs w:val="22"/>
        </w:rPr>
        <w:t> </w:t>
      </w:r>
      <w:r w:rsidRPr="00605304">
        <w:rPr>
          <w:szCs w:val="22"/>
        </w:rPr>
        <w:t>73</w:t>
      </w:r>
      <w:r w:rsidR="002E7BC2">
        <w:rPr>
          <w:szCs w:val="22"/>
        </w:rPr>
        <w:t xml:space="preserve">. </w:t>
      </w:r>
      <w:r w:rsidRPr="00605304" w:rsidR="00737112">
        <w:rPr>
          <w:szCs w:val="22"/>
        </w:rPr>
        <w:t>However, c</w:t>
      </w:r>
      <w:r w:rsidRPr="00605304" w:rsidR="009E7FD2">
        <w:rPr>
          <w:szCs w:val="22"/>
        </w:rPr>
        <w:t>ertain specific suspicious activity reporting requirements may only be applicable to a particular class of facilities, materials, or shipping activities</w:t>
      </w:r>
      <w:r w:rsidR="002E7BC2">
        <w:rPr>
          <w:szCs w:val="22"/>
        </w:rPr>
        <w:t xml:space="preserve">. </w:t>
      </w:r>
      <w:r w:rsidRPr="00605304" w:rsidR="009E7FD2">
        <w:rPr>
          <w:szCs w:val="22"/>
        </w:rPr>
        <w:t>The NRC staff is providing</w:t>
      </w:r>
      <w:r w:rsidRPr="0074346B" w:rsidR="009E7FD2">
        <w:rPr>
          <w:szCs w:val="22"/>
        </w:rPr>
        <w:t xml:space="preserve"> the following information regarding the applicability of specific provisions in 10</w:t>
      </w:r>
      <w:r w:rsidRPr="000A1BA3" w:rsidR="00404020">
        <w:rPr>
          <w:szCs w:val="22"/>
        </w:rPr>
        <w:t> </w:t>
      </w:r>
      <w:r w:rsidRPr="000A1BA3" w:rsidR="009E7FD2">
        <w:rPr>
          <w:szCs w:val="22"/>
        </w:rPr>
        <w:t>CFR</w:t>
      </w:r>
      <w:r w:rsidRPr="000A1BA3" w:rsidR="00404020">
        <w:rPr>
          <w:szCs w:val="22"/>
        </w:rPr>
        <w:t> </w:t>
      </w:r>
      <w:r w:rsidRPr="000A1BA3" w:rsidR="009E7FD2">
        <w:rPr>
          <w:szCs w:val="22"/>
        </w:rPr>
        <w:t>73.1215.</w:t>
      </w:r>
    </w:p>
    <w:p w:rsidRPr="00C41CCB" w:rsidR="00AC6432" w:rsidP="002F793B" w:rsidRDefault="00AC6432" w14:paraId="2761EEA0" w14:textId="77777777">
      <w:pPr>
        <w:ind w:firstLine="720"/>
        <w:rPr>
          <w:szCs w:val="22"/>
        </w:rPr>
      </w:pPr>
    </w:p>
    <w:p w:rsidRPr="002C4ACA" w:rsidR="00C706D4" w:rsidP="00F61D84" w:rsidRDefault="006B4525" w14:paraId="730C4970" w14:textId="77777777">
      <w:pPr>
        <w:pStyle w:val="ListParagraph"/>
        <w:keepNext/>
        <w:keepLines/>
        <w:numPr>
          <w:ilvl w:val="0"/>
          <w:numId w:val="13"/>
        </w:numPr>
        <w:rPr>
          <w:sz w:val="22"/>
          <w:szCs w:val="22"/>
        </w:rPr>
      </w:pPr>
      <w:r w:rsidRPr="00C41CCB">
        <w:rPr>
          <w:sz w:val="22"/>
          <w:szCs w:val="22"/>
        </w:rPr>
        <w:t>The</w:t>
      </w:r>
      <w:r w:rsidRPr="00C41CCB" w:rsidR="006E6E4D">
        <w:rPr>
          <w:sz w:val="22"/>
          <w:szCs w:val="22"/>
        </w:rPr>
        <w:t xml:space="preserve"> </w:t>
      </w:r>
      <w:r w:rsidRPr="00C41CCB" w:rsidR="00774A9C">
        <w:rPr>
          <w:sz w:val="22"/>
          <w:szCs w:val="22"/>
        </w:rPr>
        <w:t xml:space="preserve">requirements </w:t>
      </w:r>
      <w:r w:rsidRPr="00C41CCB" w:rsidR="006E6E4D">
        <w:rPr>
          <w:sz w:val="22"/>
          <w:szCs w:val="22"/>
        </w:rPr>
        <w:t>in 10 CFR 73.1215(d</w:t>
      </w:r>
      <w:r w:rsidRPr="00C41CCB">
        <w:rPr>
          <w:sz w:val="22"/>
          <w:szCs w:val="22"/>
        </w:rPr>
        <w:t xml:space="preserve">) </w:t>
      </w:r>
      <w:r w:rsidRPr="00C41CCB" w:rsidR="00774A9C">
        <w:rPr>
          <w:sz w:val="22"/>
          <w:szCs w:val="22"/>
        </w:rPr>
        <w:t xml:space="preserve">apply to </w:t>
      </w:r>
      <w:r w:rsidRPr="00C41CCB" w:rsidR="0064418C">
        <w:rPr>
          <w:sz w:val="22"/>
          <w:szCs w:val="22"/>
        </w:rPr>
        <w:t xml:space="preserve">licensees </w:t>
      </w:r>
      <w:r w:rsidR="00502A37">
        <w:rPr>
          <w:sz w:val="22"/>
          <w:szCs w:val="22"/>
        </w:rPr>
        <w:t xml:space="preserve">that are </w:t>
      </w:r>
      <w:r w:rsidRPr="002C4ACA">
        <w:rPr>
          <w:sz w:val="22"/>
          <w:szCs w:val="22"/>
        </w:rPr>
        <w:t xml:space="preserve">subject to the </w:t>
      </w:r>
      <w:r w:rsidRPr="002C4ACA" w:rsidR="00C706D4">
        <w:rPr>
          <w:sz w:val="22"/>
          <w:szCs w:val="22"/>
        </w:rPr>
        <w:t>following regulations:</w:t>
      </w:r>
    </w:p>
    <w:p w:rsidRPr="00C05BE2" w:rsidR="00C706D4" w:rsidP="00282608" w:rsidRDefault="00C706D4" w14:paraId="396A3B4F" w14:textId="77777777">
      <w:pPr>
        <w:pStyle w:val="ListParagraph"/>
        <w:rPr>
          <w:sz w:val="22"/>
          <w:szCs w:val="22"/>
        </w:rPr>
      </w:pPr>
    </w:p>
    <w:p w:rsidRPr="005B4F6A" w:rsidR="00C706D4" w:rsidP="00F61D84" w:rsidRDefault="006B4525" w14:paraId="3B7215A6" w14:textId="77777777">
      <w:pPr>
        <w:pStyle w:val="ListParagraph"/>
        <w:numPr>
          <w:ilvl w:val="0"/>
          <w:numId w:val="16"/>
        </w:numPr>
        <w:ind w:left="1080"/>
        <w:rPr>
          <w:sz w:val="22"/>
          <w:szCs w:val="22"/>
        </w:rPr>
      </w:pPr>
      <w:r w:rsidRPr="005B4F6A">
        <w:rPr>
          <w:sz w:val="22"/>
          <w:szCs w:val="22"/>
        </w:rPr>
        <w:lastRenderedPageBreak/>
        <w:t>10</w:t>
      </w:r>
      <w:r w:rsidRPr="005B4F6A" w:rsidR="00C706D4">
        <w:rPr>
          <w:sz w:val="22"/>
          <w:szCs w:val="22"/>
        </w:rPr>
        <w:t> </w:t>
      </w:r>
      <w:r w:rsidRPr="005B4F6A">
        <w:rPr>
          <w:sz w:val="22"/>
          <w:szCs w:val="22"/>
        </w:rPr>
        <w:t>CFR</w:t>
      </w:r>
      <w:r w:rsidRPr="005B4F6A" w:rsidR="00C706D4">
        <w:rPr>
          <w:sz w:val="22"/>
          <w:szCs w:val="22"/>
        </w:rPr>
        <w:t> </w:t>
      </w:r>
      <w:r w:rsidRPr="005B4F6A">
        <w:rPr>
          <w:sz w:val="22"/>
          <w:szCs w:val="22"/>
        </w:rPr>
        <w:t xml:space="preserve">73.20, </w:t>
      </w:r>
      <w:bookmarkStart w:name="_Hlk26273959" w:id="70"/>
      <w:r w:rsidRPr="005B4F6A">
        <w:rPr>
          <w:sz w:val="22"/>
          <w:szCs w:val="22"/>
        </w:rPr>
        <w:t xml:space="preserve">“General </w:t>
      </w:r>
      <w:r w:rsidRPr="005B4F6A" w:rsidR="0064418C">
        <w:rPr>
          <w:sz w:val="22"/>
          <w:szCs w:val="22"/>
        </w:rPr>
        <w:t>p</w:t>
      </w:r>
      <w:r w:rsidRPr="005B4F6A">
        <w:rPr>
          <w:sz w:val="22"/>
          <w:szCs w:val="22"/>
        </w:rPr>
        <w:t xml:space="preserve">erformance </w:t>
      </w:r>
      <w:r w:rsidRPr="005B4F6A" w:rsidR="0064418C">
        <w:rPr>
          <w:sz w:val="22"/>
          <w:szCs w:val="22"/>
        </w:rPr>
        <w:t>o</w:t>
      </w:r>
      <w:r w:rsidRPr="005B4F6A">
        <w:rPr>
          <w:sz w:val="22"/>
          <w:szCs w:val="22"/>
        </w:rPr>
        <w:t xml:space="preserve">bjective and </w:t>
      </w:r>
      <w:r w:rsidRPr="005B4F6A" w:rsidR="0064418C">
        <w:rPr>
          <w:sz w:val="22"/>
          <w:szCs w:val="22"/>
        </w:rPr>
        <w:t>r</w:t>
      </w:r>
      <w:r w:rsidRPr="005B4F6A">
        <w:rPr>
          <w:sz w:val="22"/>
          <w:szCs w:val="22"/>
        </w:rPr>
        <w:t>equirements</w:t>
      </w:r>
      <w:proofErr w:type="gramStart"/>
      <w:r w:rsidRPr="005B4F6A">
        <w:rPr>
          <w:sz w:val="22"/>
          <w:szCs w:val="22"/>
        </w:rPr>
        <w:t>”</w:t>
      </w:r>
      <w:bookmarkEnd w:id="70"/>
      <w:r w:rsidRPr="005B4F6A" w:rsidR="00D12CA3">
        <w:rPr>
          <w:sz w:val="22"/>
          <w:szCs w:val="22"/>
        </w:rPr>
        <w:t>;</w:t>
      </w:r>
      <w:proofErr w:type="gramEnd"/>
    </w:p>
    <w:p w:rsidRPr="005B4F6A" w:rsidR="00C706D4" w:rsidP="00F61D84" w:rsidRDefault="00C706D4" w14:paraId="22B553E1" w14:textId="77777777">
      <w:pPr>
        <w:pStyle w:val="ListParagraph"/>
        <w:ind w:left="1080" w:hanging="360"/>
        <w:rPr>
          <w:sz w:val="22"/>
          <w:szCs w:val="22"/>
        </w:rPr>
      </w:pPr>
    </w:p>
    <w:p w:rsidRPr="005B4F6A" w:rsidR="00C706D4" w:rsidP="00F61D84" w:rsidRDefault="00E96963" w14:paraId="215F98A9" w14:textId="77777777">
      <w:pPr>
        <w:pStyle w:val="ListParagraph"/>
        <w:numPr>
          <w:ilvl w:val="0"/>
          <w:numId w:val="16"/>
        </w:numPr>
        <w:ind w:left="1080"/>
        <w:rPr>
          <w:sz w:val="22"/>
          <w:szCs w:val="22"/>
        </w:rPr>
      </w:pPr>
      <w:r w:rsidRPr="005B4F6A">
        <w:rPr>
          <w:sz w:val="22"/>
          <w:szCs w:val="22"/>
        </w:rPr>
        <w:t>1</w:t>
      </w:r>
      <w:r w:rsidRPr="005B4F6A" w:rsidR="006B4525">
        <w:rPr>
          <w:sz w:val="22"/>
          <w:szCs w:val="22"/>
        </w:rPr>
        <w:t xml:space="preserve">0 CFR 73.45, “Performance </w:t>
      </w:r>
      <w:r w:rsidRPr="005B4F6A" w:rsidR="0064418C">
        <w:rPr>
          <w:sz w:val="22"/>
          <w:szCs w:val="22"/>
        </w:rPr>
        <w:t>c</w:t>
      </w:r>
      <w:r w:rsidRPr="005B4F6A" w:rsidR="006B4525">
        <w:rPr>
          <w:sz w:val="22"/>
          <w:szCs w:val="22"/>
        </w:rPr>
        <w:t xml:space="preserve">apabilities for </w:t>
      </w:r>
      <w:r w:rsidRPr="005B4F6A" w:rsidR="0064418C">
        <w:rPr>
          <w:sz w:val="22"/>
          <w:szCs w:val="22"/>
        </w:rPr>
        <w:t>f</w:t>
      </w:r>
      <w:r w:rsidRPr="005B4F6A" w:rsidR="006B4525">
        <w:rPr>
          <w:sz w:val="22"/>
          <w:szCs w:val="22"/>
        </w:rPr>
        <w:t xml:space="preserve">ixed </w:t>
      </w:r>
      <w:r w:rsidRPr="005B4F6A" w:rsidR="0064418C">
        <w:rPr>
          <w:sz w:val="22"/>
          <w:szCs w:val="22"/>
        </w:rPr>
        <w:t>s</w:t>
      </w:r>
      <w:r w:rsidRPr="005B4F6A" w:rsidR="006B4525">
        <w:rPr>
          <w:sz w:val="22"/>
          <w:szCs w:val="22"/>
        </w:rPr>
        <w:t xml:space="preserve">ite </w:t>
      </w:r>
      <w:r w:rsidRPr="005B4F6A" w:rsidR="0064418C">
        <w:rPr>
          <w:sz w:val="22"/>
          <w:szCs w:val="22"/>
        </w:rPr>
        <w:t>p</w:t>
      </w:r>
      <w:r w:rsidRPr="005B4F6A" w:rsidR="006B4525">
        <w:rPr>
          <w:sz w:val="22"/>
          <w:szCs w:val="22"/>
        </w:rPr>
        <w:t xml:space="preserve">hysical </w:t>
      </w:r>
      <w:r w:rsidRPr="005B4F6A" w:rsidR="0064418C">
        <w:rPr>
          <w:sz w:val="22"/>
          <w:szCs w:val="22"/>
        </w:rPr>
        <w:t>p</w:t>
      </w:r>
      <w:r w:rsidRPr="005B4F6A" w:rsidR="006B4525">
        <w:rPr>
          <w:sz w:val="22"/>
          <w:szCs w:val="22"/>
        </w:rPr>
        <w:t xml:space="preserve">rotection </w:t>
      </w:r>
      <w:r w:rsidRPr="005B4F6A" w:rsidR="0064418C">
        <w:rPr>
          <w:sz w:val="22"/>
          <w:szCs w:val="22"/>
        </w:rPr>
        <w:t>s</w:t>
      </w:r>
      <w:r w:rsidRPr="005B4F6A" w:rsidR="006B4525">
        <w:rPr>
          <w:sz w:val="22"/>
          <w:szCs w:val="22"/>
        </w:rPr>
        <w:t>ystems</w:t>
      </w:r>
      <w:proofErr w:type="gramStart"/>
      <w:r w:rsidRPr="005B4F6A" w:rsidR="006B4525">
        <w:rPr>
          <w:sz w:val="22"/>
          <w:szCs w:val="22"/>
        </w:rPr>
        <w:t>”</w:t>
      </w:r>
      <w:r w:rsidRPr="005B4F6A" w:rsidR="00D12CA3">
        <w:rPr>
          <w:sz w:val="22"/>
          <w:szCs w:val="22"/>
        </w:rPr>
        <w:t>;</w:t>
      </w:r>
      <w:proofErr w:type="gramEnd"/>
    </w:p>
    <w:p w:rsidRPr="005B4F6A" w:rsidR="00C706D4" w:rsidP="00F61D84" w:rsidRDefault="00C706D4" w14:paraId="6B704E87" w14:textId="77777777">
      <w:pPr>
        <w:pStyle w:val="ListParagraph"/>
        <w:ind w:left="1080" w:hanging="360"/>
        <w:rPr>
          <w:sz w:val="22"/>
          <w:szCs w:val="22"/>
        </w:rPr>
      </w:pPr>
    </w:p>
    <w:p w:rsidRPr="005B4F6A" w:rsidR="00C706D4" w:rsidP="00F61D84" w:rsidRDefault="006B4525" w14:paraId="4E8187A7" w14:textId="77777777">
      <w:pPr>
        <w:pStyle w:val="ListParagraph"/>
        <w:numPr>
          <w:ilvl w:val="0"/>
          <w:numId w:val="24"/>
        </w:numPr>
        <w:ind w:left="1080"/>
        <w:rPr>
          <w:sz w:val="22"/>
          <w:szCs w:val="22"/>
        </w:rPr>
      </w:pPr>
      <w:r w:rsidRPr="005B4F6A">
        <w:rPr>
          <w:sz w:val="22"/>
          <w:szCs w:val="22"/>
        </w:rPr>
        <w:t xml:space="preserve">10 CFR 73.46, “Fixed </w:t>
      </w:r>
      <w:r w:rsidRPr="005B4F6A" w:rsidR="0064418C">
        <w:rPr>
          <w:sz w:val="22"/>
          <w:szCs w:val="22"/>
        </w:rPr>
        <w:t>s</w:t>
      </w:r>
      <w:r w:rsidRPr="005B4F6A">
        <w:rPr>
          <w:sz w:val="22"/>
          <w:szCs w:val="22"/>
        </w:rPr>
        <w:t xml:space="preserve">ite </w:t>
      </w:r>
      <w:r w:rsidRPr="005B4F6A" w:rsidR="0064418C">
        <w:rPr>
          <w:sz w:val="22"/>
          <w:szCs w:val="22"/>
        </w:rPr>
        <w:t>p</w:t>
      </w:r>
      <w:r w:rsidRPr="005B4F6A">
        <w:rPr>
          <w:sz w:val="22"/>
          <w:szCs w:val="22"/>
        </w:rPr>
        <w:t xml:space="preserve">hysical </w:t>
      </w:r>
      <w:r w:rsidRPr="005B4F6A" w:rsidR="0064418C">
        <w:rPr>
          <w:sz w:val="22"/>
          <w:szCs w:val="22"/>
        </w:rPr>
        <w:t>p</w:t>
      </w:r>
      <w:r w:rsidRPr="005B4F6A">
        <w:rPr>
          <w:sz w:val="22"/>
          <w:szCs w:val="22"/>
        </w:rPr>
        <w:t xml:space="preserve">rotection </w:t>
      </w:r>
      <w:r w:rsidRPr="005B4F6A" w:rsidR="0064418C">
        <w:rPr>
          <w:sz w:val="22"/>
          <w:szCs w:val="22"/>
        </w:rPr>
        <w:t>s</w:t>
      </w:r>
      <w:r w:rsidRPr="005B4F6A">
        <w:rPr>
          <w:sz w:val="22"/>
          <w:szCs w:val="22"/>
        </w:rPr>
        <w:t xml:space="preserve">ystems, </w:t>
      </w:r>
      <w:r w:rsidRPr="005B4F6A" w:rsidR="0064418C">
        <w:rPr>
          <w:sz w:val="22"/>
          <w:szCs w:val="22"/>
        </w:rPr>
        <w:t>s</w:t>
      </w:r>
      <w:r w:rsidRPr="005B4F6A">
        <w:rPr>
          <w:sz w:val="22"/>
          <w:szCs w:val="22"/>
        </w:rPr>
        <w:t xml:space="preserve">ubsystems, </w:t>
      </w:r>
      <w:r w:rsidRPr="005B4F6A" w:rsidR="0064418C">
        <w:rPr>
          <w:sz w:val="22"/>
          <w:szCs w:val="22"/>
        </w:rPr>
        <w:t>c</w:t>
      </w:r>
      <w:r w:rsidRPr="005B4F6A">
        <w:rPr>
          <w:sz w:val="22"/>
          <w:szCs w:val="22"/>
        </w:rPr>
        <w:t xml:space="preserve">omponents, and </w:t>
      </w:r>
      <w:r w:rsidRPr="005B4F6A" w:rsidR="0064418C">
        <w:rPr>
          <w:sz w:val="22"/>
          <w:szCs w:val="22"/>
        </w:rPr>
        <w:t>p</w:t>
      </w:r>
      <w:r w:rsidRPr="005B4F6A">
        <w:rPr>
          <w:sz w:val="22"/>
          <w:szCs w:val="22"/>
        </w:rPr>
        <w:t>rocedures</w:t>
      </w:r>
      <w:proofErr w:type="gramStart"/>
      <w:r w:rsidRPr="005B4F6A">
        <w:rPr>
          <w:sz w:val="22"/>
          <w:szCs w:val="22"/>
        </w:rPr>
        <w:t>”</w:t>
      </w:r>
      <w:r w:rsidRPr="005B4F6A" w:rsidR="00D12CA3">
        <w:rPr>
          <w:sz w:val="22"/>
          <w:szCs w:val="22"/>
        </w:rPr>
        <w:t>;</w:t>
      </w:r>
      <w:proofErr w:type="gramEnd"/>
    </w:p>
    <w:p w:rsidRPr="005B4F6A" w:rsidR="00C706D4" w:rsidP="00F61D84" w:rsidRDefault="00C706D4" w14:paraId="5A3E0030" w14:textId="77777777">
      <w:pPr>
        <w:pStyle w:val="ListParagraph"/>
        <w:ind w:left="1080" w:hanging="360"/>
        <w:rPr>
          <w:sz w:val="22"/>
          <w:szCs w:val="22"/>
        </w:rPr>
      </w:pPr>
    </w:p>
    <w:p w:rsidRPr="005B4F6A" w:rsidR="00C706D4" w:rsidP="00F61D84" w:rsidRDefault="006B4525" w14:paraId="179A0835" w14:textId="77777777">
      <w:pPr>
        <w:pStyle w:val="ListParagraph"/>
        <w:numPr>
          <w:ilvl w:val="0"/>
          <w:numId w:val="16"/>
        </w:numPr>
        <w:ind w:left="1080"/>
        <w:rPr>
          <w:sz w:val="22"/>
          <w:szCs w:val="22"/>
        </w:rPr>
      </w:pPr>
      <w:r w:rsidRPr="005B4F6A">
        <w:rPr>
          <w:sz w:val="22"/>
          <w:szCs w:val="22"/>
        </w:rPr>
        <w:t xml:space="preserve">10 CFR 73.50, “Requirements for </w:t>
      </w:r>
      <w:r w:rsidRPr="005B4F6A" w:rsidR="0064418C">
        <w:rPr>
          <w:sz w:val="22"/>
          <w:szCs w:val="22"/>
        </w:rPr>
        <w:t>p</w:t>
      </w:r>
      <w:r w:rsidRPr="005B4F6A">
        <w:rPr>
          <w:sz w:val="22"/>
          <w:szCs w:val="22"/>
        </w:rPr>
        <w:t xml:space="preserve">hysical </w:t>
      </w:r>
      <w:r w:rsidRPr="005B4F6A" w:rsidR="0064418C">
        <w:rPr>
          <w:sz w:val="22"/>
          <w:szCs w:val="22"/>
        </w:rPr>
        <w:t>p</w:t>
      </w:r>
      <w:r w:rsidRPr="005B4F6A">
        <w:rPr>
          <w:sz w:val="22"/>
          <w:szCs w:val="22"/>
        </w:rPr>
        <w:t xml:space="preserve">rotection of </w:t>
      </w:r>
      <w:r w:rsidRPr="005B4F6A" w:rsidR="0064418C">
        <w:rPr>
          <w:sz w:val="22"/>
          <w:szCs w:val="22"/>
        </w:rPr>
        <w:t>l</w:t>
      </w:r>
      <w:r w:rsidRPr="005B4F6A">
        <w:rPr>
          <w:sz w:val="22"/>
          <w:szCs w:val="22"/>
        </w:rPr>
        <w:t xml:space="preserve">icensed </w:t>
      </w:r>
      <w:r w:rsidRPr="005B4F6A" w:rsidR="0064418C">
        <w:rPr>
          <w:sz w:val="22"/>
          <w:szCs w:val="22"/>
        </w:rPr>
        <w:t>a</w:t>
      </w:r>
      <w:r w:rsidRPr="005B4F6A">
        <w:rPr>
          <w:sz w:val="22"/>
          <w:szCs w:val="22"/>
        </w:rPr>
        <w:t>ctivities</w:t>
      </w:r>
      <w:proofErr w:type="gramStart"/>
      <w:r w:rsidRPr="005B4F6A">
        <w:rPr>
          <w:sz w:val="22"/>
          <w:szCs w:val="22"/>
        </w:rPr>
        <w:t>”</w:t>
      </w:r>
      <w:r w:rsidRPr="005B4F6A" w:rsidR="00D12CA3">
        <w:rPr>
          <w:sz w:val="22"/>
          <w:szCs w:val="22"/>
        </w:rPr>
        <w:t>;</w:t>
      </w:r>
      <w:proofErr w:type="gramEnd"/>
    </w:p>
    <w:p w:rsidRPr="005B4F6A" w:rsidR="00C706D4" w:rsidP="00F61D84" w:rsidRDefault="00C706D4" w14:paraId="0B3999C5" w14:textId="77777777">
      <w:pPr>
        <w:pStyle w:val="ListParagraph"/>
        <w:ind w:left="1080" w:hanging="360"/>
        <w:rPr>
          <w:sz w:val="22"/>
          <w:szCs w:val="22"/>
        </w:rPr>
      </w:pPr>
    </w:p>
    <w:p w:rsidRPr="005B4F6A" w:rsidR="00C706D4" w:rsidP="00F61D84" w:rsidRDefault="006B4525" w14:paraId="3BCCDD1A" w14:textId="77777777">
      <w:pPr>
        <w:pStyle w:val="ListParagraph"/>
        <w:numPr>
          <w:ilvl w:val="0"/>
          <w:numId w:val="16"/>
        </w:numPr>
        <w:ind w:left="1080"/>
        <w:rPr>
          <w:sz w:val="22"/>
          <w:szCs w:val="22"/>
        </w:rPr>
      </w:pPr>
      <w:r w:rsidRPr="005B4F6A">
        <w:rPr>
          <w:sz w:val="22"/>
          <w:szCs w:val="22"/>
        </w:rPr>
        <w:t xml:space="preserve">10 CFR 73.51, “Requirements for the </w:t>
      </w:r>
      <w:r w:rsidRPr="005B4F6A" w:rsidR="0064418C">
        <w:rPr>
          <w:sz w:val="22"/>
          <w:szCs w:val="22"/>
        </w:rPr>
        <w:t>p</w:t>
      </w:r>
      <w:r w:rsidRPr="005B4F6A">
        <w:rPr>
          <w:sz w:val="22"/>
          <w:szCs w:val="22"/>
        </w:rPr>
        <w:t xml:space="preserve">hysical </w:t>
      </w:r>
      <w:r w:rsidRPr="005B4F6A" w:rsidR="0064418C">
        <w:rPr>
          <w:sz w:val="22"/>
          <w:szCs w:val="22"/>
        </w:rPr>
        <w:t>p</w:t>
      </w:r>
      <w:r w:rsidRPr="005B4F6A">
        <w:rPr>
          <w:sz w:val="22"/>
          <w:szCs w:val="22"/>
        </w:rPr>
        <w:t xml:space="preserve">rotection of </w:t>
      </w:r>
      <w:r w:rsidRPr="005B4F6A" w:rsidR="0064418C">
        <w:rPr>
          <w:sz w:val="22"/>
          <w:szCs w:val="22"/>
        </w:rPr>
        <w:t>s</w:t>
      </w:r>
      <w:r w:rsidRPr="005B4F6A">
        <w:rPr>
          <w:sz w:val="22"/>
          <w:szCs w:val="22"/>
        </w:rPr>
        <w:t xml:space="preserve">tored </w:t>
      </w:r>
      <w:r w:rsidRPr="005B4F6A" w:rsidR="0064418C">
        <w:rPr>
          <w:sz w:val="22"/>
          <w:szCs w:val="22"/>
        </w:rPr>
        <w:t>s</w:t>
      </w:r>
      <w:r w:rsidRPr="005B4F6A">
        <w:rPr>
          <w:sz w:val="22"/>
          <w:szCs w:val="22"/>
        </w:rPr>
        <w:t xml:space="preserve">pent </w:t>
      </w:r>
      <w:r w:rsidRPr="005B4F6A" w:rsidR="00CA68E4">
        <w:rPr>
          <w:sz w:val="22"/>
          <w:szCs w:val="22"/>
        </w:rPr>
        <w:t>n</w:t>
      </w:r>
      <w:r w:rsidRPr="005B4F6A">
        <w:rPr>
          <w:sz w:val="22"/>
          <w:szCs w:val="22"/>
        </w:rPr>
        <w:t xml:space="preserve">uclear </w:t>
      </w:r>
      <w:r w:rsidRPr="005B4F6A" w:rsidR="00CA68E4">
        <w:rPr>
          <w:sz w:val="22"/>
          <w:szCs w:val="22"/>
        </w:rPr>
        <w:t>f</w:t>
      </w:r>
      <w:r w:rsidRPr="005B4F6A">
        <w:rPr>
          <w:sz w:val="22"/>
          <w:szCs w:val="22"/>
        </w:rPr>
        <w:t xml:space="preserve">uel and </w:t>
      </w:r>
      <w:r w:rsidRPr="005B4F6A" w:rsidR="00CA68E4">
        <w:rPr>
          <w:sz w:val="22"/>
          <w:szCs w:val="22"/>
        </w:rPr>
        <w:t>h</w:t>
      </w:r>
      <w:r w:rsidRPr="005B4F6A">
        <w:rPr>
          <w:sz w:val="22"/>
          <w:szCs w:val="22"/>
        </w:rPr>
        <w:t>igh</w:t>
      </w:r>
      <w:r w:rsidRPr="005B4F6A" w:rsidR="00C706D4">
        <w:rPr>
          <w:sz w:val="22"/>
          <w:szCs w:val="22"/>
        </w:rPr>
        <w:noBreakHyphen/>
      </w:r>
      <w:r w:rsidRPr="005B4F6A" w:rsidR="00CA68E4">
        <w:rPr>
          <w:sz w:val="22"/>
          <w:szCs w:val="22"/>
        </w:rPr>
        <w:t>l</w:t>
      </w:r>
      <w:r w:rsidRPr="005B4F6A">
        <w:rPr>
          <w:sz w:val="22"/>
          <w:szCs w:val="22"/>
        </w:rPr>
        <w:t xml:space="preserve">evel </w:t>
      </w:r>
      <w:r w:rsidRPr="005B4F6A" w:rsidR="00CA68E4">
        <w:rPr>
          <w:sz w:val="22"/>
          <w:szCs w:val="22"/>
        </w:rPr>
        <w:t>r</w:t>
      </w:r>
      <w:r w:rsidRPr="005B4F6A">
        <w:rPr>
          <w:sz w:val="22"/>
          <w:szCs w:val="22"/>
        </w:rPr>
        <w:t xml:space="preserve">adioactive </w:t>
      </w:r>
      <w:r w:rsidRPr="005B4F6A" w:rsidR="00CA68E4">
        <w:rPr>
          <w:sz w:val="22"/>
          <w:szCs w:val="22"/>
        </w:rPr>
        <w:t>w</w:t>
      </w:r>
      <w:r w:rsidRPr="005B4F6A">
        <w:rPr>
          <w:sz w:val="22"/>
          <w:szCs w:val="22"/>
        </w:rPr>
        <w:t>aste</w:t>
      </w:r>
      <w:proofErr w:type="gramStart"/>
      <w:r w:rsidRPr="005B4F6A">
        <w:rPr>
          <w:sz w:val="22"/>
          <w:szCs w:val="22"/>
        </w:rPr>
        <w:t>”</w:t>
      </w:r>
      <w:r w:rsidRPr="005B4F6A" w:rsidR="00D12CA3">
        <w:rPr>
          <w:sz w:val="22"/>
          <w:szCs w:val="22"/>
        </w:rPr>
        <w:t>;</w:t>
      </w:r>
      <w:proofErr w:type="gramEnd"/>
    </w:p>
    <w:p w:rsidRPr="005B4F6A" w:rsidR="00C706D4" w:rsidP="00F61D84" w:rsidRDefault="00C706D4" w14:paraId="3D4B13AD" w14:textId="77777777">
      <w:pPr>
        <w:pStyle w:val="ListParagraph"/>
        <w:ind w:left="1080" w:hanging="360"/>
        <w:rPr>
          <w:sz w:val="22"/>
          <w:szCs w:val="22"/>
        </w:rPr>
      </w:pPr>
    </w:p>
    <w:p w:rsidRPr="005B4F6A" w:rsidR="00C706D4" w:rsidP="00F61D84" w:rsidRDefault="006B4525" w14:paraId="043E968A" w14:textId="77777777">
      <w:pPr>
        <w:pStyle w:val="ListParagraph"/>
        <w:numPr>
          <w:ilvl w:val="0"/>
          <w:numId w:val="16"/>
        </w:numPr>
        <w:ind w:left="1080"/>
        <w:rPr>
          <w:sz w:val="22"/>
          <w:szCs w:val="22"/>
        </w:rPr>
      </w:pPr>
      <w:r w:rsidRPr="005B4F6A">
        <w:rPr>
          <w:sz w:val="22"/>
          <w:szCs w:val="22"/>
        </w:rPr>
        <w:t xml:space="preserve">10 CFR 73.55, “Requirements for </w:t>
      </w:r>
      <w:r w:rsidRPr="005B4F6A" w:rsidR="00CA68E4">
        <w:rPr>
          <w:sz w:val="22"/>
          <w:szCs w:val="22"/>
        </w:rPr>
        <w:t>p</w:t>
      </w:r>
      <w:r w:rsidRPr="005B4F6A">
        <w:rPr>
          <w:sz w:val="22"/>
          <w:szCs w:val="22"/>
        </w:rPr>
        <w:t xml:space="preserve">hysical </w:t>
      </w:r>
      <w:r w:rsidRPr="005B4F6A" w:rsidR="00CA68E4">
        <w:rPr>
          <w:sz w:val="22"/>
          <w:szCs w:val="22"/>
        </w:rPr>
        <w:t>p</w:t>
      </w:r>
      <w:r w:rsidRPr="005B4F6A">
        <w:rPr>
          <w:sz w:val="22"/>
          <w:szCs w:val="22"/>
        </w:rPr>
        <w:t xml:space="preserve">rotection of </w:t>
      </w:r>
      <w:r w:rsidRPr="005B4F6A" w:rsidR="00CA68E4">
        <w:rPr>
          <w:sz w:val="22"/>
          <w:szCs w:val="22"/>
        </w:rPr>
        <w:t>l</w:t>
      </w:r>
      <w:r w:rsidRPr="005B4F6A">
        <w:rPr>
          <w:sz w:val="22"/>
          <w:szCs w:val="22"/>
        </w:rPr>
        <w:t xml:space="preserve">icensed </w:t>
      </w:r>
      <w:r w:rsidRPr="005B4F6A" w:rsidR="00CA68E4">
        <w:rPr>
          <w:sz w:val="22"/>
          <w:szCs w:val="22"/>
        </w:rPr>
        <w:t>a</w:t>
      </w:r>
      <w:r w:rsidRPr="005B4F6A">
        <w:rPr>
          <w:sz w:val="22"/>
          <w:szCs w:val="22"/>
        </w:rPr>
        <w:t xml:space="preserve">ctivities in </w:t>
      </w:r>
      <w:r w:rsidRPr="005B4F6A" w:rsidR="00CA68E4">
        <w:rPr>
          <w:sz w:val="22"/>
          <w:szCs w:val="22"/>
        </w:rPr>
        <w:t>n</w:t>
      </w:r>
      <w:r w:rsidRPr="005B4F6A">
        <w:rPr>
          <w:sz w:val="22"/>
          <w:szCs w:val="22"/>
        </w:rPr>
        <w:t xml:space="preserve">uclear </w:t>
      </w:r>
      <w:r w:rsidRPr="005B4F6A" w:rsidR="00CA68E4">
        <w:rPr>
          <w:sz w:val="22"/>
          <w:szCs w:val="22"/>
        </w:rPr>
        <w:t>p</w:t>
      </w:r>
      <w:r w:rsidRPr="005B4F6A">
        <w:rPr>
          <w:sz w:val="22"/>
          <w:szCs w:val="22"/>
        </w:rPr>
        <w:t xml:space="preserve">ower </w:t>
      </w:r>
      <w:r w:rsidRPr="005B4F6A" w:rsidR="00CA68E4">
        <w:rPr>
          <w:sz w:val="22"/>
          <w:szCs w:val="22"/>
        </w:rPr>
        <w:t>r</w:t>
      </w:r>
      <w:r w:rsidRPr="005B4F6A">
        <w:rPr>
          <w:sz w:val="22"/>
          <w:szCs w:val="22"/>
        </w:rPr>
        <w:t xml:space="preserve">eactors against </w:t>
      </w:r>
      <w:r w:rsidRPr="005B4F6A" w:rsidR="00CA68E4">
        <w:rPr>
          <w:sz w:val="22"/>
          <w:szCs w:val="22"/>
        </w:rPr>
        <w:t>r</w:t>
      </w:r>
      <w:r w:rsidRPr="005B4F6A">
        <w:rPr>
          <w:sz w:val="22"/>
          <w:szCs w:val="22"/>
        </w:rPr>
        <w:t xml:space="preserve">adiological </w:t>
      </w:r>
      <w:r w:rsidRPr="005B4F6A" w:rsidR="00CA68E4">
        <w:rPr>
          <w:sz w:val="22"/>
          <w:szCs w:val="22"/>
        </w:rPr>
        <w:t>s</w:t>
      </w:r>
      <w:r w:rsidRPr="005B4F6A">
        <w:rPr>
          <w:sz w:val="22"/>
          <w:szCs w:val="22"/>
        </w:rPr>
        <w:t>abotage</w:t>
      </w:r>
      <w:proofErr w:type="gramStart"/>
      <w:r w:rsidRPr="005B4F6A">
        <w:rPr>
          <w:sz w:val="22"/>
          <w:szCs w:val="22"/>
        </w:rPr>
        <w:t>”</w:t>
      </w:r>
      <w:r w:rsidRPr="005B4F6A" w:rsidR="00D12CA3">
        <w:rPr>
          <w:sz w:val="22"/>
          <w:szCs w:val="22"/>
        </w:rPr>
        <w:t>;</w:t>
      </w:r>
      <w:proofErr w:type="gramEnd"/>
    </w:p>
    <w:p w:rsidRPr="005B4F6A" w:rsidR="00C706D4" w:rsidP="00F61D84" w:rsidRDefault="00C706D4" w14:paraId="7021D292" w14:textId="77777777">
      <w:pPr>
        <w:pStyle w:val="ListParagraph"/>
        <w:ind w:left="1080" w:hanging="360"/>
        <w:rPr>
          <w:sz w:val="22"/>
          <w:szCs w:val="22"/>
        </w:rPr>
      </w:pPr>
    </w:p>
    <w:p w:rsidRPr="005B4F6A" w:rsidR="00C706D4" w:rsidP="00F61D84" w:rsidRDefault="006B4525" w14:paraId="5C980BD8" w14:textId="77777777">
      <w:pPr>
        <w:pStyle w:val="ListParagraph"/>
        <w:numPr>
          <w:ilvl w:val="0"/>
          <w:numId w:val="16"/>
        </w:numPr>
        <w:ind w:left="1080"/>
        <w:rPr>
          <w:sz w:val="22"/>
          <w:szCs w:val="22"/>
        </w:rPr>
      </w:pPr>
      <w:r w:rsidRPr="005B4F6A">
        <w:rPr>
          <w:sz w:val="22"/>
          <w:szCs w:val="22"/>
        </w:rPr>
        <w:t xml:space="preserve">10 CFR 73.60, “Additional </w:t>
      </w:r>
      <w:r w:rsidRPr="005B4F6A" w:rsidR="00CA68E4">
        <w:rPr>
          <w:sz w:val="22"/>
          <w:szCs w:val="22"/>
        </w:rPr>
        <w:t>r</w:t>
      </w:r>
      <w:r w:rsidRPr="005B4F6A">
        <w:rPr>
          <w:sz w:val="22"/>
          <w:szCs w:val="22"/>
        </w:rPr>
        <w:t xml:space="preserve">equirements for </w:t>
      </w:r>
      <w:r w:rsidRPr="005B4F6A" w:rsidR="00CA68E4">
        <w:rPr>
          <w:sz w:val="22"/>
          <w:szCs w:val="22"/>
        </w:rPr>
        <w:t>p</w:t>
      </w:r>
      <w:r w:rsidRPr="005B4F6A">
        <w:rPr>
          <w:sz w:val="22"/>
          <w:szCs w:val="22"/>
        </w:rPr>
        <w:t xml:space="preserve">hysical </w:t>
      </w:r>
      <w:r w:rsidRPr="005B4F6A" w:rsidR="00CA68E4">
        <w:rPr>
          <w:sz w:val="22"/>
          <w:szCs w:val="22"/>
        </w:rPr>
        <w:t>p</w:t>
      </w:r>
      <w:r w:rsidRPr="005B4F6A" w:rsidR="00D12CA3">
        <w:rPr>
          <w:sz w:val="22"/>
          <w:szCs w:val="22"/>
        </w:rPr>
        <w:t xml:space="preserve">rotection at </w:t>
      </w:r>
      <w:r w:rsidRPr="005B4F6A" w:rsidR="00CA68E4">
        <w:rPr>
          <w:sz w:val="22"/>
          <w:szCs w:val="22"/>
        </w:rPr>
        <w:t>n</w:t>
      </w:r>
      <w:r w:rsidRPr="005B4F6A" w:rsidR="00D12CA3">
        <w:rPr>
          <w:sz w:val="22"/>
          <w:szCs w:val="22"/>
        </w:rPr>
        <w:t xml:space="preserve">onpower </w:t>
      </w:r>
      <w:r w:rsidRPr="005B4F6A" w:rsidR="00CA68E4">
        <w:rPr>
          <w:sz w:val="22"/>
          <w:szCs w:val="22"/>
        </w:rPr>
        <w:t>r</w:t>
      </w:r>
      <w:r w:rsidRPr="005B4F6A" w:rsidR="00D12CA3">
        <w:rPr>
          <w:sz w:val="22"/>
          <w:szCs w:val="22"/>
        </w:rPr>
        <w:t>eactors”; and</w:t>
      </w:r>
    </w:p>
    <w:p w:rsidRPr="005B4F6A" w:rsidR="00C706D4" w:rsidP="00F61D84" w:rsidRDefault="00C706D4" w14:paraId="500B5162" w14:textId="77777777">
      <w:pPr>
        <w:pStyle w:val="ListParagraph"/>
        <w:ind w:left="1080" w:hanging="360"/>
        <w:rPr>
          <w:sz w:val="22"/>
          <w:szCs w:val="22"/>
        </w:rPr>
      </w:pPr>
    </w:p>
    <w:p w:rsidRPr="005B4F6A" w:rsidR="00C706D4" w:rsidP="00F61D84" w:rsidRDefault="006B4525" w14:paraId="5D3DF65D" w14:textId="77777777">
      <w:pPr>
        <w:pStyle w:val="ListParagraph"/>
        <w:numPr>
          <w:ilvl w:val="0"/>
          <w:numId w:val="16"/>
        </w:numPr>
        <w:ind w:left="1080"/>
        <w:rPr>
          <w:sz w:val="22"/>
          <w:szCs w:val="22"/>
        </w:rPr>
      </w:pPr>
      <w:r w:rsidRPr="005B4F6A">
        <w:rPr>
          <w:sz w:val="22"/>
          <w:szCs w:val="22"/>
        </w:rPr>
        <w:t xml:space="preserve">10 CFR 73.67, “Licensee </w:t>
      </w:r>
      <w:r w:rsidRPr="005B4F6A" w:rsidR="00CA68E4">
        <w:rPr>
          <w:sz w:val="22"/>
          <w:szCs w:val="22"/>
        </w:rPr>
        <w:t>f</w:t>
      </w:r>
      <w:r w:rsidRPr="005B4F6A">
        <w:rPr>
          <w:sz w:val="22"/>
          <w:szCs w:val="22"/>
        </w:rPr>
        <w:t xml:space="preserve">ixed </w:t>
      </w:r>
      <w:r w:rsidRPr="005B4F6A" w:rsidR="00CA68E4">
        <w:rPr>
          <w:sz w:val="22"/>
          <w:szCs w:val="22"/>
        </w:rPr>
        <w:t>s</w:t>
      </w:r>
      <w:r w:rsidRPr="005B4F6A">
        <w:rPr>
          <w:sz w:val="22"/>
          <w:szCs w:val="22"/>
        </w:rPr>
        <w:t xml:space="preserve">ite and </w:t>
      </w:r>
      <w:r w:rsidRPr="005B4F6A" w:rsidR="00CA68E4">
        <w:rPr>
          <w:sz w:val="22"/>
          <w:szCs w:val="22"/>
        </w:rPr>
        <w:t>i</w:t>
      </w:r>
      <w:r w:rsidRPr="005B4F6A">
        <w:rPr>
          <w:sz w:val="22"/>
          <w:szCs w:val="22"/>
        </w:rPr>
        <w:t>n-</w:t>
      </w:r>
      <w:r w:rsidRPr="005B4F6A" w:rsidR="00CA68E4">
        <w:rPr>
          <w:sz w:val="22"/>
          <w:szCs w:val="22"/>
        </w:rPr>
        <w:t>t</w:t>
      </w:r>
      <w:r w:rsidRPr="005B4F6A">
        <w:rPr>
          <w:sz w:val="22"/>
          <w:szCs w:val="22"/>
        </w:rPr>
        <w:t xml:space="preserve">ransit </w:t>
      </w:r>
      <w:r w:rsidRPr="005B4F6A" w:rsidR="00CA68E4">
        <w:rPr>
          <w:sz w:val="22"/>
          <w:szCs w:val="22"/>
        </w:rPr>
        <w:t>r</w:t>
      </w:r>
      <w:r w:rsidRPr="005B4F6A">
        <w:rPr>
          <w:sz w:val="22"/>
          <w:szCs w:val="22"/>
        </w:rPr>
        <w:t xml:space="preserve">equirements for the </w:t>
      </w:r>
      <w:r w:rsidRPr="005B4F6A" w:rsidR="00CA68E4">
        <w:rPr>
          <w:sz w:val="22"/>
          <w:szCs w:val="22"/>
        </w:rPr>
        <w:t>p</w:t>
      </w:r>
      <w:r w:rsidRPr="005B4F6A">
        <w:rPr>
          <w:sz w:val="22"/>
          <w:szCs w:val="22"/>
        </w:rPr>
        <w:t xml:space="preserve">hysical </w:t>
      </w:r>
      <w:r w:rsidRPr="005B4F6A" w:rsidR="00CA68E4">
        <w:rPr>
          <w:sz w:val="22"/>
          <w:szCs w:val="22"/>
        </w:rPr>
        <w:t>p</w:t>
      </w:r>
      <w:r w:rsidRPr="005B4F6A">
        <w:rPr>
          <w:sz w:val="22"/>
          <w:szCs w:val="22"/>
        </w:rPr>
        <w:t xml:space="preserve">rotection of </w:t>
      </w:r>
      <w:r w:rsidRPr="005B4F6A" w:rsidR="00CA68E4">
        <w:rPr>
          <w:sz w:val="22"/>
          <w:szCs w:val="22"/>
        </w:rPr>
        <w:t>s</w:t>
      </w:r>
      <w:r w:rsidRPr="005B4F6A">
        <w:rPr>
          <w:sz w:val="22"/>
          <w:szCs w:val="22"/>
        </w:rPr>
        <w:t xml:space="preserve">pecial </w:t>
      </w:r>
      <w:r w:rsidRPr="005B4F6A" w:rsidR="00CA68E4">
        <w:rPr>
          <w:sz w:val="22"/>
          <w:szCs w:val="22"/>
        </w:rPr>
        <w:t>n</w:t>
      </w:r>
      <w:r w:rsidRPr="005B4F6A">
        <w:rPr>
          <w:sz w:val="22"/>
          <w:szCs w:val="22"/>
        </w:rPr>
        <w:t xml:space="preserve">uclear </w:t>
      </w:r>
      <w:r w:rsidRPr="005B4F6A" w:rsidR="00CA68E4">
        <w:rPr>
          <w:sz w:val="22"/>
          <w:szCs w:val="22"/>
        </w:rPr>
        <w:t>m</w:t>
      </w:r>
      <w:r w:rsidRPr="005B4F6A">
        <w:rPr>
          <w:sz w:val="22"/>
          <w:szCs w:val="22"/>
        </w:rPr>
        <w:t xml:space="preserve">aterial of </w:t>
      </w:r>
      <w:r w:rsidRPr="005B4F6A" w:rsidR="00CA68E4">
        <w:rPr>
          <w:sz w:val="22"/>
          <w:szCs w:val="22"/>
        </w:rPr>
        <w:t>m</w:t>
      </w:r>
      <w:r w:rsidRPr="005B4F6A">
        <w:rPr>
          <w:sz w:val="22"/>
          <w:szCs w:val="22"/>
        </w:rPr>
        <w:t xml:space="preserve">oderate and </w:t>
      </w:r>
      <w:r w:rsidRPr="005B4F6A" w:rsidR="00CA68E4">
        <w:rPr>
          <w:sz w:val="22"/>
          <w:szCs w:val="22"/>
        </w:rPr>
        <w:t>l</w:t>
      </w:r>
      <w:r w:rsidRPr="005B4F6A">
        <w:rPr>
          <w:sz w:val="22"/>
          <w:szCs w:val="22"/>
        </w:rPr>
        <w:t xml:space="preserve">ow </w:t>
      </w:r>
      <w:r w:rsidRPr="005B4F6A" w:rsidR="00CA68E4">
        <w:rPr>
          <w:sz w:val="22"/>
          <w:szCs w:val="22"/>
        </w:rPr>
        <w:t>s</w:t>
      </w:r>
      <w:r w:rsidRPr="005B4F6A">
        <w:rPr>
          <w:sz w:val="22"/>
          <w:szCs w:val="22"/>
        </w:rPr>
        <w:t xml:space="preserve">trategic </w:t>
      </w:r>
      <w:r w:rsidRPr="005B4F6A" w:rsidR="00CA68E4">
        <w:rPr>
          <w:sz w:val="22"/>
          <w:szCs w:val="22"/>
        </w:rPr>
        <w:t>s</w:t>
      </w:r>
      <w:r w:rsidRPr="005B4F6A">
        <w:rPr>
          <w:sz w:val="22"/>
          <w:szCs w:val="22"/>
        </w:rPr>
        <w:t>ignificance</w:t>
      </w:r>
      <w:r w:rsidRPr="005B4F6A" w:rsidR="00D12CA3">
        <w:rPr>
          <w:sz w:val="22"/>
          <w:szCs w:val="22"/>
        </w:rPr>
        <w:t>.</w:t>
      </w:r>
      <w:r w:rsidRPr="005B4F6A">
        <w:rPr>
          <w:sz w:val="22"/>
          <w:szCs w:val="22"/>
        </w:rPr>
        <w:t>”</w:t>
      </w:r>
    </w:p>
    <w:p w:rsidRPr="005B4F6A" w:rsidR="00C706D4" w:rsidP="00F61D84" w:rsidRDefault="00C706D4" w14:paraId="2D213EDA" w14:textId="77777777">
      <w:pPr>
        <w:pStyle w:val="ListParagraph"/>
        <w:ind w:left="1080" w:hanging="360"/>
        <w:rPr>
          <w:sz w:val="22"/>
          <w:szCs w:val="22"/>
        </w:rPr>
      </w:pPr>
    </w:p>
    <w:p w:rsidRPr="005B4F6A" w:rsidR="006B4525" w:rsidP="00F61D84" w:rsidRDefault="00533ACB" w14:paraId="6F750EB4" w14:textId="77777777">
      <w:pPr>
        <w:pStyle w:val="ListParagraph"/>
        <w:ind w:left="1080" w:hanging="360"/>
        <w:rPr>
          <w:sz w:val="22"/>
          <w:szCs w:val="22"/>
        </w:rPr>
      </w:pPr>
      <w:r w:rsidRPr="005B4F6A">
        <w:rPr>
          <w:sz w:val="22"/>
          <w:szCs w:val="22"/>
        </w:rPr>
        <w:t>These regulations affect</w:t>
      </w:r>
      <w:r w:rsidRPr="005B4F6A" w:rsidR="00C706D4">
        <w:rPr>
          <w:sz w:val="22"/>
          <w:szCs w:val="22"/>
        </w:rPr>
        <w:t xml:space="preserve"> the following</w:t>
      </w:r>
      <w:r w:rsidRPr="005B4F6A" w:rsidR="006B4525">
        <w:rPr>
          <w:sz w:val="22"/>
          <w:szCs w:val="22"/>
        </w:rPr>
        <w:t>:</w:t>
      </w:r>
    </w:p>
    <w:p w:rsidRPr="005B4F6A" w:rsidR="006B4525" w:rsidP="00F61D84" w:rsidRDefault="006B4525" w14:paraId="78C2039A" w14:textId="77777777">
      <w:pPr>
        <w:ind w:left="1080" w:hanging="360"/>
        <w:rPr>
          <w:szCs w:val="22"/>
        </w:rPr>
      </w:pPr>
    </w:p>
    <w:p w:rsidRPr="005B4F6A" w:rsidR="00AE69CF" w:rsidP="00F61D84" w:rsidRDefault="00661CB7" w14:paraId="461120A8" w14:textId="77777777">
      <w:pPr>
        <w:pStyle w:val="ListParagraph"/>
        <w:numPr>
          <w:ilvl w:val="1"/>
          <w:numId w:val="17"/>
        </w:numPr>
        <w:ind w:left="1080"/>
        <w:contextualSpacing w:val="0"/>
        <w:rPr>
          <w:sz w:val="22"/>
          <w:szCs w:val="22"/>
        </w:rPr>
      </w:pPr>
      <w:r w:rsidRPr="005B4F6A">
        <w:rPr>
          <w:sz w:val="22"/>
          <w:szCs w:val="22"/>
        </w:rPr>
        <w:t>F</w:t>
      </w:r>
      <w:r w:rsidRPr="005B4F6A" w:rsidR="006B4525">
        <w:rPr>
          <w:sz w:val="22"/>
          <w:szCs w:val="22"/>
        </w:rPr>
        <w:t>acilities a</w:t>
      </w:r>
      <w:r w:rsidRPr="005B4F6A" w:rsidR="00C16FAD">
        <w:rPr>
          <w:sz w:val="22"/>
          <w:szCs w:val="22"/>
        </w:rPr>
        <w:t xml:space="preserve">uthorized to possess Category I, Category </w:t>
      </w:r>
      <w:r w:rsidRPr="005B4F6A" w:rsidR="003250B8">
        <w:rPr>
          <w:sz w:val="22"/>
          <w:szCs w:val="22"/>
        </w:rPr>
        <w:t>II</w:t>
      </w:r>
      <w:r w:rsidRPr="005B4F6A" w:rsidR="00C16FAD">
        <w:rPr>
          <w:sz w:val="22"/>
          <w:szCs w:val="22"/>
        </w:rPr>
        <w:t>, or Category III</w:t>
      </w:r>
      <w:r w:rsidRPr="005B4F6A" w:rsidR="003250B8">
        <w:rPr>
          <w:sz w:val="22"/>
          <w:szCs w:val="22"/>
        </w:rPr>
        <w:t xml:space="preserve"> </w:t>
      </w:r>
      <w:r w:rsidRPr="005B4F6A" w:rsidR="006B4525">
        <w:rPr>
          <w:sz w:val="22"/>
          <w:szCs w:val="22"/>
        </w:rPr>
        <w:t xml:space="preserve">quantities of </w:t>
      </w:r>
      <w:proofErr w:type="gramStart"/>
      <w:r w:rsidRPr="005B4F6A" w:rsidR="006B4525">
        <w:rPr>
          <w:sz w:val="22"/>
          <w:szCs w:val="22"/>
        </w:rPr>
        <w:t>SSNM</w:t>
      </w:r>
      <w:r w:rsidRPr="005B4F6A" w:rsidR="00D12CA3">
        <w:rPr>
          <w:sz w:val="22"/>
          <w:szCs w:val="22"/>
        </w:rPr>
        <w:t>;</w:t>
      </w:r>
      <w:proofErr w:type="gramEnd"/>
    </w:p>
    <w:p w:rsidRPr="005B4F6A" w:rsidR="006B4525" w:rsidP="00F61D84" w:rsidRDefault="006B4525" w14:paraId="1A1EB4A9" w14:textId="77777777">
      <w:pPr>
        <w:pStyle w:val="ListParagraph"/>
        <w:ind w:left="1080" w:hanging="360"/>
        <w:contextualSpacing w:val="0"/>
        <w:rPr>
          <w:sz w:val="22"/>
          <w:szCs w:val="22"/>
        </w:rPr>
      </w:pPr>
    </w:p>
    <w:p w:rsidRPr="005B4F6A" w:rsidR="00AE69CF" w:rsidP="00F61D84" w:rsidRDefault="00AE69CF" w14:paraId="270572E4" w14:textId="77777777">
      <w:pPr>
        <w:pStyle w:val="ListParagraph"/>
        <w:numPr>
          <w:ilvl w:val="1"/>
          <w:numId w:val="17"/>
        </w:numPr>
        <w:ind w:left="1080"/>
        <w:contextualSpacing w:val="0"/>
        <w:rPr>
          <w:sz w:val="22"/>
          <w:szCs w:val="22"/>
        </w:rPr>
      </w:pPr>
      <w:r w:rsidRPr="005B4F6A">
        <w:rPr>
          <w:sz w:val="22"/>
          <w:szCs w:val="22"/>
        </w:rPr>
        <w:t xml:space="preserve">facilities authorized to possess Category II or Category III quantities of </w:t>
      </w:r>
      <w:proofErr w:type="gramStart"/>
      <w:r w:rsidRPr="005B4F6A">
        <w:rPr>
          <w:sz w:val="22"/>
          <w:szCs w:val="22"/>
        </w:rPr>
        <w:t>SNM;</w:t>
      </w:r>
      <w:proofErr w:type="gramEnd"/>
    </w:p>
    <w:p w:rsidRPr="005B4F6A" w:rsidR="00AE69CF" w:rsidP="005B4F6A" w:rsidRDefault="00AE69CF" w14:paraId="171550D9" w14:textId="77777777">
      <w:pPr>
        <w:pStyle w:val="ListParagraph"/>
        <w:ind w:left="1440"/>
        <w:contextualSpacing w:val="0"/>
        <w:rPr>
          <w:sz w:val="22"/>
          <w:szCs w:val="22"/>
        </w:rPr>
      </w:pPr>
    </w:p>
    <w:p w:rsidRPr="00C7721E" w:rsidR="001C6A32" w:rsidP="00F61D84" w:rsidRDefault="00C16FAD" w14:paraId="27CB5B44" w14:textId="396F9C44">
      <w:pPr>
        <w:pStyle w:val="ListParagraph"/>
        <w:ind w:left="1890" w:hanging="450"/>
        <w:contextualSpacing w:val="0"/>
        <w:rPr>
          <w:sz w:val="22"/>
          <w:szCs w:val="22"/>
        </w:rPr>
      </w:pPr>
      <w:r w:rsidRPr="005B4F6A">
        <w:rPr>
          <w:b/>
          <w:sz w:val="22"/>
          <w:szCs w:val="22"/>
        </w:rPr>
        <w:t>Note</w:t>
      </w:r>
      <w:r w:rsidRPr="005B4F6A" w:rsidR="001C6A32">
        <w:rPr>
          <w:b/>
          <w:sz w:val="22"/>
          <w:szCs w:val="22"/>
        </w:rPr>
        <w:t>s</w:t>
      </w:r>
      <w:r w:rsidRPr="005B4F6A">
        <w:rPr>
          <w:b/>
          <w:sz w:val="22"/>
          <w:szCs w:val="22"/>
        </w:rPr>
        <w:t>:</w:t>
      </w:r>
      <w:r w:rsidRPr="00A33876">
        <w:rPr>
          <w:sz w:val="22"/>
          <w:szCs w:val="22"/>
        </w:rPr>
        <w:tab/>
      </w:r>
      <w:r w:rsidRPr="00A33876" w:rsidR="007B5CF1">
        <w:rPr>
          <w:sz w:val="22"/>
          <w:szCs w:val="22"/>
        </w:rPr>
        <w:t>Under the exemption in 10 CFR 73.1215(d)(2)(</w:t>
      </w:r>
      <w:proofErr w:type="spellStart"/>
      <w:r w:rsidRPr="00A33876" w:rsidR="007B5CF1">
        <w:rPr>
          <w:sz w:val="22"/>
          <w:szCs w:val="22"/>
        </w:rPr>
        <w:t>i</w:t>
      </w:r>
      <w:proofErr w:type="spellEnd"/>
      <w:r w:rsidRPr="00A33876" w:rsidR="007B5CF1">
        <w:rPr>
          <w:sz w:val="22"/>
          <w:szCs w:val="22"/>
        </w:rPr>
        <w:t xml:space="preserve">), </w:t>
      </w:r>
      <w:r w:rsidRPr="00A33876" w:rsidR="00F8626F">
        <w:rPr>
          <w:sz w:val="22"/>
          <w:szCs w:val="22"/>
        </w:rPr>
        <w:t xml:space="preserve">NRC </w:t>
      </w:r>
      <w:r w:rsidRPr="00A33876" w:rsidR="007B5CF1">
        <w:rPr>
          <w:sz w:val="22"/>
          <w:szCs w:val="22"/>
        </w:rPr>
        <w:t xml:space="preserve">licensees who are subject to 10 CFR 73.67 and who are engaged in the enrichment of </w:t>
      </w:r>
      <w:r w:rsidRPr="00A33876" w:rsidR="009377C2">
        <w:rPr>
          <w:sz w:val="22"/>
          <w:szCs w:val="22"/>
        </w:rPr>
        <w:t xml:space="preserve">uranium </w:t>
      </w:r>
      <w:r w:rsidRPr="00A33876" w:rsidR="007B5CF1">
        <w:rPr>
          <w:sz w:val="22"/>
          <w:szCs w:val="22"/>
        </w:rPr>
        <w:t>using Restricted Data (RD) information</w:t>
      </w:r>
      <w:r w:rsidRPr="00FD6EBD" w:rsidR="00CA68E4">
        <w:rPr>
          <w:sz w:val="22"/>
          <w:szCs w:val="22"/>
        </w:rPr>
        <w:t xml:space="preserve">, </w:t>
      </w:r>
      <w:r w:rsidRPr="00FD6EBD" w:rsidR="007B5CF1">
        <w:rPr>
          <w:sz w:val="22"/>
          <w:szCs w:val="22"/>
        </w:rPr>
        <w:t>technology, or materials</w:t>
      </w:r>
      <w:r w:rsidRPr="00241873" w:rsidR="00CA68E4">
        <w:rPr>
          <w:sz w:val="22"/>
          <w:szCs w:val="22"/>
        </w:rPr>
        <w:t>,</w:t>
      </w:r>
      <w:r w:rsidRPr="00241873" w:rsidR="007B5CF1">
        <w:rPr>
          <w:sz w:val="22"/>
          <w:szCs w:val="22"/>
        </w:rPr>
        <w:t xml:space="preserve"> are not subject to</w:t>
      </w:r>
      <w:r w:rsidRPr="00241873" w:rsidR="00AE69CF">
        <w:rPr>
          <w:sz w:val="22"/>
          <w:szCs w:val="22"/>
        </w:rPr>
        <w:t xml:space="preserve"> </w:t>
      </w:r>
      <w:r w:rsidRPr="00241873" w:rsidR="00B05196">
        <w:rPr>
          <w:sz w:val="22"/>
          <w:szCs w:val="22"/>
        </w:rPr>
        <w:t xml:space="preserve">the reporting requirements of </w:t>
      </w:r>
      <w:r w:rsidRPr="00241873" w:rsidR="00AE69CF">
        <w:rPr>
          <w:sz w:val="22"/>
          <w:szCs w:val="22"/>
        </w:rPr>
        <w:t>10 CFR 73.1215(d)</w:t>
      </w:r>
      <w:r w:rsidR="002E7BC2">
        <w:rPr>
          <w:sz w:val="22"/>
          <w:szCs w:val="22"/>
        </w:rPr>
        <w:t xml:space="preserve">. </w:t>
      </w:r>
      <w:r w:rsidRPr="00241873" w:rsidR="00AE69CF">
        <w:rPr>
          <w:sz w:val="22"/>
          <w:szCs w:val="22"/>
        </w:rPr>
        <w:t xml:space="preserve">This applies to licensees who are engaged in enrichment and who are authorized to </w:t>
      </w:r>
      <w:r w:rsidRPr="004E3332" w:rsidR="00B05196">
        <w:rPr>
          <w:sz w:val="22"/>
          <w:szCs w:val="22"/>
        </w:rPr>
        <w:t xml:space="preserve">only </w:t>
      </w:r>
      <w:r w:rsidRPr="004E3332" w:rsidR="00AE69CF">
        <w:rPr>
          <w:sz w:val="22"/>
          <w:szCs w:val="22"/>
        </w:rPr>
        <w:t xml:space="preserve">possess </w:t>
      </w:r>
      <w:r w:rsidRPr="004E3332" w:rsidR="00B05196">
        <w:rPr>
          <w:sz w:val="22"/>
          <w:szCs w:val="22"/>
        </w:rPr>
        <w:t xml:space="preserve">either </w:t>
      </w:r>
      <w:r w:rsidRPr="004E3332" w:rsidR="00AE69CF">
        <w:rPr>
          <w:sz w:val="22"/>
          <w:szCs w:val="22"/>
        </w:rPr>
        <w:t>Category II or Category III quantities of SSNM or Category II or Category III quantities of SNM</w:t>
      </w:r>
      <w:r w:rsidR="002E7BC2">
        <w:rPr>
          <w:sz w:val="22"/>
          <w:szCs w:val="22"/>
        </w:rPr>
        <w:t xml:space="preserve">. </w:t>
      </w:r>
      <w:r w:rsidRPr="004E3332" w:rsidR="00AE69CF">
        <w:rPr>
          <w:sz w:val="22"/>
          <w:szCs w:val="22"/>
        </w:rPr>
        <w:t xml:space="preserve">However, licensees engaged in such enrichment activities are subject to the reporting </w:t>
      </w:r>
      <w:r w:rsidRPr="00C7721E" w:rsidR="00AE69CF">
        <w:rPr>
          <w:sz w:val="22"/>
          <w:szCs w:val="22"/>
        </w:rPr>
        <w:t>requirements of 10 CFR 73.1215(f).</w:t>
      </w:r>
    </w:p>
    <w:p w:rsidRPr="00C7721E" w:rsidR="001C6A32" w:rsidP="00F61D84" w:rsidRDefault="001C6A32" w14:paraId="3F790FA7" w14:textId="77777777">
      <w:pPr>
        <w:pStyle w:val="ListParagraph"/>
        <w:ind w:left="1890" w:hanging="720"/>
        <w:contextualSpacing w:val="0"/>
        <w:rPr>
          <w:sz w:val="22"/>
          <w:szCs w:val="22"/>
        </w:rPr>
      </w:pPr>
    </w:p>
    <w:p w:rsidRPr="00295E00" w:rsidR="00AE69CF" w:rsidP="00F61D84" w:rsidRDefault="00AE69CF" w14:paraId="225A4C3E" w14:textId="09CABE1D">
      <w:pPr>
        <w:pStyle w:val="ListParagraph"/>
        <w:ind w:left="1890"/>
        <w:contextualSpacing w:val="0"/>
        <w:rPr>
          <w:sz w:val="22"/>
          <w:szCs w:val="22"/>
        </w:rPr>
      </w:pPr>
      <w:r w:rsidRPr="00295E00">
        <w:rPr>
          <w:sz w:val="22"/>
          <w:szCs w:val="22"/>
        </w:rPr>
        <w:t>Under the exemption in 10 CFR 73.1215(d)(2)(i</w:t>
      </w:r>
      <w:r w:rsidRPr="00295E00" w:rsidR="00B05196">
        <w:rPr>
          <w:sz w:val="22"/>
          <w:szCs w:val="22"/>
        </w:rPr>
        <w:t>i</w:t>
      </w:r>
      <w:r w:rsidRPr="00295E00">
        <w:rPr>
          <w:sz w:val="22"/>
          <w:szCs w:val="22"/>
        </w:rPr>
        <w:t xml:space="preserve">), </w:t>
      </w:r>
      <w:r w:rsidRPr="00295E00" w:rsidR="00F8626F">
        <w:rPr>
          <w:sz w:val="22"/>
          <w:szCs w:val="22"/>
        </w:rPr>
        <w:t xml:space="preserve">NRC </w:t>
      </w:r>
      <w:r w:rsidRPr="00295E00">
        <w:rPr>
          <w:sz w:val="22"/>
          <w:szCs w:val="22"/>
        </w:rPr>
        <w:t>licensees who are subject to 10 CFR 73.67 and who are engaged in the</w:t>
      </w:r>
      <w:r w:rsidRPr="00295E00" w:rsidR="00B05196">
        <w:rPr>
          <w:sz w:val="22"/>
          <w:szCs w:val="22"/>
        </w:rPr>
        <w:t xml:space="preserve"> fabrication of new fuel assemblies are not subject to the reporting requirements of 10 CFR 73.1215(d)</w:t>
      </w:r>
      <w:r w:rsidR="002E7BC2">
        <w:rPr>
          <w:sz w:val="22"/>
          <w:szCs w:val="22"/>
        </w:rPr>
        <w:t xml:space="preserve">. </w:t>
      </w:r>
      <w:r w:rsidRPr="00295E00" w:rsidR="00B05196">
        <w:rPr>
          <w:sz w:val="22"/>
          <w:szCs w:val="22"/>
        </w:rPr>
        <w:t>This applies to licensees who are engaged in the fabrication of new fuel assemblies and who are authorized to only possess either Category II or Category III quantities of SSNM or Category II or Category III quantities of SNM.</w:t>
      </w:r>
    </w:p>
    <w:p w:rsidRPr="00821BA0" w:rsidR="00AE69CF" w:rsidP="00F61D84" w:rsidRDefault="00AE69CF" w14:paraId="7D2BA071" w14:textId="77777777">
      <w:pPr>
        <w:pStyle w:val="ListParagraph"/>
        <w:ind w:left="1890" w:hanging="720"/>
        <w:contextualSpacing w:val="0"/>
        <w:rPr>
          <w:sz w:val="22"/>
          <w:szCs w:val="22"/>
        </w:rPr>
      </w:pPr>
    </w:p>
    <w:p w:rsidRPr="005C1AE6" w:rsidR="003173C2" w:rsidP="00F61D84" w:rsidRDefault="00E86884" w14:paraId="0DB6F88E" w14:textId="3963CECE">
      <w:pPr>
        <w:pStyle w:val="ListParagraph"/>
        <w:ind w:left="1890"/>
        <w:contextualSpacing w:val="0"/>
        <w:rPr>
          <w:sz w:val="22"/>
          <w:szCs w:val="22"/>
        </w:rPr>
      </w:pPr>
      <w:r w:rsidRPr="00F1633C">
        <w:rPr>
          <w:sz w:val="22"/>
          <w:szCs w:val="22"/>
        </w:rPr>
        <w:t xml:space="preserve">Under </w:t>
      </w:r>
      <w:r w:rsidRPr="00F1633C" w:rsidR="00B05196">
        <w:rPr>
          <w:sz w:val="22"/>
          <w:szCs w:val="22"/>
        </w:rPr>
        <w:t xml:space="preserve">the exemption in </w:t>
      </w:r>
      <w:r w:rsidRPr="00F1633C">
        <w:rPr>
          <w:sz w:val="22"/>
          <w:szCs w:val="22"/>
        </w:rPr>
        <w:t>10 CFR 1215(g)</w:t>
      </w:r>
      <w:r w:rsidR="007D0562">
        <w:rPr>
          <w:sz w:val="22"/>
          <w:szCs w:val="22"/>
        </w:rPr>
        <w:t>(1)</w:t>
      </w:r>
      <w:r w:rsidRPr="00F1633C" w:rsidR="00B05196">
        <w:rPr>
          <w:sz w:val="22"/>
          <w:szCs w:val="22"/>
        </w:rPr>
        <w:t xml:space="preserve">, </w:t>
      </w:r>
      <w:r w:rsidRPr="00EF2B6D" w:rsidR="00F8626F">
        <w:rPr>
          <w:sz w:val="22"/>
          <w:szCs w:val="22"/>
        </w:rPr>
        <w:t xml:space="preserve">NRC or Agreement State </w:t>
      </w:r>
      <w:r w:rsidRPr="00EF2B6D" w:rsidR="00404020">
        <w:rPr>
          <w:sz w:val="22"/>
          <w:szCs w:val="22"/>
        </w:rPr>
        <w:t xml:space="preserve">licensees </w:t>
      </w:r>
      <w:r w:rsidRPr="00EF2B6D" w:rsidR="00B05196">
        <w:rPr>
          <w:sz w:val="22"/>
          <w:szCs w:val="22"/>
        </w:rPr>
        <w:t xml:space="preserve">who are </w:t>
      </w:r>
      <w:r w:rsidRPr="005017C4" w:rsidR="00404020">
        <w:rPr>
          <w:sz w:val="22"/>
          <w:szCs w:val="22"/>
        </w:rPr>
        <w:t>subject to 10</w:t>
      </w:r>
      <w:r w:rsidRPr="005017C4" w:rsidR="00F8626F">
        <w:rPr>
          <w:sz w:val="22"/>
          <w:szCs w:val="22"/>
        </w:rPr>
        <w:t xml:space="preserve"> </w:t>
      </w:r>
      <w:r w:rsidRPr="005017C4" w:rsidR="00404020">
        <w:rPr>
          <w:sz w:val="22"/>
          <w:szCs w:val="22"/>
        </w:rPr>
        <w:t>CFR 73.67</w:t>
      </w:r>
      <w:r w:rsidRPr="005017C4" w:rsidR="00F8626F">
        <w:rPr>
          <w:sz w:val="22"/>
          <w:szCs w:val="22"/>
        </w:rPr>
        <w:t xml:space="preserve"> and who are authorized to possess a </w:t>
      </w:r>
      <w:r w:rsidRPr="00712BBC" w:rsidR="00C16FAD">
        <w:rPr>
          <w:sz w:val="22"/>
          <w:szCs w:val="22"/>
        </w:rPr>
        <w:t>Category III quantit</w:t>
      </w:r>
      <w:r w:rsidRPr="00712BBC" w:rsidR="00F8626F">
        <w:rPr>
          <w:sz w:val="22"/>
          <w:szCs w:val="22"/>
        </w:rPr>
        <w:t>y</w:t>
      </w:r>
      <w:r w:rsidRPr="00712BBC" w:rsidR="00C16FAD">
        <w:rPr>
          <w:sz w:val="22"/>
          <w:szCs w:val="22"/>
        </w:rPr>
        <w:t xml:space="preserve"> of SSNM</w:t>
      </w:r>
      <w:r w:rsidRPr="00652773" w:rsidR="00F8626F">
        <w:rPr>
          <w:sz w:val="22"/>
          <w:szCs w:val="22"/>
        </w:rPr>
        <w:t>,</w:t>
      </w:r>
      <w:r w:rsidRPr="00652773" w:rsidR="00C16FAD">
        <w:rPr>
          <w:sz w:val="22"/>
          <w:szCs w:val="22"/>
        </w:rPr>
        <w:t xml:space="preserve"> where</w:t>
      </w:r>
      <w:r w:rsidRPr="00652773" w:rsidR="008867B4">
        <w:rPr>
          <w:sz w:val="22"/>
          <w:szCs w:val="22"/>
        </w:rPr>
        <w:t xml:space="preserve"> the </w:t>
      </w:r>
      <w:r w:rsidRPr="00652773" w:rsidR="003F38C1">
        <w:rPr>
          <w:sz w:val="22"/>
          <w:szCs w:val="22"/>
        </w:rPr>
        <w:t xml:space="preserve">total </w:t>
      </w:r>
      <w:r w:rsidRPr="009C4F4D" w:rsidR="008867B4">
        <w:rPr>
          <w:sz w:val="22"/>
          <w:szCs w:val="22"/>
        </w:rPr>
        <w:t>quantity</w:t>
      </w:r>
      <w:r w:rsidRPr="009C4F4D" w:rsidR="00C16FAD">
        <w:rPr>
          <w:sz w:val="22"/>
          <w:szCs w:val="22"/>
        </w:rPr>
        <w:t xml:space="preserve"> </w:t>
      </w:r>
      <w:r w:rsidRPr="009C4F4D" w:rsidR="000851A9">
        <w:rPr>
          <w:sz w:val="22"/>
          <w:szCs w:val="22"/>
        </w:rPr>
        <w:t xml:space="preserve">of </w:t>
      </w:r>
      <w:r w:rsidRPr="009C4F4D" w:rsidR="00B26777">
        <w:rPr>
          <w:sz w:val="22"/>
          <w:szCs w:val="22"/>
        </w:rPr>
        <w:t xml:space="preserve">SSNM is </w:t>
      </w:r>
      <w:r w:rsidRPr="009C4F4D" w:rsidR="00F8626F">
        <w:rPr>
          <w:sz w:val="22"/>
          <w:szCs w:val="22"/>
        </w:rPr>
        <w:t xml:space="preserve">limited to </w:t>
      </w:r>
      <w:r w:rsidRPr="009C4F4D" w:rsidR="00C16FAD">
        <w:rPr>
          <w:sz w:val="22"/>
          <w:szCs w:val="22"/>
        </w:rPr>
        <w:t>less than the critical mass limit specified in 10</w:t>
      </w:r>
      <w:r w:rsidRPr="009C4F4D" w:rsidR="000851A9">
        <w:rPr>
          <w:sz w:val="22"/>
          <w:szCs w:val="22"/>
        </w:rPr>
        <w:t> </w:t>
      </w:r>
      <w:r w:rsidRPr="00576624" w:rsidR="00C16FAD">
        <w:rPr>
          <w:sz w:val="22"/>
          <w:szCs w:val="22"/>
        </w:rPr>
        <w:t>CFR</w:t>
      </w:r>
      <w:r w:rsidRPr="00576624" w:rsidR="000851A9">
        <w:rPr>
          <w:sz w:val="22"/>
          <w:szCs w:val="22"/>
        </w:rPr>
        <w:t> </w:t>
      </w:r>
      <w:r w:rsidRPr="00576624" w:rsidR="00C16FAD">
        <w:rPr>
          <w:sz w:val="22"/>
          <w:szCs w:val="22"/>
        </w:rPr>
        <w:t>150.11(a)</w:t>
      </w:r>
      <w:r w:rsidRPr="00576624" w:rsidR="008F1B79">
        <w:rPr>
          <w:sz w:val="22"/>
          <w:szCs w:val="22"/>
        </w:rPr>
        <w:t xml:space="preserve"> </w:t>
      </w:r>
      <w:r w:rsidRPr="003D6372" w:rsidR="00F8626F">
        <w:rPr>
          <w:sz w:val="22"/>
          <w:szCs w:val="22"/>
        </w:rPr>
        <w:t>are not subje</w:t>
      </w:r>
      <w:r w:rsidRPr="003D6372" w:rsidR="00B26777">
        <w:rPr>
          <w:sz w:val="22"/>
          <w:szCs w:val="22"/>
        </w:rPr>
        <w:t>ct t</w:t>
      </w:r>
      <w:r w:rsidRPr="003D6372" w:rsidR="00F8626F">
        <w:rPr>
          <w:sz w:val="22"/>
          <w:szCs w:val="22"/>
        </w:rPr>
        <w:t>o the reporting requirements of 10 CFR 73.1215</w:t>
      </w:r>
      <w:r w:rsidR="002E7BC2">
        <w:rPr>
          <w:sz w:val="22"/>
          <w:szCs w:val="22"/>
        </w:rPr>
        <w:t xml:space="preserve">. </w:t>
      </w:r>
      <w:r w:rsidRPr="00B0515C" w:rsidR="00F8626F">
        <w:rPr>
          <w:sz w:val="22"/>
          <w:szCs w:val="22"/>
        </w:rPr>
        <w:t>T</w:t>
      </w:r>
      <w:r w:rsidRPr="00B0515C" w:rsidR="003173C2">
        <w:rPr>
          <w:sz w:val="22"/>
          <w:szCs w:val="22"/>
        </w:rPr>
        <w:t>h</w:t>
      </w:r>
      <w:r w:rsidRPr="00B0515C" w:rsidR="00CC3D39">
        <w:rPr>
          <w:sz w:val="22"/>
          <w:szCs w:val="22"/>
        </w:rPr>
        <w:t>is means</w:t>
      </w:r>
      <w:r w:rsidRPr="00B0515C" w:rsidR="003173C2">
        <w:rPr>
          <w:sz w:val="22"/>
          <w:szCs w:val="22"/>
        </w:rPr>
        <w:t xml:space="preserve"> </w:t>
      </w:r>
      <w:r w:rsidRPr="00B0515C" w:rsidR="008F1B79">
        <w:rPr>
          <w:sz w:val="22"/>
          <w:szCs w:val="22"/>
        </w:rPr>
        <w:t xml:space="preserve">that </w:t>
      </w:r>
      <w:r w:rsidRPr="00B0515C" w:rsidR="003173C2">
        <w:rPr>
          <w:sz w:val="22"/>
          <w:szCs w:val="22"/>
        </w:rPr>
        <w:t xml:space="preserve">a </w:t>
      </w:r>
      <w:r w:rsidRPr="00B0515C" w:rsidR="00B26777">
        <w:rPr>
          <w:sz w:val="22"/>
          <w:szCs w:val="22"/>
        </w:rPr>
        <w:t xml:space="preserve">licensee who is authorized to possess a </w:t>
      </w:r>
      <w:r w:rsidRPr="00597EFB" w:rsidR="003F38C1">
        <w:rPr>
          <w:sz w:val="22"/>
          <w:szCs w:val="22"/>
        </w:rPr>
        <w:t xml:space="preserve">total </w:t>
      </w:r>
      <w:r w:rsidRPr="00597EFB" w:rsidR="003173C2">
        <w:rPr>
          <w:sz w:val="22"/>
          <w:szCs w:val="22"/>
        </w:rPr>
        <w:t>quantity of SSNM</w:t>
      </w:r>
      <w:r w:rsidRPr="00691926" w:rsidR="00F8626F">
        <w:rPr>
          <w:sz w:val="22"/>
          <w:szCs w:val="22"/>
        </w:rPr>
        <w:t xml:space="preserve"> </w:t>
      </w:r>
      <w:r w:rsidRPr="00691926" w:rsidR="003173C2">
        <w:rPr>
          <w:sz w:val="22"/>
          <w:szCs w:val="22"/>
        </w:rPr>
        <w:t>greater than 15 grams (g</w:t>
      </w:r>
      <w:r w:rsidRPr="00487972" w:rsidR="00121B6B">
        <w:rPr>
          <w:sz w:val="22"/>
          <w:szCs w:val="22"/>
        </w:rPr>
        <w:t>) but</w:t>
      </w:r>
      <w:r w:rsidRPr="00487972" w:rsidR="003173C2">
        <w:rPr>
          <w:sz w:val="22"/>
          <w:szCs w:val="22"/>
        </w:rPr>
        <w:t xml:space="preserve"> </w:t>
      </w:r>
      <w:r w:rsidRPr="00487972" w:rsidR="00B26777">
        <w:rPr>
          <w:sz w:val="22"/>
          <w:szCs w:val="22"/>
        </w:rPr>
        <w:t xml:space="preserve">is </w:t>
      </w:r>
      <w:r w:rsidRPr="00F9178D" w:rsidR="003173C2">
        <w:rPr>
          <w:sz w:val="22"/>
          <w:szCs w:val="22"/>
        </w:rPr>
        <w:t>less than 350</w:t>
      </w:r>
      <w:r w:rsidRPr="00F9178D" w:rsidR="00B26777">
        <w:rPr>
          <w:sz w:val="22"/>
          <w:szCs w:val="22"/>
        </w:rPr>
        <w:t> </w:t>
      </w:r>
      <w:r w:rsidRPr="00F9178D" w:rsidR="003173C2">
        <w:rPr>
          <w:sz w:val="22"/>
          <w:szCs w:val="22"/>
        </w:rPr>
        <w:t>g of U-235 (enriched to 2</w:t>
      </w:r>
      <w:r w:rsidRPr="005F4FB3" w:rsidR="003173C2">
        <w:rPr>
          <w:sz w:val="22"/>
          <w:szCs w:val="22"/>
        </w:rPr>
        <w:t xml:space="preserve">0 percent or greater </w:t>
      </w:r>
      <w:r w:rsidRPr="005F4FB3" w:rsidR="00F8626F">
        <w:rPr>
          <w:sz w:val="22"/>
          <w:szCs w:val="22"/>
        </w:rPr>
        <w:t xml:space="preserve">in </w:t>
      </w:r>
      <w:r w:rsidRPr="005F4FB3" w:rsidR="003173C2">
        <w:rPr>
          <w:sz w:val="22"/>
          <w:szCs w:val="22"/>
        </w:rPr>
        <w:t>U</w:t>
      </w:r>
      <w:r w:rsidRPr="005F4FB3" w:rsidR="00B26777">
        <w:rPr>
          <w:sz w:val="22"/>
          <w:szCs w:val="22"/>
        </w:rPr>
        <w:noBreakHyphen/>
      </w:r>
      <w:r w:rsidRPr="005C1AE6" w:rsidR="003173C2">
        <w:rPr>
          <w:sz w:val="22"/>
          <w:szCs w:val="22"/>
        </w:rPr>
        <w:t>235), less than 200 g of U-233, less than 200 g of Pu, or less than any combination of these three nuclides using the following unity formula.</w:t>
      </w:r>
    </w:p>
    <w:p w:rsidRPr="00AB1D14" w:rsidR="003173C2" w:rsidP="00062DFB" w:rsidRDefault="003173C2" w14:paraId="3F6A0979" w14:textId="77777777">
      <w:pPr>
        <w:rPr>
          <w:szCs w:val="22"/>
        </w:rPr>
      </w:pPr>
    </w:p>
    <w:p w:rsidRPr="00AB1D14" w:rsidR="003173C2" w:rsidP="003173C2" w:rsidRDefault="0008026A" w14:paraId="61FA2F09" w14:textId="77777777">
      <w:pPr>
        <w:ind w:left="720"/>
        <w:jc w:val="center"/>
        <w:rPr>
          <w:szCs w:val="22"/>
        </w:rPr>
      </w:pPr>
      <m:oMathPara>
        <m:oMath>
          <m:d>
            <m:dPr>
              <m:begChr m:val="["/>
              <m:endChr m:val="]"/>
              <m:ctrlPr>
                <w:rPr>
                  <w:rFonts w:ascii="Cambria Math" w:hAnsi="Cambria Math"/>
                  <w:i/>
                  <w:szCs w:val="22"/>
                </w:rPr>
              </m:ctrlPr>
            </m:dPr>
            <m:e>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 xml:space="preserve">grams </m:t>
                      </m:r>
                      <m:sSup>
                        <m:sSupPr>
                          <m:ctrlPr>
                            <w:rPr>
                              <w:rFonts w:ascii="Cambria Math" w:hAnsi="Cambria Math"/>
                              <w:i/>
                              <w:szCs w:val="22"/>
                            </w:rPr>
                          </m:ctrlPr>
                        </m:sSupPr>
                        <m:e>
                          <m:r>
                            <w:rPr>
                              <w:rFonts w:ascii="Cambria Math" w:hAnsi="Cambria Math"/>
                              <w:szCs w:val="22"/>
                            </w:rPr>
                            <m:t>U</m:t>
                          </m:r>
                        </m:e>
                        <m:sup>
                          <m:r>
                            <w:rPr>
                              <w:rFonts w:ascii="Cambria Math" w:hAnsi="Cambria Math"/>
                              <w:szCs w:val="22"/>
                            </w:rPr>
                            <m:t>235</m:t>
                          </m:r>
                        </m:sup>
                      </m:sSup>
                    </m:num>
                    <m:den>
                      <m:r>
                        <w:rPr>
                          <w:rFonts w:ascii="Cambria Math" w:hAnsi="Cambria Math"/>
                          <w:szCs w:val="22"/>
                        </w:rPr>
                        <m:t>350</m:t>
                      </m:r>
                    </m:den>
                  </m:f>
                </m:e>
              </m:d>
              <m:r>
                <w:rPr>
                  <w:rFonts w:ascii="Cambria Math" w:hAnsi="Cambria Math"/>
                  <w:szCs w:val="22"/>
                </w:rPr>
                <m:t>+</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 xml:space="preserve">grams </m:t>
                      </m:r>
                      <m:sSup>
                        <m:sSupPr>
                          <m:ctrlPr>
                            <w:rPr>
                              <w:rFonts w:ascii="Cambria Math" w:hAnsi="Cambria Math"/>
                              <w:i/>
                              <w:szCs w:val="22"/>
                            </w:rPr>
                          </m:ctrlPr>
                        </m:sSupPr>
                        <m:e>
                          <m:r>
                            <w:rPr>
                              <w:rFonts w:ascii="Cambria Math" w:hAnsi="Cambria Math"/>
                              <w:szCs w:val="22"/>
                            </w:rPr>
                            <m:t>U</m:t>
                          </m:r>
                        </m:e>
                        <m:sup>
                          <m:r>
                            <w:rPr>
                              <w:rFonts w:ascii="Cambria Math" w:hAnsi="Cambria Math"/>
                              <w:szCs w:val="22"/>
                            </w:rPr>
                            <m:t>233</m:t>
                          </m:r>
                        </m:sup>
                      </m:sSup>
                    </m:num>
                    <m:den>
                      <m:r>
                        <w:rPr>
                          <w:rFonts w:ascii="Cambria Math" w:hAnsi="Cambria Math"/>
                          <w:szCs w:val="22"/>
                        </w:rPr>
                        <m:t>200</m:t>
                      </m:r>
                    </m:den>
                  </m:f>
                </m:e>
              </m:d>
              <m:r>
                <w:rPr>
                  <w:rFonts w:ascii="Cambria Math" w:hAnsi="Cambria Math"/>
                  <w:szCs w:val="22"/>
                </w:rPr>
                <m:t>+</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grams Pu</m:t>
                      </m:r>
                    </m:num>
                    <m:den>
                      <m:r>
                        <w:rPr>
                          <w:rFonts w:ascii="Cambria Math" w:hAnsi="Cambria Math"/>
                          <w:szCs w:val="22"/>
                        </w:rPr>
                        <m:t>200</m:t>
                      </m:r>
                    </m:den>
                  </m:f>
                </m:e>
              </m:d>
            </m:e>
          </m:d>
          <m:r>
            <w:rPr>
              <w:rFonts w:ascii="Cambria Math" w:hAnsi="Cambria Math"/>
              <w:szCs w:val="22"/>
            </w:rPr>
            <m:t>≤1.0</m:t>
          </m:r>
        </m:oMath>
      </m:oMathPara>
    </w:p>
    <w:p w:rsidRPr="00AB1D14" w:rsidR="003173C2" w:rsidP="003173C2" w:rsidRDefault="003173C2" w14:paraId="55EB626E" w14:textId="77777777">
      <w:pPr>
        <w:rPr>
          <w:szCs w:val="22"/>
        </w:rPr>
      </w:pPr>
    </w:p>
    <w:p w:rsidRPr="00AB1D14" w:rsidR="006B4525" w:rsidP="00F61D84" w:rsidRDefault="002E27F4" w14:paraId="422C00F5" w14:textId="77777777">
      <w:pPr>
        <w:pStyle w:val="ListParagraph"/>
        <w:numPr>
          <w:ilvl w:val="1"/>
          <w:numId w:val="17"/>
        </w:numPr>
        <w:ind w:left="1080"/>
        <w:contextualSpacing w:val="0"/>
        <w:rPr>
          <w:sz w:val="22"/>
          <w:szCs w:val="22"/>
        </w:rPr>
      </w:pPr>
      <w:r w:rsidRPr="00AB1D14">
        <w:rPr>
          <w:sz w:val="22"/>
          <w:szCs w:val="22"/>
        </w:rPr>
        <w:t>h</w:t>
      </w:r>
      <w:r w:rsidRPr="00AB1D14" w:rsidR="006B4525">
        <w:rPr>
          <w:sz w:val="22"/>
          <w:szCs w:val="22"/>
        </w:rPr>
        <w:t>ot cell facilities (for examination of irradiated SNM and SNF</w:t>
      </w:r>
      <w:proofErr w:type="gramStart"/>
      <w:r w:rsidRPr="00AB1D14" w:rsidR="006B4525">
        <w:rPr>
          <w:sz w:val="22"/>
          <w:szCs w:val="22"/>
        </w:rPr>
        <w:t>)</w:t>
      </w:r>
      <w:r w:rsidRPr="00AB1D14" w:rsidR="00D12CA3">
        <w:rPr>
          <w:sz w:val="22"/>
          <w:szCs w:val="22"/>
        </w:rPr>
        <w:t>;</w:t>
      </w:r>
      <w:proofErr w:type="gramEnd"/>
    </w:p>
    <w:p w:rsidRPr="00AB1D14" w:rsidR="00DE1B1F" w:rsidP="00F61D84" w:rsidRDefault="00DE1B1F" w14:paraId="2D2D9F88" w14:textId="77777777">
      <w:pPr>
        <w:pStyle w:val="ListParagraph"/>
        <w:ind w:left="1080" w:hanging="360"/>
        <w:contextualSpacing w:val="0"/>
        <w:rPr>
          <w:sz w:val="22"/>
          <w:szCs w:val="22"/>
        </w:rPr>
      </w:pPr>
    </w:p>
    <w:p w:rsidRPr="00AB1D14" w:rsidR="006B4525" w:rsidP="00F61D84" w:rsidRDefault="002E27F4" w14:paraId="4A4DE6CB" w14:textId="77777777">
      <w:pPr>
        <w:pStyle w:val="ListParagraph"/>
        <w:numPr>
          <w:ilvl w:val="1"/>
          <w:numId w:val="17"/>
        </w:numPr>
        <w:ind w:left="1080"/>
        <w:contextualSpacing w:val="0"/>
        <w:rPr>
          <w:sz w:val="22"/>
          <w:szCs w:val="22"/>
        </w:rPr>
      </w:pPr>
      <w:r w:rsidRPr="00AB1D14">
        <w:rPr>
          <w:sz w:val="22"/>
          <w:szCs w:val="22"/>
        </w:rPr>
        <w:t>i</w:t>
      </w:r>
      <w:r w:rsidRPr="00AB1D14" w:rsidR="006B4525">
        <w:rPr>
          <w:sz w:val="22"/>
          <w:szCs w:val="22"/>
        </w:rPr>
        <w:t>ndependent spent fuel storage installations (ISFSIs)</w:t>
      </w:r>
      <w:r w:rsidRPr="00AB1D14" w:rsidR="005E2CB2">
        <w:rPr>
          <w:sz w:val="22"/>
          <w:szCs w:val="22"/>
        </w:rPr>
        <w:t xml:space="preserve"> (both general license and specific license ISFSIs</w:t>
      </w:r>
      <w:proofErr w:type="gramStart"/>
      <w:r w:rsidRPr="00AB1D14" w:rsidR="005E2CB2">
        <w:rPr>
          <w:sz w:val="22"/>
          <w:szCs w:val="22"/>
        </w:rPr>
        <w:t>)</w:t>
      </w:r>
      <w:r w:rsidRPr="00AB1D14" w:rsidR="00D12CA3">
        <w:rPr>
          <w:sz w:val="22"/>
          <w:szCs w:val="22"/>
        </w:rPr>
        <w:t>;</w:t>
      </w:r>
      <w:proofErr w:type="gramEnd"/>
    </w:p>
    <w:p w:rsidRPr="00AB1D14" w:rsidR="00DE1B1F" w:rsidP="00F61D84" w:rsidRDefault="00DE1B1F" w14:paraId="299BD10A" w14:textId="77777777">
      <w:pPr>
        <w:pStyle w:val="ListParagraph"/>
        <w:ind w:left="1080" w:hanging="360"/>
        <w:contextualSpacing w:val="0"/>
        <w:rPr>
          <w:sz w:val="22"/>
          <w:szCs w:val="22"/>
        </w:rPr>
      </w:pPr>
    </w:p>
    <w:p w:rsidRPr="00AB1D14" w:rsidR="006B4525" w:rsidP="00F61D84" w:rsidRDefault="00171701" w14:paraId="59AF378F" w14:textId="77777777">
      <w:pPr>
        <w:pStyle w:val="ListParagraph"/>
        <w:numPr>
          <w:ilvl w:val="1"/>
          <w:numId w:val="17"/>
        </w:numPr>
        <w:ind w:left="1080"/>
        <w:contextualSpacing w:val="0"/>
        <w:rPr>
          <w:sz w:val="22"/>
          <w:szCs w:val="22"/>
        </w:rPr>
      </w:pPr>
      <w:r w:rsidRPr="00AB1D14">
        <w:rPr>
          <w:sz w:val="22"/>
          <w:szCs w:val="22"/>
        </w:rPr>
        <w:t>m</w:t>
      </w:r>
      <w:r w:rsidRPr="00AB1D14" w:rsidR="006B4525">
        <w:rPr>
          <w:sz w:val="22"/>
          <w:szCs w:val="22"/>
        </w:rPr>
        <w:t xml:space="preserve">onitored retrievable storage </w:t>
      </w:r>
      <w:proofErr w:type="gramStart"/>
      <w:r w:rsidRPr="00AB1D14" w:rsidR="006B4525">
        <w:rPr>
          <w:sz w:val="22"/>
          <w:szCs w:val="22"/>
        </w:rPr>
        <w:t>installations</w:t>
      </w:r>
      <w:r w:rsidRPr="00AB1D14" w:rsidR="00D12CA3">
        <w:rPr>
          <w:sz w:val="22"/>
          <w:szCs w:val="22"/>
        </w:rPr>
        <w:t>;</w:t>
      </w:r>
      <w:proofErr w:type="gramEnd"/>
    </w:p>
    <w:p w:rsidRPr="00AB1D14" w:rsidR="00DE1B1F" w:rsidP="00F61D84" w:rsidRDefault="00DE1B1F" w14:paraId="31F35B5E" w14:textId="77777777">
      <w:pPr>
        <w:pStyle w:val="ListParagraph"/>
        <w:ind w:left="1080" w:hanging="360"/>
        <w:contextualSpacing w:val="0"/>
        <w:rPr>
          <w:sz w:val="22"/>
          <w:szCs w:val="22"/>
        </w:rPr>
      </w:pPr>
    </w:p>
    <w:p w:rsidRPr="00AB1D14" w:rsidR="006B4525" w:rsidP="00F61D84" w:rsidRDefault="00171701" w14:paraId="6004E6A2" w14:textId="77777777">
      <w:pPr>
        <w:pStyle w:val="ListParagraph"/>
        <w:numPr>
          <w:ilvl w:val="1"/>
          <w:numId w:val="17"/>
        </w:numPr>
        <w:ind w:left="1080"/>
        <w:contextualSpacing w:val="0"/>
        <w:rPr>
          <w:sz w:val="22"/>
          <w:szCs w:val="22"/>
        </w:rPr>
      </w:pPr>
      <w:r w:rsidRPr="00AB1D14">
        <w:rPr>
          <w:sz w:val="22"/>
          <w:szCs w:val="22"/>
        </w:rPr>
        <w:t>g</w:t>
      </w:r>
      <w:r w:rsidRPr="00AB1D14" w:rsidR="006B4525">
        <w:rPr>
          <w:sz w:val="22"/>
          <w:szCs w:val="22"/>
        </w:rPr>
        <w:t>eologic repository operations areas</w:t>
      </w:r>
      <w:r w:rsidRPr="00AB1D14" w:rsidR="00D12CA3">
        <w:rPr>
          <w:sz w:val="22"/>
          <w:szCs w:val="22"/>
        </w:rPr>
        <w:t>;</w:t>
      </w:r>
      <w:r w:rsidRPr="00AB1D14" w:rsidR="003737B5">
        <w:rPr>
          <w:sz w:val="22"/>
          <w:szCs w:val="22"/>
        </w:rPr>
        <w:t xml:space="preserve"> and</w:t>
      </w:r>
    </w:p>
    <w:p w:rsidRPr="00AB1D14" w:rsidR="00DE1B1F" w:rsidP="00F61D84" w:rsidRDefault="00DE1B1F" w14:paraId="3710CB9D" w14:textId="77777777">
      <w:pPr>
        <w:pStyle w:val="ListParagraph"/>
        <w:ind w:left="1080" w:hanging="360"/>
        <w:contextualSpacing w:val="0"/>
        <w:rPr>
          <w:sz w:val="22"/>
          <w:szCs w:val="22"/>
        </w:rPr>
      </w:pPr>
    </w:p>
    <w:p w:rsidRPr="00AB1D14" w:rsidR="006B4525" w:rsidP="00F61D84" w:rsidRDefault="00C16FAD" w14:paraId="1A601C0E" w14:textId="0F76778D">
      <w:pPr>
        <w:pStyle w:val="ListParagraph"/>
        <w:numPr>
          <w:ilvl w:val="1"/>
          <w:numId w:val="17"/>
        </w:numPr>
        <w:ind w:left="1080"/>
        <w:contextualSpacing w:val="0"/>
        <w:rPr>
          <w:sz w:val="22"/>
          <w:szCs w:val="22"/>
        </w:rPr>
      </w:pPr>
      <w:r w:rsidRPr="00AB1D14">
        <w:rPr>
          <w:sz w:val="22"/>
          <w:szCs w:val="22"/>
        </w:rPr>
        <w:t xml:space="preserve">production and utilization facilities licensed under 10 CFR 50.21 and </w:t>
      </w:r>
      <w:r w:rsidR="00AF05FF">
        <w:rPr>
          <w:sz w:val="22"/>
          <w:szCs w:val="22"/>
        </w:rPr>
        <w:t>10 CFR</w:t>
      </w:r>
      <w:r w:rsidR="00562044">
        <w:rPr>
          <w:sz w:val="22"/>
          <w:szCs w:val="22"/>
        </w:rPr>
        <w:t> </w:t>
      </w:r>
      <w:r w:rsidRPr="00AB1D14">
        <w:rPr>
          <w:sz w:val="22"/>
          <w:szCs w:val="22"/>
        </w:rPr>
        <w:t>50.22 (including both operating and decommissioning production reactors, power reactors, and non-power reactors).</w:t>
      </w:r>
      <w:r w:rsidRPr="00AB1D14" w:rsidR="003737B5">
        <w:rPr>
          <w:sz w:val="22"/>
          <w:szCs w:val="22"/>
        </w:rPr>
        <w:t xml:space="preserve"> </w:t>
      </w:r>
    </w:p>
    <w:p w:rsidRPr="00AB1D14" w:rsidR="00DE1B1F" w:rsidP="00DE1B1F" w:rsidRDefault="00DE1B1F" w14:paraId="74210CA4" w14:textId="77777777">
      <w:pPr>
        <w:pStyle w:val="ListParagraph"/>
        <w:ind w:left="1440"/>
        <w:contextualSpacing w:val="0"/>
        <w:rPr>
          <w:sz w:val="22"/>
          <w:szCs w:val="22"/>
        </w:rPr>
      </w:pPr>
    </w:p>
    <w:p w:rsidRPr="00A32DBF" w:rsidR="009254DA" w:rsidP="00F61D84" w:rsidRDefault="000A5A92" w14:paraId="32EEDB53" w14:textId="77777777">
      <w:pPr>
        <w:ind w:left="1890" w:hanging="810"/>
        <w:rPr>
          <w:color w:val="333333"/>
          <w:shd w:val="clear" w:color="auto" w:fill="FFFFFF"/>
        </w:rPr>
      </w:pPr>
      <w:r w:rsidRPr="00955E66">
        <w:rPr>
          <w:b/>
        </w:rPr>
        <w:t>Note</w:t>
      </w:r>
      <w:r w:rsidRPr="00F07C03" w:rsidR="00055F10">
        <w:rPr>
          <w:b/>
        </w:rPr>
        <w:t>s</w:t>
      </w:r>
      <w:r w:rsidRPr="00F07C03">
        <w:rPr>
          <w:b/>
        </w:rPr>
        <w:t>:</w:t>
      </w:r>
      <w:r w:rsidR="00B121D2">
        <w:tab/>
      </w:r>
      <w:r w:rsidRPr="00F07C03" w:rsidR="00CC3D39">
        <w:t xml:space="preserve">The </w:t>
      </w:r>
      <w:r w:rsidRPr="00F07C03" w:rsidR="00B26777">
        <w:t>term</w:t>
      </w:r>
      <w:r w:rsidRPr="00F07C03" w:rsidR="008F1B79">
        <w:t>s</w:t>
      </w:r>
      <w:r w:rsidRPr="00F07C03" w:rsidR="00B26777">
        <w:t xml:space="preserve"> </w:t>
      </w:r>
      <w:r w:rsidRPr="00F07C03" w:rsidR="008F1B79">
        <w:t>“</w:t>
      </w:r>
      <w:r w:rsidRPr="00F07C03" w:rsidR="00B26777">
        <w:t>production</w:t>
      </w:r>
      <w:r w:rsidRPr="00F07C03" w:rsidR="00C52E6A">
        <w:t xml:space="preserve"> facility</w:t>
      </w:r>
      <w:r w:rsidRPr="00F07C03" w:rsidR="00CC3D39">
        <w:t>”</w:t>
      </w:r>
      <w:r w:rsidRPr="00F07C03" w:rsidR="00CB2F8B">
        <w:t xml:space="preserve"> </w:t>
      </w:r>
      <w:r w:rsidRPr="00F07C03" w:rsidR="008F1B79">
        <w:t>and</w:t>
      </w:r>
      <w:r w:rsidRPr="00B121D2" w:rsidR="008F1B79">
        <w:t xml:space="preserve"> “utilization facility” have the same meanings given th</w:t>
      </w:r>
      <w:r w:rsidRPr="00A32DBF" w:rsidR="006A4B85">
        <w:t>e</w:t>
      </w:r>
      <w:r w:rsidRPr="00A32DBF" w:rsidR="008F1B79">
        <w:t xml:space="preserve">se terms in </w:t>
      </w:r>
      <w:r w:rsidRPr="00A32DBF" w:rsidR="00CB2F8B">
        <w:t xml:space="preserve">10 CFR 50.2, </w:t>
      </w:r>
      <w:r w:rsidRPr="00A32DBF" w:rsidR="00CC3D39">
        <w:rPr>
          <w:color w:val="333333"/>
          <w:shd w:val="clear" w:color="auto" w:fill="FFFFFF"/>
        </w:rPr>
        <w:t>“Definitions</w:t>
      </w:r>
      <w:r w:rsidRPr="00A32DBF" w:rsidR="008F1B79">
        <w:rPr>
          <w:color w:val="333333"/>
          <w:shd w:val="clear" w:color="auto" w:fill="FFFFFF"/>
        </w:rPr>
        <w:t>.</w:t>
      </w:r>
      <w:r w:rsidRPr="00A32DBF" w:rsidR="00CC3D39">
        <w:rPr>
          <w:color w:val="333333"/>
          <w:shd w:val="clear" w:color="auto" w:fill="FFFFFF"/>
        </w:rPr>
        <w:t>”</w:t>
      </w:r>
    </w:p>
    <w:p w:rsidRPr="00AB1D14" w:rsidR="008F1B79" w:rsidP="00C75CD8" w:rsidRDefault="008F1B79" w14:paraId="1060E0CA" w14:textId="77777777">
      <w:pPr>
        <w:pStyle w:val="ListParagraph"/>
        <w:ind w:left="2160"/>
        <w:contextualSpacing w:val="0"/>
        <w:rPr>
          <w:sz w:val="22"/>
          <w:szCs w:val="22"/>
        </w:rPr>
      </w:pPr>
    </w:p>
    <w:p w:rsidRPr="00AB1D14" w:rsidR="007C066F" w:rsidP="00F61D84" w:rsidRDefault="004D1329" w14:paraId="6F9C4C7E" w14:textId="77777777">
      <w:pPr>
        <w:pStyle w:val="ListParagraph"/>
        <w:numPr>
          <w:ilvl w:val="0"/>
          <w:numId w:val="18"/>
        </w:numPr>
        <w:ind w:left="720"/>
        <w:rPr>
          <w:sz w:val="22"/>
          <w:szCs w:val="22"/>
        </w:rPr>
      </w:pPr>
      <w:r w:rsidRPr="00AB1D14">
        <w:rPr>
          <w:sz w:val="22"/>
          <w:szCs w:val="22"/>
        </w:rPr>
        <w:t>The regulations in 10 CFR 73.1215(d) apply to</w:t>
      </w:r>
      <w:r w:rsidRPr="00AB1D14" w:rsidR="007C066F">
        <w:rPr>
          <w:sz w:val="22"/>
          <w:szCs w:val="22"/>
        </w:rPr>
        <w:t>:</w:t>
      </w:r>
      <w:r w:rsidRPr="00AB1D14">
        <w:rPr>
          <w:sz w:val="22"/>
          <w:szCs w:val="22"/>
        </w:rPr>
        <w:t xml:space="preserve"> </w:t>
      </w:r>
    </w:p>
    <w:p w:rsidRPr="00AB1D14" w:rsidR="00BF4592" w:rsidP="00BF4592" w:rsidRDefault="00BF4592" w14:paraId="5A2F76EE" w14:textId="77777777">
      <w:pPr>
        <w:pStyle w:val="ListParagraph"/>
        <w:ind w:left="1440"/>
        <w:rPr>
          <w:sz w:val="22"/>
          <w:szCs w:val="22"/>
        </w:rPr>
      </w:pPr>
    </w:p>
    <w:p w:rsidRPr="00AB1D14" w:rsidR="004D1329" w:rsidP="00F61D84" w:rsidRDefault="007C066F" w14:paraId="69F27DB9" w14:textId="77777777">
      <w:pPr>
        <w:pStyle w:val="ListParagraph"/>
        <w:numPr>
          <w:ilvl w:val="1"/>
          <w:numId w:val="18"/>
        </w:numPr>
        <w:ind w:left="1080"/>
        <w:rPr>
          <w:sz w:val="22"/>
          <w:szCs w:val="22"/>
        </w:rPr>
      </w:pPr>
      <w:r w:rsidRPr="00AB1D14">
        <w:rPr>
          <w:sz w:val="22"/>
          <w:szCs w:val="22"/>
        </w:rPr>
        <w:t>L</w:t>
      </w:r>
      <w:r w:rsidRPr="00AB1D14" w:rsidR="004D1329">
        <w:rPr>
          <w:sz w:val="22"/>
          <w:szCs w:val="22"/>
        </w:rPr>
        <w:t xml:space="preserve">icensees that are engaged in the enrichment of SNM, using RD technology, equipment, or materials where the licensee is authorized to </w:t>
      </w:r>
      <w:r w:rsidRPr="00AB1D14" w:rsidR="00F103A2">
        <w:rPr>
          <w:sz w:val="22"/>
          <w:szCs w:val="22"/>
        </w:rPr>
        <w:t>enrich and</w:t>
      </w:r>
      <w:r w:rsidRPr="00AB1D14" w:rsidR="000851A9">
        <w:rPr>
          <w:sz w:val="22"/>
          <w:szCs w:val="22"/>
        </w:rPr>
        <w:t>/o</w:t>
      </w:r>
      <w:r w:rsidRPr="00AB1D14" w:rsidR="004B327A">
        <w:rPr>
          <w:sz w:val="22"/>
          <w:szCs w:val="22"/>
        </w:rPr>
        <w:t>r</w:t>
      </w:r>
      <w:r w:rsidRPr="00AB1D14" w:rsidR="00F103A2">
        <w:rPr>
          <w:sz w:val="22"/>
          <w:szCs w:val="22"/>
        </w:rPr>
        <w:t xml:space="preserve"> </w:t>
      </w:r>
      <w:r w:rsidRPr="00AB1D14" w:rsidR="004D1329">
        <w:rPr>
          <w:sz w:val="22"/>
          <w:szCs w:val="22"/>
        </w:rPr>
        <w:t>possess Category I quantities of SSNM.</w:t>
      </w:r>
    </w:p>
    <w:p w:rsidRPr="00AB1D14" w:rsidR="00BF4592" w:rsidP="00F61D84" w:rsidRDefault="00BF4592" w14:paraId="16CE0650" w14:textId="77777777">
      <w:pPr>
        <w:ind w:left="1440" w:hanging="360"/>
        <w:rPr>
          <w:szCs w:val="22"/>
        </w:rPr>
      </w:pPr>
    </w:p>
    <w:p w:rsidRPr="00AB1D14" w:rsidR="00BF4592" w:rsidP="00F61D84" w:rsidRDefault="00532E43" w14:paraId="78D4F84F" w14:textId="6A9A3B72">
      <w:pPr>
        <w:pStyle w:val="ListParagraph"/>
        <w:numPr>
          <w:ilvl w:val="1"/>
          <w:numId w:val="18"/>
        </w:numPr>
        <w:ind w:left="1080"/>
        <w:rPr>
          <w:sz w:val="22"/>
          <w:szCs w:val="22"/>
        </w:rPr>
      </w:pPr>
      <w:r w:rsidRPr="00AB1D14">
        <w:rPr>
          <w:sz w:val="22"/>
          <w:szCs w:val="22"/>
        </w:rPr>
        <w:t>L</w:t>
      </w:r>
      <w:r w:rsidRPr="00AB1D14" w:rsidR="00BF4592">
        <w:rPr>
          <w:sz w:val="22"/>
          <w:szCs w:val="22"/>
        </w:rPr>
        <w:t xml:space="preserve">icensees of </w:t>
      </w:r>
      <w:r w:rsidRPr="00AB1D14" w:rsidR="004B327A">
        <w:rPr>
          <w:sz w:val="22"/>
          <w:szCs w:val="22"/>
        </w:rPr>
        <w:t>utilization facilities (</w:t>
      </w:r>
      <w:r w:rsidRPr="00AB1D14" w:rsidR="00BF4592">
        <w:rPr>
          <w:sz w:val="22"/>
          <w:szCs w:val="22"/>
        </w:rPr>
        <w:t>power reactors and non-power reactors</w:t>
      </w:r>
      <w:r w:rsidRPr="00AB1D14" w:rsidR="004B327A">
        <w:rPr>
          <w:sz w:val="22"/>
          <w:szCs w:val="22"/>
        </w:rPr>
        <w:t>)</w:t>
      </w:r>
      <w:r w:rsidRPr="00AB1D14" w:rsidR="00BF4592">
        <w:rPr>
          <w:sz w:val="22"/>
          <w:szCs w:val="22"/>
        </w:rPr>
        <w:t xml:space="preserve"> that have permanently ceased operations, provided that the licensee still has SNF stored within the reactor facility</w:t>
      </w:r>
      <w:r w:rsidR="002E7BC2">
        <w:rPr>
          <w:sz w:val="22"/>
          <w:szCs w:val="22"/>
        </w:rPr>
        <w:t xml:space="preserve">. </w:t>
      </w:r>
      <w:r w:rsidRPr="00AB1D14" w:rsidR="00BF4592">
        <w:rPr>
          <w:sz w:val="22"/>
          <w:szCs w:val="22"/>
        </w:rPr>
        <w:t xml:space="preserve">However, once the licensee has transferred </w:t>
      </w:r>
      <w:proofErr w:type="gramStart"/>
      <w:r w:rsidRPr="00AB1D14" w:rsidR="00BF4592">
        <w:rPr>
          <w:sz w:val="22"/>
          <w:szCs w:val="22"/>
        </w:rPr>
        <w:t>all of</w:t>
      </w:r>
      <w:proofErr w:type="gramEnd"/>
      <w:r w:rsidRPr="00AB1D14" w:rsidR="00BF4592">
        <w:rPr>
          <w:sz w:val="22"/>
          <w:szCs w:val="22"/>
        </w:rPr>
        <w:t xml:space="preserve"> its SNF from their spent fuel pool to an offsite facility or to an ISFSI, and that reality is reflected in NRC-approval of reductions to the licensee’s phys</w:t>
      </w:r>
      <w:r w:rsidRPr="00AB1D14" w:rsidR="00307C52">
        <w:rPr>
          <w:sz w:val="22"/>
          <w:szCs w:val="22"/>
        </w:rPr>
        <w:t>ical security plan, then the</w:t>
      </w:r>
      <w:r w:rsidRPr="00AB1D14" w:rsidR="00BF4592">
        <w:rPr>
          <w:sz w:val="22"/>
          <w:szCs w:val="22"/>
        </w:rPr>
        <w:t xml:space="preserve"> licensee may no longer report suspicious activities related to the reactor</w:t>
      </w:r>
      <w:r w:rsidRPr="00AB1D14" w:rsidR="004B327A">
        <w:rPr>
          <w:sz w:val="22"/>
          <w:szCs w:val="22"/>
        </w:rPr>
        <w:t xml:space="preserve"> facility</w:t>
      </w:r>
      <w:r w:rsidRPr="00AB1D14" w:rsidR="00BF4592">
        <w:rPr>
          <w:sz w:val="22"/>
          <w:szCs w:val="22"/>
        </w:rPr>
        <w:t xml:space="preserve">. </w:t>
      </w:r>
    </w:p>
    <w:p w:rsidRPr="00AB1D14" w:rsidR="00BF4592" w:rsidP="00307C52" w:rsidRDefault="00BF4592" w14:paraId="1D46F952" w14:textId="77777777">
      <w:pPr>
        <w:ind w:left="2520"/>
        <w:rPr>
          <w:szCs w:val="22"/>
        </w:rPr>
      </w:pPr>
    </w:p>
    <w:p w:rsidRPr="00AB1D14" w:rsidR="00D12CA3" w:rsidP="00F61D84" w:rsidRDefault="00DC7135" w14:paraId="46D773C3" w14:textId="77777777">
      <w:pPr>
        <w:pStyle w:val="ListParagraph"/>
        <w:numPr>
          <w:ilvl w:val="0"/>
          <w:numId w:val="13"/>
        </w:numPr>
        <w:rPr>
          <w:sz w:val="22"/>
          <w:szCs w:val="22"/>
        </w:rPr>
      </w:pPr>
      <w:r w:rsidRPr="00AB1D14">
        <w:rPr>
          <w:sz w:val="22"/>
          <w:szCs w:val="22"/>
        </w:rPr>
        <w:t xml:space="preserve">The </w:t>
      </w:r>
      <w:r w:rsidRPr="00AB1D14" w:rsidR="007A1BCC">
        <w:rPr>
          <w:sz w:val="22"/>
          <w:szCs w:val="22"/>
        </w:rPr>
        <w:t xml:space="preserve">requirements </w:t>
      </w:r>
      <w:r w:rsidRPr="00AB1D14">
        <w:rPr>
          <w:sz w:val="22"/>
          <w:szCs w:val="22"/>
        </w:rPr>
        <w:t>in 10 CFR 73.</w:t>
      </w:r>
      <w:r w:rsidRPr="00AB1D14" w:rsidR="006B4525">
        <w:rPr>
          <w:sz w:val="22"/>
          <w:szCs w:val="22"/>
        </w:rPr>
        <w:t>1215</w:t>
      </w:r>
      <w:r w:rsidRPr="00AB1D14">
        <w:rPr>
          <w:sz w:val="22"/>
          <w:szCs w:val="22"/>
        </w:rPr>
        <w:t>(</w:t>
      </w:r>
      <w:r w:rsidRPr="00AB1D14" w:rsidR="00BA0BCE">
        <w:rPr>
          <w:sz w:val="22"/>
          <w:szCs w:val="22"/>
        </w:rPr>
        <w:t>e</w:t>
      </w:r>
      <w:r w:rsidRPr="00AB1D14">
        <w:rPr>
          <w:sz w:val="22"/>
          <w:szCs w:val="22"/>
        </w:rPr>
        <w:t xml:space="preserve">) </w:t>
      </w:r>
      <w:r w:rsidRPr="00AB1D14" w:rsidR="00392EAD">
        <w:rPr>
          <w:sz w:val="22"/>
          <w:szCs w:val="22"/>
        </w:rPr>
        <w:t xml:space="preserve">are applicable </w:t>
      </w:r>
      <w:r w:rsidRPr="00AB1D14">
        <w:rPr>
          <w:sz w:val="22"/>
          <w:szCs w:val="22"/>
        </w:rPr>
        <w:t xml:space="preserve">to </w:t>
      </w:r>
      <w:r w:rsidRPr="00AB1D14" w:rsidR="00BA0BCE">
        <w:rPr>
          <w:sz w:val="22"/>
          <w:szCs w:val="22"/>
        </w:rPr>
        <w:t>licensees</w:t>
      </w:r>
      <w:r w:rsidRPr="00AB1D14">
        <w:rPr>
          <w:sz w:val="22"/>
          <w:szCs w:val="22"/>
        </w:rPr>
        <w:t xml:space="preserve"> </w:t>
      </w:r>
      <w:r w:rsidRPr="00AB1D14" w:rsidR="00404020">
        <w:rPr>
          <w:sz w:val="22"/>
          <w:szCs w:val="22"/>
        </w:rPr>
        <w:t>engaged in the transportation of</w:t>
      </w:r>
      <w:r w:rsidRPr="00AB1D14" w:rsidR="001829A8">
        <w:rPr>
          <w:sz w:val="22"/>
          <w:szCs w:val="22"/>
        </w:rPr>
        <w:t xml:space="preserve"> radioactive and nuclear materials and </w:t>
      </w:r>
      <w:r w:rsidR="008F1B79">
        <w:rPr>
          <w:sz w:val="22"/>
          <w:szCs w:val="22"/>
        </w:rPr>
        <w:t xml:space="preserve">who </w:t>
      </w:r>
      <w:r w:rsidRPr="00AB1D14" w:rsidR="001829A8">
        <w:rPr>
          <w:sz w:val="22"/>
          <w:szCs w:val="22"/>
        </w:rPr>
        <w:t>are</w:t>
      </w:r>
      <w:r w:rsidRPr="00AB1D14" w:rsidR="00404020">
        <w:rPr>
          <w:sz w:val="22"/>
          <w:szCs w:val="22"/>
        </w:rPr>
        <w:t xml:space="preserve"> </w:t>
      </w:r>
      <w:r w:rsidR="008F1B79">
        <w:rPr>
          <w:sz w:val="22"/>
          <w:szCs w:val="22"/>
        </w:rPr>
        <w:t xml:space="preserve">also </w:t>
      </w:r>
      <w:r w:rsidRPr="00AB1D14">
        <w:rPr>
          <w:sz w:val="22"/>
          <w:szCs w:val="22"/>
        </w:rPr>
        <w:t xml:space="preserve">subject to </w:t>
      </w:r>
      <w:r w:rsidRPr="00AB1D14" w:rsidR="00D12CA3">
        <w:rPr>
          <w:sz w:val="22"/>
          <w:szCs w:val="22"/>
        </w:rPr>
        <w:t>the following regulations:</w:t>
      </w:r>
    </w:p>
    <w:p w:rsidRPr="00AB1D14" w:rsidR="00D12CA3" w:rsidP="00D12CA3" w:rsidRDefault="00D12CA3" w14:paraId="5280E9CA" w14:textId="77777777">
      <w:pPr>
        <w:pStyle w:val="ListParagraph"/>
        <w:rPr>
          <w:sz w:val="22"/>
          <w:szCs w:val="22"/>
        </w:rPr>
      </w:pPr>
    </w:p>
    <w:p w:rsidRPr="00AB1D14" w:rsidR="00D12CA3" w:rsidP="00F61D84" w:rsidRDefault="00D12CA3" w14:paraId="3695BE14" w14:textId="77777777">
      <w:pPr>
        <w:pStyle w:val="ListParagraph"/>
        <w:numPr>
          <w:ilvl w:val="0"/>
          <w:numId w:val="23"/>
        </w:numPr>
        <w:ind w:left="1080"/>
        <w:rPr>
          <w:sz w:val="22"/>
          <w:szCs w:val="22"/>
        </w:rPr>
      </w:pPr>
      <w:r w:rsidRPr="00AB1D14">
        <w:rPr>
          <w:sz w:val="22"/>
          <w:szCs w:val="22"/>
        </w:rPr>
        <w:t>10 CFR 73.20</w:t>
      </w:r>
      <w:r w:rsidR="008F1B79">
        <w:rPr>
          <w:sz w:val="22"/>
          <w:szCs w:val="22"/>
        </w:rPr>
        <w:t xml:space="preserve">, </w:t>
      </w:r>
      <w:r w:rsidRPr="00AB1D14" w:rsidR="008F1B79">
        <w:rPr>
          <w:sz w:val="22"/>
          <w:szCs w:val="22"/>
        </w:rPr>
        <w:t xml:space="preserve">“General </w:t>
      </w:r>
      <w:r w:rsidR="008F1B79">
        <w:rPr>
          <w:sz w:val="22"/>
          <w:szCs w:val="22"/>
        </w:rPr>
        <w:t>p</w:t>
      </w:r>
      <w:r w:rsidRPr="00AB1D14" w:rsidR="008F1B79">
        <w:rPr>
          <w:sz w:val="22"/>
          <w:szCs w:val="22"/>
        </w:rPr>
        <w:t xml:space="preserve">erformance </w:t>
      </w:r>
      <w:r w:rsidR="008F1B79">
        <w:rPr>
          <w:sz w:val="22"/>
          <w:szCs w:val="22"/>
        </w:rPr>
        <w:t>o</w:t>
      </w:r>
      <w:r w:rsidRPr="00AB1D14" w:rsidR="008F1B79">
        <w:rPr>
          <w:sz w:val="22"/>
          <w:szCs w:val="22"/>
        </w:rPr>
        <w:t xml:space="preserve">bjective and </w:t>
      </w:r>
      <w:r w:rsidR="008F1B79">
        <w:rPr>
          <w:sz w:val="22"/>
          <w:szCs w:val="22"/>
        </w:rPr>
        <w:t>r</w:t>
      </w:r>
      <w:r w:rsidRPr="00AB1D14" w:rsidR="008F1B79">
        <w:rPr>
          <w:sz w:val="22"/>
          <w:szCs w:val="22"/>
        </w:rPr>
        <w:t>equirements</w:t>
      </w:r>
      <w:proofErr w:type="gramStart"/>
      <w:r w:rsidRPr="00AB1D14" w:rsidR="008F1B79">
        <w:rPr>
          <w:sz w:val="22"/>
          <w:szCs w:val="22"/>
        </w:rPr>
        <w:t>”</w:t>
      </w:r>
      <w:r w:rsidRPr="00AB1D14">
        <w:rPr>
          <w:sz w:val="22"/>
          <w:szCs w:val="22"/>
        </w:rPr>
        <w:t>;</w:t>
      </w:r>
      <w:proofErr w:type="gramEnd"/>
    </w:p>
    <w:p w:rsidRPr="00AB1D14" w:rsidR="00D12CA3" w:rsidP="00F61D84" w:rsidRDefault="00DC7135" w14:paraId="29A9DAFC" w14:textId="77777777">
      <w:pPr>
        <w:pStyle w:val="ListParagraph"/>
        <w:ind w:left="1080" w:hanging="360"/>
        <w:rPr>
          <w:sz w:val="22"/>
          <w:szCs w:val="22"/>
        </w:rPr>
      </w:pPr>
      <w:r w:rsidRPr="00AB1D14">
        <w:rPr>
          <w:sz w:val="22"/>
          <w:szCs w:val="22"/>
        </w:rPr>
        <w:t xml:space="preserve"> </w:t>
      </w:r>
    </w:p>
    <w:p w:rsidRPr="00AB1D14" w:rsidR="00D12CA3" w:rsidP="00F61D84" w:rsidRDefault="00DC7135" w14:paraId="7442C797" w14:textId="77777777">
      <w:pPr>
        <w:pStyle w:val="ListParagraph"/>
        <w:numPr>
          <w:ilvl w:val="0"/>
          <w:numId w:val="23"/>
        </w:numPr>
        <w:ind w:left="1080"/>
        <w:rPr>
          <w:sz w:val="22"/>
          <w:szCs w:val="22"/>
        </w:rPr>
      </w:pPr>
      <w:r w:rsidRPr="00AB1D14">
        <w:rPr>
          <w:sz w:val="22"/>
          <w:szCs w:val="22"/>
        </w:rPr>
        <w:t>10</w:t>
      </w:r>
      <w:r w:rsidRPr="00AB1D14" w:rsidR="00A62834">
        <w:rPr>
          <w:sz w:val="22"/>
          <w:szCs w:val="22"/>
        </w:rPr>
        <w:t> </w:t>
      </w:r>
      <w:r w:rsidRPr="00AB1D14">
        <w:rPr>
          <w:sz w:val="22"/>
          <w:szCs w:val="22"/>
        </w:rPr>
        <w:t>CFR</w:t>
      </w:r>
      <w:r w:rsidRPr="00AB1D14" w:rsidR="00A62834">
        <w:rPr>
          <w:sz w:val="22"/>
          <w:szCs w:val="22"/>
        </w:rPr>
        <w:t> </w:t>
      </w:r>
      <w:r w:rsidRPr="00AB1D14">
        <w:rPr>
          <w:sz w:val="22"/>
          <w:szCs w:val="22"/>
        </w:rPr>
        <w:t xml:space="preserve">73.25, “Performance </w:t>
      </w:r>
      <w:r w:rsidR="008F1B79">
        <w:rPr>
          <w:sz w:val="22"/>
          <w:szCs w:val="22"/>
        </w:rPr>
        <w:t>c</w:t>
      </w:r>
      <w:r w:rsidRPr="00AB1D14">
        <w:rPr>
          <w:sz w:val="22"/>
          <w:szCs w:val="22"/>
        </w:rPr>
        <w:t xml:space="preserve">apabilities for </w:t>
      </w:r>
      <w:r w:rsidR="008F1B79">
        <w:rPr>
          <w:sz w:val="22"/>
          <w:szCs w:val="22"/>
        </w:rPr>
        <w:t>p</w:t>
      </w:r>
      <w:r w:rsidRPr="00AB1D14">
        <w:rPr>
          <w:sz w:val="22"/>
          <w:szCs w:val="22"/>
        </w:rPr>
        <w:t xml:space="preserve">hysical </w:t>
      </w:r>
      <w:r w:rsidR="008F1B79">
        <w:rPr>
          <w:sz w:val="22"/>
          <w:szCs w:val="22"/>
        </w:rPr>
        <w:t>p</w:t>
      </w:r>
      <w:r w:rsidRPr="00AB1D14">
        <w:rPr>
          <w:sz w:val="22"/>
          <w:szCs w:val="22"/>
        </w:rPr>
        <w:t xml:space="preserve">rotection of </w:t>
      </w:r>
      <w:r w:rsidR="008F1B79">
        <w:rPr>
          <w:sz w:val="22"/>
          <w:szCs w:val="22"/>
        </w:rPr>
        <w:t>s</w:t>
      </w:r>
      <w:r w:rsidRPr="00AB1D14">
        <w:rPr>
          <w:sz w:val="22"/>
          <w:szCs w:val="22"/>
        </w:rPr>
        <w:t xml:space="preserve">trategic </w:t>
      </w:r>
      <w:r w:rsidR="008F1B79">
        <w:rPr>
          <w:sz w:val="22"/>
          <w:szCs w:val="22"/>
        </w:rPr>
        <w:t>s</w:t>
      </w:r>
      <w:r w:rsidRPr="00AB1D14">
        <w:rPr>
          <w:sz w:val="22"/>
          <w:szCs w:val="22"/>
        </w:rPr>
        <w:t>peci</w:t>
      </w:r>
      <w:r w:rsidRPr="00AB1D14" w:rsidR="00D12CA3">
        <w:rPr>
          <w:sz w:val="22"/>
          <w:szCs w:val="22"/>
        </w:rPr>
        <w:t xml:space="preserve">al </w:t>
      </w:r>
      <w:r w:rsidR="008F1B79">
        <w:rPr>
          <w:sz w:val="22"/>
          <w:szCs w:val="22"/>
        </w:rPr>
        <w:t>n</w:t>
      </w:r>
      <w:r w:rsidRPr="00AB1D14" w:rsidR="00D12CA3">
        <w:rPr>
          <w:sz w:val="22"/>
          <w:szCs w:val="22"/>
        </w:rPr>
        <w:t xml:space="preserve">uclear </w:t>
      </w:r>
      <w:r w:rsidR="008F1B79">
        <w:rPr>
          <w:sz w:val="22"/>
          <w:szCs w:val="22"/>
        </w:rPr>
        <w:t>m</w:t>
      </w:r>
      <w:r w:rsidRPr="00AB1D14" w:rsidR="00D12CA3">
        <w:rPr>
          <w:sz w:val="22"/>
          <w:szCs w:val="22"/>
        </w:rPr>
        <w:t xml:space="preserve">aterial in </w:t>
      </w:r>
      <w:r w:rsidR="008F1B79">
        <w:rPr>
          <w:sz w:val="22"/>
          <w:szCs w:val="22"/>
        </w:rPr>
        <w:t>t</w:t>
      </w:r>
      <w:r w:rsidRPr="00AB1D14" w:rsidR="00D12CA3">
        <w:rPr>
          <w:sz w:val="22"/>
          <w:szCs w:val="22"/>
        </w:rPr>
        <w:t>ransit</w:t>
      </w:r>
      <w:proofErr w:type="gramStart"/>
      <w:r w:rsidRPr="00AB1D14" w:rsidR="00D12CA3">
        <w:rPr>
          <w:sz w:val="22"/>
          <w:szCs w:val="22"/>
        </w:rPr>
        <w:t>”;</w:t>
      </w:r>
      <w:proofErr w:type="gramEnd"/>
    </w:p>
    <w:p w:rsidRPr="00AB1D14" w:rsidR="00D12CA3" w:rsidP="00F61D84" w:rsidRDefault="00D12CA3" w14:paraId="40EFE816" w14:textId="77777777">
      <w:pPr>
        <w:pStyle w:val="ListParagraph"/>
        <w:ind w:left="1080" w:hanging="360"/>
        <w:rPr>
          <w:sz w:val="22"/>
          <w:szCs w:val="22"/>
        </w:rPr>
      </w:pPr>
    </w:p>
    <w:p w:rsidRPr="00AB1D14" w:rsidR="007B5577" w:rsidP="00F61D84" w:rsidRDefault="00DC7135" w14:paraId="4EA77420" w14:textId="77777777">
      <w:pPr>
        <w:pStyle w:val="ListParagraph"/>
        <w:numPr>
          <w:ilvl w:val="0"/>
          <w:numId w:val="23"/>
        </w:numPr>
        <w:ind w:left="1080"/>
        <w:rPr>
          <w:sz w:val="22"/>
          <w:szCs w:val="22"/>
        </w:rPr>
      </w:pPr>
      <w:r w:rsidRPr="00AB1D14">
        <w:rPr>
          <w:sz w:val="22"/>
          <w:szCs w:val="22"/>
        </w:rPr>
        <w:t>10</w:t>
      </w:r>
      <w:r w:rsidRPr="00AB1D14" w:rsidR="00A62834">
        <w:rPr>
          <w:sz w:val="22"/>
          <w:szCs w:val="22"/>
        </w:rPr>
        <w:t> </w:t>
      </w:r>
      <w:r w:rsidRPr="00AB1D14">
        <w:rPr>
          <w:sz w:val="22"/>
          <w:szCs w:val="22"/>
        </w:rPr>
        <w:t>CFR</w:t>
      </w:r>
      <w:r w:rsidRPr="00AB1D14" w:rsidR="00A62834">
        <w:rPr>
          <w:sz w:val="22"/>
          <w:szCs w:val="22"/>
        </w:rPr>
        <w:t> </w:t>
      </w:r>
      <w:r w:rsidRPr="00AB1D14">
        <w:rPr>
          <w:sz w:val="22"/>
          <w:szCs w:val="22"/>
        </w:rPr>
        <w:t xml:space="preserve">73.26, “Transportation </w:t>
      </w:r>
      <w:r w:rsidR="008F1B79">
        <w:rPr>
          <w:sz w:val="22"/>
          <w:szCs w:val="22"/>
        </w:rPr>
        <w:t>p</w:t>
      </w:r>
      <w:r w:rsidRPr="00AB1D14">
        <w:rPr>
          <w:sz w:val="22"/>
          <w:szCs w:val="22"/>
        </w:rPr>
        <w:t xml:space="preserve">hysical </w:t>
      </w:r>
      <w:r w:rsidR="00B75C04">
        <w:rPr>
          <w:sz w:val="22"/>
          <w:szCs w:val="22"/>
        </w:rPr>
        <w:t>p</w:t>
      </w:r>
      <w:r w:rsidRPr="00AB1D14">
        <w:rPr>
          <w:sz w:val="22"/>
          <w:szCs w:val="22"/>
        </w:rPr>
        <w:t xml:space="preserve">rotection </w:t>
      </w:r>
      <w:r w:rsidR="00B75C04">
        <w:rPr>
          <w:sz w:val="22"/>
          <w:szCs w:val="22"/>
        </w:rPr>
        <w:t>s</w:t>
      </w:r>
      <w:r w:rsidRPr="00AB1D14">
        <w:rPr>
          <w:sz w:val="22"/>
          <w:szCs w:val="22"/>
        </w:rPr>
        <w:t xml:space="preserve">ystems, </w:t>
      </w:r>
      <w:r w:rsidR="00B75C04">
        <w:rPr>
          <w:sz w:val="22"/>
          <w:szCs w:val="22"/>
        </w:rPr>
        <w:t>s</w:t>
      </w:r>
      <w:r w:rsidRPr="00AB1D14">
        <w:rPr>
          <w:sz w:val="22"/>
          <w:szCs w:val="22"/>
        </w:rPr>
        <w:t xml:space="preserve">ubsystems, </w:t>
      </w:r>
      <w:r w:rsidR="00B75C04">
        <w:rPr>
          <w:sz w:val="22"/>
          <w:szCs w:val="22"/>
        </w:rPr>
        <w:t>c</w:t>
      </w:r>
      <w:r w:rsidRPr="00AB1D14" w:rsidR="00D12CA3">
        <w:rPr>
          <w:sz w:val="22"/>
          <w:szCs w:val="22"/>
        </w:rPr>
        <w:t xml:space="preserve">omponents, and </w:t>
      </w:r>
      <w:r w:rsidR="00B75C04">
        <w:rPr>
          <w:sz w:val="22"/>
          <w:szCs w:val="22"/>
        </w:rPr>
        <w:t>p</w:t>
      </w:r>
      <w:r w:rsidRPr="00AB1D14" w:rsidR="00D12CA3">
        <w:rPr>
          <w:sz w:val="22"/>
          <w:szCs w:val="22"/>
        </w:rPr>
        <w:t>rocedures</w:t>
      </w:r>
      <w:proofErr w:type="gramStart"/>
      <w:r w:rsidRPr="00AB1D14" w:rsidR="00D12CA3">
        <w:rPr>
          <w:sz w:val="22"/>
          <w:szCs w:val="22"/>
        </w:rPr>
        <w:t>”;</w:t>
      </w:r>
      <w:proofErr w:type="gramEnd"/>
      <w:r w:rsidRPr="00AB1D14" w:rsidR="00D12CA3">
        <w:rPr>
          <w:sz w:val="22"/>
          <w:szCs w:val="22"/>
        </w:rPr>
        <w:t xml:space="preserve"> </w:t>
      </w:r>
    </w:p>
    <w:p w:rsidRPr="00AB1D14" w:rsidR="007B5577" w:rsidP="00F61D84" w:rsidRDefault="007B5577" w14:paraId="091ECB31" w14:textId="77777777">
      <w:pPr>
        <w:pStyle w:val="ListParagraph"/>
        <w:ind w:left="1080" w:hanging="360"/>
        <w:rPr>
          <w:sz w:val="22"/>
          <w:szCs w:val="22"/>
        </w:rPr>
      </w:pPr>
    </w:p>
    <w:p w:rsidRPr="00AB1D14" w:rsidR="00D12CA3" w:rsidP="00F61D84" w:rsidRDefault="007B5577" w14:paraId="7D65C8ED" w14:textId="77777777">
      <w:pPr>
        <w:pStyle w:val="ListParagraph"/>
        <w:numPr>
          <w:ilvl w:val="0"/>
          <w:numId w:val="23"/>
        </w:numPr>
        <w:ind w:left="1080"/>
        <w:rPr>
          <w:sz w:val="22"/>
          <w:szCs w:val="22"/>
        </w:rPr>
      </w:pPr>
      <w:r w:rsidRPr="00AB1D14">
        <w:rPr>
          <w:sz w:val="22"/>
          <w:szCs w:val="22"/>
        </w:rPr>
        <w:t xml:space="preserve">10 CFR 73.27, “Notification </w:t>
      </w:r>
      <w:r w:rsidR="00B75C04">
        <w:rPr>
          <w:sz w:val="22"/>
          <w:szCs w:val="22"/>
        </w:rPr>
        <w:t>r</w:t>
      </w:r>
      <w:r w:rsidRPr="00AB1D14">
        <w:rPr>
          <w:sz w:val="22"/>
          <w:szCs w:val="22"/>
        </w:rPr>
        <w:t xml:space="preserve">equirements”; </w:t>
      </w:r>
      <w:r w:rsidRPr="00AB1D14" w:rsidR="00D12CA3">
        <w:rPr>
          <w:sz w:val="22"/>
          <w:szCs w:val="22"/>
        </w:rPr>
        <w:t>and</w:t>
      </w:r>
    </w:p>
    <w:p w:rsidRPr="00AB1D14" w:rsidR="00D12CA3" w:rsidP="00F61D84" w:rsidRDefault="00D12CA3" w14:paraId="44DA19CB" w14:textId="77777777">
      <w:pPr>
        <w:pStyle w:val="ListParagraph"/>
        <w:ind w:left="1080" w:hanging="360"/>
        <w:rPr>
          <w:sz w:val="22"/>
          <w:szCs w:val="22"/>
        </w:rPr>
      </w:pPr>
    </w:p>
    <w:p w:rsidRPr="00AB1D14" w:rsidR="00D12CA3" w:rsidP="00F61D84" w:rsidRDefault="00DC7135" w14:paraId="7E1C5796" w14:textId="77777777">
      <w:pPr>
        <w:pStyle w:val="ListParagraph"/>
        <w:numPr>
          <w:ilvl w:val="0"/>
          <w:numId w:val="23"/>
        </w:numPr>
        <w:ind w:left="1080"/>
        <w:rPr>
          <w:sz w:val="22"/>
          <w:szCs w:val="22"/>
        </w:rPr>
      </w:pPr>
      <w:r w:rsidRPr="00AB1D14">
        <w:rPr>
          <w:sz w:val="22"/>
          <w:szCs w:val="22"/>
        </w:rPr>
        <w:t>10</w:t>
      </w:r>
      <w:r w:rsidRPr="00AB1D14" w:rsidR="00A62834">
        <w:rPr>
          <w:sz w:val="22"/>
          <w:szCs w:val="22"/>
        </w:rPr>
        <w:t> </w:t>
      </w:r>
      <w:r w:rsidRPr="00AB1D14">
        <w:rPr>
          <w:sz w:val="22"/>
          <w:szCs w:val="22"/>
        </w:rPr>
        <w:t>CFR</w:t>
      </w:r>
      <w:r w:rsidRPr="00AB1D14" w:rsidR="00A62834">
        <w:rPr>
          <w:sz w:val="22"/>
          <w:szCs w:val="22"/>
        </w:rPr>
        <w:t> </w:t>
      </w:r>
      <w:r w:rsidRPr="00AB1D14">
        <w:rPr>
          <w:sz w:val="22"/>
          <w:szCs w:val="22"/>
        </w:rPr>
        <w:t xml:space="preserve">73.37, “Requirements for </w:t>
      </w:r>
      <w:r w:rsidR="00B75C04">
        <w:rPr>
          <w:sz w:val="22"/>
          <w:szCs w:val="22"/>
        </w:rPr>
        <w:t>p</w:t>
      </w:r>
      <w:r w:rsidRPr="00AB1D14">
        <w:rPr>
          <w:sz w:val="22"/>
          <w:szCs w:val="22"/>
        </w:rPr>
        <w:t xml:space="preserve">hysical </w:t>
      </w:r>
      <w:r w:rsidR="00B75C04">
        <w:rPr>
          <w:sz w:val="22"/>
          <w:szCs w:val="22"/>
        </w:rPr>
        <w:t>p</w:t>
      </w:r>
      <w:r w:rsidRPr="00AB1D14">
        <w:rPr>
          <w:sz w:val="22"/>
          <w:szCs w:val="22"/>
        </w:rPr>
        <w:t xml:space="preserve">rotection of </w:t>
      </w:r>
      <w:r w:rsidR="00B75C04">
        <w:rPr>
          <w:sz w:val="22"/>
          <w:szCs w:val="22"/>
        </w:rPr>
        <w:t>i</w:t>
      </w:r>
      <w:r w:rsidRPr="00AB1D14">
        <w:rPr>
          <w:sz w:val="22"/>
          <w:szCs w:val="22"/>
        </w:rPr>
        <w:t xml:space="preserve">rradiated </w:t>
      </w:r>
      <w:r w:rsidR="00B75C04">
        <w:rPr>
          <w:sz w:val="22"/>
          <w:szCs w:val="22"/>
        </w:rPr>
        <w:t>r</w:t>
      </w:r>
      <w:r w:rsidRPr="00AB1D14">
        <w:rPr>
          <w:sz w:val="22"/>
          <w:szCs w:val="22"/>
        </w:rPr>
        <w:t xml:space="preserve">eactor </w:t>
      </w:r>
      <w:r w:rsidR="00B75C04">
        <w:rPr>
          <w:sz w:val="22"/>
          <w:szCs w:val="22"/>
        </w:rPr>
        <w:t>f</w:t>
      </w:r>
      <w:r w:rsidRPr="00AB1D14">
        <w:rPr>
          <w:sz w:val="22"/>
          <w:szCs w:val="22"/>
        </w:rPr>
        <w:t xml:space="preserve">uel in </w:t>
      </w:r>
      <w:r w:rsidR="00B75C04">
        <w:rPr>
          <w:sz w:val="22"/>
          <w:szCs w:val="22"/>
        </w:rPr>
        <w:t>t</w:t>
      </w:r>
      <w:r w:rsidRPr="00AB1D14">
        <w:rPr>
          <w:sz w:val="22"/>
          <w:szCs w:val="22"/>
        </w:rPr>
        <w:t xml:space="preserve">ransit.”  </w:t>
      </w:r>
    </w:p>
    <w:p w:rsidRPr="00AB1D14" w:rsidR="00D12CA3" w:rsidP="00D12CA3" w:rsidRDefault="00D12CA3" w14:paraId="20590357" w14:textId="77777777">
      <w:pPr>
        <w:pStyle w:val="ListParagraph"/>
        <w:rPr>
          <w:sz w:val="22"/>
          <w:szCs w:val="22"/>
        </w:rPr>
      </w:pPr>
    </w:p>
    <w:p w:rsidRPr="00AB1D14" w:rsidR="00DC7135" w:rsidP="00D12CA3" w:rsidRDefault="00DC7135" w14:paraId="11E1DF2C" w14:textId="77777777">
      <w:pPr>
        <w:pStyle w:val="ListParagraph"/>
        <w:rPr>
          <w:sz w:val="22"/>
          <w:szCs w:val="22"/>
        </w:rPr>
      </w:pPr>
      <w:r w:rsidRPr="00AB1D14">
        <w:rPr>
          <w:sz w:val="22"/>
          <w:szCs w:val="22"/>
        </w:rPr>
        <w:t>Th</w:t>
      </w:r>
      <w:r w:rsidRPr="00AB1D14" w:rsidR="00533ACB">
        <w:rPr>
          <w:sz w:val="22"/>
          <w:szCs w:val="22"/>
        </w:rPr>
        <w:t>ese</w:t>
      </w:r>
      <w:r w:rsidRPr="00AB1D14">
        <w:rPr>
          <w:sz w:val="22"/>
          <w:szCs w:val="22"/>
        </w:rPr>
        <w:t xml:space="preserve"> </w:t>
      </w:r>
      <w:r w:rsidRPr="00AB1D14" w:rsidR="00577D76">
        <w:rPr>
          <w:sz w:val="22"/>
          <w:szCs w:val="22"/>
        </w:rPr>
        <w:t>regulations affect licensees engaged in</w:t>
      </w:r>
      <w:r w:rsidRPr="00AB1D14" w:rsidR="009479C7">
        <w:rPr>
          <w:sz w:val="22"/>
          <w:szCs w:val="22"/>
        </w:rPr>
        <w:t xml:space="preserve"> the following</w:t>
      </w:r>
      <w:r w:rsidRPr="00AB1D14" w:rsidR="00533ACB">
        <w:rPr>
          <w:sz w:val="22"/>
          <w:szCs w:val="22"/>
        </w:rPr>
        <w:t xml:space="preserve"> </w:t>
      </w:r>
      <w:r w:rsidRPr="00AB1D14" w:rsidR="00D12CA3">
        <w:rPr>
          <w:sz w:val="22"/>
          <w:szCs w:val="22"/>
        </w:rPr>
        <w:t xml:space="preserve">shipping </w:t>
      </w:r>
      <w:r w:rsidRPr="00AB1D14" w:rsidR="00533ACB">
        <w:rPr>
          <w:sz w:val="22"/>
          <w:szCs w:val="22"/>
        </w:rPr>
        <w:t>activities</w:t>
      </w:r>
      <w:r w:rsidRPr="00AB1D14">
        <w:rPr>
          <w:sz w:val="22"/>
          <w:szCs w:val="22"/>
        </w:rPr>
        <w:t>:</w:t>
      </w:r>
    </w:p>
    <w:p w:rsidRPr="00AB1D14" w:rsidR="007B5577" w:rsidP="00D12CA3" w:rsidRDefault="007B5577" w14:paraId="213B682A" w14:textId="77777777">
      <w:pPr>
        <w:pStyle w:val="ListParagraph"/>
        <w:rPr>
          <w:sz w:val="22"/>
          <w:szCs w:val="22"/>
        </w:rPr>
      </w:pPr>
    </w:p>
    <w:p w:rsidRPr="00AB1D14" w:rsidR="00DC7135" w:rsidP="00F61D84" w:rsidRDefault="0012378D" w14:paraId="7F17CA2D" w14:textId="77777777">
      <w:pPr>
        <w:pStyle w:val="ListParagraph"/>
        <w:numPr>
          <w:ilvl w:val="0"/>
          <w:numId w:val="19"/>
        </w:numPr>
        <w:ind w:left="1080"/>
        <w:rPr>
          <w:sz w:val="22"/>
          <w:szCs w:val="22"/>
        </w:rPr>
      </w:pPr>
      <w:r w:rsidRPr="00AB1D14">
        <w:rPr>
          <w:sz w:val="22"/>
          <w:szCs w:val="22"/>
        </w:rPr>
        <w:lastRenderedPageBreak/>
        <w:t xml:space="preserve">The </w:t>
      </w:r>
      <w:r w:rsidRPr="00AB1D14" w:rsidR="00A62834">
        <w:rPr>
          <w:sz w:val="22"/>
          <w:szCs w:val="22"/>
        </w:rPr>
        <w:t>t</w:t>
      </w:r>
      <w:r w:rsidRPr="00AB1D14" w:rsidR="00DC7135">
        <w:rPr>
          <w:sz w:val="22"/>
          <w:szCs w:val="22"/>
        </w:rPr>
        <w:t xml:space="preserve">ransportation of Category I quantities of </w:t>
      </w:r>
      <w:proofErr w:type="gramStart"/>
      <w:r w:rsidRPr="00AB1D14" w:rsidR="00DC7135">
        <w:rPr>
          <w:sz w:val="22"/>
          <w:szCs w:val="22"/>
        </w:rPr>
        <w:t>SSNM</w:t>
      </w:r>
      <w:r w:rsidRPr="00AB1D14" w:rsidR="00D12CA3">
        <w:rPr>
          <w:sz w:val="22"/>
          <w:szCs w:val="22"/>
        </w:rPr>
        <w:t>;</w:t>
      </w:r>
      <w:proofErr w:type="gramEnd"/>
    </w:p>
    <w:p w:rsidRPr="00AB1D14" w:rsidR="00DE1B1F" w:rsidP="00F61D84" w:rsidRDefault="00DE1B1F" w14:paraId="4EB42605" w14:textId="77777777">
      <w:pPr>
        <w:pStyle w:val="ListParagraph"/>
        <w:ind w:left="1080" w:hanging="360"/>
        <w:rPr>
          <w:sz w:val="22"/>
          <w:szCs w:val="22"/>
        </w:rPr>
      </w:pPr>
    </w:p>
    <w:p w:rsidRPr="00AB1D14" w:rsidR="00DC7135" w:rsidP="00F61D84" w:rsidRDefault="0012378D" w14:paraId="70236973" w14:textId="77777777">
      <w:pPr>
        <w:pStyle w:val="ListParagraph"/>
        <w:numPr>
          <w:ilvl w:val="0"/>
          <w:numId w:val="20"/>
        </w:numPr>
        <w:ind w:left="1080"/>
        <w:rPr>
          <w:sz w:val="22"/>
          <w:szCs w:val="22"/>
        </w:rPr>
      </w:pPr>
      <w:r w:rsidRPr="00AB1D14">
        <w:rPr>
          <w:sz w:val="22"/>
          <w:szCs w:val="22"/>
        </w:rPr>
        <w:t xml:space="preserve">The </w:t>
      </w:r>
      <w:r w:rsidRPr="00AB1D14" w:rsidR="00A62834">
        <w:rPr>
          <w:sz w:val="22"/>
          <w:szCs w:val="22"/>
        </w:rPr>
        <w:t>t</w:t>
      </w:r>
      <w:r w:rsidRPr="00AB1D14" w:rsidR="00DC7135">
        <w:rPr>
          <w:sz w:val="22"/>
          <w:szCs w:val="22"/>
        </w:rPr>
        <w:t>ransportation of SNF</w:t>
      </w:r>
      <w:r w:rsidRPr="00AB1D14" w:rsidR="00D12CA3">
        <w:rPr>
          <w:sz w:val="22"/>
          <w:szCs w:val="22"/>
        </w:rPr>
        <w:t>; and</w:t>
      </w:r>
    </w:p>
    <w:p w:rsidRPr="00AB1D14" w:rsidR="00DE1B1F" w:rsidP="00F61D84" w:rsidRDefault="00DE1B1F" w14:paraId="1991669A" w14:textId="77777777">
      <w:pPr>
        <w:pStyle w:val="ListParagraph"/>
        <w:ind w:left="1080" w:hanging="360"/>
        <w:rPr>
          <w:sz w:val="22"/>
          <w:szCs w:val="22"/>
        </w:rPr>
      </w:pPr>
    </w:p>
    <w:p w:rsidRPr="00AB1D14" w:rsidR="00DC7135" w:rsidP="00F61D84" w:rsidRDefault="009F0D25" w14:paraId="7A19E54D" w14:textId="77777777">
      <w:pPr>
        <w:pStyle w:val="ListParagraph"/>
        <w:numPr>
          <w:ilvl w:val="0"/>
          <w:numId w:val="21"/>
        </w:numPr>
        <w:ind w:left="1080"/>
        <w:rPr>
          <w:sz w:val="22"/>
          <w:szCs w:val="22"/>
        </w:rPr>
      </w:pPr>
      <w:r w:rsidRPr="00AB1D14">
        <w:rPr>
          <w:sz w:val="22"/>
          <w:szCs w:val="22"/>
        </w:rPr>
        <w:t xml:space="preserve">The </w:t>
      </w:r>
      <w:r w:rsidRPr="00AB1D14" w:rsidR="00A62834">
        <w:rPr>
          <w:sz w:val="22"/>
          <w:szCs w:val="22"/>
        </w:rPr>
        <w:t>t</w:t>
      </w:r>
      <w:r w:rsidRPr="00AB1D14" w:rsidR="00DC7135">
        <w:rPr>
          <w:sz w:val="22"/>
          <w:szCs w:val="22"/>
        </w:rPr>
        <w:t>ransportation of HLW</w:t>
      </w:r>
      <w:r w:rsidRPr="00AB1D14" w:rsidR="00D12CA3">
        <w:rPr>
          <w:sz w:val="22"/>
          <w:szCs w:val="22"/>
        </w:rPr>
        <w:t>.</w:t>
      </w:r>
    </w:p>
    <w:p w:rsidRPr="00AB1D14" w:rsidR="00DC7135" w:rsidP="00DC7135" w:rsidRDefault="00DC7135" w14:paraId="4E7EC67D" w14:textId="77777777">
      <w:pPr>
        <w:rPr>
          <w:szCs w:val="22"/>
        </w:rPr>
      </w:pPr>
    </w:p>
    <w:p w:rsidRPr="00AB1D14" w:rsidR="001829A8" w:rsidP="00F61D84" w:rsidRDefault="008C699B" w14:paraId="70918BA3" w14:textId="77777777">
      <w:pPr>
        <w:pStyle w:val="ListParagraph"/>
        <w:ind w:left="1890" w:hanging="810"/>
        <w:rPr>
          <w:sz w:val="22"/>
          <w:szCs w:val="22"/>
        </w:rPr>
      </w:pPr>
      <w:r w:rsidRPr="00AB1D14">
        <w:rPr>
          <w:b/>
          <w:sz w:val="22"/>
          <w:szCs w:val="22"/>
        </w:rPr>
        <w:t>Note</w:t>
      </w:r>
      <w:r w:rsidRPr="00AB1D14" w:rsidR="001829A8">
        <w:rPr>
          <w:b/>
          <w:sz w:val="22"/>
          <w:szCs w:val="22"/>
        </w:rPr>
        <w:t>s</w:t>
      </w:r>
      <w:r w:rsidRPr="00AB1D14">
        <w:rPr>
          <w:b/>
          <w:sz w:val="22"/>
          <w:szCs w:val="22"/>
        </w:rPr>
        <w:t>:</w:t>
      </w:r>
      <w:r w:rsidRPr="00AB1D14" w:rsidR="00A62834">
        <w:rPr>
          <w:b/>
          <w:sz w:val="22"/>
          <w:szCs w:val="22"/>
        </w:rPr>
        <w:t xml:space="preserve">  </w:t>
      </w:r>
      <w:r w:rsidRPr="00AB1D14" w:rsidR="00A62834">
        <w:rPr>
          <w:b/>
          <w:sz w:val="22"/>
          <w:szCs w:val="22"/>
        </w:rPr>
        <w:tab/>
      </w:r>
      <w:r w:rsidRPr="00AB1D14">
        <w:rPr>
          <w:sz w:val="22"/>
          <w:szCs w:val="22"/>
        </w:rPr>
        <w:t xml:space="preserve">The regulations in 10 CFR 73.1215(e) do not apply to </w:t>
      </w:r>
      <w:r w:rsidRPr="00AB1D14" w:rsidR="001829A8">
        <w:rPr>
          <w:sz w:val="22"/>
          <w:szCs w:val="22"/>
        </w:rPr>
        <w:t>licensees who are subject to 10 CFR 73.67 and who</w:t>
      </w:r>
      <w:r w:rsidRPr="00AB1D14" w:rsidR="00A62834">
        <w:rPr>
          <w:sz w:val="22"/>
          <w:szCs w:val="22"/>
        </w:rPr>
        <w:t xml:space="preserve"> </w:t>
      </w:r>
      <w:r w:rsidRPr="00AB1D14">
        <w:rPr>
          <w:sz w:val="22"/>
          <w:szCs w:val="22"/>
        </w:rPr>
        <w:t xml:space="preserve">are engaged in the transportation of </w:t>
      </w:r>
      <w:r w:rsidRPr="00AB1D14" w:rsidR="001829A8">
        <w:rPr>
          <w:sz w:val="22"/>
          <w:szCs w:val="22"/>
        </w:rPr>
        <w:t xml:space="preserve">unirradiated </w:t>
      </w:r>
      <w:r w:rsidRPr="00AB1D14">
        <w:rPr>
          <w:sz w:val="22"/>
          <w:szCs w:val="22"/>
        </w:rPr>
        <w:t>Category</w:t>
      </w:r>
      <w:r w:rsidRPr="00AB1D14" w:rsidR="00A62834">
        <w:rPr>
          <w:sz w:val="22"/>
          <w:szCs w:val="22"/>
        </w:rPr>
        <w:t> </w:t>
      </w:r>
      <w:r w:rsidRPr="00AB1D14">
        <w:rPr>
          <w:sz w:val="22"/>
          <w:szCs w:val="22"/>
        </w:rPr>
        <w:t xml:space="preserve">II or </w:t>
      </w:r>
      <w:r w:rsidRPr="00AB1D14" w:rsidR="00C75CD8">
        <w:rPr>
          <w:sz w:val="22"/>
          <w:szCs w:val="22"/>
        </w:rPr>
        <w:t xml:space="preserve">Category </w:t>
      </w:r>
      <w:r w:rsidRPr="00AB1D14">
        <w:rPr>
          <w:sz w:val="22"/>
          <w:szCs w:val="22"/>
        </w:rPr>
        <w:t xml:space="preserve">III </w:t>
      </w:r>
      <w:r w:rsidRPr="00AB1D14" w:rsidR="009F0D25">
        <w:rPr>
          <w:sz w:val="22"/>
          <w:szCs w:val="22"/>
        </w:rPr>
        <w:t xml:space="preserve">quantities of </w:t>
      </w:r>
      <w:r w:rsidRPr="00AB1D14" w:rsidR="00B224C0">
        <w:rPr>
          <w:sz w:val="22"/>
          <w:szCs w:val="22"/>
        </w:rPr>
        <w:t xml:space="preserve">SSNM or </w:t>
      </w:r>
      <w:r w:rsidRPr="00AB1D14" w:rsidR="00C75CD8">
        <w:rPr>
          <w:sz w:val="22"/>
          <w:szCs w:val="22"/>
        </w:rPr>
        <w:t xml:space="preserve">Category II or Category III quantities of </w:t>
      </w:r>
      <w:r w:rsidRPr="00AB1D14">
        <w:rPr>
          <w:sz w:val="22"/>
          <w:szCs w:val="22"/>
        </w:rPr>
        <w:t>SNM.</w:t>
      </w:r>
    </w:p>
    <w:p w:rsidRPr="00AB1D14" w:rsidR="001829A8" w:rsidP="00062DFB" w:rsidRDefault="001829A8" w14:paraId="1AA6F171" w14:textId="77777777">
      <w:pPr>
        <w:pStyle w:val="ListParagraph"/>
        <w:ind w:left="2160" w:hanging="720"/>
        <w:rPr>
          <w:sz w:val="22"/>
          <w:szCs w:val="22"/>
        </w:rPr>
      </w:pPr>
    </w:p>
    <w:p w:rsidRPr="00AB1D14" w:rsidR="008C699B" w:rsidP="00F61D84" w:rsidRDefault="001829A8" w14:paraId="11892E08" w14:textId="77777777">
      <w:pPr>
        <w:pStyle w:val="ListParagraph"/>
        <w:ind w:left="1890"/>
        <w:rPr>
          <w:b/>
          <w:sz w:val="22"/>
          <w:szCs w:val="22"/>
        </w:rPr>
      </w:pPr>
      <w:r w:rsidRPr="00AB1D14">
        <w:rPr>
          <w:sz w:val="22"/>
          <w:szCs w:val="22"/>
        </w:rPr>
        <w:t>However, the regulations in 10 CFR 73.1215(e) do apply to licensees who are subject to 10 CFR 73.67 and who are engaged in the transportation of SNF under 10</w:t>
      </w:r>
      <w:r w:rsidR="0004355F">
        <w:rPr>
          <w:sz w:val="22"/>
          <w:szCs w:val="22"/>
        </w:rPr>
        <w:t> </w:t>
      </w:r>
      <w:r w:rsidRPr="00AB1D14">
        <w:rPr>
          <w:sz w:val="22"/>
          <w:szCs w:val="22"/>
        </w:rPr>
        <w:t>CFR 73.37</w:t>
      </w:r>
      <w:r w:rsidRPr="00AB1D14" w:rsidR="00C75CD8">
        <w:rPr>
          <w:sz w:val="22"/>
          <w:szCs w:val="22"/>
        </w:rPr>
        <w:t xml:space="preserve">, (e.g., </w:t>
      </w:r>
      <w:r w:rsidR="006A4B85">
        <w:rPr>
          <w:sz w:val="22"/>
          <w:szCs w:val="22"/>
        </w:rPr>
        <w:t xml:space="preserve">a </w:t>
      </w:r>
      <w:r w:rsidRPr="00AB1D14" w:rsidR="00C75CD8">
        <w:rPr>
          <w:sz w:val="22"/>
          <w:szCs w:val="22"/>
        </w:rPr>
        <w:t>non-power reactor</w:t>
      </w:r>
      <w:r w:rsidR="006A4B85">
        <w:rPr>
          <w:sz w:val="22"/>
          <w:szCs w:val="22"/>
        </w:rPr>
        <w:t xml:space="preserve"> shipping SNF</w:t>
      </w:r>
      <w:r w:rsidRPr="00AB1D14" w:rsidR="00C75CD8">
        <w:rPr>
          <w:sz w:val="22"/>
          <w:szCs w:val="22"/>
        </w:rPr>
        <w:t>).</w:t>
      </w:r>
    </w:p>
    <w:p w:rsidRPr="00AB1D14" w:rsidR="008C699B" w:rsidP="00DC7135" w:rsidRDefault="008C699B" w14:paraId="56B7A24D" w14:textId="77777777">
      <w:pPr>
        <w:rPr>
          <w:szCs w:val="22"/>
        </w:rPr>
      </w:pPr>
    </w:p>
    <w:p w:rsidRPr="00AB1D14" w:rsidR="00DC7135" w:rsidP="00F61D84" w:rsidRDefault="00DC7135" w14:paraId="5DDA430E" w14:textId="77777777">
      <w:pPr>
        <w:pStyle w:val="ListParagraph"/>
        <w:numPr>
          <w:ilvl w:val="0"/>
          <w:numId w:val="13"/>
        </w:numPr>
        <w:rPr>
          <w:sz w:val="22"/>
          <w:szCs w:val="22"/>
        </w:rPr>
      </w:pPr>
      <w:r w:rsidRPr="00AB1D14">
        <w:rPr>
          <w:sz w:val="22"/>
          <w:szCs w:val="22"/>
        </w:rPr>
        <w:t xml:space="preserve">The </w:t>
      </w:r>
      <w:r w:rsidRPr="00AB1D14" w:rsidR="007A1BCC">
        <w:rPr>
          <w:sz w:val="22"/>
          <w:szCs w:val="22"/>
        </w:rPr>
        <w:t xml:space="preserve">requirements </w:t>
      </w:r>
      <w:r w:rsidRPr="00AB1D14" w:rsidR="008F4605">
        <w:rPr>
          <w:sz w:val="22"/>
          <w:szCs w:val="22"/>
        </w:rPr>
        <w:t>in 10 CFR 73.1215</w:t>
      </w:r>
      <w:r w:rsidRPr="00AB1D14">
        <w:rPr>
          <w:sz w:val="22"/>
          <w:szCs w:val="22"/>
        </w:rPr>
        <w:t>(</w:t>
      </w:r>
      <w:r w:rsidRPr="00AB1D14" w:rsidR="00BA0BCE">
        <w:rPr>
          <w:sz w:val="22"/>
          <w:szCs w:val="22"/>
        </w:rPr>
        <w:t>f</w:t>
      </w:r>
      <w:r w:rsidRPr="00AB1D14">
        <w:rPr>
          <w:sz w:val="22"/>
          <w:szCs w:val="22"/>
        </w:rPr>
        <w:t>)</w:t>
      </w:r>
      <w:r w:rsidRPr="00AB1D14" w:rsidR="001829A8">
        <w:rPr>
          <w:sz w:val="22"/>
          <w:szCs w:val="22"/>
        </w:rPr>
        <w:t xml:space="preserve"> are applicable to</w:t>
      </w:r>
      <w:r w:rsidRPr="00AB1D14" w:rsidR="00126643">
        <w:rPr>
          <w:sz w:val="22"/>
          <w:szCs w:val="22"/>
        </w:rPr>
        <w:t xml:space="preserve"> licensed facilities</w:t>
      </w:r>
      <w:r w:rsidRPr="00AB1D14">
        <w:rPr>
          <w:sz w:val="22"/>
          <w:szCs w:val="22"/>
        </w:rPr>
        <w:t xml:space="preserve"> subject to 10</w:t>
      </w:r>
      <w:r w:rsidRPr="00AB1D14" w:rsidR="00E00E09">
        <w:rPr>
          <w:sz w:val="22"/>
          <w:szCs w:val="22"/>
        </w:rPr>
        <w:t> </w:t>
      </w:r>
      <w:r w:rsidRPr="00AB1D14">
        <w:rPr>
          <w:sz w:val="22"/>
          <w:szCs w:val="22"/>
        </w:rPr>
        <w:t>CFR</w:t>
      </w:r>
      <w:r w:rsidRPr="00AB1D14" w:rsidR="00E00E09">
        <w:rPr>
          <w:sz w:val="22"/>
          <w:szCs w:val="22"/>
        </w:rPr>
        <w:t> </w:t>
      </w:r>
      <w:r w:rsidRPr="00AB1D14">
        <w:rPr>
          <w:sz w:val="22"/>
          <w:szCs w:val="22"/>
        </w:rPr>
        <w:t>73.67</w:t>
      </w:r>
      <w:r w:rsidRPr="00AB1D14" w:rsidR="008F4605">
        <w:rPr>
          <w:sz w:val="22"/>
          <w:szCs w:val="22"/>
        </w:rPr>
        <w:t xml:space="preserve"> </w:t>
      </w:r>
      <w:r w:rsidRPr="00AB1D14" w:rsidR="00E00E09">
        <w:rPr>
          <w:sz w:val="22"/>
          <w:szCs w:val="22"/>
        </w:rPr>
        <w:t xml:space="preserve">that </w:t>
      </w:r>
      <w:r w:rsidRPr="00AB1D14" w:rsidR="00B51308">
        <w:rPr>
          <w:sz w:val="22"/>
          <w:szCs w:val="22"/>
        </w:rPr>
        <w:t xml:space="preserve">are </w:t>
      </w:r>
      <w:r w:rsidRPr="00AB1D14" w:rsidR="008F4605">
        <w:rPr>
          <w:sz w:val="22"/>
          <w:szCs w:val="22"/>
        </w:rPr>
        <w:t>engaged in the enrichment of SNM</w:t>
      </w:r>
      <w:r w:rsidRPr="00AB1D14" w:rsidR="00BA0BCE">
        <w:rPr>
          <w:sz w:val="22"/>
          <w:szCs w:val="22"/>
        </w:rPr>
        <w:t xml:space="preserve"> using RD technology</w:t>
      </w:r>
      <w:r w:rsidRPr="00AB1D14" w:rsidR="00A752B2">
        <w:rPr>
          <w:sz w:val="22"/>
          <w:szCs w:val="22"/>
        </w:rPr>
        <w:t>, equipment</w:t>
      </w:r>
      <w:r w:rsidRPr="00AB1D14" w:rsidR="00C22781">
        <w:rPr>
          <w:sz w:val="22"/>
          <w:szCs w:val="22"/>
        </w:rPr>
        <w:t>,</w:t>
      </w:r>
      <w:r w:rsidRPr="00AB1D14" w:rsidR="00A752B2">
        <w:rPr>
          <w:sz w:val="22"/>
          <w:szCs w:val="22"/>
        </w:rPr>
        <w:t xml:space="preserve"> or materials</w:t>
      </w:r>
      <w:r w:rsidRPr="00AB1D14" w:rsidR="00671DF9">
        <w:rPr>
          <w:sz w:val="22"/>
          <w:szCs w:val="22"/>
        </w:rPr>
        <w:t xml:space="preserve">. </w:t>
      </w:r>
      <w:r w:rsidRPr="00AB1D14" w:rsidR="00DB6152">
        <w:rPr>
          <w:sz w:val="22"/>
          <w:szCs w:val="22"/>
        </w:rPr>
        <w:t xml:space="preserve">These licensees </w:t>
      </w:r>
      <w:r w:rsidRPr="00AB1D14">
        <w:rPr>
          <w:sz w:val="22"/>
          <w:szCs w:val="22"/>
        </w:rPr>
        <w:t>include</w:t>
      </w:r>
      <w:r w:rsidRPr="00AB1D14" w:rsidR="00A674B2">
        <w:rPr>
          <w:sz w:val="22"/>
          <w:szCs w:val="22"/>
        </w:rPr>
        <w:t xml:space="preserve"> the following</w:t>
      </w:r>
      <w:r w:rsidRPr="00AB1D14">
        <w:rPr>
          <w:sz w:val="22"/>
          <w:szCs w:val="22"/>
        </w:rPr>
        <w:t xml:space="preserve">: </w:t>
      </w:r>
    </w:p>
    <w:p w:rsidRPr="00AB1D14" w:rsidR="00DC7135" w:rsidP="00DC7135" w:rsidRDefault="00DC7135" w14:paraId="194B5D2F" w14:textId="77777777">
      <w:pPr>
        <w:rPr>
          <w:szCs w:val="22"/>
        </w:rPr>
      </w:pPr>
    </w:p>
    <w:p w:rsidRPr="00AB1D14" w:rsidR="00DC7135" w:rsidP="00F61D84" w:rsidRDefault="009F0D25" w14:paraId="7B429988" w14:textId="77777777">
      <w:pPr>
        <w:pStyle w:val="ListParagraph"/>
        <w:numPr>
          <w:ilvl w:val="0"/>
          <w:numId w:val="21"/>
        </w:numPr>
        <w:ind w:left="1080"/>
        <w:rPr>
          <w:sz w:val="22"/>
          <w:szCs w:val="22"/>
        </w:rPr>
      </w:pPr>
      <w:r w:rsidRPr="00AB1D14">
        <w:rPr>
          <w:sz w:val="22"/>
          <w:szCs w:val="22"/>
        </w:rPr>
        <w:t>F</w:t>
      </w:r>
      <w:r w:rsidRPr="00AB1D14" w:rsidR="00DC7135">
        <w:rPr>
          <w:sz w:val="22"/>
          <w:szCs w:val="22"/>
        </w:rPr>
        <w:t xml:space="preserve">uel cycle facilities </w:t>
      </w:r>
      <w:r w:rsidRPr="00AB1D14" w:rsidR="00A674B2">
        <w:rPr>
          <w:sz w:val="22"/>
          <w:szCs w:val="22"/>
        </w:rPr>
        <w:t xml:space="preserve">that are </w:t>
      </w:r>
      <w:r w:rsidRPr="00AB1D14" w:rsidR="00DC7135">
        <w:rPr>
          <w:sz w:val="22"/>
          <w:szCs w:val="22"/>
        </w:rPr>
        <w:t xml:space="preserve">authorized to </w:t>
      </w:r>
      <w:r w:rsidRPr="00AB1D14" w:rsidR="008F4605">
        <w:rPr>
          <w:sz w:val="22"/>
          <w:szCs w:val="22"/>
        </w:rPr>
        <w:t xml:space="preserve">enrich </w:t>
      </w:r>
      <w:r w:rsidRPr="00AB1D14" w:rsidR="006339FE">
        <w:rPr>
          <w:sz w:val="22"/>
          <w:szCs w:val="22"/>
        </w:rPr>
        <w:t xml:space="preserve">SNM to </w:t>
      </w:r>
      <w:r w:rsidRPr="00AB1D14" w:rsidR="00DC7135">
        <w:rPr>
          <w:sz w:val="22"/>
          <w:szCs w:val="22"/>
        </w:rPr>
        <w:t>Category</w:t>
      </w:r>
      <w:r w:rsidRPr="00AB1D14" w:rsidR="00A674B2">
        <w:rPr>
          <w:sz w:val="22"/>
          <w:szCs w:val="22"/>
        </w:rPr>
        <w:t> </w:t>
      </w:r>
      <w:r w:rsidRPr="00AB1D14" w:rsidR="00CB1041">
        <w:rPr>
          <w:sz w:val="22"/>
          <w:szCs w:val="22"/>
        </w:rPr>
        <w:t xml:space="preserve">II or </w:t>
      </w:r>
      <w:r w:rsidRPr="00AB1D14" w:rsidR="00DC7135">
        <w:rPr>
          <w:sz w:val="22"/>
          <w:szCs w:val="22"/>
        </w:rPr>
        <w:t>I</w:t>
      </w:r>
      <w:r w:rsidRPr="00AB1D14" w:rsidR="008F4605">
        <w:rPr>
          <w:sz w:val="22"/>
          <w:szCs w:val="22"/>
        </w:rPr>
        <w:t>II</w:t>
      </w:r>
      <w:r w:rsidRPr="00AB1D14" w:rsidR="00DC7135">
        <w:rPr>
          <w:sz w:val="22"/>
          <w:szCs w:val="22"/>
        </w:rPr>
        <w:t xml:space="preserve"> quantit</w:t>
      </w:r>
      <w:r w:rsidRPr="00AB1D14" w:rsidR="00A674B2">
        <w:rPr>
          <w:sz w:val="22"/>
          <w:szCs w:val="22"/>
        </w:rPr>
        <w:t>y</w:t>
      </w:r>
      <w:r w:rsidRPr="00AB1D14" w:rsidR="00DC7135">
        <w:rPr>
          <w:sz w:val="22"/>
          <w:szCs w:val="22"/>
        </w:rPr>
        <w:t xml:space="preserve"> </w:t>
      </w:r>
      <w:r w:rsidRPr="00AB1D14" w:rsidR="00BA0BCE">
        <w:rPr>
          <w:sz w:val="22"/>
          <w:szCs w:val="22"/>
        </w:rPr>
        <w:t>levels</w:t>
      </w:r>
      <w:r w:rsidRPr="00AB1D14" w:rsidR="005D091D">
        <w:rPr>
          <w:sz w:val="22"/>
          <w:szCs w:val="22"/>
        </w:rPr>
        <w:t>.</w:t>
      </w:r>
    </w:p>
    <w:p w:rsidRPr="00AB1D14" w:rsidR="00126643" w:rsidP="00062DFB" w:rsidRDefault="00126643" w14:paraId="4508DEDB" w14:textId="77777777">
      <w:pPr>
        <w:pStyle w:val="ListParagraph"/>
        <w:ind w:left="1440"/>
        <w:rPr>
          <w:sz w:val="22"/>
          <w:szCs w:val="22"/>
        </w:rPr>
      </w:pPr>
    </w:p>
    <w:p w:rsidRPr="00AB1D14" w:rsidR="003D1EB1" w:rsidP="00F61D84" w:rsidRDefault="00126643" w14:paraId="005A597E" w14:textId="2EC110F1">
      <w:pPr>
        <w:pStyle w:val="ListParagraph"/>
        <w:numPr>
          <w:ilvl w:val="0"/>
          <w:numId w:val="13"/>
        </w:numPr>
        <w:rPr>
          <w:sz w:val="22"/>
          <w:szCs w:val="22"/>
        </w:rPr>
      </w:pPr>
      <w:r w:rsidRPr="00AB1D14">
        <w:rPr>
          <w:sz w:val="22"/>
          <w:szCs w:val="22"/>
        </w:rPr>
        <w:t>The regulations in 10 CFR 73.1215(g</w:t>
      </w:r>
      <w:r w:rsidR="00B520B2">
        <w:rPr>
          <w:sz w:val="22"/>
          <w:szCs w:val="22"/>
        </w:rPr>
        <w:t>)(2)</w:t>
      </w:r>
      <w:r w:rsidRPr="00AB1D14">
        <w:rPr>
          <w:sz w:val="22"/>
          <w:szCs w:val="22"/>
        </w:rPr>
        <w:t xml:space="preserve"> exempt</w:t>
      </w:r>
      <w:r w:rsidR="00D41139">
        <w:rPr>
          <w:sz w:val="22"/>
          <w:szCs w:val="22"/>
        </w:rPr>
        <w:t>s</w:t>
      </w:r>
      <w:r w:rsidRPr="00AB1D14">
        <w:rPr>
          <w:sz w:val="22"/>
          <w:szCs w:val="22"/>
        </w:rPr>
        <w:t xml:space="preserve"> </w:t>
      </w:r>
      <w:r w:rsidR="006A4B85">
        <w:rPr>
          <w:sz w:val="22"/>
          <w:szCs w:val="22"/>
        </w:rPr>
        <w:t xml:space="preserve">the following </w:t>
      </w:r>
      <w:r w:rsidRPr="00AB1D14">
        <w:rPr>
          <w:sz w:val="22"/>
          <w:szCs w:val="22"/>
        </w:rPr>
        <w:t>specific NRC licensee subject to 10 CFR 73.67</w:t>
      </w:r>
      <w:r w:rsidR="006A4B85">
        <w:rPr>
          <w:sz w:val="22"/>
          <w:szCs w:val="22"/>
        </w:rPr>
        <w:t>,</w:t>
      </w:r>
      <w:r w:rsidRPr="00AB1D14" w:rsidR="007F0AE8">
        <w:rPr>
          <w:sz w:val="22"/>
          <w:szCs w:val="22"/>
        </w:rPr>
        <w:t xml:space="preserve"> </w:t>
      </w:r>
      <w:r w:rsidRPr="00AB1D14" w:rsidR="00CE37EA">
        <w:rPr>
          <w:sz w:val="22"/>
          <w:szCs w:val="22"/>
        </w:rPr>
        <w:t>Docket number 70-7020</w:t>
      </w:r>
      <w:r w:rsidR="006F286C">
        <w:rPr>
          <w:sz w:val="22"/>
          <w:szCs w:val="22"/>
        </w:rPr>
        <w:t xml:space="preserve">, </w:t>
      </w:r>
      <w:r w:rsidRPr="00AB1D14" w:rsidR="007F0AE8">
        <w:rPr>
          <w:sz w:val="22"/>
          <w:szCs w:val="22"/>
        </w:rPr>
        <w:t>from reporting suspicious activities</w:t>
      </w:r>
      <w:r w:rsidR="006F286C">
        <w:rPr>
          <w:sz w:val="22"/>
          <w:szCs w:val="22"/>
        </w:rPr>
        <w:t>.</w:t>
      </w:r>
    </w:p>
    <w:p w:rsidRPr="00AB1D14" w:rsidR="001A636D" w:rsidP="00F61D84" w:rsidRDefault="001A636D" w14:paraId="6CBB8F21" w14:textId="77777777">
      <w:pPr>
        <w:pStyle w:val="ListParagraph"/>
        <w:ind w:left="0" w:firstLine="720"/>
        <w:rPr>
          <w:sz w:val="22"/>
          <w:szCs w:val="22"/>
        </w:rPr>
      </w:pPr>
    </w:p>
    <w:p w:rsidRPr="00AB1D14" w:rsidR="00C93601" w:rsidP="00F61D84" w:rsidRDefault="00A16931" w14:paraId="726ED96D" w14:textId="5B95450A">
      <w:pPr>
        <w:pStyle w:val="ListParagraph"/>
        <w:numPr>
          <w:ilvl w:val="0"/>
          <w:numId w:val="13"/>
        </w:numPr>
        <w:rPr>
          <w:sz w:val="22"/>
          <w:szCs w:val="22"/>
        </w:rPr>
      </w:pPr>
      <w:r w:rsidRPr="00AB1D14">
        <w:rPr>
          <w:sz w:val="22"/>
          <w:szCs w:val="22"/>
        </w:rPr>
        <w:t>C</w:t>
      </w:r>
      <w:r w:rsidRPr="00AB1D14" w:rsidR="00F211DF">
        <w:rPr>
          <w:sz w:val="22"/>
          <w:szCs w:val="22"/>
        </w:rPr>
        <w:t>ertain facilities</w:t>
      </w:r>
      <w:r w:rsidRPr="00AB1D14" w:rsidR="00A9388C">
        <w:rPr>
          <w:sz w:val="22"/>
          <w:szCs w:val="22"/>
        </w:rPr>
        <w:t>, materials,</w:t>
      </w:r>
      <w:r w:rsidRPr="00AB1D14" w:rsidR="00F211DF">
        <w:rPr>
          <w:sz w:val="22"/>
          <w:szCs w:val="22"/>
        </w:rPr>
        <w:t xml:space="preserve"> and </w:t>
      </w:r>
      <w:r w:rsidRPr="00AB1D14" w:rsidR="008C699B">
        <w:rPr>
          <w:sz w:val="22"/>
          <w:szCs w:val="22"/>
        </w:rPr>
        <w:t xml:space="preserve">shipping </w:t>
      </w:r>
      <w:r w:rsidRPr="00AB1D14" w:rsidR="00F211DF">
        <w:rPr>
          <w:sz w:val="22"/>
          <w:szCs w:val="22"/>
        </w:rPr>
        <w:t>activities are not subject to the physical security program requirements in 10 CFR Part 73</w:t>
      </w:r>
      <w:r w:rsidR="002E7BC2">
        <w:rPr>
          <w:sz w:val="22"/>
          <w:szCs w:val="22"/>
        </w:rPr>
        <w:t xml:space="preserve">. </w:t>
      </w:r>
      <w:r w:rsidRPr="00AB1D14" w:rsidR="0015626F">
        <w:rPr>
          <w:sz w:val="22"/>
          <w:szCs w:val="22"/>
        </w:rPr>
        <w:t>T</w:t>
      </w:r>
      <w:r w:rsidRPr="00AB1D14" w:rsidR="00E85336">
        <w:rPr>
          <w:sz w:val="22"/>
          <w:szCs w:val="22"/>
        </w:rPr>
        <w:t>herefore,</w:t>
      </w:r>
      <w:r w:rsidRPr="00AB1D14" w:rsidR="009F0D25">
        <w:rPr>
          <w:sz w:val="22"/>
          <w:szCs w:val="22"/>
        </w:rPr>
        <w:t xml:space="preserve"> these facilities, materials, and shipping activities </w:t>
      </w:r>
      <w:r w:rsidRPr="00AB1D14" w:rsidR="00F211DF">
        <w:rPr>
          <w:sz w:val="22"/>
          <w:szCs w:val="22"/>
        </w:rPr>
        <w:t xml:space="preserve">are also not subject to the </w:t>
      </w:r>
      <w:r w:rsidR="006A4B85">
        <w:rPr>
          <w:sz w:val="22"/>
          <w:szCs w:val="22"/>
        </w:rPr>
        <w:t xml:space="preserve">suspicious activity reporting </w:t>
      </w:r>
      <w:r w:rsidRPr="00AB1D14" w:rsidR="00F211DF">
        <w:rPr>
          <w:sz w:val="22"/>
          <w:szCs w:val="22"/>
        </w:rPr>
        <w:t xml:space="preserve">requirements in </w:t>
      </w:r>
      <w:r w:rsidRPr="00AB1D14" w:rsidR="00BA0BCE">
        <w:rPr>
          <w:sz w:val="22"/>
          <w:szCs w:val="22"/>
        </w:rPr>
        <w:t>10</w:t>
      </w:r>
      <w:r w:rsidRPr="00AB1D14" w:rsidR="00A674B2">
        <w:rPr>
          <w:sz w:val="22"/>
          <w:szCs w:val="22"/>
        </w:rPr>
        <w:t> </w:t>
      </w:r>
      <w:r w:rsidRPr="00AB1D14" w:rsidR="00BA0BCE">
        <w:rPr>
          <w:sz w:val="22"/>
          <w:szCs w:val="22"/>
        </w:rPr>
        <w:t>CFR</w:t>
      </w:r>
      <w:r w:rsidRPr="00AB1D14" w:rsidR="00A674B2">
        <w:rPr>
          <w:sz w:val="22"/>
          <w:szCs w:val="22"/>
        </w:rPr>
        <w:t> </w:t>
      </w:r>
      <w:r w:rsidRPr="00AB1D14" w:rsidR="00BA0BCE">
        <w:rPr>
          <w:sz w:val="22"/>
          <w:szCs w:val="22"/>
        </w:rPr>
        <w:t>73.1215</w:t>
      </w:r>
      <w:r w:rsidR="002E7BC2">
        <w:rPr>
          <w:sz w:val="22"/>
          <w:szCs w:val="22"/>
        </w:rPr>
        <w:t xml:space="preserve">. </w:t>
      </w:r>
      <w:r w:rsidRPr="00AB1D14" w:rsidR="00E85336">
        <w:rPr>
          <w:sz w:val="22"/>
          <w:szCs w:val="22"/>
        </w:rPr>
        <w:t>Consequently</w:t>
      </w:r>
      <w:r w:rsidRPr="00AB1D14" w:rsidR="00F211DF">
        <w:rPr>
          <w:sz w:val="22"/>
          <w:szCs w:val="22"/>
        </w:rPr>
        <w:t>, t</w:t>
      </w:r>
      <w:r w:rsidRPr="00AB1D14" w:rsidR="00C93601">
        <w:rPr>
          <w:sz w:val="22"/>
          <w:szCs w:val="22"/>
        </w:rPr>
        <w:t>his guide does not apply to</w:t>
      </w:r>
      <w:r w:rsidRPr="00AB1D14" w:rsidR="00654D49">
        <w:rPr>
          <w:sz w:val="22"/>
          <w:szCs w:val="22"/>
        </w:rPr>
        <w:t xml:space="preserve"> the following </w:t>
      </w:r>
      <w:r w:rsidRPr="00AB1D14" w:rsidR="00E85336">
        <w:rPr>
          <w:sz w:val="22"/>
          <w:szCs w:val="22"/>
        </w:rPr>
        <w:t xml:space="preserve">classes of </w:t>
      </w:r>
      <w:r w:rsidRPr="00AB1D14" w:rsidR="00654D49">
        <w:rPr>
          <w:sz w:val="22"/>
          <w:szCs w:val="22"/>
        </w:rPr>
        <w:t xml:space="preserve">facilities, materials, and </w:t>
      </w:r>
      <w:r w:rsidRPr="00AB1D14" w:rsidR="008C699B">
        <w:rPr>
          <w:sz w:val="22"/>
          <w:szCs w:val="22"/>
        </w:rPr>
        <w:t xml:space="preserve">shipping </w:t>
      </w:r>
      <w:r w:rsidRPr="00AB1D14" w:rsidR="00654D49">
        <w:rPr>
          <w:sz w:val="22"/>
          <w:szCs w:val="22"/>
        </w:rPr>
        <w:t>activities</w:t>
      </w:r>
      <w:r w:rsidRPr="00AB1D14" w:rsidR="00C93601">
        <w:rPr>
          <w:sz w:val="22"/>
          <w:szCs w:val="22"/>
        </w:rPr>
        <w:t>:</w:t>
      </w:r>
    </w:p>
    <w:p w:rsidRPr="00AB1D14" w:rsidR="00C93601" w:rsidP="00F61D84" w:rsidRDefault="00C93601" w14:paraId="21980EEE" w14:textId="77777777">
      <w:pPr>
        <w:pStyle w:val="ListParagraph"/>
        <w:ind w:left="0" w:firstLine="720"/>
        <w:rPr>
          <w:sz w:val="22"/>
          <w:szCs w:val="22"/>
        </w:rPr>
      </w:pPr>
    </w:p>
    <w:p w:rsidRPr="00AB1D14" w:rsidR="00C93601" w:rsidP="00F61D84" w:rsidRDefault="00C93601" w14:paraId="61817C54" w14:textId="2B6F8A70">
      <w:pPr>
        <w:pStyle w:val="ListParagraph"/>
        <w:numPr>
          <w:ilvl w:val="0"/>
          <w:numId w:val="12"/>
        </w:numPr>
        <w:ind w:left="1080"/>
        <w:rPr>
          <w:sz w:val="22"/>
          <w:szCs w:val="22"/>
        </w:rPr>
      </w:pPr>
      <w:r w:rsidRPr="00AB1D14">
        <w:rPr>
          <w:sz w:val="22"/>
          <w:szCs w:val="22"/>
        </w:rPr>
        <w:t>NRC-licensed or Agreement</w:t>
      </w:r>
      <w:r w:rsidRPr="00AB1D14" w:rsidR="00593117">
        <w:rPr>
          <w:sz w:val="22"/>
          <w:szCs w:val="22"/>
        </w:rPr>
        <w:t xml:space="preserve"> </w:t>
      </w:r>
      <w:r w:rsidRPr="00AB1D14">
        <w:rPr>
          <w:sz w:val="22"/>
          <w:szCs w:val="22"/>
        </w:rPr>
        <w:t>State</w:t>
      </w:r>
      <w:r w:rsidRPr="00AB1D14" w:rsidR="00593117">
        <w:rPr>
          <w:sz w:val="22"/>
          <w:szCs w:val="22"/>
        </w:rPr>
        <w:noBreakHyphen/>
      </w:r>
      <w:r w:rsidRPr="00AB1D14">
        <w:rPr>
          <w:sz w:val="22"/>
          <w:szCs w:val="22"/>
        </w:rPr>
        <w:t>licensed facilities, materials, and activities</w:t>
      </w:r>
      <w:r w:rsidRPr="00AB1D14" w:rsidR="00A674B2">
        <w:rPr>
          <w:sz w:val="22"/>
          <w:szCs w:val="22"/>
        </w:rPr>
        <w:t xml:space="preserve"> that</w:t>
      </w:r>
      <w:r w:rsidRPr="00AB1D14">
        <w:rPr>
          <w:sz w:val="22"/>
          <w:szCs w:val="22"/>
        </w:rPr>
        <w:t xml:space="preserve"> involv</w:t>
      </w:r>
      <w:r w:rsidRPr="00AB1D14" w:rsidR="00A674B2">
        <w:rPr>
          <w:sz w:val="22"/>
          <w:szCs w:val="22"/>
        </w:rPr>
        <w:t>e</w:t>
      </w:r>
      <w:r w:rsidRPr="00AB1D14">
        <w:rPr>
          <w:sz w:val="22"/>
          <w:szCs w:val="22"/>
        </w:rPr>
        <w:t xml:space="preserve"> the production, use, storage, and transportation of byproduct materials that are subject to the requirements of 10</w:t>
      </w:r>
      <w:r w:rsidRPr="00AB1D14" w:rsidR="00A674B2">
        <w:rPr>
          <w:sz w:val="22"/>
          <w:szCs w:val="22"/>
        </w:rPr>
        <w:t> </w:t>
      </w:r>
      <w:r w:rsidRPr="00AB1D14">
        <w:rPr>
          <w:sz w:val="22"/>
          <w:szCs w:val="22"/>
        </w:rPr>
        <w:t>CFR</w:t>
      </w:r>
      <w:r w:rsidRPr="00AB1D14" w:rsidR="00A674B2">
        <w:rPr>
          <w:sz w:val="22"/>
          <w:szCs w:val="22"/>
        </w:rPr>
        <w:t> </w:t>
      </w:r>
      <w:r w:rsidRPr="00AB1D14">
        <w:rPr>
          <w:sz w:val="22"/>
          <w:szCs w:val="22"/>
        </w:rPr>
        <w:t>Part</w:t>
      </w:r>
      <w:r w:rsidRPr="00AB1D14" w:rsidR="00A674B2">
        <w:rPr>
          <w:sz w:val="22"/>
          <w:szCs w:val="22"/>
        </w:rPr>
        <w:t> </w:t>
      </w:r>
      <w:r w:rsidRPr="00AB1D14">
        <w:rPr>
          <w:sz w:val="22"/>
          <w:szCs w:val="22"/>
        </w:rPr>
        <w:t xml:space="preserve">37, “Physical Protection of Category 1 and Category 2 Quantities </w:t>
      </w:r>
      <w:r w:rsidRPr="00AB1D14" w:rsidR="002B3B89">
        <w:rPr>
          <w:sz w:val="22"/>
          <w:szCs w:val="22"/>
        </w:rPr>
        <w:t>of Radioactive Material” (Ref.</w:t>
      </w:r>
      <w:r w:rsidRPr="00AB1D14" w:rsidR="00A674B2">
        <w:rPr>
          <w:sz w:val="22"/>
          <w:szCs w:val="22"/>
        </w:rPr>
        <w:t> </w:t>
      </w:r>
      <w:r w:rsidRPr="00AB1D14" w:rsidR="00543A18">
        <w:rPr>
          <w:sz w:val="22"/>
          <w:szCs w:val="22"/>
        </w:rPr>
        <w:t>1</w:t>
      </w:r>
      <w:r w:rsidR="003A7C40">
        <w:rPr>
          <w:sz w:val="22"/>
          <w:szCs w:val="22"/>
        </w:rPr>
        <w:t>4</w:t>
      </w:r>
      <w:r w:rsidRPr="00AB1D14">
        <w:rPr>
          <w:sz w:val="22"/>
          <w:szCs w:val="22"/>
        </w:rPr>
        <w:t>)</w:t>
      </w:r>
      <w:r w:rsidR="002E7BC2">
        <w:rPr>
          <w:sz w:val="22"/>
          <w:szCs w:val="22"/>
        </w:rPr>
        <w:t xml:space="preserve">. </w:t>
      </w:r>
      <w:r w:rsidRPr="00AB1D14" w:rsidR="00A16931">
        <w:rPr>
          <w:sz w:val="22"/>
          <w:szCs w:val="22"/>
        </w:rPr>
        <w:t xml:space="preserve">These </w:t>
      </w:r>
      <w:r w:rsidRPr="00AB1D14" w:rsidR="003C12B1">
        <w:rPr>
          <w:sz w:val="22"/>
          <w:szCs w:val="22"/>
        </w:rPr>
        <w:t xml:space="preserve">10 CFR </w:t>
      </w:r>
      <w:r w:rsidRPr="00AB1D14" w:rsidR="00A16931">
        <w:rPr>
          <w:sz w:val="22"/>
          <w:szCs w:val="22"/>
        </w:rPr>
        <w:t>Part 37 licensees are subject to a separate suspicious activity reporting requirement found in 10 CFR 37.57, “Reporting of Events.”</w:t>
      </w:r>
    </w:p>
    <w:p w:rsidRPr="00AB1D14" w:rsidR="009F0D25" w:rsidP="00F61D84" w:rsidRDefault="009F0D25" w14:paraId="3F8B8160" w14:textId="77777777">
      <w:pPr>
        <w:pStyle w:val="ListParagraph"/>
        <w:ind w:left="1080" w:hanging="360"/>
        <w:rPr>
          <w:sz w:val="22"/>
          <w:szCs w:val="22"/>
        </w:rPr>
      </w:pPr>
    </w:p>
    <w:p w:rsidRPr="00AB1D14" w:rsidR="00F211DF" w:rsidP="00F61D84" w:rsidRDefault="00C9356A" w14:paraId="65EF1810" w14:textId="77777777">
      <w:pPr>
        <w:pStyle w:val="ListParagraph"/>
        <w:numPr>
          <w:ilvl w:val="0"/>
          <w:numId w:val="12"/>
        </w:numPr>
        <w:ind w:left="1080"/>
        <w:rPr>
          <w:sz w:val="22"/>
          <w:szCs w:val="22"/>
        </w:rPr>
      </w:pPr>
      <w:r w:rsidRPr="00AB1D14">
        <w:rPr>
          <w:sz w:val="22"/>
          <w:szCs w:val="22"/>
        </w:rPr>
        <w:t>NRC-licensed or Agreement State</w:t>
      </w:r>
      <w:r w:rsidRPr="00AB1D14">
        <w:rPr>
          <w:sz w:val="22"/>
          <w:szCs w:val="22"/>
        </w:rPr>
        <w:noBreakHyphen/>
        <w:t>licensed facilities</w:t>
      </w:r>
      <w:r w:rsidRPr="00AB1D14" w:rsidR="00F211DF">
        <w:rPr>
          <w:sz w:val="22"/>
          <w:szCs w:val="22"/>
        </w:rPr>
        <w:t xml:space="preserve">, materials, and activities </w:t>
      </w:r>
      <w:r w:rsidRPr="00AB1D14" w:rsidR="00942992">
        <w:rPr>
          <w:sz w:val="22"/>
          <w:szCs w:val="22"/>
        </w:rPr>
        <w:t xml:space="preserve">that </w:t>
      </w:r>
      <w:r w:rsidRPr="00AB1D14" w:rsidR="00F211DF">
        <w:rPr>
          <w:sz w:val="22"/>
          <w:szCs w:val="22"/>
        </w:rPr>
        <w:t>involv</w:t>
      </w:r>
      <w:r w:rsidRPr="00AB1D14" w:rsidR="00942992">
        <w:rPr>
          <w:sz w:val="22"/>
          <w:szCs w:val="22"/>
        </w:rPr>
        <w:t>e</w:t>
      </w:r>
      <w:r w:rsidRPr="00AB1D14" w:rsidR="00F211DF">
        <w:rPr>
          <w:sz w:val="22"/>
          <w:szCs w:val="22"/>
        </w:rPr>
        <w:t xml:space="preserve"> the production, use, storage, conversion, deconversion, and transportation of source materials that are subject to the requirements of 10</w:t>
      </w:r>
      <w:r w:rsidRPr="00AB1D14" w:rsidR="00942992">
        <w:rPr>
          <w:sz w:val="22"/>
          <w:szCs w:val="22"/>
        </w:rPr>
        <w:t> </w:t>
      </w:r>
      <w:r w:rsidRPr="00AB1D14" w:rsidR="00F211DF">
        <w:rPr>
          <w:sz w:val="22"/>
          <w:szCs w:val="22"/>
        </w:rPr>
        <w:t>CFR</w:t>
      </w:r>
      <w:r w:rsidRPr="00AB1D14" w:rsidR="00942992">
        <w:rPr>
          <w:sz w:val="22"/>
          <w:szCs w:val="22"/>
        </w:rPr>
        <w:t> </w:t>
      </w:r>
      <w:r w:rsidRPr="00AB1D14" w:rsidR="00F211DF">
        <w:rPr>
          <w:sz w:val="22"/>
          <w:szCs w:val="22"/>
        </w:rPr>
        <w:t>Part</w:t>
      </w:r>
      <w:r w:rsidRPr="00AB1D14" w:rsidR="00942992">
        <w:rPr>
          <w:sz w:val="22"/>
          <w:szCs w:val="22"/>
        </w:rPr>
        <w:t> </w:t>
      </w:r>
      <w:r w:rsidRPr="00AB1D14" w:rsidR="00F211DF">
        <w:rPr>
          <w:sz w:val="22"/>
          <w:szCs w:val="22"/>
        </w:rPr>
        <w:t>40, “Domestic Licens</w:t>
      </w:r>
      <w:r w:rsidRPr="00AB1D14" w:rsidR="00744BBB">
        <w:rPr>
          <w:sz w:val="22"/>
          <w:szCs w:val="22"/>
        </w:rPr>
        <w:t>ing of Source Material</w:t>
      </w:r>
      <w:r w:rsidRPr="00AB1D14" w:rsidR="002B3B89">
        <w:rPr>
          <w:sz w:val="22"/>
          <w:szCs w:val="22"/>
        </w:rPr>
        <w:t>” (Ref.</w:t>
      </w:r>
      <w:r w:rsidRPr="00AB1D14" w:rsidR="00942992">
        <w:rPr>
          <w:sz w:val="22"/>
          <w:szCs w:val="22"/>
        </w:rPr>
        <w:t> </w:t>
      </w:r>
      <w:r w:rsidRPr="00AB1D14" w:rsidR="00543A18">
        <w:rPr>
          <w:sz w:val="22"/>
          <w:szCs w:val="22"/>
        </w:rPr>
        <w:t>1</w:t>
      </w:r>
      <w:r w:rsidR="003A7C40">
        <w:rPr>
          <w:sz w:val="22"/>
          <w:szCs w:val="22"/>
        </w:rPr>
        <w:t>5</w:t>
      </w:r>
      <w:r w:rsidRPr="00AB1D14" w:rsidR="00F211DF">
        <w:rPr>
          <w:sz w:val="22"/>
          <w:szCs w:val="22"/>
        </w:rPr>
        <w:t>)</w:t>
      </w:r>
      <w:r w:rsidRPr="00AB1D14" w:rsidR="00F81B0D">
        <w:rPr>
          <w:sz w:val="22"/>
          <w:szCs w:val="22"/>
        </w:rPr>
        <w:t>.</w:t>
      </w:r>
    </w:p>
    <w:p w:rsidRPr="00AB1D14" w:rsidR="003C12B1" w:rsidP="00C7721E" w:rsidRDefault="003C12B1" w14:paraId="207B1600" w14:textId="77777777">
      <w:pPr>
        <w:rPr>
          <w:szCs w:val="22"/>
        </w:rPr>
      </w:pPr>
      <w:bookmarkStart w:name="_Toc507400007" w:id="71"/>
    </w:p>
    <w:p w:rsidR="00A95FD6" w:rsidP="000A1688" w:rsidRDefault="00A95FD6" w14:paraId="2D07BEF7" w14:textId="77777777">
      <w:pPr>
        <w:pStyle w:val="Heading2"/>
        <w:keepLines/>
        <w:numPr>
          <w:ilvl w:val="0"/>
          <w:numId w:val="0"/>
        </w:numPr>
        <w:rPr>
          <w:szCs w:val="22"/>
        </w:rPr>
      </w:pPr>
      <w:bookmarkStart w:name="_Toc73021732" w:id="72"/>
      <w:bookmarkStart w:name="_Toc26362847" w:id="73"/>
      <w:r>
        <w:rPr>
          <w:szCs w:val="22"/>
        </w:rPr>
        <w:t xml:space="preserve">Applicants for a License </w:t>
      </w:r>
      <w:r w:rsidR="00454F02">
        <w:rPr>
          <w:szCs w:val="22"/>
        </w:rPr>
        <w:t>or</w:t>
      </w:r>
      <w:r>
        <w:rPr>
          <w:szCs w:val="22"/>
        </w:rPr>
        <w:t xml:space="preserve"> Construction Permit Holders</w:t>
      </w:r>
      <w:bookmarkEnd w:id="72"/>
    </w:p>
    <w:p w:rsidR="00A95FD6" w:rsidP="000A1688" w:rsidRDefault="00A95FD6" w14:paraId="1D35CFB7" w14:textId="77777777">
      <w:pPr>
        <w:keepNext/>
        <w:keepLines/>
        <w:ind w:firstLine="720"/>
        <w:rPr>
          <w:szCs w:val="22"/>
        </w:rPr>
      </w:pPr>
    </w:p>
    <w:p w:rsidR="00A95FD6" w:rsidP="000A1688" w:rsidRDefault="00A86771" w14:paraId="346E6BFC" w14:textId="3460E7E1">
      <w:pPr>
        <w:keepNext/>
        <w:keepLines/>
        <w:ind w:firstLine="720"/>
        <w:rPr>
          <w:szCs w:val="22"/>
        </w:rPr>
      </w:pPr>
      <w:r>
        <w:rPr>
          <w:szCs w:val="22"/>
        </w:rPr>
        <w:t xml:space="preserve">Suspicious activity reporting </w:t>
      </w:r>
      <w:r w:rsidR="00A95FD6">
        <w:rPr>
          <w:szCs w:val="22"/>
        </w:rPr>
        <w:t xml:space="preserve">requirements apply to licensees as that term is defined in 10 CFR 50.2, “Definitions.” </w:t>
      </w:r>
      <w:r w:rsidR="00785DD0">
        <w:rPr>
          <w:szCs w:val="22"/>
        </w:rPr>
        <w:t>The term license is broadly defined in 10 CFR 50.2</w:t>
      </w:r>
      <w:r w:rsidR="002E7BC2">
        <w:rPr>
          <w:szCs w:val="22"/>
        </w:rPr>
        <w:t xml:space="preserve">. </w:t>
      </w:r>
      <w:r w:rsidR="00785DD0">
        <w:rPr>
          <w:szCs w:val="22"/>
        </w:rPr>
        <w:t>These reporting requirements do not apply to an applicant for a license as that term is defined in 10 CFR 50.2</w:t>
      </w:r>
      <w:r w:rsidR="002E7BC2">
        <w:rPr>
          <w:szCs w:val="22"/>
        </w:rPr>
        <w:t xml:space="preserve">. </w:t>
      </w:r>
    </w:p>
    <w:p w:rsidRPr="00A95FD6" w:rsidR="00A95FD6" w:rsidP="00A95FD6" w:rsidRDefault="00A95FD6" w14:paraId="36A3E61C" w14:textId="77777777"/>
    <w:p w:rsidRPr="00AB1D14" w:rsidR="001479F6" w:rsidP="00EB0E0F" w:rsidRDefault="001479F6" w14:paraId="48BF98F6" w14:textId="77777777">
      <w:pPr>
        <w:pStyle w:val="Heading2"/>
        <w:keepLines/>
        <w:numPr>
          <w:ilvl w:val="0"/>
          <w:numId w:val="0"/>
        </w:numPr>
        <w:rPr>
          <w:szCs w:val="22"/>
        </w:rPr>
      </w:pPr>
      <w:bookmarkStart w:name="_Hlk29903983" w:id="74"/>
      <w:bookmarkStart w:name="_Toc29213188" w:id="75"/>
      <w:bookmarkStart w:name="_Toc73021733" w:id="76"/>
      <w:r w:rsidRPr="00AB1D14">
        <w:rPr>
          <w:szCs w:val="22"/>
        </w:rPr>
        <w:lastRenderedPageBreak/>
        <w:t>Notification</w:t>
      </w:r>
      <w:bookmarkEnd w:id="74"/>
      <w:r w:rsidRPr="00AB1D14">
        <w:rPr>
          <w:szCs w:val="22"/>
        </w:rPr>
        <w:t xml:space="preserve"> Process</w:t>
      </w:r>
      <w:bookmarkEnd w:id="71"/>
      <w:bookmarkEnd w:id="73"/>
      <w:bookmarkEnd w:id="75"/>
      <w:bookmarkEnd w:id="76"/>
      <w:r w:rsidRPr="00AB1D14">
        <w:rPr>
          <w:szCs w:val="22"/>
        </w:rPr>
        <w:t xml:space="preserve">   </w:t>
      </w:r>
    </w:p>
    <w:p w:rsidRPr="00AB1D14" w:rsidR="00232A57" w:rsidP="00EB0E0F" w:rsidRDefault="00232A57" w14:paraId="795C0408" w14:textId="77777777">
      <w:pPr>
        <w:keepNext/>
        <w:keepLines/>
        <w:ind w:firstLine="720"/>
        <w:rPr>
          <w:szCs w:val="22"/>
        </w:rPr>
      </w:pPr>
    </w:p>
    <w:p w:rsidRPr="00AB1D14" w:rsidR="00A752B2" w:rsidP="00EB0E0F" w:rsidRDefault="00880F5F" w14:paraId="5A13B1F9" w14:textId="44D571D3">
      <w:pPr>
        <w:keepNext/>
        <w:keepLines/>
        <w:ind w:firstLine="720"/>
        <w:rPr>
          <w:szCs w:val="22"/>
        </w:rPr>
      </w:pPr>
      <w:r w:rsidRPr="00AB1D14">
        <w:rPr>
          <w:szCs w:val="22"/>
        </w:rPr>
        <w:t xml:space="preserve">Under 10 CFR 73.1215, licensees </w:t>
      </w:r>
      <w:r w:rsidRPr="00AB1D14" w:rsidR="00C54FA6">
        <w:rPr>
          <w:szCs w:val="22"/>
        </w:rPr>
        <w:t xml:space="preserve">are </w:t>
      </w:r>
      <w:r w:rsidRPr="00AB1D14">
        <w:rPr>
          <w:szCs w:val="22"/>
        </w:rPr>
        <w:t xml:space="preserve">required to report suspicious activities </w:t>
      </w:r>
      <w:r w:rsidRPr="00AB1D14" w:rsidR="00FB558D">
        <w:rPr>
          <w:szCs w:val="22"/>
        </w:rPr>
        <w:t>involving facilities</w:t>
      </w:r>
      <w:r w:rsidRPr="00AB1D14" w:rsidR="00E91E40">
        <w:rPr>
          <w:szCs w:val="22"/>
        </w:rPr>
        <w:t>,</w:t>
      </w:r>
      <w:r w:rsidRPr="00AB1D14" w:rsidR="00FB558D">
        <w:rPr>
          <w:szCs w:val="22"/>
        </w:rPr>
        <w:t xml:space="preserve"> material</w:t>
      </w:r>
      <w:r w:rsidRPr="00AB1D14" w:rsidR="00E91E40">
        <w:rPr>
          <w:szCs w:val="22"/>
        </w:rPr>
        <w:t>, and shipping activities</w:t>
      </w:r>
      <w:r w:rsidRPr="00AB1D14" w:rsidR="00FB558D">
        <w:rPr>
          <w:szCs w:val="22"/>
        </w:rPr>
        <w:t xml:space="preserve"> </w:t>
      </w:r>
      <w:r w:rsidRPr="00AB1D14" w:rsidR="00A609EF">
        <w:rPr>
          <w:szCs w:val="22"/>
        </w:rPr>
        <w:t xml:space="preserve">to </w:t>
      </w:r>
      <w:r w:rsidR="00224894">
        <w:rPr>
          <w:szCs w:val="22"/>
        </w:rPr>
        <w:t xml:space="preserve">the </w:t>
      </w:r>
      <w:r w:rsidRPr="00AB1D14" w:rsidR="00C9356A">
        <w:rPr>
          <w:szCs w:val="22"/>
        </w:rPr>
        <w:t xml:space="preserve">applicable </w:t>
      </w:r>
      <w:r w:rsidRPr="00AB1D14">
        <w:rPr>
          <w:szCs w:val="22"/>
        </w:rPr>
        <w:t>LLEA</w:t>
      </w:r>
      <w:r w:rsidR="002E7BC2">
        <w:rPr>
          <w:szCs w:val="22"/>
        </w:rPr>
        <w:t xml:space="preserve">. </w:t>
      </w:r>
      <w:r w:rsidRPr="00AB1D14" w:rsidR="00DB73E3">
        <w:rPr>
          <w:szCs w:val="22"/>
        </w:rPr>
        <w:t xml:space="preserve">This LLEA would typically have jurisdiction over the </w:t>
      </w:r>
      <w:r w:rsidRPr="00AB1D14" w:rsidR="004673AE">
        <w:rPr>
          <w:szCs w:val="22"/>
        </w:rPr>
        <w:t xml:space="preserve">physical </w:t>
      </w:r>
      <w:r w:rsidRPr="00AB1D14" w:rsidR="00DB73E3">
        <w:rPr>
          <w:szCs w:val="22"/>
        </w:rPr>
        <w:t>location of the facility or material</w:t>
      </w:r>
      <w:r w:rsidR="002E7BC2">
        <w:rPr>
          <w:szCs w:val="22"/>
        </w:rPr>
        <w:t xml:space="preserve">. </w:t>
      </w:r>
      <w:r w:rsidRPr="00AB1D14" w:rsidR="00CA1303">
        <w:rPr>
          <w:szCs w:val="22"/>
        </w:rPr>
        <w:t xml:space="preserve">For shipments </w:t>
      </w:r>
      <w:r w:rsidRPr="00AB1D14" w:rsidR="00820359">
        <w:rPr>
          <w:szCs w:val="22"/>
        </w:rPr>
        <w:t>this would be the physical location of the shipment w</w:t>
      </w:r>
      <w:r w:rsidRPr="00AB1D14" w:rsidR="004673AE">
        <w:rPr>
          <w:szCs w:val="22"/>
        </w:rPr>
        <w:t>hen</w:t>
      </w:r>
      <w:r w:rsidRPr="00AB1D14" w:rsidR="00820359">
        <w:rPr>
          <w:szCs w:val="22"/>
        </w:rPr>
        <w:t xml:space="preserve"> the </w:t>
      </w:r>
      <w:r w:rsidRPr="00AB1D14" w:rsidR="004673AE">
        <w:rPr>
          <w:szCs w:val="22"/>
        </w:rPr>
        <w:t xml:space="preserve">suspicious </w:t>
      </w:r>
      <w:r w:rsidRPr="00AB1D14" w:rsidR="00820359">
        <w:rPr>
          <w:szCs w:val="22"/>
        </w:rPr>
        <w:t>activity occurred</w:t>
      </w:r>
      <w:r w:rsidR="002E7BC2">
        <w:rPr>
          <w:szCs w:val="22"/>
        </w:rPr>
        <w:t xml:space="preserve">. </w:t>
      </w:r>
      <w:r w:rsidRPr="00AB1D14">
        <w:rPr>
          <w:szCs w:val="22"/>
        </w:rPr>
        <w:t xml:space="preserve">If a licensee has an existing LLEA point of contact, then the licensee should confirm if this LLEA point of contact is also appropriate for </w:t>
      </w:r>
      <w:r w:rsidR="00583995">
        <w:rPr>
          <w:szCs w:val="22"/>
        </w:rPr>
        <w:t xml:space="preserve">receiving reports of </w:t>
      </w:r>
      <w:r w:rsidRPr="00AB1D14">
        <w:rPr>
          <w:szCs w:val="22"/>
        </w:rPr>
        <w:t xml:space="preserve">suspicious activities. </w:t>
      </w:r>
      <w:r w:rsidRPr="00AB1D14" w:rsidR="00226832">
        <w:rPr>
          <w:szCs w:val="22"/>
        </w:rPr>
        <w:t>If not</w:t>
      </w:r>
      <w:r w:rsidRPr="00AB1D14" w:rsidR="00B07EAF">
        <w:rPr>
          <w:szCs w:val="22"/>
        </w:rPr>
        <w:t xml:space="preserve"> appropriate</w:t>
      </w:r>
      <w:r w:rsidRPr="00AB1D14" w:rsidR="00226832">
        <w:rPr>
          <w:szCs w:val="22"/>
        </w:rPr>
        <w:t>, then the licensee should coordinate with the LLEA</w:t>
      </w:r>
      <w:r w:rsidRPr="00AB1D14" w:rsidR="00885D6E">
        <w:rPr>
          <w:szCs w:val="22"/>
        </w:rPr>
        <w:t xml:space="preserve"> </w:t>
      </w:r>
      <w:r w:rsidRPr="00AB1D14" w:rsidR="00226832">
        <w:rPr>
          <w:szCs w:val="22"/>
        </w:rPr>
        <w:t xml:space="preserve">to </w:t>
      </w:r>
      <w:r w:rsidRPr="00AB1D14" w:rsidR="00B07EAF">
        <w:rPr>
          <w:szCs w:val="22"/>
        </w:rPr>
        <w:t>update its</w:t>
      </w:r>
      <w:r w:rsidRPr="00AB1D14" w:rsidR="00226832">
        <w:rPr>
          <w:szCs w:val="22"/>
        </w:rPr>
        <w:t xml:space="preserve"> point of contact</w:t>
      </w:r>
      <w:r w:rsidR="002E7BC2">
        <w:rPr>
          <w:szCs w:val="22"/>
        </w:rPr>
        <w:t xml:space="preserve">. </w:t>
      </w:r>
      <w:r w:rsidRPr="00AB1D14" w:rsidR="00820359">
        <w:rPr>
          <w:szCs w:val="22"/>
        </w:rPr>
        <w:t xml:space="preserve">For </w:t>
      </w:r>
      <w:r w:rsidRPr="00AB1D14" w:rsidR="00757968">
        <w:rPr>
          <w:szCs w:val="22"/>
        </w:rPr>
        <w:t>reports</w:t>
      </w:r>
      <w:r w:rsidRPr="00AB1D14" w:rsidR="00D46869">
        <w:rPr>
          <w:szCs w:val="22"/>
        </w:rPr>
        <w:t xml:space="preserve"> of suspicious activities for</w:t>
      </w:r>
      <w:r w:rsidRPr="00AB1D14" w:rsidR="00757968">
        <w:rPr>
          <w:szCs w:val="22"/>
        </w:rPr>
        <w:t xml:space="preserve"> </w:t>
      </w:r>
      <w:r w:rsidRPr="00AB1D14" w:rsidR="00820359">
        <w:rPr>
          <w:szCs w:val="22"/>
        </w:rPr>
        <w:t>shipments</w:t>
      </w:r>
      <w:r w:rsidRPr="00AB1D14" w:rsidR="00757968">
        <w:rPr>
          <w:szCs w:val="22"/>
        </w:rPr>
        <w:t xml:space="preserve"> </w:t>
      </w:r>
      <w:r w:rsidRPr="00AB1D14" w:rsidR="00820359">
        <w:rPr>
          <w:szCs w:val="22"/>
        </w:rPr>
        <w:t xml:space="preserve">the </w:t>
      </w:r>
      <w:r w:rsidRPr="00AB1D14" w:rsidR="000B7049">
        <w:rPr>
          <w:szCs w:val="22"/>
        </w:rPr>
        <w:t xml:space="preserve">appropriate LLEA </w:t>
      </w:r>
      <w:r w:rsidRPr="00AB1D14" w:rsidR="00820359">
        <w:rPr>
          <w:szCs w:val="22"/>
        </w:rPr>
        <w:t xml:space="preserve">contact phone numbers along the shipment route </w:t>
      </w:r>
      <w:r w:rsidRPr="00AB1D14" w:rsidR="00D90F55">
        <w:rPr>
          <w:szCs w:val="22"/>
        </w:rPr>
        <w:t xml:space="preserve">are specified in the NRC-reviewed route approval document </w:t>
      </w:r>
      <w:r w:rsidRPr="00AB1D14" w:rsidR="00820359">
        <w:rPr>
          <w:szCs w:val="22"/>
        </w:rPr>
        <w:t xml:space="preserve">(e.g., </w:t>
      </w:r>
      <w:r w:rsidRPr="00AB1D14" w:rsidR="00511B34">
        <w:rPr>
          <w:szCs w:val="22"/>
        </w:rPr>
        <w:t xml:space="preserve">a </w:t>
      </w:r>
      <w:r w:rsidRPr="00AB1D14" w:rsidR="00820359">
        <w:rPr>
          <w:szCs w:val="22"/>
        </w:rPr>
        <w:t>state police</w:t>
      </w:r>
      <w:r w:rsidRPr="00AB1D14" w:rsidR="00D90F55">
        <w:rPr>
          <w:szCs w:val="22"/>
        </w:rPr>
        <w:t xml:space="preserve"> </w:t>
      </w:r>
      <w:r w:rsidRPr="00AB1D14" w:rsidR="00511B34">
        <w:rPr>
          <w:szCs w:val="22"/>
        </w:rPr>
        <w:t>forc</w:t>
      </w:r>
      <w:r w:rsidRPr="00AB1D14" w:rsidR="00973EAB">
        <w:rPr>
          <w:szCs w:val="22"/>
        </w:rPr>
        <w:t>e</w:t>
      </w:r>
      <w:r w:rsidRPr="00AB1D14" w:rsidR="00757968">
        <w:rPr>
          <w:szCs w:val="22"/>
        </w:rPr>
        <w:t xml:space="preserve"> communications center).</w:t>
      </w:r>
    </w:p>
    <w:p w:rsidRPr="00AB1D14" w:rsidR="00A752B2" w:rsidP="00295E00" w:rsidRDefault="00A752B2" w14:paraId="409F7C17" w14:textId="77777777">
      <w:pPr>
        <w:ind w:firstLine="720"/>
        <w:rPr>
          <w:szCs w:val="22"/>
        </w:rPr>
      </w:pPr>
    </w:p>
    <w:p w:rsidRPr="00AB1D14" w:rsidR="00667292" w:rsidP="00295E00" w:rsidRDefault="00C00A06" w14:paraId="41686801" w14:textId="76177D62">
      <w:pPr>
        <w:ind w:firstLine="720"/>
        <w:rPr>
          <w:szCs w:val="22"/>
        </w:rPr>
      </w:pPr>
      <w:r w:rsidRPr="00AB1D14">
        <w:rPr>
          <w:szCs w:val="22"/>
        </w:rPr>
        <w:t xml:space="preserve">Under 10 CFR 73.1215(c), </w:t>
      </w:r>
      <w:r w:rsidRPr="00AB1D14" w:rsidR="00076EA2">
        <w:rPr>
          <w:szCs w:val="22"/>
        </w:rPr>
        <w:t>l</w:t>
      </w:r>
      <w:r w:rsidRPr="00AB1D14" w:rsidR="008A5AC1">
        <w:rPr>
          <w:szCs w:val="22"/>
        </w:rPr>
        <w:t>icensee</w:t>
      </w:r>
      <w:r w:rsidRPr="00AB1D14">
        <w:rPr>
          <w:szCs w:val="22"/>
        </w:rPr>
        <w:t>s</w:t>
      </w:r>
      <w:r w:rsidRPr="00AB1D14" w:rsidR="008A5AC1">
        <w:rPr>
          <w:szCs w:val="22"/>
        </w:rPr>
        <w:t xml:space="preserve"> </w:t>
      </w:r>
      <w:r w:rsidRPr="00AB1D14" w:rsidR="003B57F6">
        <w:rPr>
          <w:szCs w:val="22"/>
        </w:rPr>
        <w:t xml:space="preserve">that </w:t>
      </w:r>
      <w:r w:rsidRPr="00AB1D14">
        <w:rPr>
          <w:szCs w:val="22"/>
        </w:rPr>
        <w:t>are</w:t>
      </w:r>
      <w:r w:rsidRPr="00AB1D14" w:rsidR="00076EA2">
        <w:rPr>
          <w:szCs w:val="22"/>
        </w:rPr>
        <w:t xml:space="preserve"> </w:t>
      </w:r>
      <w:r w:rsidRPr="00AB1D14" w:rsidR="008A5AC1">
        <w:rPr>
          <w:szCs w:val="22"/>
        </w:rPr>
        <w:t xml:space="preserve">required </w:t>
      </w:r>
      <w:r w:rsidRPr="00AB1D14" w:rsidR="000E5256">
        <w:rPr>
          <w:szCs w:val="22"/>
        </w:rPr>
        <w:t xml:space="preserve">to </w:t>
      </w:r>
      <w:r w:rsidRPr="00AB1D14" w:rsidR="003B57F6">
        <w:rPr>
          <w:szCs w:val="22"/>
        </w:rPr>
        <w:t xml:space="preserve">report suspicious activities must </w:t>
      </w:r>
      <w:r w:rsidRPr="00AB1D14" w:rsidR="000E5256">
        <w:rPr>
          <w:szCs w:val="22"/>
        </w:rPr>
        <w:t xml:space="preserve">establish a point of contact with </w:t>
      </w:r>
      <w:r w:rsidR="00FB7A30">
        <w:rPr>
          <w:szCs w:val="22"/>
        </w:rPr>
        <w:t>the</w:t>
      </w:r>
      <w:r w:rsidRPr="00AB1D14" w:rsidR="00FB7A30">
        <w:rPr>
          <w:szCs w:val="22"/>
        </w:rPr>
        <w:t xml:space="preserve"> </w:t>
      </w:r>
      <w:r w:rsidRPr="00AB1D14">
        <w:rPr>
          <w:szCs w:val="22"/>
        </w:rPr>
        <w:t xml:space="preserve">applicable </w:t>
      </w:r>
      <w:r w:rsidRPr="00AB1D14" w:rsidR="00CB1041">
        <w:rPr>
          <w:szCs w:val="22"/>
        </w:rPr>
        <w:t xml:space="preserve">FBI </w:t>
      </w:r>
      <w:r w:rsidRPr="00AB1D14" w:rsidR="000E5256">
        <w:rPr>
          <w:szCs w:val="22"/>
        </w:rPr>
        <w:t>local field office</w:t>
      </w:r>
      <w:r w:rsidR="002E7BC2">
        <w:rPr>
          <w:szCs w:val="22"/>
        </w:rPr>
        <w:t xml:space="preserve">. </w:t>
      </w:r>
      <w:r w:rsidRPr="00AB1D14" w:rsidR="005A67C5">
        <w:rPr>
          <w:szCs w:val="22"/>
        </w:rPr>
        <w:t xml:space="preserve">The </w:t>
      </w:r>
      <w:r w:rsidRPr="00AB1D14" w:rsidR="00133494">
        <w:rPr>
          <w:szCs w:val="22"/>
        </w:rPr>
        <w:t xml:space="preserve">applicable </w:t>
      </w:r>
      <w:r w:rsidRPr="00AB1D14" w:rsidR="00CB1041">
        <w:rPr>
          <w:szCs w:val="22"/>
        </w:rPr>
        <w:t xml:space="preserve">FBI </w:t>
      </w:r>
      <w:r w:rsidRPr="00AB1D14" w:rsidR="005A67C5">
        <w:rPr>
          <w:szCs w:val="22"/>
        </w:rPr>
        <w:t>local field office should be based on the geographic location of the licensee’s facility or material</w:t>
      </w:r>
      <w:r w:rsidR="002E7BC2">
        <w:rPr>
          <w:szCs w:val="22"/>
        </w:rPr>
        <w:t xml:space="preserve">. </w:t>
      </w:r>
      <w:r w:rsidRPr="00AB1D14" w:rsidR="000E5256">
        <w:rPr>
          <w:szCs w:val="22"/>
        </w:rPr>
        <w:t>A l</w:t>
      </w:r>
      <w:r w:rsidRPr="00AB1D14" w:rsidR="002A7114">
        <w:rPr>
          <w:szCs w:val="22"/>
        </w:rPr>
        <w:t xml:space="preserve">ist of the FBI’s </w:t>
      </w:r>
      <w:r w:rsidRPr="00AB1D14" w:rsidR="00CB1041">
        <w:rPr>
          <w:szCs w:val="22"/>
        </w:rPr>
        <w:t xml:space="preserve">local </w:t>
      </w:r>
      <w:r w:rsidRPr="00AB1D14" w:rsidR="002A7114">
        <w:rPr>
          <w:szCs w:val="22"/>
        </w:rPr>
        <w:t xml:space="preserve">field offices </w:t>
      </w:r>
      <w:r w:rsidRPr="00AB1D14" w:rsidR="000E5256">
        <w:rPr>
          <w:szCs w:val="22"/>
        </w:rPr>
        <w:t xml:space="preserve">is </w:t>
      </w:r>
      <w:r w:rsidRPr="00AB1D14" w:rsidR="00593117">
        <w:rPr>
          <w:szCs w:val="22"/>
        </w:rPr>
        <w:t xml:space="preserve">available </w:t>
      </w:r>
      <w:r w:rsidRPr="00AB1D14" w:rsidR="000E5256">
        <w:rPr>
          <w:szCs w:val="22"/>
        </w:rPr>
        <w:t xml:space="preserve">on </w:t>
      </w:r>
      <w:r w:rsidRPr="00AB1D14" w:rsidR="009F0D25">
        <w:rPr>
          <w:szCs w:val="22"/>
        </w:rPr>
        <w:t>the FBI’s</w:t>
      </w:r>
      <w:r w:rsidRPr="00AB1D14" w:rsidR="000E5256">
        <w:rPr>
          <w:szCs w:val="22"/>
        </w:rPr>
        <w:t xml:space="preserve"> </w:t>
      </w:r>
      <w:r w:rsidRPr="00AB1D14" w:rsidR="00076EA2">
        <w:rPr>
          <w:szCs w:val="22"/>
        </w:rPr>
        <w:t>W</w:t>
      </w:r>
      <w:r w:rsidRPr="00AB1D14" w:rsidR="000E5256">
        <w:rPr>
          <w:szCs w:val="22"/>
        </w:rPr>
        <w:t>eb</w:t>
      </w:r>
      <w:r w:rsidRPr="00AB1D14" w:rsidR="00076EA2">
        <w:rPr>
          <w:szCs w:val="22"/>
        </w:rPr>
        <w:t xml:space="preserve"> </w:t>
      </w:r>
      <w:r w:rsidRPr="00AB1D14" w:rsidR="000E5256">
        <w:rPr>
          <w:szCs w:val="22"/>
        </w:rPr>
        <w:t xml:space="preserve">site at </w:t>
      </w:r>
      <w:hyperlink w:history="1" r:id="rId13">
        <w:r w:rsidRPr="00AB1D14" w:rsidR="002A7114">
          <w:rPr>
            <w:rStyle w:val="Hyperlink"/>
            <w:szCs w:val="22"/>
          </w:rPr>
          <w:t>https://www.fbi.gov/contact-us/field-offices</w:t>
        </w:r>
      </w:hyperlink>
      <w:r w:rsidRPr="00AB1D14" w:rsidR="00671DF9">
        <w:rPr>
          <w:szCs w:val="22"/>
        </w:rPr>
        <w:t xml:space="preserve">. </w:t>
      </w:r>
    </w:p>
    <w:p w:rsidRPr="00AB1D14" w:rsidR="00667292" w:rsidP="00295E00" w:rsidRDefault="00667292" w14:paraId="5D6ACC8C" w14:textId="77777777">
      <w:pPr>
        <w:ind w:firstLine="720"/>
        <w:rPr>
          <w:szCs w:val="22"/>
        </w:rPr>
      </w:pPr>
    </w:p>
    <w:p w:rsidRPr="00AB1D14" w:rsidR="000A223C" w:rsidP="00295E00" w:rsidRDefault="00667292" w14:paraId="6535FD0F" w14:textId="7E31FD4E">
      <w:pPr>
        <w:ind w:firstLine="720"/>
        <w:rPr>
          <w:szCs w:val="22"/>
        </w:rPr>
      </w:pPr>
      <w:r w:rsidRPr="00AB1D14">
        <w:rPr>
          <w:szCs w:val="22"/>
        </w:rPr>
        <w:t>For a licensee that uses a third</w:t>
      </w:r>
      <w:r w:rsidRPr="00AB1D14">
        <w:rPr>
          <w:szCs w:val="22"/>
        </w:rPr>
        <w:noBreakHyphen/>
        <w:t>party movement control center to monitor shipments, the</w:t>
      </w:r>
      <w:r w:rsidRPr="00AB1D14" w:rsidR="00576361">
        <w:rPr>
          <w:szCs w:val="22"/>
        </w:rPr>
        <w:t xml:space="preserve"> licensee may </w:t>
      </w:r>
      <w:r w:rsidRPr="00AB1D14" w:rsidR="00C00A06">
        <w:rPr>
          <w:szCs w:val="22"/>
        </w:rPr>
        <w:t xml:space="preserve">also </w:t>
      </w:r>
      <w:r w:rsidRPr="00AB1D14" w:rsidR="00576361">
        <w:rPr>
          <w:szCs w:val="22"/>
        </w:rPr>
        <w:t>elect to have</w:t>
      </w:r>
      <w:r w:rsidRPr="00AB1D14">
        <w:rPr>
          <w:szCs w:val="22"/>
        </w:rPr>
        <w:t xml:space="preserve"> movement control center </w:t>
      </w:r>
      <w:r w:rsidRPr="00AB1D14" w:rsidR="00C00A06">
        <w:rPr>
          <w:szCs w:val="22"/>
        </w:rPr>
        <w:t>report suspicious activities</w:t>
      </w:r>
      <w:r w:rsidRPr="00AB1D14">
        <w:rPr>
          <w:szCs w:val="22"/>
        </w:rPr>
        <w:t xml:space="preserve"> to the applicable LLEA, FBI local field office, and subsequently the NRC</w:t>
      </w:r>
      <w:r w:rsidR="002E7BC2">
        <w:rPr>
          <w:szCs w:val="22"/>
        </w:rPr>
        <w:t xml:space="preserve">. </w:t>
      </w:r>
      <w:r w:rsidRPr="00AB1D14" w:rsidR="00FF16EA">
        <w:rPr>
          <w:szCs w:val="22"/>
        </w:rPr>
        <w:t>Licensees involved in shipping activities</w:t>
      </w:r>
      <w:r w:rsidRPr="00AB1D14" w:rsidR="00DD2E85">
        <w:rPr>
          <w:szCs w:val="22"/>
        </w:rPr>
        <w:t xml:space="preserve"> or movement control</w:t>
      </w:r>
      <w:r w:rsidRPr="00AB1D14" w:rsidR="00D461E8">
        <w:rPr>
          <w:szCs w:val="22"/>
        </w:rPr>
        <w:t xml:space="preserve"> </w:t>
      </w:r>
      <w:r w:rsidRPr="00AB1D14" w:rsidR="00DD2E85">
        <w:rPr>
          <w:szCs w:val="22"/>
        </w:rPr>
        <w:t>centers employed to</w:t>
      </w:r>
      <w:r w:rsidRPr="00AB1D14" w:rsidR="00D461E8">
        <w:rPr>
          <w:szCs w:val="22"/>
        </w:rPr>
        <w:t xml:space="preserve"> monitor</w:t>
      </w:r>
      <w:r w:rsidRPr="00AB1D14" w:rsidR="00DD2E85">
        <w:rPr>
          <w:szCs w:val="22"/>
        </w:rPr>
        <w:t xml:space="preserve"> licensee</w:t>
      </w:r>
      <w:r w:rsidRPr="00AB1D14" w:rsidR="00D461E8">
        <w:rPr>
          <w:szCs w:val="22"/>
        </w:rPr>
        <w:t xml:space="preserve"> shipments</w:t>
      </w:r>
      <w:r w:rsidRPr="00AB1D14" w:rsidR="00FF16EA">
        <w:rPr>
          <w:szCs w:val="22"/>
        </w:rPr>
        <w:t xml:space="preserve"> </w:t>
      </w:r>
      <w:r w:rsidRPr="00AB1D14" w:rsidR="00E33C5A">
        <w:rPr>
          <w:szCs w:val="22"/>
        </w:rPr>
        <w:t xml:space="preserve">must establish </w:t>
      </w:r>
      <w:r w:rsidRPr="00AB1D14" w:rsidR="000A223C">
        <w:rPr>
          <w:szCs w:val="22"/>
        </w:rPr>
        <w:t>a point of contact with the appropriate FBI local field office.</w:t>
      </w:r>
    </w:p>
    <w:p w:rsidRPr="00AB1D14" w:rsidR="000A223C" w:rsidP="00821BA0" w:rsidRDefault="000A223C" w14:paraId="633A1F5C" w14:textId="77777777">
      <w:pPr>
        <w:ind w:firstLine="720"/>
        <w:rPr>
          <w:szCs w:val="22"/>
        </w:rPr>
      </w:pPr>
    </w:p>
    <w:p w:rsidRPr="00AB1D14" w:rsidR="003B57F6" w:rsidP="00821BA0" w:rsidRDefault="000A223C" w14:paraId="47D1F060" w14:textId="5ECF8F0C">
      <w:pPr>
        <w:ind w:left="1440" w:hanging="720"/>
        <w:rPr>
          <w:szCs w:val="22"/>
        </w:rPr>
      </w:pPr>
      <w:r w:rsidRPr="00A638A2">
        <w:rPr>
          <w:b/>
          <w:bCs/>
          <w:szCs w:val="22"/>
        </w:rPr>
        <w:t>Note</w:t>
      </w:r>
      <w:r w:rsidRPr="00AB1D14">
        <w:rPr>
          <w:szCs w:val="22"/>
        </w:rPr>
        <w:t>:</w:t>
      </w:r>
      <w:r w:rsidRPr="00AB1D14">
        <w:rPr>
          <w:szCs w:val="22"/>
        </w:rPr>
        <w:tab/>
        <w:t xml:space="preserve">A licensee or its movement control center </w:t>
      </w:r>
      <w:r w:rsidRPr="00AB1D14" w:rsidR="00D461E8">
        <w:rPr>
          <w:szCs w:val="22"/>
        </w:rPr>
        <w:t>should refer to</w:t>
      </w:r>
      <w:r w:rsidRPr="00AB1D14" w:rsidR="00FF16EA">
        <w:rPr>
          <w:szCs w:val="22"/>
        </w:rPr>
        <w:t xml:space="preserve"> </w:t>
      </w:r>
      <w:r w:rsidRPr="00AB1D14" w:rsidR="002A718F">
        <w:rPr>
          <w:szCs w:val="22"/>
        </w:rPr>
        <w:t xml:space="preserve">Staff Regulatory Guidance position </w:t>
      </w:r>
      <w:r w:rsidR="000A3842">
        <w:rPr>
          <w:szCs w:val="22"/>
        </w:rPr>
        <w:t>4</w:t>
      </w:r>
      <w:r w:rsidRPr="00AB1D14" w:rsidR="00D461E8">
        <w:rPr>
          <w:szCs w:val="22"/>
        </w:rPr>
        <w:t xml:space="preserve"> to determine</w:t>
      </w:r>
      <w:r w:rsidRPr="00AB1D14" w:rsidR="00FF16EA">
        <w:rPr>
          <w:szCs w:val="22"/>
        </w:rPr>
        <w:t xml:space="preserve"> the most appro</w:t>
      </w:r>
      <w:r w:rsidRPr="00AB1D14" w:rsidR="00D461E8">
        <w:rPr>
          <w:szCs w:val="22"/>
        </w:rPr>
        <w:t xml:space="preserve">priate FBI local field office </w:t>
      </w:r>
      <w:r w:rsidRPr="00AB1D14" w:rsidR="00581DF2">
        <w:rPr>
          <w:szCs w:val="22"/>
        </w:rPr>
        <w:t xml:space="preserve">with which </w:t>
      </w:r>
      <w:r w:rsidRPr="00AB1D14" w:rsidR="00D461E8">
        <w:rPr>
          <w:szCs w:val="22"/>
        </w:rPr>
        <w:t>to establish a point of contact</w:t>
      </w:r>
      <w:r w:rsidR="000A3842">
        <w:rPr>
          <w:szCs w:val="22"/>
        </w:rPr>
        <w:t xml:space="preserve"> for shipping activities</w:t>
      </w:r>
      <w:r w:rsidR="002E7BC2">
        <w:rPr>
          <w:szCs w:val="22"/>
        </w:rPr>
        <w:t xml:space="preserve">. </w:t>
      </w:r>
    </w:p>
    <w:p w:rsidR="00502A37" w:rsidP="00F1633C" w:rsidRDefault="00502A37" w14:paraId="5BFF788D" w14:textId="77777777">
      <w:pPr>
        <w:ind w:firstLine="720"/>
        <w:rPr>
          <w:szCs w:val="22"/>
        </w:rPr>
      </w:pPr>
    </w:p>
    <w:p w:rsidRPr="00AB1D14" w:rsidR="00E97750" w:rsidP="00F1633C" w:rsidRDefault="00457ABD" w14:paraId="72C0A5B7" w14:textId="5BAFA6FC">
      <w:pPr>
        <w:ind w:firstLine="720"/>
        <w:rPr>
          <w:szCs w:val="22"/>
        </w:rPr>
      </w:pPr>
      <w:r>
        <w:rPr>
          <w:szCs w:val="22"/>
        </w:rPr>
        <w:t>A</w:t>
      </w:r>
      <w:r w:rsidRPr="00AB1D14" w:rsidR="000A223C">
        <w:rPr>
          <w:szCs w:val="22"/>
        </w:rPr>
        <w:t xml:space="preserve"> good practice </w:t>
      </w:r>
      <w:r>
        <w:rPr>
          <w:szCs w:val="22"/>
        </w:rPr>
        <w:t xml:space="preserve">for </w:t>
      </w:r>
      <w:r w:rsidRPr="00AB1D14" w:rsidR="000A223C">
        <w:rPr>
          <w:szCs w:val="22"/>
        </w:rPr>
        <w:t>a</w:t>
      </w:r>
      <w:r w:rsidRPr="00AB1D14" w:rsidR="0088787A">
        <w:rPr>
          <w:szCs w:val="22"/>
        </w:rPr>
        <w:t xml:space="preserve"> l</w:t>
      </w:r>
      <w:r w:rsidRPr="00AB1D14" w:rsidR="00E97750">
        <w:rPr>
          <w:szCs w:val="22"/>
        </w:rPr>
        <w:t>icensee</w:t>
      </w:r>
      <w:r w:rsidRPr="00AB1D14" w:rsidR="00D31D35">
        <w:rPr>
          <w:szCs w:val="22"/>
        </w:rPr>
        <w:t xml:space="preserve"> </w:t>
      </w:r>
      <w:r w:rsidRPr="00AB1D14" w:rsidR="0088787A">
        <w:rPr>
          <w:szCs w:val="22"/>
        </w:rPr>
        <w:t>or its</w:t>
      </w:r>
      <w:r w:rsidRPr="00AB1D14" w:rsidR="00D31D35">
        <w:rPr>
          <w:szCs w:val="22"/>
        </w:rPr>
        <w:t xml:space="preserve"> movement control center employed to monitor shipping activities</w:t>
      </w:r>
      <w:r w:rsidRPr="00AB1D14" w:rsidR="00667292">
        <w:rPr>
          <w:szCs w:val="22"/>
        </w:rPr>
        <w:t xml:space="preserve"> </w:t>
      </w:r>
      <w:r>
        <w:rPr>
          <w:szCs w:val="22"/>
        </w:rPr>
        <w:t>is to</w:t>
      </w:r>
      <w:r w:rsidRPr="00AB1D14" w:rsidR="00667292">
        <w:rPr>
          <w:szCs w:val="22"/>
        </w:rPr>
        <w:t xml:space="preserve"> also establish a preferred communications method to use with the </w:t>
      </w:r>
      <w:r w:rsidRPr="00AB1D14" w:rsidR="000A223C">
        <w:rPr>
          <w:szCs w:val="22"/>
        </w:rPr>
        <w:t xml:space="preserve">appropriate </w:t>
      </w:r>
      <w:r w:rsidRPr="00AB1D14" w:rsidR="00667292">
        <w:rPr>
          <w:szCs w:val="22"/>
        </w:rPr>
        <w:t xml:space="preserve">FBI </w:t>
      </w:r>
      <w:r w:rsidRPr="00AB1D14" w:rsidR="000A223C">
        <w:rPr>
          <w:szCs w:val="22"/>
        </w:rPr>
        <w:t xml:space="preserve">local field office </w:t>
      </w:r>
      <w:r w:rsidRPr="00AB1D14" w:rsidR="00667292">
        <w:rPr>
          <w:szCs w:val="22"/>
        </w:rPr>
        <w:t>(e.g., voice, fax, or electronic message)</w:t>
      </w:r>
      <w:r w:rsidR="002E7BC2">
        <w:rPr>
          <w:szCs w:val="22"/>
        </w:rPr>
        <w:t xml:space="preserve">. </w:t>
      </w:r>
    </w:p>
    <w:p w:rsidRPr="00AB1D14" w:rsidR="00A21887" w:rsidP="00EF2B6D" w:rsidRDefault="00A21887" w14:paraId="63A25E48" w14:textId="77777777">
      <w:pPr>
        <w:ind w:firstLine="720"/>
        <w:rPr>
          <w:szCs w:val="22"/>
        </w:rPr>
      </w:pPr>
    </w:p>
    <w:p w:rsidRPr="00AB1D14" w:rsidR="00A21887" w:rsidP="00EF2B6D" w:rsidRDefault="005E407D" w14:paraId="6707D349" w14:textId="77777777">
      <w:pPr>
        <w:ind w:firstLine="720"/>
        <w:rPr>
          <w:szCs w:val="22"/>
        </w:rPr>
      </w:pPr>
      <w:r w:rsidRPr="00AB1D14">
        <w:rPr>
          <w:szCs w:val="22"/>
        </w:rPr>
        <w:t>After</w:t>
      </w:r>
      <w:r w:rsidRPr="00AB1D14" w:rsidR="00151AE7">
        <w:rPr>
          <w:szCs w:val="22"/>
        </w:rPr>
        <w:t xml:space="preserve"> reporting a suspicious activity to the FBI, </w:t>
      </w:r>
      <w:proofErr w:type="gramStart"/>
      <w:r w:rsidRPr="00AB1D14" w:rsidR="00151AE7">
        <w:rPr>
          <w:szCs w:val="22"/>
        </w:rPr>
        <w:t>l</w:t>
      </w:r>
      <w:r w:rsidRPr="00AB1D14" w:rsidR="00A21887">
        <w:rPr>
          <w:szCs w:val="22"/>
        </w:rPr>
        <w:t>icensees</w:t>
      </w:r>
      <w:proofErr w:type="gramEnd"/>
      <w:r w:rsidRPr="00AB1D14" w:rsidR="00FB257F">
        <w:rPr>
          <w:szCs w:val="22"/>
        </w:rPr>
        <w:t xml:space="preserve"> or a movement control center, </w:t>
      </w:r>
      <w:r w:rsidRPr="00AB1D14" w:rsidR="003A252C">
        <w:rPr>
          <w:szCs w:val="22"/>
        </w:rPr>
        <w:t>as applicable</w:t>
      </w:r>
      <w:r w:rsidRPr="00AB1D14" w:rsidR="00FB257F">
        <w:rPr>
          <w:szCs w:val="22"/>
        </w:rPr>
        <w:t>,</w:t>
      </w:r>
      <w:r w:rsidRPr="00AB1D14" w:rsidR="00A21887">
        <w:rPr>
          <w:szCs w:val="22"/>
        </w:rPr>
        <w:t xml:space="preserve"> </w:t>
      </w:r>
      <w:r w:rsidRPr="00AB1D14" w:rsidR="00151AE7">
        <w:rPr>
          <w:szCs w:val="22"/>
        </w:rPr>
        <w:t>must</w:t>
      </w:r>
      <w:r w:rsidRPr="00AB1D14" w:rsidR="002A7114">
        <w:rPr>
          <w:szCs w:val="22"/>
        </w:rPr>
        <w:t xml:space="preserve"> </w:t>
      </w:r>
      <w:r w:rsidRPr="00AB1D14" w:rsidR="00E96B39">
        <w:rPr>
          <w:szCs w:val="22"/>
        </w:rPr>
        <w:t>report</w:t>
      </w:r>
      <w:r w:rsidRPr="00AB1D14" w:rsidR="002A7114">
        <w:rPr>
          <w:szCs w:val="22"/>
        </w:rPr>
        <w:t xml:space="preserve"> the </w:t>
      </w:r>
      <w:r w:rsidRPr="00AB1D14" w:rsidR="00E96B39">
        <w:rPr>
          <w:szCs w:val="22"/>
        </w:rPr>
        <w:t>suspicious activity to</w:t>
      </w:r>
      <w:r w:rsidRPr="00AB1D14" w:rsidR="00151AE7">
        <w:rPr>
          <w:szCs w:val="22"/>
        </w:rPr>
        <w:t xml:space="preserve"> </w:t>
      </w:r>
      <w:r w:rsidRPr="00AB1D14" w:rsidR="00C138A6">
        <w:rPr>
          <w:szCs w:val="22"/>
        </w:rPr>
        <w:t xml:space="preserve">the </w:t>
      </w:r>
      <w:r w:rsidRPr="00AB1D14" w:rsidR="00E96B39">
        <w:rPr>
          <w:szCs w:val="22"/>
        </w:rPr>
        <w:t>NRC Headquarters Operations Center</w:t>
      </w:r>
      <w:r w:rsidRPr="00AB1D14" w:rsidR="00671DF9">
        <w:rPr>
          <w:szCs w:val="22"/>
        </w:rPr>
        <w:t xml:space="preserve">. </w:t>
      </w:r>
      <w:r w:rsidRPr="00AB1D14" w:rsidR="00FB257F">
        <w:rPr>
          <w:szCs w:val="22"/>
        </w:rPr>
        <w:t>The</w:t>
      </w:r>
      <w:r w:rsidRPr="00AB1D14" w:rsidR="00E96B39">
        <w:rPr>
          <w:szCs w:val="22"/>
        </w:rPr>
        <w:t xml:space="preserve"> NRC </w:t>
      </w:r>
      <w:r w:rsidRPr="00AB1D14" w:rsidR="00FB257F">
        <w:rPr>
          <w:szCs w:val="22"/>
        </w:rPr>
        <w:t xml:space="preserve">may be reached </w:t>
      </w:r>
      <w:r w:rsidRPr="00AB1D14" w:rsidR="00E96B39">
        <w:rPr>
          <w:szCs w:val="22"/>
        </w:rPr>
        <w:t>by telephone 24</w:t>
      </w:r>
      <w:r w:rsidRPr="00AB1D14">
        <w:rPr>
          <w:szCs w:val="22"/>
        </w:rPr>
        <w:t> </w:t>
      </w:r>
      <w:r w:rsidRPr="00AB1D14" w:rsidR="00E96B39">
        <w:rPr>
          <w:szCs w:val="22"/>
        </w:rPr>
        <w:t xml:space="preserve">hours a day at the </w:t>
      </w:r>
      <w:r w:rsidRPr="00AB1D14">
        <w:rPr>
          <w:szCs w:val="22"/>
        </w:rPr>
        <w:t>tele</w:t>
      </w:r>
      <w:r w:rsidRPr="00AB1D14" w:rsidR="00E96B39">
        <w:rPr>
          <w:szCs w:val="22"/>
        </w:rPr>
        <w:t>phone number</w:t>
      </w:r>
      <w:r w:rsidRPr="00AB1D14" w:rsidR="00C610C3">
        <w:rPr>
          <w:szCs w:val="22"/>
        </w:rPr>
        <w:t>s</w:t>
      </w:r>
      <w:r w:rsidRPr="00AB1D14" w:rsidR="00E96B39">
        <w:rPr>
          <w:szCs w:val="22"/>
        </w:rPr>
        <w:t xml:space="preserve"> found in Table</w:t>
      </w:r>
      <w:r w:rsidRPr="00AB1D14">
        <w:rPr>
          <w:szCs w:val="22"/>
        </w:rPr>
        <w:t> </w:t>
      </w:r>
      <w:r w:rsidRPr="00AB1D14" w:rsidR="00E96B39">
        <w:rPr>
          <w:szCs w:val="22"/>
        </w:rPr>
        <w:t xml:space="preserve">1 of </w:t>
      </w:r>
      <w:r w:rsidRPr="00AB1D14">
        <w:rPr>
          <w:szCs w:val="22"/>
        </w:rPr>
        <w:t>“</w:t>
      </w:r>
      <w:r w:rsidRPr="00AB1D14" w:rsidR="007B0D5A">
        <w:rPr>
          <w:szCs w:val="22"/>
        </w:rPr>
        <w:t xml:space="preserve">Appendix A to Part 73 - </w:t>
      </w:r>
      <w:r w:rsidRPr="00AB1D14">
        <w:rPr>
          <w:szCs w:val="22"/>
        </w:rPr>
        <w:t>U.S. Nuclear Regulatory Commission Offices and Classified Mailing Addresses</w:t>
      </w:r>
      <w:r w:rsidRPr="00AB1D14" w:rsidR="007B0D5A">
        <w:rPr>
          <w:szCs w:val="22"/>
        </w:rPr>
        <w:t>.</w:t>
      </w:r>
      <w:r w:rsidRPr="00AB1D14">
        <w:rPr>
          <w:szCs w:val="22"/>
        </w:rPr>
        <w:t>”</w:t>
      </w:r>
    </w:p>
    <w:p w:rsidRPr="00AB1D14" w:rsidR="00EC37F7" w:rsidP="005017C4" w:rsidRDefault="00EC37F7" w14:paraId="32417D46" w14:textId="77777777">
      <w:pPr>
        <w:rPr>
          <w:szCs w:val="22"/>
        </w:rPr>
      </w:pPr>
    </w:p>
    <w:p w:rsidRPr="00AB1D14" w:rsidR="00603DAD" w:rsidP="005017C4" w:rsidRDefault="00C610C3" w14:paraId="156FB389" w14:textId="3D7748D2">
      <w:pPr>
        <w:ind w:firstLine="720"/>
        <w:rPr>
          <w:szCs w:val="22"/>
        </w:rPr>
      </w:pPr>
      <w:r w:rsidRPr="00AB1D14">
        <w:rPr>
          <w:szCs w:val="22"/>
        </w:rPr>
        <w:t>Under 10 CFR 73.1215(c), l</w:t>
      </w:r>
      <w:r w:rsidRPr="00AB1D14" w:rsidR="00603DAD">
        <w:rPr>
          <w:szCs w:val="22"/>
        </w:rPr>
        <w:t xml:space="preserve">icensees </w:t>
      </w:r>
      <w:r w:rsidRPr="00AB1D14">
        <w:rPr>
          <w:szCs w:val="22"/>
        </w:rPr>
        <w:t xml:space="preserve">that </w:t>
      </w:r>
      <w:r w:rsidRPr="00AB1D14" w:rsidR="00603DAD">
        <w:rPr>
          <w:szCs w:val="22"/>
        </w:rPr>
        <w:t xml:space="preserve">are </w:t>
      </w:r>
      <w:r w:rsidRPr="00AB1D14">
        <w:rPr>
          <w:szCs w:val="22"/>
        </w:rPr>
        <w:t xml:space="preserve">subject to </w:t>
      </w:r>
      <w:r w:rsidRPr="00AB1D14" w:rsidR="00603DAD">
        <w:rPr>
          <w:szCs w:val="22"/>
        </w:rPr>
        <w:t xml:space="preserve">10 CFR </w:t>
      </w:r>
      <w:r w:rsidR="00284C23">
        <w:rPr>
          <w:szCs w:val="22"/>
        </w:rPr>
        <w:t>73.</w:t>
      </w:r>
      <w:r w:rsidRPr="00AB1D14" w:rsidR="00603DAD">
        <w:rPr>
          <w:szCs w:val="22"/>
        </w:rPr>
        <w:t xml:space="preserve">1215(d) </w:t>
      </w:r>
      <w:r w:rsidRPr="00AB1D14">
        <w:rPr>
          <w:szCs w:val="22"/>
        </w:rPr>
        <w:t xml:space="preserve">are required </w:t>
      </w:r>
      <w:r w:rsidRPr="00AB1D14" w:rsidR="00603DAD">
        <w:rPr>
          <w:szCs w:val="22"/>
        </w:rPr>
        <w:t>to report suspicious aircraft activities to the licensee’s applicable FAA control tower</w:t>
      </w:r>
      <w:r w:rsidR="002E7BC2">
        <w:rPr>
          <w:szCs w:val="22"/>
        </w:rPr>
        <w:t xml:space="preserve">. </w:t>
      </w:r>
      <w:r w:rsidR="00544F62">
        <w:rPr>
          <w:szCs w:val="22"/>
        </w:rPr>
        <w:t>Consistent with 10</w:t>
      </w:r>
      <w:r w:rsidR="001C04B5">
        <w:rPr>
          <w:szCs w:val="22"/>
        </w:rPr>
        <w:t> </w:t>
      </w:r>
      <w:r w:rsidR="00544F62">
        <w:rPr>
          <w:szCs w:val="22"/>
        </w:rPr>
        <w:t>CFR</w:t>
      </w:r>
      <w:r w:rsidR="001C04B5">
        <w:rPr>
          <w:szCs w:val="22"/>
        </w:rPr>
        <w:t> </w:t>
      </w:r>
      <w:r w:rsidR="00544F62">
        <w:rPr>
          <w:szCs w:val="22"/>
        </w:rPr>
        <w:t xml:space="preserve">73.1215(c)(5)(ii), </w:t>
      </w:r>
      <w:r w:rsidRPr="00AB1D14" w:rsidR="00603DAD">
        <w:rPr>
          <w:szCs w:val="22"/>
        </w:rPr>
        <w:t>licensee</w:t>
      </w:r>
      <w:r w:rsidR="00544F62">
        <w:rPr>
          <w:szCs w:val="22"/>
        </w:rPr>
        <w:t>s</w:t>
      </w:r>
      <w:r w:rsidRPr="00AB1D14" w:rsidR="00603DAD">
        <w:rPr>
          <w:szCs w:val="22"/>
        </w:rPr>
        <w:t xml:space="preserve"> </w:t>
      </w:r>
      <w:r w:rsidRPr="00AB1D14" w:rsidR="00DD1090">
        <w:rPr>
          <w:szCs w:val="22"/>
        </w:rPr>
        <w:t xml:space="preserve">must </w:t>
      </w:r>
      <w:r w:rsidRPr="00AB1D14" w:rsidR="00603DAD">
        <w:rPr>
          <w:szCs w:val="22"/>
        </w:rPr>
        <w:t xml:space="preserve">establish a point of contact with the </w:t>
      </w:r>
      <w:r w:rsidRPr="00AB1D14" w:rsidR="00910522">
        <w:rPr>
          <w:szCs w:val="22"/>
        </w:rPr>
        <w:t xml:space="preserve">applicable </w:t>
      </w:r>
      <w:r w:rsidRPr="00AB1D14" w:rsidR="00603DAD">
        <w:rPr>
          <w:szCs w:val="22"/>
        </w:rPr>
        <w:t>FAA control tower</w:t>
      </w:r>
      <w:r w:rsidR="002E7BC2">
        <w:rPr>
          <w:szCs w:val="22"/>
        </w:rPr>
        <w:t xml:space="preserve">. </w:t>
      </w:r>
      <w:r w:rsidRPr="00AB1D14" w:rsidR="00DD1090">
        <w:rPr>
          <w:szCs w:val="22"/>
        </w:rPr>
        <w:t>The NRC staff recommends as a good practice that a licensee should also establish a preferred communications method to use with their applicable FAA control tower.</w:t>
      </w:r>
    </w:p>
    <w:p w:rsidRPr="00AB1D14" w:rsidR="00603DAD" w:rsidP="00712BBC" w:rsidRDefault="00603DAD" w14:paraId="79473EB8" w14:textId="77777777">
      <w:pPr>
        <w:ind w:firstLine="720"/>
        <w:rPr>
          <w:szCs w:val="22"/>
        </w:rPr>
      </w:pPr>
    </w:p>
    <w:p w:rsidRPr="00AB1D14" w:rsidR="00425325" w:rsidP="00712BBC" w:rsidRDefault="00C93E19" w14:paraId="3D3E22A3" w14:textId="77777777">
      <w:pPr>
        <w:ind w:firstLine="720"/>
        <w:rPr>
          <w:szCs w:val="22"/>
        </w:rPr>
      </w:pPr>
      <w:r w:rsidRPr="00AB1D14">
        <w:rPr>
          <w:szCs w:val="22"/>
        </w:rPr>
        <w:t xml:space="preserve">Under 10 CFR 73.1215(c)(8) a </w:t>
      </w:r>
      <w:r w:rsidRPr="00AB1D14" w:rsidR="00C57E10">
        <w:rPr>
          <w:szCs w:val="22"/>
        </w:rPr>
        <w:t xml:space="preserve">licensee </w:t>
      </w:r>
      <w:r w:rsidRPr="00AB1D14" w:rsidR="00603DAD">
        <w:rPr>
          <w:szCs w:val="22"/>
        </w:rPr>
        <w:t xml:space="preserve">or </w:t>
      </w:r>
      <w:r w:rsidRPr="00AB1D14" w:rsidR="00C57E10">
        <w:rPr>
          <w:szCs w:val="22"/>
        </w:rPr>
        <w:t xml:space="preserve">its </w:t>
      </w:r>
      <w:r w:rsidRPr="00AB1D14" w:rsidR="00603DAD">
        <w:rPr>
          <w:szCs w:val="22"/>
        </w:rPr>
        <w:t xml:space="preserve">movement control </w:t>
      </w:r>
      <w:r w:rsidRPr="00AB1D14" w:rsidR="00C57E10">
        <w:rPr>
          <w:szCs w:val="22"/>
        </w:rPr>
        <w:t xml:space="preserve">center must </w:t>
      </w:r>
      <w:r w:rsidRPr="00AB1D14" w:rsidR="00EC1BF9">
        <w:rPr>
          <w:szCs w:val="22"/>
        </w:rPr>
        <w:t>document</w:t>
      </w:r>
      <w:r w:rsidRPr="00AB1D14" w:rsidR="00425325">
        <w:rPr>
          <w:szCs w:val="22"/>
        </w:rPr>
        <w:t xml:space="preserve"> any </w:t>
      </w:r>
      <w:r w:rsidRPr="00AB1D14" w:rsidR="00EC1BF9">
        <w:rPr>
          <w:szCs w:val="22"/>
        </w:rPr>
        <w:t xml:space="preserve">LLEA or FBI </w:t>
      </w:r>
      <w:r w:rsidRPr="00AB1D14" w:rsidR="00425325">
        <w:rPr>
          <w:szCs w:val="22"/>
        </w:rPr>
        <w:t xml:space="preserve">point of contact information </w:t>
      </w:r>
      <w:r w:rsidRPr="00AB1D14" w:rsidR="00EC35B4">
        <w:rPr>
          <w:szCs w:val="22"/>
        </w:rPr>
        <w:t xml:space="preserve">for reporting suspicious activities in their </w:t>
      </w:r>
      <w:r w:rsidRPr="00AB1D14" w:rsidR="00EC1BF9">
        <w:rPr>
          <w:szCs w:val="22"/>
        </w:rPr>
        <w:t xml:space="preserve">written </w:t>
      </w:r>
      <w:r w:rsidRPr="00AB1D14" w:rsidR="00EC35B4">
        <w:rPr>
          <w:szCs w:val="22"/>
        </w:rPr>
        <w:t>security communication procedures</w:t>
      </w:r>
      <w:r w:rsidRPr="00AB1D14" w:rsidR="0045670D">
        <w:rPr>
          <w:szCs w:val="22"/>
        </w:rPr>
        <w:t xml:space="preserve"> or route approval</w:t>
      </w:r>
      <w:r w:rsidRPr="00AB1D14" w:rsidR="00AE7D5B">
        <w:rPr>
          <w:szCs w:val="22"/>
        </w:rPr>
        <w:t xml:space="preserve"> document</w:t>
      </w:r>
      <w:r w:rsidRPr="00AB1D14" w:rsidR="00EC1BF9">
        <w:rPr>
          <w:szCs w:val="22"/>
        </w:rPr>
        <w:t>s</w:t>
      </w:r>
      <w:r w:rsidRPr="00AB1D14" w:rsidR="00EC35B4">
        <w:rPr>
          <w:szCs w:val="22"/>
        </w:rPr>
        <w:t xml:space="preserve">. </w:t>
      </w:r>
      <w:r w:rsidRPr="00AB1D14" w:rsidR="00EC1BF9">
        <w:rPr>
          <w:szCs w:val="22"/>
        </w:rPr>
        <w:t>A licensee must document any FAA contact information in written communications procedures.</w:t>
      </w:r>
      <w:r w:rsidRPr="00AB1D14" w:rsidR="003A252C">
        <w:rPr>
          <w:szCs w:val="22"/>
        </w:rPr>
        <w:t xml:space="preserve"> </w:t>
      </w:r>
    </w:p>
    <w:p w:rsidRPr="00AB1D14" w:rsidR="001C0702" w:rsidP="00652773" w:rsidRDefault="001C0702" w14:paraId="13C3A28E" w14:textId="77777777">
      <w:pPr>
        <w:ind w:firstLine="720"/>
        <w:rPr>
          <w:szCs w:val="22"/>
        </w:rPr>
      </w:pPr>
    </w:p>
    <w:p w:rsidRPr="00AB1D14" w:rsidR="001C0702" w:rsidP="00652773" w:rsidRDefault="001C0702" w14:paraId="533FE52C" w14:textId="77777777">
      <w:pPr>
        <w:ind w:firstLine="720"/>
        <w:rPr>
          <w:szCs w:val="22"/>
        </w:rPr>
      </w:pPr>
      <w:r w:rsidRPr="00AB1D14">
        <w:rPr>
          <w:szCs w:val="22"/>
        </w:rPr>
        <w:t xml:space="preserve">Licensees requesting the assistance of the U.S. Coast Guard, </w:t>
      </w:r>
      <w:r w:rsidRPr="00AB1D14" w:rsidR="00910522">
        <w:rPr>
          <w:szCs w:val="22"/>
        </w:rPr>
        <w:t xml:space="preserve">State </w:t>
      </w:r>
      <w:r w:rsidRPr="00AB1D14">
        <w:rPr>
          <w:szCs w:val="22"/>
        </w:rPr>
        <w:t>Department</w:t>
      </w:r>
      <w:r w:rsidRPr="00AB1D14" w:rsidR="00910522">
        <w:rPr>
          <w:szCs w:val="22"/>
        </w:rPr>
        <w:t>s</w:t>
      </w:r>
      <w:r w:rsidRPr="00AB1D14">
        <w:rPr>
          <w:szCs w:val="22"/>
        </w:rPr>
        <w:t xml:space="preserve"> of Conservation, or </w:t>
      </w:r>
      <w:r w:rsidRPr="00AB1D14" w:rsidR="002243C4">
        <w:rPr>
          <w:szCs w:val="22"/>
        </w:rPr>
        <w:t xml:space="preserve">State </w:t>
      </w:r>
      <w:r w:rsidRPr="00AB1D14">
        <w:rPr>
          <w:szCs w:val="22"/>
        </w:rPr>
        <w:t xml:space="preserve">Department of Natural Resources personnel for watercraft entries into posted areas should treat the </w:t>
      </w:r>
      <w:r w:rsidRPr="00AB1D14" w:rsidR="0045670D">
        <w:rPr>
          <w:szCs w:val="22"/>
        </w:rPr>
        <w:t>activity</w:t>
      </w:r>
      <w:r w:rsidRPr="00AB1D14">
        <w:rPr>
          <w:szCs w:val="22"/>
        </w:rPr>
        <w:t xml:space="preserve"> in the same way that they would report a suspicious activity to the LLEA. However, licensees are not required to report unauthorized personnel inside of posted areas that do not have a direct nexus to </w:t>
      </w:r>
      <w:r w:rsidRPr="00AB1D14">
        <w:rPr>
          <w:szCs w:val="22"/>
        </w:rPr>
        <w:lastRenderedPageBreak/>
        <w:t xml:space="preserve">facility safety (e.g., entry into a circulating </w:t>
      </w:r>
      <w:r w:rsidRPr="00AB1D14" w:rsidR="002243C4">
        <w:rPr>
          <w:szCs w:val="22"/>
        </w:rPr>
        <w:t xml:space="preserve">cooling </w:t>
      </w:r>
      <w:r w:rsidRPr="00AB1D14">
        <w:rPr>
          <w:szCs w:val="22"/>
        </w:rPr>
        <w:t xml:space="preserve">water discharge canal cascade that is located </w:t>
      </w:r>
      <w:r w:rsidRPr="00AB1D14" w:rsidR="0045670D">
        <w:rPr>
          <w:szCs w:val="22"/>
        </w:rPr>
        <w:t>a distance</w:t>
      </w:r>
      <w:r w:rsidRPr="00AB1D14">
        <w:rPr>
          <w:szCs w:val="22"/>
        </w:rPr>
        <w:t xml:space="preserve"> from the facility and is posted as “Danger—No Entry” (because of personnel safety concerns)).</w:t>
      </w:r>
    </w:p>
    <w:p w:rsidRPr="00AB1D14" w:rsidR="00C064E8" w:rsidP="009C4F4D" w:rsidRDefault="00C064E8" w14:paraId="55479CAE" w14:textId="77777777">
      <w:pPr>
        <w:rPr>
          <w:szCs w:val="22"/>
        </w:rPr>
      </w:pPr>
    </w:p>
    <w:p w:rsidRPr="00AB1D14" w:rsidR="00A15738" w:rsidP="00A15738" w:rsidRDefault="004951F6" w14:paraId="3FF41D99" w14:textId="6C75CEFA">
      <w:pPr>
        <w:pStyle w:val="Heading2"/>
        <w:keepLines/>
        <w:numPr>
          <w:ilvl w:val="0"/>
          <w:numId w:val="0"/>
        </w:numPr>
        <w:rPr>
          <w:szCs w:val="22"/>
        </w:rPr>
      </w:pPr>
      <w:bookmarkStart w:name="_Toc73021734" w:id="77"/>
      <w:r>
        <w:rPr>
          <w:szCs w:val="22"/>
        </w:rPr>
        <w:t>Consideration of International Standards</w:t>
      </w:r>
      <w:bookmarkEnd w:id="77"/>
      <w:r w:rsidRPr="00AB1D14" w:rsidR="00A15738">
        <w:rPr>
          <w:szCs w:val="22"/>
        </w:rPr>
        <w:t xml:space="preserve">   </w:t>
      </w:r>
    </w:p>
    <w:p w:rsidRPr="00AB1D14" w:rsidR="00A15738" w:rsidP="00A15738" w:rsidRDefault="00A15738" w14:paraId="1320603C" w14:textId="77777777">
      <w:pPr>
        <w:keepNext/>
        <w:keepLines/>
        <w:ind w:firstLine="720"/>
        <w:rPr>
          <w:szCs w:val="22"/>
        </w:rPr>
      </w:pPr>
    </w:p>
    <w:p w:rsidR="003643B7" w:rsidP="003643B7" w:rsidRDefault="003643B7" w14:paraId="56890AC2" w14:textId="3EBAF8AB">
      <w:pPr>
        <w:ind w:firstLine="720"/>
      </w:pPr>
      <w:r>
        <w:t xml:space="preserve">The International Atomic Energy Agency (IAEA) works with member states and other partners to promote the safe, secure, and peaceful use of nuclear technologies. The IAEA develops Safety Requirements and Safety Guides for protecting people and the environment from harmful effects of ionizing radiation. This system of safety fundamentals, safety requirements, safety guides, and other relevant reports, reflects an international perspective on what constitutes a high level of safety. </w:t>
      </w:r>
      <w:r w:rsidRPr="00C41298">
        <w:rPr>
          <w:color w:val="000000"/>
        </w:rPr>
        <w:t xml:space="preserve">To inform its development of this RG, the NRC considered IAEA Safety Requirements and Safety Guides pursuant to the Commission’s International Policy Statement (Ref. </w:t>
      </w:r>
      <w:r>
        <w:rPr>
          <w:color w:val="000000"/>
        </w:rPr>
        <w:t>16</w:t>
      </w:r>
      <w:r w:rsidRPr="00C41298">
        <w:rPr>
          <w:color w:val="000000"/>
        </w:rPr>
        <w:t>)</w:t>
      </w:r>
      <w:r>
        <w:rPr>
          <w:color w:val="000000"/>
        </w:rPr>
        <w:t>,</w:t>
      </w:r>
      <w:r w:rsidRPr="00C41298">
        <w:rPr>
          <w:color w:val="000000"/>
        </w:rPr>
        <w:t xml:space="preserve"> and Management Directive and Handbook 6.6, “Regulatory Guides</w:t>
      </w:r>
      <w:r>
        <w:rPr>
          <w:color w:val="000000"/>
        </w:rPr>
        <w:t>”</w:t>
      </w:r>
      <w:r w:rsidRPr="00C41298">
        <w:rPr>
          <w:color w:val="000000"/>
        </w:rPr>
        <w:t xml:space="preserve"> (Ref. </w:t>
      </w:r>
      <w:r>
        <w:rPr>
          <w:color w:val="000000"/>
        </w:rPr>
        <w:t>17</w:t>
      </w:r>
      <w:r w:rsidRPr="00C41298">
        <w:rPr>
          <w:color w:val="000000"/>
        </w:rPr>
        <w:t>).</w:t>
      </w:r>
      <w:r>
        <w:rPr>
          <w:color w:val="000000"/>
        </w:rPr>
        <w:t xml:space="preserve"> </w:t>
      </w:r>
      <w:r w:rsidRPr="007B1E67">
        <w:t>The NRC staff did not identify any IAEA Safety Requirements or Guides with information related to the topic of this RG.</w:t>
      </w:r>
    </w:p>
    <w:p w:rsidR="00662607" w:rsidP="009C4F4D" w:rsidRDefault="00662607" w14:paraId="013F9119" w14:textId="7D0BA23E"/>
    <w:p w:rsidR="005846D7" w:rsidRDefault="005846D7" w14:paraId="7EAE25D9" w14:textId="77777777">
      <w:r>
        <w:br w:type="page"/>
      </w:r>
    </w:p>
    <w:p w:rsidR="00405E23" w:rsidP="00F50DDC" w:rsidRDefault="00405E23" w14:paraId="79EEF7C1" w14:textId="17D974FE">
      <w:pPr>
        <w:pStyle w:val="Heading1"/>
        <w:numPr>
          <w:ilvl w:val="0"/>
          <w:numId w:val="0"/>
        </w:numPr>
        <w:spacing w:after="0"/>
        <w:jc w:val="center"/>
        <w:rPr>
          <w:sz w:val="28"/>
          <w:szCs w:val="28"/>
        </w:rPr>
      </w:pPr>
      <w:bookmarkStart w:name="_Toc182970627" w:id="78"/>
      <w:bookmarkStart w:name="_Toc383167276" w:id="79"/>
      <w:bookmarkStart w:name="_Toc507400008" w:id="80"/>
      <w:bookmarkStart w:name="_Toc26362848" w:id="81"/>
      <w:bookmarkStart w:name="_Toc29213189" w:id="82"/>
      <w:bookmarkStart w:name="_Toc73021735" w:id="83"/>
      <w:r w:rsidRPr="009B126C">
        <w:rPr>
          <w:sz w:val="28"/>
          <w:szCs w:val="28"/>
        </w:rPr>
        <w:lastRenderedPageBreak/>
        <w:t xml:space="preserve">C. </w:t>
      </w:r>
      <w:bookmarkEnd w:id="78"/>
      <w:r w:rsidR="00B3166F">
        <w:rPr>
          <w:sz w:val="28"/>
          <w:szCs w:val="28"/>
        </w:rPr>
        <w:t xml:space="preserve"> </w:t>
      </w:r>
      <w:r w:rsidRPr="009B126C" w:rsidR="00AE6B31">
        <w:rPr>
          <w:sz w:val="28"/>
          <w:szCs w:val="28"/>
        </w:rPr>
        <w:t>STAFF REGULATORY GUIDANCE</w:t>
      </w:r>
      <w:bookmarkEnd w:id="79"/>
      <w:bookmarkEnd w:id="80"/>
      <w:bookmarkEnd w:id="81"/>
      <w:bookmarkEnd w:id="82"/>
      <w:bookmarkEnd w:id="83"/>
    </w:p>
    <w:p w:rsidRPr="00BA71B1" w:rsidR="00F50DDC" w:rsidP="00BA71B1" w:rsidRDefault="00F50DDC" w14:paraId="5FA3B181" w14:textId="77777777"/>
    <w:p w:rsidRPr="00F56DF5" w:rsidR="008441A8" w:rsidP="008441A8" w:rsidRDefault="007E752C" w14:paraId="25DD8E96" w14:textId="77777777">
      <w:pPr>
        <w:pStyle w:val="Heading2"/>
        <w:numPr>
          <w:ilvl w:val="0"/>
          <w:numId w:val="0"/>
        </w:numPr>
        <w:rPr>
          <w:b w:val="0"/>
          <w:szCs w:val="22"/>
        </w:rPr>
      </w:pPr>
      <w:bookmarkStart w:name="_Toc507400010" w:id="84"/>
      <w:bookmarkStart w:name="_Toc26362849" w:id="85"/>
      <w:bookmarkStart w:name="_Toc29213190" w:id="86"/>
      <w:bookmarkStart w:name="_Toc73021736" w:id="87"/>
      <w:bookmarkStart w:name="_Toc383167277" w:id="88"/>
      <w:r w:rsidRPr="0028112D">
        <w:rPr>
          <w:szCs w:val="22"/>
        </w:rPr>
        <w:t>1</w:t>
      </w:r>
      <w:r w:rsidRPr="0028112D" w:rsidR="008441A8">
        <w:rPr>
          <w:szCs w:val="22"/>
        </w:rPr>
        <w:t>.</w:t>
      </w:r>
      <w:r w:rsidRPr="00F56DF5" w:rsidR="008441A8">
        <w:rPr>
          <w:b w:val="0"/>
          <w:szCs w:val="22"/>
        </w:rPr>
        <w:tab/>
      </w:r>
      <w:r w:rsidRPr="00F56DF5" w:rsidR="00443B92">
        <w:rPr>
          <w:szCs w:val="22"/>
        </w:rPr>
        <w:t>General Guidance on A</w:t>
      </w:r>
      <w:r w:rsidRPr="00F56DF5" w:rsidR="00FD2326">
        <w:rPr>
          <w:szCs w:val="22"/>
        </w:rPr>
        <w:t xml:space="preserve">ssessing </w:t>
      </w:r>
      <w:r w:rsidRPr="00F56DF5" w:rsidR="0053284A">
        <w:rPr>
          <w:szCs w:val="22"/>
        </w:rPr>
        <w:t xml:space="preserve">What Constitutes </w:t>
      </w:r>
      <w:r w:rsidRPr="00F56DF5" w:rsidR="00E552C4">
        <w:rPr>
          <w:szCs w:val="22"/>
        </w:rPr>
        <w:t xml:space="preserve">a </w:t>
      </w:r>
      <w:r w:rsidRPr="00F56DF5" w:rsidR="004062C1">
        <w:rPr>
          <w:szCs w:val="22"/>
        </w:rPr>
        <w:t>Suspicious Activit</w:t>
      </w:r>
      <w:r w:rsidRPr="00F56DF5" w:rsidR="00E552C4">
        <w:rPr>
          <w:szCs w:val="22"/>
        </w:rPr>
        <w:t>y</w:t>
      </w:r>
      <w:bookmarkEnd w:id="84"/>
      <w:bookmarkEnd w:id="85"/>
      <w:bookmarkEnd w:id="86"/>
      <w:bookmarkEnd w:id="87"/>
    </w:p>
    <w:p w:rsidRPr="00F56DF5" w:rsidR="008441A8" w:rsidP="008441A8" w:rsidRDefault="008441A8" w14:paraId="3FB3D979" w14:textId="77777777">
      <w:pPr>
        <w:rPr>
          <w:szCs w:val="22"/>
        </w:rPr>
      </w:pPr>
      <w:r w:rsidRPr="00F56DF5">
        <w:rPr>
          <w:szCs w:val="22"/>
        </w:rPr>
        <w:tab/>
      </w:r>
    </w:p>
    <w:p w:rsidR="00F56DF5" w:rsidP="004062C1" w:rsidRDefault="00FD2326" w14:paraId="71AACDA5" w14:textId="32839FF8">
      <w:pPr>
        <w:ind w:firstLine="720"/>
        <w:rPr>
          <w:szCs w:val="22"/>
        </w:rPr>
      </w:pPr>
      <w:r w:rsidRPr="00544F62">
        <w:rPr>
          <w:szCs w:val="22"/>
        </w:rPr>
        <w:t xml:space="preserve">Licensees have the best knowledge and understanding of their facilities and the </w:t>
      </w:r>
      <w:r w:rsidRPr="00544F62" w:rsidR="00C41E6B">
        <w:rPr>
          <w:szCs w:val="22"/>
        </w:rPr>
        <w:t xml:space="preserve">local </w:t>
      </w:r>
      <w:r w:rsidRPr="00544F62">
        <w:rPr>
          <w:szCs w:val="22"/>
        </w:rPr>
        <w:t xml:space="preserve">population and environment in which their facilities are </w:t>
      </w:r>
      <w:r w:rsidRPr="00544F62" w:rsidR="00C41E6B">
        <w:rPr>
          <w:szCs w:val="22"/>
        </w:rPr>
        <w:t>situated</w:t>
      </w:r>
      <w:r w:rsidR="002E7BC2">
        <w:rPr>
          <w:szCs w:val="22"/>
        </w:rPr>
        <w:t xml:space="preserve">. </w:t>
      </w:r>
      <w:r w:rsidRPr="00544F62" w:rsidR="00260044">
        <w:rPr>
          <w:szCs w:val="22"/>
        </w:rPr>
        <w:t>T</w:t>
      </w:r>
      <w:r w:rsidRPr="00544F62" w:rsidR="001961BD">
        <w:rPr>
          <w:szCs w:val="22"/>
        </w:rPr>
        <w:t xml:space="preserve">he NRC </w:t>
      </w:r>
      <w:r w:rsidRPr="00544F62" w:rsidR="00AC3D51">
        <w:rPr>
          <w:szCs w:val="22"/>
        </w:rPr>
        <w:t xml:space="preserve">staff </w:t>
      </w:r>
      <w:r w:rsidRPr="00544F62" w:rsidR="001961BD">
        <w:rPr>
          <w:szCs w:val="22"/>
        </w:rPr>
        <w:t xml:space="preserve">views licensees as best positioned to assess whether </w:t>
      </w:r>
      <w:r w:rsidRPr="00544F62" w:rsidR="001A79CD">
        <w:rPr>
          <w:szCs w:val="22"/>
        </w:rPr>
        <w:t xml:space="preserve">wrong, abnormal, or unusual </w:t>
      </w:r>
      <w:r w:rsidRPr="00544F62" w:rsidR="001961BD">
        <w:rPr>
          <w:szCs w:val="22"/>
        </w:rPr>
        <w:t>activit</w:t>
      </w:r>
      <w:r w:rsidRPr="00544F62" w:rsidR="003D709B">
        <w:rPr>
          <w:szCs w:val="22"/>
        </w:rPr>
        <w:t>ies</w:t>
      </w:r>
      <w:r w:rsidRPr="00544F62" w:rsidR="001961BD">
        <w:rPr>
          <w:szCs w:val="22"/>
        </w:rPr>
        <w:t xml:space="preserve"> or behavior</w:t>
      </w:r>
      <w:r w:rsidRPr="00544F62" w:rsidR="003D709B">
        <w:rPr>
          <w:szCs w:val="22"/>
        </w:rPr>
        <w:t>s</w:t>
      </w:r>
      <w:r w:rsidRPr="00544F62" w:rsidR="001961BD">
        <w:rPr>
          <w:szCs w:val="22"/>
        </w:rPr>
        <w:t xml:space="preserve"> </w:t>
      </w:r>
      <w:r w:rsidRPr="00544F62" w:rsidR="003D709B">
        <w:rPr>
          <w:szCs w:val="22"/>
        </w:rPr>
        <w:t>are</w:t>
      </w:r>
      <w:r w:rsidRPr="00544F62" w:rsidR="001A79CD">
        <w:rPr>
          <w:szCs w:val="22"/>
        </w:rPr>
        <w:t xml:space="preserve"> </w:t>
      </w:r>
      <w:proofErr w:type="gramStart"/>
      <w:r w:rsidRPr="00544F62" w:rsidR="00531F89">
        <w:rPr>
          <w:szCs w:val="22"/>
        </w:rPr>
        <w:t xml:space="preserve">actually </w:t>
      </w:r>
      <w:r w:rsidRPr="00544F62" w:rsidR="001A79CD">
        <w:rPr>
          <w:szCs w:val="22"/>
        </w:rPr>
        <w:t>suspicious</w:t>
      </w:r>
      <w:proofErr w:type="gramEnd"/>
      <w:r w:rsidRPr="00544F62" w:rsidR="001A79CD">
        <w:rPr>
          <w:szCs w:val="22"/>
        </w:rPr>
        <w:t xml:space="preserve"> </w:t>
      </w:r>
      <w:r w:rsidRPr="00544F62" w:rsidR="004F404A">
        <w:rPr>
          <w:szCs w:val="22"/>
        </w:rPr>
        <w:t xml:space="preserve">relative to their facility, material, or activity </w:t>
      </w:r>
      <w:r w:rsidRPr="00544F62" w:rsidR="001A79CD">
        <w:rPr>
          <w:szCs w:val="22"/>
        </w:rPr>
        <w:t>and</w:t>
      </w:r>
      <w:r w:rsidRPr="00544F62" w:rsidR="00697C17">
        <w:rPr>
          <w:szCs w:val="22"/>
        </w:rPr>
        <w:t>,</w:t>
      </w:r>
      <w:r w:rsidRPr="00544F62" w:rsidR="001A79CD">
        <w:rPr>
          <w:szCs w:val="22"/>
        </w:rPr>
        <w:t xml:space="preserve"> therefore</w:t>
      </w:r>
      <w:r w:rsidRPr="00544F62" w:rsidR="004F404A">
        <w:rPr>
          <w:szCs w:val="22"/>
        </w:rPr>
        <w:t>,</w:t>
      </w:r>
      <w:r w:rsidRPr="00544F62" w:rsidR="001A79CD">
        <w:rPr>
          <w:szCs w:val="22"/>
        </w:rPr>
        <w:t xml:space="preserve"> warrant reporting</w:t>
      </w:r>
      <w:r w:rsidR="002E7BC2">
        <w:rPr>
          <w:szCs w:val="22"/>
        </w:rPr>
        <w:t xml:space="preserve">. </w:t>
      </w:r>
      <w:r w:rsidRPr="00544F62" w:rsidR="0076330C">
        <w:rPr>
          <w:szCs w:val="22"/>
        </w:rPr>
        <w:t xml:space="preserve">Similarly, the NRC </w:t>
      </w:r>
      <w:r w:rsidRPr="00544F62" w:rsidR="00AC3D51">
        <w:rPr>
          <w:szCs w:val="22"/>
        </w:rPr>
        <w:t xml:space="preserve">staff </w:t>
      </w:r>
      <w:r w:rsidRPr="00544F62" w:rsidR="0076330C">
        <w:rPr>
          <w:szCs w:val="22"/>
        </w:rPr>
        <w:t xml:space="preserve">also views licensees as best positioned </w:t>
      </w:r>
      <w:r w:rsidRPr="00544F62" w:rsidR="00697C17">
        <w:rPr>
          <w:szCs w:val="22"/>
        </w:rPr>
        <w:t xml:space="preserve">to assess </w:t>
      </w:r>
      <w:r w:rsidRPr="00544F62" w:rsidR="0076330C">
        <w:rPr>
          <w:szCs w:val="22"/>
        </w:rPr>
        <w:t>whether</w:t>
      </w:r>
      <w:r w:rsidRPr="00544F62" w:rsidR="00E96B39">
        <w:rPr>
          <w:szCs w:val="22"/>
        </w:rPr>
        <w:t xml:space="preserve"> the activity or behavior is </w:t>
      </w:r>
      <w:r w:rsidRPr="00544F62" w:rsidR="009438E2">
        <w:rPr>
          <w:szCs w:val="22"/>
        </w:rPr>
        <w:t>innocent or innocuous</w:t>
      </w:r>
      <w:r w:rsidRPr="00544F62" w:rsidR="00DD45BD">
        <w:rPr>
          <w:szCs w:val="22"/>
        </w:rPr>
        <w:t xml:space="preserve"> and do</w:t>
      </w:r>
      <w:r w:rsidRPr="00544F62" w:rsidR="0076330C">
        <w:rPr>
          <w:szCs w:val="22"/>
        </w:rPr>
        <w:t>es</w:t>
      </w:r>
      <w:r w:rsidRPr="00544F62" w:rsidR="00DD45BD">
        <w:rPr>
          <w:szCs w:val="22"/>
        </w:rPr>
        <w:t xml:space="preserve"> not warrant reporting</w:t>
      </w:r>
      <w:r w:rsidR="002E7BC2">
        <w:rPr>
          <w:szCs w:val="22"/>
        </w:rPr>
        <w:t xml:space="preserve">. </w:t>
      </w:r>
      <w:r w:rsidR="00544F62">
        <w:rPr>
          <w:szCs w:val="22"/>
        </w:rPr>
        <w:t>Therefore, l</w:t>
      </w:r>
      <w:r w:rsidRPr="00544F62" w:rsidR="00544F62">
        <w:rPr>
          <w:szCs w:val="22"/>
        </w:rPr>
        <w:t xml:space="preserve">icensees should use </w:t>
      </w:r>
      <w:r w:rsidR="00544F62">
        <w:rPr>
          <w:szCs w:val="22"/>
        </w:rPr>
        <w:t xml:space="preserve">their experience and </w:t>
      </w:r>
      <w:r w:rsidRPr="00544F62" w:rsidR="00544F62">
        <w:rPr>
          <w:szCs w:val="22"/>
        </w:rPr>
        <w:t xml:space="preserve">a broad perspective in </w:t>
      </w:r>
      <w:r w:rsidR="00544F62">
        <w:rPr>
          <w:szCs w:val="22"/>
        </w:rPr>
        <w:t xml:space="preserve">evaluating </w:t>
      </w:r>
      <w:r w:rsidRPr="00544F62" w:rsidR="00544F62">
        <w:rPr>
          <w:szCs w:val="22"/>
        </w:rPr>
        <w:t>an activity</w:t>
      </w:r>
      <w:r w:rsidR="00544F62">
        <w:rPr>
          <w:szCs w:val="22"/>
        </w:rPr>
        <w:t xml:space="preserve"> and based on this experience and perspective report as suspicious any activity that they consider </w:t>
      </w:r>
      <w:r w:rsidRPr="00544F62" w:rsidR="00544F62">
        <w:rPr>
          <w:szCs w:val="22"/>
        </w:rPr>
        <w:t>wrong, abnormal, or unusual</w:t>
      </w:r>
      <w:r w:rsidR="002E7BC2">
        <w:rPr>
          <w:szCs w:val="22"/>
        </w:rPr>
        <w:t xml:space="preserve">. </w:t>
      </w:r>
      <w:r w:rsidRPr="00F56DF5" w:rsidR="003D709B">
        <w:rPr>
          <w:szCs w:val="22"/>
        </w:rPr>
        <w:t>T</w:t>
      </w:r>
      <w:r w:rsidRPr="00F56DF5" w:rsidR="004F404A">
        <w:rPr>
          <w:szCs w:val="22"/>
        </w:rPr>
        <w:t>he</w:t>
      </w:r>
      <w:r w:rsidRPr="00F56DF5" w:rsidR="001A79CD">
        <w:rPr>
          <w:szCs w:val="22"/>
        </w:rPr>
        <w:t xml:space="preserve"> NRC</w:t>
      </w:r>
      <w:r w:rsidRPr="00F56DF5" w:rsidR="00CE2AB4">
        <w:rPr>
          <w:szCs w:val="22"/>
        </w:rPr>
        <w:t xml:space="preserve"> </w:t>
      </w:r>
      <w:r w:rsidRPr="00F56DF5" w:rsidR="00AC3D51">
        <w:rPr>
          <w:szCs w:val="22"/>
        </w:rPr>
        <w:t xml:space="preserve">staff </w:t>
      </w:r>
      <w:r w:rsidRPr="00F56DF5" w:rsidR="00CE2AB4">
        <w:rPr>
          <w:szCs w:val="22"/>
        </w:rPr>
        <w:t>recommends that licensee</w:t>
      </w:r>
      <w:r w:rsidRPr="00F56DF5" w:rsidR="001A79CD">
        <w:rPr>
          <w:szCs w:val="22"/>
        </w:rPr>
        <w:t>s</w:t>
      </w:r>
      <w:r w:rsidRPr="00F56DF5" w:rsidR="00CE2AB4">
        <w:rPr>
          <w:szCs w:val="22"/>
        </w:rPr>
        <w:t xml:space="preserve"> apply </w:t>
      </w:r>
      <w:r w:rsidRPr="00F56DF5" w:rsidR="00DD45BD">
        <w:rPr>
          <w:szCs w:val="22"/>
        </w:rPr>
        <w:t>an</w:t>
      </w:r>
      <w:r w:rsidRPr="00F56DF5" w:rsidR="00CE2AB4">
        <w:rPr>
          <w:szCs w:val="22"/>
        </w:rPr>
        <w:t xml:space="preserve"> </w:t>
      </w:r>
      <w:r w:rsidRPr="00F56DF5" w:rsidR="001A79CD">
        <w:rPr>
          <w:szCs w:val="22"/>
        </w:rPr>
        <w:t xml:space="preserve">overall philosophy regarding the reporting of suspicious activities </w:t>
      </w:r>
      <w:r w:rsidRPr="00F56DF5" w:rsidR="00CE2AB4">
        <w:rPr>
          <w:szCs w:val="22"/>
        </w:rPr>
        <w:t xml:space="preserve">that </w:t>
      </w:r>
      <w:r w:rsidRPr="00F56DF5" w:rsidR="00C41E6B">
        <w:rPr>
          <w:szCs w:val="22"/>
        </w:rPr>
        <w:t xml:space="preserve">is best reflected by the U.S Department of Homeland Security’s </w:t>
      </w:r>
      <w:r w:rsidRPr="00F56DF5" w:rsidR="00502D90">
        <w:rPr>
          <w:szCs w:val="22"/>
        </w:rPr>
        <w:t xml:space="preserve">(DHS’) </w:t>
      </w:r>
      <w:r w:rsidRPr="00F56DF5" w:rsidR="00C41E6B">
        <w:rPr>
          <w:szCs w:val="22"/>
        </w:rPr>
        <w:t>campaign message of</w:t>
      </w:r>
      <w:r w:rsidRPr="00F56DF5" w:rsidR="004062C1">
        <w:rPr>
          <w:szCs w:val="22"/>
        </w:rPr>
        <w:t xml:space="preserve"> </w:t>
      </w:r>
      <w:r w:rsidRPr="00F56DF5" w:rsidR="005E7875">
        <w:rPr>
          <w:szCs w:val="22"/>
        </w:rPr>
        <w:t>“</w:t>
      </w:r>
      <w:r w:rsidRPr="00F56DF5" w:rsidR="004062C1">
        <w:rPr>
          <w:szCs w:val="22"/>
        </w:rPr>
        <w:t>If You See Something, Say Something</w:t>
      </w:r>
      <w:r w:rsidRPr="00F56DF5" w:rsidR="009E1A06">
        <w:rPr>
          <w:szCs w:val="22"/>
        </w:rPr>
        <w:t>.</w:t>
      </w:r>
      <w:r w:rsidRPr="00F56DF5" w:rsidR="005E7875">
        <w:rPr>
          <w:szCs w:val="22"/>
        </w:rPr>
        <w:t>”</w:t>
      </w:r>
      <w:r w:rsidRPr="00F56DF5" w:rsidR="00C16D47">
        <w:rPr>
          <w:szCs w:val="22"/>
        </w:rPr>
        <w:t xml:space="preserve"> </w:t>
      </w:r>
      <w:r w:rsidRPr="00F56DF5" w:rsidR="009E1A06">
        <w:rPr>
          <w:szCs w:val="22"/>
          <w:vertAlign w:val="superscript"/>
        </w:rPr>
        <w:t>®</w:t>
      </w:r>
      <w:r w:rsidRPr="00F56DF5" w:rsidR="009E1A06">
        <w:rPr>
          <w:szCs w:val="22"/>
        </w:rPr>
        <w:t xml:space="preserve">  </w:t>
      </w:r>
    </w:p>
    <w:p w:rsidR="00F56DF5" w:rsidP="004062C1" w:rsidRDefault="00F56DF5" w14:paraId="40A03937" w14:textId="77777777">
      <w:pPr>
        <w:ind w:firstLine="720"/>
        <w:rPr>
          <w:szCs w:val="22"/>
        </w:rPr>
      </w:pPr>
    </w:p>
    <w:p w:rsidRPr="00F56DF5" w:rsidR="00C16D47" w:rsidP="00C16D47" w:rsidRDefault="00F56DF5" w14:paraId="5DBFB9A3" w14:textId="6B9339AD">
      <w:pPr>
        <w:ind w:firstLine="720"/>
        <w:rPr>
          <w:szCs w:val="22"/>
        </w:rPr>
      </w:pPr>
      <w:r>
        <w:rPr>
          <w:szCs w:val="22"/>
        </w:rPr>
        <w:t>T</w:t>
      </w:r>
      <w:r w:rsidRPr="00F56DF5" w:rsidR="009E1A06">
        <w:rPr>
          <w:szCs w:val="22"/>
        </w:rPr>
        <w:t>o</w:t>
      </w:r>
      <w:r w:rsidRPr="00F56DF5" w:rsidR="00FD2326">
        <w:rPr>
          <w:szCs w:val="22"/>
        </w:rPr>
        <w:t xml:space="preserve"> reduce </w:t>
      </w:r>
      <w:r w:rsidRPr="00F56DF5" w:rsidR="00502D90">
        <w:rPr>
          <w:szCs w:val="22"/>
        </w:rPr>
        <w:t xml:space="preserve">unnecessary </w:t>
      </w:r>
      <w:r w:rsidRPr="00F56DF5" w:rsidR="009E1A06">
        <w:rPr>
          <w:szCs w:val="22"/>
        </w:rPr>
        <w:t xml:space="preserve">burden on </w:t>
      </w:r>
      <w:r w:rsidRPr="00F56DF5" w:rsidR="00502D90">
        <w:rPr>
          <w:szCs w:val="22"/>
        </w:rPr>
        <w:t>licensee</w:t>
      </w:r>
      <w:r w:rsidRPr="00F56DF5" w:rsidR="009E1A06">
        <w:rPr>
          <w:szCs w:val="22"/>
        </w:rPr>
        <w:t>s</w:t>
      </w:r>
      <w:r w:rsidRPr="00F56DF5" w:rsidR="00FD2326">
        <w:rPr>
          <w:szCs w:val="22"/>
        </w:rPr>
        <w:t xml:space="preserve">, the </w:t>
      </w:r>
      <w:r w:rsidRPr="00F56DF5" w:rsidR="00C41E6B">
        <w:rPr>
          <w:szCs w:val="22"/>
        </w:rPr>
        <w:t>NRC has</w:t>
      </w:r>
      <w:r w:rsidRPr="00F56DF5" w:rsidR="007943D4">
        <w:rPr>
          <w:szCs w:val="22"/>
        </w:rPr>
        <w:t xml:space="preserve"> structured the </w:t>
      </w:r>
      <w:r w:rsidRPr="00F56DF5" w:rsidR="00FD2326">
        <w:rPr>
          <w:szCs w:val="22"/>
        </w:rPr>
        <w:t>suspicious activity reporting requirements and this supporting guide to provide licensees with flexibility to use their best judgment to determine if an activity appears suspicious</w:t>
      </w:r>
      <w:r w:rsidR="002E7BC2">
        <w:rPr>
          <w:szCs w:val="22"/>
        </w:rPr>
        <w:t xml:space="preserve">. </w:t>
      </w:r>
      <w:r w:rsidRPr="00F56DF5" w:rsidR="00B340DD">
        <w:rPr>
          <w:szCs w:val="22"/>
        </w:rPr>
        <w:t>Consequently, a</w:t>
      </w:r>
      <w:r w:rsidRPr="00F56DF5" w:rsidR="00C16D47">
        <w:rPr>
          <w:szCs w:val="22"/>
        </w:rPr>
        <w:t xml:space="preserve"> licensee </w:t>
      </w:r>
      <w:r w:rsidRPr="00F56DF5" w:rsidR="001A532C">
        <w:rPr>
          <w:szCs w:val="22"/>
        </w:rPr>
        <w:t>should</w:t>
      </w:r>
      <w:r w:rsidRPr="00F56DF5" w:rsidR="00C16D47">
        <w:rPr>
          <w:szCs w:val="22"/>
        </w:rPr>
        <w:t xml:space="preserve"> consider locality</w:t>
      </w:r>
      <w:r w:rsidRPr="00F56DF5" w:rsidR="00C16D47">
        <w:rPr>
          <w:szCs w:val="22"/>
        </w:rPr>
        <w:noBreakHyphen/>
        <w:t>specific information when assessing whether an activity is suspicious. This can include the locale</w:t>
      </w:r>
      <w:r w:rsidRPr="00F56DF5" w:rsidR="00B340DD">
        <w:rPr>
          <w:szCs w:val="22"/>
        </w:rPr>
        <w:t xml:space="preserve"> surrounding the facility</w:t>
      </w:r>
      <w:r w:rsidRPr="00F56DF5" w:rsidR="00C16D47">
        <w:rPr>
          <w:szCs w:val="22"/>
        </w:rPr>
        <w:t>, the local population, and other individual circumstances (e.g., the presence of recreational areas or activities such as hunting, fishing, and hiking) in its surroundings</w:t>
      </w:r>
      <w:r w:rsidR="002E7BC2">
        <w:rPr>
          <w:szCs w:val="22"/>
        </w:rPr>
        <w:t xml:space="preserve">. </w:t>
      </w:r>
      <w:r w:rsidRPr="00F56DF5" w:rsidR="00C16D47">
        <w:rPr>
          <w:szCs w:val="22"/>
        </w:rPr>
        <w:t xml:space="preserve">For example, what </w:t>
      </w:r>
      <w:r w:rsidRPr="00F56DF5" w:rsidR="001A532C">
        <w:rPr>
          <w:szCs w:val="22"/>
        </w:rPr>
        <w:t>“</w:t>
      </w:r>
      <w:r w:rsidRPr="00F56DF5" w:rsidR="00C16D47">
        <w:rPr>
          <w:szCs w:val="22"/>
        </w:rPr>
        <w:t xml:space="preserve">Licensee A” considers to be a suspicious activity at a research reactor located on a college campus in a large urban city may differ significantly from what </w:t>
      </w:r>
      <w:r w:rsidRPr="00F56DF5" w:rsidR="001A532C">
        <w:rPr>
          <w:szCs w:val="22"/>
        </w:rPr>
        <w:t>“</w:t>
      </w:r>
      <w:r w:rsidRPr="00F56DF5" w:rsidR="00C16D47">
        <w:rPr>
          <w:szCs w:val="22"/>
        </w:rPr>
        <w:t>Licensee B” considers to be a suspicious activity for similar circumstances at an operating power reactor site located on a 5,000</w:t>
      </w:r>
      <w:r w:rsidRPr="00F56DF5" w:rsidR="00C16D47">
        <w:rPr>
          <w:szCs w:val="22"/>
        </w:rPr>
        <w:noBreakHyphen/>
        <w:t>acre rural complex next to a recreational lake</w:t>
      </w:r>
      <w:r w:rsidR="002E7BC2">
        <w:rPr>
          <w:szCs w:val="22"/>
        </w:rPr>
        <w:t xml:space="preserve">. </w:t>
      </w:r>
      <w:r w:rsidRPr="00F56DF5" w:rsidR="001B012F">
        <w:rPr>
          <w:szCs w:val="22"/>
        </w:rPr>
        <w:t>A licensee may gather additional information, review electronic records, or communicate with its LLEA to assess whether an activity is suspicious</w:t>
      </w:r>
      <w:r w:rsidR="002E7BC2">
        <w:rPr>
          <w:szCs w:val="22"/>
        </w:rPr>
        <w:t xml:space="preserve">. </w:t>
      </w:r>
      <w:r w:rsidRPr="00F56DF5" w:rsidR="00234B53">
        <w:rPr>
          <w:szCs w:val="22"/>
        </w:rPr>
        <w:t>However, in gathering such information and conducting an assessment, NRC staff notes that l</w:t>
      </w:r>
      <w:r w:rsidRPr="00F56DF5" w:rsidR="009E1A06">
        <w:rPr>
          <w:szCs w:val="22"/>
        </w:rPr>
        <w:t xml:space="preserve">aw enforcement has indicated that receiving reports of suspicious activity within 60 minutes of the time of discovery provides the greatest potential for </w:t>
      </w:r>
      <w:r w:rsidRPr="00F56DF5" w:rsidR="00234B53">
        <w:rPr>
          <w:szCs w:val="22"/>
        </w:rPr>
        <w:t xml:space="preserve">their </w:t>
      </w:r>
      <w:r w:rsidRPr="00F56DF5" w:rsidR="009E1A06">
        <w:rPr>
          <w:szCs w:val="22"/>
        </w:rPr>
        <w:t>effective use of this information.</w:t>
      </w:r>
    </w:p>
    <w:p w:rsidRPr="00F56DF5" w:rsidR="00C16D47" w:rsidP="00C16D47" w:rsidRDefault="00C16D47" w14:paraId="1F418712" w14:textId="77777777">
      <w:pPr>
        <w:ind w:firstLine="720"/>
        <w:rPr>
          <w:szCs w:val="22"/>
        </w:rPr>
      </w:pPr>
    </w:p>
    <w:p w:rsidRPr="00F56DF5" w:rsidR="00C16D47" w:rsidP="00C16D47" w:rsidRDefault="00714601" w14:paraId="2FE783C0" w14:textId="0A18929E">
      <w:pPr>
        <w:ind w:firstLine="720"/>
        <w:rPr>
          <w:szCs w:val="22"/>
        </w:rPr>
      </w:pPr>
      <w:r w:rsidRPr="00F56DF5">
        <w:rPr>
          <w:szCs w:val="22"/>
        </w:rPr>
        <w:t xml:space="preserve"> </w:t>
      </w:r>
      <w:r w:rsidRPr="00F56DF5" w:rsidR="00C16D47">
        <w:rPr>
          <w:szCs w:val="22"/>
        </w:rPr>
        <w:t>Given the subjective nature of such assessments, the NRC</w:t>
      </w:r>
      <w:r w:rsidRPr="00F56DF5" w:rsidR="001A532C">
        <w:rPr>
          <w:szCs w:val="22"/>
        </w:rPr>
        <w:t xml:space="preserve"> staff </w:t>
      </w:r>
      <w:r w:rsidRPr="00F56DF5" w:rsidR="00443B92">
        <w:rPr>
          <w:szCs w:val="22"/>
        </w:rPr>
        <w:t>intends to</w:t>
      </w:r>
      <w:r w:rsidRPr="00F56DF5" w:rsidR="001E340F">
        <w:rPr>
          <w:szCs w:val="22"/>
        </w:rPr>
        <w:t xml:space="preserve"> </w:t>
      </w:r>
      <w:r w:rsidRPr="00F56DF5" w:rsidR="00C16D47">
        <w:rPr>
          <w:szCs w:val="22"/>
        </w:rPr>
        <w:t>defer to the licensee’s conclusions as to whether an activity is suspicious. Consequently, the NRC will focus its oversight actions regarding this regulation on whether a licensee has implemented the programmatic aspects of 10 CFR 73.1215 (e.g., establishing points of contact, documenting this information in communications procedures, and training responsible personnel on this information)</w:t>
      </w:r>
      <w:r w:rsidR="002E7BC2">
        <w:rPr>
          <w:szCs w:val="22"/>
        </w:rPr>
        <w:t xml:space="preserve">. </w:t>
      </w:r>
      <w:r w:rsidR="00F56DF5">
        <w:rPr>
          <w:szCs w:val="22"/>
        </w:rPr>
        <w:t xml:space="preserve">The NRC’s oversight process will not typically focus on a licensee’s substantive </w:t>
      </w:r>
      <w:r w:rsidRPr="00F56DF5" w:rsidR="00C16D47">
        <w:rPr>
          <w:szCs w:val="22"/>
        </w:rPr>
        <w:t>conclusion regarding the assessment of a potential</w:t>
      </w:r>
      <w:r w:rsidRPr="00F56DF5" w:rsidR="00E552C4">
        <w:rPr>
          <w:szCs w:val="22"/>
        </w:rPr>
        <w:t>ly</w:t>
      </w:r>
      <w:r w:rsidRPr="00F56DF5" w:rsidR="00C16D47">
        <w:rPr>
          <w:szCs w:val="22"/>
        </w:rPr>
        <w:t xml:space="preserve"> suspicious activity.</w:t>
      </w:r>
    </w:p>
    <w:p w:rsidRPr="00F56DF5" w:rsidR="008441A8" w:rsidP="00F47123" w:rsidRDefault="008441A8" w14:paraId="5FB617CB" w14:textId="77777777">
      <w:pPr>
        <w:pStyle w:val="Heading2"/>
        <w:numPr>
          <w:ilvl w:val="0"/>
          <w:numId w:val="0"/>
        </w:numPr>
        <w:rPr>
          <w:b w:val="0"/>
          <w:szCs w:val="22"/>
        </w:rPr>
      </w:pPr>
    </w:p>
    <w:p w:rsidR="00CB465E" w:rsidP="00CB465E" w:rsidRDefault="00257668" w14:paraId="67BBA5AE" w14:textId="5EDC0C79">
      <w:pPr>
        <w:ind w:firstLine="720"/>
        <w:rPr>
          <w:szCs w:val="22"/>
        </w:rPr>
      </w:pPr>
      <w:r>
        <w:rPr>
          <w:szCs w:val="22"/>
        </w:rPr>
        <w:t>A</w:t>
      </w:r>
      <w:r w:rsidRPr="00F56DF5" w:rsidR="00CB465E">
        <w:rPr>
          <w:szCs w:val="22"/>
        </w:rPr>
        <w:t xml:space="preserve"> good practice</w:t>
      </w:r>
      <w:r>
        <w:rPr>
          <w:szCs w:val="22"/>
        </w:rPr>
        <w:t xml:space="preserve"> for</w:t>
      </w:r>
      <w:r w:rsidRPr="0028112D" w:rsidR="00CB465E">
        <w:rPr>
          <w:szCs w:val="22"/>
        </w:rPr>
        <w:t xml:space="preserve"> licensees or applicable movement control centers</w:t>
      </w:r>
      <w:r>
        <w:rPr>
          <w:szCs w:val="22"/>
        </w:rPr>
        <w:t xml:space="preserve"> is to </w:t>
      </w:r>
      <w:r w:rsidRPr="0028112D" w:rsidR="00CB465E">
        <w:rPr>
          <w:szCs w:val="22"/>
        </w:rPr>
        <w:t>consider including any point of contact information and preferred communication method for reporting suspicious activities in their security communication procedures or route approval document</w:t>
      </w:r>
      <w:r w:rsidR="002E7BC2">
        <w:rPr>
          <w:szCs w:val="22"/>
        </w:rPr>
        <w:t xml:space="preserve">. </w:t>
      </w:r>
      <w:r w:rsidRPr="00B15CA1" w:rsidR="00CB465E">
        <w:rPr>
          <w:szCs w:val="22"/>
        </w:rPr>
        <w:t>This information should include LLEA, FBI, and FAA contact information, as applicable</w:t>
      </w:r>
      <w:r w:rsidR="002E7BC2">
        <w:rPr>
          <w:szCs w:val="22"/>
        </w:rPr>
        <w:t xml:space="preserve">. </w:t>
      </w:r>
      <w:r w:rsidRPr="000A5720" w:rsidR="00CB465E">
        <w:rPr>
          <w:szCs w:val="22"/>
        </w:rPr>
        <w:t>Licensees or applic</w:t>
      </w:r>
      <w:r w:rsidRPr="002804FB" w:rsidR="00CB465E">
        <w:rPr>
          <w:szCs w:val="22"/>
        </w:rPr>
        <w:t>able movement control centers should include this written contact information in periodic training for personnel responsible for making such reports (e.g., security managers, alarm station operators, facility operators</w:t>
      </w:r>
      <w:r w:rsidRPr="00A71567" w:rsidR="00CB465E">
        <w:rPr>
          <w:szCs w:val="22"/>
        </w:rPr>
        <w:t>, or shipment monitors).</w:t>
      </w:r>
    </w:p>
    <w:p w:rsidRPr="00A71567" w:rsidR="00F56DF5" w:rsidP="00CB465E" w:rsidRDefault="00F56DF5" w14:paraId="24CFE35F" w14:textId="77777777">
      <w:pPr>
        <w:ind w:firstLine="720"/>
        <w:rPr>
          <w:szCs w:val="22"/>
        </w:rPr>
      </w:pPr>
    </w:p>
    <w:p w:rsidRPr="00F56DF5" w:rsidR="007E53BF" w:rsidP="00502A37" w:rsidRDefault="00CB465E" w14:paraId="56528136" w14:textId="77777777">
      <w:pPr>
        <w:pStyle w:val="Heading2"/>
        <w:keepLines/>
        <w:numPr>
          <w:ilvl w:val="0"/>
          <w:numId w:val="0"/>
        </w:numPr>
        <w:rPr>
          <w:b w:val="0"/>
          <w:szCs w:val="22"/>
        </w:rPr>
      </w:pPr>
      <w:bookmarkStart w:name="_Toc507400012" w:id="89"/>
      <w:bookmarkStart w:name="_Toc26362850" w:id="90"/>
      <w:bookmarkStart w:name="_Toc29213191" w:id="91"/>
      <w:bookmarkStart w:name="_Toc73021737" w:id="92"/>
      <w:bookmarkEnd w:id="88"/>
      <w:r w:rsidRPr="0028112D">
        <w:rPr>
          <w:szCs w:val="22"/>
        </w:rPr>
        <w:lastRenderedPageBreak/>
        <w:t>2</w:t>
      </w:r>
      <w:r w:rsidRPr="0028112D" w:rsidR="007E53BF">
        <w:rPr>
          <w:szCs w:val="22"/>
        </w:rPr>
        <w:t>.</w:t>
      </w:r>
      <w:r w:rsidRPr="00F56DF5" w:rsidR="007E53BF">
        <w:rPr>
          <w:b w:val="0"/>
          <w:szCs w:val="22"/>
        </w:rPr>
        <w:tab/>
      </w:r>
      <w:r w:rsidRPr="00F56DF5" w:rsidR="006A2BD5">
        <w:rPr>
          <w:szCs w:val="22"/>
        </w:rPr>
        <w:t>T</w:t>
      </w:r>
      <w:r w:rsidRPr="00F56DF5" w:rsidR="007E53BF">
        <w:rPr>
          <w:szCs w:val="22"/>
        </w:rPr>
        <w:t>ime of Discovery</w:t>
      </w:r>
      <w:bookmarkEnd w:id="89"/>
      <w:bookmarkEnd w:id="90"/>
      <w:bookmarkEnd w:id="91"/>
      <w:bookmarkEnd w:id="92"/>
    </w:p>
    <w:p w:rsidRPr="00F56DF5" w:rsidR="00232A57" w:rsidP="00502A37" w:rsidRDefault="007E53BF" w14:paraId="3633DC52" w14:textId="77777777">
      <w:pPr>
        <w:keepNext/>
        <w:keepLines/>
        <w:rPr>
          <w:szCs w:val="22"/>
        </w:rPr>
      </w:pPr>
      <w:r w:rsidRPr="00F56DF5">
        <w:rPr>
          <w:szCs w:val="22"/>
        </w:rPr>
        <w:tab/>
      </w:r>
    </w:p>
    <w:p w:rsidRPr="00F56DF5" w:rsidR="00C033E4" w:rsidP="00502A37" w:rsidRDefault="00BA4981" w14:paraId="7E97F83F" w14:textId="77777777">
      <w:pPr>
        <w:keepNext/>
        <w:keepLines/>
        <w:rPr>
          <w:szCs w:val="22"/>
        </w:rPr>
      </w:pPr>
      <w:r w:rsidRPr="00F56DF5">
        <w:rPr>
          <w:szCs w:val="22"/>
        </w:rPr>
        <w:tab/>
        <w:t>T</w:t>
      </w:r>
      <w:r w:rsidRPr="00F56DF5" w:rsidR="00C033E4">
        <w:rPr>
          <w:szCs w:val="22"/>
        </w:rPr>
        <w:t xml:space="preserve">he NRC has </w:t>
      </w:r>
      <w:r w:rsidR="001C04B5">
        <w:rPr>
          <w:szCs w:val="22"/>
        </w:rPr>
        <w:t>included</w:t>
      </w:r>
      <w:r w:rsidRPr="00F56DF5" w:rsidR="001C04B5">
        <w:rPr>
          <w:szCs w:val="22"/>
        </w:rPr>
        <w:t xml:space="preserve"> </w:t>
      </w:r>
      <w:r w:rsidRPr="00F56DF5" w:rsidR="00C033E4">
        <w:rPr>
          <w:szCs w:val="22"/>
        </w:rPr>
        <w:t>the following definition o</w:t>
      </w:r>
      <w:r w:rsidRPr="00F56DF5" w:rsidR="00DA2B03">
        <w:rPr>
          <w:szCs w:val="22"/>
        </w:rPr>
        <w:t>f</w:t>
      </w:r>
      <w:r w:rsidRPr="00F56DF5" w:rsidR="00C033E4">
        <w:rPr>
          <w:szCs w:val="22"/>
        </w:rPr>
        <w:t xml:space="preserve"> “time of discovery” to 10</w:t>
      </w:r>
      <w:r w:rsidRPr="00F56DF5" w:rsidR="00E82E29">
        <w:rPr>
          <w:szCs w:val="22"/>
        </w:rPr>
        <w:t> </w:t>
      </w:r>
      <w:r w:rsidRPr="00F56DF5" w:rsidR="00C033E4">
        <w:rPr>
          <w:szCs w:val="22"/>
        </w:rPr>
        <w:t>CFR</w:t>
      </w:r>
      <w:r w:rsidRPr="00F56DF5" w:rsidR="00E82E29">
        <w:rPr>
          <w:szCs w:val="22"/>
        </w:rPr>
        <w:t> </w:t>
      </w:r>
      <w:r w:rsidRPr="00F56DF5" w:rsidR="00C033E4">
        <w:rPr>
          <w:szCs w:val="22"/>
        </w:rPr>
        <w:t>73.2, “Definitions</w:t>
      </w:r>
      <w:r w:rsidRPr="00F56DF5" w:rsidR="00EB5EFB">
        <w:rPr>
          <w:szCs w:val="22"/>
        </w:rPr>
        <w:t>,</w:t>
      </w:r>
      <w:r w:rsidRPr="00F56DF5" w:rsidR="00C033E4">
        <w:rPr>
          <w:szCs w:val="22"/>
        </w:rPr>
        <w:t>”</w:t>
      </w:r>
      <w:r w:rsidRPr="00F56DF5">
        <w:rPr>
          <w:szCs w:val="22"/>
        </w:rPr>
        <w:t xml:space="preserve"> to clari</w:t>
      </w:r>
      <w:r w:rsidRPr="00F56DF5" w:rsidR="00EB5EFB">
        <w:rPr>
          <w:szCs w:val="22"/>
        </w:rPr>
        <w:t>f</w:t>
      </w:r>
      <w:r w:rsidRPr="00F56DF5">
        <w:rPr>
          <w:szCs w:val="22"/>
        </w:rPr>
        <w:t xml:space="preserve">y timeliness goals for </w:t>
      </w:r>
      <w:r w:rsidRPr="00F56DF5" w:rsidR="00CB465E">
        <w:rPr>
          <w:szCs w:val="22"/>
        </w:rPr>
        <w:t xml:space="preserve">both </w:t>
      </w:r>
      <w:r w:rsidRPr="00F56DF5">
        <w:rPr>
          <w:szCs w:val="22"/>
        </w:rPr>
        <w:t>physical security event notifications</w:t>
      </w:r>
      <w:r w:rsidRPr="00F56DF5" w:rsidR="00DA2B03">
        <w:rPr>
          <w:szCs w:val="22"/>
        </w:rPr>
        <w:t xml:space="preserve"> </w:t>
      </w:r>
      <w:r w:rsidRPr="00F56DF5" w:rsidR="00CB465E">
        <w:rPr>
          <w:szCs w:val="22"/>
        </w:rPr>
        <w:t xml:space="preserve">under 10 CFR 73.1200 </w:t>
      </w:r>
      <w:r w:rsidRPr="00F56DF5" w:rsidR="00DA2B03">
        <w:rPr>
          <w:szCs w:val="22"/>
        </w:rPr>
        <w:t>and suspicious activity reporting</w:t>
      </w:r>
      <w:r w:rsidRPr="00F56DF5" w:rsidR="00CB465E">
        <w:rPr>
          <w:szCs w:val="22"/>
        </w:rPr>
        <w:t xml:space="preserve"> under 10 CFR 73.1215</w:t>
      </w:r>
      <w:r w:rsidRPr="00F56DF5" w:rsidR="00671DF9">
        <w:rPr>
          <w:szCs w:val="22"/>
        </w:rPr>
        <w:t xml:space="preserve">. </w:t>
      </w:r>
    </w:p>
    <w:p w:rsidRPr="00F56DF5" w:rsidR="00FA57D5" w:rsidP="008D44F9" w:rsidRDefault="00FA57D5" w14:paraId="271B8D83" w14:textId="77777777">
      <w:pPr>
        <w:rPr>
          <w:i/>
          <w:szCs w:val="22"/>
        </w:rPr>
      </w:pPr>
    </w:p>
    <w:p w:rsidRPr="00F56DF5" w:rsidR="00FA57D5" w:rsidP="00EB0E0F" w:rsidRDefault="00FA57D5" w14:paraId="6710A18B" w14:textId="77777777">
      <w:pPr>
        <w:ind w:left="720" w:right="720"/>
        <w:jc w:val="both"/>
        <w:rPr>
          <w:szCs w:val="22"/>
        </w:rPr>
      </w:pPr>
      <w:r w:rsidRPr="00F56DF5">
        <w:rPr>
          <w:i/>
          <w:szCs w:val="22"/>
        </w:rPr>
        <w:t>Time of discovery</w:t>
      </w:r>
      <w:r w:rsidRPr="00F56DF5">
        <w:rPr>
          <w:szCs w:val="22"/>
        </w:rPr>
        <w:t xml:space="preserve"> means the time at which a cognizant individual observes, identifies, or is notified of a security</w:t>
      </w:r>
      <w:r w:rsidRPr="00F56DF5" w:rsidR="00EB5EFB">
        <w:rPr>
          <w:szCs w:val="22"/>
        </w:rPr>
        <w:noBreakHyphen/>
      </w:r>
      <w:r w:rsidRPr="00F56DF5">
        <w:rPr>
          <w:szCs w:val="22"/>
        </w:rPr>
        <w:t>significant event or condition</w:t>
      </w:r>
      <w:r w:rsidRPr="00F56DF5" w:rsidR="00671DF9">
        <w:rPr>
          <w:szCs w:val="22"/>
        </w:rPr>
        <w:t xml:space="preserve">. </w:t>
      </w:r>
      <w:r w:rsidRPr="00F56DF5">
        <w:rPr>
          <w:szCs w:val="22"/>
        </w:rPr>
        <w:t>A cognizant individual is considered anyone who, by position, experience, and/or training, is expected to understand that a particular condition or event adversely impacts security</w:t>
      </w:r>
      <w:r w:rsidRPr="00F56DF5" w:rsidR="00671DF9">
        <w:rPr>
          <w:szCs w:val="22"/>
        </w:rPr>
        <w:t xml:space="preserve">. </w:t>
      </w:r>
    </w:p>
    <w:p w:rsidRPr="00F56DF5" w:rsidR="00283237" w:rsidP="00DD5179" w:rsidRDefault="00283237" w14:paraId="0412523A" w14:textId="77777777">
      <w:pPr>
        <w:rPr>
          <w:szCs w:val="22"/>
        </w:rPr>
      </w:pPr>
    </w:p>
    <w:p w:rsidRPr="00F56DF5" w:rsidR="002254A3" w:rsidP="002254A3" w:rsidRDefault="00CB465E" w14:paraId="4DE930CB" w14:textId="77777777">
      <w:pPr>
        <w:pStyle w:val="Heading2"/>
        <w:numPr>
          <w:ilvl w:val="0"/>
          <w:numId w:val="0"/>
        </w:numPr>
        <w:rPr>
          <w:b w:val="0"/>
          <w:szCs w:val="22"/>
        </w:rPr>
      </w:pPr>
      <w:bookmarkStart w:name="_Toc507400013" w:id="93"/>
      <w:bookmarkStart w:name="_Toc26362851" w:id="94"/>
      <w:bookmarkStart w:name="_Toc29213192" w:id="95"/>
      <w:bookmarkStart w:name="_Toc73021738" w:id="96"/>
      <w:r w:rsidRPr="00F56DF5">
        <w:rPr>
          <w:szCs w:val="22"/>
        </w:rPr>
        <w:t>3</w:t>
      </w:r>
      <w:r w:rsidRPr="00F56DF5" w:rsidR="002254A3">
        <w:rPr>
          <w:szCs w:val="22"/>
        </w:rPr>
        <w:t>.</w:t>
      </w:r>
      <w:r w:rsidRPr="00F56DF5" w:rsidR="002254A3">
        <w:rPr>
          <w:b w:val="0"/>
          <w:szCs w:val="22"/>
        </w:rPr>
        <w:tab/>
      </w:r>
      <w:r w:rsidRPr="00F56DF5" w:rsidR="00E633B0">
        <w:rPr>
          <w:szCs w:val="22"/>
        </w:rPr>
        <w:t>Priority of T</w:t>
      </w:r>
      <w:r w:rsidRPr="00F56DF5" w:rsidR="002254A3">
        <w:rPr>
          <w:szCs w:val="22"/>
        </w:rPr>
        <w:t xml:space="preserve">imely Reporting </w:t>
      </w:r>
      <w:r w:rsidRPr="00F56DF5" w:rsidR="00E50A7A">
        <w:rPr>
          <w:szCs w:val="22"/>
        </w:rPr>
        <w:t>versus Accuracy of Assessment</w:t>
      </w:r>
      <w:bookmarkEnd w:id="93"/>
      <w:bookmarkEnd w:id="94"/>
      <w:bookmarkEnd w:id="95"/>
      <w:bookmarkEnd w:id="96"/>
    </w:p>
    <w:p w:rsidRPr="00F56DF5" w:rsidR="002254A3" w:rsidP="002254A3" w:rsidRDefault="002254A3" w14:paraId="0601BEA8" w14:textId="77777777">
      <w:pPr>
        <w:rPr>
          <w:szCs w:val="22"/>
        </w:rPr>
      </w:pPr>
      <w:r w:rsidRPr="00F56DF5">
        <w:rPr>
          <w:szCs w:val="22"/>
        </w:rPr>
        <w:tab/>
      </w:r>
    </w:p>
    <w:p w:rsidR="00FE28B0" w:rsidP="00DD5179" w:rsidRDefault="002254A3" w14:paraId="0BFBDD85" w14:textId="288B5C1B">
      <w:pPr>
        <w:rPr>
          <w:szCs w:val="22"/>
        </w:rPr>
      </w:pPr>
      <w:r w:rsidRPr="00F56DF5">
        <w:rPr>
          <w:szCs w:val="22"/>
        </w:rPr>
        <w:tab/>
        <w:t>The NRC</w:t>
      </w:r>
      <w:r w:rsidRPr="00F56DF5" w:rsidR="00E50A7A">
        <w:rPr>
          <w:szCs w:val="22"/>
        </w:rPr>
        <w:t xml:space="preserve"> recognizes that </w:t>
      </w:r>
      <w:r w:rsidRPr="00F56DF5" w:rsidR="00DD45BD">
        <w:rPr>
          <w:szCs w:val="22"/>
        </w:rPr>
        <w:t>a licensee</w:t>
      </w:r>
      <w:r w:rsidRPr="00F56DF5" w:rsidR="00544D87">
        <w:rPr>
          <w:szCs w:val="22"/>
        </w:rPr>
        <w:t xml:space="preserve">’s assessment of </w:t>
      </w:r>
      <w:r w:rsidRPr="00F56DF5" w:rsidR="00E50A7A">
        <w:rPr>
          <w:szCs w:val="22"/>
        </w:rPr>
        <w:t>whether an activity is suspicious may involve complexities and unknowns</w:t>
      </w:r>
      <w:r w:rsidRPr="00F56DF5" w:rsidR="00671DF9">
        <w:rPr>
          <w:szCs w:val="22"/>
        </w:rPr>
        <w:t xml:space="preserve">. </w:t>
      </w:r>
      <w:r w:rsidRPr="00F56DF5" w:rsidR="002D3B90">
        <w:rPr>
          <w:szCs w:val="22"/>
        </w:rPr>
        <w:t xml:space="preserve">The purpose of the </w:t>
      </w:r>
      <w:r w:rsidR="001C04B5">
        <w:rPr>
          <w:szCs w:val="22"/>
        </w:rPr>
        <w:t>suspicious activity reporting</w:t>
      </w:r>
      <w:r w:rsidRPr="00F56DF5" w:rsidR="001C04B5">
        <w:rPr>
          <w:szCs w:val="22"/>
        </w:rPr>
        <w:t xml:space="preserve"> </w:t>
      </w:r>
      <w:r w:rsidRPr="00F56DF5" w:rsidR="002D3B90">
        <w:rPr>
          <w:szCs w:val="22"/>
        </w:rPr>
        <w:t xml:space="preserve">requirement is to have licensees report in a timely manner </w:t>
      </w:r>
      <w:r w:rsidRPr="00F56DF5" w:rsidR="007A2EF0">
        <w:rPr>
          <w:szCs w:val="22"/>
        </w:rPr>
        <w:t xml:space="preserve">any </w:t>
      </w:r>
      <w:r w:rsidRPr="00F56DF5" w:rsidR="002D3B90">
        <w:rPr>
          <w:szCs w:val="22"/>
        </w:rPr>
        <w:t xml:space="preserve">activities that they determine are suspicious, even if the activity is subsequently determined to </w:t>
      </w:r>
      <w:r w:rsidRPr="00F56DF5" w:rsidR="0095441D">
        <w:rPr>
          <w:szCs w:val="22"/>
        </w:rPr>
        <w:t>be</w:t>
      </w:r>
      <w:r w:rsidRPr="00F56DF5" w:rsidR="002D3B90">
        <w:rPr>
          <w:szCs w:val="22"/>
        </w:rPr>
        <w:t xml:space="preserve"> innocent</w:t>
      </w:r>
      <w:r w:rsidR="002E7BC2">
        <w:rPr>
          <w:szCs w:val="22"/>
        </w:rPr>
        <w:t xml:space="preserve">. </w:t>
      </w:r>
      <w:r w:rsidRPr="00F56DF5" w:rsidR="002D3B90">
        <w:rPr>
          <w:szCs w:val="22"/>
        </w:rPr>
        <w:t xml:space="preserve">Therefore, </w:t>
      </w:r>
      <w:r w:rsidRPr="00F56DF5" w:rsidR="00E50A7A">
        <w:rPr>
          <w:szCs w:val="22"/>
        </w:rPr>
        <w:t xml:space="preserve">the NRC considers the </w:t>
      </w:r>
      <w:r w:rsidRPr="00F56DF5" w:rsidR="00770C44">
        <w:rPr>
          <w:szCs w:val="22"/>
        </w:rPr>
        <w:t xml:space="preserve">timely </w:t>
      </w:r>
      <w:r w:rsidRPr="00F56DF5" w:rsidR="00E50A7A">
        <w:rPr>
          <w:szCs w:val="22"/>
        </w:rPr>
        <w:t xml:space="preserve">reporting of a suspicious activity </w:t>
      </w:r>
      <w:r w:rsidRPr="00F56DF5" w:rsidR="002D3B90">
        <w:rPr>
          <w:szCs w:val="22"/>
        </w:rPr>
        <w:t xml:space="preserve">based on a reasonable assessment of the circumstances to have </w:t>
      </w:r>
      <w:r w:rsidRPr="00F56DF5" w:rsidR="007F6801">
        <w:rPr>
          <w:szCs w:val="22"/>
        </w:rPr>
        <w:t>greater value</w:t>
      </w:r>
      <w:r w:rsidRPr="00F56DF5" w:rsidR="00E50A7A">
        <w:rPr>
          <w:szCs w:val="22"/>
        </w:rPr>
        <w:t xml:space="preserve"> </w:t>
      </w:r>
      <w:r w:rsidRPr="00F56DF5" w:rsidR="005A2791">
        <w:rPr>
          <w:szCs w:val="22"/>
        </w:rPr>
        <w:t xml:space="preserve">than </w:t>
      </w:r>
      <w:r w:rsidRPr="00F56DF5" w:rsidR="002D3B90">
        <w:rPr>
          <w:szCs w:val="22"/>
        </w:rPr>
        <w:t xml:space="preserve">making a definitive determination that </w:t>
      </w:r>
      <w:r w:rsidRPr="00F56DF5" w:rsidR="00DE29DB">
        <w:rPr>
          <w:szCs w:val="22"/>
        </w:rPr>
        <w:t xml:space="preserve">the </w:t>
      </w:r>
      <w:r w:rsidRPr="00F56DF5" w:rsidR="002D3B90">
        <w:rPr>
          <w:szCs w:val="22"/>
        </w:rPr>
        <w:t xml:space="preserve">activity is </w:t>
      </w:r>
      <w:proofErr w:type="gramStart"/>
      <w:r w:rsidRPr="00F56DF5" w:rsidR="002D3B90">
        <w:rPr>
          <w:szCs w:val="22"/>
        </w:rPr>
        <w:t>actually associated</w:t>
      </w:r>
      <w:proofErr w:type="gramEnd"/>
      <w:r w:rsidRPr="00F56DF5" w:rsidR="002D3B90">
        <w:rPr>
          <w:szCs w:val="22"/>
        </w:rPr>
        <w:t xml:space="preserve"> with some </w:t>
      </w:r>
      <w:r w:rsidRPr="00F56DF5" w:rsidR="005A2791">
        <w:rPr>
          <w:szCs w:val="22"/>
        </w:rPr>
        <w:t xml:space="preserve">potentially </w:t>
      </w:r>
      <w:r w:rsidRPr="00F56DF5" w:rsidR="002D3B90">
        <w:rPr>
          <w:szCs w:val="22"/>
        </w:rPr>
        <w:t>malevolent intent</w:t>
      </w:r>
      <w:r w:rsidR="002E7BC2">
        <w:rPr>
          <w:szCs w:val="22"/>
        </w:rPr>
        <w:t xml:space="preserve">. </w:t>
      </w:r>
      <w:r w:rsidRPr="00F56DF5" w:rsidR="007A2EF0">
        <w:rPr>
          <w:szCs w:val="22"/>
        </w:rPr>
        <w:t xml:space="preserve">Under 10 CFR 73.1215(c), the </w:t>
      </w:r>
      <w:r w:rsidRPr="00F56DF5" w:rsidR="002D3B90">
        <w:rPr>
          <w:szCs w:val="22"/>
        </w:rPr>
        <w:t xml:space="preserve">NRC </w:t>
      </w:r>
      <w:r w:rsidRPr="00F56DF5" w:rsidR="007A2EF0">
        <w:rPr>
          <w:szCs w:val="22"/>
        </w:rPr>
        <w:t xml:space="preserve">allows a licensee up to </w:t>
      </w:r>
      <w:r w:rsidR="00176283">
        <w:rPr>
          <w:szCs w:val="22"/>
        </w:rPr>
        <w:t>4</w:t>
      </w:r>
      <w:r w:rsidRPr="00F56DF5" w:rsidR="00176283">
        <w:rPr>
          <w:szCs w:val="22"/>
        </w:rPr>
        <w:t xml:space="preserve"> </w:t>
      </w:r>
      <w:r w:rsidRPr="00F56DF5" w:rsidR="002D3B90">
        <w:rPr>
          <w:szCs w:val="22"/>
        </w:rPr>
        <w:t xml:space="preserve">hours to </w:t>
      </w:r>
      <w:r w:rsidRPr="00F56DF5" w:rsidR="007A2EF0">
        <w:rPr>
          <w:szCs w:val="22"/>
        </w:rPr>
        <w:t xml:space="preserve">assess and </w:t>
      </w:r>
      <w:r w:rsidRPr="00F56DF5" w:rsidR="002D3B90">
        <w:rPr>
          <w:szCs w:val="22"/>
        </w:rPr>
        <w:t xml:space="preserve">report </w:t>
      </w:r>
      <w:r w:rsidRPr="00F56DF5" w:rsidR="007A2EF0">
        <w:rPr>
          <w:szCs w:val="22"/>
        </w:rPr>
        <w:t xml:space="preserve">a </w:t>
      </w:r>
      <w:r w:rsidRPr="00F56DF5" w:rsidR="002D3B90">
        <w:rPr>
          <w:szCs w:val="22"/>
        </w:rPr>
        <w:t>suspicious</w:t>
      </w:r>
      <w:r w:rsidRPr="00F56DF5" w:rsidR="007A2EF0">
        <w:rPr>
          <w:szCs w:val="22"/>
        </w:rPr>
        <w:t xml:space="preserve"> activity</w:t>
      </w:r>
      <w:r w:rsidR="002E7BC2">
        <w:rPr>
          <w:szCs w:val="22"/>
        </w:rPr>
        <w:t xml:space="preserve">. </w:t>
      </w:r>
      <w:r w:rsidRPr="00F56DF5" w:rsidR="001B012F">
        <w:rPr>
          <w:szCs w:val="22"/>
        </w:rPr>
        <w:t>Consequently, licensee</w:t>
      </w:r>
      <w:r w:rsidRPr="00F56DF5" w:rsidR="007A2EF0">
        <w:rPr>
          <w:szCs w:val="22"/>
        </w:rPr>
        <w:t>s</w:t>
      </w:r>
      <w:r w:rsidRPr="00F56DF5" w:rsidR="001B012F">
        <w:rPr>
          <w:szCs w:val="22"/>
        </w:rPr>
        <w:t xml:space="preserve"> should not delay reporting a suspicious activity </w:t>
      </w:r>
      <w:r w:rsidRPr="00F56DF5" w:rsidR="0035236B">
        <w:rPr>
          <w:szCs w:val="22"/>
        </w:rPr>
        <w:t xml:space="preserve">to gather more information or complete a more thorough assessment </w:t>
      </w:r>
      <w:r w:rsidRPr="00F56DF5" w:rsidR="001B012F">
        <w:rPr>
          <w:szCs w:val="22"/>
        </w:rPr>
        <w:t xml:space="preserve">beyond the </w:t>
      </w:r>
      <w:r w:rsidR="00176283">
        <w:rPr>
          <w:szCs w:val="22"/>
        </w:rPr>
        <w:t>4</w:t>
      </w:r>
      <w:r w:rsidRPr="00F56DF5" w:rsidR="001B012F">
        <w:rPr>
          <w:szCs w:val="22"/>
        </w:rPr>
        <w:t>-hour timeliness requirement.</w:t>
      </w:r>
    </w:p>
    <w:p w:rsidRPr="00F56DF5" w:rsidR="006F4F0C" w:rsidP="00DD5179" w:rsidRDefault="006F4F0C" w14:paraId="586DEA6B" w14:textId="77777777">
      <w:pPr>
        <w:rPr>
          <w:szCs w:val="22"/>
        </w:rPr>
      </w:pPr>
    </w:p>
    <w:p w:rsidRPr="00F56DF5" w:rsidR="00B958A4" w:rsidP="00692F85" w:rsidRDefault="00791114" w14:paraId="0BC6E011" w14:textId="77777777">
      <w:pPr>
        <w:pStyle w:val="Heading2"/>
        <w:keepLines/>
        <w:numPr>
          <w:ilvl w:val="0"/>
          <w:numId w:val="0"/>
        </w:numPr>
        <w:rPr>
          <w:szCs w:val="22"/>
        </w:rPr>
      </w:pPr>
      <w:bookmarkStart w:name="_Toc507400015" w:id="97"/>
      <w:bookmarkStart w:name="_Toc26362852" w:id="98"/>
      <w:bookmarkStart w:name="_Toc29213193" w:id="99"/>
      <w:bookmarkStart w:name="_Toc73021739" w:id="100"/>
      <w:r>
        <w:rPr>
          <w:szCs w:val="22"/>
        </w:rPr>
        <w:t>4</w:t>
      </w:r>
      <w:r w:rsidRPr="00F56DF5" w:rsidR="00B958A4">
        <w:rPr>
          <w:szCs w:val="22"/>
        </w:rPr>
        <w:t>.</w:t>
      </w:r>
      <w:r w:rsidRPr="00F56DF5" w:rsidR="00B958A4">
        <w:rPr>
          <w:b w:val="0"/>
          <w:szCs w:val="22"/>
        </w:rPr>
        <w:tab/>
      </w:r>
      <w:r w:rsidRPr="00F56DF5" w:rsidR="00F3665A">
        <w:rPr>
          <w:szCs w:val="22"/>
        </w:rPr>
        <w:t>A</w:t>
      </w:r>
      <w:r w:rsidRPr="00F56DF5" w:rsidR="00E63833">
        <w:rPr>
          <w:szCs w:val="22"/>
        </w:rPr>
        <w:t>pplicabl</w:t>
      </w:r>
      <w:r w:rsidRPr="00F56DF5" w:rsidR="00F3665A">
        <w:rPr>
          <w:szCs w:val="22"/>
        </w:rPr>
        <w:t>e FBI Local Field Office for Shipping Activities</w:t>
      </w:r>
      <w:bookmarkEnd w:id="97"/>
      <w:bookmarkEnd w:id="98"/>
      <w:bookmarkEnd w:id="99"/>
      <w:bookmarkEnd w:id="100"/>
    </w:p>
    <w:p w:rsidRPr="00F56DF5" w:rsidR="00B958A4" w:rsidP="00692F85" w:rsidRDefault="00B958A4" w14:paraId="678EB3CE" w14:textId="77777777">
      <w:pPr>
        <w:keepNext/>
        <w:keepLines/>
        <w:ind w:firstLine="720"/>
        <w:rPr>
          <w:szCs w:val="22"/>
        </w:rPr>
      </w:pPr>
    </w:p>
    <w:p w:rsidRPr="00F56DF5" w:rsidR="00A4683A" w:rsidP="00062DFB" w:rsidRDefault="00F3665A" w14:paraId="6894D88D" w14:textId="1B6D1674">
      <w:pPr>
        <w:keepNext/>
        <w:keepLines/>
        <w:ind w:firstLine="720"/>
        <w:rPr>
          <w:szCs w:val="22"/>
        </w:rPr>
      </w:pPr>
      <w:r w:rsidRPr="00F56DF5">
        <w:rPr>
          <w:szCs w:val="22"/>
        </w:rPr>
        <w:t xml:space="preserve">For </w:t>
      </w:r>
      <w:r w:rsidRPr="00F56DF5" w:rsidR="00DE3EB6">
        <w:rPr>
          <w:szCs w:val="22"/>
        </w:rPr>
        <w:t>l</w:t>
      </w:r>
      <w:r w:rsidRPr="00F56DF5" w:rsidR="00B958A4">
        <w:rPr>
          <w:szCs w:val="22"/>
        </w:rPr>
        <w:t xml:space="preserve">icensees </w:t>
      </w:r>
      <w:r w:rsidRPr="00F56DF5">
        <w:rPr>
          <w:szCs w:val="22"/>
        </w:rPr>
        <w:t xml:space="preserve">engaged in shipping activities </w:t>
      </w:r>
      <w:r w:rsidRPr="00F56DF5" w:rsidR="001031E6">
        <w:rPr>
          <w:szCs w:val="22"/>
        </w:rPr>
        <w:t>specified under 10 CFR 73.1215(e</w:t>
      </w:r>
      <w:r w:rsidRPr="00F56DF5" w:rsidR="00CA704E">
        <w:rPr>
          <w:szCs w:val="22"/>
        </w:rPr>
        <w:t>),</w:t>
      </w:r>
      <w:r w:rsidRPr="00F56DF5" w:rsidR="00DE3EB6">
        <w:rPr>
          <w:szCs w:val="22"/>
        </w:rPr>
        <w:t xml:space="preserve"> the location of the </w:t>
      </w:r>
      <w:r w:rsidRPr="00F56DF5" w:rsidR="009D2788">
        <w:rPr>
          <w:szCs w:val="22"/>
        </w:rPr>
        <w:t xml:space="preserve">applicable </w:t>
      </w:r>
      <w:r w:rsidRPr="00F56DF5" w:rsidR="00D13DE3">
        <w:rPr>
          <w:szCs w:val="22"/>
        </w:rPr>
        <w:t xml:space="preserve">FBI local field office </w:t>
      </w:r>
      <w:r w:rsidRPr="00F56DF5" w:rsidR="007A573F">
        <w:rPr>
          <w:szCs w:val="22"/>
        </w:rPr>
        <w:t xml:space="preserve">to report suspicious activities </w:t>
      </w:r>
      <w:r w:rsidRPr="00F56DF5" w:rsidR="00D13DE3">
        <w:rPr>
          <w:szCs w:val="22"/>
        </w:rPr>
        <w:t>may vary</w:t>
      </w:r>
      <w:r w:rsidRPr="00F56DF5" w:rsidR="00671DF9">
        <w:rPr>
          <w:szCs w:val="22"/>
        </w:rPr>
        <w:t xml:space="preserve">. </w:t>
      </w:r>
      <w:r w:rsidRPr="00F56DF5" w:rsidR="00894A89">
        <w:rPr>
          <w:szCs w:val="22"/>
        </w:rPr>
        <w:t xml:space="preserve">For example, the </w:t>
      </w:r>
      <w:r w:rsidRPr="00F56DF5" w:rsidR="003945C3">
        <w:rPr>
          <w:szCs w:val="22"/>
        </w:rPr>
        <w:t>originating</w:t>
      </w:r>
      <w:r w:rsidRPr="00F56DF5" w:rsidR="00894A89">
        <w:rPr>
          <w:szCs w:val="22"/>
        </w:rPr>
        <w:t xml:space="preserve"> licensee may be responsible for monitoring the shipment or the receiving licensee </w:t>
      </w:r>
      <w:r w:rsidRPr="00F56DF5" w:rsidR="00125BEC">
        <w:rPr>
          <w:szCs w:val="22"/>
        </w:rPr>
        <w:t xml:space="preserve">may </w:t>
      </w:r>
      <w:r w:rsidRPr="00F56DF5" w:rsidR="00894A89">
        <w:rPr>
          <w:szCs w:val="22"/>
        </w:rPr>
        <w:t>be responsible for monitoring the shipment</w:t>
      </w:r>
      <w:r w:rsidRPr="00F56DF5" w:rsidR="00671DF9">
        <w:rPr>
          <w:szCs w:val="22"/>
        </w:rPr>
        <w:t xml:space="preserve">. </w:t>
      </w:r>
      <w:r w:rsidRPr="00F56DF5" w:rsidR="0095441D">
        <w:rPr>
          <w:szCs w:val="22"/>
        </w:rPr>
        <w:t xml:space="preserve">Consequently, the applicable FBI local field office </w:t>
      </w:r>
      <w:r w:rsidRPr="00F56DF5" w:rsidR="002648C2">
        <w:rPr>
          <w:szCs w:val="22"/>
        </w:rPr>
        <w:t>may be</w:t>
      </w:r>
      <w:r w:rsidRPr="00F56DF5" w:rsidR="0095441D">
        <w:rPr>
          <w:szCs w:val="22"/>
        </w:rPr>
        <w:t xml:space="preserve"> located nearest to the monitoring facility</w:t>
      </w:r>
      <w:r w:rsidR="002E7BC2">
        <w:rPr>
          <w:szCs w:val="22"/>
        </w:rPr>
        <w:t xml:space="preserve">. </w:t>
      </w:r>
      <w:r w:rsidRPr="00F56DF5" w:rsidR="00894A89">
        <w:rPr>
          <w:szCs w:val="22"/>
        </w:rPr>
        <w:t xml:space="preserve">Alternatively, the licensee may </w:t>
      </w:r>
      <w:r w:rsidRPr="00F56DF5" w:rsidR="003945C3">
        <w:rPr>
          <w:szCs w:val="22"/>
        </w:rPr>
        <w:t xml:space="preserve">use </w:t>
      </w:r>
      <w:r w:rsidRPr="00F56DF5" w:rsidR="00894A89">
        <w:rPr>
          <w:szCs w:val="22"/>
        </w:rPr>
        <w:t>a transportation contractor or a third</w:t>
      </w:r>
      <w:r w:rsidRPr="00F56DF5" w:rsidR="00AE4395">
        <w:rPr>
          <w:szCs w:val="22"/>
        </w:rPr>
        <w:noBreakHyphen/>
      </w:r>
      <w:r w:rsidRPr="00F56DF5" w:rsidR="00894A89">
        <w:rPr>
          <w:szCs w:val="22"/>
        </w:rPr>
        <w:t>party</w:t>
      </w:r>
      <w:r w:rsidRPr="00F56DF5" w:rsidR="00A4683A">
        <w:rPr>
          <w:szCs w:val="22"/>
        </w:rPr>
        <w:t xml:space="preserve"> entity to perform the functions of a movement control center</w:t>
      </w:r>
      <w:r w:rsidRPr="00F56DF5" w:rsidR="00671DF9">
        <w:rPr>
          <w:szCs w:val="22"/>
        </w:rPr>
        <w:t xml:space="preserve">. </w:t>
      </w:r>
      <w:r w:rsidRPr="00F56DF5" w:rsidR="0095441D">
        <w:rPr>
          <w:szCs w:val="22"/>
        </w:rPr>
        <w:t>Consequently, the applicable FBI local field office may be located nearest to the movement control center</w:t>
      </w:r>
      <w:r w:rsidR="002E7BC2">
        <w:rPr>
          <w:szCs w:val="22"/>
        </w:rPr>
        <w:t xml:space="preserve">. </w:t>
      </w:r>
      <w:r w:rsidRPr="00F56DF5" w:rsidR="00AE4395">
        <w:rPr>
          <w:szCs w:val="22"/>
        </w:rPr>
        <w:t>Any</w:t>
      </w:r>
      <w:r w:rsidRPr="00F56DF5" w:rsidR="003945C3">
        <w:rPr>
          <w:szCs w:val="22"/>
        </w:rPr>
        <w:t xml:space="preserve"> contractual </w:t>
      </w:r>
      <w:r w:rsidRPr="00F56DF5" w:rsidR="00A4683A">
        <w:rPr>
          <w:szCs w:val="22"/>
        </w:rPr>
        <w:t xml:space="preserve">agreements </w:t>
      </w:r>
      <w:r w:rsidRPr="00F56DF5" w:rsidR="0095441D">
        <w:rPr>
          <w:szCs w:val="22"/>
        </w:rPr>
        <w:t xml:space="preserve">between the licensee and the movement control center </w:t>
      </w:r>
      <w:r w:rsidRPr="00F56DF5" w:rsidR="003945C3">
        <w:rPr>
          <w:szCs w:val="22"/>
        </w:rPr>
        <w:t xml:space="preserve">and </w:t>
      </w:r>
      <w:r w:rsidRPr="00F56DF5" w:rsidR="00E57E1E">
        <w:rPr>
          <w:szCs w:val="22"/>
        </w:rPr>
        <w:t xml:space="preserve">the </w:t>
      </w:r>
      <w:r w:rsidRPr="00F56DF5" w:rsidR="0095441D">
        <w:rPr>
          <w:szCs w:val="22"/>
        </w:rPr>
        <w:t xml:space="preserve">associated </w:t>
      </w:r>
      <w:r w:rsidRPr="00F56DF5" w:rsidR="003945C3">
        <w:rPr>
          <w:szCs w:val="22"/>
        </w:rPr>
        <w:t xml:space="preserve">security plans </w:t>
      </w:r>
      <w:r w:rsidRPr="00F56DF5" w:rsidR="00A4683A">
        <w:rPr>
          <w:szCs w:val="22"/>
        </w:rPr>
        <w:t xml:space="preserve">to transport </w:t>
      </w:r>
      <w:r w:rsidRPr="00F56DF5" w:rsidR="00CA704E">
        <w:rPr>
          <w:szCs w:val="22"/>
        </w:rPr>
        <w:t xml:space="preserve">radioactive or special nuclear material </w:t>
      </w:r>
      <w:r w:rsidRPr="00F56DF5" w:rsidR="00AE4395">
        <w:rPr>
          <w:szCs w:val="22"/>
        </w:rPr>
        <w:t>should clearly delineate responsibility for reporting suspicious activities</w:t>
      </w:r>
      <w:r w:rsidR="002E7BC2">
        <w:rPr>
          <w:szCs w:val="22"/>
        </w:rPr>
        <w:t xml:space="preserve">. </w:t>
      </w:r>
      <w:r w:rsidRPr="00F56DF5" w:rsidR="0095441D">
        <w:rPr>
          <w:szCs w:val="22"/>
        </w:rPr>
        <w:t xml:space="preserve">The licensees should discuss </w:t>
      </w:r>
      <w:r w:rsidRPr="00F56DF5" w:rsidR="008867C8">
        <w:rPr>
          <w:szCs w:val="22"/>
        </w:rPr>
        <w:t>such considerations</w:t>
      </w:r>
      <w:r w:rsidRPr="00F56DF5" w:rsidR="0095441D">
        <w:rPr>
          <w:szCs w:val="22"/>
        </w:rPr>
        <w:t xml:space="preserve"> with</w:t>
      </w:r>
      <w:r w:rsidRPr="00F56DF5" w:rsidR="008867C8">
        <w:rPr>
          <w:szCs w:val="22"/>
        </w:rPr>
        <w:t xml:space="preserve"> the FBI when establishing the</w:t>
      </w:r>
      <w:r w:rsidRPr="00F56DF5" w:rsidR="0095441D">
        <w:rPr>
          <w:szCs w:val="22"/>
        </w:rPr>
        <w:t xml:space="preserve"> points of contact for reporting suspicious activities that involve shipping activity.</w:t>
      </w:r>
    </w:p>
    <w:p w:rsidRPr="00F56DF5" w:rsidR="00B82724" w:rsidP="00062DFB" w:rsidRDefault="00B82724" w14:paraId="31447696" w14:textId="77777777">
      <w:pPr>
        <w:ind w:firstLine="720"/>
        <w:rPr>
          <w:szCs w:val="22"/>
        </w:rPr>
      </w:pPr>
      <w:bookmarkStart w:name="_Toc477720627" w:id="101"/>
      <w:bookmarkStart w:name="_Toc477857423" w:id="102"/>
      <w:bookmarkStart w:name="_Toc477946022" w:id="103"/>
      <w:bookmarkStart w:name="_Toc477961824" w:id="104"/>
      <w:bookmarkStart w:name="_Toc494891492" w:id="105"/>
      <w:bookmarkStart w:name="_Toc496269793" w:id="106"/>
      <w:bookmarkStart w:name="_Toc496270175" w:id="107"/>
      <w:bookmarkStart w:name="_Toc507399446" w:id="108"/>
      <w:bookmarkStart w:name="_Toc507399769" w:id="109"/>
      <w:bookmarkStart w:name="_Toc507400016" w:id="110"/>
      <w:bookmarkStart w:name="_Toc9865786" w:id="111"/>
      <w:bookmarkStart w:name="_Toc9865993" w:id="112"/>
      <w:bookmarkStart w:name="_Toc9866159" w:id="113"/>
      <w:bookmarkEnd w:id="101"/>
      <w:bookmarkEnd w:id="102"/>
      <w:bookmarkEnd w:id="103"/>
      <w:bookmarkEnd w:id="104"/>
      <w:bookmarkEnd w:id="105"/>
      <w:bookmarkEnd w:id="106"/>
      <w:bookmarkEnd w:id="107"/>
      <w:bookmarkEnd w:id="108"/>
      <w:bookmarkEnd w:id="109"/>
      <w:bookmarkEnd w:id="110"/>
      <w:bookmarkEnd w:id="111"/>
      <w:bookmarkEnd w:id="112"/>
      <w:bookmarkEnd w:id="113"/>
    </w:p>
    <w:p w:rsidRPr="00F56DF5" w:rsidR="00AE04F9" w:rsidP="00AC4A61" w:rsidRDefault="00791114" w14:paraId="2A861868" w14:textId="77777777">
      <w:pPr>
        <w:pStyle w:val="Heading2"/>
        <w:numPr>
          <w:ilvl w:val="0"/>
          <w:numId w:val="0"/>
        </w:numPr>
        <w:rPr>
          <w:szCs w:val="22"/>
        </w:rPr>
      </w:pPr>
      <w:bookmarkStart w:name="_Toc494891493" w:id="114"/>
      <w:bookmarkStart w:name="_Toc496269794" w:id="115"/>
      <w:bookmarkStart w:name="_Toc496270176" w:id="116"/>
      <w:bookmarkStart w:name="_Toc507399447" w:id="117"/>
      <w:bookmarkStart w:name="_Toc507399770" w:id="118"/>
      <w:bookmarkStart w:name="_Toc507400017" w:id="119"/>
      <w:bookmarkStart w:name="_Toc494891494" w:id="120"/>
      <w:bookmarkStart w:name="_Toc496269795" w:id="121"/>
      <w:bookmarkStart w:name="_Toc496270177" w:id="122"/>
      <w:bookmarkStart w:name="_Toc507399448" w:id="123"/>
      <w:bookmarkStart w:name="_Toc507399771" w:id="124"/>
      <w:bookmarkStart w:name="_Toc507400018" w:id="125"/>
      <w:bookmarkStart w:name="_Toc494891495" w:id="126"/>
      <w:bookmarkStart w:name="_Toc496269796" w:id="127"/>
      <w:bookmarkStart w:name="_Toc496270178" w:id="128"/>
      <w:bookmarkStart w:name="_Toc507399449" w:id="129"/>
      <w:bookmarkStart w:name="_Toc507399772" w:id="130"/>
      <w:bookmarkStart w:name="_Toc507400019" w:id="131"/>
      <w:bookmarkStart w:name="_Toc494891496" w:id="132"/>
      <w:bookmarkStart w:name="_Toc496269797" w:id="133"/>
      <w:bookmarkStart w:name="_Toc496270179" w:id="134"/>
      <w:bookmarkStart w:name="_Toc507399450" w:id="135"/>
      <w:bookmarkStart w:name="_Toc507399773" w:id="136"/>
      <w:bookmarkStart w:name="_Toc507400020" w:id="137"/>
      <w:bookmarkStart w:name="_Toc494891497" w:id="138"/>
      <w:bookmarkStart w:name="_Toc496269798" w:id="139"/>
      <w:bookmarkStart w:name="_Toc496270180" w:id="140"/>
      <w:bookmarkStart w:name="_Toc507399451" w:id="141"/>
      <w:bookmarkStart w:name="_Toc507399774" w:id="142"/>
      <w:bookmarkStart w:name="_Toc507400021" w:id="143"/>
      <w:bookmarkStart w:name="_Toc494891498" w:id="144"/>
      <w:bookmarkStart w:name="_Toc496269799" w:id="145"/>
      <w:bookmarkStart w:name="_Toc496270181" w:id="146"/>
      <w:bookmarkStart w:name="_Toc507399452" w:id="147"/>
      <w:bookmarkStart w:name="_Toc507399775" w:id="148"/>
      <w:bookmarkStart w:name="_Toc507400022" w:id="149"/>
      <w:bookmarkStart w:name="_Toc507400025" w:id="150"/>
      <w:bookmarkStart w:name="_Toc26362853" w:id="151"/>
      <w:bookmarkStart w:name="_Toc29213194" w:id="152"/>
      <w:bookmarkStart w:name="_Toc73021740" w:id="15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Cs w:val="22"/>
        </w:rPr>
        <w:t>5</w:t>
      </w:r>
      <w:r w:rsidRPr="00F56DF5" w:rsidR="00F33EE7">
        <w:rPr>
          <w:szCs w:val="22"/>
        </w:rPr>
        <w:t>.</w:t>
      </w:r>
      <w:r w:rsidRPr="00F56DF5" w:rsidR="00F33EE7">
        <w:rPr>
          <w:b w:val="0"/>
          <w:szCs w:val="22"/>
        </w:rPr>
        <w:tab/>
      </w:r>
      <w:r w:rsidRPr="00F56DF5" w:rsidR="002A4E5B">
        <w:rPr>
          <w:szCs w:val="22"/>
        </w:rPr>
        <w:t>Examples of S</w:t>
      </w:r>
      <w:r w:rsidRPr="00F56DF5" w:rsidR="00636FE6">
        <w:rPr>
          <w:szCs w:val="22"/>
        </w:rPr>
        <w:t>uspicious</w:t>
      </w:r>
      <w:r w:rsidRPr="00F56DF5" w:rsidR="002A4E5B">
        <w:rPr>
          <w:szCs w:val="22"/>
        </w:rPr>
        <w:t xml:space="preserve"> </w:t>
      </w:r>
      <w:bookmarkEnd w:id="150"/>
      <w:r w:rsidRPr="00F56DF5" w:rsidR="002A4E5B">
        <w:rPr>
          <w:szCs w:val="22"/>
        </w:rPr>
        <w:t>Activity</w:t>
      </w:r>
      <w:bookmarkEnd w:id="151"/>
      <w:bookmarkEnd w:id="152"/>
      <w:bookmarkEnd w:id="153"/>
    </w:p>
    <w:p w:rsidRPr="00F56DF5" w:rsidR="00232A57" w:rsidP="00636FE6" w:rsidRDefault="00232A57" w14:paraId="7563254B" w14:textId="77777777">
      <w:pPr>
        <w:ind w:firstLine="720"/>
        <w:rPr>
          <w:szCs w:val="22"/>
        </w:rPr>
      </w:pPr>
    </w:p>
    <w:p w:rsidRPr="00F56DF5" w:rsidR="00AE04F9" w:rsidP="00636FE6" w:rsidRDefault="007D10D5" w14:paraId="779AB471" w14:textId="430322C1">
      <w:pPr>
        <w:ind w:firstLine="720"/>
        <w:rPr>
          <w:szCs w:val="22"/>
        </w:rPr>
      </w:pPr>
      <w:r w:rsidRPr="00F56DF5">
        <w:rPr>
          <w:szCs w:val="22"/>
        </w:rPr>
        <w:t>The regulations in 10 CFR 73.1215(d)</w:t>
      </w:r>
      <w:r w:rsidRPr="00F56DF5" w:rsidR="006C5E69">
        <w:rPr>
          <w:szCs w:val="22"/>
        </w:rPr>
        <w:t>, (e), and (f)</w:t>
      </w:r>
      <w:r w:rsidRPr="00F56DF5" w:rsidR="009F6AAA">
        <w:rPr>
          <w:szCs w:val="22"/>
        </w:rPr>
        <w:t xml:space="preserve"> </w:t>
      </w:r>
      <w:r w:rsidRPr="00F56DF5">
        <w:rPr>
          <w:szCs w:val="22"/>
        </w:rPr>
        <w:t xml:space="preserve">identify several broad categories of </w:t>
      </w:r>
      <w:bookmarkStart w:name="_Toc475809421" w:id="154"/>
      <w:bookmarkStart w:name="_Toc475809778" w:id="155"/>
      <w:bookmarkStart w:name="_Toc475810715" w:id="156"/>
      <w:bookmarkStart w:name="_Toc475810876" w:id="157"/>
      <w:bookmarkStart w:name="_Toc475894568" w:id="158"/>
      <w:bookmarkStart w:name="_Toc475948015" w:id="159"/>
      <w:bookmarkStart w:name="_Toc475948290" w:id="160"/>
      <w:bookmarkStart w:name="_Toc475948367" w:id="161"/>
      <w:bookmarkStart w:name="_Toc475948529" w:id="162"/>
      <w:bookmarkStart w:name="_Toc475949664" w:id="163"/>
      <w:bookmarkStart w:name="_Toc475979115" w:id="164"/>
      <w:bookmarkStart w:name="_Toc475979357" w:id="165"/>
      <w:bookmarkStart w:name="_Toc475979689" w:id="166"/>
      <w:bookmarkStart w:name="_Toc475992187" w:id="167"/>
      <w:bookmarkStart w:name="_Toc476022427" w:id="168"/>
      <w:bookmarkStart w:name="_Toc476031321" w:id="169"/>
      <w:bookmarkStart w:name="_Toc477720636" w:id="170"/>
      <w:bookmarkStart w:name="_Toc477857432" w:id="171"/>
      <w:bookmarkStart w:name="_Toc477946031" w:id="172"/>
      <w:bookmarkStart w:name="_Toc477961833" w:id="173"/>
      <w:bookmarkStart w:name="_Toc494891502" w:id="174"/>
      <w:bookmarkStart w:name="_Toc496269803" w:id="175"/>
      <w:bookmarkStart w:name="_Toc496270185" w:id="176"/>
      <w:bookmarkStart w:name="_Toc507399456" w:id="177"/>
      <w:bookmarkStart w:name="_Toc507399779" w:id="178"/>
      <w:bookmarkStart w:name="_Toc507400026" w:id="179"/>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F56DF5">
        <w:rPr>
          <w:szCs w:val="22"/>
        </w:rPr>
        <w:t>activities that licensees should assess as potentially suspicious</w:t>
      </w:r>
      <w:r w:rsidRPr="00F56DF5" w:rsidR="00E40B1A">
        <w:rPr>
          <w:szCs w:val="22"/>
        </w:rPr>
        <w:t xml:space="preserve"> depending upon the type of facility</w:t>
      </w:r>
      <w:r w:rsidRPr="00F56DF5" w:rsidR="00C50F96">
        <w:rPr>
          <w:szCs w:val="22"/>
        </w:rPr>
        <w:t xml:space="preserve"> or activity</w:t>
      </w:r>
      <w:r w:rsidR="002E7BC2">
        <w:rPr>
          <w:szCs w:val="22"/>
        </w:rPr>
        <w:t xml:space="preserve">. </w:t>
      </w:r>
      <w:r w:rsidRPr="00F56DF5" w:rsidR="00F37811">
        <w:rPr>
          <w:szCs w:val="22"/>
        </w:rPr>
        <w:t>T</w:t>
      </w:r>
      <w:r w:rsidRPr="00F56DF5">
        <w:rPr>
          <w:szCs w:val="22"/>
        </w:rPr>
        <w:t>he NRC staff ha</w:t>
      </w:r>
      <w:r w:rsidRPr="00F56DF5" w:rsidR="001A323D">
        <w:rPr>
          <w:szCs w:val="22"/>
        </w:rPr>
        <w:t>ve</w:t>
      </w:r>
      <w:r w:rsidRPr="00F56DF5">
        <w:rPr>
          <w:szCs w:val="22"/>
        </w:rPr>
        <w:t xml:space="preserve"> developed the following examples and</w:t>
      </w:r>
      <w:r w:rsidRPr="00F56DF5" w:rsidR="00EB332E">
        <w:rPr>
          <w:szCs w:val="22"/>
        </w:rPr>
        <w:t>/or</w:t>
      </w:r>
      <w:r w:rsidRPr="00F56DF5">
        <w:rPr>
          <w:szCs w:val="22"/>
        </w:rPr>
        <w:t xml:space="preserve"> clarifications of these broad categories to assist a licensee or its movement control </w:t>
      </w:r>
      <w:bookmarkStart w:name="_Toc507400028" w:id="180"/>
      <w:r w:rsidRPr="00F56DF5">
        <w:rPr>
          <w:szCs w:val="22"/>
        </w:rPr>
        <w:t>center i</w:t>
      </w:r>
      <w:r w:rsidRPr="00F56DF5" w:rsidR="001A323D">
        <w:rPr>
          <w:szCs w:val="22"/>
        </w:rPr>
        <w:t>n</w:t>
      </w:r>
      <w:r w:rsidRPr="00F56DF5">
        <w:rPr>
          <w:szCs w:val="22"/>
        </w:rPr>
        <w:t xml:space="preserve"> assessing whether a</w:t>
      </w:r>
      <w:r w:rsidRPr="00F56DF5" w:rsidR="00F37811">
        <w:rPr>
          <w:szCs w:val="22"/>
        </w:rPr>
        <w:t xml:space="preserve"> particular</w:t>
      </w:r>
      <w:r w:rsidRPr="00F56DF5">
        <w:rPr>
          <w:szCs w:val="22"/>
        </w:rPr>
        <w:t xml:space="preserve"> activity is suspicious. </w:t>
      </w:r>
    </w:p>
    <w:p w:rsidRPr="00F56DF5" w:rsidR="001104F8" w:rsidP="00636FE6" w:rsidRDefault="001104F8" w14:paraId="0509392F" w14:textId="77777777">
      <w:pPr>
        <w:ind w:firstLine="720"/>
        <w:rPr>
          <w:szCs w:val="22"/>
        </w:rPr>
      </w:pPr>
    </w:p>
    <w:p w:rsidR="00E15F40" w:rsidP="00636FE6" w:rsidRDefault="001104F8" w14:paraId="4DE3635D" w14:textId="757FCC49">
      <w:pPr>
        <w:ind w:firstLine="720"/>
        <w:rPr>
          <w:szCs w:val="22"/>
        </w:rPr>
      </w:pPr>
      <w:r w:rsidRPr="00F56DF5">
        <w:rPr>
          <w:szCs w:val="22"/>
        </w:rPr>
        <w:t>When a licensee uses a movement control center to monitor shipments, the movement control center may report suspicious activity (as specified in 10 CFR 73.1215</w:t>
      </w:r>
      <w:r w:rsidRPr="00F56DF5" w:rsidR="002E4112">
        <w:rPr>
          <w:szCs w:val="22"/>
        </w:rPr>
        <w:t>(e)</w:t>
      </w:r>
      <w:r w:rsidRPr="00F56DF5">
        <w:rPr>
          <w:szCs w:val="22"/>
        </w:rPr>
        <w:t>) on behalf of the licensee</w:t>
      </w:r>
      <w:r w:rsidR="002E7BC2">
        <w:rPr>
          <w:szCs w:val="22"/>
        </w:rPr>
        <w:t xml:space="preserve">. </w:t>
      </w:r>
      <w:r w:rsidRPr="00F56DF5">
        <w:rPr>
          <w:szCs w:val="22"/>
        </w:rPr>
        <w:t xml:space="preserve">In such circumstances, </w:t>
      </w:r>
      <w:r w:rsidRPr="00F56DF5" w:rsidR="00E15F40">
        <w:rPr>
          <w:szCs w:val="22"/>
        </w:rPr>
        <w:t>the guidance, examples, and direction contained</w:t>
      </w:r>
      <w:r w:rsidRPr="00F56DF5">
        <w:rPr>
          <w:szCs w:val="22"/>
        </w:rPr>
        <w:t xml:space="preserve"> in </w:t>
      </w:r>
      <w:r w:rsidRPr="00F56DF5" w:rsidR="00E15F40">
        <w:rPr>
          <w:szCs w:val="22"/>
        </w:rPr>
        <w:t xml:space="preserve">Section C of </w:t>
      </w:r>
      <w:r w:rsidRPr="00F56DF5">
        <w:rPr>
          <w:szCs w:val="22"/>
        </w:rPr>
        <w:t xml:space="preserve">this </w:t>
      </w:r>
      <w:r w:rsidRPr="00F56DF5" w:rsidR="00E15F40">
        <w:rPr>
          <w:szCs w:val="22"/>
        </w:rPr>
        <w:t>RG applying to</w:t>
      </w:r>
      <w:r w:rsidRPr="00F56DF5">
        <w:rPr>
          <w:szCs w:val="22"/>
        </w:rPr>
        <w:t xml:space="preserve"> licensees </w:t>
      </w:r>
      <w:r w:rsidRPr="00F56DF5" w:rsidR="00E15F40">
        <w:rPr>
          <w:szCs w:val="22"/>
        </w:rPr>
        <w:t xml:space="preserve">may also be used by a </w:t>
      </w:r>
      <w:r w:rsidRPr="00F56DF5">
        <w:rPr>
          <w:szCs w:val="22"/>
        </w:rPr>
        <w:t>movement control center</w:t>
      </w:r>
      <w:r w:rsidR="002E7BC2">
        <w:rPr>
          <w:szCs w:val="22"/>
        </w:rPr>
        <w:t xml:space="preserve">. </w:t>
      </w:r>
      <w:r w:rsidRPr="00F56DF5" w:rsidR="009D22D1">
        <w:rPr>
          <w:szCs w:val="22"/>
        </w:rPr>
        <w:t>Suspicious activities may target a movement control center itself or the personnel supporting a movement control center’s operation, rather than just the ongoing or future shipments that the movement control center is monitoring</w:t>
      </w:r>
      <w:r w:rsidR="002E7BC2">
        <w:rPr>
          <w:szCs w:val="22"/>
        </w:rPr>
        <w:t xml:space="preserve">. </w:t>
      </w:r>
      <w:r w:rsidRPr="00F56DF5" w:rsidR="009D22D1">
        <w:rPr>
          <w:szCs w:val="22"/>
        </w:rPr>
        <w:t xml:space="preserve">In such circumstances, </w:t>
      </w:r>
      <w:r w:rsidRPr="00F56DF5" w:rsidR="009D22D1">
        <w:rPr>
          <w:szCs w:val="22"/>
        </w:rPr>
        <w:lastRenderedPageBreak/>
        <w:t>the movement control center should report such suspicious activities against itself using the process specified in 10 CFR 73.1215(c).</w:t>
      </w:r>
    </w:p>
    <w:p w:rsidR="00502A37" w:rsidP="00636FE6" w:rsidRDefault="00502A37" w14:paraId="2767D5D5" w14:textId="77777777">
      <w:pPr>
        <w:ind w:firstLine="720"/>
        <w:rPr>
          <w:szCs w:val="22"/>
        </w:rPr>
      </w:pPr>
    </w:p>
    <w:p w:rsidRPr="005A73EB" w:rsidR="00C7201B" w:rsidP="003600C8" w:rsidRDefault="00BE00F9" w14:paraId="55830732" w14:textId="77777777">
      <w:pPr>
        <w:pStyle w:val="Heading2"/>
        <w:numPr>
          <w:ilvl w:val="1"/>
          <w:numId w:val="30"/>
        </w:numPr>
        <w:rPr>
          <w:vanish/>
        </w:rPr>
      </w:pPr>
      <w:bookmarkStart w:name="_Toc26346262" w:id="181"/>
      <w:bookmarkStart w:name="_Toc26346517" w:id="182"/>
      <w:bookmarkStart w:name="_Toc26346566" w:id="183"/>
      <w:bookmarkStart w:name="_Toc26346656" w:id="184"/>
      <w:bookmarkStart w:name="_Toc26346810" w:id="185"/>
      <w:bookmarkStart w:name="_Toc26346858" w:id="186"/>
      <w:bookmarkStart w:name="_Toc26362854" w:id="187"/>
      <w:bookmarkStart w:name="_Toc26362855" w:id="188"/>
      <w:bookmarkStart w:name="_Toc26362856" w:id="189"/>
      <w:bookmarkStart w:name="_Toc26362857" w:id="190"/>
      <w:bookmarkStart w:name="_Toc26362858" w:id="191"/>
      <w:bookmarkStart w:name="_Toc26362859" w:id="192"/>
      <w:bookmarkStart w:name="_Toc29213195" w:id="193"/>
      <w:bookmarkStart w:name="_Toc73021741" w:id="194"/>
      <w:bookmarkEnd w:id="180"/>
      <w:bookmarkEnd w:id="181"/>
      <w:bookmarkEnd w:id="182"/>
      <w:bookmarkEnd w:id="183"/>
      <w:bookmarkEnd w:id="184"/>
      <w:bookmarkEnd w:id="185"/>
      <w:bookmarkEnd w:id="186"/>
      <w:bookmarkEnd w:id="187"/>
      <w:bookmarkEnd w:id="188"/>
      <w:bookmarkEnd w:id="189"/>
      <w:bookmarkEnd w:id="190"/>
      <w:bookmarkEnd w:id="191"/>
      <w:r w:rsidRPr="00BE00F9">
        <w:t>Elicitation of Sensitive Non-public Information</w:t>
      </w:r>
      <w:bookmarkEnd w:id="192"/>
      <w:bookmarkEnd w:id="193"/>
      <w:bookmarkEnd w:id="194"/>
    </w:p>
    <w:p w:rsidR="00257668" w:rsidP="000A3842" w:rsidRDefault="00257668" w14:paraId="1EB7F98F" w14:textId="77777777">
      <w:pPr>
        <w:keepNext/>
        <w:keepLines/>
        <w:tabs>
          <w:tab w:val="left" w:pos="-1440"/>
        </w:tabs>
        <w:autoSpaceDE w:val="0"/>
        <w:autoSpaceDN w:val="0"/>
        <w:adjustRightInd w:val="0"/>
        <w:ind w:firstLine="720"/>
        <w:rPr>
          <w:szCs w:val="22"/>
        </w:rPr>
      </w:pPr>
    </w:p>
    <w:p w:rsidR="00AB3474" w:rsidP="000A3842" w:rsidRDefault="00AB3474" w14:paraId="12EDA81C" w14:textId="11F0DE78">
      <w:pPr>
        <w:keepNext/>
        <w:keepLines/>
        <w:tabs>
          <w:tab w:val="left" w:pos="-1440"/>
        </w:tabs>
        <w:autoSpaceDE w:val="0"/>
        <w:autoSpaceDN w:val="0"/>
        <w:adjustRightInd w:val="0"/>
        <w:ind w:firstLine="720"/>
        <w:rPr>
          <w:szCs w:val="22"/>
        </w:rPr>
      </w:pPr>
    </w:p>
    <w:p w:rsidRPr="00257668" w:rsidR="00C7201B" w:rsidP="00AB3474" w:rsidRDefault="00C7201B" w14:paraId="425706C0" w14:textId="7D574450">
      <w:pPr>
        <w:keepNext/>
        <w:keepLines/>
        <w:tabs>
          <w:tab w:val="left" w:pos="-1440"/>
        </w:tabs>
        <w:autoSpaceDE w:val="0"/>
        <w:autoSpaceDN w:val="0"/>
        <w:adjustRightInd w:val="0"/>
        <w:ind w:firstLine="720"/>
        <w:rPr>
          <w:szCs w:val="22"/>
        </w:rPr>
      </w:pPr>
      <w:r w:rsidRPr="00F56DF5">
        <w:rPr>
          <w:szCs w:val="22"/>
        </w:rPr>
        <w:t>Elicitation refers to a process used by individuals with malevolent intent to gather classified or sensitive non-public information through their interactions with people</w:t>
      </w:r>
      <w:r w:rsidR="002E7BC2">
        <w:rPr>
          <w:szCs w:val="22"/>
        </w:rPr>
        <w:t xml:space="preserve">. </w:t>
      </w:r>
      <w:r w:rsidRPr="00F56DF5">
        <w:rPr>
          <w:szCs w:val="22"/>
        </w:rPr>
        <w:t>Such information can be extracted knowingly or unknowingly (e.g., through casual conversations).</w:t>
      </w:r>
    </w:p>
    <w:p w:rsidRPr="00257668" w:rsidR="00C7201B" w:rsidP="00C7201B" w:rsidRDefault="00C7201B" w14:paraId="1FAABFA8" w14:textId="77777777">
      <w:pPr>
        <w:tabs>
          <w:tab w:val="left" w:pos="-1440"/>
        </w:tabs>
        <w:autoSpaceDE w:val="0"/>
        <w:autoSpaceDN w:val="0"/>
        <w:adjustRightInd w:val="0"/>
        <w:ind w:firstLine="720"/>
        <w:rPr>
          <w:szCs w:val="22"/>
        </w:rPr>
      </w:pPr>
    </w:p>
    <w:p w:rsidRPr="00257668" w:rsidR="00C7201B" w:rsidP="00EB0E0F" w:rsidRDefault="00C7201B" w14:paraId="74874394" w14:textId="17E4A9C6">
      <w:pPr>
        <w:pStyle w:val="ListParagraph"/>
        <w:numPr>
          <w:ilvl w:val="0"/>
          <w:numId w:val="27"/>
        </w:numPr>
        <w:tabs>
          <w:tab w:val="left" w:pos="-1440"/>
        </w:tabs>
        <w:autoSpaceDE w:val="0"/>
        <w:autoSpaceDN w:val="0"/>
        <w:adjustRightInd w:val="0"/>
        <w:ind w:left="1080" w:hanging="360"/>
        <w:rPr>
          <w:szCs w:val="22"/>
        </w:rPr>
      </w:pPr>
      <w:r w:rsidRPr="00257668">
        <w:rPr>
          <w:sz w:val="22"/>
          <w:szCs w:val="22"/>
        </w:rPr>
        <w:t>For facilities: Elicitation may be used to gain access to information on security programs, emergency response programs, or sensitive design details associated with protection of the facility or material</w:t>
      </w:r>
      <w:r w:rsidR="002E7BC2">
        <w:rPr>
          <w:sz w:val="22"/>
          <w:szCs w:val="22"/>
        </w:rPr>
        <w:t xml:space="preserve">. </w:t>
      </w:r>
    </w:p>
    <w:p w:rsidRPr="00257668" w:rsidR="006D3104" w:rsidP="00EB0E0F" w:rsidRDefault="006D3104" w14:paraId="043883C6" w14:textId="77777777">
      <w:pPr>
        <w:pStyle w:val="ListParagraph"/>
        <w:tabs>
          <w:tab w:val="left" w:pos="-1440"/>
        </w:tabs>
        <w:autoSpaceDE w:val="0"/>
        <w:autoSpaceDN w:val="0"/>
        <w:adjustRightInd w:val="0"/>
        <w:ind w:left="1080" w:hanging="360"/>
        <w:rPr>
          <w:szCs w:val="22"/>
        </w:rPr>
      </w:pPr>
    </w:p>
    <w:p w:rsidRPr="00257668" w:rsidR="006D3104" w:rsidP="00EB0E0F" w:rsidRDefault="006D3104" w14:paraId="0723F1EA" w14:textId="77777777">
      <w:pPr>
        <w:pStyle w:val="ListParagraph"/>
        <w:numPr>
          <w:ilvl w:val="0"/>
          <w:numId w:val="27"/>
        </w:numPr>
        <w:tabs>
          <w:tab w:val="left" w:pos="-1440"/>
        </w:tabs>
        <w:autoSpaceDE w:val="0"/>
        <w:autoSpaceDN w:val="0"/>
        <w:adjustRightInd w:val="0"/>
        <w:ind w:left="1080" w:hanging="360"/>
        <w:rPr>
          <w:szCs w:val="22"/>
        </w:rPr>
      </w:pPr>
      <w:r w:rsidRPr="00257668">
        <w:rPr>
          <w:sz w:val="22"/>
          <w:szCs w:val="22"/>
        </w:rPr>
        <w:t>For shipments: Elicitation may be used to gain access to information on security programs, emergency response programs, or sensitive design details associated with security programs, emergency response programs, shipment routes, safe-haven locations, or other sensitive design details associated with protection of the shipment (e.g., immobilization devices).</w:t>
      </w:r>
    </w:p>
    <w:p w:rsidRPr="00257668" w:rsidR="00A26DF4" w:rsidP="00EB0E0F" w:rsidRDefault="00A26DF4" w14:paraId="09044D37" w14:textId="77777777">
      <w:pPr>
        <w:pStyle w:val="ListParagraph"/>
        <w:tabs>
          <w:tab w:val="left" w:pos="-1440"/>
        </w:tabs>
        <w:autoSpaceDE w:val="0"/>
        <w:autoSpaceDN w:val="0"/>
        <w:adjustRightInd w:val="0"/>
        <w:ind w:left="1080" w:hanging="360"/>
        <w:rPr>
          <w:szCs w:val="22"/>
        </w:rPr>
      </w:pPr>
    </w:p>
    <w:p w:rsidRPr="00257668" w:rsidR="00A26DF4" w:rsidP="00EB0E0F" w:rsidRDefault="00A26DF4" w14:paraId="0512FB18" w14:textId="77777777">
      <w:pPr>
        <w:pStyle w:val="ListParagraph"/>
        <w:numPr>
          <w:ilvl w:val="0"/>
          <w:numId w:val="27"/>
        </w:numPr>
        <w:tabs>
          <w:tab w:val="left" w:pos="-1440"/>
        </w:tabs>
        <w:autoSpaceDE w:val="0"/>
        <w:autoSpaceDN w:val="0"/>
        <w:adjustRightInd w:val="0"/>
        <w:ind w:left="1080" w:hanging="360"/>
        <w:rPr>
          <w:szCs w:val="22"/>
        </w:rPr>
      </w:pPr>
      <w:r w:rsidRPr="00257668">
        <w:rPr>
          <w:sz w:val="22"/>
          <w:szCs w:val="22"/>
        </w:rPr>
        <w:t>For enrichment facilities with RD technology, information, or materials: Elicitation may be used to gain access to information on security programs associated with the facility’s protection of the RD technology, or information, or materials.</w:t>
      </w:r>
    </w:p>
    <w:p w:rsidRPr="003600C8" w:rsidR="00F360D3" w:rsidP="00EB0E0F" w:rsidRDefault="00F360D3" w14:paraId="44377F77" w14:textId="77777777">
      <w:pPr>
        <w:ind w:left="720" w:hanging="360"/>
        <w:rPr>
          <w:b/>
          <w:szCs w:val="22"/>
        </w:rPr>
      </w:pPr>
    </w:p>
    <w:p w:rsidRPr="00257668" w:rsidR="00A26DF4" w:rsidP="00EB0E0F" w:rsidRDefault="00A26DF4" w14:paraId="2021D777" w14:textId="77777777">
      <w:pPr>
        <w:ind w:left="1800" w:hanging="720"/>
        <w:rPr>
          <w:szCs w:val="22"/>
        </w:rPr>
      </w:pPr>
      <w:r w:rsidRPr="00257668">
        <w:rPr>
          <w:b/>
          <w:bCs/>
          <w:szCs w:val="22"/>
        </w:rPr>
        <w:t>Note:</w:t>
      </w:r>
      <w:r w:rsidRPr="00257668">
        <w:rPr>
          <w:b/>
          <w:bCs/>
          <w:szCs w:val="22"/>
        </w:rPr>
        <w:tab/>
      </w:r>
      <w:r w:rsidRPr="00257668">
        <w:rPr>
          <w:szCs w:val="22"/>
        </w:rPr>
        <w:t>If the elicitation activities shift from the security measures protecting the RD technology, information, or materials to the RD information itself, then the licensee should refer to Staff Regulatory Guidance position 6.</w:t>
      </w:r>
    </w:p>
    <w:p w:rsidRPr="00257668" w:rsidR="00C7201B" w:rsidP="00EB0E0F" w:rsidRDefault="00C7201B" w14:paraId="4D53C4E6" w14:textId="77777777">
      <w:pPr>
        <w:tabs>
          <w:tab w:val="left" w:pos="-1440"/>
        </w:tabs>
        <w:autoSpaceDE w:val="0"/>
        <w:autoSpaceDN w:val="0"/>
        <w:adjustRightInd w:val="0"/>
        <w:ind w:left="720" w:hanging="360"/>
        <w:rPr>
          <w:szCs w:val="22"/>
        </w:rPr>
      </w:pPr>
    </w:p>
    <w:p w:rsidRPr="00547A90" w:rsidR="00547A90" w:rsidP="00547A90" w:rsidRDefault="00547A90" w14:paraId="6BBAE1FE" w14:textId="7B7CC8AD">
      <w:pPr>
        <w:pStyle w:val="ListParagraph"/>
        <w:numPr>
          <w:ilvl w:val="0"/>
          <w:numId w:val="27"/>
        </w:numPr>
        <w:tabs>
          <w:tab w:val="left" w:pos="-1440"/>
        </w:tabs>
        <w:autoSpaceDE w:val="0"/>
        <w:autoSpaceDN w:val="0"/>
        <w:adjustRightInd w:val="0"/>
        <w:ind w:left="1080" w:hanging="360"/>
        <w:rPr>
          <w:szCs w:val="22"/>
        </w:rPr>
      </w:pPr>
      <w:r w:rsidRPr="00257668">
        <w:rPr>
          <w:sz w:val="22"/>
          <w:szCs w:val="22"/>
        </w:rPr>
        <w:t xml:space="preserve">If the elicitation activities shift </w:t>
      </w:r>
      <w:proofErr w:type="gramStart"/>
      <w:r w:rsidRPr="00257668">
        <w:rPr>
          <w:sz w:val="22"/>
          <w:szCs w:val="22"/>
        </w:rPr>
        <w:t>from the security of the RD information or technology,</w:t>
      </w:r>
      <w:proofErr w:type="gramEnd"/>
      <w:r w:rsidRPr="00257668">
        <w:rPr>
          <w:sz w:val="22"/>
          <w:szCs w:val="22"/>
        </w:rPr>
        <w:t xml:space="preserve"> to the RD information itself (i.e. potential espionage), the licensee should also refer to Staff Regulatory Guidance position 6.</w:t>
      </w:r>
    </w:p>
    <w:p w:rsidRPr="00257668" w:rsidR="00547A90" w:rsidP="00547A90" w:rsidRDefault="00547A90" w14:paraId="7D2B9B57" w14:textId="77777777">
      <w:pPr>
        <w:pStyle w:val="ListParagraph"/>
        <w:tabs>
          <w:tab w:val="left" w:pos="-1440"/>
        </w:tabs>
        <w:autoSpaceDE w:val="0"/>
        <w:autoSpaceDN w:val="0"/>
        <w:adjustRightInd w:val="0"/>
        <w:ind w:left="1080"/>
        <w:rPr>
          <w:szCs w:val="22"/>
        </w:rPr>
      </w:pPr>
    </w:p>
    <w:p w:rsidRPr="00257668" w:rsidR="00C7201B" w:rsidP="00EB0E0F" w:rsidRDefault="00C7201B" w14:paraId="21B58F23" w14:textId="71807211">
      <w:pPr>
        <w:pStyle w:val="ListParagraph"/>
        <w:numPr>
          <w:ilvl w:val="0"/>
          <w:numId w:val="27"/>
        </w:numPr>
        <w:tabs>
          <w:tab w:val="left" w:pos="-1440"/>
        </w:tabs>
        <w:autoSpaceDE w:val="0"/>
        <w:autoSpaceDN w:val="0"/>
        <w:adjustRightInd w:val="0"/>
        <w:ind w:left="1080" w:hanging="360"/>
        <w:rPr>
          <w:szCs w:val="22"/>
        </w:rPr>
      </w:pPr>
      <w:r w:rsidRPr="00257668">
        <w:rPr>
          <w:sz w:val="22"/>
          <w:szCs w:val="22"/>
        </w:rPr>
        <w:t>Licensees should consider elicitation activities directed at obtaining sensitive non-public information as a suspicious activity</w:t>
      </w:r>
      <w:r w:rsidR="002E7BC2">
        <w:rPr>
          <w:sz w:val="22"/>
          <w:szCs w:val="22"/>
        </w:rPr>
        <w:t xml:space="preserve">. </w:t>
      </w:r>
      <w:r w:rsidRPr="00257668">
        <w:rPr>
          <w:sz w:val="22"/>
          <w:szCs w:val="22"/>
        </w:rPr>
        <w:t>This is especially true where the elicitation activity involves illegal or questionable activities</w:t>
      </w:r>
      <w:r w:rsidR="002E7BC2">
        <w:rPr>
          <w:sz w:val="22"/>
          <w:szCs w:val="22"/>
        </w:rPr>
        <w:t xml:space="preserve">. </w:t>
      </w:r>
    </w:p>
    <w:p w:rsidRPr="00257668" w:rsidR="00E06A4B" w:rsidP="003600C8" w:rsidRDefault="00E06A4B" w14:paraId="4D40F48D" w14:textId="77777777">
      <w:pPr>
        <w:pStyle w:val="ListParagraph"/>
        <w:tabs>
          <w:tab w:val="left" w:pos="-1440"/>
        </w:tabs>
        <w:autoSpaceDE w:val="0"/>
        <w:autoSpaceDN w:val="0"/>
        <w:adjustRightInd w:val="0"/>
        <w:rPr>
          <w:szCs w:val="22"/>
        </w:rPr>
      </w:pPr>
    </w:p>
    <w:p w:rsidR="00F927C0" w:rsidP="00EB0E0F" w:rsidRDefault="00E06A4B" w14:paraId="222DCCAE" w14:textId="5211EA54">
      <w:pPr>
        <w:pStyle w:val="ListParagraph"/>
        <w:numPr>
          <w:ilvl w:val="0"/>
          <w:numId w:val="27"/>
        </w:numPr>
        <w:tabs>
          <w:tab w:val="left" w:pos="-1440"/>
        </w:tabs>
        <w:autoSpaceDE w:val="0"/>
        <w:autoSpaceDN w:val="0"/>
        <w:adjustRightInd w:val="0"/>
        <w:ind w:left="1080" w:hanging="360"/>
        <w:rPr>
          <w:sz w:val="22"/>
          <w:szCs w:val="22"/>
        </w:rPr>
      </w:pPr>
      <w:r w:rsidRPr="003600C8">
        <w:rPr>
          <w:sz w:val="22"/>
          <w:szCs w:val="22"/>
        </w:rPr>
        <w:t>Licensees should consider that knowledgeable personnel are more likely to be the target of elicitation</w:t>
      </w:r>
      <w:r w:rsidR="002E7BC2">
        <w:rPr>
          <w:sz w:val="22"/>
          <w:szCs w:val="22"/>
        </w:rPr>
        <w:t xml:space="preserve">. </w:t>
      </w:r>
      <w:r w:rsidRPr="003600C8">
        <w:rPr>
          <w:sz w:val="22"/>
          <w:szCs w:val="22"/>
        </w:rPr>
        <w:t>Such personnel typically have the greatest access to and knowledge of a licensee’s sensitive non-public information</w:t>
      </w:r>
      <w:r w:rsidR="002E7BC2">
        <w:rPr>
          <w:sz w:val="22"/>
          <w:szCs w:val="22"/>
        </w:rPr>
        <w:t xml:space="preserve">. </w:t>
      </w:r>
      <w:r w:rsidRPr="003600C8">
        <w:rPr>
          <w:sz w:val="22"/>
          <w:szCs w:val="22"/>
        </w:rPr>
        <w:t>Such personnel should include</w:t>
      </w:r>
      <w:r w:rsidRPr="003600C8">
        <w:rPr>
          <w:b/>
          <w:sz w:val="22"/>
          <w:szCs w:val="22"/>
        </w:rPr>
        <w:t xml:space="preserve"> </w:t>
      </w:r>
      <w:r w:rsidRPr="003600C8">
        <w:rPr>
          <w:sz w:val="22"/>
          <w:szCs w:val="22"/>
        </w:rPr>
        <w:t>individuals in the licensee’s insider mitigation or human reliability programs and persons with detailed knowledge of the licensee’s security programs or emergency response programs, response actions, or vulnerabilities</w:t>
      </w:r>
      <w:r w:rsidR="002E7BC2">
        <w:rPr>
          <w:sz w:val="22"/>
          <w:szCs w:val="22"/>
        </w:rPr>
        <w:t xml:space="preserve">. </w:t>
      </w:r>
      <w:r w:rsidRPr="003600C8">
        <w:rPr>
          <w:sz w:val="22"/>
          <w:szCs w:val="22"/>
        </w:rPr>
        <w:t xml:space="preserve">However, licensees should also be aware that adversaries often attempt to elicit information from less knowledgeable personnel </w:t>
      </w:r>
      <w:proofErr w:type="gramStart"/>
      <w:r w:rsidRPr="003600C8">
        <w:rPr>
          <w:sz w:val="22"/>
          <w:szCs w:val="22"/>
        </w:rPr>
        <w:t>in order to</w:t>
      </w:r>
      <w:proofErr w:type="gramEnd"/>
      <w:r w:rsidRPr="003600C8">
        <w:rPr>
          <w:sz w:val="22"/>
          <w:szCs w:val="22"/>
        </w:rPr>
        <w:t xml:space="preserve"> compile (or aggregate) sensitive non-public information on a licensee’s facility or activities.</w:t>
      </w:r>
      <w:r w:rsidRPr="00F927C0" w:rsidR="00F927C0">
        <w:rPr>
          <w:sz w:val="22"/>
          <w:szCs w:val="22"/>
        </w:rPr>
        <w:t xml:space="preserve"> </w:t>
      </w:r>
    </w:p>
    <w:p w:rsidR="00F927C0" w:rsidP="00F927C0" w:rsidRDefault="00F927C0" w14:paraId="14577E6C" w14:textId="77777777">
      <w:pPr>
        <w:pStyle w:val="ListParagraph"/>
        <w:tabs>
          <w:tab w:val="left" w:pos="-1440"/>
        </w:tabs>
        <w:autoSpaceDE w:val="0"/>
        <w:autoSpaceDN w:val="0"/>
        <w:adjustRightInd w:val="0"/>
        <w:ind w:left="1080"/>
        <w:rPr>
          <w:sz w:val="22"/>
          <w:szCs w:val="22"/>
        </w:rPr>
      </w:pPr>
    </w:p>
    <w:p w:rsidR="00F927C0" w:rsidP="00EB0E0F" w:rsidRDefault="00F927C0" w14:paraId="299AC2AE" w14:textId="7B99A9E8">
      <w:pPr>
        <w:pStyle w:val="ListParagraph"/>
        <w:numPr>
          <w:ilvl w:val="0"/>
          <w:numId w:val="27"/>
        </w:numPr>
        <w:tabs>
          <w:tab w:val="left" w:pos="-1440"/>
        </w:tabs>
        <w:autoSpaceDE w:val="0"/>
        <w:autoSpaceDN w:val="0"/>
        <w:adjustRightInd w:val="0"/>
        <w:ind w:left="1080" w:hanging="360"/>
        <w:rPr>
          <w:sz w:val="22"/>
          <w:szCs w:val="22"/>
        </w:rPr>
      </w:pPr>
      <w:r w:rsidRPr="00F927C0">
        <w:rPr>
          <w:sz w:val="22"/>
          <w:szCs w:val="22"/>
        </w:rPr>
        <w:t>Elicitation may include: an offer of tangible material goods (i.e., quid pro quo acts), such as cash payments, illegal drugs, illegal pornography, gambling, debt repayment, expensive meals, expensive vacations or travel, or sexual favors, in exchange for sensitive non-public information; or intangible acts such as extortion, blackmail, or threats of physical violence directed against the individual or their family members</w:t>
      </w:r>
      <w:r>
        <w:rPr>
          <w:sz w:val="22"/>
          <w:szCs w:val="22"/>
        </w:rPr>
        <w:t>.</w:t>
      </w:r>
    </w:p>
    <w:p w:rsidR="00F927C0" w:rsidP="00F927C0" w:rsidRDefault="00F927C0" w14:paraId="450B4488" w14:textId="57689551">
      <w:pPr>
        <w:pStyle w:val="ListParagraph"/>
        <w:tabs>
          <w:tab w:val="left" w:pos="-1440"/>
        </w:tabs>
        <w:autoSpaceDE w:val="0"/>
        <w:autoSpaceDN w:val="0"/>
        <w:adjustRightInd w:val="0"/>
        <w:ind w:left="1080"/>
        <w:rPr>
          <w:sz w:val="22"/>
          <w:szCs w:val="22"/>
        </w:rPr>
      </w:pPr>
      <w:r>
        <w:rPr>
          <w:sz w:val="22"/>
          <w:szCs w:val="22"/>
        </w:rPr>
        <w:t xml:space="preserve"> </w:t>
      </w:r>
    </w:p>
    <w:p w:rsidRPr="00F927C0" w:rsidR="00D151CB" w:rsidP="00932928" w:rsidRDefault="00F927C0" w14:paraId="440D7288" w14:textId="0F7CDB3B">
      <w:pPr>
        <w:pStyle w:val="ListParagraph"/>
        <w:numPr>
          <w:ilvl w:val="0"/>
          <w:numId w:val="25"/>
        </w:numPr>
        <w:tabs>
          <w:tab w:val="left" w:pos="-1440"/>
        </w:tabs>
        <w:autoSpaceDE w:val="0"/>
        <w:autoSpaceDN w:val="0"/>
        <w:adjustRightInd w:val="0"/>
        <w:ind w:left="1080"/>
        <w:contextualSpacing w:val="0"/>
        <w:rPr>
          <w:sz w:val="22"/>
          <w:szCs w:val="22"/>
        </w:rPr>
      </w:pPr>
      <w:r w:rsidRPr="00F927C0">
        <w:rPr>
          <w:sz w:val="22"/>
          <w:szCs w:val="22"/>
        </w:rPr>
        <w:lastRenderedPageBreak/>
        <w:t>Elicitation may include: an offer of tangible material goods (i.e., quid pro quo acts), such as cash payments, illegal drugs, illegal pornography, gambling, debt repayment, expensive meals, expensive vacations or travel, or sexual favors, in exchange for sensitive non-public information; or intangible acts such as extortion, blackmail, or threats of physical violence directed against the individual or their family members.</w:t>
      </w:r>
    </w:p>
    <w:p w:rsidRPr="00846A8B" w:rsidR="00D151CB" w:rsidP="00B0515C" w:rsidRDefault="00D151CB" w14:paraId="2CA5EC90" w14:textId="77777777">
      <w:pPr>
        <w:rPr>
          <w:szCs w:val="22"/>
        </w:rPr>
      </w:pPr>
    </w:p>
    <w:p w:rsidRPr="0028112D" w:rsidR="004A0BB6" w:rsidP="00955E66" w:rsidRDefault="003C2FFA" w14:paraId="74712760" w14:textId="77777777">
      <w:pPr>
        <w:pStyle w:val="Heading2"/>
        <w:numPr>
          <w:ilvl w:val="0"/>
          <w:numId w:val="0"/>
        </w:numPr>
      </w:pPr>
      <w:bookmarkStart w:name="_Toc29213196" w:id="195"/>
      <w:bookmarkStart w:name="_Toc73021742" w:id="196"/>
      <w:r>
        <w:t>5.2</w:t>
      </w:r>
      <w:r>
        <w:tab/>
      </w:r>
      <w:bookmarkStart w:name="_Toc26362860" w:id="197"/>
      <w:r w:rsidRPr="0028112D" w:rsidR="004A0BB6">
        <w:t>Challenges to Licensee’s Security Systems and Procedures - Facilities</w:t>
      </w:r>
      <w:bookmarkEnd w:id="195"/>
      <w:bookmarkEnd w:id="196"/>
      <w:bookmarkEnd w:id="197"/>
    </w:p>
    <w:p w:rsidRPr="0028112D" w:rsidR="004A0BB6" w:rsidP="0092765D" w:rsidRDefault="004A0BB6" w14:paraId="340090A0" w14:textId="77777777">
      <w:pPr>
        <w:tabs>
          <w:tab w:val="left" w:pos="-1440"/>
        </w:tabs>
        <w:autoSpaceDE w:val="0"/>
        <w:autoSpaceDN w:val="0"/>
        <w:adjustRightInd w:val="0"/>
        <w:ind w:firstLine="720"/>
        <w:rPr>
          <w:szCs w:val="22"/>
        </w:rPr>
      </w:pPr>
    </w:p>
    <w:p w:rsidRPr="00827FA4" w:rsidR="00EB332E" w:rsidP="009234B9" w:rsidRDefault="0092765D" w14:paraId="14B9229E" w14:textId="2D3B57C0">
      <w:pPr>
        <w:tabs>
          <w:tab w:val="left" w:pos="-1440"/>
        </w:tabs>
        <w:autoSpaceDE w:val="0"/>
        <w:autoSpaceDN w:val="0"/>
        <w:adjustRightInd w:val="0"/>
        <w:ind w:firstLine="720"/>
        <w:rPr>
          <w:szCs w:val="22"/>
        </w:rPr>
      </w:pPr>
      <w:r w:rsidRPr="00B15CA1">
        <w:rPr>
          <w:szCs w:val="22"/>
        </w:rPr>
        <w:t>Licensees should be aware that adversaries may initiate activities to challenge a licensee’s security systems or response procedures</w:t>
      </w:r>
      <w:r w:rsidR="002E7BC2">
        <w:rPr>
          <w:szCs w:val="22"/>
        </w:rPr>
        <w:t xml:space="preserve">. </w:t>
      </w:r>
      <w:r w:rsidRPr="00B15CA1">
        <w:rPr>
          <w:szCs w:val="22"/>
        </w:rPr>
        <w:t>Adversary activities that challenge a licensee’s security systems or response procedures are typically intended to assess a licensee’s response to an abnormal security situation</w:t>
      </w:r>
      <w:r w:rsidR="002E7BC2">
        <w:rPr>
          <w:szCs w:val="22"/>
        </w:rPr>
        <w:t xml:space="preserve">. </w:t>
      </w:r>
      <w:r w:rsidRPr="00B15CA1">
        <w:rPr>
          <w:szCs w:val="22"/>
        </w:rPr>
        <w:t>Such activities may be significant enough to warrant the licensee’s initiation of security response functions, protocols, or contingency response procedures</w:t>
      </w:r>
      <w:r w:rsidR="002E7BC2">
        <w:rPr>
          <w:szCs w:val="22"/>
        </w:rPr>
        <w:t xml:space="preserve">. </w:t>
      </w:r>
      <w:r w:rsidRPr="000A5720">
        <w:rPr>
          <w:szCs w:val="22"/>
        </w:rPr>
        <w:t>In su</w:t>
      </w:r>
      <w:r w:rsidRPr="002804FB">
        <w:rPr>
          <w:szCs w:val="22"/>
        </w:rPr>
        <w:t>ch instances, a licensee should make any notifications required by 10 CFR 73.1200</w:t>
      </w:r>
      <w:r w:rsidR="002E7BC2">
        <w:rPr>
          <w:szCs w:val="22"/>
        </w:rPr>
        <w:t xml:space="preserve">. </w:t>
      </w:r>
      <w:r w:rsidRPr="002804FB" w:rsidR="00EB332E">
        <w:rPr>
          <w:szCs w:val="22"/>
        </w:rPr>
        <w:t>If a physical security event notification is not required, a licensee may</w:t>
      </w:r>
      <w:r w:rsidRPr="00A71567">
        <w:rPr>
          <w:szCs w:val="22"/>
        </w:rPr>
        <w:t xml:space="preserve"> consider whether </w:t>
      </w:r>
      <w:r w:rsidRPr="00A71567" w:rsidR="00EB332E">
        <w:rPr>
          <w:szCs w:val="22"/>
        </w:rPr>
        <w:t xml:space="preserve">this activity should instead be </w:t>
      </w:r>
      <w:r w:rsidRPr="00A71567">
        <w:rPr>
          <w:szCs w:val="22"/>
        </w:rPr>
        <w:t>reported as a suspicious activity</w:t>
      </w:r>
      <w:r w:rsidR="002E7BC2">
        <w:rPr>
          <w:szCs w:val="22"/>
        </w:rPr>
        <w:t xml:space="preserve">. </w:t>
      </w:r>
    </w:p>
    <w:p w:rsidRPr="00963D8C" w:rsidR="00EB332E" w:rsidP="009234B9" w:rsidRDefault="00EB332E" w14:paraId="1D71CEBC" w14:textId="77777777">
      <w:pPr>
        <w:tabs>
          <w:tab w:val="left" w:pos="-1440"/>
        </w:tabs>
        <w:autoSpaceDE w:val="0"/>
        <w:autoSpaceDN w:val="0"/>
        <w:adjustRightInd w:val="0"/>
        <w:ind w:firstLine="720"/>
        <w:rPr>
          <w:szCs w:val="22"/>
        </w:rPr>
      </w:pPr>
    </w:p>
    <w:p w:rsidRPr="00257668" w:rsidR="0092765D" w:rsidP="009234B9" w:rsidRDefault="0092765D" w14:paraId="3214B2C7" w14:textId="77777777">
      <w:pPr>
        <w:tabs>
          <w:tab w:val="left" w:pos="-1440"/>
        </w:tabs>
        <w:autoSpaceDE w:val="0"/>
        <w:autoSpaceDN w:val="0"/>
        <w:adjustRightInd w:val="0"/>
        <w:ind w:firstLine="720"/>
        <w:rPr>
          <w:szCs w:val="22"/>
        </w:rPr>
      </w:pPr>
      <w:r w:rsidRPr="00963D8C">
        <w:rPr>
          <w:szCs w:val="22"/>
        </w:rPr>
        <w:t xml:space="preserve">The </w:t>
      </w:r>
      <w:r w:rsidRPr="00963D8C" w:rsidR="00EB332E">
        <w:rPr>
          <w:szCs w:val="22"/>
        </w:rPr>
        <w:t>NRC sta</w:t>
      </w:r>
      <w:r w:rsidRPr="00E02297" w:rsidR="00EB332E">
        <w:rPr>
          <w:szCs w:val="22"/>
        </w:rPr>
        <w:t xml:space="preserve">ff is providing the </w:t>
      </w:r>
      <w:r w:rsidRPr="00E02297">
        <w:rPr>
          <w:szCs w:val="22"/>
        </w:rPr>
        <w:t xml:space="preserve">following examples of </w:t>
      </w:r>
      <w:r w:rsidRPr="00E02297" w:rsidR="00EE3BFA">
        <w:rPr>
          <w:szCs w:val="22"/>
        </w:rPr>
        <w:t xml:space="preserve">some </w:t>
      </w:r>
      <w:r w:rsidRPr="00E02297">
        <w:rPr>
          <w:szCs w:val="22"/>
        </w:rPr>
        <w:t xml:space="preserve">activities </w:t>
      </w:r>
      <w:r w:rsidRPr="00B15CA1" w:rsidR="006A59C7">
        <w:rPr>
          <w:szCs w:val="22"/>
        </w:rPr>
        <w:t>challeng</w:t>
      </w:r>
      <w:r w:rsidR="006A59C7">
        <w:rPr>
          <w:szCs w:val="22"/>
        </w:rPr>
        <w:t xml:space="preserve">ing </w:t>
      </w:r>
      <w:r w:rsidRPr="00B15CA1" w:rsidR="006A59C7">
        <w:rPr>
          <w:szCs w:val="22"/>
        </w:rPr>
        <w:t>a licensee’s security systems or response procedures</w:t>
      </w:r>
      <w:r w:rsidRPr="00E02297" w:rsidR="006A59C7">
        <w:rPr>
          <w:szCs w:val="22"/>
        </w:rPr>
        <w:t xml:space="preserve"> </w:t>
      </w:r>
      <w:r w:rsidR="006A59C7">
        <w:rPr>
          <w:szCs w:val="22"/>
        </w:rPr>
        <w:t xml:space="preserve">that </w:t>
      </w:r>
      <w:r w:rsidRPr="00E02297" w:rsidR="005F1023">
        <w:rPr>
          <w:szCs w:val="22"/>
        </w:rPr>
        <w:t>a licensee may consider assessing as a potentially reportable suspicious activity</w:t>
      </w:r>
      <w:r w:rsidRPr="000E38F1" w:rsidR="00EB332E">
        <w:rPr>
          <w:szCs w:val="22"/>
        </w:rPr>
        <w:t>.</w:t>
      </w:r>
    </w:p>
    <w:p w:rsidRPr="00257668" w:rsidR="003D51B9" w:rsidP="009234B9" w:rsidRDefault="003D51B9" w14:paraId="5F1B43C6" w14:textId="77777777">
      <w:pPr>
        <w:tabs>
          <w:tab w:val="left" w:pos="-1440"/>
        </w:tabs>
        <w:autoSpaceDE w:val="0"/>
        <w:autoSpaceDN w:val="0"/>
        <w:adjustRightInd w:val="0"/>
        <w:rPr>
          <w:szCs w:val="22"/>
        </w:rPr>
      </w:pPr>
    </w:p>
    <w:p w:rsidRPr="00257668" w:rsidR="00D032F5" w:rsidP="00EB0E0F" w:rsidRDefault="00EB332E" w14:paraId="3403E7B6" w14:textId="77777777">
      <w:pPr>
        <w:pStyle w:val="ListParagraph"/>
        <w:numPr>
          <w:ilvl w:val="1"/>
          <w:numId w:val="32"/>
        </w:numPr>
        <w:tabs>
          <w:tab w:val="left" w:pos="-1440"/>
        </w:tabs>
        <w:autoSpaceDE w:val="0"/>
        <w:autoSpaceDN w:val="0"/>
        <w:adjustRightInd w:val="0"/>
        <w:ind w:left="1080" w:hanging="360"/>
        <w:rPr>
          <w:szCs w:val="22"/>
        </w:rPr>
      </w:pPr>
      <w:r w:rsidRPr="00257668">
        <w:rPr>
          <w:sz w:val="22"/>
          <w:szCs w:val="22"/>
        </w:rPr>
        <w:t>A</w:t>
      </w:r>
      <w:r w:rsidRPr="00257668" w:rsidR="005C1C60">
        <w:rPr>
          <w:sz w:val="22"/>
          <w:szCs w:val="22"/>
        </w:rPr>
        <w:t>pparent willful, deliberate, or aggressive attempts to not follow facility traffic control directions</w:t>
      </w:r>
      <w:r w:rsidRPr="00257668" w:rsidR="005E59B3">
        <w:rPr>
          <w:sz w:val="22"/>
          <w:szCs w:val="22"/>
        </w:rPr>
        <w:t xml:space="preserve"> or</w:t>
      </w:r>
      <w:r w:rsidRPr="00257668" w:rsidR="005C1C60">
        <w:rPr>
          <w:sz w:val="22"/>
          <w:szCs w:val="22"/>
        </w:rPr>
        <w:t xml:space="preserve"> stop at traffic control or security contro</w:t>
      </w:r>
      <w:r w:rsidRPr="00257668" w:rsidR="00502EE4">
        <w:rPr>
          <w:sz w:val="22"/>
          <w:szCs w:val="22"/>
        </w:rPr>
        <w:t xml:space="preserve">l checkpoints or control points. </w:t>
      </w:r>
    </w:p>
    <w:p w:rsidRPr="003600C8" w:rsidR="008D725D" w:rsidP="00EB0E0F" w:rsidRDefault="008D725D" w14:paraId="14DCF05C" w14:textId="77777777">
      <w:pPr>
        <w:pStyle w:val="ListParagraph"/>
        <w:tabs>
          <w:tab w:val="left" w:pos="-1440"/>
        </w:tabs>
        <w:autoSpaceDE w:val="0"/>
        <w:autoSpaceDN w:val="0"/>
        <w:adjustRightInd w:val="0"/>
        <w:ind w:left="1080" w:hanging="360"/>
        <w:rPr>
          <w:sz w:val="22"/>
          <w:szCs w:val="22"/>
        </w:rPr>
      </w:pPr>
    </w:p>
    <w:p w:rsidRPr="00257668" w:rsidR="00E22070" w:rsidP="00EB0E0F" w:rsidRDefault="00B956B7" w14:paraId="7AFDB895" w14:textId="77777777">
      <w:pPr>
        <w:pStyle w:val="ListParagraph"/>
        <w:numPr>
          <w:ilvl w:val="1"/>
          <w:numId w:val="32"/>
        </w:numPr>
        <w:tabs>
          <w:tab w:val="left" w:pos="-1440"/>
        </w:tabs>
        <w:autoSpaceDE w:val="0"/>
        <w:autoSpaceDN w:val="0"/>
        <w:adjustRightInd w:val="0"/>
        <w:ind w:left="1080" w:hanging="360"/>
        <w:rPr>
          <w:szCs w:val="22"/>
        </w:rPr>
      </w:pPr>
      <w:r w:rsidRPr="00257668">
        <w:rPr>
          <w:sz w:val="22"/>
          <w:szCs w:val="22"/>
        </w:rPr>
        <w:t>U</w:t>
      </w:r>
      <w:r w:rsidRPr="00257668" w:rsidR="00E22070">
        <w:rPr>
          <w:sz w:val="22"/>
          <w:szCs w:val="22"/>
        </w:rPr>
        <w:t>nauthorized entry of personnel or watercraft into posted off</w:t>
      </w:r>
      <w:r w:rsidRPr="00257668" w:rsidR="005E59B3">
        <w:rPr>
          <w:sz w:val="22"/>
          <w:szCs w:val="22"/>
        </w:rPr>
        <w:noBreakHyphen/>
      </w:r>
      <w:r w:rsidRPr="00257668" w:rsidR="00E22070">
        <w:rPr>
          <w:sz w:val="22"/>
          <w:szCs w:val="22"/>
        </w:rPr>
        <w:t>limit areas (e.g.,</w:t>
      </w:r>
      <w:r w:rsidRPr="00257668" w:rsidR="005E59B3">
        <w:rPr>
          <w:sz w:val="22"/>
          <w:szCs w:val="22"/>
        </w:rPr>
        <w:t> </w:t>
      </w:r>
      <w:r w:rsidRPr="00257668" w:rsidR="00E22070">
        <w:rPr>
          <w:sz w:val="22"/>
          <w:szCs w:val="22"/>
        </w:rPr>
        <w:t>near cooling water intake structures)</w:t>
      </w:r>
      <w:r w:rsidRPr="00257668" w:rsidR="00671DF9">
        <w:rPr>
          <w:sz w:val="22"/>
          <w:szCs w:val="22"/>
        </w:rPr>
        <w:t xml:space="preserve">. </w:t>
      </w:r>
    </w:p>
    <w:p w:rsidRPr="003600C8" w:rsidR="008D725D" w:rsidP="00EB0E0F" w:rsidRDefault="008D725D" w14:paraId="729F310D" w14:textId="77777777">
      <w:pPr>
        <w:pStyle w:val="ListParagraph"/>
        <w:tabs>
          <w:tab w:val="left" w:pos="-1440"/>
        </w:tabs>
        <w:autoSpaceDE w:val="0"/>
        <w:autoSpaceDN w:val="0"/>
        <w:adjustRightInd w:val="0"/>
        <w:ind w:left="1080" w:hanging="360"/>
        <w:rPr>
          <w:sz w:val="22"/>
          <w:szCs w:val="22"/>
        </w:rPr>
      </w:pPr>
    </w:p>
    <w:p w:rsidRPr="00257668" w:rsidR="000B72BE" w:rsidP="00EB0E0F" w:rsidRDefault="00480808" w14:paraId="6029A28D" w14:textId="77777777">
      <w:pPr>
        <w:pStyle w:val="ListParagraph"/>
        <w:numPr>
          <w:ilvl w:val="1"/>
          <w:numId w:val="32"/>
        </w:numPr>
        <w:tabs>
          <w:tab w:val="left" w:pos="-1440"/>
        </w:tabs>
        <w:autoSpaceDE w:val="0"/>
        <w:autoSpaceDN w:val="0"/>
        <w:adjustRightInd w:val="0"/>
        <w:ind w:left="1080" w:hanging="360"/>
        <w:rPr>
          <w:szCs w:val="22"/>
        </w:rPr>
      </w:pPr>
      <w:r w:rsidRPr="00257668">
        <w:rPr>
          <w:sz w:val="22"/>
          <w:szCs w:val="22"/>
        </w:rPr>
        <w:t>I</w:t>
      </w:r>
      <w:r w:rsidRPr="00257668" w:rsidR="000B72BE">
        <w:rPr>
          <w:sz w:val="22"/>
          <w:szCs w:val="22"/>
        </w:rPr>
        <w:t>ndividuals enter</w:t>
      </w:r>
      <w:r w:rsidRPr="00257668">
        <w:rPr>
          <w:sz w:val="22"/>
          <w:szCs w:val="22"/>
        </w:rPr>
        <w:t>ing</w:t>
      </w:r>
      <w:r w:rsidRPr="00257668" w:rsidR="000B72BE">
        <w:rPr>
          <w:sz w:val="22"/>
          <w:szCs w:val="22"/>
        </w:rPr>
        <w:t xml:space="preserve"> posted off</w:t>
      </w:r>
      <w:r w:rsidRPr="00257668" w:rsidR="00AE1749">
        <w:rPr>
          <w:sz w:val="22"/>
          <w:szCs w:val="22"/>
        </w:rPr>
        <w:noBreakHyphen/>
      </w:r>
      <w:r w:rsidRPr="00257668" w:rsidR="000B72BE">
        <w:rPr>
          <w:sz w:val="22"/>
          <w:szCs w:val="22"/>
        </w:rPr>
        <w:t xml:space="preserve">limit areas </w:t>
      </w:r>
      <w:r w:rsidRPr="00257668" w:rsidR="00AE1749">
        <w:rPr>
          <w:sz w:val="22"/>
          <w:szCs w:val="22"/>
        </w:rPr>
        <w:t xml:space="preserve">in watercraft </w:t>
      </w:r>
      <w:r w:rsidRPr="00257668" w:rsidR="000B72BE">
        <w:rPr>
          <w:sz w:val="22"/>
          <w:szCs w:val="22"/>
        </w:rPr>
        <w:t>and then fail to exit when directed by security personnel</w:t>
      </w:r>
      <w:r w:rsidRPr="00257668" w:rsidR="00DD19A2">
        <w:rPr>
          <w:sz w:val="22"/>
          <w:szCs w:val="22"/>
        </w:rPr>
        <w:t>.</w:t>
      </w:r>
    </w:p>
    <w:p w:rsidRPr="003600C8" w:rsidR="008D725D" w:rsidP="00EB0E0F" w:rsidRDefault="008D725D" w14:paraId="384DEB8A" w14:textId="77777777">
      <w:pPr>
        <w:pStyle w:val="ListParagraph"/>
        <w:tabs>
          <w:tab w:val="left" w:pos="-1440"/>
        </w:tabs>
        <w:autoSpaceDE w:val="0"/>
        <w:autoSpaceDN w:val="0"/>
        <w:adjustRightInd w:val="0"/>
        <w:ind w:left="1080" w:hanging="360"/>
        <w:rPr>
          <w:sz w:val="22"/>
          <w:szCs w:val="22"/>
        </w:rPr>
      </w:pPr>
    </w:p>
    <w:p w:rsidRPr="00257668" w:rsidR="000B72BE" w:rsidP="00EB0E0F" w:rsidRDefault="00DD19A2" w14:paraId="2051F1B0" w14:textId="77777777">
      <w:pPr>
        <w:pStyle w:val="ListParagraph"/>
        <w:numPr>
          <w:ilvl w:val="1"/>
          <w:numId w:val="32"/>
        </w:numPr>
        <w:tabs>
          <w:tab w:val="left" w:pos="-1440"/>
        </w:tabs>
        <w:autoSpaceDE w:val="0"/>
        <w:autoSpaceDN w:val="0"/>
        <w:adjustRightInd w:val="0"/>
        <w:ind w:left="1080" w:hanging="360"/>
        <w:rPr>
          <w:szCs w:val="22"/>
        </w:rPr>
      </w:pPr>
      <w:r w:rsidRPr="00257668">
        <w:rPr>
          <w:sz w:val="22"/>
          <w:szCs w:val="22"/>
        </w:rPr>
        <w:t>Unauthorized tests or challenges of security screening, detection, and assessment systems. This reporting applies to both interior and exterior security systems.</w:t>
      </w:r>
      <w:r w:rsidRPr="00257668" w:rsidDel="00DD19A2">
        <w:rPr>
          <w:sz w:val="22"/>
          <w:szCs w:val="22"/>
        </w:rPr>
        <w:t xml:space="preserve"> </w:t>
      </w:r>
    </w:p>
    <w:p w:rsidRPr="00257668" w:rsidR="00691926" w:rsidP="00EB0E0F" w:rsidRDefault="00691926" w14:paraId="02B1BDA4" w14:textId="77777777">
      <w:pPr>
        <w:pStyle w:val="ListParagraph"/>
        <w:tabs>
          <w:tab w:val="left" w:pos="-1440"/>
        </w:tabs>
        <w:autoSpaceDE w:val="0"/>
        <w:autoSpaceDN w:val="0"/>
        <w:adjustRightInd w:val="0"/>
        <w:ind w:left="1080" w:hanging="360"/>
        <w:rPr>
          <w:szCs w:val="22"/>
        </w:rPr>
      </w:pPr>
    </w:p>
    <w:p w:rsidRPr="00257668" w:rsidR="00691926" w:rsidP="00EB0E0F" w:rsidRDefault="00691926" w14:paraId="77C4E1BD" w14:textId="77777777">
      <w:pPr>
        <w:pStyle w:val="ListParagraph"/>
        <w:numPr>
          <w:ilvl w:val="1"/>
          <w:numId w:val="32"/>
        </w:numPr>
        <w:ind w:left="1080" w:hanging="360"/>
        <w:rPr>
          <w:szCs w:val="22"/>
        </w:rPr>
      </w:pPr>
      <w:r w:rsidRPr="00257668">
        <w:rPr>
          <w:sz w:val="22"/>
          <w:szCs w:val="22"/>
        </w:rPr>
        <w:t>Events that involve individuals that appear to be lost or inebriated are not required to be reported as suspicious activity.</w:t>
      </w:r>
    </w:p>
    <w:p w:rsidRPr="00846A8B" w:rsidR="00B0515C" w:rsidP="003600C8" w:rsidRDefault="00B0515C" w14:paraId="57151376" w14:textId="77777777">
      <w:pPr>
        <w:rPr>
          <w:szCs w:val="22"/>
        </w:rPr>
      </w:pPr>
      <w:bookmarkStart w:name="_Toc507400029" w:id="198"/>
    </w:p>
    <w:p w:rsidRPr="00CE0234" w:rsidR="00636FE6" w:rsidP="00487972" w:rsidRDefault="0013056B" w14:paraId="5E9873C0" w14:textId="77777777">
      <w:pPr>
        <w:pStyle w:val="Heading2"/>
      </w:pPr>
      <w:bookmarkStart w:name="_Toc26362861" w:id="199"/>
      <w:bookmarkStart w:name="_Toc29213197" w:id="200"/>
      <w:bookmarkStart w:name="_Toc73021743" w:id="201"/>
      <w:r w:rsidRPr="00CE0234">
        <w:t>P</w:t>
      </w:r>
      <w:r w:rsidRPr="00CE0234" w:rsidR="00CC1855">
        <w:t xml:space="preserve">reattack </w:t>
      </w:r>
      <w:r w:rsidRPr="00CE0234" w:rsidR="0046164D">
        <w:t>Surveillance or Reconnaissance</w:t>
      </w:r>
      <w:bookmarkEnd w:id="198"/>
      <w:r w:rsidRPr="00CE0234" w:rsidR="002474AA">
        <w:t xml:space="preserve"> - Facilities</w:t>
      </w:r>
      <w:bookmarkEnd w:id="199"/>
      <w:bookmarkEnd w:id="200"/>
      <w:bookmarkEnd w:id="201"/>
    </w:p>
    <w:p w:rsidRPr="00CE0234" w:rsidR="00232A57" w:rsidP="000B1B0D" w:rsidRDefault="00232A57" w14:paraId="199D7D72" w14:textId="77777777">
      <w:pPr>
        <w:tabs>
          <w:tab w:val="left" w:pos="-1440"/>
        </w:tabs>
        <w:autoSpaceDE w:val="0"/>
        <w:autoSpaceDN w:val="0"/>
        <w:adjustRightInd w:val="0"/>
        <w:ind w:firstLine="720"/>
        <w:rPr>
          <w:szCs w:val="22"/>
        </w:rPr>
      </w:pPr>
    </w:p>
    <w:p w:rsidRPr="0028112D" w:rsidR="00167181" w:rsidP="00167181" w:rsidRDefault="00CC7ACC" w14:paraId="49E23915" w14:textId="48E5F5B8">
      <w:pPr>
        <w:tabs>
          <w:tab w:val="left" w:pos="-1440"/>
        </w:tabs>
        <w:autoSpaceDE w:val="0"/>
        <w:autoSpaceDN w:val="0"/>
        <w:adjustRightInd w:val="0"/>
        <w:ind w:firstLine="720"/>
        <w:rPr>
          <w:szCs w:val="22"/>
        </w:rPr>
      </w:pPr>
      <w:r w:rsidRPr="00CE0234">
        <w:rPr>
          <w:szCs w:val="22"/>
        </w:rPr>
        <w:t>P</w:t>
      </w:r>
      <w:r w:rsidRPr="00CE0234" w:rsidR="00CC1855">
        <w:rPr>
          <w:szCs w:val="22"/>
        </w:rPr>
        <w:t xml:space="preserve">reattack </w:t>
      </w:r>
      <w:r w:rsidRPr="00CE0234" w:rsidR="000B1B0D">
        <w:rPr>
          <w:szCs w:val="22"/>
        </w:rPr>
        <w:t>s</w:t>
      </w:r>
      <w:r w:rsidRPr="00CE0234" w:rsidR="00871B6D">
        <w:rPr>
          <w:szCs w:val="22"/>
        </w:rPr>
        <w:t>urveillance or reconnaissance activities are typically intended to assess a licensee’s physic</w:t>
      </w:r>
      <w:r w:rsidRPr="00CE0234" w:rsidR="000B1B0D">
        <w:rPr>
          <w:szCs w:val="22"/>
        </w:rPr>
        <w:t>al layout for a facility</w:t>
      </w:r>
      <w:r w:rsidRPr="00CE0234" w:rsidR="000315BD">
        <w:rPr>
          <w:szCs w:val="22"/>
        </w:rPr>
        <w:t>,</w:t>
      </w:r>
      <w:r w:rsidRPr="00CE0234" w:rsidR="00871B6D">
        <w:rPr>
          <w:szCs w:val="22"/>
        </w:rPr>
        <w:t xml:space="preserve"> as well as the</w:t>
      </w:r>
      <w:r w:rsidRPr="00CE0234" w:rsidR="000B1B0D">
        <w:rPr>
          <w:szCs w:val="22"/>
        </w:rPr>
        <w:t xml:space="preserve"> arrangement, coverage, and </w:t>
      </w:r>
      <w:r w:rsidR="00CE0234">
        <w:rPr>
          <w:szCs w:val="22"/>
        </w:rPr>
        <w:t xml:space="preserve">implementation of </w:t>
      </w:r>
      <w:r w:rsidRPr="00CE0234" w:rsidR="000B1B0D">
        <w:rPr>
          <w:szCs w:val="22"/>
        </w:rPr>
        <w:t>intrusion detection, monitoring, and assessment systems</w:t>
      </w:r>
      <w:r w:rsidR="002E7BC2">
        <w:rPr>
          <w:szCs w:val="22"/>
        </w:rPr>
        <w:t xml:space="preserve">. </w:t>
      </w:r>
      <w:r w:rsidRPr="00CE0234" w:rsidR="000B1B0D">
        <w:rPr>
          <w:szCs w:val="22"/>
        </w:rPr>
        <w:t>Such activities may include surface, subsurface, and aerial events</w:t>
      </w:r>
      <w:r w:rsidRPr="00CE0234" w:rsidR="00397F1A">
        <w:rPr>
          <w:szCs w:val="22"/>
        </w:rPr>
        <w:t xml:space="preserve"> and</w:t>
      </w:r>
      <w:r w:rsidRPr="00CE0234" w:rsidR="00540765">
        <w:rPr>
          <w:szCs w:val="22"/>
        </w:rPr>
        <w:t xml:space="preserve"> may occur from within public areas adjacent to the facility or within restricted or posted areas</w:t>
      </w:r>
      <w:r w:rsidR="002E7BC2">
        <w:rPr>
          <w:szCs w:val="22"/>
        </w:rPr>
        <w:t xml:space="preserve">. </w:t>
      </w:r>
      <w:r w:rsidRPr="0028112D" w:rsidR="00102931">
        <w:rPr>
          <w:szCs w:val="22"/>
        </w:rPr>
        <w:t>Additionally, although such activities are typically conducted external to the facility, reconnaissance activities may also occur internal</w:t>
      </w:r>
      <w:r w:rsidRPr="0028112D" w:rsidR="00A0590B">
        <w:rPr>
          <w:szCs w:val="22"/>
        </w:rPr>
        <w:t>ly</w:t>
      </w:r>
      <w:r w:rsidRPr="0028112D" w:rsidR="00337751">
        <w:rPr>
          <w:szCs w:val="22"/>
        </w:rPr>
        <w:t>, such as</w:t>
      </w:r>
      <w:r w:rsidRPr="0028112D" w:rsidR="00A0590B">
        <w:rPr>
          <w:szCs w:val="22"/>
        </w:rPr>
        <w:t xml:space="preserve"> at</w:t>
      </w:r>
      <w:r w:rsidRPr="0028112D" w:rsidR="00102931">
        <w:rPr>
          <w:szCs w:val="22"/>
        </w:rPr>
        <w:t xml:space="preserve"> the facility or its personnel screening </w:t>
      </w:r>
      <w:r w:rsidRPr="00B15CA1" w:rsidR="00102931">
        <w:rPr>
          <w:szCs w:val="22"/>
        </w:rPr>
        <w:t>systems (e.g., during tours or visits)</w:t>
      </w:r>
      <w:r w:rsidR="002E7BC2">
        <w:rPr>
          <w:szCs w:val="22"/>
        </w:rPr>
        <w:t xml:space="preserve">. </w:t>
      </w:r>
      <w:r w:rsidRPr="000A5720" w:rsidR="00ED32EA">
        <w:rPr>
          <w:szCs w:val="22"/>
        </w:rPr>
        <w:t>P</w:t>
      </w:r>
      <w:r w:rsidRPr="002804FB" w:rsidR="00ED32EA">
        <w:rPr>
          <w:szCs w:val="22"/>
        </w:rPr>
        <w:t xml:space="preserve">reattack activities </w:t>
      </w:r>
      <w:r w:rsidRPr="002804FB">
        <w:rPr>
          <w:szCs w:val="22"/>
        </w:rPr>
        <w:t>can be</w:t>
      </w:r>
      <w:r w:rsidRPr="002804FB" w:rsidR="00ED32EA">
        <w:rPr>
          <w:szCs w:val="22"/>
        </w:rPr>
        <w:t xml:space="preserve"> differentiated from operational surveillance activities (i.e., those </w:t>
      </w:r>
      <w:r w:rsidRPr="00A71567">
        <w:rPr>
          <w:szCs w:val="22"/>
        </w:rPr>
        <w:t xml:space="preserve">surveillance activities </w:t>
      </w:r>
      <w:r w:rsidRPr="00A71567" w:rsidR="00ED32EA">
        <w:rPr>
          <w:szCs w:val="22"/>
        </w:rPr>
        <w:t>directly related to actual or imminent hostile action</w:t>
      </w:r>
      <w:r w:rsidRPr="00963D8C" w:rsidR="00ED32EA">
        <w:rPr>
          <w:szCs w:val="22"/>
        </w:rPr>
        <w:t>s)</w:t>
      </w:r>
      <w:r w:rsidR="002E7BC2">
        <w:rPr>
          <w:szCs w:val="22"/>
        </w:rPr>
        <w:t xml:space="preserve">. </w:t>
      </w:r>
      <w:r w:rsidRPr="0028112D" w:rsidR="00ED32EA">
        <w:rPr>
          <w:szCs w:val="22"/>
        </w:rPr>
        <w:t xml:space="preserve">Licensees </w:t>
      </w:r>
      <w:r w:rsidRPr="0028112D">
        <w:rPr>
          <w:szCs w:val="22"/>
        </w:rPr>
        <w:t xml:space="preserve">experiencing surveillance that may be indicative of imminent hostile actions (e.g., where a licensee implements a change in its protective response status) </w:t>
      </w:r>
      <w:r w:rsidRPr="0028112D" w:rsidR="00ED32EA">
        <w:rPr>
          <w:szCs w:val="22"/>
        </w:rPr>
        <w:t xml:space="preserve">should refer to Regulatory Guide 5.62 </w:t>
      </w:r>
      <w:r w:rsidRPr="0028112D">
        <w:rPr>
          <w:szCs w:val="22"/>
        </w:rPr>
        <w:t>regarding physical security event notifications</w:t>
      </w:r>
      <w:r w:rsidR="002E7BC2">
        <w:rPr>
          <w:szCs w:val="22"/>
        </w:rPr>
        <w:t xml:space="preserve">. </w:t>
      </w:r>
    </w:p>
    <w:p w:rsidRPr="0028112D" w:rsidR="00167181" w:rsidP="00167181" w:rsidRDefault="00167181" w14:paraId="06B4BD17" w14:textId="77777777">
      <w:pPr>
        <w:tabs>
          <w:tab w:val="left" w:pos="-1440"/>
        </w:tabs>
        <w:autoSpaceDE w:val="0"/>
        <w:autoSpaceDN w:val="0"/>
        <w:adjustRightInd w:val="0"/>
        <w:ind w:firstLine="720"/>
        <w:rPr>
          <w:szCs w:val="22"/>
        </w:rPr>
      </w:pPr>
    </w:p>
    <w:p w:rsidRPr="00631150" w:rsidR="00B247F1" w:rsidP="00977AAE" w:rsidRDefault="00B247F1" w14:paraId="09623199" w14:textId="77777777">
      <w:pPr>
        <w:keepNext/>
        <w:keepLines/>
        <w:tabs>
          <w:tab w:val="left" w:pos="-1440"/>
        </w:tabs>
        <w:autoSpaceDE w:val="0"/>
        <w:autoSpaceDN w:val="0"/>
        <w:adjustRightInd w:val="0"/>
        <w:outlineLvl w:val="2"/>
        <w:rPr>
          <w:szCs w:val="22"/>
        </w:rPr>
      </w:pPr>
      <w:bookmarkStart w:name="_Toc73021744" w:id="202"/>
      <w:r w:rsidRPr="00631150">
        <w:rPr>
          <w:szCs w:val="22"/>
        </w:rPr>
        <w:lastRenderedPageBreak/>
        <w:t>5.3.1</w:t>
      </w:r>
      <w:r w:rsidRPr="00631150">
        <w:rPr>
          <w:szCs w:val="22"/>
        </w:rPr>
        <w:tab/>
        <w:t>Potentially Reportable Examples</w:t>
      </w:r>
      <w:bookmarkEnd w:id="202"/>
    </w:p>
    <w:p w:rsidRPr="00201CF6" w:rsidR="00B247F1" w:rsidP="00977AAE" w:rsidRDefault="00B247F1" w14:paraId="17157840" w14:textId="77777777">
      <w:pPr>
        <w:keepNext/>
        <w:keepLines/>
        <w:tabs>
          <w:tab w:val="left" w:pos="-1440"/>
        </w:tabs>
        <w:autoSpaceDE w:val="0"/>
        <w:autoSpaceDN w:val="0"/>
        <w:adjustRightInd w:val="0"/>
        <w:rPr>
          <w:szCs w:val="22"/>
        </w:rPr>
      </w:pPr>
    </w:p>
    <w:p w:rsidRPr="00257668" w:rsidR="00CC7ACC" w:rsidP="00977AAE" w:rsidRDefault="00CC7ACC" w14:paraId="5EC6C264" w14:textId="77DA6F58">
      <w:pPr>
        <w:keepNext/>
        <w:keepLines/>
        <w:tabs>
          <w:tab w:val="left" w:pos="-1440"/>
        </w:tabs>
        <w:autoSpaceDE w:val="0"/>
        <w:autoSpaceDN w:val="0"/>
        <w:adjustRightInd w:val="0"/>
        <w:ind w:firstLine="720"/>
        <w:rPr>
          <w:szCs w:val="22"/>
        </w:rPr>
      </w:pPr>
      <w:r w:rsidRPr="00E02297">
        <w:rPr>
          <w:szCs w:val="22"/>
        </w:rPr>
        <w:t xml:space="preserve">The NRC staff is providing the following examples of some activities </w:t>
      </w:r>
      <w:r w:rsidRPr="00E02297" w:rsidR="00C25348">
        <w:rPr>
          <w:szCs w:val="22"/>
        </w:rPr>
        <w:t xml:space="preserve">a licensee may consider assessing as a potentially reportable suspicious activity. </w:t>
      </w:r>
      <w:r w:rsidR="005B2AE7">
        <w:rPr>
          <w:szCs w:val="22"/>
        </w:rPr>
        <w:t>These examples are not exhaustive.</w:t>
      </w:r>
    </w:p>
    <w:p w:rsidRPr="00257668" w:rsidR="006A2BD5" w:rsidP="00A0590B" w:rsidRDefault="006A2BD5" w14:paraId="0A1C6886" w14:textId="77777777">
      <w:pPr>
        <w:tabs>
          <w:tab w:val="left" w:pos="-1440"/>
        </w:tabs>
        <w:autoSpaceDE w:val="0"/>
        <w:autoSpaceDN w:val="0"/>
        <w:adjustRightInd w:val="0"/>
        <w:rPr>
          <w:szCs w:val="22"/>
        </w:rPr>
      </w:pPr>
    </w:p>
    <w:p w:rsidRPr="00257668" w:rsidR="0046164D" w:rsidP="00EB0E0F" w:rsidRDefault="00C608FD" w14:paraId="7EE28942" w14:textId="1BE4CBC8">
      <w:pPr>
        <w:pStyle w:val="ListParagraph"/>
        <w:numPr>
          <w:ilvl w:val="1"/>
          <w:numId w:val="34"/>
        </w:numPr>
        <w:tabs>
          <w:tab w:val="left" w:pos="-1440"/>
        </w:tabs>
        <w:autoSpaceDE w:val="0"/>
        <w:autoSpaceDN w:val="0"/>
        <w:adjustRightInd w:val="0"/>
        <w:spacing w:after="240"/>
        <w:ind w:left="1080"/>
        <w:rPr>
          <w:szCs w:val="22"/>
        </w:rPr>
      </w:pPr>
      <w:r w:rsidRPr="00257668">
        <w:rPr>
          <w:sz w:val="22"/>
          <w:szCs w:val="22"/>
        </w:rPr>
        <w:t>O</w:t>
      </w:r>
      <w:r w:rsidRPr="00257668" w:rsidR="0046164D">
        <w:rPr>
          <w:sz w:val="22"/>
          <w:szCs w:val="22"/>
        </w:rPr>
        <w:t xml:space="preserve">bserved </w:t>
      </w:r>
      <w:r w:rsidR="00781101">
        <w:rPr>
          <w:sz w:val="22"/>
          <w:szCs w:val="22"/>
        </w:rPr>
        <w:t xml:space="preserve">pre-operational </w:t>
      </w:r>
      <w:r w:rsidRPr="00257668" w:rsidR="0046164D">
        <w:rPr>
          <w:sz w:val="22"/>
          <w:szCs w:val="22"/>
        </w:rPr>
        <w:t>surveillance</w:t>
      </w:r>
      <w:r w:rsidR="00781101">
        <w:rPr>
          <w:sz w:val="22"/>
          <w:szCs w:val="22"/>
        </w:rPr>
        <w:t>,</w:t>
      </w:r>
      <w:r w:rsidRPr="00257668" w:rsidR="0046164D">
        <w:rPr>
          <w:sz w:val="22"/>
          <w:szCs w:val="22"/>
        </w:rPr>
        <w:t xml:space="preserve"> reconnaissance</w:t>
      </w:r>
      <w:r w:rsidR="00781101">
        <w:rPr>
          <w:sz w:val="22"/>
          <w:szCs w:val="22"/>
        </w:rPr>
        <w:t>, or intelligence gathering</w:t>
      </w:r>
      <w:r w:rsidRPr="00257668" w:rsidR="0046164D">
        <w:rPr>
          <w:sz w:val="22"/>
          <w:szCs w:val="22"/>
        </w:rPr>
        <w:t xml:space="preserve"> activity from within posted or restricted areas (i.e.,</w:t>
      </w:r>
      <w:r w:rsidRPr="00257668" w:rsidR="00F06647">
        <w:rPr>
          <w:sz w:val="22"/>
          <w:szCs w:val="22"/>
        </w:rPr>
        <w:t> </w:t>
      </w:r>
      <w:r w:rsidRPr="00257668" w:rsidR="007D27B6">
        <w:rPr>
          <w:sz w:val="22"/>
          <w:szCs w:val="22"/>
        </w:rPr>
        <w:t>non-public</w:t>
      </w:r>
      <w:r w:rsidRPr="00257668" w:rsidR="0046164D">
        <w:rPr>
          <w:sz w:val="22"/>
          <w:szCs w:val="22"/>
        </w:rPr>
        <w:t xml:space="preserve"> areas)</w:t>
      </w:r>
      <w:r w:rsidRPr="00257668" w:rsidR="0030785F">
        <w:rPr>
          <w:sz w:val="22"/>
          <w:szCs w:val="22"/>
        </w:rPr>
        <w:t>.</w:t>
      </w:r>
    </w:p>
    <w:p w:rsidRPr="003600C8" w:rsidR="00F9178D" w:rsidP="00EB0E0F" w:rsidRDefault="00F9178D" w14:paraId="53B8AC1A" w14:textId="77777777">
      <w:pPr>
        <w:pStyle w:val="ListParagraph"/>
        <w:tabs>
          <w:tab w:val="left" w:pos="-1440"/>
        </w:tabs>
        <w:autoSpaceDE w:val="0"/>
        <w:autoSpaceDN w:val="0"/>
        <w:adjustRightInd w:val="0"/>
        <w:spacing w:after="240"/>
        <w:ind w:left="1080" w:hanging="360"/>
        <w:rPr>
          <w:sz w:val="22"/>
          <w:szCs w:val="22"/>
        </w:rPr>
      </w:pPr>
    </w:p>
    <w:p w:rsidRPr="00257668" w:rsidR="00D278BA" w:rsidP="00EB0E0F" w:rsidRDefault="00770F55" w14:paraId="6EAF367D" w14:textId="44D6F50F">
      <w:pPr>
        <w:pStyle w:val="ListParagraph"/>
        <w:numPr>
          <w:ilvl w:val="1"/>
          <w:numId w:val="34"/>
        </w:numPr>
        <w:tabs>
          <w:tab w:val="left" w:pos="-1440"/>
        </w:tabs>
        <w:autoSpaceDE w:val="0"/>
        <w:autoSpaceDN w:val="0"/>
        <w:adjustRightInd w:val="0"/>
        <w:spacing w:after="240"/>
        <w:ind w:left="1080"/>
        <w:rPr>
          <w:szCs w:val="22"/>
        </w:rPr>
      </w:pPr>
      <w:r w:rsidRPr="00257668">
        <w:rPr>
          <w:sz w:val="22"/>
          <w:szCs w:val="22"/>
        </w:rPr>
        <w:t>I</w:t>
      </w:r>
      <w:r w:rsidRPr="00257668" w:rsidR="00D278BA">
        <w:rPr>
          <w:sz w:val="22"/>
          <w:szCs w:val="22"/>
        </w:rPr>
        <w:t>ndividuals entering or loitering in areas immediately adjacent to the</w:t>
      </w:r>
      <w:r w:rsidRPr="00257668" w:rsidR="00C25C03">
        <w:rPr>
          <w:sz w:val="22"/>
          <w:szCs w:val="22"/>
        </w:rPr>
        <w:t xml:space="preserve"> licensee’s </w:t>
      </w:r>
      <w:r w:rsidRPr="00257668" w:rsidR="00D278BA">
        <w:rPr>
          <w:sz w:val="22"/>
          <w:szCs w:val="22"/>
        </w:rPr>
        <w:t>facility</w:t>
      </w:r>
      <w:r w:rsidR="002E7BC2">
        <w:rPr>
          <w:sz w:val="22"/>
          <w:szCs w:val="22"/>
        </w:rPr>
        <w:t xml:space="preserve">. </w:t>
      </w:r>
      <w:r w:rsidRPr="00257668" w:rsidR="00D278BA">
        <w:rPr>
          <w:sz w:val="22"/>
          <w:szCs w:val="22"/>
        </w:rPr>
        <w:t xml:space="preserve">For example, </w:t>
      </w:r>
      <w:r w:rsidRPr="00257668" w:rsidR="00FD6A25">
        <w:rPr>
          <w:sz w:val="22"/>
          <w:szCs w:val="22"/>
        </w:rPr>
        <w:t xml:space="preserve">individuals </w:t>
      </w:r>
      <w:r w:rsidRPr="00257668" w:rsidR="00D278BA">
        <w:rPr>
          <w:sz w:val="22"/>
          <w:szCs w:val="22"/>
        </w:rPr>
        <w:t xml:space="preserve">loitering </w:t>
      </w:r>
      <w:r w:rsidRPr="00257668" w:rsidR="00FD6A25">
        <w:rPr>
          <w:sz w:val="22"/>
          <w:szCs w:val="22"/>
        </w:rPr>
        <w:t xml:space="preserve">in unposted areas </w:t>
      </w:r>
      <w:r w:rsidRPr="00257668" w:rsidR="00D278BA">
        <w:rPr>
          <w:sz w:val="22"/>
          <w:szCs w:val="22"/>
        </w:rPr>
        <w:t xml:space="preserve">outside of a </w:t>
      </w:r>
      <w:r w:rsidRPr="00257668" w:rsidR="00BD5406">
        <w:rPr>
          <w:sz w:val="22"/>
          <w:szCs w:val="22"/>
        </w:rPr>
        <w:t>nonpower</w:t>
      </w:r>
      <w:r w:rsidRPr="00257668" w:rsidR="00D278BA">
        <w:rPr>
          <w:sz w:val="22"/>
          <w:szCs w:val="22"/>
        </w:rPr>
        <w:t xml:space="preserve"> reactor located within a multiuse building on a</w:t>
      </w:r>
      <w:r w:rsidRPr="00257668">
        <w:rPr>
          <w:sz w:val="22"/>
          <w:szCs w:val="22"/>
        </w:rPr>
        <w:t xml:space="preserve"> </w:t>
      </w:r>
      <w:r w:rsidRPr="00257668" w:rsidR="00D278BA">
        <w:rPr>
          <w:sz w:val="22"/>
          <w:szCs w:val="22"/>
        </w:rPr>
        <w:t xml:space="preserve">college campus </w:t>
      </w:r>
      <w:r w:rsidRPr="00257668" w:rsidR="00540765">
        <w:rPr>
          <w:sz w:val="22"/>
          <w:szCs w:val="22"/>
        </w:rPr>
        <w:t xml:space="preserve">in a large metropolitan area </w:t>
      </w:r>
      <w:r w:rsidRPr="00257668" w:rsidR="00EE3BFA">
        <w:rPr>
          <w:sz w:val="22"/>
          <w:szCs w:val="22"/>
        </w:rPr>
        <w:t>may</w:t>
      </w:r>
      <w:r w:rsidRPr="00257668" w:rsidR="00D278BA">
        <w:rPr>
          <w:sz w:val="22"/>
          <w:szCs w:val="22"/>
        </w:rPr>
        <w:t xml:space="preserve"> not </w:t>
      </w:r>
      <w:r w:rsidRPr="00257668" w:rsidR="00EE3BFA">
        <w:rPr>
          <w:sz w:val="22"/>
          <w:szCs w:val="22"/>
        </w:rPr>
        <w:t xml:space="preserve">raise the same concern </w:t>
      </w:r>
      <w:r w:rsidRPr="00257668" w:rsidR="00D278BA">
        <w:rPr>
          <w:sz w:val="22"/>
          <w:szCs w:val="22"/>
        </w:rPr>
        <w:t xml:space="preserve">as </w:t>
      </w:r>
      <w:r w:rsidRPr="00257668" w:rsidR="00FD6A25">
        <w:rPr>
          <w:sz w:val="22"/>
          <w:szCs w:val="22"/>
        </w:rPr>
        <w:t xml:space="preserve">individuals loitering </w:t>
      </w:r>
      <w:r w:rsidRPr="00257668" w:rsidR="00D278BA">
        <w:rPr>
          <w:sz w:val="22"/>
          <w:szCs w:val="22"/>
        </w:rPr>
        <w:t xml:space="preserve">outside </w:t>
      </w:r>
      <w:r w:rsidRPr="00257668" w:rsidR="00DC3744">
        <w:rPr>
          <w:sz w:val="22"/>
          <w:szCs w:val="22"/>
        </w:rPr>
        <w:t xml:space="preserve">of </w:t>
      </w:r>
      <w:r w:rsidRPr="00257668" w:rsidR="00D278BA">
        <w:rPr>
          <w:sz w:val="22"/>
          <w:szCs w:val="22"/>
        </w:rPr>
        <w:t xml:space="preserve">a power reactor site </w:t>
      </w:r>
      <w:r w:rsidRPr="00257668" w:rsidR="00BA6364">
        <w:rPr>
          <w:sz w:val="22"/>
          <w:szCs w:val="22"/>
        </w:rPr>
        <w:t>within</w:t>
      </w:r>
      <w:r w:rsidRPr="00257668" w:rsidR="00FD6A25">
        <w:rPr>
          <w:sz w:val="22"/>
          <w:szCs w:val="22"/>
        </w:rPr>
        <w:t xml:space="preserve"> a </w:t>
      </w:r>
      <w:r w:rsidRPr="00257668" w:rsidR="00540765">
        <w:rPr>
          <w:sz w:val="22"/>
          <w:szCs w:val="22"/>
        </w:rPr>
        <w:t>2,000</w:t>
      </w:r>
      <w:r w:rsidRPr="00257668" w:rsidR="00F06647">
        <w:rPr>
          <w:sz w:val="22"/>
          <w:szCs w:val="22"/>
        </w:rPr>
        <w:noBreakHyphen/>
      </w:r>
      <w:r w:rsidRPr="00257668" w:rsidR="00540765">
        <w:rPr>
          <w:sz w:val="22"/>
          <w:szCs w:val="22"/>
        </w:rPr>
        <w:t>acre</w:t>
      </w:r>
      <w:r w:rsidRPr="00257668" w:rsidR="00FD6A25">
        <w:rPr>
          <w:sz w:val="22"/>
          <w:szCs w:val="22"/>
        </w:rPr>
        <w:t xml:space="preserve"> </w:t>
      </w:r>
      <w:r w:rsidRPr="00257668" w:rsidR="00540765">
        <w:rPr>
          <w:sz w:val="22"/>
          <w:szCs w:val="22"/>
        </w:rPr>
        <w:t xml:space="preserve">rural </w:t>
      </w:r>
      <w:r w:rsidRPr="00257668" w:rsidR="00FD6A25">
        <w:rPr>
          <w:sz w:val="22"/>
          <w:szCs w:val="22"/>
        </w:rPr>
        <w:t>complex</w:t>
      </w:r>
      <w:r w:rsidRPr="00257668" w:rsidR="00D278BA">
        <w:rPr>
          <w:sz w:val="22"/>
          <w:szCs w:val="22"/>
        </w:rPr>
        <w:t>.</w:t>
      </w:r>
    </w:p>
    <w:p w:rsidRPr="003600C8" w:rsidR="00F9178D" w:rsidP="00EB0E0F" w:rsidRDefault="00F9178D" w14:paraId="52CA3978" w14:textId="77777777">
      <w:pPr>
        <w:pStyle w:val="ListParagraph"/>
        <w:tabs>
          <w:tab w:val="left" w:pos="-1440"/>
        </w:tabs>
        <w:autoSpaceDE w:val="0"/>
        <w:autoSpaceDN w:val="0"/>
        <w:adjustRightInd w:val="0"/>
        <w:spacing w:after="240"/>
        <w:ind w:left="1080" w:hanging="360"/>
        <w:rPr>
          <w:sz w:val="22"/>
          <w:szCs w:val="22"/>
        </w:rPr>
      </w:pPr>
    </w:p>
    <w:p w:rsidRPr="00257668" w:rsidR="00540765" w:rsidP="00EB0E0F" w:rsidRDefault="006C4AFE" w14:paraId="330B8557" w14:textId="51EF0365">
      <w:pPr>
        <w:pStyle w:val="ListParagraph"/>
        <w:numPr>
          <w:ilvl w:val="1"/>
          <w:numId w:val="34"/>
        </w:numPr>
        <w:tabs>
          <w:tab w:val="left" w:pos="-1440"/>
        </w:tabs>
        <w:autoSpaceDE w:val="0"/>
        <w:autoSpaceDN w:val="0"/>
        <w:adjustRightInd w:val="0"/>
        <w:spacing w:after="240"/>
        <w:ind w:left="1080"/>
        <w:rPr>
          <w:szCs w:val="22"/>
        </w:rPr>
      </w:pPr>
      <w:r w:rsidRPr="00257668">
        <w:rPr>
          <w:sz w:val="22"/>
          <w:szCs w:val="22"/>
        </w:rPr>
        <w:t>I</w:t>
      </w:r>
      <w:r w:rsidRPr="00257668" w:rsidR="00BA6364">
        <w:rPr>
          <w:sz w:val="22"/>
          <w:szCs w:val="22"/>
        </w:rPr>
        <w:t xml:space="preserve">ndividuals </w:t>
      </w:r>
      <w:r w:rsidRPr="00257668" w:rsidR="0030785F">
        <w:rPr>
          <w:sz w:val="22"/>
          <w:szCs w:val="22"/>
        </w:rPr>
        <w:t>taking photographs or video</w:t>
      </w:r>
      <w:r w:rsidRPr="00257668" w:rsidR="005D12F1">
        <w:rPr>
          <w:sz w:val="22"/>
          <w:szCs w:val="22"/>
        </w:rPr>
        <w:t>s</w:t>
      </w:r>
      <w:r w:rsidRPr="00257668" w:rsidR="0030785F">
        <w:rPr>
          <w:sz w:val="22"/>
          <w:szCs w:val="22"/>
        </w:rPr>
        <w:t xml:space="preserve"> from public areas</w:t>
      </w:r>
      <w:r w:rsidRPr="00257668" w:rsidR="00BA6364">
        <w:rPr>
          <w:sz w:val="22"/>
          <w:szCs w:val="22"/>
        </w:rPr>
        <w:t xml:space="preserve"> adjacent to </w:t>
      </w:r>
      <w:r w:rsidRPr="00257668" w:rsidR="00F06647">
        <w:rPr>
          <w:sz w:val="22"/>
          <w:szCs w:val="22"/>
        </w:rPr>
        <w:t>the</w:t>
      </w:r>
      <w:r w:rsidRPr="00257668" w:rsidR="00EE3BFA">
        <w:rPr>
          <w:sz w:val="22"/>
          <w:szCs w:val="22"/>
        </w:rPr>
        <w:t xml:space="preserve"> licensee’s </w:t>
      </w:r>
      <w:r w:rsidRPr="00257668" w:rsidR="00233FD1">
        <w:rPr>
          <w:sz w:val="22"/>
          <w:szCs w:val="22"/>
        </w:rPr>
        <w:t>facility</w:t>
      </w:r>
      <w:r w:rsidR="002E7BC2">
        <w:rPr>
          <w:sz w:val="22"/>
          <w:szCs w:val="22"/>
        </w:rPr>
        <w:t xml:space="preserve">. </w:t>
      </w:r>
    </w:p>
    <w:p w:rsidRPr="003600C8" w:rsidR="00F9178D" w:rsidP="00EB0E0F" w:rsidRDefault="00F9178D" w14:paraId="5C071ECA" w14:textId="77777777">
      <w:pPr>
        <w:pStyle w:val="ListParagraph"/>
        <w:tabs>
          <w:tab w:val="left" w:pos="-1440"/>
        </w:tabs>
        <w:autoSpaceDE w:val="0"/>
        <w:autoSpaceDN w:val="0"/>
        <w:adjustRightInd w:val="0"/>
        <w:spacing w:after="240"/>
        <w:ind w:left="1080" w:hanging="360"/>
        <w:rPr>
          <w:sz w:val="22"/>
          <w:szCs w:val="22"/>
        </w:rPr>
      </w:pPr>
    </w:p>
    <w:p w:rsidRPr="00257668" w:rsidR="00995557" w:rsidP="00EB0E0F" w:rsidRDefault="00233FD1" w14:paraId="18351077" w14:textId="0584187E">
      <w:pPr>
        <w:pStyle w:val="ListParagraph"/>
        <w:numPr>
          <w:ilvl w:val="1"/>
          <w:numId w:val="34"/>
        </w:numPr>
        <w:tabs>
          <w:tab w:val="left" w:pos="-1440"/>
        </w:tabs>
        <w:autoSpaceDE w:val="0"/>
        <w:autoSpaceDN w:val="0"/>
        <w:adjustRightInd w:val="0"/>
        <w:spacing w:after="240"/>
        <w:ind w:left="1080"/>
        <w:rPr>
          <w:szCs w:val="22"/>
        </w:rPr>
      </w:pPr>
      <w:r w:rsidRPr="00257668">
        <w:rPr>
          <w:sz w:val="22"/>
          <w:szCs w:val="22"/>
        </w:rPr>
        <w:t>Individuals taking photographs or video</w:t>
      </w:r>
      <w:r w:rsidRPr="00257668" w:rsidR="005D12F1">
        <w:rPr>
          <w:sz w:val="22"/>
          <w:szCs w:val="22"/>
        </w:rPr>
        <w:t>s</w:t>
      </w:r>
      <w:r w:rsidRPr="00257668">
        <w:rPr>
          <w:sz w:val="22"/>
          <w:szCs w:val="22"/>
        </w:rPr>
        <w:t xml:space="preserve"> from non-public areas immediately adjacent to their facility</w:t>
      </w:r>
      <w:r w:rsidRPr="00257668" w:rsidR="00B756AB">
        <w:rPr>
          <w:sz w:val="22"/>
          <w:szCs w:val="22"/>
        </w:rPr>
        <w:t xml:space="preserve"> (e.g., the owner-controlled area)</w:t>
      </w:r>
      <w:r w:rsidRPr="00257668">
        <w:rPr>
          <w:sz w:val="22"/>
          <w:szCs w:val="22"/>
        </w:rPr>
        <w:t xml:space="preserve">. </w:t>
      </w:r>
      <w:r w:rsidRPr="00257668" w:rsidR="005D12F1">
        <w:rPr>
          <w:sz w:val="22"/>
          <w:szCs w:val="22"/>
        </w:rPr>
        <w:t>I</w:t>
      </w:r>
      <w:r w:rsidRPr="00257668">
        <w:rPr>
          <w:sz w:val="22"/>
          <w:szCs w:val="22"/>
        </w:rPr>
        <w:t xml:space="preserve">ndividuals taking </w:t>
      </w:r>
      <w:r w:rsidRPr="00257668" w:rsidR="00B756AB">
        <w:rPr>
          <w:sz w:val="22"/>
          <w:szCs w:val="22"/>
        </w:rPr>
        <w:t xml:space="preserve">unauthorized </w:t>
      </w:r>
      <w:r w:rsidRPr="00257668">
        <w:rPr>
          <w:sz w:val="22"/>
          <w:szCs w:val="22"/>
        </w:rPr>
        <w:t>photographs or video</w:t>
      </w:r>
      <w:r w:rsidRPr="00257668" w:rsidR="005D12F1">
        <w:rPr>
          <w:sz w:val="22"/>
          <w:szCs w:val="22"/>
        </w:rPr>
        <w:t>s</w:t>
      </w:r>
      <w:r w:rsidRPr="00257668">
        <w:rPr>
          <w:sz w:val="22"/>
          <w:szCs w:val="22"/>
        </w:rPr>
        <w:t xml:space="preserve"> from inside </w:t>
      </w:r>
      <w:r w:rsidRPr="00257668" w:rsidR="00B834E5">
        <w:rPr>
          <w:sz w:val="22"/>
          <w:szCs w:val="22"/>
        </w:rPr>
        <w:t>the facility</w:t>
      </w:r>
      <w:r w:rsidR="002E7BC2">
        <w:rPr>
          <w:sz w:val="22"/>
          <w:szCs w:val="22"/>
        </w:rPr>
        <w:t xml:space="preserve">. </w:t>
      </w:r>
    </w:p>
    <w:p w:rsidRPr="003600C8" w:rsidR="00F9178D" w:rsidP="00EB0E0F" w:rsidRDefault="00F9178D" w14:paraId="46C559FB" w14:textId="77777777">
      <w:pPr>
        <w:pStyle w:val="ListParagraph"/>
        <w:tabs>
          <w:tab w:val="left" w:pos="-1440"/>
        </w:tabs>
        <w:autoSpaceDE w:val="0"/>
        <w:autoSpaceDN w:val="0"/>
        <w:adjustRightInd w:val="0"/>
        <w:spacing w:after="240"/>
        <w:ind w:left="1080" w:hanging="360"/>
        <w:rPr>
          <w:sz w:val="22"/>
          <w:szCs w:val="22"/>
        </w:rPr>
      </w:pPr>
    </w:p>
    <w:p w:rsidR="00995A5A" w:rsidP="00EB0E0F" w:rsidRDefault="00EE3BFA" w14:paraId="6BD114D4" w14:textId="52FE37CA">
      <w:pPr>
        <w:pStyle w:val="ListParagraph"/>
        <w:numPr>
          <w:ilvl w:val="1"/>
          <w:numId w:val="34"/>
        </w:numPr>
        <w:tabs>
          <w:tab w:val="left" w:pos="-1440"/>
        </w:tabs>
        <w:autoSpaceDE w:val="0"/>
        <w:autoSpaceDN w:val="0"/>
        <w:adjustRightInd w:val="0"/>
        <w:spacing w:after="240"/>
        <w:ind w:left="1080"/>
        <w:rPr>
          <w:sz w:val="22"/>
          <w:szCs w:val="22"/>
        </w:rPr>
      </w:pPr>
      <w:r w:rsidRPr="00257668">
        <w:rPr>
          <w:sz w:val="22"/>
          <w:szCs w:val="22"/>
        </w:rPr>
        <w:t>U</w:t>
      </w:r>
      <w:r w:rsidRPr="00257668" w:rsidR="000425B1">
        <w:rPr>
          <w:sz w:val="22"/>
          <w:szCs w:val="22"/>
        </w:rPr>
        <w:t>nauthori</w:t>
      </w:r>
      <w:r w:rsidRPr="00257668" w:rsidR="006378C1">
        <w:rPr>
          <w:sz w:val="22"/>
          <w:szCs w:val="22"/>
        </w:rPr>
        <w:t xml:space="preserve">zed aerial overflights by </w:t>
      </w:r>
      <w:r w:rsidRPr="00257668" w:rsidR="000425B1">
        <w:rPr>
          <w:sz w:val="22"/>
          <w:szCs w:val="22"/>
        </w:rPr>
        <w:t>unmanned aerial system</w:t>
      </w:r>
      <w:r w:rsidRPr="00257668">
        <w:rPr>
          <w:sz w:val="22"/>
          <w:szCs w:val="22"/>
        </w:rPr>
        <w:t>s</w:t>
      </w:r>
      <w:r w:rsidRPr="00257668" w:rsidR="000425B1">
        <w:rPr>
          <w:sz w:val="22"/>
          <w:szCs w:val="22"/>
        </w:rPr>
        <w:t xml:space="preserve"> (UAS)</w:t>
      </w:r>
      <w:r w:rsidRPr="00257668" w:rsidR="006378C1">
        <w:rPr>
          <w:sz w:val="22"/>
          <w:szCs w:val="22"/>
        </w:rPr>
        <w:t xml:space="preserve"> </w:t>
      </w:r>
      <w:r w:rsidRPr="00257668">
        <w:rPr>
          <w:sz w:val="22"/>
          <w:szCs w:val="22"/>
        </w:rPr>
        <w:t xml:space="preserve">or low flying or circling conventional aircraft overflights of a licensee’s </w:t>
      </w:r>
      <w:r w:rsidRPr="00257668" w:rsidR="00671B53">
        <w:rPr>
          <w:sz w:val="22"/>
          <w:szCs w:val="22"/>
        </w:rPr>
        <w:t>facility</w:t>
      </w:r>
      <w:r w:rsidRPr="00257668">
        <w:rPr>
          <w:sz w:val="22"/>
          <w:szCs w:val="22"/>
        </w:rPr>
        <w:t>.</w:t>
      </w:r>
    </w:p>
    <w:p w:rsidRPr="000E0BAB" w:rsidR="00600177" w:rsidP="00813787" w:rsidRDefault="00600177" w14:paraId="7DAF1233" w14:textId="77777777">
      <w:pPr>
        <w:pStyle w:val="ListParagraph"/>
        <w:tabs>
          <w:tab w:val="left" w:pos="-1440"/>
        </w:tabs>
        <w:autoSpaceDE w:val="0"/>
        <w:autoSpaceDN w:val="0"/>
        <w:adjustRightInd w:val="0"/>
        <w:spacing w:after="240"/>
        <w:ind w:left="1080"/>
        <w:rPr>
          <w:sz w:val="22"/>
          <w:szCs w:val="22"/>
        </w:rPr>
      </w:pPr>
    </w:p>
    <w:p w:rsidRPr="00C318C5" w:rsidR="00D853EF" w:rsidP="00EB0E0F" w:rsidRDefault="00236684" w14:paraId="1C19C73B" w14:textId="2DB95B1C">
      <w:pPr>
        <w:pStyle w:val="ListParagraph"/>
        <w:numPr>
          <w:ilvl w:val="1"/>
          <w:numId w:val="34"/>
        </w:numPr>
        <w:tabs>
          <w:tab w:val="left" w:pos="-1440"/>
        </w:tabs>
        <w:autoSpaceDE w:val="0"/>
        <w:autoSpaceDN w:val="0"/>
        <w:adjustRightInd w:val="0"/>
        <w:spacing w:after="240"/>
        <w:ind w:left="1080"/>
        <w:rPr>
          <w:szCs w:val="22"/>
        </w:rPr>
      </w:pPr>
      <w:r>
        <w:rPr>
          <w:sz w:val="22"/>
          <w:szCs w:val="22"/>
        </w:rPr>
        <w:t>Unauthorized aerial overflights</w:t>
      </w:r>
      <w:r w:rsidR="007A1EF7">
        <w:rPr>
          <w:sz w:val="22"/>
          <w:szCs w:val="22"/>
        </w:rPr>
        <w:t xml:space="preserve"> by UAS </w:t>
      </w:r>
      <w:r w:rsidR="00133A14">
        <w:rPr>
          <w:sz w:val="22"/>
          <w:szCs w:val="22"/>
        </w:rPr>
        <w:t xml:space="preserve">over </w:t>
      </w:r>
      <w:r w:rsidR="007E4061">
        <w:rPr>
          <w:sz w:val="22"/>
          <w:szCs w:val="22"/>
        </w:rPr>
        <w:t>a licensee’s</w:t>
      </w:r>
      <w:r w:rsidR="00761F74">
        <w:rPr>
          <w:sz w:val="22"/>
          <w:szCs w:val="22"/>
        </w:rPr>
        <w:t xml:space="preserve"> facility </w:t>
      </w:r>
      <w:r w:rsidR="00133A14">
        <w:rPr>
          <w:sz w:val="22"/>
          <w:szCs w:val="22"/>
        </w:rPr>
        <w:t xml:space="preserve">when the FAA has </w:t>
      </w:r>
      <w:r w:rsidR="00761F74">
        <w:rPr>
          <w:sz w:val="22"/>
          <w:szCs w:val="22"/>
        </w:rPr>
        <w:t>desi</w:t>
      </w:r>
      <w:r w:rsidR="00B86609">
        <w:rPr>
          <w:sz w:val="22"/>
          <w:szCs w:val="22"/>
        </w:rPr>
        <w:t xml:space="preserve">gnated </w:t>
      </w:r>
      <w:r w:rsidR="00133A14">
        <w:rPr>
          <w:sz w:val="22"/>
          <w:szCs w:val="22"/>
        </w:rPr>
        <w:t xml:space="preserve">the airspace </w:t>
      </w:r>
      <w:r w:rsidR="00B86609">
        <w:rPr>
          <w:sz w:val="22"/>
          <w:szCs w:val="22"/>
        </w:rPr>
        <w:t>as restricted airspace</w:t>
      </w:r>
      <w:r w:rsidR="006B46A2">
        <w:rPr>
          <w:sz w:val="22"/>
          <w:szCs w:val="22"/>
        </w:rPr>
        <w:t xml:space="preserve"> under 14 CFR </w:t>
      </w:r>
      <w:r w:rsidR="00387E46">
        <w:rPr>
          <w:sz w:val="22"/>
          <w:szCs w:val="22"/>
        </w:rPr>
        <w:t xml:space="preserve">99.7, </w:t>
      </w:r>
      <w:r w:rsidR="00C56014">
        <w:rPr>
          <w:sz w:val="22"/>
          <w:szCs w:val="22"/>
        </w:rPr>
        <w:t>“</w:t>
      </w:r>
      <w:r w:rsidR="00387E46">
        <w:rPr>
          <w:sz w:val="22"/>
          <w:szCs w:val="22"/>
        </w:rPr>
        <w:t>Special security instructions,”</w:t>
      </w:r>
      <w:r w:rsidR="00C56014">
        <w:rPr>
          <w:sz w:val="22"/>
          <w:szCs w:val="22"/>
        </w:rPr>
        <w:t xml:space="preserve"> (Ref.</w:t>
      </w:r>
      <w:r w:rsidR="00096CDB">
        <w:rPr>
          <w:sz w:val="22"/>
          <w:szCs w:val="22"/>
        </w:rPr>
        <w:t> </w:t>
      </w:r>
      <w:r w:rsidR="00FE1FC8">
        <w:rPr>
          <w:sz w:val="22"/>
          <w:szCs w:val="22"/>
        </w:rPr>
        <w:t>18</w:t>
      </w:r>
      <w:r w:rsidR="00C56014">
        <w:rPr>
          <w:sz w:val="22"/>
          <w:szCs w:val="22"/>
        </w:rPr>
        <w:t>).</w:t>
      </w:r>
      <w:r w:rsidRPr="00257668" w:rsidR="00EE3BFA">
        <w:rPr>
          <w:sz w:val="22"/>
          <w:szCs w:val="22"/>
        </w:rPr>
        <w:t xml:space="preserve"> </w:t>
      </w:r>
    </w:p>
    <w:p w:rsidR="00C318C5" w:rsidP="00BC06F6" w:rsidRDefault="00C318C5" w14:paraId="184FE9DF" w14:textId="4B558661">
      <w:pPr>
        <w:pStyle w:val="ListParagraph"/>
        <w:tabs>
          <w:tab w:val="left" w:pos="-1440"/>
        </w:tabs>
        <w:autoSpaceDE w:val="0"/>
        <w:autoSpaceDN w:val="0"/>
        <w:adjustRightInd w:val="0"/>
        <w:spacing w:after="240"/>
        <w:ind w:left="1080"/>
        <w:rPr>
          <w:sz w:val="22"/>
          <w:szCs w:val="22"/>
        </w:rPr>
      </w:pPr>
    </w:p>
    <w:p w:rsidRPr="00FB57C4" w:rsidR="00BC06F6" w:rsidP="003D211C" w:rsidRDefault="00BC06F6" w14:paraId="2B110D1C" w14:textId="661DFE2D">
      <w:pPr>
        <w:pStyle w:val="ListParagraph"/>
        <w:tabs>
          <w:tab w:val="left" w:pos="-1440"/>
        </w:tabs>
        <w:autoSpaceDE w:val="0"/>
        <w:autoSpaceDN w:val="0"/>
        <w:adjustRightInd w:val="0"/>
        <w:spacing w:after="240"/>
        <w:ind w:left="1800" w:hanging="720"/>
        <w:rPr>
          <w:sz w:val="22"/>
          <w:szCs w:val="22"/>
        </w:rPr>
      </w:pPr>
      <w:r w:rsidRPr="00FB57C4">
        <w:rPr>
          <w:b/>
          <w:bCs/>
          <w:sz w:val="22"/>
          <w:szCs w:val="22"/>
        </w:rPr>
        <w:t>Note:</w:t>
      </w:r>
      <w:r w:rsidR="00600177">
        <w:rPr>
          <w:sz w:val="22"/>
          <w:szCs w:val="22"/>
        </w:rPr>
        <w:t xml:space="preserve"> </w:t>
      </w:r>
      <w:r w:rsidRPr="00FB57C4" w:rsidR="00252A91">
        <w:rPr>
          <w:sz w:val="22"/>
          <w:szCs w:val="22"/>
        </w:rPr>
        <w:t>See Appendix A</w:t>
      </w:r>
      <w:r w:rsidRPr="00FB57C4" w:rsidR="006B0A64">
        <w:rPr>
          <w:sz w:val="22"/>
          <w:szCs w:val="22"/>
        </w:rPr>
        <w:t xml:space="preserve">, Section A-5, </w:t>
      </w:r>
      <w:r w:rsidR="00303230">
        <w:rPr>
          <w:sz w:val="22"/>
          <w:szCs w:val="22"/>
        </w:rPr>
        <w:t xml:space="preserve">of this RG </w:t>
      </w:r>
      <w:r w:rsidRPr="00FB57C4" w:rsidR="006B0A64">
        <w:rPr>
          <w:sz w:val="22"/>
          <w:szCs w:val="22"/>
        </w:rPr>
        <w:t>for further discussion of restricted airspace</w:t>
      </w:r>
      <w:r w:rsidRPr="00FB57C4" w:rsidR="00FB57C4">
        <w:rPr>
          <w:sz w:val="22"/>
          <w:szCs w:val="22"/>
        </w:rPr>
        <w:t>.</w:t>
      </w:r>
    </w:p>
    <w:p w:rsidRPr="00631150" w:rsidR="00B247F1" w:rsidP="00C2782B" w:rsidRDefault="00B247F1" w14:paraId="16C5EE71" w14:textId="77777777">
      <w:pPr>
        <w:outlineLvl w:val="2"/>
        <w:rPr>
          <w:szCs w:val="22"/>
        </w:rPr>
      </w:pPr>
      <w:bookmarkStart w:name="_Toc73021745" w:id="203"/>
      <w:r w:rsidRPr="00631150">
        <w:rPr>
          <w:szCs w:val="22"/>
        </w:rPr>
        <w:t>5.3.2</w:t>
      </w:r>
      <w:r w:rsidRPr="00631150">
        <w:rPr>
          <w:szCs w:val="22"/>
        </w:rPr>
        <w:tab/>
        <w:t>Potentially Not-Reportable Examples</w:t>
      </w:r>
      <w:bookmarkEnd w:id="203"/>
    </w:p>
    <w:p w:rsidR="00B247F1" w:rsidP="00B247F1" w:rsidRDefault="00B247F1" w14:paraId="780D5551" w14:textId="77777777">
      <w:pPr>
        <w:tabs>
          <w:tab w:val="left" w:pos="-1440"/>
        </w:tabs>
        <w:autoSpaceDE w:val="0"/>
        <w:autoSpaceDN w:val="0"/>
        <w:adjustRightInd w:val="0"/>
        <w:rPr>
          <w:szCs w:val="22"/>
        </w:rPr>
      </w:pPr>
    </w:p>
    <w:p w:rsidRPr="00CE0234" w:rsidR="00D853EF" w:rsidP="00D853EF" w:rsidRDefault="00D853EF" w14:paraId="23FCDC21" w14:textId="65F0C49F">
      <w:pPr>
        <w:tabs>
          <w:tab w:val="left" w:pos="-1440"/>
        </w:tabs>
        <w:autoSpaceDE w:val="0"/>
        <w:autoSpaceDN w:val="0"/>
        <w:adjustRightInd w:val="0"/>
        <w:ind w:firstLine="720"/>
        <w:rPr>
          <w:szCs w:val="22"/>
        </w:rPr>
      </w:pPr>
      <w:r w:rsidRPr="00CE0234">
        <w:rPr>
          <w:szCs w:val="22"/>
        </w:rPr>
        <w:t xml:space="preserve">The NRC staff is </w:t>
      </w:r>
      <w:r w:rsidRPr="00CE0234" w:rsidR="001031E6">
        <w:rPr>
          <w:szCs w:val="22"/>
        </w:rPr>
        <w:t xml:space="preserve">also </w:t>
      </w:r>
      <w:r w:rsidRPr="00CE0234">
        <w:rPr>
          <w:szCs w:val="22"/>
        </w:rPr>
        <w:t xml:space="preserve">providing the following examples of some activities </w:t>
      </w:r>
      <w:r w:rsidR="00CE0234">
        <w:rPr>
          <w:szCs w:val="22"/>
        </w:rPr>
        <w:t xml:space="preserve">that </w:t>
      </w:r>
      <w:r w:rsidRPr="00CE0234">
        <w:rPr>
          <w:szCs w:val="22"/>
        </w:rPr>
        <w:t xml:space="preserve">a licensee </w:t>
      </w:r>
      <w:r w:rsidR="00CE0234">
        <w:rPr>
          <w:szCs w:val="22"/>
        </w:rPr>
        <w:t xml:space="preserve">may </w:t>
      </w:r>
      <w:r w:rsidRPr="00CE0234">
        <w:rPr>
          <w:szCs w:val="22"/>
        </w:rPr>
        <w:t xml:space="preserve">not consider </w:t>
      </w:r>
      <w:r w:rsidR="00B85C94">
        <w:rPr>
          <w:szCs w:val="22"/>
        </w:rPr>
        <w:t>as</w:t>
      </w:r>
      <w:r w:rsidRPr="00CE0234" w:rsidR="00B85C94">
        <w:rPr>
          <w:szCs w:val="22"/>
        </w:rPr>
        <w:t xml:space="preserve"> </w:t>
      </w:r>
      <w:r w:rsidRPr="00CE0234">
        <w:rPr>
          <w:szCs w:val="22"/>
        </w:rPr>
        <w:t>suspicious activity.</w:t>
      </w:r>
      <w:r w:rsidR="00B85C94">
        <w:rPr>
          <w:szCs w:val="22"/>
        </w:rPr>
        <w:t xml:space="preserve"> These examples are not exhaustive.</w:t>
      </w:r>
    </w:p>
    <w:p w:rsidRPr="00257668" w:rsidR="00D853EF" w:rsidP="00D853EF" w:rsidRDefault="00D853EF" w14:paraId="3695B295" w14:textId="77777777">
      <w:pPr>
        <w:tabs>
          <w:tab w:val="left" w:pos="-1440"/>
        </w:tabs>
        <w:autoSpaceDE w:val="0"/>
        <w:autoSpaceDN w:val="0"/>
        <w:adjustRightInd w:val="0"/>
        <w:ind w:firstLine="720"/>
        <w:rPr>
          <w:szCs w:val="22"/>
        </w:rPr>
      </w:pPr>
    </w:p>
    <w:p w:rsidR="008D755C" w:rsidP="00EB0E0F" w:rsidRDefault="00F10E40" w14:paraId="0572C98C" w14:textId="28D05A52">
      <w:pPr>
        <w:pStyle w:val="ListParagraph"/>
        <w:numPr>
          <w:ilvl w:val="1"/>
          <w:numId w:val="35"/>
        </w:numPr>
        <w:tabs>
          <w:tab w:val="left" w:pos="-1440"/>
        </w:tabs>
        <w:autoSpaceDE w:val="0"/>
        <w:autoSpaceDN w:val="0"/>
        <w:adjustRightInd w:val="0"/>
        <w:spacing w:after="240"/>
        <w:ind w:left="1080" w:hanging="360"/>
        <w:rPr>
          <w:sz w:val="22"/>
          <w:szCs w:val="22"/>
        </w:rPr>
      </w:pPr>
      <w:r w:rsidRPr="003D211C">
        <w:rPr>
          <w:sz w:val="22"/>
          <w:szCs w:val="22"/>
        </w:rPr>
        <w:t>Recording of information</w:t>
      </w:r>
      <w:r w:rsidRPr="003D211C" w:rsidR="00BA3328">
        <w:rPr>
          <w:sz w:val="22"/>
          <w:szCs w:val="22"/>
        </w:rPr>
        <w:t xml:space="preserve"> into </w:t>
      </w:r>
      <w:r w:rsidRPr="003D211C" w:rsidR="004935C1">
        <w:rPr>
          <w:sz w:val="22"/>
          <w:szCs w:val="22"/>
        </w:rPr>
        <w:t xml:space="preserve">personal </w:t>
      </w:r>
      <w:r w:rsidRPr="003D211C" w:rsidR="00D34857">
        <w:rPr>
          <w:sz w:val="22"/>
          <w:szCs w:val="22"/>
        </w:rPr>
        <w:t xml:space="preserve">diaries </w:t>
      </w:r>
      <w:r w:rsidRPr="003D211C" w:rsidR="0044575A">
        <w:rPr>
          <w:sz w:val="22"/>
          <w:szCs w:val="22"/>
        </w:rPr>
        <w:t>that would</w:t>
      </w:r>
      <w:r w:rsidRPr="003D211C" w:rsidR="00600E82">
        <w:rPr>
          <w:sz w:val="22"/>
          <w:szCs w:val="22"/>
        </w:rPr>
        <w:t xml:space="preserve"> not be indicative of</w:t>
      </w:r>
      <w:r w:rsidRPr="003D211C" w:rsidR="00DF620C">
        <w:rPr>
          <w:sz w:val="22"/>
          <w:szCs w:val="22"/>
        </w:rPr>
        <w:t xml:space="preserve"> potential preoperational surveillance, </w:t>
      </w:r>
      <w:r w:rsidRPr="003D211C" w:rsidR="004E0DAA">
        <w:rPr>
          <w:sz w:val="22"/>
          <w:szCs w:val="22"/>
        </w:rPr>
        <w:t>reconnaissance</w:t>
      </w:r>
      <w:r w:rsidRPr="003D211C" w:rsidR="00DF620C">
        <w:rPr>
          <w:sz w:val="22"/>
          <w:szCs w:val="22"/>
        </w:rPr>
        <w:t>, or intelligence-gathering activities</w:t>
      </w:r>
      <w:r w:rsidRPr="003D211C" w:rsidR="00D34857">
        <w:rPr>
          <w:sz w:val="22"/>
          <w:szCs w:val="22"/>
        </w:rPr>
        <w:t>.</w:t>
      </w:r>
    </w:p>
    <w:p w:rsidR="00DF0932" w:rsidP="00DF0932" w:rsidRDefault="00DF0932" w14:paraId="5C25D015" w14:textId="77777777">
      <w:pPr>
        <w:pStyle w:val="ListParagraph"/>
        <w:tabs>
          <w:tab w:val="left" w:pos="-1440"/>
        </w:tabs>
        <w:autoSpaceDE w:val="0"/>
        <w:autoSpaceDN w:val="0"/>
        <w:adjustRightInd w:val="0"/>
        <w:spacing w:after="240"/>
        <w:ind w:left="1080"/>
        <w:rPr>
          <w:sz w:val="22"/>
          <w:szCs w:val="22"/>
        </w:rPr>
      </w:pPr>
    </w:p>
    <w:p w:rsidRPr="003D211C" w:rsidR="00DF0932" w:rsidP="00EB0E0F" w:rsidRDefault="00DF0932" w14:paraId="1AD7BA6E" w14:textId="0DDB1564">
      <w:pPr>
        <w:pStyle w:val="ListParagraph"/>
        <w:numPr>
          <w:ilvl w:val="1"/>
          <w:numId w:val="35"/>
        </w:numPr>
        <w:tabs>
          <w:tab w:val="left" w:pos="-1440"/>
        </w:tabs>
        <w:autoSpaceDE w:val="0"/>
        <w:autoSpaceDN w:val="0"/>
        <w:adjustRightInd w:val="0"/>
        <w:spacing w:after="240"/>
        <w:ind w:left="1080" w:hanging="360"/>
        <w:rPr>
          <w:sz w:val="22"/>
          <w:szCs w:val="22"/>
        </w:rPr>
      </w:pPr>
      <w:r>
        <w:rPr>
          <w:sz w:val="22"/>
          <w:szCs w:val="22"/>
        </w:rPr>
        <w:t>Photographs by members of a tour group at locations where the licensee has authorized photography.</w:t>
      </w:r>
    </w:p>
    <w:p w:rsidRPr="00611CD9" w:rsidR="00D34857" w:rsidP="00431C2A" w:rsidRDefault="00D34857" w14:paraId="318AAAE3" w14:textId="77777777">
      <w:pPr>
        <w:pStyle w:val="ListParagraph"/>
        <w:tabs>
          <w:tab w:val="left" w:pos="-1440"/>
        </w:tabs>
        <w:autoSpaceDE w:val="0"/>
        <w:autoSpaceDN w:val="0"/>
        <w:adjustRightInd w:val="0"/>
        <w:spacing w:after="240"/>
        <w:ind w:left="1080"/>
        <w:rPr>
          <w:szCs w:val="22"/>
        </w:rPr>
      </w:pPr>
    </w:p>
    <w:p w:rsidRPr="00257668" w:rsidR="00D853EF" w:rsidP="00EB0E0F" w:rsidRDefault="002474AA" w14:paraId="27F0DABE" w14:textId="60B3F66E">
      <w:pPr>
        <w:pStyle w:val="ListParagraph"/>
        <w:numPr>
          <w:ilvl w:val="1"/>
          <w:numId w:val="35"/>
        </w:numPr>
        <w:tabs>
          <w:tab w:val="left" w:pos="-1440"/>
        </w:tabs>
        <w:autoSpaceDE w:val="0"/>
        <w:autoSpaceDN w:val="0"/>
        <w:adjustRightInd w:val="0"/>
        <w:spacing w:after="240"/>
        <w:ind w:left="1080" w:hanging="360"/>
        <w:rPr>
          <w:szCs w:val="22"/>
        </w:rPr>
      </w:pPr>
      <w:r w:rsidRPr="00257668">
        <w:rPr>
          <w:sz w:val="22"/>
          <w:szCs w:val="22"/>
        </w:rPr>
        <w:t>Planned a</w:t>
      </w:r>
      <w:r w:rsidRPr="00257668" w:rsidR="00D853EF">
        <w:rPr>
          <w:sz w:val="22"/>
          <w:szCs w:val="22"/>
        </w:rPr>
        <w:t xml:space="preserve">erial overflights supporting </w:t>
      </w:r>
      <w:r w:rsidRPr="00257668">
        <w:rPr>
          <w:sz w:val="22"/>
          <w:szCs w:val="22"/>
        </w:rPr>
        <w:t>licensee tr</w:t>
      </w:r>
      <w:r w:rsidRPr="00257668" w:rsidR="00CC4A28">
        <w:rPr>
          <w:sz w:val="22"/>
          <w:szCs w:val="22"/>
        </w:rPr>
        <w:t xml:space="preserve">ansmission line monitoring or maintenance, emergency preparedness planning, emergency preparedness exercises, emergency </w:t>
      </w:r>
      <w:r w:rsidRPr="00257668" w:rsidR="001031E6">
        <w:rPr>
          <w:sz w:val="22"/>
          <w:szCs w:val="22"/>
        </w:rPr>
        <w:t>response</w:t>
      </w:r>
      <w:r w:rsidRPr="00257668" w:rsidR="00CC4A28">
        <w:rPr>
          <w:sz w:val="22"/>
          <w:szCs w:val="22"/>
        </w:rPr>
        <w:t xml:space="preserve"> events</w:t>
      </w:r>
      <w:r w:rsidR="00AE3270">
        <w:rPr>
          <w:sz w:val="22"/>
          <w:szCs w:val="22"/>
        </w:rPr>
        <w:t>, and thermal imaging or radiation survey studies</w:t>
      </w:r>
      <w:r w:rsidRPr="00257668" w:rsidR="00CC4A28">
        <w:rPr>
          <w:sz w:val="22"/>
          <w:szCs w:val="22"/>
        </w:rPr>
        <w:t>.</w:t>
      </w:r>
      <w:r w:rsidR="00B85C94">
        <w:rPr>
          <w:sz w:val="22"/>
          <w:szCs w:val="22"/>
        </w:rPr>
        <w:t xml:space="preserve"> Licensees should coordinate such flights with their local FAA if the airspace over their facility has been designated by the FAA as restricted airspace.</w:t>
      </w:r>
    </w:p>
    <w:p w:rsidRPr="003600C8" w:rsidR="00F9178D" w:rsidP="00EB0E0F" w:rsidRDefault="00F9178D" w14:paraId="5E0471FB" w14:textId="77777777">
      <w:pPr>
        <w:pStyle w:val="ListParagraph"/>
        <w:tabs>
          <w:tab w:val="left" w:pos="-1440"/>
        </w:tabs>
        <w:autoSpaceDE w:val="0"/>
        <w:autoSpaceDN w:val="0"/>
        <w:adjustRightInd w:val="0"/>
        <w:spacing w:after="240"/>
        <w:ind w:left="1080" w:hanging="360"/>
        <w:rPr>
          <w:sz w:val="22"/>
          <w:szCs w:val="22"/>
        </w:rPr>
      </w:pPr>
    </w:p>
    <w:p w:rsidRPr="00257668" w:rsidR="00154385" w:rsidP="00974F3C" w:rsidRDefault="002474AA" w14:paraId="6B95848B" w14:textId="15E133E1">
      <w:pPr>
        <w:pStyle w:val="ListParagraph"/>
        <w:numPr>
          <w:ilvl w:val="1"/>
          <w:numId w:val="35"/>
        </w:numPr>
        <w:tabs>
          <w:tab w:val="left" w:pos="-1440"/>
        </w:tabs>
        <w:autoSpaceDE w:val="0"/>
        <w:autoSpaceDN w:val="0"/>
        <w:adjustRightInd w:val="0"/>
        <w:ind w:left="1080" w:hanging="360"/>
        <w:rPr>
          <w:szCs w:val="22"/>
        </w:rPr>
      </w:pPr>
      <w:r w:rsidRPr="00257668">
        <w:rPr>
          <w:sz w:val="22"/>
          <w:szCs w:val="22"/>
        </w:rPr>
        <w:t>Planned a</w:t>
      </w:r>
      <w:r w:rsidRPr="00257668" w:rsidR="00CC4A28">
        <w:rPr>
          <w:sz w:val="22"/>
          <w:szCs w:val="22"/>
        </w:rPr>
        <w:t xml:space="preserve">erial </w:t>
      </w:r>
      <w:r w:rsidRPr="00257668" w:rsidR="00D853EF">
        <w:rPr>
          <w:sz w:val="22"/>
          <w:szCs w:val="22"/>
        </w:rPr>
        <w:t xml:space="preserve">overflights </w:t>
      </w:r>
      <w:r w:rsidR="00DF0932">
        <w:rPr>
          <w:sz w:val="22"/>
          <w:szCs w:val="22"/>
        </w:rPr>
        <w:t>conducted by</w:t>
      </w:r>
      <w:r w:rsidRPr="00257668" w:rsidR="00CC4A28">
        <w:rPr>
          <w:sz w:val="22"/>
          <w:szCs w:val="22"/>
        </w:rPr>
        <w:t xml:space="preserve"> State or Federal agencies or </w:t>
      </w:r>
      <w:r w:rsidRPr="00257668" w:rsidR="001031E6">
        <w:rPr>
          <w:sz w:val="22"/>
          <w:szCs w:val="22"/>
        </w:rPr>
        <w:t xml:space="preserve">their </w:t>
      </w:r>
      <w:r w:rsidRPr="00257668" w:rsidR="00CC4A28">
        <w:rPr>
          <w:sz w:val="22"/>
          <w:szCs w:val="22"/>
        </w:rPr>
        <w:t>contractors</w:t>
      </w:r>
      <w:r w:rsidR="00DF0932">
        <w:rPr>
          <w:sz w:val="22"/>
          <w:szCs w:val="22"/>
        </w:rPr>
        <w:t xml:space="preserve"> or other external entities that have coordinated their flights with the licensee</w:t>
      </w:r>
      <w:r w:rsidRPr="00257668" w:rsidR="00CC4A28">
        <w:rPr>
          <w:sz w:val="22"/>
          <w:szCs w:val="22"/>
        </w:rPr>
        <w:t>.</w:t>
      </w:r>
    </w:p>
    <w:p w:rsidRPr="003600C8" w:rsidR="00F9178D" w:rsidP="00974F3C" w:rsidRDefault="00F9178D" w14:paraId="620ACAF2" w14:textId="77777777">
      <w:pPr>
        <w:pStyle w:val="ListParagraph"/>
        <w:tabs>
          <w:tab w:val="left" w:pos="-1440"/>
        </w:tabs>
        <w:autoSpaceDE w:val="0"/>
        <w:autoSpaceDN w:val="0"/>
        <w:adjustRightInd w:val="0"/>
        <w:ind w:left="1080" w:hanging="360"/>
        <w:rPr>
          <w:sz w:val="22"/>
          <w:szCs w:val="22"/>
        </w:rPr>
      </w:pPr>
    </w:p>
    <w:p w:rsidRPr="00257668" w:rsidR="00AB3474" w:rsidP="0006146E" w:rsidRDefault="00AB3474" w14:paraId="07793538" w14:textId="798C6ADA">
      <w:pPr>
        <w:tabs>
          <w:tab w:val="left" w:pos="-1440"/>
        </w:tabs>
        <w:autoSpaceDE w:val="0"/>
        <w:autoSpaceDN w:val="0"/>
        <w:adjustRightInd w:val="0"/>
        <w:rPr>
          <w:szCs w:val="22"/>
        </w:rPr>
      </w:pPr>
    </w:p>
    <w:p w:rsidRPr="00B0515C" w:rsidR="00BD73B1" w:rsidRDefault="00B0515C" w14:paraId="4FFB5718" w14:textId="77777777">
      <w:pPr>
        <w:pStyle w:val="Heading2"/>
        <w:numPr>
          <w:ilvl w:val="0"/>
          <w:numId w:val="0"/>
        </w:numPr>
      </w:pPr>
      <w:bookmarkStart w:name="_Toc475809428" w:id="204"/>
      <w:bookmarkStart w:name="_Toc475809785" w:id="205"/>
      <w:bookmarkStart w:name="_Toc475810721" w:id="206"/>
      <w:bookmarkStart w:name="_Toc475810883" w:id="207"/>
      <w:bookmarkStart w:name="_Toc475894575" w:id="208"/>
      <w:bookmarkStart w:name="_Toc475948022" w:id="209"/>
      <w:bookmarkStart w:name="_Toc475948297" w:id="210"/>
      <w:bookmarkStart w:name="_Toc475948374" w:id="211"/>
      <w:bookmarkStart w:name="_Toc475948537" w:id="212"/>
      <w:bookmarkStart w:name="_Toc475949672" w:id="213"/>
      <w:bookmarkStart w:name="_Toc475979123" w:id="214"/>
      <w:bookmarkStart w:name="_Toc475979365" w:id="215"/>
      <w:bookmarkStart w:name="_Toc475979697" w:id="216"/>
      <w:bookmarkStart w:name="_Toc475992195" w:id="217"/>
      <w:bookmarkStart w:name="_Toc476022435" w:id="218"/>
      <w:bookmarkStart w:name="_Toc476031329" w:id="219"/>
      <w:bookmarkStart w:name="_Toc477720641" w:id="220"/>
      <w:bookmarkStart w:name="_Toc477857437" w:id="221"/>
      <w:bookmarkStart w:name="_Toc477946036" w:id="222"/>
      <w:bookmarkStart w:name="_Toc477961838" w:id="223"/>
      <w:bookmarkStart w:name="_Toc494891507" w:id="224"/>
      <w:bookmarkStart w:name="_Toc496269808" w:id="225"/>
      <w:bookmarkStart w:name="_Toc496270190" w:id="226"/>
      <w:bookmarkStart w:name="_Toc507399461" w:id="227"/>
      <w:bookmarkStart w:name="_Toc507399784" w:id="228"/>
      <w:bookmarkStart w:name="_Toc507400031" w:id="229"/>
      <w:bookmarkStart w:name="_Toc9865797" w:id="230"/>
      <w:bookmarkStart w:name="_Toc9866004" w:id="231"/>
      <w:bookmarkStart w:name="_Toc9866170" w:id="232"/>
      <w:bookmarkStart w:name="_Toc10744175" w:id="233"/>
      <w:bookmarkStart w:name="_Toc507400032" w:id="234"/>
      <w:bookmarkStart w:name="_Toc29213198" w:id="235"/>
      <w:bookmarkStart w:name="_Toc73021746" w:id="236"/>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lastRenderedPageBreak/>
        <w:t>5.4</w:t>
      </w:r>
      <w:r>
        <w:tab/>
      </w:r>
      <w:bookmarkStart w:name="_Toc26362862" w:id="237"/>
      <w:r w:rsidRPr="00B0515C" w:rsidR="00BD73B1">
        <w:t>Challenges to Communication Systems or Security Systems</w:t>
      </w:r>
      <w:bookmarkEnd w:id="234"/>
      <w:r w:rsidRPr="00B0515C" w:rsidR="00B35ECD">
        <w:t xml:space="preserve"> - Shipping</w:t>
      </w:r>
      <w:bookmarkEnd w:id="235"/>
      <w:bookmarkEnd w:id="236"/>
      <w:bookmarkEnd w:id="237"/>
    </w:p>
    <w:p w:rsidRPr="00CE0234" w:rsidR="00BD73B1" w:rsidRDefault="00BD73B1" w14:paraId="784924EF" w14:textId="77777777">
      <w:pPr>
        <w:tabs>
          <w:tab w:val="left" w:pos="-1440"/>
        </w:tabs>
        <w:autoSpaceDE w:val="0"/>
        <w:autoSpaceDN w:val="0"/>
        <w:adjustRightInd w:val="0"/>
        <w:ind w:left="720"/>
        <w:outlineLvl w:val="2"/>
        <w:rPr>
          <w:szCs w:val="22"/>
        </w:rPr>
      </w:pPr>
    </w:p>
    <w:p w:rsidRPr="00CE0234" w:rsidR="002F33B7" w:rsidRDefault="00764D20" w14:paraId="291AD046" w14:textId="219895A3">
      <w:pPr>
        <w:ind w:firstLine="720"/>
        <w:rPr>
          <w:szCs w:val="22"/>
        </w:rPr>
      </w:pPr>
      <w:r w:rsidRPr="00CE0234">
        <w:rPr>
          <w:szCs w:val="22"/>
        </w:rPr>
        <w:t>Challenges to a licensee’s communication or security systems are typically intended to assess the ability of a licensee</w:t>
      </w:r>
      <w:r w:rsidRPr="00CE0234" w:rsidR="00D54111">
        <w:rPr>
          <w:szCs w:val="22"/>
        </w:rPr>
        <w:t xml:space="preserve"> </w:t>
      </w:r>
      <w:r w:rsidRPr="00CE0234">
        <w:rPr>
          <w:szCs w:val="22"/>
        </w:rPr>
        <w:t xml:space="preserve">or </w:t>
      </w:r>
      <w:r w:rsidRPr="00CE0234" w:rsidR="00D54111">
        <w:rPr>
          <w:szCs w:val="22"/>
        </w:rPr>
        <w:t xml:space="preserve">a </w:t>
      </w:r>
      <w:r w:rsidRPr="00CE0234">
        <w:rPr>
          <w:szCs w:val="22"/>
        </w:rPr>
        <w:t>movement control center to evaluate an abnormal security situation and then to observe responses by personnel and any implementation of contingency response procedures or protocols</w:t>
      </w:r>
      <w:r w:rsidR="002E7BC2">
        <w:rPr>
          <w:szCs w:val="22"/>
        </w:rPr>
        <w:t xml:space="preserve">. </w:t>
      </w:r>
    </w:p>
    <w:p w:rsidRPr="00CE0234" w:rsidR="002F33B7" w:rsidRDefault="002F33B7" w14:paraId="04B4D331" w14:textId="77777777">
      <w:pPr>
        <w:ind w:firstLine="720"/>
        <w:rPr>
          <w:szCs w:val="22"/>
        </w:rPr>
      </w:pPr>
    </w:p>
    <w:p w:rsidRPr="00CE0234" w:rsidR="00282E52" w:rsidRDefault="002F33B7" w14:paraId="2816B666" w14:textId="309E8205">
      <w:pPr>
        <w:ind w:firstLine="720"/>
        <w:rPr>
          <w:szCs w:val="22"/>
        </w:rPr>
      </w:pPr>
      <w:r w:rsidRPr="00CE0234">
        <w:rPr>
          <w:szCs w:val="22"/>
        </w:rPr>
        <w:t>The NRC staff is providing the following</w:t>
      </w:r>
      <w:r w:rsidRPr="00CE0234" w:rsidR="006D4962">
        <w:rPr>
          <w:szCs w:val="22"/>
        </w:rPr>
        <w:t xml:space="preserve"> examples of</w:t>
      </w:r>
      <w:r w:rsidR="00123E3A">
        <w:rPr>
          <w:szCs w:val="22"/>
        </w:rPr>
        <w:t xml:space="preserve"> </w:t>
      </w:r>
      <w:r w:rsidRPr="00CE0234" w:rsidR="006D4962">
        <w:rPr>
          <w:szCs w:val="22"/>
        </w:rPr>
        <w:t xml:space="preserve">activities </w:t>
      </w:r>
      <w:r w:rsidRPr="00CE0234" w:rsidR="00C214CE">
        <w:rPr>
          <w:szCs w:val="22"/>
        </w:rPr>
        <w:t>a licensee may consider assessing as a potentially reportable suspicious activity</w:t>
      </w:r>
      <w:r w:rsidR="002E7BC2">
        <w:rPr>
          <w:szCs w:val="22"/>
        </w:rPr>
        <w:t xml:space="preserve">. </w:t>
      </w:r>
    </w:p>
    <w:p w:rsidRPr="00257668" w:rsidR="000D7542" w:rsidRDefault="000D7542" w14:paraId="0A60385B" w14:textId="77777777">
      <w:pPr>
        <w:ind w:firstLine="720"/>
        <w:rPr>
          <w:szCs w:val="22"/>
        </w:rPr>
      </w:pPr>
    </w:p>
    <w:p w:rsidRPr="00257668" w:rsidR="004D7633" w:rsidP="003C3D20" w:rsidRDefault="008332F2" w14:paraId="285EB19C" w14:textId="77777777">
      <w:pPr>
        <w:pStyle w:val="ListParagraph"/>
        <w:numPr>
          <w:ilvl w:val="1"/>
          <w:numId w:val="33"/>
        </w:numPr>
        <w:tabs>
          <w:tab w:val="left" w:pos="-1440"/>
        </w:tabs>
        <w:autoSpaceDE w:val="0"/>
        <w:autoSpaceDN w:val="0"/>
        <w:adjustRightInd w:val="0"/>
        <w:ind w:left="1080" w:hanging="360"/>
        <w:rPr>
          <w:szCs w:val="22"/>
        </w:rPr>
      </w:pPr>
      <w:r w:rsidRPr="00257668">
        <w:rPr>
          <w:sz w:val="22"/>
          <w:szCs w:val="22"/>
        </w:rPr>
        <w:t>A</w:t>
      </w:r>
      <w:r w:rsidRPr="00257668" w:rsidR="004D7633">
        <w:rPr>
          <w:sz w:val="22"/>
          <w:szCs w:val="22"/>
        </w:rPr>
        <w:t xml:space="preserve">ttempted challenges to transport </w:t>
      </w:r>
      <w:r w:rsidRPr="00257668" w:rsidR="00605FAB">
        <w:rPr>
          <w:sz w:val="22"/>
          <w:szCs w:val="22"/>
        </w:rPr>
        <w:t xml:space="preserve">vehicle security systems, </w:t>
      </w:r>
      <w:r w:rsidRPr="00257668" w:rsidR="006A12AD">
        <w:rPr>
          <w:sz w:val="22"/>
          <w:szCs w:val="22"/>
        </w:rPr>
        <w:t xml:space="preserve">vehicle communication or position monitoring systems, </w:t>
      </w:r>
      <w:r w:rsidRPr="00257668" w:rsidR="004E4F64">
        <w:rPr>
          <w:sz w:val="22"/>
          <w:szCs w:val="22"/>
        </w:rPr>
        <w:t xml:space="preserve">immobilization systems, </w:t>
      </w:r>
      <w:r w:rsidRPr="00257668" w:rsidR="006A12AD">
        <w:rPr>
          <w:sz w:val="22"/>
          <w:szCs w:val="22"/>
        </w:rPr>
        <w:t xml:space="preserve">or </w:t>
      </w:r>
      <w:r w:rsidRPr="00257668" w:rsidR="00605FAB">
        <w:rPr>
          <w:sz w:val="22"/>
          <w:szCs w:val="22"/>
        </w:rPr>
        <w:t>transportation package security systems.</w:t>
      </w:r>
    </w:p>
    <w:p w:rsidRPr="003600C8" w:rsidR="005F4FB3" w:rsidP="003C3D20" w:rsidRDefault="005F4FB3" w14:paraId="53D06A23" w14:textId="77777777">
      <w:pPr>
        <w:pStyle w:val="ListParagraph"/>
        <w:tabs>
          <w:tab w:val="left" w:pos="-1440"/>
        </w:tabs>
        <w:autoSpaceDE w:val="0"/>
        <w:autoSpaceDN w:val="0"/>
        <w:adjustRightInd w:val="0"/>
        <w:ind w:left="1080" w:hanging="360"/>
        <w:rPr>
          <w:sz w:val="22"/>
          <w:szCs w:val="22"/>
        </w:rPr>
      </w:pPr>
    </w:p>
    <w:p w:rsidRPr="00257668" w:rsidR="000E3FF9" w:rsidP="003C3D20" w:rsidRDefault="008332F2" w14:paraId="7D84B0F4" w14:textId="77777777">
      <w:pPr>
        <w:pStyle w:val="ListParagraph"/>
        <w:numPr>
          <w:ilvl w:val="1"/>
          <w:numId w:val="33"/>
        </w:numPr>
        <w:tabs>
          <w:tab w:val="left" w:pos="-1440"/>
        </w:tabs>
        <w:autoSpaceDE w:val="0"/>
        <w:autoSpaceDN w:val="0"/>
        <w:adjustRightInd w:val="0"/>
        <w:ind w:left="1080" w:hanging="360"/>
        <w:rPr>
          <w:szCs w:val="22"/>
        </w:rPr>
      </w:pPr>
      <w:r w:rsidRPr="00257668">
        <w:rPr>
          <w:sz w:val="22"/>
          <w:szCs w:val="22"/>
        </w:rPr>
        <w:t xml:space="preserve">Attempted </w:t>
      </w:r>
      <w:r w:rsidRPr="00257668" w:rsidR="000E3FF9">
        <w:rPr>
          <w:sz w:val="22"/>
          <w:szCs w:val="22"/>
        </w:rPr>
        <w:t>challenges involving</w:t>
      </w:r>
      <w:r w:rsidRPr="00257668" w:rsidR="0076390B">
        <w:rPr>
          <w:sz w:val="22"/>
          <w:szCs w:val="22"/>
        </w:rPr>
        <w:t xml:space="preserve"> the</w:t>
      </w:r>
      <w:r w:rsidRPr="00257668" w:rsidR="000E3FF9">
        <w:rPr>
          <w:sz w:val="22"/>
          <w:szCs w:val="22"/>
        </w:rPr>
        <w:t xml:space="preserve"> testing of response capabilities of protective forces or escort personnel.</w:t>
      </w:r>
    </w:p>
    <w:p w:rsidRPr="003600C8" w:rsidR="005F4FB3" w:rsidP="003C3D20" w:rsidRDefault="005F4FB3" w14:paraId="66858496" w14:textId="77777777">
      <w:pPr>
        <w:pStyle w:val="ListParagraph"/>
        <w:tabs>
          <w:tab w:val="left" w:pos="-1440"/>
        </w:tabs>
        <w:autoSpaceDE w:val="0"/>
        <w:autoSpaceDN w:val="0"/>
        <w:adjustRightInd w:val="0"/>
        <w:ind w:left="1080" w:hanging="360"/>
        <w:rPr>
          <w:sz w:val="22"/>
          <w:szCs w:val="22"/>
        </w:rPr>
      </w:pPr>
    </w:p>
    <w:p w:rsidRPr="001D2559" w:rsidR="006A1E78" w:rsidP="003C3D20" w:rsidRDefault="008332F2" w14:paraId="2B3C69C0" w14:textId="74D1C808">
      <w:pPr>
        <w:pStyle w:val="ListParagraph"/>
        <w:numPr>
          <w:ilvl w:val="1"/>
          <w:numId w:val="33"/>
        </w:numPr>
        <w:tabs>
          <w:tab w:val="left" w:pos="-1440"/>
        </w:tabs>
        <w:autoSpaceDE w:val="0"/>
        <w:autoSpaceDN w:val="0"/>
        <w:adjustRightInd w:val="0"/>
        <w:ind w:left="1080" w:hanging="360"/>
        <w:rPr>
          <w:szCs w:val="22"/>
        </w:rPr>
      </w:pPr>
      <w:r w:rsidRPr="00257668">
        <w:rPr>
          <w:sz w:val="22"/>
          <w:szCs w:val="22"/>
        </w:rPr>
        <w:t>A</w:t>
      </w:r>
      <w:r w:rsidRPr="00257668" w:rsidR="009244CE">
        <w:rPr>
          <w:sz w:val="22"/>
          <w:szCs w:val="22"/>
        </w:rPr>
        <w:t xml:space="preserve">ttempted challenges to </w:t>
      </w:r>
      <w:r w:rsidRPr="00257668" w:rsidR="006A12AD">
        <w:rPr>
          <w:sz w:val="22"/>
          <w:szCs w:val="22"/>
        </w:rPr>
        <w:t xml:space="preserve">a movement control center’s shipment </w:t>
      </w:r>
      <w:r w:rsidRPr="00257668" w:rsidR="009244CE">
        <w:rPr>
          <w:sz w:val="22"/>
          <w:szCs w:val="22"/>
        </w:rPr>
        <w:t xml:space="preserve">position monitoring </w:t>
      </w:r>
      <w:r w:rsidRPr="00257668" w:rsidR="006A12AD">
        <w:rPr>
          <w:sz w:val="22"/>
          <w:szCs w:val="22"/>
        </w:rPr>
        <w:t>or</w:t>
      </w:r>
      <w:r w:rsidRPr="00257668" w:rsidR="009244CE">
        <w:rPr>
          <w:sz w:val="22"/>
          <w:szCs w:val="22"/>
        </w:rPr>
        <w:t xml:space="preserve"> communication</w:t>
      </w:r>
      <w:r w:rsidRPr="00257668" w:rsidR="00913263">
        <w:rPr>
          <w:sz w:val="22"/>
          <w:szCs w:val="22"/>
        </w:rPr>
        <w:t>s</w:t>
      </w:r>
      <w:r w:rsidRPr="00257668" w:rsidR="009244CE">
        <w:rPr>
          <w:sz w:val="22"/>
          <w:szCs w:val="22"/>
        </w:rPr>
        <w:t xml:space="preserve"> </w:t>
      </w:r>
      <w:r w:rsidRPr="00257668" w:rsidR="006A12AD">
        <w:rPr>
          <w:sz w:val="22"/>
          <w:szCs w:val="22"/>
        </w:rPr>
        <w:t>systems.</w:t>
      </w:r>
    </w:p>
    <w:p w:rsidRPr="00257668" w:rsidR="001D2559" w:rsidP="001D2559" w:rsidRDefault="001D2559" w14:paraId="2EF3CADA" w14:textId="77777777">
      <w:pPr>
        <w:pStyle w:val="ListParagraph"/>
        <w:tabs>
          <w:tab w:val="left" w:pos="-1440"/>
        </w:tabs>
        <w:autoSpaceDE w:val="0"/>
        <w:autoSpaceDN w:val="0"/>
        <w:adjustRightInd w:val="0"/>
        <w:ind w:left="1080"/>
        <w:rPr>
          <w:szCs w:val="22"/>
        </w:rPr>
      </w:pPr>
    </w:p>
    <w:p w:rsidRPr="00CE0234" w:rsidR="006A1E78" w:rsidP="003643B7" w:rsidRDefault="00AA0ACC" w14:paraId="47B1BCDF" w14:textId="77777777">
      <w:pPr>
        <w:pStyle w:val="Heading2"/>
        <w:keepNext w:val="0"/>
        <w:numPr>
          <w:ilvl w:val="0"/>
          <w:numId w:val="0"/>
        </w:numPr>
        <w:rPr>
          <w:szCs w:val="22"/>
        </w:rPr>
      </w:pPr>
      <w:bookmarkStart w:name="_Toc507400033" w:id="238"/>
      <w:bookmarkStart w:name="_Toc29213199" w:id="239"/>
      <w:bookmarkStart w:name="_Toc73021747" w:id="240"/>
      <w:r>
        <w:rPr>
          <w:szCs w:val="22"/>
        </w:rPr>
        <w:t>5.5</w:t>
      </w:r>
      <w:r w:rsidR="00115761">
        <w:rPr>
          <w:szCs w:val="22"/>
        </w:rPr>
        <w:tab/>
      </w:r>
      <w:bookmarkStart w:name="_Toc26362863" w:id="241"/>
      <w:r w:rsidRPr="00CE0234" w:rsidR="006A1E78">
        <w:rPr>
          <w:szCs w:val="22"/>
        </w:rPr>
        <w:t xml:space="preserve">Interference with or Harassment of </w:t>
      </w:r>
      <w:r w:rsidRPr="00CE0234" w:rsidR="00FC506C">
        <w:rPr>
          <w:szCs w:val="22"/>
        </w:rPr>
        <w:t>a</w:t>
      </w:r>
      <w:r w:rsidRPr="00CE0234" w:rsidR="006A12AD">
        <w:rPr>
          <w:szCs w:val="22"/>
        </w:rPr>
        <w:t xml:space="preserve">n Ongoing </w:t>
      </w:r>
      <w:r w:rsidRPr="00CE0234" w:rsidR="006A1E78">
        <w:rPr>
          <w:szCs w:val="22"/>
        </w:rPr>
        <w:t>Shipment</w:t>
      </w:r>
      <w:bookmarkEnd w:id="238"/>
      <w:bookmarkEnd w:id="239"/>
      <w:bookmarkEnd w:id="240"/>
      <w:bookmarkEnd w:id="241"/>
    </w:p>
    <w:p w:rsidRPr="00CE0234" w:rsidR="006A1E78" w:rsidP="003643B7" w:rsidRDefault="006A1E78" w14:paraId="08A793DA" w14:textId="77777777">
      <w:pPr>
        <w:rPr>
          <w:szCs w:val="22"/>
        </w:rPr>
      </w:pPr>
    </w:p>
    <w:p w:rsidRPr="00CE0234" w:rsidR="006A12AD" w:rsidRDefault="00CE0234" w14:paraId="1FDFC7B2" w14:textId="77777777">
      <w:pPr>
        <w:tabs>
          <w:tab w:val="left" w:pos="-1440"/>
        </w:tabs>
        <w:autoSpaceDE w:val="0"/>
        <w:autoSpaceDN w:val="0"/>
        <w:adjustRightInd w:val="0"/>
        <w:ind w:firstLine="720"/>
        <w:rPr>
          <w:szCs w:val="22"/>
        </w:rPr>
      </w:pPr>
      <w:r>
        <w:rPr>
          <w:szCs w:val="22"/>
        </w:rPr>
        <w:t>Consistent with 10 CFR 73.12115(e)(1(iii), l</w:t>
      </w:r>
      <w:r w:rsidRPr="00CE0234" w:rsidR="00593E3A">
        <w:rPr>
          <w:szCs w:val="22"/>
        </w:rPr>
        <w:t xml:space="preserve">icensees </w:t>
      </w:r>
      <w:r>
        <w:rPr>
          <w:szCs w:val="22"/>
        </w:rPr>
        <w:t xml:space="preserve">must </w:t>
      </w:r>
      <w:r w:rsidRPr="00CE0234" w:rsidR="00593E3A">
        <w:rPr>
          <w:szCs w:val="22"/>
        </w:rPr>
        <w:t xml:space="preserve">report suspicious activities involving interference </w:t>
      </w:r>
      <w:r w:rsidRPr="00CE0234" w:rsidR="00214DE2">
        <w:rPr>
          <w:szCs w:val="22"/>
        </w:rPr>
        <w:t>with or harassment of</w:t>
      </w:r>
      <w:r w:rsidRPr="00CE0234" w:rsidR="00593E3A">
        <w:rPr>
          <w:szCs w:val="22"/>
        </w:rPr>
        <w:t xml:space="preserve"> </w:t>
      </w:r>
      <w:r w:rsidRPr="00CE0234" w:rsidR="006D23FA">
        <w:rPr>
          <w:szCs w:val="22"/>
        </w:rPr>
        <w:t xml:space="preserve">an </w:t>
      </w:r>
      <w:r w:rsidRPr="00CE0234" w:rsidR="00593E3A">
        <w:rPr>
          <w:szCs w:val="22"/>
        </w:rPr>
        <w:t>ongoi</w:t>
      </w:r>
      <w:r w:rsidRPr="00CE0234" w:rsidR="00FC506C">
        <w:rPr>
          <w:szCs w:val="22"/>
        </w:rPr>
        <w:t>ng shipment</w:t>
      </w:r>
      <w:r w:rsidRPr="00CE0234" w:rsidR="006A12AD">
        <w:rPr>
          <w:szCs w:val="22"/>
        </w:rPr>
        <w:t>.</w:t>
      </w:r>
    </w:p>
    <w:p w:rsidRPr="00CE0234" w:rsidR="006A12AD" w:rsidRDefault="006A12AD" w14:paraId="66FCC5AA" w14:textId="77777777">
      <w:pPr>
        <w:tabs>
          <w:tab w:val="left" w:pos="-1440"/>
        </w:tabs>
        <w:autoSpaceDE w:val="0"/>
        <w:autoSpaceDN w:val="0"/>
        <w:adjustRightInd w:val="0"/>
        <w:ind w:firstLine="720"/>
        <w:rPr>
          <w:szCs w:val="22"/>
        </w:rPr>
      </w:pPr>
    </w:p>
    <w:p w:rsidRPr="00320351" w:rsidR="00C214CE" w:rsidRDefault="006A12AD" w14:paraId="0A37E7F9" w14:textId="77777777">
      <w:pPr>
        <w:tabs>
          <w:tab w:val="left" w:pos="-1440"/>
        </w:tabs>
        <w:autoSpaceDE w:val="0"/>
        <w:autoSpaceDN w:val="0"/>
        <w:adjustRightInd w:val="0"/>
        <w:ind w:firstLine="720"/>
        <w:rPr>
          <w:szCs w:val="22"/>
        </w:rPr>
      </w:pPr>
      <w:r w:rsidRPr="00CE0234">
        <w:rPr>
          <w:szCs w:val="22"/>
        </w:rPr>
        <w:t>The NRC staff is providing example</w:t>
      </w:r>
      <w:r w:rsidRPr="00CE0234" w:rsidR="00881AD6">
        <w:rPr>
          <w:szCs w:val="22"/>
        </w:rPr>
        <w:t>s</w:t>
      </w:r>
      <w:r w:rsidRPr="00CE0234">
        <w:rPr>
          <w:szCs w:val="22"/>
        </w:rPr>
        <w:t xml:space="preserve"> of some activities </w:t>
      </w:r>
      <w:r w:rsidRPr="00CE0234" w:rsidR="00C214CE">
        <w:rPr>
          <w:szCs w:val="22"/>
        </w:rPr>
        <w:t>a licensee may consider assessi</w:t>
      </w:r>
      <w:r w:rsidRPr="006E4B5D" w:rsidR="00C214CE">
        <w:rPr>
          <w:szCs w:val="22"/>
        </w:rPr>
        <w:t>ng as a potentially reportable suspicious activity.</w:t>
      </w:r>
    </w:p>
    <w:p w:rsidRPr="00320351" w:rsidR="00881AD6" w:rsidRDefault="00593E3A" w14:paraId="1DCAED70" w14:textId="77777777">
      <w:pPr>
        <w:tabs>
          <w:tab w:val="left" w:pos="-1440"/>
        </w:tabs>
        <w:autoSpaceDE w:val="0"/>
        <w:autoSpaceDN w:val="0"/>
        <w:adjustRightInd w:val="0"/>
        <w:ind w:firstLine="720"/>
        <w:rPr>
          <w:szCs w:val="22"/>
        </w:rPr>
      </w:pPr>
      <w:r w:rsidRPr="00320351">
        <w:rPr>
          <w:szCs w:val="22"/>
        </w:rPr>
        <w:t xml:space="preserve"> </w:t>
      </w:r>
    </w:p>
    <w:p w:rsidRPr="00587659" w:rsidR="00881AD6" w:rsidRDefault="00881AD6" w14:paraId="0D039B16" w14:textId="77777777">
      <w:pPr>
        <w:pStyle w:val="ListParagraph"/>
        <w:keepNext/>
        <w:keepLines/>
        <w:numPr>
          <w:ilvl w:val="1"/>
          <w:numId w:val="36"/>
        </w:numPr>
        <w:tabs>
          <w:tab w:val="left" w:pos="-1440"/>
        </w:tabs>
        <w:autoSpaceDE w:val="0"/>
        <w:autoSpaceDN w:val="0"/>
        <w:adjustRightInd w:val="0"/>
        <w:ind w:left="1080"/>
        <w:rPr>
          <w:sz w:val="22"/>
          <w:szCs w:val="22"/>
        </w:rPr>
      </w:pPr>
      <w:r w:rsidRPr="00587659">
        <w:rPr>
          <w:sz w:val="22"/>
          <w:szCs w:val="22"/>
        </w:rPr>
        <w:t>B</w:t>
      </w:r>
      <w:r w:rsidRPr="00587659" w:rsidR="00593E3A">
        <w:rPr>
          <w:sz w:val="22"/>
          <w:szCs w:val="22"/>
        </w:rPr>
        <w:t>locking</w:t>
      </w:r>
      <w:r w:rsidRPr="00587659">
        <w:rPr>
          <w:sz w:val="22"/>
          <w:szCs w:val="22"/>
        </w:rPr>
        <w:t xml:space="preserve"> or</w:t>
      </w:r>
      <w:r w:rsidRPr="00587659" w:rsidR="00593E3A">
        <w:rPr>
          <w:sz w:val="22"/>
          <w:szCs w:val="22"/>
        </w:rPr>
        <w:t xml:space="preserve"> harass</w:t>
      </w:r>
      <w:r w:rsidRPr="00587659">
        <w:rPr>
          <w:sz w:val="22"/>
          <w:szCs w:val="22"/>
        </w:rPr>
        <w:t xml:space="preserve">ing a </w:t>
      </w:r>
      <w:r w:rsidRPr="00587659" w:rsidR="00593E3A">
        <w:rPr>
          <w:sz w:val="22"/>
          <w:szCs w:val="22"/>
        </w:rPr>
        <w:t>shipment</w:t>
      </w:r>
      <w:r w:rsidRPr="00587659">
        <w:rPr>
          <w:sz w:val="22"/>
          <w:szCs w:val="22"/>
        </w:rPr>
        <w:t>’s</w:t>
      </w:r>
      <w:r w:rsidRPr="00587659" w:rsidR="00593E3A">
        <w:rPr>
          <w:sz w:val="22"/>
          <w:szCs w:val="22"/>
        </w:rPr>
        <w:t xml:space="preserve"> transport or </w:t>
      </w:r>
      <w:r w:rsidRPr="00587659">
        <w:rPr>
          <w:sz w:val="22"/>
          <w:szCs w:val="22"/>
        </w:rPr>
        <w:t>escort vehicles.</w:t>
      </w:r>
    </w:p>
    <w:p w:rsidRPr="00320351" w:rsidR="00881AD6" w:rsidRDefault="00881AD6" w14:paraId="5E6153B6" w14:textId="77777777">
      <w:pPr>
        <w:keepNext/>
        <w:keepLines/>
        <w:tabs>
          <w:tab w:val="left" w:pos="-1440"/>
        </w:tabs>
        <w:autoSpaceDE w:val="0"/>
        <w:autoSpaceDN w:val="0"/>
        <w:adjustRightInd w:val="0"/>
        <w:ind w:left="1080" w:hanging="360"/>
        <w:rPr>
          <w:szCs w:val="22"/>
        </w:rPr>
      </w:pPr>
    </w:p>
    <w:p w:rsidRPr="00587659" w:rsidR="000E0FB6" w:rsidRDefault="00881AD6" w14:paraId="56D55A36" w14:textId="77777777">
      <w:pPr>
        <w:pStyle w:val="ListParagraph"/>
        <w:keepNext/>
        <w:keepLines/>
        <w:numPr>
          <w:ilvl w:val="1"/>
          <w:numId w:val="36"/>
        </w:numPr>
        <w:tabs>
          <w:tab w:val="left" w:pos="-1440"/>
        </w:tabs>
        <w:autoSpaceDE w:val="0"/>
        <w:autoSpaceDN w:val="0"/>
        <w:adjustRightInd w:val="0"/>
        <w:ind w:left="1080"/>
        <w:rPr>
          <w:sz w:val="22"/>
          <w:szCs w:val="22"/>
        </w:rPr>
      </w:pPr>
      <w:r w:rsidRPr="00587659">
        <w:rPr>
          <w:sz w:val="22"/>
          <w:szCs w:val="22"/>
        </w:rPr>
        <w:t xml:space="preserve">Interfering with </w:t>
      </w:r>
      <w:r w:rsidRPr="00587659" w:rsidR="00593E3A">
        <w:rPr>
          <w:sz w:val="22"/>
          <w:szCs w:val="22"/>
        </w:rPr>
        <w:t xml:space="preserve">the safe operation of </w:t>
      </w:r>
      <w:r w:rsidRPr="00587659">
        <w:rPr>
          <w:sz w:val="22"/>
          <w:szCs w:val="22"/>
        </w:rPr>
        <w:t xml:space="preserve">a </w:t>
      </w:r>
      <w:r w:rsidRPr="00587659" w:rsidR="00593E3A">
        <w:rPr>
          <w:sz w:val="22"/>
          <w:szCs w:val="22"/>
        </w:rPr>
        <w:t>shipment</w:t>
      </w:r>
      <w:r w:rsidRPr="00587659">
        <w:rPr>
          <w:sz w:val="22"/>
          <w:szCs w:val="22"/>
        </w:rPr>
        <w:t>’s</w:t>
      </w:r>
      <w:r w:rsidRPr="00587659" w:rsidR="00593E3A">
        <w:rPr>
          <w:sz w:val="22"/>
          <w:szCs w:val="22"/>
        </w:rPr>
        <w:t xml:space="preserve"> transport </w:t>
      </w:r>
      <w:r w:rsidRPr="00587659">
        <w:rPr>
          <w:sz w:val="22"/>
          <w:szCs w:val="22"/>
        </w:rPr>
        <w:t xml:space="preserve">or escort </w:t>
      </w:r>
      <w:r w:rsidRPr="00587659" w:rsidR="00593E3A">
        <w:rPr>
          <w:sz w:val="22"/>
          <w:szCs w:val="22"/>
        </w:rPr>
        <w:t>vehicles</w:t>
      </w:r>
      <w:r w:rsidRPr="00587659" w:rsidR="00196281">
        <w:rPr>
          <w:sz w:val="22"/>
          <w:szCs w:val="22"/>
        </w:rPr>
        <w:t>.</w:t>
      </w:r>
    </w:p>
    <w:p w:rsidRPr="00320351" w:rsidR="00927B16" w:rsidRDefault="00927B16" w14:paraId="51F2B570" w14:textId="77777777">
      <w:pPr>
        <w:keepNext/>
        <w:keepLines/>
        <w:tabs>
          <w:tab w:val="left" w:pos="-1440"/>
        </w:tabs>
        <w:autoSpaceDE w:val="0"/>
        <w:autoSpaceDN w:val="0"/>
        <w:adjustRightInd w:val="0"/>
        <w:ind w:left="1080" w:hanging="360"/>
        <w:rPr>
          <w:szCs w:val="22"/>
        </w:rPr>
      </w:pPr>
    </w:p>
    <w:p w:rsidRPr="00587659" w:rsidR="00927B16" w:rsidRDefault="00927B16" w14:paraId="67277223" w14:textId="77777777">
      <w:pPr>
        <w:pStyle w:val="ListParagraph"/>
        <w:keepNext/>
        <w:keepLines/>
        <w:numPr>
          <w:ilvl w:val="1"/>
          <w:numId w:val="36"/>
        </w:numPr>
        <w:tabs>
          <w:tab w:val="left" w:pos="-1440"/>
        </w:tabs>
        <w:autoSpaceDE w:val="0"/>
        <w:autoSpaceDN w:val="0"/>
        <w:adjustRightInd w:val="0"/>
        <w:ind w:left="1080"/>
        <w:rPr>
          <w:sz w:val="22"/>
          <w:szCs w:val="22"/>
        </w:rPr>
      </w:pPr>
      <w:bookmarkStart w:name="_Toc507400035" w:id="242"/>
      <w:r w:rsidRPr="00587659">
        <w:rPr>
          <w:sz w:val="22"/>
          <w:szCs w:val="22"/>
        </w:rPr>
        <w:t>Pouring or throwing biologic material (e.g., blood) or simulants (e.g., red paint or water) onto a transportation package.</w:t>
      </w:r>
    </w:p>
    <w:p w:rsidRPr="006E4B5D" w:rsidR="006A1E78" w:rsidRDefault="006A1E78" w14:paraId="6F528A7E" w14:textId="77777777">
      <w:pPr>
        <w:keepNext/>
        <w:keepLines/>
        <w:tabs>
          <w:tab w:val="left" w:pos="-1440"/>
        </w:tabs>
        <w:autoSpaceDE w:val="0"/>
        <w:autoSpaceDN w:val="0"/>
        <w:adjustRightInd w:val="0"/>
        <w:ind w:left="1440" w:hanging="720"/>
        <w:rPr>
          <w:szCs w:val="22"/>
        </w:rPr>
      </w:pPr>
    </w:p>
    <w:p w:rsidRPr="006E4B5D" w:rsidR="00B4014F" w:rsidRDefault="00605304" w14:paraId="4C98058C" w14:textId="77777777">
      <w:pPr>
        <w:pStyle w:val="Heading2"/>
        <w:numPr>
          <w:ilvl w:val="0"/>
          <w:numId w:val="0"/>
        </w:numPr>
        <w:rPr>
          <w:szCs w:val="22"/>
        </w:rPr>
      </w:pPr>
      <w:bookmarkStart w:name="_Toc29213200" w:id="243"/>
      <w:bookmarkStart w:name="_Toc73021748" w:id="244"/>
      <w:r>
        <w:rPr>
          <w:szCs w:val="22"/>
        </w:rPr>
        <w:t>5.6</w:t>
      </w:r>
      <w:r w:rsidR="00115761">
        <w:rPr>
          <w:szCs w:val="22"/>
        </w:rPr>
        <w:tab/>
      </w:r>
      <w:bookmarkStart w:name="_Toc26362864" w:id="245"/>
      <w:r w:rsidRPr="006E4B5D" w:rsidR="00881AD6">
        <w:rPr>
          <w:szCs w:val="22"/>
        </w:rPr>
        <w:t>Preattack Surveillance or Reconnaissance</w:t>
      </w:r>
      <w:bookmarkEnd w:id="242"/>
      <w:r w:rsidRPr="006E4B5D" w:rsidR="00881AD6">
        <w:rPr>
          <w:szCs w:val="22"/>
        </w:rPr>
        <w:t xml:space="preserve"> - Shipment</w:t>
      </w:r>
      <w:bookmarkEnd w:id="243"/>
      <w:bookmarkEnd w:id="244"/>
      <w:bookmarkEnd w:id="245"/>
    </w:p>
    <w:p w:rsidRPr="006E4B5D" w:rsidR="00B4014F" w:rsidRDefault="00B4014F" w14:paraId="7F19BCC6" w14:textId="77777777">
      <w:pPr>
        <w:rPr>
          <w:szCs w:val="22"/>
        </w:rPr>
      </w:pPr>
    </w:p>
    <w:p w:rsidRPr="006E4B5D" w:rsidR="00196281" w:rsidRDefault="00881AD6" w14:paraId="196BEDDF" w14:textId="46751916">
      <w:pPr>
        <w:tabs>
          <w:tab w:val="left" w:pos="-1440"/>
        </w:tabs>
        <w:autoSpaceDE w:val="0"/>
        <w:autoSpaceDN w:val="0"/>
        <w:adjustRightInd w:val="0"/>
        <w:ind w:firstLine="720"/>
        <w:rPr>
          <w:szCs w:val="22"/>
        </w:rPr>
      </w:pPr>
      <w:r w:rsidRPr="006E4B5D">
        <w:rPr>
          <w:szCs w:val="22"/>
        </w:rPr>
        <w:t>Preattack surveillance or reconnaissance of shipments typically occurs in the public domain away from the licensee’s facility</w:t>
      </w:r>
      <w:r w:rsidR="002E7BC2">
        <w:rPr>
          <w:szCs w:val="22"/>
        </w:rPr>
        <w:t xml:space="preserve">. </w:t>
      </w:r>
      <w:r w:rsidRPr="006E4B5D" w:rsidR="00790BC8">
        <w:rPr>
          <w:szCs w:val="22"/>
        </w:rPr>
        <w:t xml:space="preserve">Consequently, </w:t>
      </w:r>
      <w:r w:rsidRPr="006E4B5D">
        <w:rPr>
          <w:szCs w:val="22"/>
        </w:rPr>
        <w:t xml:space="preserve">adversaries </w:t>
      </w:r>
      <w:r w:rsidRPr="006E4B5D" w:rsidR="00790BC8">
        <w:rPr>
          <w:szCs w:val="22"/>
        </w:rPr>
        <w:t xml:space="preserve">may </w:t>
      </w:r>
      <w:r w:rsidRPr="006E4B5D">
        <w:rPr>
          <w:szCs w:val="22"/>
        </w:rPr>
        <w:t xml:space="preserve">choose both the time and location for </w:t>
      </w:r>
      <w:r w:rsidRPr="006E4B5D" w:rsidR="00790BC8">
        <w:rPr>
          <w:szCs w:val="22"/>
        </w:rPr>
        <w:t>such activities</w:t>
      </w:r>
      <w:r w:rsidR="002E7BC2">
        <w:rPr>
          <w:szCs w:val="22"/>
        </w:rPr>
        <w:t xml:space="preserve">. </w:t>
      </w:r>
      <w:r w:rsidRPr="006E4B5D">
        <w:rPr>
          <w:szCs w:val="22"/>
        </w:rPr>
        <w:t>Preattack surveillance or reconnaissance activities are typically intended to assess a licensee’s ongoing (i.e., actual) shipments and the security and communication systems used for such shipments. In addition, for extended shipping campaigns, the use of the same routes or schedules increases the vulnerability of these shipments to adversaries conducting pattern analysis or traffic analysis to identify potential points of greatest vulnerability or of highest exploitability</w:t>
      </w:r>
      <w:r w:rsidR="002E7BC2">
        <w:rPr>
          <w:szCs w:val="22"/>
        </w:rPr>
        <w:t xml:space="preserve">. </w:t>
      </w:r>
    </w:p>
    <w:p w:rsidRPr="006E4B5D" w:rsidR="00196281" w:rsidRDefault="00196281" w14:paraId="5C9133E4" w14:textId="77777777">
      <w:pPr>
        <w:tabs>
          <w:tab w:val="left" w:pos="-1440"/>
        </w:tabs>
        <w:autoSpaceDE w:val="0"/>
        <w:autoSpaceDN w:val="0"/>
        <w:adjustRightInd w:val="0"/>
        <w:ind w:firstLine="720"/>
        <w:rPr>
          <w:szCs w:val="22"/>
        </w:rPr>
      </w:pPr>
    </w:p>
    <w:p w:rsidRPr="0028112D" w:rsidR="00196281" w:rsidRDefault="00881AD6" w14:paraId="49808E4A" w14:textId="40D41BBA">
      <w:pPr>
        <w:tabs>
          <w:tab w:val="left" w:pos="-1440"/>
        </w:tabs>
        <w:autoSpaceDE w:val="0"/>
        <w:autoSpaceDN w:val="0"/>
        <w:adjustRightInd w:val="0"/>
        <w:ind w:firstLine="720"/>
        <w:rPr>
          <w:szCs w:val="22"/>
        </w:rPr>
      </w:pPr>
      <w:r w:rsidRPr="0028112D">
        <w:rPr>
          <w:szCs w:val="22"/>
        </w:rPr>
        <w:t>Preattack activities are differentiated from operational surveillance activities (i.e., those directly related to actual or imminent hostile actions)</w:t>
      </w:r>
      <w:r w:rsidR="002E7BC2">
        <w:rPr>
          <w:szCs w:val="22"/>
        </w:rPr>
        <w:t xml:space="preserve">. </w:t>
      </w:r>
      <w:r w:rsidRPr="0028112D">
        <w:rPr>
          <w:szCs w:val="22"/>
        </w:rPr>
        <w:t xml:space="preserve">Licensees should refer to Regulatory Guide 5.62 </w:t>
      </w:r>
      <w:r w:rsidRPr="0028112D" w:rsidR="00196281">
        <w:rPr>
          <w:szCs w:val="22"/>
        </w:rPr>
        <w:t>regarding actual or imminent hostile actions</w:t>
      </w:r>
      <w:r w:rsidRPr="0028112D">
        <w:rPr>
          <w:szCs w:val="22"/>
        </w:rPr>
        <w:t xml:space="preserve">. </w:t>
      </w:r>
    </w:p>
    <w:p w:rsidRPr="0028112D" w:rsidR="00196281" w:rsidP="00062DFB" w:rsidRDefault="00196281" w14:paraId="63DF8C44" w14:textId="77777777">
      <w:pPr>
        <w:tabs>
          <w:tab w:val="left" w:pos="-1440"/>
        </w:tabs>
        <w:autoSpaceDE w:val="0"/>
        <w:autoSpaceDN w:val="0"/>
        <w:adjustRightInd w:val="0"/>
        <w:ind w:firstLine="720"/>
        <w:rPr>
          <w:szCs w:val="22"/>
        </w:rPr>
      </w:pPr>
    </w:p>
    <w:p w:rsidRPr="00E02297" w:rsidR="00196281" w:rsidP="003643B7" w:rsidRDefault="00196281" w14:paraId="1214EF50" w14:textId="77777777">
      <w:pPr>
        <w:tabs>
          <w:tab w:val="left" w:pos="-1440"/>
        </w:tabs>
        <w:autoSpaceDE w:val="0"/>
        <w:autoSpaceDN w:val="0"/>
        <w:adjustRightInd w:val="0"/>
        <w:ind w:firstLine="720"/>
        <w:rPr>
          <w:szCs w:val="22"/>
        </w:rPr>
      </w:pPr>
      <w:r w:rsidRPr="00E02297">
        <w:rPr>
          <w:szCs w:val="22"/>
        </w:rPr>
        <w:t xml:space="preserve">The NRC staff is providing examples of some activities a licensee </w:t>
      </w:r>
      <w:r w:rsidR="00123E3A">
        <w:rPr>
          <w:szCs w:val="22"/>
        </w:rPr>
        <w:t xml:space="preserve">may </w:t>
      </w:r>
      <w:r w:rsidRPr="00E02297">
        <w:rPr>
          <w:szCs w:val="22"/>
        </w:rPr>
        <w:t>not consider as a suspicious activity.</w:t>
      </w:r>
    </w:p>
    <w:p w:rsidRPr="0028112D" w:rsidR="00196281" w:rsidP="003643B7" w:rsidRDefault="00196281" w14:paraId="482D8509" w14:textId="77777777">
      <w:pPr>
        <w:tabs>
          <w:tab w:val="left" w:pos="-1440"/>
        </w:tabs>
        <w:autoSpaceDE w:val="0"/>
        <w:autoSpaceDN w:val="0"/>
        <w:adjustRightInd w:val="0"/>
        <w:ind w:firstLine="720"/>
        <w:rPr>
          <w:szCs w:val="22"/>
        </w:rPr>
      </w:pPr>
    </w:p>
    <w:p w:rsidRPr="005C1AE6" w:rsidR="00196281" w:rsidRDefault="00196281" w14:paraId="15559439" w14:textId="77777777">
      <w:pPr>
        <w:pStyle w:val="ListParagraph"/>
        <w:numPr>
          <w:ilvl w:val="1"/>
          <w:numId w:val="37"/>
        </w:numPr>
        <w:tabs>
          <w:tab w:val="left" w:pos="-1440"/>
        </w:tabs>
        <w:autoSpaceDE w:val="0"/>
        <w:autoSpaceDN w:val="0"/>
        <w:adjustRightInd w:val="0"/>
        <w:ind w:left="1080"/>
        <w:rPr>
          <w:szCs w:val="22"/>
        </w:rPr>
      </w:pPr>
      <w:r w:rsidRPr="005C1AE6">
        <w:rPr>
          <w:szCs w:val="22"/>
        </w:rPr>
        <w:lastRenderedPageBreak/>
        <w:t>Individuals entering or loitering in public areas immediately adjacent to a temporarily stopped shipment (for example, at a truck stop</w:t>
      </w:r>
      <w:r w:rsidRPr="005C1AE6" w:rsidR="00FB7A30">
        <w:rPr>
          <w:szCs w:val="22"/>
        </w:rPr>
        <w:t>,</w:t>
      </w:r>
      <w:r w:rsidRPr="005C1AE6">
        <w:rPr>
          <w:szCs w:val="22"/>
        </w:rPr>
        <w:t xml:space="preserve"> interstate highway rest area</w:t>
      </w:r>
      <w:r w:rsidRPr="005C1AE6" w:rsidR="0008369A">
        <w:rPr>
          <w:szCs w:val="22"/>
        </w:rPr>
        <w:t>s</w:t>
      </w:r>
      <w:r w:rsidRPr="005C1AE6" w:rsidR="009234B9">
        <w:rPr>
          <w:szCs w:val="22"/>
        </w:rPr>
        <w:t xml:space="preserve"> or weigh scales</w:t>
      </w:r>
      <w:r w:rsidRPr="005C1AE6">
        <w:rPr>
          <w:szCs w:val="22"/>
        </w:rPr>
        <w:t>).</w:t>
      </w:r>
    </w:p>
    <w:p w:rsidRPr="000E38F1" w:rsidR="00196281" w:rsidRDefault="00196281" w14:paraId="0F23FC0B" w14:textId="77777777">
      <w:pPr>
        <w:tabs>
          <w:tab w:val="left" w:pos="-1440"/>
        </w:tabs>
        <w:autoSpaceDE w:val="0"/>
        <w:autoSpaceDN w:val="0"/>
        <w:adjustRightInd w:val="0"/>
        <w:ind w:left="1080" w:hanging="360"/>
        <w:rPr>
          <w:szCs w:val="22"/>
        </w:rPr>
      </w:pPr>
    </w:p>
    <w:p w:rsidRPr="005C1AE6" w:rsidR="00881AD6" w:rsidRDefault="002243BF" w14:paraId="7288E159" w14:textId="77777777">
      <w:pPr>
        <w:pStyle w:val="ListParagraph"/>
        <w:numPr>
          <w:ilvl w:val="1"/>
          <w:numId w:val="37"/>
        </w:numPr>
        <w:tabs>
          <w:tab w:val="left" w:pos="-1440"/>
        </w:tabs>
        <w:autoSpaceDE w:val="0"/>
        <w:autoSpaceDN w:val="0"/>
        <w:adjustRightInd w:val="0"/>
        <w:ind w:left="1080"/>
        <w:rPr>
          <w:szCs w:val="22"/>
        </w:rPr>
      </w:pPr>
      <w:r w:rsidRPr="005C1AE6">
        <w:rPr>
          <w:szCs w:val="22"/>
        </w:rPr>
        <w:t>Individuals photographing or video recording of shipments or shipment vehicles from public areas</w:t>
      </w:r>
      <w:r w:rsidRPr="005C1AE6" w:rsidR="00E46CBF">
        <w:rPr>
          <w:szCs w:val="22"/>
        </w:rPr>
        <w:t xml:space="preserve"> (e.g., “train spotting” activities).</w:t>
      </w:r>
    </w:p>
    <w:p w:rsidRPr="00E02297" w:rsidR="00881AD6" w:rsidRDefault="00881AD6" w14:paraId="083A0BBF" w14:textId="77777777">
      <w:pPr>
        <w:rPr>
          <w:szCs w:val="22"/>
        </w:rPr>
      </w:pPr>
    </w:p>
    <w:p w:rsidRPr="000E38F1" w:rsidR="000E0FB6" w:rsidRDefault="00357169" w14:paraId="35E14DF8" w14:textId="77777777">
      <w:pPr>
        <w:pStyle w:val="Heading2"/>
        <w:keepLines/>
        <w:numPr>
          <w:ilvl w:val="0"/>
          <w:numId w:val="0"/>
        </w:numPr>
        <w:ind w:left="720" w:hanging="720"/>
        <w:rPr>
          <w:szCs w:val="22"/>
        </w:rPr>
      </w:pPr>
      <w:bookmarkStart w:name="_Toc507400037" w:id="246"/>
      <w:bookmarkStart w:name="_Toc26362865" w:id="247"/>
      <w:bookmarkStart w:name="_Toc29213201" w:id="248"/>
      <w:bookmarkStart w:name="_Toc73021749" w:id="249"/>
      <w:r>
        <w:rPr>
          <w:szCs w:val="22"/>
        </w:rPr>
        <w:t>5.7</w:t>
      </w:r>
      <w:r>
        <w:rPr>
          <w:szCs w:val="22"/>
        </w:rPr>
        <w:tab/>
      </w:r>
      <w:r w:rsidRPr="000E38F1" w:rsidR="002243BF">
        <w:rPr>
          <w:szCs w:val="22"/>
        </w:rPr>
        <w:t>Aggressive Actions to Gather Information - Enrichment Facilities</w:t>
      </w:r>
      <w:bookmarkEnd w:id="246"/>
      <w:bookmarkEnd w:id="247"/>
      <w:bookmarkEnd w:id="248"/>
      <w:bookmarkEnd w:id="249"/>
    </w:p>
    <w:p w:rsidRPr="000E38F1" w:rsidR="000E0FB6" w:rsidRDefault="000E0FB6" w14:paraId="1F78E3AF" w14:textId="77777777">
      <w:pPr>
        <w:keepNext/>
        <w:keepLines/>
        <w:outlineLvl w:val="2"/>
        <w:rPr>
          <w:szCs w:val="22"/>
        </w:rPr>
      </w:pPr>
    </w:p>
    <w:p w:rsidRPr="000E38F1" w:rsidR="00E46CBF" w:rsidRDefault="00E46CBF" w14:paraId="7BC37A13" w14:textId="77777777">
      <w:pPr>
        <w:keepNext/>
        <w:keepLines/>
        <w:ind w:firstLine="720"/>
        <w:rPr>
          <w:szCs w:val="22"/>
        </w:rPr>
      </w:pPr>
      <w:r w:rsidRPr="00E76E1F">
        <w:rPr>
          <w:szCs w:val="22"/>
        </w:rPr>
        <w:t xml:space="preserve">Category II or </w:t>
      </w:r>
      <w:r w:rsidRPr="00E76E1F" w:rsidR="003F084A">
        <w:rPr>
          <w:szCs w:val="22"/>
        </w:rPr>
        <w:t xml:space="preserve">Category </w:t>
      </w:r>
      <w:r w:rsidRPr="00E76E1F">
        <w:rPr>
          <w:szCs w:val="22"/>
        </w:rPr>
        <w:t>III SNM enrichment facilities</w:t>
      </w:r>
      <w:r w:rsidRPr="00E76E1F" w:rsidR="000964B2">
        <w:rPr>
          <w:szCs w:val="22"/>
        </w:rPr>
        <w:t xml:space="preserve"> </w:t>
      </w:r>
      <w:r w:rsidRPr="0028112D" w:rsidR="00815421">
        <w:rPr>
          <w:szCs w:val="22"/>
        </w:rPr>
        <w:t>subject to 10</w:t>
      </w:r>
      <w:r w:rsidRPr="0028112D" w:rsidR="00F10F1A">
        <w:rPr>
          <w:szCs w:val="22"/>
        </w:rPr>
        <w:t> </w:t>
      </w:r>
      <w:r w:rsidRPr="0028112D" w:rsidR="00815421">
        <w:rPr>
          <w:szCs w:val="22"/>
        </w:rPr>
        <w:t>CFR</w:t>
      </w:r>
      <w:r w:rsidRPr="0028112D" w:rsidR="00F10F1A">
        <w:rPr>
          <w:szCs w:val="22"/>
        </w:rPr>
        <w:t> </w:t>
      </w:r>
      <w:r w:rsidRPr="0028112D" w:rsidR="00815421">
        <w:rPr>
          <w:szCs w:val="22"/>
        </w:rPr>
        <w:t xml:space="preserve">73.67 </w:t>
      </w:r>
      <w:r w:rsidRPr="00E02297" w:rsidR="000964B2">
        <w:rPr>
          <w:szCs w:val="22"/>
        </w:rPr>
        <w:t xml:space="preserve">are </w:t>
      </w:r>
      <w:r w:rsidRPr="00E02297" w:rsidR="003F084A">
        <w:rPr>
          <w:szCs w:val="22"/>
        </w:rPr>
        <w:t xml:space="preserve">also </w:t>
      </w:r>
      <w:r w:rsidRPr="00E02297" w:rsidR="000964B2">
        <w:rPr>
          <w:szCs w:val="22"/>
        </w:rPr>
        <w:t>subject to the suspicious activity reporting requirements of 10 CFR 73.1215(f) with respect to their</w:t>
      </w:r>
      <w:r w:rsidRPr="000E38F1" w:rsidR="000964B2">
        <w:rPr>
          <w:szCs w:val="22"/>
        </w:rPr>
        <w:t xml:space="preserve"> RD information, technology, or materials.</w:t>
      </w:r>
    </w:p>
    <w:p w:rsidRPr="0028112D" w:rsidR="000964B2" w:rsidRDefault="000964B2" w14:paraId="152F3260" w14:textId="77777777">
      <w:pPr>
        <w:ind w:firstLine="720"/>
        <w:rPr>
          <w:szCs w:val="22"/>
        </w:rPr>
      </w:pPr>
    </w:p>
    <w:p w:rsidRPr="00E02297" w:rsidR="000964B2" w:rsidRDefault="000964B2" w14:paraId="4EAC4FEF" w14:textId="77777777">
      <w:pPr>
        <w:ind w:firstLine="720"/>
        <w:rPr>
          <w:szCs w:val="22"/>
        </w:rPr>
      </w:pPr>
      <w:bookmarkStart w:name="_Toc475809434" w:id="250"/>
      <w:bookmarkStart w:name="_Toc475809791" w:id="251"/>
      <w:bookmarkStart w:name="_Toc475810727" w:id="252"/>
      <w:bookmarkStart w:name="_Toc475810889" w:id="253"/>
      <w:bookmarkStart w:name="_Toc475894581" w:id="254"/>
      <w:bookmarkStart w:name="_Toc475948028" w:id="255"/>
      <w:bookmarkStart w:name="_Toc475948303" w:id="256"/>
      <w:bookmarkStart w:name="_Toc475948380" w:id="257"/>
      <w:bookmarkStart w:name="_Toc475948543" w:id="258"/>
      <w:bookmarkStart w:name="_Toc475949678" w:id="259"/>
      <w:bookmarkStart w:name="_Toc475979129" w:id="260"/>
      <w:bookmarkStart w:name="_Toc475979371" w:id="261"/>
      <w:bookmarkStart w:name="_Toc475979703" w:id="262"/>
      <w:bookmarkStart w:name="_Toc475992201" w:id="263"/>
      <w:bookmarkStart w:name="_Toc476022441" w:id="264"/>
      <w:bookmarkStart w:name="_Toc476031335" w:id="265"/>
      <w:bookmarkStart w:name="_Toc477720647" w:id="266"/>
      <w:bookmarkStart w:name="_Toc477857444" w:id="267"/>
      <w:bookmarkStart w:name="_Toc477946043" w:id="268"/>
      <w:bookmarkStart w:name="_Toc477961845" w:id="269"/>
      <w:bookmarkStart w:name="_Toc494891514" w:id="270"/>
      <w:bookmarkStart w:name="_Toc496269815" w:id="271"/>
      <w:bookmarkStart w:name="_Toc496270197" w:id="272"/>
      <w:bookmarkStart w:name="_Toc507399468" w:id="273"/>
      <w:bookmarkStart w:name="_Toc507399791" w:id="274"/>
      <w:bookmarkStart w:name="_Toc507400038" w:id="275"/>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28112D">
        <w:rPr>
          <w:szCs w:val="22"/>
        </w:rPr>
        <w:t xml:space="preserve">Accordingly, the NRC staff is providing examples </w:t>
      </w:r>
      <w:r w:rsidRPr="00E02297">
        <w:rPr>
          <w:szCs w:val="22"/>
        </w:rPr>
        <w:t xml:space="preserve">of some activities </w:t>
      </w:r>
      <w:r w:rsidRPr="00E02297" w:rsidR="0006415F">
        <w:rPr>
          <w:szCs w:val="22"/>
        </w:rPr>
        <w:t>a licensee may consider assessing as a potentially reportable suspicious activity</w:t>
      </w:r>
      <w:r w:rsidRPr="00E02297">
        <w:rPr>
          <w:szCs w:val="22"/>
        </w:rPr>
        <w:t>.</w:t>
      </w:r>
    </w:p>
    <w:p w:rsidRPr="000E38F1" w:rsidR="00927B16" w:rsidRDefault="00927B16" w14:paraId="43837378" w14:textId="77777777">
      <w:pPr>
        <w:ind w:firstLine="720"/>
        <w:rPr>
          <w:szCs w:val="22"/>
        </w:rPr>
      </w:pPr>
    </w:p>
    <w:p w:rsidR="00502A37" w:rsidRDefault="00155C18" w14:paraId="24F18ECC" w14:textId="77777777">
      <w:pPr>
        <w:pStyle w:val="ListParagraph"/>
        <w:numPr>
          <w:ilvl w:val="0"/>
          <w:numId w:val="38"/>
        </w:numPr>
        <w:tabs>
          <w:tab w:val="left" w:pos="-1440"/>
        </w:tabs>
        <w:autoSpaceDE w:val="0"/>
        <w:autoSpaceDN w:val="0"/>
        <w:adjustRightInd w:val="0"/>
        <w:ind w:left="1080" w:hanging="360"/>
        <w:rPr>
          <w:szCs w:val="22"/>
        </w:rPr>
      </w:pPr>
      <w:r w:rsidRPr="005C1AE6">
        <w:rPr>
          <w:szCs w:val="22"/>
        </w:rPr>
        <w:t>Consistent with 10 CFR 73.1215(f)(1), l</w:t>
      </w:r>
      <w:r w:rsidRPr="005C1AE6" w:rsidR="00E46CBF">
        <w:rPr>
          <w:szCs w:val="22"/>
        </w:rPr>
        <w:t xml:space="preserve">icensees </w:t>
      </w:r>
      <w:r w:rsidRPr="005C1AE6">
        <w:rPr>
          <w:szCs w:val="22"/>
        </w:rPr>
        <w:t xml:space="preserve">must </w:t>
      </w:r>
      <w:r w:rsidRPr="005C1AE6" w:rsidR="00E46CBF">
        <w:rPr>
          <w:szCs w:val="22"/>
        </w:rPr>
        <w:t>report suspicious activities involving aggressive noncompliance with visitor restrictions during onsite visits or tours</w:t>
      </w:r>
      <w:r w:rsidRPr="005C1AE6">
        <w:rPr>
          <w:szCs w:val="22"/>
        </w:rPr>
        <w:t>, including but not limited to the following:</w:t>
      </w:r>
    </w:p>
    <w:p w:rsidRPr="005C1AE6" w:rsidR="00E46CBF" w:rsidP="001D2559" w:rsidRDefault="00155C18" w14:paraId="61FFF788" w14:textId="77777777">
      <w:pPr>
        <w:pStyle w:val="ListParagraph"/>
        <w:tabs>
          <w:tab w:val="left" w:pos="-1440"/>
        </w:tabs>
        <w:autoSpaceDE w:val="0"/>
        <w:autoSpaceDN w:val="0"/>
        <w:adjustRightInd w:val="0"/>
        <w:rPr>
          <w:szCs w:val="22"/>
        </w:rPr>
      </w:pPr>
      <w:r w:rsidRPr="005C1AE6">
        <w:rPr>
          <w:szCs w:val="22"/>
        </w:rPr>
        <w:t xml:space="preserve"> </w:t>
      </w:r>
      <w:r w:rsidRPr="005C1AE6" w:rsidR="00E46CBF">
        <w:rPr>
          <w:szCs w:val="22"/>
        </w:rPr>
        <w:t xml:space="preserve"> </w:t>
      </w:r>
    </w:p>
    <w:p w:rsidRPr="0028112D" w:rsidR="00E46CBF" w:rsidP="003643B7" w:rsidRDefault="00E46CBF" w14:paraId="33C80AED" w14:textId="77777777">
      <w:pPr>
        <w:pStyle w:val="ListParagraph"/>
        <w:numPr>
          <w:ilvl w:val="0"/>
          <w:numId w:val="14"/>
        </w:numPr>
        <w:tabs>
          <w:tab w:val="left" w:pos="-1440"/>
        </w:tabs>
        <w:autoSpaceDE w:val="0"/>
        <w:autoSpaceDN w:val="0"/>
        <w:adjustRightInd w:val="0"/>
        <w:ind w:left="1440"/>
        <w:rPr>
          <w:sz w:val="22"/>
          <w:szCs w:val="22"/>
        </w:rPr>
      </w:pPr>
      <w:r w:rsidRPr="0028112D">
        <w:rPr>
          <w:sz w:val="22"/>
          <w:szCs w:val="22"/>
        </w:rPr>
        <w:t>Willful unauthorized departure from a tour group, or</w:t>
      </w:r>
    </w:p>
    <w:p w:rsidRPr="0028112D" w:rsidR="00E46CBF" w:rsidP="003643B7" w:rsidRDefault="00E46CBF" w14:paraId="1C57FCDE" w14:textId="77777777">
      <w:pPr>
        <w:pStyle w:val="ListParagraph"/>
        <w:tabs>
          <w:tab w:val="left" w:pos="-1440"/>
        </w:tabs>
        <w:autoSpaceDE w:val="0"/>
        <w:autoSpaceDN w:val="0"/>
        <w:adjustRightInd w:val="0"/>
        <w:ind w:left="1440" w:hanging="360"/>
        <w:rPr>
          <w:sz w:val="22"/>
          <w:szCs w:val="22"/>
        </w:rPr>
      </w:pPr>
    </w:p>
    <w:p w:rsidRPr="00E02297" w:rsidR="00E46CBF" w:rsidRDefault="00E46CBF" w14:paraId="768C9129" w14:textId="77777777">
      <w:pPr>
        <w:pStyle w:val="ListParagraph"/>
        <w:numPr>
          <w:ilvl w:val="0"/>
          <w:numId w:val="14"/>
        </w:numPr>
        <w:tabs>
          <w:tab w:val="left" w:pos="-1440"/>
        </w:tabs>
        <w:autoSpaceDE w:val="0"/>
        <w:autoSpaceDN w:val="0"/>
        <w:adjustRightInd w:val="0"/>
        <w:ind w:left="1440"/>
        <w:rPr>
          <w:sz w:val="22"/>
          <w:szCs w:val="22"/>
        </w:rPr>
      </w:pPr>
      <w:r w:rsidRPr="0028112D">
        <w:rPr>
          <w:sz w:val="22"/>
          <w:szCs w:val="22"/>
        </w:rPr>
        <w:t>Willful entry into unauthorized areas or into 10 CFR Part 95 restricted areas.</w:t>
      </w:r>
    </w:p>
    <w:p w:rsidRPr="0028112D" w:rsidR="00927B16" w:rsidRDefault="00927B16" w14:paraId="09A9BACC" w14:textId="77777777">
      <w:pPr>
        <w:pStyle w:val="ListParagraph"/>
        <w:tabs>
          <w:tab w:val="left" w:pos="-1440"/>
        </w:tabs>
        <w:autoSpaceDE w:val="0"/>
        <w:autoSpaceDN w:val="0"/>
        <w:adjustRightInd w:val="0"/>
        <w:ind w:left="1440" w:hanging="360"/>
        <w:rPr>
          <w:sz w:val="22"/>
          <w:szCs w:val="22"/>
        </w:rPr>
      </w:pPr>
    </w:p>
    <w:p w:rsidRPr="0028112D" w:rsidR="00DB1B04" w:rsidRDefault="00214DE2" w14:paraId="4F6FE2F9" w14:textId="77777777">
      <w:pPr>
        <w:pStyle w:val="ListParagraph"/>
        <w:numPr>
          <w:ilvl w:val="0"/>
          <w:numId w:val="14"/>
        </w:numPr>
        <w:tabs>
          <w:tab w:val="left" w:pos="-1440"/>
        </w:tabs>
        <w:autoSpaceDE w:val="0"/>
        <w:autoSpaceDN w:val="0"/>
        <w:adjustRightInd w:val="0"/>
        <w:ind w:left="1440"/>
        <w:rPr>
          <w:sz w:val="22"/>
          <w:szCs w:val="22"/>
        </w:rPr>
      </w:pPr>
      <w:r w:rsidRPr="0028112D">
        <w:rPr>
          <w:sz w:val="22"/>
          <w:szCs w:val="22"/>
        </w:rPr>
        <w:t xml:space="preserve">Persistent, aggressive, or detailed questions by visitors or tour groups or significant unauthorized behavior by visitors or tour groups. </w:t>
      </w:r>
    </w:p>
    <w:p w:rsidRPr="0028112D" w:rsidR="005E3404" w:rsidP="001D2559" w:rsidRDefault="00214DE2" w14:paraId="12635382" w14:textId="77777777">
      <w:pPr>
        <w:pStyle w:val="ListParagraph"/>
        <w:tabs>
          <w:tab w:val="left" w:pos="-1440"/>
        </w:tabs>
        <w:autoSpaceDE w:val="0"/>
        <w:autoSpaceDN w:val="0"/>
        <w:adjustRightInd w:val="0"/>
        <w:ind w:left="1440"/>
        <w:rPr>
          <w:sz w:val="22"/>
          <w:szCs w:val="22"/>
        </w:rPr>
      </w:pPr>
      <w:r w:rsidRPr="0028112D">
        <w:rPr>
          <w:sz w:val="22"/>
          <w:szCs w:val="22"/>
        </w:rPr>
        <w:t xml:space="preserve"> </w:t>
      </w:r>
    </w:p>
    <w:p w:rsidRPr="0028112D" w:rsidR="00DB1B04" w:rsidP="003643B7" w:rsidRDefault="005E3404" w14:paraId="07876F08" w14:textId="250D15E4">
      <w:pPr>
        <w:pStyle w:val="ListParagraph"/>
        <w:tabs>
          <w:tab w:val="left" w:pos="-1440"/>
        </w:tabs>
        <w:autoSpaceDE w:val="0"/>
        <w:autoSpaceDN w:val="0"/>
        <w:adjustRightInd w:val="0"/>
        <w:ind w:left="2160" w:hanging="720"/>
        <w:rPr>
          <w:sz w:val="22"/>
          <w:szCs w:val="22"/>
        </w:rPr>
      </w:pPr>
      <w:r w:rsidRPr="0028112D">
        <w:rPr>
          <w:b/>
          <w:bCs/>
          <w:sz w:val="22"/>
          <w:szCs w:val="22"/>
        </w:rPr>
        <w:t>Note</w:t>
      </w:r>
      <w:r w:rsidRPr="0028112D" w:rsidR="003F084A">
        <w:rPr>
          <w:b/>
          <w:bCs/>
          <w:sz w:val="22"/>
          <w:szCs w:val="22"/>
        </w:rPr>
        <w:t>s</w:t>
      </w:r>
      <w:r w:rsidRPr="0028112D">
        <w:rPr>
          <w:b/>
          <w:bCs/>
          <w:sz w:val="22"/>
          <w:szCs w:val="22"/>
        </w:rPr>
        <w:t>:</w:t>
      </w:r>
      <w:r w:rsidRPr="0028112D">
        <w:rPr>
          <w:sz w:val="22"/>
          <w:szCs w:val="22"/>
        </w:rPr>
        <w:tab/>
      </w:r>
      <w:r w:rsidRPr="0028112D" w:rsidR="00DB1B04">
        <w:rPr>
          <w:sz w:val="22"/>
          <w:szCs w:val="22"/>
        </w:rPr>
        <w:t>For example, persistent questioning following a licensee’s initial reply that the information is non-public or sensitive</w:t>
      </w:r>
      <w:r w:rsidRPr="0028112D" w:rsidR="003F084A">
        <w:rPr>
          <w:sz w:val="22"/>
          <w:szCs w:val="22"/>
        </w:rPr>
        <w:t>;</w:t>
      </w:r>
      <w:r w:rsidRPr="0028112D" w:rsidR="00DB1B04">
        <w:rPr>
          <w:sz w:val="22"/>
          <w:szCs w:val="22"/>
        </w:rPr>
        <w:t xml:space="preserve"> and, therefore, cannot be discussed</w:t>
      </w:r>
      <w:r w:rsidR="002E7BC2">
        <w:rPr>
          <w:sz w:val="22"/>
          <w:szCs w:val="22"/>
        </w:rPr>
        <w:t xml:space="preserve">. </w:t>
      </w:r>
      <w:r w:rsidRPr="0028112D" w:rsidR="00DB1B04">
        <w:rPr>
          <w:sz w:val="22"/>
          <w:szCs w:val="22"/>
        </w:rPr>
        <w:t xml:space="preserve">The NRC staff considers </w:t>
      </w:r>
      <w:r w:rsidRPr="0028112D" w:rsidR="003F084A">
        <w:rPr>
          <w:sz w:val="22"/>
          <w:szCs w:val="22"/>
        </w:rPr>
        <w:t xml:space="preserve">persistent </w:t>
      </w:r>
      <w:r w:rsidRPr="0028112D" w:rsidR="00DB1B04">
        <w:rPr>
          <w:sz w:val="22"/>
          <w:szCs w:val="22"/>
        </w:rPr>
        <w:t>questioning to be different from mere curiosity by visitors or tour groups</w:t>
      </w:r>
      <w:r w:rsidR="002E7BC2">
        <w:rPr>
          <w:sz w:val="22"/>
          <w:szCs w:val="22"/>
        </w:rPr>
        <w:t xml:space="preserve">. </w:t>
      </w:r>
    </w:p>
    <w:p w:rsidRPr="0028112D" w:rsidR="00DB1B04" w:rsidP="003643B7" w:rsidRDefault="00DB1B04" w14:paraId="71BB4059" w14:textId="77777777">
      <w:pPr>
        <w:pStyle w:val="ListParagraph"/>
        <w:tabs>
          <w:tab w:val="left" w:pos="-1440"/>
        </w:tabs>
        <w:autoSpaceDE w:val="0"/>
        <w:autoSpaceDN w:val="0"/>
        <w:adjustRightInd w:val="0"/>
        <w:ind w:left="2160" w:hanging="720"/>
        <w:rPr>
          <w:sz w:val="22"/>
          <w:szCs w:val="22"/>
        </w:rPr>
      </w:pPr>
    </w:p>
    <w:p w:rsidRPr="0028112D" w:rsidR="00214DE2" w:rsidRDefault="00214DE2" w14:paraId="37A08A3F" w14:textId="020D976F">
      <w:pPr>
        <w:pStyle w:val="ListParagraph"/>
        <w:tabs>
          <w:tab w:val="left" w:pos="-1440"/>
        </w:tabs>
        <w:autoSpaceDE w:val="0"/>
        <w:autoSpaceDN w:val="0"/>
        <w:adjustRightInd w:val="0"/>
        <w:ind w:left="2160"/>
        <w:rPr>
          <w:sz w:val="22"/>
          <w:szCs w:val="22"/>
        </w:rPr>
      </w:pPr>
      <w:r w:rsidRPr="0028112D">
        <w:rPr>
          <w:sz w:val="22"/>
          <w:szCs w:val="22"/>
        </w:rPr>
        <w:t>Such activities, especially by foreign national visitors, may also be potentially indicative of attempted espionage activities</w:t>
      </w:r>
      <w:r w:rsidR="002E7BC2">
        <w:rPr>
          <w:sz w:val="22"/>
          <w:szCs w:val="22"/>
        </w:rPr>
        <w:t xml:space="preserve">. </w:t>
      </w:r>
      <w:r w:rsidRPr="0028112D">
        <w:rPr>
          <w:sz w:val="22"/>
          <w:szCs w:val="22"/>
        </w:rPr>
        <w:t xml:space="preserve">(See </w:t>
      </w:r>
      <w:r w:rsidRPr="0028112D" w:rsidR="005E3404">
        <w:rPr>
          <w:sz w:val="22"/>
          <w:szCs w:val="22"/>
        </w:rPr>
        <w:t xml:space="preserve">also </w:t>
      </w:r>
      <w:r w:rsidRPr="0028112D">
        <w:rPr>
          <w:sz w:val="22"/>
          <w:szCs w:val="22"/>
        </w:rPr>
        <w:t xml:space="preserve">Staff Regulatory Guidance position </w:t>
      </w:r>
      <w:r w:rsidR="000A3842">
        <w:rPr>
          <w:sz w:val="22"/>
          <w:szCs w:val="22"/>
        </w:rPr>
        <w:t>6</w:t>
      </w:r>
      <w:r w:rsidRPr="0028112D">
        <w:rPr>
          <w:sz w:val="22"/>
          <w:szCs w:val="22"/>
        </w:rPr>
        <w:t>)</w:t>
      </w:r>
    </w:p>
    <w:p w:rsidRPr="00257668" w:rsidR="005E3404" w:rsidRDefault="005E3404" w14:paraId="24E46CBA" w14:textId="77777777">
      <w:pPr>
        <w:pStyle w:val="ListParagraph"/>
        <w:tabs>
          <w:tab w:val="left" w:pos="-1440"/>
        </w:tabs>
        <w:autoSpaceDE w:val="0"/>
        <w:autoSpaceDN w:val="0"/>
        <w:adjustRightInd w:val="0"/>
        <w:ind w:left="2160" w:hanging="720"/>
        <w:rPr>
          <w:sz w:val="22"/>
          <w:szCs w:val="22"/>
        </w:rPr>
      </w:pPr>
    </w:p>
    <w:p w:rsidRPr="00257668" w:rsidR="00E46CBF" w:rsidRDefault="00E46CBF" w14:paraId="6A2BED3D" w14:textId="1F2D47EA">
      <w:pPr>
        <w:pStyle w:val="ListParagraph"/>
        <w:numPr>
          <w:ilvl w:val="0"/>
          <w:numId w:val="38"/>
        </w:numPr>
        <w:tabs>
          <w:tab w:val="left" w:pos="-1440"/>
        </w:tabs>
        <w:autoSpaceDE w:val="0"/>
        <w:autoSpaceDN w:val="0"/>
        <w:adjustRightInd w:val="0"/>
        <w:ind w:left="1080" w:hanging="360"/>
        <w:rPr>
          <w:szCs w:val="22"/>
        </w:rPr>
      </w:pPr>
      <w:r w:rsidRPr="00257668">
        <w:rPr>
          <w:sz w:val="22"/>
          <w:szCs w:val="22"/>
        </w:rPr>
        <w:t>Licensees should be aware that official foreign visitors and joint research efforts may be exploited by foreign government organizations, including their intelligence services, to target and collect sensitive information</w:t>
      </w:r>
      <w:r w:rsidR="002E7BC2">
        <w:rPr>
          <w:sz w:val="22"/>
          <w:szCs w:val="22"/>
        </w:rPr>
        <w:t xml:space="preserve">. </w:t>
      </w:r>
      <w:r w:rsidRPr="00257668">
        <w:rPr>
          <w:sz w:val="22"/>
          <w:szCs w:val="22"/>
        </w:rPr>
        <w:t xml:space="preserve">This may include official visits to facilities, as well as joint research projects between foreign entities and U.S. licensees. </w:t>
      </w:r>
    </w:p>
    <w:p w:rsidRPr="00257668" w:rsidR="000D5F22" w:rsidRDefault="000D5F22" w14:paraId="32393CEA" w14:textId="77777777">
      <w:pPr>
        <w:ind w:left="1080" w:hanging="360"/>
        <w:rPr>
          <w:szCs w:val="22"/>
        </w:rPr>
      </w:pPr>
    </w:p>
    <w:p w:rsidR="003F084A" w:rsidP="001D2559" w:rsidRDefault="003F084A" w14:paraId="58E2AB3B" w14:textId="77777777">
      <w:pPr>
        <w:pStyle w:val="ListParagraph"/>
        <w:numPr>
          <w:ilvl w:val="0"/>
          <w:numId w:val="38"/>
        </w:numPr>
        <w:tabs>
          <w:tab w:val="left" w:pos="-1440"/>
        </w:tabs>
        <w:autoSpaceDE w:val="0"/>
        <w:autoSpaceDN w:val="0"/>
        <w:adjustRightInd w:val="0"/>
        <w:ind w:left="1080" w:hanging="360"/>
        <w:rPr>
          <w:sz w:val="22"/>
          <w:szCs w:val="22"/>
        </w:rPr>
      </w:pPr>
      <w:r w:rsidRPr="003600C8">
        <w:rPr>
          <w:sz w:val="22"/>
          <w:szCs w:val="22"/>
        </w:rPr>
        <w:t xml:space="preserve">Licensees should report suspicious activities involving the attempted unauthorized </w:t>
      </w:r>
      <w:r w:rsidRPr="003600C8" w:rsidR="00A658AA">
        <w:rPr>
          <w:sz w:val="22"/>
          <w:szCs w:val="22"/>
        </w:rPr>
        <w:t xml:space="preserve">introduction </w:t>
      </w:r>
      <w:r w:rsidRPr="003600C8">
        <w:rPr>
          <w:sz w:val="22"/>
          <w:szCs w:val="22"/>
        </w:rPr>
        <w:t>of the following electronic devices or recording media inside a 10 CFR Part 95 restricted area containing RD technology, information, or materials:</w:t>
      </w:r>
    </w:p>
    <w:p w:rsidRPr="003600C8" w:rsidR="00257668" w:rsidP="003643B7" w:rsidRDefault="00257668" w14:paraId="0ACFE88E" w14:textId="77777777">
      <w:pPr>
        <w:pStyle w:val="ListParagraph"/>
        <w:rPr>
          <w:sz w:val="22"/>
          <w:szCs w:val="22"/>
        </w:rPr>
      </w:pPr>
    </w:p>
    <w:p w:rsidRPr="0028112D" w:rsidR="003F084A" w:rsidP="003643B7" w:rsidRDefault="003F084A" w14:paraId="65193533" w14:textId="77777777">
      <w:pPr>
        <w:pStyle w:val="ListParagraph"/>
        <w:numPr>
          <w:ilvl w:val="0"/>
          <w:numId w:val="15"/>
        </w:numPr>
        <w:tabs>
          <w:tab w:val="left" w:pos="-1440"/>
        </w:tabs>
        <w:autoSpaceDE w:val="0"/>
        <w:autoSpaceDN w:val="0"/>
        <w:adjustRightInd w:val="0"/>
        <w:ind w:left="1440"/>
        <w:rPr>
          <w:sz w:val="22"/>
          <w:szCs w:val="22"/>
        </w:rPr>
      </w:pPr>
      <w:r w:rsidRPr="0028112D">
        <w:rPr>
          <w:sz w:val="22"/>
          <w:szCs w:val="22"/>
        </w:rPr>
        <w:t xml:space="preserve">cell </w:t>
      </w:r>
      <w:proofErr w:type="gramStart"/>
      <w:r w:rsidRPr="0028112D">
        <w:rPr>
          <w:sz w:val="22"/>
          <w:szCs w:val="22"/>
        </w:rPr>
        <w:t>phones;</w:t>
      </w:r>
      <w:proofErr w:type="gramEnd"/>
    </w:p>
    <w:p w:rsidRPr="0028112D" w:rsidR="003F084A" w:rsidRDefault="003F084A" w14:paraId="131AC66A" w14:textId="77777777">
      <w:pPr>
        <w:pStyle w:val="ListParagraph"/>
        <w:tabs>
          <w:tab w:val="left" w:pos="-1440"/>
        </w:tabs>
        <w:autoSpaceDE w:val="0"/>
        <w:autoSpaceDN w:val="0"/>
        <w:adjustRightInd w:val="0"/>
        <w:ind w:left="1440" w:hanging="360"/>
        <w:rPr>
          <w:sz w:val="22"/>
          <w:szCs w:val="22"/>
        </w:rPr>
      </w:pPr>
    </w:p>
    <w:p w:rsidRPr="0028112D" w:rsidR="003F084A" w:rsidRDefault="003F084A" w14:paraId="053A7EAB" w14:textId="77777777">
      <w:pPr>
        <w:pStyle w:val="ListParagraph"/>
        <w:numPr>
          <w:ilvl w:val="0"/>
          <w:numId w:val="15"/>
        </w:numPr>
        <w:tabs>
          <w:tab w:val="left" w:pos="-1440"/>
        </w:tabs>
        <w:autoSpaceDE w:val="0"/>
        <w:autoSpaceDN w:val="0"/>
        <w:adjustRightInd w:val="0"/>
        <w:ind w:left="1440"/>
        <w:rPr>
          <w:sz w:val="22"/>
          <w:szCs w:val="22"/>
        </w:rPr>
      </w:pPr>
      <w:proofErr w:type="gramStart"/>
      <w:r w:rsidRPr="0028112D">
        <w:rPr>
          <w:sz w:val="22"/>
          <w:szCs w:val="22"/>
        </w:rPr>
        <w:t>cameras;</w:t>
      </w:r>
      <w:proofErr w:type="gramEnd"/>
    </w:p>
    <w:p w:rsidRPr="0028112D" w:rsidR="003F084A" w:rsidRDefault="003F084A" w14:paraId="301A1567" w14:textId="77777777">
      <w:pPr>
        <w:pStyle w:val="ListParagraph"/>
        <w:tabs>
          <w:tab w:val="left" w:pos="-1440"/>
        </w:tabs>
        <w:autoSpaceDE w:val="0"/>
        <w:autoSpaceDN w:val="0"/>
        <w:adjustRightInd w:val="0"/>
        <w:ind w:left="1440" w:hanging="360"/>
        <w:rPr>
          <w:sz w:val="22"/>
          <w:szCs w:val="22"/>
        </w:rPr>
      </w:pPr>
    </w:p>
    <w:p w:rsidRPr="0028112D" w:rsidR="003F084A" w:rsidRDefault="003F084A" w14:paraId="73B3DB7E" w14:textId="77777777">
      <w:pPr>
        <w:pStyle w:val="ListParagraph"/>
        <w:numPr>
          <w:ilvl w:val="0"/>
          <w:numId w:val="15"/>
        </w:numPr>
        <w:tabs>
          <w:tab w:val="left" w:pos="-1440"/>
        </w:tabs>
        <w:autoSpaceDE w:val="0"/>
        <w:autoSpaceDN w:val="0"/>
        <w:adjustRightInd w:val="0"/>
        <w:ind w:left="1440"/>
        <w:rPr>
          <w:sz w:val="22"/>
          <w:szCs w:val="22"/>
        </w:rPr>
      </w:pPr>
      <w:r w:rsidRPr="0028112D">
        <w:rPr>
          <w:sz w:val="22"/>
          <w:szCs w:val="22"/>
        </w:rPr>
        <w:t>wireless or Bluetooth devices (e.g., Fitbits or Google Glasses); or</w:t>
      </w:r>
    </w:p>
    <w:p w:rsidRPr="0028112D" w:rsidR="003F084A" w:rsidRDefault="003F084A" w14:paraId="55F87120" w14:textId="77777777">
      <w:pPr>
        <w:pStyle w:val="ListParagraph"/>
        <w:tabs>
          <w:tab w:val="left" w:pos="-1440"/>
        </w:tabs>
        <w:autoSpaceDE w:val="0"/>
        <w:autoSpaceDN w:val="0"/>
        <w:adjustRightInd w:val="0"/>
        <w:ind w:left="1440" w:hanging="360"/>
        <w:rPr>
          <w:sz w:val="22"/>
          <w:szCs w:val="22"/>
        </w:rPr>
      </w:pPr>
    </w:p>
    <w:p w:rsidRPr="0028112D" w:rsidR="003F084A" w:rsidRDefault="003F084A" w14:paraId="3718B84F" w14:textId="77777777">
      <w:pPr>
        <w:pStyle w:val="ListParagraph"/>
        <w:numPr>
          <w:ilvl w:val="0"/>
          <w:numId w:val="15"/>
        </w:numPr>
        <w:tabs>
          <w:tab w:val="left" w:pos="-1440"/>
        </w:tabs>
        <w:autoSpaceDE w:val="0"/>
        <w:autoSpaceDN w:val="0"/>
        <w:adjustRightInd w:val="0"/>
        <w:ind w:left="1440"/>
        <w:rPr>
          <w:sz w:val="22"/>
          <w:szCs w:val="22"/>
        </w:rPr>
      </w:pPr>
      <w:r w:rsidRPr="0028112D">
        <w:rPr>
          <w:sz w:val="22"/>
          <w:szCs w:val="22"/>
        </w:rPr>
        <w:t>USB memory, CD memory, or DVD memory devices.</w:t>
      </w:r>
    </w:p>
    <w:p w:rsidR="00EF597F" w:rsidRDefault="00EF597F" w14:paraId="4A6386D1" w14:textId="77777777">
      <w:pPr>
        <w:ind w:left="1800" w:hanging="720"/>
        <w:rPr>
          <w:b/>
          <w:szCs w:val="22"/>
        </w:rPr>
      </w:pPr>
    </w:p>
    <w:p w:rsidRPr="0043727A" w:rsidR="003A0BBF" w:rsidRDefault="007F0335" w14:paraId="6737CAC7" w14:textId="66B7B6EC">
      <w:pPr>
        <w:ind w:left="2160" w:hanging="720"/>
        <w:rPr>
          <w:szCs w:val="22"/>
        </w:rPr>
      </w:pPr>
      <w:r w:rsidRPr="00E02297">
        <w:rPr>
          <w:b/>
          <w:szCs w:val="22"/>
        </w:rPr>
        <w:t>Note</w:t>
      </w:r>
      <w:r w:rsidRPr="00E02297" w:rsidR="00D26335">
        <w:rPr>
          <w:b/>
          <w:szCs w:val="22"/>
        </w:rPr>
        <w:t>s</w:t>
      </w:r>
      <w:r w:rsidRPr="00E02297">
        <w:rPr>
          <w:b/>
          <w:szCs w:val="22"/>
        </w:rPr>
        <w:t>:</w:t>
      </w:r>
      <w:r w:rsidRPr="00E02297">
        <w:rPr>
          <w:szCs w:val="22"/>
        </w:rPr>
        <w:tab/>
      </w:r>
      <w:r w:rsidRPr="00E02297" w:rsidR="0079440B">
        <w:rPr>
          <w:szCs w:val="22"/>
        </w:rPr>
        <w:t>Under 10 CFR 73.2 such</w:t>
      </w:r>
      <w:r w:rsidRPr="0028112D" w:rsidR="003A0BBF">
        <w:rPr>
          <w:szCs w:val="22"/>
        </w:rPr>
        <w:t xml:space="preserve"> </w:t>
      </w:r>
      <w:r w:rsidRPr="00E02297" w:rsidR="003A0BBF">
        <w:rPr>
          <w:szCs w:val="22"/>
        </w:rPr>
        <w:t xml:space="preserve">recording media and </w:t>
      </w:r>
      <w:r w:rsidRPr="0028112D" w:rsidR="0079440B">
        <w:rPr>
          <w:szCs w:val="22"/>
        </w:rPr>
        <w:t>communication</w:t>
      </w:r>
      <w:r w:rsidRPr="00E02297" w:rsidR="003A0BBF">
        <w:rPr>
          <w:szCs w:val="22"/>
        </w:rPr>
        <w:t xml:space="preserve"> devices in</w:t>
      </w:r>
      <w:r w:rsidRPr="00E02297" w:rsidR="0079440B">
        <w:rPr>
          <w:szCs w:val="22"/>
        </w:rPr>
        <w:t xml:space="preserve"> </w:t>
      </w:r>
      <w:r w:rsidRPr="0028112D" w:rsidR="0079440B">
        <w:rPr>
          <w:szCs w:val="22"/>
        </w:rPr>
        <w:t>a</w:t>
      </w:r>
      <w:r w:rsidRPr="0028112D" w:rsidR="00BD47E7">
        <w:rPr>
          <w:szCs w:val="22"/>
        </w:rPr>
        <w:t xml:space="preserve"> </w:t>
      </w:r>
      <w:r w:rsidRPr="0028112D" w:rsidR="0079440B">
        <w:rPr>
          <w:szCs w:val="22"/>
        </w:rPr>
        <w:t>10</w:t>
      </w:r>
      <w:r w:rsidR="00502A37">
        <w:rPr>
          <w:szCs w:val="22"/>
        </w:rPr>
        <w:t> </w:t>
      </w:r>
      <w:r w:rsidRPr="0028112D" w:rsidR="0079440B">
        <w:rPr>
          <w:szCs w:val="22"/>
        </w:rPr>
        <w:t xml:space="preserve">CFR Part 95 </w:t>
      </w:r>
      <w:r w:rsidRPr="0028112D" w:rsidR="00BD47E7">
        <w:rPr>
          <w:szCs w:val="22"/>
        </w:rPr>
        <w:t xml:space="preserve">restricted </w:t>
      </w:r>
      <w:r w:rsidRPr="0028112D" w:rsidR="0079440B">
        <w:rPr>
          <w:szCs w:val="22"/>
        </w:rPr>
        <w:t>area are</w:t>
      </w:r>
      <w:r w:rsidRPr="00E02297" w:rsidR="00BD47E7">
        <w:rPr>
          <w:szCs w:val="22"/>
        </w:rPr>
        <w:t xml:space="preserve"> </w:t>
      </w:r>
      <w:r w:rsidRPr="00E02297" w:rsidR="003A0BBF">
        <w:rPr>
          <w:szCs w:val="22"/>
        </w:rPr>
        <w:t xml:space="preserve">considered </w:t>
      </w:r>
      <w:r w:rsidRPr="00E02297" w:rsidR="00BD47E7">
        <w:rPr>
          <w:szCs w:val="22"/>
        </w:rPr>
        <w:t>contraband</w:t>
      </w:r>
      <w:r w:rsidR="002E7BC2">
        <w:rPr>
          <w:szCs w:val="22"/>
        </w:rPr>
        <w:t xml:space="preserve">. </w:t>
      </w:r>
      <w:r w:rsidRPr="0028112D" w:rsidR="0079440B">
        <w:rPr>
          <w:szCs w:val="22"/>
        </w:rPr>
        <w:t>Consequently, t</w:t>
      </w:r>
      <w:r w:rsidRPr="0028112D" w:rsidR="003A0BBF">
        <w:rPr>
          <w:szCs w:val="22"/>
        </w:rPr>
        <w:t>he</w:t>
      </w:r>
      <w:r w:rsidRPr="0028112D" w:rsidR="00BD47E7">
        <w:rPr>
          <w:szCs w:val="22"/>
        </w:rPr>
        <w:t xml:space="preserve"> discovery or observation of </w:t>
      </w:r>
      <w:r w:rsidRPr="0028112D" w:rsidR="0079440B">
        <w:rPr>
          <w:szCs w:val="22"/>
        </w:rPr>
        <w:t xml:space="preserve">contraband inside a restricted </w:t>
      </w:r>
      <w:r w:rsidRPr="0028112D" w:rsidR="00A658AA">
        <w:rPr>
          <w:szCs w:val="22"/>
        </w:rPr>
        <w:t xml:space="preserve">area </w:t>
      </w:r>
      <w:r w:rsidRPr="0028112D" w:rsidR="005F204B">
        <w:rPr>
          <w:szCs w:val="22"/>
        </w:rPr>
        <w:t xml:space="preserve">typically </w:t>
      </w:r>
      <w:r w:rsidRPr="0028112D" w:rsidR="0079440B">
        <w:rPr>
          <w:szCs w:val="22"/>
        </w:rPr>
        <w:t>requ</w:t>
      </w:r>
      <w:r w:rsidRPr="0028112D" w:rsidR="00BD47E7">
        <w:rPr>
          <w:szCs w:val="22"/>
        </w:rPr>
        <w:t>ires notification under 10 CFR </w:t>
      </w:r>
      <w:r w:rsidRPr="00B15CA1" w:rsidR="00A658AA">
        <w:rPr>
          <w:szCs w:val="22"/>
        </w:rPr>
        <w:t>95.57</w:t>
      </w:r>
      <w:r w:rsidR="002E7BC2">
        <w:rPr>
          <w:szCs w:val="22"/>
        </w:rPr>
        <w:t xml:space="preserve">. </w:t>
      </w:r>
    </w:p>
    <w:p w:rsidRPr="00A71567" w:rsidR="003A0BBF" w:rsidRDefault="003A0BBF" w14:paraId="626B1FBD" w14:textId="77777777">
      <w:pPr>
        <w:pStyle w:val="ListParagraph"/>
        <w:ind w:left="1440"/>
        <w:rPr>
          <w:sz w:val="22"/>
          <w:szCs w:val="22"/>
        </w:rPr>
      </w:pPr>
    </w:p>
    <w:p w:rsidRPr="0028112D" w:rsidR="00D26335" w:rsidDel="00800F09" w:rsidRDefault="007A7997" w14:paraId="42AD81A2" w14:textId="07FC51D6">
      <w:pPr>
        <w:pStyle w:val="ListParagraph"/>
        <w:ind w:left="2160"/>
        <w:rPr>
          <w:sz w:val="22"/>
          <w:szCs w:val="22"/>
        </w:rPr>
      </w:pPr>
      <w:r w:rsidRPr="00963D8C" w:rsidDel="00800F09">
        <w:rPr>
          <w:sz w:val="22"/>
          <w:szCs w:val="22"/>
        </w:rPr>
        <w:t>If a</w:t>
      </w:r>
      <w:r w:rsidRPr="00963D8C" w:rsidDel="00800F09" w:rsidR="00D26335">
        <w:rPr>
          <w:sz w:val="22"/>
          <w:szCs w:val="22"/>
        </w:rPr>
        <w:t>n</w:t>
      </w:r>
      <w:r w:rsidRPr="00963D8C" w:rsidDel="00800F09">
        <w:rPr>
          <w:sz w:val="22"/>
          <w:szCs w:val="22"/>
        </w:rPr>
        <w:t xml:space="preserve"> event</w:t>
      </w:r>
      <w:r w:rsidRPr="0028112D" w:rsidDel="00800F09" w:rsidR="00D26335">
        <w:rPr>
          <w:sz w:val="22"/>
          <w:szCs w:val="22"/>
        </w:rPr>
        <w:t xml:space="preserve"> involving unauthorized introduction of contraband is reported unde</w:t>
      </w:r>
      <w:r w:rsidRPr="0028112D" w:rsidDel="00800F09">
        <w:rPr>
          <w:sz w:val="22"/>
          <w:szCs w:val="22"/>
        </w:rPr>
        <w:t xml:space="preserve">r </w:t>
      </w:r>
      <w:r w:rsidRPr="0028112D" w:rsidDel="00800F09" w:rsidR="00A3226B">
        <w:rPr>
          <w:sz w:val="22"/>
          <w:szCs w:val="22"/>
        </w:rPr>
        <w:t>10</w:t>
      </w:r>
      <w:r w:rsidR="00502A37">
        <w:rPr>
          <w:sz w:val="22"/>
          <w:szCs w:val="22"/>
        </w:rPr>
        <w:t> </w:t>
      </w:r>
      <w:r w:rsidRPr="0028112D" w:rsidDel="00800F09" w:rsidR="00A3226B">
        <w:rPr>
          <w:sz w:val="22"/>
          <w:szCs w:val="22"/>
        </w:rPr>
        <w:t>CFR</w:t>
      </w:r>
      <w:r w:rsidR="00502A37">
        <w:rPr>
          <w:sz w:val="22"/>
          <w:szCs w:val="22"/>
        </w:rPr>
        <w:t> </w:t>
      </w:r>
      <w:r w:rsidRPr="0028112D" w:rsidDel="00800F09" w:rsidR="00A3226B">
        <w:rPr>
          <w:sz w:val="22"/>
          <w:szCs w:val="22"/>
        </w:rPr>
        <w:t>95.57</w:t>
      </w:r>
      <w:r w:rsidRPr="0028112D" w:rsidDel="00800F09">
        <w:rPr>
          <w:sz w:val="22"/>
          <w:szCs w:val="22"/>
        </w:rPr>
        <w:t>, then a suspicious activity report is not required under 10</w:t>
      </w:r>
      <w:r w:rsidR="00EF597F">
        <w:rPr>
          <w:sz w:val="22"/>
          <w:szCs w:val="22"/>
        </w:rPr>
        <w:t> </w:t>
      </w:r>
      <w:r w:rsidRPr="0028112D" w:rsidDel="00800F09">
        <w:rPr>
          <w:sz w:val="22"/>
          <w:szCs w:val="22"/>
        </w:rPr>
        <w:t>CFR</w:t>
      </w:r>
      <w:r w:rsidR="00EF597F">
        <w:rPr>
          <w:sz w:val="22"/>
          <w:szCs w:val="22"/>
        </w:rPr>
        <w:t> </w:t>
      </w:r>
      <w:r w:rsidRPr="0028112D" w:rsidDel="00800F09">
        <w:rPr>
          <w:sz w:val="22"/>
          <w:szCs w:val="22"/>
        </w:rPr>
        <w:t>73.1215.</w:t>
      </w:r>
    </w:p>
    <w:p w:rsidRPr="0028112D" w:rsidR="007A7997" w:rsidRDefault="007A7997" w14:paraId="1552F3E1" w14:textId="77777777">
      <w:pPr>
        <w:pStyle w:val="ListParagraph"/>
        <w:ind w:left="2160"/>
        <w:rPr>
          <w:sz w:val="22"/>
          <w:szCs w:val="22"/>
        </w:rPr>
      </w:pPr>
      <w:r w:rsidRPr="0028112D" w:rsidDel="00800F09">
        <w:rPr>
          <w:sz w:val="22"/>
          <w:szCs w:val="22"/>
        </w:rPr>
        <w:t xml:space="preserve"> </w:t>
      </w:r>
    </w:p>
    <w:p w:rsidRPr="0028112D" w:rsidR="007F0335" w:rsidRDefault="004F344F" w14:paraId="2A62B1EA" w14:textId="30F15832">
      <w:pPr>
        <w:pStyle w:val="ListParagraph"/>
        <w:ind w:left="2160"/>
        <w:rPr>
          <w:sz w:val="22"/>
          <w:szCs w:val="22"/>
        </w:rPr>
      </w:pPr>
      <w:r w:rsidRPr="0028112D">
        <w:rPr>
          <w:sz w:val="22"/>
          <w:szCs w:val="22"/>
        </w:rPr>
        <w:t xml:space="preserve">Licensees </w:t>
      </w:r>
      <w:r w:rsidRPr="0028112D" w:rsidR="005F204B">
        <w:rPr>
          <w:sz w:val="22"/>
          <w:szCs w:val="22"/>
        </w:rPr>
        <w:t>have the discretion to</w:t>
      </w:r>
      <w:r w:rsidRPr="0028112D" w:rsidR="00855538">
        <w:rPr>
          <w:sz w:val="22"/>
          <w:szCs w:val="22"/>
        </w:rPr>
        <w:t xml:space="preserve"> </w:t>
      </w:r>
      <w:r w:rsidRPr="0028112D">
        <w:rPr>
          <w:sz w:val="22"/>
          <w:szCs w:val="22"/>
        </w:rPr>
        <w:t xml:space="preserve">also report </w:t>
      </w:r>
      <w:r w:rsidRPr="0028112D" w:rsidR="001F1FF6">
        <w:rPr>
          <w:sz w:val="22"/>
          <w:szCs w:val="22"/>
        </w:rPr>
        <w:t xml:space="preserve">contraband </w:t>
      </w:r>
      <w:r w:rsidRPr="0028112D" w:rsidR="007F0335">
        <w:rPr>
          <w:sz w:val="22"/>
          <w:szCs w:val="22"/>
        </w:rPr>
        <w:t xml:space="preserve">events </w:t>
      </w:r>
      <w:r w:rsidRPr="0028112D" w:rsidR="00DC3DE5">
        <w:rPr>
          <w:sz w:val="22"/>
          <w:szCs w:val="22"/>
        </w:rPr>
        <w:t xml:space="preserve">at RD facilities to their FBI local </w:t>
      </w:r>
      <w:r w:rsidRPr="0028112D" w:rsidR="00CA7383">
        <w:rPr>
          <w:sz w:val="22"/>
          <w:szCs w:val="22"/>
        </w:rPr>
        <w:t xml:space="preserve">field </w:t>
      </w:r>
      <w:r w:rsidRPr="0028112D" w:rsidR="00DC3DE5">
        <w:rPr>
          <w:sz w:val="22"/>
          <w:szCs w:val="22"/>
        </w:rPr>
        <w:t>office</w:t>
      </w:r>
      <w:r w:rsidRPr="0028112D" w:rsidR="007A2E95">
        <w:rPr>
          <w:sz w:val="22"/>
          <w:szCs w:val="22"/>
        </w:rPr>
        <w:t xml:space="preserve">, even if a notification was made </w:t>
      </w:r>
      <w:r w:rsidRPr="0028112D" w:rsidR="005F204B">
        <w:rPr>
          <w:sz w:val="22"/>
          <w:szCs w:val="22"/>
        </w:rPr>
        <w:t xml:space="preserve">to the NRC </w:t>
      </w:r>
      <w:r w:rsidRPr="0028112D" w:rsidR="007A2E95">
        <w:rPr>
          <w:sz w:val="22"/>
          <w:szCs w:val="22"/>
        </w:rPr>
        <w:t xml:space="preserve">under </w:t>
      </w:r>
      <w:r w:rsidRPr="0028112D" w:rsidR="005F204B">
        <w:rPr>
          <w:sz w:val="22"/>
          <w:szCs w:val="22"/>
        </w:rPr>
        <w:t>10</w:t>
      </w:r>
      <w:r w:rsidR="00EF597F">
        <w:rPr>
          <w:sz w:val="22"/>
          <w:szCs w:val="22"/>
        </w:rPr>
        <w:t> </w:t>
      </w:r>
      <w:r w:rsidRPr="0028112D" w:rsidR="005F204B">
        <w:rPr>
          <w:sz w:val="22"/>
          <w:szCs w:val="22"/>
        </w:rPr>
        <w:t>CFR 95.57</w:t>
      </w:r>
      <w:r w:rsidR="002E7BC2">
        <w:rPr>
          <w:sz w:val="22"/>
          <w:szCs w:val="22"/>
        </w:rPr>
        <w:t xml:space="preserve">. </w:t>
      </w:r>
    </w:p>
    <w:p w:rsidRPr="0028112D" w:rsidR="005C6836" w:rsidRDefault="005C6836" w14:paraId="27503A2C" w14:textId="77777777">
      <w:pPr>
        <w:rPr>
          <w:szCs w:val="22"/>
        </w:rPr>
      </w:pPr>
    </w:p>
    <w:p w:rsidRPr="00605304" w:rsidR="00A658AA" w:rsidRDefault="00155C18" w14:paraId="4BD46D7F" w14:textId="77777777">
      <w:pPr>
        <w:pStyle w:val="ListParagraph"/>
        <w:numPr>
          <w:ilvl w:val="0"/>
          <w:numId w:val="38"/>
        </w:numPr>
        <w:ind w:left="1080" w:hanging="360"/>
        <w:rPr>
          <w:szCs w:val="22"/>
        </w:rPr>
      </w:pPr>
      <w:r w:rsidRPr="00B82B6E">
        <w:rPr>
          <w:szCs w:val="22"/>
        </w:rPr>
        <w:t>Consistent with 10 CFR 73.1215(f)(1)(ii), l</w:t>
      </w:r>
      <w:r w:rsidRPr="00B82B6E" w:rsidR="00A658AA">
        <w:rPr>
          <w:szCs w:val="22"/>
        </w:rPr>
        <w:t xml:space="preserve">icensees </w:t>
      </w:r>
      <w:r w:rsidRPr="00B82B6E">
        <w:rPr>
          <w:szCs w:val="22"/>
        </w:rPr>
        <w:t xml:space="preserve">must </w:t>
      </w:r>
      <w:r w:rsidRPr="00B82B6E" w:rsidR="00A658AA">
        <w:rPr>
          <w:szCs w:val="22"/>
        </w:rPr>
        <w:t xml:space="preserve">report activities involving the actual or attempted unauthorized recording or imaging of RD sensitive technology, equipment, or material inside a 10 CFR Part 95 restricted </w:t>
      </w:r>
      <w:r w:rsidRPr="00FD6ECB" w:rsidR="00A658AA">
        <w:rPr>
          <w:szCs w:val="22"/>
        </w:rPr>
        <w:t>area under the requirements of 10 CFR 95.57(a)</w:t>
      </w:r>
      <w:r w:rsidRPr="00605304" w:rsidR="00A658AA">
        <w:rPr>
          <w:szCs w:val="22"/>
        </w:rPr>
        <w:t xml:space="preserve">. </w:t>
      </w:r>
    </w:p>
    <w:p w:rsidRPr="002804FB" w:rsidR="0098298B" w:rsidRDefault="00A658AA" w14:paraId="2F796DDD" w14:textId="77777777">
      <w:pPr>
        <w:ind w:left="720" w:hanging="720"/>
        <w:rPr>
          <w:szCs w:val="22"/>
        </w:rPr>
      </w:pPr>
      <w:r w:rsidRPr="002804FB">
        <w:rPr>
          <w:szCs w:val="22"/>
        </w:rPr>
        <w:t xml:space="preserve"> </w:t>
      </w:r>
    </w:p>
    <w:p w:rsidRPr="006C4A77" w:rsidR="00C10D47" w:rsidRDefault="007C5C71" w14:paraId="6078911F" w14:textId="54F00067">
      <w:pPr>
        <w:pStyle w:val="Heading2"/>
        <w:keepNext w:val="0"/>
        <w:numPr>
          <w:ilvl w:val="0"/>
          <w:numId w:val="40"/>
        </w:numPr>
        <w:ind w:left="720" w:hanging="720"/>
        <w:rPr>
          <w:szCs w:val="22"/>
        </w:rPr>
      </w:pPr>
      <w:bookmarkStart w:name="_Toc507400042" w:id="276"/>
      <w:bookmarkStart w:name="_Toc26362866" w:id="277"/>
      <w:bookmarkStart w:name="_Toc29213202" w:id="278"/>
      <w:bookmarkStart w:name="_Toc73021750" w:id="279"/>
      <w:r w:rsidRPr="006C4A77">
        <w:rPr>
          <w:szCs w:val="22"/>
        </w:rPr>
        <w:t xml:space="preserve">Potential </w:t>
      </w:r>
      <w:r w:rsidR="00AF0831">
        <w:rPr>
          <w:szCs w:val="22"/>
        </w:rPr>
        <w:t>Prohibited</w:t>
      </w:r>
      <w:r w:rsidRPr="006C4A77">
        <w:rPr>
          <w:szCs w:val="22"/>
        </w:rPr>
        <w:t xml:space="preserve"> Activities Involving Restricted Data</w:t>
      </w:r>
      <w:bookmarkEnd w:id="276"/>
      <w:bookmarkEnd w:id="277"/>
      <w:bookmarkEnd w:id="278"/>
      <w:bookmarkEnd w:id="279"/>
    </w:p>
    <w:p w:rsidRPr="006C4A77" w:rsidR="00232A57" w:rsidRDefault="00232A57" w14:paraId="0C644A4D" w14:textId="77777777">
      <w:pPr>
        <w:ind w:firstLine="720"/>
        <w:rPr>
          <w:szCs w:val="22"/>
        </w:rPr>
      </w:pPr>
    </w:p>
    <w:p w:rsidRPr="006C4A77" w:rsidR="00F57D58" w:rsidRDefault="006F306E" w14:paraId="7E831EFF" w14:textId="35D1558C">
      <w:pPr>
        <w:tabs>
          <w:tab w:val="left" w:pos="-1440"/>
        </w:tabs>
        <w:autoSpaceDE w:val="0"/>
        <w:autoSpaceDN w:val="0"/>
        <w:adjustRightInd w:val="0"/>
        <w:ind w:firstLine="720"/>
        <w:rPr>
          <w:szCs w:val="22"/>
        </w:rPr>
      </w:pPr>
      <w:r w:rsidRPr="006C4A77">
        <w:rPr>
          <w:szCs w:val="22"/>
        </w:rPr>
        <w:t xml:space="preserve">Licensees are required </w:t>
      </w:r>
      <w:r w:rsidRPr="006C4A77" w:rsidR="00F63B06">
        <w:rPr>
          <w:szCs w:val="22"/>
        </w:rPr>
        <w:t>under</w:t>
      </w:r>
      <w:r w:rsidRPr="006C4A77">
        <w:rPr>
          <w:szCs w:val="22"/>
        </w:rPr>
        <w:t xml:space="preserve"> </w:t>
      </w:r>
      <w:r w:rsidRPr="006C4A77" w:rsidR="00F57D58">
        <w:rPr>
          <w:szCs w:val="22"/>
        </w:rPr>
        <w:t>10 CFR 95.57 to report alleged or suspected activities where unauthorized personnel obtain, attempt to obtain, or conspire to obtain RD, communicate RD, remove RD, or disclose RD</w:t>
      </w:r>
      <w:r w:rsidR="002E7BC2">
        <w:rPr>
          <w:szCs w:val="22"/>
        </w:rPr>
        <w:t xml:space="preserve">. </w:t>
      </w:r>
      <w:r w:rsidRPr="006C4A77" w:rsidR="00F57D58">
        <w:rPr>
          <w:szCs w:val="22"/>
        </w:rPr>
        <w:t>Consistent with 10 CFR 73.1215(f)(2), licensees are not required to report suspicious activities that were reported separately under the requirements of 10 CFR 95.57.</w:t>
      </w:r>
    </w:p>
    <w:p w:rsidRPr="006C4A77" w:rsidR="00F57D58" w:rsidRDefault="00F57D58" w14:paraId="0749113B" w14:textId="77777777">
      <w:pPr>
        <w:rPr>
          <w:szCs w:val="22"/>
        </w:rPr>
      </w:pPr>
    </w:p>
    <w:p w:rsidRPr="006C4A77" w:rsidR="00C55497" w:rsidRDefault="005209FB" w14:paraId="1926A9D3" w14:textId="77777777">
      <w:pPr>
        <w:pStyle w:val="Heading2"/>
        <w:numPr>
          <w:ilvl w:val="0"/>
          <w:numId w:val="40"/>
        </w:numPr>
        <w:ind w:left="720" w:hanging="720"/>
        <w:rPr>
          <w:szCs w:val="22"/>
        </w:rPr>
      </w:pPr>
      <w:bookmarkStart w:name="_Toc26362867" w:id="280"/>
      <w:bookmarkStart w:name="_Toc507400044" w:id="281"/>
      <w:bookmarkStart w:name="_Toc29213203" w:id="282"/>
      <w:bookmarkStart w:name="_Toc73021751" w:id="283"/>
      <w:r w:rsidRPr="006C4A77">
        <w:rPr>
          <w:szCs w:val="22"/>
        </w:rPr>
        <w:t xml:space="preserve">Recording </w:t>
      </w:r>
      <w:r w:rsidRPr="006C4A77" w:rsidR="00A84AA5">
        <w:rPr>
          <w:szCs w:val="22"/>
        </w:rPr>
        <w:t>the</w:t>
      </w:r>
      <w:r w:rsidRPr="006C4A77">
        <w:rPr>
          <w:szCs w:val="22"/>
        </w:rPr>
        <w:t xml:space="preserve"> Disposition of </w:t>
      </w:r>
      <w:r w:rsidRPr="006C4A77" w:rsidR="00A84AA5">
        <w:rPr>
          <w:szCs w:val="22"/>
        </w:rPr>
        <w:t xml:space="preserve">Suspicious </w:t>
      </w:r>
      <w:r w:rsidRPr="006C4A77">
        <w:rPr>
          <w:szCs w:val="22"/>
        </w:rPr>
        <w:t>Activities</w:t>
      </w:r>
      <w:bookmarkEnd w:id="280"/>
      <w:bookmarkEnd w:id="281"/>
      <w:bookmarkEnd w:id="282"/>
      <w:bookmarkEnd w:id="283"/>
    </w:p>
    <w:p w:rsidRPr="006C4A77" w:rsidR="00C55497" w:rsidRDefault="00C55497" w14:paraId="7B4DCFA0" w14:textId="77777777">
      <w:pPr>
        <w:ind w:firstLine="720"/>
        <w:rPr>
          <w:szCs w:val="22"/>
        </w:rPr>
      </w:pPr>
    </w:p>
    <w:p w:rsidRPr="006C4A77" w:rsidR="005209FB" w:rsidRDefault="006743A6" w14:paraId="7323345E" w14:textId="3556B692">
      <w:pPr>
        <w:ind w:firstLine="720"/>
        <w:rPr>
          <w:szCs w:val="22"/>
        </w:rPr>
      </w:pPr>
      <w:r w:rsidRPr="006C4A77">
        <w:rPr>
          <w:szCs w:val="22"/>
        </w:rPr>
        <w:t>The NRC staff suggests as a good</w:t>
      </w:r>
      <w:r w:rsidRPr="006C4A77" w:rsidR="005209FB">
        <w:rPr>
          <w:szCs w:val="22"/>
        </w:rPr>
        <w:t xml:space="preserve"> practice</w:t>
      </w:r>
      <w:r w:rsidRPr="006C4A77">
        <w:rPr>
          <w:szCs w:val="22"/>
        </w:rPr>
        <w:t xml:space="preserve"> that licensees</w:t>
      </w:r>
      <w:r w:rsidRPr="006C4A77" w:rsidR="00C55497">
        <w:rPr>
          <w:szCs w:val="22"/>
        </w:rPr>
        <w:t xml:space="preserve"> </w:t>
      </w:r>
      <w:r w:rsidRPr="006C4A77" w:rsidR="000972D6">
        <w:rPr>
          <w:szCs w:val="22"/>
        </w:rPr>
        <w:t xml:space="preserve">may </w:t>
      </w:r>
      <w:r w:rsidRPr="006C4A77" w:rsidR="00B47B80">
        <w:rPr>
          <w:szCs w:val="22"/>
        </w:rPr>
        <w:t>wish</w:t>
      </w:r>
      <w:r w:rsidRPr="006C4A77" w:rsidR="000972D6">
        <w:rPr>
          <w:szCs w:val="22"/>
        </w:rPr>
        <w:t xml:space="preserve"> to </w:t>
      </w:r>
      <w:r w:rsidRPr="006C4A77" w:rsidR="0035402F">
        <w:rPr>
          <w:szCs w:val="22"/>
        </w:rPr>
        <w:t>keep</w:t>
      </w:r>
      <w:r w:rsidRPr="006C4A77" w:rsidR="005209FB">
        <w:rPr>
          <w:szCs w:val="22"/>
        </w:rPr>
        <w:t xml:space="preserve"> a record (e.g.,</w:t>
      </w:r>
      <w:r w:rsidRPr="006C4A77" w:rsidR="00BF6E0C">
        <w:rPr>
          <w:szCs w:val="22"/>
        </w:rPr>
        <w:t> </w:t>
      </w:r>
      <w:r w:rsidRPr="006C4A77" w:rsidR="005209FB">
        <w:rPr>
          <w:szCs w:val="22"/>
        </w:rPr>
        <w:t xml:space="preserve">a </w:t>
      </w:r>
      <w:r w:rsidRPr="006C4A77" w:rsidR="007B18C6">
        <w:rPr>
          <w:szCs w:val="22"/>
        </w:rPr>
        <w:t xml:space="preserve">simple </w:t>
      </w:r>
      <w:r w:rsidRPr="006C4A77" w:rsidR="005209FB">
        <w:rPr>
          <w:szCs w:val="22"/>
        </w:rPr>
        <w:t>log) of potential suspicious activities and their disposition (e.g.,</w:t>
      </w:r>
      <w:r w:rsidRPr="006C4A77" w:rsidR="00F858D7">
        <w:rPr>
          <w:szCs w:val="22"/>
        </w:rPr>
        <w:t xml:space="preserve"> a</w:t>
      </w:r>
      <w:r w:rsidRPr="006C4A77" w:rsidR="00BF6E0C">
        <w:rPr>
          <w:szCs w:val="22"/>
        </w:rPr>
        <w:t> </w:t>
      </w:r>
      <w:r w:rsidRPr="006C4A77" w:rsidR="005209FB">
        <w:rPr>
          <w:szCs w:val="22"/>
        </w:rPr>
        <w:t>description</w:t>
      </w:r>
      <w:r w:rsidRPr="006C4A77" w:rsidR="00F858D7">
        <w:rPr>
          <w:szCs w:val="22"/>
        </w:rPr>
        <w:t xml:space="preserve"> of the activities and whether</w:t>
      </w:r>
      <w:r w:rsidRPr="006C4A77" w:rsidR="00BF6E0C">
        <w:rPr>
          <w:szCs w:val="22"/>
        </w:rPr>
        <w:t xml:space="preserve"> </w:t>
      </w:r>
      <w:r w:rsidRPr="006C4A77" w:rsidR="00F858D7">
        <w:rPr>
          <w:szCs w:val="22"/>
        </w:rPr>
        <w:t>the activities were</w:t>
      </w:r>
      <w:r w:rsidRPr="006C4A77" w:rsidR="005209FB">
        <w:rPr>
          <w:szCs w:val="22"/>
        </w:rPr>
        <w:t xml:space="preserve"> </w:t>
      </w:r>
      <w:r w:rsidRPr="006C4A77" w:rsidR="00935FAB">
        <w:rPr>
          <w:szCs w:val="22"/>
        </w:rPr>
        <w:t xml:space="preserve">assessed as nonsuspicious or </w:t>
      </w:r>
      <w:r w:rsidRPr="006C4A77" w:rsidR="007A2E95">
        <w:rPr>
          <w:szCs w:val="22"/>
        </w:rPr>
        <w:t xml:space="preserve">were </w:t>
      </w:r>
      <w:r w:rsidRPr="006C4A77" w:rsidR="007B18C6">
        <w:rPr>
          <w:szCs w:val="22"/>
        </w:rPr>
        <w:t>reported as suspicious</w:t>
      </w:r>
      <w:r w:rsidRPr="006C4A77" w:rsidR="005209FB">
        <w:rPr>
          <w:szCs w:val="22"/>
        </w:rPr>
        <w:t>)</w:t>
      </w:r>
      <w:r w:rsidR="002E7BC2">
        <w:rPr>
          <w:szCs w:val="22"/>
        </w:rPr>
        <w:t xml:space="preserve">. </w:t>
      </w:r>
      <w:r w:rsidRPr="006C4A77" w:rsidR="007A2E95">
        <w:rPr>
          <w:szCs w:val="22"/>
        </w:rPr>
        <w:t xml:space="preserve">This record may also assist the licensee in long term tracking </w:t>
      </w:r>
      <w:r w:rsidRPr="006C4A77" w:rsidR="00D61539">
        <w:rPr>
          <w:szCs w:val="22"/>
        </w:rPr>
        <w:t xml:space="preserve">or trending </w:t>
      </w:r>
      <w:r w:rsidRPr="006C4A77" w:rsidR="007A2E95">
        <w:rPr>
          <w:szCs w:val="22"/>
        </w:rPr>
        <w:t>of potential suspicious activities.</w:t>
      </w:r>
    </w:p>
    <w:p w:rsidRPr="006C4A77" w:rsidR="00297097" w:rsidRDefault="00297097" w14:paraId="289CF51C" w14:textId="77777777">
      <w:pPr>
        <w:ind w:firstLine="720"/>
        <w:rPr>
          <w:szCs w:val="22"/>
        </w:rPr>
      </w:pPr>
      <w:bookmarkStart w:name="_Toc507400045" w:id="284"/>
    </w:p>
    <w:p w:rsidRPr="0028112D" w:rsidR="005209FB" w:rsidRDefault="00EA7124" w14:paraId="2873E97F" w14:textId="77777777">
      <w:pPr>
        <w:pStyle w:val="Heading2"/>
        <w:numPr>
          <w:ilvl w:val="0"/>
          <w:numId w:val="40"/>
        </w:numPr>
        <w:ind w:left="720" w:hanging="720"/>
        <w:rPr>
          <w:szCs w:val="22"/>
        </w:rPr>
      </w:pPr>
      <w:bookmarkStart w:name="_Toc26362868" w:id="285"/>
      <w:bookmarkStart w:name="_Toc29213204" w:id="286"/>
      <w:bookmarkStart w:name="_Toc73021752" w:id="287"/>
      <w:r w:rsidRPr="006C4A77">
        <w:rPr>
          <w:szCs w:val="22"/>
        </w:rPr>
        <w:t xml:space="preserve">Non-power Reactors </w:t>
      </w:r>
      <w:r w:rsidRPr="006C4A77" w:rsidR="005209FB">
        <w:rPr>
          <w:szCs w:val="22"/>
        </w:rPr>
        <w:t>and Campus Police</w:t>
      </w:r>
      <w:r w:rsidRPr="006C4A77" w:rsidR="00FC506C">
        <w:rPr>
          <w:szCs w:val="22"/>
        </w:rPr>
        <w:t xml:space="preserve"> Forces</w:t>
      </w:r>
      <w:bookmarkEnd w:id="284"/>
      <w:bookmarkEnd w:id="285"/>
      <w:bookmarkEnd w:id="286"/>
      <w:bookmarkEnd w:id="287"/>
    </w:p>
    <w:p w:rsidRPr="0028112D" w:rsidR="005209FB" w:rsidRDefault="005209FB" w14:paraId="01D17B11" w14:textId="77777777">
      <w:pPr>
        <w:ind w:firstLine="720"/>
        <w:rPr>
          <w:szCs w:val="22"/>
        </w:rPr>
      </w:pPr>
    </w:p>
    <w:p w:rsidR="00FB6302" w:rsidRDefault="005209FB" w14:paraId="5C6AEB0E" w14:textId="3270621B">
      <w:pPr>
        <w:ind w:firstLine="720"/>
        <w:rPr>
          <w:szCs w:val="22"/>
        </w:rPr>
      </w:pPr>
      <w:r w:rsidRPr="0028112D">
        <w:rPr>
          <w:szCs w:val="22"/>
        </w:rPr>
        <w:t xml:space="preserve">Licensees of </w:t>
      </w:r>
      <w:r w:rsidRPr="0028112D" w:rsidR="00EA7124">
        <w:rPr>
          <w:szCs w:val="22"/>
        </w:rPr>
        <w:t xml:space="preserve">non-power reactors </w:t>
      </w:r>
      <w:r w:rsidRPr="0028112D">
        <w:rPr>
          <w:szCs w:val="22"/>
        </w:rPr>
        <w:t>located in college or university campus settings may</w:t>
      </w:r>
      <w:r w:rsidRPr="0028112D" w:rsidR="005822C7">
        <w:rPr>
          <w:szCs w:val="22"/>
        </w:rPr>
        <w:t xml:space="preserve"> consider </w:t>
      </w:r>
      <w:r w:rsidRPr="0028112D" w:rsidR="00B040AD">
        <w:rPr>
          <w:szCs w:val="22"/>
        </w:rPr>
        <w:t xml:space="preserve">activities conducted by the </w:t>
      </w:r>
      <w:r w:rsidRPr="0028112D" w:rsidR="005822C7">
        <w:rPr>
          <w:szCs w:val="22"/>
        </w:rPr>
        <w:t xml:space="preserve">campus police </w:t>
      </w:r>
      <w:r w:rsidRPr="0028112D" w:rsidR="00FC506C">
        <w:rPr>
          <w:szCs w:val="22"/>
        </w:rPr>
        <w:t xml:space="preserve">force </w:t>
      </w:r>
      <w:r w:rsidRPr="0028112D" w:rsidR="005822C7">
        <w:rPr>
          <w:szCs w:val="22"/>
        </w:rPr>
        <w:t xml:space="preserve">as </w:t>
      </w:r>
      <w:r w:rsidRPr="0028112D" w:rsidR="00B040AD">
        <w:rPr>
          <w:szCs w:val="22"/>
        </w:rPr>
        <w:t>being part</w:t>
      </w:r>
      <w:r w:rsidRPr="0028112D" w:rsidR="005822C7">
        <w:rPr>
          <w:szCs w:val="22"/>
        </w:rPr>
        <w:t xml:space="preserve"> of a l</w:t>
      </w:r>
      <w:r w:rsidRPr="0028112D" w:rsidR="00DC3DE5">
        <w:rPr>
          <w:szCs w:val="22"/>
        </w:rPr>
        <w:t xml:space="preserve">icensee’s </w:t>
      </w:r>
      <w:r w:rsidRPr="0028112D" w:rsidR="000972D6">
        <w:rPr>
          <w:szCs w:val="22"/>
        </w:rPr>
        <w:t xml:space="preserve">overall </w:t>
      </w:r>
      <w:r w:rsidRPr="0028112D" w:rsidR="00DC3DE5">
        <w:rPr>
          <w:szCs w:val="22"/>
        </w:rPr>
        <w:t xml:space="preserve">security </w:t>
      </w:r>
      <w:r w:rsidRPr="0028112D" w:rsidR="000972D6">
        <w:rPr>
          <w:szCs w:val="22"/>
        </w:rPr>
        <w:t>program</w:t>
      </w:r>
      <w:r w:rsidRPr="0028112D" w:rsidR="00671DF9">
        <w:rPr>
          <w:szCs w:val="22"/>
        </w:rPr>
        <w:t xml:space="preserve">. </w:t>
      </w:r>
      <w:r w:rsidRPr="0028112D" w:rsidR="00A57B17">
        <w:rPr>
          <w:szCs w:val="22"/>
        </w:rPr>
        <w:t xml:space="preserve">The NRC </w:t>
      </w:r>
      <w:r w:rsidRPr="00B15CA1" w:rsidR="00297097">
        <w:rPr>
          <w:szCs w:val="22"/>
        </w:rPr>
        <w:t xml:space="preserve">staff </w:t>
      </w:r>
      <w:r w:rsidRPr="00B15CA1" w:rsidR="00A57B17">
        <w:rPr>
          <w:szCs w:val="22"/>
        </w:rPr>
        <w:t xml:space="preserve">considers </w:t>
      </w:r>
      <w:r w:rsidRPr="00B15CA1" w:rsidR="00B040AD">
        <w:rPr>
          <w:szCs w:val="22"/>
        </w:rPr>
        <w:t xml:space="preserve">this approach acceptable </w:t>
      </w:r>
      <w:proofErr w:type="gramStart"/>
      <w:r w:rsidR="006C4A77">
        <w:rPr>
          <w:szCs w:val="22"/>
        </w:rPr>
        <w:t>provided that</w:t>
      </w:r>
      <w:proofErr w:type="gramEnd"/>
      <w:r w:rsidR="006C4A77">
        <w:rPr>
          <w:szCs w:val="22"/>
        </w:rPr>
        <w:t xml:space="preserve"> it </w:t>
      </w:r>
      <w:r w:rsidRPr="00B15CA1" w:rsidR="00B040AD">
        <w:rPr>
          <w:szCs w:val="22"/>
        </w:rPr>
        <w:t xml:space="preserve">is </w:t>
      </w:r>
      <w:r w:rsidR="006C4A77">
        <w:rPr>
          <w:szCs w:val="22"/>
        </w:rPr>
        <w:t xml:space="preserve">adequately </w:t>
      </w:r>
      <w:r w:rsidRPr="00B15CA1" w:rsidR="00B040AD">
        <w:rPr>
          <w:szCs w:val="22"/>
        </w:rPr>
        <w:t>described in the facilit</w:t>
      </w:r>
      <w:r w:rsidR="006C4A77">
        <w:rPr>
          <w:szCs w:val="22"/>
        </w:rPr>
        <w:t xml:space="preserve">y </w:t>
      </w:r>
      <w:r w:rsidRPr="00B15CA1" w:rsidR="00B040AD">
        <w:rPr>
          <w:szCs w:val="22"/>
        </w:rPr>
        <w:t>security plan</w:t>
      </w:r>
      <w:r w:rsidRPr="000A5720" w:rsidR="00671DF9">
        <w:rPr>
          <w:szCs w:val="22"/>
        </w:rPr>
        <w:t xml:space="preserve">. </w:t>
      </w:r>
      <w:r w:rsidRPr="002804FB" w:rsidR="00FC506C">
        <w:rPr>
          <w:szCs w:val="22"/>
        </w:rPr>
        <w:t>In this case</w:t>
      </w:r>
      <w:r w:rsidRPr="002804FB" w:rsidR="002272EC">
        <w:rPr>
          <w:szCs w:val="22"/>
        </w:rPr>
        <w:t>,</w:t>
      </w:r>
      <w:r w:rsidRPr="00A71567" w:rsidR="00FC506C">
        <w:rPr>
          <w:szCs w:val="22"/>
        </w:rPr>
        <w:t xml:space="preserve"> the campus police force is </w:t>
      </w:r>
      <w:r w:rsidRPr="00827FA4" w:rsidR="00D64988">
        <w:rPr>
          <w:szCs w:val="22"/>
        </w:rPr>
        <w:t xml:space="preserve">also </w:t>
      </w:r>
      <w:r w:rsidRPr="00827FA4" w:rsidR="00FC506C">
        <w:rPr>
          <w:szCs w:val="22"/>
        </w:rPr>
        <w:t xml:space="preserve">a </w:t>
      </w:r>
      <w:r w:rsidRPr="00827FA4" w:rsidR="00A57B17">
        <w:rPr>
          <w:szCs w:val="22"/>
        </w:rPr>
        <w:t>component of a m</w:t>
      </w:r>
      <w:r w:rsidRPr="00827FA4" w:rsidR="00B72F19">
        <w:rPr>
          <w:szCs w:val="22"/>
        </w:rPr>
        <w:t>uch</w:t>
      </w:r>
      <w:r w:rsidRPr="00963D8C" w:rsidR="00FC506C">
        <w:rPr>
          <w:szCs w:val="22"/>
        </w:rPr>
        <w:t xml:space="preserve"> larger organization</w:t>
      </w:r>
      <w:r w:rsidRPr="00963D8C" w:rsidR="002272EC">
        <w:rPr>
          <w:szCs w:val="22"/>
        </w:rPr>
        <w:t xml:space="preserve"> (i.e., </w:t>
      </w:r>
      <w:r w:rsidRPr="00963D8C" w:rsidR="00A57B17">
        <w:rPr>
          <w:szCs w:val="22"/>
        </w:rPr>
        <w:t xml:space="preserve">the college or university </w:t>
      </w:r>
      <w:r w:rsidRPr="00963D8C" w:rsidR="00FC506C">
        <w:rPr>
          <w:szCs w:val="22"/>
        </w:rPr>
        <w:t xml:space="preserve">hosting the </w:t>
      </w:r>
      <w:r w:rsidRPr="00E02297" w:rsidR="00EA7124">
        <w:rPr>
          <w:szCs w:val="22"/>
        </w:rPr>
        <w:t>non-power reactor</w:t>
      </w:r>
      <w:r w:rsidRPr="00E02297" w:rsidR="002272EC">
        <w:rPr>
          <w:szCs w:val="22"/>
        </w:rPr>
        <w:t>)</w:t>
      </w:r>
      <w:r w:rsidRPr="00E02297" w:rsidR="00671DF9">
        <w:rPr>
          <w:szCs w:val="22"/>
        </w:rPr>
        <w:t xml:space="preserve">. </w:t>
      </w:r>
      <w:r w:rsidRPr="000E38F1" w:rsidR="005822C7">
        <w:rPr>
          <w:szCs w:val="22"/>
        </w:rPr>
        <w:t xml:space="preserve">Consequently, </w:t>
      </w:r>
      <w:r w:rsidRPr="000E38F1" w:rsidR="00EA7124">
        <w:rPr>
          <w:szCs w:val="22"/>
        </w:rPr>
        <w:t>a licensee</w:t>
      </w:r>
      <w:r w:rsidRPr="000E38F1" w:rsidR="005822C7">
        <w:rPr>
          <w:szCs w:val="22"/>
        </w:rPr>
        <w:t xml:space="preserve"> that requests </w:t>
      </w:r>
      <w:r w:rsidRPr="00E76E1F" w:rsidR="00297097">
        <w:rPr>
          <w:szCs w:val="22"/>
        </w:rPr>
        <w:t>a response by</w:t>
      </w:r>
      <w:r w:rsidRPr="00E76E1F" w:rsidR="00DC3DE5">
        <w:rPr>
          <w:szCs w:val="22"/>
        </w:rPr>
        <w:t xml:space="preserve"> </w:t>
      </w:r>
      <w:r w:rsidRPr="00E76E1F" w:rsidR="005822C7">
        <w:rPr>
          <w:szCs w:val="22"/>
        </w:rPr>
        <w:t xml:space="preserve">campus police </w:t>
      </w:r>
      <w:r w:rsidRPr="006B4931" w:rsidR="00FC506C">
        <w:rPr>
          <w:szCs w:val="22"/>
        </w:rPr>
        <w:t xml:space="preserve">forces </w:t>
      </w:r>
      <w:r w:rsidRPr="0029504D" w:rsidR="005822C7">
        <w:rPr>
          <w:szCs w:val="22"/>
        </w:rPr>
        <w:t>for minor matters (e.g.,</w:t>
      </w:r>
      <w:r w:rsidRPr="0029504D" w:rsidR="002272EC">
        <w:rPr>
          <w:szCs w:val="22"/>
        </w:rPr>
        <w:t> </w:t>
      </w:r>
      <w:r w:rsidRPr="0059374C" w:rsidR="005822C7">
        <w:rPr>
          <w:szCs w:val="22"/>
        </w:rPr>
        <w:t xml:space="preserve">illegal parking or loitering) </w:t>
      </w:r>
      <w:r w:rsidRPr="00263569" w:rsidR="00297097">
        <w:rPr>
          <w:szCs w:val="22"/>
        </w:rPr>
        <w:t>does not need to consider these as</w:t>
      </w:r>
      <w:r w:rsidRPr="00263569" w:rsidR="005822C7">
        <w:rPr>
          <w:szCs w:val="22"/>
        </w:rPr>
        <w:t xml:space="preserve"> suspicious activities and</w:t>
      </w:r>
      <w:r w:rsidRPr="00762FB9" w:rsidR="002272EC">
        <w:rPr>
          <w:szCs w:val="22"/>
        </w:rPr>
        <w:t>,</w:t>
      </w:r>
      <w:r w:rsidRPr="0064418C" w:rsidR="005822C7">
        <w:rPr>
          <w:szCs w:val="22"/>
        </w:rPr>
        <w:t xml:space="preserve"> </w:t>
      </w:r>
      <w:r w:rsidRPr="0064418C" w:rsidR="00B72F19">
        <w:rPr>
          <w:szCs w:val="22"/>
        </w:rPr>
        <w:t>therefore,</w:t>
      </w:r>
      <w:r w:rsidRPr="0064418C" w:rsidR="005822C7">
        <w:rPr>
          <w:szCs w:val="22"/>
        </w:rPr>
        <w:t xml:space="preserve"> do not require a </w:t>
      </w:r>
      <w:r w:rsidRPr="0064418C" w:rsidR="00297097">
        <w:rPr>
          <w:szCs w:val="22"/>
        </w:rPr>
        <w:t>report under 10 CFR 73.1215</w:t>
      </w:r>
      <w:r w:rsidR="002E7BC2">
        <w:rPr>
          <w:szCs w:val="22"/>
        </w:rPr>
        <w:t xml:space="preserve">. </w:t>
      </w:r>
      <w:r w:rsidRPr="0064418C" w:rsidR="005C1836">
        <w:rPr>
          <w:szCs w:val="22"/>
        </w:rPr>
        <w:t xml:space="preserve">However, while </w:t>
      </w:r>
      <w:r w:rsidRPr="00CA68E4" w:rsidR="005C1836">
        <w:rPr>
          <w:szCs w:val="22"/>
        </w:rPr>
        <w:t xml:space="preserve">investigating a minor matter, </w:t>
      </w:r>
      <w:r w:rsidRPr="008F1B79" w:rsidR="00444769">
        <w:rPr>
          <w:szCs w:val="22"/>
        </w:rPr>
        <w:t xml:space="preserve">if </w:t>
      </w:r>
      <w:r w:rsidRPr="008F1B79" w:rsidR="005C1836">
        <w:rPr>
          <w:szCs w:val="22"/>
        </w:rPr>
        <w:t xml:space="preserve">the campus police do determine the matter to be suspicious, the licensee </w:t>
      </w:r>
      <w:r w:rsidRPr="00B75C04" w:rsidR="00425F67">
        <w:rPr>
          <w:szCs w:val="22"/>
        </w:rPr>
        <w:t>should</w:t>
      </w:r>
      <w:r w:rsidRPr="00B75C04" w:rsidR="005C1836">
        <w:rPr>
          <w:szCs w:val="22"/>
        </w:rPr>
        <w:t xml:space="preserve"> </w:t>
      </w:r>
      <w:r w:rsidRPr="00544F62" w:rsidR="00541685">
        <w:rPr>
          <w:szCs w:val="22"/>
        </w:rPr>
        <w:t>contact its</w:t>
      </w:r>
      <w:r w:rsidRPr="00544F62" w:rsidR="0042677B">
        <w:rPr>
          <w:szCs w:val="22"/>
        </w:rPr>
        <w:t xml:space="preserve"> </w:t>
      </w:r>
      <w:r w:rsidRPr="00544F62" w:rsidR="005822C7">
        <w:rPr>
          <w:szCs w:val="22"/>
        </w:rPr>
        <w:t>LLEA (e.g.,</w:t>
      </w:r>
      <w:r w:rsidRPr="00544F62" w:rsidR="002272EC">
        <w:rPr>
          <w:szCs w:val="22"/>
        </w:rPr>
        <w:t> </w:t>
      </w:r>
      <w:r w:rsidRPr="00544F62" w:rsidR="005822C7">
        <w:rPr>
          <w:szCs w:val="22"/>
        </w:rPr>
        <w:t xml:space="preserve">city police, county police, or county sheriff) </w:t>
      </w:r>
      <w:r w:rsidR="006C4A77">
        <w:rPr>
          <w:szCs w:val="22"/>
        </w:rPr>
        <w:t xml:space="preserve">and coordinate any necessary LLEA response </w:t>
      </w:r>
      <w:r w:rsidRPr="00544F62" w:rsidR="005822C7">
        <w:rPr>
          <w:szCs w:val="22"/>
        </w:rPr>
        <w:t xml:space="preserve">an ongoing </w:t>
      </w:r>
      <w:r w:rsidRPr="00544F62" w:rsidR="00D64D57">
        <w:rPr>
          <w:szCs w:val="22"/>
        </w:rPr>
        <w:t xml:space="preserve">suspicious </w:t>
      </w:r>
      <w:r w:rsidRPr="00F56DF5" w:rsidR="005822C7">
        <w:rPr>
          <w:szCs w:val="22"/>
        </w:rPr>
        <w:t>activity</w:t>
      </w:r>
      <w:r w:rsidR="002E7BC2">
        <w:rPr>
          <w:szCs w:val="22"/>
        </w:rPr>
        <w:t xml:space="preserve">. </w:t>
      </w:r>
      <w:r w:rsidRPr="00F56DF5" w:rsidR="005C1836">
        <w:rPr>
          <w:szCs w:val="22"/>
        </w:rPr>
        <w:t>T</w:t>
      </w:r>
      <w:r w:rsidRPr="00F56DF5" w:rsidR="005518DA">
        <w:rPr>
          <w:szCs w:val="22"/>
        </w:rPr>
        <w:t>he licensee should follow th</w:t>
      </w:r>
      <w:r w:rsidRPr="00F56DF5" w:rsidR="0088002C">
        <w:rPr>
          <w:szCs w:val="22"/>
        </w:rPr>
        <w:t xml:space="preserve">e guidance contained in Section B above regarding notification to </w:t>
      </w:r>
      <w:r w:rsidRPr="00F56DF5" w:rsidR="005518DA">
        <w:rPr>
          <w:szCs w:val="22"/>
        </w:rPr>
        <w:t xml:space="preserve">the </w:t>
      </w:r>
      <w:r w:rsidRPr="00F56DF5" w:rsidR="00D64D57">
        <w:rPr>
          <w:szCs w:val="22"/>
        </w:rPr>
        <w:t xml:space="preserve">FBI and the </w:t>
      </w:r>
      <w:r w:rsidRPr="00F56DF5" w:rsidR="005518DA">
        <w:rPr>
          <w:szCs w:val="22"/>
        </w:rPr>
        <w:t>NRC</w:t>
      </w:r>
      <w:r w:rsidRPr="00F56DF5" w:rsidR="00671DF9">
        <w:rPr>
          <w:szCs w:val="22"/>
        </w:rPr>
        <w:t xml:space="preserve">. </w:t>
      </w:r>
    </w:p>
    <w:p w:rsidRPr="00F56DF5" w:rsidR="00EA7124" w:rsidRDefault="00EA7124" w14:paraId="0CC8548E" w14:textId="77777777">
      <w:pPr>
        <w:ind w:firstLine="720"/>
        <w:rPr>
          <w:szCs w:val="22"/>
        </w:rPr>
      </w:pPr>
      <w:bookmarkStart w:name="_Toc26362869" w:id="288"/>
    </w:p>
    <w:p w:rsidRPr="006C4A77" w:rsidR="00F57D58" w:rsidRDefault="00835CB9" w14:paraId="7C60753E" w14:textId="77777777">
      <w:pPr>
        <w:pStyle w:val="Heading2"/>
        <w:keepLines/>
        <w:numPr>
          <w:ilvl w:val="0"/>
          <w:numId w:val="40"/>
        </w:numPr>
        <w:ind w:left="720" w:hanging="720"/>
        <w:rPr>
          <w:szCs w:val="22"/>
        </w:rPr>
      </w:pPr>
      <w:bookmarkStart w:name="_Toc26362870" w:id="289"/>
      <w:bookmarkStart w:name="_Toc29213206" w:id="290"/>
      <w:bookmarkStart w:name="_Toc73021753" w:id="291"/>
      <w:bookmarkEnd w:id="288"/>
      <w:r>
        <w:rPr>
          <w:szCs w:val="22"/>
        </w:rPr>
        <w:lastRenderedPageBreak/>
        <w:t>Discontinue Use</w:t>
      </w:r>
      <w:r w:rsidRPr="006C4A77">
        <w:rPr>
          <w:szCs w:val="22"/>
        </w:rPr>
        <w:t xml:space="preserve"> </w:t>
      </w:r>
      <w:r w:rsidRPr="006C4A77" w:rsidR="008E4C4E">
        <w:rPr>
          <w:szCs w:val="22"/>
        </w:rPr>
        <w:t xml:space="preserve">of </w:t>
      </w:r>
      <w:r w:rsidRPr="006C4A77" w:rsidR="00B45411">
        <w:rPr>
          <w:szCs w:val="22"/>
        </w:rPr>
        <w:t>Previous Guidance IA-</w:t>
      </w:r>
      <w:r w:rsidRPr="006C4A77" w:rsidR="00F57D58">
        <w:rPr>
          <w:szCs w:val="22"/>
        </w:rPr>
        <w:t>04</w:t>
      </w:r>
      <w:r w:rsidRPr="006C4A77" w:rsidR="00F57D58">
        <w:rPr>
          <w:szCs w:val="22"/>
        </w:rPr>
        <w:noBreakHyphen/>
        <w:t>08</w:t>
      </w:r>
      <w:bookmarkEnd w:id="289"/>
      <w:bookmarkEnd w:id="290"/>
      <w:bookmarkEnd w:id="291"/>
    </w:p>
    <w:p w:rsidRPr="006C4A77" w:rsidR="00F57D58" w:rsidRDefault="00F57D58" w14:paraId="1B7ECB6E" w14:textId="77777777">
      <w:pPr>
        <w:pStyle w:val="Heading2"/>
        <w:keepLines/>
        <w:numPr>
          <w:ilvl w:val="0"/>
          <w:numId w:val="0"/>
        </w:numPr>
        <w:rPr>
          <w:szCs w:val="22"/>
        </w:rPr>
      </w:pPr>
    </w:p>
    <w:p w:rsidRPr="0028112D" w:rsidR="00F57D58" w:rsidRDefault="00F57D58" w14:paraId="6A4EF0D5" w14:textId="1C7082CC">
      <w:pPr>
        <w:keepNext/>
        <w:keepLines/>
        <w:ind w:firstLine="720"/>
        <w:rPr>
          <w:szCs w:val="22"/>
        </w:rPr>
      </w:pPr>
      <w:r w:rsidRPr="006C4A77">
        <w:rPr>
          <w:szCs w:val="22"/>
        </w:rPr>
        <w:t xml:space="preserve">Licensees who are subject to the requirements of 10 CFR 73.1215 should </w:t>
      </w:r>
      <w:r w:rsidR="00324F43">
        <w:rPr>
          <w:szCs w:val="22"/>
        </w:rPr>
        <w:t>use this regulatory guide</w:t>
      </w:r>
      <w:r w:rsidR="002E7BC2">
        <w:rPr>
          <w:szCs w:val="22"/>
        </w:rPr>
        <w:t xml:space="preserve">. </w:t>
      </w:r>
      <w:r w:rsidR="00324F43">
        <w:rPr>
          <w:szCs w:val="22"/>
        </w:rPr>
        <w:t xml:space="preserve">Additionally, such licensees should </w:t>
      </w:r>
      <w:r w:rsidR="00835CB9">
        <w:rPr>
          <w:szCs w:val="22"/>
        </w:rPr>
        <w:t>discontinue using</w:t>
      </w:r>
      <w:r w:rsidRPr="006C4A77">
        <w:rPr>
          <w:szCs w:val="22"/>
        </w:rPr>
        <w:t xml:space="preserve"> the NRC’s previous guidance on reporting suspicious activities contained in Information Assessment Team Advisory (IA)</w:t>
      </w:r>
      <w:r w:rsidRPr="006C4A77">
        <w:rPr>
          <w:szCs w:val="22"/>
        </w:rPr>
        <w:noBreakHyphen/>
        <w:t>04-08, “Reporting Suspicious Activity Criteria,” dated October 5, 2004</w:t>
      </w:r>
      <w:r w:rsidR="00324F43">
        <w:rPr>
          <w:szCs w:val="22"/>
        </w:rPr>
        <w:t>.</w:t>
      </w:r>
      <w:r w:rsidRPr="006C4A77">
        <w:rPr>
          <w:szCs w:val="22"/>
        </w:rPr>
        <w:t xml:space="preserve"> </w:t>
      </w:r>
    </w:p>
    <w:p w:rsidRPr="00F56DF5" w:rsidR="006F4F0C" w:rsidRDefault="006F4F0C" w14:paraId="717A0C38" w14:textId="77777777">
      <w:pPr>
        <w:rPr>
          <w:szCs w:val="22"/>
        </w:rPr>
      </w:pPr>
    </w:p>
    <w:p w:rsidRPr="00F56DF5" w:rsidR="006F4F0C" w:rsidRDefault="006F4F0C" w14:paraId="7233AF4F" w14:textId="77777777">
      <w:pPr>
        <w:pStyle w:val="Heading2"/>
        <w:keepLines/>
        <w:numPr>
          <w:ilvl w:val="0"/>
          <w:numId w:val="40"/>
        </w:numPr>
        <w:ind w:left="720" w:hanging="720"/>
        <w:rPr>
          <w:b w:val="0"/>
          <w:szCs w:val="22"/>
        </w:rPr>
      </w:pPr>
      <w:bookmarkStart w:name="_Toc507400014" w:id="292"/>
      <w:bookmarkStart w:name="_Toc26362871" w:id="293"/>
      <w:bookmarkStart w:name="_Toc29213207" w:id="294"/>
      <w:bookmarkStart w:name="_Toc73021754" w:id="295"/>
      <w:r w:rsidRPr="00F56DF5">
        <w:rPr>
          <w:szCs w:val="22"/>
        </w:rPr>
        <w:t>DHS and FBI Guidance on Suspicious Activity Reporting</w:t>
      </w:r>
      <w:bookmarkEnd w:id="292"/>
      <w:bookmarkEnd w:id="293"/>
      <w:bookmarkEnd w:id="294"/>
      <w:bookmarkEnd w:id="295"/>
    </w:p>
    <w:p w:rsidRPr="00F56DF5" w:rsidR="006F4F0C" w:rsidRDefault="006F4F0C" w14:paraId="43D96A5A" w14:textId="77777777">
      <w:pPr>
        <w:keepNext/>
        <w:keepLines/>
        <w:rPr>
          <w:szCs w:val="22"/>
        </w:rPr>
      </w:pPr>
    </w:p>
    <w:p w:rsidR="006F4F0C" w:rsidRDefault="006F4F0C" w14:paraId="06D1D3E5" w14:textId="23568F8C">
      <w:pPr>
        <w:keepNext/>
        <w:keepLines/>
        <w:ind w:firstLine="720"/>
        <w:rPr>
          <w:szCs w:val="22"/>
        </w:rPr>
      </w:pPr>
      <w:r w:rsidRPr="00F56DF5">
        <w:rPr>
          <w:szCs w:val="22"/>
        </w:rPr>
        <w:t xml:space="preserve">The DHS and the FBI have issued </w:t>
      </w:r>
      <w:r>
        <w:rPr>
          <w:szCs w:val="22"/>
        </w:rPr>
        <w:t xml:space="preserve">separate </w:t>
      </w:r>
      <w:r w:rsidRPr="00F56DF5">
        <w:rPr>
          <w:szCs w:val="22"/>
        </w:rPr>
        <w:t>guidance and information bulletins on suspicious activity reporting</w:t>
      </w:r>
      <w:r w:rsidR="002E7BC2">
        <w:rPr>
          <w:szCs w:val="22"/>
        </w:rPr>
        <w:t xml:space="preserve">. </w:t>
      </w:r>
      <w:r>
        <w:rPr>
          <w:szCs w:val="22"/>
        </w:rPr>
        <w:t xml:space="preserve">Some previous examples </w:t>
      </w:r>
      <w:r w:rsidR="00123E3A">
        <w:rPr>
          <w:szCs w:val="22"/>
        </w:rPr>
        <w:t xml:space="preserve">of such guidance </w:t>
      </w:r>
      <w:r>
        <w:rPr>
          <w:szCs w:val="22"/>
        </w:rPr>
        <w:t>include:</w:t>
      </w:r>
    </w:p>
    <w:p w:rsidR="006F4F0C" w:rsidRDefault="006F4F0C" w14:paraId="3ABA9976" w14:textId="77777777">
      <w:pPr>
        <w:ind w:firstLine="720"/>
        <w:rPr>
          <w:szCs w:val="22"/>
        </w:rPr>
      </w:pPr>
    </w:p>
    <w:p w:rsidRPr="0008369A" w:rsidR="006F4F0C" w:rsidRDefault="006F4F0C" w14:paraId="239E1039" w14:textId="77777777">
      <w:pPr>
        <w:pStyle w:val="ListParagraph"/>
        <w:numPr>
          <w:ilvl w:val="0"/>
          <w:numId w:val="26"/>
        </w:numPr>
        <w:tabs>
          <w:tab w:val="left" w:pos="-1440"/>
        </w:tabs>
        <w:ind w:left="1080"/>
        <w:rPr>
          <w:sz w:val="22"/>
          <w:szCs w:val="22"/>
        </w:rPr>
      </w:pPr>
      <w:r w:rsidRPr="00A7549A">
        <w:rPr>
          <w:sz w:val="22"/>
          <w:szCs w:val="22"/>
        </w:rPr>
        <w:t xml:space="preserve">DHS and FBI, </w:t>
      </w:r>
      <w:r w:rsidRPr="009234B9">
        <w:rPr>
          <w:sz w:val="22"/>
          <w:szCs w:val="22"/>
        </w:rPr>
        <w:t xml:space="preserve">“Suspicious Activity Reporting Criteria for Infrastructure Owners and Operators,” </w:t>
      </w:r>
      <w:r w:rsidRPr="00835CB9">
        <w:rPr>
          <w:sz w:val="22"/>
          <w:szCs w:val="22"/>
        </w:rPr>
        <w:t>dated August 3, 2004,</w:t>
      </w:r>
      <w:r w:rsidRPr="0008369A" w:rsidDel="00BC4514">
        <w:rPr>
          <w:rStyle w:val="FootnoteReference"/>
          <w:sz w:val="22"/>
          <w:szCs w:val="22"/>
        </w:rPr>
        <w:t xml:space="preserve"> </w:t>
      </w:r>
    </w:p>
    <w:p w:rsidRPr="00B04B07" w:rsidR="006F4F0C" w:rsidRDefault="006F4F0C" w14:paraId="01E111B5" w14:textId="77777777">
      <w:pPr>
        <w:pStyle w:val="ListParagraph"/>
        <w:tabs>
          <w:tab w:val="left" w:pos="-1440"/>
        </w:tabs>
        <w:ind w:left="1080" w:hanging="360"/>
        <w:rPr>
          <w:sz w:val="22"/>
          <w:szCs w:val="22"/>
        </w:rPr>
      </w:pPr>
    </w:p>
    <w:p w:rsidRPr="00A7549A" w:rsidR="006F4F0C" w:rsidRDefault="006F4F0C" w14:paraId="32710CAB" w14:textId="77777777">
      <w:pPr>
        <w:pStyle w:val="ListParagraph"/>
        <w:numPr>
          <w:ilvl w:val="0"/>
          <w:numId w:val="26"/>
        </w:numPr>
        <w:tabs>
          <w:tab w:val="left" w:pos="-1440"/>
        </w:tabs>
        <w:ind w:left="1080"/>
        <w:rPr>
          <w:sz w:val="22"/>
          <w:szCs w:val="22"/>
        </w:rPr>
      </w:pPr>
      <w:r w:rsidRPr="00A7549A">
        <w:rPr>
          <w:sz w:val="22"/>
          <w:szCs w:val="22"/>
        </w:rPr>
        <w:t>DHS, Information Bulletin HQ</w:t>
      </w:r>
      <w:r w:rsidRPr="00A7549A">
        <w:rPr>
          <w:sz w:val="22"/>
          <w:szCs w:val="22"/>
        </w:rPr>
        <w:noBreakHyphen/>
        <w:t>006</w:t>
      </w:r>
      <w:r w:rsidRPr="00A7549A">
        <w:rPr>
          <w:sz w:val="22"/>
          <w:szCs w:val="22"/>
        </w:rPr>
        <w:noBreakHyphen/>
        <w:t>1B</w:t>
      </w:r>
      <w:r w:rsidRPr="00A7549A">
        <w:rPr>
          <w:sz w:val="22"/>
          <w:szCs w:val="22"/>
        </w:rPr>
        <w:noBreakHyphen/>
        <w:t>2015, “</w:t>
      </w:r>
      <w:r w:rsidR="00D1057C">
        <w:rPr>
          <w:sz w:val="22"/>
          <w:szCs w:val="22"/>
        </w:rPr>
        <w:t xml:space="preserve">(U) </w:t>
      </w:r>
      <w:r w:rsidRPr="00A7549A">
        <w:rPr>
          <w:sz w:val="22"/>
          <w:szCs w:val="22"/>
        </w:rPr>
        <w:t>Suspicious Activity Reporting,” dated May 7, 2015.</w:t>
      </w:r>
    </w:p>
    <w:p w:rsidR="006F4F0C" w:rsidRDefault="006F4F0C" w14:paraId="35FFD3A4" w14:textId="77777777">
      <w:pPr>
        <w:ind w:firstLine="720"/>
        <w:rPr>
          <w:szCs w:val="22"/>
        </w:rPr>
      </w:pPr>
    </w:p>
    <w:p w:rsidRPr="00F56DF5" w:rsidR="006F4F0C" w:rsidRDefault="006F4F0C" w14:paraId="32670B0D" w14:textId="5070925C">
      <w:pPr>
        <w:ind w:firstLine="720"/>
        <w:rPr>
          <w:szCs w:val="22"/>
        </w:rPr>
      </w:pPr>
      <w:r>
        <w:rPr>
          <w:szCs w:val="22"/>
        </w:rPr>
        <w:t xml:space="preserve">Such guidance is typically not publicly </w:t>
      </w:r>
      <w:r w:rsidR="00123E3A">
        <w:rPr>
          <w:szCs w:val="22"/>
        </w:rPr>
        <w:t>available,</w:t>
      </w:r>
      <w:r>
        <w:rPr>
          <w:szCs w:val="22"/>
        </w:rPr>
        <w:t xml:space="preserve"> and the NRC staff is not aware if such guidance has been superseded</w:t>
      </w:r>
      <w:r w:rsidR="00D1057C">
        <w:rPr>
          <w:szCs w:val="22"/>
        </w:rPr>
        <w:t xml:space="preserve"> by more current guidance</w:t>
      </w:r>
      <w:r w:rsidR="002E7BC2">
        <w:rPr>
          <w:szCs w:val="22"/>
        </w:rPr>
        <w:t xml:space="preserve">. </w:t>
      </w:r>
      <w:r w:rsidR="00123E3A">
        <w:rPr>
          <w:szCs w:val="22"/>
        </w:rPr>
        <w:t>The NRC is not requiring licensees to use such guidance to comply with the requirements of 10 CFR 73.1215</w:t>
      </w:r>
      <w:r w:rsidR="002E7BC2">
        <w:rPr>
          <w:szCs w:val="22"/>
        </w:rPr>
        <w:t xml:space="preserve">. </w:t>
      </w:r>
      <w:r w:rsidR="00123E3A">
        <w:rPr>
          <w:szCs w:val="22"/>
        </w:rPr>
        <w:t xml:space="preserve">However, licensees wishing to access DHS or FBI guidance </w:t>
      </w:r>
      <w:r>
        <w:rPr>
          <w:szCs w:val="22"/>
        </w:rPr>
        <w:t>should</w:t>
      </w:r>
      <w:r w:rsidRPr="00F56DF5">
        <w:rPr>
          <w:szCs w:val="22"/>
        </w:rPr>
        <w:t xml:space="preserve"> contact </w:t>
      </w:r>
      <w:r w:rsidR="00433387">
        <w:rPr>
          <w:szCs w:val="22"/>
        </w:rPr>
        <w:t xml:space="preserve">the </w:t>
      </w:r>
      <w:r w:rsidRPr="00F56DF5">
        <w:rPr>
          <w:szCs w:val="22"/>
        </w:rPr>
        <w:t xml:space="preserve">DHS or the FBI </w:t>
      </w:r>
      <w:r>
        <w:rPr>
          <w:szCs w:val="22"/>
        </w:rPr>
        <w:t xml:space="preserve">directly </w:t>
      </w:r>
      <w:r w:rsidRPr="00F56DF5">
        <w:rPr>
          <w:szCs w:val="22"/>
        </w:rPr>
        <w:t xml:space="preserve">to request access to </w:t>
      </w:r>
      <w:r>
        <w:rPr>
          <w:szCs w:val="22"/>
        </w:rPr>
        <w:t>these documents or other current suspicious activity reporting</w:t>
      </w:r>
      <w:r w:rsidRPr="00F56DF5">
        <w:rPr>
          <w:szCs w:val="22"/>
        </w:rPr>
        <w:t xml:space="preserve"> guidance. </w:t>
      </w:r>
    </w:p>
    <w:p w:rsidR="005822C7" w:rsidP="00270C92" w:rsidRDefault="005822C7" w14:paraId="361FCEB6" w14:textId="77777777">
      <w:pPr>
        <w:rPr>
          <w:sz w:val="28"/>
          <w:szCs w:val="28"/>
        </w:rPr>
      </w:pPr>
      <w:r>
        <w:rPr>
          <w:sz w:val="28"/>
          <w:szCs w:val="28"/>
        </w:rPr>
        <w:br w:type="page"/>
      </w:r>
    </w:p>
    <w:p w:rsidRPr="009B126C" w:rsidR="00814CAF" w:rsidP="00BA7B32" w:rsidRDefault="000F7250" w14:paraId="7D49DF8D" w14:textId="282C417D">
      <w:pPr>
        <w:pStyle w:val="Heading1"/>
        <w:numPr>
          <w:ilvl w:val="0"/>
          <w:numId w:val="0"/>
        </w:numPr>
        <w:spacing w:after="0"/>
        <w:jc w:val="center"/>
        <w:rPr>
          <w:sz w:val="28"/>
          <w:szCs w:val="28"/>
        </w:rPr>
      </w:pPr>
      <w:bookmarkStart w:name="_Toc383167286" w:id="296"/>
      <w:bookmarkStart w:name="_Toc507400048" w:id="297"/>
      <w:bookmarkStart w:name="_Toc26362872" w:id="298"/>
      <w:bookmarkStart w:name="_Toc29213208" w:id="299"/>
      <w:bookmarkStart w:name="_Toc73021755" w:id="300"/>
      <w:r>
        <w:rPr>
          <w:sz w:val="28"/>
          <w:szCs w:val="28"/>
        </w:rPr>
        <w:lastRenderedPageBreak/>
        <w:t>D</w:t>
      </w:r>
      <w:r w:rsidR="002E7BC2">
        <w:rPr>
          <w:sz w:val="28"/>
          <w:szCs w:val="28"/>
        </w:rPr>
        <w:t xml:space="preserve">. </w:t>
      </w:r>
      <w:r w:rsidR="00E1532A">
        <w:rPr>
          <w:sz w:val="28"/>
          <w:szCs w:val="28"/>
        </w:rPr>
        <w:t xml:space="preserve"> </w:t>
      </w:r>
      <w:r w:rsidRPr="009B126C" w:rsidR="00814CAF">
        <w:rPr>
          <w:sz w:val="28"/>
          <w:szCs w:val="28"/>
        </w:rPr>
        <w:t>IMPLEMENTATION</w:t>
      </w:r>
      <w:bookmarkEnd w:id="296"/>
      <w:bookmarkEnd w:id="297"/>
      <w:bookmarkEnd w:id="298"/>
      <w:bookmarkEnd w:id="299"/>
      <w:bookmarkEnd w:id="300"/>
    </w:p>
    <w:p w:rsidR="00BA7B32" w:rsidP="00BA7B32" w:rsidRDefault="00BA7B32" w14:paraId="16121059" w14:textId="77777777">
      <w:pPr>
        <w:ind w:firstLine="720"/>
        <w:rPr>
          <w:rFonts w:eastAsia="Calibri"/>
        </w:rPr>
      </w:pPr>
    </w:p>
    <w:p w:rsidR="00CF3898" w:rsidP="00932928" w:rsidRDefault="00CF3898" w14:paraId="108FCA64" w14:textId="0AFB633A">
      <w:pPr>
        <w:keepNext/>
        <w:keepLines/>
        <w:ind w:firstLine="720"/>
      </w:pPr>
      <w:r>
        <w:t>The NRC staff may use this regulatory guide as a reference in its regulatory processes, such as licensing, inspection, or enforcement.</w:t>
      </w:r>
      <w:r w:rsidRPr="009B335E">
        <w:t xml:space="preserve"> The NRC staff does not expect or plan to require the use of this regulatory guide.</w:t>
      </w:r>
      <w:r w:rsidRPr="00E447E1">
        <w:t xml:space="preserve"> </w:t>
      </w:r>
      <w:r>
        <w:t>However, should the NRC determine to require the use of this regulatory guide, such an</w:t>
      </w:r>
      <w:r w:rsidRPr="00E447E1">
        <w:t xml:space="preserve"> imposition </w:t>
      </w:r>
      <w:r>
        <w:t>would not constitute</w:t>
      </w:r>
      <w:r w:rsidRPr="00E447E1">
        <w:t xml:space="preserve"> backfit</w:t>
      </w:r>
      <w:r>
        <w:t>ting</w:t>
      </w:r>
      <w:r w:rsidRPr="00E447E1">
        <w:t xml:space="preserve">, as that term is defined in </w:t>
      </w:r>
      <w:r w:rsidRPr="00E77417">
        <w:t xml:space="preserve">10 CFR 50.109, </w:t>
      </w:r>
      <w:r w:rsidRPr="009B335E">
        <w:t>“Backfitting</w:t>
      </w:r>
      <w:r>
        <w:t>,</w:t>
      </w:r>
      <w:r w:rsidRPr="009B335E">
        <w:t xml:space="preserve">” </w:t>
      </w:r>
      <w:r w:rsidRPr="00E77417">
        <w:t>10</w:t>
      </w:r>
      <w:r>
        <w:t> </w:t>
      </w:r>
      <w:r w:rsidRPr="00E77417">
        <w:t xml:space="preserve">CFR 70.76, </w:t>
      </w:r>
      <w:r w:rsidRPr="009B335E">
        <w:t>“Backfitting</w:t>
      </w:r>
      <w:r>
        <w:t>,</w:t>
      </w:r>
      <w:r w:rsidRPr="009B335E">
        <w:t xml:space="preserve">” </w:t>
      </w:r>
      <w:r>
        <w:t xml:space="preserve">or </w:t>
      </w:r>
      <w:r w:rsidRPr="00E77417">
        <w:t xml:space="preserve">10 CFR 72.62, </w:t>
      </w:r>
      <w:r w:rsidRPr="009B335E">
        <w:t>“Backfitting”</w:t>
      </w:r>
      <w:r>
        <w:t xml:space="preserve">; affect </w:t>
      </w:r>
      <w:r w:rsidRPr="00235827">
        <w:t xml:space="preserve">the issue finality </w:t>
      </w:r>
      <w:r>
        <w:t xml:space="preserve">of an approval issued under </w:t>
      </w:r>
      <w:r w:rsidRPr="00235827">
        <w:t>10 CFR Part 52</w:t>
      </w:r>
      <w:r>
        <w:t xml:space="preserve">, </w:t>
      </w:r>
      <w:r w:rsidRPr="009B335E">
        <w:t>“Licenses, Certifications, and Approvals for Nuclear Power Plants”</w:t>
      </w:r>
      <w:r>
        <w:t xml:space="preserve">; or constitute forward fitting, as that term is defined in </w:t>
      </w:r>
      <w:r w:rsidRPr="00A17C50">
        <w:t>NRC Management Directive 8.4</w:t>
      </w:r>
      <w:r>
        <w:t xml:space="preserve">, </w:t>
      </w:r>
      <w:r w:rsidRPr="00A17C50">
        <w:t>“Management of Backfitting, Forward Fitting, Issue Finality, and Information Requests</w:t>
      </w:r>
      <w:r>
        <w:t>” (Ref.1</w:t>
      </w:r>
      <w:r w:rsidR="008717D4">
        <w:t>9</w:t>
      </w:r>
      <w:r>
        <w:t>)</w:t>
      </w:r>
      <w:r w:rsidRPr="00A17C50">
        <w:t xml:space="preserve">, </w:t>
      </w:r>
      <w:r w:rsidRPr="00E447E1">
        <w:t xml:space="preserve">because reporting requirements are not included within the scope of the NRC’s backfitting </w:t>
      </w:r>
      <w:r>
        <w:t xml:space="preserve">or issue finality </w:t>
      </w:r>
      <w:r w:rsidRPr="00E447E1">
        <w:t>rules</w:t>
      </w:r>
      <w:r>
        <w:t xml:space="preserve"> or forward fitting policy</w:t>
      </w:r>
      <w:r w:rsidRPr="00E447E1">
        <w:t>.</w:t>
      </w:r>
    </w:p>
    <w:p w:rsidR="00CD5EE3" w:rsidP="00BA7B32" w:rsidRDefault="00CD5EE3" w14:paraId="4E09DE01" w14:textId="394302F3">
      <w:pPr>
        <w:ind w:firstLine="720"/>
        <w:rPr>
          <w:rFonts w:eastAsia="Calibri"/>
        </w:rPr>
      </w:pPr>
    </w:p>
    <w:p w:rsidR="00262077" w:rsidP="00BA7B32" w:rsidRDefault="00262077" w14:paraId="6B96A4A0" w14:textId="77777777">
      <w:pPr>
        <w:keepNext/>
        <w:keepLines/>
        <w:spacing w:before="240" w:after="240"/>
        <w:ind w:firstLine="720"/>
        <w:rPr>
          <w:rFonts w:eastAsia="Calibri"/>
        </w:rPr>
      </w:pPr>
      <w:r>
        <w:rPr>
          <w:rFonts w:eastAsia="Calibri"/>
        </w:rPr>
        <w:br w:type="page"/>
      </w:r>
    </w:p>
    <w:p w:rsidR="00830786" w:rsidP="00177E14" w:rsidRDefault="00830786" w14:paraId="0D368D48" w14:textId="77777777">
      <w:pPr>
        <w:pStyle w:val="Heading1"/>
        <w:numPr>
          <w:ilvl w:val="0"/>
          <w:numId w:val="0"/>
        </w:numPr>
        <w:spacing w:after="0"/>
        <w:jc w:val="center"/>
        <w:rPr>
          <w:sz w:val="28"/>
          <w:szCs w:val="28"/>
        </w:rPr>
      </w:pPr>
      <w:bookmarkStart w:name="_Toc383167287" w:id="301"/>
      <w:bookmarkStart w:name="_Toc507400049" w:id="302"/>
      <w:bookmarkStart w:name="_Toc26362873" w:id="303"/>
      <w:bookmarkStart w:name="_Toc29213209" w:id="304"/>
      <w:bookmarkStart w:name="_Toc73021756" w:id="305"/>
      <w:r>
        <w:rPr>
          <w:sz w:val="28"/>
          <w:szCs w:val="28"/>
        </w:rPr>
        <w:lastRenderedPageBreak/>
        <w:t>GLOSSARY</w:t>
      </w:r>
      <w:bookmarkEnd w:id="301"/>
      <w:bookmarkEnd w:id="302"/>
      <w:bookmarkEnd w:id="303"/>
      <w:bookmarkEnd w:id="304"/>
      <w:bookmarkEnd w:id="305"/>
    </w:p>
    <w:tbl>
      <w:tblPr>
        <w:tblW w:w="0" w:type="auto"/>
        <w:jc w:val="center"/>
        <w:tblCellMar>
          <w:top w:w="72" w:type="dxa"/>
          <w:left w:w="0" w:type="dxa"/>
          <w:bottom w:w="72" w:type="dxa"/>
          <w:right w:w="0" w:type="dxa"/>
        </w:tblCellMar>
        <w:tblLook w:val="04A0" w:firstRow="1" w:lastRow="0" w:firstColumn="1" w:lastColumn="0" w:noHBand="0" w:noVBand="1"/>
      </w:tblPr>
      <w:tblGrid>
        <w:gridCol w:w="1800"/>
        <w:gridCol w:w="7560"/>
      </w:tblGrid>
      <w:tr w:rsidRPr="00FD56AE" w:rsidR="00484787" w:rsidTr="00270C92" w14:paraId="36C5AA4B" w14:textId="77777777">
        <w:trPr>
          <w:jc w:val="center"/>
        </w:trPr>
        <w:tc>
          <w:tcPr>
            <w:tcW w:w="1800" w:type="dxa"/>
            <w:shd w:val="clear" w:color="auto" w:fill="auto"/>
          </w:tcPr>
          <w:p w:rsidRPr="00FD56AE" w:rsidR="00FD56AE" w:rsidP="003643B7" w:rsidRDefault="00FD56AE" w14:paraId="00D6C014" w14:textId="77777777">
            <w:r w:rsidRPr="00FD56AE">
              <w:rPr>
                <w:b/>
                <w:bCs/>
              </w:rPr>
              <w:t>assessment</w:t>
            </w:r>
          </w:p>
        </w:tc>
        <w:tc>
          <w:tcPr>
            <w:tcW w:w="7560" w:type="dxa"/>
            <w:shd w:val="clear" w:color="auto" w:fill="auto"/>
          </w:tcPr>
          <w:p w:rsidRPr="00FD56AE" w:rsidR="00FD56AE" w:rsidP="003643B7" w:rsidRDefault="00FD56AE" w14:paraId="4993663A" w14:textId="77777777">
            <w:r w:rsidRPr="00FD56AE">
              <w:t>A</w:t>
            </w:r>
            <w:r w:rsidR="007E1E82">
              <w:t>n evaluation</w:t>
            </w:r>
            <w:r w:rsidRPr="00FD56AE">
              <w:t xml:space="preserve"> performed </w:t>
            </w:r>
            <w:r w:rsidR="007E1E82">
              <w:t xml:space="preserve">by a licensee </w:t>
            </w:r>
            <w:r w:rsidRPr="00FD56AE">
              <w:t xml:space="preserve">to determine whether </w:t>
            </w:r>
            <w:r w:rsidR="00C15A74">
              <w:t>an</w:t>
            </w:r>
            <w:r w:rsidR="007E1E82">
              <w:t xml:space="preserve"> event is reportable </w:t>
            </w:r>
            <w:r w:rsidR="00C15A74">
              <w:t xml:space="preserve">as a suspicious activity </w:t>
            </w:r>
            <w:r w:rsidR="007E1E82">
              <w:t>under the provisions of 10</w:t>
            </w:r>
            <w:r w:rsidR="0064214D">
              <w:t> </w:t>
            </w:r>
            <w:r w:rsidR="007E1E82">
              <w:t>CFR</w:t>
            </w:r>
            <w:r w:rsidR="0064214D">
              <w:t> </w:t>
            </w:r>
            <w:r w:rsidR="007E1E82">
              <w:t>73.1215</w:t>
            </w:r>
            <w:r w:rsidR="00671DF9">
              <w:t xml:space="preserve">. </w:t>
            </w:r>
            <w:r w:rsidR="00C15A74">
              <w:t>An</w:t>
            </w:r>
            <w:r w:rsidR="007E1E82">
              <w:t xml:space="preserve"> assessment may include review of electronic surveillance records</w:t>
            </w:r>
            <w:r w:rsidR="00C15A74">
              <w:t>, interviews of individuals, or discussion with the licensee’s LLEA</w:t>
            </w:r>
            <w:r w:rsidR="00E91749">
              <w:t xml:space="preserve"> regarding the circumstances of the event</w:t>
            </w:r>
            <w:r w:rsidR="00C15A74">
              <w:t xml:space="preserve">. </w:t>
            </w:r>
          </w:p>
        </w:tc>
      </w:tr>
      <w:tr w:rsidRPr="00FD56AE" w:rsidR="00717B76" w:rsidTr="00270C92" w14:paraId="20C83877" w14:textId="77777777">
        <w:trPr>
          <w:jc w:val="center"/>
        </w:trPr>
        <w:tc>
          <w:tcPr>
            <w:tcW w:w="1800" w:type="dxa"/>
            <w:shd w:val="clear" w:color="auto" w:fill="auto"/>
          </w:tcPr>
          <w:p w:rsidRPr="00FD56AE" w:rsidR="00717B76" w:rsidP="003643B7" w:rsidRDefault="00DD2A18" w14:paraId="5822E1C7" w14:textId="77777777">
            <w:pPr>
              <w:rPr>
                <w:b/>
                <w:bCs/>
              </w:rPr>
            </w:pPr>
            <w:r>
              <w:rPr>
                <w:b/>
                <w:bCs/>
              </w:rPr>
              <w:t>Cognizant Security Agency (CSA)</w:t>
            </w:r>
          </w:p>
        </w:tc>
        <w:tc>
          <w:tcPr>
            <w:tcW w:w="7560" w:type="dxa"/>
            <w:shd w:val="clear" w:color="auto" w:fill="auto"/>
          </w:tcPr>
          <w:p w:rsidRPr="00FD56AE" w:rsidR="00717B76" w:rsidP="003643B7" w:rsidRDefault="00B8427B" w14:paraId="4D3C63A9" w14:textId="77777777">
            <w:r>
              <w:t>The term Cognizant Security Agency has the</w:t>
            </w:r>
            <w:r w:rsidR="001C1978">
              <w:t xml:space="preserve"> same meaning as is found in 10 </w:t>
            </w:r>
            <w:r>
              <w:t>CFR</w:t>
            </w:r>
            <w:r w:rsidR="001C1978">
              <w:t> </w:t>
            </w:r>
            <w:r>
              <w:t>95.5, “Definitions.”</w:t>
            </w:r>
            <w:r w:rsidR="00671DF9">
              <w:t xml:space="preserve"> </w:t>
            </w:r>
          </w:p>
        </w:tc>
      </w:tr>
      <w:tr w:rsidRPr="00FD56AE" w:rsidR="00942DE9" w:rsidTr="00270C92" w14:paraId="7E556784" w14:textId="77777777">
        <w:trPr>
          <w:jc w:val="center"/>
        </w:trPr>
        <w:tc>
          <w:tcPr>
            <w:tcW w:w="1800" w:type="dxa"/>
            <w:shd w:val="clear" w:color="auto" w:fill="auto"/>
          </w:tcPr>
          <w:p w:rsidR="00942DE9" w:rsidP="003643B7" w:rsidRDefault="00942DE9" w14:paraId="3C2B008D" w14:textId="77777777">
            <w:pPr>
              <w:rPr>
                <w:b/>
                <w:bCs/>
              </w:rPr>
            </w:pPr>
            <w:r>
              <w:rPr>
                <w:b/>
                <w:bCs/>
              </w:rPr>
              <w:t>LLEA</w:t>
            </w:r>
          </w:p>
        </w:tc>
        <w:tc>
          <w:tcPr>
            <w:tcW w:w="7560" w:type="dxa"/>
            <w:shd w:val="clear" w:color="auto" w:fill="auto"/>
          </w:tcPr>
          <w:p w:rsidR="00942DE9" w:rsidP="003643B7" w:rsidRDefault="00942DE9" w14:paraId="58C0FA76" w14:textId="1267777A">
            <w:r>
              <w:t xml:space="preserve">A local law enforcement agency that </w:t>
            </w:r>
            <w:r w:rsidR="000E0751">
              <w:t>has jurisdiction over the location of the licensee’s facility or has jurisdiction over the location of a</w:t>
            </w:r>
            <w:r w:rsidR="00E3533F">
              <w:t>n</w:t>
            </w:r>
            <w:r w:rsidR="00A51525">
              <w:t xml:space="preserve"> underway</w:t>
            </w:r>
            <w:r w:rsidR="000E0751">
              <w:t xml:space="preserve"> shipment.</w:t>
            </w:r>
          </w:p>
        </w:tc>
      </w:tr>
      <w:tr w:rsidRPr="00FD56AE" w:rsidR="00173B49" w:rsidTr="00270C92" w14:paraId="6FE0DBAD" w14:textId="77777777">
        <w:trPr>
          <w:jc w:val="center"/>
        </w:trPr>
        <w:tc>
          <w:tcPr>
            <w:tcW w:w="1800" w:type="dxa"/>
            <w:shd w:val="clear" w:color="auto" w:fill="auto"/>
          </w:tcPr>
          <w:p w:rsidR="00173B49" w:rsidP="003643B7" w:rsidRDefault="00173B49" w14:paraId="2D712D50" w14:textId="77777777">
            <w:pPr>
              <w:rPr>
                <w:b/>
                <w:bCs/>
              </w:rPr>
            </w:pPr>
            <w:r>
              <w:rPr>
                <w:b/>
                <w:bCs/>
              </w:rPr>
              <w:t>movement control center</w:t>
            </w:r>
          </w:p>
        </w:tc>
        <w:tc>
          <w:tcPr>
            <w:tcW w:w="7560" w:type="dxa"/>
            <w:shd w:val="clear" w:color="auto" w:fill="auto"/>
          </w:tcPr>
          <w:p w:rsidRPr="00FD56AE" w:rsidR="00173B49" w:rsidP="003643B7" w:rsidRDefault="00A97A1F" w14:paraId="69E4215D" w14:textId="77777777">
            <w:r>
              <w:t>A movement control center</w:t>
            </w:r>
            <w:r w:rsidRPr="00173B49" w:rsidR="00173B49">
              <w:t xml:space="preserve"> </w:t>
            </w:r>
            <w:r w:rsidR="001C1978">
              <w:t xml:space="preserve">(on behalf of a licensee) </w:t>
            </w:r>
            <w:r w:rsidRPr="00173B49" w:rsidR="00173B49">
              <w:t>mainta</w:t>
            </w:r>
            <w:r w:rsidR="00173B49">
              <w:t xml:space="preserve">ins position information </w:t>
            </w:r>
            <w:r w:rsidR="001A1407">
              <w:t xml:space="preserve">during the shipment (i.e., transportation) </w:t>
            </w:r>
            <w:r w:rsidR="00173B49">
              <w:t xml:space="preserve">of </w:t>
            </w:r>
            <w:r w:rsidR="00830786">
              <w:t>S</w:t>
            </w:r>
            <w:r w:rsidR="00123882">
              <w:t>SN</w:t>
            </w:r>
            <w:r w:rsidR="00830786">
              <w:t>M or SNF</w:t>
            </w:r>
            <w:r w:rsidR="00173B49">
              <w:t xml:space="preserve">; </w:t>
            </w:r>
            <w:r w:rsidRPr="00173B49" w:rsidR="00173B49">
              <w:t xml:space="preserve">receives reports of actual or attempted attacks, thefts, or sabotage; </w:t>
            </w:r>
            <w:r w:rsidR="001A1407">
              <w:t xml:space="preserve">receives reports of suspicious activity; </w:t>
            </w:r>
            <w:r w:rsidR="002E15EC">
              <w:t>notifies</w:t>
            </w:r>
            <w:r w:rsidR="00AF6B24">
              <w:t xml:space="preserve"> </w:t>
            </w:r>
            <w:r w:rsidR="002E15EC">
              <w:t xml:space="preserve">and reports </w:t>
            </w:r>
            <w:r w:rsidRPr="00B57CC8" w:rsidR="00B57CC8">
              <w:t xml:space="preserve">any suspicious activities </w:t>
            </w:r>
            <w:r w:rsidR="002E15EC">
              <w:t xml:space="preserve">to </w:t>
            </w:r>
            <w:r w:rsidR="00AF6B24">
              <w:t xml:space="preserve">the NRC </w:t>
            </w:r>
            <w:r w:rsidRPr="00173B49" w:rsidR="00173B49">
              <w:t xml:space="preserve">and </w:t>
            </w:r>
            <w:r w:rsidR="002E15EC">
              <w:t xml:space="preserve">other </w:t>
            </w:r>
            <w:r w:rsidRPr="00173B49" w:rsidR="00173B49">
              <w:t>agencies</w:t>
            </w:r>
            <w:r w:rsidR="00B57CC8">
              <w:t xml:space="preserve">, as </w:t>
            </w:r>
            <w:r w:rsidR="00B15CA1">
              <w:t>appropriate,</w:t>
            </w:r>
            <w:r w:rsidRPr="00173B49" w:rsidR="00173B49">
              <w:t xml:space="preserve"> and request</w:t>
            </w:r>
            <w:r w:rsidR="00B57CC8">
              <w:t>s</w:t>
            </w:r>
            <w:r w:rsidRPr="00173B49" w:rsidR="00173B49">
              <w:t xml:space="preserve"> and coordinate</w:t>
            </w:r>
            <w:r w:rsidR="00B57CC8">
              <w:t>s</w:t>
            </w:r>
            <w:r w:rsidRPr="00173B49" w:rsidR="00173B49">
              <w:t xml:space="preserve"> aid</w:t>
            </w:r>
            <w:r w:rsidR="00173B49">
              <w:t xml:space="preserve"> </w:t>
            </w:r>
            <w:r w:rsidR="001A1407">
              <w:t xml:space="preserve">or response </w:t>
            </w:r>
            <w:r w:rsidR="00173B49">
              <w:t xml:space="preserve">from </w:t>
            </w:r>
            <w:r w:rsidR="00E2093B">
              <w:t xml:space="preserve">the </w:t>
            </w:r>
            <w:r w:rsidR="001A1407">
              <w:t xml:space="preserve">appropriate </w:t>
            </w:r>
            <w:r w:rsidR="00173B49">
              <w:t>LLEA</w:t>
            </w:r>
            <w:r w:rsidR="00B57CC8">
              <w:t xml:space="preserve">, as </w:t>
            </w:r>
            <w:r w:rsidR="001C1978">
              <w:t>necessary</w:t>
            </w:r>
            <w:r w:rsidRPr="00173B49" w:rsidR="00173B49">
              <w:t>.</w:t>
            </w:r>
          </w:p>
        </w:tc>
      </w:tr>
      <w:tr w:rsidRPr="00FD56AE" w:rsidR="00E26A34" w:rsidTr="00270C92" w14:paraId="75650592" w14:textId="77777777">
        <w:trPr>
          <w:jc w:val="center"/>
        </w:trPr>
        <w:tc>
          <w:tcPr>
            <w:tcW w:w="1800" w:type="dxa"/>
            <w:shd w:val="clear" w:color="auto" w:fill="auto"/>
          </w:tcPr>
          <w:p w:rsidR="00E26A34" w:rsidP="003643B7" w:rsidRDefault="00E26A34" w14:paraId="20587575" w14:textId="77777777">
            <w:pPr>
              <w:rPr>
                <w:b/>
                <w:bCs/>
              </w:rPr>
            </w:pPr>
            <w:r>
              <w:rPr>
                <w:b/>
                <w:bCs/>
              </w:rPr>
              <w:t>production facility</w:t>
            </w:r>
          </w:p>
        </w:tc>
        <w:tc>
          <w:tcPr>
            <w:tcW w:w="7560" w:type="dxa"/>
            <w:shd w:val="clear" w:color="auto" w:fill="auto"/>
          </w:tcPr>
          <w:p w:rsidR="00E26A34" w:rsidP="003643B7" w:rsidRDefault="00E26A34" w14:paraId="7C9EDBD9" w14:textId="7035ECCB">
            <w:r>
              <w:t>The term production facility has the same meaning as is found in 10 CFR 50.2</w:t>
            </w:r>
            <w:r w:rsidR="004C5C89">
              <w:t>, “Definitions</w:t>
            </w:r>
            <w:r>
              <w:t>.</w:t>
            </w:r>
            <w:r w:rsidR="00065533">
              <w:t>”</w:t>
            </w:r>
          </w:p>
        </w:tc>
      </w:tr>
      <w:tr w:rsidRPr="00FD56AE" w:rsidR="00717B76" w:rsidTr="00270C92" w14:paraId="683FE44B" w14:textId="77777777">
        <w:trPr>
          <w:jc w:val="center"/>
        </w:trPr>
        <w:tc>
          <w:tcPr>
            <w:tcW w:w="1800" w:type="dxa"/>
            <w:shd w:val="clear" w:color="auto" w:fill="auto"/>
          </w:tcPr>
          <w:p w:rsidR="00717B76" w:rsidP="003643B7" w:rsidRDefault="00717B76" w14:paraId="3F93A80D" w14:textId="77777777">
            <w:pPr>
              <w:rPr>
                <w:b/>
                <w:bCs/>
              </w:rPr>
            </w:pPr>
            <w:r>
              <w:rPr>
                <w:b/>
                <w:bCs/>
              </w:rPr>
              <w:t>restricted area</w:t>
            </w:r>
          </w:p>
        </w:tc>
        <w:tc>
          <w:tcPr>
            <w:tcW w:w="7560" w:type="dxa"/>
            <w:shd w:val="clear" w:color="auto" w:fill="auto"/>
          </w:tcPr>
          <w:p w:rsidRPr="00FD56AE" w:rsidR="00717B76" w:rsidP="003643B7" w:rsidRDefault="001A1407" w14:paraId="1EA2D7DC" w14:textId="32EED22E">
            <w:r>
              <w:t xml:space="preserve">The term restricted area </w:t>
            </w:r>
            <w:r w:rsidR="00B15CA1">
              <w:t>h</w:t>
            </w:r>
            <w:r>
              <w:t>as the same meaning as is found in 10 CFR 95.5</w:t>
            </w:r>
            <w:r w:rsidR="002E7BC2">
              <w:t xml:space="preserve">. </w:t>
            </w:r>
          </w:p>
        </w:tc>
      </w:tr>
      <w:tr w:rsidRPr="00FD56AE" w:rsidR="00484787" w:rsidTr="00270C92" w14:paraId="246ECC80" w14:textId="77777777">
        <w:trPr>
          <w:jc w:val="center"/>
        </w:trPr>
        <w:tc>
          <w:tcPr>
            <w:tcW w:w="1800" w:type="dxa"/>
            <w:shd w:val="clear" w:color="auto" w:fill="auto"/>
          </w:tcPr>
          <w:p w:rsidRPr="00FD56AE" w:rsidR="00E91749" w:rsidP="003643B7" w:rsidRDefault="00DE3C8D" w14:paraId="7625F51F" w14:textId="77777777">
            <w:pPr>
              <w:rPr>
                <w:b/>
                <w:bCs/>
              </w:rPr>
            </w:pPr>
            <w:r>
              <w:rPr>
                <w:b/>
                <w:bCs/>
              </w:rPr>
              <w:t>R</w:t>
            </w:r>
            <w:r w:rsidR="00C15A74">
              <w:rPr>
                <w:b/>
                <w:bCs/>
              </w:rPr>
              <w:t xml:space="preserve">estricted </w:t>
            </w:r>
            <w:r>
              <w:rPr>
                <w:b/>
                <w:bCs/>
              </w:rPr>
              <w:t>D</w:t>
            </w:r>
            <w:r w:rsidR="00C15A74">
              <w:rPr>
                <w:b/>
                <w:bCs/>
              </w:rPr>
              <w:t>ata</w:t>
            </w:r>
            <w:r w:rsidR="00830786">
              <w:rPr>
                <w:b/>
                <w:bCs/>
              </w:rPr>
              <w:t xml:space="preserve"> (RD)</w:t>
            </w:r>
          </w:p>
        </w:tc>
        <w:tc>
          <w:tcPr>
            <w:tcW w:w="7560" w:type="dxa"/>
            <w:shd w:val="clear" w:color="auto" w:fill="auto"/>
          </w:tcPr>
          <w:p w:rsidRPr="00FD56AE" w:rsidR="00FD56AE" w:rsidP="003643B7" w:rsidRDefault="00B51CC6" w14:paraId="2939AB56" w14:textId="77777777">
            <w:r>
              <w:t>The term Restricted Data has the same meaning as found in 10 CFR 95.5.</w:t>
            </w:r>
          </w:p>
        </w:tc>
      </w:tr>
      <w:tr w:rsidRPr="00FD56AE" w:rsidR="00012018" w:rsidTr="00270C92" w14:paraId="580DBE1D" w14:textId="77777777">
        <w:trPr>
          <w:jc w:val="center"/>
        </w:trPr>
        <w:tc>
          <w:tcPr>
            <w:tcW w:w="1800" w:type="dxa"/>
            <w:shd w:val="clear" w:color="auto" w:fill="auto"/>
          </w:tcPr>
          <w:p w:rsidR="00012018" w:rsidP="003643B7" w:rsidRDefault="00012018" w14:paraId="4672E317" w14:textId="377F3B3D">
            <w:pPr>
              <w:rPr>
                <w:b/>
                <w:bCs/>
              </w:rPr>
            </w:pPr>
            <w:r>
              <w:rPr>
                <w:b/>
                <w:bCs/>
              </w:rPr>
              <w:t>UAS</w:t>
            </w:r>
          </w:p>
        </w:tc>
        <w:tc>
          <w:tcPr>
            <w:tcW w:w="7560" w:type="dxa"/>
            <w:shd w:val="clear" w:color="auto" w:fill="auto"/>
          </w:tcPr>
          <w:p w:rsidR="00012018" w:rsidP="003643B7" w:rsidRDefault="00C607E4" w14:paraId="407EB5B5" w14:textId="3065CAA2">
            <w:r>
              <w:t xml:space="preserve">unmanned </w:t>
            </w:r>
            <w:r w:rsidR="00E00ED4">
              <w:t>aircraft</w:t>
            </w:r>
            <w:r>
              <w:t xml:space="preserve"> system</w:t>
            </w:r>
            <w:r w:rsidR="00613F12">
              <w:t>s</w:t>
            </w:r>
            <w:r w:rsidR="00B14AAF">
              <w:t xml:space="preserve"> </w:t>
            </w:r>
            <w:r w:rsidR="00B14AAF">
              <w:rPr>
                <w:rStyle w:val="FootnoteReference"/>
              </w:rPr>
              <w:footnoteReference w:id="3"/>
            </w:r>
            <w:r w:rsidR="00DC049B">
              <w:t xml:space="preserve"> </w:t>
            </w:r>
            <w:r w:rsidR="00DC049B">
              <w:rPr>
                <w:rStyle w:val="FootnoteReference"/>
              </w:rPr>
              <w:footnoteReference w:id="4"/>
            </w:r>
          </w:p>
        </w:tc>
      </w:tr>
      <w:tr w:rsidRPr="00FD56AE" w:rsidR="00C15A74" w:rsidTr="00270C92" w14:paraId="5B95C5D5" w14:textId="77777777">
        <w:trPr>
          <w:jc w:val="center"/>
        </w:trPr>
        <w:tc>
          <w:tcPr>
            <w:tcW w:w="1800" w:type="dxa"/>
            <w:shd w:val="clear" w:color="auto" w:fill="auto"/>
          </w:tcPr>
          <w:p w:rsidRPr="00FD56AE" w:rsidR="00C15A74" w:rsidP="003643B7" w:rsidRDefault="00E26A34" w14:paraId="49A7FE33" w14:textId="77777777">
            <w:pPr>
              <w:rPr>
                <w:b/>
                <w:bCs/>
              </w:rPr>
            </w:pPr>
            <w:r>
              <w:rPr>
                <w:b/>
                <w:bCs/>
              </w:rPr>
              <w:t>utilization facility</w:t>
            </w:r>
          </w:p>
        </w:tc>
        <w:tc>
          <w:tcPr>
            <w:tcW w:w="7560" w:type="dxa"/>
            <w:shd w:val="clear" w:color="auto" w:fill="auto"/>
          </w:tcPr>
          <w:p w:rsidRPr="00FD56AE" w:rsidR="002F265A" w:rsidP="003643B7" w:rsidRDefault="00E26A34" w14:paraId="4CCFD11B" w14:textId="77777777">
            <w:r>
              <w:t>The term utilization facility has the same meaning as is found in 10 CFR 50.2.</w:t>
            </w:r>
          </w:p>
        </w:tc>
      </w:tr>
    </w:tbl>
    <w:p w:rsidRPr="001E109E" w:rsidR="009C14CF" w:rsidP="00062DFB" w:rsidRDefault="009C14CF" w14:paraId="1BD37218" w14:textId="77777777">
      <w:bookmarkStart w:name="_Toc383167288" w:id="306"/>
    </w:p>
    <w:p w:rsidR="009C14CF" w:rsidRDefault="009C14CF" w14:paraId="19CCC3E9" w14:textId="77777777">
      <w:pPr>
        <w:rPr>
          <w:szCs w:val="22"/>
        </w:rPr>
      </w:pPr>
      <w:bookmarkStart w:name="_Toc507400050" w:id="307"/>
      <w:r>
        <w:rPr>
          <w:szCs w:val="22"/>
        </w:rPr>
        <w:br w:type="page"/>
      </w:r>
    </w:p>
    <w:p w:rsidR="00041E9C" w:rsidP="00481799" w:rsidRDefault="00A97A1F" w14:paraId="5F84762B" w14:textId="77777777">
      <w:pPr>
        <w:pStyle w:val="Heading1"/>
        <w:numPr>
          <w:ilvl w:val="0"/>
          <w:numId w:val="0"/>
        </w:numPr>
        <w:jc w:val="center"/>
        <w:rPr>
          <w:sz w:val="28"/>
          <w:szCs w:val="28"/>
        </w:rPr>
      </w:pPr>
      <w:bookmarkStart w:name="_Toc26362874" w:id="308"/>
      <w:bookmarkStart w:name="_Toc29213210" w:id="309"/>
      <w:bookmarkStart w:name="_Toc73021757" w:id="310"/>
      <w:bookmarkStart w:name="_Hlk10098628" w:id="311"/>
      <w:r>
        <w:rPr>
          <w:sz w:val="28"/>
          <w:szCs w:val="28"/>
        </w:rPr>
        <w:lastRenderedPageBreak/>
        <w:t>R</w:t>
      </w:r>
      <w:r w:rsidRPr="00481799" w:rsidR="00041E9C">
        <w:rPr>
          <w:sz w:val="28"/>
          <w:szCs w:val="28"/>
        </w:rPr>
        <w:t>EFERENCES</w:t>
      </w:r>
      <w:r w:rsidRPr="00DD5179" w:rsidR="00137AB0">
        <w:rPr>
          <w:rStyle w:val="FootnoteReference"/>
          <w:sz w:val="28"/>
          <w:szCs w:val="28"/>
        </w:rPr>
        <w:footnoteReference w:id="5"/>
      </w:r>
      <w:bookmarkEnd w:id="306"/>
      <w:bookmarkEnd w:id="307"/>
      <w:bookmarkEnd w:id="308"/>
      <w:bookmarkEnd w:id="309"/>
      <w:bookmarkEnd w:id="310"/>
    </w:p>
    <w:bookmarkEnd w:id="311"/>
    <w:p w:rsidRPr="00B15CA1" w:rsidR="00F57859" w:rsidP="006F5921" w:rsidRDefault="008177FB" w14:paraId="77B6361F" w14:textId="77777777">
      <w:pPr>
        <w:pStyle w:val="ListParagraph"/>
        <w:numPr>
          <w:ilvl w:val="0"/>
          <w:numId w:val="10"/>
        </w:numPr>
        <w:tabs>
          <w:tab w:val="left" w:pos="-1440"/>
        </w:tabs>
        <w:rPr>
          <w:sz w:val="22"/>
          <w:szCs w:val="22"/>
        </w:rPr>
      </w:pPr>
      <w:r w:rsidRPr="00B15CA1">
        <w:rPr>
          <w:i/>
          <w:sz w:val="22"/>
          <w:szCs w:val="22"/>
        </w:rPr>
        <w:t>U.S. Code of Federal Regulations</w:t>
      </w:r>
      <w:r w:rsidRPr="00B15CA1">
        <w:rPr>
          <w:sz w:val="22"/>
          <w:szCs w:val="22"/>
        </w:rPr>
        <w:t xml:space="preserve"> (CFR)</w:t>
      </w:r>
      <w:r w:rsidRPr="00B15CA1" w:rsidR="00F57859">
        <w:rPr>
          <w:sz w:val="22"/>
          <w:szCs w:val="22"/>
        </w:rPr>
        <w:t>,</w:t>
      </w:r>
      <w:r w:rsidRPr="00B15CA1">
        <w:rPr>
          <w:sz w:val="22"/>
          <w:szCs w:val="22"/>
        </w:rPr>
        <w:t xml:space="preserve"> “</w:t>
      </w:r>
      <w:r w:rsidRPr="00B15CA1" w:rsidR="004757AA">
        <w:rPr>
          <w:sz w:val="22"/>
          <w:szCs w:val="22"/>
        </w:rPr>
        <w:t xml:space="preserve">Physical </w:t>
      </w:r>
      <w:r w:rsidRPr="00B15CA1" w:rsidR="002B3B89">
        <w:rPr>
          <w:sz w:val="22"/>
          <w:szCs w:val="22"/>
        </w:rPr>
        <w:t>Protection of Plants and Materials</w:t>
      </w:r>
      <w:r w:rsidRPr="00B15CA1">
        <w:rPr>
          <w:sz w:val="22"/>
          <w:szCs w:val="22"/>
        </w:rPr>
        <w:t>,</w:t>
      </w:r>
      <w:r w:rsidRPr="00B15CA1" w:rsidR="00947862">
        <w:rPr>
          <w:sz w:val="22"/>
          <w:szCs w:val="22"/>
        </w:rPr>
        <w:t>”</w:t>
      </w:r>
      <w:r w:rsidRPr="00B15CA1" w:rsidR="002B3B89">
        <w:rPr>
          <w:sz w:val="22"/>
          <w:szCs w:val="22"/>
        </w:rPr>
        <w:t xml:space="preserve"> Part</w:t>
      </w:r>
      <w:r w:rsidRPr="00B15CA1" w:rsidR="004757AA">
        <w:rPr>
          <w:sz w:val="22"/>
          <w:szCs w:val="22"/>
        </w:rPr>
        <w:t> </w:t>
      </w:r>
      <w:r w:rsidRPr="00B15CA1" w:rsidR="002B3B89">
        <w:rPr>
          <w:sz w:val="22"/>
          <w:szCs w:val="22"/>
        </w:rPr>
        <w:t>73</w:t>
      </w:r>
      <w:r w:rsidRPr="00B15CA1" w:rsidR="00C70B0A">
        <w:rPr>
          <w:sz w:val="22"/>
          <w:szCs w:val="22"/>
        </w:rPr>
        <w:t>, Chapter</w:t>
      </w:r>
      <w:r w:rsidRPr="00B15CA1" w:rsidR="004757AA">
        <w:rPr>
          <w:sz w:val="22"/>
          <w:szCs w:val="22"/>
        </w:rPr>
        <w:t> </w:t>
      </w:r>
      <w:r w:rsidRPr="00B15CA1" w:rsidR="00004AB8">
        <w:rPr>
          <w:sz w:val="22"/>
          <w:szCs w:val="22"/>
        </w:rPr>
        <w:t>I</w:t>
      </w:r>
      <w:r w:rsidRPr="00B15CA1">
        <w:rPr>
          <w:sz w:val="22"/>
          <w:szCs w:val="22"/>
        </w:rPr>
        <w:t xml:space="preserve">, Title 10, “Energy.”   </w:t>
      </w:r>
    </w:p>
    <w:p w:rsidRPr="00B15CA1" w:rsidR="00724E12" w:rsidP="00724E12" w:rsidRDefault="00724E12" w14:paraId="24472FAF" w14:textId="77777777">
      <w:pPr>
        <w:pStyle w:val="ListParagraph"/>
        <w:tabs>
          <w:tab w:val="left" w:pos="-1440"/>
        </w:tabs>
        <w:rPr>
          <w:sz w:val="22"/>
          <w:szCs w:val="22"/>
        </w:rPr>
      </w:pPr>
    </w:p>
    <w:p w:rsidRPr="00B15CA1" w:rsidR="00015D94" w:rsidP="006F5921" w:rsidRDefault="00DC3DB7" w14:paraId="59FD201E" w14:textId="77777777">
      <w:pPr>
        <w:pStyle w:val="ListParagraph"/>
        <w:numPr>
          <w:ilvl w:val="0"/>
          <w:numId w:val="10"/>
        </w:numPr>
        <w:tabs>
          <w:tab w:val="left" w:pos="-1440"/>
        </w:tabs>
        <w:rPr>
          <w:sz w:val="22"/>
          <w:szCs w:val="22"/>
        </w:rPr>
      </w:pPr>
      <w:r w:rsidRPr="00B15CA1">
        <w:rPr>
          <w:sz w:val="22"/>
          <w:szCs w:val="22"/>
        </w:rPr>
        <w:t>CFR</w:t>
      </w:r>
      <w:r w:rsidRPr="00B15CA1" w:rsidR="00015D94">
        <w:rPr>
          <w:sz w:val="22"/>
          <w:szCs w:val="22"/>
        </w:rPr>
        <w:t>, “Domestic Licensing of Production and Utilization Facilities,” Part 50, Chapter </w:t>
      </w:r>
      <w:r w:rsidRPr="00B15CA1" w:rsidR="00004AB8">
        <w:rPr>
          <w:sz w:val="22"/>
          <w:szCs w:val="22"/>
        </w:rPr>
        <w:t>I</w:t>
      </w:r>
      <w:r w:rsidRPr="00B15CA1" w:rsidR="00015D94">
        <w:rPr>
          <w:sz w:val="22"/>
          <w:szCs w:val="22"/>
        </w:rPr>
        <w:t xml:space="preserve">, Title 10, “Energy.”  </w:t>
      </w:r>
    </w:p>
    <w:p w:rsidRPr="00B15CA1" w:rsidR="00015D94" w:rsidP="00015D94" w:rsidRDefault="00015D94" w14:paraId="5EC60D0B" w14:textId="77777777">
      <w:pPr>
        <w:pStyle w:val="ListParagraph"/>
        <w:rPr>
          <w:i/>
          <w:sz w:val="22"/>
          <w:szCs w:val="22"/>
        </w:rPr>
      </w:pPr>
    </w:p>
    <w:p w:rsidRPr="00B15CA1" w:rsidR="00015D94" w:rsidP="006F5921" w:rsidRDefault="00DC3DB7" w14:paraId="6EEF3948" w14:textId="77777777">
      <w:pPr>
        <w:pStyle w:val="ListParagraph"/>
        <w:numPr>
          <w:ilvl w:val="0"/>
          <w:numId w:val="10"/>
        </w:numPr>
        <w:tabs>
          <w:tab w:val="left" w:pos="-1440"/>
        </w:tabs>
        <w:rPr>
          <w:sz w:val="22"/>
          <w:szCs w:val="22"/>
        </w:rPr>
      </w:pPr>
      <w:r w:rsidRPr="00B15CA1">
        <w:rPr>
          <w:sz w:val="22"/>
          <w:szCs w:val="22"/>
        </w:rPr>
        <w:t>CFR</w:t>
      </w:r>
      <w:r w:rsidRPr="00B15CA1" w:rsidR="00015D94">
        <w:rPr>
          <w:sz w:val="22"/>
          <w:szCs w:val="22"/>
        </w:rPr>
        <w:t>, “Licenses, Certifications, and Approvals for Nuclear Power Plants,” Part 52, Chapter </w:t>
      </w:r>
      <w:r w:rsidRPr="00B15CA1" w:rsidR="00004AB8">
        <w:rPr>
          <w:sz w:val="22"/>
          <w:szCs w:val="22"/>
        </w:rPr>
        <w:t>I</w:t>
      </w:r>
      <w:r w:rsidRPr="00B15CA1" w:rsidR="00015D94">
        <w:rPr>
          <w:sz w:val="22"/>
          <w:szCs w:val="22"/>
        </w:rPr>
        <w:t>, Title 10, “Energy.”</w:t>
      </w:r>
    </w:p>
    <w:p w:rsidRPr="00B15CA1" w:rsidR="00015D94" w:rsidP="00015D94" w:rsidRDefault="00015D94" w14:paraId="6A757AA3" w14:textId="77777777">
      <w:pPr>
        <w:tabs>
          <w:tab w:val="left" w:pos="-1440"/>
        </w:tabs>
        <w:rPr>
          <w:szCs w:val="22"/>
        </w:rPr>
      </w:pPr>
    </w:p>
    <w:p w:rsidRPr="00B15CA1" w:rsidR="004218A0" w:rsidP="006F5921" w:rsidRDefault="004218A0" w14:paraId="37EEA63E" w14:textId="77777777">
      <w:pPr>
        <w:pStyle w:val="ListParagraph"/>
        <w:numPr>
          <w:ilvl w:val="0"/>
          <w:numId w:val="10"/>
        </w:numPr>
        <w:tabs>
          <w:tab w:val="left" w:pos="-1440"/>
        </w:tabs>
        <w:rPr>
          <w:sz w:val="22"/>
          <w:szCs w:val="22"/>
        </w:rPr>
      </w:pPr>
      <w:r w:rsidRPr="00B15CA1">
        <w:rPr>
          <w:sz w:val="22"/>
          <w:szCs w:val="22"/>
        </w:rPr>
        <w:t>CFR, “Domestic Licensing of Special Nuclear Material,” Part 70, Chapter I, Title 10, “Energy.”</w:t>
      </w:r>
    </w:p>
    <w:p w:rsidRPr="00B15CA1" w:rsidR="004218A0" w:rsidP="004218A0" w:rsidRDefault="004218A0" w14:paraId="596C68FF" w14:textId="77777777">
      <w:pPr>
        <w:pStyle w:val="ListParagraph"/>
        <w:tabs>
          <w:tab w:val="left" w:pos="-1440"/>
        </w:tabs>
        <w:rPr>
          <w:sz w:val="22"/>
          <w:szCs w:val="22"/>
        </w:rPr>
      </w:pPr>
    </w:p>
    <w:p w:rsidR="004218A0" w:rsidP="006F5921" w:rsidRDefault="004218A0" w14:paraId="2F04DBA0" w14:textId="77777777">
      <w:pPr>
        <w:pStyle w:val="ListParagraph"/>
        <w:numPr>
          <w:ilvl w:val="0"/>
          <w:numId w:val="10"/>
        </w:numPr>
        <w:tabs>
          <w:tab w:val="left" w:pos="-1440"/>
        </w:tabs>
        <w:rPr>
          <w:sz w:val="22"/>
          <w:szCs w:val="22"/>
        </w:rPr>
      </w:pPr>
      <w:r w:rsidRPr="00B15CA1">
        <w:rPr>
          <w:sz w:val="22"/>
          <w:szCs w:val="22"/>
        </w:rPr>
        <w:t>CFR, “Licensing Requirements for the Independent Storage of Spent Nuclear Fuel, High</w:t>
      </w:r>
      <w:r w:rsidRPr="00B15CA1">
        <w:rPr>
          <w:sz w:val="22"/>
          <w:szCs w:val="22"/>
        </w:rPr>
        <w:noBreakHyphen/>
        <w:t>Level Radioactive Waste, and Reactor</w:t>
      </w:r>
      <w:r w:rsidRPr="00B15CA1">
        <w:rPr>
          <w:sz w:val="22"/>
          <w:szCs w:val="22"/>
        </w:rPr>
        <w:noBreakHyphen/>
        <w:t>Related Greater Than Class C Waste,” Part 72, Chapter I, Title 10, “Energy.”</w:t>
      </w:r>
    </w:p>
    <w:p w:rsidRPr="00B15CA1" w:rsidR="004218A0" w:rsidP="004A2A71" w:rsidRDefault="004218A0" w14:paraId="686A4C8F" w14:textId="77777777">
      <w:pPr>
        <w:pStyle w:val="ListParagraph"/>
        <w:tabs>
          <w:tab w:val="left" w:pos="-1440"/>
        </w:tabs>
        <w:rPr>
          <w:sz w:val="22"/>
          <w:szCs w:val="22"/>
        </w:rPr>
      </w:pPr>
    </w:p>
    <w:p w:rsidRPr="00B15CA1" w:rsidR="00C70B0A" w:rsidP="006F5921" w:rsidRDefault="00DC3DB7" w14:paraId="5107F612" w14:textId="77777777">
      <w:pPr>
        <w:pStyle w:val="ListParagraph"/>
        <w:numPr>
          <w:ilvl w:val="0"/>
          <w:numId w:val="10"/>
        </w:numPr>
        <w:tabs>
          <w:tab w:val="left" w:pos="-1440"/>
        </w:tabs>
        <w:rPr>
          <w:sz w:val="22"/>
          <w:szCs w:val="22"/>
        </w:rPr>
      </w:pPr>
      <w:r w:rsidRPr="00B15CA1">
        <w:rPr>
          <w:sz w:val="22"/>
          <w:szCs w:val="22"/>
        </w:rPr>
        <w:t>CFR</w:t>
      </w:r>
      <w:r w:rsidRPr="00B15CA1" w:rsidR="00C70B0A">
        <w:rPr>
          <w:sz w:val="22"/>
          <w:szCs w:val="22"/>
        </w:rPr>
        <w:t>, “Facility Security Clearance and Safeguarding of National Security Information and Restricted Data,” Part</w:t>
      </w:r>
      <w:r w:rsidRPr="00B15CA1" w:rsidR="004757AA">
        <w:rPr>
          <w:sz w:val="22"/>
          <w:szCs w:val="22"/>
        </w:rPr>
        <w:t> </w:t>
      </w:r>
      <w:r w:rsidRPr="00B15CA1" w:rsidR="00C70B0A">
        <w:rPr>
          <w:sz w:val="22"/>
          <w:szCs w:val="22"/>
        </w:rPr>
        <w:t>95, Chapter</w:t>
      </w:r>
      <w:r w:rsidRPr="00B15CA1" w:rsidR="004757AA">
        <w:rPr>
          <w:sz w:val="22"/>
          <w:szCs w:val="22"/>
        </w:rPr>
        <w:t> </w:t>
      </w:r>
      <w:r w:rsidRPr="00B15CA1" w:rsidR="00004AB8">
        <w:rPr>
          <w:sz w:val="22"/>
          <w:szCs w:val="22"/>
        </w:rPr>
        <w:t>I</w:t>
      </w:r>
      <w:r w:rsidRPr="00B15CA1" w:rsidR="00C70B0A">
        <w:rPr>
          <w:sz w:val="22"/>
          <w:szCs w:val="22"/>
        </w:rPr>
        <w:t>, Title</w:t>
      </w:r>
      <w:r w:rsidRPr="00B15CA1" w:rsidR="004757AA">
        <w:rPr>
          <w:sz w:val="22"/>
          <w:szCs w:val="22"/>
        </w:rPr>
        <w:t> </w:t>
      </w:r>
      <w:r w:rsidRPr="00B15CA1" w:rsidR="00C70B0A">
        <w:rPr>
          <w:sz w:val="22"/>
          <w:szCs w:val="22"/>
        </w:rPr>
        <w:t>10, “Energy.”</w:t>
      </w:r>
    </w:p>
    <w:p w:rsidRPr="00B15CA1" w:rsidR="00C70B0A" w:rsidP="00C70B0A" w:rsidRDefault="00C70B0A" w14:paraId="3977EE80" w14:textId="77777777">
      <w:pPr>
        <w:pStyle w:val="ListParagraph"/>
        <w:tabs>
          <w:tab w:val="left" w:pos="-1440"/>
        </w:tabs>
        <w:rPr>
          <w:sz w:val="22"/>
          <w:szCs w:val="22"/>
        </w:rPr>
      </w:pPr>
    </w:p>
    <w:p w:rsidRPr="00B15CA1" w:rsidR="00C83575" w:rsidP="006F5921" w:rsidRDefault="00C83575" w14:paraId="490575CC" w14:textId="77777777">
      <w:pPr>
        <w:pStyle w:val="ListParagraph"/>
        <w:numPr>
          <w:ilvl w:val="0"/>
          <w:numId w:val="10"/>
        </w:numPr>
        <w:tabs>
          <w:tab w:val="left" w:pos="-1440"/>
        </w:tabs>
        <w:rPr>
          <w:sz w:val="22"/>
          <w:szCs w:val="22"/>
        </w:rPr>
      </w:pPr>
      <w:r w:rsidRPr="00B15CA1">
        <w:rPr>
          <w:sz w:val="22"/>
          <w:szCs w:val="22"/>
        </w:rPr>
        <w:t>CFR, “Exemptions and Continued Regulatory Authority in Agreement States and In Offshore Waters Under Section 274,” Part 150, Chapter I, Title 10, “Energy.”</w:t>
      </w:r>
    </w:p>
    <w:p w:rsidRPr="00B15CA1" w:rsidR="00C83575" w:rsidP="00C83575" w:rsidRDefault="00C83575" w14:paraId="7184F005" w14:textId="77777777">
      <w:pPr>
        <w:pStyle w:val="ListParagraph"/>
        <w:tabs>
          <w:tab w:val="left" w:pos="-1440"/>
        </w:tabs>
        <w:rPr>
          <w:sz w:val="22"/>
          <w:szCs w:val="22"/>
        </w:rPr>
      </w:pPr>
    </w:p>
    <w:p w:rsidR="00CD1BD3" w:rsidP="00CD1BD3" w:rsidRDefault="0082600F" w14:paraId="5DA8F8B9" w14:textId="2C14F80A">
      <w:pPr>
        <w:pStyle w:val="ListParagraph"/>
        <w:numPr>
          <w:ilvl w:val="0"/>
          <w:numId w:val="10"/>
        </w:numPr>
        <w:tabs>
          <w:tab w:val="left" w:pos="-1440"/>
        </w:tabs>
        <w:rPr>
          <w:sz w:val="22"/>
          <w:szCs w:val="22"/>
        </w:rPr>
      </w:pPr>
      <w:r w:rsidRPr="00B15CA1">
        <w:rPr>
          <w:sz w:val="22"/>
          <w:szCs w:val="22"/>
        </w:rPr>
        <w:t>U.S. Nuclear Regulatory Commission (NRC)</w:t>
      </w:r>
      <w:r w:rsidRPr="00B15CA1" w:rsidR="00CD1BD3">
        <w:rPr>
          <w:sz w:val="22"/>
          <w:szCs w:val="22"/>
        </w:rPr>
        <w:t xml:space="preserve">, </w:t>
      </w:r>
      <w:r w:rsidR="00AA1166">
        <w:rPr>
          <w:sz w:val="22"/>
          <w:szCs w:val="22"/>
        </w:rPr>
        <w:t>Regulatory Guide (</w:t>
      </w:r>
      <w:r w:rsidRPr="00B15CA1" w:rsidR="00CD1BD3">
        <w:rPr>
          <w:sz w:val="22"/>
          <w:szCs w:val="22"/>
        </w:rPr>
        <w:t>RG</w:t>
      </w:r>
      <w:r w:rsidR="00AA1166">
        <w:rPr>
          <w:sz w:val="22"/>
          <w:szCs w:val="22"/>
        </w:rPr>
        <w:t>)</w:t>
      </w:r>
      <w:r w:rsidRPr="00B15CA1" w:rsidR="00CD1BD3">
        <w:rPr>
          <w:sz w:val="22"/>
          <w:szCs w:val="22"/>
        </w:rPr>
        <w:t xml:space="preserve"> 5.62, “Physical Security Event Notifications, Reports, and Records</w:t>
      </w:r>
      <w:r w:rsidR="00D66B28">
        <w:rPr>
          <w:sz w:val="22"/>
          <w:szCs w:val="22"/>
        </w:rPr>
        <w:t>,</w:t>
      </w:r>
      <w:r w:rsidRPr="00B15CA1" w:rsidR="00CD1BD3">
        <w:rPr>
          <w:sz w:val="22"/>
          <w:szCs w:val="22"/>
        </w:rPr>
        <w:t>” Washington, DC.</w:t>
      </w:r>
    </w:p>
    <w:p w:rsidRPr="00B15CA1" w:rsidR="000B76A9" w:rsidP="000B76A9" w:rsidRDefault="000B76A9" w14:paraId="16FF362E" w14:textId="77777777">
      <w:pPr>
        <w:pStyle w:val="ListParagraph"/>
        <w:tabs>
          <w:tab w:val="left" w:pos="-1440"/>
        </w:tabs>
        <w:rPr>
          <w:sz w:val="22"/>
          <w:szCs w:val="22"/>
        </w:rPr>
      </w:pPr>
    </w:p>
    <w:p w:rsidRPr="00B15CA1" w:rsidR="003648B0" w:rsidP="006F5921" w:rsidRDefault="003648B0" w14:paraId="1E686C88" w14:textId="45AA1E41">
      <w:pPr>
        <w:pStyle w:val="ListParagraph"/>
        <w:numPr>
          <w:ilvl w:val="0"/>
          <w:numId w:val="10"/>
        </w:numPr>
        <w:tabs>
          <w:tab w:val="left" w:pos="-1440"/>
        </w:tabs>
        <w:rPr>
          <w:sz w:val="22"/>
          <w:szCs w:val="22"/>
        </w:rPr>
      </w:pPr>
      <w:r w:rsidRPr="00B15CA1">
        <w:rPr>
          <w:sz w:val="22"/>
          <w:szCs w:val="22"/>
        </w:rPr>
        <w:t>NRC, “Enhanced Weapons, Firearms Background Checks, and Security Event Notifications</w:t>
      </w:r>
      <w:r w:rsidR="000D6F7B">
        <w:rPr>
          <w:sz w:val="22"/>
          <w:szCs w:val="22"/>
        </w:rPr>
        <w:t>”</w:t>
      </w:r>
      <w:r w:rsidRPr="00B15CA1">
        <w:rPr>
          <w:sz w:val="22"/>
          <w:szCs w:val="22"/>
        </w:rPr>
        <w:t xml:space="preserve"> </w:t>
      </w:r>
      <w:r w:rsidR="000D6F7B">
        <w:rPr>
          <w:sz w:val="22"/>
          <w:szCs w:val="22"/>
        </w:rPr>
        <w:t xml:space="preserve">[Final </w:t>
      </w:r>
      <w:r w:rsidRPr="00B15CA1">
        <w:rPr>
          <w:sz w:val="22"/>
          <w:szCs w:val="22"/>
        </w:rPr>
        <w:t>Rule</w:t>
      </w:r>
      <w:r w:rsidR="000D6F7B">
        <w:rPr>
          <w:sz w:val="22"/>
          <w:szCs w:val="22"/>
        </w:rPr>
        <w:t>]</w:t>
      </w:r>
      <w:r w:rsidRPr="00B15CA1">
        <w:rPr>
          <w:sz w:val="22"/>
          <w:szCs w:val="22"/>
        </w:rPr>
        <w:t xml:space="preserve">, </w:t>
      </w:r>
      <w:r w:rsidRPr="00B15CA1">
        <w:rPr>
          <w:i/>
          <w:sz w:val="22"/>
          <w:szCs w:val="22"/>
        </w:rPr>
        <w:t>Federal Register</w:t>
      </w:r>
      <w:r w:rsidRPr="00B15CA1">
        <w:rPr>
          <w:sz w:val="22"/>
          <w:szCs w:val="22"/>
        </w:rPr>
        <w:t xml:space="preserve">, </w:t>
      </w:r>
      <w:r w:rsidRPr="00B15CA1">
        <w:rPr>
          <w:sz w:val="22"/>
          <w:szCs w:val="22"/>
          <w:highlight w:val="yellow"/>
        </w:rPr>
        <w:t>Vol. 8</w:t>
      </w:r>
      <w:r w:rsidR="008F0E6A">
        <w:rPr>
          <w:sz w:val="22"/>
          <w:szCs w:val="22"/>
          <w:highlight w:val="yellow"/>
        </w:rPr>
        <w:t>7</w:t>
      </w:r>
      <w:r w:rsidRPr="00B15CA1">
        <w:rPr>
          <w:sz w:val="22"/>
          <w:szCs w:val="22"/>
          <w:highlight w:val="yellow"/>
        </w:rPr>
        <w:t xml:space="preserve">, No. xxx: pp. </w:t>
      </w:r>
      <w:proofErr w:type="spellStart"/>
      <w:r w:rsidRPr="00B15CA1">
        <w:rPr>
          <w:sz w:val="22"/>
          <w:szCs w:val="22"/>
          <w:highlight w:val="yellow"/>
        </w:rPr>
        <w:t>xxxxx</w:t>
      </w:r>
      <w:proofErr w:type="spellEnd"/>
      <w:r w:rsidRPr="00B15CA1">
        <w:rPr>
          <w:sz w:val="22"/>
          <w:szCs w:val="22"/>
          <w:highlight w:val="yellow"/>
        </w:rPr>
        <w:t>, (</w:t>
      </w:r>
      <w:r w:rsidR="00557AD4">
        <w:rPr>
          <w:sz w:val="22"/>
          <w:szCs w:val="22"/>
          <w:highlight w:val="yellow"/>
        </w:rPr>
        <w:t>87</w:t>
      </w:r>
      <w:r w:rsidRPr="00B15CA1">
        <w:rPr>
          <w:sz w:val="22"/>
          <w:szCs w:val="22"/>
          <w:highlight w:val="yellow"/>
        </w:rPr>
        <w:t xml:space="preserve"> FR </w:t>
      </w:r>
      <w:proofErr w:type="spellStart"/>
      <w:r w:rsidRPr="00B15CA1">
        <w:rPr>
          <w:sz w:val="22"/>
          <w:szCs w:val="22"/>
          <w:highlight w:val="yellow"/>
        </w:rPr>
        <w:t>xxxxx</w:t>
      </w:r>
      <w:proofErr w:type="spellEnd"/>
      <w:r w:rsidRPr="00B15CA1">
        <w:rPr>
          <w:sz w:val="22"/>
          <w:szCs w:val="22"/>
          <w:highlight w:val="yellow"/>
        </w:rPr>
        <w:t xml:space="preserve">), Washington, DC, </w:t>
      </w:r>
      <w:r w:rsidRPr="00B15CA1" w:rsidR="00D11636">
        <w:rPr>
          <w:sz w:val="22"/>
          <w:szCs w:val="22"/>
          <w:highlight w:val="yellow"/>
        </w:rPr>
        <w:t>Month </w:t>
      </w:r>
      <w:r w:rsidRPr="00B15CA1" w:rsidR="00B8467A">
        <w:rPr>
          <w:sz w:val="22"/>
          <w:szCs w:val="22"/>
          <w:highlight w:val="yellow"/>
        </w:rPr>
        <w:t>DD,</w:t>
      </w:r>
      <w:r w:rsidRPr="00B15CA1" w:rsidR="00D11636">
        <w:rPr>
          <w:sz w:val="22"/>
          <w:szCs w:val="22"/>
          <w:highlight w:val="yellow"/>
        </w:rPr>
        <w:t> </w:t>
      </w:r>
      <w:r w:rsidR="00557AD4">
        <w:rPr>
          <w:sz w:val="22"/>
          <w:szCs w:val="22"/>
          <w:highlight w:val="yellow"/>
        </w:rPr>
        <w:t>2022</w:t>
      </w:r>
      <w:r w:rsidRPr="00B15CA1">
        <w:rPr>
          <w:sz w:val="22"/>
          <w:szCs w:val="22"/>
          <w:highlight w:val="yellow"/>
        </w:rPr>
        <w:t>.</w:t>
      </w:r>
    </w:p>
    <w:p w:rsidRPr="00B15CA1" w:rsidR="00744BBB" w:rsidP="00744BBB" w:rsidRDefault="00744BBB" w14:paraId="27186E1B" w14:textId="77777777">
      <w:pPr>
        <w:pStyle w:val="ListParagraph"/>
        <w:tabs>
          <w:tab w:val="left" w:pos="-1440"/>
        </w:tabs>
        <w:rPr>
          <w:sz w:val="22"/>
          <w:szCs w:val="22"/>
        </w:rPr>
      </w:pPr>
    </w:p>
    <w:p w:rsidRPr="003A7C40" w:rsidR="000D6F7B" w:rsidP="000D6F7B" w:rsidRDefault="000D6F7B" w14:paraId="6F44CD55" w14:textId="77777777">
      <w:pPr>
        <w:pStyle w:val="ListParagraph"/>
        <w:numPr>
          <w:ilvl w:val="0"/>
          <w:numId w:val="10"/>
        </w:numPr>
        <w:tabs>
          <w:tab w:val="left" w:pos="-1440"/>
        </w:tabs>
        <w:rPr>
          <w:sz w:val="22"/>
          <w:szCs w:val="22"/>
        </w:rPr>
      </w:pPr>
      <w:r w:rsidRPr="003A7C40">
        <w:rPr>
          <w:sz w:val="22"/>
          <w:szCs w:val="22"/>
        </w:rPr>
        <w:t>NRC, “Enhanced Weapons, Firearms Background Checks, and Security Event Notifications” [</w:t>
      </w:r>
      <w:r w:rsidRPr="00706EF2">
        <w:rPr>
          <w:sz w:val="22"/>
          <w:szCs w:val="22"/>
        </w:rPr>
        <w:t xml:space="preserve">Proposed </w:t>
      </w:r>
      <w:r w:rsidRPr="003A7C40">
        <w:rPr>
          <w:sz w:val="22"/>
          <w:szCs w:val="22"/>
        </w:rPr>
        <w:t xml:space="preserve">Rule], </w:t>
      </w:r>
      <w:r w:rsidRPr="003A7C40">
        <w:rPr>
          <w:i/>
          <w:sz w:val="22"/>
          <w:szCs w:val="22"/>
        </w:rPr>
        <w:t>Federal Register</w:t>
      </w:r>
      <w:r w:rsidRPr="003A7C40">
        <w:rPr>
          <w:sz w:val="22"/>
          <w:szCs w:val="22"/>
        </w:rPr>
        <w:t>, Vol. 76, No. 23: pp. 6200, (76 FR 6200), Washington, DC, February 3, 2011.</w:t>
      </w:r>
    </w:p>
    <w:p w:rsidRPr="00B15CA1" w:rsidR="000D6F7B" w:rsidP="000D6F7B" w:rsidRDefault="000D6F7B" w14:paraId="3D8639AE" w14:textId="77777777">
      <w:pPr>
        <w:pStyle w:val="ListParagraph"/>
        <w:tabs>
          <w:tab w:val="left" w:pos="-1440"/>
        </w:tabs>
        <w:rPr>
          <w:sz w:val="22"/>
          <w:szCs w:val="22"/>
        </w:rPr>
      </w:pPr>
    </w:p>
    <w:p w:rsidRPr="00A33556" w:rsidR="00982382" w:rsidP="006F5921" w:rsidRDefault="00982382" w14:paraId="615F8F2B" w14:textId="75E823FC">
      <w:pPr>
        <w:pStyle w:val="ListParagraph"/>
        <w:numPr>
          <w:ilvl w:val="0"/>
          <w:numId w:val="10"/>
        </w:numPr>
        <w:tabs>
          <w:tab w:val="left" w:pos="-1440"/>
        </w:tabs>
        <w:rPr>
          <w:sz w:val="22"/>
          <w:szCs w:val="22"/>
        </w:rPr>
      </w:pPr>
      <w:r w:rsidRPr="00B15CA1">
        <w:rPr>
          <w:sz w:val="22"/>
          <w:szCs w:val="22"/>
        </w:rPr>
        <w:t>NRC, Draft Regulatory Guide (DG)-5019, Revision 1, “Reporting and Recording Safeguards Events,” Washington, DC</w:t>
      </w:r>
      <w:r w:rsidRPr="003A5DF8" w:rsidR="00EC5A74">
        <w:rPr>
          <w:sz w:val="22"/>
          <w:szCs w:val="22"/>
        </w:rPr>
        <w:t xml:space="preserve"> </w:t>
      </w:r>
      <w:r w:rsidR="00EC5A74">
        <w:rPr>
          <w:sz w:val="22"/>
          <w:szCs w:val="22"/>
        </w:rPr>
        <w:t>(</w:t>
      </w:r>
      <w:r w:rsidRPr="003A5DF8" w:rsidR="00EC5A74">
        <w:rPr>
          <w:sz w:val="22"/>
          <w:szCs w:val="22"/>
        </w:rPr>
        <w:t>Agencywide Documents Access and Management System Accession No. ML100830413</w:t>
      </w:r>
      <w:r w:rsidR="00EC5A74">
        <w:rPr>
          <w:sz w:val="22"/>
          <w:szCs w:val="22"/>
        </w:rPr>
        <w:t>).</w:t>
      </w:r>
    </w:p>
    <w:p w:rsidRPr="00B15CA1" w:rsidR="00982382" w:rsidP="00982382" w:rsidRDefault="00982382" w14:paraId="2A043EFC" w14:textId="77777777">
      <w:pPr>
        <w:pStyle w:val="ListParagraph"/>
        <w:rPr>
          <w:sz w:val="22"/>
          <w:szCs w:val="22"/>
        </w:rPr>
      </w:pPr>
    </w:p>
    <w:p w:rsidRPr="00B15CA1" w:rsidR="003648B0" w:rsidP="006F5921" w:rsidRDefault="00744BBB" w14:paraId="7FF125A1" w14:textId="3DB17AA1">
      <w:pPr>
        <w:pStyle w:val="ListParagraph"/>
        <w:numPr>
          <w:ilvl w:val="0"/>
          <w:numId w:val="10"/>
        </w:numPr>
        <w:tabs>
          <w:tab w:val="left" w:pos="-1440"/>
        </w:tabs>
        <w:rPr>
          <w:sz w:val="22"/>
          <w:szCs w:val="22"/>
        </w:rPr>
      </w:pPr>
      <w:r w:rsidRPr="00B15CA1">
        <w:rPr>
          <w:sz w:val="22"/>
          <w:szCs w:val="22"/>
        </w:rPr>
        <w:t>NRC, RG 5.83, “Cyber Security Event Notifications,” Washington, DC.</w:t>
      </w:r>
    </w:p>
    <w:p w:rsidRPr="00B15CA1" w:rsidR="00744BBB" w:rsidP="00744BBB" w:rsidRDefault="00744BBB" w14:paraId="6B12AA9D" w14:textId="77777777">
      <w:pPr>
        <w:pStyle w:val="ListParagraph"/>
        <w:tabs>
          <w:tab w:val="left" w:pos="-1440"/>
        </w:tabs>
        <w:rPr>
          <w:sz w:val="22"/>
          <w:szCs w:val="22"/>
        </w:rPr>
      </w:pPr>
    </w:p>
    <w:p w:rsidRPr="00B15CA1" w:rsidR="00744BBB" w:rsidP="006F5921" w:rsidRDefault="00DC3DB7" w14:paraId="46284498" w14:textId="77777777">
      <w:pPr>
        <w:pStyle w:val="ListParagraph"/>
        <w:numPr>
          <w:ilvl w:val="0"/>
          <w:numId w:val="10"/>
        </w:numPr>
        <w:tabs>
          <w:tab w:val="left" w:pos="-1440"/>
        </w:tabs>
        <w:rPr>
          <w:sz w:val="22"/>
          <w:szCs w:val="22"/>
        </w:rPr>
      </w:pPr>
      <w:r w:rsidRPr="00B15CA1">
        <w:rPr>
          <w:sz w:val="22"/>
          <w:szCs w:val="22"/>
        </w:rPr>
        <w:t>CFR</w:t>
      </w:r>
      <w:r w:rsidRPr="00B15CA1" w:rsidR="00744BBB">
        <w:rPr>
          <w:sz w:val="22"/>
          <w:szCs w:val="22"/>
        </w:rPr>
        <w:t>, “Physical Protection of Category 1 and Category</w:t>
      </w:r>
      <w:r w:rsidRPr="00B15CA1" w:rsidR="004757AA">
        <w:rPr>
          <w:sz w:val="22"/>
          <w:szCs w:val="22"/>
        </w:rPr>
        <w:t> </w:t>
      </w:r>
      <w:r w:rsidRPr="00B15CA1" w:rsidR="00744BBB">
        <w:rPr>
          <w:sz w:val="22"/>
          <w:szCs w:val="22"/>
        </w:rPr>
        <w:t>2 Quantities of Radioactive Material,”</w:t>
      </w:r>
      <w:r w:rsidRPr="00B15CA1" w:rsidR="005340E0">
        <w:rPr>
          <w:sz w:val="22"/>
          <w:szCs w:val="22"/>
        </w:rPr>
        <w:t xml:space="preserve"> Part 37, Chapter</w:t>
      </w:r>
      <w:r w:rsidRPr="00B15CA1" w:rsidR="004757AA">
        <w:rPr>
          <w:sz w:val="22"/>
          <w:szCs w:val="22"/>
        </w:rPr>
        <w:t> </w:t>
      </w:r>
      <w:r w:rsidRPr="00B15CA1" w:rsidR="00004AB8">
        <w:rPr>
          <w:sz w:val="22"/>
          <w:szCs w:val="22"/>
        </w:rPr>
        <w:t>I</w:t>
      </w:r>
      <w:r w:rsidRPr="00B15CA1" w:rsidR="005340E0">
        <w:rPr>
          <w:sz w:val="22"/>
          <w:szCs w:val="22"/>
        </w:rPr>
        <w:t>, Title</w:t>
      </w:r>
      <w:r w:rsidRPr="00B15CA1" w:rsidR="004757AA">
        <w:rPr>
          <w:sz w:val="22"/>
          <w:szCs w:val="22"/>
        </w:rPr>
        <w:t> </w:t>
      </w:r>
      <w:r w:rsidRPr="00B15CA1" w:rsidR="005340E0">
        <w:rPr>
          <w:sz w:val="22"/>
          <w:szCs w:val="22"/>
        </w:rPr>
        <w:t>10, “Energy.”</w:t>
      </w:r>
    </w:p>
    <w:p w:rsidRPr="00B15CA1" w:rsidR="005340E0" w:rsidP="005340E0" w:rsidRDefault="005340E0" w14:paraId="11DC42EE" w14:textId="77777777">
      <w:pPr>
        <w:pStyle w:val="ListParagraph"/>
        <w:tabs>
          <w:tab w:val="left" w:pos="-1440"/>
        </w:tabs>
        <w:rPr>
          <w:sz w:val="22"/>
          <w:szCs w:val="22"/>
        </w:rPr>
      </w:pPr>
    </w:p>
    <w:p w:rsidRPr="00743C3E" w:rsidR="00744BBB" w:rsidP="006F5921" w:rsidRDefault="00DC3DB7" w14:paraId="4A00516B" w14:textId="3715A4D0">
      <w:pPr>
        <w:pStyle w:val="ListParagraph"/>
        <w:numPr>
          <w:ilvl w:val="0"/>
          <w:numId w:val="10"/>
        </w:numPr>
        <w:tabs>
          <w:tab w:val="left" w:pos="-1440"/>
        </w:tabs>
        <w:rPr>
          <w:sz w:val="22"/>
          <w:szCs w:val="22"/>
        </w:rPr>
      </w:pPr>
      <w:r w:rsidRPr="00743C3E">
        <w:rPr>
          <w:sz w:val="22"/>
          <w:szCs w:val="22"/>
        </w:rPr>
        <w:t>CFR</w:t>
      </w:r>
      <w:r w:rsidRPr="00743C3E" w:rsidR="00744BBB">
        <w:rPr>
          <w:sz w:val="22"/>
          <w:szCs w:val="22"/>
        </w:rPr>
        <w:t xml:space="preserve">, </w:t>
      </w:r>
      <w:r w:rsidRPr="00743C3E" w:rsidR="005340E0">
        <w:rPr>
          <w:sz w:val="22"/>
          <w:szCs w:val="22"/>
        </w:rPr>
        <w:t>“Domestic Licensing of Source Material,” Part</w:t>
      </w:r>
      <w:r w:rsidRPr="00743C3E" w:rsidR="004757AA">
        <w:rPr>
          <w:sz w:val="22"/>
          <w:szCs w:val="22"/>
        </w:rPr>
        <w:t> </w:t>
      </w:r>
      <w:r w:rsidRPr="00743C3E" w:rsidR="005340E0">
        <w:rPr>
          <w:sz w:val="22"/>
          <w:szCs w:val="22"/>
        </w:rPr>
        <w:t>40, Chapter</w:t>
      </w:r>
      <w:r w:rsidRPr="00743C3E" w:rsidR="004757AA">
        <w:rPr>
          <w:sz w:val="22"/>
          <w:szCs w:val="22"/>
        </w:rPr>
        <w:t> </w:t>
      </w:r>
      <w:r w:rsidRPr="00743C3E" w:rsidR="00004AB8">
        <w:rPr>
          <w:sz w:val="22"/>
          <w:szCs w:val="22"/>
        </w:rPr>
        <w:t>I</w:t>
      </w:r>
      <w:r w:rsidRPr="00743C3E" w:rsidR="005340E0">
        <w:rPr>
          <w:sz w:val="22"/>
          <w:szCs w:val="22"/>
        </w:rPr>
        <w:t>, Title</w:t>
      </w:r>
      <w:r w:rsidRPr="00743C3E" w:rsidR="004757AA">
        <w:rPr>
          <w:sz w:val="22"/>
          <w:szCs w:val="22"/>
        </w:rPr>
        <w:t> </w:t>
      </w:r>
      <w:r w:rsidRPr="00743C3E" w:rsidR="005340E0">
        <w:rPr>
          <w:sz w:val="22"/>
          <w:szCs w:val="22"/>
        </w:rPr>
        <w:t>10, “Energy.”</w:t>
      </w:r>
    </w:p>
    <w:p w:rsidRPr="00743C3E" w:rsidR="003643B7" w:rsidP="00AC6417" w:rsidRDefault="003643B7" w14:paraId="54608B50" w14:textId="77777777">
      <w:pPr>
        <w:pStyle w:val="ListParagraph"/>
        <w:tabs>
          <w:tab w:val="left" w:pos="-1440"/>
        </w:tabs>
        <w:rPr>
          <w:sz w:val="22"/>
          <w:szCs w:val="22"/>
        </w:rPr>
      </w:pPr>
    </w:p>
    <w:p w:rsidRPr="00743C3E" w:rsidR="003643B7" w:rsidP="003643B7" w:rsidRDefault="003643B7" w14:paraId="36224A20" w14:textId="06F69D5A">
      <w:pPr>
        <w:pStyle w:val="ListParagraph"/>
        <w:numPr>
          <w:ilvl w:val="0"/>
          <w:numId w:val="10"/>
        </w:numPr>
        <w:tabs>
          <w:tab w:val="left" w:pos="-1440"/>
        </w:tabs>
        <w:rPr>
          <w:sz w:val="22"/>
          <w:szCs w:val="22"/>
        </w:rPr>
      </w:pPr>
      <w:r w:rsidRPr="00743C3E">
        <w:rPr>
          <w:sz w:val="22"/>
          <w:szCs w:val="22"/>
        </w:rPr>
        <w:t xml:space="preserve">NRC, “Nuclear Regulatory Commission International Policy Statement,” </w:t>
      </w:r>
      <w:r w:rsidRPr="00527E05">
        <w:rPr>
          <w:i/>
          <w:iCs/>
          <w:sz w:val="22"/>
          <w:szCs w:val="22"/>
        </w:rPr>
        <w:t>Federal Register</w:t>
      </w:r>
      <w:r w:rsidRPr="00743C3E">
        <w:rPr>
          <w:sz w:val="22"/>
          <w:szCs w:val="22"/>
        </w:rPr>
        <w:t>, Vol.</w:t>
      </w:r>
      <w:r w:rsidR="00527E05">
        <w:rPr>
          <w:sz w:val="22"/>
          <w:szCs w:val="22"/>
        </w:rPr>
        <w:t> </w:t>
      </w:r>
      <w:r w:rsidRPr="00743C3E">
        <w:rPr>
          <w:sz w:val="22"/>
          <w:szCs w:val="22"/>
        </w:rPr>
        <w:t>79, No. 132, July 10, 2014, pp. 39415-39418.</w:t>
      </w:r>
    </w:p>
    <w:p w:rsidRPr="00743C3E" w:rsidR="003643B7" w:rsidP="003643B7" w:rsidRDefault="003643B7" w14:paraId="5C8280A5" w14:textId="77777777">
      <w:pPr>
        <w:pStyle w:val="ListParagraph"/>
        <w:tabs>
          <w:tab w:val="left" w:pos="-1440"/>
        </w:tabs>
        <w:rPr>
          <w:sz w:val="22"/>
          <w:szCs w:val="22"/>
        </w:rPr>
      </w:pPr>
    </w:p>
    <w:p w:rsidRPr="00743C3E" w:rsidR="003643B7" w:rsidP="003643B7" w:rsidRDefault="003643B7" w14:paraId="158E1DAD" w14:textId="77777777">
      <w:pPr>
        <w:pStyle w:val="ListParagraph"/>
        <w:numPr>
          <w:ilvl w:val="0"/>
          <w:numId w:val="10"/>
        </w:numPr>
        <w:tabs>
          <w:tab w:val="left" w:pos="-1440"/>
        </w:tabs>
        <w:rPr>
          <w:sz w:val="22"/>
          <w:szCs w:val="22"/>
        </w:rPr>
      </w:pPr>
      <w:r w:rsidRPr="00743C3E">
        <w:rPr>
          <w:sz w:val="22"/>
          <w:szCs w:val="22"/>
        </w:rPr>
        <w:t>NRC, Management Directive (MD) 6.6, “Regulatory Guides,” Washington, DC, May 2, 2016 (ADAMS Accession No. ML18073A170).</w:t>
      </w:r>
    </w:p>
    <w:p w:rsidRPr="00743C3E" w:rsidR="003643B7" w:rsidP="003643B7" w:rsidRDefault="003643B7" w14:paraId="08152043" w14:textId="77777777">
      <w:pPr>
        <w:pStyle w:val="ListParagraph"/>
        <w:tabs>
          <w:tab w:val="left" w:pos="-1440"/>
        </w:tabs>
        <w:rPr>
          <w:sz w:val="22"/>
          <w:szCs w:val="22"/>
        </w:rPr>
      </w:pPr>
    </w:p>
    <w:p w:rsidRPr="007F7764" w:rsidR="007B1881" w:rsidP="007B1881" w:rsidRDefault="007B1881" w14:paraId="19F71404" w14:textId="0A40578D">
      <w:pPr>
        <w:pStyle w:val="ListParagraph"/>
        <w:numPr>
          <w:ilvl w:val="0"/>
          <w:numId w:val="10"/>
        </w:numPr>
        <w:tabs>
          <w:tab w:val="left" w:pos="-1440"/>
        </w:tabs>
        <w:rPr>
          <w:sz w:val="22"/>
          <w:szCs w:val="22"/>
        </w:rPr>
      </w:pPr>
      <w:r w:rsidRPr="007F7764">
        <w:rPr>
          <w:sz w:val="22"/>
          <w:szCs w:val="22"/>
        </w:rPr>
        <w:t>CFR, “</w:t>
      </w:r>
      <w:r w:rsidR="001B149A">
        <w:rPr>
          <w:sz w:val="22"/>
          <w:szCs w:val="22"/>
        </w:rPr>
        <w:t>Security Control of Air Traffic</w:t>
      </w:r>
      <w:r w:rsidRPr="007F7764">
        <w:rPr>
          <w:sz w:val="22"/>
          <w:szCs w:val="22"/>
        </w:rPr>
        <w:t xml:space="preserve">,” Part </w:t>
      </w:r>
      <w:r w:rsidR="001B149A">
        <w:rPr>
          <w:sz w:val="22"/>
          <w:szCs w:val="22"/>
        </w:rPr>
        <w:t>99</w:t>
      </w:r>
      <w:r w:rsidRPr="007F7764">
        <w:rPr>
          <w:sz w:val="22"/>
          <w:szCs w:val="22"/>
        </w:rPr>
        <w:t xml:space="preserve">, Subchapter </w:t>
      </w:r>
      <w:r w:rsidR="0093152D">
        <w:rPr>
          <w:sz w:val="22"/>
          <w:szCs w:val="22"/>
        </w:rPr>
        <w:t>F</w:t>
      </w:r>
      <w:r w:rsidRPr="007F7764">
        <w:rPr>
          <w:sz w:val="22"/>
          <w:szCs w:val="22"/>
        </w:rPr>
        <w:t>, Chapter I, Title 14, “Aeronautics and Space.”</w:t>
      </w:r>
    </w:p>
    <w:p w:rsidR="007B1881" w:rsidP="007B1881" w:rsidRDefault="007B1881" w14:paraId="1FC66AAC" w14:textId="77777777">
      <w:pPr>
        <w:pStyle w:val="ListParagraph"/>
        <w:tabs>
          <w:tab w:val="left" w:pos="-1440"/>
        </w:tabs>
        <w:rPr>
          <w:sz w:val="22"/>
          <w:szCs w:val="22"/>
        </w:rPr>
      </w:pPr>
    </w:p>
    <w:p w:rsidR="0006744B" w:rsidP="0006744B" w:rsidRDefault="0006744B" w14:paraId="386585D3" w14:textId="29CBBBA2">
      <w:pPr>
        <w:pStyle w:val="ListParagraph"/>
        <w:numPr>
          <w:ilvl w:val="0"/>
          <w:numId w:val="10"/>
        </w:numPr>
        <w:tabs>
          <w:tab w:val="left" w:pos="-1440"/>
        </w:tabs>
        <w:rPr>
          <w:sz w:val="22"/>
          <w:szCs w:val="22"/>
        </w:rPr>
      </w:pPr>
      <w:r w:rsidRPr="00743C3E">
        <w:rPr>
          <w:sz w:val="22"/>
          <w:szCs w:val="22"/>
        </w:rPr>
        <w:t>NRC, MD 8.4, “Management of Backfitting, Forward Fitting, Issue Finality and Information Requests,” Washington,</w:t>
      </w:r>
      <w:r w:rsidRPr="00743C3E">
        <w:rPr>
          <w:spacing w:val="-27"/>
          <w:sz w:val="22"/>
          <w:szCs w:val="22"/>
        </w:rPr>
        <w:t xml:space="preserve"> </w:t>
      </w:r>
      <w:r w:rsidRPr="00743C3E">
        <w:rPr>
          <w:sz w:val="22"/>
          <w:szCs w:val="22"/>
        </w:rPr>
        <w:t>DC, September 20, 2019 (ADAMS Accession No. ML18093B087).</w:t>
      </w:r>
    </w:p>
    <w:p w:rsidR="0006744B" w:rsidP="0006744B" w:rsidRDefault="0006744B" w14:paraId="07E9F060" w14:textId="77777777">
      <w:pPr>
        <w:pStyle w:val="ListParagraph"/>
        <w:tabs>
          <w:tab w:val="left" w:pos="-1440"/>
        </w:tabs>
        <w:rPr>
          <w:sz w:val="22"/>
          <w:szCs w:val="22"/>
        </w:rPr>
      </w:pPr>
    </w:p>
    <w:p w:rsidR="00C330C7" w:rsidP="00C330C7" w:rsidRDefault="00C330C7" w14:paraId="1AE2B4E6" w14:textId="064297F3">
      <w:pPr>
        <w:pStyle w:val="ListParagraph"/>
        <w:numPr>
          <w:ilvl w:val="0"/>
          <w:numId w:val="10"/>
        </w:numPr>
        <w:tabs>
          <w:tab w:val="left" w:pos="-1440"/>
        </w:tabs>
        <w:rPr>
          <w:sz w:val="22"/>
          <w:szCs w:val="22"/>
        </w:rPr>
      </w:pPr>
      <w:r w:rsidRPr="007F7764">
        <w:rPr>
          <w:sz w:val="22"/>
          <w:szCs w:val="22"/>
        </w:rPr>
        <w:t>CFR, “Definitions and Abbreviations,” Part 1, Subchapter A, Chapter I, Title 14, “Aeronautics and Space.”</w:t>
      </w:r>
    </w:p>
    <w:p w:rsidRPr="007F7764" w:rsidR="00C330C7" w:rsidP="00C330C7" w:rsidRDefault="00C330C7" w14:paraId="43CC0830" w14:textId="77777777">
      <w:pPr>
        <w:pStyle w:val="ListParagraph"/>
        <w:tabs>
          <w:tab w:val="left" w:pos="-1440"/>
        </w:tabs>
        <w:rPr>
          <w:sz w:val="22"/>
          <w:szCs w:val="22"/>
        </w:rPr>
      </w:pPr>
    </w:p>
    <w:p w:rsidRPr="00B15CA1" w:rsidR="003643B7" w:rsidP="00AC6417" w:rsidRDefault="003643B7" w14:paraId="059BAF18" w14:textId="77777777">
      <w:pPr>
        <w:pStyle w:val="ListParagraph"/>
        <w:tabs>
          <w:tab w:val="left" w:pos="-1440"/>
        </w:tabs>
        <w:rPr>
          <w:sz w:val="22"/>
          <w:szCs w:val="22"/>
        </w:rPr>
      </w:pPr>
    </w:p>
    <w:p w:rsidRPr="00B15CA1" w:rsidR="0055089C" w:rsidP="0055089C" w:rsidRDefault="0055089C" w14:paraId="09404F1D" w14:textId="77777777">
      <w:pPr>
        <w:pStyle w:val="ListParagraph"/>
        <w:tabs>
          <w:tab w:val="left" w:pos="-1440"/>
        </w:tabs>
        <w:rPr>
          <w:sz w:val="22"/>
          <w:szCs w:val="22"/>
        </w:rPr>
      </w:pPr>
    </w:p>
    <w:p w:rsidR="0071244A" w:rsidP="00787B2C" w:rsidRDefault="0071244A" w14:paraId="0ADFB146" w14:textId="77777777">
      <w:pPr>
        <w:pStyle w:val="ListParagraph"/>
        <w:tabs>
          <w:tab w:val="left" w:pos="-1440"/>
        </w:tabs>
        <w:rPr>
          <w:sz w:val="22"/>
          <w:szCs w:val="22"/>
        </w:rPr>
        <w:sectPr w:rsidR="0071244A" w:rsidSect="003C0798">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hapStyle="1"/>
          <w:cols w:space="720"/>
          <w:noEndnote/>
          <w:titlePg/>
        </w:sectPr>
      </w:pPr>
    </w:p>
    <w:p w:rsidR="00406E8D" w:rsidP="00FB3DB0" w:rsidRDefault="00406E8D" w14:paraId="1E3A75E3" w14:textId="77777777">
      <w:pPr>
        <w:pStyle w:val="Heading1"/>
        <w:numPr>
          <w:ilvl w:val="0"/>
          <w:numId w:val="0"/>
        </w:numPr>
        <w:jc w:val="center"/>
      </w:pPr>
      <w:bookmarkStart w:name="_Toc244506933" w:id="313"/>
      <w:bookmarkStart w:name="_Toc244507142" w:id="314"/>
      <w:bookmarkStart w:name="_Toc275928879" w:id="315"/>
      <w:bookmarkStart w:name="_Toc261339139" w:id="316"/>
      <w:bookmarkStart w:name="_Toc73021758" w:id="317"/>
      <w:r w:rsidRPr="00A46189">
        <w:lastRenderedPageBreak/>
        <w:t>APPENDIX</w:t>
      </w:r>
      <w:r>
        <w:t> </w:t>
      </w:r>
      <w:r w:rsidRPr="00A46189">
        <w:t>A</w:t>
      </w:r>
      <w:bookmarkEnd w:id="313"/>
      <w:bookmarkEnd w:id="314"/>
      <w:bookmarkEnd w:id="315"/>
      <w:bookmarkEnd w:id="316"/>
      <w:bookmarkEnd w:id="317"/>
    </w:p>
    <w:p w:rsidRPr="00A46189" w:rsidR="00406E8D" w:rsidRDefault="00406E8D" w14:paraId="43C9387E" w14:textId="77777777">
      <w:pPr>
        <w:jc w:val="center"/>
        <w:outlineLvl w:val="0"/>
        <w:rPr>
          <w:b/>
          <w:sz w:val="28"/>
          <w:szCs w:val="28"/>
        </w:rPr>
      </w:pPr>
    </w:p>
    <w:p w:rsidR="00406E8D" w:rsidP="00FB3DB0" w:rsidRDefault="00406E8D" w14:paraId="19890800" w14:textId="7619C1A9">
      <w:pPr>
        <w:pStyle w:val="Heading1"/>
        <w:numPr>
          <w:ilvl w:val="0"/>
          <w:numId w:val="0"/>
        </w:numPr>
        <w:jc w:val="center"/>
      </w:pPr>
      <w:bookmarkStart w:name="_Toc73021759" w:id="318"/>
      <w:r w:rsidRPr="00A46189">
        <w:t>SUSPICIOUS AVIATION-RELATED ACTIVITIES</w:t>
      </w:r>
      <w:bookmarkEnd w:id="318"/>
    </w:p>
    <w:p w:rsidR="00406E8D" w:rsidRDefault="00406E8D" w14:paraId="3904B3C1" w14:textId="77777777">
      <w:pPr>
        <w:jc w:val="center"/>
        <w:rPr>
          <w:b/>
          <w:sz w:val="28"/>
          <w:szCs w:val="28"/>
        </w:rPr>
      </w:pPr>
    </w:p>
    <w:p w:rsidR="00406E8D" w:rsidRDefault="00406E8D" w14:paraId="0470BF18" w14:textId="0951BF3A">
      <w:pPr>
        <w:ind w:firstLine="720"/>
      </w:pPr>
      <w:r w:rsidRPr="00910987">
        <w:t>This appendix provide</w:t>
      </w:r>
      <w:r w:rsidR="005C6AF7">
        <w:t>s</w:t>
      </w:r>
      <w:r w:rsidRPr="00910987">
        <w:t xml:space="preserve"> further guidance </w:t>
      </w:r>
      <w:r>
        <w:t>to licensees regarding prior coordination</w:t>
      </w:r>
      <w:r w:rsidR="00C22CB8">
        <w:t>, assessing potentially suspicious a</w:t>
      </w:r>
      <w:r w:rsidR="009435D3">
        <w:t xml:space="preserve">viation-related </w:t>
      </w:r>
      <w:r w:rsidR="00C22CB8">
        <w:t>activities,</w:t>
      </w:r>
      <w:r>
        <w:t xml:space="preserve"> and reporting of suspicious </w:t>
      </w:r>
      <w:r w:rsidR="009435D3">
        <w:t>aviation</w:t>
      </w:r>
      <w:r w:rsidR="00504AA8">
        <w:t>-</w:t>
      </w:r>
      <w:r w:rsidR="009435D3">
        <w:t xml:space="preserve">related </w:t>
      </w:r>
      <w:r>
        <w:t>activities</w:t>
      </w:r>
      <w:r w:rsidR="00C76018">
        <w:t xml:space="preserve"> with </w:t>
      </w:r>
      <w:r w:rsidR="003C4392">
        <w:t xml:space="preserve">law </w:t>
      </w:r>
      <w:r w:rsidR="00A55D5D">
        <w:t xml:space="preserve">enforcement, the NRC, and </w:t>
      </w:r>
      <w:r w:rsidR="00C76018">
        <w:t xml:space="preserve">the </w:t>
      </w:r>
      <w:r w:rsidR="000E2A20">
        <w:t>Federal Aviation Administration (</w:t>
      </w:r>
      <w:r w:rsidR="00C76018">
        <w:t>FAA</w:t>
      </w:r>
      <w:r w:rsidR="000E2A20">
        <w:t>)</w:t>
      </w:r>
      <w:r>
        <w:t>.</w:t>
      </w:r>
      <w:r w:rsidR="00661555">
        <w:t xml:space="preserve"> </w:t>
      </w:r>
    </w:p>
    <w:p w:rsidR="00406E8D" w:rsidRDefault="00406E8D" w14:paraId="745FB63C" w14:textId="3F796DE2">
      <w:pPr>
        <w:rPr>
          <w:b/>
          <w:sz w:val="24"/>
          <w:szCs w:val="24"/>
        </w:rPr>
      </w:pPr>
    </w:p>
    <w:p w:rsidRPr="00E861D4" w:rsidR="00C23D1E" w:rsidP="00583BF3" w:rsidRDefault="00C23D1E" w14:paraId="6F684864" w14:textId="3971FA86">
      <w:pPr>
        <w:pStyle w:val="Heading2"/>
        <w:numPr>
          <w:ilvl w:val="0"/>
          <w:numId w:val="0"/>
        </w:numPr>
      </w:pPr>
      <w:bookmarkStart w:name="_Toc73021760" w:id="319"/>
      <w:r>
        <w:t>A-1.</w:t>
      </w:r>
      <w:r>
        <w:tab/>
      </w:r>
      <w:r w:rsidR="005C4CB8">
        <w:t>Types of Aircraft</w:t>
      </w:r>
      <w:bookmarkEnd w:id="319"/>
    </w:p>
    <w:p w:rsidR="009D52D5" w:rsidRDefault="009D52D5" w14:paraId="30795BBB" w14:textId="4F5F87FD">
      <w:pPr>
        <w:rPr>
          <w:b/>
          <w:sz w:val="24"/>
          <w:szCs w:val="24"/>
        </w:rPr>
      </w:pPr>
    </w:p>
    <w:p w:rsidR="00E76DFD" w:rsidP="00091C49" w:rsidRDefault="00E76DFD" w14:paraId="1EF0D4E5" w14:textId="6F143216">
      <w:pPr>
        <w:ind w:firstLine="720"/>
      </w:pPr>
      <w:r>
        <w:t xml:space="preserve">Suspicious </w:t>
      </w:r>
      <w:r w:rsidR="00401BCB">
        <w:t xml:space="preserve">aviation-related </w:t>
      </w:r>
      <w:r>
        <w:t xml:space="preserve">activities may involve either manned aircraft or </w:t>
      </w:r>
      <w:r w:rsidR="008D1C59">
        <w:t xml:space="preserve">unmanned </w:t>
      </w:r>
      <w:r w:rsidR="0006146E">
        <w:t>aircraft</w:t>
      </w:r>
      <w:r w:rsidR="00F76E2F">
        <w:t xml:space="preserve"> (colloquially referred to as drones)</w:t>
      </w:r>
      <w:r w:rsidDel="00F76E2F" w:rsidR="00F76E2F">
        <w:t xml:space="preserve"> </w:t>
      </w:r>
      <w:r w:rsidR="00F76E2F">
        <w:t xml:space="preserve">operating over or </w:t>
      </w:r>
      <w:r w:rsidRPr="00577F2B" w:rsidR="00577F2B">
        <w:t xml:space="preserve">in proximity </w:t>
      </w:r>
      <w:r w:rsidR="00121017">
        <w:t xml:space="preserve">to </w:t>
      </w:r>
      <w:r w:rsidR="00E036EA">
        <w:t xml:space="preserve">a </w:t>
      </w:r>
      <w:r w:rsidRPr="00577F2B" w:rsidR="00577F2B">
        <w:t>licensee</w:t>
      </w:r>
      <w:r w:rsidR="00B433EA">
        <w:t>’s</w:t>
      </w:r>
      <w:r w:rsidRPr="00577F2B" w:rsidR="00577F2B">
        <w:t xml:space="preserve"> facilities.</w:t>
      </w:r>
    </w:p>
    <w:p w:rsidR="00330ECB" w:rsidRDefault="00330ECB" w14:paraId="1CE5277A" w14:textId="77777777">
      <w:pPr>
        <w:rPr>
          <w:b/>
          <w:sz w:val="24"/>
          <w:szCs w:val="24"/>
        </w:rPr>
      </w:pPr>
    </w:p>
    <w:p w:rsidRPr="00E861D4" w:rsidR="00406E8D" w:rsidP="006C5C83" w:rsidRDefault="00406E8D" w14:paraId="16DF16AF" w14:textId="0945C966">
      <w:pPr>
        <w:pStyle w:val="Heading2"/>
        <w:numPr>
          <w:ilvl w:val="0"/>
          <w:numId w:val="0"/>
        </w:numPr>
      </w:pPr>
      <w:bookmarkStart w:name="_Toc73021761" w:id="320"/>
      <w:r>
        <w:t>A-</w:t>
      </w:r>
      <w:r w:rsidR="00B433EA">
        <w:t>2</w:t>
      </w:r>
      <w:r>
        <w:t>.</w:t>
      </w:r>
      <w:r>
        <w:tab/>
        <w:t xml:space="preserve">Prior </w:t>
      </w:r>
      <w:r w:rsidRPr="00E861D4">
        <w:t>Coordination</w:t>
      </w:r>
      <w:bookmarkEnd w:id="320"/>
    </w:p>
    <w:p w:rsidR="00406E8D" w:rsidRDefault="00406E8D" w14:paraId="0775E6DC" w14:textId="77777777">
      <w:pPr>
        <w:rPr>
          <w:b/>
          <w:sz w:val="24"/>
          <w:szCs w:val="24"/>
        </w:rPr>
      </w:pPr>
    </w:p>
    <w:p w:rsidR="00406E8D" w:rsidRDefault="00406E8D" w14:paraId="51262AA3" w14:textId="0796C44E">
      <w:pPr>
        <w:ind w:firstLine="720"/>
      </w:pPr>
      <w:r>
        <w:t xml:space="preserve">The NRC staff recommends that licensees subject to 10 CFR 73.1215(d) engage in prior coordination efforts with any nearby </w:t>
      </w:r>
      <w:r w:rsidRPr="00910987">
        <w:t>FAA</w:t>
      </w:r>
      <w:r>
        <w:t xml:space="preserve"> facilities and military airfields.</w:t>
      </w:r>
    </w:p>
    <w:p w:rsidR="00406E8D" w:rsidRDefault="00406E8D" w14:paraId="403E8934" w14:textId="77777777">
      <w:pPr>
        <w:rPr>
          <w:b/>
          <w:sz w:val="24"/>
          <w:szCs w:val="24"/>
        </w:rPr>
      </w:pPr>
    </w:p>
    <w:p w:rsidRPr="00E861D4" w:rsidR="00406E8D" w:rsidP="006C5C83" w:rsidRDefault="00406E8D" w14:paraId="3A226F80" w14:textId="62A0F085">
      <w:pPr>
        <w:pStyle w:val="Heading2"/>
        <w:numPr>
          <w:ilvl w:val="0"/>
          <w:numId w:val="0"/>
        </w:numPr>
      </w:pPr>
      <w:bookmarkStart w:name="_Toc73021762" w:id="321"/>
      <w:r>
        <w:t>A-</w:t>
      </w:r>
      <w:r w:rsidR="00B433EA">
        <w:t>2</w:t>
      </w:r>
      <w:r>
        <w:t>.1</w:t>
      </w:r>
      <w:r>
        <w:tab/>
      </w:r>
      <w:r w:rsidRPr="00E861D4">
        <w:t>Coordination with the FAA</w:t>
      </w:r>
      <w:bookmarkEnd w:id="321"/>
    </w:p>
    <w:p w:rsidRPr="00A46189" w:rsidR="00406E8D" w:rsidRDefault="00406E8D" w14:paraId="561C52A5" w14:textId="77777777">
      <w:pPr>
        <w:jc w:val="center"/>
      </w:pPr>
    </w:p>
    <w:p w:rsidR="00406E8D" w:rsidRDefault="00406E8D" w14:paraId="179B7948" w14:textId="77777777">
      <w:pPr>
        <w:ind w:firstLine="720"/>
      </w:pPr>
      <w:r>
        <w:t xml:space="preserve">In 2004, the </w:t>
      </w:r>
      <w:r w:rsidRPr="00910987">
        <w:t xml:space="preserve">FAA issued the following Notice to Airmen (NOTAM).  This NOTAM advises pilots to avoid not only the airspace above or in proximity to </w:t>
      </w:r>
      <w:smartTag w:uri="urn:schemas-microsoft-com:office:smarttags" w:element="place">
        <w:smartTag w:uri="urn:schemas-microsoft-com:office:smarttags" w:element="country-region">
          <w:r w:rsidRPr="00910987">
            <w:t>U.S.</w:t>
          </w:r>
        </w:smartTag>
      </w:smartTag>
      <w:r w:rsidRPr="00910987">
        <w:t xml:space="preserve"> nuclear power plants but also includes other key infrastructure facilities.  The following is the published language contained in the most current NOTAM:</w:t>
      </w:r>
    </w:p>
    <w:p w:rsidRPr="00910987" w:rsidR="00406E8D" w:rsidRDefault="00406E8D" w14:paraId="428883DE" w14:textId="77777777">
      <w:pPr>
        <w:ind w:firstLine="720"/>
      </w:pPr>
    </w:p>
    <w:p w:rsidRPr="00FB1610" w:rsidR="00406E8D" w:rsidRDefault="00406E8D" w14:paraId="0A37A4C8" w14:textId="308B0DA8">
      <w:pPr>
        <w:ind w:left="720" w:right="720"/>
        <w:jc w:val="both"/>
      </w:pPr>
      <w:r w:rsidRPr="00FB1610">
        <w:t>F</w:t>
      </w:r>
      <w:r w:rsidR="00F2548D">
        <w:t>light Data Center</w:t>
      </w:r>
      <w:r w:rsidR="00FA293C">
        <w:t xml:space="preserve"> (F</w:t>
      </w:r>
      <w:r w:rsidRPr="00FB1610">
        <w:t>DC</w:t>
      </w:r>
      <w:r w:rsidR="00FA293C">
        <w:t>)</w:t>
      </w:r>
      <w:r w:rsidRPr="00FB1610">
        <w:t xml:space="preserve"> 4/0811 FDC</w:t>
      </w:r>
      <w:r w:rsidR="00FA293C">
        <w:t xml:space="preserve"> </w:t>
      </w:r>
      <w:r w:rsidRPr="00FB1610">
        <w:t>Special Notice</w:t>
      </w:r>
      <w:r w:rsidR="00EC766D">
        <w:t>: “</w:t>
      </w:r>
      <w:r w:rsidRPr="00FB1610">
        <w:t>This is a restatement of a previously issued advisory notice.  In the interest of national security and to the extent practicable, pilots are strongly advised to avoid the airspace above, or in proximity to such sites as power plants (nuclear, hydro-electric, or coal), dams, refineries, industrial complexes, military facilities and other similar facilities.  Pilots should not circle as to loiter in the vicinity over these types of facilities.</w:t>
      </w:r>
      <w:r w:rsidR="00CA18CF">
        <w:t>”</w:t>
      </w:r>
    </w:p>
    <w:p w:rsidRPr="00910987" w:rsidR="00406E8D" w:rsidRDefault="00406E8D" w14:paraId="13B94AED" w14:textId="77777777">
      <w:pPr>
        <w:ind w:left="720" w:right="720"/>
      </w:pPr>
    </w:p>
    <w:p w:rsidR="00406E8D" w:rsidRDefault="00406E8D" w14:paraId="467C1767" w14:textId="6FB5E5B2">
      <w:pPr>
        <w:ind w:firstLine="720"/>
      </w:pPr>
      <w:r>
        <w:t xml:space="preserve">The NRC staff </w:t>
      </w:r>
      <w:r w:rsidRPr="00910987">
        <w:t>recommend</w:t>
      </w:r>
      <w:r>
        <w:t>s</w:t>
      </w:r>
      <w:r w:rsidRPr="00910987">
        <w:t xml:space="preserve"> that l</w:t>
      </w:r>
      <w:r>
        <w:t xml:space="preserve">icensees </w:t>
      </w:r>
      <w:r w:rsidRPr="00910987">
        <w:t>contact their nearest FAA Air Traffic Control (ATC) facility to discuss this NOTAM</w:t>
      </w:r>
      <w:r w:rsidR="00533182">
        <w:t xml:space="preserve">, any </w:t>
      </w:r>
      <w:r w:rsidR="001604B7">
        <w:t>successors</w:t>
      </w:r>
      <w:r w:rsidR="00C07A5B">
        <w:t>,</w:t>
      </w:r>
      <w:r w:rsidRPr="00910987">
        <w:t xml:space="preserve"> and its relevance to the</w:t>
      </w:r>
      <w:r>
        <w:t>ir</w:t>
      </w:r>
      <w:r w:rsidRPr="00910987">
        <w:t xml:space="preserve"> facility, and to maintain a </w:t>
      </w:r>
      <w:r>
        <w:t>relationship with the ATC personnel</w:t>
      </w:r>
      <w:r w:rsidRPr="00910987">
        <w:t xml:space="preserve">.  </w:t>
      </w:r>
      <w:r>
        <w:t xml:space="preserve">Information on FAA Air Traffic Organization, </w:t>
      </w:r>
      <w:r w:rsidRPr="00910987">
        <w:t>Air Traffic Control Towers, Terminal Radar Approach Control facilities, Air Route Tr</w:t>
      </w:r>
      <w:r>
        <w:t xml:space="preserve">affic Control Centers, </w:t>
      </w:r>
      <w:r w:rsidRPr="00910987">
        <w:t>and Flight Standards District Offices are available on the FAA</w:t>
      </w:r>
      <w:r>
        <w:t xml:space="preserve"> Web site at </w:t>
      </w:r>
      <w:hyperlink w:history="1" r:id="rId18">
        <w:r w:rsidR="00EF3B28">
          <w:rPr>
            <w:rStyle w:val="Hyperlink"/>
          </w:rPr>
          <w:t>https://www.faa.gov/</w:t>
        </w:r>
      </w:hyperlink>
      <w:r>
        <w:t>.</w:t>
      </w:r>
    </w:p>
    <w:p w:rsidR="00406E8D" w:rsidRDefault="00406E8D" w14:paraId="219A91D4" w14:textId="77777777">
      <w:pPr>
        <w:ind w:firstLine="720"/>
      </w:pPr>
    </w:p>
    <w:p w:rsidRPr="00E861D4" w:rsidR="00406E8D" w:rsidP="006C5C83" w:rsidRDefault="00406E8D" w14:paraId="41D92976" w14:textId="0CC2D7CD">
      <w:pPr>
        <w:pStyle w:val="Heading2"/>
        <w:numPr>
          <w:ilvl w:val="0"/>
          <w:numId w:val="0"/>
        </w:numPr>
      </w:pPr>
      <w:bookmarkStart w:name="_Toc73021763" w:id="322"/>
      <w:r>
        <w:t>A-</w:t>
      </w:r>
      <w:r w:rsidR="00B433EA">
        <w:t>2</w:t>
      </w:r>
      <w:r>
        <w:t>.2</w:t>
      </w:r>
      <w:r>
        <w:tab/>
      </w:r>
      <w:r w:rsidRPr="00E861D4">
        <w:t xml:space="preserve">Coordination with </w:t>
      </w:r>
      <w:r w:rsidR="009C6C61">
        <w:t xml:space="preserve">Nearby </w:t>
      </w:r>
      <w:r>
        <w:t>Military Airfields</w:t>
      </w:r>
      <w:bookmarkEnd w:id="322"/>
    </w:p>
    <w:p w:rsidRPr="00A46189" w:rsidR="00406E8D" w:rsidP="002E2780" w:rsidRDefault="00406E8D" w14:paraId="43187D97" w14:textId="77777777">
      <w:pPr>
        <w:jc w:val="center"/>
      </w:pPr>
    </w:p>
    <w:p w:rsidR="00406E8D" w:rsidP="002E2780" w:rsidRDefault="00406E8D" w14:paraId="1D96EF03" w14:textId="6E799478">
      <w:pPr>
        <w:ind w:firstLine="720"/>
        <w:rPr>
          <w:szCs w:val="22"/>
        </w:rPr>
      </w:pPr>
      <w:r w:rsidRPr="00257668">
        <w:rPr>
          <w:szCs w:val="22"/>
        </w:rPr>
        <w:t xml:space="preserve">Licensees should </w:t>
      </w:r>
      <w:r>
        <w:rPr>
          <w:szCs w:val="22"/>
        </w:rPr>
        <w:t xml:space="preserve">also </w:t>
      </w:r>
      <w:r w:rsidRPr="00257668">
        <w:rPr>
          <w:szCs w:val="22"/>
        </w:rPr>
        <w:t xml:space="preserve">establish one or more points of contact with any nearby </w:t>
      </w:r>
      <w:r w:rsidR="0085485B">
        <w:rPr>
          <w:szCs w:val="22"/>
        </w:rPr>
        <w:t xml:space="preserve">active-duty or reserve </w:t>
      </w:r>
      <w:r w:rsidRPr="00257668">
        <w:rPr>
          <w:szCs w:val="22"/>
        </w:rPr>
        <w:t>military airfields</w:t>
      </w:r>
      <w:r w:rsidR="006E2361">
        <w:rPr>
          <w:szCs w:val="22"/>
        </w:rPr>
        <w:t xml:space="preserve">, </w:t>
      </w:r>
      <w:r w:rsidR="00C129E8">
        <w:rPr>
          <w:szCs w:val="22"/>
        </w:rPr>
        <w:t>as</w:t>
      </w:r>
      <w:r w:rsidR="006E2361">
        <w:rPr>
          <w:szCs w:val="22"/>
        </w:rPr>
        <w:t xml:space="preserve"> </w:t>
      </w:r>
      <w:r w:rsidR="006A3E1A">
        <w:rPr>
          <w:szCs w:val="22"/>
        </w:rPr>
        <w:t>applicable</w:t>
      </w:r>
      <w:r w:rsidRPr="00257668">
        <w:rPr>
          <w:szCs w:val="22"/>
        </w:rPr>
        <w:t xml:space="preserve"> (e.g., </w:t>
      </w:r>
      <w:r>
        <w:rPr>
          <w:szCs w:val="22"/>
        </w:rPr>
        <w:t xml:space="preserve">the </w:t>
      </w:r>
      <w:r w:rsidRPr="00257668">
        <w:rPr>
          <w:szCs w:val="22"/>
        </w:rPr>
        <w:t>airfield</w:t>
      </w:r>
      <w:r>
        <w:rPr>
          <w:szCs w:val="22"/>
        </w:rPr>
        <w:t>’s</w:t>
      </w:r>
      <w:r w:rsidRPr="00257668">
        <w:rPr>
          <w:szCs w:val="22"/>
        </w:rPr>
        <w:t xml:space="preserve"> operations center or control tower)</w:t>
      </w:r>
      <w:r>
        <w:rPr>
          <w:szCs w:val="22"/>
        </w:rPr>
        <w:t xml:space="preserve">. </w:t>
      </w:r>
      <w:r w:rsidRPr="00257668">
        <w:rPr>
          <w:szCs w:val="22"/>
        </w:rPr>
        <w:t xml:space="preserve">This </w:t>
      </w:r>
      <w:r w:rsidR="008403F0">
        <w:rPr>
          <w:szCs w:val="22"/>
        </w:rPr>
        <w:t xml:space="preserve">point of contact </w:t>
      </w:r>
      <w:r w:rsidRPr="00257668">
        <w:rPr>
          <w:szCs w:val="22"/>
        </w:rPr>
        <w:t xml:space="preserve">can </w:t>
      </w:r>
      <w:r>
        <w:rPr>
          <w:szCs w:val="22"/>
        </w:rPr>
        <w:t>facilitate advance notifications of planned training activities as well as quer</w:t>
      </w:r>
      <w:r w:rsidR="002521FA">
        <w:rPr>
          <w:szCs w:val="22"/>
        </w:rPr>
        <w:t>ies of</w:t>
      </w:r>
      <w:r>
        <w:rPr>
          <w:szCs w:val="22"/>
        </w:rPr>
        <w:t xml:space="preserve"> unplanned </w:t>
      </w:r>
      <w:r w:rsidRPr="00257668">
        <w:rPr>
          <w:szCs w:val="22"/>
        </w:rPr>
        <w:t xml:space="preserve">low-level, military </w:t>
      </w:r>
      <w:r>
        <w:rPr>
          <w:szCs w:val="22"/>
        </w:rPr>
        <w:t xml:space="preserve">flights </w:t>
      </w:r>
      <w:r w:rsidRPr="00257668">
        <w:rPr>
          <w:szCs w:val="22"/>
        </w:rPr>
        <w:t xml:space="preserve">in proximity to </w:t>
      </w:r>
      <w:r w:rsidR="001604B7">
        <w:rPr>
          <w:szCs w:val="22"/>
        </w:rPr>
        <w:t xml:space="preserve">or over licensee </w:t>
      </w:r>
      <w:r w:rsidRPr="00257668">
        <w:rPr>
          <w:szCs w:val="22"/>
        </w:rPr>
        <w:t>facilit</w:t>
      </w:r>
      <w:r w:rsidR="001604B7">
        <w:rPr>
          <w:szCs w:val="22"/>
        </w:rPr>
        <w:t>ies</w:t>
      </w:r>
      <w:r>
        <w:rPr>
          <w:szCs w:val="22"/>
        </w:rPr>
        <w:t xml:space="preserve">. </w:t>
      </w:r>
      <w:r w:rsidRPr="00257668">
        <w:rPr>
          <w:szCs w:val="22"/>
        </w:rPr>
        <w:t xml:space="preserve">For example, </w:t>
      </w:r>
      <w:r>
        <w:rPr>
          <w:szCs w:val="22"/>
        </w:rPr>
        <w:t xml:space="preserve">some </w:t>
      </w:r>
      <w:r w:rsidRPr="00257668">
        <w:rPr>
          <w:szCs w:val="22"/>
        </w:rPr>
        <w:t xml:space="preserve">licensees have experienced </w:t>
      </w:r>
      <w:r w:rsidR="008B298A">
        <w:rPr>
          <w:szCs w:val="22"/>
        </w:rPr>
        <w:t xml:space="preserve">overflights due to </w:t>
      </w:r>
      <w:r w:rsidRPr="00257668">
        <w:rPr>
          <w:szCs w:val="22"/>
        </w:rPr>
        <w:t xml:space="preserve">routine military aerial training exercises that used </w:t>
      </w:r>
      <w:r>
        <w:rPr>
          <w:szCs w:val="22"/>
        </w:rPr>
        <w:t>the licensee’s</w:t>
      </w:r>
      <w:r w:rsidRPr="00257668">
        <w:rPr>
          <w:szCs w:val="22"/>
        </w:rPr>
        <w:t xml:space="preserve"> facility as a low-level navigation way point.</w:t>
      </w:r>
      <w:r>
        <w:rPr>
          <w:szCs w:val="22"/>
        </w:rPr>
        <w:t xml:space="preserve">  Such planned </w:t>
      </w:r>
      <w:r w:rsidR="004C57D4">
        <w:rPr>
          <w:szCs w:val="22"/>
        </w:rPr>
        <w:t xml:space="preserve">military </w:t>
      </w:r>
      <w:r>
        <w:rPr>
          <w:szCs w:val="22"/>
        </w:rPr>
        <w:t>aircraft overflights are not considered suspicious.</w:t>
      </w:r>
    </w:p>
    <w:p w:rsidR="00406E8D" w:rsidRDefault="00406E8D" w14:paraId="425C01CF" w14:textId="7B3A0604">
      <w:pPr>
        <w:ind w:firstLine="720"/>
      </w:pPr>
    </w:p>
    <w:p w:rsidRPr="00E861D4" w:rsidR="008F7F95" w:rsidP="006C5C83" w:rsidRDefault="008F7F95" w14:paraId="520F530A" w14:textId="6F8B2CB4">
      <w:pPr>
        <w:pStyle w:val="Heading2"/>
        <w:numPr>
          <w:ilvl w:val="0"/>
          <w:numId w:val="0"/>
        </w:numPr>
      </w:pPr>
      <w:bookmarkStart w:name="_Toc73021764" w:id="323"/>
      <w:r>
        <w:lastRenderedPageBreak/>
        <w:t>A-</w:t>
      </w:r>
      <w:r w:rsidR="00067A43">
        <w:t>3</w:t>
      </w:r>
      <w:r>
        <w:t>.</w:t>
      </w:r>
      <w:r>
        <w:tab/>
        <w:t xml:space="preserve">Assessing Potentially Suspicious </w:t>
      </w:r>
      <w:r w:rsidR="006402C7">
        <w:t>Aviation-Related</w:t>
      </w:r>
      <w:r>
        <w:t xml:space="preserve"> Activity</w:t>
      </w:r>
      <w:bookmarkEnd w:id="323"/>
    </w:p>
    <w:p w:rsidR="00E75A7D" w:rsidP="00862011" w:rsidRDefault="00E75A7D" w14:paraId="7C05CBB3" w14:textId="3A56016B">
      <w:pPr>
        <w:keepNext/>
        <w:keepLines/>
        <w:ind w:firstLine="720"/>
      </w:pPr>
    </w:p>
    <w:p w:rsidR="00F36CCE" w:rsidP="00862011" w:rsidRDefault="006E567B" w14:paraId="37AC48EE" w14:textId="38AF2D9B">
      <w:pPr>
        <w:keepNext/>
        <w:keepLines/>
        <w:ind w:firstLine="720"/>
        <w:rPr>
          <w:szCs w:val="22"/>
        </w:rPr>
      </w:pPr>
      <w:r>
        <w:rPr>
          <w:szCs w:val="22"/>
        </w:rPr>
        <w:t xml:space="preserve">Under 10 CFR 73.1215(c)(2), a licensee must promptly assess whether an activity is suspicious. However, in completing the assessment process, a licensee may review additional information, including interacting with LLEA, to assess whether the activity is suspicious. Additionally, for potentially suspicious </w:t>
      </w:r>
      <w:r w:rsidR="00674C73">
        <w:rPr>
          <w:szCs w:val="22"/>
        </w:rPr>
        <w:t>aviation-related</w:t>
      </w:r>
      <w:r>
        <w:rPr>
          <w:szCs w:val="22"/>
        </w:rPr>
        <w:t xml:space="preserve"> activity, the licensee may also interact with the applicable FAA local control tower and/or nearby military airfield, to assess whether the activity is suspicious.</w:t>
      </w:r>
      <w:r w:rsidR="00123D52">
        <w:rPr>
          <w:szCs w:val="22"/>
        </w:rPr>
        <w:t xml:space="preserve"> </w:t>
      </w:r>
      <w:r w:rsidR="003C44F7">
        <w:t>The NRC staff also recommends that</w:t>
      </w:r>
      <w:r w:rsidRPr="00910987" w:rsidR="003C44F7">
        <w:t xml:space="preserve"> </w:t>
      </w:r>
      <w:r w:rsidR="003C44F7">
        <w:t xml:space="preserve">licensees should assess as suspicious </w:t>
      </w:r>
      <w:r w:rsidRPr="00910987" w:rsidR="003C44F7">
        <w:t>multiple sightings of the same aviation</w:t>
      </w:r>
      <w:r w:rsidR="003C44F7">
        <w:t>-related asset</w:t>
      </w:r>
      <w:r w:rsidRPr="00910987" w:rsidR="003C44F7">
        <w:t xml:space="preserve">, circling or loitering above or in close proximity to </w:t>
      </w:r>
      <w:r w:rsidR="003C44F7">
        <w:t xml:space="preserve">its </w:t>
      </w:r>
      <w:r w:rsidRPr="00910987" w:rsidR="003C44F7">
        <w:t xml:space="preserve">facilities, or photographing </w:t>
      </w:r>
      <w:r w:rsidR="003C44F7">
        <w:t>its</w:t>
      </w:r>
      <w:r w:rsidRPr="00910987" w:rsidR="003C44F7">
        <w:t xml:space="preserve"> facilit</w:t>
      </w:r>
      <w:r w:rsidR="003C44F7">
        <w:t>ies</w:t>
      </w:r>
      <w:r w:rsidRPr="00910987" w:rsidR="003C44F7">
        <w:t xml:space="preserve"> or surrounding area</w:t>
      </w:r>
      <w:r w:rsidR="003C44F7">
        <w:t>s</w:t>
      </w:r>
      <w:r w:rsidRPr="00910987" w:rsidR="003C44F7">
        <w:t>.</w:t>
      </w:r>
    </w:p>
    <w:p w:rsidR="00F36CCE" w:rsidP="00DB715C" w:rsidRDefault="00F36CCE" w14:paraId="4D97A4D6" w14:textId="77777777">
      <w:pPr>
        <w:ind w:firstLine="720"/>
        <w:rPr>
          <w:szCs w:val="22"/>
        </w:rPr>
      </w:pPr>
    </w:p>
    <w:p w:rsidR="00BB4923" w:rsidP="00BB4923" w:rsidRDefault="00DB715C" w14:paraId="721E9947" w14:textId="417814EE">
      <w:pPr>
        <w:ind w:firstLine="720"/>
        <w:rPr>
          <w:szCs w:val="22"/>
        </w:rPr>
      </w:pPr>
      <w:r w:rsidRPr="00910987">
        <w:t xml:space="preserve">If </w:t>
      </w:r>
      <w:r w:rsidR="00704713">
        <w:t>the interaction with</w:t>
      </w:r>
      <w:r w:rsidRPr="00910987">
        <w:t xml:space="preserve"> the local FAA facility </w:t>
      </w:r>
      <w:r w:rsidR="00D01880">
        <w:t xml:space="preserve">or military airfield </w:t>
      </w:r>
      <w:r w:rsidR="00704713">
        <w:t>indicate</w:t>
      </w:r>
      <w:r w:rsidR="00F76E2F">
        <w:t xml:space="preserve">s </w:t>
      </w:r>
      <w:r w:rsidRPr="00910987">
        <w:t xml:space="preserve">that the </w:t>
      </w:r>
      <w:r w:rsidR="005C16B2">
        <w:t>aviation-related activity</w:t>
      </w:r>
      <w:r w:rsidRPr="00910987">
        <w:t xml:space="preserve"> is associated with a municipal, State, or Feder</w:t>
      </w:r>
      <w:r>
        <w:t xml:space="preserve">al entity, or </w:t>
      </w:r>
      <w:r w:rsidR="00A127E3">
        <w:t xml:space="preserve">a contractor for such entities, or </w:t>
      </w:r>
      <w:r>
        <w:t xml:space="preserve">if the FAA </w:t>
      </w:r>
      <w:r w:rsidR="005C16B2">
        <w:t xml:space="preserve">indicates </w:t>
      </w:r>
      <w:r w:rsidR="00A127E3">
        <w:t>that</w:t>
      </w:r>
      <w:r w:rsidR="007B5A4A">
        <w:t xml:space="preserve"> a</w:t>
      </w:r>
      <w:r w:rsidR="003E0BFC">
        <w:t>n authorized</w:t>
      </w:r>
      <w:r w:rsidRPr="00910987">
        <w:t xml:space="preserve"> flight deviation </w:t>
      </w:r>
      <w:r w:rsidR="009B301D">
        <w:t xml:space="preserve">had </w:t>
      </w:r>
      <w:r w:rsidR="00EF1C38">
        <w:t>occurred</w:t>
      </w:r>
      <w:r>
        <w:t xml:space="preserve">, </w:t>
      </w:r>
      <w:r w:rsidRPr="00910987">
        <w:t xml:space="preserve">then </w:t>
      </w:r>
      <w:r>
        <w:t xml:space="preserve">the licensee </w:t>
      </w:r>
      <w:r w:rsidR="009B301D">
        <w:t xml:space="preserve">may assess </w:t>
      </w:r>
      <w:r w:rsidR="00EF1C38">
        <w:t>the activity as not suspicious.</w:t>
      </w:r>
      <w:r w:rsidRPr="00BB4923" w:rsidR="00BB4923">
        <w:rPr>
          <w:szCs w:val="22"/>
        </w:rPr>
        <w:t xml:space="preserve"> </w:t>
      </w:r>
      <w:r w:rsidR="00BB4923">
        <w:rPr>
          <w:szCs w:val="22"/>
        </w:rPr>
        <w:t xml:space="preserve">If a licensee assesses that a potentially suspicious aviation-related activity is suspicious, then the activity should be reported as </w:t>
      </w:r>
      <w:r w:rsidR="00BD59D9">
        <w:rPr>
          <w:szCs w:val="22"/>
        </w:rPr>
        <w:t>specified under</w:t>
      </w:r>
      <w:r w:rsidR="0058795D">
        <w:rPr>
          <w:szCs w:val="22"/>
        </w:rPr>
        <w:t xml:space="preserve"> 10 CFR 73.1215(c</w:t>
      </w:r>
      <w:r w:rsidR="00BD59D9">
        <w:rPr>
          <w:szCs w:val="22"/>
        </w:rPr>
        <w:t>)(</w:t>
      </w:r>
      <w:r w:rsidR="0058795D">
        <w:rPr>
          <w:szCs w:val="22"/>
        </w:rPr>
        <w:t>3)</w:t>
      </w:r>
      <w:r w:rsidR="00F4575A">
        <w:rPr>
          <w:szCs w:val="22"/>
        </w:rPr>
        <w:t>.</w:t>
      </w:r>
    </w:p>
    <w:p w:rsidR="001F69C6" w:rsidRDefault="001F69C6" w14:paraId="47851390" w14:textId="574C626A">
      <w:pPr>
        <w:ind w:firstLine="720"/>
        <w:rPr>
          <w:szCs w:val="22"/>
        </w:rPr>
      </w:pPr>
    </w:p>
    <w:p w:rsidR="001F69C6" w:rsidRDefault="008C5A8B" w14:paraId="286853F3" w14:textId="6C13C09C">
      <w:pPr>
        <w:ind w:firstLine="720"/>
      </w:pPr>
      <w:r>
        <w:t>Moreo</w:t>
      </w:r>
      <w:r w:rsidR="0051447E">
        <w:t>ver, l</w:t>
      </w:r>
      <w:r w:rsidR="001F69C6">
        <w:t xml:space="preserve">icensees </w:t>
      </w:r>
      <w:r w:rsidR="00862011">
        <w:t>should</w:t>
      </w:r>
      <w:r w:rsidRPr="00910987" w:rsidR="00862011">
        <w:t xml:space="preserve"> </w:t>
      </w:r>
      <w:r w:rsidR="007B5A4A">
        <w:t xml:space="preserve">also </w:t>
      </w:r>
      <w:r w:rsidRPr="00910987" w:rsidR="001F69C6">
        <w:t>exercise judgment</w:t>
      </w:r>
      <w:r w:rsidR="001F69C6">
        <w:t xml:space="preserve"> </w:t>
      </w:r>
      <w:r w:rsidRPr="00910987" w:rsidR="001F69C6">
        <w:t>in determin</w:t>
      </w:r>
      <w:r w:rsidR="001F69C6">
        <w:t>ing</w:t>
      </w:r>
      <w:r w:rsidRPr="00910987" w:rsidR="001F69C6">
        <w:t xml:space="preserve"> whether </w:t>
      </w:r>
      <w:r w:rsidR="001F69C6">
        <w:t>a</w:t>
      </w:r>
      <w:r w:rsidR="0038161D">
        <w:t>n aviation-related</w:t>
      </w:r>
      <w:r w:rsidRPr="00910987" w:rsidR="001F69C6">
        <w:t xml:space="preserve"> activity is suspicious with respect to normal air traffic patterns, proximity of the facility to local airports and military </w:t>
      </w:r>
      <w:r w:rsidR="00A21ED8">
        <w:t>airfields</w:t>
      </w:r>
      <w:r w:rsidRPr="00910987" w:rsidR="001F69C6">
        <w:t>, the use of rivers and coastal waterways for navigational purposes, local weather conditions, and other unforeseen local circumstances</w:t>
      </w:r>
      <w:r w:rsidR="00EE0C7D">
        <w:t>.</w:t>
      </w:r>
    </w:p>
    <w:p w:rsidRPr="00910987" w:rsidR="0082339D" w:rsidRDefault="0082339D" w14:paraId="01D71416" w14:textId="77777777">
      <w:pPr>
        <w:ind w:firstLine="720"/>
      </w:pPr>
    </w:p>
    <w:p w:rsidRPr="00E861D4" w:rsidR="00406E8D" w:rsidP="006C5C83" w:rsidRDefault="00406E8D" w14:paraId="5EBE331F" w14:textId="2550737B">
      <w:pPr>
        <w:pStyle w:val="Heading2"/>
        <w:numPr>
          <w:ilvl w:val="0"/>
          <w:numId w:val="0"/>
        </w:numPr>
      </w:pPr>
      <w:bookmarkStart w:name="_Toc73021765" w:id="324"/>
      <w:r>
        <w:t>A-</w:t>
      </w:r>
      <w:r w:rsidR="00FE2CB0">
        <w:t>4</w:t>
      </w:r>
      <w:r>
        <w:t>.</w:t>
      </w:r>
      <w:r>
        <w:tab/>
        <w:t xml:space="preserve">Reporting of Suspicious </w:t>
      </w:r>
      <w:r w:rsidR="006402C7">
        <w:t>Aviation-Related</w:t>
      </w:r>
      <w:r>
        <w:t xml:space="preserve"> Activity</w:t>
      </w:r>
      <w:bookmarkEnd w:id="324"/>
    </w:p>
    <w:p w:rsidRPr="00A46189" w:rsidR="00406E8D" w:rsidRDefault="00406E8D" w14:paraId="41BC0CB2" w14:textId="77777777">
      <w:pPr>
        <w:jc w:val="center"/>
      </w:pPr>
    </w:p>
    <w:p w:rsidR="00406E8D" w:rsidRDefault="00406E8D" w14:paraId="663FD9BC" w14:textId="44885D8E">
      <w:pPr>
        <w:ind w:firstLine="720"/>
      </w:pPr>
      <w:r>
        <w:t>Licensees subject to 10 CFR 73.1215(d) should</w:t>
      </w:r>
      <w:r w:rsidRPr="00910987">
        <w:t xml:space="preserve"> report suspicious flight activity above, or in close proximity to</w:t>
      </w:r>
      <w:r>
        <w:t xml:space="preserve"> </w:t>
      </w:r>
      <w:r w:rsidRPr="00910987">
        <w:t xml:space="preserve">their </w:t>
      </w:r>
      <w:r w:rsidR="00564D8B">
        <w:t>faci</w:t>
      </w:r>
      <w:r w:rsidR="000174E2">
        <w:t>li</w:t>
      </w:r>
      <w:r w:rsidR="00564D8B">
        <w:t xml:space="preserve">ty </w:t>
      </w:r>
      <w:r w:rsidR="00602485">
        <w:t>10</w:t>
      </w:r>
      <w:r w:rsidR="003333A0">
        <w:t> </w:t>
      </w:r>
      <w:r w:rsidR="00602485">
        <w:t>CFR</w:t>
      </w:r>
      <w:r w:rsidR="0006436B">
        <w:t> </w:t>
      </w:r>
      <w:r w:rsidR="00602485">
        <w:t>73.1215(c)(3)</w:t>
      </w:r>
      <w:r w:rsidR="0043148D">
        <w:t xml:space="preserve"> </w:t>
      </w:r>
      <w:r w:rsidR="0043148D">
        <w:rPr>
          <w:szCs w:val="22"/>
        </w:rPr>
        <w:t>(see “Reporting Timeliness and Order of Precedence”</w:t>
      </w:r>
      <w:r w:rsidR="004A3435">
        <w:rPr>
          <w:szCs w:val="22"/>
        </w:rPr>
        <w:t xml:space="preserve"> under Section B of this RG</w:t>
      </w:r>
      <w:r w:rsidR="0043148D">
        <w:rPr>
          <w:szCs w:val="22"/>
        </w:rPr>
        <w:t>)</w:t>
      </w:r>
      <w:r w:rsidR="0006436B">
        <w:t>.</w:t>
      </w:r>
      <w:r w:rsidRPr="00910987">
        <w:t xml:space="preserve"> </w:t>
      </w:r>
    </w:p>
    <w:p w:rsidRPr="00910987" w:rsidR="00406E8D" w:rsidRDefault="00406E8D" w14:paraId="3A90EFAB" w14:textId="77777777">
      <w:pPr>
        <w:ind w:firstLine="720"/>
      </w:pPr>
    </w:p>
    <w:p w:rsidR="00F15F34" w:rsidP="00FC3DFD" w:rsidRDefault="00DD7664" w14:paraId="2C38CBFA" w14:textId="2C7D0B38">
      <w:pPr>
        <w:ind w:firstLine="720"/>
      </w:pPr>
      <w:r>
        <w:t xml:space="preserve">As a good practice, NRC staff </w:t>
      </w:r>
      <w:r w:rsidR="00D97243">
        <w:t xml:space="preserve">recommends that </w:t>
      </w:r>
      <w:r w:rsidR="00943BB6">
        <w:t xml:space="preserve">licensee’s reporting </w:t>
      </w:r>
      <w:r w:rsidR="00F15F34">
        <w:t xml:space="preserve">suspicious </w:t>
      </w:r>
      <w:r w:rsidR="00943BB6">
        <w:t>aviation-related</w:t>
      </w:r>
      <w:r w:rsidR="00F15F34">
        <w:t xml:space="preserve"> activity include key information</w:t>
      </w:r>
      <w:r w:rsidR="00020696">
        <w:t>, if available, that is</w:t>
      </w:r>
      <w:r w:rsidR="00F15F34">
        <w:t xml:space="preserve"> of interest to law enforcement </w:t>
      </w:r>
      <w:r w:rsidR="008374F6">
        <w:t xml:space="preserve">and FAA </w:t>
      </w:r>
      <w:r w:rsidR="00F15F34">
        <w:t>authorities</w:t>
      </w:r>
      <w:r w:rsidR="008374F6">
        <w:t xml:space="preserve">. The following </w:t>
      </w:r>
      <w:r w:rsidR="00CA6832">
        <w:t>are examples of</w:t>
      </w:r>
      <w:r w:rsidR="00194C5A">
        <w:t xml:space="preserve"> key information </w:t>
      </w:r>
      <w:r w:rsidR="00F15F34">
        <w:t>(listed in no specific order):</w:t>
      </w:r>
    </w:p>
    <w:p w:rsidR="00FC3DFD" w:rsidP="00FC3DFD" w:rsidRDefault="00FC3DFD" w14:paraId="54243BD5" w14:textId="77777777">
      <w:pPr>
        <w:ind w:firstLine="720"/>
      </w:pPr>
    </w:p>
    <w:p w:rsidR="00F15F34" w:rsidP="00FC3DFD" w:rsidRDefault="00E127FA" w14:paraId="19F60027" w14:textId="68A85A47">
      <w:pPr>
        <w:pStyle w:val="ListParagraph"/>
        <w:numPr>
          <w:ilvl w:val="1"/>
          <w:numId w:val="56"/>
        </w:numPr>
        <w:ind w:left="1080"/>
        <w:rPr>
          <w:sz w:val="22"/>
          <w:szCs w:val="22"/>
        </w:rPr>
      </w:pPr>
      <w:r w:rsidRPr="00747003">
        <w:rPr>
          <w:sz w:val="22"/>
          <w:szCs w:val="22"/>
        </w:rPr>
        <w:t>f</w:t>
      </w:r>
      <w:r w:rsidRPr="00747003" w:rsidR="001C5339">
        <w:rPr>
          <w:sz w:val="22"/>
          <w:szCs w:val="22"/>
        </w:rPr>
        <w:t>acility</w:t>
      </w:r>
      <w:r w:rsidRPr="00747003" w:rsidR="00F15F34">
        <w:rPr>
          <w:sz w:val="22"/>
          <w:szCs w:val="22"/>
        </w:rPr>
        <w:t xml:space="preserve"> location</w:t>
      </w:r>
    </w:p>
    <w:p w:rsidRPr="00747003" w:rsidR="00FC3DFD" w:rsidP="004824BE" w:rsidRDefault="00FC3DFD" w14:paraId="1D9C401E" w14:textId="77777777">
      <w:pPr>
        <w:pStyle w:val="ListParagraph"/>
        <w:ind w:left="1080"/>
        <w:rPr>
          <w:sz w:val="22"/>
          <w:szCs w:val="22"/>
        </w:rPr>
      </w:pPr>
    </w:p>
    <w:p w:rsidR="00F15F34" w:rsidP="00FC3DFD" w:rsidRDefault="00F15F34" w14:paraId="0D7092D7" w14:textId="0E548F13">
      <w:pPr>
        <w:pStyle w:val="ListParagraph"/>
        <w:numPr>
          <w:ilvl w:val="1"/>
          <w:numId w:val="56"/>
        </w:numPr>
        <w:ind w:left="1080"/>
        <w:rPr>
          <w:sz w:val="22"/>
          <w:szCs w:val="22"/>
        </w:rPr>
      </w:pPr>
      <w:r w:rsidRPr="00747003">
        <w:rPr>
          <w:sz w:val="22"/>
          <w:szCs w:val="22"/>
        </w:rPr>
        <w:t xml:space="preserve">flyover location (e.g., </w:t>
      </w:r>
      <w:r w:rsidRPr="00747003" w:rsidR="001C5339">
        <w:rPr>
          <w:sz w:val="22"/>
          <w:szCs w:val="22"/>
        </w:rPr>
        <w:t>owner</w:t>
      </w:r>
      <w:r w:rsidRPr="00747003" w:rsidR="005B718B">
        <w:rPr>
          <w:sz w:val="22"/>
          <w:szCs w:val="22"/>
        </w:rPr>
        <w:t>-</w:t>
      </w:r>
      <w:r w:rsidRPr="00747003" w:rsidR="001C5339">
        <w:rPr>
          <w:sz w:val="22"/>
          <w:szCs w:val="22"/>
        </w:rPr>
        <w:t>controlled area</w:t>
      </w:r>
      <w:r w:rsidRPr="00747003">
        <w:rPr>
          <w:sz w:val="22"/>
          <w:szCs w:val="22"/>
        </w:rPr>
        <w:t>, protected area, cooling tower, power block)</w:t>
      </w:r>
    </w:p>
    <w:p w:rsidRPr="00747003" w:rsidR="00FC3DFD" w:rsidP="004824BE" w:rsidRDefault="00FC3DFD" w14:paraId="5D018D03" w14:textId="77777777">
      <w:pPr>
        <w:pStyle w:val="ListParagraph"/>
        <w:ind w:left="1080"/>
        <w:rPr>
          <w:sz w:val="22"/>
          <w:szCs w:val="22"/>
        </w:rPr>
      </w:pPr>
    </w:p>
    <w:p w:rsidR="00F15F34" w:rsidP="00FC3DFD" w:rsidRDefault="00F15F34" w14:paraId="32BDFE33" w14:textId="1F8BA660">
      <w:pPr>
        <w:pStyle w:val="ListParagraph"/>
        <w:numPr>
          <w:ilvl w:val="1"/>
          <w:numId w:val="56"/>
        </w:numPr>
        <w:ind w:left="1080"/>
        <w:rPr>
          <w:sz w:val="22"/>
          <w:szCs w:val="22"/>
        </w:rPr>
      </w:pPr>
      <w:r w:rsidRPr="00747003">
        <w:rPr>
          <w:sz w:val="22"/>
          <w:szCs w:val="22"/>
        </w:rPr>
        <w:t>date and time of day</w:t>
      </w:r>
    </w:p>
    <w:p w:rsidRPr="00747003" w:rsidR="00FC3DFD" w:rsidP="004824BE" w:rsidRDefault="00FC3DFD" w14:paraId="4B7A7522" w14:textId="77777777">
      <w:pPr>
        <w:pStyle w:val="ListParagraph"/>
        <w:ind w:left="1080"/>
        <w:rPr>
          <w:sz w:val="22"/>
          <w:szCs w:val="22"/>
        </w:rPr>
      </w:pPr>
    </w:p>
    <w:p w:rsidR="00F15F34" w:rsidP="00FC3DFD" w:rsidRDefault="00F15F34" w14:paraId="3DCDB7EE" w14:textId="33EC8566">
      <w:pPr>
        <w:pStyle w:val="ListParagraph"/>
        <w:numPr>
          <w:ilvl w:val="1"/>
          <w:numId w:val="56"/>
        </w:numPr>
        <w:ind w:left="1080"/>
        <w:rPr>
          <w:sz w:val="22"/>
          <w:szCs w:val="22"/>
        </w:rPr>
      </w:pPr>
      <w:r w:rsidRPr="00747003">
        <w:rPr>
          <w:sz w:val="22"/>
          <w:szCs w:val="22"/>
        </w:rPr>
        <w:t>duration of flight</w:t>
      </w:r>
    </w:p>
    <w:p w:rsidRPr="00747003" w:rsidR="00FC3DFD" w:rsidP="004824BE" w:rsidRDefault="00FC3DFD" w14:paraId="13C6710D" w14:textId="77777777">
      <w:pPr>
        <w:pStyle w:val="ListParagraph"/>
        <w:ind w:left="1080"/>
        <w:rPr>
          <w:sz w:val="22"/>
          <w:szCs w:val="22"/>
        </w:rPr>
      </w:pPr>
    </w:p>
    <w:p w:rsidR="00F15F34" w:rsidP="00FC3DFD" w:rsidRDefault="00F15F34" w14:paraId="1815F14B" w14:textId="3EEBAEC7">
      <w:pPr>
        <w:pStyle w:val="ListParagraph"/>
        <w:numPr>
          <w:ilvl w:val="1"/>
          <w:numId w:val="56"/>
        </w:numPr>
        <w:ind w:left="1080"/>
        <w:rPr>
          <w:sz w:val="22"/>
          <w:szCs w:val="22"/>
        </w:rPr>
      </w:pPr>
      <w:r w:rsidRPr="00747003">
        <w:rPr>
          <w:sz w:val="22"/>
          <w:szCs w:val="22"/>
        </w:rPr>
        <w:t xml:space="preserve">number of </w:t>
      </w:r>
      <w:r w:rsidRPr="00747003" w:rsidR="00D965DA">
        <w:rPr>
          <w:sz w:val="22"/>
          <w:szCs w:val="22"/>
        </w:rPr>
        <w:t xml:space="preserve">manned </w:t>
      </w:r>
      <w:r w:rsidRPr="00747003" w:rsidR="008C67AC">
        <w:rPr>
          <w:sz w:val="22"/>
          <w:szCs w:val="22"/>
        </w:rPr>
        <w:t xml:space="preserve">aircraft or </w:t>
      </w:r>
      <w:r w:rsidRPr="00747003">
        <w:rPr>
          <w:sz w:val="22"/>
          <w:szCs w:val="22"/>
        </w:rPr>
        <w:t>UAS</w:t>
      </w:r>
    </w:p>
    <w:p w:rsidRPr="00747003" w:rsidR="00FC3DFD" w:rsidP="004824BE" w:rsidRDefault="00FC3DFD" w14:paraId="729CE4D4" w14:textId="77777777">
      <w:pPr>
        <w:pStyle w:val="ListParagraph"/>
        <w:ind w:left="1080"/>
        <w:rPr>
          <w:sz w:val="22"/>
          <w:szCs w:val="22"/>
        </w:rPr>
      </w:pPr>
    </w:p>
    <w:p w:rsidR="00F15F34" w:rsidP="00FC3DFD" w:rsidRDefault="00F15F34" w14:paraId="1CD676D5" w14:textId="76514234">
      <w:pPr>
        <w:pStyle w:val="ListParagraph"/>
        <w:numPr>
          <w:ilvl w:val="1"/>
          <w:numId w:val="56"/>
        </w:numPr>
        <w:ind w:left="1080"/>
        <w:rPr>
          <w:sz w:val="22"/>
          <w:szCs w:val="22"/>
        </w:rPr>
      </w:pPr>
      <w:r w:rsidRPr="00747003">
        <w:rPr>
          <w:sz w:val="22"/>
          <w:szCs w:val="22"/>
        </w:rPr>
        <w:t xml:space="preserve">description </w:t>
      </w:r>
      <w:r w:rsidR="00FC3DFD">
        <w:rPr>
          <w:sz w:val="22"/>
          <w:szCs w:val="22"/>
        </w:rPr>
        <w:t xml:space="preserve">of </w:t>
      </w:r>
      <w:r w:rsidR="004F0EC9">
        <w:rPr>
          <w:sz w:val="22"/>
          <w:szCs w:val="22"/>
        </w:rPr>
        <w:t xml:space="preserve">manned </w:t>
      </w:r>
      <w:r w:rsidR="00FC3DFD">
        <w:rPr>
          <w:sz w:val="22"/>
          <w:szCs w:val="22"/>
        </w:rPr>
        <w:t xml:space="preserve">aircraft or UAS </w:t>
      </w:r>
      <w:r w:rsidRPr="00747003">
        <w:rPr>
          <w:sz w:val="22"/>
          <w:szCs w:val="22"/>
        </w:rPr>
        <w:t>(e.g., size, fixed wing, multirotor)</w:t>
      </w:r>
    </w:p>
    <w:p w:rsidRPr="00747003" w:rsidR="00FC3DFD" w:rsidP="00B70A43" w:rsidRDefault="00FC3DFD" w14:paraId="093A17C9" w14:textId="77777777">
      <w:pPr>
        <w:pStyle w:val="ListParagraph"/>
        <w:ind w:left="1080"/>
        <w:rPr>
          <w:sz w:val="22"/>
          <w:szCs w:val="22"/>
        </w:rPr>
      </w:pPr>
    </w:p>
    <w:p w:rsidR="00F15F34" w:rsidP="00FC3DFD" w:rsidRDefault="00F15F34" w14:paraId="6A997FC6" w14:textId="7EBB58AC">
      <w:pPr>
        <w:pStyle w:val="ListParagraph"/>
        <w:numPr>
          <w:ilvl w:val="1"/>
          <w:numId w:val="56"/>
        </w:numPr>
        <w:ind w:left="1080"/>
        <w:rPr>
          <w:sz w:val="22"/>
          <w:szCs w:val="22"/>
        </w:rPr>
      </w:pPr>
      <w:r w:rsidRPr="00747003">
        <w:rPr>
          <w:sz w:val="22"/>
          <w:szCs w:val="22"/>
        </w:rPr>
        <w:t>types of maneuvers</w:t>
      </w:r>
    </w:p>
    <w:p w:rsidRPr="00747003" w:rsidR="00C9140A" w:rsidP="00B70A43" w:rsidRDefault="00C9140A" w14:paraId="7445B312" w14:textId="77777777">
      <w:pPr>
        <w:pStyle w:val="ListParagraph"/>
        <w:ind w:left="1080"/>
        <w:rPr>
          <w:sz w:val="22"/>
          <w:szCs w:val="22"/>
        </w:rPr>
      </w:pPr>
    </w:p>
    <w:p w:rsidR="00F15F34" w:rsidP="00FC3DFD" w:rsidRDefault="00F15F34" w14:paraId="1DC7CA30" w14:textId="260592DF">
      <w:pPr>
        <w:pStyle w:val="ListParagraph"/>
        <w:numPr>
          <w:ilvl w:val="1"/>
          <w:numId w:val="56"/>
        </w:numPr>
        <w:ind w:left="1080"/>
        <w:rPr>
          <w:sz w:val="22"/>
          <w:szCs w:val="22"/>
        </w:rPr>
      </w:pPr>
      <w:r w:rsidRPr="00747003">
        <w:rPr>
          <w:sz w:val="22"/>
          <w:szCs w:val="22"/>
        </w:rPr>
        <w:t xml:space="preserve">pictures and video of the </w:t>
      </w:r>
      <w:r w:rsidRPr="00747003" w:rsidR="00D965DA">
        <w:rPr>
          <w:sz w:val="22"/>
          <w:szCs w:val="22"/>
        </w:rPr>
        <w:t xml:space="preserve">manned aircraft or </w:t>
      </w:r>
      <w:r w:rsidRPr="00747003">
        <w:rPr>
          <w:sz w:val="22"/>
          <w:szCs w:val="22"/>
        </w:rPr>
        <w:t>UAS, if obtained</w:t>
      </w:r>
    </w:p>
    <w:p w:rsidRPr="00747003" w:rsidR="00C9140A" w:rsidP="00B70A43" w:rsidRDefault="00C9140A" w14:paraId="0F0D1816" w14:textId="77777777">
      <w:pPr>
        <w:pStyle w:val="ListParagraph"/>
        <w:ind w:left="1080"/>
        <w:rPr>
          <w:sz w:val="22"/>
          <w:szCs w:val="22"/>
        </w:rPr>
      </w:pPr>
    </w:p>
    <w:p w:rsidR="00F15F34" w:rsidP="00FC3DFD" w:rsidRDefault="00F15F34" w14:paraId="14A46590" w14:textId="3EE04316">
      <w:pPr>
        <w:pStyle w:val="ListParagraph"/>
        <w:numPr>
          <w:ilvl w:val="1"/>
          <w:numId w:val="56"/>
        </w:numPr>
        <w:ind w:left="1080"/>
        <w:rPr>
          <w:sz w:val="22"/>
          <w:szCs w:val="22"/>
        </w:rPr>
      </w:pPr>
      <w:r w:rsidRPr="00747003">
        <w:rPr>
          <w:sz w:val="22"/>
          <w:szCs w:val="22"/>
        </w:rPr>
        <w:t>payload, if observed (e.g., camera, attachments)</w:t>
      </w:r>
    </w:p>
    <w:p w:rsidRPr="00747003" w:rsidR="00C9140A" w:rsidP="00B70A43" w:rsidRDefault="00C9140A" w14:paraId="3C7A872C" w14:textId="77777777">
      <w:pPr>
        <w:pStyle w:val="ListParagraph"/>
        <w:ind w:left="1080"/>
        <w:rPr>
          <w:sz w:val="22"/>
          <w:szCs w:val="22"/>
        </w:rPr>
      </w:pPr>
    </w:p>
    <w:p w:rsidR="00F15F34" w:rsidP="00FC3DFD" w:rsidRDefault="004F0EC9" w14:paraId="7C4029E1" w14:textId="766BFACD">
      <w:pPr>
        <w:pStyle w:val="ListParagraph"/>
        <w:numPr>
          <w:ilvl w:val="1"/>
          <w:numId w:val="56"/>
        </w:numPr>
        <w:ind w:left="1080"/>
        <w:rPr>
          <w:sz w:val="22"/>
          <w:szCs w:val="22"/>
        </w:rPr>
      </w:pPr>
      <w:r>
        <w:rPr>
          <w:sz w:val="22"/>
          <w:szCs w:val="22"/>
        </w:rPr>
        <w:lastRenderedPageBreak/>
        <w:t xml:space="preserve">manned aircraft </w:t>
      </w:r>
      <w:r w:rsidR="00FA5D75">
        <w:rPr>
          <w:sz w:val="22"/>
          <w:szCs w:val="22"/>
        </w:rPr>
        <w:t xml:space="preserve">ID number </w:t>
      </w:r>
      <w:r>
        <w:rPr>
          <w:sz w:val="22"/>
          <w:szCs w:val="22"/>
        </w:rPr>
        <w:t xml:space="preserve">or </w:t>
      </w:r>
      <w:r w:rsidRPr="00747003" w:rsidR="00F15F34">
        <w:rPr>
          <w:sz w:val="22"/>
          <w:szCs w:val="22"/>
        </w:rPr>
        <w:t>UAS ID number, if observed</w:t>
      </w:r>
      <w:r w:rsidR="0070409B">
        <w:rPr>
          <w:rStyle w:val="FootnoteReference"/>
          <w:sz w:val="22"/>
          <w:szCs w:val="22"/>
        </w:rPr>
        <w:footnoteReference w:id="6"/>
      </w:r>
    </w:p>
    <w:p w:rsidRPr="00747003" w:rsidR="00BB5DFE" w:rsidP="00BB5DFE" w:rsidRDefault="00BB5DFE" w14:paraId="640AA3CC" w14:textId="77777777">
      <w:pPr>
        <w:pStyle w:val="ListParagraph"/>
        <w:ind w:left="1080"/>
        <w:rPr>
          <w:sz w:val="22"/>
          <w:szCs w:val="22"/>
        </w:rPr>
      </w:pPr>
    </w:p>
    <w:p w:rsidRPr="00747003" w:rsidR="00904759" w:rsidP="00FC3DFD" w:rsidRDefault="00F15F34" w14:paraId="4173BED4" w14:textId="0E1AF421">
      <w:pPr>
        <w:pStyle w:val="ListParagraph"/>
        <w:numPr>
          <w:ilvl w:val="1"/>
          <w:numId w:val="56"/>
        </w:numPr>
        <w:ind w:left="1080"/>
        <w:rPr>
          <w:sz w:val="22"/>
          <w:szCs w:val="22"/>
        </w:rPr>
      </w:pPr>
      <w:r w:rsidRPr="00747003">
        <w:rPr>
          <w:sz w:val="22"/>
          <w:szCs w:val="22"/>
        </w:rPr>
        <w:t xml:space="preserve">operator identification, if </w:t>
      </w:r>
      <w:r w:rsidRPr="00747003" w:rsidR="00747003">
        <w:rPr>
          <w:sz w:val="22"/>
          <w:szCs w:val="22"/>
        </w:rPr>
        <w:t>observed.</w:t>
      </w:r>
    </w:p>
    <w:p w:rsidR="00904759" w:rsidP="00FC3DFD" w:rsidRDefault="00904759" w14:paraId="322E408B" w14:textId="77777777">
      <w:pPr>
        <w:ind w:firstLine="720"/>
      </w:pPr>
    </w:p>
    <w:p w:rsidR="00406E8D" w:rsidRDefault="00406E8D" w14:paraId="53981381" w14:textId="50A537CE">
      <w:pPr>
        <w:keepNext/>
        <w:ind w:firstLine="720"/>
      </w:pPr>
      <w:r w:rsidRPr="00910987">
        <w:t xml:space="preserve">The </w:t>
      </w:r>
      <w:r>
        <w:t xml:space="preserve">licensee’s </w:t>
      </w:r>
      <w:r w:rsidRPr="00910987">
        <w:t xml:space="preserve">use of special photographic or visual sighting equipment may enhance </w:t>
      </w:r>
      <w:r>
        <w:t xml:space="preserve">its </w:t>
      </w:r>
      <w:r w:rsidRPr="00910987">
        <w:t xml:space="preserve">ability to capture pertinent </w:t>
      </w:r>
      <w:r>
        <w:t xml:space="preserve">identification </w:t>
      </w:r>
      <w:r w:rsidRPr="00910987">
        <w:t>information</w:t>
      </w:r>
      <w:r w:rsidRPr="003E7E8A">
        <w:t xml:space="preserve"> </w:t>
      </w:r>
      <w:r w:rsidRPr="00910987">
        <w:t>more accurately.</w:t>
      </w:r>
      <w:r>
        <w:t xml:space="preserve">  However, the NRC staff </w:t>
      </w:r>
      <w:r w:rsidR="001604B7">
        <w:t xml:space="preserve">does not </w:t>
      </w:r>
      <w:r>
        <w:t>consider</w:t>
      </w:r>
      <w:r w:rsidR="001604B7">
        <w:t xml:space="preserve"> such </w:t>
      </w:r>
      <w:r w:rsidRPr="00910987" w:rsidR="001604B7">
        <w:t>special photographic or visual sighting equipment</w:t>
      </w:r>
      <w:r w:rsidR="001604B7">
        <w:t xml:space="preserve"> to be </w:t>
      </w:r>
      <w:r w:rsidR="00830AE3">
        <w:t>a requirement</w:t>
      </w:r>
      <w:r w:rsidR="001604B7">
        <w:t xml:space="preserve">; </w:t>
      </w:r>
      <w:r w:rsidR="006A20B6">
        <w:t xml:space="preserve">rather </w:t>
      </w:r>
      <w:r w:rsidR="001604B7">
        <w:t xml:space="preserve">it is simply an enhancement licensee’s may </w:t>
      </w:r>
      <w:r w:rsidR="006A20B6">
        <w:t xml:space="preserve">choose to </w:t>
      </w:r>
      <w:r w:rsidR="001604B7">
        <w:t xml:space="preserve">make to facilitate their </w:t>
      </w:r>
      <w:r>
        <w:t>report</w:t>
      </w:r>
      <w:r w:rsidR="001604B7">
        <w:t>ing</w:t>
      </w:r>
      <w:r>
        <w:t xml:space="preserve"> of suspicious </w:t>
      </w:r>
      <w:r w:rsidR="005557E3">
        <w:t>aviation-related</w:t>
      </w:r>
      <w:r>
        <w:t xml:space="preserve"> activities.</w:t>
      </w:r>
      <w:r w:rsidRPr="00910987">
        <w:t xml:space="preserve">  </w:t>
      </w:r>
    </w:p>
    <w:p w:rsidRPr="00910987" w:rsidR="00406E8D" w:rsidRDefault="00406E8D" w14:paraId="0C31110F" w14:textId="77777777">
      <w:pPr>
        <w:ind w:firstLine="720"/>
      </w:pPr>
    </w:p>
    <w:p w:rsidRPr="00E861D4" w:rsidR="000545C6" w:rsidP="006C5C83" w:rsidRDefault="000545C6" w14:paraId="2A0339DC" w14:textId="34637088">
      <w:pPr>
        <w:pStyle w:val="Heading2"/>
        <w:numPr>
          <w:ilvl w:val="0"/>
          <w:numId w:val="0"/>
        </w:numPr>
      </w:pPr>
      <w:bookmarkStart w:name="_Toc73021766" w:id="325"/>
      <w:r>
        <w:t>A-</w:t>
      </w:r>
      <w:r w:rsidR="00E93F64">
        <w:t>5</w:t>
      </w:r>
      <w:r>
        <w:t>.</w:t>
      </w:r>
      <w:r>
        <w:tab/>
      </w:r>
      <w:r w:rsidR="004E65D1">
        <w:t>Restricted Airspace</w:t>
      </w:r>
      <w:r w:rsidR="001934D2">
        <w:t xml:space="preserve"> Designation</w:t>
      </w:r>
      <w:bookmarkEnd w:id="325"/>
    </w:p>
    <w:p w:rsidR="000545C6" w:rsidP="000545C6" w:rsidRDefault="000545C6" w14:paraId="58CF887C" w14:textId="77777777">
      <w:pPr>
        <w:ind w:firstLine="720"/>
      </w:pPr>
    </w:p>
    <w:p w:rsidR="00AA0E66" w:rsidP="00FB6280" w:rsidRDefault="007D6FA9" w14:paraId="4B026969" w14:textId="6F1B3D85">
      <w:pPr>
        <w:ind w:firstLine="720"/>
      </w:pPr>
      <w:r w:rsidRPr="007D6FA9">
        <w:t>In 2018, power reactor industry representatives coordinated with the U.S. Department of Energy (DOE) to obtain Federal sponsorship for nuclear facilities to petition the FAA for restricted airspace under 14 CFR 99.7, “Special security instructions.”</w:t>
      </w:r>
      <w:r w:rsidR="00293E80">
        <w:t xml:space="preserve"> </w:t>
      </w:r>
      <w:r w:rsidR="008F2051">
        <w:rPr>
          <w:rStyle w:val="FootnoteReference"/>
        </w:rPr>
        <w:footnoteReference w:id="7"/>
      </w:r>
      <w:r w:rsidRPr="007D6FA9">
        <w:t xml:space="preserve"> </w:t>
      </w:r>
      <w:r w:rsidR="000F767E">
        <w:t xml:space="preserve">The </w:t>
      </w:r>
      <w:r w:rsidRPr="007D6FA9">
        <w:t>Diablo Canyon Power Plant in California volunteered to pilot the process for receiving FAA approval for restricted airspace for UAS at commercial nuclear facilities. The power reactor industry representatives, the DOE, and the FAA developed a process that all operating reactor sites may use to request these airspace restrictions.</w:t>
      </w:r>
      <w:r w:rsidR="00AA0E66">
        <w:t xml:space="preserve"> </w:t>
      </w:r>
      <w:r w:rsidRPr="00E01300" w:rsidR="00E01300">
        <w:t xml:space="preserve">On October 28, 2020, Diablo Canyon received </w:t>
      </w:r>
      <w:r w:rsidR="00E01300">
        <w:t xml:space="preserve">a </w:t>
      </w:r>
      <w:r w:rsidRPr="00E01300" w:rsidR="00E01300">
        <w:t>“National Security” designation for restricted airspace</w:t>
      </w:r>
      <w:r w:rsidR="00862011">
        <w:t xml:space="preserve"> over their facility</w:t>
      </w:r>
      <w:r w:rsidRPr="00E01300" w:rsidR="00E01300">
        <w:t>.</w:t>
      </w:r>
    </w:p>
    <w:p w:rsidR="0019167D" w:rsidP="00FB6280" w:rsidRDefault="00E01300" w14:paraId="56C88D34" w14:textId="4095B9B7">
      <w:pPr>
        <w:ind w:firstLine="720"/>
      </w:pPr>
      <w:r w:rsidRPr="00E01300">
        <w:t xml:space="preserve"> </w:t>
      </w:r>
    </w:p>
    <w:p w:rsidRPr="00D90A42" w:rsidR="00020127" w:rsidP="00FB6280" w:rsidRDefault="00E01300" w14:paraId="08C698B6" w14:textId="6C185BA8">
      <w:pPr>
        <w:ind w:firstLine="720"/>
      </w:pPr>
      <w:r w:rsidRPr="00E01300">
        <w:t xml:space="preserve">The NRC encourages licensees to voluntarily </w:t>
      </w:r>
      <w:r w:rsidR="006C36BE">
        <w:t>inform</w:t>
      </w:r>
      <w:r w:rsidRPr="00E01300">
        <w:t xml:space="preserve"> the NRC Headquarters Operations Center </w:t>
      </w:r>
      <w:r w:rsidR="00AA0E66">
        <w:t xml:space="preserve">of </w:t>
      </w:r>
      <w:r w:rsidRPr="00E01300">
        <w:t xml:space="preserve">any requests to the FAA for </w:t>
      </w:r>
      <w:r w:rsidR="008726DC">
        <w:t xml:space="preserve">a </w:t>
      </w:r>
      <w:r w:rsidRPr="00E01300">
        <w:t>restricted airspace designation</w:t>
      </w:r>
      <w:r w:rsidR="000907A5">
        <w:t xml:space="preserve"> for its facilities</w:t>
      </w:r>
      <w:r w:rsidR="00862011">
        <w:t xml:space="preserve"> and </w:t>
      </w:r>
      <w:r w:rsidR="00AA0E66">
        <w:t xml:space="preserve">any action </w:t>
      </w:r>
      <w:r w:rsidR="00862011">
        <w:t xml:space="preserve">taken by </w:t>
      </w:r>
      <w:r w:rsidR="00AA0E66">
        <w:t xml:space="preserve">the FAA </w:t>
      </w:r>
      <w:r w:rsidR="00862011">
        <w:t>in response to such a request</w:t>
      </w:r>
      <w:r w:rsidR="00043CA0">
        <w:t>.</w:t>
      </w:r>
      <w:r w:rsidR="00AE4106">
        <w:t xml:space="preserve"> The</w:t>
      </w:r>
      <w:r w:rsidR="00710201">
        <w:t xml:space="preserve"> </w:t>
      </w:r>
      <w:r w:rsidRPr="00E01300" w:rsidR="00710201">
        <w:t>NRC Headquarters Operations Center</w:t>
      </w:r>
      <w:r w:rsidR="00710201">
        <w:t xml:space="preserve"> may be </w:t>
      </w:r>
      <w:r w:rsidRPr="00AB1D14" w:rsidR="000C3334">
        <w:rPr>
          <w:szCs w:val="22"/>
        </w:rPr>
        <w:t>reached by telephone 24 hours a day at the telephone numbers found in Table 1 of “Appendix A to Part 73 - U.S. Nuclear Regulatory Commission Offices and Classified Mailing Addresses.”</w:t>
      </w:r>
    </w:p>
    <w:sectPr w:rsidRPr="00D90A42" w:rsidR="00020127" w:rsidSect="00AB6BE7">
      <w:headerReference w:type="default" r:id="rId19"/>
      <w:footerReference w:type="default" r:id="rId20"/>
      <w:headerReference w:type="first" r:id="rId21"/>
      <w:footerReference w:type="first" r:id="rId22"/>
      <w:pgSz w:w="12240" w:h="15840" w:code="1"/>
      <w:pgMar w:top="1440" w:right="1440" w:bottom="1440" w:left="1440" w:header="720" w:footer="720" w:gutter="0"/>
      <w:pgNumType w:start="1"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2367" w14:textId="77777777" w:rsidR="0008026A" w:rsidRDefault="0008026A" w:rsidP="00B10635">
      <w:pPr>
        <w:pStyle w:val="Default"/>
      </w:pPr>
      <w:r>
        <w:separator/>
      </w:r>
    </w:p>
  </w:endnote>
  <w:endnote w:type="continuationSeparator" w:id="0">
    <w:p w14:paraId="1EAD0772" w14:textId="77777777" w:rsidR="0008026A" w:rsidRDefault="0008026A" w:rsidP="00B10635">
      <w:pPr>
        <w:pStyle w:val="Default"/>
      </w:pPr>
      <w:r>
        <w:continuationSeparator/>
      </w:r>
    </w:p>
  </w:endnote>
  <w:endnote w:type="continuationNotice" w:id="1">
    <w:p w14:paraId="6D65A71E" w14:textId="77777777" w:rsidR="0008026A" w:rsidRDefault="00080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4595" w14:textId="77777777" w:rsidR="00F13717" w:rsidRDefault="00F13717" w:rsidP="00105FA3">
    <w:pPr>
      <w:pStyle w:val="Footer"/>
      <w:rPr>
        <w:szCs w:val="22"/>
      </w:rPr>
    </w:pPr>
  </w:p>
  <w:p w14:paraId="67722D6F" w14:textId="77777777" w:rsidR="00F13717" w:rsidRPr="00062DFB" w:rsidRDefault="00F13717" w:rsidP="00105FA3">
    <w:pPr>
      <w:pStyle w:val="Footer"/>
      <w:rPr>
        <w:b/>
      </w:rPr>
    </w:pPr>
    <w:r>
      <w:rPr>
        <w:szCs w:val="22"/>
      </w:rPr>
      <w:t>RG 5.87</w:t>
    </w:r>
    <w:r w:rsidRPr="00101676">
      <w:rPr>
        <w:szCs w:val="22"/>
      </w:rPr>
      <w:t xml:space="preserve">, Page </w:t>
    </w:r>
    <w:r w:rsidRPr="00101676">
      <w:rPr>
        <w:szCs w:val="22"/>
      </w:rPr>
      <w:fldChar w:fldCharType="begin"/>
    </w:r>
    <w:r w:rsidRPr="00101676">
      <w:rPr>
        <w:szCs w:val="22"/>
      </w:rPr>
      <w:instrText xml:space="preserve"> PAGE   \* MERGEFORMAT </w:instrText>
    </w:r>
    <w:r w:rsidRPr="00101676">
      <w:rPr>
        <w:szCs w:val="22"/>
      </w:rPr>
      <w:fldChar w:fldCharType="separate"/>
    </w:r>
    <w:r>
      <w:rPr>
        <w:noProof/>
        <w:szCs w:val="22"/>
      </w:rPr>
      <w:t>24</w:t>
    </w:r>
    <w:r w:rsidRPr="00101676">
      <w:rP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9360"/>
    </w:tblGrid>
    <w:tr w:rsidR="00F13717" w:rsidRPr="002F4DD3" w14:paraId="30D87C14" w14:textId="77777777" w:rsidTr="00062DFB">
      <w:tc>
        <w:tcPr>
          <w:tcW w:w="9360" w:type="dxa"/>
          <w:shd w:val="clear" w:color="auto" w:fill="auto"/>
        </w:tcPr>
        <w:p w14:paraId="4BA22664" w14:textId="77777777" w:rsidR="00F13717" w:rsidRPr="002F4DD3" w:rsidRDefault="00F13717" w:rsidP="001E1CCC">
          <w:pPr>
            <w:rPr>
              <w:sz w:val="18"/>
            </w:rPr>
          </w:pPr>
          <w:r w:rsidRPr="002F4DD3">
            <w:rPr>
              <w:sz w:val="18"/>
            </w:rPr>
            <w:t xml:space="preserve">Written suggestions regarding this guide or development of new guides may be submitted through the NRC’s public Web site </w:t>
          </w:r>
          <w:r>
            <w:rPr>
              <w:sz w:val="18"/>
            </w:rPr>
            <w:t xml:space="preserve">in </w:t>
          </w:r>
          <w:r w:rsidRPr="002F4DD3">
            <w:rPr>
              <w:sz w:val="18"/>
            </w:rPr>
            <w:t>the NRC Library</w:t>
          </w:r>
          <w:r>
            <w:rPr>
              <w:sz w:val="18"/>
            </w:rPr>
            <w:t xml:space="preserve"> at</w:t>
          </w:r>
          <w:r w:rsidRPr="002F4DD3">
            <w:rPr>
              <w:sz w:val="18"/>
            </w:rPr>
            <w:t xml:space="preserve"> </w:t>
          </w:r>
          <w:hyperlink r:id="rId1" w:history="1">
            <w:r w:rsidRPr="003D74C3">
              <w:rPr>
                <w:rStyle w:val="Hyperlink"/>
                <w:sz w:val="16"/>
                <w:szCs w:val="16"/>
              </w:rPr>
              <w:t>https://nrcweb.nrc.gov/reading-rm/doc-collections/reg-guides/</w:t>
            </w:r>
          </w:hyperlink>
          <w:r>
            <w:t xml:space="preserve">, </w:t>
          </w:r>
          <w:r>
            <w:rPr>
              <w:sz w:val="18"/>
            </w:rPr>
            <w:t>under Document C</w:t>
          </w:r>
          <w:r w:rsidRPr="002F4DD3">
            <w:rPr>
              <w:sz w:val="18"/>
            </w:rPr>
            <w:t>ollection</w:t>
          </w:r>
          <w:r>
            <w:rPr>
              <w:sz w:val="18"/>
            </w:rPr>
            <w:t xml:space="preserve">s, in Regulatory Guides, at </w:t>
          </w:r>
          <w:hyperlink r:id="rId2" w:history="1">
            <w:r w:rsidRPr="003D74C3">
              <w:rPr>
                <w:rStyle w:val="Hyperlink"/>
                <w:sz w:val="16"/>
                <w:szCs w:val="16"/>
              </w:rPr>
              <w:t>https://nrcweb.nrc.gov/reading-rm/doc-collections/reg-guides/contactus.html</w:t>
            </w:r>
          </w:hyperlink>
          <w:r>
            <w:rPr>
              <w:sz w:val="16"/>
              <w:szCs w:val="16"/>
            </w:rPr>
            <w:t xml:space="preserve">. </w:t>
          </w:r>
        </w:p>
        <w:p w14:paraId="26A7AD76" w14:textId="77777777" w:rsidR="00F13717" w:rsidRPr="002F4DD3" w:rsidRDefault="00F13717" w:rsidP="001E1CCC">
          <w:pPr>
            <w:rPr>
              <w:sz w:val="18"/>
            </w:rPr>
          </w:pPr>
          <w:r w:rsidRPr="002F4DD3">
            <w:rPr>
              <w:sz w:val="18"/>
            </w:rPr>
            <w:tab/>
          </w:r>
        </w:p>
        <w:p w14:paraId="09B64743" w14:textId="0FD120F4" w:rsidR="00F13717" w:rsidRPr="002F4DD3" w:rsidRDefault="00F13717" w:rsidP="00062DFB">
          <w:pPr>
            <w:rPr>
              <w:sz w:val="18"/>
            </w:rPr>
          </w:pPr>
          <w:r w:rsidRPr="002F4DD3">
            <w:rPr>
              <w:sz w:val="18"/>
            </w:rPr>
            <w:t xml:space="preserve">Electronic copies of this </w:t>
          </w:r>
          <w:r>
            <w:rPr>
              <w:sz w:val="18"/>
            </w:rPr>
            <w:t>RG</w:t>
          </w:r>
          <w:r w:rsidRPr="002F4DD3">
            <w:rPr>
              <w:sz w:val="18"/>
            </w:rPr>
            <w:t xml:space="preserve">, previous versions of </w:t>
          </w:r>
          <w:r>
            <w:rPr>
              <w:sz w:val="18"/>
            </w:rPr>
            <w:t>RGs</w:t>
          </w:r>
          <w:r w:rsidRPr="002F4DD3">
            <w:rPr>
              <w:sz w:val="18"/>
            </w:rPr>
            <w:t xml:space="preserve">, and other recently issued guides are </w:t>
          </w:r>
          <w:r>
            <w:rPr>
              <w:sz w:val="18"/>
            </w:rPr>
            <w:t xml:space="preserve">also </w:t>
          </w:r>
          <w:r w:rsidRPr="002F4DD3">
            <w:rPr>
              <w:sz w:val="18"/>
            </w:rPr>
            <w:t xml:space="preserve">available through the NRC’s public Web site </w:t>
          </w:r>
          <w:r>
            <w:rPr>
              <w:sz w:val="18"/>
            </w:rPr>
            <w:t xml:space="preserve">in </w:t>
          </w:r>
          <w:r w:rsidRPr="002F4DD3">
            <w:rPr>
              <w:sz w:val="18"/>
            </w:rPr>
            <w:t xml:space="preserve">the NRC Library at </w:t>
          </w:r>
          <w:hyperlink r:id="rId3" w:history="1">
            <w:r w:rsidRPr="00A652DC">
              <w:rPr>
                <w:rStyle w:val="Hyperlink"/>
                <w:sz w:val="16"/>
                <w:szCs w:val="16"/>
              </w:rPr>
              <w:t>https://nrcweb.nrc.gov/reading-rm/doc-collections/reg-guides/</w:t>
            </w:r>
          </w:hyperlink>
          <w:r>
            <w:rPr>
              <w:sz w:val="18"/>
            </w:rPr>
            <w:t>, under Document Collections, in Regulatory Guides. This</w:t>
          </w:r>
          <w:r w:rsidRPr="002F4DD3">
            <w:rPr>
              <w:sz w:val="18"/>
            </w:rPr>
            <w:t xml:space="preserve"> </w:t>
          </w:r>
          <w:r>
            <w:rPr>
              <w:sz w:val="18"/>
            </w:rPr>
            <w:t>RG</w:t>
          </w:r>
          <w:r w:rsidRPr="002F4DD3">
            <w:rPr>
              <w:sz w:val="18"/>
            </w:rPr>
            <w:t xml:space="preserve"> is also available through the NRC’s Agencywide Documents Access and Management System (ADAMS) at </w:t>
          </w:r>
          <w:hyperlink r:id="rId4" w:history="1">
            <w:r w:rsidR="00036912">
              <w:rPr>
                <w:rStyle w:val="Hyperlink"/>
                <w:sz w:val="18"/>
              </w:rPr>
              <w:t>https://www.nrc.gov/reading-rm/adams.html</w:t>
            </w:r>
          </w:hyperlink>
          <w:r w:rsidRPr="002F4DD3">
            <w:rPr>
              <w:sz w:val="18"/>
            </w:rPr>
            <w:t xml:space="preserve">, under ADAMS Accession </w:t>
          </w:r>
          <w:r>
            <w:rPr>
              <w:sz w:val="18"/>
            </w:rPr>
            <w:t>Number (No.)</w:t>
          </w:r>
          <w:r w:rsidRPr="002F4DD3">
            <w:rPr>
              <w:sz w:val="18"/>
            </w:rPr>
            <w:t xml:space="preserve"> </w:t>
          </w:r>
          <w:r w:rsidRPr="00925FCD">
            <w:rPr>
              <w:sz w:val="18"/>
            </w:rPr>
            <w:t>ML17132A163</w:t>
          </w:r>
          <w:r w:rsidRPr="002F4DD3">
            <w:rPr>
              <w:sz w:val="18"/>
            </w:rPr>
            <w:t>. The regulatory analysis may be fo</w:t>
          </w:r>
          <w:r>
            <w:rPr>
              <w:sz w:val="18"/>
            </w:rPr>
            <w:t>und in ADAMS under Accession No.</w:t>
          </w:r>
          <w:r w:rsidRPr="002F4DD3">
            <w:rPr>
              <w:sz w:val="18"/>
            </w:rPr>
            <w:t xml:space="preserve"> </w:t>
          </w:r>
          <w:r w:rsidRPr="00925FCD">
            <w:rPr>
              <w:sz w:val="18"/>
            </w:rPr>
            <w:t>ML16278A235</w:t>
          </w:r>
          <w:r>
            <w:rPr>
              <w:sz w:val="18"/>
            </w:rPr>
            <w:t>. T</w:t>
          </w:r>
          <w:r w:rsidRPr="002F4DD3">
            <w:rPr>
              <w:sz w:val="18"/>
            </w:rPr>
            <w:t>he</w:t>
          </w:r>
          <w:r>
            <w:rPr>
              <w:sz w:val="18"/>
            </w:rPr>
            <w:t xml:space="preserve"> associated draft guide</w:t>
          </w:r>
          <w:r w:rsidRPr="002F4DD3">
            <w:rPr>
              <w:sz w:val="18"/>
            </w:rPr>
            <w:t xml:space="preserve"> </w:t>
          </w:r>
          <w:r w:rsidRPr="00925FCD">
            <w:rPr>
              <w:sz w:val="18"/>
            </w:rPr>
            <w:t>DG-5019, Revision 1</w:t>
          </w:r>
          <w:r w:rsidRPr="00975E1E">
            <w:rPr>
              <w:sz w:val="18"/>
            </w:rPr>
            <w:t>,</w:t>
          </w:r>
          <w:r>
            <w:rPr>
              <w:sz w:val="18"/>
            </w:rPr>
            <w:t xml:space="preserve"> may be found in ADAMS under Accession No. </w:t>
          </w:r>
          <w:r w:rsidRPr="00925FCD">
            <w:rPr>
              <w:sz w:val="18"/>
            </w:rPr>
            <w:t>ML100830413</w:t>
          </w:r>
          <w:r>
            <w:rPr>
              <w:sz w:val="18"/>
            </w:rPr>
            <w:t xml:space="preserve">, and the </w:t>
          </w:r>
          <w:r w:rsidRPr="002F4DD3">
            <w:rPr>
              <w:sz w:val="18"/>
            </w:rPr>
            <w:t xml:space="preserve">staff responses to the public comments on </w:t>
          </w:r>
          <w:r w:rsidRPr="00925FCD">
            <w:rPr>
              <w:sz w:val="18"/>
            </w:rPr>
            <w:t xml:space="preserve">DG-5019, Revision 1, </w:t>
          </w:r>
          <w:r w:rsidRPr="002F4DD3">
            <w:rPr>
              <w:sz w:val="18"/>
            </w:rPr>
            <w:t>may be found under ADAMS Accession No</w:t>
          </w:r>
          <w:bookmarkStart w:id="312" w:name="_Hlk32392198"/>
          <w:r w:rsidRPr="002F4DD3">
            <w:rPr>
              <w:sz w:val="18"/>
            </w:rPr>
            <w:t xml:space="preserve">. </w:t>
          </w:r>
          <w:r w:rsidRPr="00925FCD">
            <w:rPr>
              <w:sz w:val="18"/>
            </w:rPr>
            <w:t>ML17123A319</w:t>
          </w:r>
          <w:bookmarkEnd w:id="312"/>
          <w:r w:rsidRPr="002F4DD3">
            <w:rPr>
              <w:sz w:val="18"/>
            </w:rPr>
            <w:t>.</w:t>
          </w:r>
        </w:p>
      </w:tc>
    </w:tr>
  </w:tbl>
  <w:p w14:paraId="7C1CE194" w14:textId="77777777" w:rsidR="00F13717" w:rsidRDefault="00F13717" w:rsidP="008863CB">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BAFB" w14:textId="65E4FF2D" w:rsidR="00F13717" w:rsidRPr="00062DFB" w:rsidRDefault="00F13717" w:rsidP="00105FA3">
    <w:pPr>
      <w:pStyle w:val="Footer"/>
      <w:rPr>
        <w:b/>
      </w:rPr>
    </w:pPr>
    <w:r>
      <w:rPr>
        <w:szCs w:val="22"/>
      </w:rPr>
      <w:t>Appendix A to RG 5.87</w:t>
    </w:r>
    <w:r w:rsidRPr="00101676">
      <w:rPr>
        <w:szCs w:val="22"/>
      </w:rPr>
      <w:t xml:space="preserve">, Page </w:t>
    </w:r>
    <w:r>
      <w:rPr>
        <w:szCs w:val="22"/>
      </w:rPr>
      <w:t>A-</w:t>
    </w:r>
    <w:r w:rsidRPr="00101676">
      <w:rPr>
        <w:szCs w:val="22"/>
      </w:rPr>
      <w:fldChar w:fldCharType="begin"/>
    </w:r>
    <w:r w:rsidRPr="00101676">
      <w:rPr>
        <w:szCs w:val="22"/>
      </w:rPr>
      <w:instrText xml:space="preserve"> PAGE   \* MERGEFORMAT </w:instrText>
    </w:r>
    <w:r w:rsidRPr="00101676">
      <w:rPr>
        <w:szCs w:val="22"/>
      </w:rPr>
      <w:fldChar w:fldCharType="separate"/>
    </w:r>
    <w:r>
      <w:rPr>
        <w:noProof/>
        <w:szCs w:val="22"/>
      </w:rPr>
      <w:t>24</w:t>
    </w:r>
    <w:r w:rsidRPr="00101676">
      <w:rPr>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12B9" w14:textId="3919DB30" w:rsidR="00F13717" w:rsidRDefault="00F13717" w:rsidP="008863CB">
    <w:pPr>
      <w:pStyle w:val="Footer"/>
      <w:rPr>
        <w:b/>
      </w:rPr>
    </w:pPr>
    <w:r>
      <w:rPr>
        <w:b/>
      </w:rPr>
      <w:t>Appendix A to RG 5.87, Page A-</w:t>
    </w:r>
    <w:r w:rsidRPr="0070625C">
      <w:rPr>
        <w:b/>
      </w:rPr>
      <w:fldChar w:fldCharType="begin"/>
    </w:r>
    <w:r w:rsidRPr="0070625C">
      <w:rPr>
        <w:b/>
      </w:rPr>
      <w:instrText xml:space="preserve"> PAGE   \* MERGEFORMAT </w:instrText>
    </w:r>
    <w:r w:rsidRPr="0070625C">
      <w:rPr>
        <w:b/>
      </w:rPr>
      <w:fldChar w:fldCharType="separate"/>
    </w:r>
    <w:r w:rsidRPr="0070625C">
      <w:rPr>
        <w:b/>
        <w:noProof/>
      </w:rPr>
      <w:t>1</w:t>
    </w:r>
    <w:r w:rsidRPr="0070625C">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765C" w14:textId="77777777" w:rsidR="0008026A" w:rsidRDefault="0008026A" w:rsidP="00B10635">
      <w:pPr>
        <w:pStyle w:val="Default"/>
      </w:pPr>
      <w:r>
        <w:separator/>
      </w:r>
    </w:p>
  </w:footnote>
  <w:footnote w:type="continuationSeparator" w:id="0">
    <w:p w14:paraId="5CE33DDA" w14:textId="77777777" w:rsidR="0008026A" w:rsidRDefault="0008026A" w:rsidP="00B10635">
      <w:pPr>
        <w:pStyle w:val="Default"/>
      </w:pPr>
      <w:r>
        <w:continuationSeparator/>
      </w:r>
    </w:p>
  </w:footnote>
  <w:footnote w:type="continuationNotice" w:id="1">
    <w:p w14:paraId="733390A5" w14:textId="77777777" w:rsidR="0008026A" w:rsidRDefault="0008026A"/>
  </w:footnote>
  <w:footnote w:id="2">
    <w:p w14:paraId="0F0EF2C1" w14:textId="31F65F0C" w:rsidR="00772A53" w:rsidRDefault="00772A53" w:rsidP="00772A53">
      <w:pPr>
        <w:pStyle w:val="FootnoteText"/>
        <w:ind w:left="360" w:hanging="360"/>
      </w:pPr>
      <w:r>
        <w:rPr>
          <w:rStyle w:val="FootnoteReference"/>
        </w:rPr>
        <w:footnoteRef/>
      </w:r>
      <w:r>
        <w:t xml:space="preserve"> </w:t>
      </w:r>
      <w:r>
        <w:tab/>
        <w:t xml:space="preserve">The NRC staff intends to develop a separate </w:t>
      </w:r>
      <w:r w:rsidR="007949FC">
        <w:t xml:space="preserve">guidance </w:t>
      </w:r>
      <w:r>
        <w:t xml:space="preserve">document on suspicious activity reporting following licensee’s implementation of 10 CFR 73.1215. </w:t>
      </w:r>
      <w:r w:rsidR="00661CB3">
        <w:t xml:space="preserve">The staff intends to hold a </w:t>
      </w:r>
      <w:r w:rsidR="008E2643">
        <w:t>question and answer (</w:t>
      </w:r>
      <w:r w:rsidR="00661CB3">
        <w:t>Q&amp;A</w:t>
      </w:r>
      <w:r w:rsidR="008E2643">
        <w:t>)</w:t>
      </w:r>
      <w:r w:rsidR="00661CB3">
        <w:t xml:space="preserve"> workshop </w:t>
      </w:r>
      <w:proofErr w:type="gramStart"/>
      <w:r w:rsidR="00661CB3">
        <w:t>subsequent to</w:t>
      </w:r>
      <w:proofErr w:type="gramEnd"/>
      <w:r w:rsidR="00661CB3">
        <w:t xml:space="preserve"> the 300-day compliance period for implement</w:t>
      </w:r>
      <w:r w:rsidR="008930E7">
        <w:t>ing the</w:t>
      </w:r>
      <w:r w:rsidR="00661CB3">
        <w:t xml:space="preserve"> new suspicious activity reporting </w:t>
      </w:r>
      <w:r w:rsidR="00845898">
        <w:t>requirements to allow licensees to share lessons learned</w:t>
      </w:r>
      <w:r w:rsidR="00F96DAD">
        <w:t xml:space="preserve"> from the implementation process</w:t>
      </w:r>
      <w:r w:rsidR="00661CB3">
        <w:t xml:space="preserve">. </w:t>
      </w:r>
      <w:r w:rsidR="008E2643">
        <w:t xml:space="preserve">Issues raised during the Q&amp;A workshop will inform the </w:t>
      </w:r>
      <w:r w:rsidR="00F96DAD">
        <w:t xml:space="preserve">NRC staff’s </w:t>
      </w:r>
      <w:r w:rsidR="008E2643">
        <w:t xml:space="preserve">development of this </w:t>
      </w:r>
      <w:r w:rsidR="00D70DAF">
        <w:t>guidance</w:t>
      </w:r>
      <w:r w:rsidR="008E2643">
        <w:t xml:space="preserve"> document. </w:t>
      </w:r>
    </w:p>
  </w:footnote>
  <w:footnote w:id="3">
    <w:p w14:paraId="0548ADAD" w14:textId="09C50BB2" w:rsidR="00F13717" w:rsidRDefault="00F13717">
      <w:pPr>
        <w:pStyle w:val="FootnoteText"/>
      </w:pPr>
      <w:r>
        <w:rPr>
          <w:rStyle w:val="FootnoteReference"/>
        </w:rPr>
        <w:footnoteRef/>
      </w:r>
      <w:r>
        <w:t xml:space="preserve"> </w:t>
      </w:r>
      <w:r>
        <w:tab/>
      </w:r>
      <w:r w:rsidRPr="007945FD">
        <w:t xml:space="preserve">The FAA classifies UAS </w:t>
      </w:r>
      <w:r>
        <w:t>under 14 CFR 1.1</w:t>
      </w:r>
      <w:r w:rsidRPr="007945FD">
        <w:t xml:space="preserve"> “General definitions</w:t>
      </w:r>
      <w:r>
        <w:t>,</w:t>
      </w:r>
      <w:r w:rsidRPr="007945FD">
        <w:t>”</w:t>
      </w:r>
      <w:r>
        <w:t xml:space="preserve"> (Ref. 20) </w:t>
      </w:r>
      <w:r w:rsidRPr="007945FD">
        <w:t>into three broad categories: (1) UAS used as public aircraft, (2) UAS used as civil aircraft, and (3) UAS used as model aircraft</w:t>
      </w:r>
      <w:r>
        <w:t>.</w:t>
      </w:r>
    </w:p>
  </w:footnote>
  <w:footnote w:id="4">
    <w:p w14:paraId="5EB86991" w14:textId="77777777" w:rsidR="00F13717" w:rsidRDefault="00F13717" w:rsidP="00DC049B">
      <w:pPr>
        <w:pStyle w:val="FootnoteText"/>
      </w:pPr>
      <w:r>
        <w:rPr>
          <w:rStyle w:val="FootnoteReference"/>
        </w:rPr>
        <w:footnoteRef/>
      </w:r>
      <w:r>
        <w:t xml:space="preserve"> </w:t>
      </w:r>
      <w:r>
        <w:tab/>
      </w:r>
      <w:r w:rsidRPr="00A372F9">
        <w:t xml:space="preserve">A UAS as defined in 14 CFR 1.1 as a </w:t>
      </w:r>
      <w:proofErr w:type="gramStart"/>
      <w:r w:rsidRPr="00A372F9">
        <w:t>small unmanned</w:t>
      </w:r>
      <w:proofErr w:type="gramEnd"/>
      <w:r w:rsidRPr="00A372F9">
        <w:t xml:space="preserve"> aircraft and its associated elements (including communication links and the components that control the small unmanned aircraft) that are required for the safe operation of the small unmanned aircraft in the national airspace system.</w:t>
      </w:r>
    </w:p>
  </w:footnote>
  <w:footnote w:id="5">
    <w:p w14:paraId="135574F9" w14:textId="329300CC" w:rsidR="00F13717" w:rsidRPr="00212F6A" w:rsidRDefault="00F13717" w:rsidP="003A5DF8">
      <w:pPr>
        <w:pStyle w:val="FootnoteText"/>
        <w:ind w:left="360" w:hanging="360"/>
      </w:pPr>
      <w:r w:rsidRPr="00331A5B">
        <w:rPr>
          <w:vertAlign w:val="superscript"/>
        </w:rPr>
        <w:footnoteRef/>
      </w:r>
      <w:r w:rsidRPr="00E51DDD">
        <w:tab/>
      </w:r>
      <w:r w:rsidRPr="00121B43">
        <w:t xml:space="preserve">Publicly available NRC published documents are available electronically through the NRC Library on the NRC’s public Web site at </w:t>
      </w:r>
      <w:hyperlink r:id="rId1" w:history="1">
        <w:r w:rsidR="007E6349">
          <w:rPr>
            <w:rStyle w:val="Hyperlink"/>
          </w:rPr>
          <w:t>https://www.nrc.gov/reading-rm/doc-collections/reg-guides/contactus.html</w:t>
        </w:r>
      </w:hyperlink>
      <w:r w:rsidRPr="009479C7">
        <w:rPr>
          <w:rStyle w:val="Hyperlink"/>
          <w:u w:val="none"/>
        </w:rPr>
        <w:t xml:space="preserve"> </w:t>
      </w:r>
      <w:r w:rsidRPr="00121B43">
        <w:rPr>
          <w:rStyle w:val="Hyperlink"/>
          <w:color w:val="auto"/>
          <w:u w:val="none"/>
        </w:rPr>
        <w:t xml:space="preserve">and </w:t>
      </w:r>
      <w:r w:rsidRPr="00121B43">
        <w:t xml:space="preserve">through the NRC’s Agencywide Documents Access and Management System (ADAMS) at </w:t>
      </w:r>
      <w:hyperlink r:id="rId2" w:history="1">
        <w:r w:rsidR="007E6349">
          <w:rPr>
            <w:rStyle w:val="Hyperlink"/>
          </w:rPr>
          <w:t>https://www.nrc.gov/reading-rm/adams.html</w:t>
        </w:r>
      </w:hyperlink>
      <w:r>
        <w:rPr>
          <w:rStyle w:val="Hyperlink"/>
        </w:rPr>
        <w:t xml:space="preserve">. </w:t>
      </w:r>
      <w:r w:rsidRPr="00121B43">
        <w:t>The documents can also be viewed online or printed for a fee in the NRC’s Public Document Room (PDR) at 11555 Rockville Pike, Rockville, MD</w:t>
      </w:r>
      <w:r>
        <w:t xml:space="preserve">. </w:t>
      </w:r>
      <w:r w:rsidRPr="00121B43">
        <w:t>For problems with ADAMS, contact the PDR staff at 301</w:t>
      </w:r>
      <w:r>
        <w:noBreakHyphen/>
      </w:r>
      <w:r w:rsidRPr="00121B43">
        <w:t>415</w:t>
      </w:r>
      <w:r>
        <w:noBreakHyphen/>
      </w:r>
      <w:r w:rsidRPr="00121B43">
        <w:t>4737 or (800) 397-4209; fax (301) 415</w:t>
      </w:r>
      <w:r>
        <w:noBreakHyphen/>
      </w:r>
      <w:r w:rsidRPr="00121B43">
        <w:t>3548; or e</w:t>
      </w:r>
      <w:r>
        <w:noBreakHyphen/>
      </w:r>
      <w:r w:rsidRPr="00121B43">
        <w:t xml:space="preserve">mail </w:t>
      </w:r>
      <w:hyperlink r:id="rId3" w:history="1">
        <w:r w:rsidRPr="00121B43">
          <w:rPr>
            <w:rStyle w:val="Hyperlink"/>
          </w:rPr>
          <w:t>pdr.resource@nrc.gov</w:t>
        </w:r>
      </w:hyperlink>
      <w:r w:rsidRPr="00121B43">
        <w:t>.</w:t>
      </w:r>
      <w:r w:rsidRPr="001C38F0">
        <w:t xml:space="preserve"> </w:t>
      </w:r>
    </w:p>
    <w:p w14:paraId="50751D98" w14:textId="77777777" w:rsidR="00F13717" w:rsidRPr="00E51DDD" w:rsidRDefault="00F13717" w:rsidP="001C38F0">
      <w:pPr>
        <w:rPr>
          <w:sz w:val="18"/>
          <w:szCs w:val="18"/>
        </w:rPr>
      </w:pPr>
    </w:p>
  </w:footnote>
  <w:footnote w:id="6">
    <w:p w14:paraId="6BAE347D" w14:textId="2D99EDA8" w:rsidR="00F13717" w:rsidRDefault="00F13717">
      <w:pPr>
        <w:pStyle w:val="FootnoteText"/>
      </w:pPr>
      <w:r>
        <w:rPr>
          <w:rStyle w:val="FootnoteReference"/>
        </w:rPr>
        <w:footnoteRef/>
      </w:r>
      <w:r>
        <w:t xml:space="preserve"> </w:t>
      </w:r>
      <w:r>
        <w:tab/>
        <w:t xml:space="preserve">Several Websites are available to aid in identifying </w:t>
      </w:r>
      <w:r w:rsidR="00FC7C4E">
        <w:t xml:space="preserve">aircraft </w:t>
      </w:r>
      <w:r>
        <w:t xml:space="preserve">N-numbers.  These include: https://www.faa.gov/licenses_certificates/aircraft_certification/aircraft_registry/ , </w:t>
      </w:r>
      <w:hyperlink r:id="rId4" w:history="1">
        <w:r w:rsidRPr="003C4C48">
          <w:rPr>
            <w:rStyle w:val="Hyperlink"/>
          </w:rPr>
          <w:t>https://www.faa.gov/licenses_certificates/airmen_certification/</w:t>
        </w:r>
      </w:hyperlink>
      <w:r>
        <w:t xml:space="preserve">, and </w:t>
      </w:r>
      <w:hyperlink r:id="rId5" w:history="1">
        <w:r w:rsidR="00026C58">
          <w:rPr>
            <w:rStyle w:val="Hyperlink"/>
          </w:rPr>
          <w:t>http://www.landings.com/</w:t>
        </w:r>
      </w:hyperlink>
      <w:r w:rsidR="00E02E3F">
        <w:rPr>
          <w:color w:val="0000FF"/>
        </w:rPr>
        <w:t xml:space="preserve"> (a non-government website)</w:t>
      </w:r>
      <w:r>
        <w:t xml:space="preserve">.  </w:t>
      </w:r>
    </w:p>
  </w:footnote>
  <w:footnote w:id="7">
    <w:p w14:paraId="06BCC254" w14:textId="768FE58F" w:rsidR="00F13717" w:rsidRDefault="00F13717">
      <w:pPr>
        <w:pStyle w:val="FootnoteText"/>
      </w:pPr>
      <w:r>
        <w:rPr>
          <w:rStyle w:val="FootnoteReference"/>
        </w:rPr>
        <w:footnoteRef/>
      </w:r>
      <w:r>
        <w:t xml:space="preserve"> </w:t>
      </w:r>
      <w:r>
        <w:tab/>
      </w:r>
      <w:r w:rsidR="00A639B6">
        <w:t xml:space="preserve">Unmanned aircraft </w:t>
      </w:r>
      <w:r w:rsidRPr="008F2051">
        <w:t>are prohibited from flying over designated national security sensitive facilities</w:t>
      </w:r>
      <w:r w:rsidR="00A639B6">
        <w:t xml:space="preserve"> without lawful cause</w:t>
      </w:r>
      <w:r w:rsidRPr="008F2051">
        <w:t xml:space="preserve">. Operations are prohibited from the ground up to 400 feet above ground level, and </w:t>
      </w:r>
      <w:r>
        <w:t xml:space="preserve">this restriction </w:t>
      </w:r>
      <w:r w:rsidRPr="008F2051">
        <w:t>appl</w:t>
      </w:r>
      <w:r>
        <w:t>ies</w:t>
      </w:r>
      <w:r w:rsidRPr="008F2051">
        <w:t xml:space="preserve"> to all types and purposes of UAS flight operations, according to the FAA.</w:t>
      </w:r>
      <w:r>
        <w:t xml:space="preserve"> Licensees conducting UAS flight operations within a restricted airspace above its own facility should discuss this planned operation in advance with their local FAA air traffic control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8210" w14:textId="66610913" w:rsidR="00F13717" w:rsidRDefault="00F13717" w:rsidP="00105FA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F13717" w:rsidRPr="007E728B" w14:paraId="1F40E700" w14:textId="77777777" w:rsidTr="00CB2CE7">
      <w:trPr>
        <w:jc w:val="center"/>
      </w:trPr>
      <w:tc>
        <w:tcPr>
          <w:tcW w:w="9350" w:type="dxa"/>
          <w:gridSpan w:val="3"/>
        </w:tcPr>
        <w:p w14:paraId="6DB04B2D" w14:textId="77777777" w:rsidR="00F13717" w:rsidRPr="00D14A86" w:rsidRDefault="00F13717" w:rsidP="00896DB7">
          <w:pPr>
            <w:jc w:val="center"/>
            <w:rPr>
              <w:sz w:val="36"/>
              <w:szCs w:val="36"/>
            </w:rPr>
          </w:pPr>
          <w:r w:rsidRPr="00D14A86">
            <w:rPr>
              <w:rFonts w:ascii="Arial" w:hAnsi="Arial" w:cs="Arial"/>
              <w:b/>
              <w:bCs/>
              <w:color w:val="000000"/>
              <w:sz w:val="36"/>
              <w:szCs w:val="36"/>
            </w:rPr>
            <w:t>U.S. NUCLEAR REGULATORY COMMISSION</w:t>
          </w:r>
        </w:p>
      </w:tc>
    </w:tr>
    <w:tr w:rsidR="00F13717" w:rsidRPr="007E728B" w14:paraId="36027026" w14:textId="77777777" w:rsidTr="00CB2CE7">
      <w:trPr>
        <w:jc w:val="center"/>
      </w:trPr>
      <w:tc>
        <w:tcPr>
          <w:tcW w:w="1435" w:type="dxa"/>
          <w:vMerge w:val="restart"/>
        </w:tcPr>
        <w:p w14:paraId="17EAA2F9" w14:textId="77777777" w:rsidR="00F13717" w:rsidRPr="007E728B" w:rsidRDefault="00F13717" w:rsidP="00896DB7">
          <w:pPr>
            <w:rPr>
              <w:sz w:val="40"/>
            </w:rPr>
          </w:pPr>
          <w:r>
            <w:rPr>
              <w:noProof/>
            </w:rPr>
            <w:drawing>
              <wp:inline distT="0" distB="0" distL="0" distR="0" wp14:anchorId="3682547E" wp14:editId="40F03832">
                <wp:extent cx="914400" cy="899160"/>
                <wp:effectExtent l="0" t="0" r="0" b="0"/>
                <wp:docPr id="4" name="Picture 4"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3B5E.C2591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99160"/>
                        </a:xfrm>
                        <a:prstGeom prst="rect">
                          <a:avLst/>
                        </a:prstGeom>
                        <a:noFill/>
                        <a:ln>
                          <a:noFill/>
                        </a:ln>
                      </pic:spPr>
                    </pic:pic>
                  </a:graphicData>
                </a:graphic>
              </wp:inline>
            </w:drawing>
          </w:r>
        </w:p>
      </w:tc>
      <w:tc>
        <w:tcPr>
          <w:tcW w:w="6570" w:type="dxa"/>
        </w:tcPr>
        <w:p w14:paraId="1F7AF83C" w14:textId="77777777" w:rsidR="00F13717" w:rsidRPr="00F766D8" w:rsidRDefault="00F13717" w:rsidP="00896DB7">
          <w:pPr>
            <w:jc w:val="center"/>
            <w:rPr>
              <w:sz w:val="28"/>
              <w:szCs w:val="28"/>
            </w:rPr>
          </w:pPr>
          <w:r>
            <w:rPr>
              <w:rFonts w:ascii="Arial" w:hAnsi="Arial" w:cs="Arial"/>
              <w:b/>
              <w:bCs/>
              <w:sz w:val="28"/>
              <w:szCs w:val="28"/>
            </w:rPr>
            <w:t xml:space="preserve">REGULATORY GUIDE </w:t>
          </w:r>
          <w:r w:rsidRPr="00CD638F">
            <w:rPr>
              <w:rFonts w:ascii="Arial" w:hAnsi="Arial" w:cs="Arial"/>
              <w:b/>
              <w:bCs/>
              <w:sz w:val="28"/>
              <w:szCs w:val="28"/>
            </w:rPr>
            <w:t>5.87</w:t>
          </w:r>
          <w:r>
            <w:rPr>
              <w:rFonts w:ascii="Arial" w:hAnsi="Arial" w:cs="Arial"/>
              <w:b/>
              <w:bCs/>
              <w:sz w:val="28"/>
              <w:szCs w:val="28"/>
            </w:rPr>
            <w:t xml:space="preserve">, REVISION </w:t>
          </w:r>
          <w:r w:rsidRPr="00CD638F">
            <w:rPr>
              <w:rFonts w:ascii="Arial" w:hAnsi="Arial" w:cs="Arial"/>
              <w:b/>
              <w:bCs/>
              <w:sz w:val="28"/>
              <w:szCs w:val="28"/>
            </w:rPr>
            <w:t>0</w:t>
          </w:r>
        </w:p>
      </w:tc>
      <w:tc>
        <w:tcPr>
          <w:tcW w:w="1345" w:type="dxa"/>
        </w:tcPr>
        <w:p w14:paraId="4B91DE1A" w14:textId="77777777" w:rsidR="00F13717" w:rsidRPr="008B423E" w:rsidRDefault="00F13717" w:rsidP="00896DB7">
          <w:pPr>
            <w:jc w:val="center"/>
            <w:rPr>
              <w:sz w:val="36"/>
              <w:szCs w:val="36"/>
            </w:rPr>
          </w:pPr>
        </w:p>
      </w:tc>
    </w:tr>
    <w:tr w:rsidR="00F13717" w:rsidRPr="007E728B" w14:paraId="02821AE5" w14:textId="77777777" w:rsidTr="00CB2CE7">
      <w:trPr>
        <w:trHeight w:val="1113"/>
        <w:jc w:val="center"/>
      </w:trPr>
      <w:tc>
        <w:tcPr>
          <w:tcW w:w="1435" w:type="dxa"/>
          <w:vMerge/>
        </w:tcPr>
        <w:p w14:paraId="16954071" w14:textId="77777777" w:rsidR="00F13717" w:rsidRPr="007A0E90" w:rsidRDefault="00F13717" w:rsidP="00896DB7">
          <w:pPr>
            <w:rPr>
              <w:sz w:val="2"/>
            </w:rPr>
          </w:pPr>
        </w:p>
      </w:tc>
      <w:tc>
        <w:tcPr>
          <w:tcW w:w="7915" w:type="dxa"/>
          <w:gridSpan w:val="2"/>
        </w:tcPr>
        <w:p w14:paraId="76D5F255" w14:textId="2A809E49" w:rsidR="00F13717" w:rsidRDefault="00F13717" w:rsidP="00896DB7">
          <w:pPr>
            <w:tabs>
              <w:tab w:val="left" w:pos="3807"/>
            </w:tabs>
            <w:jc w:val="right"/>
            <w:rPr>
              <w:rFonts w:ascii="Arial" w:hAnsi="Arial" w:cs="Arial"/>
              <w:b/>
              <w:sz w:val="18"/>
              <w:szCs w:val="18"/>
            </w:rPr>
          </w:pPr>
          <w:r>
            <w:rPr>
              <w:rFonts w:ascii="Arial" w:hAnsi="Arial" w:cs="Arial"/>
              <w:b/>
              <w:sz w:val="18"/>
              <w:szCs w:val="18"/>
            </w:rPr>
            <w:t xml:space="preserve">Issue Date: </w:t>
          </w:r>
          <w:r w:rsidR="00B4790F">
            <w:rPr>
              <w:rFonts w:ascii="Arial" w:hAnsi="Arial" w:cs="Arial"/>
              <w:b/>
              <w:sz w:val="18"/>
              <w:szCs w:val="18"/>
            </w:rPr>
            <w:t>February</w:t>
          </w:r>
          <w:r w:rsidRPr="00CD638F">
            <w:rPr>
              <w:rFonts w:ascii="Arial" w:hAnsi="Arial" w:cs="Arial"/>
              <w:b/>
              <w:sz w:val="18"/>
              <w:szCs w:val="18"/>
            </w:rPr>
            <w:t xml:space="preserve"> 202</w:t>
          </w:r>
          <w:r w:rsidR="00B4790F">
            <w:rPr>
              <w:rFonts w:ascii="Arial" w:hAnsi="Arial" w:cs="Arial"/>
              <w:b/>
              <w:sz w:val="18"/>
              <w:szCs w:val="18"/>
            </w:rPr>
            <w:t>2</w:t>
          </w:r>
        </w:p>
        <w:p w14:paraId="08BEAB6E" w14:textId="77777777" w:rsidR="00F13717" w:rsidRDefault="00F13717" w:rsidP="00896DB7">
          <w:pPr>
            <w:tabs>
              <w:tab w:val="left" w:pos="3807"/>
            </w:tabs>
            <w:jc w:val="right"/>
            <w:rPr>
              <w:rFonts w:ascii="Arial" w:hAnsi="Arial" w:cs="Arial"/>
              <w:b/>
              <w:sz w:val="18"/>
              <w:szCs w:val="18"/>
            </w:rPr>
          </w:pPr>
          <w:r w:rsidRPr="008B423E">
            <w:rPr>
              <w:rFonts w:ascii="Arial" w:hAnsi="Arial" w:cs="Arial"/>
              <w:b/>
              <w:sz w:val="18"/>
              <w:szCs w:val="18"/>
            </w:rPr>
            <w:t>Technical Lead</w:t>
          </w:r>
          <w:r>
            <w:rPr>
              <w:rFonts w:ascii="Arial" w:hAnsi="Arial" w:cs="Arial"/>
              <w:b/>
              <w:sz w:val="18"/>
              <w:szCs w:val="18"/>
            </w:rPr>
            <w:t xml:space="preserve">: P. Brochman </w:t>
          </w:r>
        </w:p>
        <w:p w14:paraId="15C35AE1" w14:textId="77777777" w:rsidR="00F13717" w:rsidRPr="008B423E" w:rsidRDefault="00F13717" w:rsidP="00896DB7">
          <w:pPr>
            <w:jc w:val="right"/>
            <w:rPr>
              <w:rFonts w:ascii="Arial" w:hAnsi="Arial" w:cs="Arial"/>
              <w:b/>
              <w:sz w:val="32"/>
              <w:szCs w:val="32"/>
            </w:rPr>
          </w:pPr>
        </w:p>
      </w:tc>
    </w:tr>
  </w:tbl>
  <w:p w14:paraId="544E7CA9" w14:textId="77777777" w:rsidR="00F13717" w:rsidRDefault="00F13717" w:rsidP="00105FA3">
    <w:pPr>
      <w:pStyle w:val="Header"/>
      <w:tabs>
        <w:tab w:val="clear" w:pos="4320"/>
        <w:tab w:val="clear" w:pos="8640"/>
        <w:tab w:val="left" w:pos="18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F2FB" w14:textId="77777777" w:rsidR="00F13717" w:rsidRDefault="00F13717" w:rsidP="00105FA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2887" w14:textId="77777777" w:rsidR="00F13717" w:rsidRDefault="00F13717" w:rsidP="00105FA3">
    <w:pPr>
      <w:pStyle w:val="Header"/>
      <w:tabs>
        <w:tab w:val="clear" w:pos="4320"/>
        <w:tab w:val="clear" w:pos="8640"/>
        <w:tab w:val="left" w:pos="18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5FF"/>
    <w:multiLevelType w:val="multilevel"/>
    <w:tmpl w:val="7AB8500A"/>
    <w:lvl w:ilvl="0">
      <w:start w:val="1"/>
      <w:numFmt w:val="decimal"/>
      <w:pStyle w:val="Heading1"/>
      <w:lvlText w:val="%1."/>
      <w:lvlJc w:val="left"/>
      <w:pPr>
        <w:tabs>
          <w:tab w:val="num" w:pos="720"/>
        </w:tabs>
        <w:ind w:left="0" w:firstLine="0"/>
      </w:pPr>
      <w:rPr>
        <w:rFonts w:ascii="Times New Roman" w:hAnsi="Times New Roman" w:hint="default"/>
        <w:b w:val="0"/>
        <w:i w:val="0"/>
        <w:color w:val="auto"/>
        <w:sz w:val="24"/>
        <w:szCs w:val="32"/>
        <w:u w:val="none"/>
      </w:rPr>
    </w:lvl>
    <w:lvl w:ilvl="1">
      <w:start w:val="2"/>
      <w:numFmt w:val="none"/>
      <w:pStyle w:val="Heading2"/>
      <w:lvlText w:val="5.3"/>
      <w:lvlJc w:val="left"/>
      <w:pPr>
        <w:tabs>
          <w:tab w:val="num" w:pos="81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Heading3"/>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Heading4"/>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pStyle w:val="Heading5"/>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A2CE7"/>
    <w:multiLevelType w:val="hybridMultilevel"/>
    <w:tmpl w:val="E02EFC1E"/>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9BB6E2E"/>
    <w:multiLevelType w:val="hybridMultilevel"/>
    <w:tmpl w:val="3AA416B8"/>
    <w:lvl w:ilvl="0" w:tplc="04090019">
      <w:start w:val="1"/>
      <w:numFmt w:val="lowerLetter"/>
      <w:lvlText w:val="%1."/>
      <w:lvlJc w:val="left"/>
      <w:pPr>
        <w:ind w:left="720" w:hanging="360"/>
      </w:pPr>
    </w:lvl>
    <w:lvl w:ilvl="1" w:tplc="EB107406">
      <w:start w:val="1"/>
      <w:numFmt w:val="decimal"/>
      <w:lvlText w:val="(%2)"/>
      <w:lvlJc w:val="left"/>
      <w:pPr>
        <w:ind w:left="720" w:hanging="72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7636E"/>
    <w:multiLevelType w:val="hybridMultilevel"/>
    <w:tmpl w:val="3E2A2136"/>
    <w:lvl w:ilvl="0" w:tplc="04090019">
      <w:start w:val="1"/>
      <w:numFmt w:val="lowerLetter"/>
      <w:lvlText w:val="%1."/>
      <w:lvlJc w:val="left"/>
      <w:pPr>
        <w:ind w:left="720" w:hanging="360"/>
      </w:pPr>
    </w:lvl>
    <w:lvl w:ilvl="1" w:tplc="6B52B046">
      <w:start w:val="1"/>
      <w:numFmt w:val="decimal"/>
      <w:lvlText w:val="(%2)"/>
      <w:lvlJc w:val="left"/>
      <w:pPr>
        <w:ind w:left="720" w:hanging="72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E7215"/>
    <w:multiLevelType w:val="hybridMultilevel"/>
    <w:tmpl w:val="BAB8BC3C"/>
    <w:lvl w:ilvl="0" w:tplc="DB248A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720A77"/>
    <w:multiLevelType w:val="hybridMultilevel"/>
    <w:tmpl w:val="A692CAA2"/>
    <w:lvl w:ilvl="0" w:tplc="04090019">
      <w:start w:val="1"/>
      <w:numFmt w:val="lowerLetter"/>
      <w:lvlText w:val="%1."/>
      <w:lvlJc w:val="left"/>
      <w:pPr>
        <w:ind w:left="720" w:hanging="360"/>
      </w:pPr>
    </w:lvl>
    <w:lvl w:ilvl="1" w:tplc="1DEE9CA6">
      <w:start w:val="1"/>
      <w:numFmt w:val="decimal"/>
      <w:lvlText w:val="(%2)"/>
      <w:lvlJc w:val="left"/>
      <w:pPr>
        <w:ind w:left="1440" w:hanging="36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B5942"/>
    <w:multiLevelType w:val="hybridMultilevel"/>
    <w:tmpl w:val="EA401E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9D706B"/>
    <w:multiLevelType w:val="hybridMultilevel"/>
    <w:tmpl w:val="2F3686E0"/>
    <w:lvl w:ilvl="0" w:tplc="DB248A9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1512AB"/>
    <w:multiLevelType w:val="hybridMultilevel"/>
    <w:tmpl w:val="D5EC416E"/>
    <w:lvl w:ilvl="0" w:tplc="09767850">
      <w:start w:val="6"/>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B06A7"/>
    <w:multiLevelType w:val="hybridMultilevel"/>
    <w:tmpl w:val="B4FEF776"/>
    <w:lvl w:ilvl="0" w:tplc="F8545D6A">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B74E1A"/>
    <w:multiLevelType w:val="hybridMultilevel"/>
    <w:tmpl w:val="3BC8D3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1A3643"/>
    <w:multiLevelType w:val="hybridMultilevel"/>
    <w:tmpl w:val="EEC6EA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200BFA"/>
    <w:multiLevelType w:val="hybridMultilevel"/>
    <w:tmpl w:val="5C42EC84"/>
    <w:lvl w:ilvl="0" w:tplc="2B769AB6">
      <w:start w:val="2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636165"/>
    <w:multiLevelType w:val="hybridMultilevel"/>
    <w:tmpl w:val="63F2C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13276"/>
    <w:multiLevelType w:val="hybridMultilevel"/>
    <w:tmpl w:val="074E9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168FB"/>
    <w:multiLevelType w:val="hybridMultilevel"/>
    <w:tmpl w:val="E0C442A4"/>
    <w:lvl w:ilvl="0" w:tplc="04090019">
      <w:start w:val="1"/>
      <w:numFmt w:val="lowerLetter"/>
      <w:lvlText w:val="%1."/>
      <w:lvlJc w:val="left"/>
      <w:pPr>
        <w:ind w:left="720" w:hanging="360"/>
      </w:pPr>
    </w:lvl>
    <w:lvl w:ilvl="1" w:tplc="DB248A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20F4C"/>
    <w:multiLevelType w:val="hybridMultilevel"/>
    <w:tmpl w:val="C85271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A968F8"/>
    <w:multiLevelType w:val="hybridMultilevel"/>
    <w:tmpl w:val="62105C2E"/>
    <w:lvl w:ilvl="0" w:tplc="DB248A96">
      <w:start w:val="1"/>
      <w:numFmt w:val="decimal"/>
      <w:lvlText w:val="(%1)"/>
      <w:lvlJc w:val="left"/>
      <w:pPr>
        <w:ind w:left="1440" w:hanging="360"/>
      </w:pPr>
      <w:rPr>
        <w:rFonts w:hint="default"/>
      </w:rPr>
    </w:lvl>
    <w:lvl w:ilvl="1" w:tplc="DB248A9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1B1D1A"/>
    <w:multiLevelType w:val="multilevel"/>
    <w:tmpl w:val="0409001D"/>
    <w:styleLink w:val="Style1"/>
    <w:lvl w:ilvl="0">
      <w:start w:val="1"/>
      <w:numFmt w:val="decimal"/>
      <w:lvlText w:val="%1)"/>
      <w:lvlJc w:val="left"/>
      <w:pPr>
        <w:ind w:left="360" w:hanging="360"/>
      </w:p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AB54A8"/>
    <w:multiLevelType w:val="hybridMultilevel"/>
    <w:tmpl w:val="56E280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345D70"/>
    <w:multiLevelType w:val="hybridMultilevel"/>
    <w:tmpl w:val="644A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538F5"/>
    <w:multiLevelType w:val="hybridMultilevel"/>
    <w:tmpl w:val="EE8AD1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2C6374"/>
    <w:multiLevelType w:val="hybridMultilevel"/>
    <w:tmpl w:val="76DC7B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136205"/>
    <w:multiLevelType w:val="hybridMultilevel"/>
    <w:tmpl w:val="D940EC08"/>
    <w:lvl w:ilvl="0" w:tplc="4D400B6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A2F28"/>
    <w:multiLevelType w:val="hybridMultilevel"/>
    <w:tmpl w:val="5EE2A350"/>
    <w:lvl w:ilvl="0" w:tplc="DB248A96">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F9E4823"/>
    <w:multiLevelType w:val="multilevel"/>
    <w:tmpl w:val="DAB273C2"/>
    <w:lvl w:ilvl="0">
      <w:start w:val="1"/>
      <w:numFmt w:val="decimal"/>
      <w:lvlText w:val="%1."/>
      <w:lvlJc w:val="left"/>
      <w:pPr>
        <w:tabs>
          <w:tab w:val="num" w:pos="720"/>
        </w:tabs>
        <w:ind w:left="0" w:firstLine="0"/>
      </w:pPr>
      <w:rPr>
        <w:rFonts w:ascii="Times New Roman" w:hAnsi="Times New Roman" w:hint="default"/>
        <w:b w:val="0"/>
        <w:i w:val="0"/>
        <w:color w:val="auto"/>
        <w:sz w:val="24"/>
        <w:szCs w:val="32"/>
        <w:u w:val="none"/>
      </w:rPr>
    </w:lvl>
    <w:lvl w:ilvl="1">
      <w:start w:val="1"/>
      <w:numFmt w:val="decimal"/>
      <w:lvlText w:val="%1.%2"/>
      <w:lvlJc w:val="left"/>
      <w:pPr>
        <w:tabs>
          <w:tab w:val="num" w:pos="810"/>
        </w:tabs>
        <w:ind w:left="9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24D49CC"/>
    <w:multiLevelType w:val="hybridMultilevel"/>
    <w:tmpl w:val="6582B476"/>
    <w:lvl w:ilvl="0" w:tplc="4D400B6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431AE"/>
    <w:multiLevelType w:val="hybridMultilevel"/>
    <w:tmpl w:val="86DC349C"/>
    <w:lvl w:ilvl="0" w:tplc="2B769AB6">
      <w:start w:val="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00865"/>
    <w:multiLevelType w:val="hybridMultilevel"/>
    <w:tmpl w:val="AA841796"/>
    <w:lvl w:ilvl="0" w:tplc="DB248A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C06BB6"/>
    <w:multiLevelType w:val="hybridMultilevel"/>
    <w:tmpl w:val="001C6FB6"/>
    <w:lvl w:ilvl="0" w:tplc="14BE2EAE">
      <w:start w:val="1"/>
      <w:numFmt w:val="bullet"/>
      <w:pStyle w:val="bullet2"/>
      <w:lvlText w:val=""/>
      <w:lvlJc w:val="left"/>
      <w:pPr>
        <w:tabs>
          <w:tab w:val="num" w:pos="720"/>
        </w:tabs>
        <w:ind w:left="720" w:hanging="720"/>
      </w:pPr>
      <w:rPr>
        <w:rFonts w:ascii="Symbol" w:hAnsi="Symbol" w:hint="default"/>
        <w:b w:val="0"/>
        <w:i w:val="0"/>
        <w:strike w:val="0"/>
        <w:dstrike w:val="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DF73E6D"/>
    <w:multiLevelType w:val="hybridMultilevel"/>
    <w:tmpl w:val="187A7124"/>
    <w:lvl w:ilvl="0" w:tplc="64626E80">
      <w:start w:val="6"/>
      <w:numFmt w:val="decimal"/>
      <w:lvlText w:val="%1."/>
      <w:lvlJc w:val="left"/>
      <w:pPr>
        <w:ind w:left="1080" w:hanging="1080"/>
      </w:pPr>
      <w:rPr>
        <w:rFonts w:hint="default"/>
      </w:rPr>
    </w:lvl>
    <w:lvl w:ilvl="1" w:tplc="CA2224E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FC44A0"/>
    <w:multiLevelType w:val="hybridMultilevel"/>
    <w:tmpl w:val="3DEAA67A"/>
    <w:lvl w:ilvl="0" w:tplc="DB248A96">
      <w:start w:val="1"/>
      <w:numFmt w:val="decimal"/>
      <w:lvlText w:val="(%1)"/>
      <w:lvlJc w:val="left"/>
      <w:pPr>
        <w:ind w:left="720" w:hanging="360"/>
      </w:pPr>
      <w:rPr>
        <w:rFonts w:hint="default"/>
      </w:rPr>
    </w:lvl>
    <w:lvl w:ilvl="1" w:tplc="300EF298">
      <w:start w:val="1"/>
      <w:numFmt w:val="decimal"/>
      <w:lvlText w:val="(%2)"/>
      <w:lvlJc w:val="left"/>
      <w:pPr>
        <w:ind w:left="1440" w:hanging="36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6281F"/>
    <w:multiLevelType w:val="multilevel"/>
    <w:tmpl w:val="D1287BEA"/>
    <w:lvl w:ilvl="0">
      <w:start w:val="1"/>
      <w:numFmt w:val="decimal"/>
      <w:lvlText w:val="%1."/>
      <w:lvlJc w:val="left"/>
      <w:pPr>
        <w:tabs>
          <w:tab w:val="num" w:pos="720"/>
        </w:tabs>
        <w:ind w:left="0" w:firstLine="0"/>
      </w:pPr>
      <w:rPr>
        <w:rFonts w:ascii="Times New Roman" w:hAnsi="Times New Roman" w:hint="default"/>
        <w:b w:val="0"/>
        <w:i w:val="0"/>
        <w:color w:val="auto"/>
        <w:sz w:val="24"/>
        <w:szCs w:val="32"/>
        <w:u w:val="none"/>
      </w:rPr>
    </w:lvl>
    <w:lvl w:ilvl="1">
      <w:start w:val="2"/>
      <w:numFmt w:val="none"/>
      <w:lvlText w:val="5.1"/>
      <w:lvlJc w:val="left"/>
      <w:pPr>
        <w:tabs>
          <w:tab w:val="num" w:pos="81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3A778D7"/>
    <w:multiLevelType w:val="hybridMultilevel"/>
    <w:tmpl w:val="787CBA64"/>
    <w:lvl w:ilvl="0" w:tplc="F8545D6A">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47D7963"/>
    <w:multiLevelType w:val="hybridMultilevel"/>
    <w:tmpl w:val="7ADCDDE0"/>
    <w:lvl w:ilvl="0" w:tplc="8856DA50">
      <w:start w:val="1"/>
      <w:numFmt w:val="lowerLetter"/>
      <w:pStyle w:val="PN2"/>
      <w:lvlText w:val="(%1)"/>
      <w:lvlJc w:val="left"/>
      <w:pPr>
        <w:tabs>
          <w:tab w:val="num" w:pos="2160"/>
        </w:tabs>
        <w:ind w:left="216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5A73A45"/>
    <w:multiLevelType w:val="hybridMultilevel"/>
    <w:tmpl w:val="4CE2E5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6CA44EB"/>
    <w:multiLevelType w:val="hybridMultilevel"/>
    <w:tmpl w:val="A25ACF92"/>
    <w:lvl w:ilvl="0" w:tplc="92740460">
      <w:start w:val="1"/>
      <w:numFmt w:val="bullet"/>
      <w:pStyle w:val="bullet"/>
      <w:lvlText w:val=""/>
      <w:lvlJc w:val="left"/>
      <w:pPr>
        <w:tabs>
          <w:tab w:val="num" w:pos="216"/>
        </w:tabs>
        <w:ind w:left="216" w:hanging="216"/>
      </w:pPr>
      <w:rPr>
        <w:rFonts w:ascii="Symbol" w:hAnsi="Symbol" w:hint="default"/>
        <w:b w:val="0"/>
        <w:i w:val="0"/>
        <w:strike w:val="0"/>
        <w:dstrike w:val="0"/>
        <w:sz w:val="22"/>
        <w:szCs w:val="22"/>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87B2895"/>
    <w:multiLevelType w:val="hybridMultilevel"/>
    <w:tmpl w:val="148698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3632A"/>
    <w:multiLevelType w:val="hybridMultilevel"/>
    <w:tmpl w:val="F9A4CAC4"/>
    <w:lvl w:ilvl="0" w:tplc="77928470">
      <w:start w:val="1"/>
      <w:numFmt w:val="decimal"/>
      <w:pStyle w:val="Refs"/>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F70505"/>
    <w:multiLevelType w:val="hybridMultilevel"/>
    <w:tmpl w:val="84B0CF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EC2319"/>
    <w:multiLevelType w:val="hybridMultilevel"/>
    <w:tmpl w:val="3C6208AC"/>
    <w:lvl w:ilvl="0" w:tplc="04090019">
      <w:start w:val="1"/>
      <w:numFmt w:val="lowerLetter"/>
      <w:lvlText w:val="%1."/>
      <w:lvlJc w:val="left"/>
      <w:pPr>
        <w:ind w:left="720" w:hanging="360"/>
      </w:pPr>
    </w:lvl>
    <w:lvl w:ilvl="1" w:tplc="1BE219FA">
      <w:start w:val="1"/>
      <w:numFmt w:val="decimal"/>
      <w:lvlText w:val="(%2)"/>
      <w:lvlJc w:val="left"/>
      <w:pPr>
        <w:ind w:left="720" w:hanging="72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3A07F7"/>
    <w:multiLevelType w:val="hybridMultilevel"/>
    <w:tmpl w:val="0DE6B0A6"/>
    <w:lvl w:ilvl="0" w:tplc="DB248A96">
      <w:start w:val="1"/>
      <w:numFmt w:val="decimal"/>
      <w:lvlText w:val="(%1)"/>
      <w:lvlJc w:val="left"/>
      <w:pPr>
        <w:ind w:left="720" w:hanging="72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9E24DD"/>
    <w:multiLevelType w:val="hybridMultilevel"/>
    <w:tmpl w:val="FF1A3580"/>
    <w:lvl w:ilvl="0" w:tplc="E07217AE">
      <w:start w:val="1"/>
      <w:numFmt w:val="decimal"/>
      <w:pStyle w:val="Para-n1"/>
      <w:lvlText w:val="(%1)"/>
      <w:lvlJc w:val="left"/>
      <w:pPr>
        <w:tabs>
          <w:tab w:val="num" w:pos="720"/>
        </w:tabs>
        <w:ind w:left="720" w:hanging="720"/>
      </w:pPr>
      <w:rPr>
        <w:rFonts w:hint="default"/>
      </w:rPr>
    </w:lvl>
    <w:lvl w:ilvl="1" w:tplc="139CB1E2">
      <w:start w:val="1"/>
      <w:numFmt w:val="bullet"/>
      <w:pStyle w:val="B2L2"/>
      <w:lvlText w:val=""/>
      <w:lvlJc w:val="left"/>
      <w:pPr>
        <w:tabs>
          <w:tab w:val="num" w:pos="1800"/>
        </w:tabs>
        <w:ind w:left="1800" w:hanging="720"/>
      </w:pPr>
      <w:rPr>
        <w:rFonts w:ascii="Symbol" w:hAnsi="Symbol" w:hint="default"/>
        <w:b w:val="0"/>
        <w:i w:val="0"/>
        <w:strike w:val="0"/>
        <w:dstrike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4335659"/>
    <w:multiLevelType w:val="hybridMultilevel"/>
    <w:tmpl w:val="BB925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75B56A1"/>
    <w:multiLevelType w:val="hybridMultilevel"/>
    <w:tmpl w:val="02E69C0C"/>
    <w:lvl w:ilvl="0" w:tplc="AA2602EA">
      <w:start w:val="1"/>
      <w:numFmt w:val="lowerLetter"/>
      <w:pStyle w:val="PN2a"/>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67FC6929"/>
    <w:multiLevelType w:val="hybridMultilevel"/>
    <w:tmpl w:val="DC76506E"/>
    <w:lvl w:ilvl="0" w:tplc="E2F6ABC2">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5309D6"/>
    <w:multiLevelType w:val="hybridMultilevel"/>
    <w:tmpl w:val="BCE6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C030B6"/>
    <w:multiLevelType w:val="hybridMultilevel"/>
    <w:tmpl w:val="89D65F9A"/>
    <w:lvl w:ilvl="0" w:tplc="DB248A96">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EE94269"/>
    <w:multiLevelType w:val="hybridMultilevel"/>
    <w:tmpl w:val="436871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0D27C48"/>
    <w:multiLevelType w:val="hybridMultilevel"/>
    <w:tmpl w:val="727A3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F339A6"/>
    <w:multiLevelType w:val="hybridMultilevel"/>
    <w:tmpl w:val="DA9AE3CC"/>
    <w:lvl w:ilvl="0" w:tplc="864EEA50">
      <w:start w:val="1"/>
      <w:numFmt w:val="lowerLetter"/>
      <w:pStyle w:val="Ba1"/>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8261D7D"/>
    <w:multiLevelType w:val="hybridMultilevel"/>
    <w:tmpl w:val="89D65F9A"/>
    <w:lvl w:ilvl="0" w:tplc="DB248A96">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8D37EFC"/>
    <w:multiLevelType w:val="hybridMultilevel"/>
    <w:tmpl w:val="BB26368C"/>
    <w:lvl w:ilvl="0" w:tplc="DB248A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AF55982"/>
    <w:multiLevelType w:val="multilevel"/>
    <w:tmpl w:val="439C2F58"/>
    <w:lvl w:ilvl="0">
      <w:start w:val="1"/>
      <w:numFmt w:val="decimal"/>
      <w:lvlText w:val="(%1)"/>
      <w:lvlJc w:val="left"/>
      <w:pPr>
        <w:ind w:left="990" w:firstLine="0"/>
      </w:pPr>
      <w:rPr>
        <w:rFonts w:hint="default"/>
        <w:b w:val="0"/>
        <w:i w:val="0"/>
        <w:color w:val="auto"/>
        <w:sz w:val="22"/>
        <w:szCs w:val="22"/>
        <w:u w:val="none"/>
      </w:rPr>
    </w:lvl>
    <w:lvl w:ilvl="1">
      <w:start w:val="1"/>
      <w:numFmt w:val="lowerLetter"/>
      <w:lvlText w:val="%2."/>
      <w:lvlJc w:val="left"/>
      <w:pPr>
        <w:ind w:left="99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2">
      <w:start w:val="1"/>
      <w:numFmt w:val="lowerLetter"/>
      <w:lvlText w:val="%3."/>
      <w:lvlJc w:val="left"/>
      <w:pPr>
        <w:ind w:left="990" w:firstLine="0"/>
      </w:pPr>
      <w:rPr>
        <w:rFonts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990" w:firstLine="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lowerLetter"/>
      <w:lvlText w:val="%5."/>
      <w:lvlJc w:val="left"/>
      <w:pPr>
        <w:ind w:left="990" w:firstLine="0"/>
      </w:pPr>
      <w:rPr>
        <w:rFonts w:hint="default"/>
        <w:b/>
        <w:i w:val="0"/>
        <w:caps w:val="0"/>
        <w:strike w:val="0"/>
        <w:dstrike w:val="0"/>
        <w:vanish w:val="0"/>
        <w:color w:val="000000"/>
        <w:spacing w:val="0"/>
        <w:kern w:val="0"/>
        <w:position w:val="0"/>
        <w:u w:val="none"/>
        <w:vertAlign w:val="baseline"/>
        <w:em w:val="none"/>
      </w:rPr>
    </w:lvl>
    <w:lvl w:ilvl="5">
      <w:start w:val="1"/>
      <w:numFmt w:val="lowerLetter"/>
      <w:lvlText w:val="%6."/>
      <w:lvlJc w:val="left"/>
      <w:pPr>
        <w:ind w:left="990" w:firstLine="0"/>
      </w:pPr>
      <w:rPr>
        <w:rFonts w:hint="default"/>
      </w:rPr>
    </w:lvl>
    <w:lvl w:ilvl="6">
      <w:start w:val="1"/>
      <w:numFmt w:val="lowerLetter"/>
      <w:lvlText w:val="%7."/>
      <w:lvlJc w:val="left"/>
      <w:pPr>
        <w:ind w:left="990" w:firstLine="0"/>
      </w:pPr>
      <w:rPr>
        <w:rFonts w:hint="default"/>
      </w:rPr>
    </w:lvl>
    <w:lvl w:ilvl="7">
      <w:start w:val="1"/>
      <w:numFmt w:val="lowerLetter"/>
      <w:lvlText w:val="%8."/>
      <w:lvlJc w:val="left"/>
      <w:pPr>
        <w:ind w:left="990" w:firstLine="0"/>
      </w:pPr>
      <w:rPr>
        <w:rFonts w:hint="default"/>
      </w:rPr>
    </w:lvl>
    <w:lvl w:ilvl="8">
      <w:numFmt w:val="decimal"/>
      <w:lvlText w:val=""/>
      <w:lvlJc w:val="left"/>
      <w:pPr>
        <w:ind w:left="990" w:firstLine="0"/>
      </w:pPr>
      <w:rPr>
        <w:rFonts w:hint="default"/>
      </w:rPr>
    </w:lvl>
  </w:abstractNum>
  <w:num w:numId="1">
    <w:abstractNumId w:val="29"/>
  </w:num>
  <w:num w:numId="2">
    <w:abstractNumId w:val="42"/>
  </w:num>
  <w:num w:numId="3">
    <w:abstractNumId w:val="34"/>
  </w:num>
  <w:num w:numId="4">
    <w:abstractNumId w:val="38"/>
  </w:num>
  <w:num w:numId="5">
    <w:abstractNumId w:val="44"/>
  </w:num>
  <w:num w:numId="6">
    <w:abstractNumId w:val="42"/>
    <w:lvlOverride w:ilvl="0">
      <w:startOverride w:val="1"/>
    </w:lvlOverride>
  </w:num>
  <w:num w:numId="7">
    <w:abstractNumId w:val="36"/>
  </w:num>
  <w:num w:numId="8">
    <w:abstractNumId w:val="50"/>
  </w:num>
  <w:num w:numId="9">
    <w:abstractNumId w:val="20"/>
  </w:num>
  <w:num w:numId="10">
    <w:abstractNumId w:val="26"/>
  </w:num>
  <w:num w:numId="11">
    <w:abstractNumId w:val="49"/>
  </w:num>
  <w:num w:numId="12">
    <w:abstractNumId w:val="11"/>
  </w:num>
  <w:num w:numId="13">
    <w:abstractNumId w:val="46"/>
  </w:num>
  <w:num w:numId="14">
    <w:abstractNumId w:val="9"/>
  </w:num>
  <w:num w:numId="15">
    <w:abstractNumId w:val="33"/>
  </w:num>
  <w:num w:numId="16">
    <w:abstractNumId w:val="14"/>
  </w:num>
  <w:num w:numId="17">
    <w:abstractNumId w:val="27"/>
  </w:num>
  <w:num w:numId="18">
    <w:abstractNumId w:val="19"/>
  </w:num>
  <w:num w:numId="19">
    <w:abstractNumId w:val="21"/>
  </w:num>
  <w:num w:numId="20">
    <w:abstractNumId w:val="10"/>
  </w:num>
  <w:num w:numId="21">
    <w:abstractNumId w:val="22"/>
  </w:num>
  <w:num w:numId="22">
    <w:abstractNumId w:val="37"/>
  </w:num>
  <w:num w:numId="23">
    <w:abstractNumId w:val="48"/>
  </w:num>
  <w:num w:numId="24">
    <w:abstractNumId w:val="6"/>
  </w:num>
  <w:num w:numId="25">
    <w:abstractNumId w:val="51"/>
  </w:num>
  <w:num w:numId="26">
    <w:abstractNumId w:val="28"/>
  </w:num>
  <w:num w:numId="27">
    <w:abstractNumId w:val="53"/>
  </w:num>
  <w:num w:numId="28">
    <w:abstractNumId w:val="52"/>
  </w:num>
  <w:num w:numId="29">
    <w:abstractNumId w:val="18"/>
  </w:num>
  <w:num w:numId="30">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40"/>
  </w:num>
  <w:num w:numId="33">
    <w:abstractNumId w:val="2"/>
  </w:num>
  <w:num w:numId="34">
    <w:abstractNumId w:val="31"/>
  </w:num>
  <w:num w:numId="35">
    <w:abstractNumId w:val="3"/>
  </w:num>
  <w:num w:numId="36">
    <w:abstractNumId w:val="15"/>
  </w:num>
  <w:num w:numId="37">
    <w:abstractNumId w:val="5"/>
  </w:num>
  <w:num w:numId="38">
    <w:abstractNumId w:val="41"/>
  </w:num>
  <w:num w:numId="39">
    <w:abstractNumId w:val="45"/>
  </w:num>
  <w:num w:numId="40">
    <w:abstractNumId w:val="30"/>
  </w:num>
  <w:num w:numId="41">
    <w:abstractNumId w:val="25"/>
  </w:num>
  <w:num w:numId="42">
    <w:abstractNumId w:val="7"/>
  </w:num>
  <w:num w:numId="43">
    <w:abstractNumId w:val="47"/>
  </w:num>
  <w:num w:numId="44">
    <w:abstractNumId w:val="1"/>
  </w:num>
  <w:num w:numId="45">
    <w:abstractNumId w:val="24"/>
  </w:num>
  <w:num w:numId="46">
    <w:abstractNumId w:val="25"/>
    <w:lvlOverride w:ilvl="0">
      <w:startOverride w:val="7"/>
    </w:lvlOverride>
    <w:lvlOverride w:ilvl="1">
      <w:startOverride w:val="2"/>
    </w:lvlOverride>
  </w:num>
  <w:num w:numId="47">
    <w:abstractNumId w:val="16"/>
  </w:num>
  <w:num w:numId="48">
    <w:abstractNumId w:val="12"/>
  </w:num>
  <w:num w:numId="49">
    <w:abstractNumId w:val="43"/>
  </w:num>
  <w:num w:numId="50">
    <w:abstractNumId w:val="13"/>
  </w:num>
  <w:num w:numId="51">
    <w:abstractNumId w:val="39"/>
  </w:num>
  <w:num w:numId="52">
    <w:abstractNumId w:val="23"/>
  </w:num>
  <w:num w:numId="53">
    <w:abstractNumId w:val="8"/>
  </w:num>
  <w:num w:numId="54">
    <w:abstractNumId w:val="35"/>
  </w:num>
  <w:num w:numId="55">
    <w:abstractNumId w:val="4"/>
  </w:num>
  <w:num w:numId="56">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3E"/>
    <w:rsid w:val="00001F9C"/>
    <w:rsid w:val="000027EF"/>
    <w:rsid w:val="00002C34"/>
    <w:rsid w:val="0000390F"/>
    <w:rsid w:val="000049EA"/>
    <w:rsid w:val="00004AB8"/>
    <w:rsid w:val="000050BA"/>
    <w:rsid w:val="00005330"/>
    <w:rsid w:val="00005757"/>
    <w:rsid w:val="0000609D"/>
    <w:rsid w:val="00006235"/>
    <w:rsid w:val="000111AA"/>
    <w:rsid w:val="00011D51"/>
    <w:rsid w:val="00012018"/>
    <w:rsid w:val="000126B6"/>
    <w:rsid w:val="00013491"/>
    <w:rsid w:val="00013B3B"/>
    <w:rsid w:val="00013C70"/>
    <w:rsid w:val="00013D03"/>
    <w:rsid w:val="00014244"/>
    <w:rsid w:val="00014DE2"/>
    <w:rsid w:val="00015D94"/>
    <w:rsid w:val="000163FE"/>
    <w:rsid w:val="00016476"/>
    <w:rsid w:val="0001662D"/>
    <w:rsid w:val="00017010"/>
    <w:rsid w:val="000174E2"/>
    <w:rsid w:val="00017F6F"/>
    <w:rsid w:val="00020127"/>
    <w:rsid w:val="00020696"/>
    <w:rsid w:val="000206A4"/>
    <w:rsid w:val="0002146F"/>
    <w:rsid w:val="00021986"/>
    <w:rsid w:val="00021B4B"/>
    <w:rsid w:val="00022080"/>
    <w:rsid w:val="00022545"/>
    <w:rsid w:val="00022869"/>
    <w:rsid w:val="00022CDF"/>
    <w:rsid w:val="00022F7F"/>
    <w:rsid w:val="00023514"/>
    <w:rsid w:val="00024221"/>
    <w:rsid w:val="0002446D"/>
    <w:rsid w:val="0002651A"/>
    <w:rsid w:val="00026C58"/>
    <w:rsid w:val="00026E03"/>
    <w:rsid w:val="00027722"/>
    <w:rsid w:val="000279D8"/>
    <w:rsid w:val="000310A5"/>
    <w:rsid w:val="00031282"/>
    <w:rsid w:val="000315BD"/>
    <w:rsid w:val="000320EA"/>
    <w:rsid w:val="0003211C"/>
    <w:rsid w:val="00032DF3"/>
    <w:rsid w:val="000331FB"/>
    <w:rsid w:val="0003366A"/>
    <w:rsid w:val="00033AC2"/>
    <w:rsid w:val="00034B69"/>
    <w:rsid w:val="00034B75"/>
    <w:rsid w:val="00034E93"/>
    <w:rsid w:val="000359FC"/>
    <w:rsid w:val="0003627C"/>
    <w:rsid w:val="00036912"/>
    <w:rsid w:val="00036B52"/>
    <w:rsid w:val="00037737"/>
    <w:rsid w:val="00041E9C"/>
    <w:rsid w:val="00042513"/>
    <w:rsid w:val="000425B1"/>
    <w:rsid w:val="000428CE"/>
    <w:rsid w:val="00042CC3"/>
    <w:rsid w:val="0004355F"/>
    <w:rsid w:val="000436B0"/>
    <w:rsid w:val="00043CA0"/>
    <w:rsid w:val="00045A7A"/>
    <w:rsid w:val="00046095"/>
    <w:rsid w:val="00046D5C"/>
    <w:rsid w:val="000476E7"/>
    <w:rsid w:val="00047D36"/>
    <w:rsid w:val="0005063C"/>
    <w:rsid w:val="000507F0"/>
    <w:rsid w:val="00051080"/>
    <w:rsid w:val="00051817"/>
    <w:rsid w:val="00051C79"/>
    <w:rsid w:val="00051CEB"/>
    <w:rsid w:val="00051CF0"/>
    <w:rsid w:val="00052339"/>
    <w:rsid w:val="0005242F"/>
    <w:rsid w:val="000533E4"/>
    <w:rsid w:val="000534C5"/>
    <w:rsid w:val="000539CD"/>
    <w:rsid w:val="00053BF8"/>
    <w:rsid w:val="00053E9C"/>
    <w:rsid w:val="00054046"/>
    <w:rsid w:val="000540BA"/>
    <w:rsid w:val="000545C6"/>
    <w:rsid w:val="00054C4E"/>
    <w:rsid w:val="00054CBC"/>
    <w:rsid w:val="0005514B"/>
    <w:rsid w:val="0005597E"/>
    <w:rsid w:val="00055F10"/>
    <w:rsid w:val="000569E9"/>
    <w:rsid w:val="00056ACA"/>
    <w:rsid w:val="00056EFF"/>
    <w:rsid w:val="00057A65"/>
    <w:rsid w:val="00057E49"/>
    <w:rsid w:val="00060B0B"/>
    <w:rsid w:val="00060BFD"/>
    <w:rsid w:val="00061247"/>
    <w:rsid w:val="0006146E"/>
    <w:rsid w:val="00061BDE"/>
    <w:rsid w:val="000623E2"/>
    <w:rsid w:val="00062DFB"/>
    <w:rsid w:val="00062F21"/>
    <w:rsid w:val="00062F41"/>
    <w:rsid w:val="00063049"/>
    <w:rsid w:val="00063224"/>
    <w:rsid w:val="000636C0"/>
    <w:rsid w:val="00063F43"/>
    <w:rsid w:val="00063F8C"/>
    <w:rsid w:val="0006415F"/>
    <w:rsid w:val="0006436B"/>
    <w:rsid w:val="00065533"/>
    <w:rsid w:val="000661E2"/>
    <w:rsid w:val="00066D28"/>
    <w:rsid w:val="00066E2B"/>
    <w:rsid w:val="0006744B"/>
    <w:rsid w:val="00067A43"/>
    <w:rsid w:val="000706A5"/>
    <w:rsid w:val="00071392"/>
    <w:rsid w:val="00072243"/>
    <w:rsid w:val="0007265E"/>
    <w:rsid w:val="000731C4"/>
    <w:rsid w:val="00073491"/>
    <w:rsid w:val="000747F3"/>
    <w:rsid w:val="00074841"/>
    <w:rsid w:val="00075ADB"/>
    <w:rsid w:val="00076165"/>
    <w:rsid w:val="00076EA2"/>
    <w:rsid w:val="000776BB"/>
    <w:rsid w:val="00077B72"/>
    <w:rsid w:val="0008026A"/>
    <w:rsid w:val="00080B94"/>
    <w:rsid w:val="000810FC"/>
    <w:rsid w:val="000822EA"/>
    <w:rsid w:val="0008369A"/>
    <w:rsid w:val="00083931"/>
    <w:rsid w:val="00083B4F"/>
    <w:rsid w:val="00084EBB"/>
    <w:rsid w:val="0008517E"/>
    <w:rsid w:val="000851A9"/>
    <w:rsid w:val="000859C5"/>
    <w:rsid w:val="00086EB3"/>
    <w:rsid w:val="000907A5"/>
    <w:rsid w:val="000907C0"/>
    <w:rsid w:val="00090ADF"/>
    <w:rsid w:val="00090DFF"/>
    <w:rsid w:val="00091417"/>
    <w:rsid w:val="00091A61"/>
    <w:rsid w:val="00091C49"/>
    <w:rsid w:val="000925BB"/>
    <w:rsid w:val="00093A0C"/>
    <w:rsid w:val="00094B81"/>
    <w:rsid w:val="00095740"/>
    <w:rsid w:val="000964B2"/>
    <w:rsid w:val="00096849"/>
    <w:rsid w:val="00096C5E"/>
    <w:rsid w:val="00096CDB"/>
    <w:rsid w:val="00096DF0"/>
    <w:rsid w:val="00096E07"/>
    <w:rsid w:val="000972D6"/>
    <w:rsid w:val="00097810"/>
    <w:rsid w:val="000A1688"/>
    <w:rsid w:val="000A169A"/>
    <w:rsid w:val="000A17B0"/>
    <w:rsid w:val="000A1B35"/>
    <w:rsid w:val="000A1BA3"/>
    <w:rsid w:val="000A223C"/>
    <w:rsid w:val="000A26FF"/>
    <w:rsid w:val="000A3649"/>
    <w:rsid w:val="000A3842"/>
    <w:rsid w:val="000A3D87"/>
    <w:rsid w:val="000A504F"/>
    <w:rsid w:val="000A51D7"/>
    <w:rsid w:val="000A55BC"/>
    <w:rsid w:val="000A5720"/>
    <w:rsid w:val="000A5A92"/>
    <w:rsid w:val="000A5C74"/>
    <w:rsid w:val="000A6804"/>
    <w:rsid w:val="000A69AB"/>
    <w:rsid w:val="000A7484"/>
    <w:rsid w:val="000A780F"/>
    <w:rsid w:val="000B08EC"/>
    <w:rsid w:val="000B0FE2"/>
    <w:rsid w:val="000B1B0D"/>
    <w:rsid w:val="000B1F7C"/>
    <w:rsid w:val="000B3316"/>
    <w:rsid w:val="000B3E3B"/>
    <w:rsid w:val="000B40ED"/>
    <w:rsid w:val="000B6605"/>
    <w:rsid w:val="000B6F2A"/>
    <w:rsid w:val="000B7049"/>
    <w:rsid w:val="000B72BE"/>
    <w:rsid w:val="000B7343"/>
    <w:rsid w:val="000B76A7"/>
    <w:rsid w:val="000B76A9"/>
    <w:rsid w:val="000C02F2"/>
    <w:rsid w:val="000C0910"/>
    <w:rsid w:val="000C1701"/>
    <w:rsid w:val="000C280C"/>
    <w:rsid w:val="000C28FA"/>
    <w:rsid w:val="000C2AB0"/>
    <w:rsid w:val="000C2BD0"/>
    <w:rsid w:val="000C3334"/>
    <w:rsid w:val="000C360E"/>
    <w:rsid w:val="000C39CF"/>
    <w:rsid w:val="000C3AE1"/>
    <w:rsid w:val="000C3E0C"/>
    <w:rsid w:val="000C4016"/>
    <w:rsid w:val="000C41FD"/>
    <w:rsid w:val="000C4B46"/>
    <w:rsid w:val="000C5408"/>
    <w:rsid w:val="000C7B77"/>
    <w:rsid w:val="000D07FB"/>
    <w:rsid w:val="000D0A33"/>
    <w:rsid w:val="000D111D"/>
    <w:rsid w:val="000D15B8"/>
    <w:rsid w:val="000D2BA1"/>
    <w:rsid w:val="000D2DE0"/>
    <w:rsid w:val="000D32BB"/>
    <w:rsid w:val="000D34D6"/>
    <w:rsid w:val="000D5411"/>
    <w:rsid w:val="000D5B80"/>
    <w:rsid w:val="000D5F22"/>
    <w:rsid w:val="000D6859"/>
    <w:rsid w:val="000D6CB3"/>
    <w:rsid w:val="000D6F7B"/>
    <w:rsid w:val="000D7542"/>
    <w:rsid w:val="000D77E9"/>
    <w:rsid w:val="000D78C6"/>
    <w:rsid w:val="000E050E"/>
    <w:rsid w:val="000E05F9"/>
    <w:rsid w:val="000E0751"/>
    <w:rsid w:val="000E0BAB"/>
    <w:rsid w:val="000E0FB6"/>
    <w:rsid w:val="000E1831"/>
    <w:rsid w:val="000E1BA1"/>
    <w:rsid w:val="000E1E7B"/>
    <w:rsid w:val="000E1FCE"/>
    <w:rsid w:val="000E229E"/>
    <w:rsid w:val="000E25D1"/>
    <w:rsid w:val="000E27C5"/>
    <w:rsid w:val="000E2A20"/>
    <w:rsid w:val="000E38F1"/>
    <w:rsid w:val="000E3D0F"/>
    <w:rsid w:val="000E3E10"/>
    <w:rsid w:val="000E3FF9"/>
    <w:rsid w:val="000E414D"/>
    <w:rsid w:val="000E4C25"/>
    <w:rsid w:val="000E5256"/>
    <w:rsid w:val="000E78F1"/>
    <w:rsid w:val="000F0205"/>
    <w:rsid w:val="000F0A21"/>
    <w:rsid w:val="000F1F3F"/>
    <w:rsid w:val="000F203B"/>
    <w:rsid w:val="000F32EE"/>
    <w:rsid w:val="000F399E"/>
    <w:rsid w:val="000F4A21"/>
    <w:rsid w:val="000F4AFB"/>
    <w:rsid w:val="000F5A8F"/>
    <w:rsid w:val="000F5DA4"/>
    <w:rsid w:val="000F7250"/>
    <w:rsid w:val="000F767E"/>
    <w:rsid w:val="000F7806"/>
    <w:rsid w:val="000F7924"/>
    <w:rsid w:val="000F7B17"/>
    <w:rsid w:val="000F7F77"/>
    <w:rsid w:val="000F7FA5"/>
    <w:rsid w:val="001003E2"/>
    <w:rsid w:val="00100F17"/>
    <w:rsid w:val="00101901"/>
    <w:rsid w:val="00101CEA"/>
    <w:rsid w:val="00101EF5"/>
    <w:rsid w:val="00101F6D"/>
    <w:rsid w:val="001022CC"/>
    <w:rsid w:val="001027CC"/>
    <w:rsid w:val="001028E4"/>
    <w:rsid w:val="00102931"/>
    <w:rsid w:val="001031E6"/>
    <w:rsid w:val="001034FD"/>
    <w:rsid w:val="00103C74"/>
    <w:rsid w:val="001044EB"/>
    <w:rsid w:val="00105175"/>
    <w:rsid w:val="0010524A"/>
    <w:rsid w:val="001056BC"/>
    <w:rsid w:val="0010576C"/>
    <w:rsid w:val="00105FA3"/>
    <w:rsid w:val="001061DB"/>
    <w:rsid w:val="00107288"/>
    <w:rsid w:val="00107849"/>
    <w:rsid w:val="0011006E"/>
    <w:rsid w:val="001104F8"/>
    <w:rsid w:val="001105F0"/>
    <w:rsid w:val="00110CB0"/>
    <w:rsid w:val="00111622"/>
    <w:rsid w:val="001119B5"/>
    <w:rsid w:val="00112173"/>
    <w:rsid w:val="001122F4"/>
    <w:rsid w:val="00112339"/>
    <w:rsid w:val="00112624"/>
    <w:rsid w:val="001128BB"/>
    <w:rsid w:val="0011309E"/>
    <w:rsid w:val="00114350"/>
    <w:rsid w:val="00114666"/>
    <w:rsid w:val="0011515D"/>
    <w:rsid w:val="00115399"/>
    <w:rsid w:val="001156E7"/>
    <w:rsid w:val="00115761"/>
    <w:rsid w:val="001157D7"/>
    <w:rsid w:val="001164A2"/>
    <w:rsid w:val="001200BC"/>
    <w:rsid w:val="00120B3A"/>
    <w:rsid w:val="00121017"/>
    <w:rsid w:val="00121788"/>
    <w:rsid w:val="00121AB2"/>
    <w:rsid w:val="00121B43"/>
    <w:rsid w:val="00121B6B"/>
    <w:rsid w:val="001227AD"/>
    <w:rsid w:val="001228F2"/>
    <w:rsid w:val="00122EB0"/>
    <w:rsid w:val="0012324F"/>
    <w:rsid w:val="0012378D"/>
    <w:rsid w:val="00123882"/>
    <w:rsid w:val="00123AAB"/>
    <w:rsid w:val="00123D52"/>
    <w:rsid w:val="00123E3A"/>
    <w:rsid w:val="00124216"/>
    <w:rsid w:val="00124F5D"/>
    <w:rsid w:val="0012564C"/>
    <w:rsid w:val="001258E9"/>
    <w:rsid w:val="00125BEC"/>
    <w:rsid w:val="00126643"/>
    <w:rsid w:val="0012675B"/>
    <w:rsid w:val="001277C1"/>
    <w:rsid w:val="0013056B"/>
    <w:rsid w:val="001313B6"/>
    <w:rsid w:val="001321CF"/>
    <w:rsid w:val="00132768"/>
    <w:rsid w:val="0013284D"/>
    <w:rsid w:val="00132EF9"/>
    <w:rsid w:val="001332DE"/>
    <w:rsid w:val="00133494"/>
    <w:rsid w:val="00133A14"/>
    <w:rsid w:val="00134C16"/>
    <w:rsid w:val="0013506A"/>
    <w:rsid w:val="001356C9"/>
    <w:rsid w:val="0013614C"/>
    <w:rsid w:val="00136BD6"/>
    <w:rsid w:val="00136E87"/>
    <w:rsid w:val="00137A8D"/>
    <w:rsid w:val="00137AB0"/>
    <w:rsid w:val="00140DFC"/>
    <w:rsid w:val="00141EB5"/>
    <w:rsid w:val="001428CD"/>
    <w:rsid w:val="001435B3"/>
    <w:rsid w:val="00143819"/>
    <w:rsid w:val="00144AB1"/>
    <w:rsid w:val="001452B9"/>
    <w:rsid w:val="0014551F"/>
    <w:rsid w:val="00146A33"/>
    <w:rsid w:val="00147889"/>
    <w:rsid w:val="001479F6"/>
    <w:rsid w:val="001501F2"/>
    <w:rsid w:val="001502BA"/>
    <w:rsid w:val="001503C6"/>
    <w:rsid w:val="001503FF"/>
    <w:rsid w:val="0015066A"/>
    <w:rsid w:val="0015066F"/>
    <w:rsid w:val="00151517"/>
    <w:rsid w:val="001515E9"/>
    <w:rsid w:val="00151AE7"/>
    <w:rsid w:val="00151BF7"/>
    <w:rsid w:val="0015303A"/>
    <w:rsid w:val="001536CC"/>
    <w:rsid w:val="00153A13"/>
    <w:rsid w:val="00153C67"/>
    <w:rsid w:val="00153E62"/>
    <w:rsid w:val="00153EFE"/>
    <w:rsid w:val="00154385"/>
    <w:rsid w:val="00154DCD"/>
    <w:rsid w:val="00155A15"/>
    <w:rsid w:val="00155C18"/>
    <w:rsid w:val="0015626F"/>
    <w:rsid w:val="001567E8"/>
    <w:rsid w:val="00157673"/>
    <w:rsid w:val="001577CE"/>
    <w:rsid w:val="00157F93"/>
    <w:rsid w:val="001602D2"/>
    <w:rsid w:val="00160378"/>
    <w:rsid w:val="001604B7"/>
    <w:rsid w:val="00160586"/>
    <w:rsid w:val="00160B44"/>
    <w:rsid w:val="00161305"/>
    <w:rsid w:val="001640E2"/>
    <w:rsid w:val="001644B2"/>
    <w:rsid w:val="0016452A"/>
    <w:rsid w:val="00164E90"/>
    <w:rsid w:val="001651A6"/>
    <w:rsid w:val="00165C93"/>
    <w:rsid w:val="001660A3"/>
    <w:rsid w:val="001668CF"/>
    <w:rsid w:val="00166955"/>
    <w:rsid w:val="001669A9"/>
    <w:rsid w:val="00166F4B"/>
    <w:rsid w:val="00167043"/>
    <w:rsid w:val="0016707C"/>
    <w:rsid w:val="00167181"/>
    <w:rsid w:val="00167C40"/>
    <w:rsid w:val="00167EF0"/>
    <w:rsid w:val="001700ED"/>
    <w:rsid w:val="00170CA1"/>
    <w:rsid w:val="001712FE"/>
    <w:rsid w:val="00171701"/>
    <w:rsid w:val="0017229D"/>
    <w:rsid w:val="00172814"/>
    <w:rsid w:val="00172B93"/>
    <w:rsid w:val="001731F7"/>
    <w:rsid w:val="0017328E"/>
    <w:rsid w:val="00173A56"/>
    <w:rsid w:val="00173B49"/>
    <w:rsid w:val="00174593"/>
    <w:rsid w:val="00174FA4"/>
    <w:rsid w:val="0017502A"/>
    <w:rsid w:val="001754D0"/>
    <w:rsid w:val="00176283"/>
    <w:rsid w:val="0017630F"/>
    <w:rsid w:val="00176526"/>
    <w:rsid w:val="001777C9"/>
    <w:rsid w:val="00177E14"/>
    <w:rsid w:val="001807D2"/>
    <w:rsid w:val="00180FBA"/>
    <w:rsid w:val="00181133"/>
    <w:rsid w:val="001816A4"/>
    <w:rsid w:val="001817A5"/>
    <w:rsid w:val="0018248A"/>
    <w:rsid w:val="001829A8"/>
    <w:rsid w:val="001830F1"/>
    <w:rsid w:val="00183B32"/>
    <w:rsid w:val="00184E26"/>
    <w:rsid w:val="00186473"/>
    <w:rsid w:val="0018702F"/>
    <w:rsid w:val="0018761E"/>
    <w:rsid w:val="00190E8C"/>
    <w:rsid w:val="00190EC9"/>
    <w:rsid w:val="001910D5"/>
    <w:rsid w:val="001911FB"/>
    <w:rsid w:val="0019167D"/>
    <w:rsid w:val="00192473"/>
    <w:rsid w:val="0019272C"/>
    <w:rsid w:val="00192D9A"/>
    <w:rsid w:val="001934D2"/>
    <w:rsid w:val="001938A1"/>
    <w:rsid w:val="00193E3B"/>
    <w:rsid w:val="00194A8C"/>
    <w:rsid w:val="00194C5A"/>
    <w:rsid w:val="00194E37"/>
    <w:rsid w:val="0019528C"/>
    <w:rsid w:val="00195624"/>
    <w:rsid w:val="001961BD"/>
    <w:rsid w:val="00196281"/>
    <w:rsid w:val="001969A8"/>
    <w:rsid w:val="001969C0"/>
    <w:rsid w:val="00196ED9"/>
    <w:rsid w:val="001977F5"/>
    <w:rsid w:val="001978A1"/>
    <w:rsid w:val="001A00EB"/>
    <w:rsid w:val="001A05A4"/>
    <w:rsid w:val="001A05B9"/>
    <w:rsid w:val="001A1407"/>
    <w:rsid w:val="001A1CC2"/>
    <w:rsid w:val="001A2752"/>
    <w:rsid w:val="001A2AD8"/>
    <w:rsid w:val="001A323D"/>
    <w:rsid w:val="001A3425"/>
    <w:rsid w:val="001A4905"/>
    <w:rsid w:val="001A532C"/>
    <w:rsid w:val="001A636D"/>
    <w:rsid w:val="001A6DE1"/>
    <w:rsid w:val="001A79CD"/>
    <w:rsid w:val="001B012F"/>
    <w:rsid w:val="001B149A"/>
    <w:rsid w:val="001B1ED4"/>
    <w:rsid w:val="001B2EB3"/>
    <w:rsid w:val="001B39B7"/>
    <w:rsid w:val="001B3D62"/>
    <w:rsid w:val="001B3FFC"/>
    <w:rsid w:val="001B4783"/>
    <w:rsid w:val="001B5382"/>
    <w:rsid w:val="001B6297"/>
    <w:rsid w:val="001B6B0B"/>
    <w:rsid w:val="001B6E9C"/>
    <w:rsid w:val="001B6EA4"/>
    <w:rsid w:val="001B7927"/>
    <w:rsid w:val="001B7CC0"/>
    <w:rsid w:val="001C04B5"/>
    <w:rsid w:val="001C0702"/>
    <w:rsid w:val="001C0D21"/>
    <w:rsid w:val="001C0D38"/>
    <w:rsid w:val="001C1403"/>
    <w:rsid w:val="001C1702"/>
    <w:rsid w:val="001C1886"/>
    <w:rsid w:val="001C1978"/>
    <w:rsid w:val="001C30CB"/>
    <w:rsid w:val="001C38F0"/>
    <w:rsid w:val="001C38FE"/>
    <w:rsid w:val="001C3958"/>
    <w:rsid w:val="001C3AF5"/>
    <w:rsid w:val="001C3D5C"/>
    <w:rsid w:val="001C3DAD"/>
    <w:rsid w:val="001C5339"/>
    <w:rsid w:val="001C599F"/>
    <w:rsid w:val="001C6A32"/>
    <w:rsid w:val="001C6DFE"/>
    <w:rsid w:val="001C6E4D"/>
    <w:rsid w:val="001C70BC"/>
    <w:rsid w:val="001C7B35"/>
    <w:rsid w:val="001D00C5"/>
    <w:rsid w:val="001D2559"/>
    <w:rsid w:val="001D3F9C"/>
    <w:rsid w:val="001D42D3"/>
    <w:rsid w:val="001D4515"/>
    <w:rsid w:val="001D46FE"/>
    <w:rsid w:val="001D491B"/>
    <w:rsid w:val="001D4D88"/>
    <w:rsid w:val="001D5794"/>
    <w:rsid w:val="001D752F"/>
    <w:rsid w:val="001D7693"/>
    <w:rsid w:val="001E0007"/>
    <w:rsid w:val="001E030A"/>
    <w:rsid w:val="001E0DFA"/>
    <w:rsid w:val="001E109E"/>
    <w:rsid w:val="001E167C"/>
    <w:rsid w:val="001E1BC6"/>
    <w:rsid w:val="001E1CCC"/>
    <w:rsid w:val="001E24EA"/>
    <w:rsid w:val="001E293C"/>
    <w:rsid w:val="001E340F"/>
    <w:rsid w:val="001E3BEB"/>
    <w:rsid w:val="001E3D2A"/>
    <w:rsid w:val="001E51F1"/>
    <w:rsid w:val="001E5A02"/>
    <w:rsid w:val="001E5D49"/>
    <w:rsid w:val="001F05BB"/>
    <w:rsid w:val="001F17F8"/>
    <w:rsid w:val="001F1DDF"/>
    <w:rsid w:val="001F1FF6"/>
    <w:rsid w:val="001F36F4"/>
    <w:rsid w:val="001F4532"/>
    <w:rsid w:val="001F5546"/>
    <w:rsid w:val="001F6566"/>
    <w:rsid w:val="001F65A0"/>
    <w:rsid w:val="001F69C6"/>
    <w:rsid w:val="001F6E94"/>
    <w:rsid w:val="002002AE"/>
    <w:rsid w:val="00200B16"/>
    <w:rsid w:val="002014B4"/>
    <w:rsid w:val="00201CF6"/>
    <w:rsid w:val="002021D7"/>
    <w:rsid w:val="00202275"/>
    <w:rsid w:val="00202281"/>
    <w:rsid w:val="0020269B"/>
    <w:rsid w:val="00203326"/>
    <w:rsid w:val="00204B57"/>
    <w:rsid w:val="00204C01"/>
    <w:rsid w:val="002051F8"/>
    <w:rsid w:val="00205BE4"/>
    <w:rsid w:val="00205C4C"/>
    <w:rsid w:val="00206EC8"/>
    <w:rsid w:val="00207511"/>
    <w:rsid w:val="00210602"/>
    <w:rsid w:val="00210E62"/>
    <w:rsid w:val="0021174E"/>
    <w:rsid w:val="00212D70"/>
    <w:rsid w:val="00213823"/>
    <w:rsid w:val="00213DB8"/>
    <w:rsid w:val="0021461A"/>
    <w:rsid w:val="0021464C"/>
    <w:rsid w:val="0021469E"/>
    <w:rsid w:val="00214DE2"/>
    <w:rsid w:val="00215C18"/>
    <w:rsid w:val="00216348"/>
    <w:rsid w:val="00216691"/>
    <w:rsid w:val="002175D2"/>
    <w:rsid w:val="00220D70"/>
    <w:rsid w:val="002222D5"/>
    <w:rsid w:val="00222D0E"/>
    <w:rsid w:val="0022352C"/>
    <w:rsid w:val="00223604"/>
    <w:rsid w:val="00223A69"/>
    <w:rsid w:val="0022417B"/>
    <w:rsid w:val="002243BF"/>
    <w:rsid w:val="002243C4"/>
    <w:rsid w:val="00224677"/>
    <w:rsid w:val="002247ED"/>
    <w:rsid w:val="00224894"/>
    <w:rsid w:val="00224CF8"/>
    <w:rsid w:val="002253C0"/>
    <w:rsid w:val="002254A3"/>
    <w:rsid w:val="00225E92"/>
    <w:rsid w:val="002261DE"/>
    <w:rsid w:val="00226309"/>
    <w:rsid w:val="00226832"/>
    <w:rsid w:val="00226C69"/>
    <w:rsid w:val="00227136"/>
    <w:rsid w:val="002272EC"/>
    <w:rsid w:val="0022788F"/>
    <w:rsid w:val="00230560"/>
    <w:rsid w:val="00231061"/>
    <w:rsid w:val="00232693"/>
    <w:rsid w:val="00232A57"/>
    <w:rsid w:val="00232FF9"/>
    <w:rsid w:val="002339FC"/>
    <w:rsid w:val="00233A58"/>
    <w:rsid w:val="00233BF2"/>
    <w:rsid w:val="00233C68"/>
    <w:rsid w:val="00233F0D"/>
    <w:rsid w:val="00233FD1"/>
    <w:rsid w:val="00234B53"/>
    <w:rsid w:val="00234E0D"/>
    <w:rsid w:val="00234E5C"/>
    <w:rsid w:val="0023507B"/>
    <w:rsid w:val="00235132"/>
    <w:rsid w:val="002355F6"/>
    <w:rsid w:val="00235F3F"/>
    <w:rsid w:val="00236046"/>
    <w:rsid w:val="00236431"/>
    <w:rsid w:val="002364B9"/>
    <w:rsid w:val="00236684"/>
    <w:rsid w:val="002370CB"/>
    <w:rsid w:val="002401ED"/>
    <w:rsid w:val="00240FC1"/>
    <w:rsid w:val="00241873"/>
    <w:rsid w:val="00241B53"/>
    <w:rsid w:val="00242CB6"/>
    <w:rsid w:val="0024375F"/>
    <w:rsid w:val="00243DFD"/>
    <w:rsid w:val="00244A02"/>
    <w:rsid w:val="002450DB"/>
    <w:rsid w:val="0024571B"/>
    <w:rsid w:val="00246DEC"/>
    <w:rsid w:val="002470AF"/>
    <w:rsid w:val="002471EB"/>
    <w:rsid w:val="002474AA"/>
    <w:rsid w:val="0024775D"/>
    <w:rsid w:val="00250BE9"/>
    <w:rsid w:val="00251CD3"/>
    <w:rsid w:val="00251F20"/>
    <w:rsid w:val="002521FA"/>
    <w:rsid w:val="0025222C"/>
    <w:rsid w:val="0025290D"/>
    <w:rsid w:val="002529C8"/>
    <w:rsid w:val="00252A91"/>
    <w:rsid w:val="00252E0B"/>
    <w:rsid w:val="00254870"/>
    <w:rsid w:val="00254BB9"/>
    <w:rsid w:val="00255A53"/>
    <w:rsid w:val="002567F7"/>
    <w:rsid w:val="00256C20"/>
    <w:rsid w:val="00256C33"/>
    <w:rsid w:val="002574CC"/>
    <w:rsid w:val="002574EC"/>
    <w:rsid w:val="00257668"/>
    <w:rsid w:val="002577F1"/>
    <w:rsid w:val="00260044"/>
    <w:rsid w:val="00260D78"/>
    <w:rsid w:val="00260E06"/>
    <w:rsid w:val="002611B9"/>
    <w:rsid w:val="00262077"/>
    <w:rsid w:val="00262146"/>
    <w:rsid w:val="0026287F"/>
    <w:rsid w:val="0026321A"/>
    <w:rsid w:val="002634A7"/>
    <w:rsid w:val="00263569"/>
    <w:rsid w:val="0026362F"/>
    <w:rsid w:val="0026368C"/>
    <w:rsid w:val="00263709"/>
    <w:rsid w:val="002642B2"/>
    <w:rsid w:val="002648C2"/>
    <w:rsid w:val="002648E7"/>
    <w:rsid w:val="00264AA1"/>
    <w:rsid w:val="00264EC0"/>
    <w:rsid w:val="002652C2"/>
    <w:rsid w:val="0026588E"/>
    <w:rsid w:val="00265ACB"/>
    <w:rsid w:val="00265C05"/>
    <w:rsid w:val="00270058"/>
    <w:rsid w:val="00270C92"/>
    <w:rsid w:val="0027127B"/>
    <w:rsid w:val="00272906"/>
    <w:rsid w:val="002732BD"/>
    <w:rsid w:val="002739A4"/>
    <w:rsid w:val="00273B80"/>
    <w:rsid w:val="0027490D"/>
    <w:rsid w:val="0027609F"/>
    <w:rsid w:val="00276C38"/>
    <w:rsid w:val="00276DB3"/>
    <w:rsid w:val="002779DB"/>
    <w:rsid w:val="00277BA4"/>
    <w:rsid w:val="002800AB"/>
    <w:rsid w:val="002804FB"/>
    <w:rsid w:val="0028112D"/>
    <w:rsid w:val="0028179A"/>
    <w:rsid w:val="00282608"/>
    <w:rsid w:val="0028296A"/>
    <w:rsid w:val="00282E52"/>
    <w:rsid w:val="00283237"/>
    <w:rsid w:val="00283CAE"/>
    <w:rsid w:val="00284350"/>
    <w:rsid w:val="0028436F"/>
    <w:rsid w:val="00284405"/>
    <w:rsid w:val="002845F9"/>
    <w:rsid w:val="002846F8"/>
    <w:rsid w:val="00284BE6"/>
    <w:rsid w:val="00284C23"/>
    <w:rsid w:val="00284CF2"/>
    <w:rsid w:val="00285C7F"/>
    <w:rsid w:val="00286AEE"/>
    <w:rsid w:val="00286BA4"/>
    <w:rsid w:val="002878D4"/>
    <w:rsid w:val="002905E2"/>
    <w:rsid w:val="00290638"/>
    <w:rsid w:val="00290FDF"/>
    <w:rsid w:val="002911DC"/>
    <w:rsid w:val="00291285"/>
    <w:rsid w:val="00291581"/>
    <w:rsid w:val="0029162C"/>
    <w:rsid w:val="00291CA8"/>
    <w:rsid w:val="0029240B"/>
    <w:rsid w:val="00292DFC"/>
    <w:rsid w:val="0029332E"/>
    <w:rsid w:val="002933C7"/>
    <w:rsid w:val="00293B65"/>
    <w:rsid w:val="00293C6D"/>
    <w:rsid w:val="00293E80"/>
    <w:rsid w:val="0029504D"/>
    <w:rsid w:val="002958B3"/>
    <w:rsid w:val="00295E00"/>
    <w:rsid w:val="00295FE5"/>
    <w:rsid w:val="0029633A"/>
    <w:rsid w:val="00297097"/>
    <w:rsid w:val="002970BC"/>
    <w:rsid w:val="00297893"/>
    <w:rsid w:val="002A13B0"/>
    <w:rsid w:val="002A17CE"/>
    <w:rsid w:val="002A1E70"/>
    <w:rsid w:val="002A290E"/>
    <w:rsid w:val="002A30C0"/>
    <w:rsid w:val="002A44B4"/>
    <w:rsid w:val="002A45C3"/>
    <w:rsid w:val="002A4E5B"/>
    <w:rsid w:val="002A636A"/>
    <w:rsid w:val="002A6964"/>
    <w:rsid w:val="002A6B39"/>
    <w:rsid w:val="002A7114"/>
    <w:rsid w:val="002A718F"/>
    <w:rsid w:val="002A7ECB"/>
    <w:rsid w:val="002B01C9"/>
    <w:rsid w:val="002B04F4"/>
    <w:rsid w:val="002B056D"/>
    <w:rsid w:val="002B0824"/>
    <w:rsid w:val="002B0A80"/>
    <w:rsid w:val="002B1BEA"/>
    <w:rsid w:val="002B1FE2"/>
    <w:rsid w:val="002B2020"/>
    <w:rsid w:val="002B20FA"/>
    <w:rsid w:val="002B24C6"/>
    <w:rsid w:val="002B2AB3"/>
    <w:rsid w:val="002B3AB3"/>
    <w:rsid w:val="002B3B89"/>
    <w:rsid w:val="002B4736"/>
    <w:rsid w:val="002B4E76"/>
    <w:rsid w:val="002B596A"/>
    <w:rsid w:val="002B5BCD"/>
    <w:rsid w:val="002B5C3F"/>
    <w:rsid w:val="002B67A2"/>
    <w:rsid w:val="002B6BDE"/>
    <w:rsid w:val="002B7958"/>
    <w:rsid w:val="002B7B5B"/>
    <w:rsid w:val="002C19C0"/>
    <w:rsid w:val="002C23D0"/>
    <w:rsid w:val="002C2F07"/>
    <w:rsid w:val="002C2F5D"/>
    <w:rsid w:val="002C37F2"/>
    <w:rsid w:val="002C3CE9"/>
    <w:rsid w:val="002C45DD"/>
    <w:rsid w:val="002C4ACA"/>
    <w:rsid w:val="002C5741"/>
    <w:rsid w:val="002C5C1E"/>
    <w:rsid w:val="002C5D68"/>
    <w:rsid w:val="002C615C"/>
    <w:rsid w:val="002C6B08"/>
    <w:rsid w:val="002C6C1E"/>
    <w:rsid w:val="002D0A76"/>
    <w:rsid w:val="002D0CCF"/>
    <w:rsid w:val="002D114D"/>
    <w:rsid w:val="002D196D"/>
    <w:rsid w:val="002D19AE"/>
    <w:rsid w:val="002D1AFD"/>
    <w:rsid w:val="002D1D7C"/>
    <w:rsid w:val="002D238B"/>
    <w:rsid w:val="002D3129"/>
    <w:rsid w:val="002D36C6"/>
    <w:rsid w:val="002D3B90"/>
    <w:rsid w:val="002D3C18"/>
    <w:rsid w:val="002D3C9F"/>
    <w:rsid w:val="002D4568"/>
    <w:rsid w:val="002D49E7"/>
    <w:rsid w:val="002D49E9"/>
    <w:rsid w:val="002D6A94"/>
    <w:rsid w:val="002D71C2"/>
    <w:rsid w:val="002E0738"/>
    <w:rsid w:val="002E12D9"/>
    <w:rsid w:val="002E15EC"/>
    <w:rsid w:val="002E1CF5"/>
    <w:rsid w:val="002E2780"/>
    <w:rsid w:val="002E27F4"/>
    <w:rsid w:val="002E2810"/>
    <w:rsid w:val="002E2DD8"/>
    <w:rsid w:val="002E31F3"/>
    <w:rsid w:val="002E3324"/>
    <w:rsid w:val="002E347D"/>
    <w:rsid w:val="002E4090"/>
    <w:rsid w:val="002E4112"/>
    <w:rsid w:val="002E47A6"/>
    <w:rsid w:val="002E503B"/>
    <w:rsid w:val="002E55A4"/>
    <w:rsid w:val="002E5FD9"/>
    <w:rsid w:val="002E651D"/>
    <w:rsid w:val="002E6B4E"/>
    <w:rsid w:val="002E6C05"/>
    <w:rsid w:val="002E7336"/>
    <w:rsid w:val="002E7BC2"/>
    <w:rsid w:val="002F0BD1"/>
    <w:rsid w:val="002F1578"/>
    <w:rsid w:val="002F1A5D"/>
    <w:rsid w:val="002F235C"/>
    <w:rsid w:val="002F265A"/>
    <w:rsid w:val="002F2741"/>
    <w:rsid w:val="002F3182"/>
    <w:rsid w:val="002F33B7"/>
    <w:rsid w:val="002F415F"/>
    <w:rsid w:val="002F48DC"/>
    <w:rsid w:val="002F4F70"/>
    <w:rsid w:val="002F5018"/>
    <w:rsid w:val="002F65CB"/>
    <w:rsid w:val="002F73F4"/>
    <w:rsid w:val="002F7715"/>
    <w:rsid w:val="002F793B"/>
    <w:rsid w:val="00301A3A"/>
    <w:rsid w:val="00303230"/>
    <w:rsid w:val="00306F27"/>
    <w:rsid w:val="00306F61"/>
    <w:rsid w:val="0030785F"/>
    <w:rsid w:val="00307B47"/>
    <w:rsid w:val="00307C52"/>
    <w:rsid w:val="00307D49"/>
    <w:rsid w:val="00307FD2"/>
    <w:rsid w:val="0031011F"/>
    <w:rsid w:val="003104B5"/>
    <w:rsid w:val="00310516"/>
    <w:rsid w:val="00310DFF"/>
    <w:rsid w:val="00310FE0"/>
    <w:rsid w:val="003115D0"/>
    <w:rsid w:val="003116C2"/>
    <w:rsid w:val="00311747"/>
    <w:rsid w:val="003126AD"/>
    <w:rsid w:val="00312D26"/>
    <w:rsid w:val="0031327F"/>
    <w:rsid w:val="003143A7"/>
    <w:rsid w:val="00314D68"/>
    <w:rsid w:val="00314FF1"/>
    <w:rsid w:val="00315413"/>
    <w:rsid w:val="00316CC9"/>
    <w:rsid w:val="003173C2"/>
    <w:rsid w:val="003173CA"/>
    <w:rsid w:val="003178F0"/>
    <w:rsid w:val="00320351"/>
    <w:rsid w:val="003203CD"/>
    <w:rsid w:val="00320A86"/>
    <w:rsid w:val="003213FE"/>
    <w:rsid w:val="00321451"/>
    <w:rsid w:val="00321503"/>
    <w:rsid w:val="00322742"/>
    <w:rsid w:val="00323176"/>
    <w:rsid w:val="00324040"/>
    <w:rsid w:val="003241FA"/>
    <w:rsid w:val="00324F43"/>
    <w:rsid w:val="00324FAF"/>
    <w:rsid w:val="003250B3"/>
    <w:rsid w:val="003250B8"/>
    <w:rsid w:val="00325498"/>
    <w:rsid w:val="00326751"/>
    <w:rsid w:val="00326B40"/>
    <w:rsid w:val="0032735D"/>
    <w:rsid w:val="003273BA"/>
    <w:rsid w:val="00327500"/>
    <w:rsid w:val="0032780C"/>
    <w:rsid w:val="00327BB5"/>
    <w:rsid w:val="003300BA"/>
    <w:rsid w:val="00330ECB"/>
    <w:rsid w:val="00331A5B"/>
    <w:rsid w:val="00332FBC"/>
    <w:rsid w:val="003333A0"/>
    <w:rsid w:val="00333FF4"/>
    <w:rsid w:val="0033442D"/>
    <w:rsid w:val="00334830"/>
    <w:rsid w:val="003349A1"/>
    <w:rsid w:val="00335631"/>
    <w:rsid w:val="00335C43"/>
    <w:rsid w:val="003368F6"/>
    <w:rsid w:val="00337058"/>
    <w:rsid w:val="00337751"/>
    <w:rsid w:val="00337A5C"/>
    <w:rsid w:val="00337B79"/>
    <w:rsid w:val="00337FC4"/>
    <w:rsid w:val="003402E6"/>
    <w:rsid w:val="00340844"/>
    <w:rsid w:val="00340BDB"/>
    <w:rsid w:val="003411DB"/>
    <w:rsid w:val="003417DE"/>
    <w:rsid w:val="0034184F"/>
    <w:rsid w:val="00341E8A"/>
    <w:rsid w:val="00342128"/>
    <w:rsid w:val="00342414"/>
    <w:rsid w:val="00342774"/>
    <w:rsid w:val="0034297D"/>
    <w:rsid w:val="00342D8B"/>
    <w:rsid w:val="00343763"/>
    <w:rsid w:val="00343FCC"/>
    <w:rsid w:val="00344B25"/>
    <w:rsid w:val="00344DB5"/>
    <w:rsid w:val="0034640A"/>
    <w:rsid w:val="00346C7A"/>
    <w:rsid w:val="0034761A"/>
    <w:rsid w:val="00350151"/>
    <w:rsid w:val="00350E20"/>
    <w:rsid w:val="0035190F"/>
    <w:rsid w:val="00351EE7"/>
    <w:rsid w:val="0035236B"/>
    <w:rsid w:val="0035307B"/>
    <w:rsid w:val="00353586"/>
    <w:rsid w:val="00353843"/>
    <w:rsid w:val="00353850"/>
    <w:rsid w:val="0035402F"/>
    <w:rsid w:val="003549E8"/>
    <w:rsid w:val="00355C3A"/>
    <w:rsid w:val="00355E3D"/>
    <w:rsid w:val="00356651"/>
    <w:rsid w:val="00356C9F"/>
    <w:rsid w:val="00357169"/>
    <w:rsid w:val="003600C8"/>
    <w:rsid w:val="003602DF"/>
    <w:rsid w:val="00360DC2"/>
    <w:rsid w:val="00361E04"/>
    <w:rsid w:val="00361FC8"/>
    <w:rsid w:val="00362B84"/>
    <w:rsid w:val="00362F29"/>
    <w:rsid w:val="0036342C"/>
    <w:rsid w:val="003634C8"/>
    <w:rsid w:val="003643B7"/>
    <w:rsid w:val="00364735"/>
    <w:rsid w:val="003648B0"/>
    <w:rsid w:val="0036501F"/>
    <w:rsid w:val="00366640"/>
    <w:rsid w:val="00367335"/>
    <w:rsid w:val="00367869"/>
    <w:rsid w:val="00367B7B"/>
    <w:rsid w:val="00370A09"/>
    <w:rsid w:val="00371C85"/>
    <w:rsid w:val="00371CA6"/>
    <w:rsid w:val="00372565"/>
    <w:rsid w:val="00372C47"/>
    <w:rsid w:val="00373719"/>
    <w:rsid w:val="003737B5"/>
    <w:rsid w:val="003739ED"/>
    <w:rsid w:val="00373C79"/>
    <w:rsid w:val="00374128"/>
    <w:rsid w:val="003746E2"/>
    <w:rsid w:val="00374914"/>
    <w:rsid w:val="003753E7"/>
    <w:rsid w:val="00375654"/>
    <w:rsid w:val="00375781"/>
    <w:rsid w:val="00375C6F"/>
    <w:rsid w:val="00375C84"/>
    <w:rsid w:val="003760FE"/>
    <w:rsid w:val="0037645B"/>
    <w:rsid w:val="003769AD"/>
    <w:rsid w:val="003774A5"/>
    <w:rsid w:val="0038034E"/>
    <w:rsid w:val="0038161D"/>
    <w:rsid w:val="00381E4D"/>
    <w:rsid w:val="00383795"/>
    <w:rsid w:val="00383EE3"/>
    <w:rsid w:val="00384151"/>
    <w:rsid w:val="003845A2"/>
    <w:rsid w:val="003855EB"/>
    <w:rsid w:val="00385D55"/>
    <w:rsid w:val="003865A8"/>
    <w:rsid w:val="00386BF5"/>
    <w:rsid w:val="00387E46"/>
    <w:rsid w:val="00390819"/>
    <w:rsid w:val="00390BC5"/>
    <w:rsid w:val="003913E8"/>
    <w:rsid w:val="0039142F"/>
    <w:rsid w:val="00392E17"/>
    <w:rsid w:val="00392EAD"/>
    <w:rsid w:val="00393F8C"/>
    <w:rsid w:val="003940F7"/>
    <w:rsid w:val="003945C3"/>
    <w:rsid w:val="00395240"/>
    <w:rsid w:val="00395ED3"/>
    <w:rsid w:val="003975D3"/>
    <w:rsid w:val="00397F1A"/>
    <w:rsid w:val="003A0777"/>
    <w:rsid w:val="003A0BBF"/>
    <w:rsid w:val="003A1559"/>
    <w:rsid w:val="003A17AD"/>
    <w:rsid w:val="003A190A"/>
    <w:rsid w:val="003A252C"/>
    <w:rsid w:val="003A317A"/>
    <w:rsid w:val="003A3A53"/>
    <w:rsid w:val="003A4498"/>
    <w:rsid w:val="003A46CC"/>
    <w:rsid w:val="003A4F37"/>
    <w:rsid w:val="003A5DF8"/>
    <w:rsid w:val="003A5E5B"/>
    <w:rsid w:val="003A63C9"/>
    <w:rsid w:val="003A6874"/>
    <w:rsid w:val="003A76DA"/>
    <w:rsid w:val="003A7C40"/>
    <w:rsid w:val="003A7D31"/>
    <w:rsid w:val="003B022A"/>
    <w:rsid w:val="003B0303"/>
    <w:rsid w:val="003B097E"/>
    <w:rsid w:val="003B0E9F"/>
    <w:rsid w:val="003B12F5"/>
    <w:rsid w:val="003B1DC2"/>
    <w:rsid w:val="003B1EAA"/>
    <w:rsid w:val="003B215C"/>
    <w:rsid w:val="003B25DE"/>
    <w:rsid w:val="003B2764"/>
    <w:rsid w:val="003B2C1D"/>
    <w:rsid w:val="003B2FB8"/>
    <w:rsid w:val="003B3645"/>
    <w:rsid w:val="003B3C44"/>
    <w:rsid w:val="003B5274"/>
    <w:rsid w:val="003B57F6"/>
    <w:rsid w:val="003C0028"/>
    <w:rsid w:val="003C0798"/>
    <w:rsid w:val="003C12B1"/>
    <w:rsid w:val="003C1459"/>
    <w:rsid w:val="003C161F"/>
    <w:rsid w:val="003C19E3"/>
    <w:rsid w:val="003C2392"/>
    <w:rsid w:val="003C24E3"/>
    <w:rsid w:val="003C2FFA"/>
    <w:rsid w:val="003C3D20"/>
    <w:rsid w:val="003C4094"/>
    <w:rsid w:val="003C4392"/>
    <w:rsid w:val="003C44F7"/>
    <w:rsid w:val="003C51D6"/>
    <w:rsid w:val="003C5465"/>
    <w:rsid w:val="003C617A"/>
    <w:rsid w:val="003D010E"/>
    <w:rsid w:val="003D0491"/>
    <w:rsid w:val="003D08D3"/>
    <w:rsid w:val="003D0ABD"/>
    <w:rsid w:val="003D1EB1"/>
    <w:rsid w:val="003D211C"/>
    <w:rsid w:val="003D21A1"/>
    <w:rsid w:val="003D27D5"/>
    <w:rsid w:val="003D28E7"/>
    <w:rsid w:val="003D2D95"/>
    <w:rsid w:val="003D2F04"/>
    <w:rsid w:val="003D3B62"/>
    <w:rsid w:val="003D49A9"/>
    <w:rsid w:val="003D4D7E"/>
    <w:rsid w:val="003D51B9"/>
    <w:rsid w:val="003D5E90"/>
    <w:rsid w:val="003D6029"/>
    <w:rsid w:val="003D6372"/>
    <w:rsid w:val="003D64A1"/>
    <w:rsid w:val="003D6681"/>
    <w:rsid w:val="003D709B"/>
    <w:rsid w:val="003D76BC"/>
    <w:rsid w:val="003D7F40"/>
    <w:rsid w:val="003E0BFC"/>
    <w:rsid w:val="003E165F"/>
    <w:rsid w:val="003E2441"/>
    <w:rsid w:val="003E24A9"/>
    <w:rsid w:val="003E3279"/>
    <w:rsid w:val="003E37F5"/>
    <w:rsid w:val="003E3D29"/>
    <w:rsid w:val="003E41F6"/>
    <w:rsid w:val="003E421D"/>
    <w:rsid w:val="003E6219"/>
    <w:rsid w:val="003E7C1F"/>
    <w:rsid w:val="003F084A"/>
    <w:rsid w:val="003F1D78"/>
    <w:rsid w:val="003F2004"/>
    <w:rsid w:val="003F2655"/>
    <w:rsid w:val="003F2A81"/>
    <w:rsid w:val="003F38C1"/>
    <w:rsid w:val="003F3994"/>
    <w:rsid w:val="003F5262"/>
    <w:rsid w:val="003F577A"/>
    <w:rsid w:val="003F5846"/>
    <w:rsid w:val="003F621A"/>
    <w:rsid w:val="003F72E3"/>
    <w:rsid w:val="00400527"/>
    <w:rsid w:val="00400B07"/>
    <w:rsid w:val="00401BCB"/>
    <w:rsid w:val="00401BD9"/>
    <w:rsid w:val="004023AF"/>
    <w:rsid w:val="00403D93"/>
    <w:rsid w:val="00404020"/>
    <w:rsid w:val="00404988"/>
    <w:rsid w:val="00404BFB"/>
    <w:rsid w:val="00404E8B"/>
    <w:rsid w:val="00405E23"/>
    <w:rsid w:val="004062C1"/>
    <w:rsid w:val="004064A1"/>
    <w:rsid w:val="0040675B"/>
    <w:rsid w:val="00406B47"/>
    <w:rsid w:val="00406E8D"/>
    <w:rsid w:val="00406F7A"/>
    <w:rsid w:val="00407120"/>
    <w:rsid w:val="0040718C"/>
    <w:rsid w:val="004107C7"/>
    <w:rsid w:val="004127DA"/>
    <w:rsid w:val="00413E5C"/>
    <w:rsid w:val="00414ABA"/>
    <w:rsid w:val="00415067"/>
    <w:rsid w:val="00415A7B"/>
    <w:rsid w:val="00415B59"/>
    <w:rsid w:val="00417442"/>
    <w:rsid w:val="00420715"/>
    <w:rsid w:val="00420CFE"/>
    <w:rsid w:val="00421010"/>
    <w:rsid w:val="0042170F"/>
    <w:rsid w:val="004218A0"/>
    <w:rsid w:val="00422053"/>
    <w:rsid w:val="004220D5"/>
    <w:rsid w:val="00422316"/>
    <w:rsid w:val="00422C0A"/>
    <w:rsid w:val="00422F04"/>
    <w:rsid w:val="00423B99"/>
    <w:rsid w:val="004245BC"/>
    <w:rsid w:val="00425325"/>
    <w:rsid w:val="004259B9"/>
    <w:rsid w:val="00425F67"/>
    <w:rsid w:val="00426212"/>
    <w:rsid w:val="0042677B"/>
    <w:rsid w:val="00427A07"/>
    <w:rsid w:val="004303DC"/>
    <w:rsid w:val="00430BBF"/>
    <w:rsid w:val="004312E2"/>
    <w:rsid w:val="00431324"/>
    <w:rsid w:val="0043148D"/>
    <w:rsid w:val="00431C2A"/>
    <w:rsid w:val="00431E7A"/>
    <w:rsid w:val="00432BC8"/>
    <w:rsid w:val="00433387"/>
    <w:rsid w:val="0043346F"/>
    <w:rsid w:val="004335BB"/>
    <w:rsid w:val="00434933"/>
    <w:rsid w:val="0043536D"/>
    <w:rsid w:val="00436482"/>
    <w:rsid w:val="0043667E"/>
    <w:rsid w:val="00436900"/>
    <w:rsid w:val="0043727A"/>
    <w:rsid w:val="0043737D"/>
    <w:rsid w:val="0044020B"/>
    <w:rsid w:val="00440373"/>
    <w:rsid w:val="00440A93"/>
    <w:rsid w:val="00441A68"/>
    <w:rsid w:val="00441E51"/>
    <w:rsid w:val="00441F9A"/>
    <w:rsid w:val="00441FC2"/>
    <w:rsid w:val="004429C0"/>
    <w:rsid w:val="00443AE3"/>
    <w:rsid w:val="00443B92"/>
    <w:rsid w:val="00444144"/>
    <w:rsid w:val="00444769"/>
    <w:rsid w:val="0044575A"/>
    <w:rsid w:val="00445F49"/>
    <w:rsid w:val="00447E30"/>
    <w:rsid w:val="0045011E"/>
    <w:rsid w:val="0045033C"/>
    <w:rsid w:val="00451344"/>
    <w:rsid w:val="00451534"/>
    <w:rsid w:val="004515CE"/>
    <w:rsid w:val="004518B5"/>
    <w:rsid w:val="004525E6"/>
    <w:rsid w:val="004530A5"/>
    <w:rsid w:val="00454465"/>
    <w:rsid w:val="00454DD9"/>
    <w:rsid w:val="00454F02"/>
    <w:rsid w:val="0045577A"/>
    <w:rsid w:val="004559CE"/>
    <w:rsid w:val="00455DDC"/>
    <w:rsid w:val="00456632"/>
    <w:rsid w:val="0045670D"/>
    <w:rsid w:val="00457ABD"/>
    <w:rsid w:val="00457FE8"/>
    <w:rsid w:val="0046164D"/>
    <w:rsid w:val="00464068"/>
    <w:rsid w:val="0046416B"/>
    <w:rsid w:val="004649BA"/>
    <w:rsid w:val="00464A6D"/>
    <w:rsid w:val="004653C4"/>
    <w:rsid w:val="00465D63"/>
    <w:rsid w:val="00466721"/>
    <w:rsid w:val="00466D51"/>
    <w:rsid w:val="004673AE"/>
    <w:rsid w:val="00467F3C"/>
    <w:rsid w:val="004714AF"/>
    <w:rsid w:val="00471968"/>
    <w:rsid w:val="004723C6"/>
    <w:rsid w:val="004726A8"/>
    <w:rsid w:val="004731FB"/>
    <w:rsid w:val="004740A9"/>
    <w:rsid w:val="00475104"/>
    <w:rsid w:val="004752BA"/>
    <w:rsid w:val="00475373"/>
    <w:rsid w:val="00475450"/>
    <w:rsid w:val="004757AA"/>
    <w:rsid w:val="00475F45"/>
    <w:rsid w:val="00476324"/>
    <w:rsid w:val="00476872"/>
    <w:rsid w:val="0047690E"/>
    <w:rsid w:val="00476DC1"/>
    <w:rsid w:val="00477D6A"/>
    <w:rsid w:val="00477EEA"/>
    <w:rsid w:val="00480322"/>
    <w:rsid w:val="00480808"/>
    <w:rsid w:val="00480B53"/>
    <w:rsid w:val="00481799"/>
    <w:rsid w:val="00481CB9"/>
    <w:rsid w:val="004824BE"/>
    <w:rsid w:val="00482618"/>
    <w:rsid w:val="004826BE"/>
    <w:rsid w:val="004826CE"/>
    <w:rsid w:val="004833E4"/>
    <w:rsid w:val="00484227"/>
    <w:rsid w:val="00484758"/>
    <w:rsid w:val="00484787"/>
    <w:rsid w:val="00485212"/>
    <w:rsid w:val="00486087"/>
    <w:rsid w:val="004864A6"/>
    <w:rsid w:val="0048718C"/>
    <w:rsid w:val="00487972"/>
    <w:rsid w:val="00490FC3"/>
    <w:rsid w:val="00491887"/>
    <w:rsid w:val="004929DA"/>
    <w:rsid w:val="004935C1"/>
    <w:rsid w:val="00494107"/>
    <w:rsid w:val="00494A6F"/>
    <w:rsid w:val="00494CC2"/>
    <w:rsid w:val="004951F6"/>
    <w:rsid w:val="004952E8"/>
    <w:rsid w:val="00497117"/>
    <w:rsid w:val="00497D3E"/>
    <w:rsid w:val="00497FC5"/>
    <w:rsid w:val="004A0068"/>
    <w:rsid w:val="004A09A8"/>
    <w:rsid w:val="004A0BB6"/>
    <w:rsid w:val="004A0D25"/>
    <w:rsid w:val="004A13BA"/>
    <w:rsid w:val="004A216B"/>
    <w:rsid w:val="004A27A7"/>
    <w:rsid w:val="004A2A57"/>
    <w:rsid w:val="004A2A71"/>
    <w:rsid w:val="004A320E"/>
    <w:rsid w:val="004A3435"/>
    <w:rsid w:val="004A486E"/>
    <w:rsid w:val="004A5051"/>
    <w:rsid w:val="004A578A"/>
    <w:rsid w:val="004A6DF3"/>
    <w:rsid w:val="004A72B2"/>
    <w:rsid w:val="004A75DF"/>
    <w:rsid w:val="004A7A95"/>
    <w:rsid w:val="004B0169"/>
    <w:rsid w:val="004B2722"/>
    <w:rsid w:val="004B2DA1"/>
    <w:rsid w:val="004B2ECB"/>
    <w:rsid w:val="004B327A"/>
    <w:rsid w:val="004B3DB4"/>
    <w:rsid w:val="004B4BC6"/>
    <w:rsid w:val="004B4F61"/>
    <w:rsid w:val="004B5398"/>
    <w:rsid w:val="004B688B"/>
    <w:rsid w:val="004B6A6C"/>
    <w:rsid w:val="004B73C6"/>
    <w:rsid w:val="004B7852"/>
    <w:rsid w:val="004B7D0A"/>
    <w:rsid w:val="004C04B2"/>
    <w:rsid w:val="004C0A7F"/>
    <w:rsid w:val="004C1138"/>
    <w:rsid w:val="004C1698"/>
    <w:rsid w:val="004C37C1"/>
    <w:rsid w:val="004C44B6"/>
    <w:rsid w:val="004C57D4"/>
    <w:rsid w:val="004C5C89"/>
    <w:rsid w:val="004C5D80"/>
    <w:rsid w:val="004C7476"/>
    <w:rsid w:val="004D0717"/>
    <w:rsid w:val="004D10EF"/>
    <w:rsid w:val="004D1329"/>
    <w:rsid w:val="004D166F"/>
    <w:rsid w:val="004D18C3"/>
    <w:rsid w:val="004D197B"/>
    <w:rsid w:val="004D2ECD"/>
    <w:rsid w:val="004D312D"/>
    <w:rsid w:val="004D3F3E"/>
    <w:rsid w:val="004D5C26"/>
    <w:rsid w:val="004D6056"/>
    <w:rsid w:val="004D616C"/>
    <w:rsid w:val="004D65F2"/>
    <w:rsid w:val="004D660E"/>
    <w:rsid w:val="004D6BC8"/>
    <w:rsid w:val="004D6C94"/>
    <w:rsid w:val="004D7633"/>
    <w:rsid w:val="004D77B8"/>
    <w:rsid w:val="004D7A14"/>
    <w:rsid w:val="004E00D0"/>
    <w:rsid w:val="004E049C"/>
    <w:rsid w:val="004E090D"/>
    <w:rsid w:val="004E0A27"/>
    <w:rsid w:val="004E0DAA"/>
    <w:rsid w:val="004E2B5D"/>
    <w:rsid w:val="004E3332"/>
    <w:rsid w:val="004E33BD"/>
    <w:rsid w:val="004E458E"/>
    <w:rsid w:val="004E46CE"/>
    <w:rsid w:val="004E4C26"/>
    <w:rsid w:val="004E4F64"/>
    <w:rsid w:val="004E529B"/>
    <w:rsid w:val="004E5A35"/>
    <w:rsid w:val="004E65D1"/>
    <w:rsid w:val="004E70CF"/>
    <w:rsid w:val="004F04B2"/>
    <w:rsid w:val="004F0981"/>
    <w:rsid w:val="004F0EC9"/>
    <w:rsid w:val="004F11B8"/>
    <w:rsid w:val="004F17BF"/>
    <w:rsid w:val="004F1F3C"/>
    <w:rsid w:val="004F1F9A"/>
    <w:rsid w:val="004F3083"/>
    <w:rsid w:val="004F344F"/>
    <w:rsid w:val="004F3665"/>
    <w:rsid w:val="004F38D1"/>
    <w:rsid w:val="004F404A"/>
    <w:rsid w:val="004F4A83"/>
    <w:rsid w:val="004F4B72"/>
    <w:rsid w:val="004F5D0A"/>
    <w:rsid w:val="004F68B3"/>
    <w:rsid w:val="004F716D"/>
    <w:rsid w:val="00500364"/>
    <w:rsid w:val="00500973"/>
    <w:rsid w:val="00500A20"/>
    <w:rsid w:val="00500F15"/>
    <w:rsid w:val="005011D1"/>
    <w:rsid w:val="005017C4"/>
    <w:rsid w:val="00501883"/>
    <w:rsid w:val="005021B4"/>
    <w:rsid w:val="00502593"/>
    <w:rsid w:val="00502A37"/>
    <w:rsid w:val="00502D90"/>
    <w:rsid w:val="00502DE1"/>
    <w:rsid w:val="00502E1D"/>
    <w:rsid w:val="00502EE4"/>
    <w:rsid w:val="005035F0"/>
    <w:rsid w:val="005038F1"/>
    <w:rsid w:val="00504AA8"/>
    <w:rsid w:val="00504BDE"/>
    <w:rsid w:val="00504DD5"/>
    <w:rsid w:val="00506C95"/>
    <w:rsid w:val="0050711E"/>
    <w:rsid w:val="0050719B"/>
    <w:rsid w:val="00507785"/>
    <w:rsid w:val="00507F37"/>
    <w:rsid w:val="005118AC"/>
    <w:rsid w:val="00511B34"/>
    <w:rsid w:val="00511F97"/>
    <w:rsid w:val="005129CC"/>
    <w:rsid w:val="005141E4"/>
    <w:rsid w:val="0051447E"/>
    <w:rsid w:val="005144EC"/>
    <w:rsid w:val="00515193"/>
    <w:rsid w:val="00515EC9"/>
    <w:rsid w:val="00516007"/>
    <w:rsid w:val="0051625C"/>
    <w:rsid w:val="00516665"/>
    <w:rsid w:val="00516D77"/>
    <w:rsid w:val="0051722B"/>
    <w:rsid w:val="00517C22"/>
    <w:rsid w:val="00520099"/>
    <w:rsid w:val="005209FB"/>
    <w:rsid w:val="00521930"/>
    <w:rsid w:val="00521977"/>
    <w:rsid w:val="00521A3E"/>
    <w:rsid w:val="00521B93"/>
    <w:rsid w:val="00522C55"/>
    <w:rsid w:val="00523BD3"/>
    <w:rsid w:val="005242DC"/>
    <w:rsid w:val="00524CC1"/>
    <w:rsid w:val="00525634"/>
    <w:rsid w:val="00525692"/>
    <w:rsid w:val="005259C5"/>
    <w:rsid w:val="0052730D"/>
    <w:rsid w:val="00527BB1"/>
    <w:rsid w:val="00527E05"/>
    <w:rsid w:val="00530DCA"/>
    <w:rsid w:val="00531F89"/>
    <w:rsid w:val="0053284A"/>
    <w:rsid w:val="00532E43"/>
    <w:rsid w:val="00533182"/>
    <w:rsid w:val="00533ACB"/>
    <w:rsid w:val="00533C07"/>
    <w:rsid w:val="005340E0"/>
    <w:rsid w:val="005344FF"/>
    <w:rsid w:val="00534586"/>
    <w:rsid w:val="00534BB3"/>
    <w:rsid w:val="00535180"/>
    <w:rsid w:val="005352A8"/>
    <w:rsid w:val="005364CC"/>
    <w:rsid w:val="00536731"/>
    <w:rsid w:val="00536C7C"/>
    <w:rsid w:val="00537E9B"/>
    <w:rsid w:val="00540765"/>
    <w:rsid w:val="005409F6"/>
    <w:rsid w:val="00540A3A"/>
    <w:rsid w:val="0054100D"/>
    <w:rsid w:val="00541032"/>
    <w:rsid w:val="00541685"/>
    <w:rsid w:val="00541F0C"/>
    <w:rsid w:val="00542C7E"/>
    <w:rsid w:val="00543A18"/>
    <w:rsid w:val="00543DBF"/>
    <w:rsid w:val="00544A5F"/>
    <w:rsid w:val="00544D87"/>
    <w:rsid w:val="00544F62"/>
    <w:rsid w:val="005454D2"/>
    <w:rsid w:val="005455E4"/>
    <w:rsid w:val="0054652E"/>
    <w:rsid w:val="00546CC6"/>
    <w:rsid w:val="00546F74"/>
    <w:rsid w:val="00547481"/>
    <w:rsid w:val="00547A90"/>
    <w:rsid w:val="00550477"/>
    <w:rsid w:val="00550648"/>
    <w:rsid w:val="0055085B"/>
    <w:rsid w:val="0055089C"/>
    <w:rsid w:val="0055092D"/>
    <w:rsid w:val="005518DA"/>
    <w:rsid w:val="0055405B"/>
    <w:rsid w:val="005541A4"/>
    <w:rsid w:val="00554A0E"/>
    <w:rsid w:val="005557E3"/>
    <w:rsid w:val="00555ABE"/>
    <w:rsid w:val="00555B82"/>
    <w:rsid w:val="005564DF"/>
    <w:rsid w:val="00557AD4"/>
    <w:rsid w:val="00560C3B"/>
    <w:rsid w:val="00560D56"/>
    <w:rsid w:val="0056151F"/>
    <w:rsid w:val="00561C3D"/>
    <w:rsid w:val="00562044"/>
    <w:rsid w:val="0056316B"/>
    <w:rsid w:val="005636B9"/>
    <w:rsid w:val="00564D4E"/>
    <w:rsid w:val="00564D8B"/>
    <w:rsid w:val="00565EB1"/>
    <w:rsid w:val="00566723"/>
    <w:rsid w:val="005678E0"/>
    <w:rsid w:val="00567ABF"/>
    <w:rsid w:val="00567B09"/>
    <w:rsid w:val="00567E28"/>
    <w:rsid w:val="00570647"/>
    <w:rsid w:val="005707E8"/>
    <w:rsid w:val="005710A1"/>
    <w:rsid w:val="00571D3D"/>
    <w:rsid w:val="00572637"/>
    <w:rsid w:val="0057278A"/>
    <w:rsid w:val="005731BE"/>
    <w:rsid w:val="005736D1"/>
    <w:rsid w:val="00573D43"/>
    <w:rsid w:val="00574391"/>
    <w:rsid w:val="0057513C"/>
    <w:rsid w:val="00576361"/>
    <w:rsid w:val="00576536"/>
    <w:rsid w:val="00576624"/>
    <w:rsid w:val="00577D76"/>
    <w:rsid w:val="00577F2B"/>
    <w:rsid w:val="00580968"/>
    <w:rsid w:val="005814F5"/>
    <w:rsid w:val="005815F9"/>
    <w:rsid w:val="00581DF2"/>
    <w:rsid w:val="005822C7"/>
    <w:rsid w:val="0058256B"/>
    <w:rsid w:val="005827AC"/>
    <w:rsid w:val="00582BC3"/>
    <w:rsid w:val="00582ED4"/>
    <w:rsid w:val="005837FA"/>
    <w:rsid w:val="00583995"/>
    <w:rsid w:val="00583BF3"/>
    <w:rsid w:val="005846D7"/>
    <w:rsid w:val="00584921"/>
    <w:rsid w:val="005859A5"/>
    <w:rsid w:val="00586034"/>
    <w:rsid w:val="0058652C"/>
    <w:rsid w:val="005866B3"/>
    <w:rsid w:val="00586AA1"/>
    <w:rsid w:val="00587659"/>
    <w:rsid w:val="0058795D"/>
    <w:rsid w:val="00591124"/>
    <w:rsid w:val="00591135"/>
    <w:rsid w:val="00591613"/>
    <w:rsid w:val="0059176E"/>
    <w:rsid w:val="00591F68"/>
    <w:rsid w:val="005927B8"/>
    <w:rsid w:val="00593117"/>
    <w:rsid w:val="005933E4"/>
    <w:rsid w:val="005935B3"/>
    <w:rsid w:val="0059374C"/>
    <w:rsid w:val="00593E3A"/>
    <w:rsid w:val="00594F6B"/>
    <w:rsid w:val="00595589"/>
    <w:rsid w:val="005955BC"/>
    <w:rsid w:val="005960A6"/>
    <w:rsid w:val="00596E3A"/>
    <w:rsid w:val="00596F6C"/>
    <w:rsid w:val="005970FA"/>
    <w:rsid w:val="005977FE"/>
    <w:rsid w:val="00597EFB"/>
    <w:rsid w:val="005A13D3"/>
    <w:rsid w:val="005A1519"/>
    <w:rsid w:val="005A17E8"/>
    <w:rsid w:val="005A2067"/>
    <w:rsid w:val="005A2791"/>
    <w:rsid w:val="005A27A8"/>
    <w:rsid w:val="005A4AA4"/>
    <w:rsid w:val="005A4F22"/>
    <w:rsid w:val="005A5EFD"/>
    <w:rsid w:val="005A67C5"/>
    <w:rsid w:val="005A6E70"/>
    <w:rsid w:val="005A7240"/>
    <w:rsid w:val="005A73EB"/>
    <w:rsid w:val="005B09DA"/>
    <w:rsid w:val="005B1A14"/>
    <w:rsid w:val="005B1F0C"/>
    <w:rsid w:val="005B2AE7"/>
    <w:rsid w:val="005B2D80"/>
    <w:rsid w:val="005B3551"/>
    <w:rsid w:val="005B39BA"/>
    <w:rsid w:val="005B4D42"/>
    <w:rsid w:val="005B4F6A"/>
    <w:rsid w:val="005B5884"/>
    <w:rsid w:val="005B5BB9"/>
    <w:rsid w:val="005B6DAF"/>
    <w:rsid w:val="005B718B"/>
    <w:rsid w:val="005B74F6"/>
    <w:rsid w:val="005C035A"/>
    <w:rsid w:val="005C07B3"/>
    <w:rsid w:val="005C16B2"/>
    <w:rsid w:val="005C1836"/>
    <w:rsid w:val="005C1AE6"/>
    <w:rsid w:val="005C1C60"/>
    <w:rsid w:val="005C1FE8"/>
    <w:rsid w:val="005C238D"/>
    <w:rsid w:val="005C2859"/>
    <w:rsid w:val="005C2F5D"/>
    <w:rsid w:val="005C3322"/>
    <w:rsid w:val="005C36E4"/>
    <w:rsid w:val="005C3AC9"/>
    <w:rsid w:val="005C3CD7"/>
    <w:rsid w:val="005C4286"/>
    <w:rsid w:val="005C4CB8"/>
    <w:rsid w:val="005C57A8"/>
    <w:rsid w:val="005C5BCD"/>
    <w:rsid w:val="005C5EE1"/>
    <w:rsid w:val="005C619F"/>
    <w:rsid w:val="005C6836"/>
    <w:rsid w:val="005C6AF7"/>
    <w:rsid w:val="005C6B4D"/>
    <w:rsid w:val="005C7ED4"/>
    <w:rsid w:val="005D091D"/>
    <w:rsid w:val="005D09DF"/>
    <w:rsid w:val="005D12F1"/>
    <w:rsid w:val="005D26FB"/>
    <w:rsid w:val="005D3A66"/>
    <w:rsid w:val="005D436A"/>
    <w:rsid w:val="005D47A2"/>
    <w:rsid w:val="005D49B8"/>
    <w:rsid w:val="005D4B54"/>
    <w:rsid w:val="005D510C"/>
    <w:rsid w:val="005D5125"/>
    <w:rsid w:val="005D5CA4"/>
    <w:rsid w:val="005D5EFB"/>
    <w:rsid w:val="005D6313"/>
    <w:rsid w:val="005D6314"/>
    <w:rsid w:val="005D6684"/>
    <w:rsid w:val="005D6A7C"/>
    <w:rsid w:val="005E0DBE"/>
    <w:rsid w:val="005E114F"/>
    <w:rsid w:val="005E1555"/>
    <w:rsid w:val="005E2CB2"/>
    <w:rsid w:val="005E2D6C"/>
    <w:rsid w:val="005E333C"/>
    <w:rsid w:val="005E3404"/>
    <w:rsid w:val="005E407D"/>
    <w:rsid w:val="005E40E0"/>
    <w:rsid w:val="005E430C"/>
    <w:rsid w:val="005E59B3"/>
    <w:rsid w:val="005E5C36"/>
    <w:rsid w:val="005E62D6"/>
    <w:rsid w:val="005E75D6"/>
    <w:rsid w:val="005E7875"/>
    <w:rsid w:val="005F1023"/>
    <w:rsid w:val="005F1569"/>
    <w:rsid w:val="005F191C"/>
    <w:rsid w:val="005F204B"/>
    <w:rsid w:val="005F2458"/>
    <w:rsid w:val="005F2BE8"/>
    <w:rsid w:val="005F332B"/>
    <w:rsid w:val="005F3582"/>
    <w:rsid w:val="005F45CD"/>
    <w:rsid w:val="005F46CF"/>
    <w:rsid w:val="005F49C2"/>
    <w:rsid w:val="005F4FB3"/>
    <w:rsid w:val="005F5E3D"/>
    <w:rsid w:val="005F64BC"/>
    <w:rsid w:val="005F71DD"/>
    <w:rsid w:val="005F73F0"/>
    <w:rsid w:val="00600177"/>
    <w:rsid w:val="00600A46"/>
    <w:rsid w:val="00600AF2"/>
    <w:rsid w:val="00600CBB"/>
    <w:rsid w:val="00600E82"/>
    <w:rsid w:val="006014B6"/>
    <w:rsid w:val="00601C19"/>
    <w:rsid w:val="00602485"/>
    <w:rsid w:val="00603199"/>
    <w:rsid w:val="006038A1"/>
    <w:rsid w:val="00603B9B"/>
    <w:rsid w:val="00603DAD"/>
    <w:rsid w:val="00604521"/>
    <w:rsid w:val="00604D0B"/>
    <w:rsid w:val="0060505D"/>
    <w:rsid w:val="00605175"/>
    <w:rsid w:val="00605304"/>
    <w:rsid w:val="00605FAB"/>
    <w:rsid w:val="00607BBC"/>
    <w:rsid w:val="00611478"/>
    <w:rsid w:val="006118AA"/>
    <w:rsid w:val="00611CD9"/>
    <w:rsid w:val="00612012"/>
    <w:rsid w:val="00612402"/>
    <w:rsid w:val="00613D79"/>
    <w:rsid w:val="00613F12"/>
    <w:rsid w:val="0061500A"/>
    <w:rsid w:val="006155D1"/>
    <w:rsid w:val="00615A52"/>
    <w:rsid w:val="00616F79"/>
    <w:rsid w:val="006175CC"/>
    <w:rsid w:val="00620164"/>
    <w:rsid w:val="006203A4"/>
    <w:rsid w:val="00620AA7"/>
    <w:rsid w:val="00621E3E"/>
    <w:rsid w:val="006222C8"/>
    <w:rsid w:val="00623E1A"/>
    <w:rsid w:val="00625735"/>
    <w:rsid w:val="006259FB"/>
    <w:rsid w:val="00625B65"/>
    <w:rsid w:val="0063050C"/>
    <w:rsid w:val="00630E76"/>
    <w:rsid w:val="00631150"/>
    <w:rsid w:val="00631BD1"/>
    <w:rsid w:val="006339BD"/>
    <w:rsid w:val="006339FE"/>
    <w:rsid w:val="00635368"/>
    <w:rsid w:val="006355C1"/>
    <w:rsid w:val="0063654C"/>
    <w:rsid w:val="00636FE6"/>
    <w:rsid w:val="00637137"/>
    <w:rsid w:val="006378C1"/>
    <w:rsid w:val="006402C7"/>
    <w:rsid w:val="00640DA0"/>
    <w:rsid w:val="00641379"/>
    <w:rsid w:val="006418D3"/>
    <w:rsid w:val="00641F80"/>
    <w:rsid w:val="0064214D"/>
    <w:rsid w:val="00642C68"/>
    <w:rsid w:val="00642FEA"/>
    <w:rsid w:val="006434A6"/>
    <w:rsid w:val="0064418C"/>
    <w:rsid w:val="00644C38"/>
    <w:rsid w:val="00644ED9"/>
    <w:rsid w:val="00646D4D"/>
    <w:rsid w:val="00646FF2"/>
    <w:rsid w:val="006475FD"/>
    <w:rsid w:val="00651EF8"/>
    <w:rsid w:val="00652433"/>
    <w:rsid w:val="006526EA"/>
    <w:rsid w:val="00652762"/>
    <w:rsid w:val="00652773"/>
    <w:rsid w:val="00652DEB"/>
    <w:rsid w:val="006532C6"/>
    <w:rsid w:val="006538D4"/>
    <w:rsid w:val="00653AD6"/>
    <w:rsid w:val="00654290"/>
    <w:rsid w:val="006546A1"/>
    <w:rsid w:val="00654BA5"/>
    <w:rsid w:val="00654C9C"/>
    <w:rsid w:val="00654D49"/>
    <w:rsid w:val="00655BC2"/>
    <w:rsid w:val="0065601B"/>
    <w:rsid w:val="00656CD5"/>
    <w:rsid w:val="00656E44"/>
    <w:rsid w:val="00657097"/>
    <w:rsid w:val="0065720B"/>
    <w:rsid w:val="0065763E"/>
    <w:rsid w:val="0066065B"/>
    <w:rsid w:val="0066082A"/>
    <w:rsid w:val="00660989"/>
    <w:rsid w:val="00661394"/>
    <w:rsid w:val="00661555"/>
    <w:rsid w:val="00661CB3"/>
    <w:rsid w:val="00661CB7"/>
    <w:rsid w:val="00661E41"/>
    <w:rsid w:val="00662607"/>
    <w:rsid w:val="006638C3"/>
    <w:rsid w:val="0066528A"/>
    <w:rsid w:val="006656CF"/>
    <w:rsid w:val="0066574F"/>
    <w:rsid w:val="00666B1B"/>
    <w:rsid w:val="00667292"/>
    <w:rsid w:val="0066735A"/>
    <w:rsid w:val="00667C39"/>
    <w:rsid w:val="00667ECF"/>
    <w:rsid w:val="00671B53"/>
    <w:rsid w:val="00671DF9"/>
    <w:rsid w:val="00672280"/>
    <w:rsid w:val="00673CEC"/>
    <w:rsid w:val="00673D4B"/>
    <w:rsid w:val="00673E46"/>
    <w:rsid w:val="006743A6"/>
    <w:rsid w:val="00674C73"/>
    <w:rsid w:val="006754E4"/>
    <w:rsid w:val="006756A2"/>
    <w:rsid w:val="0067579B"/>
    <w:rsid w:val="00676414"/>
    <w:rsid w:val="0067725C"/>
    <w:rsid w:val="006806A4"/>
    <w:rsid w:val="006808B0"/>
    <w:rsid w:val="0068129E"/>
    <w:rsid w:val="006816C5"/>
    <w:rsid w:val="00681B20"/>
    <w:rsid w:val="006824E9"/>
    <w:rsid w:val="00682BAF"/>
    <w:rsid w:val="006832BD"/>
    <w:rsid w:val="006832F4"/>
    <w:rsid w:val="006834AD"/>
    <w:rsid w:val="006836D6"/>
    <w:rsid w:val="00683FAD"/>
    <w:rsid w:val="00684069"/>
    <w:rsid w:val="00684551"/>
    <w:rsid w:val="006849D3"/>
    <w:rsid w:val="00684D04"/>
    <w:rsid w:val="00684EC7"/>
    <w:rsid w:val="00684EF8"/>
    <w:rsid w:val="006855E1"/>
    <w:rsid w:val="00685CA5"/>
    <w:rsid w:val="00686947"/>
    <w:rsid w:val="00686BCD"/>
    <w:rsid w:val="00686D9D"/>
    <w:rsid w:val="00687393"/>
    <w:rsid w:val="00687B0B"/>
    <w:rsid w:val="00687C44"/>
    <w:rsid w:val="00687FBB"/>
    <w:rsid w:val="006902C6"/>
    <w:rsid w:val="0069091C"/>
    <w:rsid w:val="00690CCD"/>
    <w:rsid w:val="00691926"/>
    <w:rsid w:val="00692069"/>
    <w:rsid w:val="00692905"/>
    <w:rsid w:val="00692F85"/>
    <w:rsid w:val="006931F8"/>
    <w:rsid w:val="00693DF4"/>
    <w:rsid w:val="00694682"/>
    <w:rsid w:val="00696DDA"/>
    <w:rsid w:val="00697449"/>
    <w:rsid w:val="00697884"/>
    <w:rsid w:val="00697C17"/>
    <w:rsid w:val="00697C61"/>
    <w:rsid w:val="00697EBC"/>
    <w:rsid w:val="006A0331"/>
    <w:rsid w:val="006A12AD"/>
    <w:rsid w:val="006A16E8"/>
    <w:rsid w:val="006A1E78"/>
    <w:rsid w:val="006A1EAC"/>
    <w:rsid w:val="006A20B6"/>
    <w:rsid w:val="006A27F1"/>
    <w:rsid w:val="006A2BD5"/>
    <w:rsid w:val="006A2C25"/>
    <w:rsid w:val="006A3E1A"/>
    <w:rsid w:val="006A45E2"/>
    <w:rsid w:val="006A4950"/>
    <w:rsid w:val="006A4B85"/>
    <w:rsid w:val="006A4F7A"/>
    <w:rsid w:val="006A59C7"/>
    <w:rsid w:val="006A5FAB"/>
    <w:rsid w:val="006A617E"/>
    <w:rsid w:val="006A6DAF"/>
    <w:rsid w:val="006A7189"/>
    <w:rsid w:val="006B0554"/>
    <w:rsid w:val="006B0A64"/>
    <w:rsid w:val="006B0B31"/>
    <w:rsid w:val="006B141A"/>
    <w:rsid w:val="006B196B"/>
    <w:rsid w:val="006B1BB5"/>
    <w:rsid w:val="006B2AC0"/>
    <w:rsid w:val="006B2F59"/>
    <w:rsid w:val="006B346A"/>
    <w:rsid w:val="006B4525"/>
    <w:rsid w:val="006B45C1"/>
    <w:rsid w:val="006B46A2"/>
    <w:rsid w:val="006B4931"/>
    <w:rsid w:val="006B519A"/>
    <w:rsid w:val="006B614D"/>
    <w:rsid w:val="006B667C"/>
    <w:rsid w:val="006B6EBA"/>
    <w:rsid w:val="006B7424"/>
    <w:rsid w:val="006B7961"/>
    <w:rsid w:val="006C11E1"/>
    <w:rsid w:val="006C1BFF"/>
    <w:rsid w:val="006C1C83"/>
    <w:rsid w:val="006C1E5F"/>
    <w:rsid w:val="006C3212"/>
    <w:rsid w:val="006C36BE"/>
    <w:rsid w:val="006C3D2B"/>
    <w:rsid w:val="006C462D"/>
    <w:rsid w:val="006C47E9"/>
    <w:rsid w:val="006C4A77"/>
    <w:rsid w:val="006C4AFE"/>
    <w:rsid w:val="006C4B8D"/>
    <w:rsid w:val="006C4C9F"/>
    <w:rsid w:val="006C4FD9"/>
    <w:rsid w:val="006C5397"/>
    <w:rsid w:val="006C5C83"/>
    <w:rsid w:val="006C5E69"/>
    <w:rsid w:val="006C6E32"/>
    <w:rsid w:val="006C6EB0"/>
    <w:rsid w:val="006C704E"/>
    <w:rsid w:val="006C7109"/>
    <w:rsid w:val="006D0582"/>
    <w:rsid w:val="006D134A"/>
    <w:rsid w:val="006D23FA"/>
    <w:rsid w:val="006D3104"/>
    <w:rsid w:val="006D3731"/>
    <w:rsid w:val="006D3A74"/>
    <w:rsid w:val="006D3AC1"/>
    <w:rsid w:val="006D42F4"/>
    <w:rsid w:val="006D4335"/>
    <w:rsid w:val="006D4417"/>
    <w:rsid w:val="006D46C7"/>
    <w:rsid w:val="006D4962"/>
    <w:rsid w:val="006D4CC5"/>
    <w:rsid w:val="006D51EA"/>
    <w:rsid w:val="006D6ACB"/>
    <w:rsid w:val="006D6F54"/>
    <w:rsid w:val="006E063D"/>
    <w:rsid w:val="006E0FB5"/>
    <w:rsid w:val="006E15A6"/>
    <w:rsid w:val="006E22BC"/>
    <w:rsid w:val="006E2361"/>
    <w:rsid w:val="006E28C7"/>
    <w:rsid w:val="006E312A"/>
    <w:rsid w:val="006E3B08"/>
    <w:rsid w:val="006E3FA9"/>
    <w:rsid w:val="006E409D"/>
    <w:rsid w:val="006E428C"/>
    <w:rsid w:val="006E4B5D"/>
    <w:rsid w:val="006E548E"/>
    <w:rsid w:val="006E567B"/>
    <w:rsid w:val="006E64AD"/>
    <w:rsid w:val="006E6CF9"/>
    <w:rsid w:val="006E6E4D"/>
    <w:rsid w:val="006E73F8"/>
    <w:rsid w:val="006E7A6A"/>
    <w:rsid w:val="006F2664"/>
    <w:rsid w:val="006F286C"/>
    <w:rsid w:val="006F306E"/>
    <w:rsid w:val="006F3120"/>
    <w:rsid w:val="006F33F8"/>
    <w:rsid w:val="006F37FF"/>
    <w:rsid w:val="006F425F"/>
    <w:rsid w:val="006F4F0C"/>
    <w:rsid w:val="006F545D"/>
    <w:rsid w:val="006F5921"/>
    <w:rsid w:val="006F5C7B"/>
    <w:rsid w:val="006F6BFA"/>
    <w:rsid w:val="006F6E20"/>
    <w:rsid w:val="006F74CC"/>
    <w:rsid w:val="00701C71"/>
    <w:rsid w:val="0070285A"/>
    <w:rsid w:val="00703929"/>
    <w:rsid w:val="0070409B"/>
    <w:rsid w:val="007042BF"/>
    <w:rsid w:val="00704506"/>
    <w:rsid w:val="00704713"/>
    <w:rsid w:val="00704D4F"/>
    <w:rsid w:val="00705601"/>
    <w:rsid w:val="00705AAB"/>
    <w:rsid w:val="00705DF3"/>
    <w:rsid w:val="0070625C"/>
    <w:rsid w:val="00706EF2"/>
    <w:rsid w:val="0070700D"/>
    <w:rsid w:val="00707860"/>
    <w:rsid w:val="00707EAE"/>
    <w:rsid w:val="007100D9"/>
    <w:rsid w:val="00710201"/>
    <w:rsid w:val="007117D7"/>
    <w:rsid w:val="0071244A"/>
    <w:rsid w:val="00712BBC"/>
    <w:rsid w:val="00712E2F"/>
    <w:rsid w:val="00713027"/>
    <w:rsid w:val="00713A0C"/>
    <w:rsid w:val="00714180"/>
    <w:rsid w:val="00714499"/>
    <w:rsid w:val="00714601"/>
    <w:rsid w:val="007148AA"/>
    <w:rsid w:val="00715A16"/>
    <w:rsid w:val="007163E1"/>
    <w:rsid w:val="00716569"/>
    <w:rsid w:val="00716A44"/>
    <w:rsid w:val="0071752A"/>
    <w:rsid w:val="007177D7"/>
    <w:rsid w:val="00717B76"/>
    <w:rsid w:val="00720E87"/>
    <w:rsid w:val="007221DD"/>
    <w:rsid w:val="007232F5"/>
    <w:rsid w:val="007235E8"/>
    <w:rsid w:val="00723B31"/>
    <w:rsid w:val="00723FA9"/>
    <w:rsid w:val="00724E12"/>
    <w:rsid w:val="007250AB"/>
    <w:rsid w:val="00725622"/>
    <w:rsid w:val="007265E2"/>
    <w:rsid w:val="007269F6"/>
    <w:rsid w:val="0072741D"/>
    <w:rsid w:val="00727606"/>
    <w:rsid w:val="00727D3E"/>
    <w:rsid w:val="0073022F"/>
    <w:rsid w:val="0073097E"/>
    <w:rsid w:val="00732A75"/>
    <w:rsid w:val="00732D6B"/>
    <w:rsid w:val="0073310C"/>
    <w:rsid w:val="0073348B"/>
    <w:rsid w:val="00733A94"/>
    <w:rsid w:val="00734358"/>
    <w:rsid w:val="0073513E"/>
    <w:rsid w:val="007352D6"/>
    <w:rsid w:val="00737112"/>
    <w:rsid w:val="007371EC"/>
    <w:rsid w:val="0073725E"/>
    <w:rsid w:val="00737325"/>
    <w:rsid w:val="00737569"/>
    <w:rsid w:val="00737909"/>
    <w:rsid w:val="00737BE4"/>
    <w:rsid w:val="00740131"/>
    <w:rsid w:val="0074044C"/>
    <w:rsid w:val="007407D6"/>
    <w:rsid w:val="00740FA6"/>
    <w:rsid w:val="007420C7"/>
    <w:rsid w:val="007433E0"/>
    <w:rsid w:val="0074346B"/>
    <w:rsid w:val="00743C3E"/>
    <w:rsid w:val="00743DC3"/>
    <w:rsid w:val="00744796"/>
    <w:rsid w:val="00744BBB"/>
    <w:rsid w:val="00745DFD"/>
    <w:rsid w:val="00745F46"/>
    <w:rsid w:val="0074615B"/>
    <w:rsid w:val="00747003"/>
    <w:rsid w:val="00747238"/>
    <w:rsid w:val="0074760B"/>
    <w:rsid w:val="007478DD"/>
    <w:rsid w:val="00750CFE"/>
    <w:rsid w:val="007514C9"/>
    <w:rsid w:val="00751A35"/>
    <w:rsid w:val="00752393"/>
    <w:rsid w:val="00752623"/>
    <w:rsid w:val="00752FC0"/>
    <w:rsid w:val="00753917"/>
    <w:rsid w:val="00754087"/>
    <w:rsid w:val="00754174"/>
    <w:rsid w:val="00754378"/>
    <w:rsid w:val="007544D1"/>
    <w:rsid w:val="00754706"/>
    <w:rsid w:val="0075616A"/>
    <w:rsid w:val="007561E1"/>
    <w:rsid w:val="00756A1E"/>
    <w:rsid w:val="00756DD7"/>
    <w:rsid w:val="00757968"/>
    <w:rsid w:val="007579D8"/>
    <w:rsid w:val="00757DFA"/>
    <w:rsid w:val="00760756"/>
    <w:rsid w:val="00760970"/>
    <w:rsid w:val="00761050"/>
    <w:rsid w:val="00761E83"/>
    <w:rsid w:val="00761F74"/>
    <w:rsid w:val="007624AA"/>
    <w:rsid w:val="00762FB9"/>
    <w:rsid w:val="0076330C"/>
    <w:rsid w:val="0076348B"/>
    <w:rsid w:val="0076390B"/>
    <w:rsid w:val="00764D20"/>
    <w:rsid w:val="00766307"/>
    <w:rsid w:val="007665B1"/>
    <w:rsid w:val="00766A08"/>
    <w:rsid w:val="00766EAB"/>
    <w:rsid w:val="00767029"/>
    <w:rsid w:val="007673B2"/>
    <w:rsid w:val="00767557"/>
    <w:rsid w:val="00770A79"/>
    <w:rsid w:val="00770C44"/>
    <w:rsid w:val="00770F55"/>
    <w:rsid w:val="007715E9"/>
    <w:rsid w:val="007716DD"/>
    <w:rsid w:val="0077202F"/>
    <w:rsid w:val="00772515"/>
    <w:rsid w:val="00772A53"/>
    <w:rsid w:val="00773415"/>
    <w:rsid w:val="00773D2A"/>
    <w:rsid w:val="00773E69"/>
    <w:rsid w:val="00774A9C"/>
    <w:rsid w:val="007752FF"/>
    <w:rsid w:val="00775919"/>
    <w:rsid w:val="00775DAE"/>
    <w:rsid w:val="00776D35"/>
    <w:rsid w:val="007774C6"/>
    <w:rsid w:val="00777755"/>
    <w:rsid w:val="007801C9"/>
    <w:rsid w:val="00780762"/>
    <w:rsid w:val="00780BC1"/>
    <w:rsid w:val="00781101"/>
    <w:rsid w:val="00781872"/>
    <w:rsid w:val="0078193A"/>
    <w:rsid w:val="00781C97"/>
    <w:rsid w:val="007823E4"/>
    <w:rsid w:val="00782ECA"/>
    <w:rsid w:val="00784E07"/>
    <w:rsid w:val="007853C9"/>
    <w:rsid w:val="007859AB"/>
    <w:rsid w:val="00785DD0"/>
    <w:rsid w:val="0078602D"/>
    <w:rsid w:val="007861EB"/>
    <w:rsid w:val="0078715E"/>
    <w:rsid w:val="007872EA"/>
    <w:rsid w:val="007878CE"/>
    <w:rsid w:val="00787B2C"/>
    <w:rsid w:val="00787BD9"/>
    <w:rsid w:val="0079015F"/>
    <w:rsid w:val="007901EC"/>
    <w:rsid w:val="00790BC8"/>
    <w:rsid w:val="00790D8E"/>
    <w:rsid w:val="00791114"/>
    <w:rsid w:val="00791BDF"/>
    <w:rsid w:val="007943D4"/>
    <w:rsid w:val="0079440B"/>
    <w:rsid w:val="007945FD"/>
    <w:rsid w:val="007949FC"/>
    <w:rsid w:val="00796220"/>
    <w:rsid w:val="007A081F"/>
    <w:rsid w:val="007A100D"/>
    <w:rsid w:val="007A14D3"/>
    <w:rsid w:val="007A1BCC"/>
    <w:rsid w:val="007A1EF7"/>
    <w:rsid w:val="007A2221"/>
    <w:rsid w:val="007A262A"/>
    <w:rsid w:val="007A2E95"/>
    <w:rsid w:val="007A2EF0"/>
    <w:rsid w:val="007A3A2B"/>
    <w:rsid w:val="007A4315"/>
    <w:rsid w:val="007A5229"/>
    <w:rsid w:val="007A573F"/>
    <w:rsid w:val="007A6565"/>
    <w:rsid w:val="007A6B42"/>
    <w:rsid w:val="007A72F5"/>
    <w:rsid w:val="007A73F3"/>
    <w:rsid w:val="007A7626"/>
    <w:rsid w:val="007A7796"/>
    <w:rsid w:val="007A7997"/>
    <w:rsid w:val="007B030B"/>
    <w:rsid w:val="007B0D5A"/>
    <w:rsid w:val="007B1881"/>
    <w:rsid w:val="007B18C6"/>
    <w:rsid w:val="007B1F24"/>
    <w:rsid w:val="007B24AB"/>
    <w:rsid w:val="007B2D69"/>
    <w:rsid w:val="007B37BF"/>
    <w:rsid w:val="007B48A3"/>
    <w:rsid w:val="007B4DCD"/>
    <w:rsid w:val="007B51AD"/>
    <w:rsid w:val="007B51CF"/>
    <w:rsid w:val="007B52ED"/>
    <w:rsid w:val="007B5577"/>
    <w:rsid w:val="007B5A4A"/>
    <w:rsid w:val="007B5CF1"/>
    <w:rsid w:val="007B5E97"/>
    <w:rsid w:val="007B7008"/>
    <w:rsid w:val="007B75AF"/>
    <w:rsid w:val="007B7D3D"/>
    <w:rsid w:val="007C066F"/>
    <w:rsid w:val="007C0BA6"/>
    <w:rsid w:val="007C25CA"/>
    <w:rsid w:val="007C2994"/>
    <w:rsid w:val="007C3EFE"/>
    <w:rsid w:val="007C4755"/>
    <w:rsid w:val="007C523C"/>
    <w:rsid w:val="007C5C71"/>
    <w:rsid w:val="007C6AE3"/>
    <w:rsid w:val="007C6CD8"/>
    <w:rsid w:val="007C708E"/>
    <w:rsid w:val="007C7939"/>
    <w:rsid w:val="007C7A2D"/>
    <w:rsid w:val="007C7ADA"/>
    <w:rsid w:val="007D0562"/>
    <w:rsid w:val="007D10D5"/>
    <w:rsid w:val="007D1E56"/>
    <w:rsid w:val="007D2536"/>
    <w:rsid w:val="007D27B6"/>
    <w:rsid w:val="007D3277"/>
    <w:rsid w:val="007D3297"/>
    <w:rsid w:val="007D3F88"/>
    <w:rsid w:val="007D433B"/>
    <w:rsid w:val="007D45C2"/>
    <w:rsid w:val="007D50A6"/>
    <w:rsid w:val="007D5276"/>
    <w:rsid w:val="007D6D1A"/>
    <w:rsid w:val="007D6FA9"/>
    <w:rsid w:val="007D7865"/>
    <w:rsid w:val="007D7AC2"/>
    <w:rsid w:val="007E0185"/>
    <w:rsid w:val="007E114B"/>
    <w:rsid w:val="007E134D"/>
    <w:rsid w:val="007E1A84"/>
    <w:rsid w:val="007E1E82"/>
    <w:rsid w:val="007E261A"/>
    <w:rsid w:val="007E2802"/>
    <w:rsid w:val="007E2E93"/>
    <w:rsid w:val="007E3453"/>
    <w:rsid w:val="007E4061"/>
    <w:rsid w:val="007E40D8"/>
    <w:rsid w:val="007E41B0"/>
    <w:rsid w:val="007E43F1"/>
    <w:rsid w:val="007E53BF"/>
    <w:rsid w:val="007E54B8"/>
    <w:rsid w:val="007E5DBB"/>
    <w:rsid w:val="007E5EE3"/>
    <w:rsid w:val="007E5FCD"/>
    <w:rsid w:val="007E6349"/>
    <w:rsid w:val="007E69FD"/>
    <w:rsid w:val="007E7305"/>
    <w:rsid w:val="007E752C"/>
    <w:rsid w:val="007F0335"/>
    <w:rsid w:val="007F0830"/>
    <w:rsid w:val="007F0A47"/>
    <w:rsid w:val="007F0AE8"/>
    <w:rsid w:val="007F14FD"/>
    <w:rsid w:val="007F15B3"/>
    <w:rsid w:val="007F1EC5"/>
    <w:rsid w:val="007F36A2"/>
    <w:rsid w:val="007F547C"/>
    <w:rsid w:val="007F5E0C"/>
    <w:rsid w:val="007F6139"/>
    <w:rsid w:val="007F6801"/>
    <w:rsid w:val="007F6AEF"/>
    <w:rsid w:val="007F7764"/>
    <w:rsid w:val="007F7956"/>
    <w:rsid w:val="007F7E27"/>
    <w:rsid w:val="00800633"/>
    <w:rsid w:val="008007FD"/>
    <w:rsid w:val="00800C23"/>
    <w:rsid w:val="00800F09"/>
    <w:rsid w:val="0080110E"/>
    <w:rsid w:val="008019F2"/>
    <w:rsid w:val="00801A78"/>
    <w:rsid w:val="00801F88"/>
    <w:rsid w:val="008029FA"/>
    <w:rsid w:val="00802C27"/>
    <w:rsid w:val="00802F47"/>
    <w:rsid w:val="008046F2"/>
    <w:rsid w:val="008048FC"/>
    <w:rsid w:val="008063A7"/>
    <w:rsid w:val="00806589"/>
    <w:rsid w:val="00806C65"/>
    <w:rsid w:val="00806E40"/>
    <w:rsid w:val="00807144"/>
    <w:rsid w:val="0080744F"/>
    <w:rsid w:val="00807A45"/>
    <w:rsid w:val="00807DF1"/>
    <w:rsid w:val="008107A7"/>
    <w:rsid w:val="008115A4"/>
    <w:rsid w:val="00811787"/>
    <w:rsid w:val="00811B56"/>
    <w:rsid w:val="00813787"/>
    <w:rsid w:val="00814022"/>
    <w:rsid w:val="00814CAF"/>
    <w:rsid w:val="00815421"/>
    <w:rsid w:val="008161D0"/>
    <w:rsid w:val="00816BE9"/>
    <w:rsid w:val="00816D0F"/>
    <w:rsid w:val="008177FB"/>
    <w:rsid w:val="00817A6E"/>
    <w:rsid w:val="00820359"/>
    <w:rsid w:val="0082144F"/>
    <w:rsid w:val="008215D1"/>
    <w:rsid w:val="00821BA0"/>
    <w:rsid w:val="00821D3C"/>
    <w:rsid w:val="008224A6"/>
    <w:rsid w:val="00822591"/>
    <w:rsid w:val="00822AB1"/>
    <w:rsid w:val="00822C19"/>
    <w:rsid w:val="00822EA4"/>
    <w:rsid w:val="0082339D"/>
    <w:rsid w:val="0082410A"/>
    <w:rsid w:val="008241F3"/>
    <w:rsid w:val="00824250"/>
    <w:rsid w:val="00824798"/>
    <w:rsid w:val="0082600F"/>
    <w:rsid w:val="008263C2"/>
    <w:rsid w:val="008270E1"/>
    <w:rsid w:val="00827EA6"/>
    <w:rsid w:val="00827FA4"/>
    <w:rsid w:val="00830786"/>
    <w:rsid w:val="00830AE3"/>
    <w:rsid w:val="00830D8E"/>
    <w:rsid w:val="00831B0F"/>
    <w:rsid w:val="00832380"/>
    <w:rsid w:val="0083283F"/>
    <w:rsid w:val="00832CA0"/>
    <w:rsid w:val="0083302F"/>
    <w:rsid w:val="008332F2"/>
    <w:rsid w:val="0083376A"/>
    <w:rsid w:val="0083400E"/>
    <w:rsid w:val="008347D4"/>
    <w:rsid w:val="00835CB9"/>
    <w:rsid w:val="00835DD4"/>
    <w:rsid w:val="008367B9"/>
    <w:rsid w:val="00836CCF"/>
    <w:rsid w:val="00836FA9"/>
    <w:rsid w:val="0083730D"/>
    <w:rsid w:val="008374F6"/>
    <w:rsid w:val="008403F0"/>
    <w:rsid w:val="00840832"/>
    <w:rsid w:val="008411E7"/>
    <w:rsid w:val="00841F3A"/>
    <w:rsid w:val="0084213B"/>
    <w:rsid w:val="008441A8"/>
    <w:rsid w:val="00844D4B"/>
    <w:rsid w:val="00845080"/>
    <w:rsid w:val="008451B1"/>
    <w:rsid w:val="0084524A"/>
    <w:rsid w:val="00845898"/>
    <w:rsid w:val="00845CB9"/>
    <w:rsid w:val="0084688A"/>
    <w:rsid w:val="00846A8B"/>
    <w:rsid w:val="00846AEA"/>
    <w:rsid w:val="008476DE"/>
    <w:rsid w:val="008504D0"/>
    <w:rsid w:val="0085058F"/>
    <w:rsid w:val="00852E1A"/>
    <w:rsid w:val="00852E95"/>
    <w:rsid w:val="008540A6"/>
    <w:rsid w:val="008540BB"/>
    <w:rsid w:val="00854440"/>
    <w:rsid w:val="0085485B"/>
    <w:rsid w:val="00854BF3"/>
    <w:rsid w:val="00855538"/>
    <w:rsid w:val="00855DD6"/>
    <w:rsid w:val="008565B2"/>
    <w:rsid w:val="00857080"/>
    <w:rsid w:val="0085739E"/>
    <w:rsid w:val="00860E97"/>
    <w:rsid w:val="00860FDD"/>
    <w:rsid w:val="00861C21"/>
    <w:rsid w:val="00861D8F"/>
    <w:rsid w:val="00862011"/>
    <w:rsid w:val="008626F5"/>
    <w:rsid w:val="00862B50"/>
    <w:rsid w:val="00862CC2"/>
    <w:rsid w:val="0086325D"/>
    <w:rsid w:val="00863740"/>
    <w:rsid w:val="0086583B"/>
    <w:rsid w:val="008660CB"/>
    <w:rsid w:val="00866988"/>
    <w:rsid w:val="00866B5A"/>
    <w:rsid w:val="0086728D"/>
    <w:rsid w:val="00867852"/>
    <w:rsid w:val="00870BB1"/>
    <w:rsid w:val="008717D4"/>
    <w:rsid w:val="00871B6D"/>
    <w:rsid w:val="008720BC"/>
    <w:rsid w:val="008726DC"/>
    <w:rsid w:val="00872F7F"/>
    <w:rsid w:val="008737A1"/>
    <w:rsid w:val="00873D0E"/>
    <w:rsid w:val="0087569D"/>
    <w:rsid w:val="00876FB3"/>
    <w:rsid w:val="008771CC"/>
    <w:rsid w:val="008773F5"/>
    <w:rsid w:val="0088002C"/>
    <w:rsid w:val="0088016A"/>
    <w:rsid w:val="00880228"/>
    <w:rsid w:val="00880318"/>
    <w:rsid w:val="00880465"/>
    <w:rsid w:val="00880CDD"/>
    <w:rsid w:val="00880F5F"/>
    <w:rsid w:val="008818D1"/>
    <w:rsid w:val="00881AD6"/>
    <w:rsid w:val="00882937"/>
    <w:rsid w:val="00882EC3"/>
    <w:rsid w:val="00883FA3"/>
    <w:rsid w:val="00884258"/>
    <w:rsid w:val="00884615"/>
    <w:rsid w:val="00884A0D"/>
    <w:rsid w:val="00884A78"/>
    <w:rsid w:val="00885531"/>
    <w:rsid w:val="00885D6E"/>
    <w:rsid w:val="00885FBA"/>
    <w:rsid w:val="008863CB"/>
    <w:rsid w:val="008867B4"/>
    <w:rsid w:val="008867C8"/>
    <w:rsid w:val="008873E5"/>
    <w:rsid w:val="0088787A"/>
    <w:rsid w:val="00887EFC"/>
    <w:rsid w:val="00890439"/>
    <w:rsid w:val="00890B90"/>
    <w:rsid w:val="0089114B"/>
    <w:rsid w:val="00891652"/>
    <w:rsid w:val="00892C60"/>
    <w:rsid w:val="008930E7"/>
    <w:rsid w:val="00893384"/>
    <w:rsid w:val="00893682"/>
    <w:rsid w:val="00893751"/>
    <w:rsid w:val="00893854"/>
    <w:rsid w:val="00894A89"/>
    <w:rsid w:val="0089561A"/>
    <w:rsid w:val="008960C5"/>
    <w:rsid w:val="00896DB7"/>
    <w:rsid w:val="00896FC2"/>
    <w:rsid w:val="00897A61"/>
    <w:rsid w:val="008A0507"/>
    <w:rsid w:val="008A085A"/>
    <w:rsid w:val="008A086E"/>
    <w:rsid w:val="008A2174"/>
    <w:rsid w:val="008A5646"/>
    <w:rsid w:val="008A5AC1"/>
    <w:rsid w:val="008A61D9"/>
    <w:rsid w:val="008A61EB"/>
    <w:rsid w:val="008A68B5"/>
    <w:rsid w:val="008A69CA"/>
    <w:rsid w:val="008A6AC2"/>
    <w:rsid w:val="008A70D3"/>
    <w:rsid w:val="008A7D75"/>
    <w:rsid w:val="008A7F9E"/>
    <w:rsid w:val="008B0AD9"/>
    <w:rsid w:val="008B0B28"/>
    <w:rsid w:val="008B11BD"/>
    <w:rsid w:val="008B148C"/>
    <w:rsid w:val="008B1860"/>
    <w:rsid w:val="008B202F"/>
    <w:rsid w:val="008B298A"/>
    <w:rsid w:val="008B2D7A"/>
    <w:rsid w:val="008B3038"/>
    <w:rsid w:val="008B3919"/>
    <w:rsid w:val="008B431E"/>
    <w:rsid w:val="008B5291"/>
    <w:rsid w:val="008B5BE2"/>
    <w:rsid w:val="008B73C1"/>
    <w:rsid w:val="008B7B29"/>
    <w:rsid w:val="008C01E4"/>
    <w:rsid w:val="008C1032"/>
    <w:rsid w:val="008C13B8"/>
    <w:rsid w:val="008C19EF"/>
    <w:rsid w:val="008C464A"/>
    <w:rsid w:val="008C4ACB"/>
    <w:rsid w:val="008C5542"/>
    <w:rsid w:val="008C554A"/>
    <w:rsid w:val="008C55B0"/>
    <w:rsid w:val="008C5A8B"/>
    <w:rsid w:val="008C63AB"/>
    <w:rsid w:val="008C67AC"/>
    <w:rsid w:val="008C699B"/>
    <w:rsid w:val="008C7706"/>
    <w:rsid w:val="008D0221"/>
    <w:rsid w:val="008D04E0"/>
    <w:rsid w:val="008D0FF3"/>
    <w:rsid w:val="008D191F"/>
    <w:rsid w:val="008D1C59"/>
    <w:rsid w:val="008D1C8B"/>
    <w:rsid w:val="008D256E"/>
    <w:rsid w:val="008D2932"/>
    <w:rsid w:val="008D3A15"/>
    <w:rsid w:val="008D3B8A"/>
    <w:rsid w:val="008D44F9"/>
    <w:rsid w:val="008D5BC7"/>
    <w:rsid w:val="008D697B"/>
    <w:rsid w:val="008D7128"/>
    <w:rsid w:val="008D725D"/>
    <w:rsid w:val="008D755C"/>
    <w:rsid w:val="008D7DD7"/>
    <w:rsid w:val="008E16AD"/>
    <w:rsid w:val="008E2643"/>
    <w:rsid w:val="008E2A01"/>
    <w:rsid w:val="008E2F9A"/>
    <w:rsid w:val="008E416F"/>
    <w:rsid w:val="008E4200"/>
    <w:rsid w:val="008E4698"/>
    <w:rsid w:val="008E4C0F"/>
    <w:rsid w:val="008E4C4E"/>
    <w:rsid w:val="008E5953"/>
    <w:rsid w:val="008E6067"/>
    <w:rsid w:val="008E68FB"/>
    <w:rsid w:val="008E6E40"/>
    <w:rsid w:val="008E734F"/>
    <w:rsid w:val="008E79DC"/>
    <w:rsid w:val="008F01F2"/>
    <w:rsid w:val="008F03A2"/>
    <w:rsid w:val="008F0E6A"/>
    <w:rsid w:val="008F1B79"/>
    <w:rsid w:val="008F1DFF"/>
    <w:rsid w:val="008F2051"/>
    <w:rsid w:val="008F436E"/>
    <w:rsid w:val="008F45AF"/>
    <w:rsid w:val="008F45C2"/>
    <w:rsid w:val="008F4605"/>
    <w:rsid w:val="008F48F5"/>
    <w:rsid w:val="008F5487"/>
    <w:rsid w:val="008F6877"/>
    <w:rsid w:val="008F745E"/>
    <w:rsid w:val="008F7F95"/>
    <w:rsid w:val="009024E9"/>
    <w:rsid w:val="00902AA6"/>
    <w:rsid w:val="00902C2A"/>
    <w:rsid w:val="0090334D"/>
    <w:rsid w:val="00903863"/>
    <w:rsid w:val="009039C4"/>
    <w:rsid w:val="00904338"/>
    <w:rsid w:val="009044EA"/>
    <w:rsid w:val="00904640"/>
    <w:rsid w:val="00904759"/>
    <w:rsid w:val="00905432"/>
    <w:rsid w:val="009056B9"/>
    <w:rsid w:val="009058B1"/>
    <w:rsid w:val="0090607C"/>
    <w:rsid w:val="009060C9"/>
    <w:rsid w:val="009070E8"/>
    <w:rsid w:val="00910522"/>
    <w:rsid w:val="009114FD"/>
    <w:rsid w:val="00911520"/>
    <w:rsid w:val="009115B5"/>
    <w:rsid w:val="00911FF8"/>
    <w:rsid w:val="00912DE7"/>
    <w:rsid w:val="00913263"/>
    <w:rsid w:val="009134E8"/>
    <w:rsid w:val="00913D2B"/>
    <w:rsid w:val="009140F0"/>
    <w:rsid w:val="0091424A"/>
    <w:rsid w:val="00914467"/>
    <w:rsid w:val="00914A39"/>
    <w:rsid w:val="009160AA"/>
    <w:rsid w:val="0091622F"/>
    <w:rsid w:val="009173E4"/>
    <w:rsid w:val="0092136F"/>
    <w:rsid w:val="009234B9"/>
    <w:rsid w:val="00923F31"/>
    <w:rsid w:val="009240D7"/>
    <w:rsid w:val="009244CE"/>
    <w:rsid w:val="0092472F"/>
    <w:rsid w:val="00924BE5"/>
    <w:rsid w:val="00924C91"/>
    <w:rsid w:val="009254DA"/>
    <w:rsid w:val="009256A3"/>
    <w:rsid w:val="00925D57"/>
    <w:rsid w:val="00925EBE"/>
    <w:rsid w:val="00925FCD"/>
    <w:rsid w:val="00927237"/>
    <w:rsid w:val="0092765D"/>
    <w:rsid w:val="00927B16"/>
    <w:rsid w:val="00927DD4"/>
    <w:rsid w:val="00930397"/>
    <w:rsid w:val="0093152D"/>
    <w:rsid w:val="00931B66"/>
    <w:rsid w:val="00932236"/>
    <w:rsid w:val="00932928"/>
    <w:rsid w:val="00932B4D"/>
    <w:rsid w:val="0093303B"/>
    <w:rsid w:val="00933207"/>
    <w:rsid w:val="00933610"/>
    <w:rsid w:val="00935FAB"/>
    <w:rsid w:val="0093601E"/>
    <w:rsid w:val="009369E9"/>
    <w:rsid w:val="0093715F"/>
    <w:rsid w:val="009372EA"/>
    <w:rsid w:val="009377C2"/>
    <w:rsid w:val="00937A38"/>
    <w:rsid w:val="00937BED"/>
    <w:rsid w:val="00937E7D"/>
    <w:rsid w:val="009404ED"/>
    <w:rsid w:val="0094050B"/>
    <w:rsid w:val="00940BA9"/>
    <w:rsid w:val="00940D79"/>
    <w:rsid w:val="00940F21"/>
    <w:rsid w:val="00942992"/>
    <w:rsid w:val="00942DE9"/>
    <w:rsid w:val="009435D3"/>
    <w:rsid w:val="0094370A"/>
    <w:rsid w:val="009438E2"/>
    <w:rsid w:val="00943BB6"/>
    <w:rsid w:val="00944B20"/>
    <w:rsid w:val="009451BB"/>
    <w:rsid w:val="00945C90"/>
    <w:rsid w:val="00946613"/>
    <w:rsid w:val="00946910"/>
    <w:rsid w:val="00947368"/>
    <w:rsid w:val="00947862"/>
    <w:rsid w:val="009479C7"/>
    <w:rsid w:val="009504B0"/>
    <w:rsid w:val="009506EC"/>
    <w:rsid w:val="0095086D"/>
    <w:rsid w:val="00951068"/>
    <w:rsid w:val="00951077"/>
    <w:rsid w:val="0095107D"/>
    <w:rsid w:val="00951853"/>
    <w:rsid w:val="00951C82"/>
    <w:rsid w:val="00951E99"/>
    <w:rsid w:val="00951FBF"/>
    <w:rsid w:val="00952C5E"/>
    <w:rsid w:val="00952F19"/>
    <w:rsid w:val="009531DA"/>
    <w:rsid w:val="0095340F"/>
    <w:rsid w:val="00953DF5"/>
    <w:rsid w:val="0095441D"/>
    <w:rsid w:val="00955176"/>
    <w:rsid w:val="00955E66"/>
    <w:rsid w:val="009563B8"/>
    <w:rsid w:val="00956BFA"/>
    <w:rsid w:val="00956E33"/>
    <w:rsid w:val="00956F3D"/>
    <w:rsid w:val="00957A61"/>
    <w:rsid w:val="0096163B"/>
    <w:rsid w:val="00961F41"/>
    <w:rsid w:val="009631D8"/>
    <w:rsid w:val="00963613"/>
    <w:rsid w:val="0096386B"/>
    <w:rsid w:val="00963D8C"/>
    <w:rsid w:val="00964904"/>
    <w:rsid w:val="00964C20"/>
    <w:rsid w:val="00965BBA"/>
    <w:rsid w:val="009678D7"/>
    <w:rsid w:val="00967CF2"/>
    <w:rsid w:val="00970CAE"/>
    <w:rsid w:val="00971225"/>
    <w:rsid w:val="00972C2B"/>
    <w:rsid w:val="00973E32"/>
    <w:rsid w:val="00973EAB"/>
    <w:rsid w:val="009741AA"/>
    <w:rsid w:val="00974980"/>
    <w:rsid w:val="00974F3C"/>
    <w:rsid w:val="00975BE3"/>
    <w:rsid w:val="00975E1E"/>
    <w:rsid w:val="0097651A"/>
    <w:rsid w:val="00977AAE"/>
    <w:rsid w:val="00977B0C"/>
    <w:rsid w:val="00977DD1"/>
    <w:rsid w:val="00980894"/>
    <w:rsid w:val="009812DE"/>
    <w:rsid w:val="00981414"/>
    <w:rsid w:val="00982382"/>
    <w:rsid w:val="0098298B"/>
    <w:rsid w:val="0098365B"/>
    <w:rsid w:val="00984277"/>
    <w:rsid w:val="00984842"/>
    <w:rsid w:val="00984D88"/>
    <w:rsid w:val="00986590"/>
    <w:rsid w:val="00987393"/>
    <w:rsid w:val="00987DBD"/>
    <w:rsid w:val="009904F3"/>
    <w:rsid w:val="00990CB2"/>
    <w:rsid w:val="0099104E"/>
    <w:rsid w:val="009913C8"/>
    <w:rsid w:val="00991C89"/>
    <w:rsid w:val="00992207"/>
    <w:rsid w:val="009925BF"/>
    <w:rsid w:val="00995557"/>
    <w:rsid w:val="00995A5A"/>
    <w:rsid w:val="00996333"/>
    <w:rsid w:val="00996FEB"/>
    <w:rsid w:val="009A01D9"/>
    <w:rsid w:val="009A027B"/>
    <w:rsid w:val="009A030F"/>
    <w:rsid w:val="009A04AB"/>
    <w:rsid w:val="009A0598"/>
    <w:rsid w:val="009A08CE"/>
    <w:rsid w:val="009A0E33"/>
    <w:rsid w:val="009A0E63"/>
    <w:rsid w:val="009A0FC5"/>
    <w:rsid w:val="009A0FDC"/>
    <w:rsid w:val="009A148B"/>
    <w:rsid w:val="009A1521"/>
    <w:rsid w:val="009A2257"/>
    <w:rsid w:val="009A2662"/>
    <w:rsid w:val="009A290F"/>
    <w:rsid w:val="009A2A58"/>
    <w:rsid w:val="009A2ECD"/>
    <w:rsid w:val="009A52B5"/>
    <w:rsid w:val="009A56AA"/>
    <w:rsid w:val="009A5E0D"/>
    <w:rsid w:val="009A5F78"/>
    <w:rsid w:val="009A60DB"/>
    <w:rsid w:val="009A6701"/>
    <w:rsid w:val="009A74FD"/>
    <w:rsid w:val="009A7F91"/>
    <w:rsid w:val="009B060F"/>
    <w:rsid w:val="009B0B81"/>
    <w:rsid w:val="009B0BF9"/>
    <w:rsid w:val="009B1148"/>
    <w:rsid w:val="009B1217"/>
    <w:rsid w:val="009B126C"/>
    <w:rsid w:val="009B132C"/>
    <w:rsid w:val="009B1A86"/>
    <w:rsid w:val="009B1B34"/>
    <w:rsid w:val="009B2023"/>
    <w:rsid w:val="009B22DE"/>
    <w:rsid w:val="009B2F5D"/>
    <w:rsid w:val="009B301D"/>
    <w:rsid w:val="009B344C"/>
    <w:rsid w:val="009B3599"/>
    <w:rsid w:val="009B35C6"/>
    <w:rsid w:val="009B371B"/>
    <w:rsid w:val="009B3AC2"/>
    <w:rsid w:val="009B3D1E"/>
    <w:rsid w:val="009B427E"/>
    <w:rsid w:val="009B4837"/>
    <w:rsid w:val="009B4B1E"/>
    <w:rsid w:val="009B5119"/>
    <w:rsid w:val="009B556B"/>
    <w:rsid w:val="009B5685"/>
    <w:rsid w:val="009B5ED8"/>
    <w:rsid w:val="009B677B"/>
    <w:rsid w:val="009B7214"/>
    <w:rsid w:val="009C04A7"/>
    <w:rsid w:val="009C14CF"/>
    <w:rsid w:val="009C3507"/>
    <w:rsid w:val="009C439B"/>
    <w:rsid w:val="009C4502"/>
    <w:rsid w:val="009C4F4D"/>
    <w:rsid w:val="009C5134"/>
    <w:rsid w:val="009C64E5"/>
    <w:rsid w:val="009C6C61"/>
    <w:rsid w:val="009C713F"/>
    <w:rsid w:val="009C7243"/>
    <w:rsid w:val="009C7281"/>
    <w:rsid w:val="009C73AE"/>
    <w:rsid w:val="009D061D"/>
    <w:rsid w:val="009D0A32"/>
    <w:rsid w:val="009D22D1"/>
    <w:rsid w:val="009D2788"/>
    <w:rsid w:val="009D278F"/>
    <w:rsid w:val="009D2E70"/>
    <w:rsid w:val="009D2FE4"/>
    <w:rsid w:val="009D33C3"/>
    <w:rsid w:val="009D39B4"/>
    <w:rsid w:val="009D3F0A"/>
    <w:rsid w:val="009D52D5"/>
    <w:rsid w:val="009D606A"/>
    <w:rsid w:val="009D6652"/>
    <w:rsid w:val="009D7FE5"/>
    <w:rsid w:val="009E0CE0"/>
    <w:rsid w:val="009E1367"/>
    <w:rsid w:val="009E1A06"/>
    <w:rsid w:val="009E1B8E"/>
    <w:rsid w:val="009E1FEF"/>
    <w:rsid w:val="009E26B8"/>
    <w:rsid w:val="009E2E2E"/>
    <w:rsid w:val="009E306B"/>
    <w:rsid w:val="009E3357"/>
    <w:rsid w:val="009E3BAF"/>
    <w:rsid w:val="009E3FA7"/>
    <w:rsid w:val="009E42F3"/>
    <w:rsid w:val="009E49D7"/>
    <w:rsid w:val="009E51E3"/>
    <w:rsid w:val="009E5CCE"/>
    <w:rsid w:val="009E6313"/>
    <w:rsid w:val="009E668E"/>
    <w:rsid w:val="009E7FD2"/>
    <w:rsid w:val="009F0ADD"/>
    <w:rsid w:val="009F0D25"/>
    <w:rsid w:val="009F27F9"/>
    <w:rsid w:val="009F28B3"/>
    <w:rsid w:val="009F2AE2"/>
    <w:rsid w:val="009F37F4"/>
    <w:rsid w:val="009F4406"/>
    <w:rsid w:val="009F4BC9"/>
    <w:rsid w:val="009F540C"/>
    <w:rsid w:val="009F544A"/>
    <w:rsid w:val="009F5A0F"/>
    <w:rsid w:val="009F602E"/>
    <w:rsid w:val="009F6AAA"/>
    <w:rsid w:val="009F7395"/>
    <w:rsid w:val="009F7D93"/>
    <w:rsid w:val="00A010B6"/>
    <w:rsid w:val="00A0129E"/>
    <w:rsid w:val="00A01D17"/>
    <w:rsid w:val="00A04469"/>
    <w:rsid w:val="00A04746"/>
    <w:rsid w:val="00A0590B"/>
    <w:rsid w:val="00A05B62"/>
    <w:rsid w:val="00A05D98"/>
    <w:rsid w:val="00A06418"/>
    <w:rsid w:val="00A066B4"/>
    <w:rsid w:val="00A06859"/>
    <w:rsid w:val="00A06BD2"/>
    <w:rsid w:val="00A074DE"/>
    <w:rsid w:val="00A10C2D"/>
    <w:rsid w:val="00A11C22"/>
    <w:rsid w:val="00A121D3"/>
    <w:rsid w:val="00A127D7"/>
    <w:rsid w:val="00A127E3"/>
    <w:rsid w:val="00A12B10"/>
    <w:rsid w:val="00A13244"/>
    <w:rsid w:val="00A13C22"/>
    <w:rsid w:val="00A13DE5"/>
    <w:rsid w:val="00A14380"/>
    <w:rsid w:val="00A151F7"/>
    <w:rsid w:val="00A15518"/>
    <w:rsid w:val="00A15738"/>
    <w:rsid w:val="00A15AC8"/>
    <w:rsid w:val="00A15D03"/>
    <w:rsid w:val="00A16159"/>
    <w:rsid w:val="00A16931"/>
    <w:rsid w:val="00A17857"/>
    <w:rsid w:val="00A20EB7"/>
    <w:rsid w:val="00A216E2"/>
    <w:rsid w:val="00A21887"/>
    <w:rsid w:val="00A21ED8"/>
    <w:rsid w:val="00A22F2C"/>
    <w:rsid w:val="00A236FB"/>
    <w:rsid w:val="00A249FC"/>
    <w:rsid w:val="00A24D39"/>
    <w:rsid w:val="00A250DD"/>
    <w:rsid w:val="00A25C09"/>
    <w:rsid w:val="00A26A0F"/>
    <w:rsid w:val="00A26DF4"/>
    <w:rsid w:val="00A274E5"/>
    <w:rsid w:val="00A27976"/>
    <w:rsid w:val="00A27AE9"/>
    <w:rsid w:val="00A27B67"/>
    <w:rsid w:val="00A27B87"/>
    <w:rsid w:val="00A314A1"/>
    <w:rsid w:val="00A31D26"/>
    <w:rsid w:val="00A3226B"/>
    <w:rsid w:val="00A32DBF"/>
    <w:rsid w:val="00A33556"/>
    <w:rsid w:val="00A33876"/>
    <w:rsid w:val="00A34120"/>
    <w:rsid w:val="00A343E3"/>
    <w:rsid w:val="00A345F0"/>
    <w:rsid w:val="00A35385"/>
    <w:rsid w:val="00A3569C"/>
    <w:rsid w:val="00A35C11"/>
    <w:rsid w:val="00A35F7E"/>
    <w:rsid w:val="00A364FA"/>
    <w:rsid w:val="00A372F9"/>
    <w:rsid w:val="00A3764B"/>
    <w:rsid w:val="00A413B5"/>
    <w:rsid w:val="00A417C3"/>
    <w:rsid w:val="00A41DFF"/>
    <w:rsid w:val="00A41EE4"/>
    <w:rsid w:val="00A42449"/>
    <w:rsid w:val="00A432A5"/>
    <w:rsid w:val="00A43BA1"/>
    <w:rsid w:val="00A4500E"/>
    <w:rsid w:val="00A4509E"/>
    <w:rsid w:val="00A45A48"/>
    <w:rsid w:val="00A465BC"/>
    <w:rsid w:val="00A4683A"/>
    <w:rsid w:val="00A50206"/>
    <w:rsid w:val="00A5058D"/>
    <w:rsid w:val="00A50DC2"/>
    <w:rsid w:val="00A51525"/>
    <w:rsid w:val="00A51B1C"/>
    <w:rsid w:val="00A52209"/>
    <w:rsid w:val="00A54685"/>
    <w:rsid w:val="00A54AE0"/>
    <w:rsid w:val="00A5541A"/>
    <w:rsid w:val="00A55D5D"/>
    <w:rsid w:val="00A5627E"/>
    <w:rsid w:val="00A564D8"/>
    <w:rsid w:val="00A56793"/>
    <w:rsid w:val="00A56B6C"/>
    <w:rsid w:val="00A56DEF"/>
    <w:rsid w:val="00A570C1"/>
    <w:rsid w:val="00A57563"/>
    <w:rsid w:val="00A57B17"/>
    <w:rsid w:val="00A601C9"/>
    <w:rsid w:val="00A609EF"/>
    <w:rsid w:val="00A62834"/>
    <w:rsid w:val="00A628B0"/>
    <w:rsid w:val="00A638A2"/>
    <w:rsid w:val="00A639B6"/>
    <w:rsid w:val="00A64056"/>
    <w:rsid w:val="00A640A9"/>
    <w:rsid w:val="00A658AA"/>
    <w:rsid w:val="00A674B2"/>
    <w:rsid w:val="00A70F45"/>
    <w:rsid w:val="00A71567"/>
    <w:rsid w:val="00A7161E"/>
    <w:rsid w:val="00A721C9"/>
    <w:rsid w:val="00A7298C"/>
    <w:rsid w:val="00A731F9"/>
    <w:rsid w:val="00A7436C"/>
    <w:rsid w:val="00A752B2"/>
    <w:rsid w:val="00A7549A"/>
    <w:rsid w:val="00A759CF"/>
    <w:rsid w:val="00A75E02"/>
    <w:rsid w:val="00A76CFF"/>
    <w:rsid w:val="00A77F80"/>
    <w:rsid w:val="00A8117E"/>
    <w:rsid w:val="00A81812"/>
    <w:rsid w:val="00A81C62"/>
    <w:rsid w:val="00A81F42"/>
    <w:rsid w:val="00A82DC9"/>
    <w:rsid w:val="00A8351A"/>
    <w:rsid w:val="00A83AEE"/>
    <w:rsid w:val="00A84702"/>
    <w:rsid w:val="00A84AA5"/>
    <w:rsid w:val="00A8503D"/>
    <w:rsid w:val="00A85A1A"/>
    <w:rsid w:val="00A8615C"/>
    <w:rsid w:val="00A86377"/>
    <w:rsid w:val="00A86771"/>
    <w:rsid w:val="00A86865"/>
    <w:rsid w:val="00A86DE0"/>
    <w:rsid w:val="00A90E4B"/>
    <w:rsid w:val="00A9120F"/>
    <w:rsid w:val="00A91280"/>
    <w:rsid w:val="00A918D7"/>
    <w:rsid w:val="00A91C4D"/>
    <w:rsid w:val="00A93741"/>
    <w:rsid w:val="00A93856"/>
    <w:rsid w:val="00A9388C"/>
    <w:rsid w:val="00A951C2"/>
    <w:rsid w:val="00A95E58"/>
    <w:rsid w:val="00A95FD6"/>
    <w:rsid w:val="00A9666E"/>
    <w:rsid w:val="00A96743"/>
    <w:rsid w:val="00A96873"/>
    <w:rsid w:val="00A97981"/>
    <w:rsid w:val="00A979B0"/>
    <w:rsid w:val="00A97A0B"/>
    <w:rsid w:val="00A97A1F"/>
    <w:rsid w:val="00A97F36"/>
    <w:rsid w:val="00AA0ACC"/>
    <w:rsid w:val="00AA0E16"/>
    <w:rsid w:val="00AA0E66"/>
    <w:rsid w:val="00AA1166"/>
    <w:rsid w:val="00AA21D7"/>
    <w:rsid w:val="00AA30F6"/>
    <w:rsid w:val="00AA3ED2"/>
    <w:rsid w:val="00AA4BBC"/>
    <w:rsid w:val="00AA5347"/>
    <w:rsid w:val="00AA68D0"/>
    <w:rsid w:val="00AA6DD2"/>
    <w:rsid w:val="00AB0141"/>
    <w:rsid w:val="00AB061D"/>
    <w:rsid w:val="00AB0BD0"/>
    <w:rsid w:val="00AB186F"/>
    <w:rsid w:val="00AB1D14"/>
    <w:rsid w:val="00AB2572"/>
    <w:rsid w:val="00AB338F"/>
    <w:rsid w:val="00AB3474"/>
    <w:rsid w:val="00AB34AD"/>
    <w:rsid w:val="00AB415A"/>
    <w:rsid w:val="00AB41A1"/>
    <w:rsid w:val="00AB424B"/>
    <w:rsid w:val="00AB4851"/>
    <w:rsid w:val="00AB5FFB"/>
    <w:rsid w:val="00AB6208"/>
    <w:rsid w:val="00AB69EB"/>
    <w:rsid w:val="00AB6BE7"/>
    <w:rsid w:val="00AB746F"/>
    <w:rsid w:val="00AB747C"/>
    <w:rsid w:val="00AB7586"/>
    <w:rsid w:val="00AB78B8"/>
    <w:rsid w:val="00AB7C3A"/>
    <w:rsid w:val="00AC0333"/>
    <w:rsid w:val="00AC16F2"/>
    <w:rsid w:val="00AC17E8"/>
    <w:rsid w:val="00AC330B"/>
    <w:rsid w:val="00AC36D1"/>
    <w:rsid w:val="00AC37E6"/>
    <w:rsid w:val="00AC3D51"/>
    <w:rsid w:val="00AC429A"/>
    <w:rsid w:val="00AC4360"/>
    <w:rsid w:val="00AC4456"/>
    <w:rsid w:val="00AC4637"/>
    <w:rsid w:val="00AC4A61"/>
    <w:rsid w:val="00AC5780"/>
    <w:rsid w:val="00AC6417"/>
    <w:rsid w:val="00AC6432"/>
    <w:rsid w:val="00AC673D"/>
    <w:rsid w:val="00AC6E8A"/>
    <w:rsid w:val="00AD0C18"/>
    <w:rsid w:val="00AD0E70"/>
    <w:rsid w:val="00AD14E6"/>
    <w:rsid w:val="00AD1EDD"/>
    <w:rsid w:val="00AD2DFB"/>
    <w:rsid w:val="00AD3841"/>
    <w:rsid w:val="00AD3A26"/>
    <w:rsid w:val="00AD3B55"/>
    <w:rsid w:val="00AD5824"/>
    <w:rsid w:val="00AD5F5F"/>
    <w:rsid w:val="00AD6030"/>
    <w:rsid w:val="00AD6376"/>
    <w:rsid w:val="00AD68EA"/>
    <w:rsid w:val="00AD6A87"/>
    <w:rsid w:val="00AD6B63"/>
    <w:rsid w:val="00AD7045"/>
    <w:rsid w:val="00AD7524"/>
    <w:rsid w:val="00AD7B58"/>
    <w:rsid w:val="00AE0095"/>
    <w:rsid w:val="00AE04F9"/>
    <w:rsid w:val="00AE09E9"/>
    <w:rsid w:val="00AE1749"/>
    <w:rsid w:val="00AE24DD"/>
    <w:rsid w:val="00AE25A5"/>
    <w:rsid w:val="00AE2BA4"/>
    <w:rsid w:val="00AE2EB3"/>
    <w:rsid w:val="00AE3270"/>
    <w:rsid w:val="00AE381F"/>
    <w:rsid w:val="00AE3D84"/>
    <w:rsid w:val="00AE4106"/>
    <w:rsid w:val="00AE4395"/>
    <w:rsid w:val="00AE458C"/>
    <w:rsid w:val="00AE501D"/>
    <w:rsid w:val="00AE578A"/>
    <w:rsid w:val="00AE5D5F"/>
    <w:rsid w:val="00AE696E"/>
    <w:rsid w:val="00AE69A2"/>
    <w:rsid w:val="00AE69CF"/>
    <w:rsid w:val="00AE6B31"/>
    <w:rsid w:val="00AE712D"/>
    <w:rsid w:val="00AE79F9"/>
    <w:rsid w:val="00AE7D5B"/>
    <w:rsid w:val="00AF0253"/>
    <w:rsid w:val="00AF05FF"/>
    <w:rsid w:val="00AF0831"/>
    <w:rsid w:val="00AF0C58"/>
    <w:rsid w:val="00AF19B1"/>
    <w:rsid w:val="00AF1AEE"/>
    <w:rsid w:val="00AF1FA1"/>
    <w:rsid w:val="00AF24A2"/>
    <w:rsid w:val="00AF26FF"/>
    <w:rsid w:val="00AF2DFE"/>
    <w:rsid w:val="00AF32E5"/>
    <w:rsid w:val="00AF4000"/>
    <w:rsid w:val="00AF490A"/>
    <w:rsid w:val="00AF4C19"/>
    <w:rsid w:val="00AF541F"/>
    <w:rsid w:val="00AF5788"/>
    <w:rsid w:val="00AF6504"/>
    <w:rsid w:val="00AF6B24"/>
    <w:rsid w:val="00B014A7"/>
    <w:rsid w:val="00B022DF"/>
    <w:rsid w:val="00B040AD"/>
    <w:rsid w:val="00B0435F"/>
    <w:rsid w:val="00B04A5C"/>
    <w:rsid w:val="00B04B07"/>
    <w:rsid w:val="00B04CED"/>
    <w:rsid w:val="00B0515C"/>
    <w:rsid w:val="00B05196"/>
    <w:rsid w:val="00B052E2"/>
    <w:rsid w:val="00B05C30"/>
    <w:rsid w:val="00B05D57"/>
    <w:rsid w:val="00B05E7F"/>
    <w:rsid w:val="00B06349"/>
    <w:rsid w:val="00B06A49"/>
    <w:rsid w:val="00B073E9"/>
    <w:rsid w:val="00B0791F"/>
    <w:rsid w:val="00B079C1"/>
    <w:rsid w:val="00B07DAC"/>
    <w:rsid w:val="00B07EAF"/>
    <w:rsid w:val="00B10635"/>
    <w:rsid w:val="00B1108C"/>
    <w:rsid w:val="00B1180C"/>
    <w:rsid w:val="00B11927"/>
    <w:rsid w:val="00B121D2"/>
    <w:rsid w:val="00B122D5"/>
    <w:rsid w:val="00B127FA"/>
    <w:rsid w:val="00B13EF6"/>
    <w:rsid w:val="00B1412B"/>
    <w:rsid w:val="00B14AAF"/>
    <w:rsid w:val="00B15642"/>
    <w:rsid w:val="00B157FA"/>
    <w:rsid w:val="00B15972"/>
    <w:rsid w:val="00B15CA1"/>
    <w:rsid w:val="00B15F5F"/>
    <w:rsid w:val="00B1605B"/>
    <w:rsid w:val="00B160C4"/>
    <w:rsid w:val="00B20066"/>
    <w:rsid w:val="00B20BCF"/>
    <w:rsid w:val="00B21DF3"/>
    <w:rsid w:val="00B224C0"/>
    <w:rsid w:val="00B2250F"/>
    <w:rsid w:val="00B22749"/>
    <w:rsid w:val="00B23477"/>
    <w:rsid w:val="00B247F1"/>
    <w:rsid w:val="00B24989"/>
    <w:rsid w:val="00B255EE"/>
    <w:rsid w:val="00B26777"/>
    <w:rsid w:val="00B27FDB"/>
    <w:rsid w:val="00B30622"/>
    <w:rsid w:val="00B30692"/>
    <w:rsid w:val="00B3166F"/>
    <w:rsid w:val="00B31968"/>
    <w:rsid w:val="00B32196"/>
    <w:rsid w:val="00B3221D"/>
    <w:rsid w:val="00B33394"/>
    <w:rsid w:val="00B3389D"/>
    <w:rsid w:val="00B340DD"/>
    <w:rsid w:val="00B34778"/>
    <w:rsid w:val="00B357A9"/>
    <w:rsid w:val="00B35837"/>
    <w:rsid w:val="00B3598F"/>
    <w:rsid w:val="00B359CF"/>
    <w:rsid w:val="00B35ECD"/>
    <w:rsid w:val="00B36048"/>
    <w:rsid w:val="00B36B7C"/>
    <w:rsid w:val="00B36C70"/>
    <w:rsid w:val="00B36D4D"/>
    <w:rsid w:val="00B374D9"/>
    <w:rsid w:val="00B37EA1"/>
    <w:rsid w:val="00B400A2"/>
    <w:rsid w:val="00B4014F"/>
    <w:rsid w:val="00B41722"/>
    <w:rsid w:val="00B42A17"/>
    <w:rsid w:val="00B42D36"/>
    <w:rsid w:val="00B433EA"/>
    <w:rsid w:val="00B4363A"/>
    <w:rsid w:val="00B451C3"/>
    <w:rsid w:val="00B45411"/>
    <w:rsid w:val="00B4568F"/>
    <w:rsid w:val="00B464E7"/>
    <w:rsid w:val="00B4790F"/>
    <w:rsid w:val="00B47B80"/>
    <w:rsid w:val="00B504E5"/>
    <w:rsid w:val="00B511D2"/>
    <w:rsid w:val="00B51308"/>
    <w:rsid w:val="00B5177B"/>
    <w:rsid w:val="00B51CC6"/>
    <w:rsid w:val="00B520B2"/>
    <w:rsid w:val="00B5233C"/>
    <w:rsid w:val="00B52F36"/>
    <w:rsid w:val="00B5317E"/>
    <w:rsid w:val="00B54416"/>
    <w:rsid w:val="00B549E4"/>
    <w:rsid w:val="00B551E5"/>
    <w:rsid w:val="00B56A1E"/>
    <w:rsid w:val="00B5728D"/>
    <w:rsid w:val="00B572B6"/>
    <w:rsid w:val="00B57353"/>
    <w:rsid w:val="00B57B31"/>
    <w:rsid w:val="00B57CC8"/>
    <w:rsid w:val="00B57F48"/>
    <w:rsid w:val="00B61422"/>
    <w:rsid w:val="00B6144C"/>
    <w:rsid w:val="00B620F9"/>
    <w:rsid w:val="00B626C9"/>
    <w:rsid w:val="00B62BC6"/>
    <w:rsid w:val="00B63081"/>
    <w:rsid w:val="00B63091"/>
    <w:rsid w:val="00B63EC5"/>
    <w:rsid w:val="00B643B4"/>
    <w:rsid w:val="00B646C5"/>
    <w:rsid w:val="00B65C28"/>
    <w:rsid w:val="00B66165"/>
    <w:rsid w:val="00B669BC"/>
    <w:rsid w:val="00B66B53"/>
    <w:rsid w:val="00B66CB4"/>
    <w:rsid w:val="00B67583"/>
    <w:rsid w:val="00B67E58"/>
    <w:rsid w:val="00B70A43"/>
    <w:rsid w:val="00B70AEE"/>
    <w:rsid w:val="00B70F04"/>
    <w:rsid w:val="00B70FF1"/>
    <w:rsid w:val="00B719F8"/>
    <w:rsid w:val="00B7266C"/>
    <w:rsid w:val="00B7289C"/>
    <w:rsid w:val="00B72F19"/>
    <w:rsid w:val="00B732AA"/>
    <w:rsid w:val="00B738C3"/>
    <w:rsid w:val="00B742AA"/>
    <w:rsid w:val="00B74330"/>
    <w:rsid w:val="00B7502F"/>
    <w:rsid w:val="00B756AB"/>
    <w:rsid w:val="00B75785"/>
    <w:rsid w:val="00B75C04"/>
    <w:rsid w:val="00B76482"/>
    <w:rsid w:val="00B765F8"/>
    <w:rsid w:val="00B76CAC"/>
    <w:rsid w:val="00B76FAF"/>
    <w:rsid w:val="00B80966"/>
    <w:rsid w:val="00B81DB2"/>
    <w:rsid w:val="00B82724"/>
    <w:rsid w:val="00B82B6E"/>
    <w:rsid w:val="00B82E90"/>
    <w:rsid w:val="00B8318F"/>
    <w:rsid w:val="00B834E5"/>
    <w:rsid w:val="00B8358D"/>
    <w:rsid w:val="00B8427B"/>
    <w:rsid w:val="00B84472"/>
    <w:rsid w:val="00B8467A"/>
    <w:rsid w:val="00B84D50"/>
    <w:rsid w:val="00B85779"/>
    <w:rsid w:val="00B85C94"/>
    <w:rsid w:val="00B85E92"/>
    <w:rsid w:val="00B862B4"/>
    <w:rsid w:val="00B86609"/>
    <w:rsid w:val="00B87869"/>
    <w:rsid w:val="00B91052"/>
    <w:rsid w:val="00B912E8"/>
    <w:rsid w:val="00B916C8"/>
    <w:rsid w:val="00B9187C"/>
    <w:rsid w:val="00B932BE"/>
    <w:rsid w:val="00B93A42"/>
    <w:rsid w:val="00B941BF"/>
    <w:rsid w:val="00B948D5"/>
    <w:rsid w:val="00B949BE"/>
    <w:rsid w:val="00B94AF4"/>
    <w:rsid w:val="00B956B7"/>
    <w:rsid w:val="00B958A4"/>
    <w:rsid w:val="00B96916"/>
    <w:rsid w:val="00B96E8F"/>
    <w:rsid w:val="00B9714F"/>
    <w:rsid w:val="00B9740E"/>
    <w:rsid w:val="00B97889"/>
    <w:rsid w:val="00BA0442"/>
    <w:rsid w:val="00BA0BCE"/>
    <w:rsid w:val="00BA17DB"/>
    <w:rsid w:val="00BA253D"/>
    <w:rsid w:val="00BA2979"/>
    <w:rsid w:val="00BA3328"/>
    <w:rsid w:val="00BA3602"/>
    <w:rsid w:val="00BA37AD"/>
    <w:rsid w:val="00BA4019"/>
    <w:rsid w:val="00BA430A"/>
    <w:rsid w:val="00BA46B6"/>
    <w:rsid w:val="00BA4981"/>
    <w:rsid w:val="00BA4BAA"/>
    <w:rsid w:val="00BA4C07"/>
    <w:rsid w:val="00BA555E"/>
    <w:rsid w:val="00BA6364"/>
    <w:rsid w:val="00BA65BA"/>
    <w:rsid w:val="00BA71B1"/>
    <w:rsid w:val="00BA7215"/>
    <w:rsid w:val="00BA7771"/>
    <w:rsid w:val="00BA7A46"/>
    <w:rsid w:val="00BA7B32"/>
    <w:rsid w:val="00BB00DE"/>
    <w:rsid w:val="00BB2115"/>
    <w:rsid w:val="00BB44BD"/>
    <w:rsid w:val="00BB4923"/>
    <w:rsid w:val="00BB4A2D"/>
    <w:rsid w:val="00BB4DF7"/>
    <w:rsid w:val="00BB507A"/>
    <w:rsid w:val="00BB5A2C"/>
    <w:rsid w:val="00BB5DFE"/>
    <w:rsid w:val="00BB6690"/>
    <w:rsid w:val="00BB6E03"/>
    <w:rsid w:val="00BB7B8F"/>
    <w:rsid w:val="00BB7FC8"/>
    <w:rsid w:val="00BC00D6"/>
    <w:rsid w:val="00BC06F6"/>
    <w:rsid w:val="00BC1C46"/>
    <w:rsid w:val="00BC280E"/>
    <w:rsid w:val="00BC2C29"/>
    <w:rsid w:val="00BC3D42"/>
    <w:rsid w:val="00BC3EE2"/>
    <w:rsid w:val="00BC4514"/>
    <w:rsid w:val="00BC4D74"/>
    <w:rsid w:val="00BC527E"/>
    <w:rsid w:val="00BC56F7"/>
    <w:rsid w:val="00BC5C63"/>
    <w:rsid w:val="00BC6525"/>
    <w:rsid w:val="00BC7240"/>
    <w:rsid w:val="00BD0077"/>
    <w:rsid w:val="00BD0947"/>
    <w:rsid w:val="00BD0DC1"/>
    <w:rsid w:val="00BD0F53"/>
    <w:rsid w:val="00BD1150"/>
    <w:rsid w:val="00BD116A"/>
    <w:rsid w:val="00BD132C"/>
    <w:rsid w:val="00BD2C00"/>
    <w:rsid w:val="00BD39FA"/>
    <w:rsid w:val="00BD3C28"/>
    <w:rsid w:val="00BD47E7"/>
    <w:rsid w:val="00BD4CF2"/>
    <w:rsid w:val="00BD5406"/>
    <w:rsid w:val="00BD59D9"/>
    <w:rsid w:val="00BD5A9E"/>
    <w:rsid w:val="00BD66B4"/>
    <w:rsid w:val="00BD68FC"/>
    <w:rsid w:val="00BD71F5"/>
    <w:rsid w:val="00BD73B1"/>
    <w:rsid w:val="00BD76BB"/>
    <w:rsid w:val="00BE00F9"/>
    <w:rsid w:val="00BE02EE"/>
    <w:rsid w:val="00BE1859"/>
    <w:rsid w:val="00BE1873"/>
    <w:rsid w:val="00BE23A0"/>
    <w:rsid w:val="00BE29BE"/>
    <w:rsid w:val="00BE2E73"/>
    <w:rsid w:val="00BE2FBA"/>
    <w:rsid w:val="00BE3BCA"/>
    <w:rsid w:val="00BE3C08"/>
    <w:rsid w:val="00BE4F29"/>
    <w:rsid w:val="00BE6D97"/>
    <w:rsid w:val="00BE734A"/>
    <w:rsid w:val="00BE764F"/>
    <w:rsid w:val="00BE777A"/>
    <w:rsid w:val="00BF06E6"/>
    <w:rsid w:val="00BF199F"/>
    <w:rsid w:val="00BF21D2"/>
    <w:rsid w:val="00BF229F"/>
    <w:rsid w:val="00BF2323"/>
    <w:rsid w:val="00BF27CA"/>
    <w:rsid w:val="00BF3588"/>
    <w:rsid w:val="00BF35DF"/>
    <w:rsid w:val="00BF38BF"/>
    <w:rsid w:val="00BF3FF0"/>
    <w:rsid w:val="00BF4592"/>
    <w:rsid w:val="00BF4B56"/>
    <w:rsid w:val="00BF539F"/>
    <w:rsid w:val="00BF5B3B"/>
    <w:rsid w:val="00BF6D2C"/>
    <w:rsid w:val="00BF6E0C"/>
    <w:rsid w:val="00BF6EF7"/>
    <w:rsid w:val="00BF7039"/>
    <w:rsid w:val="00BF7349"/>
    <w:rsid w:val="00C00A06"/>
    <w:rsid w:val="00C00C1D"/>
    <w:rsid w:val="00C00DA9"/>
    <w:rsid w:val="00C018BF"/>
    <w:rsid w:val="00C0282F"/>
    <w:rsid w:val="00C02C36"/>
    <w:rsid w:val="00C033E4"/>
    <w:rsid w:val="00C0355B"/>
    <w:rsid w:val="00C037D8"/>
    <w:rsid w:val="00C03F01"/>
    <w:rsid w:val="00C05B4D"/>
    <w:rsid w:val="00C05BE2"/>
    <w:rsid w:val="00C064E8"/>
    <w:rsid w:val="00C0695B"/>
    <w:rsid w:val="00C07377"/>
    <w:rsid w:val="00C07A5B"/>
    <w:rsid w:val="00C07C2B"/>
    <w:rsid w:val="00C10D27"/>
    <w:rsid w:val="00C10D47"/>
    <w:rsid w:val="00C10F09"/>
    <w:rsid w:val="00C11284"/>
    <w:rsid w:val="00C11336"/>
    <w:rsid w:val="00C129E8"/>
    <w:rsid w:val="00C12B93"/>
    <w:rsid w:val="00C138A6"/>
    <w:rsid w:val="00C15189"/>
    <w:rsid w:val="00C15A74"/>
    <w:rsid w:val="00C16BCF"/>
    <w:rsid w:val="00C16D47"/>
    <w:rsid w:val="00C16FAD"/>
    <w:rsid w:val="00C17322"/>
    <w:rsid w:val="00C17A61"/>
    <w:rsid w:val="00C214CE"/>
    <w:rsid w:val="00C21A99"/>
    <w:rsid w:val="00C21E2E"/>
    <w:rsid w:val="00C22168"/>
    <w:rsid w:val="00C22781"/>
    <w:rsid w:val="00C22BF3"/>
    <w:rsid w:val="00C22CA0"/>
    <w:rsid w:val="00C22CB8"/>
    <w:rsid w:val="00C230ED"/>
    <w:rsid w:val="00C23398"/>
    <w:rsid w:val="00C23462"/>
    <w:rsid w:val="00C23D1E"/>
    <w:rsid w:val="00C25348"/>
    <w:rsid w:val="00C25444"/>
    <w:rsid w:val="00C254AB"/>
    <w:rsid w:val="00C25C03"/>
    <w:rsid w:val="00C2692E"/>
    <w:rsid w:val="00C26DD3"/>
    <w:rsid w:val="00C27374"/>
    <w:rsid w:val="00C2782B"/>
    <w:rsid w:val="00C27F53"/>
    <w:rsid w:val="00C30CC9"/>
    <w:rsid w:val="00C31281"/>
    <w:rsid w:val="00C3153C"/>
    <w:rsid w:val="00C318C5"/>
    <w:rsid w:val="00C3306F"/>
    <w:rsid w:val="00C330C7"/>
    <w:rsid w:val="00C34A92"/>
    <w:rsid w:val="00C34F82"/>
    <w:rsid w:val="00C3638F"/>
    <w:rsid w:val="00C368B1"/>
    <w:rsid w:val="00C36916"/>
    <w:rsid w:val="00C37959"/>
    <w:rsid w:val="00C37DD6"/>
    <w:rsid w:val="00C4002A"/>
    <w:rsid w:val="00C40C47"/>
    <w:rsid w:val="00C41233"/>
    <w:rsid w:val="00C41CCB"/>
    <w:rsid w:val="00C41E6B"/>
    <w:rsid w:val="00C42429"/>
    <w:rsid w:val="00C425BB"/>
    <w:rsid w:val="00C42D22"/>
    <w:rsid w:val="00C4752B"/>
    <w:rsid w:val="00C50377"/>
    <w:rsid w:val="00C50893"/>
    <w:rsid w:val="00C50F96"/>
    <w:rsid w:val="00C5126D"/>
    <w:rsid w:val="00C52519"/>
    <w:rsid w:val="00C526DC"/>
    <w:rsid w:val="00C52A82"/>
    <w:rsid w:val="00C52E6A"/>
    <w:rsid w:val="00C52FB4"/>
    <w:rsid w:val="00C547F1"/>
    <w:rsid w:val="00C54FA6"/>
    <w:rsid w:val="00C55497"/>
    <w:rsid w:val="00C55D0F"/>
    <w:rsid w:val="00C56014"/>
    <w:rsid w:val="00C57412"/>
    <w:rsid w:val="00C57E10"/>
    <w:rsid w:val="00C57E29"/>
    <w:rsid w:val="00C57FA1"/>
    <w:rsid w:val="00C57FBE"/>
    <w:rsid w:val="00C607E4"/>
    <w:rsid w:val="00C608FD"/>
    <w:rsid w:val="00C610C3"/>
    <w:rsid w:val="00C614FA"/>
    <w:rsid w:val="00C6153C"/>
    <w:rsid w:val="00C6185A"/>
    <w:rsid w:val="00C61B4C"/>
    <w:rsid w:val="00C62BFE"/>
    <w:rsid w:val="00C63EAA"/>
    <w:rsid w:val="00C64AC8"/>
    <w:rsid w:val="00C64E97"/>
    <w:rsid w:val="00C65136"/>
    <w:rsid w:val="00C653C9"/>
    <w:rsid w:val="00C655BB"/>
    <w:rsid w:val="00C65871"/>
    <w:rsid w:val="00C66C2D"/>
    <w:rsid w:val="00C6710C"/>
    <w:rsid w:val="00C671DE"/>
    <w:rsid w:val="00C67A25"/>
    <w:rsid w:val="00C67ADC"/>
    <w:rsid w:val="00C67DB3"/>
    <w:rsid w:val="00C70521"/>
    <w:rsid w:val="00C706D4"/>
    <w:rsid w:val="00C70711"/>
    <w:rsid w:val="00C70B0A"/>
    <w:rsid w:val="00C70CFC"/>
    <w:rsid w:val="00C71494"/>
    <w:rsid w:val="00C71852"/>
    <w:rsid w:val="00C71CF3"/>
    <w:rsid w:val="00C71E62"/>
    <w:rsid w:val="00C7201B"/>
    <w:rsid w:val="00C729E9"/>
    <w:rsid w:val="00C73086"/>
    <w:rsid w:val="00C73901"/>
    <w:rsid w:val="00C73F78"/>
    <w:rsid w:val="00C74EC3"/>
    <w:rsid w:val="00C7514F"/>
    <w:rsid w:val="00C7569C"/>
    <w:rsid w:val="00C75CD8"/>
    <w:rsid w:val="00C76018"/>
    <w:rsid w:val="00C762FA"/>
    <w:rsid w:val="00C7653B"/>
    <w:rsid w:val="00C7663A"/>
    <w:rsid w:val="00C7721E"/>
    <w:rsid w:val="00C77C3C"/>
    <w:rsid w:val="00C804D1"/>
    <w:rsid w:val="00C80DF6"/>
    <w:rsid w:val="00C813DF"/>
    <w:rsid w:val="00C8192F"/>
    <w:rsid w:val="00C83181"/>
    <w:rsid w:val="00C83575"/>
    <w:rsid w:val="00C84D50"/>
    <w:rsid w:val="00C84FEC"/>
    <w:rsid w:val="00C8523F"/>
    <w:rsid w:val="00C86338"/>
    <w:rsid w:val="00C8673A"/>
    <w:rsid w:val="00C86887"/>
    <w:rsid w:val="00C87471"/>
    <w:rsid w:val="00C87777"/>
    <w:rsid w:val="00C909CD"/>
    <w:rsid w:val="00C90CD4"/>
    <w:rsid w:val="00C9140A"/>
    <w:rsid w:val="00C915A0"/>
    <w:rsid w:val="00C91602"/>
    <w:rsid w:val="00C917BC"/>
    <w:rsid w:val="00C91C8F"/>
    <w:rsid w:val="00C92771"/>
    <w:rsid w:val="00C9356A"/>
    <w:rsid w:val="00C93601"/>
    <w:rsid w:val="00C93E19"/>
    <w:rsid w:val="00C944FD"/>
    <w:rsid w:val="00C94A6E"/>
    <w:rsid w:val="00C94BC8"/>
    <w:rsid w:val="00C94F49"/>
    <w:rsid w:val="00C9687C"/>
    <w:rsid w:val="00C96ACE"/>
    <w:rsid w:val="00C96E6C"/>
    <w:rsid w:val="00C973F4"/>
    <w:rsid w:val="00CA1303"/>
    <w:rsid w:val="00CA1413"/>
    <w:rsid w:val="00CA18CF"/>
    <w:rsid w:val="00CA1FB0"/>
    <w:rsid w:val="00CA2340"/>
    <w:rsid w:val="00CA2B17"/>
    <w:rsid w:val="00CA33E1"/>
    <w:rsid w:val="00CA41A0"/>
    <w:rsid w:val="00CA4CFC"/>
    <w:rsid w:val="00CA511B"/>
    <w:rsid w:val="00CA54D2"/>
    <w:rsid w:val="00CA6832"/>
    <w:rsid w:val="00CA68E4"/>
    <w:rsid w:val="00CA694F"/>
    <w:rsid w:val="00CA6CAF"/>
    <w:rsid w:val="00CA704E"/>
    <w:rsid w:val="00CA7383"/>
    <w:rsid w:val="00CA7657"/>
    <w:rsid w:val="00CA7BE6"/>
    <w:rsid w:val="00CB05AB"/>
    <w:rsid w:val="00CB066C"/>
    <w:rsid w:val="00CB0C64"/>
    <w:rsid w:val="00CB1041"/>
    <w:rsid w:val="00CB140E"/>
    <w:rsid w:val="00CB2CE7"/>
    <w:rsid w:val="00CB2F8B"/>
    <w:rsid w:val="00CB369A"/>
    <w:rsid w:val="00CB465E"/>
    <w:rsid w:val="00CB4D1E"/>
    <w:rsid w:val="00CB5891"/>
    <w:rsid w:val="00CB65D5"/>
    <w:rsid w:val="00CB72B2"/>
    <w:rsid w:val="00CB7495"/>
    <w:rsid w:val="00CB778F"/>
    <w:rsid w:val="00CC0986"/>
    <w:rsid w:val="00CC0DFE"/>
    <w:rsid w:val="00CC1855"/>
    <w:rsid w:val="00CC3D39"/>
    <w:rsid w:val="00CC3E65"/>
    <w:rsid w:val="00CC3EFA"/>
    <w:rsid w:val="00CC40F0"/>
    <w:rsid w:val="00CC4A28"/>
    <w:rsid w:val="00CC5020"/>
    <w:rsid w:val="00CC65E9"/>
    <w:rsid w:val="00CC6EFF"/>
    <w:rsid w:val="00CC7ACC"/>
    <w:rsid w:val="00CC7B1A"/>
    <w:rsid w:val="00CD10E4"/>
    <w:rsid w:val="00CD1BD3"/>
    <w:rsid w:val="00CD20F2"/>
    <w:rsid w:val="00CD286E"/>
    <w:rsid w:val="00CD2F96"/>
    <w:rsid w:val="00CD3AD3"/>
    <w:rsid w:val="00CD51EB"/>
    <w:rsid w:val="00CD5EE3"/>
    <w:rsid w:val="00CD6055"/>
    <w:rsid w:val="00CD638F"/>
    <w:rsid w:val="00CD6485"/>
    <w:rsid w:val="00CD75DA"/>
    <w:rsid w:val="00CE0234"/>
    <w:rsid w:val="00CE06EB"/>
    <w:rsid w:val="00CE0B19"/>
    <w:rsid w:val="00CE17D4"/>
    <w:rsid w:val="00CE2157"/>
    <w:rsid w:val="00CE2543"/>
    <w:rsid w:val="00CE2AB4"/>
    <w:rsid w:val="00CE32C7"/>
    <w:rsid w:val="00CE37EA"/>
    <w:rsid w:val="00CE4A0A"/>
    <w:rsid w:val="00CE4A10"/>
    <w:rsid w:val="00CE4E89"/>
    <w:rsid w:val="00CE524E"/>
    <w:rsid w:val="00CE56A1"/>
    <w:rsid w:val="00CE63C2"/>
    <w:rsid w:val="00CE71DB"/>
    <w:rsid w:val="00CE731A"/>
    <w:rsid w:val="00CF15BC"/>
    <w:rsid w:val="00CF1679"/>
    <w:rsid w:val="00CF19C8"/>
    <w:rsid w:val="00CF1A1D"/>
    <w:rsid w:val="00CF1E8C"/>
    <w:rsid w:val="00CF2270"/>
    <w:rsid w:val="00CF2348"/>
    <w:rsid w:val="00CF2AF9"/>
    <w:rsid w:val="00CF2CD7"/>
    <w:rsid w:val="00CF2D3E"/>
    <w:rsid w:val="00CF3461"/>
    <w:rsid w:val="00CF3898"/>
    <w:rsid w:val="00CF38AE"/>
    <w:rsid w:val="00CF3DC3"/>
    <w:rsid w:val="00CF3E18"/>
    <w:rsid w:val="00CF3FE0"/>
    <w:rsid w:val="00CF43B1"/>
    <w:rsid w:val="00CF4950"/>
    <w:rsid w:val="00CF586F"/>
    <w:rsid w:val="00CF7475"/>
    <w:rsid w:val="00D01880"/>
    <w:rsid w:val="00D01989"/>
    <w:rsid w:val="00D01F5E"/>
    <w:rsid w:val="00D032F5"/>
    <w:rsid w:val="00D038D0"/>
    <w:rsid w:val="00D0411E"/>
    <w:rsid w:val="00D043AD"/>
    <w:rsid w:val="00D04E9D"/>
    <w:rsid w:val="00D04FB8"/>
    <w:rsid w:val="00D053D0"/>
    <w:rsid w:val="00D05DDD"/>
    <w:rsid w:val="00D065FE"/>
    <w:rsid w:val="00D06642"/>
    <w:rsid w:val="00D06A4B"/>
    <w:rsid w:val="00D06BA9"/>
    <w:rsid w:val="00D10023"/>
    <w:rsid w:val="00D10380"/>
    <w:rsid w:val="00D1057C"/>
    <w:rsid w:val="00D10C5F"/>
    <w:rsid w:val="00D1120A"/>
    <w:rsid w:val="00D11501"/>
    <w:rsid w:val="00D11636"/>
    <w:rsid w:val="00D120CE"/>
    <w:rsid w:val="00D1284F"/>
    <w:rsid w:val="00D12CA3"/>
    <w:rsid w:val="00D13DE3"/>
    <w:rsid w:val="00D147EB"/>
    <w:rsid w:val="00D148A8"/>
    <w:rsid w:val="00D14A0C"/>
    <w:rsid w:val="00D14EB2"/>
    <w:rsid w:val="00D151CB"/>
    <w:rsid w:val="00D157BE"/>
    <w:rsid w:val="00D15CB2"/>
    <w:rsid w:val="00D16DF0"/>
    <w:rsid w:val="00D170BE"/>
    <w:rsid w:val="00D179E9"/>
    <w:rsid w:val="00D17BA6"/>
    <w:rsid w:val="00D20CDA"/>
    <w:rsid w:val="00D21661"/>
    <w:rsid w:val="00D21960"/>
    <w:rsid w:val="00D21ED7"/>
    <w:rsid w:val="00D21FC5"/>
    <w:rsid w:val="00D2350E"/>
    <w:rsid w:val="00D2467A"/>
    <w:rsid w:val="00D24C3C"/>
    <w:rsid w:val="00D24FBF"/>
    <w:rsid w:val="00D250B5"/>
    <w:rsid w:val="00D25769"/>
    <w:rsid w:val="00D26335"/>
    <w:rsid w:val="00D2650F"/>
    <w:rsid w:val="00D27076"/>
    <w:rsid w:val="00D27218"/>
    <w:rsid w:val="00D27551"/>
    <w:rsid w:val="00D278BA"/>
    <w:rsid w:val="00D30562"/>
    <w:rsid w:val="00D31D35"/>
    <w:rsid w:val="00D325CD"/>
    <w:rsid w:val="00D3271D"/>
    <w:rsid w:val="00D3298F"/>
    <w:rsid w:val="00D329BB"/>
    <w:rsid w:val="00D33F5B"/>
    <w:rsid w:val="00D344BE"/>
    <w:rsid w:val="00D347B3"/>
    <w:rsid w:val="00D34857"/>
    <w:rsid w:val="00D35397"/>
    <w:rsid w:val="00D355FE"/>
    <w:rsid w:val="00D35BCA"/>
    <w:rsid w:val="00D368D6"/>
    <w:rsid w:val="00D36FEF"/>
    <w:rsid w:val="00D372E9"/>
    <w:rsid w:val="00D37B1E"/>
    <w:rsid w:val="00D40692"/>
    <w:rsid w:val="00D40C06"/>
    <w:rsid w:val="00D41139"/>
    <w:rsid w:val="00D413A3"/>
    <w:rsid w:val="00D414F0"/>
    <w:rsid w:val="00D41834"/>
    <w:rsid w:val="00D41D73"/>
    <w:rsid w:val="00D43263"/>
    <w:rsid w:val="00D43FA5"/>
    <w:rsid w:val="00D4400B"/>
    <w:rsid w:val="00D445BC"/>
    <w:rsid w:val="00D45C29"/>
    <w:rsid w:val="00D45DA9"/>
    <w:rsid w:val="00D45EB6"/>
    <w:rsid w:val="00D461E8"/>
    <w:rsid w:val="00D46869"/>
    <w:rsid w:val="00D47240"/>
    <w:rsid w:val="00D4785A"/>
    <w:rsid w:val="00D47A83"/>
    <w:rsid w:val="00D47C26"/>
    <w:rsid w:val="00D5115A"/>
    <w:rsid w:val="00D513D5"/>
    <w:rsid w:val="00D523D3"/>
    <w:rsid w:val="00D52591"/>
    <w:rsid w:val="00D52669"/>
    <w:rsid w:val="00D52703"/>
    <w:rsid w:val="00D54111"/>
    <w:rsid w:val="00D545D6"/>
    <w:rsid w:val="00D56DA2"/>
    <w:rsid w:val="00D570AC"/>
    <w:rsid w:val="00D57C3D"/>
    <w:rsid w:val="00D6020F"/>
    <w:rsid w:val="00D60B14"/>
    <w:rsid w:val="00D61539"/>
    <w:rsid w:val="00D63602"/>
    <w:rsid w:val="00D64378"/>
    <w:rsid w:val="00D64431"/>
    <w:rsid w:val="00D64988"/>
    <w:rsid w:val="00D649B6"/>
    <w:rsid w:val="00D64BDB"/>
    <w:rsid w:val="00D64D57"/>
    <w:rsid w:val="00D65574"/>
    <w:rsid w:val="00D659A9"/>
    <w:rsid w:val="00D66950"/>
    <w:rsid w:val="00D66B28"/>
    <w:rsid w:val="00D6724F"/>
    <w:rsid w:val="00D6735E"/>
    <w:rsid w:val="00D6771F"/>
    <w:rsid w:val="00D67D26"/>
    <w:rsid w:val="00D70DAF"/>
    <w:rsid w:val="00D71410"/>
    <w:rsid w:val="00D72044"/>
    <w:rsid w:val="00D748B3"/>
    <w:rsid w:val="00D75CC3"/>
    <w:rsid w:val="00D76658"/>
    <w:rsid w:val="00D76EF8"/>
    <w:rsid w:val="00D77F75"/>
    <w:rsid w:val="00D80946"/>
    <w:rsid w:val="00D80D02"/>
    <w:rsid w:val="00D811A1"/>
    <w:rsid w:val="00D818A2"/>
    <w:rsid w:val="00D819F0"/>
    <w:rsid w:val="00D82273"/>
    <w:rsid w:val="00D82743"/>
    <w:rsid w:val="00D8322D"/>
    <w:rsid w:val="00D832C5"/>
    <w:rsid w:val="00D8373E"/>
    <w:rsid w:val="00D84448"/>
    <w:rsid w:val="00D84535"/>
    <w:rsid w:val="00D847F9"/>
    <w:rsid w:val="00D8512E"/>
    <w:rsid w:val="00D853EF"/>
    <w:rsid w:val="00D85628"/>
    <w:rsid w:val="00D85662"/>
    <w:rsid w:val="00D85BB0"/>
    <w:rsid w:val="00D86822"/>
    <w:rsid w:val="00D8686F"/>
    <w:rsid w:val="00D868A3"/>
    <w:rsid w:val="00D874B2"/>
    <w:rsid w:val="00D875D3"/>
    <w:rsid w:val="00D9022E"/>
    <w:rsid w:val="00D90A42"/>
    <w:rsid w:val="00D90E8D"/>
    <w:rsid w:val="00D90F55"/>
    <w:rsid w:val="00D910AF"/>
    <w:rsid w:val="00D911C9"/>
    <w:rsid w:val="00D9178B"/>
    <w:rsid w:val="00D91BE1"/>
    <w:rsid w:val="00D91E62"/>
    <w:rsid w:val="00D93518"/>
    <w:rsid w:val="00D941FD"/>
    <w:rsid w:val="00D94E5C"/>
    <w:rsid w:val="00D94FA0"/>
    <w:rsid w:val="00D95B0D"/>
    <w:rsid w:val="00D96262"/>
    <w:rsid w:val="00D965DA"/>
    <w:rsid w:val="00D96CC2"/>
    <w:rsid w:val="00D96F08"/>
    <w:rsid w:val="00D97243"/>
    <w:rsid w:val="00DA1DFA"/>
    <w:rsid w:val="00DA2517"/>
    <w:rsid w:val="00DA26A8"/>
    <w:rsid w:val="00DA2B03"/>
    <w:rsid w:val="00DA414D"/>
    <w:rsid w:val="00DA4BD4"/>
    <w:rsid w:val="00DA4FDF"/>
    <w:rsid w:val="00DA53E1"/>
    <w:rsid w:val="00DA5DE5"/>
    <w:rsid w:val="00DA653F"/>
    <w:rsid w:val="00DA744E"/>
    <w:rsid w:val="00DB10F4"/>
    <w:rsid w:val="00DB1326"/>
    <w:rsid w:val="00DB18C1"/>
    <w:rsid w:val="00DB1B04"/>
    <w:rsid w:val="00DB1E84"/>
    <w:rsid w:val="00DB28FB"/>
    <w:rsid w:val="00DB31D7"/>
    <w:rsid w:val="00DB32BC"/>
    <w:rsid w:val="00DB3322"/>
    <w:rsid w:val="00DB3413"/>
    <w:rsid w:val="00DB5D04"/>
    <w:rsid w:val="00DB6152"/>
    <w:rsid w:val="00DB6E3F"/>
    <w:rsid w:val="00DB715C"/>
    <w:rsid w:val="00DB73E3"/>
    <w:rsid w:val="00DC049B"/>
    <w:rsid w:val="00DC297F"/>
    <w:rsid w:val="00DC3744"/>
    <w:rsid w:val="00DC38BA"/>
    <w:rsid w:val="00DC3D29"/>
    <w:rsid w:val="00DC3DB7"/>
    <w:rsid w:val="00DC3DE5"/>
    <w:rsid w:val="00DC4429"/>
    <w:rsid w:val="00DC4697"/>
    <w:rsid w:val="00DC5083"/>
    <w:rsid w:val="00DC523C"/>
    <w:rsid w:val="00DC668A"/>
    <w:rsid w:val="00DC6F5B"/>
    <w:rsid w:val="00DC7135"/>
    <w:rsid w:val="00DC72F1"/>
    <w:rsid w:val="00DD1090"/>
    <w:rsid w:val="00DD1687"/>
    <w:rsid w:val="00DD19A2"/>
    <w:rsid w:val="00DD22A8"/>
    <w:rsid w:val="00DD2A18"/>
    <w:rsid w:val="00DD2E85"/>
    <w:rsid w:val="00DD314E"/>
    <w:rsid w:val="00DD3849"/>
    <w:rsid w:val="00DD387F"/>
    <w:rsid w:val="00DD4497"/>
    <w:rsid w:val="00DD45BD"/>
    <w:rsid w:val="00DD5179"/>
    <w:rsid w:val="00DD7664"/>
    <w:rsid w:val="00DD7C17"/>
    <w:rsid w:val="00DE0083"/>
    <w:rsid w:val="00DE03B4"/>
    <w:rsid w:val="00DE0E4A"/>
    <w:rsid w:val="00DE1677"/>
    <w:rsid w:val="00DE1B1F"/>
    <w:rsid w:val="00DE1D45"/>
    <w:rsid w:val="00DE21E1"/>
    <w:rsid w:val="00DE29DB"/>
    <w:rsid w:val="00DE2C88"/>
    <w:rsid w:val="00DE2D55"/>
    <w:rsid w:val="00DE3259"/>
    <w:rsid w:val="00DE3657"/>
    <w:rsid w:val="00DE38C5"/>
    <w:rsid w:val="00DE3A56"/>
    <w:rsid w:val="00DE3C8D"/>
    <w:rsid w:val="00DE3E8D"/>
    <w:rsid w:val="00DE3EB6"/>
    <w:rsid w:val="00DE3F71"/>
    <w:rsid w:val="00DE43B9"/>
    <w:rsid w:val="00DE46C1"/>
    <w:rsid w:val="00DE52E9"/>
    <w:rsid w:val="00DE5310"/>
    <w:rsid w:val="00DE5420"/>
    <w:rsid w:val="00DE6A09"/>
    <w:rsid w:val="00DE7A3A"/>
    <w:rsid w:val="00DF0883"/>
    <w:rsid w:val="00DF0932"/>
    <w:rsid w:val="00DF0D09"/>
    <w:rsid w:val="00DF0FE7"/>
    <w:rsid w:val="00DF1B02"/>
    <w:rsid w:val="00DF1B64"/>
    <w:rsid w:val="00DF2C48"/>
    <w:rsid w:val="00DF30B4"/>
    <w:rsid w:val="00DF3A8A"/>
    <w:rsid w:val="00DF444F"/>
    <w:rsid w:val="00DF4BF2"/>
    <w:rsid w:val="00DF5003"/>
    <w:rsid w:val="00DF5A8A"/>
    <w:rsid w:val="00DF5B21"/>
    <w:rsid w:val="00DF60FB"/>
    <w:rsid w:val="00DF6185"/>
    <w:rsid w:val="00DF620C"/>
    <w:rsid w:val="00DF72E3"/>
    <w:rsid w:val="00DF733A"/>
    <w:rsid w:val="00DF7CB1"/>
    <w:rsid w:val="00DF7EF9"/>
    <w:rsid w:val="00E0015F"/>
    <w:rsid w:val="00E00857"/>
    <w:rsid w:val="00E00E09"/>
    <w:rsid w:val="00E00ED4"/>
    <w:rsid w:val="00E01300"/>
    <w:rsid w:val="00E01466"/>
    <w:rsid w:val="00E02297"/>
    <w:rsid w:val="00E029FA"/>
    <w:rsid w:val="00E02E3F"/>
    <w:rsid w:val="00E036EA"/>
    <w:rsid w:val="00E03716"/>
    <w:rsid w:val="00E03C08"/>
    <w:rsid w:val="00E0404B"/>
    <w:rsid w:val="00E04082"/>
    <w:rsid w:val="00E0423F"/>
    <w:rsid w:val="00E04A35"/>
    <w:rsid w:val="00E04BFE"/>
    <w:rsid w:val="00E06495"/>
    <w:rsid w:val="00E06753"/>
    <w:rsid w:val="00E0692E"/>
    <w:rsid w:val="00E06A4B"/>
    <w:rsid w:val="00E06C74"/>
    <w:rsid w:val="00E073FB"/>
    <w:rsid w:val="00E07783"/>
    <w:rsid w:val="00E07829"/>
    <w:rsid w:val="00E07D4A"/>
    <w:rsid w:val="00E10603"/>
    <w:rsid w:val="00E127FA"/>
    <w:rsid w:val="00E1282C"/>
    <w:rsid w:val="00E13C86"/>
    <w:rsid w:val="00E144E0"/>
    <w:rsid w:val="00E1532A"/>
    <w:rsid w:val="00E15880"/>
    <w:rsid w:val="00E15B5D"/>
    <w:rsid w:val="00E15E2E"/>
    <w:rsid w:val="00E15F40"/>
    <w:rsid w:val="00E16360"/>
    <w:rsid w:val="00E165BB"/>
    <w:rsid w:val="00E16C1B"/>
    <w:rsid w:val="00E171E0"/>
    <w:rsid w:val="00E17478"/>
    <w:rsid w:val="00E17895"/>
    <w:rsid w:val="00E202DE"/>
    <w:rsid w:val="00E2093B"/>
    <w:rsid w:val="00E20C45"/>
    <w:rsid w:val="00E20CDF"/>
    <w:rsid w:val="00E21F93"/>
    <w:rsid w:val="00E22070"/>
    <w:rsid w:val="00E23871"/>
    <w:rsid w:val="00E240E5"/>
    <w:rsid w:val="00E24E69"/>
    <w:rsid w:val="00E250E3"/>
    <w:rsid w:val="00E253D8"/>
    <w:rsid w:val="00E25446"/>
    <w:rsid w:val="00E25B53"/>
    <w:rsid w:val="00E26128"/>
    <w:rsid w:val="00E268EC"/>
    <w:rsid w:val="00E26A34"/>
    <w:rsid w:val="00E26E71"/>
    <w:rsid w:val="00E2763A"/>
    <w:rsid w:val="00E27808"/>
    <w:rsid w:val="00E27A34"/>
    <w:rsid w:val="00E27DAC"/>
    <w:rsid w:val="00E30135"/>
    <w:rsid w:val="00E312E8"/>
    <w:rsid w:val="00E32179"/>
    <w:rsid w:val="00E321AB"/>
    <w:rsid w:val="00E329A1"/>
    <w:rsid w:val="00E32A3F"/>
    <w:rsid w:val="00E33C5A"/>
    <w:rsid w:val="00E35175"/>
    <w:rsid w:val="00E3533F"/>
    <w:rsid w:val="00E3583D"/>
    <w:rsid w:val="00E367DA"/>
    <w:rsid w:val="00E3718C"/>
    <w:rsid w:val="00E37F3B"/>
    <w:rsid w:val="00E40B1A"/>
    <w:rsid w:val="00E4156A"/>
    <w:rsid w:val="00E4253C"/>
    <w:rsid w:val="00E436CF"/>
    <w:rsid w:val="00E4435E"/>
    <w:rsid w:val="00E4447F"/>
    <w:rsid w:val="00E45166"/>
    <w:rsid w:val="00E46BF0"/>
    <w:rsid w:val="00E46CBF"/>
    <w:rsid w:val="00E46D9A"/>
    <w:rsid w:val="00E478D9"/>
    <w:rsid w:val="00E508DF"/>
    <w:rsid w:val="00E50A7A"/>
    <w:rsid w:val="00E51778"/>
    <w:rsid w:val="00E519A7"/>
    <w:rsid w:val="00E51DDD"/>
    <w:rsid w:val="00E5231B"/>
    <w:rsid w:val="00E529AE"/>
    <w:rsid w:val="00E543C9"/>
    <w:rsid w:val="00E552C4"/>
    <w:rsid w:val="00E55869"/>
    <w:rsid w:val="00E55CDD"/>
    <w:rsid w:val="00E55E9F"/>
    <w:rsid w:val="00E5792F"/>
    <w:rsid w:val="00E57E1E"/>
    <w:rsid w:val="00E60329"/>
    <w:rsid w:val="00E60FFE"/>
    <w:rsid w:val="00E6229D"/>
    <w:rsid w:val="00E633B0"/>
    <w:rsid w:val="00E63833"/>
    <w:rsid w:val="00E63A7E"/>
    <w:rsid w:val="00E63CBD"/>
    <w:rsid w:val="00E640EF"/>
    <w:rsid w:val="00E64A54"/>
    <w:rsid w:val="00E65BC2"/>
    <w:rsid w:val="00E66401"/>
    <w:rsid w:val="00E675E5"/>
    <w:rsid w:val="00E67A4B"/>
    <w:rsid w:val="00E71BA1"/>
    <w:rsid w:val="00E73952"/>
    <w:rsid w:val="00E75A7D"/>
    <w:rsid w:val="00E75CCA"/>
    <w:rsid w:val="00E75D6C"/>
    <w:rsid w:val="00E76DFD"/>
    <w:rsid w:val="00E76E1F"/>
    <w:rsid w:val="00E76FE3"/>
    <w:rsid w:val="00E77071"/>
    <w:rsid w:val="00E77C10"/>
    <w:rsid w:val="00E80494"/>
    <w:rsid w:val="00E822A0"/>
    <w:rsid w:val="00E823D6"/>
    <w:rsid w:val="00E82B95"/>
    <w:rsid w:val="00E82E29"/>
    <w:rsid w:val="00E8387C"/>
    <w:rsid w:val="00E845A2"/>
    <w:rsid w:val="00E84B0A"/>
    <w:rsid w:val="00E85336"/>
    <w:rsid w:val="00E8600F"/>
    <w:rsid w:val="00E860D4"/>
    <w:rsid w:val="00E861D4"/>
    <w:rsid w:val="00E86884"/>
    <w:rsid w:val="00E8792B"/>
    <w:rsid w:val="00E87F5D"/>
    <w:rsid w:val="00E90B4E"/>
    <w:rsid w:val="00E915A0"/>
    <w:rsid w:val="00E91749"/>
    <w:rsid w:val="00E917FC"/>
    <w:rsid w:val="00E91E40"/>
    <w:rsid w:val="00E92A55"/>
    <w:rsid w:val="00E93CB8"/>
    <w:rsid w:val="00E93F64"/>
    <w:rsid w:val="00E94921"/>
    <w:rsid w:val="00E94FC4"/>
    <w:rsid w:val="00E9619E"/>
    <w:rsid w:val="00E96963"/>
    <w:rsid w:val="00E96B39"/>
    <w:rsid w:val="00E974C2"/>
    <w:rsid w:val="00E97750"/>
    <w:rsid w:val="00E97AD9"/>
    <w:rsid w:val="00EA01D9"/>
    <w:rsid w:val="00EA059E"/>
    <w:rsid w:val="00EA131A"/>
    <w:rsid w:val="00EA15BC"/>
    <w:rsid w:val="00EA20FB"/>
    <w:rsid w:val="00EA4812"/>
    <w:rsid w:val="00EA4C9D"/>
    <w:rsid w:val="00EA6BFA"/>
    <w:rsid w:val="00EA6C08"/>
    <w:rsid w:val="00EA7124"/>
    <w:rsid w:val="00EA7205"/>
    <w:rsid w:val="00EA7430"/>
    <w:rsid w:val="00EA7546"/>
    <w:rsid w:val="00EA79E1"/>
    <w:rsid w:val="00EB0CC4"/>
    <w:rsid w:val="00EB0E0F"/>
    <w:rsid w:val="00EB1DE1"/>
    <w:rsid w:val="00EB1E47"/>
    <w:rsid w:val="00EB3054"/>
    <w:rsid w:val="00EB332E"/>
    <w:rsid w:val="00EB4455"/>
    <w:rsid w:val="00EB4D1F"/>
    <w:rsid w:val="00EB4DE1"/>
    <w:rsid w:val="00EB4F9D"/>
    <w:rsid w:val="00EB5EFB"/>
    <w:rsid w:val="00EB666B"/>
    <w:rsid w:val="00EB7868"/>
    <w:rsid w:val="00EC03B2"/>
    <w:rsid w:val="00EC0E74"/>
    <w:rsid w:val="00EC1235"/>
    <w:rsid w:val="00EC13EF"/>
    <w:rsid w:val="00EC142A"/>
    <w:rsid w:val="00EC1513"/>
    <w:rsid w:val="00EC1BF9"/>
    <w:rsid w:val="00EC246A"/>
    <w:rsid w:val="00EC24E2"/>
    <w:rsid w:val="00EC35B4"/>
    <w:rsid w:val="00EC37F7"/>
    <w:rsid w:val="00EC395F"/>
    <w:rsid w:val="00EC41A8"/>
    <w:rsid w:val="00EC4E7D"/>
    <w:rsid w:val="00EC529D"/>
    <w:rsid w:val="00EC52D8"/>
    <w:rsid w:val="00EC5343"/>
    <w:rsid w:val="00EC55A2"/>
    <w:rsid w:val="00EC5A74"/>
    <w:rsid w:val="00EC7442"/>
    <w:rsid w:val="00EC7608"/>
    <w:rsid w:val="00EC766D"/>
    <w:rsid w:val="00EC7DD5"/>
    <w:rsid w:val="00ED05C7"/>
    <w:rsid w:val="00ED20C7"/>
    <w:rsid w:val="00ED32EA"/>
    <w:rsid w:val="00ED4F21"/>
    <w:rsid w:val="00ED582A"/>
    <w:rsid w:val="00ED60B6"/>
    <w:rsid w:val="00ED73FA"/>
    <w:rsid w:val="00ED765D"/>
    <w:rsid w:val="00EE03C3"/>
    <w:rsid w:val="00EE04B1"/>
    <w:rsid w:val="00EE06A3"/>
    <w:rsid w:val="00EE072D"/>
    <w:rsid w:val="00EE0890"/>
    <w:rsid w:val="00EE0A29"/>
    <w:rsid w:val="00EE0C7D"/>
    <w:rsid w:val="00EE146B"/>
    <w:rsid w:val="00EE22C5"/>
    <w:rsid w:val="00EE34EE"/>
    <w:rsid w:val="00EE383B"/>
    <w:rsid w:val="00EE3BFA"/>
    <w:rsid w:val="00EE3E0D"/>
    <w:rsid w:val="00EF10AB"/>
    <w:rsid w:val="00EF1843"/>
    <w:rsid w:val="00EF1C38"/>
    <w:rsid w:val="00EF1C9D"/>
    <w:rsid w:val="00EF2754"/>
    <w:rsid w:val="00EF2B6D"/>
    <w:rsid w:val="00EF3AA2"/>
    <w:rsid w:val="00EF3B28"/>
    <w:rsid w:val="00EF3D01"/>
    <w:rsid w:val="00EF4183"/>
    <w:rsid w:val="00EF4F2B"/>
    <w:rsid w:val="00EF597F"/>
    <w:rsid w:val="00EF68FD"/>
    <w:rsid w:val="00EF6B25"/>
    <w:rsid w:val="00EF79FD"/>
    <w:rsid w:val="00F00E94"/>
    <w:rsid w:val="00F014F5"/>
    <w:rsid w:val="00F01701"/>
    <w:rsid w:val="00F0246B"/>
    <w:rsid w:val="00F02A76"/>
    <w:rsid w:val="00F045D3"/>
    <w:rsid w:val="00F047F5"/>
    <w:rsid w:val="00F049EB"/>
    <w:rsid w:val="00F04D8A"/>
    <w:rsid w:val="00F057B9"/>
    <w:rsid w:val="00F05E8B"/>
    <w:rsid w:val="00F06647"/>
    <w:rsid w:val="00F07C03"/>
    <w:rsid w:val="00F07F81"/>
    <w:rsid w:val="00F103A2"/>
    <w:rsid w:val="00F107F0"/>
    <w:rsid w:val="00F10C63"/>
    <w:rsid w:val="00F10E40"/>
    <w:rsid w:val="00F10F1A"/>
    <w:rsid w:val="00F11E5D"/>
    <w:rsid w:val="00F129EB"/>
    <w:rsid w:val="00F12A50"/>
    <w:rsid w:val="00F13114"/>
    <w:rsid w:val="00F13717"/>
    <w:rsid w:val="00F13B20"/>
    <w:rsid w:val="00F144B8"/>
    <w:rsid w:val="00F14F30"/>
    <w:rsid w:val="00F15215"/>
    <w:rsid w:val="00F156C0"/>
    <w:rsid w:val="00F15F34"/>
    <w:rsid w:val="00F1633C"/>
    <w:rsid w:val="00F16350"/>
    <w:rsid w:val="00F165B5"/>
    <w:rsid w:val="00F16765"/>
    <w:rsid w:val="00F16EC5"/>
    <w:rsid w:val="00F177F9"/>
    <w:rsid w:val="00F202ED"/>
    <w:rsid w:val="00F20DCE"/>
    <w:rsid w:val="00F2102E"/>
    <w:rsid w:val="00F211DF"/>
    <w:rsid w:val="00F21E7D"/>
    <w:rsid w:val="00F227C5"/>
    <w:rsid w:val="00F2342F"/>
    <w:rsid w:val="00F23E23"/>
    <w:rsid w:val="00F241A4"/>
    <w:rsid w:val="00F2453C"/>
    <w:rsid w:val="00F246A2"/>
    <w:rsid w:val="00F2548D"/>
    <w:rsid w:val="00F25499"/>
    <w:rsid w:val="00F2577E"/>
    <w:rsid w:val="00F26F57"/>
    <w:rsid w:val="00F27679"/>
    <w:rsid w:val="00F27BBB"/>
    <w:rsid w:val="00F3024C"/>
    <w:rsid w:val="00F30324"/>
    <w:rsid w:val="00F30741"/>
    <w:rsid w:val="00F3166D"/>
    <w:rsid w:val="00F32065"/>
    <w:rsid w:val="00F320DA"/>
    <w:rsid w:val="00F33EE7"/>
    <w:rsid w:val="00F3460C"/>
    <w:rsid w:val="00F347FA"/>
    <w:rsid w:val="00F34A73"/>
    <w:rsid w:val="00F360D3"/>
    <w:rsid w:val="00F364C9"/>
    <w:rsid w:val="00F3665A"/>
    <w:rsid w:val="00F36884"/>
    <w:rsid w:val="00F368FF"/>
    <w:rsid w:val="00F3693D"/>
    <w:rsid w:val="00F36CCE"/>
    <w:rsid w:val="00F37374"/>
    <w:rsid w:val="00F37811"/>
    <w:rsid w:val="00F40119"/>
    <w:rsid w:val="00F407A0"/>
    <w:rsid w:val="00F40932"/>
    <w:rsid w:val="00F419FD"/>
    <w:rsid w:val="00F43955"/>
    <w:rsid w:val="00F44708"/>
    <w:rsid w:val="00F448DC"/>
    <w:rsid w:val="00F44984"/>
    <w:rsid w:val="00F456B2"/>
    <w:rsid w:val="00F4575A"/>
    <w:rsid w:val="00F45CA4"/>
    <w:rsid w:val="00F46230"/>
    <w:rsid w:val="00F46A16"/>
    <w:rsid w:val="00F46E68"/>
    <w:rsid w:val="00F47123"/>
    <w:rsid w:val="00F475D9"/>
    <w:rsid w:val="00F47A43"/>
    <w:rsid w:val="00F47D23"/>
    <w:rsid w:val="00F50C6D"/>
    <w:rsid w:val="00F50DDC"/>
    <w:rsid w:val="00F50E86"/>
    <w:rsid w:val="00F50F13"/>
    <w:rsid w:val="00F5162D"/>
    <w:rsid w:val="00F51776"/>
    <w:rsid w:val="00F51B90"/>
    <w:rsid w:val="00F51E8D"/>
    <w:rsid w:val="00F51F61"/>
    <w:rsid w:val="00F51F67"/>
    <w:rsid w:val="00F524A6"/>
    <w:rsid w:val="00F536AB"/>
    <w:rsid w:val="00F536EF"/>
    <w:rsid w:val="00F538D4"/>
    <w:rsid w:val="00F54161"/>
    <w:rsid w:val="00F56DF5"/>
    <w:rsid w:val="00F57087"/>
    <w:rsid w:val="00F575DF"/>
    <w:rsid w:val="00F57859"/>
    <w:rsid w:val="00F57C86"/>
    <w:rsid w:val="00F57D58"/>
    <w:rsid w:val="00F60DA0"/>
    <w:rsid w:val="00F61D84"/>
    <w:rsid w:val="00F6286B"/>
    <w:rsid w:val="00F6343A"/>
    <w:rsid w:val="00F6381F"/>
    <w:rsid w:val="00F63B06"/>
    <w:rsid w:val="00F63F37"/>
    <w:rsid w:val="00F646C4"/>
    <w:rsid w:val="00F672AF"/>
    <w:rsid w:val="00F67FEA"/>
    <w:rsid w:val="00F71EE8"/>
    <w:rsid w:val="00F7216B"/>
    <w:rsid w:val="00F72D9B"/>
    <w:rsid w:val="00F73440"/>
    <w:rsid w:val="00F7371F"/>
    <w:rsid w:val="00F74735"/>
    <w:rsid w:val="00F75346"/>
    <w:rsid w:val="00F757B2"/>
    <w:rsid w:val="00F76E2F"/>
    <w:rsid w:val="00F778C3"/>
    <w:rsid w:val="00F77DE7"/>
    <w:rsid w:val="00F77F00"/>
    <w:rsid w:val="00F800A9"/>
    <w:rsid w:val="00F8032A"/>
    <w:rsid w:val="00F8081A"/>
    <w:rsid w:val="00F8098F"/>
    <w:rsid w:val="00F8127D"/>
    <w:rsid w:val="00F8179A"/>
    <w:rsid w:val="00F818A4"/>
    <w:rsid w:val="00F81B0D"/>
    <w:rsid w:val="00F8223E"/>
    <w:rsid w:val="00F830C4"/>
    <w:rsid w:val="00F83E73"/>
    <w:rsid w:val="00F842A2"/>
    <w:rsid w:val="00F84672"/>
    <w:rsid w:val="00F858D7"/>
    <w:rsid w:val="00F85A2C"/>
    <w:rsid w:val="00F85C6B"/>
    <w:rsid w:val="00F861CB"/>
    <w:rsid w:val="00F8626F"/>
    <w:rsid w:val="00F863CE"/>
    <w:rsid w:val="00F87B11"/>
    <w:rsid w:val="00F9178D"/>
    <w:rsid w:val="00F91E2E"/>
    <w:rsid w:val="00F91F92"/>
    <w:rsid w:val="00F9272B"/>
    <w:rsid w:val="00F927C0"/>
    <w:rsid w:val="00F92D48"/>
    <w:rsid w:val="00F9424F"/>
    <w:rsid w:val="00F942BD"/>
    <w:rsid w:val="00F94B34"/>
    <w:rsid w:val="00F95EB1"/>
    <w:rsid w:val="00F96DAD"/>
    <w:rsid w:val="00F9743F"/>
    <w:rsid w:val="00FA134A"/>
    <w:rsid w:val="00FA1B4C"/>
    <w:rsid w:val="00FA272D"/>
    <w:rsid w:val="00FA293C"/>
    <w:rsid w:val="00FA2FEE"/>
    <w:rsid w:val="00FA30A4"/>
    <w:rsid w:val="00FA35E9"/>
    <w:rsid w:val="00FA4021"/>
    <w:rsid w:val="00FA41AC"/>
    <w:rsid w:val="00FA576D"/>
    <w:rsid w:val="00FA57D5"/>
    <w:rsid w:val="00FA5D75"/>
    <w:rsid w:val="00FA6033"/>
    <w:rsid w:val="00FA6F75"/>
    <w:rsid w:val="00FA6FD1"/>
    <w:rsid w:val="00FA7941"/>
    <w:rsid w:val="00FA7C3F"/>
    <w:rsid w:val="00FB02F5"/>
    <w:rsid w:val="00FB1417"/>
    <w:rsid w:val="00FB1797"/>
    <w:rsid w:val="00FB257F"/>
    <w:rsid w:val="00FB29FC"/>
    <w:rsid w:val="00FB33C8"/>
    <w:rsid w:val="00FB3DB0"/>
    <w:rsid w:val="00FB4A3F"/>
    <w:rsid w:val="00FB51E5"/>
    <w:rsid w:val="00FB558D"/>
    <w:rsid w:val="00FB57C4"/>
    <w:rsid w:val="00FB5D35"/>
    <w:rsid w:val="00FB6280"/>
    <w:rsid w:val="00FB6302"/>
    <w:rsid w:val="00FB636F"/>
    <w:rsid w:val="00FB6E3D"/>
    <w:rsid w:val="00FB7005"/>
    <w:rsid w:val="00FB7A30"/>
    <w:rsid w:val="00FC0042"/>
    <w:rsid w:val="00FC0BD1"/>
    <w:rsid w:val="00FC1E5D"/>
    <w:rsid w:val="00FC2DDD"/>
    <w:rsid w:val="00FC2E75"/>
    <w:rsid w:val="00FC2FCD"/>
    <w:rsid w:val="00FC3212"/>
    <w:rsid w:val="00FC3DFD"/>
    <w:rsid w:val="00FC4298"/>
    <w:rsid w:val="00FC43E8"/>
    <w:rsid w:val="00FC489E"/>
    <w:rsid w:val="00FC506C"/>
    <w:rsid w:val="00FC5242"/>
    <w:rsid w:val="00FC5A18"/>
    <w:rsid w:val="00FC5BB0"/>
    <w:rsid w:val="00FC6172"/>
    <w:rsid w:val="00FC6786"/>
    <w:rsid w:val="00FC75EF"/>
    <w:rsid w:val="00FC7C4E"/>
    <w:rsid w:val="00FD0850"/>
    <w:rsid w:val="00FD08D0"/>
    <w:rsid w:val="00FD1E4E"/>
    <w:rsid w:val="00FD2326"/>
    <w:rsid w:val="00FD28A1"/>
    <w:rsid w:val="00FD367D"/>
    <w:rsid w:val="00FD4FF5"/>
    <w:rsid w:val="00FD53FE"/>
    <w:rsid w:val="00FD56AE"/>
    <w:rsid w:val="00FD5A92"/>
    <w:rsid w:val="00FD6A25"/>
    <w:rsid w:val="00FD6EBD"/>
    <w:rsid w:val="00FD6ECB"/>
    <w:rsid w:val="00FD7743"/>
    <w:rsid w:val="00FD7A1D"/>
    <w:rsid w:val="00FE0EF3"/>
    <w:rsid w:val="00FE1034"/>
    <w:rsid w:val="00FE1C59"/>
    <w:rsid w:val="00FE1FC8"/>
    <w:rsid w:val="00FE220A"/>
    <w:rsid w:val="00FE27E0"/>
    <w:rsid w:val="00FE28B0"/>
    <w:rsid w:val="00FE2CB0"/>
    <w:rsid w:val="00FE303E"/>
    <w:rsid w:val="00FE3F89"/>
    <w:rsid w:val="00FE46FD"/>
    <w:rsid w:val="00FE499B"/>
    <w:rsid w:val="00FE56E8"/>
    <w:rsid w:val="00FE5CDE"/>
    <w:rsid w:val="00FE6A8C"/>
    <w:rsid w:val="00FE7708"/>
    <w:rsid w:val="00FE7748"/>
    <w:rsid w:val="00FE776C"/>
    <w:rsid w:val="00FF0002"/>
    <w:rsid w:val="00FF0409"/>
    <w:rsid w:val="00FF064F"/>
    <w:rsid w:val="00FF16EA"/>
    <w:rsid w:val="00FF3449"/>
    <w:rsid w:val="00FF3EB4"/>
    <w:rsid w:val="00FF4097"/>
    <w:rsid w:val="00FF40A0"/>
    <w:rsid w:val="00FF4A59"/>
    <w:rsid w:val="00FF51F6"/>
    <w:rsid w:val="00FF58CE"/>
    <w:rsid w:val="00FF5FBD"/>
    <w:rsid w:val="00FF637E"/>
    <w:rsid w:val="00F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6837F49"/>
  <w15:docId w15:val="{209456E9-292D-4D8F-8046-2E17FBB2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85A"/>
  </w:style>
  <w:style w:type="paragraph" w:styleId="Heading1">
    <w:name w:val="heading 1"/>
    <w:next w:val="Normal"/>
    <w:qFormat/>
    <w:rsid w:val="00955E66"/>
    <w:pPr>
      <w:keepNext/>
      <w:numPr>
        <w:numId w:val="31"/>
      </w:numPr>
      <w:spacing w:after="240"/>
      <w:outlineLvl w:val="0"/>
    </w:pPr>
    <w:rPr>
      <w:b/>
      <w:sz w:val="24"/>
      <w:szCs w:val="24"/>
    </w:rPr>
  </w:style>
  <w:style w:type="paragraph" w:styleId="Heading2">
    <w:name w:val="heading 2"/>
    <w:next w:val="Normal"/>
    <w:qFormat/>
    <w:rsid w:val="00955E66"/>
    <w:pPr>
      <w:keepNext/>
      <w:numPr>
        <w:ilvl w:val="1"/>
        <w:numId w:val="31"/>
      </w:numPr>
      <w:outlineLvl w:val="1"/>
    </w:pPr>
    <w:rPr>
      <w:b/>
      <w:szCs w:val="32"/>
    </w:rPr>
  </w:style>
  <w:style w:type="paragraph" w:styleId="Heading3">
    <w:name w:val="heading 3"/>
    <w:next w:val="Normal"/>
    <w:qFormat/>
    <w:rsid w:val="00955E66"/>
    <w:pPr>
      <w:keepNext/>
      <w:numPr>
        <w:ilvl w:val="2"/>
        <w:numId w:val="31"/>
      </w:numPr>
      <w:spacing w:line="260" w:lineRule="atLeast"/>
      <w:outlineLvl w:val="2"/>
    </w:pPr>
    <w:rPr>
      <w:b/>
      <w:bCs/>
      <w:i/>
      <w:color w:val="000000"/>
      <w:szCs w:val="24"/>
    </w:rPr>
  </w:style>
  <w:style w:type="paragraph" w:styleId="Heading4">
    <w:name w:val="heading 4"/>
    <w:basedOn w:val="Normal"/>
    <w:next w:val="Normal"/>
    <w:qFormat/>
    <w:rsid w:val="00955E66"/>
    <w:pPr>
      <w:keepNext/>
      <w:numPr>
        <w:ilvl w:val="3"/>
        <w:numId w:val="31"/>
      </w:numPr>
      <w:spacing w:before="240" w:after="60"/>
      <w:outlineLvl w:val="3"/>
    </w:pPr>
    <w:rPr>
      <w:b/>
      <w:bCs/>
      <w:sz w:val="28"/>
      <w:szCs w:val="28"/>
    </w:rPr>
  </w:style>
  <w:style w:type="paragraph" w:styleId="Heading5">
    <w:name w:val="heading 5"/>
    <w:basedOn w:val="Normal"/>
    <w:next w:val="Normal"/>
    <w:qFormat/>
    <w:rsid w:val="00955E66"/>
    <w:pPr>
      <w:numPr>
        <w:ilvl w:val="4"/>
        <w:numId w:val="3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5F0"/>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semiHidden/>
    <w:rsid w:val="001105F0"/>
    <w:rPr>
      <w:rFonts w:cs="Times New Roman"/>
      <w:color w:val="auto"/>
    </w:rPr>
  </w:style>
  <w:style w:type="paragraph" w:customStyle="1" w:styleId="CM36">
    <w:name w:val="CM36"/>
    <w:basedOn w:val="Default"/>
    <w:next w:val="Default"/>
    <w:semiHidden/>
    <w:rsid w:val="001105F0"/>
    <w:rPr>
      <w:rFonts w:cs="Times New Roman"/>
      <w:color w:val="auto"/>
    </w:rPr>
  </w:style>
  <w:style w:type="paragraph" w:customStyle="1" w:styleId="CM2">
    <w:name w:val="CM2"/>
    <w:basedOn w:val="Default"/>
    <w:next w:val="Default"/>
    <w:semiHidden/>
    <w:rsid w:val="001105F0"/>
    <w:pPr>
      <w:spacing w:line="260" w:lineRule="atLeast"/>
    </w:pPr>
    <w:rPr>
      <w:rFonts w:cs="Times New Roman"/>
      <w:color w:val="auto"/>
    </w:rPr>
  </w:style>
  <w:style w:type="paragraph" w:customStyle="1" w:styleId="CM3">
    <w:name w:val="CM3"/>
    <w:basedOn w:val="Default"/>
    <w:next w:val="Default"/>
    <w:semiHidden/>
    <w:rsid w:val="001105F0"/>
    <w:pPr>
      <w:spacing w:line="260" w:lineRule="atLeast"/>
    </w:pPr>
    <w:rPr>
      <w:rFonts w:cs="Times New Roman"/>
      <w:color w:val="auto"/>
    </w:rPr>
  </w:style>
  <w:style w:type="paragraph" w:customStyle="1" w:styleId="CM4">
    <w:name w:val="CM4"/>
    <w:basedOn w:val="Default"/>
    <w:next w:val="Default"/>
    <w:semiHidden/>
    <w:rsid w:val="001105F0"/>
    <w:pPr>
      <w:spacing w:line="260" w:lineRule="atLeast"/>
    </w:pPr>
    <w:rPr>
      <w:rFonts w:cs="Times New Roman"/>
      <w:color w:val="auto"/>
    </w:rPr>
  </w:style>
  <w:style w:type="paragraph" w:customStyle="1" w:styleId="CM37">
    <w:name w:val="CM37"/>
    <w:basedOn w:val="Default"/>
    <w:next w:val="Default"/>
    <w:semiHidden/>
    <w:rsid w:val="001105F0"/>
    <w:rPr>
      <w:rFonts w:cs="Times New Roman"/>
      <w:color w:val="auto"/>
    </w:rPr>
  </w:style>
  <w:style w:type="paragraph" w:customStyle="1" w:styleId="CM38">
    <w:name w:val="CM38"/>
    <w:basedOn w:val="Default"/>
    <w:next w:val="Default"/>
    <w:semiHidden/>
    <w:rsid w:val="001105F0"/>
    <w:rPr>
      <w:rFonts w:cs="Times New Roman"/>
      <w:color w:val="auto"/>
    </w:rPr>
  </w:style>
  <w:style w:type="paragraph" w:customStyle="1" w:styleId="CM5">
    <w:name w:val="CM5"/>
    <w:basedOn w:val="Default"/>
    <w:next w:val="Default"/>
    <w:semiHidden/>
    <w:rsid w:val="001105F0"/>
    <w:pPr>
      <w:spacing w:line="260" w:lineRule="atLeast"/>
    </w:pPr>
    <w:rPr>
      <w:rFonts w:cs="Times New Roman"/>
      <w:color w:val="auto"/>
    </w:rPr>
  </w:style>
  <w:style w:type="paragraph" w:customStyle="1" w:styleId="CM6">
    <w:name w:val="CM6"/>
    <w:basedOn w:val="Default"/>
    <w:next w:val="Default"/>
    <w:semiHidden/>
    <w:rsid w:val="001105F0"/>
    <w:pPr>
      <w:spacing w:line="260" w:lineRule="atLeast"/>
    </w:pPr>
    <w:rPr>
      <w:rFonts w:cs="Times New Roman"/>
      <w:color w:val="auto"/>
    </w:rPr>
  </w:style>
  <w:style w:type="paragraph" w:customStyle="1" w:styleId="CM7">
    <w:name w:val="CM7"/>
    <w:basedOn w:val="Default"/>
    <w:next w:val="Default"/>
    <w:semiHidden/>
    <w:rsid w:val="001105F0"/>
    <w:rPr>
      <w:rFonts w:cs="Times New Roman"/>
      <w:color w:val="auto"/>
    </w:rPr>
  </w:style>
  <w:style w:type="paragraph" w:customStyle="1" w:styleId="CM8">
    <w:name w:val="CM8"/>
    <w:basedOn w:val="Default"/>
    <w:next w:val="Default"/>
    <w:semiHidden/>
    <w:rsid w:val="001105F0"/>
    <w:rPr>
      <w:rFonts w:cs="Times New Roman"/>
      <w:color w:val="auto"/>
    </w:rPr>
  </w:style>
  <w:style w:type="paragraph" w:customStyle="1" w:styleId="CM9">
    <w:name w:val="CM9"/>
    <w:basedOn w:val="Default"/>
    <w:next w:val="Default"/>
    <w:semiHidden/>
    <w:rsid w:val="001105F0"/>
    <w:pPr>
      <w:spacing w:line="260" w:lineRule="atLeast"/>
    </w:pPr>
    <w:rPr>
      <w:rFonts w:cs="Times New Roman"/>
      <w:color w:val="auto"/>
    </w:rPr>
  </w:style>
  <w:style w:type="paragraph" w:customStyle="1" w:styleId="CM10">
    <w:name w:val="CM10"/>
    <w:basedOn w:val="Default"/>
    <w:next w:val="Default"/>
    <w:semiHidden/>
    <w:rsid w:val="001105F0"/>
    <w:pPr>
      <w:spacing w:line="260" w:lineRule="atLeast"/>
    </w:pPr>
    <w:rPr>
      <w:rFonts w:cs="Times New Roman"/>
      <w:color w:val="auto"/>
    </w:rPr>
  </w:style>
  <w:style w:type="paragraph" w:customStyle="1" w:styleId="CM11">
    <w:name w:val="CM11"/>
    <w:basedOn w:val="Default"/>
    <w:next w:val="Default"/>
    <w:semiHidden/>
    <w:rsid w:val="001105F0"/>
    <w:pPr>
      <w:spacing w:line="260" w:lineRule="atLeast"/>
    </w:pPr>
    <w:rPr>
      <w:rFonts w:cs="Times New Roman"/>
      <w:color w:val="auto"/>
    </w:rPr>
  </w:style>
  <w:style w:type="paragraph" w:customStyle="1" w:styleId="CM12">
    <w:name w:val="CM12"/>
    <w:basedOn w:val="Default"/>
    <w:next w:val="Default"/>
    <w:semiHidden/>
    <w:rsid w:val="001105F0"/>
    <w:pPr>
      <w:spacing w:line="260" w:lineRule="atLeast"/>
    </w:pPr>
    <w:rPr>
      <w:rFonts w:cs="Times New Roman"/>
      <w:color w:val="auto"/>
    </w:rPr>
  </w:style>
  <w:style w:type="paragraph" w:customStyle="1" w:styleId="CM13">
    <w:name w:val="CM13"/>
    <w:basedOn w:val="Default"/>
    <w:next w:val="Default"/>
    <w:semiHidden/>
    <w:rsid w:val="001105F0"/>
    <w:pPr>
      <w:spacing w:line="260" w:lineRule="atLeast"/>
    </w:pPr>
    <w:rPr>
      <w:rFonts w:cs="Times New Roman"/>
      <w:color w:val="auto"/>
    </w:rPr>
  </w:style>
  <w:style w:type="paragraph" w:customStyle="1" w:styleId="CM39">
    <w:name w:val="CM39"/>
    <w:basedOn w:val="Default"/>
    <w:next w:val="Default"/>
    <w:semiHidden/>
    <w:rsid w:val="001105F0"/>
    <w:rPr>
      <w:rFonts w:cs="Times New Roman"/>
      <w:color w:val="auto"/>
    </w:rPr>
  </w:style>
  <w:style w:type="paragraph" w:customStyle="1" w:styleId="CM14">
    <w:name w:val="CM14"/>
    <w:basedOn w:val="Default"/>
    <w:next w:val="Default"/>
    <w:semiHidden/>
    <w:rsid w:val="001105F0"/>
    <w:pPr>
      <w:spacing w:line="260" w:lineRule="atLeast"/>
    </w:pPr>
    <w:rPr>
      <w:rFonts w:cs="Times New Roman"/>
      <w:color w:val="auto"/>
    </w:rPr>
  </w:style>
  <w:style w:type="paragraph" w:customStyle="1" w:styleId="CM15">
    <w:name w:val="CM15"/>
    <w:basedOn w:val="Default"/>
    <w:next w:val="Default"/>
    <w:semiHidden/>
    <w:rsid w:val="001105F0"/>
    <w:pPr>
      <w:spacing w:line="260" w:lineRule="atLeast"/>
    </w:pPr>
    <w:rPr>
      <w:rFonts w:cs="Times New Roman"/>
      <w:color w:val="auto"/>
    </w:rPr>
  </w:style>
  <w:style w:type="paragraph" w:customStyle="1" w:styleId="CM41">
    <w:name w:val="CM41"/>
    <w:basedOn w:val="Default"/>
    <w:next w:val="Default"/>
    <w:semiHidden/>
    <w:rsid w:val="001105F0"/>
    <w:rPr>
      <w:rFonts w:cs="Times New Roman"/>
      <w:color w:val="auto"/>
    </w:rPr>
  </w:style>
  <w:style w:type="paragraph" w:customStyle="1" w:styleId="CM16">
    <w:name w:val="CM16"/>
    <w:basedOn w:val="Default"/>
    <w:next w:val="Default"/>
    <w:semiHidden/>
    <w:rsid w:val="001105F0"/>
    <w:pPr>
      <w:spacing w:line="211" w:lineRule="atLeast"/>
    </w:pPr>
    <w:rPr>
      <w:rFonts w:cs="Times New Roman"/>
      <w:color w:val="auto"/>
    </w:rPr>
  </w:style>
  <w:style w:type="paragraph" w:customStyle="1" w:styleId="CM19">
    <w:name w:val="CM19"/>
    <w:basedOn w:val="Default"/>
    <w:next w:val="Default"/>
    <w:semiHidden/>
    <w:rsid w:val="001105F0"/>
    <w:pPr>
      <w:spacing w:line="260" w:lineRule="atLeast"/>
    </w:pPr>
    <w:rPr>
      <w:rFonts w:cs="Times New Roman"/>
      <w:color w:val="auto"/>
    </w:rPr>
  </w:style>
  <w:style w:type="paragraph" w:customStyle="1" w:styleId="CM20">
    <w:name w:val="CM20"/>
    <w:basedOn w:val="Default"/>
    <w:next w:val="Default"/>
    <w:semiHidden/>
    <w:rsid w:val="001105F0"/>
    <w:pPr>
      <w:spacing w:line="260" w:lineRule="atLeast"/>
    </w:pPr>
    <w:rPr>
      <w:rFonts w:cs="Times New Roman"/>
      <w:color w:val="auto"/>
    </w:rPr>
  </w:style>
  <w:style w:type="paragraph" w:customStyle="1" w:styleId="CM21">
    <w:name w:val="CM21"/>
    <w:basedOn w:val="Default"/>
    <w:next w:val="Default"/>
    <w:semiHidden/>
    <w:rsid w:val="001105F0"/>
    <w:pPr>
      <w:spacing w:line="260" w:lineRule="atLeast"/>
    </w:pPr>
    <w:rPr>
      <w:rFonts w:cs="Times New Roman"/>
      <w:color w:val="auto"/>
    </w:rPr>
  </w:style>
  <w:style w:type="paragraph" w:customStyle="1" w:styleId="CM22">
    <w:name w:val="CM22"/>
    <w:basedOn w:val="Default"/>
    <w:next w:val="Default"/>
    <w:semiHidden/>
    <w:rsid w:val="001105F0"/>
    <w:pPr>
      <w:spacing w:line="211" w:lineRule="atLeast"/>
    </w:pPr>
    <w:rPr>
      <w:rFonts w:cs="Times New Roman"/>
      <w:color w:val="auto"/>
    </w:rPr>
  </w:style>
  <w:style w:type="paragraph" w:customStyle="1" w:styleId="CM44">
    <w:name w:val="CM44"/>
    <w:basedOn w:val="Default"/>
    <w:next w:val="Default"/>
    <w:semiHidden/>
    <w:rsid w:val="001105F0"/>
    <w:rPr>
      <w:rFonts w:cs="Times New Roman"/>
      <w:color w:val="auto"/>
    </w:rPr>
  </w:style>
  <w:style w:type="paragraph" w:customStyle="1" w:styleId="CM18">
    <w:name w:val="CM18"/>
    <w:basedOn w:val="Default"/>
    <w:next w:val="Default"/>
    <w:semiHidden/>
    <w:rsid w:val="001105F0"/>
    <w:pPr>
      <w:spacing w:line="260" w:lineRule="atLeast"/>
    </w:pPr>
    <w:rPr>
      <w:rFonts w:cs="Times New Roman"/>
      <w:color w:val="auto"/>
    </w:rPr>
  </w:style>
  <w:style w:type="paragraph" w:customStyle="1" w:styleId="CM43">
    <w:name w:val="CM43"/>
    <w:basedOn w:val="Default"/>
    <w:next w:val="Default"/>
    <w:semiHidden/>
    <w:rsid w:val="001105F0"/>
    <w:rPr>
      <w:rFonts w:cs="Times New Roman"/>
      <w:color w:val="auto"/>
    </w:rPr>
  </w:style>
  <w:style w:type="paragraph" w:customStyle="1" w:styleId="CM23">
    <w:name w:val="CM23"/>
    <w:basedOn w:val="Default"/>
    <w:next w:val="Default"/>
    <w:semiHidden/>
    <w:rsid w:val="001105F0"/>
    <w:pPr>
      <w:spacing w:line="211" w:lineRule="atLeast"/>
    </w:pPr>
    <w:rPr>
      <w:rFonts w:cs="Times New Roman"/>
      <w:color w:val="auto"/>
    </w:rPr>
  </w:style>
  <w:style w:type="paragraph" w:customStyle="1" w:styleId="CM25">
    <w:name w:val="CM25"/>
    <w:basedOn w:val="Default"/>
    <w:next w:val="Default"/>
    <w:semiHidden/>
    <w:rsid w:val="001105F0"/>
    <w:pPr>
      <w:spacing w:line="260" w:lineRule="atLeast"/>
    </w:pPr>
    <w:rPr>
      <w:rFonts w:cs="Times New Roman"/>
      <w:color w:val="auto"/>
    </w:rPr>
  </w:style>
  <w:style w:type="paragraph" w:customStyle="1" w:styleId="CM40">
    <w:name w:val="CM40"/>
    <w:basedOn w:val="Default"/>
    <w:next w:val="Default"/>
    <w:semiHidden/>
    <w:rsid w:val="001105F0"/>
    <w:rPr>
      <w:rFonts w:cs="Times New Roman"/>
      <w:color w:val="auto"/>
    </w:rPr>
  </w:style>
  <w:style w:type="paragraph" w:customStyle="1" w:styleId="CM42">
    <w:name w:val="CM42"/>
    <w:basedOn w:val="Default"/>
    <w:next w:val="Default"/>
    <w:semiHidden/>
    <w:rsid w:val="001105F0"/>
    <w:rPr>
      <w:rFonts w:cs="Times New Roman"/>
      <w:color w:val="auto"/>
    </w:rPr>
  </w:style>
  <w:style w:type="paragraph" w:customStyle="1" w:styleId="CM45">
    <w:name w:val="CM45"/>
    <w:basedOn w:val="Default"/>
    <w:next w:val="Default"/>
    <w:semiHidden/>
    <w:rsid w:val="001105F0"/>
    <w:rPr>
      <w:rFonts w:cs="Times New Roman"/>
      <w:color w:val="auto"/>
    </w:rPr>
  </w:style>
  <w:style w:type="paragraph" w:customStyle="1" w:styleId="CM31">
    <w:name w:val="CM31"/>
    <w:basedOn w:val="Default"/>
    <w:next w:val="Default"/>
    <w:semiHidden/>
    <w:rsid w:val="001105F0"/>
    <w:pPr>
      <w:spacing w:line="260" w:lineRule="atLeast"/>
    </w:pPr>
    <w:rPr>
      <w:rFonts w:cs="Times New Roman"/>
      <w:color w:val="auto"/>
    </w:rPr>
  </w:style>
  <w:style w:type="paragraph" w:customStyle="1" w:styleId="CM33">
    <w:name w:val="CM33"/>
    <w:basedOn w:val="Default"/>
    <w:next w:val="Default"/>
    <w:semiHidden/>
    <w:rsid w:val="001105F0"/>
    <w:pPr>
      <w:spacing w:line="211" w:lineRule="atLeast"/>
    </w:pPr>
    <w:rPr>
      <w:rFonts w:cs="Times New Roman"/>
      <w:color w:val="auto"/>
    </w:rPr>
  </w:style>
  <w:style w:type="paragraph" w:customStyle="1" w:styleId="CM34">
    <w:name w:val="CM34"/>
    <w:basedOn w:val="Default"/>
    <w:next w:val="Default"/>
    <w:semiHidden/>
    <w:rsid w:val="001105F0"/>
    <w:pPr>
      <w:spacing w:line="260" w:lineRule="atLeast"/>
    </w:pPr>
    <w:rPr>
      <w:rFonts w:cs="Times New Roman"/>
      <w:color w:val="auto"/>
    </w:rPr>
  </w:style>
  <w:style w:type="paragraph" w:customStyle="1" w:styleId="CM35">
    <w:name w:val="CM35"/>
    <w:basedOn w:val="Default"/>
    <w:next w:val="Default"/>
    <w:semiHidden/>
    <w:rsid w:val="001105F0"/>
    <w:pPr>
      <w:spacing w:line="331" w:lineRule="atLeast"/>
    </w:pPr>
    <w:rPr>
      <w:rFonts w:cs="Times New Roman"/>
      <w:color w:val="auto"/>
    </w:rPr>
  </w:style>
  <w:style w:type="table" w:styleId="TableGrid">
    <w:name w:val="Table Grid"/>
    <w:basedOn w:val="TableNormal"/>
    <w:rsid w:val="00B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rsid w:val="00C11284"/>
    <w:pPr>
      <w:numPr>
        <w:numId w:val="1"/>
      </w:numPr>
      <w:spacing w:after="240"/>
    </w:pPr>
  </w:style>
  <w:style w:type="paragraph" w:styleId="Footer">
    <w:name w:val="footer"/>
    <w:link w:val="FooterChar"/>
    <w:uiPriority w:val="99"/>
    <w:rsid w:val="00B3389D"/>
    <w:pPr>
      <w:tabs>
        <w:tab w:val="center" w:pos="4320"/>
        <w:tab w:val="right" w:pos="8640"/>
      </w:tabs>
      <w:jc w:val="center"/>
    </w:pPr>
    <w:rPr>
      <w:szCs w:val="24"/>
    </w:rPr>
  </w:style>
  <w:style w:type="paragraph" w:styleId="Header">
    <w:name w:val="header"/>
    <w:basedOn w:val="Normal"/>
    <w:link w:val="HeaderChar"/>
    <w:uiPriority w:val="99"/>
    <w:rsid w:val="00C11284"/>
    <w:pPr>
      <w:tabs>
        <w:tab w:val="center" w:pos="4320"/>
        <w:tab w:val="right" w:pos="8640"/>
      </w:tabs>
    </w:pPr>
  </w:style>
  <w:style w:type="paragraph" w:customStyle="1" w:styleId="MainSubtitle">
    <w:name w:val="Main Subtitle"/>
    <w:rsid w:val="00EF4F2B"/>
    <w:pPr>
      <w:widowControl w:val="0"/>
      <w:autoSpaceDE w:val="0"/>
      <w:autoSpaceDN w:val="0"/>
      <w:adjustRightInd w:val="0"/>
      <w:spacing w:after="255" w:line="228" w:lineRule="atLeast"/>
      <w:jc w:val="center"/>
    </w:pPr>
    <w:rPr>
      <w:rFonts w:ascii="Arial" w:hAnsi="Arial" w:cs="Arial"/>
      <w:i/>
      <w:iCs/>
      <w:color w:val="000000"/>
    </w:rPr>
  </w:style>
  <w:style w:type="paragraph" w:customStyle="1" w:styleId="MainTitle">
    <w:name w:val="Main Title"/>
    <w:rsid w:val="00EF4F2B"/>
    <w:pPr>
      <w:widowControl w:val="0"/>
      <w:autoSpaceDE w:val="0"/>
      <w:autoSpaceDN w:val="0"/>
      <w:adjustRightInd w:val="0"/>
      <w:jc w:val="center"/>
    </w:pPr>
    <w:rPr>
      <w:rFonts w:ascii="Arial" w:hAnsi="Arial" w:cs="Arial"/>
      <w:b/>
      <w:bCs/>
      <w:color w:val="000000"/>
      <w:sz w:val="32"/>
      <w:szCs w:val="32"/>
    </w:rPr>
  </w:style>
  <w:style w:type="paragraph" w:customStyle="1" w:styleId="Para">
    <w:name w:val="Para"/>
    <w:rsid w:val="00EF4F2B"/>
    <w:pPr>
      <w:autoSpaceDE w:val="0"/>
      <w:autoSpaceDN w:val="0"/>
      <w:adjustRightInd w:val="0"/>
      <w:spacing w:after="240"/>
      <w:ind w:firstLine="720"/>
    </w:pPr>
  </w:style>
  <w:style w:type="paragraph" w:styleId="Subtitle">
    <w:name w:val="Subtitle"/>
    <w:qFormat/>
    <w:rsid w:val="00EF4F2B"/>
    <w:pPr>
      <w:keepNext/>
      <w:widowControl w:val="0"/>
      <w:autoSpaceDE w:val="0"/>
      <w:autoSpaceDN w:val="0"/>
      <w:adjustRightInd w:val="0"/>
      <w:spacing w:after="240"/>
    </w:pPr>
    <w:rPr>
      <w:b/>
      <w:bCs/>
      <w:sz w:val="24"/>
      <w:szCs w:val="24"/>
    </w:rPr>
  </w:style>
  <w:style w:type="table" w:customStyle="1" w:styleId="TableNRC">
    <w:name w:val="Table NRC"/>
    <w:basedOn w:val="TableNormal"/>
    <w:rsid w:val="00C11284"/>
    <w:tblP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
    <w:tblStylePr w:type="firstRow">
      <w:pPr>
        <w:jc w:val="center"/>
      </w:pPr>
      <w:rPr>
        <w:b/>
      </w:rPr>
      <w:tblPr/>
      <w:tcPr>
        <w:tcBorders>
          <w:top w:val="double" w:sz="6" w:space="0" w:color="auto"/>
          <w:left w:val="double" w:sz="6" w:space="0" w:color="auto"/>
          <w:bottom w:val="double" w:sz="6" w:space="0" w:color="auto"/>
          <w:right w:val="double" w:sz="6" w:space="0" w:color="auto"/>
          <w:insideH w:val="single" w:sz="8" w:space="0" w:color="auto"/>
          <w:insideV w:val="single" w:sz="8" w:space="0" w:color="auto"/>
        </w:tcBorders>
        <w:vAlign w:val="bottom"/>
      </w:tcPr>
    </w:tblStylePr>
  </w:style>
  <w:style w:type="paragraph" w:customStyle="1" w:styleId="TableCaption">
    <w:name w:val="TableCaption"/>
    <w:rsid w:val="00C11284"/>
    <w:pPr>
      <w:keepNext/>
      <w:jc w:val="center"/>
    </w:pPr>
    <w:rPr>
      <w:b/>
      <w:bCs/>
    </w:rPr>
  </w:style>
  <w:style w:type="paragraph" w:customStyle="1" w:styleId="Title14">
    <w:name w:val="Title14"/>
    <w:rsid w:val="00EF4F2B"/>
    <w:pPr>
      <w:jc w:val="center"/>
    </w:pPr>
    <w:rPr>
      <w:rFonts w:ascii="Arial" w:hAnsi="Arial" w:cs="Arial"/>
      <w:b/>
      <w:sz w:val="28"/>
      <w:szCs w:val="28"/>
    </w:rPr>
  </w:style>
  <w:style w:type="paragraph" w:customStyle="1" w:styleId="ALevel">
    <w:name w:val="A Level"/>
    <w:link w:val="ALevelChar"/>
    <w:rsid w:val="00086EB3"/>
    <w:pPr>
      <w:keepNext/>
      <w:widowControl w:val="0"/>
      <w:tabs>
        <w:tab w:val="left" w:pos="540"/>
      </w:tabs>
      <w:autoSpaceDE w:val="0"/>
      <w:autoSpaceDN w:val="0"/>
      <w:adjustRightInd w:val="0"/>
      <w:spacing w:before="240" w:after="255"/>
      <w:jc w:val="center"/>
    </w:pPr>
    <w:rPr>
      <w:b/>
      <w:bCs/>
      <w:color w:val="000000"/>
      <w:sz w:val="28"/>
      <w:szCs w:val="28"/>
    </w:rPr>
  </w:style>
  <w:style w:type="character" w:styleId="PageNumber">
    <w:name w:val="page number"/>
    <w:basedOn w:val="DefaultParagraphFont"/>
    <w:rsid w:val="00D038D0"/>
  </w:style>
  <w:style w:type="paragraph" w:customStyle="1" w:styleId="Para-n">
    <w:name w:val="Para-n"/>
    <w:basedOn w:val="Para"/>
    <w:rsid w:val="00A42449"/>
    <w:pPr>
      <w:tabs>
        <w:tab w:val="num" w:pos="720"/>
      </w:tabs>
      <w:ind w:left="720" w:hanging="720"/>
    </w:pPr>
  </w:style>
  <w:style w:type="paragraph" w:styleId="FootnoteText">
    <w:name w:val="footnote text"/>
    <w:basedOn w:val="Normal"/>
    <w:link w:val="FootnoteTextChar"/>
    <w:rsid w:val="00A9666E"/>
    <w:pPr>
      <w:ind w:left="720" w:hanging="720"/>
    </w:pPr>
    <w:rPr>
      <w:sz w:val="18"/>
      <w:szCs w:val="18"/>
    </w:rPr>
  </w:style>
  <w:style w:type="character" w:styleId="FootnoteReference">
    <w:name w:val="footnote reference"/>
    <w:uiPriority w:val="99"/>
    <w:rsid w:val="00A9666E"/>
    <w:rPr>
      <w:vertAlign w:val="superscript"/>
    </w:rPr>
  </w:style>
  <w:style w:type="paragraph" w:customStyle="1" w:styleId="B2L2">
    <w:name w:val="B2L2"/>
    <w:basedOn w:val="Para-n"/>
    <w:rsid w:val="006D134A"/>
    <w:pPr>
      <w:numPr>
        <w:ilvl w:val="1"/>
        <w:numId w:val="2"/>
      </w:numPr>
      <w:tabs>
        <w:tab w:val="clear" w:pos="1800"/>
        <w:tab w:val="num" w:pos="1440"/>
      </w:tabs>
      <w:ind w:left="1440"/>
    </w:pPr>
  </w:style>
  <w:style w:type="paragraph" w:customStyle="1" w:styleId="PN2">
    <w:name w:val="PN2"/>
    <w:basedOn w:val="Default"/>
    <w:rsid w:val="00684EC7"/>
    <w:pPr>
      <w:numPr>
        <w:numId w:val="3"/>
      </w:numPr>
      <w:tabs>
        <w:tab w:val="clear" w:pos="2160"/>
        <w:tab w:val="num" w:pos="1440"/>
      </w:tabs>
      <w:spacing w:after="240"/>
      <w:ind w:left="1440"/>
    </w:pPr>
    <w:rPr>
      <w:rFonts w:ascii="Times New Roman" w:hAnsi="Times New Roman" w:cs="Times New Roman"/>
      <w:sz w:val="22"/>
      <w:szCs w:val="22"/>
    </w:rPr>
  </w:style>
  <w:style w:type="paragraph" w:customStyle="1" w:styleId="Refs">
    <w:name w:val="Refs"/>
    <w:basedOn w:val="CM7"/>
    <w:rsid w:val="00974980"/>
    <w:pPr>
      <w:widowControl/>
      <w:numPr>
        <w:numId w:val="4"/>
      </w:numPr>
      <w:spacing w:after="240"/>
    </w:pPr>
    <w:rPr>
      <w:rFonts w:ascii="Times New Roman" w:hAnsi="Times New Roman"/>
      <w:color w:val="000000"/>
      <w:sz w:val="22"/>
      <w:szCs w:val="22"/>
    </w:rPr>
  </w:style>
  <w:style w:type="paragraph" w:customStyle="1" w:styleId="TNR14">
    <w:name w:val="TNR 14"/>
    <w:rsid w:val="00CE06EB"/>
    <w:pPr>
      <w:spacing w:after="240"/>
      <w:jc w:val="center"/>
    </w:pPr>
    <w:rPr>
      <w:b/>
      <w:caps/>
      <w:sz w:val="28"/>
      <w:szCs w:val="28"/>
    </w:rPr>
  </w:style>
  <w:style w:type="paragraph" w:styleId="TOC1">
    <w:name w:val="toc 1"/>
    <w:next w:val="Normal"/>
    <w:autoRedefine/>
    <w:uiPriority w:val="39"/>
    <w:rsid w:val="00155A15"/>
    <w:pPr>
      <w:tabs>
        <w:tab w:val="left" w:pos="360"/>
        <w:tab w:val="right" w:leader="dot" w:pos="9360"/>
      </w:tabs>
    </w:pPr>
    <w:rPr>
      <w:noProof/>
      <w:sz w:val="28"/>
      <w:szCs w:val="28"/>
    </w:rPr>
  </w:style>
  <w:style w:type="paragraph" w:styleId="TOC2">
    <w:name w:val="toc 2"/>
    <w:next w:val="Normal"/>
    <w:autoRedefine/>
    <w:uiPriority w:val="39"/>
    <w:rsid w:val="00BD1150"/>
    <w:pPr>
      <w:tabs>
        <w:tab w:val="left" w:pos="720"/>
        <w:tab w:val="left" w:pos="1440"/>
        <w:tab w:val="right" w:leader="dot" w:pos="9360"/>
      </w:tabs>
      <w:ind w:left="720"/>
    </w:pPr>
    <w:rPr>
      <w:noProof/>
    </w:rPr>
  </w:style>
  <w:style w:type="paragraph" w:styleId="TOC3">
    <w:name w:val="toc 3"/>
    <w:next w:val="Normal"/>
    <w:autoRedefine/>
    <w:uiPriority w:val="39"/>
    <w:rsid w:val="00B247F1"/>
    <w:pPr>
      <w:tabs>
        <w:tab w:val="left" w:pos="1440"/>
        <w:tab w:val="right" w:leader="dot" w:pos="9350"/>
      </w:tabs>
      <w:ind w:left="1440" w:right="1980" w:hanging="720"/>
    </w:pPr>
    <w:rPr>
      <w:noProof/>
    </w:rPr>
  </w:style>
  <w:style w:type="paragraph" w:customStyle="1" w:styleId="PN2a">
    <w:name w:val="PN2a"/>
    <w:rsid w:val="009A2257"/>
    <w:pPr>
      <w:numPr>
        <w:numId w:val="5"/>
      </w:numPr>
      <w:spacing w:after="240"/>
    </w:pPr>
    <w:rPr>
      <w:color w:val="000000"/>
    </w:rPr>
  </w:style>
  <w:style w:type="paragraph" w:customStyle="1" w:styleId="Pm">
    <w:name w:val="Pm"/>
    <w:basedOn w:val="CM36"/>
    <w:rsid w:val="00E17478"/>
    <w:pPr>
      <w:widowControl/>
      <w:spacing w:after="240"/>
    </w:pPr>
    <w:rPr>
      <w:rFonts w:ascii="Times New Roman" w:hAnsi="Times New Roman"/>
      <w:bCs/>
      <w:color w:val="000000"/>
      <w:sz w:val="22"/>
      <w:szCs w:val="22"/>
    </w:rPr>
  </w:style>
  <w:style w:type="paragraph" w:customStyle="1" w:styleId="TNR14-n">
    <w:name w:val="TNR 14-n"/>
    <w:rsid w:val="001D3F9C"/>
    <w:pPr>
      <w:keepNext/>
      <w:spacing w:after="240"/>
      <w:jc w:val="center"/>
    </w:pPr>
    <w:rPr>
      <w:b/>
      <w:sz w:val="28"/>
      <w:szCs w:val="28"/>
    </w:rPr>
  </w:style>
  <w:style w:type="paragraph" w:styleId="TOC4">
    <w:name w:val="toc 4"/>
    <w:next w:val="Normal"/>
    <w:autoRedefine/>
    <w:semiHidden/>
    <w:rsid w:val="00375654"/>
    <w:pPr>
      <w:tabs>
        <w:tab w:val="left" w:pos="2160"/>
        <w:tab w:val="right" w:leader="dot" w:pos="9350"/>
      </w:tabs>
      <w:ind w:left="1440"/>
    </w:pPr>
    <w:rPr>
      <w:noProof/>
    </w:rPr>
  </w:style>
  <w:style w:type="paragraph" w:styleId="TOC5">
    <w:name w:val="toc 5"/>
    <w:basedOn w:val="Normal"/>
    <w:next w:val="Normal"/>
    <w:autoRedefine/>
    <w:semiHidden/>
    <w:rsid w:val="001B7CC0"/>
    <w:pPr>
      <w:tabs>
        <w:tab w:val="right" w:leader="dot" w:pos="9350"/>
      </w:tabs>
      <w:spacing w:before="240"/>
      <w:ind w:left="960"/>
    </w:pPr>
    <w:rPr>
      <w:noProof/>
    </w:rPr>
  </w:style>
  <w:style w:type="paragraph" w:customStyle="1" w:styleId="Para-n1">
    <w:name w:val="Para-n1"/>
    <w:basedOn w:val="Para-n"/>
    <w:rsid w:val="00F50F13"/>
    <w:pPr>
      <w:numPr>
        <w:numId w:val="6"/>
      </w:numPr>
      <w:spacing w:after="0"/>
    </w:pPr>
  </w:style>
  <w:style w:type="character" w:styleId="Hyperlink">
    <w:name w:val="Hyperlink"/>
    <w:uiPriority w:val="99"/>
    <w:rsid w:val="00F50F13"/>
    <w:rPr>
      <w:color w:val="0000FF"/>
      <w:u w:val="single"/>
    </w:rPr>
  </w:style>
  <w:style w:type="character" w:styleId="FollowedHyperlink">
    <w:name w:val="FollowedHyperlink"/>
    <w:rsid w:val="00F95EB1"/>
    <w:rPr>
      <w:color w:val="800080"/>
      <w:u w:val="single"/>
    </w:rPr>
  </w:style>
  <w:style w:type="paragraph" w:customStyle="1" w:styleId="Gloss">
    <w:name w:val="Gloss"/>
    <w:basedOn w:val="Pm"/>
    <w:rsid w:val="00056EFF"/>
    <w:pPr>
      <w:ind w:left="720" w:hanging="720"/>
    </w:pPr>
  </w:style>
  <w:style w:type="paragraph" w:customStyle="1" w:styleId="CM17">
    <w:name w:val="CM17"/>
    <w:basedOn w:val="Normal"/>
    <w:next w:val="Normal"/>
    <w:rsid w:val="0056151F"/>
    <w:pPr>
      <w:widowControl w:val="0"/>
      <w:autoSpaceDE w:val="0"/>
      <w:autoSpaceDN w:val="0"/>
      <w:adjustRightInd w:val="0"/>
    </w:pPr>
    <w:rPr>
      <w:rFonts w:ascii="Arial" w:hAnsi="Arial"/>
    </w:rPr>
  </w:style>
  <w:style w:type="paragraph" w:customStyle="1" w:styleId="bullet">
    <w:name w:val="bullet"/>
    <w:basedOn w:val="Default"/>
    <w:rsid w:val="00951FBF"/>
    <w:pPr>
      <w:numPr>
        <w:numId w:val="7"/>
      </w:numPr>
      <w:tabs>
        <w:tab w:val="clear" w:pos="216"/>
        <w:tab w:val="num" w:pos="720"/>
      </w:tabs>
      <w:ind w:left="720" w:hanging="720"/>
    </w:pPr>
    <w:rPr>
      <w:rFonts w:ascii="Times New Roman" w:hAnsi="Times New Roman" w:cs="Times New Roman"/>
      <w:sz w:val="22"/>
      <w:szCs w:val="22"/>
    </w:rPr>
  </w:style>
  <w:style w:type="paragraph" w:customStyle="1" w:styleId="Ba1">
    <w:name w:val="Ba1"/>
    <w:basedOn w:val="Normal"/>
    <w:rsid w:val="0066735A"/>
    <w:pPr>
      <w:numPr>
        <w:numId w:val="8"/>
      </w:numPr>
    </w:pPr>
  </w:style>
  <w:style w:type="paragraph" w:customStyle="1" w:styleId="Ba2">
    <w:name w:val="Ba2"/>
    <w:basedOn w:val="Ba1"/>
    <w:rsid w:val="006A0331"/>
    <w:pPr>
      <w:spacing w:after="240"/>
    </w:pPr>
  </w:style>
  <w:style w:type="paragraph" w:styleId="BalloonText">
    <w:name w:val="Balloon Text"/>
    <w:basedOn w:val="Normal"/>
    <w:semiHidden/>
    <w:rsid w:val="00B52F36"/>
    <w:rPr>
      <w:rFonts w:ascii="Tahoma" w:hAnsi="Tahoma" w:cs="Tahoma"/>
      <w:sz w:val="16"/>
      <w:szCs w:val="16"/>
    </w:rPr>
  </w:style>
  <w:style w:type="character" w:styleId="CommentReference">
    <w:name w:val="annotation reference"/>
    <w:semiHidden/>
    <w:rsid w:val="00B52F36"/>
    <w:rPr>
      <w:sz w:val="16"/>
      <w:szCs w:val="16"/>
    </w:rPr>
  </w:style>
  <w:style w:type="paragraph" w:styleId="CommentText">
    <w:name w:val="annotation text"/>
    <w:basedOn w:val="Normal"/>
    <w:link w:val="CommentTextChar"/>
    <w:semiHidden/>
    <w:rsid w:val="00B52F36"/>
    <w:rPr>
      <w:sz w:val="20"/>
    </w:rPr>
  </w:style>
  <w:style w:type="paragraph" w:styleId="CommentSubject">
    <w:name w:val="annotation subject"/>
    <w:basedOn w:val="CommentText"/>
    <w:next w:val="CommentText"/>
    <w:semiHidden/>
    <w:rsid w:val="00B52F36"/>
    <w:rPr>
      <w:b/>
      <w:bCs/>
    </w:rPr>
  </w:style>
  <w:style w:type="paragraph" w:customStyle="1" w:styleId="SubTitle0">
    <w:name w:val="Sub Title"/>
    <w:basedOn w:val="MainTitle"/>
    <w:rsid w:val="00DC38BA"/>
    <w:rPr>
      <w:rFonts w:cs="Times New Roman"/>
      <w:b w:val="0"/>
      <w:bCs w:val="0"/>
      <w:i/>
      <w:iCs/>
      <w:sz w:val="20"/>
      <w:szCs w:val="20"/>
    </w:rPr>
  </w:style>
  <w:style w:type="character" w:customStyle="1" w:styleId="Hypertext">
    <w:name w:val="Hypertext"/>
    <w:rsid w:val="00DC38BA"/>
    <w:rPr>
      <w:color w:val="0000FF"/>
      <w:u w:val="single"/>
    </w:rPr>
  </w:style>
  <w:style w:type="paragraph" w:customStyle="1" w:styleId="Level1">
    <w:name w:val="Level 1"/>
    <w:basedOn w:val="Normal"/>
    <w:rsid w:val="00CA2B17"/>
    <w:pPr>
      <w:widowControl w:val="0"/>
      <w:autoSpaceDE w:val="0"/>
      <w:autoSpaceDN w:val="0"/>
      <w:adjustRightInd w:val="0"/>
      <w:ind w:left="720" w:hanging="720"/>
      <w:outlineLvl w:val="0"/>
    </w:pPr>
    <w:rPr>
      <w:sz w:val="24"/>
    </w:rPr>
  </w:style>
  <w:style w:type="paragraph" w:customStyle="1" w:styleId="Endash">
    <w:name w:val="En dash"/>
    <w:basedOn w:val="Normal"/>
    <w:rsid w:val="00CA2B17"/>
    <w:pPr>
      <w:widowControl w:val="0"/>
      <w:autoSpaceDE w:val="0"/>
      <w:autoSpaceDN w:val="0"/>
      <w:adjustRightInd w:val="0"/>
      <w:ind w:left="720" w:hanging="720"/>
    </w:pPr>
    <w:rPr>
      <w:sz w:val="24"/>
    </w:rPr>
  </w:style>
  <w:style w:type="paragraph" w:customStyle="1" w:styleId="1211Heading4">
    <w:name w:val="1.2.1.1 Heading 4"/>
    <w:basedOn w:val="Heading4"/>
    <w:rsid w:val="00CE524E"/>
    <w:rPr>
      <w:sz w:val="20"/>
      <w:u w:val="single"/>
    </w:rPr>
  </w:style>
  <w:style w:type="character" w:customStyle="1" w:styleId="ALevelChar">
    <w:name w:val="A Level Char"/>
    <w:link w:val="ALevel"/>
    <w:rsid w:val="00F40119"/>
    <w:rPr>
      <w:b/>
      <w:bCs/>
      <w:color w:val="000000"/>
      <w:sz w:val="28"/>
      <w:szCs w:val="28"/>
      <w:lang w:val="en-US" w:eastAsia="en-US" w:bidi="ar-SA"/>
    </w:rPr>
  </w:style>
  <w:style w:type="paragraph" w:customStyle="1" w:styleId="NRC-RG-BodyText">
    <w:name w:val="NRC-RG-BodyText"/>
    <w:basedOn w:val="Normal"/>
    <w:autoRedefine/>
    <w:rsid w:val="004826CE"/>
    <w:pPr>
      <w:autoSpaceDE w:val="0"/>
      <w:autoSpaceDN w:val="0"/>
      <w:adjustRightInd w:val="0"/>
    </w:pPr>
    <w:rPr>
      <w:i/>
      <w:sz w:val="28"/>
      <w:szCs w:val="28"/>
    </w:rPr>
  </w:style>
  <w:style w:type="paragraph" w:customStyle="1" w:styleId="StyleMainTitleBefore12pt">
    <w:name w:val="Style Main Title + Before:  12 pt"/>
    <w:basedOn w:val="MainTitle"/>
    <w:autoRedefine/>
    <w:rsid w:val="00001F9C"/>
    <w:pPr>
      <w:widowControl/>
    </w:pPr>
    <w:rPr>
      <w:rFonts w:cs="Times New Roman"/>
      <w:szCs w:val="20"/>
    </w:rPr>
  </w:style>
  <w:style w:type="character" w:customStyle="1" w:styleId="HeaderChar">
    <w:name w:val="Header Char"/>
    <w:link w:val="Header"/>
    <w:uiPriority w:val="99"/>
    <w:rsid w:val="00FD56AE"/>
    <w:rPr>
      <w:sz w:val="22"/>
      <w:szCs w:val="24"/>
    </w:rPr>
  </w:style>
  <w:style w:type="paragraph" w:styleId="ListParagraph">
    <w:name w:val="List Paragraph"/>
    <w:basedOn w:val="Normal"/>
    <w:link w:val="ListParagraphChar"/>
    <w:uiPriority w:val="34"/>
    <w:qFormat/>
    <w:rsid w:val="00F12A50"/>
    <w:pPr>
      <w:ind w:left="720"/>
      <w:contextualSpacing/>
    </w:pPr>
    <w:rPr>
      <w:sz w:val="24"/>
    </w:rPr>
  </w:style>
  <w:style w:type="character" w:customStyle="1" w:styleId="FootnoteTextChar">
    <w:name w:val="Footnote Text Char"/>
    <w:basedOn w:val="DefaultParagraphFont"/>
    <w:link w:val="FootnoteText"/>
    <w:rsid w:val="00981414"/>
    <w:rPr>
      <w:sz w:val="18"/>
      <w:szCs w:val="18"/>
    </w:rPr>
  </w:style>
  <w:style w:type="paragraph" w:styleId="TOCHeading">
    <w:name w:val="TOC Heading"/>
    <w:basedOn w:val="Heading1"/>
    <w:next w:val="Normal"/>
    <w:uiPriority w:val="39"/>
    <w:unhideWhenUsed/>
    <w:qFormat/>
    <w:rsid w:val="0048179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FooterChar">
    <w:name w:val="Footer Char"/>
    <w:basedOn w:val="DefaultParagraphFont"/>
    <w:link w:val="Footer"/>
    <w:uiPriority w:val="99"/>
    <w:rsid w:val="000D77E9"/>
    <w:rPr>
      <w:sz w:val="22"/>
      <w:szCs w:val="24"/>
    </w:rPr>
  </w:style>
  <w:style w:type="paragraph" w:styleId="NormalWeb">
    <w:name w:val="Normal (Web)"/>
    <w:basedOn w:val="Normal"/>
    <w:uiPriority w:val="99"/>
    <w:semiHidden/>
    <w:unhideWhenUsed/>
    <w:rsid w:val="00413E5C"/>
    <w:pPr>
      <w:spacing w:before="100" w:beforeAutospacing="1" w:after="100" w:afterAutospacing="1"/>
    </w:pPr>
    <w:rPr>
      <w:rFonts w:eastAsiaTheme="minorEastAsia"/>
      <w:sz w:val="24"/>
    </w:rPr>
  </w:style>
  <w:style w:type="character" w:styleId="Emphasis">
    <w:name w:val="Emphasis"/>
    <w:basedOn w:val="DefaultParagraphFont"/>
    <w:uiPriority w:val="20"/>
    <w:qFormat/>
    <w:rsid w:val="002A44B4"/>
    <w:rPr>
      <w:i/>
      <w:iCs/>
    </w:rPr>
  </w:style>
  <w:style w:type="paragraph" w:styleId="Revision">
    <w:name w:val="Revision"/>
    <w:hidden/>
    <w:uiPriority w:val="99"/>
    <w:semiHidden/>
    <w:rsid w:val="00F8223E"/>
  </w:style>
  <w:style w:type="table" w:customStyle="1" w:styleId="TableGrid2">
    <w:name w:val="Table Grid2"/>
    <w:basedOn w:val="TableNormal"/>
    <w:next w:val="TableGrid"/>
    <w:uiPriority w:val="39"/>
    <w:rsid w:val="00105FA3"/>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811A1"/>
    <w:rPr>
      <w:sz w:val="24"/>
    </w:rPr>
  </w:style>
  <w:style w:type="character" w:styleId="PlaceholderText">
    <w:name w:val="Placeholder Text"/>
    <w:basedOn w:val="DefaultParagraphFont"/>
    <w:uiPriority w:val="99"/>
    <w:semiHidden/>
    <w:rsid w:val="00D649B6"/>
    <w:rPr>
      <w:color w:val="808080"/>
    </w:rPr>
  </w:style>
  <w:style w:type="character" w:customStyle="1" w:styleId="CommentTextChar">
    <w:name w:val="Comment Text Char"/>
    <w:basedOn w:val="DefaultParagraphFont"/>
    <w:link w:val="CommentText"/>
    <w:semiHidden/>
    <w:rsid w:val="00C813DF"/>
    <w:rPr>
      <w:sz w:val="20"/>
    </w:rPr>
  </w:style>
  <w:style w:type="numbering" w:customStyle="1" w:styleId="Style1">
    <w:name w:val="Style1"/>
    <w:uiPriority w:val="99"/>
    <w:rsid w:val="00576624"/>
    <w:pPr>
      <w:numPr>
        <w:numId w:val="29"/>
      </w:numPr>
    </w:pPr>
  </w:style>
  <w:style w:type="character" w:styleId="UnresolvedMention">
    <w:name w:val="Unresolved Mention"/>
    <w:basedOn w:val="DefaultParagraphFont"/>
    <w:uiPriority w:val="99"/>
    <w:semiHidden/>
    <w:unhideWhenUsed/>
    <w:rsid w:val="00A8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02025">
      <w:bodyDiv w:val="1"/>
      <w:marLeft w:val="0"/>
      <w:marRight w:val="0"/>
      <w:marTop w:val="0"/>
      <w:marBottom w:val="0"/>
      <w:divBdr>
        <w:top w:val="none" w:sz="0" w:space="0" w:color="auto"/>
        <w:left w:val="none" w:sz="0" w:space="0" w:color="auto"/>
        <w:bottom w:val="none" w:sz="0" w:space="0" w:color="auto"/>
        <w:right w:val="none" w:sz="0" w:space="0" w:color="auto"/>
      </w:divBdr>
    </w:div>
    <w:div w:id="339890162">
      <w:bodyDiv w:val="1"/>
      <w:marLeft w:val="0"/>
      <w:marRight w:val="0"/>
      <w:marTop w:val="0"/>
      <w:marBottom w:val="0"/>
      <w:divBdr>
        <w:top w:val="none" w:sz="0" w:space="0" w:color="auto"/>
        <w:left w:val="none" w:sz="0" w:space="0" w:color="auto"/>
        <w:bottom w:val="none" w:sz="0" w:space="0" w:color="auto"/>
        <w:right w:val="none" w:sz="0" w:space="0" w:color="auto"/>
      </w:divBdr>
    </w:div>
    <w:div w:id="433718956">
      <w:bodyDiv w:val="1"/>
      <w:marLeft w:val="0"/>
      <w:marRight w:val="0"/>
      <w:marTop w:val="0"/>
      <w:marBottom w:val="0"/>
      <w:divBdr>
        <w:top w:val="none" w:sz="0" w:space="0" w:color="auto"/>
        <w:left w:val="none" w:sz="0" w:space="0" w:color="auto"/>
        <w:bottom w:val="none" w:sz="0" w:space="0" w:color="auto"/>
        <w:right w:val="none" w:sz="0" w:space="0" w:color="auto"/>
      </w:divBdr>
    </w:div>
    <w:div w:id="552229847">
      <w:bodyDiv w:val="1"/>
      <w:marLeft w:val="0"/>
      <w:marRight w:val="0"/>
      <w:marTop w:val="0"/>
      <w:marBottom w:val="0"/>
      <w:divBdr>
        <w:top w:val="none" w:sz="0" w:space="0" w:color="auto"/>
        <w:left w:val="none" w:sz="0" w:space="0" w:color="auto"/>
        <w:bottom w:val="none" w:sz="0" w:space="0" w:color="auto"/>
        <w:right w:val="none" w:sz="0" w:space="0" w:color="auto"/>
      </w:divBdr>
    </w:div>
    <w:div w:id="552809795">
      <w:bodyDiv w:val="1"/>
      <w:marLeft w:val="0"/>
      <w:marRight w:val="0"/>
      <w:marTop w:val="0"/>
      <w:marBottom w:val="0"/>
      <w:divBdr>
        <w:top w:val="none" w:sz="0" w:space="0" w:color="auto"/>
        <w:left w:val="none" w:sz="0" w:space="0" w:color="auto"/>
        <w:bottom w:val="none" w:sz="0" w:space="0" w:color="auto"/>
        <w:right w:val="none" w:sz="0" w:space="0" w:color="auto"/>
      </w:divBdr>
    </w:div>
    <w:div w:id="554388852">
      <w:bodyDiv w:val="1"/>
      <w:marLeft w:val="0"/>
      <w:marRight w:val="0"/>
      <w:marTop w:val="0"/>
      <w:marBottom w:val="0"/>
      <w:divBdr>
        <w:top w:val="none" w:sz="0" w:space="0" w:color="auto"/>
        <w:left w:val="none" w:sz="0" w:space="0" w:color="auto"/>
        <w:bottom w:val="none" w:sz="0" w:space="0" w:color="auto"/>
        <w:right w:val="none" w:sz="0" w:space="0" w:color="auto"/>
      </w:divBdr>
    </w:div>
    <w:div w:id="589972989">
      <w:bodyDiv w:val="1"/>
      <w:marLeft w:val="0"/>
      <w:marRight w:val="0"/>
      <w:marTop w:val="0"/>
      <w:marBottom w:val="0"/>
      <w:divBdr>
        <w:top w:val="none" w:sz="0" w:space="0" w:color="auto"/>
        <w:left w:val="none" w:sz="0" w:space="0" w:color="auto"/>
        <w:bottom w:val="none" w:sz="0" w:space="0" w:color="auto"/>
        <w:right w:val="none" w:sz="0" w:space="0" w:color="auto"/>
      </w:divBdr>
    </w:div>
    <w:div w:id="653411972">
      <w:bodyDiv w:val="1"/>
      <w:marLeft w:val="0"/>
      <w:marRight w:val="0"/>
      <w:marTop w:val="0"/>
      <w:marBottom w:val="0"/>
      <w:divBdr>
        <w:top w:val="none" w:sz="0" w:space="0" w:color="auto"/>
        <w:left w:val="none" w:sz="0" w:space="0" w:color="auto"/>
        <w:bottom w:val="none" w:sz="0" w:space="0" w:color="auto"/>
        <w:right w:val="none" w:sz="0" w:space="0" w:color="auto"/>
      </w:divBdr>
    </w:div>
    <w:div w:id="795680767">
      <w:bodyDiv w:val="1"/>
      <w:marLeft w:val="0"/>
      <w:marRight w:val="0"/>
      <w:marTop w:val="0"/>
      <w:marBottom w:val="0"/>
      <w:divBdr>
        <w:top w:val="none" w:sz="0" w:space="0" w:color="auto"/>
        <w:left w:val="none" w:sz="0" w:space="0" w:color="auto"/>
        <w:bottom w:val="none" w:sz="0" w:space="0" w:color="auto"/>
        <w:right w:val="none" w:sz="0" w:space="0" w:color="auto"/>
      </w:divBdr>
    </w:div>
    <w:div w:id="824856305">
      <w:bodyDiv w:val="1"/>
      <w:marLeft w:val="0"/>
      <w:marRight w:val="0"/>
      <w:marTop w:val="0"/>
      <w:marBottom w:val="0"/>
      <w:divBdr>
        <w:top w:val="none" w:sz="0" w:space="0" w:color="auto"/>
        <w:left w:val="none" w:sz="0" w:space="0" w:color="auto"/>
        <w:bottom w:val="none" w:sz="0" w:space="0" w:color="auto"/>
        <w:right w:val="none" w:sz="0" w:space="0" w:color="auto"/>
      </w:divBdr>
    </w:div>
    <w:div w:id="995954205">
      <w:bodyDiv w:val="1"/>
      <w:marLeft w:val="0"/>
      <w:marRight w:val="0"/>
      <w:marTop w:val="0"/>
      <w:marBottom w:val="0"/>
      <w:divBdr>
        <w:top w:val="none" w:sz="0" w:space="0" w:color="auto"/>
        <w:left w:val="none" w:sz="0" w:space="0" w:color="auto"/>
        <w:bottom w:val="none" w:sz="0" w:space="0" w:color="auto"/>
        <w:right w:val="none" w:sz="0" w:space="0" w:color="auto"/>
      </w:divBdr>
    </w:div>
    <w:div w:id="1004016395">
      <w:bodyDiv w:val="1"/>
      <w:marLeft w:val="0"/>
      <w:marRight w:val="0"/>
      <w:marTop w:val="0"/>
      <w:marBottom w:val="0"/>
      <w:divBdr>
        <w:top w:val="none" w:sz="0" w:space="0" w:color="auto"/>
        <w:left w:val="none" w:sz="0" w:space="0" w:color="auto"/>
        <w:bottom w:val="none" w:sz="0" w:space="0" w:color="auto"/>
        <w:right w:val="none" w:sz="0" w:space="0" w:color="auto"/>
      </w:divBdr>
    </w:div>
    <w:div w:id="1029523051">
      <w:bodyDiv w:val="1"/>
      <w:marLeft w:val="0"/>
      <w:marRight w:val="0"/>
      <w:marTop w:val="0"/>
      <w:marBottom w:val="0"/>
      <w:divBdr>
        <w:top w:val="none" w:sz="0" w:space="0" w:color="auto"/>
        <w:left w:val="none" w:sz="0" w:space="0" w:color="auto"/>
        <w:bottom w:val="none" w:sz="0" w:space="0" w:color="auto"/>
        <w:right w:val="none" w:sz="0" w:space="0" w:color="auto"/>
      </w:divBdr>
    </w:div>
    <w:div w:id="1077556902">
      <w:bodyDiv w:val="1"/>
      <w:marLeft w:val="0"/>
      <w:marRight w:val="0"/>
      <w:marTop w:val="0"/>
      <w:marBottom w:val="0"/>
      <w:divBdr>
        <w:top w:val="none" w:sz="0" w:space="0" w:color="auto"/>
        <w:left w:val="none" w:sz="0" w:space="0" w:color="auto"/>
        <w:bottom w:val="none" w:sz="0" w:space="0" w:color="auto"/>
        <w:right w:val="none" w:sz="0" w:space="0" w:color="auto"/>
      </w:divBdr>
    </w:div>
    <w:div w:id="1237007631">
      <w:bodyDiv w:val="1"/>
      <w:marLeft w:val="0"/>
      <w:marRight w:val="0"/>
      <w:marTop w:val="0"/>
      <w:marBottom w:val="0"/>
      <w:divBdr>
        <w:top w:val="none" w:sz="0" w:space="0" w:color="auto"/>
        <w:left w:val="none" w:sz="0" w:space="0" w:color="auto"/>
        <w:bottom w:val="none" w:sz="0" w:space="0" w:color="auto"/>
        <w:right w:val="none" w:sz="0" w:space="0" w:color="auto"/>
      </w:divBdr>
    </w:div>
    <w:div w:id="1357586214">
      <w:bodyDiv w:val="1"/>
      <w:marLeft w:val="0"/>
      <w:marRight w:val="0"/>
      <w:marTop w:val="0"/>
      <w:marBottom w:val="0"/>
      <w:divBdr>
        <w:top w:val="none" w:sz="0" w:space="0" w:color="auto"/>
        <w:left w:val="none" w:sz="0" w:space="0" w:color="auto"/>
        <w:bottom w:val="none" w:sz="0" w:space="0" w:color="auto"/>
        <w:right w:val="none" w:sz="0" w:space="0" w:color="auto"/>
      </w:divBdr>
    </w:div>
    <w:div w:id="1854879358">
      <w:bodyDiv w:val="1"/>
      <w:marLeft w:val="0"/>
      <w:marRight w:val="0"/>
      <w:marTop w:val="0"/>
      <w:marBottom w:val="0"/>
      <w:divBdr>
        <w:top w:val="none" w:sz="0" w:space="0" w:color="auto"/>
        <w:left w:val="none" w:sz="0" w:space="0" w:color="auto"/>
        <w:bottom w:val="none" w:sz="0" w:space="0" w:color="auto"/>
        <w:right w:val="none" w:sz="0" w:space="0" w:color="auto"/>
      </w:divBdr>
      <w:divsChild>
        <w:div w:id="1236743291">
          <w:marLeft w:val="0"/>
          <w:marRight w:val="0"/>
          <w:marTop w:val="0"/>
          <w:marBottom w:val="0"/>
          <w:divBdr>
            <w:top w:val="none" w:sz="0" w:space="0" w:color="auto"/>
            <w:left w:val="none" w:sz="0" w:space="0" w:color="auto"/>
            <w:bottom w:val="none" w:sz="0" w:space="0" w:color="auto"/>
            <w:right w:val="none" w:sz="0" w:space="0" w:color="auto"/>
          </w:divBdr>
          <w:divsChild>
            <w:div w:id="14783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contact-us/field-offices" TargetMode="External"/><Relationship Id="rId18" Type="http://schemas.openxmlformats.org/officeDocument/2006/relationships/hyperlink" Target="https://www.faa.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oira_submission@omb.eop.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llects.Resource@nrc.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https://nrcweb.nrc.gov/reading-rm/doc-collections/reg-guides/" TargetMode="External"/><Relationship Id="rId2" Type="http://schemas.openxmlformats.org/officeDocument/2006/relationships/hyperlink" Target="https://nrcweb.nrc.gov/reading-rm/doc-collections/reg-guides/contactus.html" TargetMode="External"/><Relationship Id="rId1" Type="http://schemas.openxmlformats.org/officeDocument/2006/relationships/hyperlink" Target="https://nrcweb.nrc.gov/reading-rm/doc-collections/reg-guides/" TargetMode="External"/><Relationship Id="rId4" Type="http://schemas.openxmlformats.org/officeDocument/2006/relationships/hyperlink" Target="https://www.nrc.gov/reading-rm/ada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s://www.nrc.gov/reading-rm/adams.html" TargetMode="External"/><Relationship Id="rId1" Type="http://schemas.openxmlformats.org/officeDocument/2006/relationships/hyperlink" Target="https://www.nrc.gov/reading-rm/doc-collections/reg-guides/contactus.html" TargetMode="External"/><Relationship Id="rId5" Type="http://schemas.openxmlformats.org/officeDocument/2006/relationships/hyperlink" Target="http://www.landings.com/" TargetMode="External"/><Relationship Id="rId4" Type="http://schemas.openxmlformats.org/officeDocument/2006/relationships/hyperlink" Target="https://www.faa.gov/licenses_certificates/airmen_certific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33B5E.C25919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5E4182BF399C4D82AC0CDCD5D75027" ma:contentTypeVersion="13" ma:contentTypeDescription="Create a new document." ma:contentTypeScope="" ma:versionID="a8afb7dc57f770bcfef0c8f02bc96278">
  <xsd:schema xmlns:xsd="http://www.w3.org/2001/XMLSchema" xmlns:xs="http://www.w3.org/2001/XMLSchema" xmlns:p="http://schemas.microsoft.com/office/2006/metadata/properties" xmlns:ns1="http://schemas.microsoft.com/sharepoint/v3" xmlns:ns3="6c4596b4-deaa-4e42-9398-8b9d3202fd30" xmlns:ns4="e5e4a380-6b1d-49f3-b23f-4727291aff80" targetNamespace="http://schemas.microsoft.com/office/2006/metadata/properties" ma:root="true" ma:fieldsID="e643a66fa28415033213ca5ff2038eb6" ns1:_="" ns3:_="" ns4:_="">
    <xsd:import namespace="http://schemas.microsoft.com/sharepoint/v3"/>
    <xsd:import namespace="6c4596b4-deaa-4e42-9398-8b9d3202fd30"/>
    <xsd:import namespace="e5e4a380-6b1d-49f3-b23f-4727291aff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596b4-deaa-4e42-9398-8b9d3202f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e4a380-6b1d-49f3-b23f-4727291aff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34F57-3BFC-469F-919C-4FD9A2BF632E}">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15D7ABA-A9F2-413E-B01E-B27B4962E357}">
  <ds:schemaRefs>
    <ds:schemaRef ds:uri="http://schemas.microsoft.com/sharepoint/v3/contenttype/forms"/>
  </ds:schemaRefs>
</ds:datastoreItem>
</file>

<file path=customXml/itemProps3.xml><?xml version="1.0" encoding="utf-8"?>
<ds:datastoreItem xmlns:ds="http://schemas.openxmlformats.org/officeDocument/2006/customXml" ds:itemID="{1FAE5DC5-0C67-4EEC-BAAA-B8992EFFB2C3}">
  <ds:schemaRefs>
    <ds:schemaRef ds:uri="http://schemas.openxmlformats.org/officeDocument/2006/bibliography"/>
  </ds:schemaRefs>
</ds:datastoreItem>
</file>

<file path=customXml/itemProps4.xml><?xml version="1.0" encoding="utf-8"?>
<ds:datastoreItem xmlns:ds="http://schemas.openxmlformats.org/officeDocument/2006/customXml" ds:itemID="{A28B4910-8743-42EB-8523-35178C98B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4596b4-deaa-4e42-9398-8b9d3202fd30"/>
    <ds:schemaRef ds:uri="e5e4a380-6b1d-49f3-b23f-4727291af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10965</Words>
  <Characters>62506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73325</CharactersWithSpaces>
  <SharedDoc>false</SharedDoc>
  <HLinks>
    <vt:vector size="30" baseType="variant">
      <vt:variant>
        <vt:i4>4194310</vt:i4>
      </vt:variant>
      <vt:variant>
        <vt:i4>6</vt:i4>
      </vt:variant>
      <vt:variant>
        <vt:i4>0</vt:i4>
      </vt:variant>
      <vt:variant>
        <vt:i4>5</vt:i4>
      </vt:variant>
      <vt:variant>
        <vt:lpwstr>http://www.fmglobalcatalog.com/ProductInfo.aspx?productid=P7825CD</vt:lpwstr>
      </vt:variant>
      <vt:variant>
        <vt:lpwstr/>
      </vt:variant>
      <vt:variant>
        <vt:i4>262263</vt:i4>
      </vt:variant>
      <vt:variant>
        <vt:i4>3</vt:i4>
      </vt:variant>
      <vt:variant>
        <vt:i4>0</vt:i4>
      </vt:variant>
      <vt:variant>
        <vt:i4>5</vt:i4>
      </vt:variant>
      <vt:variant>
        <vt:lpwstr>mailto:pdr.resource@nrc.gov</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6</vt:i4>
      </vt:variant>
      <vt:variant>
        <vt:i4>0</vt:i4>
      </vt:variant>
      <vt:variant>
        <vt:i4>5</vt:i4>
      </vt:variant>
      <vt:variant>
        <vt:lpwstr>http://www.nrc.gov/reading-rm/adams.html</vt:lpwstr>
      </vt:variant>
      <vt:variant>
        <vt:lpwstr/>
      </vt:variant>
      <vt:variant>
        <vt:i4>8192102</vt:i4>
      </vt:variant>
      <vt:variant>
        <vt:i4>3</vt:i4>
      </vt:variant>
      <vt:variant>
        <vt:i4>0</vt:i4>
      </vt:variant>
      <vt:variant>
        <vt:i4>5</vt:i4>
      </vt:variant>
      <vt:variant>
        <vt:lpwstr>http://www.nrc.gov/reading-rm/doc-collections/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Mary</dc:creator>
  <cp:keywords/>
  <dc:description/>
  <cp:lastModifiedBy>Benney, Kristen</cp:lastModifiedBy>
  <cp:revision>4</cp:revision>
  <cp:lastPrinted>2018-08-07T16:35:00Z</cp:lastPrinted>
  <dcterms:created xsi:type="dcterms:W3CDTF">2022-03-22T19:50:00Z</dcterms:created>
  <dcterms:modified xsi:type="dcterms:W3CDTF">2022-07-07T17:49:00Z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0x010100435E4182BF399C4D82AC0CDCD5D75027</vt:lpwstr>
  </property>
  <property fmtid="{D5CDD505-2E9C-101B-9397-08002B2CF9AE}" pid="3" name="_dlc_DocIdItemGuid">
    <vt:lpwstr>7f5e520f-8045-4162-8c8b-a7ca278f64fa</vt:lpwstr>
  </property>
</Properties>
</file>