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597" w:rsidR="00F9792B" w:rsidP="00577D64" w:rsidRDefault="00F9792B" w14:paraId="4E7CE519" w14:textId="0D3AC0A5">
      <w:pPr>
        <w:widowControl/>
        <w:jc w:val="center"/>
        <w:rPr>
          <w:rFonts w:cs="Arial"/>
          <w:szCs w:val="22"/>
        </w:rPr>
      </w:pPr>
      <w:r w:rsidRPr="00A32597">
        <w:rPr>
          <w:rFonts w:cs="Arial"/>
          <w:szCs w:val="22"/>
        </w:rPr>
        <w:t>SUPPORTING STATEMENT FOR</w:t>
      </w:r>
    </w:p>
    <w:p w:rsidRPr="00A32597" w:rsidR="00F9792B" w:rsidP="00577D64" w:rsidRDefault="0025037D" w14:paraId="286DDBAE" w14:textId="77777777">
      <w:pPr>
        <w:widowControl/>
        <w:jc w:val="center"/>
        <w:rPr>
          <w:rFonts w:cs="Arial"/>
          <w:szCs w:val="22"/>
        </w:rPr>
      </w:pPr>
      <w:r>
        <w:rPr>
          <w:rFonts w:cs="Arial"/>
          <w:szCs w:val="22"/>
        </w:rPr>
        <w:t>INFORMATION COLLECTIONS CONTAINED IN</w:t>
      </w:r>
    </w:p>
    <w:p w:rsidRPr="00A32597" w:rsidR="00F9792B" w:rsidP="00577D64" w:rsidRDefault="00F9792B" w14:paraId="199175C2" w14:textId="77777777">
      <w:pPr>
        <w:widowControl/>
        <w:jc w:val="center"/>
        <w:rPr>
          <w:rFonts w:cs="Arial"/>
          <w:szCs w:val="22"/>
        </w:rPr>
      </w:pPr>
      <w:r w:rsidRPr="00A32597">
        <w:rPr>
          <w:rFonts w:cs="Arial"/>
          <w:szCs w:val="22"/>
        </w:rPr>
        <w:t>10 CFR PART 73</w:t>
      </w:r>
    </w:p>
    <w:p w:rsidR="00E86CB6" w:rsidP="00577D64" w:rsidRDefault="00F9792B" w14:paraId="7C5F5B41" w14:textId="77777777">
      <w:pPr>
        <w:widowControl/>
        <w:jc w:val="center"/>
        <w:rPr>
          <w:rFonts w:cs="Arial"/>
          <w:szCs w:val="22"/>
        </w:rPr>
      </w:pPr>
      <w:r w:rsidRPr="00A32597">
        <w:rPr>
          <w:rFonts w:cs="Arial"/>
          <w:szCs w:val="22"/>
        </w:rPr>
        <w:t xml:space="preserve">ENHANCED WEAPONS, FIREARMS BACKGROUND CHECKS, AND </w:t>
      </w:r>
    </w:p>
    <w:p w:rsidRPr="00A32597" w:rsidR="00F9792B" w:rsidP="00577D64" w:rsidRDefault="00F9792B" w14:paraId="713CCD43" w14:textId="77777777">
      <w:pPr>
        <w:widowControl/>
        <w:jc w:val="center"/>
        <w:rPr>
          <w:rFonts w:cs="Arial"/>
          <w:szCs w:val="22"/>
        </w:rPr>
      </w:pPr>
      <w:r w:rsidRPr="00A32597">
        <w:rPr>
          <w:rFonts w:cs="Arial"/>
          <w:szCs w:val="22"/>
        </w:rPr>
        <w:t>SECURITY EVENT NOTIFICATIONS</w:t>
      </w:r>
    </w:p>
    <w:p w:rsidRPr="00A32597" w:rsidR="0025037D" w:rsidP="00577D64" w:rsidRDefault="0025037D" w14:paraId="449B7EE6" w14:textId="77777777">
      <w:pPr>
        <w:widowControl/>
        <w:jc w:val="center"/>
        <w:rPr>
          <w:rFonts w:cs="Arial"/>
          <w:szCs w:val="22"/>
        </w:rPr>
      </w:pPr>
      <w:r>
        <w:rPr>
          <w:rFonts w:cs="Arial"/>
          <w:szCs w:val="22"/>
        </w:rPr>
        <w:t>FINAL RULE</w:t>
      </w:r>
    </w:p>
    <w:p w:rsidRPr="00A32597" w:rsidR="00F9792B" w:rsidP="00577D64" w:rsidRDefault="00F9792B" w14:paraId="1C600543" w14:textId="77777777">
      <w:pPr>
        <w:widowControl/>
        <w:jc w:val="center"/>
        <w:rPr>
          <w:rFonts w:cs="Arial"/>
          <w:szCs w:val="22"/>
        </w:rPr>
      </w:pPr>
    </w:p>
    <w:p w:rsidR="00F9792B" w:rsidP="00577D64" w:rsidRDefault="00F9792B" w14:paraId="2AB6AEA9" w14:textId="52B56A46">
      <w:pPr>
        <w:widowControl/>
        <w:jc w:val="center"/>
        <w:rPr>
          <w:rFonts w:cs="Arial"/>
          <w:szCs w:val="22"/>
        </w:rPr>
      </w:pPr>
      <w:r w:rsidRPr="00A32597">
        <w:rPr>
          <w:rFonts w:cs="Arial"/>
          <w:szCs w:val="22"/>
        </w:rPr>
        <w:t>(3150-</w:t>
      </w:r>
      <w:r w:rsidR="00B03DF8">
        <w:rPr>
          <w:rFonts w:cs="Arial"/>
          <w:szCs w:val="22"/>
        </w:rPr>
        <w:t>XXXX</w:t>
      </w:r>
      <w:r w:rsidRPr="00A32597">
        <w:rPr>
          <w:rFonts w:cs="Arial"/>
          <w:szCs w:val="22"/>
        </w:rPr>
        <w:t>)</w:t>
      </w:r>
    </w:p>
    <w:p w:rsidR="009F695D" w:rsidP="00577D64" w:rsidRDefault="009F695D" w14:paraId="3D5762A2" w14:textId="77777777">
      <w:pPr>
        <w:widowControl/>
        <w:jc w:val="center"/>
        <w:rPr>
          <w:rFonts w:cs="Arial"/>
          <w:szCs w:val="22"/>
        </w:rPr>
      </w:pPr>
    </w:p>
    <w:p w:rsidRPr="00A32597" w:rsidR="009F695D" w:rsidP="00577D64" w:rsidRDefault="00B03DF8" w14:paraId="5C6FC780" w14:textId="14BAEE07">
      <w:pPr>
        <w:widowControl/>
        <w:jc w:val="center"/>
        <w:rPr>
          <w:rFonts w:cs="Arial"/>
          <w:szCs w:val="22"/>
        </w:rPr>
      </w:pPr>
      <w:r>
        <w:rPr>
          <w:rFonts w:cs="Arial"/>
          <w:szCs w:val="22"/>
        </w:rPr>
        <w:t>NEW</w:t>
      </w:r>
    </w:p>
    <w:p w:rsidRPr="00A32597" w:rsidR="00F9792B" w:rsidP="00577D64" w:rsidRDefault="00F9792B" w14:paraId="474573DC" w14:textId="77777777">
      <w:pPr>
        <w:widowControl/>
        <w:jc w:val="center"/>
        <w:rPr>
          <w:rFonts w:cs="Arial"/>
          <w:szCs w:val="22"/>
        </w:rPr>
      </w:pPr>
    </w:p>
    <w:p w:rsidRPr="00A32597" w:rsidR="002B1B50" w:rsidP="00577D64" w:rsidRDefault="002F20D7" w14:paraId="4E7A8A26" w14:textId="77777777">
      <w:pPr>
        <w:widowControl/>
        <w:rPr>
          <w:rFonts w:cs="Arial"/>
          <w:szCs w:val="22"/>
        </w:rPr>
      </w:pPr>
      <w:r w:rsidRPr="00A32597">
        <w:rPr>
          <w:rFonts w:cs="Arial"/>
          <w:szCs w:val="22"/>
        </w:rPr>
        <w:t>Description of the Information Collection</w:t>
      </w:r>
    </w:p>
    <w:p w:rsidRPr="0051740C" w:rsidR="00500E5A" w:rsidP="00500E5A" w:rsidRDefault="00500E5A" w14:paraId="3FB8CC4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pPr>
    </w:p>
    <w:p w:rsidR="001B0614" w:rsidP="00500E5A" w:rsidRDefault="00500E5A" w14:paraId="2F8277DF" w14:textId="055D5592">
      <w:pPr>
        <w:widowControl/>
        <w:rPr>
          <w:rFonts w:cs="Arial"/>
          <w:szCs w:val="22"/>
        </w:rPr>
      </w:pPr>
      <w:r w:rsidRPr="0051740C">
        <w:t xml:space="preserve">The U.S. Nuclear Regulatory Commission (NRC) regulations in 10 CFR Part 73 prescribe requirements for the establishment and maintenance of a system for physical protection of special nuclear material (SNM) </w:t>
      </w:r>
      <w:r w:rsidR="00AF4A3D">
        <w:t xml:space="preserve">and spent nuclear fuel (SNF) </w:t>
      </w:r>
      <w:r w:rsidRPr="0051740C">
        <w:t xml:space="preserve">at fixed sites, </w:t>
      </w:r>
      <w:r w:rsidR="00B81F20">
        <w:t xml:space="preserve">of </w:t>
      </w:r>
      <w:r w:rsidRPr="0051740C">
        <w:t xml:space="preserve">SNM </w:t>
      </w:r>
      <w:r w:rsidR="00AF4A3D">
        <w:t xml:space="preserve">and SNF </w:t>
      </w:r>
      <w:r w:rsidRPr="0051740C">
        <w:t>in transit</w:t>
      </w:r>
      <w:r w:rsidR="00AF4A3D">
        <w:t>,</w:t>
      </w:r>
      <w:r w:rsidRPr="0051740C">
        <w:t xml:space="preserve"> and of plants in which SNM is utilized.  </w:t>
      </w:r>
      <w:r w:rsidRPr="00A32597" w:rsidR="001B0614">
        <w:rPr>
          <w:rFonts w:cs="Arial"/>
          <w:szCs w:val="22"/>
        </w:rPr>
        <w:t xml:space="preserve">The regulations are issued pursuant to the </w:t>
      </w:r>
      <w:r w:rsidRPr="00AF4A3D" w:rsidR="001B0614">
        <w:rPr>
          <w:rFonts w:cs="Arial"/>
          <w:i/>
          <w:szCs w:val="22"/>
        </w:rPr>
        <w:t>Atomic Energy Act of 1954</w:t>
      </w:r>
      <w:r w:rsidRPr="00A32597" w:rsidR="001B0614">
        <w:rPr>
          <w:rFonts w:cs="Arial"/>
          <w:szCs w:val="22"/>
        </w:rPr>
        <w:t>, as amended</w:t>
      </w:r>
      <w:r w:rsidR="001B0614">
        <w:rPr>
          <w:rFonts w:cs="Arial"/>
          <w:szCs w:val="22"/>
        </w:rPr>
        <w:t xml:space="preserve"> (AEA)</w:t>
      </w:r>
      <w:r w:rsidRPr="00A32597" w:rsidR="001B0614">
        <w:rPr>
          <w:rFonts w:cs="Arial"/>
          <w:szCs w:val="22"/>
        </w:rPr>
        <w:t xml:space="preserve">, and Title II of the </w:t>
      </w:r>
      <w:r w:rsidRPr="00AF4A3D" w:rsidR="001B0614">
        <w:rPr>
          <w:rFonts w:cs="Arial"/>
          <w:i/>
          <w:szCs w:val="22"/>
        </w:rPr>
        <w:t>Energy Reorganization Act of 1974</w:t>
      </w:r>
      <w:r w:rsidRPr="00A32597" w:rsidR="001B0614">
        <w:rPr>
          <w:rFonts w:cs="Arial"/>
          <w:szCs w:val="22"/>
        </w:rPr>
        <w:t xml:space="preserve">, as amended.  </w:t>
      </w:r>
      <w:r w:rsidR="00597BB3">
        <w:rPr>
          <w:rFonts w:cs="Arial"/>
          <w:szCs w:val="22"/>
        </w:rPr>
        <w:t xml:space="preserve">The regulations in 10 CFR </w:t>
      </w:r>
      <w:r w:rsidRPr="00A32597" w:rsidR="001B0614">
        <w:rPr>
          <w:rFonts w:cs="Arial"/>
          <w:szCs w:val="22"/>
        </w:rPr>
        <w:t>Part 73 contain reporting and recordkeeping requirements which are necessary to help ensure that an adequate level of protection is provided for NRC licensed facilities and activities.</w:t>
      </w:r>
    </w:p>
    <w:p w:rsidR="001B0614" w:rsidP="001B0614" w:rsidRDefault="001B0614" w14:paraId="3B3D6DF2" w14:textId="77777777">
      <w:pPr>
        <w:widowControl/>
        <w:rPr>
          <w:rFonts w:cs="Arial"/>
          <w:szCs w:val="22"/>
        </w:rPr>
      </w:pPr>
    </w:p>
    <w:p w:rsidR="0025037D" w:rsidP="0025037D" w:rsidRDefault="0025037D" w14:paraId="3EAF9EC7" w14:textId="1FA99745">
      <w:pPr>
        <w:widowControl/>
        <w:rPr>
          <w:rFonts w:cs="Arial"/>
          <w:szCs w:val="22"/>
        </w:rPr>
      </w:pPr>
      <w:r w:rsidRPr="0025037D">
        <w:rPr>
          <w:rFonts w:cs="Arial"/>
          <w:szCs w:val="22"/>
        </w:rPr>
        <w:t xml:space="preserve">The </w:t>
      </w:r>
      <w:r w:rsidR="001B0614">
        <w:rPr>
          <w:rFonts w:cs="Arial"/>
          <w:szCs w:val="22"/>
        </w:rPr>
        <w:t>NRC</w:t>
      </w:r>
      <w:r w:rsidRPr="0025037D">
        <w:rPr>
          <w:rFonts w:cs="Arial"/>
          <w:szCs w:val="22"/>
        </w:rPr>
        <w:t xml:space="preserve"> is amending its regulations in </w:t>
      </w:r>
      <w:r w:rsidR="005F1CA1">
        <w:rPr>
          <w:rFonts w:cs="Arial"/>
          <w:szCs w:val="22"/>
        </w:rPr>
        <w:t>three</w:t>
      </w:r>
      <w:r w:rsidRPr="0025037D" w:rsidR="005F1CA1">
        <w:rPr>
          <w:rFonts w:cs="Arial"/>
          <w:szCs w:val="22"/>
        </w:rPr>
        <w:t xml:space="preserve"> </w:t>
      </w:r>
      <w:r w:rsidRPr="0025037D">
        <w:rPr>
          <w:rFonts w:cs="Arial"/>
          <w:szCs w:val="22"/>
        </w:rPr>
        <w:t>ways</w:t>
      </w:r>
      <w:r>
        <w:rPr>
          <w:rFonts w:cs="Arial"/>
          <w:szCs w:val="22"/>
        </w:rPr>
        <w:t xml:space="preserve"> which affect the information collections contained in 10 CFR Part 73.</w:t>
      </w:r>
    </w:p>
    <w:p w:rsidR="0025037D" w:rsidP="0025037D" w:rsidRDefault="0025037D" w14:paraId="726B052B" w14:textId="77777777">
      <w:pPr>
        <w:widowControl/>
        <w:rPr>
          <w:rFonts w:cs="Arial"/>
          <w:szCs w:val="22"/>
        </w:rPr>
      </w:pPr>
    </w:p>
    <w:p w:rsidR="0025037D" w:rsidP="0025037D" w:rsidRDefault="0025037D" w14:paraId="0EB22A66" w14:textId="5D56D2B9">
      <w:pPr>
        <w:widowControl/>
        <w:rPr>
          <w:rFonts w:cs="Arial"/>
          <w:szCs w:val="22"/>
        </w:rPr>
      </w:pPr>
      <w:r w:rsidRPr="0025037D">
        <w:rPr>
          <w:rFonts w:cs="Arial"/>
          <w:szCs w:val="22"/>
        </w:rPr>
        <w:t>The first p</w:t>
      </w:r>
      <w:r w:rsidR="006F50E9">
        <w:rPr>
          <w:rFonts w:cs="Arial"/>
          <w:szCs w:val="22"/>
        </w:rPr>
        <w:t>art</w:t>
      </w:r>
      <w:r w:rsidRPr="0025037D">
        <w:rPr>
          <w:rFonts w:cs="Arial"/>
          <w:szCs w:val="22"/>
        </w:rPr>
        <w:t xml:space="preserve"> of the rulemaking </w:t>
      </w:r>
      <w:r w:rsidRPr="0025037D" w:rsidR="006F13A3">
        <w:rPr>
          <w:rFonts w:cs="Arial"/>
          <w:szCs w:val="22"/>
        </w:rPr>
        <w:t>implement</w:t>
      </w:r>
      <w:r w:rsidR="006F13A3">
        <w:rPr>
          <w:rFonts w:cs="Arial"/>
          <w:szCs w:val="22"/>
        </w:rPr>
        <w:t>s</w:t>
      </w:r>
      <w:r w:rsidRPr="0025037D" w:rsidR="006F13A3">
        <w:rPr>
          <w:rFonts w:cs="Arial"/>
          <w:szCs w:val="22"/>
        </w:rPr>
        <w:t xml:space="preserve"> the NRC’s authority under Section 161A of the AEA.</w:t>
      </w:r>
      <w:r w:rsidR="006F13A3">
        <w:rPr>
          <w:rFonts w:cs="Arial"/>
          <w:szCs w:val="22"/>
        </w:rPr>
        <w:t xml:space="preserve">  This </w:t>
      </w:r>
      <w:r w:rsidRPr="0025037D">
        <w:rPr>
          <w:rFonts w:cs="Arial"/>
          <w:szCs w:val="22"/>
        </w:rPr>
        <w:t xml:space="preserve">permits NRC licensees to voluntarily apply for </w:t>
      </w:r>
      <w:r w:rsidR="00AF4A3D">
        <w:rPr>
          <w:rFonts w:cs="Arial"/>
          <w:szCs w:val="22"/>
        </w:rPr>
        <w:t xml:space="preserve">stand-alone </w:t>
      </w:r>
      <w:r w:rsidRPr="0025037D">
        <w:rPr>
          <w:rFonts w:cs="Arial"/>
          <w:szCs w:val="22"/>
        </w:rPr>
        <w:t xml:space="preserve">preemption authority </w:t>
      </w:r>
      <w:r w:rsidR="006F13A3">
        <w:rPr>
          <w:rFonts w:cs="Arial"/>
          <w:szCs w:val="22"/>
        </w:rPr>
        <w:t>or</w:t>
      </w:r>
      <w:r w:rsidRPr="0025037D" w:rsidR="006F13A3">
        <w:rPr>
          <w:rFonts w:cs="Arial"/>
          <w:szCs w:val="22"/>
        </w:rPr>
        <w:t xml:space="preserve"> </w:t>
      </w:r>
      <w:r w:rsidR="00AF4A3D">
        <w:rPr>
          <w:rFonts w:cs="Arial"/>
          <w:szCs w:val="22"/>
        </w:rPr>
        <w:t xml:space="preserve">combined </w:t>
      </w:r>
      <w:r w:rsidR="006F50E9">
        <w:rPr>
          <w:rFonts w:cs="Arial"/>
          <w:szCs w:val="22"/>
        </w:rPr>
        <w:t>preemption</w:t>
      </w:r>
      <w:r w:rsidRPr="0025037D" w:rsidR="006F50E9">
        <w:rPr>
          <w:rFonts w:cs="Arial"/>
          <w:szCs w:val="22"/>
        </w:rPr>
        <w:t xml:space="preserve"> </w:t>
      </w:r>
      <w:r w:rsidRPr="0025037D">
        <w:rPr>
          <w:rFonts w:cs="Arial"/>
          <w:szCs w:val="22"/>
        </w:rPr>
        <w:t>authority</w:t>
      </w:r>
      <w:r w:rsidR="00AF4A3D">
        <w:rPr>
          <w:rFonts w:cs="Arial"/>
          <w:szCs w:val="22"/>
        </w:rPr>
        <w:t xml:space="preserve"> and </w:t>
      </w:r>
      <w:r w:rsidRPr="0025037D" w:rsidR="006F50E9">
        <w:rPr>
          <w:rFonts w:cs="Arial"/>
          <w:szCs w:val="22"/>
        </w:rPr>
        <w:t xml:space="preserve">enhanced weapons </w:t>
      </w:r>
      <w:r w:rsidR="00AF4A3D">
        <w:rPr>
          <w:rFonts w:cs="Arial"/>
          <w:szCs w:val="22"/>
        </w:rPr>
        <w:t>authority</w:t>
      </w:r>
      <w:r w:rsidRPr="0025037D">
        <w:rPr>
          <w:rFonts w:cs="Arial"/>
          <w:szCs w:val="22"/>
        </w:rPr>
        <w:t>.  These implementing regulations would apply to nuclear power reactor facilities, independent spent fuel storage installations (ISFSIs),</w:t>
      </w:r>
      <w:r w:rsidR="00460073">
        <w:rPr>
          <w:rFonts w:cs="Arial"/>
          <w:szCs w:val="22"/>
        </w:rPr>
        <w:t xml:space="preserve"> shipments of </w:t>
      </w:r>
      <w:r w:rsidR="00AF4A3D">
        <w:rPr>
          <w:rFonts w:cs="Arial"/>
          <w:szCs w:val="22"/>
        </w:rPr>
        <w:t>SNF</w:t>
      </w:r>
      <w:r w:rsidR="00460073">
        <w:rPr>
          <w:rFonts w:cs="Arial"/>
          <w:szCs w:val="22"/>
        </w:rPr>
        <w:t>,</w:t>
      </w:r>
      <w:r w:rsidRPr="0025037D">
        <w:rPr>
          <w:rFonts w:cs="Arial"/>
          <w:szCs w:val="22"/>
        </w:rPr>
        <w:t xml:space="preserve"> and Category I strategic special nuclear material (SSNM) facilities.</w:t>
      </w:r>
      <w:r>
        <w:rPr>
          <w:rFonts w:cs="Arial"/>
          <w:szCs w:val="22"/>
        </w:rPr>
        <w:t xml:space="preserve">  The information collections involved in this change </w:t>
      </w:r>
      <w:r w:rsidRPr="001B0614">
        <w:rPr>
          <w:rFonts w:cs="Arial"/>
          <w:szCs w:val="22"/>
        </w:rPr>
        <w:t>include:</w:t>
      </w:r>
    </w:p>
    <w:p w:rsidRPr="001B0614" w:rsidR="008F286B" w:rsidP="0025037D" w:rsidRDefault="008F286B" w14:paraId="6411548F" w14:textId="77777777">
      <w:pPr>
        <w:widowControl/>
        <w:rPr>
          <w:rFonts w:cs="Arial"/>
          <w:szCs w:val="22"/>
        </w:rPr>
      </w:pPr>
    </w:p>
    <w:p w:rsidRPr="00597BB3" w:rsidR="0025037D" w:rsidP="00597BB3" w:rsidRDefault="0025037D" w14:paraId="07E5D30F" w14:textId="77777777">
      <w:pPr>
        <w:pStyle w:val="ListBullet"/>
        <w:tabs>
          <w:tab w:val="clear" w:pos="360"/>
          <w:tab w:val="num" w:pos="1080"/>
        </w:tabs>
        <w:ind w:left="1080"/>
        <w:rPr>
          <w:rFonts w:cs="Arial"/>
          <w:szCs w:val="22"/>
        </w:rPr>
      </w:pPr>
      <w:r w:rsidRPr="00597BB3">
        <w:rPr>
          <w:rFonts w:cs="Arial"/>
          <w:szCs w:val="22"/>
        </w:rPr>
        <w:t>One-time implementation burden to apply for Section 161A authorities</w:t>
      </w:r>
      <w:r w:rsidR="00AF4A3D">
        <w:rPr>
          <w:rFonts w:cs="Arial"/>
          <w:szCs w:val="22"/>
        </w:rPr>
        <w:t>;</w:t>
      </w:r>
    </w:p>
    <w:p w:rsidRPr="00597BB3" w:rsidR="0025037D" w:rsidP="00597BB3" w:rsidRDefault="0025037D" w14:paraId="16DEA983" w14:textId="77777777">
      <w:pPr>
        <w:pStyle w:val="ListBullet"/>
        <w:tabs>
          <w:tab w:val="clear" w:pos="360"/>
          <w:tab w:val="num" w:pos="1080"/>
        </w:tabs>
        <w:ind w:left="1080"/>
        <w:rPr>
          <w:rFonts w:cs="Arial"/>
          <w:szCs w:val="22"/>
        </w:rPr>
      </w:pPr>
      <w:r w:rsidRPr="00597BB3">
        <w:rPr>
          <w:rFonts w:cs="Arial"/>
          <w:szCs w:val="22"/>
        </w:rPr>
        <w:t xml:space="preserve">One-time implementation burdens to update physical security plans, training and qualification plans, safeguards contingency plans, </w:t>
      </w:r>
      <w:r w:rsidR="008F286B">
        <w:rPr>
          <w:rFonts w:cs="Arial"/>
          <w:szCs w:val="22"/>
        </w:rPr>
        <w:t xml:space="preserve">and a weapon </w:t>
      </w:r>
      <w:r w:rsidRPr="00597BB3">
        <w:rPr>
          <w:rFonts w:cs="Arial"/>
          <w:szCs w:val="22"/>
        </w:rPr>
        <w:t>safety assessment</w:t>
      </w:r>
      <w:r w:rsidR="008059EB">
        <w:rPr>
          <w:rFonts w:cs="Arial"/>
          <w:szCs w:val="22"/>
        </w:rPr>
        <w:t xml:space="preserve"> for application for enhanced weapons authority</w:t>
      </w:r>
      <w:r w:rsidR="00AF4A3D">
        <w:rPr>
          <w:rFonts w:cs="Arial"/>
          <w:szCs w:val="22"/>
        </w:rPr>
        <w:t>;</w:t>
      </w:r>
    </w:p>
    <w:p w:rsidRPr="00597BB3" w:rsidR="0025037D" w:rsidP="00597BB3" w:rsidRDefault="0025037D" w14:paraId="7719CFDE" w14:textId="77777777">
      <w:pPr>
        <w:pStyle w:val="ListBullet"/>
        <w:tabs>
          <w:tab w:val="clear" w:pos="360"/>
          <w:tab w:val="num" w:pos="1080"/>
        </w:tabs>
        <w:ind w:left="1080"/>
        <w:rPr>
          <w:rFonts w:cs="Arial"/>
          <w:szCs w:val="22"/>
        </w:rPr>
      </w:pPr>
      <w:r w:rsidRPr="00597BB3">
        <w:rPr>
          <w:rFonts w:cs="Arial"/>
          <w:szCs w:val="22"/>
        </w:rPr>
        <w:t>Periodic inventories of enhanced weapons and maintaining logs related to these inventories</w:t>
      </w:r>
      <w:r w:rsidR="00AF4A3D">
        <w:rPr>
          <w:rFonts w:cs="Arial"/>
          <w:szCs w:val="22"/>
        </w:rPr>
        <w:t>;</w:t>
      </w:r>
    </w:p>
    <w:p w:rsidR="001B0614" w:rsidP="00597BB3" w:rsidRDefault="00053613" w14:paraId="34486A37" w14:textId="77777777">
      <w:pPr>
        <w:pStyle w:val="ListBullet"/>
        <w:tabs>
          <w:tab w:val="clear" w:pos="360"/>
          <w:tab w:val="num" w:pos="1080"/>
        </w:tabs>
        <w:ind w:left="1080"/>
        <w:rPr>
          <w:rFonts w:cs="Arial"/>
          <w:szCs w:val="22"/>
        </w:rPr>
      </w:pPr>
      <w:r>
        <w:rPr>
          <w:rFonts w:cs="Arial"/>
          <w:szCs w:val="22"/>
        </w:rPr>
        <w:t>Development of a</w:t>
      </w:r>
      <w:r w:rsidRPr="00597BB3" w:rsidR="001B0614">
        <w:rPr>
          <w:rFonts w:cs="Arial"/>
          <w:szCs w:val="22"/>
        </w:rPr>
        <w:t xml:space="preserve"> firearms background check plan</w:t>
      </w:r>
      <w:r w:rsidR="008059EB">
        <w:rPr>
          <w:rFonts w:cs="Arial"/>
          <w:szCs w:val="22"/>
        </w:rPr>
        <w:t xml:space="preserve"> for accomplishment of firearms background checks under Section 161A authorities</w:t>
      </w:r>
      <w:r w:rsidR="00AF4A3D">
        <w:rPr>
          <w:rFonts w:cs="Arial"/>
          <w:szCs w:val="22"/>
        </w:rPr>
        <w:t>;</w:t>
      </w:r>
    </w:p>
    <w:p w:rsidRPr="00597BB3" w:rsidR="00B94A1B" w:rsidP="00597BB3" w:rsidRDefault="00D165C8" w14:paraId="407F548B" w14:textId="3DD4DA28">
      <w:pPr>
        <w:pStyle w:val="ListBullet"/>
        <w:tabs>
          <w:tab w:val="clear" w:pos="360"/>
          <w:tab w:val="num" w:pos="1080"/>
        </w:tabs>
        <w:ind w:left="1080"/>
        <w:rPr>
          <w:rFonts w:cs="Arial"/>
          <w:szCs w:val="22"/>
        </w:rPr>
      </w:pPr>
      <w:r>
        <w:rPr>
          <w:rFonts w:cs="Arial"/>
          <w:szCs w:val="22"/>
        </w:rPr>
        <w:t>Periodic</w:t>
      </w:r>
      <w:r w:rsidR="00BD1C3A">
        <w:rPr>
          <w:rFonts w:cs="Arial"/>
          <w:szCs w:val="22"/>
        </w:rPr>
        <w:t xml:space="preserve"> submission of</w:t>
      </w:r>
      <w:r>
        <w:rPr>
          <w:rFonts w:cs="Arial"/>
          <w:szCs w:val="22"/>
        </w:rPr>
        <w:t xml:space="preserve"> fingerprints and identifying information </w:t>
      </w:r>
      <w:r w:rsidR="00C36D03">
        <w:rPr>
          <w:rFonts w:cs="Arial"/>
          <w:szCs w:val="22"/>
        </w:rPr>
        <w:t>of</w:t>
      </w:r>
      <w:r w:rsidR="00775AA4">
        <w:rPr>
          <w:rFonts w:cs="Arial"/>
          <w:szCs w:val="22"/>
        </w:rPr>
        <w:t xml:space="preserve"> security officers </w:t>
      </w:r>
      <w:r>
        <w:rPr>
          <w:rFonts w:cs="Arial"/>
          <w:szCs w:val="22"/>
        </w:rPr>
        <w:t>to accompl</w:t>
      </w:r>
      <w:r w:rsidR="00775AA4">
        <w:rPr>
          <w:rFonts w:cs="Arial"/>
          <w:szCs w:val="22"/>
        </w:rPr>
        <w:t>ish</w:t>
      </w:r>
      <w:r w:rsidR="00740D5B">
        <w:rPr>
          <w:rFonts w:cs="Arial"/>
          <w:szCs w:val="22"/>
        </w:rPr>
        <w:t xml:space="preserve"> firearms background checks</w:t>
      </w:r>
      <w:r w:rsidR="00A362A6">
        <w:rPr>
          <w:rFonts w:cs="Arial"/>
          <w:szCs w:val="22"/>
        </w:rPr>
        <w:t xml:space="preserve"> and maintaining records of such submissions;</w:t>
      </w:r>
    </w:p>
    <w:p w:rsidRPr="00597BB3" w:rsidR="0025037D" w:rsidP="00597BB3" w:rsidRDefault="0025037D" w14:paraId="591F8F7A" w14:textId="77777777">
      <w:pPr>
        <w:pStyle w:val="ListBullet"/>
        <w:tabs>
          <w:tab w:val="clear" w:pos="360"/>
          <w:tab w:val="num" w:pos="1080"/>
        </w:tabs>
        <w:ind w:left="1080"/>
        <w:rPr>
          <w:rFonts w:cs="Arial"/>
          <w:szCs w:val="22"/>
        </w:rPr>
      </w:pPr>
      <w:r w:rsidRPr="00597BB3">
        <w:rPr>
          <w:rFonts w:cs="Arial"/>
          <w:szCs w:val="22"/>
        </w:rPr>
        <w:t>Records or receipt, transfer, and transportation of enhanced weapons</w:t>
      </w:r>
      <w:r w:rsidR="00AF4A3D">
        <w:rPr>
          <w:rFonts w:cs="Arial"/>
          <w:szCs w:val="22"/>
        </w:rPr>
        <w:t>; and</w:t>
      </w:r>
    </w:p>
    <w:p w:rsidRPr="00597BB3" w:rsidR="0025037D" w:rsidP="00597BB3" w:rsidRDefault="0025037D" w14:paraId="2AD030CF" w14:textId="77777777">
      <w:pPr>
        <w:pStyle w:val="ListBullet"/>
        <w:tabs>
          <w:tab w:val="clear" w:pos="360"/>
          <w:tab w:val="num" w:pos="1080"/>
        </w:tabs>
        <w:ind w:left="1080"/>
        <w:rPr>
          <w:rFonts w:cs="Arial"/>
          <w:szCs w:val="22"/>
        </w:rPr>
      </w:pPr>
      <w:r w:rsidRPr="00597BB3">
        <w:rPr>
          <w:rFonts w:cs="Arial"/>
          <w:szCs w:val="22"/>
        </w:rPr>
        <w:t>Employee training</w:t>
      </w:r>
      <w:r w:rsidRPr="00597BB3" w:rsidR="001B0614">
        <w:rPr>
          <w:rFonts w:cs="Arial"/>
          <w:szCs w:val="22"/>
        </w:rPr>
        <w:t xml:space="preserve"> and notifications related to the use of enhanced weapons</w:t>
      </w:r>
      <w:r w:rsidR="00AF4A3D">
        <w:rPr>
          <w:rFonts w:cs="Arial"/>
          <w:szCs w:val="22"/>
        </w:rPr>
        <w:t>.</w:t>
      </w:r>
    </w:p>
    <w:p w:rsidRPr="00597BB3" w:rsidR="0025037D" w:rsidP="00597BB3" w:rsidRDefault="0025037D" w14:paraId="0FED47D9" w14:textId="77777777">
      <w:pPr>
        <w:pStyle w:val="ListBullet"/>
        <w:numPr>
          <w:ilvl w:val="0"/>
          <w:numId w:val="0"/>
        </w:numPr>
        <w:rPr>
          <w:rFonts w:cs="Arial"/>
          <w:szCs w:val="22"/>
        </w:rPr>
      </w:pPr>
    </w:p>
    <w:p w:rsidR="00B55144" w:rsidP="00B55144" w:rsidRDefault="00B55144" w14:paraId="1CEA10B9" w14:textId="5A6B7547">
      <w:pPr>
        <w:widowControl/>
        <w:rPr>
          <w:rFonts w:cs="Arial"/>
          <w:szCs w:val="22"/>
        </w:rPr>
      </w:pPr>
      <w:r w:rsidRPr="001B0614">
        <w:rPr>
          <w:rFonts w:cs="Arial"/>
          <w:szCs w:val="22"/>
        </w:rPr>
        <w:t>In the second p</w:t>
      </w:r>
      <w:r w:rsidR="006F50E9">
        <w:rPr>
          <w:rFonts w:cs="Arial"/>
          <w:szCs w:val="22"/>
        </w:rPr>
        <w:t>art</w:t>
      </w:r>
      <w:r w:rsidRPr="001B0614">
        <w:rPr>
          <w:rFonts w:cs="Arial"/>
          <w:szCs w:val="22"/>
        </w:rPr>
        <w:t xml:space="preserve"> of the rulemaking, the NRC is revising its existing regulations to provide for consistency of mandatory </w:t>
      </w:r>
      <w:r w:rsidR="001330AC">
        <w:rPr>
          <w:rFonts w:cs="Arial"/>
          <w:szCs w:val="22"/>
        </w:rPr>
        <w:t xml:space="preserve">physical </w:t>
      </w:r>
      <w:r w:rsidRPr="001B0614">
        <w:rPr>
          <w:rFonts w:cs="Arial"/>
          <w:szCs w:val="22"/>
        </w:rPr>
        <w:t>securi</w:t>
      </w:r>
      <w:r w:rsidRPr="00593479">
        <w:rPr>
          <w:rFonts w:cs="Arial"/>
          <w:szCs w:val="22"/>
        </w:rPr>
        <w:t>ty event notification requirements from different classes of facilities</w:t>
      </w:r>
      <w:r>
        <w:rPr>
          <w:rFonts w:cs="Arial"/>
          <w:szCs w:val="22"/>
        </w:rPr>
        <w:t xml:space="preserve"> and from</w:t>
      </w:r>
      <w:r w:rsidRPr="00593479">
        <w:rPr>
          <w:rFonts w:cs="Arial"/>
          <w:szCs w:val="22"/>
        </w:rPr>
        <w:t xml:space="preserve"> the transportation of radioactive material.  </w:t>
      </w:r>
      <w:r w:rsidR="00A405CC">
        <w:rPr>
          <w:rFonts w:cs="Arial"/>
          <w:szCs w:val="22"/>
        </w:rPr>
        <w:t>E</w:t>
      </w:r>
      <w:r w:rsidRPr="002D30C7" w:rsidR="00A405CC">
        <w:rPr>
          <w:rFonts w:cs="Arial"/>
          <w:szCs w:val="22"/>
        </w:rPr>
        <w:t xml:space="preserve">xisting </w:t>
      </w:r>
      <w:r w:rsidRPr="002D30C7" w:rsidR="002D30C7">
        <w:rPr>
          <w:rFonts w:cs="Arial"/>
          <w:szCs w:val="22"/>
        </w:rPr>
        <w:t xml:space="preserve">mandatory physical security event notification requirements </w:t>
      </w:r>
      <w:r w:rsidR="00A405CC">
        <w:rPr>
          <w:rFonts w:cs="Arial"/>
          <w:szCs w:val="22"/>
        </w:rPr>
        <w:t>are being modified to</w:t>
      </w:r>
      <w:r w:rsidRPr="002D30C7" w:rsidR="00A405CC">
        <w:rPr>
          <w:rFonts w:cs="Arial"/>
          <w:szCs w:val="22"/>
        </w:rPr>
        <w:t xml:space="preserve"> </w:t>
      </w:r>
      <w:r w:rsidRPr="002D30C7" w:rsidR="002D30C7">
        <w:rPr>
          <w:rFonts w:cs="Arial"/>
          <w:szCs w:val="22"/>
        </w:rPr>
        <w:t>add requirements for two</w:t>
      </w:r>
      <w:r w:rsidR="00A405CC">
        <w:rPr>
          <w:rFonts w:cs="Arial"/>
          <w:szCs w:val="22"/>
        </w:rPr>
        <w:t xml:space="preserve"> new</w:t>
      </w:r>
      <w:r w:rsidRPr="002D30C7" w:rsidR="002D30C7">
        <w:rPr>
          <w:rFonts w:cs="Arial"/>
          <w:szCs w:val="22"/>
        </w:rPr>
        <w:t xml:space="preserve"> types of events:  stolen or lost enhanced weapons and actual or imminent hostile </w:t>
      </w:r>
      <w:r w:rsidR="008059EB">
        <w:rPr>
          <w:rFonts w:cs="Arial"/>
          <w:szCs w:val="22"/>
        </w:rPr>
        <w:t>actions</w:t>
      </w:r>
      <w:r w:rsidRPr="002D30C7" w:rsidR="002D30C7">
        <w:rPr>
          <w:rFonts w:cs="Arial"/>
          <w:szCs w:val="22"/>
        </w:rPr>
        <w:t xml:space="preserve">.  </w:t>
      </w:r>
    </w:p>
    <w:p w:rsidR="00B55144" w:rsidP="0025037D" w:rsidRDefault="00B55144" w14:paraId="5A904838" w14:textId="77777777">
      <w:pPr>
        <w:widowControl/>
        <w:rPr>
          <w:rFonts w:cs="Arial"/>
          <w:szCs w:val="22"/>
        </w:rPr>
      </w:pPr>
    </w:p>
    <w:p w:rsidR="00305989" w:rsidP="00305989" w:rsidRDefault="00B55144" w14:paraId="6C2F8354" w14:textId="740A17A7">
      <w:pPr>
        <w:widowControl/>
        <w:rPr>
          <w:rFonts w:cs="Arial"/>
          <w:szCs w:val="22"/>
        </w:rPr>
      </w:pPr>
      <w:r w:rsidRPr="00B55144">
        <w:rPr>
          <w:rFonts w:cs="Arial"/>
          <w:szCs w:val="22"/>
        </w:rPr>
        <w:t xml:space="preserve">In the third </w:t>
      </w:r>
      <w:r w:rsidR="0085211D">
        <w:rPr>
          <w:rFonts w:cs="Arial"/>
          <w:szCs w:val="22"/>
        </w:rPr>
        <w:t>part</w:t>
      </w:r>
      <w:r w:rsidRPr="00B55144">
        <w:rPr>
          <w:rFonts w:cs="Arial"/>
          <w:szCs w:val="22"/>
        </w:rPr>
        <w:t xml:space="preserve"> of the rulemaking, the NRC establishes new requirements for licensees to report suspicious activities to local law enforcement agencies (LLEA), the </w:t>
      </w:r>
      <w:r w:rsidRPr="00A32597" w:rsidR="00782887">
        <w:rPr>
          <w:rFonts w:cs="Arial"/>
          <w:szCs w:val="22"/>
        </w:rPr>
        <w:t xml:space="preserve">Federal Bureau of Investigation </w:t>
      </w:r>
      <w:r w:rsidR="00782887">
        <w:rPr>
          <w:rFonts w:cs="Arial"/>
          <w:szCs w:val="22"/>
        </w:rPr>
        <w:t>(</w:t>
      </w:r>
      <w:r w:rsidRPr="00B55144">
        <w:rPr>
          <w:rFonts w:cs="Arial"/>
          <w:szCs w:val="22"/>
        </w:rPr>
        <w:t>FBI</w:t>
      </w:r>
      <w:r w:rsidR="00782887">
        <w:rPr>
          <w:rFonts w:cs="Arial"/>
          <w:szCs w:val="22"/>
        </w:rPr>
        <w:t>)</w:t>
      </w:r>
      <w:r w:rsidRPr="00B55144">
        <w:rPr>
          <w:rFonts w:cs="Arial"/>
          <w:szCs w:val="22"/>
        </w:rPr>
        <w:t xml:space="preserve">, the NRC, and the Federal Aviation Administration (FAA) (for suspicious activities involving aircraft).  </w:t>
      </w:r>
      <w:r w:rsidRPr="00593479" w:rsidDel="00B55144">
        <w:rPr>
          <w:rFonts w:cs="Arial"/>
          <w:szCs w:val="22"/>
        </w:rPr>
        <w:t xml:space="preserve">The information collections involved in this change include </w:t>
      </w:r>
      <w:r w:rsidDel="00B55144">
        <w:rPr>
          <w:rFonts w:cs="Arial"/>
          <w:szCs w:val="22"/>
        </w:rPr>
        <w:t xml:space="preserve">suspicious activity reporting </w:t>
      </w:r>
      <w:r w:rsidRPr="00593479" w:rsidDel="00B55144">
        <w:rPr>
          <w:rFonts w:cs="Arial"/>
          <w:szCs w:val="22"/>
        </w:rPr>
        <w:t>such as those involving preoperational surveillance, reconnaissance</w:t>
      </w:r>
      <w:r w:rsidR="00F11590">
        <w:rPr>
          <w:rFonts w:cs="Arial"/>
          <w:szCs w:val="22"/>
        </w:rPr>
        <w:t>,</w:t>
      </w:r>
      <w:r w:rsidRPr="00593479" w:rsidDel="00B55144">
        <w:rPr>
          <w:rFonts w:cs="Arial"/>
          <w:szCs w:val="22"/>
        </w:rPr>
        <w:t xml:space="preserve"> or intelligence gathering activities</w:t>
      </w:r>
      <w:r w:rsidRPr="00354D21" w:rsidR="00354D21">
        <w:rPr>
          <w:rFonts w:cs="Arial"/>
          <w:szCs w:val="22"/>
        </w:rPr>
        <w:t xml:space="preserve"> </w:t>
      </w:r>
      <w:r w:rsidR="00354D21">
        <w:rPr>
          <w:rFonts w:cs="Arial"/>
          <w:szCs w:val="22"/>
        </w:rPr>
        <w:t>(i.e., espionage)</w:t>
      </w:r>
      <w:r>
        <w:rPr>
          <w:rFonts w:cs="Arial"/>
          <w:szCs w:val="22"/>
        </w:rPr>
        <w:t xml:space="preserve">.  </w:t>
      </w:r>
      <w:r w:rsidR="00354D21">
        <w:rPr>
          <w:rFonts w:cs="Arial"/>
          <w:szCs w:val="22"/>
        </w:rPr>
        <w:t xml:space="preserve">The timely </w:t>
      </w:r>
      <w:r w:rsidR="00354D21">
        <w:rPr>
          <w:rFonts w:cs="Arial"/>
          <w:color w:val="000000"/>
          <w:szCs w:val="22"/>
        </w:rPr>
        <w:t xml:space="preserve">reporting of suspicious activities to law enforcement agencies permits these agencies to </w:t>
      </w:r>
      <w:r w:rsidR="00354D21">
        <w:rPr>
          <w:rFonts w:cs="Arial"/>
          <w:szCs w:val="22"/>
        </w:rPr>
        <w:t>investigate such suspicious activities, in order to potentially disrupt or dissuade planned terrorist attacks</w:t>
      </w:r>
      <w:r w:rsidRPr="00353FF1" w:rsidR="00354D21">
        <w:rPr>
          <w:rFonts w:cs="Arial"/>
          <w:szCs w:val="22"/>
        </w:rPr>
        <w:t xml:space="preserve">.  </w:t>
      </w:r>
      <w:r w:rsidRPr="00B55144" w:rsidR="00305989">
        <w:rPr>
          <w:rFonts w:cs="Arial"/>
          <w:szCs w:val="22"/>
        </w:rPr>
        <w:t>The reporting of suspicious activities was described in security advisories and threat advisories issued by the NRC following the events of September 11, 2001, and these types of activities have been voluntarily reported to the NRC</w:t>
      </w:r>
      <w:r w:rsidR="00FF0AC5">
        <w:rPr>
          <w:rFonts w:cs="Arial"/>
          <w:szCs w:val="22"/>
        </w:rPr>
        <w:t>.</w:t>
      </w:r>
      <w:r w:rsidRPr="0053071B" w:rsidR="00994587">
        <w:rPr>
          <w:rStyle w:val="FootnoteReference"/>
          <w:rFonts w:cs="Arial"/>
          <w:szCs w:val="22"/>
          <w:vertAlign w:val="superscript"/>
        </w:rPr>
        <w:footnoteReference w:id="2"/>
      </w:r>
      <w:r w:rsidRPr="0053071B" w:rsidR="00305989">
        <w:rPr>
          <w:rFonts w:cs="Arial"/>
          <w:szCs w:val="22"/>
          <w:vertAlign w:val="superscript"/>
        </w:rPr>
        <w:t xml:space="preserve"> </w:t>
      </w:r>
      <w:r w:rsidRPr="00B55144" w:rsidR="00305989">
        <w:rPr>
          <w:rFonts w:cs="Arial"/>
          <w:szCs w:val="22"/>
        </w:rPr>
        <w:t xml:space="preserve"> The new requirements codify the NRC’s voluntary guidance and reporting suspicious activities to these various agencies.  </w:t>
      </w:r>
    </w:p>
    <w:p w:rsidR="00B34BE9" w:rsidP="0025037D" w:rsidRDefault="00B34BE9" w14:paraId="75CE186F" w14:textId="77777777">
      <w:pPr>
        <w:widowControl/>
        <w:rPr>
          <w:rFonts w:cs="Arial"/>
          <w:szCs w:val="22"/>
        </w:rPr>
      </w:pPr>
    </w:p>
    <w:p w:rsidRPr="00B52E84" w:rsidR="00B34BE9" w:rsidP="00B34BE9" w:rsidRDefault="00B34BE9" w14:paraId="7E8C6251" w14:textId="77777777">
      <w:pPr>
        <w:widowControl/>
        <w:autoSpaceDE/>
        <w:autoSpaceDN/>
        <w:adjustRightInd/>
        <w:rPr>
          <w:rFonts w:cs="Arial"/>
          <w:i/>
          <w:szCs w:val="22"/>
        </w:rPr>
      </w:pPr>
      <w:r>
        <w:rPr>
          <w:rFonts w:cs="Arial"/>
          <w:i/>
          <w:szCs w:val="22"/>
        </w:rPr>
        <w:t>Changes to the final rule as a result of public comment</w:t>
      </w:r>
    </w:p>
    <w:p w:rsidR="00B34BE9" w:rsidP="00B34BE9" w:rsidRDefault="00B34BE9" w14:paraId="6AA4B156" w14:textId="77777777">
      <w:pPr>
        <w:widowControl/>
        <w:rPr>
          <w:rFonts w:cs="Arial"/>
          <w:szCs w:val="22"/>
        </w:rPr>
      </w:pPr>
    </w:p>
    <w:p w:rsidRPr="00A769F9" w:rsidR="00B34BE9" w:rsidP="00B34BE9" w:rsidRDefault="00B34BE9" w14:paraId="4B343072" w14:textId="073E8C5E">
      <w:pPr>
        <w:widowControl/>
        <w:rPr>
          <w:rFonts w:cs="Arial"/>
          <w:szCs w:val="22"/>
        </w:rPr>
      </w:pPr>
      <w:r w:rsidRPr="00A769F9">
        <w:rPr>
          <w:rFonts w:cs="Arial"/>
          <w:szCs w:val="22"/>
        </w:rPr>
        <w:t xml:space="preserve">The staff made </w:t>
      </w:r>
      <w:r>
        <w:rPr>
          <w:rFonts w:cs="Arial"/>
          <w:szCs w:val="22"/>
        </w:rPr>
        <w:t>some</w:t>
      </w:r>
      <w:r w:rsidRPr="00A769F9">
        <w:rPr>
          <w:rFonts w:cs="Arial"/>
          <w:szCs w:val="22"/>
        </w:rPr>
        <w:t xml:space="preserve"> changes to the </w:t>
      </w:r>
      <w:r w:rsidR="00FF0AC5">
        <w:rPr>
          <w:rFonts w:cs="Arial"/>
          <w:szCs w:val="22"/>
        </w:rPr>
        <w:t xml:space="preserve">information collections contained in the </w:t>
      </w:r>
      <w:r w:rsidRPr="00A769F9">
        <w:rPr>
          <w:rFonts w:cs="Arial"/>
          <w:szCs w:val="22"/>
        </w:rPr>
        <w:t xml:space="preserve">proposed rule as a result of public comments. </w:t>
      </w:r>
      <w:r>
        <w:rPr>
          <w:rFonts w:cs="Arial"/>
          <w:szCs w:val="22"/>
        </w:rPr>
        <w:t xml:space="preserve"> </w:t>
      </w:r>
      <w:r w:rsidRPr="00A769F9">
        <w:rPr>
          <w:rFonts w:cs="Arial"/>
          <w:szCs w:val="22"/>
        </w:rPr>
        <w:t>The final rule reflects the following changes:</w:t>
      </w:r>
    </w:p>
    <w:p w:rsidRPr="00A769F9" w:rsidR="00B34BE9" w:rsidP="00B34BE9" w:rsidRDefault="00B34BE9" w14:paraId="2C335716" w14:textId="77777777">
      <w:pPr>
        <w:widowControl/>
        <w:rPr>
          <w:rFonts w:cs="Arial"/>
          <w:szCs w:val="22"/>
        </w:rPr>
      </w:pPr>
    </w:p>
    <w:p w:rsidRPr="00353FF1" w:rsidR="00B34BE9" w:rsidP="00B34BE9" w:rsidRDefault="00B34BE9" w14:paraId="7CADB9C4" w14:textId="6926608C">
      <w:pPr>
        <w:pStyle w:val="ListParagraph"/>
        <w:widowControl/>
        <w:numPr>
          <w:ilvl w:val="0"/>
          <w:numId w:val="12"/>
        </w:numPr>
        <w:rPr>
          <w:rFonts w:cs="Arial"/>
          <w:szCs w:val="22"/>
        </w:rPr>
      </w:pPr>
      <w:r w:rsidRPr="0062723D">
        <w:rPr>
          <w:rFonts w:cs="Arial"/>
          <w:szCs w:val="22"/>
        </w:rPr>
        <w:t xml:space="preserve">The </w:t>
      </w:r>
      <w:r w:rsidRPr="0062723D" w:rsidR="00EE0040">
        <w:rPr>
          <w:rFonts w:cs="Arial"/>
          <w:szCs w:val="22"/>
        </w:rPr>
        <w:t xml:space="preserve">final </w:t>
      </w:r>
      <w:r w:rsidRPr="0062723D">
        <w:rPr>
          <w:rFonts w:cs="Arial"/>
          <w:szCs w:val="22"/>
        </w:rPr>
        <w:t>rule provides additional time to report certain types of event</w:t>
      </w:r>
      <w:r w:rsidR="00FF0AC5">
        <w:rPr>
          <w:rFonts w:cs="Arial"/>
          <w:szCs w:val="22"/>
        </w:rPr>
        <w:t xml:space="preserve"> from 1 hour for all events to 1 hour, 4 hours, or 8 hours depending on the security significance of the event</w:t>
      </w:r>
      <w:r w:rsidRPr="0062723D">
        <w:rPr>
          <w:rFonts w:cs="Arial"/>
          <w:szCs w:val="22"/>
        </w:rPr>
        <w:t xml:space="preserve">s.  This allows regulated entities more time to evaluate a physical security event and determine its category and response.  </w:t>
      </w:r>
      <w:r w:rsidRPr="00353FF1">
        <w:rPr>
          <w:rFonts w:cs="Arial"/>
          <w:szCs w:val="22"/>
        </w:rPr>
        <w:t xml:space="preserve">The </w:t>
      </w:r>
      <w:r w:rsidR="00EE0040">
        <w:rPr>
          <w:rFonts w:cs="Arial"/>
          <w:szCs w:val="22"/>
        </w:rPr>
        <w:t xml:space="preserve">final </w:t>
      </w:r>
      <w:r w:rsidRPr="00353FF1">
        <w:rPr>
          <w:rFonts w:cs="Arial"/>
          <w:szCs w:val="22"/>
        </w:rPr>
        <w:t xml:space="preserve">rule extends the compliance date of the physical security event notification requirements.  Public comments indicated that 9 months would be an appropriate time to complete the training and procedure updates necessary as a result of the rule.  The compliance date was increased </w:t>
      </w:r>
      <w:r w:rsidR="004B4311">
        <w:rPr>
          <w:rFonts w:cs="Arial"/>
          <w:szCs w:val="22"/>
        </w:rPr>
        <w:t xml:space="preserve">from </w:t>
      </w:r>
      <w:r w:rsidR="0085211D">
        <w:rPr>
          <w:rFonts w:cs="Arial"/>
          <w:szCs w:val="22"/>
        </w:rPr>
        <w:t>210</w:t>
      </w:r>
      <w:r w:rsidR="004B4311">
        <w:rPr>
          <w:rFonts w:cs="Arial"/>
          <w:szCs w:val="22"/>
        </w:rPr>
        <w:t xml:space="preserve"> days </w:t>
      </w:r>
      <w:r w:rsidRPr="00353FF1">
        <w:rPr>
          <w:rFonts w:cs="Arial"/>
          <w:szCs w:val="22"/>
        </w:rPr>
        <w:t xml:space="preserve">to </w:t>
      </w:r>
      <w:r w:rsidR="00457A27">
        <w:rPr>
          <w:rFonts w:cs="Arial"/>
          <w:szCs w:val="22"/>
        </w:rPr>
        <w:t>300</w:t>
      </w:r>
      <w:r w:rsidRPr="00353FF1">
        <w:rPr>
          <w:rFonts w:cs="Arial"/>
          <w:szCs w:val="22"/>
        </w:rPr>
        <w:t xml:space="preserve"> days</w:t>
      </w:r>
      <w:r w:rsidR="00F9191B">
        <w:rPr>
          <w:rFonts w:cs="Arial"/>
          <w:szCs w:val="22"/>
        </w:rPr>
        <w:t xml:space="preserve"> (from the date of publication of the final rule)</w:t>
      </w:r>
      <w:r w:rsidRPr="00353FF1">
        <w:rPr>
          <w:rFonts w:cs="Arial"/>
          <w:szCs w:val="22"/>
        </w:rPr>
        <w:t xml:space="preserve">.  </w:t>
      </w:r>
    </w:p>
    <w:p w:rsidR="00B34BE9" w:rsidP="00B34BE9" w:rsidRDefault="00B34BE9" w14:paraId="2FBC868C" w14:textId="77777777">
      <w:pPr>
        <w:widowControl/>
        <w:rPr>
          <w:rFonts w:cs="Arial"/>
          <w:szCs w:val="22"/>
        </w:rPr>
      </w:pPr>
    </w:p>
    <w:p w:rsidRPr="00353FF1" w:rsidR="00B34BE9" w:rsidP="00B34BE9" w:rsidRDefault="00B34BE9" w14:paraId="6E826387" w14:textId="77777777">
      <w:pPr>
        <w:pStyle w:val="ListParagraph"/>
        <w:widowControl/>
        <w:numPr>
          <w:ilvl w:val="0"/>
          <w:numId w:val="12"/>
        </w:numPr>
        <w:rPr>
          <w:rFonts w:cs="Arial"/>
          <w:szCs w:val="22"/>
        </w:rPr>
      </w:pPr>
      <w:r w:rsidRPr="00353FF1">
        <w:rPr>
          <w:rFonts w:cs="Arial"/>
          <w:szCs w:val="22"/>
        </w:rPr>
        <w:t xml:space="preserve">The </w:t>
      </w:r>
      <w:r w:rsidR="00EE0040">
        <w:rPr>
          <w:rFonts w:cs="Arial"/>
          <w:szCs w:val="22"/>
        </w:rPr>
        <w:t xml:space="preserve">final </w:t>
      </w:r>
      <w:r w:rsidRPr="00353FF1">
        <w:rPr>
          <w:rFonts w:cs="Arial"/>
          <w:szCs w:val="22"/>
        </w:rPr>
        <w:t>rule modifies the periodicity of recurring firearms background checks.  The proposed rule originally stated that periodic firearms background checks for those licensees with Section 161A authority would be required every 3 years.  Pub</w:t>
      </w:r>
      <w:r>
        <w:rPr>
          <w:rFonts w:cs="Arial"/>
          <w:szCs w:val="22"/>
        </w:rPr>
        <w:t>l</w:t>
      </w:r>
      <w:r w:rsidRPr="00353FF1">
        <w:rPr>
          <w:rFonts w:cs="Arial"/>
          <w:szCs w:val="22"/>
        </w:rPr>
        <w:t>ic comments stated that 5</w:t>
      </w:r>
      <w:r w:rsidR="009C21E4">
        <w:rPr>
          <w:rFonts w:cs="Arial"/>
          <w:szCs w:val="22"/>
        </w:rPr>
        <w:t>-</w:t>
      </w:r>
      <w:r w:rsidRPr="00353FF1">
        <w:rPr>
          <w:rFonts w:cs="Arial"/>
          <w:szCs w:val="22"/>
        </w:rPr>
        <w:t>year periods would be more appropriate as it would allow licensees to align the firearms background checks with the other background</w:t>
      </w:r>
      <w:r w:rsidR="009C21E4">
        <w:rPr>
          <w:rFonts w:cs="Arial"/>
          <w:szCs w:val="22"/>
        </w:rPr>
        <w:t xml:space="preserve"> or security clearance</w:t>
      </w:r>
      <w:r w:rsidRPr="00353FF1">
        <w:rPr>
          <w:rFonts w:cs="Arial"/>
          <w:szCs w:val="22"/>
        </w:rPr>
        <w:t xml:space="preserve"> checks required of security personnel.  The </w:t>
      </w:r>
      <w:r w:rsidR="00F92741">
        <w:rPr>
          <w:rFonts w:cs="Arial"/>
          <w:szCs w:val="22"/>
        </w:rPr>
        <w:t>NRC</w:t>
      </w:r>
      <w:r w:rsidRPr="00353FF1" w:rsidR="00F92741">
        <w:rPr>
          <w:rFonts w:cs="Arial"/>
          <w:szCs w:val="22"/>
        </w:rPr>
        <w:t xml:space="preserve"> </w:t>
      </w:r>
      <w:r w:rsidRPr="00353FF1">
        <w:rPr>
          <w:rFonts w:cs="Arial"/>
          <w:szCs w:val="22"/>
        </w:rPr>
        <w:t>agreed and changed the period to 5 years.</w:t>
      </w:r>
    </w:p>
    <w:p w:rsidR="00B34BE9" w:rsidP="00B34BE9" w:rsidRDefault="00B34BE9" w14:paraId="1B311480" w14:textId="77777777">
      <w:pPr>
        <w:widowControl/>
        <w:rPr>
          <w:rFonts w:cs="Arial"/>
          <w:szCs w:val="22"/>
        </w:rPr>
      </w:pPr>
    </w:p>
    <w:p w:rsidRPr="00353FF1" w:rsidR="00B34BE9" w:rsidP="00B34BE9" w:rsidRDefault="00B34BE9" w14:paraId="44EC400D" w14:textId="77777777">
      <w:pPr>
        <w:pStyle w:val="ListParagraph"/>
        <w:widowControl/>
        <w:numPr>
          <w:ilvl w:val="0"/>
          <w:numId w:val="12"/>
        </w:numPr>
        <w:rPr>
          <w:rFonts w:cs="Arial"/>
          <w:szCs w:val="22"/>
        </w:rPr>
      </w:pPr>
      <w:r w:rsidRPr="00353FF1">
        <w:rPr>
          <w:rFonts w:cs="Arial"/>
          <w:szCs w:val="22"/>
        </w:rPr>
        <w:t xml:space="preserve">The </w:t>
      </w:r>
      <w:r w:rsidR="00EE0040">
        <w:rPr>
          <w:rFonts w:cs="Arial"/>
          <w:szCs w:val="22"/>
        </w:rPr>
        <w:t xml:space="preserve">final </w:t>
      </w:r>
      <w:r w:rsidRPr="00353FF1">
        <w:rPr>
          <w:rFonts w:cs="Arial"/>
          <w:szCs w:val="22"/>
        </w:rPr>
        <w:t xml:space="preserve">rule adds </w:t>
      </w:r>
      <w:r w:rsidR="00EE0040">
        <w:rPr>
          <w:rFonts w:cs="Arial"/>
          <w:szCs w:val="22"/>
        </w:rPr>
        <w:t>reporting</w:t>
      </w:r>
      <w:r w:rsidRPr="00353FF1">
        <w:rPr>
          <w:rFonts w:cs="Arial"/>
          <w:szCs w:val="22"/>
        </w:rPr>
        <w:t xml:space="preserve"> of suspicious </w:t>
      </w:r>
      <w:r w:rsidR="00EE0040">
        <w:rPr>
          <w:rFonts w:cs="Arial"/>
          <w:szCs w:val="22"/>
        </w:rPr>
        <w:t>activities</w:t>
      </w:r>
      <w:r w:rsidRPr="00353FF1">
        <w:rPr>
          <w:rFonts w:cs="Arial"/>
          <w:szCs w:val="22"/>
        </w:rPr>
        <w:t xml:space="preserve"> to local FBI field offices</w:t>
      </w:r>
      <w:r w:rsidR="00EE0040">
        <w:rPr>
          <w:rFonts w:cs="Arial"/>
          <w:szCs w:val="22"/>
        </w:rPr>
        <w:t xml:space="preserve"> and </w:t>
      </w:r>
      <w:r w:rsidR="00F92741">
        <w:rPr>
          <w:rFonts w:cs="Arial"/>
          <w:szCs w:val="22"/>
        </w:rPr>
        <w:t>LLEA; and to the local FAA control tower (for suspicious aircraft activities)</w:t>
      </w:r>
      <w:r w:rsidRPr="00353FF1">
        <w:rPr>
          <w:rFonts w:cs="Arial"/>
          <w:szCs w:val="22"/>
        </w:rPr>
        <w:t xml:space="preserve">.  Public comments stated that the NRC should consider requiring licensees to report suspicious </w:t>
      </w:r>
      <w:r w:rsidR="00EE0040">
        <w:rPr>
          <w:rFonts w:cs="Arial"/>
          <w:szCs w:val="22"/>
        </w:rPr>
        <w:t>activities</w:t>
      </w:r>
      <w:r w:rsidRPr="00353FF1">
        <w:rPr>
          <w:rFonts w:cs="Arial"/>
          <w:szCs w:val="22"/>
        </w:rPr>
        <w:t xml:space="preserve"> to </w:t>
      </w:r>
      <w:r w:rsidR="00EE0040">
        <w:rPr>
          <w:rFonts w:cs="Arial"/>
          <w:szCs w:val="22"/>
        </w:rPr>
        <w:t xml:space="preserve">the </w:t>
      </w:r>
      <w:r w:rsidRPr="00353FF1">
        <w:rPr>
          <w:rFonts w:cs="Arial"/>
          <w:szCs w:val="22"/>
        </w:rPr>
        <w:t xml:space="preserve">local </w:t>
      </w:r>
      <w:r w:rsidR="00EE0040">
        <w:rPr>
          <w:rFonts w:cs="Arial"/>
          <w:szCs w:val="22"/>
        </w:rPr>
        <w:t xml:space="preserve">law enforcement and </w:t>
      </w:r>
      <w:r w:rsidRPr="00353FF1">
        <w:rPr>
          <w:rFonts w:cs="Arial"/>
          <w:szCs w:val="22"/>
        </w:rPr>
        <w:t xml:space="preserve">FBI field office in addition to the NRC Operations Center.  This would provide </w:t>
      </w:r>
      <w:r w:rsidR="00F92741">
        <w:rPr>
          <w:rFonts w:cs="Arial"/>
          <w:szCs w:val="22"/>
        </w:rPr>
        <w:t>timely</w:t>
      </w:r>
      <w:r w:rsidRPr="00353FF1" w:rsidR="00F92741">
        <w:rPr>
          <w:rFonts w:cs="Arial"/>
          <w:szCs w:val="22"/>
        </w:rPr>
        <w:t xml:space="preserve"> </w:t>
      </w:r>
      <w:r w:rsidRPr="00353FF1">
        <w:rPr>
          <w:rFonts w:cs="Arial"/>
          <w:szCs w:val="22"/>
        </w:rPr>
        <w:t xml:space="preserve">information to </w:t>
      </w:r>
      <w:r w:rsidR="00F92741">
        <w:rPr>
          <w:rFonts w:cs="Arial"/>
          <w:szCs w:val="22"/>
        </w:rPr>
        <w:t xml:space="preserve">LLEA and </w:t>
      </w:r>
      <w:r w:rsidRPr="00353FF1">
        <w:rPr>
          <w:rFonts w:cs="Arial"/>
          <w:szCs w:val="22"/>
        </w:rPr>
        <w:t xml:space="preserve">the FBI for </w:t>
      </w:r>
      <w:r w:rsidR="00F92741">
        <w:rPr>
          <w:rFonts w:cs="Arial"/>
          <w:szCs w:val="22"/>
        </w:rPr>
        <w:t xml:space="preserve">investigating </w:t>
      </w:r>
      <w:r w:rsidR="00FE5CFE">
        <w:rPr>
          <w:rFonts w:cs="Arial"/>
          <w:szCs w:val="22"/>
        </w:rPr>
        <w:t xml:space="preserve">suspicious </w:t>
      </w:r>
      <w:r w:rsidR="00F92741">
        <w:rPr>
          <w:rFonts w:cs="Arial"/>
          <w:szCs w:val="22"/>
        </w:rPr>
        <w:t>activit</w:t>
      </w:r>
      <w:r w:rsidR="00354D21">
        <w:rPr>
          <w:rFonts w:cs="Arial"/>
          <w:szCs w:val="22"/>
        </w:rPr>
        <w:t>ies.</w:t>
      </w:r>
      <w:r w:rsidRPr="00353FF1">
        <w:rPr>
          <w:rFonts w:cs="Arial"/>
          <w:szCs w:val="22"/>
        </w:rPr>
        <w:t xml:space="preserve">  The staff agreed and added the requirement to report suspicious </w:t>
      </w:r>
      <w:r w:rsidR="00EE0040">
        <w:rPr>
          <w:rFonts w:cs="Arial"/>
          <w:szCs w:val="22"/>
        </w:rPr>
        <w:t xml:space="preserve">activities </w:t>
      </w:r>
      <w:r w:rsidRPr="00353FF1">
        <w:rPr>
          <w:rFonts w:cs="Arial"/>
          <w:szCs w:val="22"/>
        </w:rPr>
        <w:t xml:space="preserve">to </w:t>
      </w:r>
      <w:r w:rsidR="00EE0040">
        <w:rPr>
          <w:rFonts w:cs="Arial"/>
          <w:szCs w:val="22"/>
        </w:rPr>
        <w:t xml:space="preserve">the </w:t>
      </w:r>
      <w:r w:rsidRPr="00353FF1">
        <w:rPr>
          <w:rFonts w:cs="Arial"/>
          <w:szCs w:val="22"/>
        </w:rPr>
        <w:t xml:space="preserve">local </w:t>
      </w:r>
      <w:r w:rsidR="00EE0040">
        <w:rPr>
          <w:rFonts w:cs="Arial"/>
          <w:szCs w:val="22"/>
        </w:rPr>
        <w:t xml:space="preserve">law enforcement and </w:t>
      </w:r>
      <w:r w:rsidRPr="00353FF1">
        <w:rPr>
          <w:rFonts w:cs="Arial"/>
          <w:szCs w:val="22"/>
        </w:rPr>
        <w:t xml:space="preserve">FBI field office but does not specify the mechanism of that report to allow flexibility to regulated entities. </w:t>
      </w:r>
    </w:p>
    <w:p w:rsidR="00B34BE9" w:rsidP="0025037D" w:rsidRDefault="00B34BE9" w14:paraId="36620C7D" w14:textId="77777777">
      <w:pPr>
        <w:widowControl/>
        <w:rPr>
          <w:rFonts w:cs="Arial"/>
          <w:szCs w:val="22"/>
        </w:rPr>
      </w:pPr>
    </w:p>
    <w:p w:rsidR="00B34BE9" w:rsidP="0025037D" w:rsidRDefault="00B34BE9" w14:paraId="6A85E21D" w14:textId="6ED5C33B">
      <w:pPr>
        <w:widowControl/>
        <w:rPr>
          <w:rFonts w:eastAsia="Calibri" w:cs="Arial"/>
          <w:szCs w:val="22"/>
        </w:rPr>
      </w:pPr>
      <w:r>
        <w:rPr>
          <w:rFonts w:cs="Arial"/>
          <w:szCs w:val="22"/>
        </w:rPr>
        <w:t>I</w:t>
      </w:r>
      <w:r w:rsidRPr="00B34BE9">
        <w:rPr>
          <w:rFonts w:cs="Arial"/>
          <w:szCs w:val="22"/>
        </w:rPr>
        <w:t xml:space="preserve">n addition, the final rule restructures </w:t>
      </w:r>
      <w:r w:rsidRPr="00597BB3">
        <w:rPr>
          <w:rFonts w:eastAsia="Calibri" w:cs="Arial"/>
          <w:szCs w:val="22"/>
        </w:rPr>
        <w:t xml:space="preserve">10 CFR </w:t>
      </w:r>
      <w:r w:rsidR="00597BB3">
        <w:rPr>
          <w:rFonts w:eastAsia="Calibri" w:cs="Arial"/>
          <w:szCs w:val="22"/>
        </w:rPr>
        <w:t>P</w:t>
      </w:r>
      <w:r w:rsidRPr="00597BB3">
        <w:rPr>
          <w:rFonts w:eastAsia="Calibri" w:cs="Arial"/>
          <w:szCs w:val="22"/>
        </w:rPr>
        <w:t>art 73.  Event notifications</w:t>
      </w:r>
      <w:r w:rsidR="00F92741">
        <w:rPr>
          <w:rFonts w:eastAsia="Calibri" w:cs="Arial"/>
          <w:szCs w:val="22"/>
        </w:rPr>
        <w:t>, written follow-up reports, and safeguards event recordable events</w:t>
      </w:r>
      <w:r w:rsidRPr="00597BB3">
        <w:rPr>
          <w:rFonts w:eastAsia="Calibri" w:cs="Arial"/>
          <w:szCs w:val="22"/>
        </w:rPr>
        <w:t xml:space="preserve"> previously included in </w:t>
      </w:r>
      <w:r w:rsidR="00597BB3">
        <w:rPr>
          <w:rFonts w:eastAsia="Calibri" w:cs="Arial"/>
          <w:szCs w:val="22"/>
        </w:rPr>
        <w:t>§</w:t>
      </w:r>
      <w:r w:rsidR="00EE0040">
        <w:rPr>
          <w:rFonts w:eastAsia="Calibri" w:cs="Arial"/>
          <w:szCs w:val="22"/>
        </w:rPr>
        <w:t> </w:t>
      </w:r>
      <w:r w:rsidRPr="00597BB3">
        <w:rPr>
          <w:rFonts w:eastAsia="Calibri" w:cs="Arial"/>
          <w:szCs w:val="22"/>
        </w:rPr>
        <w:t xml:space="preserve">73.71 </w:t>
      </w:r>
      <w:r w:rsidR="00597BB3">
        <w:rPr>
          <w:rFonts w:eastAsia="Calibri" w:cs="Arial"/>
          <w:szCs w:val="22"/>
        </w:rPr>
        <w:t xml:space="preserve">and </w:t>
      </w:r>
      <w:r w:rsidRPr="00597BB3" w:rsidR="00597BB3">
        <w:rPr>
          <w:rFonts w:eastAsia="Calibri" w:cs="Arial"/>
          <w:szCs w:val="22"/>
        </w:rPr>
        <w:t>10 CFR part 73</w:t>
      </w:r>
      <w:r w:rsidR="00597BB3">
        <w:rPr>
          <w:rFonts w:eastAsia="Calibri" w:cs="Arial"/>
          <w:szCs w:val="22"/>
        </w:rPr>
        <w:t>,</w:t>
      </w:r>
      <w:r w:rsidR="00B56E10">
        <w:rPr>
          <w:rFonts w:eastAsia="Calibri" w:cs="Arial"/>
          <w:szCs w:val="22"/>
        </w:rPr>
        <w:t xml:space="preserve"> </w:t>
      </w:r>
      <w:r w:rsidR="00597BB3">
        <w:rPr>
          <w:rFonts w:eastAsia="Calibri" w:cs="Arial"/>
          <w:szCs w:val="22"/>
        </w:rPr>
        <w:lastRenderedPageBreak/>
        <w:t>Appendix</w:t>
      </w:r>
      <w:r w:rsidR="00B56E10">
        <w:rPr>
          <w:rFonts w:eastAsia="Calibri" w:cs="Arial"/>
          <w:szCs w:val="22"/>
        </w:rPr>
        <w:t> </w:t>
      </w:r>
      <w:r w:rsidR="00597BB3">
        <w:rPr>
          <w:rFonts w:eastAsia="Calibri" w:cs="Arial"/>
          <w:szCs w:val="22"/>
        </w:rPr>
        <w:t xml:space="preserve">G, </w:t>
      </w:r>
      <w:r w:rsidRPr="00597BB3">
        <w:rPr>
          <w:rFonts w:eastAsia="Calibri" w:cs="Arial"/>
          <w:szCs w:val="22"/>
        </w:rPr>
        <w:t xml:space="preserve">are now </w:t>
      </w:r>
      <w:r w:rsidRPr="00597BB3" w:rsidR="00F92741">
        <w:rPr>
          <w:rFonts w:eastAsia="Calibri" w:cs="Arial"/>
          <w:szCs w:val="22"/>
        </w:rPr>
        <w:t>r</w:t>
      </w:r>
      <w:r w:rsidR="00F92741">
        <w:rPr>
          <w:rFonts w:eastAsia="Calibri" w:cs="Arial"/>
          <w:szCs w:val="22"/>
        </w:rPr>
        <w:t>edesignated</w:t>
      </w:r>
      <w:r w:rsidRPr="00597BB3" w:rsidR="00F92741">
        <w:rPr>
          <w:rFonts w:eastAsia="Calibri" w:cs="Arial"/>
          <w:szCs w:val="22"/>
        </w:rPr>
        <w:t xml:space="preserve"> </w:t>
      </w:r>
      <w:r w:rsidRPr="00597BB3">
        <w:rPr>
          <w:rFonts w:eastAsia="Calibri" w:cs="Arial"/>
          <w:szCs w:val="22"/>
        </w:rPr>
        <w:t xml:space="preserve">in </w:t>
      </w:r>
      <w:r w:rsidR="00597BB3">
        <w:rPr>
          <w:rFonts w:eastAsia="Calibri" w:cs="Arial"/>
          <w:szCs w:val="22"/>
        </w:rPr>
        <w:t>§§</w:t>
      </w:r>
      <w:r w:rsidRPr="00597BB3">
        <w:rPr>
          <w:rFonts w:eastAsia="Calibri" w:cs="Arial"/>
          <w:szCs w:val="22"/>
        </w:rPr>
        <w:t xml:space="preserve"> 73.1200</w:t>
      </w:r>
      <w:r w:rsidR="00597BB3">
        <w:rPr>
          <w:rFonts w:eastAsia="Calibri" w:cs="Arial"/>
          <w:szCs w:val="22"/>
        </w:rPr>
        <w:t>, 73.1205, and 73.1210</w:t>
      </w:r>
      <w:r w:rsidRPr="00597BB3">
        <w:rPr>
          <w:rFonts w:eastAsia="Calibri" w:cs="Arial"/>
          <w:szCs w:val="22"/>
        </w:rPr>
        <w:t xml:space="preserve">.  </w:t>
      </w:r>
      <w:r w:rsidR="00B56E10">
        <w:rPr>
          <w:rFonts w:eastAsia="Calibri" w:cs="Arial"/>
          <w:szCs w:val="22"/>
        </w:rPr>
        <w:t xml:space="preserve">The new suspicious </w:t>
      </w:r>
      <w:r w:rsidR="00EE0040">
        <w:rPr>
          <w:rFonts w:eastAsia="Calibri" w:cs="Arial"/>
          <w:szCs w:val="22"/>
        </w:rPr>
        <w:t>activity</w:t>
      </w:r>
      <w:r w:rsidR="00B56E10">
        <w:rPr>
          <w:rFonts w:eastAsia="Calibri" w:cs="Arial"/>
          <w:szCs w:val="22"/>
        </w:rPr>
        <w:t xml:space="preserve"> reporting requirements are </w:t>
      </w:r>
      <w:r w:rsidR="00D02445">
        <w:rPr>
          <w:rFonts w:eastAsia="Calibri" w:cs="Arial"/>
          <w:szCs w:val="22"/>
        </w:rPr>
        <w:t xml:space="preserve">contained </w:t>
      </w:r>
      <w:r w:rsidR="00B56E10">
        <w:rPr>
          <w:rFonts w:eastAsia="Calibri" w:cs="Arial"/>
          <w:szCs w:val="22"/>
        </w:rPr>
        <w:t xml:space="preserve">in </w:t>
      </w:r>
      <w:r w:rsidR="00EE0040">
        <w:rPr>
          <w:rFonts w:eastAsia="Calibri" w:cs="Arial"/>
          <w:szCs w:val="22"/>
        </w:rPr>
        <w:t xml:space="preserve">§ </w:t>
      </w:r>
      <w:r w:rsidR="00B56E10">
        <w:rPr>
          <w:rFonts w:eastAsia="Calibri" w:cs="Arial"/>
          <w:szCs w:val="22"/>
        </w:rPr>
        <w:t xml:space="preserve">73.1215.  </w:t>
      </w:r>
      <w:r w:rsidRPr="00597BB3">
        <w:rPr>
          <w:rFonts w:eastAsia="Calibri" w:cs="Arial"/>
          <w:szCs w:val="22"/>
        </w:rPr>
        <w:t>The restructuring of 10 CFR Part 73 does not affect the information collection requirements of the Part.</w:t>
      </w:r>
    </w:p>
    <w:p w:rsidR="00B03DF8" w:rsidP="0025037D" w:rsidRDefault="00B03DF8" w14:paraId="19AFA6C5" w14:textId="029DA29F">
      <w:pPr>
        <w:widowControl/>
        <w:rPr>
          <w:rFonts w:eastAsia="Calibri" w:cs="Arial"/>
          <w:szCs w:val="22"/>
        </w:rPr>
      </w:pPr>
    </w:p>
    <w:p w:rsidRPr="00A32597" w:rsidR="0025037D" w:rsidP="00577D64" w:rsidRDefault="0025037D" w14:paraId="2D40500C" w14:textId="77777777">
      <w:pPr>
        <w:widowControl/>
        <w:rPr>
          <w:rFonts w:cs="Arial"/>
          <w:szCs w:val="22"/>
        </w:rPr>
      </w:pPr>
    </w:p>
    <w:p w:rsidRPr="00A32597" w:rsidR="002B1B50" w:rsidP="00577D64" w:rsidRDefault="002B1B50" w14:paraId="174BAA36" w14:textId="77777777">
      <w:pPr>
        <w:widowControl/>
        <w:rPr>
          <w:rFonts w:cs="Arial"/>
          <w:szCs w:val="22"/>
        </w:rPr>
      </w:pPr>
      <w:r w:rsidRPr="00A32597">
        <w:rPr>
          <w:rFonts w:cs="Arial"/>
          <w:szCs w:val="22"/>
        </w:rPr>
        <w:t>A.</w:t>
      </w:r>
      <w:r w:rsidRPr="00A32597">
        <w:rPr>
          <w:rFonts w:cs="Arial"/>
          <w:szCs w:val="22"/>
        </w:rPr>
        <w:tab/>
      </w:r>
      <w:r w:rsidRPr="00A32597">
        <w:rPr>
          <w:rFonts w:cs="Arial"/>
          <w:szCs w:val="22"/>
          <w:u w:val="single"/>
        </w:rPr>
        <w:t>JUSTIFICATION</w:t>
      </w:r>
    </w:p>
    <w:p w:rsidRPr="00A32597" w:rsidR="002B1B50" w:rsidP="00577D64" w:rsidRDefault="002B1B50" w14:paraId="4CCDA8E4" w14:textId="77777777">
      <w:pPr>
        <w:widowControl/>
        <w:rPr>
          <w:rFonts w:cs="Arial"/>
          <w:szCs w:val="22"/>
        </w:rPr>
      </w:pPr>
    </w:p>
    <w:p w:rsidR="001B0614" w:rsidP="001B0614" w:rsidRDefault="001B0614" w14:paraId="08D5136A" w14:textId="77777777">
      <w:pPr>
        <w:widowControl/>
        <w:tabs>
          <w:tab w:val="center" w:pos="4680"/>
        </w:tabs>
        <w:rPr>
          <w:rFonts w:cs="Arial"/>
          <w:i/>
          <w:szCs w:val="22"/>
        </w:rPr>
      </w:pPr>
      <w:r>
        <w:rPr>
          <w:rFonts w:cs="Arial"/>
          <w:i/>
          <w:szCs w:val="22"/>
        </w:rPr>
        <w:t xml:space="preserve">Requirements related to </w:t>
      </w:r>
      <w:r w:rsidR="00160551">
        <w:rPr>
          <w:rFonts w:cs="Arial"/>
          <w:i/>
          <w:szCs w:val="22"/>
        </w:rPr>
        <w:t>Section 161A of the AEA activities</w:t>
      </w:r>
    </w:p>
    <w:p w:rsidRPr="00B52E84" w:rsidR="001B0614" w:rsidP="001B0614" w:rsidRDefault="001B0614" w14:paraId="71568227" w14:textId="77777777">
      <w:pPr>
        <w:widowControl/>
        <w:tabs>
          <w:tab w:val="center" w:pos="4680"/>
        </w:tabs>
        <w:rPr>
          <w:rFonts w:cs="Arial"/>
          <w:i/>
          <w:szCs w:val="22"/>
        </w:rPr>
      </w:pPr>
    </w:p>
    <w:p w:rsidRPr="00FF4915" w:rsidR="001B0614" w:rsidP="001B0614" w:rsidRDefault="001B0614" w14:paraId="1ECBF84C" w14:textId="59CE5F5F">
      <w:pPr>
        <w:widowControl/>
        <w:tabs>
          <w:tab w:val="center" w:pos="4680"/>
        </w:tabs>
        <w:rPr>
          <w:rFonts w:cs="Arial"/>
          <w:szCs w:val="22"/>
        </w:rPr>
      </w:pPr>
      <w:r w:rsidRPr="00832DC6">
        <w:rPr>
          <w:rFonts w:cs="Arial"/>
          <w:szCs w:val="22"/>
        </w:rPr>
        <w:t xml:space="preserve">On August 8, 2005, President Bush signed into law the </w:t>
      </w:r>
      <w:r w:rsidRPr="00D02445">
        <w:rPr>
          <w:rFonts w:cs="Arial"/>
          <w:i/>
          <w:szCs w:val="22"/>
        </w:rPr>
        <w:t>Energy Policy Act of 2005</w:t>
      </w:r>
      <w:r w:rsidRPr="00832DC6">
        <w:rPr>
          <w:rFonts w:cs="Arial"/>
          <w:szCs w:val="22"/>
        </w:rPr>
        <w:t xml:space="preserve"> (EPAct), Pub. L. 109-58, 119 Stat. 594 (2005).  Section 653 of the EPAct amended the AEA by adding Section 161A, “Use of Firearms by Security Personnel” (42 U.S.C. 2201a).  </w:t>
      </w:r>
      <w:r w:rsidRPr="00FF4915">
        <w:rPr>
          <w:rFonts w:cs="Arial"/>
          <w:szCs w:val="22"/>
        </w:rPr>
        <w:t xml:space="preserve">Section 161A.d. of the AEA provides that the Commission shall, with the approval of the </w:t>
      </w:r>
      <w:r w:rsidR="008770FC">
        <w:rPr>
          <w:rFonts w:cs="Arial"/>
          <w:szCs w:val="22"/>
        </w:rPr>
        <w:t xml:space="preserve">U.S. </w:t>
      </w:r>
      <w:r w:rsidRPr="00FF4915">
        <w:rPr>
          <w:rFonts w:cs="Arial"/>
          <w:szCs w:val="22"/>
        </w:rPr>
        <w:t>Attorney General</w:t>
      </w:r>
      <w:r w:rsidR="008770FC">
        <w:rPr>
          <w:rFonts w:cs="Arial"/>
          <w:szCs w:val="22"/>
        </w:rPr>
        <w:t xml:space="preserve"> (AG)</w:t>
      </w:r>
      <w:r w:rsidRPr="00FF4915">
        <w:rPr>
          <w:rFonts w:cs="Arial"/>
          <w:szCs w:val="22"/>
        </w:rPr>
        <w:t xml:space="preserve">, develop and promulgate guidelines for the implementation of this statute.  On September 11, 2009, the NRC, with the approval of the </w:t>
      </w:r>
      <w:r w:rsidR="008770FC">
        <w:rPr>
          <w:rFonts w:cs="Arial"/>
          <w:szCs w:val="22"/>
        </w:rPr>
        <w:t>AG</w:t>
      </w:r>
      <w:r w:rsidRPr="00FF4915">
        <w:rPr>
          <w:rFonts w:cs="Arial"/>
          <w:szCs w:val="22"/>
        </w:rPr>
        <w:t>, published Firearms Guidelines in the Federal Register (74</w:t>
      </w:r>
      <w:r w:rsidR="005F47C7">
        <w:rPr>
          <w:rFonts w:cs="Arial"/>
          <w:szCs w:val="22"/>
        </w:rPr>
        <w:t> </w:t>
      </w:r>
      <w:r w:rsidRPr="00FF4915">
        <w:rPr>
          <w:rFonts w:cs="Arial"/>
          <w:szCs w:val="22"/>
        </w:rPr>
        <w:t>FR</w:t>
      </w:r>
      <w:r w:rsidR="005F47C7">
        <w:rPr>
          <w:rFonts w:cs="Arial"/>
          <w:szCs w:val="22"/>
        </w:rPr>
        <w:t> </w:t>
      </w:r>
      <w:r w:rsidRPr="00FF4915">
        <w:rPr>
          <w:rFonts w:cs="Arial"/>
          <w:szCs w:val="22"/>
        </w:rPr>
        <w:t xml:space="preserve">46800).  These guidelines allow licensees </w:t>
      </w:r>
      <w:r w:rsidR="00160551">
        <w:rPr>
          <w:rFonts w:cs="Arial"/>
          <w:szCs w:val="22"/>
        </w:rPr>
        <w:t xml:space="preserve">falling within Commission-designated classes of facilities, activities, and other property </w:t>
      </w:r>
      <w:r w:rsidRPr="00FF4915">
        <w:rPr>
          <w:rFonts w:cs="Arial"/>
          <w:szCs w:val="22"/>
        </w:rPr>
        <w:t xml:space="preserve">to </w:t>
      </w:r>
      <w:r>
        <w:rPr>
          <w:rFonts w:cs="Arial"/>
          <w:szCs w:val="22"/>
        </w:rPr>
        <w:t xml:space="preserve">voluntarily </w:t>
      </w:r>
      <w:r w:rsidRPr="00FF4915">
        <w:rPr>
          <w:rFonts w:cs="Arial"/>
          <w:szCs w:val="22"/>
        </w:rPr>
        <w:t xml:space="preserve">apply for </w:t>
      </w:r>
      <w:r w:rsidR="00160551">
        <w:rPr>
          <w:rFonts w:cs="Arial"/>
          <w:szCs w:val="22"/>
        </w:rPr>
        <w:t xml:space="preserve">stand-alone </w:t>
      </w:r>
      <w:r w:rsidRPr="00FF4915">
        <w:rPr>
          <w:rFonts w:cs="Arial"/>
          <w:szCs w:val="22"/>
        </w:rPr>
        <w:t xml:space="preserve">preemption authority only or combined preemption </w:t>
      </w:r>
      <w:r w:rsidR="005F47C7">
        <w:rPr>
          <w:rFonts w:cs="Arial"/>
          <w:szCs w:val="22"/>
        </w:rPr>
        <w:t xml:space="preserve">authority </w:t>
      </w:r>
      <w:r w:rsidRPr="00FF4915">
        <w:rPr>
          <w:rFonts w:cs="Arial"/>
          <w:szCs w:val="22"/>
        </w:rPr>
        <w:t xml:space="preserve">and enhanced weapons authority.  The statute also includes provisions for firearms background checks for </w:t>
      </w:r>
      <w:r w:rsidR="00160551">
        <w:rPr>
          <w:rFonts w:cs="Arial"/>
          <w:szCs w:val="22"/>
        </w:rPr>
        <w:t xml:space="preserve">the security personnel </w:t>
      </w:r>
      <w:r w:rsidRPr="00FF4915">
        <w:rPr>
          <w:rFonts w:cs="Arial"/>
          <w:szCs w:val="22"/>
        </w:rPr>
        <w:t xml:space="preserve">those </w:t>
      </w:r>
      <w:r w:rsidR="00160551">
        <w:rPr>
          <w:rFonts w:cs="Arial"/>
          <w:szCs w:val="22"/>
        </w:rPr>
        <w:t xml:space="preserve">licensees </w:t>
      </w:r>
      <w:r w:rsidRPr="00FF4915">
        <w:rPr>
          <w:rFonts w:cs="Arial"/>
          <w:szCs w:val="22"/>
        </w:rPr>
        <w:t>who apply for Section 161A authorities.</w:t>
      </w:r>
      <w:r>
        <w:rPr>
          <w:rFonts w:cs="Arial"/>
          <w:szCs w:val="22"/>
        </w:rPr>
        <w:t xml:space="preserve">  </w:t>
      </w:r>
      <w:r w:rsidRPr="00FF4915">
        <w:rPr>
          <w:rFonts w:cs="Arial"/>
          <w:szCs w:val="22"/>
        </w:rPr>
        <w:t xml:space="preserve">The </w:t>
      </w:r>
      <w:r w:rsidR="00EF7AAC">
        <w:rPr>
          <w:rFonts w:cs="Arial"/>
          <w:szCs w:val="22"/>
        </w:rPr>
        <w:t>NRC</w:t>
      </w:r>
      <w:r w:rsidRPr="00FF4915">
        <w:rPr>
          <w:rFonts w:cs="Arial"/>
          <w:szCs w:val="22"/>
        </w:rPr>
        <w:t xml:space="preserve">, with the approval of the </w:t>
      </w:r>
      <w:r w:rsidR="008770FC">
        <w:rPr>
          <w:rFonts w:cs="Arial"/>
          <w:szCs w:val="22"/>
        </w:rPr>
        <w:t>AG</w:t>
      </w:r>
      <w:r w:rsidRPr="00FF4915">
        <w:rPr>
          <w:rFonts w:cs="Arial"/>
          <w:szCs w:val="22"/>
        </w:rPr>
        <w:t xml:space="preserve">, published the revised Firearms Guidelines </w:t>
      </w:r>
      <w:r w:rsidR="00ED7A91">
        <w:rPr>
          <w:rFonts w:cs="Arial"/>
          <w:szCs w:val="22"/>
        </w:rPr>
        <w:t xml:space="preserve">(Revision 1) </w:t>
      </w:r>
      <w:r w:rsidRPr="00FF4915">
        <w:rPr>
          <w:rFonts w:cs="Arial"/>
          <w:szCs w:val="22"/>
        </w:rPr>
        <w:t xml:space="preserve">in the </w:t>
      </w:r>
      <w:r w:rsidRPr="00FF4915">
        <w:rPr>
          <w:rFonts w:cs="Arial"/>
          <w:i/>
          <w:szCs w:val="22"/>
        </w:rPr>
        <w:t>Federal Register</w:t>
      </w:r>
      <w:r w:rsidRPr="00FF4915">
        <w:rPr>
          <w:rFonts w:cs="Arial"/>
          <w:szCs w:val="22"/>
        </w:rPr>
        <w:t xml:space="preserve"> (79 FR 36100; June 25, 2014).</w:t>
      </w:r>
      <w:r w:rsidR="00ED7A91">
        <w:rPr>
          <w:rFonts w:cs="Arial"/>
          <w:szCs w:val="22"/>
        </w:rPr>
        <w:t xml:space="preserve"> </w:t>
      </w:r>
      <w:r w:rsidRPr="004B5EBB" w:rsidR="00ED7A91">
        <w:rPr>
          <w:rFonts w:cs="Arial"/>
        </w:rPr>
        <w:t xml:space="preserve">Subsequently, the NRC, with the approval of the AG, revised the Firearms Guidelines again (Revision 2) and published them in the </w:t>
      </w:r>
      <w:r w:rsidRPr="00EF7AAC" w:rsidR="00ED7A91">
        <w:rPr>
          <w:rFonts w:cs="Arial"/>
          <w:i/>
          <w:iCs/>
        </w:rPr>
        <w:t>Federal Register</w:t>
      </w:r>
      <w:r w:rsidRPr="004B5EBB" w:rsidR="00ED7A91">
        <w:rPr>
          <w:rFonts w:cs="Arial"/>
        </w:rPr>
        <w:t xml:space="preserve"> (84 FR 8546</w:t>
      </w:r>
      <w:r w:rsidR="001E3EEE">
        <w:rPr>
          <w:rFonts w:cs="Arial"/>
        </w:rPr>
        <w:t>;</w:t>
      </w:r>
      <w:r w:rsidRPr="001E3EEE" w:rsidR="001E3EEE">
        <w:rPr>
          <w:rFonts w:cs="Arial"/>
        </w:rPr>
        <w:t xml:space="preserve"> </w:t>
      </w:r>
      <w:r w:rsidRPr="004B5EBB" w:rsidR="001E3EEE">
        <w:rPr>
          <w:rFonts w:cs="Arial"/>
        </w:rPr>
        <w:t>March 8, 2019</w:t>
      </w:r>
      <w:r w:rsidRPr="004B5EBB" w:rsidR="00ED7A91">
        <w:rPr>
          <w:rFonts w:cs="Arial"/>
        </w:rPr>
        <w:t>).</w:t>
      </w:r>
    </w:p>
    <w:p w:rsidR="001B0614" w:rsidP="001B0614" w:rsidRDefault="001B0614" w14:paraId="12014544" w14:textId="77777777">
      <w:pPr>
        <w:widowControl/>
        <w:rPr>
          <w:rFonts w:cs="Arial"/>
          <w:szCs w:val="22"/>
        </w:rPr>
      </w:pPr>
    </w:p>
    <w:p w:rsidR="001B0614" w:rsidP="001B0614" w:rsidRDefault="001B0614" w14:paraId="55CB0A62" w14:textId="08D65B17">
      <w:pPr>
        <w:widowControl/>
        <w:rPr>
          <w:rFonts w:cs="Arial"/>
          <w:szCs w:val="22"/>
        </w:rPr>
      </w:pPr>
      <w:r w:rsidRPr="00A32597">
        <w:rPr>
          <w:rFonts w:cs="Arial"/>
          <w:szCs w:val="22"/>
        </w:rPr>
        <w:t xml:space="preserve">Section 161A requires that security personnel receiving, possessing, transporting, importing, or using a </w:t>
      </w:r>
      <w:r>
        <w:rPr>
          <w:rFonts w:cs="Arial"/>
          <w:szCs w:val="22"/>
        </w:rPr>
        <w:t>covered</w:t>
      </w:r>
      <w:r w:rsidRPr="00A32597">
        <w:rPr>
          <w:rFonts w:cs="Arial"/>
          <w:szCs w:val="22"/>
        </w:rPr>
        <w:t xml:space="preserve"> weapon (i.e.</w:t>
      </w:r>
      <w:r>
        <w:rPr>
          <w:rFonts w:cs="Arial"/>
          <w:szCs w:val="22"/>
        </w:rPr>
        <w:t>,</w:t>
      </w:r>
      <w:r w:rsidRPr="00A32597">
        <w:rPr>
          <w:rFonts w:cs="Arial"/>
          <w:szCs w:val="22"/>
        </w:rPr>
        <w:t xml:space="preserve"> </w:t>
      </w:r>
      <w:r w:rsidRPr="0000399E">
        <w:rPr>
          <w:rFonts w:cs="Arial"/>
          <w:szCs w:val="22"/>
        </w:rPr>
        <w:t>a weapon, ammunition, or a device otherwise prohibited by State, local, or certain Federal laws, including regulations</w:t>
      </w:r>
      <w:r w:rsidRPr="00A32597">
        <w:rPr>
          <w:rFonts w:cs="Arial"/>
          <w:szCs w:val="22"/>
        </w:rPr>
        <w:t>) or an enhanced weapon (i.e.</w:t>
      </w:r>
      <w:r>
        <w:rPr>
          <w:rFonts w:cs="Arial"/>
          <w:szCs w:val="22"/>
        </w:rPr>
        <w:t>,</w:t>
      </w:r>
      <w:r w:rsidRPr="00A32597">
        <w:rPr>
          <w:rFonts w:cs="Arial"/>
          <w:szCs w:val="22"/>
        </w:rPr>
        <w:t xml:space="preserve"> machine guns</w:t>
      </w:r>
      <w:r>
        <w:rPr>
          <w:rFonts w:cs="Arial"/>
          <w:szCs w:val="22"/>
        </w:rPr>
        <w:t xml:space="preserve">, </w:t>
      </w:r>
      <w:r w:rsidRPr="00A32597">
        <w:rPr>
          <w:rFonts w:cs="Arial"/>
          <w:szCs w:val="22"/>
        </w:rPr>
        <w:t>short-barreled rifles</w:t>
      </w:r>
      <w:r>
        <w:rPr>
          <w:rFonts w:cs="Arial"/>
          <w:szCs w:val="22"/>
        </w:rPr>
        <w:t>,</w:t>
      </w:r>
      <w:r w:rsidRPr="00A32597">
        <w:rPr>
          <w:rFonts w:cs="Arial"/>
          <w:szCs w:val="22"/>
        </w:rPr>
        <w:t xml:space="preserve"> and short-barreled shotguns) shall be subject to a </w:t>
      </w:r>
      <w:r w:rsidR="00D27D07">
        <w:rPr>
          <w:rFonts w:cs="Arial"/>
          <w:szCs w:val="22"/>
        </w:rPr>
        <w:t xml:space="preserve">firearms </w:t>
      </w:r>
      <w:r w:rsidRPr="00A32597">
        <w:rPr>
          <w:rFonts w:cs="Arial"/>
          <w:szCs w:val="22"/>
        </w:rPr>
        <w:t xml:space="preserve">background check by the </w:t>
      </w:r>
      <w:r w:rsidR="008770FC">
        <w:rPr>
          <w:rFonts w:cs="Arial"/>
          <w:szCs w:val="22"/>
        </w:rPr>
        <w:t>AG</w:t>
      </w:r>
      <w:r w:rsidRPr="00A32597">
        <w:rPr>
          <w:rFonts w:cs="Arial"/>
          <w:szCs w:val="22"/>
        </w:rPr>
        <w:t>.  The background check uses the person’s fingerprints and other identifying information and is performed under the FBI’s National Instant Criminal Background Check Systems (NICS) to determine if an individual is prohibited under Federal or State law from possessing or receiving firearms</w:t>
      </w:r>
      <w:r w:rsidR="00D27D07">
        <w:rPr>
          <w:rFonts w:cs="Arial"/>
          <w:szCs w:val="22"/>
        </w:rPr>
        <w:t xml:space="preserve"> or ammunition</w:t>
      </w:r>
      <w:r w:rsidRPr="00A32597">
        <w:rPr>
          <w:rFonts w:cs="Arial"/>
          <w:szCs w:val="22"/>
        </w:rPr>
        <w:t xml:space="preserve">.  Security </w:t>
      </w:r>
      <w:r w:rsidR="00D27D07">
        <w:rPr>
          <w:rFonts w:cs="Arial"/>
          <w:szCs w:val="22"/>
        </w:rPr>
        <w:t>personnel protecting Commission-</w:t>
      </w:r>
      <w:r w:rsidRPr="00A32597">
        <w:rPr>
          <w:rFonts w:cs="Arial"/>
          <w:szCs w:val="22"/>
        </w:rPr>
        <w:t xml:space="preserve">designated facilities, radioactive material, or other property whose duties require them to have access to these weapons would complete the NRC Form 754, </w:t>
      </w:r>
      <w:r w:rsidRPr="00A32597" w:rsidR="008770FC">
        <w:rPr>
          <w:rFonts w:cs="Arial"/>
          <w:szCs w:val="22"/>
        </w:rPr>
        <w:t>“Armed Security Personnel Firearms Background Check”</w:t>
      </w:r>
      <w:r w:rsidR="008770FC">
        <w:rPr>
          <w:rFonts w:cs="Arial"/>
          <w:szCs w:val="22"/>
        </w:rPr>
        <w:t xml:space="preserve"> (3150-0204)</w:t>
      </w:r>
      <w:r w:rsidR="00D27D07">
        <w:rPr>
          <w:rFonts w:cs="Arial"/>
          <w:szCs w:val="22"/>
        </w:rPr>
        <w:t>.  Their</w:t>
      </w:r>
      <w:r w:rsidRPr="00A32597">
        <w:rPr>
          <w:rFonts w:cs="Arial"/>
          <w:szCs w:val="22"/>
        </w:rPr>
        <w:t xml:space="preserve"> licensee would</w:t>
      </w:r>
      <w:r w:rsidR="00D27D07">
        <w:rPr>
          <w:rFonts w:cs="Arial"/>
          <w:szCs w:val="22"/>
        </w:rPr>
        <w:t xml:space="preserve"> then submit the completed form</w:t>
      </w:r>
      <w:r w:rsidRPr="00A32597">
        <w:rPr>
          <w:rFonts w:cs="Arial"/>
          <w:szCs w:val="22"/>
        </w:rPr>
        <w:t xml:space="preserve"> </w:t>
      </w:r>
      <w:r w:rsidR="00D27D07">
        <w:rPr>
          <w:rFonts w:cs="Arial"/>
          <w:szCs w:val="22"/>
        </w:rPr>
        <w:t xml:space="preserve">and fingerprints </w:t>
      </w:r>
      <w:r w:rsidRPr="00A32597">
        <w:rPr>
          <w:rFonts w:cs="Arial"/>
          <w:szCs w:val="22"/>
        </w:rPr>
        <w:t>to the NRC, and the NRC would then forward th</w:t>
      </w:r>
      <w:r w:rsidR="00D27D07">
        <w:rPr>
          <w:rFonts w:cs="Arial"/>
          <w:szCs w:val="22"/>
        </w:rPr>
        <w:t>is</w:t>
      </w:r>
      <w:r w:rsidRPr="00A32597">
        <w:rPr>
          <w:rFonts w:cs="Arial"/>
          <w:szCs w:val="22"/>
        </w:rPr>
        <w:t xml:space="preserve"> information to the FBI to perform the </w:t>
      </w:r>
      <w:r w:rsidR="00D27D07">
        <w:rPr>
          <w:rFonts w:cs="Arial"/>
          <w:szCs w:val="22"/>
        </w:rPr>
        <w:t xml:space="preserve">check against the </w:t>
      </w:r>
      <w:r w:rsidRPr="00A32597">
        <w:rPr>
          <w:rFonts w:cs="Arial"/>
          <w:szCs w:val="22"/>
        </w:rPr>
        <w:t xml:space="preserve">NICS </w:t>
      </w:r>
      <w:r w:rsidR="00D27D07">
        <w:rPr>
          <w:rFonts w:cs="Arial"/>
          <w:szCs w:val="22"/>
        </w:rPr>
        <w:t>databases</w:t>
      </w:r>
      <w:r w:rsidRPr="00A32597">
        <w:rPr>
          <w:rFonts w:cs="Arial"/>
          <w:szCs w:val="22"/>
        </w:rPr>
        <w:t xml:space="preserve">.  The results of the FBI’s check </w:t>
      </w:r>
      <w:r w:rsidR="00D27D07">
        <w:rPr>
          <w:rFonts w:cs="Arial"/>
          <w:szCs w:val="22"/>
        </w:rPr>
        <w:t xml:space="preserve">against the NICS databases </w:t>
      </w:r>
      <w:r w:rsidRPr="00A32597">
        <w:rPr>
          <w:rFonts w:cs="Arial"/>
          <w:szCs w:val="22"/>
        </w:rPr>
        <w:t xml:space="preserve">are returned to the NRC and then forwarded to the submitting licensee.  </w:t>
      </w:r>
    </w:p>
    <w:p w:rsidRPr="00A32597" w:rsidR="001B0614" w:rsidP="001B0614" w:rsidRDefault="001B0614" w14:paraId="695A32C8" w14:textId="77777777">
      <w:pPr>
        <w:widowControl/>
        <w:tabs>
          <w:tab w:val="center" w:pos="4680"/>
        </w:tabs>
        <w:rPr>
          <w:rFonts w:cs="Arial"/>
          <w:szCs w:val="22"/>
        </w:rPr>
      </w:pPr>
    </w:p>
    <w:p w:rsidR="008770FC" w:rsidP="008770FC" w:rsidRDefault="00842A93" w14:paraId="343A10AE" w14:textId="56BC874A">
      <w:pPr>
        <w:widowControl/>
        <w:rPr>
          <w:rFonts w:cs="Arial"/>
          <w:szCs w:val="22"/>
        </w:rPr>
      </w:pPr>
      <w:r w:rsidRPr="008342C2">
        <w:rPr>
          <w:rFonts w:cs="Arial"/>
          <w:szCs w:val="22"/>
        </w:rPr>
        <w:t xml:space="preserve">On February 3, 2011, the NRC published a proposed rule, “Enhanced Weapons, Firearms Background Checks, and Security Event Notifications,” in the </w:t>
      </w:r>
      <w:r w:rsidRPr="008342C2">
        <w:rPr>
          <w:rFonts w:cs="Arial"/>
          <w:i/>
          <w:szCs w:val="22"/>
        </w:rPr>
        <w:t>Federal Register</w:t>
      </w:r>
      <w:r w:rsidRPr="008342C2">
        <w:rPr>
          <w:rFonts w:cs="Arial"/>
          <w:szCs w:val="22"/>
        </w:rPr>
        <w:t xml:space="preserve"> (76 FR 6200</w:t>
      </w:r>
      <w:r w:rsidRPr="008D7290" w:rsidR="008770FC">
        <w:rPr>
          <w:rFonts w:cs="Arial"/>
          <w:szCs w:val="22"/>
        </w:rPr>
        <w:t>)</w:t>
      </w:r>
      <w:r w:rsidR="008770FC">
        <w:rPr>
          <w:rFonts w:cs="Arial"/>
          <w:szCs w:val="22"/>
        </w:rPr>
        <w:t>.  The NRC supplemented the proposed rule on January 10, 2013 (78 FR 2214) and on September 22, 2015 (80 FR 57106)</w:t>
      </w:r>
      <w:r w:rsidRPr="008D7290" w:rsidR="008770FC">
        <w:rPr>
          <w:rFonts w:cs="Arial"/>
          <w:szCs w:val="22"/>
        </w:rPr>
        <w:t xml:space="preserve">. </w:t>
      </w:r>
      <w:r w:rsidR="008770FC">
        <w:rPr>
          <w:rFonts w:cs="Arial"/>
          <w:szCs w:val="22"/>
        </w:rPr>
        <w:t xml:space="preserve"> </w:t>
      </w:r>
      <w:r w:rsidRPr="00FB6098" w:rsidR="008770FC">
        <w:rPr>
          <w:rFonts w:cs="Arial"/>
          <w:szCs w:val="22"/>
        </w:rPr>
        <w:t>The final rule modif</w:t>
      </w:r>
      <w:r w:rsidR="00F364F7">
        <w:rPr>
          <w:rFonts w:cs="Arial"/>
          <w:szCs w:val="22"/>
        </w:rPr>
        <w:t>ies</w:t>
      </w:r>
      <w:r w:rsidRPr="00FB6098" w:rsidR="008770FC">
        <w:rPr>
          <w:rFonts w:cs="Arial"/>
          <w:szCs w:val="22"/>
        </w:rPr>
        <w:t xml:space="preserve"> the mandatory physical security event notification requirements, including adding new event notification requirements on the theft or loss of enhanced weapons</w:t>
      </w:r>
      <w:r w:rsidR="00B129C1">
        <w:rPr>
          <w:rFonts w:cs="Arial"/>
          <w:szCs w:val="22"/>
        </w:rPr>
        <w:t>, adverse enforcement actions by the Bureau of Alcohol, Tobacco, Firearms and Explosives (ATF),</w:t>
      </w:r>
      <w:r w:rsidR="008770FC">
        <w:rPr>
          <w:rFonts w:cs="Arial"/>
          <w:szCs w:val="22"/>
        </w:rPr>
        <w:t xml:space="preserve"> and </w:t>
      </w:r>
      <w:r w:rsidRPr="00FB6098" w:rsidR="008770FC">
        <w:rPr>
          <w:rFonts w:cs="Arial"/>
          <w:szCs w:val="22"/>
        </w:rPr>
        <w:t>actual or imminent hostile actions</w:t>
      </w:r>
      <w:r w:rsidR="00B129C1">
        <w:rPr>
          <w:rFonts w:cs="Arial"/>
          <w:szCs w:val="22"/>
        </w:rPr>
        <w:t>;</w:t>
      </w:r>
      <w:r w:rsidR="008770FC">
        <w:rPr>
          <w:rFonts w:cs="Arial"/>
          <w:szCs w:val="22"/>
        </w:rPr>
        <w:t xml:space="preserve"> and </w:t>
      </w:r>
      <w:r w:rsidR="00B129C1">
        <w:rPr>
          <w:rFonts w:cs="Arial"/>
          <w:szCs w:val="22"/>
        </w:rPr>
        <w:t xml:space="preserve">separates the </w:t>
      </w:r>
      <w:r w:rsidRPr="00FB6098" w:rsidR="008770FC">
        <w:rPr>
          <w:rFonts w:cs="Arial"/>
          <w:szCs w:val="22"/>
        </w:rPr>
        <w:t>suspicious activit</w:t>
      </w:r>
      <w:r w:rsidR="008770FC">
        <w:rPr>
          <w:rFonts w:cs="Arial"/>
          <w:szCs w:val="22"/>
        </w:rPr>
        <w:t>y reporting</w:t>
      </w:r>
      <w:r w:rsidR="00B129C1">
        <w:rPr>
          <w:rFonts w:cs="Arial"/>
          <w:szCs w:val="22"/>
        </w:rPr>
        <w:t xml:space="preserve"> into a new requirement</w:t>
      </w:r>
      <w:r w:rsidRPr="00FB6098" w:rsidR="008770FC">
        <w:rPr>
          <w:rFonts w:cs="Arial"/>
          <w:szCs w:val="22"/>
        </w:rPr>
        <w:t xml:space="preserve">.  </w:t>
      </w:r>
      <w:r w:rsidRPr="00A019A5" w:rsidR="008770FC">
        <w:rPr>
          <w:rFonts w:cs="Arial"/>
          <w:szCs w:val="22"/>
        </w:rPr>
        <w:t xml:space="preserve">The information collection requirements previously issued have been updated </w:t>
      </w:r>
      <w:r w:rsidR="008770FC">
        <w:rPr>
          <w:rFonts w:cs="Arial"/>
          <w:szCs w:val="22"/>
        </w:rPr>
        <w:t>as described</w:t>
      </w:r>
      <w:r w:rsidRPr="00A019A5" w:rsidR="008770FC">
        <w:rPr>
          <w:rFonts w:cs="Arial"/>
          <w:szCs w:val="22"/>
        </w:rPr>
        <w:t xml:space="preserve"> in this supporting statement.</w:t>
      </w:r>
    </w:p>
    <w:p w:rsidR="008770FC" w:rsidP="001B0614" w:rsidRDefault="008770FC" w14:paraId="329EAF44" w14:textId="77777777">
      <w:pPr>
        <w:widowControl/>
        <w:tabs>
          <w:tab w:val="center" w:pos="4680"/>
        </w:tabs>
        <w:rPr>
          <w:rFonts w:cs="Arial"/>
          <w:szCs w:val="22"/>
        </w:rPr>
      </w:pPr>
    </w:p>
    <w:p w:rsidR="001B0614" w:rsidP="001B0614" w:rsidRDefault="00574085" w14:paraId="0CB68532" w14:textId="35B0DDB0">
      <w:pPr>
        <w:widowControl/>
        <w:tabs>
          <w:tab w:val="center" w:pos="4680"/>
        </w:tabs>
        <w:rPr>
          <w:rFonts w:cs="Arial"/>
          <w:i/>
          <w:szCs w:val="22"/>
        </w:rPr>
      </w:pPr>
      <w:r>
        <w:rPr>
          <w:rFonts w:cs="Arial"/>
          <w:i/>
          <w:szCs w:val="22"/>
        </w:rPr>
        <w:t>Withdrawal</w:t>
      </w:r>
      <w:r w:rsidRPr="00B52E84" w:rsidR="001B0614">
        <w:rPr>
          <w:rFonts w:cs="Arial"/>
          <w:i/>
          <w:szCs w:val="22"/>
        </w:rPr>
        <w:t xml:space="preserve"> </w:t>
      </w:r>
      <w:r w:rsidR="001330AC">
        <w:rPr>
          <w:rFonts w:cs="Arial"/>
          <w:i/>
          <w:szCs w:val="22"/>
        </w:rPr>
        <w:t xml:space="preserve">of Section 161A </w:t>
      </w:r>
      <w:r w:rsidRPr="00B52E84" w:rsidR="001B0614">
        <w:rPr>
          <w:rFonts w:cs="Arial"/>
          <w:i/>
          <w:szCs w:val="22"/>
        </w:rPr>
        <w:t>orders</w:t>
      </w:r>
    </w:p>
    <w:p w:rsidRPr="00B52E84" w:rsidR="001B0614" w:rsidP="001B0614" w:rsidRDefault="001B0614" w14:paraId="51207933" w14:textId="77777777">
      <w:pPr>
        <w:widowControl/>
        <w:tabs>
          <w:tab w:val="center" w:pos="4680"/>
        </w:tabs>
        <w:rPr>
          <w:rFonts w:cs="Arial"/>
          <w:i/>
          <w:szCs w:val="22"/>
        </w:rPr>
      </w:pPr>
    </w:p>
    <w:p w:rsidR="001B0614" w:rsidP="001B0614" w:rsidRDefault="001B0614" w14:paraId="65D66F8B" w14:textId="5D2DAE67">
      <w:pPr>
        <w:widowControl/>
        <w:rPr>
          <w:rFonts w:cs="Arial"/>
          <w:szCs w:val="22"/>
        </w:rPr>
      </w:pPr>
      <w:r w:rsidRPr="007F02B8">
        <w:rPr>
          <w:rFonts w:cs="Arial"/>
          <w:szCs w:val="22"/>
        </w:rPr>
        <w:lastRenderedPageBreak/>
        <w:t xml:space="preserve">Subsequent to the publication of the 2011 proposed rule, the NRC received requests from 10 licensees (located on </w:t>
      </w:r>
      <w:r w:rsidR="001A4E61">
        <w:rPr>
          <w:rFonts w:cs="Arial"/>
          <w:szCs w:val="22"/>
        </w:rPr>
        <w:t>7</w:t>
      </w:r>
      <w:r w:rsidRPr="007F02B8">
        <w:rPr>
          <w:rFonts w:cs="Arial"/>
          <w:szCs w:val="22"/>
        </w:rPr>
        <w:t xml:space="preserve"> separate sites) to obtain stand-alone preemption authority</w:t>
      </w:r>
      <w:r w:rsidR="001330AC">
        <w:rPr>
          <w:rFonts w:cs="Arial"/>
          <w:szCs w:val="22"/>
        </w:rPr>
        <w:t xml:space="preserve"> under Section 161A of the AEA</w:t>
      </w:r>
      <w:r w:rsidRPr="007F02B8">
        <w:rPr>
          <w:rFonts w:cs="Arial"/>
          <w:szCs w:val="22"/>
        </w:rPr>
        <w:t xml:space="preserve">.  In response to the requests, the NRC issued </w:t>
      </w:r>
      <w:r w:rsidR="00D02445">
        <w:rPr>
          <w:rFonts w:cs="Arial"/>
          <w:szCs w:val="22"/>
        </w:rPr>
        <w:t>designation order EA 13-092 (78 </w:t>
      </w:r>
      <w:r w:rsidRPr="007F02B8">
        <w:rPr>
          <w:rFonts w:cs="Arial"/>
          <w:szCs w:val="22"/>
        </w:rPr>
        <w:t>FR 35984), on June 14, 2013.  Order EA 13-092 designated the 10 licensees as an interim class of licensed facilities eligible to apply for stand</w:t>
      </w:r>
      <w:r>
        <w:rPr>
          <w:rFonts w:cs="Arial"/>
          <w:szCs w:val="22"/>
        </w:rPr>
        <w:t>-</w:t>
      </w:r>
      <w:r w:rsidRPr="007F02B8">
        <w:rPr>
          <w:rFonts w:cs="Arial"/>
          <w:szCs w:val="22"/>
        </w:rPr>
        <w:t xml:space="preserve">alone preemption authority under Section 161A, contained direction related to completing firearms background checks for security personnel whose official duties require access to covered weapons, and contained direction for the licensees on submitting applications for preemption authority and supporting information via a confirmatory </w:t>
      </w:r>
      <w:r w:rsidRPr="0095416F">
        <w:rPr>
          <w:rFonts w:cs="Arial"/>
          <w:szCs w:val="22"/>
        </w:rPr>
        <w:t xml:space="preserve">order.  </w:t>
      </w:r>
      <w:r w:rsidR="004E74DF">
        <w:rPr>
          <w:rFonts w:cs="Arial"/>
          <w:szCs w:val="22"/>
        </w:rPr>
        <w:t>Eight</w:t>
      </w:r>
      <w:r w:rsidRPr="0095416F" w:rsidR="004E74DF">
        <w:rPr>
          <w:rFonts w:cs="Arial"/>
          <w:szCs w:val="22"/>
        </w:rPr>
        <w:t xml:space="preserve"> </w:t>
      </w:r>
      <w:r w:rsidRPr="0095416F" w:rsidR="001330AC">
        <w:rPr>
          <w:rFonts w:cs="Arial"/>
          <w:szCs w:val="22"/>
        </w:rPr>
        <w:t xml:space="preserve">of these </w:t>
      </w:r>
      <w:r w:rsidRPr="0095416F">
        <w:rPr>
          <w:rFonts w:cs="Arial"/>
          <w:szCs w:val="22"/>
        </w:rPr>
        <w:t xml:space="preserve">licensees </w:t>
      </w:r>
      <w:r w:rsidR="004E74DF">
        <w:rPr>
          <w:rFonts w:cs="Arial"/>
          <w:szCs w:val="22"/>
        </w:rPr>
        <w:t xml:space="preserve">(located on seven sites) </w:t>
      </w:r>
      <w:r w:rsidRPr="0095416F">
        <w:rPr>
          <w:rFonts w:cs="Arial"/>
          <w:szCs w:val="22"/>
        </w:rPr>
        <w:t xml:space="preserve">received approval from the NRC for stand-alone preemption authority via </w:t>
      </w:r>
      <w:r w:rsidRPr="0095416F" w:rsidR="001330AC">
        <w:rPr>
          <w:rFonts w:cs="Arial"/>
          <w:szCs w:val="22"/>
        </w:rPr>
        <w:t xml:space="preserve">confirmatory </w:t>
      </w:r>
      <w:r w:rsidRPr="0095416F">
        <w:rPr>
          <w:rFonts w:cs="Arial"/>
          <w:szCs w:val="22"/>
        </w:rPr>
        <w:t>order</w:t>
      </w:r>
      <w:r w:rsidRPr="0095416F" w:rsidR="00305989">
        <w:rPr>
          <w:rFonts w:cs="Arial"/>
          <w:szCs w:val="22"/>
        </w:rPr>
        <w:t xml:space="preserve">s </w:t>
      </w:r>
      <w:r w:rsidRPr="0095416F" w:rsidR="001330AC">
        <w:rPr>
          <w:rFonts w:cs="Arial"/>
          <w:szCs w:val="22"/>
        </w:rPr>
        <w:t xml:space="preserve">issued on </w:t>
      </w:r>
      <w:r w:rsidRPr="0095416F" w:rsidR="00305989">
        <w:rPr>
          <w:rFonts w:cs="Arial"/>
          <w:szCs w:val="22"/>
        </w:rPr>
        <w:t xml:space="preserve">September 4, 2015 (80 FR 53588) </w:t>
      </w:r>
      <w:r w:rsidRPr="0095416F" w:rsidR="001330AC">
        <w:rPr>
          <w:rFonts w:cs="Arial"/>
          <w:szCs w:val="22"/>
        </w:rPr>
        <w:t>or</w:t>
      </w:r>
      <w:r w:rsidRPr="0095416F" w:rsidR="00CF5FCB">
        <w:rPr>
          <w:rFonts w:cs="Arial"/>
          <w:szCs w:val="22"/>
        </w:rPr>
        <w:t xml:space="preserve"> January 15, 2016 (81 FR 2247)</w:t>
      </w:r>
      <w:r w:rsidRPr="0095416F">
        <w:rPr>
          <w:rFonts w:cs="Arial"/>
          <w:szCs w:val="22"/>
        </w:rPr>
        <w:t>.</w:t>
      </w:r>
      <w:r w:rsidRPr="0095416F" w:rsidR="00304D47">
        <w:rPr>
          <w:rFonts w:cs="Arial"/>
          <w:szCs w:val="22"/>
        </w:rPr>
        <w:t xml:space="preserve">  </w:t>
      </w:r>
    </w:p>
    <w:p w:rsidR="001B0614" w:rsidP="001B0614" w:rsidRDefault="001B0614" w14:paraId="6E82156A" w14:textId="77777777">
      <w:pPr>
        <w:widowControl/>
        <w:rPr>
          <w:rFonts w:cs="Arial"/>
          <w:szCs w:val="22"/>
        </w:rPr>
      </w:pPr>
    </w:p>
    <w:p w:rsidR="001B0614" w:rsidP="001B0614" w:rsidRDefault="001B0614" w14:paraId="0F7C6F42" w14:textId="3C889F07">
      <w:pPr>
        <w:widowControl/>
        <w:rPr>
          <w:rFonts w:cs="Arial"/>
          <w:szCs w:val="22"/>
        </w:rPr>
      </w:pPr>
      <w:r>
        <w:rPr>
          <w:rFonts w:cs="Arial"/>
          <w:szCs w:val="22"/>
        </w:rPr>
        <w:t xml:space="preserve">The final rule includes provisions that would sunset the </w:t>
      </w:r>
      <w:r w:rsidR="00D02445">
        <w:rPr>
          <w:rFonts w:cs="Arial"/>
          <w:szCs w:val="22"/>
        </w:rPr>
        <w:t xml:space="preserve">designation order and the </w:t>
      </w:r>
      <w:r>
        <w:rPr>
          <w:rFonts w:cs="Arial"/>
          <w:szCs w:val="22"/>
        </w:rPr>
        <w:t>preemption authority orders such that</w:t>
      </w:r>
      <w:r w:rsidRPr="003E1646">
        <w:rPr>
          <w:rFonts w:cs="Arial"/>
          <w:szCs w:val="22"/>
        </w:rPr>
        <w:t xml:space="preserve"> the requirements of the</w:t>
      </w:r>
      <w:r w:rsidR="00D02445">
        <w:rPr>
          <w:rFonts w:cs="Arial"/>
          <w:szCs w:val="22"/>
        </w:rPr>
        <w:t>se</w:t>
      </w:r>
      <w:r w:rsidRPr="003E1646">
        <w:rPr>
          <w:rFonts w:cs="Arial"/>
          <w:szCs w:val="22"/>
        </w:rPr>
        <w:t xml:space="preserve"> orders would be superseded by the requirements in the final rule</w:t>
      </w:r>
      <w:r>
        <w:rPr>
          <w:rFonts w:cs="Arial"/>
          <w:szCs w:val="22"/>
        </w:rPr>
        <w:t xml:space="preserve">.  The </w:t>
      </w:r>
      <w:r w:rsidR="00483EEC">
        <w:rPr>
          <w:rFonts w:cs="Arial"/>
          <w:szCs w:val="22"/>
        </w:rPr>
        <w:t xml:space="preserve">eight </w:t>
      </w:r>
      <w:r w:rsidR="00160551">
        <w:rPr>
          <w:rFonts w:cs="Arial"/>
          <w:szCs w:val="22"/>
        </w:rPr>
        <w:t>licensees</w:t>
      </w:r>
      <w:r w:rsidRPr="003E1646">
        <w:rPr>
          <w:rFonts w:cs="Arial"/>
          <w:szCs w:val="22"/>
        </w:rPr>
        <w:t xml:space="preserve"> who receive</w:t>
      </w:r>
      <w:r w:rsidR="00CF5FCB">
        <w:rPr>
          <w:rFonts w:cs="Arial"/>
          <w:szCs w:val="22"/>
        </w:rPr>
        <w:t>d</w:t>
      </w:r>
      <w:r w:rsidRPr="003E1646">
        <w:rPr>
          <w:rFonts w:cs="Arial"/>
          <w:szCs w:val="22"/>
        </w:rPr>
        <w:t xml:space="preserve"> </w:t>
      </w:r>
      <w:r w:rsidR="00CF5FCB">
        <w:rPr>
          <w:rFonts w:cs="Arial"/>
          <w:szCs w:val="22"/>
        </w:rPr>
        <w:t>the</w:t>
      </w:r>
      <w:r w:rsidR="00D02445">
        <w:rPr>
          <w:rFonts w:cs="Arial"/>
          <w:szCs w:val="22"/>
        </w:rPr>
        <w:t>se</w:t>
      </w:r>
      <w:r w:rsidR="00CF5FCB">
        <w:rPr>
          <w:rFonts w:cs="Arial"/>
          <w:szCs w:val="22"/>
        </w:rPr>
        <w:t xml:space="preserve"> </w:t>
      </w:r>
      <w:r w:rsidRPr="003E1646">
        <w:rPr>
          <w:rFonts w:cs="Arial"/>
          <w:szCs w:val="22"/>
        </w:rPr>
        <w:t>confirmatory orders would be required to update their applicable procedures, instructions, and training to reflect the final rule’s requirements</w:t>
      </w:r>
      <w:r w:rsidR="00CF5FCB">
        <w:rPr>
          <w:rFonts w:cs="Arial"/>
          <w:szCs w:val="22"/>
        </w:rPr>
        <w:t xml:space="preserve"> </w:t>
      </w:r>
      <w:r w:rsidRPr="003E1646" w:rsidR="00CF5FCB">
        <w:rPr>
          <w:rFonts w:cs="Arial"/>
          <w:szCs w:val="22"/>
        </w:rPr>
        <w:t xml:space="preserve">within </w:t>
      </w:r>
      <w:r w:rsidR="00457A27">
        <w:rPr>
          <w:rFonts w:cs="Arial"/>
          <w:szCs w:val="22"/>
        </w:rPr>
        <w:t>300</w:t>
      </w:r>
      <w:r w:rsidRPr="003E1646" w:rsidR="00457A27">
        <w:rPr>
          <w:rFonts w:cs="Arial"/>
          <w:szCs w:val="22"/>
        </w:rPr>
        <w:t xml:space="preserve"> </w:t>
      </w:r>
      <w:r w:rsidRPr="003E1646" w:rsidR="00CF5FCB">
        <w:rPr>
          <w:rFonts w:cs="Arial"/>
          <w:szCs w:val="22"/>
        </w:rPr>
        <w:t xml:space="preserve">days of the date of </w:t>
      </w:r>
      <w:r w:rsidR="00F9191B">
        <w:rPr>
          <w:rFonts w:cs="Arial"/>
          <w:szCs w:val="22"/>
        </w:rPr>
        <w:t xml:space="preserve">publication of </w:t>
      </w:r>
      <w:r w:rsidRPr="003E1646" w:rsidR="00CF5FCB">
        <w:rPr>
          <w:rFonts w:cs="Arial"/>
          <w:szCs w:val="22"/>
        </w:rPr>
        <w:t>the final rule</w:t>
      </w:r>
      <w:r w:rsidRPr="003E1646">
        <w:rPr>
          <w:rFonts w:cs="Arial"/>
          <w:szCs w:val="22"/>
        </w:rPr>
        <w:t xml:space="preserve">.  </w:t>
      </w:r>
      <w:r w:rsidR="006535E5">
        <w:rPr>
          <w:rFonts w:cs="Arial"/>
          <w:szCs w:val="22"/>
        </w:rPr>
        <w:t>T</w:t>
      </w:r>
      <w:r w:rsidRPr="003E1646">
        <w:rPr>
          <w:rFonts w:cs="Arial"/>
          <w:szCs w:val="22"/>
        </w:rPr>
        <w:t xml:space="preserve">he </w:t>
      </w:r>
      <w:r w:rsidR="00B33CD0">
        <w:rPr>
          <w:rFonts w:cs="Arial"/>
          <w:szCs w:val="22"/>
        </w:rPr>
        <w:t>final rule</w:t>
      </w:r>
      <w:r w:rsidRPr="003E1646">
        <w:rPr>
          <w:rFonts w:cs="Arial"/>
          <w:szCs w:val="22"/>
        </w:rPr>
        <w:t xml:space="preserve"> rescind</w:t>
      </w:r>
      <w:r w:rsidR="00C10888">
        <w:rPr>
          <w:rFonts w:cs="Arial"/>
          <w:szCs w:val="22"/>
        </w:rPr>
        <w:t>s</w:t>
      </w:r>
      <w:r w:rsidRPr="003E1646">
        <w:rPr>
          <w:rFonts w:cs="Arial"/>
          <w:szCs w:val="22"/>
        </w:rPr>
        <w:t xml:space="preserve"> the </w:t>
      </w:r>
      <w:r w:rsidRPr="003E1646" w:rsidR="00CF5FCB">
        <w:rPr>
          <w:rFonts w:cs="Arial"/>
          <w:szCs w:val="22"/>
        </w:rPr>
        <w:t xml:space="preserve">confirmatory </w:t>
      </w:r>
      <w:r w:rsidRPr="003E1646">
        <w:rPr>
          <w:rFonts w:cs="Arial"/>
          <w:szCs w:val="22"/>
        </w:rPr>
        <w:t>orders</w:t>
      </w:r>
      <w:r w:rsidR="00B33CD0">
        <w:rPr>
          <w:rFonts w:cs="Arial"/>
          <w:szCs w:val="22"/>
        </w:rPr>
        <w:t xml:space="preserve"> on that compliance date</w:t>
      </w:r>
      <w:r w:rsidRPr="003E1646">
        <w:rPr>
          <w:rFonts w:cs="Arial"/>
          <w:szCs w:val="22"/>
        </w:rPr>
        <w:t>.</w:t>
      </w:r>
    </w:p>
    <w:p w:rsidR="001B0614" w:rsidP="001B0614" w:rsidRDefault="001B0614" w14:paraId="33C4F23F" w14:textId="77777777">
      <w:pPr>
        <w:widowControl/>
        <w:rPr>
          <w:rFonts w:cs="Arial"/>
          <w:szCs w:val="22"/>
        </w:rPr>
      </w:pPr>
    </w:p>
    <w:p w:rsidR="001B0614" w:rsidP="001B0614" w:rsidRDefault="001B0614" w14:paraId="258E285D" w14:textId="77777777">
      <w:pPr>
        <w:widowControl/>
        <w:tabs>
          <w:tab w:val="center" w:pos="4680"/>
        </w:tabs>
        <w:rPr>
          <w:rFonts w:cs="Arial"/>
          <w:i/>
          <w:szCs w:val="22"/>
        </w:rPr>
      </w:pPr>
      <w:r>
        <w:rPr>
          <w:rFonts w:cs="Arial"/>
          <w:i/>
          <w:szCs w:val="22"/>
        </w:rPr>
        <w:t>Requirements related to physical security event notifications</w:t>
      </w:r>
    </w:p>
    <w:p w:rsidRPr="00B52E84" w:rsidR="001B0614" w:rsidP="001B0614" w:rsidRDefault="001B0614" w14:paraId="59AF4A94" w14:textId="77777777">
      <w:pPr>
        <w:widowControl/>
        <w:tabs>
          <w:tab w:val="center" w:pos="4680"/>
        </w:tabs>
        <w:rPr>
          <w:rFonts w:cs="Arial"/>
          <w:i/>
          <w:szCs w:val="22"/>
        </w:rPr>
      </w:pPr>
    </w:p>
    <w:p w:rsidR="00305989" w:rsidP="001B0614" w:rsidRDefault="001B0614" w14:paraId="34CD04F4" w14:textId="1CA16817">
      <w:pPr>
        <w:widowControl/>
        <w:rPr>
          <w:rFonts w:cs="Arial"/>
          <w:color w:val="000000"/>
          <w:szCs w:val="22"/>
        </w:rPr>
      </w:pPr>
      <w:r>
        <w:rPr>
          <w:rFonts w:cs="Arial"/>
          <w:color w:val="000000"/>
          <w:szCs w:val="22"/>
        </w:rPr>
        <w:t>The final enhanced weapons rule also modifies mandatory</w:t>
      </w:r>
      <w:r w:rsidRPr="00EC19A1">
        <w:rPr>
          <w:rFonts w:cs="Arial"/>
          <w:color w:val="000000"/>
          <w:szCs w:val="22"/>
        </w:rPr>
        <w:t xml:space="preserve"> </w:t>
      </w:r>
      <w:r>
        <w:rPr>
          <w:rFonts w:cs="Arial"/>
          <w:color w:val="000000"/>
          <w:szCs w:val="22"/>
        </w:rPr>
        <w:t xml:space="preserve">physical </w:t>
      </w:r>
      <w:r w:rsidRPr="00EC19A1">
        <w:rPr>
          <w:rFonts w:cs="Arial"/>
          <w:color w:val="000000"/>
          <w:szCs w:val="22"/>
        </w:rPr>
        <w:t>security event notification requirements in</w:t>
      </w:r>
      <w:r>
        <w:rPr>
          <w:rFonts w:cs="Arial"/>
          <w:color w:val="000000"/>
          <w:szCs w:val="22"/>
        </w:rPr>
        <w:t xml:space="preserve"> 10 CFR </w:t>
      </w:r>
      <w:r w:rsidRPr="00EC19A1">
        <w:rPr>
          <w:rFonts w:cs="Arial"/>
          <w:color w:val="000000"/>
          <w:szCs w:val="22"/>
        </w:rPr>
        <w:t>Part 73</w:t>
      </w:r>
      <w:r>
        <w:rPr>
          <w:rFonts w:cs="Arial"/>
          <w:color w:val="000000"/>
          <w:szCs w:val="22"/>
        </w:rPr>
        <w:t>.</w:t>
      </w:r>
      <w:r w:rsidRPr="00EC19A1">
        <w:rPr>
          <w:rFonts w:cs="Arial"/>
          <w:color w:val="000000"/>
          <w:szCs w:val="22"/>
        </w:rPr>
        <w:t xml:space="preserve"> </w:t>
      </w:r>
      <w:r>
        <w:rPr>
          <w:rFonts w:cs="Arial"/>
          <w:color w:val="000000"/>
          <w:szCs w:val="22"/>
        </w:rPr>
        <w:t xml:space="preserve"> </w:t>
      </w:r>
      <w:r w:rsidRPr="00EC19A1">
        <w:rPr>
          <w:rFonts w:cs="Arial"/>
          <w:color w:val="000000"/>
          <w:szCs w:val="22"/>
        </w:rPr>
        <w:t>The applicability of the notifications has been expanded t</w:t>
      </w:r>
      <w:r>
        <w:rPr>
          <w:rFonts w:cs="Arial"/>
          <w:color w:val="000000"/>
          <w:szCs w:val="22"/>
        </w:rPr>
        <w:t>o include additional</w:t>
      </w:r>
      <w:r w:rsidR="004B1D28">
        <w:rPr>
          <w:rFonts w:cs="Arial"/>
          <w:color w:val="000000"/>
          <w:szCs w:val="22"/>
        </w:rPr>
        <w:t xml:space="preserve"> activities (i.e., the transportation of </w:t>
      </w:r>
      <w:r w:rsidR="00973927">
        <w:rPr>
          <w:rFonts w:cs="Arial"/>
          <w:color w:val="000000"/>
          <w:szCs w:val="22"/>
        </w:rPr>
        <w:t>high</w:t>
      </w:r>
      <w:r w:rsidR="00973927">
        <w:rPr>
          <w:rFonts w:cs="Arial"/>
          <w:color w:val="000000"/>
          <w:szCs w:val="22"/>
        </w:rPr>
        <w:noBreakHyphen/>
        <w:t>level radioactive waste (</w:t>
      </w:r>
      <w:r w:rsidR="004B1D28">
        <w:rPr>
          <w:rFonts w:cs="Arial"/>
          <w:color w:val="000000"/>
          <w:szCs w:val="22"/>
        </w:rPr>
        <w:t>HLW</w:t>
      </w:r>
      <w:r w:rsidR="006E2B76">
        <w:rPr>
          <w:rFonts w:cs="Arial"/>
          <w:color w:val="000000"/>
          <w:szCs w:val="22"/>
        </w:rPr>
        <w:t>)</w:t>
      </w:r>
      <w:r w:rsidR="00973927">
        <w:rPr>
          <w:rFonts w:cs="Arial"/>
          <w:color w:val="000000"/>
          <w:szCs w:val="22"/>
        </w:rPr>
        <w:t>)</w:t>
      </w:r>
      <w:r w:rsidR="004B1D28">
        <w:rPr>
          <w:rFonts w:cs="Arial"/>
          <w:color w:val="000000"/>
          <w:szCs w:val="22"/>
        </w:rPr>
        <w:t xml:space="preserve"> and additional</w:t>
      </w:r>
      <w:r>
        <w:rPr>
          <w:rFonts w:cs="Arial"/>
          <w:color w:val="000000"/>
          <w:szCs w:val="22"/>
        </w:rPr>
        <w:t xml:space="preserve"> </w:t>
      </w:r>
      <w:r w:rsidR="00B30B01">
        <w:rPr>
          <w:rFonts w:cs="Arial"/>
          <w:color w:val="000000"/>
          <w:szCs w:val="22"/>
        </w:rPr>
        <w:t>events (i.e., lost or stolen enhanced weapons</w:t>
      </w:r>
      <w:r w:rsidR="009C21E4">
        <w:rPr>
          <w:rFonts w:cs="Arial"/>
          <w:color w:val="000000"/>
          <w:szCs w:val="22"/>
        </w:rPr>
        <w:t xml:space="preserve">, </w:t>
      </w:r>
      <w:r w:rsidRPr="00515FB0" w:rsidR="009C21E4">
        <w:rPr>
          <w:rFonts w:cs="Arial"/>
          <w:color w:val="000000"/>
          <w:szCs w:val="22"/>
        </w:rPr>
        <w:t>adverse ATF enforcement actions</w:t>
      </w:r>
      <w:r w:rsidR="009C21E4">
        <w:rPr>
          <w:rFonts w:cs="Arial"/>
          <w:color w:val="000000"/>
          <w:szCs w:val="22"/>
        </w:rPr>
        <w:t xml:space="preserve">, </w:t>
      </w:r>
      <w:r w:rsidR="00B30B01">
        <w:rPr>
          <w:rFonts w:cs="Arial"/>
          <w:color w:val="000000"/>
          <w:szCs w:val="22"/>
        </w:rPr>
        <w:t>and actual or imminent hostile actions)</w:t>
      </w:r>
      <w:r w:rsidRPr="00EC19A1">
        <w:rPr>
          <w:rFonts w:cs="Arial"/>
          <w:color w:val="000000"/>
          <w:szCs w:val="22"/>
        </w:rPr>
        <w:t xml:space="preserve">. </w:t>
      </w:r>
      <w:r>
        <w:rPr>
          <w:rFonts w:cs="Arial"/>
          <w:color w:val="000000"/>
          <w:szCs w:val="22"/>
        </w:rPr>
        <w:t xml:space="preserve"> </w:t>
      </w:r>
      <w:r w:rsidRPr="00EC19A1">
        <w:rPr>
          <w:rFonts w:cs="Arial"/>
          <w:color w:val="000000"/>
          <w:szCs w:val="22"/>
        </w:rPr>
        <w:t xml:space="preserve">The </w:t>
      </w:r>
      <w:r w:rsidR="004B1D28">
        <w:rPr>
          <w:rFonts w:cs="Arial"/>
          <w:color w:val="000000"/>
          <w:szCs w:val="22"/>
        </w:rPr>
        <w:t xml:space="preserve">physical security </w:t>
      </w:r>
      <w:r w:rsidRPr="00EC19A1">
        <w:rPr>
          <w:rFonts w:cs="Arial"/>
          <w:color w:val="000000"/>
          <w:szCs w:val="22"/>
        </w:rPr>
        <w:t>event</w:t>
      </w:r>
      <w:r>
        <w:rPr>
          <w:rFonts w:cs="Arial"/>
          <w:color w:val="000000"/>
          <w:szCs w:val="22"/>
        </w:rPr>
        <w:t xml:space="preserve"> n</w:t>
      </w:r>
      <w:r w:rsidRPr="00EC19A1">
        <w:rPr>
          <w:rFonts w:cs="Arial"/>
          <w:color w:val="000000"/>
          <w:szCs w:val="22"/>
        </w:rPr>
        <w:t xml:space="preserve">otification requirements have not been updated for several </w:t>
      </w:r>
      <w:r w:rsidR="00F9191B">
        <w:rPr>
          <w:rFonts w:cs="Arial"/>
          <w:color w:val="000000"/>
          <w:szCs w:val="22"/>
        </w:rPr>
        <w:t xml:space="preserve">decades </w:t>
      </w:r>
      <w:r>
        <w:rPr>
          <w:rFonts w:cs="Arial"/>
          <w:color w:val="000000"/>
          <w:szCs w:val="22"/>
        </w:rPr>
        <w:t xml:space="preserve">and the NRC is taking this </w:t>
      </w:r>
      <w:r w:rsidRPr="00EC19A1">
        <w:rPr>
          <w:rFonts w:cs="Arial"/>
          <w:color w:val="000000"/>
          <w:szCs w:val="22"/>
        </w:rPr>
        <w:t xml:space="preserve">opportunity to address </w:t>
      </w:r>
      <w:r w:rsidR="004B1D28">
        <w:rPr>
          <w:rFonts w:cs="Arial"/>
          <w:color w:val="000000"/>
          <w:szCs w:val="22"/>
        </w:rPr>
        <w:t xml:space="preserve">the impact of these notifications on licensee operations by </w:t>
      </w:r>
      <w:r w:rsidR="00B30B01">
        <w:rPr>
          <w:rFonts w:cs="Arial"/>
          <w:color w:val="000000"/>
          <w:szCs w:val="22"/>
        </w:rPr>
        <w:t>allowing additional time to report lesser significant security events</w:t>
      </w:r>
      <w:r w:rsidR="004B1D28">
        <w:rPr>
          <w:rFonts w:cs="Arial"/>
          <w:color w:val="000000"/>
          <w:szCs w:val="22"/>
        </w:rPr>
        <w:t>.  Previously, all notification</w:t>
      </w:r>
      <w:r w:rsidR="0053071B">
        <w:rPr>
          <w:rFonts w:cs="Arial"/>
          <w:color w:val="000000"/>
          <w:szCs w:val="22"/>
        </w:rPr>
        <w:t>s</w:t>
      </w:r>
      <w:r w:rsidR="004B1D28">
        <w:rPr>
          <w:rFonts w:cs="Arial"/>
          <w:color w:val="000000"/>
          <w:szCs w:val="22"/>
        </w:rPr>
        <w:t xml:space="preserve"> had a 1-hour timeliness requirement.  However, under the final rule a number of these notifications have been revised to 4-hour, 8-hour, or 24-hour</w:t>
      </w:r>
      <w:r w:rsidR="006E2B76">
        <w:rPr>
          <w:rFonts w:cs="Arial"/>
          <w:color w:val="000000"/>
          <w:szCs w:val="22"/>
        </w:rPr>
        <w:t>.  Therefore</w:t>
      </w:r>
      <w:r w:rsidR="004B1D28">
        <w:rPr>
          <w:rFonts w:cs="Arial"/>
          <w:color w:val="000000"/>
          <w:szCs w:val="22"/>
        </w:rPr>
        <w:t xml:space="preserve">, while the burden remains unchanged, the operational impact </w:t>
      </w:r>
      <w:r w:rsidR="006E2B76">
        <w:rPr>
          <w:rFonts w:cs="Arial"/>
          <w:color w:val="000000"/>
          <w:szCs w:val="22"/>
        </w:rPr>
        <w:t xml:space="preserve">of these requirements </w:t>
      </w:r>
      <w:r w:rsidR="004B1D28">
        <w:rPr>
          <w:rFonts w:cs="Arial"/>
          <w:color w:val="000000"/>
          <w:szCs w:val="22"/>
        </w:rPr>
        <w:t xml:space="preserve">has been reduced. </w:t>
      </w:r>
    </w:p>
    <w:p w:rsidR="00305989" w:rsidP="001B0614" w:rsidRDefault="00305989" w14:paraId="3843E1C7" w14:textId="77777777">
      <w:pPr>
        <w:widowControl/>
        <w:rPr>
          <w:rFonts w:cs="Arial"/>
          <w:color w:val="000000"/>
          <w:szCs w:val="22"/>
        </w:rPr>
      </w:pPr>
    </w:p>
    <w:p w:rsidR="001B0614" w:rsidP="001B0614" w:rsidRDefault="001B0614" w14:paraId="1F3960AB" w14:textId="11134D10">
      <w:pPr>
        <w:widowControl/>
        <w:rPr>
          <w:rFonts w:cs="Arial"/>
          <w:color w:val="000000"/>
          <w:szCs w:val="22"/>
        </w:rPr>
      </w:pPr>
      <w:r>
        <w:rPr>
          <w:rFonts w:cs="Arial"/>
          <w:color w:val="000000"/>
          <w:szCs w:val="22"/>
        </w:rPr>
        <w:t xml:space="preserve">The 2011 proposed rule included new provisions for cyber security event notifications.  That </w:t>
      </w:r>
      <w:r w:rsidR="0085211D">
        <w:rPr>
          <w:rFonts w:cs="Arial"/>
          <w:color w:val="000000"/>
          <w:szCs w:val="22"/>
        </w:rPr>
        <w:t>part</w:t>
      </w:r>
      <w:r>
        <w:rPr>
          <w:rFonts w:cs="Arial"/>
          <w:color w:val="000000"/>
          <w:szCs w:val="22"/>
        </w:rPr>
        <w:t xml:space="preserve"> of the rule was separated from this rulemaking and o</w:t>
      </w:r>
      <w:r w:rsidRPr="00E66420">
        <w:rPr>
          <w:rFonts w:cs="Arial"/>
          <w:color w:val="000000"/>
          <w:szCs w:val="22"/>
        </w:rPr>
        <w:t>n November 2, 2015, the NRC published a final rule in the Federal Register on “Cyber Security Event Notifications” (80 FR 67264).</w:t>
      </w:r>
      <w:r>
        <w:rPr>
          <w:rFonts w:cs="Arial"/>
          <w:color w:val="000000"/>
          <w:szCs w:val="22"/>
        </w:rPr>
        <w:t xml:space="preserve">  The burden related to cyber security event notifications has been removed from the burden estimates for this final rule. </w:t>
      </w:r>
    </w:p>
    <w:p w:rsidR="006E2B76" w:rsidP="001B0614" w:rsidRDefault="006E2B76" w14:paraId="773E3DA2" w14:textId="77777777">
      <w:pPr>
        <w:widowControl/>
        <w:rPr>
          <w:rFonts w:cs="Arial"/>
          <w:color w:val="000000"/>
          <w:szCs w:val="22"/>
        </w:rPr>
      </w:pPr>
    </w:p>
    <w:p w:rsidR="001B0614" w:rsidP="001B0614" w:rsidRDefault="006E2B76" w14:paraId="29CF74ED" w14:textId="77777777">
      <w:pPr>
        <w:widowControl/>
        <w:autoSpaceDE/>
        <w:autoSpaceDN/>
        <w:adjustRightInd/>
        <w:rPr>
          <w:rFonts w:cs="Arial"/>
          <w:szCs w:val="22"/>
        </w:rPr>
      </w:pPr>
      <w:r>
        <w:rPr>
          <w:rFonts w:cs="Arial"/>
          <w:i/>
          <w:szCs w:val="22"/>
        </w:rPr>
        <w:t>Requirements related to suspicious activity reporting</w:t>
      </w:r>
    </w:p>
    <w:p w:rsidR="006E2B76" w:rsidP="001B0614" w:rsidRDefault="006E2B76" w14:paraId="16C5725B" w14:textId="77777777">
      <w:pPr>
        <w:widowControl/>
        <w:autoSpaceDE/>
        <w:autoSpaceDN/>
        <w:adjustRightInd/>
        <w:rPr>
          <w:rFonts w:cs="Arial"/>
          <w:szCs w:val="22"/>
        </w:rPr>
      </w:pPr>
    </w:p>
    <w:p w:rsidR="006E2B76" w:rsidP="006E2B76" w:rsidRDefault="006E2B76" w14:paraId="2FC0C0C3" w14:textId="77777777">
      <w:pPr>
        <w:widowControl/>
        <w:rPr>
          <w:rFonts w:cs="Arial"/>
          <w:color w:val="000000"/>
          <w:szCs w:val="22"/>
        </w:rPr>
      </w:pPr>
      <w:r>
        <w:rPr>
          <w:rFonts w:cs="Arial"/>
          <w:color w:val="000000"/>
          <w:szCs w:val="22"/>
        </w:rPr>
        <w:t>The final rule codifies a previously voluntary program for licensees to report suspicious activities to local and Federal law enforcement agencies, the FAA for suspicious aircraft activities, and to the NRC.</w:t>
      </w:r>
      <w:r w:rsidRPr="0053071B" w:rsidR="0053071B">
        <w:rPr>
          <w:rStyle w:val="FootnoteReference"/>
          <w:rFonts w:cs="Arial"/>
          <w:color w:val="000000"/>
          <w:szCs w:val="22"/>
          <w:vertAlign w:val="superscript"/>
        </w:rPr>
        <w:footnoteReference w:id="3"/>
      </w:r>
      <w:r w:rsidRPr="00305989">
        <w:t xml:space="preserve"> </w:t>
      </w:r>
      <w:r>
        <w:t xml:space="preserve"> Such activities </w:t>
      </w:r>
      <w:r w:rsidR="00B129C1">
        <w:t xml:space="preserve">may </w:t>
      </w:r>
      <w:r>
        <w:t xml:space="preserve">involve </w:t>
      </w:r>
      <w:r w:rsidRPr="00593479" w:rsidDel="00B55144">
        <w:rPr>
          <w:rFonts w:cs="Arial"/>
          <w:szCs w:val="22"/>
        </w:rPr>
        <w:t>preoperational surveillance, reconnaissance</w:t>
      </w:r>
      <w:r>
        <w:rPr>
          <w:rFonts w:cs="Arial"/>
          <w:szCs w:val="22"/>
        </w:rPr>
        <w:t>,</w:t>
      </w:r>
      <w:r w:rsidRPr="00593479" w:rsidDel="00B55144">
        <w:rPr>
          <w:rFonts w:cs="Arial"/>
          <w:szCs w:val="22"/>
        </w:rPr>
        <w:t xml:space="preserve"> or intelligence gathering </w:t>
      </w:r>
      <w:r w:rsidR="00160551">
        <w:rPr>
          <w:rFonts w:cs="Arial"/>
          <w:szCs w:val="22"/>
        </w:rPr>
        <w:t xml:space="preserve">(i.e., espionage) </w:t>
      </w:r>
      <w:r w:rsidRPr="00593479" w:rsidDel="00B55144">
        <w:rPr>
          <w:rFonts w:cs="Arial"/>
          <w:szCs w:val="22"/>
        </w:rPr>
        <w:t>activities</w:t>
      </w:r>
      <w:r w:rsidR="00B129C1">
        <w:rPr>
          <w:rFonts w:cs="Arial"/>
          <w:szCs w:val="22"/>
        </w:rPr>
        <w:t>)</w:t>
      </w:r>
      <w:r>
        <w:rPr>
          <w:rFonts w:cs="Arial"/>
          <w:szCs w:val="22"/>
        </w:rPr>
        <w:t xml:space="preserve">.  </w:t>
      </w:r>
      <w:r w:rsidRPr="00593479" w:rsidDel="00B55144" w:rsidR="00354D21">
        <w:rPr>
          <w:rFonts w:cs="Arial"/>
          <w:szCs w:val="22"/>
        </w:rPr>
        <w:t>The</w:t>
      </w:r>
      <w:r w:rsidR="00354D21">
        <w:rPr>
          <w:rFonts w:cs="Arial"/>
          <w:szCs w:val="22"/>
        </w:rPr>
        <w:t>se</w:t>
      </w:r>
      <w:r w:rsidRPr="00593479" w:rsidDel="00B55144" w:rsidR="00354D21">
        <w:rPr>
          <w:rFonts w:cs="Arial"/>
          <w:szCs w:val="22"/>
        </w:rPr>
        <w:t xml:space="preserve"> information collections involved in this change include </w:t>
      </w:r>
      <w:r w:rsidDel="00B55144" w:rsidR="00354D21">
        <w:rPr>
          <w:rFonts w:cs="Arial"/>
          <w:szCs w:val="22"/>
        </w:rPr>
        <w:t xml:space="preserve">suspicious activity reporting </w:t>
      </w:r>
      <w:r w:rsidRPr="00593479" w:rsidDel="00B55144" w:rsidR="00354D21">
        <w:rPr>
          <w:rFonts w:cs="Arial"/>
          <w:szCs w:val="22"/>
        </w:rPr>
        <w:t>such as those involving preoperational surveillance, reconnaissance</w:t>
      </w:r>
      <w:r w:rsidR="00354D21">
        <w:rPr>
          <w:rFonts w:cs="Arial"/>
          <w:szCs w:val="22"/>
        </w:rPr>
        <w:t>,</w:t>
      </w:r>
      <w:r w:rsidRPr="00593479" w:rsidDel="00B55144" w:rsidR="00354D21">
        <w:rPr>
          <w:rFonts w:cs="Arial"/>
          <w:szCs w:val="22"/>
        </w:rPr>
        <w:t xml:space="preserve"> or intelligence gathering activities</w:t>
      </w:r>
      <w:r w:rsidRPr="00354D21" w:rsidR="00354D21">
        <w:rPr>
          <w:rFonts w:cs="Arial"/>
          <w:szCs w:val="22"/>
        </w:rPr>
        <w:t xml:space="preserve"> </w:t>
      </w:r>
      <w:r w:rsidR="00354D21">
        <w:rPr>
          <w:rFonts w:cs="Arial"/>
          <w:szCs w:val="22"/>
        </w:rPr>
        <w:t xml:space="preserve">(i.e., espionage).  The timely </w:t>
      </w:r>
      <w:r w:rsidR="00354D21">
        <w:rPr>
          <w:rFonts w:cs="Arial"/>
          <w:color w:val="000000"/>
          <w:szCs w:val="22"/>
        </w:rPr>
        <w:t xml:space="preserve">reporting of suspicious activities to </w:t>
      </w:r>
      <w:r w:rsidR="00354D21">
        <w:rPr>
          <w:rFonts w:cs="Arial"/>
          <w:color w:val="000000"/>
          <w:szCs w:val="22"/>
        </w:rPr>
        <w:lastRenderedPageBreak/>
        <w:t xml:space="preserve">law enforcement agencies permits these agencies to </w:t>
      </w:r>
      <w:r w:rsidR="00354D21">
        <w:rPr>
          <w:rFonts w:cs="Arial"/>
          <w:szCs w:val="22"/>
        </w:rPr>
        <w:t>investigate such suspicious activities, in order to potentially disrupt or dissuade planned terrorist attacks</w:t>
      </w:r>
      <w:r w:rsidR="003E1A46">
        <w:rPr>
          <w:rFonts w:cs="Arial"/>
          <w:szCs w:val="22"/>
        </w:rPr>
        <w:t>.</w:t>
      </w:r>
    </w:p>
    <w:p w:rsidRPr="006E2B76" w:rsidR="006E2B76" w:rsidP="001B0614" w:rsidRDefault="006E2B76" w14:paraId="10AFB90E" w14:textId="77777777">
      <w:pPr>
        <w:widowControl/>
        <w:autoSpaceDE/>
        <w:autoSpaceDN/>
        <w:adjustRightInd/>
        <w:rPr>
          <w:rFonts w:cs="Arial"/>
          <w:szCs w:val="22"/>
        </w:rPr>
      </w:pPr>
    </w:p>
    <w:p w:rsidR="001B0614" w:rsidP="001330AC" w:rsidRDefault="001B0614" w14:paraId="405B1B1D" w14:textId="77777777">
      <w:pPr>
        <w:keepNext/>
        <w:keepLines/>
        <w:widowControl/>
        <w:tabs>
          <w:tab w:val="center" w:pos="4680"/>
        </w:tabs>
        <w:rPr>
          <w:rFonts w:cs="Arial"/>
          <w:i/>
          <w:szCs w:val="22"/>
        </w:rPr>
      </w:pPr>
      <w:r>
        <w:rPr>
          <w:rFonts w:cs="Arial"/>
          <w:i/>
          <w:szCs w:val="22"/>
        </w:rPr>
        <w:t>Affected regulated entities</w:t>
      </w:r>
    </w:p>
    <w:p w:rsidR="001B0614" w:rsidP="001330AC" w:rsidRDefault="001B0614" w14:paraId="022BF6E3" w14:textId="77777777">
      <w:pPr>
        <w:keepNext/>
        <w:keepLines/>
        <w:widowControl/>
        <w:tabs>
          <w:tab w:val="center" w:pos="4680"/>
        </w:tabs>
        <w:rPr>
          <w:rFonts w:cs="Arial"/>
          <w:szCs w:val="22"/>
        </w:rPr>
      </w:pPr>
    </w:p>
    <w:p w:rsidR="00876979" w:rsidP="002D70D5" w:rsidRDefault="001B0614" w14:paraId="6BAB23A6" w14:textId="1A0E1DDD">
      <w:pPr>
        <w:keepNext/>
        <w:keepLines/>
        <w:widowControl/>
        <w:rPr>
          <w:rFonts w:cs="Arial"/>
          <w:szCs w:val="22"/>
        </w:rPr>
      </w:pPr>
      <w:r w:rsidRPr="006B7A8A">
        <w:rPr>
          <w:rFonts w:cs="Arial"/>
          <w:szCs w:val="22"/>
        </w:rPr>
        <w:t xml:space="preserve">The </w:t>
      </w:r>
      <w:r w:rsidR="003A1146">
        <w:rPr>
          <w:rFonts w:cs="Arial"/>
          <w:szCs w:val="22"/>
        </w:rPr>
        <w:t xml:space="preserve">first </w:t>
      </w:r>
      <w:r w:rsidR="0085211D">
        <w:rPr>
          <w:rFonts w:cs="Arial"/>
          <w:szCs w:val="22"/>
        </w:rPr>
        <w:t>part</w:t>
      </w:r>
      <w:r w:rsidR="003A1146">
        <w:rPr>
          <w:rFonts w:cs="Arial"/>
          <w:szCs w:val="22"/>
        </w:rPr>
        <w:t xml:space="preserve"> of the </w:t>
      </w:r>
      <w:r w:rsidRPr="006B7A8A">
        <w:rPr>
          <w:rFonts w:cs="Arial"/>
          <w:szCs w:val="22"/>
        </w:rPr>
        <w:t xml:space="preserve">final rule would require only those licensees who </w:t>
      </w:r>
      <w:r w:rsidR="00FA78D1">
        <w:rPr>
          <w:rFonts w:cs="Arial"/>
          <w:szCs w:val="22"/>
        </w:rPr>
        <w:t xml:space="preserve">voluntarily </w:t>
      </w:r>
      <w:r w:rsidRPr="006B7A8A">
        <w:rPr>
          <w:rFonts w:cs="Arial"/>
          <w:szCs w:val="22"/>
        </w:rPr>
        <w:t xml:space="preserve">apply for Section 161A authorities to submit </w:t>
      </w:r>
      <w:r w:rsidR="00FA78D1">
        <w:rPr>
          <w:rFonts w:cs="Arial"/>
          <w:szCs w:val="22"/>
        </w:rPr>
        <w:t xml:space="preserve">reports and records.  </w:t>
      </w:r>
      <w:r w:rsidRPr="00673C3E" w:rsidR="00876979">
        <w:rPr>
          <w:rFonts w:cs="Arial"/>
          <w:szCs w:val="22"/>
        </w:rPr>
        <w:t xml:space="preserve">Approximately </w:t>
      </w:r>
      <w:r w:rsidRPr="00673C3E" w:rsidR="00860D2B">
        <w:rPr>
          <w:rFonts w:cs="Arial"/>
          <w:szCs w:val="22"/>
        </w:rPr>
        <w:t>91</w:t>
      </w:r>
      <w:r w:rsidRPr="00673C3E" w:rsidR="00876979">
        <w:rPr>
          <w:rFonts w:cs="Arial"/>
          <w:szCs w:val="22"/>
        </w:rPr>
        <w:t xml:space="preserve"> licensees would fall </w:t>
      </w:r>
      <w:r w:rsidRPr="00673C3E" w:rsidR="00860D2B">
        <w:rPr>
          <w:rFonts w:cs="Arial"/>
          <w:szCs w:val="22"/>
        </w:rPr>
        <w:t xml:space="preserve">in </w:t>
      </w:r>
      <w:r w:rsidRPr="00673C3E" w:rsidR="00FA78D1">
        <w:rPr>
          <w:rFonts w:cs="Arial"/>
          <w:szCs w:val="22"/>
        </w:rPr>
        <w:t>the Commission</w:t>
      </w:r>
      <w:r w:rsidRPr="00673C3E" w:rsidR="00FB0D29">
        <w:rPr>
          <w:rFonts w:cs="Arial"/>
          <w:szCs w:val="22"/>
        </w:rPr>
        <w:t>-</w:t>
      </w:r>
      <w:r w:rsidRPr="00673C3E" w:rsidR="00FA78D1">
        <w:rPr>
          <w:rFonts w:cs="Arial"/>
          <w:szCs w:val="22"/>
        </w:rPr>
        <w:t xml:space="preserve">designated classes of facilities, </w:t>
      </w:r>
      <w:r w:rsidRPr="00673C3E" w:rsidR="00876979">
        <w:rPr>
          <w:rFonts w:cs="Arial"/>
          <w:szCs w:val="22"/>
        </w:rPr>
        <w:t>radioactive material transportation activities</w:t>
      </w:r>
      <w:r w:rsidR="00FA78D1">
        <w:rPr>
          <w:rFonts w:cs="Arial"/>
          <w:szCs w:val="22"/>
        </w:rPr>
        <w:t xml:space="preserve">, and other property (specified in § 73.15(c)) </w:t>
      </w:r>
      <w:r w:rsidR="00876979">
        <w:rPr>
          <w:rFonts w:cs="Arial"/>
          <w:szCs w:val="22"/>
        </w:rPr>
        <w:t xml:space="preserve"> considered appropriate for Section 161A authorities.</w:t>
      </w:r>
      <w:r w:rsidR="007427AB">
        <w:rPr>
          <w:rFonts w:cs="Arial"/>
          <w:szCs w:val="22"/>
        </w:rPr>
        <w:t xml:space="preserve">  These classes of facilities include:  </w:t>
      </w:r>
      <w:r w:rsidRPr="00431F87" w:rsidR="007427AB">
        <w:rPr>
          <w:rFonts w:cs="Arial"/>
          <w:szCs w:val="22"/>
        </w:rPr>
        <w:t>power reactors, ISFSIs, and Category I SSNM.  Classes of activities include: spent nuclear fuel transportation.</w:t>
      </w:r>
    </w:p>
    <w:p w:rsidR="00876979" w:rsidP="002D70D5" w:rsidRDefault="00876979" w14:paraId="1F839890" w14:textId="77777777">
      <w:pPr>
        <w:keepNext/>
        <w:keepLines/>
        <w:widowControl/>
        <w:rPr>
          <w:rFonts w:cs="Arial"/>
          <w:szCs w:val="22"/>
        </w:rPr>
      </w:pPr>
    </w:p>
    <w:p w:rsidR="002D70D5" w:rsidP="002D70D5" w:rsidRDefault="00C15BC1" w14:paraId="16807D18" w14:textId="21073BC9">
      <w:pPr>
        <w:keepNext/>
        <w:keepLines/>
        <w:widowControl/>
        <w:rPr>
          <w:rFonts w:cs="Arial"/>
        </w:rPr>
      </w:pPr>
      <w:r w:rsidRPr="7E155F3C">
        <w:rPr>
          <w:rFonts w:cs="Arial"/>
        </w:rPr>
        <w:t>However, o</w:t>
      </w:r>
      <w:r w:rsidRPr="7E155F3C" w:rsidR="00876979">
        <w:rPr>
          <w:rFonts w:cs="Arial"/>
        </w:rPr>
        <w:t xml:space="preserve">nly the licensees at 7 sites (who fall within these designated classes) </w:t>
      </w:r>
      <w:r w:rsidRPr="7E155F3C" w:rsidR="003A1146">
        <w:rPr>
          <w:rFonts w:cs="Arial"/>
        </w:rPr>
        <w:t>have applied f</w:t>
      </w:r>
      <w:r w:rsidRPr="7E155F3C" w:rsidR="00FB0D29">
        <w:rPr>
          <w:rFonts w:cs="Arial"/>
        </w:rPr>
        <w:t xml:space="preserve">or Section 161A </w:t>
      </w:r>
      <w:r w:rsidRPr="7E155F3C" w:rsidR="00876979">
        <w:rPr>
          <w:rFonts w:cs="Arial"/>
        </w:rPr>
        <w:t xml:space="preserve">authority via confirmatory order; and thus, are </w:t>
      </w:r>
      <w:r w:rsidRPr="7E155F3C" w:rsidR="00D66423">
        <w:rPr>
          <w:rFonts w:cs="Arial"/>
        </w:rPr>
        <w:t>impacted by</w:t>
      </w:r>
      <w:r w:rsidRPr="7E155F3C" w:rsidR="00B129C1">
        <w:rPr>
          <w:rFonts w:cs="Arial"/>
        </w:rPr>
        <w:t xml:space="preserve"> this final rule</w:t>
      </w:r>
      <w:r w:rsidRPr="7E155F3C" w:rsidR="00FB0D29">
        <w:rPr>
          <w:rFonts w:cs="Arial"/>
        </w:rPr>
        <w:t xml:space="preserve">.  </w:t>
      </w:r>
      <w:r w:rsidRPr="7E155F3C" w:rsidR="003A1146">
        <w:rPr>
          <w:rFonts w:cs="Arial"/>
        </w:rPr>
        <w:t>N</w:t>
      </w:r>
      <w:r w:rsidRPr="7E155F3C" w:rsidR="00FB0D29">
        <w:rPr>
          <w:rFonts w:cs="Arial"/>
        </w:rPr>
        <w:t xml:space="preserve">o </w:t>
      </w:r>
      <w:r w:rsidRPr="7E155F3C" w:rsidR="00876979">
        <w:rPr>
          <w:rFonts w:cs="Arial"/>
        </w:rPr>
        <w:t xml:space="preserve">other </w:t>
      </w:r>
      <w:r w:rsidRPr="7E155F3C" w:rsidR="00FB0D29">
        <w:rPr>
          <w:rFonts w:cs="Arial"/>
        </w:rPr>
        <w:t>licens</w:t>
      </w:r>
      <w:r w:rsidRPr="7E155F3C" w:rsidR="00B129C1">
        <w:rPr>
          <w:rFonts w:cs="Arial"/>
        </w:rPr>
        <w:t>ees have formally indicated (i.e.</w:t>
      </w:r>
      <w:r w:rsidRPr="7E155F3C" w:rsidR="00FB0D29">
        <w:rPr>
          <w:rFonts w:cs="Arial"/>
        </w:rPr>
        <w:t xml:space="preserve">, </w:t>
      </w:r>
      <w:r w:rsidRPr="7E155F3C" w:rsidR="00B129C1">
        <w:rPr>
          <w:rFonts w:cs="Arial"/>
        </w:rPr>
        <w:t xml:space="preserve">either </w:t>
      </w:r>
      <w:r w:rsidRPr="7E155F3C" w:rsidR="00FB0D29">
        <w:rPr>
          <w:rFonts w:cs="Arial"/>
        </w:rPr>
        <w:t xml:space="preserve">by a letter of intent or </w:t>
      </w:r>
      <w:r w:rsidRPr="7E155F3C" w:rsidR="00B129C1">
        <w:rPr>
          <w:rFonts w:cs="Arial"/>
        </w:rPr>
        <w:t xml:space="preserve">by </w:t>
      </w:r>
      <w:r w:rsidRPr="7E155F3C" w:rsidR="00876979">
        <w:rPr>
          <w:rFonts w:cs="Arial"/>
        </w:rPr>
        <w:t xml:space="preserve">formal </w:t>
      </w:r>
      <w:r w:rsidRPr="7E155F3C" w:rsidR="00FB0D29">
        <w:rPr>
          <w:rFonts w:cs="Arial"/>
        </w:rPr>
        <w:t xml:space="preserve">application) that they </w:t>
      </w:r>
      <w:r w:rsidRPr="7E155F3C">
        <w:rPr>
          <w:rFonts w:cs="Arial"/>
        </w:rPr>
        <w:t>intend</w:t>
      </w:r>
      <w:r w:rsidRPr="7E155F3C" w:rsidR="00FB0D29">
        <w:rPr>
          <w:rFonts w:cs="Arial"/>
        </w:rPr>
        <w:t xml:space="preserve"> to </w:t>
      </w:r>
      <w:r w:rsidRPr="7E155F3C" w:rsidR="00B129C1">
        <w:rPr>
          <w:rFonts w:cs="Arial"/>
        </w:rPr>
        <w:t>obtain</w:t>
      </w:r>
      <w:r w:rsidRPr="7E155F3C" w:rsidR="00FB0D29">
        <w:rPr>
          <w:rFonts w:cs="Arial"/>
        </w:rPr>
        <w:t xml:space="preserve"> Section 161A authority.</w:t>
      </w:r>
      <w:r w:rsidRPr="7E155F3C" w:rsidR="002D70D5">
        <w:rPr>
          <w:rFonts w:cs="Arial"/>
        </w:rPr>
        <w:t xml:space="preserve">  </w:t>
      </w:r>
      <w:r w:rsidRPr="7E155F3C" w:rsidR="00FB0D29">
        <w:rPr>
          <w:rFonts w:cs="Arial"/>
        </w:rPr>
        <w:t>Therefore, i</w:t>
      </w:r>
      <w:r w:rsidRPr="7E155F3C" w:rsidR="00C257D7">
        <w:rPr>
          <w:rFonts w:cs="Arial"/>
        </w:rPr>
        <w:t xml:space="preserve">n this supporting statement, the </w:t>
      </w:r>
      <w:r w:rsidRPr="7E155F3C" w:rsidR="00FB0D29">
        <w:rPr>
          <w:rFonts w:cs="Arial"/>
        </w:rPr>
        <w:t>NRC has assumed</w:t>
      </w:r>
      <w:r w:rsidRPr="7E155F3C" w:rsidR="00C257D7">
        <w:rPr>
          <w:rFonts w:cs="Arial"/>
        </w:rPr>
        <w:t xml:space="preserve"> that only </w:t>
      </w:r>
      <w:r w:rsidRPr="7E155F3C" w:rsidR="00B30B01">
        <w:rPr>
          <w:rFonts w:cs="Arial"/>
        </w:rPr>
        <w:t>the</w:t>
      </w:r>
      <w:r w:rsidRPr="7E155F3C" w:rsidR="00876979">
        <w:rPr>
          <w:rFonts w:cs="Arial"/>
        </w:rPr>
        <w:t>se</w:t>
      </w:r>
      <w:r w:rsidRPr="7E155F3C" w:rsidR="00B30B01">
        <w:rPr>
          <w:rFonts w:cs="Arial"/>
        </w:rPr>
        <w:t xml:space="preserve"> </w:t>
      </w:r>
      <w:r w:rsidRPr="7E155F3C" w:rsidR="00C257D7">
        <w:rPr>
          <w:rFonts w:cs="Arial"/>
        </w:rPr>
        <w:t xml:space="preserve">7 sites </w:t>
      </w:r>
      <w:r w:rsidRPr="7E155F3C">
        <w:rPr>
          <w:rFonts w:cs="Arial"/>
        </w:rPr>
        <w:t>(</w:t>
      </w:r>
      <w:r w:rsidRPr="7E155F3C" w:rsidR="00B30B01">
        <w:rPr>
          <w:rFonts w:cs="Arial"/>
        </w:rPr>
        <w:t xml:space="preserve">that </w:t>
      </w:r>
      <w:r w:rsidRPr="7E155F3C" w:rsidR="00876979">
        <w:rPr>
          <w:rFonts w:cs="Arial"/>
        </w:rPr>
        <w:t xml:space="preserve">were issued </w:t>
      </w:r>
      <w:r w:rsidRPr="7E155F3C" w:rsidR="00C257D7">
        <w:rPr>
          <w:rFonts w:cs="Arial"/>
        </w:rPr>
        <w:t xml:space="preserve">Section 161A </w:t>
      </w:r>
      <w:r w:rsidRPr="7E155F3C" w:rsidR="00FB0D29">
        <w:rPr>
          <w:rFonts w:cs="Arial"/>
        </w:rPr>
        <w:t xml:space="preserve">stand-alone </w:t>
      </w:r>
      <w:r w:rsidRPr="7E155F3C" w:rsidR="00C257D7">
        <w:rPr>
          <w:rFonts w:cs="Arial"/>
        </w:rPr>
        <w:t xml:space="preserve">preemption authority </w:t>
      </w:r>
      <w:r w:rsidRPr="7E155F3C" w:rsidR="00566BEB">
        <w:rPr>
          <w:rFonts w:cs="Arial"/>
        </w:rPr>
        <w:t xml:space="preserve">via </w:t>
      </w:r>
      <w:r w:rsidRPr="7E155F3C" w:rsidR="00C257D7">
        <w:rPr>
          <w:rFonts w:cs="Arial"/>
        </w:rPr>
        <w:t>orders</w:t>
      </w:r>
      <w:r w:rsidRPr="7E155F3C">
        <w:rPr>
          <w:rFonts w:cs="Arial"/>
        </w:rPr>
        <w:t>)</w:t>
      </w:r>
      <w:r w:rsidRPr="7E155F3C" w:rsidR="00976340">
        <w:rPr>
          <w:rFonts w:cs="Arial"/>
        </w:rPr>
        <w:t xml:space="preserve"> will be required to submit reports or maintain records associated with </w:t>
      </w:r>
      <w:r w:rsidRPr="7E155F3C" w:rsidR="00FB0D29">
        <w:rPr>
          <w:rFonts w:cs="Arial"/>
        </w:rPr>
        <w:t>the provisions of §§ 73.15 and 73.17</w:t>
      </w:r>
      <w:r w:rsidRPr="7E155F3C" w:rsidR="00C257D7">
        <w:rPr>
          <w:rFonts w:cs="Arial"/>
        </w:rPr>
        <w:t xml:space="preserve">.  </w:t>
      </w:r>
      <w:r w:rsidRPr="7E155F3C" w:rsidR="00876979">
        <w:rPr>
          <w:rFonts w:cs="Arial"/>
        </w:rPr>
        <w:t xml:space="preserve">Moreover, under the final rule these licensees are not required to reapply for Section 161A authority.  </w:t>
      </w:r>
      <w:r w:rsidRPr="7E155F3C" w:rsidR="002D70D5">
        <w:rPr>
          <w:rFonts w:cs="Arial"/>
        </w:rPr>
        <w:t xml:space="preserve">Security personnel subject to firearms background checks </w:t>
      </w:r>
      <w:r w:rsidRPr="7E155F3C" w:rsidR="00876979">
        <w:rPr>
          <w:rFonts w:cs="Arial"/>
        </w:rPr>
        <w:t xml:space="preserve">at these 7 sites </w:t>
      </w:r>
      <w:r w:rsidRPr="7E155F3C" w:rsidR="00005A18">
        <w:rPr>
          <w:rFonts w:cs="Arial"/>
        </w:rPr>
        <w:t>must</w:t>
      </w:r>
      <w:r w:rsidRPr="7E155F3C" w:rsidR="002D70D5">
        <w:rPr>
          <w:rFonts w:cs="Arial"/>
        </w:rPr>
        <w:t xml:space="preserve"> report to their </w:t>
      </w:r>
      <w:r w:rsidRPr="7E155F3C" w:rsidR="000D7087">
        <w:rPr>
          <w:rFonts w:cs="Arial"/>
        </w:rPr>
        <w:t xml:space="preserve">licensee security </w:t>
      </w:r>
      <w:r w:rsidRPr="7E155F3C" w:rsidR="002D70D5">
        <w:rPr>
          <w:rFonts w:cs="Arial"/>
        </w:rPr>
        <w:t xml:space="preserve">management any event or condition disqualifying them from possessing </w:t>
      </w:r>
      <w:r w:rsidRPr="7E155F3C" w:rsidR="000D7087">
        <w:rPr>
          <w:rFonts w:cs="Arial"/>
        </w:rPr>
        <w:t xml:space="preserve">covered </w:t>
      </w:r>
      <w:r w:rsidRPr="7E155F3C" w:rsidR="002D70D5">
        <w:rPr>
          <w:rFonts w:cs="Arial"/>
        </w:rPr>
        <w:t>weapons.</w:t>
      </w:r>
      <w:r w:rsidRPr="7E155F3C" w:rsidR="00EC7255">
        <w:rPr>
          <w:rFonts w:cs="Arial"/>
        </w:rPr>
        <w:t xml:space="preserve">  </w:t>
      </w:r>
      <w:r w:rsidRPr="7E155F3C" w:rsidR="336206DB">
        <w:rPr>
          <w:rFonts w:cs="Arial"/>
        </w:rPr>
        <w:t>Additionally, security personnel are subject to</w:t>
      </w:r>
      <w:r w:rsidRPr="7E155F3C" w:rsidR="34FDD73C">
        <w:rPr>
          <w:rFonts w:cs="Arial"/>
        </w:rPr>
        <w:t xml:space="preserve"> periodic firearms background checks ever</w:t>
      </w:r>
      <w:r w:rsidRPr="7E155F3C" w:rsidR="203E40DC">
        <w:rPr>
          <w:rFonts w:cs="Arial"/>
        </w:rPr>
        <w:t xml:space="preserve">y 5 years. </w:t>
      </w:r>
      <w:r w:rsidRPr="7E155F3C" w:rsidR="00EC7255">
        <w:rPr>
          <w:rFonts w:cs="Arial"/>
        </w:rPr>
        <w:t>The following classes of licensees are impacted by the reports and records requirements for Section 161A authorities under §§ 73.15 and 73.17:</w:t>
      </w:r>
    </w:p>
    <w:p w:rsidR="00EC7255" w:rsidP="002D70D5" w:rsidRDefault="00EC7255" w14:paraId="5A4BBEB6" w14:textId="77777777">
      <w:pPr>
        <w:keepNext/>
        <w:keepLines/>
        <w:widowControl/>
        <w:rPr>
          <w:rFonts w:cs="Arial"/>
          <w:szCs w:val="22"/>
        </w:rPr>
      </w:pPr>
    </w:p>
    <w:p w:rsidR="00FA0844" w:rsidP="00FA0844" w:rsidRDefault="00FA0844" w14:paraId="6B9AD79E" w14:textId="2E4EB7D1">
      <w:pPr>
        <w:keepNext/>
        <w:keepLines/>
        <w:widowControl/>
        <w:jc w:val="center"/>
        <w:rPr>
          <w:rFonts w:cs="Arial"/>
          <w:szCs w:val="22"/>
        </w:rPr>
      </w:pPr>
      <w:r>
        <w:rPr>
          <w:color w:val="000000" w:themeColor="text1"/>
        </w:rPr>
        <w:t>Regulated Entities</w:t>
      </w:r>
      <w:r w:rsidRPr="00CB2445">
        <w:rPr>
          <w:color w:val="000000" w:themeColor="text1"/>
        </w:rPr>
        <w:t xml:space="preserve"> </w:t>
      </w:r>
      <w:r>
        <w:rPr>
          <w:rFonts w:cs="Arial"/>
        </w:rPr>
        <w:t>t</w:t>
      </w:r>
      <w:r w:rsidRPr="00622322">
        <w:rPr>
          <w:rFonts w:cs="Arial"/>
        </w:rPr>
        <w:t xml:space="preserve">hat </w:t>
      </w:r>
      <w:r>
        <w:rPr>
          <w:rFonts w:cs="Arial"/>
        </w:rPr>
        <w:t>M</w:t>
      </w:r>
      <w:r w:rsidRPr="00622322">
        <w:rPr>
          <w:rFonts w:cs="Arial"/>
        </w:rPr>
        <w:t>ay Apply for Section 161A Authorit</w:t>
      </w:r>
      <w:r>
        <w:rPr>
          <w:rFonts w:cs="Arial"/>
        </w:rPr>
        <w:t>y</w:t>
      </w:r>
    </w:p>
    <w:tbl>
      <w:tblPr>
        <w:tblStyle w:val="TableGrid"/>
        <w:tblW w:w="8455" w:type="dxa"/>
        <w:jc w:val="center"/>
        <w:tblLook w:val="04A0" w:firstRow="1" w:lastRow="0" w:firstColumn="1" w:lastColumn="0" w:noHBand="0" w:noVBand="1"/>
      </w:tblPr>
      <w:tblGrid>
        <w:gridCol w:w="3325"/>
        <w:gridCol w:w="1350"/>
        <w:gridCol w:w="3780"/>
      </w:tblGrid>
      <w:tr w:rsidR="00FA0844" w:rsidTr="00D45481" w14:paraId="5F9F0F3D" w14:textId="77777777">
        <w:trPr>
          <w:tblHeader/>
          <w:jc w:val="center"/>
        </w:trPr>
        <w:tc>
          <w:tcPr>
            <w:tcW w:w="3325" w:type="dxa"/>
            <w:vAlign w:val="center"/>
          </w:tcPr>
          <w:p w:rsidRPr="000324A3" w:rsidR="00FA0844" w:rsidP="00D45481" w:rsidRDefault="00FA0844" w14:paraId="4AA5A747" w14:textId="77777777">
            <w:pPr>
              <w:jc w:val="center"/>
              <w:rPr>
                <w:rFonts w:cs="Arial"/>
                <w:b/>
                <w:sz w:val="20"/>
                <w:szCs w:val="20"/>
              </w:rPr>
            </w:pPr>
            <w:r w:rsidRPr="000324A3">
              <w:rPr>
                <w:rFonts w:cs="Arial"/>
                <w:b/>
                <w:sz w:val="20"/>
                <w:szCs w:val="20"/>
              </w:rPr>
              <w:t>Category</w:t>
            </w:r>
          </w:p>
        </w:tc>
        <w:tc>
          <w:tcPr>
            <w:tcW w:w="1350" w:type="dxa"/>
            <w:vAlign w:val="center"/>
          </w:tcPr>
          <w:p w:rsidRPr="000324A3" w:rsidR="00FA0844" w:rsidP="00D45481" w:rsidRDefault="00FA0844" w14:paraId="500F2675" w14:textId="77777777">
            <w:pPr>
              <w:jc w:val="center"/>
              <w:rPr>
                <w:rFonts w:cs="Arial"/>
                <w:b/>
                <w:sz w:val="20"/>
                <w:szCs w:val="20"/>
              </w:rPr>
            </w:pPr>
            <w:r w:rsidRPr="000324A3">
              <w:rPr>
                <w:rFonts w:cs="Arial"/>
                <w:b/>
                <w:sz w:val="20"/>
                <w:szCs w:val="20"/>
              </w:rPr>
              <w:t>Number of Sites</w:t>
            </w:r>
          </w:p>
        </w:tc>
        <w:tc>
          <w:tcPr>
            <w:tcW w:w="3780" w:type="dxa"/>
            <w:vAlign w:val="center"/>
          </w:tcPr>
          <w:p w:rsidR="00FA0844" w:rsidP="00D45481" w:rsidRDefault="00FA0844" w14:paraId="15D9CBC0" w14:textId="77777777">
            <w:pPr>
              <w:jc w:val="center"/>
              <w:rPr>
                <w:rFonts w:cs="Arial"/>
                <w:b/>
                <w:sz w:val="20"/>
                <w:szCs w:val="20"/>
              </w:rPr>
            </w:pPr>
            <w:r w:rsidRPr="000324A3">
              <w:rPr>
                <w:rFonts w:cs="Arial"/>
                <w:b/>
                <w:sz w:val="20"/>
                <w:szCs w:val="20"/>
              </w:rPr>
              <w:t xml:space="preserve">Number of sites that received </w:t>
            </w:r>
          </w:p>
          <w:p w:rsidRPr="000324A3" w:rsidR="00FA0844" w:rsidP="00D45481" w:rsidRDefault="00FA0844" w14:paraId="70434445" w14:textId="5F6A543F">
            <w:pPr>
              <w:jc w:val="center"/>
              <w:rPr>
                <w:rFonts w:cs="Arial"/>
                <w:b/>
                <w:sz w:val="20"/>
                <w:szCs w:val="20"/>
              </w:rPr>
            </w:pPr>
            <w:r w:rsidRPr="000324A3">
              <w:rPr>
                <w:rFonts w:cs="Arial"/>
                <w:b/>
                <w:sz w:val="20"/>
                <w:szCs w:val="20"/>
              </w:rPr>
              <w:t>stand-alone preemption authority via confirmatory order</w:t>
            </w:r>
          </w:p>
        </w:tc>
      </w:tr>
      <w:tr w:rsidRPr="006A6538" w:rsidR="00FA0844" w:rsidTr="00D45481" w14:paraId="11279B68" w14:textId="77777777">
        <w:trPr>
          <w:jc w:val="center"/>
        </w:trPr>
        <w:tc>
          <w:tcPr>
            <w:tcW w:w="3325" w:type="dxa"/>
            <w:vAlign w:val="center"/>
          </w:tcPr>
          <w:p w:rsidRPr="000324A3" w:rsidR="00FA0844" w:rsidP="00D45481" w:rsidRDefault="00FA0844" w14:paraId="741880E2" w14:textId="77777777">
            <w:pPr>
              <w:rPr>
                <w:rFonts w:cs="Arial"/>
                <w:sz w:val="20"/>
                <w:szCs w:val="20"/>
              </w:rPr>
            </w:pPr>
            <w:r w:rsidRPr="000A61D8">
              <w:rPr>
                <w:rFonts w:cs="Arial"/>
                <w:color w:val="000000"/>
                <w:sz w:val="20"/>
                <w:szCs w:val="20"/>
              </w:rPr>
              <w:t xml:space="preserve">Power </w:t>
            </w:r>
            <w:r>
              <w:rPr>
                <w:rFonts w:cs="Arial"/>
                <w:color w:val="000000"/>
                <w:sz w:val="20"/>
                <w:szCs w:val="20"/>
              </w:rPr>
              <w:t>r</w:t>
            </w:r>
            <w:r w:rsidRPr="000A61D8">
              <w:rPr>
                <w:rFonts w:cs="Arial"/>
                <w:color w:val="000000"/>
                <w:sz w:val="20"/>
                <w:szCs w:val="20"/>
              </w:rPr>
              <w:t>eactor sites (operating &amp; under construction)</w:t>
            </w:r>
            <w:r w:rsidRPr="00DE27C7">
              <w:rPr>
                <w:rFonts w:cs="Arial"/>
                <w:sz w:val="20"/>
                <w:szCs w:val="20"/>
                <w:vertAlign w:val="superscript"/>
              </w:rPr>
              <w:t xml:space="preserve"> a b</w:t>
            </w:r>
            <w:r w:rsidRPr="000324A3" w:rsidDel="00C50796">
              <w:rPr>
                <w:rFonts w:cs="Arial"/>
                <w:sz w:val="20"/>
                <w:szCs w:val="20"/>
              </w:rPr>
              <w:t xml:space="preserve"> </w:t>
            </w:r>
          </w:p>
        </w:tc>
        <w:tc>
          <w:tcPr>
            <w:tcW w:w="1350" w:type="dxa"/>
            <w:vAlign w:val="center"/>
          </w:tcPr>
          <w:p w:rsidRPr="000324A3" w:rsidR="00FA0844" w:rsidP="00D45481" w:rsidRDefault="003D0EC7" w14:paraId="6B154341" w14:textId="2A9C7609">
            <w:pPr>
              <w:jc w:val="center"/>
              <w:rPr>
                <w:rFonts w:cs="Arial"/>
                <w:sz w:val="20"/>
                <w:szCs w:val="20"/>
              </w:rPr>
            </w:pPr>
            <w:r>
              <w:rPr>
                <w:rFonts w:cs="Arial"/>
                <w:sz w:val="20"/>
                <w:szCs w:val="20"/>
              </w:rPr>
              <w:t>56</w:t>
            </w:r>
          </w:p>
        </w:tc>
        <w:tc>
          <w:tcPr>
            <w:tcW w:w="3780" w:type="dxa"/>
            <w:vAlign w:val="center"/>
          </w:tcPr>
          <w:p w:rsidRPr="000324A3" w:rsidR="00FA0844" w:rsidP="00673C3E" w:rsidRDefault="69766EE8" w14:paraId="29C1F6D9" w14:textId="4F690D70">
            <w:pPr>
              <w:spacing w:line="259" w:lineRule="auto"/>
              <w:jc w:val="center"/>
              <w:rPr>
                <w:rFonts w:eastAsia="Arial" w:cs="Arial"/>
                <w:sz w:val="20"/>
                <w:szCs w:val="20"/>
              </w:rPr>
            </w:pPr>
            <w:r w:rsidRPr="7E155F3C">
              <w:rPr>
                <w:rFonts w:cs="Arial"/>
                <w:sz w:val="20"/>
                <w:szCs w:val="20"/>
              </w:rPr>
              <w:t>4</w:t>
            </w:r>
          </w:p>
        </w:tc>
      </w:tr>
      <w:tr w:rsidR="00FA0844" w:rsidTr="00D45481" w14:paraId="2B39034A" w14:textId="77777777">
        <w:trPr>
          <w:jc w:val="center"/>
        </w:trPr>
        <w:tc>
          <w:tcPr>
            <w:tcW w:w="3325" w:type="dxa"/>
            <w:vAlign w:val="center"/>
          </w:tcPr>
          <w:p w:rsidRPr="000324A3" w:rsidR="00FA0844" w:rsidP="00D45481" w:rsidRDefault="00FA0844" w14:paraId="37819D94" w14:textId="77777777">
            <w:pPr>
              <w:rPr>
                <w:rFonts w:cs="Arial"/>
                <w:sz w:val="20"/>
                <w:szCs w:val="20"/>
              </w:rPr>
            </w:pPr>
            <w:r w:rsidRPr="000324A3">
              <w:rPr>
                <w:rFonts w:cs="Arial"/>
                <w:sz w:val="20"/>
                <w:szCs w:val="20"/>
              </w:rPr>
              <w:t>Decommissioning power reactor sites</w:t>
            </w:r>
            <w:r w:rsidRPr="00DE27C7">
              <w:rPr>
                <w:rFonts w:cs="Arial"/>
                <w:sz w:val="20"/>
                <w:szCs w:val="20"/>
                <w:vertAlign w:val="superscript"/>
              </w:rPr>
              <w:t>b c</w:t>
            </w:r>
          </w:p>
        </w:tc>
        <w:tc>
          <w:tcPr>
            <w:tcW w:w="1350" w:type="dxa"/>
            <w:vAlign w:val="center"/>
          </w:tcPr>
          <w:p w:rsidRPr="000324A3" w:rsidR="00FA0844" w:rsidP="00673C3E" w:rsidRDefault="00454922" w14:paraId="02870478" w14:textId="7C7BE317">
            <w:pPr>
              <w:spacing w:line="259" w:lineRule="auto"/>
              <w:jc w:val="center"/>
              <w:rPr>
                <w:rFonts w:eastAsia="Arial" w:cs="Arial"/>
                <w:sz w:val="20"/>
                <w:szCs w:val="20"/>
              </w:rPr>
            </w:pPr>
            <w:r>
              <w:rPr>
                <w:rFonts w:eastAsia="Arial" w:cs="Arial"/>
                <w:sz w:val="20"/>
                <w:szCs w:val="20"/>
              </w:rPr>
              <w:t>20</w:t>
            </w:r>
          </w:p>
        </w:tc>
        <w:tc>
          <w:tcPr>
            <w:tcW w:w="3780" w:type="dxa"/>
            <w:vAlign w:val="center"/>
          </w:tcPr>
          <w:p w:rsidRPr="000324A3" w:rsidR="00FA0844" w:rsidP="00673C3E" w:rsidRDefault="726C2C62" w14:paraId="10C330EF" w14:textId="0C35572F">
            <w:pPr>
              <w:spacing w:line="259" w:lineRule="auto"/>
              <w:jc w:val="center"/>
              <w:rPr>
                <w:rFonts w:eastAsia="Arial" w:cs="Arial"/>
                <w:sz w:val="20"/>
                <w:szCs w:val="20"/>
              </w:rPr>
            </w:pPr>
            <w:r w:rsidRPr="7E155F3C">
              <w:rPr>
                <w:rFonts w:cs="Arial"/>
                <w:sz w:val="20"/>
                <w:szCs w:val="20"/>
              </w:rPr>
              <w:t>2</w:t>
            </w:r>
          </w:p>
        </w:tc>
      </w:tr>
      <w:tr w:rsidR="00FA0844" w:rsidTr="00D45481" w14:paraId="5E6B2C9C" w14:textId="77777777">
        <w:trPr>
          <w:jc w:val="center"/>
        </w:trPr>
        <w:tc>
          <w:tcPr>
            <w:tcW w:w="3325" w:type="dxa"/>
            <w:vAlign w:val="center"/>
          </w:tcPr>
          <w:p w:rsidRPr="00FA52EE" w:rsidR="00FA0844" w:rsidP="00D45481" w:rsidRDefault="00FA0844" w14:paraId="453FFCC8" w14:textId="77777777">
            <w:pPr>
              <w:rPr>
                <w:rFonts w:cs="Arial"/>
                <w:sz w:val="20"/>
                <w:szCs w:val="20"/>
              </w:rPr>
            </w:pPr>
            <w:r w:rsidRPr="00FA52EE">
              <w:rPr>
                <w:rFonts w:cs="Arial"/>
                <w:sz w:val="20"/>
                <w:szCs w:val="20"/>
              </w:rPr>
              <w:t>Away-from-reactor ISFSIs</w:t>
            </w:r>
          </w:p>
        </w:tc>
        <w:tc>
          <w:tcPr>
            <w:tcW w:w="1350" w:type="dxa"/>
            <w:vAlign w:val="center"/>
          </w:tcPr>
          <w:p w:rsidRPr="00FA52EE" w:rsidR="00FA0844" w:rsidP="00D45481" w:rsidRDefault="00060124" w14:paraId="42D168C3" w14:textId="755E6336">
            <w:pPr>
              <w:jc w:val="center"/>
              <w:rPr>
                <w:rFonts w:cs="Arial"/>
                <w:sz w:val="20"/>
                <w:szCs w:val="20"/>
              </w:rPr>
            </w:pPr>
            <w:r>
              <w:rPr>
                <w:rFonts w:cs="Arial"/>
                <w:sz w:val="20"/>
                <w:szCs w:val="20"/>
              </w:rPr>
              <w:t>13</w:t>
            </w:r>
          </w:p>
        </w:tc>
        <w:tc>
          <w:tcPr>
            <w:tcW w:w="3780" w:type="dxa"/>
            <w:vAlign w:val="center"/>
          </w:tcPr>
          <w:p w:rsidRPr="00FA52EE" w:rsidR="00FA0844" w:rsidP="00D45481" w:rsidRDefault="00FA0844" w14:paraId="76ACCE17" w14:textId="77777777">
            <w:pPr>
              <w:jc w:val="center"/>
              <w:rPr>
                <w:rFonts w:cs="Arial"/>
                <w:sz w:val="20"/>
                <w:szCs w:val="20"/>
              </w:rPr>
            </w:pPr>
            <w:r w:rsidRPr="00FA52EE">
              <w:rPr>
                <w:rFonts w:cs="Arial"/>
                <w:sz w:val="20"/>
                <w:szCs w:val="20"/>
              </w:rPr>
              <w:t>0</w:t>
            </w:r>
          </w:p>
        </w:tc>
      </w:tr>
      <w:tr w:rsidR="00FA0844" w:rsidTr="00D45481" w14:paraId="7FBAE849" w14:textId="77777777">
        <w:trPr>
          <w:jc w:val="center"/>
        </w:trPr>
        <w:tc>
          <w:tcPr>
            <w:tcW w:w="3325" w:type="dxa"/>
            <w:vAlign w:val="center"/>
          </w:tcPr>
          <w:p w:rsidRPr="000324A3" w:rsidR="00FA0844" w:rsidP="00D45481" w:rsidRDefault="00FA0844" w14:paraId="509B3802" w14:textId="77777777">
            <w:pPr>
              <w:rPr>
                <w:rFonts w:cs="Arial"/>
                <w:sz w:val="20"/>
                <w:szCs w:val="20"/>
              </w:rPr>
            </w:pPr>
            <w:r w:rsidRPr="00231C3F">
              <w:rPr>
                <w:rFonts w:cs="Arial"/>
                <w:sz w:val="20"/>
                <w:szCs w:val="20"/>
              </w:rPr>
              <w:t>Category I SSNM facilities</w:t>
            </w:r>
          </w:p>
        </w:tc>
        <w:tc>
          <w:tcPr>
            <w:tcW w:w="1350" w:type="dxa"/>
            <w:vAlign w:val="center"/>
          </w:tcPr>
          <w:p w:rsidRPr="000324A3" w:rsidR="00FA0844" w:rsidP="00D45481" w:rsidRDefault="00FA0844" w14:paraId="6DC08EAC" w14:textId="77777777">
            <w:pPr>
              <w:jc w:val="center"/>
              <w:rPr>
                <w:rFonts w:cs="Arial"/>
                <w:sz w:val="20"/>
                <w:szCs w:val="20"/>
              </w:rPr>
            </w:pPr>
            <w:r w:rsidRPr="00231C3F">
              <w:rPr>
                <w:rFonts w:cs="Arial"/>
                <w:sz w:val="20"/>
                <w:szCs w:val="20"/>
              </w:rPr>
              <w:t>2</w:t>
            </w:r>
          </w:p>
        </w:tc>
        <w:tc>
          <w:tcPr>
            <w:tcW w:w="3780" w:type="dxa"/>
            <w:vAlign w:val="center"/>
          </w:tcPr>
          <w:p w:rsidRPr="000324A3" w:rsidR="00FA0844" w:rsidP="00D45481" w:rsidRDefault="00FA0844" w14:paraId="0F2E568C" w14:textId="77777777">
            <w:pPr>
              <w:jc w:val="center"/>
              <w:rPr>
                <w:rFonts w:cs="Arial"/>
                <w:sz w:val="20"/>
                <w:szCs w:val="20"/>
              </w:rPr>
            </w:pPr>
            <w:r w:rsidRPr="000324A3">
              <w:rPr>
                <w:rFonts w:cs="Arial"/>
                <w:sz w:val="20"/>
                <w:szCs w:val="20"/>
              </w:rPr>
              <w:t>1</w:t>
            </w:r>
          </w:p>
        </w:tc>
      </w:tr>
      <w:tr w:rsidR="00FA0844" w:rsidTr="00D45481" w14:paraId="7CD86CFB" w14:textId="77777777">
        <w:trPr>
          <w:jc w:val="center"/>
        </w:trPr>
        <w:tc>
          <w:tcPr>
            <w:tcW w:w="3325" w:type="dxa"/>
            <w:vAlign w:val="center"/>
          </w:tcPr>
          <w:p w:rsidRPr="000324A3" w:rsidR="00FA0844" w:rsidP="00D45481" w:rsidRDefault="00FA0844" w14:paraId="406E37E6" w14:textId="77777777">
            <w:pPr>
              <w:jc w:val="right"/>
              <w:rPr>
                <w:rFonts w:cs="Arial"/>
                <w:b/>
                <w:sz w:val="20"/>
                <w:szCs w:val="20"/>
              </w:rPr>
            </w:pPr>
            <w:r w:rsidRPr="000324A3">
              <w:rPr>
                <w:rFonts w:cs="Arial"/>
                <w:b/>
                <w:sz w:val="20"/>
                <w:szCs w:val="20"/>
              </w:rPr>
              <w:t>Total</w:t>
            </w:r>
          </w:p>
        </w:tc>
        <w:tc>
          <w:tcPr>
            <w:tcW w:w="1350" w:type="dxa"/>
            <w:vAlign w:val="center"/>
          </w:tcPr>
          <w:p w:rsidRPr="000324A3" w:rsidR="00FA0844" w:rsidP="00673C3E" w:rsidRDefault="00156E72" w14:paraId="5F63444D" w14:textId="47B4518D">
            <w:pPr>
              <w:spacing w:line="259" w:lineRule="auto"/>
              <w:jc w:val="center"/>
              <w:rPr>
                <w:rFonts w:eastAsia="Arial" w:cs="Arial"/>
                <w:sz w:val="20"/>
                <w:szCs w:val="20"/>
              </w:rPr>
            </w:pPr>
            <w:r>
              <w:rPr>
                <w:rFonts w:cs="Arial"/>
                <w:b/>
                <w:sz w:val="20"/>
                <w:szCs w:val="20"/>
              </w:rPr>
              <w:t>91</w:t>
            </w:r>
          </w:p>
        </w:tc>
        <w:tc>
          <w:tcPr>
            <w:tcW w:w="3780" w:type="dxa"/>
            <w:vAlign w:val="center"/>
          </w:tcPr>
          <w:p w:rsidRPr="000324A3" w:rsidR="00FA0844" w:rsidP="00D45481" w:rsidRDefault="00FA0844" w14:paraId="7E401E54" w14:textId="77777777">
            <w:pPr>
              <w:jc w:val="center"/>
              <w:rPr>
                <w:rFonts w:cs="Arial"/>
                <w:b/>
                <w:sz w:val="20"/>
                <w:szCs w:val="20"/>
              </w:rPr>
            </w:pPr>
            <w:r w:rsidRPr="000324A3">
              <w:rPr>
                <w:rFonts w:cs="Arial"/>
                <w:b/>
                <w:sz w:val="20"/>
                <w:szCs w:val="20"/>
              </w:rPr>
              <w:t>7</w:t>
            </w:r>
          </w:p>
        </w:tc>
      </w:tr>
    </w:tbl>
    <w:p w:rsidRPr="00DE27C7" w:rsidR="00FA0844" w:rsidP="00FA0844" w:rsidRDefault="00FA0844" w14:paraId="09545FAE" w14:textId="77777777">
      <w:pPr>
        <w:ind w:left="720" w:hanging="360"/>
        <w:rPr>
          <w:rFonts w:cs="Arial"/>
          <w:sz w:val="20"/>
          <w:szCs w:val="20"/>
        </w:rPr>
      </w:pPr>
      <w:r w:rsidRPr="00DE27C7">
        <w:rPr>
          <w:rFonts w:cs="Arial"/>
          <w:sz w:val="20"/>
          <w:szCs w:val="20"/>
          <w:vertAlign w:val="superscript"/>
        </w:rPr>
        <w:t>a</w:t>
      </w:r>
      <w:r w:rsidRPr="00DE27C7">
        <w:rPr>
          <w:rFonts w:cs="Arial"/>
          <w:sz w:val="20"/>
          <w:szCs w:val="20"/>
        </w:rPr>
        <w:t xml:space="preserve"> </w:t>
      </w:r>
      <w:r w:rsidRPr="00DE27C7">
        <w:rPr>
          <w:rFonts w:cs="Arial"/>
          <w:sz w:val="20"/>
          <w:szCs w:val="20"/>
        </w:rPr>
        <w:tab/>
        <w:t>Power reactor sites include those sites with units under construction or in operating status.  Licensees that have not begun construction are not included.</w:t>
      </w:r>
    </w:p>
    <w:p w:rsidRPr="00DE27C7" w:rsidR="00FA0844" w:rsidP="00FA0844" w:rsidRDefault="00FA0844" w14:paraId="04E7517C" w14:textId="77777777">
      <w:pPr>
        <w:ind w:left="720" w:hanging="360"/>
        <w:rPr>
          <w:rFonts w:cs="Arial"/>
          <w:sz w:val="20"/>
          <w:szCs w:val="20"/>
        </w:rPr>
      </w:pPr>
      <w:r w:rsidRPr="00DE27C7">
        <w:rPr>
          <w:rFonts w:cs="Arial"/>
          <w:sz w:val="20"/>
          <w:szCs w:val="20"/>
          <w:vertAlign w:val="superscript"/>
        </w:rPr>
        <w:t>b</w:t>
      </w:r>
      <w:r w:rsidRPr="00DE27C7">
        <w:rPr>
          <w:rFonts w:cs="Arial"/>
          <w:sz w:val="20"/>
          <w:szCs w:val="20"/>
        </w:rPr>
        <w:t xml:space="preserve"> </w:t>
      </w:r>
      <w:r w:rsidRPr="00DE27C7">
        <w:rPr>
          <w:rFonts w:cs="Arial"/>
          <w:sz w:val="20"/>
          <w:szCs w:val="20"/>
        </w:rPr>
        <w:tab/>
        <w:t xml:space="preserve">Onsite ISFSIs </w:t>
      </w:r>
      <w:r>
        <w:rPr>
          <w:rFonts w:cs="Arial"/>
          <w:sz w:val="20"/>
          <w:szCs w:val="20"/>
        </w:rPr>
        <w:t xml:space="preserve">(at-reactor ISFSIs) </w:t>
      </w:r>
      <w:r w:rsidRPr="00DE27C7">
        <w:rPr>
          <w:rFonts w:cs="Arial"/>
          <w:sz w:val="20"/>
          <w:szCs w:val="20"/>
        </w:rPr>
        <w:t>are included in these categories.</w:t>
      </w:r>
    </w:p>
    <w:p w:rsidRPr="006C30EA" w:rsidR="00EC7255" w:rsidP="00FA0844" w:rsidRDefault="00FA0844" w14:paraId="12489F55" w14:textId="392DA929">
      <w:pPr>
        <w:pStyle w:val="ListParagraph"/>
        <w:widowControl/>
        <w:ind w:hanging="360"/>
        <w:rPr>
          <w:rFonts w:cs="Arial"/>
          <w:b/>
          <w:szCs w:val="22"/>
        </w:rPr>
      </w:pPr>
      <w:r w:rsidRPr="00DE27C7">
        <w:rPr>
          <w:rFonts w:cs="Arial"/>
          <w:sz w:val="20"/>
          <w:szCs w:val="20"/>
          <w:vertAlign w:val="superscript"/>
        </w:rPr>
        <w:t>c</w:t>
      </w:r>
      <w:r w:rsidRPr="00DE27C7">
        <w:rPr>
          <w:rFonts w:cs="Arial"/>
          <w:sz w:val="20"/>
          <w:szCs w:val="20"/>
        </w:rPr>
        <w:tab/>
        <w:t>All units on a decommissioning power reactor site are in decommissioni</w:t>
      </w:r>
      <w:r>
        <w:rPr>
          <w:rFonts w:cs="Arial"/>
          <w:sz w:val="20"/>
          <w:szCs w:val="20"/>
        </w:rPr>
        <w:t>ng or have been decommissioned</w:t>
      </w:r>
    </w:p>
    <w:p w:rsidR="00FA0844" w:rsidP="001B0614" w:rsidRDefault="00FA0844" w14:paraId="00E701C4" w14:textId="77777777">
      <w:pPr>
        <w:widowControl/>
        <w:rPr>
          <w:rFonts w:cs="Arial"/>
          <w:szCs w:val="22"/>
        </w:rPr>
      </w:pPr>
    </w:p>
    <w:p w:rsidR="000D7087" w:rsidP="001B0614" w:rsidRDefault="00876979" w14:paraId="533D7D48" w14:textId="5DD6164D">
      <w:pPr>
        <w:widowControl/>
        <w:rPr>
          <w:rFonts w:cs="Arial"/>
          <w:szCs w:val="22"/>
        </w:rPr>
      </w:pPr>
      <w:r>
        <w:rPr>
          <w:rFonts w:cs="Arial"/>
          <w:szCs w:val="22"/>
        </w:rPr>
        <w:t xml:space="preserve">The second </w:t>
      </w:r>
      <w:r w:rsidR="0085211D">
        <w:rPr>
          <w:rFonts w:cs="Arial"/>
          <w:szCs w:val="22"/>
        </w:rPr>
        <w:t>part</w:t>
      </w:r>
      <w:r>
        <w:rPr>
          <w:rFonts w:cs="Arial"/>
          <w:szCs w:val="22"/>
        </w:rPr>
        <w:t xml:space="preserve"> of final rule would affect a</w:t>
      </w:r>
      <w:r w:rsidR="00C257D7">
        <w:rPr>
          <w:rFonts w:cs="Arial"/>
          <w:szCs w:val="22"/>
        </w:rPr>
        <w:t xml:space="preserve">ll </w:t>
      </w:r>
      <w:r w:rsidR="002D70D5">
        <w:rPr>
          <w:rFonts w:cs="Arial"/>
          <w:szCs w:val="22"/>
        </w:rPr>
        <w:t>licensee</w:t>
      </w:r>
      <w:r w:rsidR="00C257D7">
        <w:rPr>
          <w:rFonts w:cs="Arial"/>
          <w:szCs w:val="22"/>
        </w:rPr>
        <w:t xml:space="preserve"> </w:t>
      </w:r>
      <w:r w:rsidR="00005A18">
        <w:rPr>
          <w:rFonts w:cs="Arial"/>
          <w:szCs w:val="22"/>
        </w:rPr>
        <w:t xml:space="preserve">that are subject to the </w:t>
      </w:r>
      <w:r w:rsidR="00C15BC1">
        <w:rPr>
          <w:rFonts w:cs="Arial"/>
          <w:szCs w:val="22"/>
        </w:rPr>
        <w:t xml:space="preserve">security </w:t>
      </w:r>
      <w:r w:rsidR="00005A18">
        <w:rPr>
          <w:rFonts w:cs="Arial"/>
          <w:szCs w:val="22"/>
        </w:rPr>
        <w:t xml:space="preserve">requirements of 10 CFR Part 73.  These licensees are </w:t>
      </w:r>
      <w:r w:rsidR="00C257D7">
        <w:rPr>
          <w:rFonts w:cs="Arial"/>
          <w:szCs w:val="22"/>
        </w:rPr>
        <w:t xml:space="preserve">impacted by the </w:t>
      </w:r>
      <w:r w:rsidR="002D70D5">
        <w:rPr>
          <w:rFonts w:cs="Arial"/>
          <w:szCs w:val="22"/>
        </w:rPr>
        <w:t>physical security event notification</w:t>
      </w:r>
      <w:r w:rsidR="00C257D7">
        <w:rPr>
          <w:rFonts w:cs="Arial"/>
          <w:szCs w:val="22"/>
        </w:rPr>
        <w:t xml:space="preserve"> </w:t>
      </w:r>
      <w:r w:rsidR="0085211D">
        <w:rPr>
          <w:rFonts w:cs="Arial"/>
          <w:szCs w:val="22"/>
        </w:rPr>
        <w:t>part</w:t>
      </w:r>
      <w:r w:rsidR="00C257D7">
        <w:rPr>
          <w:rFonts w:cs="Arial"/>
          <w:szCs w:val="22"/>
        </w:rPr>
        <w:t xml:space="preserve"> of the rule, so t</w:t>
      </w:r>
      <w:r w:rsidRPr="007951F2" w:rsidR="00C257D7">
        <w:rPr>
          <w:rFonts w:cs="Arial"/>
          <w:szCs w:val="22"/>
        </w:rPr>
        <w:t xml:space="preserve">his supporting </w:t>
      </w:r>
      <w:r w:rsidRPr="00673C3E" w:rsidR="00C257D7">
        <w:rPr>
          <w:rFonts w:cs="Arial"/>
          <w:szCs w:val="22"/>
        </w:rPr>
        <w:t xml:space="preserve">statement estimates the burden associated with reporting and recordkeeping </w:t>
      </w:r>
      <w:r w:rsidRPr="00673C3E" w:rsidR="000D7087">
        <w:rPr>
          <w:rFonts w:cs="Arial"/>
          <w:szCs w:val="22"/>
        </w:rPr>
        <w:t>appl</w:t>
      </w:r>
      <w:r w:rsidRPr="00673C3E" w:rsidR="00C15BC1">
        <w:rPr>
          <w:rFonts w:cs="Arial"/>
          <w:szCs w:val="22"/>
        </w:rPr>
        <w:t>ies</w:t>
      </w:r>
      <w:r w:rsidRPr="00673C3E" w:rsidR="000D7087">
        <w:rPr>
          <w:rFonts w:cs="Arial"/>
          <w:szCs w:val="22"/>
        </w:rPr>
        <w:t xml:space="preserve"> to </w:t>
      </w:r>
      <w:r w:rsidRPr="00673C3E" w:rsidR="00C257D7">
        <w:rPr>
          <w:rFonts w:cs="Arial"/>
          <w:szCs w:val="22"/>
        </w:rPr>
        <w:t xml:space="preserve">a total of </w:t>
      </w:r>
      <w:r w:rsidRPr="00673C3E" w:rsidR="00A66B72">
        <w:rPr>
          <w:rFonts w:cs="Arial"/>
          <w:szCs w:val="22"/>
        </w:rPr>
        <w:t>138</w:t>
      </w:r>
      <w:r w:rsidRPr="00673C3E" w:rsidR="00C257D7">
        <w:rPr>
          <w:rFonts w:cs="Arial"/>
          <w:szCs w:val="22"/>
        </w:rPr>
        <w:t xml:space="preserve"> </w:t>
      </w:r>
      <w:r w:rsidRPr="00673C3E" w:rsidR="000D7087">
        <w:rPr>
          <w:rFonts w:cs="Arial"/>
          <w:szCs w:val="22"/>
        </w:rPr>
        <w:t>licensees</w:t>
      </w:r>
      <w:r w:rsidRPr="00673C3E" w:rsidR="00C15BC1">
        <w:rPr>
          <w:rFonts w:cs="Arial"/>
          <w:szCs w:val="22"/>
        </w:rPr>
        <w:t>.</w:t>
      </w:r>
      <w:r w:rsidRPr="00673C3E" w:rsidR="002D70D5">
        <w:rPr>
          <w:rFonts w:cs="Arial"/>
          <w:szCs w:val="22"/>
        </w:rPr>
        <w:t xml:space="preserve">  </w:t>
      </w:r>
      <w:r w:rsidRPr="00673C3E" w:rsidR="00C15BC1">
        <w:rPr>
          <w:rFonts w:cs="Arial"/>
          <w:szCs w:val="22"/>
        </w:rPr>
        <w:t>The following classes of licensees are impacted by the r</w:t>
      </w:r>
      <w:r w:rsidRPr="00673C3E" w:rsidR="000D7087">
        <w:rPr>
          <w:rFonts w:cs="Arial"/>
          <w:szCs w:val="22"/>
        </w:rPr>
        <w:t xml:space="preserve">eports and records </w:t>
      </w:r>
      <w:r w:rsidRPr="00673C3E" w:rsidR="00C15BC1">
        <w:rPr>
          <w:rFonts w:cs="Arial"/>
          <w:szCs w:val="22"/>
        </w:rPr>
        <w:t xml:space="preserve">requirements </w:t>
      </w:r>
      <w:r w:rsidRPr="00673C3E" w:rsidR="000D7087">
        <w:rPr>
          <w:rFonts w:cs="Arial"/>
          <w:szCs w:val="22"/>
        </w:rPr>
        <w:t>for</w:t>
      </w:r>
      <w:r w:rsidR="000D7087">
        <w:rPr>
          <w:rFonts w:cs="Arial"/>
          <w:szCs w:val="22"/>
        </w:rPr>
        <w:t xml:space="preserve"> physical security event notifications under §§ 73.1200, 73.1205, and 73.1210</w:t>
      </w:r>
      <w:r w:rsidR="006C30EA">
        <w:rPr>
          <w:rFonts w:cs="Arial"/>
          <w:szCs w:val="22"/>
        </w:rPr>
        <w:t>:</w:t>
      </w:r>
    </w:p>
    <w:p w:rsidR="006C30EA" w:rsidP="001B0614" w:rsidRDefault="006C30EA" w14:paraId="78FC17A2" w14:textId="77777777">
      <w:pPr>
        <w:widowControl/>
        <w:rPr>
          <w:rFonts w:cs="Arial"/>
          <w:szCs w:val="22"/>
        </w:rPr>
      </w:pPr>
    </w:p>
    <w:p w:rsidR="00FA0844" w:rsidRDefault="00FA0844" w14:paraId="71B63571" w14:textId="77777777">
      <w:pPr>
        <w:widowControl/>
        <w:autoSpaceDE/>
        <w:autoSpaceDN/>
        <w:adjustRightInd/>
        <w:rPr>
          <w:color w:val="000000" w:themeColor="text1"/>
        </w:rPr>
      </w:pPr>
      <w:r>
        <w:rPr>
          <w:color w:val="000000" w:themeColor="text1"/>
        </w:rPr>
        <w:br w:type="page"/>
      </w:r>
    </w:p>
    <w:p w:rsidR="00FA0844" w:rsidP="00FA0844" w:rsidRDefault="00FA0844" w14:paraId="280196C7" w14:textId="6B608AB5">
      <w:pPr>
        <w:widowControl/>
        <w:jc w:val="center"/>
        <w:rPr>
          <w:rFonts w:cs="Arial"/>
          <w:szCs w:val="22"/>
        </w:rPr>
      </w:pPr>
      <w:r>
        <w:rPr>
          <w:color w:val="000000" w:themeColor="text1"/>
        </w:rPr>
        <w:lastRenderedPageBreak/>
        <w:t>Regulated Entities</w:t>
      </w:r>
      <w:r w:rsidRPr="00CB2445">
        <w:rPr>
          <w:color w:val="000000" w:themeColor="text1"/>
        </w:rPr>
        <w:t xml:space="preserve"> Affected </w:t>
      </w:r>
      <w:r w:rsidRPr="005A44A7">
        <w:t>by</w:t>
      </w:r>
      <w:r>
        <w:t xml:space="preserve"> </w:t>
      </w:r>
      <w:r w:rsidRPr="005A44A7">
        <w:t>the Physical Security Event Notifications</w:t>
      </w:r>
    </w:p>
    <w:tbl>
      <w:tblPr>
        <w:tblW w:w="7000" w:type="dxa"/>
        <w:jc w:val="center"/>
        <w:tblLook w:val="04A0" w:firstRow="1" w:lastRow="0" w:firstColumn="1" w:lastColumn="0" w:noHBand="0" w:noVBand="1"/>
      </w:tblPr>
      <w:tblGrid>
        <w:gridCol w:w="5569"/>
        <w:gridCol w:w="1431"/>
      </w:tblGrid>
      <w:tr w:rsidRPr="000A61D8" w:rsidR="00574085" w:rsidTr="00D45481" w14:paraId="5BF4D94F" w14:textId="77777777">
        <w:trPr>
          <w:trHeight w:val="612"/>
          <w:jc w:val="center"/>
        </w:trPr>
        <w:tc>
          <w:tcPr>
            <w:tcW w:w="556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A61D8" w:rsidR="00574085" w:rsidP="00D45481" w:rsidRDefault="00574085" w14:paraId="6BF24AFC" w14:textId="77777777">
            <w:pPr>
              <w:jc w:val="center"/>
              <w:rPr>
                <w:rFonts w:cs="Arial"/>
                <w:b/>
                <w:bCs/>
                <w:color w:val="000000"/>
                <w:sz w:val="20"/>
                <w:szCs w:val="20"/>
              </w:rPr>
            </w:pPr>
            <w:r w:rsidRPr="000A61D8">
              <w:rPr>
                <w:rFonts w:cs="Arial"/>
                <w:b/>
                <w:bCs/>
                <w:color w:val="000000"/>
                <w:sz w:val="20"/>
                <w:szCs w:val="20"/>
              </w:rPr>
              <w:t>Site Description</w:t>
            </w:r>
          </w:p>
        </w:tc>
        <w:tc>
          <w:tcPr>
            <w:tcW w:w="1431" w:type="dxa"/>
            <w:tcBorders>
              <w:top w:val="single" w:color="auto" w:sz="4" w:space="0"/>
              <w:left w:val="nil"/>
              <w:bottom w:val="single" w:color="auto" w:sz="4" w:space="0"/>
              <w:right w:val="single" w:color="auto" w:sz="4" w:space="0"/>
            </w:tcBorders>
            <w:shd w:val="clear" w:color="auto" w:fill="auto"/>
            <w:vAlign w:val="center"/>
            <w:hideMark/>
          </w:tcPr>
          <w:p w:rsidRPr="000A61D8" w:rsidR="00574085" w:rsidP="00D45481" w:rsidRDefault="00574085" w14:paraId="49339C02" w14:textId="77777777">
            <w:pPr>
              <w:jc w:val="center"/>
              <w:rPr>
                <w:rFonts w:cs="Arial"/>
                <w:b/>
                <w:bCs/>
                <w:color w:val="000000"/>
                <w:sz w:val="20"/>
                <w:szCs w:val="20"/>
              </w:rPr>
            </w:pPr>
            <w:r w:rsidRPr="000A61D8">
              <w:rPr>
                <w:rFonts w:cs="Arial"/>
                <w:b/>
                <w:bCs/>
                <w:color w:val="000000"/>
                <w:sz w:val="20"/>
                <w:szCs w:val="20"/>
              </w:rPr>
              <w:t>No. of sites</w:t>
            </w:r>
          </w:p>
        </w:tc>
      </w:tr>
      <w:tr w:rsidRPr="000A61D8" w:rsidR="00574085" w:rsidTr="00D45481" w14:paraId="68CDD2AE" w14:textId="77777777">
        <w:trPr>
          <w:trHeight w:val="324"/>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574085" w:rsidP="00D45481" w:rsidRDefault="00574085" w14:paraId="5B418AB5" w14:textId="77777777">
            <w:pPr>
              <w:rPr>
                <w:rFonts w:cs="Arial"/>
                <w:color w:val="000000"/>
                <w:sz w:val="20"/>
                <w:szCs w:val="20"/>
              </w:rPr>
            </w:pPr>
            <w:r w:rsidRPr="000A61D8">
              <w:rPr>
                <w:rFonts w:cs="Arial"/>
                <w:color w:val="000000"/>
                <w:sz w:val="20"/>
                <w:szCs w:val="20"/>
              </w:rPr>
              <w:t xml:space="preserve">Power </w:t>
            </w:r>
            <w:r>
              <w:rPr>
                <w:rFonts w:cs="Arial"/>
                <w:color w:val="000000"/>
                <w:sz w:val="20"/>
                <w:szCs w:val="20"/>
              </w:rPr>
              <w:t>r</w:t>
            </w:r>
            <w:r w:rsidRPr="000A61D8">
              <w:rPr>
                <w:rFonts w:cs="Arial"/>
                <w:color w:val="000000"/>
                <w:sz w:val="20"/>
                <w:szCs w:val="20"/>
              </w:rPr>
              <w:t>eactor sites (operating &amp; under construction)</w:t>
            </w:r>
            <w:r w:rsidRPr="000A61D8">
              <w:rPr>
                <w:rFonts w:cs="Arial"/>
                <w:color w:val="000000"/>
                <w:sz w:val="20"/>
                <w:szCs w:val="20"/>
                <w:vertAlign w:val="superscript"/>
              </w:rPr>
              <w:t>a,b</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574085" w:rsidP="00D45481" w:rsidRDefault="003B4900" w14:paraId="7C7327E1" w14:textId="79226FBF">
            <w:pPr>
              <w:jc w:val="center"/>
              <w:rPr>
                <w:rFonts w:cs="Arial"/>
                <w:color w:val="000000"/>
                <w:sz w:val="20"/>
                <w:szCs w:val="20"/>
              </w:rPr>
            </w:pPr>
            <w:r>
              <w:rPr>
                <w:rFonts w:cs="Arial"/>
                <w:color w:val="000000"/>
                <w:sz w:val="20"/>
                <w:szCs w:val="20"/>
              </w:rPr>
              <w:t>56</w:t>
            </w:r>
          </w:p>
        </w:tc>
      </w:tr>
      <w:tr w:rsidRPr="000A61D8" w:rsidR="00574085" w:rsidTr="00D45481" w14:paraId="24FECA17" w14:textId="77777777">
        <w:trPr>
          <w:trHeight w:val="324"/>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574085" w:rsidP="00D45481" w:rsidRDefault="00574085" w14:paraId="3B184570" w14:textId="77777777">
            <w:pPr>
              <w:rPr>
                <w:rFonts w:cs="Arial"/>
                <w:color w:val="000000"/>
                <w:sz w:val="20"/>
                <w:szCs w:val="20"/>
              </w:rPr>
            </w:pPr>
            <w:r w:rsidRPr="000A61D8">
              <w:rPr>
                <w:rFonts w:cs="Arial"/>
                <w:color w:val="000000"/>
                <w:sz w:val="20"/>
                <w:szCs w:val="20"/>
              </w:rPr>
              <w:t xml:space="preserve">Decommissioning </w:t>
            </w:r>
            <w:r>
              <w:rPr>
                <w:rFonts w:cs="Arial"/>
                <w:color w:val="000000"/>
                <w:sz w:val="20"/>
                <w:szCs w:val="20"/>
              </w:rPr>
              <w:t>p</w:t>
            </w:r>
            <w:r w:rsidRPr="000A61D8">
              <w:rPr>
                <w:rFonts w:cs="Arial"/>
                <w:color w:val="000000"/>
                <w:sz w:val="20"/>
                <w:szCs w:val="20"/>
              </w:rPr>
              <w:t xml:space="preserve">ower </w:t>
            </w:r>
            <w:r>
              <w:rPr>
                <w:rFonts w:cs="Arial"/>
                <w:color w:val="000000"/>
                <w:sz w:val="20"/>
                <w:szCs w:val="20"/>
              </w:rPr>
              <w:t>r</w:t>
            </w:r>
            <w:r w:rsidRPr="000A61D8">
              <w:rPr>
                <w:rFonts w:cs="Arial"/>
                <w:color w:val="000000"/>
                <w:sz w:val="20"/>
                <w:szCs w:val="20"/>
              </w:rPr>
              <w:t>eactor sites</w:t>
            </w:r>
            <w:r w:rsidRPr="000A61D8">
              <w:rPr>
                <w:rFonts w:cs="Arial"/>
                <w:color w:val="000000"/>
                <w:sz w:val="20"/>
                <w:szCs w:val="20"/>
                <w:vertAlign w:val="superscript"/>
              </w:rPr>
              <w:t>b,c</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574085" w:rsidP="00D45481" w:rsidRDefault="0077477E" w14:paraId="2D2CA691" w14:textId="7D62D8D9">
            <w:pPr>
              <w:jc w:val="center"/>
              <w:rPr>
                <w:rFonts w:cs="Arial"/>
                <w:color w:val="000000"/>
                <w:sz w:val="20"/>
                <w:szCs w:val="20"/>
              </w:rPr>
            </w:pPr>
            <w:r>
              <w:rPr>
                <w:rFonts w:cs="Arial"/>
                <w:color w:val="000000"/>
                <w:sz w:val="20"/>
                <w:szCs w:val="20"/>
              </w:rPr>
              <w:t>20</w:t>
            </w:r>
          </w:p>
        </w:tc>
      </w:tr>
      <w:tr w:rsidRPr="000A61D8" w:rsidR="00574085" w:rsidTr="00D45481" w14:paraId="5FBCA613"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574085" w:rsidP="00D45481" w:rsidRDefault="00574085" w14:paraId="5D9B9DC9" w14:textId="77777777">
            <w:pPr>
              <w:rPr>
                <w:rFonts w:cs="Arial"/>
                <w:color w:val="000000"/>
                <w:sz w:val="20"/>
                <w:szCs w:val="20"/>
              </w:rPr>
            </w:pPr>
            <w:r w:rsidRPr="000A61D8">
              <w:rPr>
                <w:rFonts w:cs="Arial"/>
                <w:color w:val="000000"/>
                <w:sz w:val="20"/>
                <w:szCs w:val="20"/>
              </w:rPr>
              <w:t>Away-from-reactor ISFSIs</w:t>
            </w:r>
          </w:p>
        </w:tc>
        <w:tc>
          <w:tcPr>
            <w:tcW w:w="1431" w:type="dxa"/>
            <w:tcBorders>
              <w:top w:val="nil"/>
              <w:left w:val="nil"/>
              <w:bottom w:val="single" w:color="auto" w:sz="4" w:space="0"/>
              <w:right w:val="single" w:color="auto" w:sz="4" w:space="0"/>
            </w:tcBorders>
            <w:shd w:val="clear" w:color="auto" w:fill="auto"/>
            <w:noWrap/>
            <w:vAlign w:val="center"/>
          </w:tcPr>
          <w:p w:rsidRPr="000A61D8" w:rsidR="00574085" w:rsidP="00D45481" w:rsidRDefault="002777F9" w14:paraId="36010229" w14:textId="5425EA60">
            <w:pPr>
              <w:jc w:val="center"/>
              <w:rPr>
                <w:rFonts w:cs="Arial"/>
                <w:color w:val="000000"/>
                <w:sz w:val="20"/>
                <w:szCs w:val="20"/>
              </w:rPr>
            </w:pPr>
            <w:r>
              <w:rPr>
                <w:rFonts w:cs="Arial"/>
                <w:color w:val="000000"/>
                <w:sz w:val="20"/>
                <w:szCs w:val="20"/>
              </w:rPr>
              <w:t>13</w:t>
            </w:r>
          </w:p>
        </w:tc>
      </w:tr>
      <w:tr w:rsidRPr="000A61D8" w:rsidR="00574085" w:rsidTr="00D45481" w14:paraId="02E9B4CA"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574085" w:rsidP="00D45481" w:rsidRDefault="00C90549" w14:paraId="633C162B" w14:textId="4D9D544B">
            <w:pPr>
              <w:rPr>
                <w:rFonts w:cs="Arial"/>
                <w:color w:val="000000"/>
                <w:sz w:val="20"/>
                <w:szCs w:val="20"/>
              </w:rPr>
            </w:pPr>
            <w:r>
              <w:rPr>
                <w:rFonts w:cs="Arial"/>
                <w:color w:val="000000"/>
                <w:sz w:val="20"/>
                <w:szCs w:val="20"/>
              </w:rPr>
              <w:t>Non-power</w:t>
            </w:r>
            <w:r w:rsidR="00736C8A">
              <w:rPr>
                <w:rFonts w:cs="Arial"/>
                <w:color w:val="000000"/>
                <w:sz w:val="20"/>
                <w:szCs w:val="20"/>
              </w:rPr>
              <w:t xml:space="preserve"> production or utilization facilities</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574085" w:rsidP="00D45481" w:rsidRDefault="00574085" w14:paraId="132B65B6" w14:textId="77E5EF51">
            <w:pPr>
              <w:jc w:val="center"/>
              <w:rPr>
                <w:rFonts w:cs="Arial"/>
                <w:color w:val="000000"/>
                <w:sz w:val="20"/>
                <w:szCs w:val="20"/>
              </w:rPr>
            </w:pPr>
            <w:r w:rsidRPr="0077477E">
              <w:rPr>
                <w:rFonts w:cs="Arial"/>
                <w:color w:val="000000"/>
                <w:sz w:val="20"/>
                <w:szCs w:val="20"/>
              </w:rPr>
              <w:t>31</w:t>
            </w:r>
          </w:p>
        </w:tc>
      </w:tr>
      <w:tr w:rsidRPr="000A61D8" w:rsidR="00574085" w:rsidTr="00D45481" w14:paraId="6DD70325"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574085" w:rsidP="00D45481" w:rsidRDefault="00574085" w14:paraId="5AC9494D" w14:textId="77777777">
            <w:pPr>
              <w:rPr>
                <w:rFonts w:cs="Arial"/>
                <w:color w:val="000000"/>
                <w:sz w:val="20"/>
                <w:szCs w:val="20"/>
              </w:rPr>
            </w:pPr>
            <w:r w:rsidRPr="000A61D8">
              <w:rPr>
                <w:rFonts w:cs="Arial"/>
                <w:color w:val="000000"/>
                <w:sz w:val="20"/>
                <w:szCs w:val="20"/>
              </w:rPr>
              <w:t>Hot cell facilities</w:t>
            </w:r>
          </w:p>
        </w:tc>
        <w:tc>
          <w:tcPr>
            <w:tcW w:w="1431" w:type="dxa"/>
            <w:tcBorders>
              <w:top w:val="nil"/>
              <w:left w:val="nil"/>
              <w:bottom w:val="single" w:color="auto" w:sz="4" w:space="0"/>
              <w:right w:val="single" w:color="auto" w:sz="4" w:space="0"/>
            </w:tcBorders>
            <w:shd w:val="clear" w:color="auto" w:fill="auto"/>
            <w:noWrap/>
            <w:vAlign w:val="center"/>
          </w:tcPr>
          <w:p w:rsidRPr="000A61D8" w:rsidR="00574085" w:rsidP="00D45481" w:rsidRDefault="00574085" w14:paraId="770DF759" w14:textId="77777777">
            <w:pPr>
              <w:jc w:val="center"/>
              <w:rPr>
                <w:rFonts w:cs="Arial"/>
                <w:color w:val="000000"/>
                <w:sz w:val="20"/>
                <w:szCs w:val="20"/>
              </w:rPr>
            </w:pPr>
            <w:r>
              <w:rPr>
                <w:rFonts w:cs="Arial"/>
                <w:color w:val="000000"/>
                <w:sz w:val="20"/>
                <w:szCs w:val="20"/>
              </w:rPr>
              <w:t>1</w:t>
            </w:r>
          </w:p>
        </w:tc>
      </w:tr>
      <w:tr w:rsidRPr="000A61D8" w:rsidR="00574085" w:rsidTr="00D45481" w14:paraId="560BBE2E"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574085" w:rsidP="00D45481" w:rsidRDefault="00574085" w14:paraId="6CA09F58" w14:textId="77777777">
            <w:pPr>
              <w:rPr>
                <w:rFonts w:cs="Arial"/>
                <w:color w:val="000000"/>
                <w:sz w:val="20"/>
                <w:szCs w:val="20"/>
              </w:rPr>
            </w:pPr>
            <w:r w:rsidRPr="000A61D8">
              <w:rPr>
                <w:rFonts w:cs="Arial"/>
                <w:color w:val="000000"/>
                <w:sz w:val="20"/>
                <w:szCs w:val="20"/>
              </w:rPr>
              <w:t>Category I SSNM facilities</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574085" w:rsidP="00D45481" w:rsidRDefault="00574085" w14:paraId="690DEB60" w14:textId="77777777">
            <w:pPr>
              <w:jc w:val="center"/>
              <w:rPr>
                <w:rFonts w:cs="Arial"/>
                <w:color w:val="000000"/>
                <w:sz w:val="20"/>
                <w:szCs w:val="20"/>
              </w:rPr>
            </w:pPr>
            <w:r w:rsidRPr="000A61D8">
              <w:rPr>
                <w:rFonts w:cs="Arial"/>
                <w:color w:val="000000"/>
                <w:sz w:val="20"/>
                <w:szCs w:val="20"/>
              </w:rPr>
              <w:t>2</w:t>
            </w:r>
          </w:p>
        </w:tc>
      </w:tr>
      <w:tr w:rsidRPr="000A61D8" w:rsidR="00574085" w:rsidTr="00D45481" w14:paraId="6F035B72"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574085" w:rsidP="00D45481" w:rsidRDefault="00574085" w14:paraId="1B8BD1AA" w14:textId="05113510">
            <w:pPr>
              <w:rPr>
                <w:rFonts w:cs="Arial"/>
                <w:color w:val="000000"/>
                <w:sz w:val="20"/>
                <w:szCs w:val="20"/>
              </w:rPr>
            </w:pPr>
            <w:r w:rsidRPr="008D65BF">
              <w:rPr>
                <w:rFonts w:cs="Arial"/>
                <w:color w:val="000000"/>
                <w:sz w:val="20"/>
                <w:szCs w:val="20"/>
              </w:rPr>
              <w:t>Category II and III SNM facilities</w:t>
            </w:r>
            <w:r w:rsidR="00DA01BB">
              <w:rPr>
                <w:rFonts w:cs="Arial"/>
                <w:color w:val="000000"/>
                <w:sz w:val="20"/>
                <w:szCs w:val="20"/>
              </w:rPr>
              <w:t xml:space="preserve"> (NRC licensees)</w:t>
            </w:r>
          </w:p>
        </w:tc>
        <w:tc>
          <w:tcPr>
            <w:tcW w:w="1431" w:type="dxa"/>
            <w:tcBorders>
              <w:top w:val="nil"/>
              <w:left w:val="nil"/>
              <w:bottom w:val="single" w:color="auto" w:sz="4" w:space="0"/>
              <w:right w:val="single" w:color="auto" w:sz="4" w:space="0"/>
            </w:tcBorders>
            <w:shd w:val="clear" w:color="auto" w:fill="auto"/>
            <w:noWrap/>
            <w:vAlign w:val="center"/>
          </w:tcPr>
          <w:p w:rsidRPr="000A61D8" w:rsidR="00574085" w:rsidP="00D45481" w:rsidRDefault="00EA33D6" w14:paraId="5DF73043" w14:textId="27B79EE9">
            <w:pPr>
              <w:jc w:val="center"/>
              <w:rPr>
                <w:rFonts w:cs="Arial"/>
                <w:color w:val="000000"/>
                <w:sz w:val="20"/>
                <w:szCs w:val="20"/>
              </w:rPr>
            </w:pPr>
            <w:r>
              <w:rPr>
                <w:rFonts w:cs="Arial"/>
                <w:color w:val="000000"/>
                <w:sz w:val="20"/>
                <w:szCs w:val="20"/>
              </w:rPr>
              <w:t>5</w:t>
            </w:r>
          </w:p>
        </w:tc>
      </w:tr>
      <w:tr w:rsidRPr="000A61D8" w:rsidR="008C190E" w:rsidTr="00D45481" w14:paraId="79D09B8D"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673C3E" w:rsidR="008C190E" w:rsidP="00D45481" w:rsidRDefault="00A96CEC" w14:paraId="6757C5BB" w14:textId="5D0E8CC9">
            <w:pPr>
              <w:rPr>
                <w:rFonts w:cs="Arial"/>
                <w:color w:val="000000"/>
                <w:sz w:val="20"/>
                <w:szCs w:val="20"/>
                <w:vertAlign w:val="superscript"/>
              </w:rPr>
            </w:pPr>
            <w:r>
              <w:rPr>
                <w:rFonts w:cs="Arial"/>
                <w:color w:val="000000"/>
                <w:sz w:val="20"/>
                <w:szCs w:val="20"/>
              </w:rPr>
              <w:t>Cat</w:t>
            </w:r>
            <w:r w:rsidR="00AE299B">
              <w:rPr>
                <w:rFonts w:cs="Arial"/>
                <w:color w:val="000000"/>
                <w:sz w:val="20"/>
                <w:szCs w:val="20"/>
              </w:rPr>
              <w:t>egory</w:t>
            </w:r>
            <w:r>
              <w:rPr>
                <w:rFonts w:cs="Arial"/>
                <w:color w:val="000000"/>
                <w:sz w:val="20"/>
                <w:szCs w:val="20"/>
              </w:rPr>
              <w:t xml:space="preserve"> III </w:t>
            </w:r>
            <w:r w:rsidR="00AE299B">
              <w:rPr>
                <w:rFonts w:cs="Arial"/>
                <w:color w:val="000000"/>
                <w:sz w:val="20"/>
                <w:szCs w:val="20"/>
              </w:rPr>
              <w:t>S</w:t>
            </w:r>
            <w:r>
              <w:rPr>
                <w:rFonts w:cs="Arial"/>
                <w:color w:val="000000"/>
                <w:sz w:val="20"/>
                <w:szCs w:val="20"/>
              </w:rPr>
              <w:t>SNM facilities</w:t>
            </w:r>
            <w:r w:rsidR="00AE299B">
              <w:rPr>
                <w:rFonts w:cs="Arial"/>
                <w:color w:val="000000"/>
                <w:sz w:val="20"/>
                <w:szCs w:val="20"/>
              </w:rPr>
              <w:t xml:space="preserve"> (Agreement States licensees)</w:t>
            </w:r>
            <w:r w:rsidR="003D7F27">
              <w:rPr>
                <w:rFonts w:cs="Arial"/>
                <w:color w:val="000000"/>
                <w:sz w:val="20"/>
                <w:szCs w:val="20"/>
              </w:rPr>
              <w:t xml:space="preserve"> </w:t>
            </w:r>
            <w:r w:rsidR="00FD63F4">
              <w:rPr>
                <w:rFonts w:cs="Arial"/>
                <w:color w:val="000000"/>
                <w:sz w:val="20"/>
                <w:szCs w:val="20"/>
                <w:vertAlign w:val="superscript"/>
              </w:rPr>
              <w:t>d</w:t>
            </w:r>
          </w:p>
        </w:tc>
        <w:tc>
          <w:tcPr>
            <w:tcW w:w="1431" w:type="dxa"/>
            <w:tcBorders>
              <w:top w:val="nil"/>
              <w:left w:val="nil"/>
              <w:bottom w:val="single" w:color="auto" w:sz="4" w:space="0"/>
              <w:right w:val="single" w:color="auto" w:sz="4" w:space="0"/>
            </w:tcBorders>
            <w:shd w:val="clear" w:color="auto" w:fill="auto"/>
            <w:noWrap/>
            <w:vAlign w:val="center"/>
          </w:tcPr>
          <w:p w:rsidR="008C190E" w:rsidP="00D45481" w:rsidRDefault="00456D50" w14:paraId="2D498DC5" w14:textId="10070EE2">
            <w:pPr>
              <w:jc w:val="center"/>
              <w:rPr>
                <w:rFonts w:cs="Arial"/>
                <w:color w:val="000000"/>
                <w:sz w:val="20"/>
                <w:szCs w:val="20"/>
              </w:rPr>
            </w:pPr>
            <w:r>
              <w:rPr>
                <w:rFonts w:cs="Arial"/>
                <w:color w:val="000000"/>
                <w:sz w:val="20"/>
                <w:szCs w:val="20"/>
              </w:rPr>
              <w:t>10</w:t>
            </w:r>
          </w:p>
        </w:tc>
      </w:tr>
      <w:tr w:rsidRPr="000A61D8" w:rsidR="00574085" w:rsidTr="00D45481" w14:paraId="64D9141C"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574085" w:rsidP="00D45481" w:rsidRDefault="00574085" w14:paraId="6ED80DD6" w14:textId="77777777">
            <w:pPr>
              <w:jc w:val="right"/>
              <w:rPr>
                <w:rFonts w:cs="Arial"/>
                <w:b/>
                <w:bCs/>
                <w:color w:val="000000"/>
                <w:sz w:val="20"/>
                <w:szCs w:val="20"/>
              </w:rPr>
            </w:pPr>
            <w:r w:rsidRPr="000A61D8">
              <w:rPr>
                <w:rFonts w:cs="Arial"/>
                <w:b/>
                <w:bCs/>
                <w:color w:val="000000"/>
                <w:sz w:val="20"/>
                <w:szCs w:val="20"/>
              </w:rPr>
              <w:t>Total</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574085" w:rsidP="00D45481" w:rsidRDefault="00CF279A" w14:paraId="7197BA75" w14:textId="2DEDA793">
            <w:pPr>
              <w:jc w:val="center"/>
              <w:rPr>
                <w:rFonts w:cs="Arial"/>
                <w:b/>
                <w:bCs/>
                <w:color w:val="000000"/>
                <w:sz w:val="20"/>
                <w:szCs w:val="20"/>
              </w:rPr>
            </w:pPr>
            <w:r>
              <w:rPr>
                <w:rFonts w:cs="Arial"/>
                <w:b/>
                <w:bCs/>
                <w:color w:val="000000"/>
                <w:sz w:val="20"/>
                <w:szCs w:val="20"/>
              </w:rPr>
              <w:t>1</w:t>
            </w:r>
            <w:r w:rsidR="005378B2">
              <w:rPr>
                <w:rFonts w:cs="Arial"/>
                <w:b/>
                <w:bCs/>
                <w:color w:val="000000"/>
                <w:sz w:val="20"/>
                <w:szCs w:val="20"/>
              </w:rPr>
              <w:t>38</w:t>
            </w:r>
          </w:p>
        </w:tc>
      </w:tr>
    </w:tbl>
    <w:p w:rsidRPr="000F56C6" w:rsidR="00FA0844" w:rsidP="00FA0844" w:rsidRDefault="00FA0844" w14:paraId="315F1255" w14:textId="77777777">
      <w:pPr>
        <w:ind w:left="720" w:hanging="360"/>
        <w:rPr>
          <w:rFonts w:cs="Arial"/>
          <w:sz w:val="18"/>
          <w:szCs w:val="18"/>
        </w:rPr>
      </w:pPr>
      <w:r w:rsidRPr="000F56C6">
        <w:rPr>
          <w:rFonts w:cs="Arial"/>
          <w:sz w:val="18"/>
          <w:szCs w:val="18"/>
          <w:vertAlign w:val="superscript"/>
        </w:rPr>
        <w:t>a</w:t>
      </w:r>
      <w:r w:rsidRPr="000F56C6">
        <w:rPr>
          <w:rFonts w:cs="Arial"/>
          <w:sz w:val="18"/>
          <w:szCs w:val="18"/>
        </w:rPr>
        <w:t xml:space="preserve"> </w:t>
      </w:r>
      <w:r w:rsidRPr="000F56C6">
        <w:rPr>
          <w:rFonts w:cs="Arial"/>
          <w:sz w:val="18"/>
          <w:szCs w:val="18"/>
        </w:rPr>
        <w:tab/>
        <w:t>Power reactor sites include those sites with units under construction or in operating status.  Licensees that have not begun construction are not included.</w:t>
      </w:r>
    </w:p>
    <w:p w:rsidRPr="000F56C6" w:rsidR="00FA0844" w:rsidP="00FA0844" w:rsidRDefault="00FA0844" w14:paraId="274F0B24" w14:textId="77777777">
      <w:pPr>
        <w:ind w:left="720" w:hanging="360"/>
        <w:rPr>
          <w:rFonts w:cs="Arial"/>
          <w:sz w:val="18"/>
          <w:szCs w:val="18"/>
        </w:rPr>
      </w:pPr>
      <w:r w:rsidRPr="000F56C6">
        <w:rPr>
          <w:rFonts w:cs="Arial"/>
          <w:sz w:val="18"/>
          <w:szCs w:val="18"/>
          <w:vertAlign w:val="superscript"/>
        </w:rPr>
        <w:t>b</w:t>
      </w:r>
      <w:r w:rsidRPr="000F56C6">
        <w:rPr>
          <w:rFonts w:cs="Arial"/>
          <w:sz w:val="18"/>
          <w:szCs w:val="18"/>
        </w:rPr>
        <w:t xml:space="preserve"> </w:t>
      </w:r>
      <w:r w:rsidRPr="000F56C6">
        <w:rPr>
          <w:rFonts w:cs="Arial"/>
          <w:sz w:val="18"/>
          <w:szCs w:val="18"/>
        </w:rPr>
        <w:tab/>
        <w:t>Onsite ISFSIs (at-reactor ISFSIs) are included in these categories.</w:t>
      </w:r>
    </w:p>
    <w:p w:rsidR="006C30EA" w:rsidP="00FA0844" w:rsidRDefault="00FA0844" w14:paraId="0E72B1C7" w14:textId="123BD157">
      <w:pPr>
        <w:pStyle w:val="ListParagraph"/>
        <w:widowControl/>
        <w:ind w:hanging="360"/>
        <w:rPr>
          <w:rFonts w:cs="Arial"/>
          <w:sz w:val="18"/>
          <w:szCs w:val="18"/>
        </w:rPr>
      </w:pPr>
      <w:r w:rsidRPr="000F56C6">
        <w:rPr>
          <w:rFonts w:cs="Arial"/>
          <w:sz w:val="18"/>
          <w:szCs w:val="18"/>
          <w:vertAlign w:val="superscript"/>
        </w:rPr>
        <w:t>c</w:t>
      </w:r>
      <w:r w:rsidRPr="000F56C6">
        <w:rPr>
          <w:rFonts w:cs="Arial"/>
          <w:sz w:val="18"/>
          <w:szCs w:val="18"/>
        </w:rPr>
        <w:tab/>
        <w:t>All units on a decommissioning power reactor site are in decommissioning or have been decommissioned.</w:t>
      </w:r>
    </w:p>
    <w:p w:rsidRPr="00FD63F4" w:rsidR="00FD63F4" w:rsidP="00FA0844" w:rsidRDefault="00FD63F4" w14:paraId="1BDAB3AD" w14:textId="45CB6ED6">
      <w:pPr>
        <w:pStyle w:val="ListParagraph"/>
        <w:widowControl/>
        <w:ind w:hanging="360"/>
        <w:rPr>
          <w:rFonts w:cs="Arial"/>
          <w:b/>
          <w:sz w:val="18"/>
          <w:szCs w:val="18"/>
        </w:rPr>
      </w:pPr>
      <w:r>
        <w:rPr>
          <w:rFonts w:cs="Arial"/>
          <w:sz w:val="18"/>
          <w:szCs w:val="18"/>
          <w:vertAlign w:val="superscript"/>
        </w:rPr>
        <w:t>d</w:t>
      </w:r>
      <w:r>
        <w:rPr>
          <w:rFonts w:cs="Arial"/>
          <w:sz w:val="18"/>
          <w:szCs w:val="18"/>
        </w:rPr>
        <w:t xml:space="preserve">      </w:t>
      </w:r>
      <w:r w:rsidR="002169C5">
        <w:rPr>
          <w:rFonts w:cs="Arial"/>
          <w:sz w:val="18"/>
          <w:szCs w:val="18"/>
        </w:rPr>
        <w:t xml:space="preserve">Not subject to the recordkeeping requirements in </w:t>
      </w:r>
      <w:r w:rsidR="00741B41">
        <w:rPr>
          <w:rFonts w:cs="Arial"/>
          <w:sz w:val="18"/>
          <w:szCs w:val="18"/>
        </w:rPr>
        <w:t xml:space="preserve">§ </w:t>
      </w:r>
      <w:r w:rsidR="002169C5">
        <w:rPr>
          <w:rFonts w:cs="Arial"/>
          <w:sz w:val="18"/>
          <w:szCs w:val="18"/>
        </w:rPr>
        <w:t>73.1210</w:t>
      </w:r>
    </w:p>
    <w:p w:rsidR="006C30EA" w:rsidP="001B0614" w:rsidRDefault="006C30EA" w14:paraId="611AD2FE" w14:textId="77777777">
      <w:pPr>
        <w:widowControl/>
        <w:rPr>
          <w:rFonts w:cs="Arial"/>
          <w:szCs w:val="22"/>
        </w:rPr>
      </w:pPr>
    </w:p>
    <w:p w:rsidRPr="00673C3E" w:rsidR="006C30EA" w:rsidP="006C30EA" w:rsidRDefault="00C15BC1" w14:paraId="5D1D40D9" w14:textId="5A535545">
      <w:pPr>
        <w:widowControl/>
        <w:rPr>
          <w:rFonts w:cs="Arial"/>
          <w:szCs w:val="22"/>
        </w:rPr>
      </w:pPr>
      <w:r w:rsidRPr="00673C3E">
        <w:rPr>
          <w:rFonts w:cs="Arial"/>
          <w:szCs w:val="22"/>
        </w:rPr>
        <w:t xml:space="preserve">The third </w:t>
      </w:r>
      <w:r w:rsidRPr="00673C3E" w:rsidR="0085211D">
        <w:rPr>
          <w:rFonts w:cs="Arial"/>
          <w:szCs w:val="22"/>
        </w:rPr>
        <w:t>part</w:t>
      </w:r>
      <w:r w:rsidRPr="00673C3E">
        <w:rPr>
          <w:rFonts w:cs="Arial"/>
          <w:szCs w:val="22"/>
        </w:rPr>
        <w:t xml:space="preserve"> of the final rule would </w:t>
      </w:r>
      <w:r w:rsidRPr="00673C3E" w:rsidR="00FA0844">
        <w:rPr>
          <w:rFonts w:cs="Arial"/>
          <w:szCs w:val="22"/>
        </w:rPr>
        <w:t xml:space="preserve">affect only a subset of these </w:t>
      </w:r>
      <w:r w:rsidRPr="00673C3E" w:rsidR="00760D19">
        <w:rPr>
          <w:rFonts w:cs="Arial"/>
          <w:szCs w:val="22"/>
        </w:rPr>
        <w:t>138</w:t>
      </w:r>
      <w:r w:rsidRPr="00673C3E">
        <w:rPr>
          <w:rFonts w:cs="Arial"/>
          <w:szCs w:val="22"/>
        </w:rPr>
        <w:t xml:space="preserve"> licensees </w:t>
      </w:r>
      <w:r w:rsidRPr="00673C3E" w:rsidR="009F3839">
        <w:rPr>
          <w:rFonts w:cs="Arial"/>
          <w:szCs w:val="22"/>
        </w:rPr>
        <w:t xml:space="preserve">subject to </w:t>
      </w:r>
      <w:r w:rsidRPr="00673C3E">
        <w:rPr>
          <w:rFonts w:cs="Arial"/>
          <w:szCs w:val="22"/>
        </w:rPr>
        <w:t xml:space="preserve">the suspicious activity reporting </w:t>
      </w:r>
      <w:r w:rsidRPr="00673C3E" w:rsidR="0085211D">
        <w:rPr>
          <w:rFonts w:cs="Arial"/>
          <w:szCs w:val="22"/>
        </w:rPr>
        <w:t>part</w:t>
      </w:r>
      <w:r w:rsidRPr="00673C3E">
        <w:rPr>
          <w:rFonts w:cs="Arial"/>
          <w:szCs w:val="22"/>
        </w:rPr>
        <w:t xml:space="preserve"> of the rule</w:t>
      </w:r>
      <w:r w:rsidRPr="00673C3E" w:rsidR="00CF2750">
        <w:rPr>
          <w:rFonts w:cs="Arial"/>
          <w:szCs w:val="22"/>
        </w:rPr>
        <w:t xml:space="preserve">, so </w:t>
      </w:r>
      <w:r w:rsidRPr="00673C3E">
        <w:rPr>
          <w:rFonts w:cs="Arial"/>
          <w:szCs w:val="22"/>
        </w:rPr>
        <w:t xml:space="preserve">this supporting statement estimates the burden associated with reporting and recordkeeping related to suspicious activity reports apply to a total of </w:t>
      </w:r>
      <w:r w:rsidRPr="00673C3E" w:rsidR="0055083A">
        <w:rPr>
          <w:rFonts w:cs="Arial"/>
          <w:szCs w:val="22"/>
        </w:rPr>
        <w:t>125</w:t>
      </w:r>
      <w:r w:rsidRPr="00673C3E">
        <w:rPr>
          <w:rFonts w:cs="Arial"/>
          <w:szCs w:val="22"/>
        </w:rPr>
        <w:t xml:space="preserve"> licensees.  The following classes </w:t>
      </w:r>
      <w:r w:rsidRPr="00673C3E" w:rsidR="00C966B5">
        <w:rPr>
          <w:rFonts w:cs="Arial"/>
          <w:szCs w:val="22"/>
        </w:rPr>
        <w:t xml:space="preserve">of </w:t>
      </w:r>
      <w:r w:rsidRPr="00673C3E" w:rsidR="00CF2750">
        <w:rPr>
          <w:rFonts w:cs="Arial"/>
          <w:szCs w:val="22"/>
        </w:rPr>
        <w:t>licensees are impacted by the r</w:t>
      </w:r>
      <w:r w:rsidRPr="00673C3E" w:rsidR="006C30EA">
        <w:rPr>
          <w:rFonts w:cs="Arial"/>
          <w:szCs w:val="22"/>
        </w:rPr>
        <w:t xml:space="preserve">eports and records </w:t>
      </w:r>
      <w:r w:rsidRPr="00673C3E" w:rsidR="00CE0FFA">
        <w:rPr>
          <w:rFonts w:cs="Arial"/>
          <w:szCs w:val="22"/>
        </w:rPr>
        <w:t xml:space="preserve">requirements </w:t>
      </w:r>
      <w:r w:rsidRPr="00673C3E" w:rsidR="006C30EA">
        <w:rPr>
          <w:rFonts w:cs="Arial"/>
          <w:szCs w:val="22"/>
        </w:rPr>
        <w:t>for suspicious activity report</w:t>
      </w:r>
      <w:r w:rsidRPr="00673C3E" w:rsidR="00CF2750">
        <w:rPr>
          <w:rFonts w:cs="Arial"/>
          <w:szCs w:val="22"/>
        </w:rPr>
        <w:t>ing</w:t>
      </w:r>
      <w:r w:rsidRPr="00673C3E" w:rsidR="006C30EA">
        <w:rPr>
          <w:rFonts w:cs="Arial"/>
          <w:szCs w:val="22"/>
        </w:rPr>
        <w:t xml:space="preserve"> under § 73.1215:</w:t>
      </w:r>
    </w:p>
    <w:p w:rsidRPr="00673C3E" w:rsidR="006C30EA" w:rsidP="006C30EA" w:rsidRDefault="006C30EA" w14:paraId="464DB839" w14:textId="77777777">
      <w:pPr>
        <w:widowControl/>
        <w:rPr>
          <w:rFonts w:cs="Arial"/>
          <w:szCs w:val="22"/>
        </w:rPr>
      </w:pPr>
    </w:p>
    <w:p w:rsidR="00FA0844" w:rsidP="00FA0844" w:rsidRDefault="00FA0844" w14:paraId="728255A8" w14:textId="2DFD0E07">
      <w:pPr>
        <w:widowControl/>
        <w:jc w:val="center"/>
        <w:rPr>
          <w:rFonts w:cs="Arial"/>
          <w:szCs w:val="22"/>
        </w:rPr>
      </w:pPr>
      <w:r w:rsidRPr="00673C3E">
        <w:rPr>
          <w:color w:val="000000" w:themeColor="text1"/>
        </w:rPr>
        <w:t xml:space="preserve">Regulated Entities Affected </w:t>
      </w:r>
      <w:r w:rsidRPr="00673C3E">
        <w:t>by the Suspicious</w:t>
      </w:r>
      <w:r w:rsidRPr="005A44A7">
        <w:t xml:space="preserve"> Activity Reporting</w:t>
      </w:r>
    </w:p>
    <w:tbl>
      <w:tblPr>
        <w:tblW w:w="7000" w:type="dxa"/>
        <w:jc w:val="center"/>
        <w:tblLook w:val="04A0" w:firstRow="1" w:lastRow="0" w:firstColumn="1" w:lastColumn="0" w:noHBand="0" w:noVBand="1"/>
      </w:tblPr>
      <w:tblGrid>
        <w:gridCol w:w="5569"/>
        <w:gridCol w:w="1431"/>
      </w:tblGrid>
      <w:tr w:rsidRPr="00CF2D76" w:rsidR="00FA0844" w:rsidTr="00D45481" w14:paraId="10FE1F98" w14:textId="77777777">
        <w:trPr>
          <w:trHeight w:val="612"/>
          <w:jc w:val="center"/>
        </w:trPr>
        <w:tc>
          <w:tcPr>
            <w:tcW w:w="556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A61D8" w:rsidR="00FA0844" w:rsidP="00D45481" w:rsidRDefault="00FA0844" w14:paraId="16D218D6" w14:textId="77777777">
            <w:pPr>
              <w:jc w:val="center"/>
              <w:rPr>
                <w:rFonts w:cs="Arial"/>
                <w:b/>
                <w:bCs/>
                <w:color w:val="000000"/>
                <w:sz w:val="20"/>
                <w:szCs w:val="20"/>
              </w:rPr>
            </w:pPr>
            <w:r w:rsidRPr="000A61D8">
              <w:rPr>
                <w:rFonts w:cs="Arial"/>
                <w:b/>
                <w:bCs/>
                <w:color w:val="000000"/>
                <w:sz w:val="20"/>
                <w:szCs w:val="20"/>
              </w:rPr>
              <w:t>Site Description</w:t>
            </w:r>
          </w:p>
        </w:tc>
        <w:tc>
          <w:tcPr>
            <w:tcW w:w="1431" w:type="dxa"/>
            <w:tcBorders>
              <w:top w:val="single" w:color="auto" w:sz="4" w:space="0"/>
              <w:left w:val="nil"/>
              <w:bottom w:val="single" w:color="auto" w:sz="4" w:space="0"/>
              <w:right w:val="single" w:color="auto" w:sz="4" w:space="0"/>
            </w:tcBorders>
            <w:shd w:val="clear" w:color="auto" w:fill="auto"/>
            <w:vAlign w:val="center"/>
            <w:hideMark/>
          </w:tcPr>
          <w:p w:rsidRPr="000A61D8" w:rsidR="00FA0844" w:rsidP="00D45481" w:rsidRDefault="00FA0844" w14:paraId="150F8F6E" w14:textId="77777777">
            <w:pPr>
              <w:jc w:val="center"/>
              <w:rPr>
                <w:rFonts w:cs="Arial"/>
                <w:b/>
                <w:bCs/>
                <w:color w:val="000000"/>
                <w:sz w:val="20"/>
                <w:szCs w:val="20"/>
              </w:rPr>
            </w:pPr>
            <w:r w:rsidRPr="000A61D8">
              <w:rPr>
                <w:rFonts w:cs="Arial"/>
                <w:b/>
                <w:bCs/>
                <w:color w:val="000000"/>
                <w:sz w:val="20"/>
                <w:szCs w:val="20"/>
              </w:rPr>
              <w:t>No. of sites</w:t>
            </w:r>
          </w:p>
        </w:tc>
      </w:tr>
      <w:tr w:rsidRPr="00CF2D76" w:rsidR="00FA0844" w:rsidTr="00D45481" w14:paraId="5B078015" w14:textId="77777777">
        <w:trPr>
          <w:trHeight w:val="324"/>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FA0844" w:rsidP="00D45481" w:rsidRDefault="00FA0844" w14:paraId="000EB947" w14:textId="77777777">
            <w:pPr>
              <w:rPr>
                <w:rFonts w:cs="Arial"/>
                <w:color w:val="000000"/>
                <w:sz w:val="20"/>
                <w:szCs w:val="20"/>
              </w:rPr>
            </w:pPr>
            <w:r w:rsidRPr="000A61D8">
              <w:rPr>
                <w:rFonts w:cs="Arial"/>
                <w:color w:val="000000"/>
                <w:sz w:val="20"/>
                <w:szCs w:val="20"/>
              </w:rPr>
              <w:t xml:space="preserve">Power </w:t>
            </w:r>
            <w:r>
              <w:rPr>
                <w:rFonts w:cs="Arial"/>
                <w:color w:val="000000"/>
                <w:sz w:val="20"/>
                <w:szCs w:val="20"/>
              </w:rPr>
              <w:t>r</w:t>
            </w:r>
            <w:r w:rsidRPr="000A61D8">
              <w:rPr>
                <w:rFonts w:cs="Arial"/>
                <w:color w:val="000000"/>
                <w:sz w:val="20"/>
                <w:szCs w:val="20"/>
              </w:rPr>
              <w:t>eactor sites (operating &amp; under construction)</w:t>
            </w:r>
            <w:r w:rsidRPr="000A61D8">
              <w:rPr>
                <w:rFonts w:cs="Arial"/>
                <w:color w:val="000000"/>
                <w:sz w:val="20"/>
                <w:szCs w:val="20"/>
                <w:vertAlign w:val="superscript"/>
              </w:rPr>
              <w:t>a,b</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FA0844" w:rsidP="00D45481" w:rsidRDefault="004258C3" w14:paraId="4FE68EF7" w14:textId="4285A4F3">
            <w:pPr>
              <w:jc w:val="center"/>
              <w:rPr>
                <w:rFonts w:cs="Arial"/>
                <w:color w:val="000000"/>
                <w:sz w:val="20"/>
                <w:szCs w:val="20"/>
              </w:rPr>
            </w:pPr>
            <w:r>
              <w:rPr>
                <w:rFonts w:cs="Arial"/>
                <w:color w:val="000000"/>
                <w:sz w:val="20"/>
                <w:szCs w:val="20"/>
              </w:rPr>
              <w:t>56</w:t>
            </w:r>
          </w:p>
        </w:tc>
      </w:tr>
      <w:tr w:rsidRPr="00CF2D76" w:rsidR="00FA0844" w:rsidTr="00D45481" w14:paraId="15CA276B" w14:textId="77777777">
        <w:trPr>
          <w:trHeight w:val="324"/>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FA0844" w:rsidP="00D45481" w:rsidRDefault="00FA0844" w14:paraId="49C991C0" w14:textId="77777777">
            <w:pPr>
              <w:rPr>
                <w:rFonts w:cs="Arial"/>
                <w:color w:val="000000"/>
                <w:sz w:val="20"/>
                <w:szCs w:val="20"/>
              </w:rPr>
            </w:pPr>
            <w:r w:rsidRPr="000A61D8">
              <w:rPr>
                <w:rFonts w:cs="Arial"/>
                <w:color w:val="000000"/>
                <w:sz w:val="20"/>
                <w:szCs w:val="20"/>
              </w:rPr>
              <w:t xml:space="preserve">Decommissioning </w:t>
            </w:r>
            <w:r>
              <w:rPr>
                <w:rFonts w:cs="Arial"/>
                <w:color w:val="000000"/>
                <w:sz w:val="20"/>
                <w:szCs w:val="20"/>
              </w:rPr>
              <w:t>p</w:t>
            </w:r>
            <w:r w:rsidRPr="000A61D8">
              <w:rPr>
                <w:rFonts w:cs="Arial"/>
                <w:color w:val="000000"/>
                <w:sz w:val="20"/>
                <w:szCs w:val="20"/>
              </w:rPr>
              <w:t xml:space="preserve">ower </w:t>
            </w:r>
            <w:r>
              <w:rPr>
                <w:rFonts w:cs="Arial"/>
                <w:color w:val="000000"/>
                <w:sz w:val="20"/>
                <w:szCs w:val="20"/>
              </w:rPr>
              <w:t>r</w:t>
            </w:r>
            <w:r w:rsidRPr="000A61D8">
              <w:rPr>
                <w:rFonts w:cs="Arial"/>
                <w:color w:val="000000"/>
                <w:sz w:val="20"/>
                <w:szCs w:val="20"/>
              </w:rPr>
              <w:t>eactor sites</w:t>
            </w:r>
            <w:r w:rsidRPr="000A61D8">
              <w:rPr>
                <w:rFonts w:cs="Arial"/>
                <w:color w:val="000000"/>
                <w:sz w:val="20"/>
                <w:szCs w:val="20"/>
                <w:vertAlign w:val="superscript"/>
              </w:rPr>
              <w:t>b,c</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FA0844" w:rsidP="00D45481" w:rsidRDefault="004258C3" w14:paraId="54E950B6" w14:textId="0D72842D">
            <w:pPr>
              <w:jc w:val="center"/>
              <w:rPr>
                <w:rFonts w:cs="Arial"/>
                <w:color w:val="000000"/>
                <w:sz w:val="20"/>
                <w:szCs w:val="20"/>
              </w:rPr>
            </w:pPr>
            <w:r>
              <w:rPr>
                <w:rFonts w:cs="Arial"/>
                <w:color w:val="000000"/>
                <w:sz w:val="20"/>
                <w:szCs w:val="20"/>
              </w:rPr>
              <w:t>20</w:t>
            </w:r>
          </w:p>
        </w:tc>
      </w:tr>
      <w:tr w:rsidRPr="00CF2D76" w:rsidR="00FA0844" w:rsidTr="00D45481" w14:paraId="438ADC45"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FA0844" w:rsidP="00D45481" w:rsidRDefault="00FA0844" w14:paraId="0756EA6C" w14:textId="77777777">
            <w:pPr>
              <w:rPr>
                <w:rFonts w:cs="Arial"/>
                <w:color w:val="000000"/>
                <w:sz w:val="20"/>
                <w:szCs w:val="20"/>
              </w:rPr>
            </w:pPr>
            <w:r w:rsidRPr="000A61D8">
              <w:rPr>
                <w:rFonts w:cs="Arial"/>
                <w:color w:val="000000"/>
                <w:sz w:val="20"/>
                <w:szCs w:val="20"/>
              </w:rPr>
              <w:t>Away-from-reactor ISFSIs</w:t>
            </w:r>
          </w:p>
        </w:tc>
        <w:tc>
          <w:tcPr>
            <w:tcW w:w="1431" w:type="dxa"/>
            <w:tcBorders>
              <w:top w:val="nil"/>
              <w:left w:val="nil"/>
              <w:bottom w:val="single" w:color="auto" w:sz="4" w:space="0"/>
              <w:right w:val="single" w:color="auto" w:sz="4" w:space="0"/>
            </w:tcBorders>
            <w:shd w:val="clear" w:color="auto" w:fill="auto"/>
            <w:noWrap/>
            <w:vAlign w:val="center"/>
          </w:tcPr>
          <w:p w:rsidRPr="000A61D8" w:rsidR="00FA0844" w:rsidP="00D45481" w:rsidRDefault="002777F9" w14:paraId="2C6BEDB4" w14:textId="7D4572B5">
            <w:pPr>
              <w:jc w:val="center"/>
              <w:rPr>
                <w:rFonts w:cs="Arial"/>
                <w:color w:val="000000"/>
                <w:sz w:val="20"/>
                <w:szCs w:val="20"/>
              </w:rPr>
            </w:pPr>
            <w:r>
              <w:rPr>
                <w:rFonts w:cs="Arial"/>
                <w:color w:val="000000"/>
                <w:sz w:val="20"/>
                <w:szCs w:val="20"/>
              </w:rPr>
              <w:t>13</w:t>
            </w:r>
          </w:p>
        </w:tc>
      </w:tr>
      <w:tr w:rsidRPr="00CF2D76" w:rsidR="00FA0844" w:rsidTr="00D45481" w14:paraId="6A943590"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FA0844" w:rsidP="00D45481" w:rsidRDefault="00740718" w14:paraId="413120A7" w14:textId="6C4E8B14">
            <w:pPr>
              <w:rPr>
                <w:rFonts w:cs="Arial"/>
                <w:color w:val="000000"/>
                <w:sz w:val="20"/>
                <w:szCs w:val="20"/>
              </w:rPr>
            </w:pPr>
            <w:r>
              <w:rPr>
                <w:rFonts w:cs="Arial"/>
                <w:color w:val="000000"/>
                <w:sz w:val="20"/>
                <w:szCs w:val="20"/>
              </w:rPr>
              <w:t xml:space="preserve"> Non-power production or utilization facilities</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FA0844" w:rsidP="00D45481" w:rsidRDefault="00FA0844" w14:paraId="14BE7B7D" w14:textId="517E2C55">
            <w:pPr>
              <w:jc w:val="center"/>
              <w:rPr>
                <w:rFonts w:cs="Arial"/>
                <w:color w:val="000000"/>
                <w:sz w:val="20"/>
                <w:szCs w:val="20"/>
              </w:rPr>
            </w:pPr>
            <w:r w:rsidRPr="004258C3">
              <w:rPr>
                <w:rFonts w:cs="Arial"/>
                <w:color w:val="000000"/>
                <w:sz w:val="20"/>
                <w:szCs w:val="20"/>
              </w:rPr>
              <w:t>31</w:t>
            </w:r>
          </w:p>
        </w:tc>
      </w:tr>
      <w:tr w:rsidRPr="00CF2D76" w:rsidR="00FA0844" w:rsidTr="00D45481" w14:paraId="7AB7291B"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FA0844" w:rsidP="00D45481" w:rsidRDefault="00FA0844" w14:paraId="52D7B645" w14:textId="77777777">
            <w:pPr>
              <w:rPr>
                <w:rFonts w:cs="Arial"/>
                <w:color w:val="000000"/>
                <w:sz w:val="20"/>
                <w:szCs w:val="20"/>
              </w:rPr>
            </w:pPr>
            <w:r w:rsidRPr="000A61D8">
              <w:rPr>
                <w:rFonts w:cs="Arial"/>
                <w:color w:val="000000"/>
                <w:sz w:val="20"/>
                <w:szCs w:val="20"/>
              </w:rPr>
              <w:t>Hot cell facilities</w:t>
            </w:r>
          </w:p>
        </w:tc>
        <w:tc>
          <w:tcPr>
            <w:tcW w:w="1431" w:type="dxa"/>
            <w:tcBorders>
              <w:top w:val="nil"/>
              <w:left w:val="nil"/>
              <w:bottom w:val="single" w:color="auto" w:sz="4" w:space="0"/>
              <w:right w:val="single" w:color="auto" w:sz="4" w:space="0"/>
            </w:tcBorders>
            <w:shd w:val="clear" w:color="auto" w:fill="auto"/>
            <w:noWrap/>
            <w:vAlign w:val="center"/>
          </w:tcPr>
          <w:p w:rsidRPr="000A61D8" w:rsidR="00FA0844" w:rsidP="00D45481" w:rsidRDefault="00FA0844" w14:paraId="3878508E" w14:textId="77777777">
            <w:pPr>
              <w:jc w:val="center"/>
              <w:rPr>
                <w:rFonts w:cs="Arial"/>
                <w:color w:val="000000"/>
                <w:sz w:val="20"/>
                <w:szCs w:val="20"/>
              </w:rPr>
            </w:pPr>
            <w:r>
              <w:rPr>
                <w:rFonts w:cs="Arial"/>
                <w:color w:val="000000"/>
                <w:sz w:val="20"/>
                <w:szCs w:val="20"/>
              </w:rPr>
              <w:t>1</w:t>
            </w:r>
          </w:p>
        </w:tc>
      </w:tr>
      <w:tr w:rsidRPr="00CF2D76" w:rsidR="00FA0844" w:rsidTr="00D45481" w14:paraId="45217418"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FA0844" w:rsidP="00D45481" w:rsidRDefault="00FA0844" w14:paraId="5FB0E2A0" w14:textId="77777777">
            <w:pPr>
              <w:rPr>
                <w:rFonts w:cs="Arial"/>
                <w:color w:val="000000"/>
                <w:sz w:val="20"/>
                <w:szCs w:val="20"/>
              </w:rPr>
            </w:pPr>
            <w:r w:rsidRPr="000A61D8">
              <w:rPr>
                <w:rFonts w:cs="Arial"/>
                <w:color w:val="000000"/>
                <w:sz w:val="20"/>
                <w:szCs w:val="20"/>
              </w:rPr>
              <w:t>Category I SSNM facilities</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FA0844" w:rsidP="00D45481" w:rsidRDefault="00FA0844" w14:paraId="1FF2EAAB" w14:textId="77777777">
            <w:pPr>
              <w:jc w:val="center"/>
              <w:rPr>
                <w:rFonts w:cs="Arial"/>
                <w:color w:val="000000"/>
                <w:sz w:val="20"/>
                <w:szCs w:val="20"/>
              </w:rPr>
            </w:pPr>
            <w:r w:rsidRPr="000A61D8">
              <w:rPr>
                <w:rFonts w:cs="Arial"/>
                <w:color w:val="000000"/>
                <w:sz w:val="20"/>
                <w:szCs w:val="20"/>
              </w:rPr>
              <w:t>2</w:t>
            </w:r>
          </w:p>
        </w:tc>
      </w:tr>
      <w:tr w:rsidRPr="00CF2D76" w:rsidR="00FA0844" w:rsidTr="00D45481" w14:paraId="3221F21E"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FA0844" w:rsidP="00D45481" w:rsidRDefault="00FA0844" w14:paraId="2F6F8B9F" w14:textId="1415C057">
            <w:pPr>
              <w:rPr>
                <w:rFonts w:cs="Arial"/>
                <w:color w:val="000000"/>
                <w:sz w:val="20"/>
                <w:szCs w:val="20"/>
              </w:rPr>
            </w:pPr>
            <w:r w:rsidRPr="008D65BF">
              <w:rPr>
                <w:rFonts w:cs="Arial"/>
                <w:color w:val="000000"/>
                <w:sz w:val="20"/>
                <w:szCs w:val="20"/>
              </w:rPr>
              <w:t>Category II and III SNM facilities</w:t>
            </w:r>
            <w:r w:rsidR="00012EF0">
              <w:rPr>
                <w:rFonts w:cs="Arial"/>
                <w:color w:val="000000"/>
                <w:sz w:val="20"/>
                <w:szCs w:val="20"/>
              </w:rPr>
              <w:t xml:space="preserve"> (NRC licensees)</w:t>
            </w:r>
          </w:p>
        </w:tc>
        <w:tc>
          <w:tcPr>
            <w:tcW w:w="1431" w:type="dxa"/>
            <w:tcBorders>
              <w:top w:val="nil"/>
              <w:left w:val="nil"/>
              <w:bottom w:val="single" w:color="auto" w:sz="4" w:space="0"/>
              <w:right w:val="single" w:color="auto" w:sz="4" w:space="0"/>
            </w:tcBorders>
            <w:shd w:val="clear" w:color="auto" w:fill="auto"/>
            <w:noWrap/>
            <w:vAlign w:val="center"/>
          </w:tcPr>
          <w:p w:rsidRPr="000A61D8" w:rsidR="00FA0844" w:rsidP="00012EF0" w:rsidRDefault="7726F610" w14:paraId="654C1080" w14:textId="1C3A6BE3">
            <w:pPr>
              <w:jc w:val="center"/>
              <w:rPr>
                <w:rFonts w:eastAsia="Arial" w:cs="Arial"/>
                <w:sz w:val="20"/>
                <w:szCs w:val="20"/>
              </w:rPr>
            </w:pPr>
            <w:r w:rsidRPr="0B413659">
              <w:rPr>
                <w:rFonts w:cs="Arial"/>
                <w:color w:val="000000" w:themeColor="text1"/>
                <w:sz w:val="20"/>
                <w:szCs w:val="20"/>
              </w:rPr>
              <w:t>2</w:t>
            </w:r>
          </w:p>
        </w:tc>
      </w:tr>
      <w:tr w:rsidRPr="00CF2D76" w:rsidR="00762024" w:rsidTr="00D45481" w14:paraId="5CC4B889"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tcPr>
          <w:p w:rsidRPr="000A61D8" w:rsidR="00762024" w:rsidP="00093C87" w:rsidRDefault="00762024" w14:paraId="43B485C2" w14:textId="47190EC6">
            <w:pPr>
              <w:rPr>
                <w:rFonts w:cs="Arial"/>
                <w:b/>
                <w:bCs/>
                <w:color w:val="000000"/>
                <w:sz w:val="20"/>
                <w:szCs w:val="20"/>
              </w:rPr>
            </w:pPr>
            <w:r>
              <w:rPr>
                <w:rFonts w:cs="Arial"/>
                <w:color w:val="000000"/>
                <w:sz w:val="20"/>
                <w:szCs w:val="20"/>
              </w:rPr>
              <w:t xml:space="preserve">Category III SSNM facilities (Agreement States licensees) </w:t>
            </w:r>
            <w:r>
              <w:rPr>
                <w:rFonts w:cs="Arial"/>
                <w:color w:val="000000"/>
                <w:sz w:val="20"/>
                <w:szCs w:val="20"/>
                <w:vertAlign w:val="superscript"/>
              </w:rPr>
              <w:t>d</w:t>
            </w:r>
          </w:p>
        </w:tc>
        <w:tc>
          <w:tcPr>
            <w:tcW w:w="1431" w:type="dxa"/>
            <w:tcBorders>
              <w:top w:val="nil"/>
              <w:left w:val="nil"/>
              <w:bottom w:val="single" w:color="auto" w:sz="4" w:space="0"/>
              <w:right w:val="single" w:color="auto" w:sz="4" w:space="0"/>
            </w:tcBorders>
            <w:shd w:val="clear" w:color="auto" w:fill="auto"/>
            <w:noWrap/>
            <w:vAlign w:val="center"/>
          </w:tcPr>
          <w:p w:rsidRPr="00012EF0" w:rsidR="00762024" w:rsidP="00D45481" w:rsidRDefault="002777F9" w14:paraId="7F7C4089" w14:textId="5D7320FD">
            <w:pPr>
              <w:jc w:val="center"/>
              <w:rPr>
                <w:rFonts w:cs="Arial"/>
                <w:b/>
                <w:bCs/>
                <w:color w:val="000000"/>
                <w:sz w:val="20"/>
                <w:szCs w:val="20"/>
              </w:rPr>
            </w:pPr>
            <w:r>
              <w:rPr>
                <w:rFonts w:cs="Arial"/>
                <w:color w:val="000000"/>
                <w:sz w:val="20"/>
                <w:szCs w:val="20"/>
              </w:rPr>
              <w:t>0</w:t>
            </w:r>
          </w:p>
        </w:tc>
      </w:tr>
      <w:tr w:rsidRPr="00CF2D76" w:rsidR="00FA0844" w:rsidTr="00D45481" w14:paraId="141B330E" w14:textId="77777777">
        <w:trPr>
          <w:trHeight w:val="288"/>
          <w:jc w:val="center"/>
        </w:trPr>
        <w:tc>
          <w:tcPr>
            <w:tcW w:w="5569" w:type="dxa"/>
            <w:tcBorders>
              <w:top w:val="nil"/>
              <w:left w:val="single" w:color="auto" w:sz="4" w:space="0"/>
              <w:bottom w:val="single" w:color="auto" w:sz="4" w:space="0"/>
              <w:right w:val="single" w:color="auto" w:sz="4" w:space="0"/>
            </w:tcBorders>
            <w:shd w:val="clear" w:color="auto" w:fill="auto"/>
            <w:vAlign w:val="center"/>
            <w:hideMark/>
          </w:tcPr>
          <w:p w:rsidRPr="000A61D8" w:rsidR="00FA0844" w:rsidP="00D45481" w:rsidRDefault="00FA0844" w14:paraId="5B5226CA" w14:textId="77777777">
            <w:pPr>
              <w:jc w:val="right"/>
              <w:rPr>
                <w:rFonts w:cs="Arial"/>
                <w:b/>
                <w:bCs/>
                <w:color w:val="000000"/>
                <w:sz w:val="20"/>
                <w:szCs w:val="20"/>
              </w:rPr>
            </w:pPr>
            <w:r w:rsidRPr="000A61D8">
              <w:rPr>
                <w:rFonts w:cs="Arial"/>
                <w:b/>
                <w:bCs/>
                <w:color w:val="000000"/>
                <w:sz w:val="20"/>
                <w:szCs w:val="20"/>
              </w:rPr>
              <w:t>Total</w:t>
            </w:r>
          </w:p>
        </w:tc>
        <w:tc>
          <w:tcPr>
            <w:tcW w:w="1431" w:type="dxa"/>
            <w:tcBorders>
              <w:top w:val="nil"/>
              <w:left w:val="nil"/>
              <w:bottom w:val="single" w:color="auto" w:sz="4" w:space="0"/>
              <w:right w:val="single" w:color="auto" w:sz="4" w:space="0"/>
            </w:tcBorders>
            <w:shd w:val="clear" w:color="auto" w:fill="auto"/>
            <w:noWrap/>
            <w:vAlign w:val="center"/>
            <w:hideMark/>
          </w:tcPr>
          <w:p w:rsidRPr="000A61D8" w:rsidR="00FA0844" w:rsidP="00D45481" w:rsidRDefault="00680811" w14:paraId="79A6EE91" w14:textId="0849B36B">
            <w:pPr>
              <w:jc w:val="center"/>
              <w:rPr>
                <w:rFonts w:cs="Arial"/>
                <w:b/>
                <w:bCs/>
                <w:color w:val="000000"/>
                <w:sz w:val="20"/>
                <w:szCs w:val="20"/>
              </w:rPr>
            </w:pPr>
            <w:r>
              <w:rPr>
                <w:rFonts w:cs="Arial"/>
                <w:b/>
                <w:bCs/>
                <w:color w:val="000000"/>
                <w:sz w:val="20"/>
                <w:szCs w:val="20"/>
              </w:rPr>
              <w:t>125</w:t>
            </w:r>
          </w:p>
        </w:tc>
      </w:tr>
    </w:tbl>
    <w:p w:rsidRPr="000F56C6" w:rsidR="00FA0844" w:rsidP="00FA0844" w:rsidRDefault="00FA0844" w14:paraId="14EDE7E2" w14:textId="77777777">
      <w:pPr>
        <w:ind w:left="720" w:hanging="360"/>
        <w:rPr>
          <w:rFonts w:cs="Arial"/>
          <w:sz w:val="18"/>
          <w:szCs w:val="18"/>
        </w:rPr>
      </w:pPr>
      <w:r w:rsidRPr="000F56C6">
        <w:rPr>
          <w:rFonts w:cs="Arial"/>
          <w:sz w:val="18"/>
          <w:szCs w:val="18"/>
          <w:vertAlign w:val="superscript"/>
        </w:rPr>
        <w:t>a</w:t>
      </w:r>
      <w:r w:rsidRPr="000F56C6">
        <w:rPr>
          <w:rFonts w:cs="Arial"/>
          <w:sz w:val="18"/>
          <w:szCs w:val="18"/>
        </w:rPr>
        <w:t xml:space="preserve"> </w:t>
      </w:r>
      <w:r w:rsidRPr="000F56C6">
        <w:rPr>
          <w:rFonts w:cs="Arial"/>
          <w:sz w:val="18"/>
          <w:szCs w:val="18"/>
        </w:rPr>
        <w:tab/>
        <w:t>Power reactor sites include those sites with units under construction or in operating status.  Licensees that have not begun construction are not included.</w:t>
      </w:r>
    </w:p>
    <w:p w:rsidRPr="000F56C6" w:rsidR="00FA0844" w:rsidP="00FA0844" w:rsidRDefault="00FA0844" w14:paraId="05E574CA" w14:textId="77777777">
      <w:pPr>
        <w:ind w:left="720" w:hanging="360"/>
        <w:rPr>
          <w:rFonts w:cs="Arial"/>
          <w:sz w:val="18"/>
          <w:szCs w:val="18"/>
        </w:rPr>
      </w:pPr>
      <w:r w:rsidRPr="000F56C6">
        <w:rPr>
          <w:rFonts w:cs="Arial"/>
          <w:sz w:val="18"/>
          <w:szCs w:val="18"/>
          <w:vertAlign w:val="superscript"/>
        </w:rPr>
        <w:t>b</w:t>
      </w:r>
      <w:r w:rsidRPr="000F56C6">
        <w:rPr>
          <w:rFonts w:cs="Arial"/>
          <w:sz w:val="18"/>
          <w:szCs w:val="18"/>
        </w:rPr>
        <w:t xml:space="preserve"> </w:t>
      </w:r>
      <w:r w:rsidRPr="000F56C6">
        <w:rPr>
          <w:rFonts w:cs="Arial"/>
          <w:sz w:val="18"/>
          <w:szCs w:val="18"/>
        </w:rPr>
        <w:tab/>
        <w:t>Onsite ISFSIs (at-reactor ISFSIs) are included in these categories.</w:t>
      </w:r>
    </w:p>
    <w:p w:rsidRPr="000F56C6" w:rsidR="006C30EA" w:rsidP="00FA0844" w:rsidRDefault="00FA0844" w14:paraId="7372EC7E" w14:textId="4EBE18E3">
      <w:pPr>
        <w:pStyle w:val="ListParagraph"/>
        <w:widowControl/>
        <w:ind w:hanging="360"/>
        <w:rPr>
          <w:rFonts w:cs="Arial"/>
          <w:b/>
          <w:sz w:val="18"/>
          <w:szCs w:val="18"/>
        </w:rPr>
      </w:pPr>
      <w:r w:rsidRPr="000F56C6">
        <w:rPr>
          <w:rFonts w:cs="Arial"/>
          <w:sz w:val="18"/>
          <w:szCs w:val="18"/>
          <w:vertAlign w:val="superscript"/>
        </w:rPr>
        <w:t>c</w:t>
      </w:r>
      <w:r w:rsidRPr="000F56C6">
        <w:rPr>
          <w:rFonts w:cs="Arial"/>
          <w:sz w:val="18"/>
          <w:szCs w:val="18"/>
        </w:rPr>
        <w:tab/>
        <w:t>All units on a decommissioning power reactor site are in decommissioning or have been decommissioned</w:t>
      </w:r>
    </w:p>
    <w:p w:rsidR="006C30EA" w:rsidP="001B0614" w:rsidRDefault="006C30EA" w14:paraId="1AE79F2D" w14:textId="77777777">
      <w:pPr>
        <w:widowControl/>
        <w:rPr>
          <w:rFonts w:cs="Arial"/>
          <w:szCs w:val="22"/>
        </w:rPr>
      </w:pPr>
    </w:p>
    <w:p w:rsidR="00F6048B" w:rsidP="001B0614" w:rsidRDefault="00F6048B" w14:paraId="42D24F7F" w14:textId="27CC0680">
      <w:pPr>
        <w:widowControl/>
        <w:rPr>
          <w:rFonts w:cs="Arial"/>
          <w:szCs w:val="22"/>
        </w:rPr>
      </w:pPr>
      <w:r>
        <w:rPr>
          <w:rFonts w:cs="Arial"/>
          <w:szCs w:val="22"/>
        </w:rPr>
        <w:t xml:space="preserve">The </w:t>
      </w:r>
      <w:r w:rsidR="00DD5F16">
        <w:rPr>
          <w:rFonts w:cs="Arial"/>
          <w:szCs w:val="22"/>
        </w:rPr>
        <w:t xml:space="preserve">13 </w:t>
      </w:r>
      <w:r w:rsidR="005E6D49">
        <w:rPr>
          <w:rFonts w:cs="Arial"/>
          <w:szCs w:val="22"/>
        </w:rPr>
        <w:t>I</w:t>
      </w:r>
      <w:r>
        <w:rPr>
          <w:rFonts w:cs="Arial"/>
          <w:szCs w:val="22"/>
        </w:rPr>
        <w:t xml:space="preserve">SFSIs </w:t>
      </w:r>
      <w:r w:rsidR="00FD7DEF">
        <w:rPr>
          <w:rFonts w:cs="Arial"/>
          <w:szCs w:val="22"/>
        </w:rPr>
        <w:t xml:space="preserve">licensees </w:t>
      </w:r>
      <w:r w:rsidR="009F3839">
        <w:rPr>
          <w:rFonts w:cs="Arial"/>
          <w:szCs w:val="22"/>
        </w:rPr>
        <w:t xml:space="preserve">listed </w:t>
      </w:r>
      <w:r w:rsidR="00532174">
        <w:rPr>
          <w:rFonts w:cs="Arial"/>
          <w:szCs w:val="22"/>
        </w:rPr>
        <w:t xml:space="preserve">above </w:t>
      </w:r>
      <w:r>
        <w:rPr>
          <w:rFonts w:cs="Arial"/>
          <w:szCs w:val="22"/>
        </w:rPr>
        <w:t xml:space="preserve">are </w:t>
      </w:r>
      <w:r w:rsidR="00435563">
        <w:rPr>
          <w:rFonts w:cs="Arial"/>
          <w:szCs w:val="22"/>
        </w:rPr>
        <w:t xml:space="preserve">currently operating and </w:t>
      </w:r>
      <w:r w:rsidR="00532174">
        <w:rPr>
          <w:rFonts w:cs="Arial"/>
          <w:szCs w:val="22"/>
        </w:rPr>
        <w:t xml:space="preserve">are </w:t>
      </w:r>
      <w:r>
        <w:rPr>
          <w:rFonts w:cs="Arial"/>
          <w:szCs w:val="22"/>
        </w:rPr>
        <w:t xml:space="preserve">not co-located with a power reactor </w:t>
      </w:r>
      <w:r w:rsidR="00435563">
        <w:rPr>
          <w:rFonts w:cs="Arial"/>
          <w:szCs w:val="22"/>
        </w:rPr>
        <w:t xml:space="preserve">licensee </w:t>
      </w:r>
      <w:r w:rsidR="009F3839">
        <w:rPr>
          <w:rFonts w:cs="Arial"/>
          <w:szCs w:val="22"/>
        </w:rPr>
        <w:t>at</w:t>
      </w:r>
      <w:r>
        <w:rPr>
          <w:rFonts w:cs="Arial"/>
          <w:szCs w:val="22"/>
        </w:rPr>
        <w:t xml:space="preserve"> a</w:t>
      </w:r>
      <w:r w:rsidR="009F3839">
        <w:rPr>
          <w:rFonts w:cs="Arial"/>
          <w:szCs w:val="22"/>
        </w:rPr>
        <w:t>n individual</w:t>
      </w:r>
      <w:r>
        <w:rPr>
          <w:rFonts w:cs="Arial"/>
          <w:szCs w:val="22"/>
        </w:rPr>
        <w:t xml:space="preserve"> site.</w:t>
      </w:r>
      <w:r w:rsidR="00435563">
        <w:rPr>
          <w:rFonts w:cs="Arial"/>
          <w:szCs w:val="22"/>
        </w:rPr>
        <w:t xml:space="preserve">  However, </w:t>
      </w:r>
      <w:r w:rsidR="00532174">
        <w:rPr>
          <w:rFonts w:cs="Arial"/>
          <w:szCs w:val="22"/>
        </w:rPr>
        <w:t xml:space="preserve">the NRC has </w:t>
      </w:r>
      <w:r w:rsidRPr="00673C3E" w:rsidR="00532174">
        <w:rPr>
          <w:rFonts w:cs="Arial"/>
          <w:szCs w:val="22"/>
        </w:rPr>
        <w:t>also issued</w:t>
      </w:r>
      <w:r w:rsidR="00673C3E">
        <w:rPr>
          <w:rFonts w:cs="Arial"/>
          <w:szCs w:val="22"/>
        </w:rPr>
        <w:t xml:space="preserve"> </w:t>
      </w:r>
      <w:r w:rsidRPr="00673C3E" w:rsidR="00922600">
        <w:rPr>
          <w:rFonts w:cs="Arial"/>
          <w:szCs w:val="22"/>
        </w:rPr>
        <w:t>76</w:t>
      </w:r>
      <w:r w:rsidRPr="00673C3E" w:rsidR="00007BA1">
        <w:rPr>
          <w:rFonts w:cs="Arial"/>
          <w:szCs w:val="22"/>
        </w:rPr>
        <w:t xml:space="preserve"> </w:t>
      </w:r>
      <w:r w:rsidRPr="00673C3E" w:rsidR="00435563">
        <w:rPr>
          <w:rFonts w:cs="Arial"/>
          <w:szCs w:val="22"/>
        </w:rPr>
        <w:t>additional ISFSI</w:t>
      </w:r>
      <w:r w:rsidRPr="00673C3E" w:rsidR="00532174">
        <w:rPr>
          <w:rFonts w:cs="Arial"/>
          <w:szCs w:val="22"/>
        </w:rPr>
        <w:t>s</w:t>
      </w:r>
      <w:r w:rsidRPr="00673C3E" w:rsidR="00435563">
        <w:rPr>
          <w:rFonts w:cs="Arial"/>
          <w:szCs w:val="22"/>
        </w:rPr>
        <w:t xml:space="preserve"> </w:t>
      </w:r>
      <w:r w:rsidRPr="00673C3E" w:rsidR="002C1BC2">
        <w:rPr>
          <w:rFonts w:cs="Arial"/>
          <w:szCs w:val="22"/>
        </w:rPr>
        <w:t xml:space="preserve">licenses </w:t>
      </w:r>
      <w:r w:rsidRPr="00673C3E" w:rsidR="00435563">
        <w:rPr>
          <w:rFonts w:cs="Arial"/>
          <w:szCs w:val="22"/>
        </w:rPr>
        <w:t xml:space="preserve">that are co-located with a power reactor licensee.  </w:t>
      </w:r>
      <w:r w:rsidRPr="00673C3E" w:rsidR="00532174">
        <w:rPr>
          <w:rFonts w:cs="Arial"/>
          <w:szCs w:val="22"/>
        </w:rPr>
        <w:t>These ISFSI are considered</w:t>
      </w:r>
      <w:r w:rsidR="00532174">
        <w:rPr>
          <w:rFonts w:cs="Arial"/>
          <w:szCs w:val="22"/>
        </w:rPr>
        <w:t xml:space="preserve"> separate licensees (i.e., a single site may contain two or more </w:t>
      </w:r>
      <w:r w:rsidR="00FD7DEF">
        <w:rPr>
          <w:rFonts w:cs="Arial"/>
          <w:szCs w:val="22"/>
        </w:rPr>
        <w:t xml:space="preserve">reactor and ISFSI </w:t>
      </w:r>
      <w:r w:rsidR="00532174">
        <w:rPr>
          <w:rFonts w:cs="Arial"/>
          <w:szCs w:val="22"/>
        </w:rPr>
        <w:t xml:space="preserve">licensees).  </w:t>
      </w:r>
      <w:r w:rsidR="00435563">
        <w:rPr>
          <w:rFonts w:cs="Arial"/>
          <w:szCs w:val="22"/>
        </w:rPr>
        <w:t>This final rule contains provisions for licensees to eliminate duplication and increase efficiency and effectiveness through the consolidation of such reports and records</w:t>
      </w:r>
      <w:r w:rsidR="009F3839">
        <w:rPr>
          <w:rFonts w:cs="Arial"/>
          <w:szCs w:val="22"/>
        </w:rPr>
        <w:t xml:space="preserve"> into a single action</w:t>
      </w:r>
      <w:r w:rsidR="00435563">
        <w:rPr>
          <w:rFonts w:cs="Arial"/>
          <w:szCs w:val="22"/>
        </w:rPr>
        <w:t xml:space="preserve">.  Accordingly, </w:t>
      </w:r>
      <w:r w:rsidR="00FD7DEF">
        <w:rPr>
          <w:rFonts w:cs="Arial"/>
          <w:szCs w:val="22"/>
        </w:rPr>
        <w:t xml:space="preserve">the NRC </w:t>
      </w:r>
      <w:r w:rsidR="00FD7DEF">
        <w:rPr>
          <w:rFonts w:cs="Arial"/>
          <w:szCs w:val="22"/>
        </w:rPr>
        <w:lastRenderedPageBreak/>
        <w:t xml:space="preserve">has assumed in </w:t>
      </w:r>
      <w:r w:rsidR="00435563">
        <w:rPr>
          <w:rFonts w:cs="Arial"/>
          <w:szCs w:val="22"/>
        </w:rPr>
        <w:t xml:space="preserve">this supporting statement </w:t>
      </w:r>
      <w:r w:rsidR="00FD7DEF">
        <w:rPr>
          <w:rFonts w:cs="Arial"/>
          <w:szCs w:val="22"/>
        </w:rPr>
        <w:t xml:space="preserve">that </w:t>
      </w:r>
      <w:r w:rsidR="00435563">
        <w:rPr>
          <w:rFonts w:cs="Arial"/>
          <w:szCs w:val="22"/>
        </w:rPr>
        <w:t>reporting or record</w:t>
      </w:r>
      <w:r w:rsidR="00532174">
        <w:rPr>
          <w:rFonts w:cs="Arial"/>
          <w:szCs w:val="22"/>
        </w:rPr>
        <w:t>ing requirements, which</w:t>
      </w:r>
      <w:r w:rsidR="00435563">
        <w:rPr>
          <w:rFonts w:cs="Arial"/>
          <w:szCs w:val="22"/>
        </w:rPr>
        <w:t xml:space="preserve"> are attributable to one or more separate licensees at a single co-located site</w:t>
      </w:r>
      <w:r w:rsidR="00532174">
        <w:rPr>
          <w:rFonts w:cs="Arial"/>
          <w:szCs w:val="22"/>
        </w:rPr>
        <w:t>,</w:t>
      </w:r>
      <w:r w:rsidR="00435563">
        <w:rPr>
          <w:rFonts w:cs="Arial"/>
          <w:szCs w:val="22"/>
        </w:rPr>
        <w:t xml:space="preserve"> will be consolidated into a single report or record.</w:t>
      </w:r>
      <w:r w:rsidR="00532174">
        <w:rPr>
          <w:rFonts w:cs="Arial"/>
          <w:szCs w:val="22"/>
        </w:rPr>
        <w:t xml:space="preserve">  </w:t>
      </w:r>
    </w:p>
    <w:p w:rsidR="00DF07A1" w:rsidP="001B0614" w:rsidRDefault="00DF07A1" w14:paraId="1940A649" w14:textId="77777777">
      <w:pPr>
        <w:widowControl/>
        <w:rPr>
          <w:rFonts w:cs="Arial"/>
          <w:szCs w:val="22"/>
        </w:rPr>
      </w:pPr>
    </w:p>
    <w:p w:rsidR="00DF07A1" w:rsidP="001B0614" w:rsidRDefault="00DF07A1" w14:paraId="60380E9E" w14:textId="77777777">
      <w:pPr>
        <w:widowControl/>
        <w:rPr>
          <w:rFonts w:cs="Arial"/>
          <w:szCs w:val="22"/>
        </w:rPr>
      </w:pPr>
      <w:r>
        <w:rPr>
          <w:rFonts w:cs="Arial"/>
          <w:szCs w:val="22"/>
        </w:rPr>
        <w:t xml:space="preserve">Note that all licensees affected by the requirements contained in the final rule are already subject to other information collection requirements under 10 CFR Part 73, “Physical Protection of Plants and Materials” (3150-0002).  The number of </w:t>
      </w:r>
      <w:r w:rsidR="00994B2A">
        <w:rPr>
          <w:rFonts w:cs="Arial"/>
          <w:szCs w:val="22"/>
        </w:rPr>
        <w:t xml:space="preserve">potential </w:t>
      </w:r>
      <w:r>
        <w:rPr>
          <w:rFonts w:cs="Arial"/>
          <w:szCs w:val="22"/>
        </w:rPr>
        <w:t>respondents to the Part 73 information collection is not increased by this final rule.</w:t>
      </w:r>
    </w:p>
    <w:p w:rsidR="00435563" w:rsidP="001B0614" w:rsidRDefault="00435563" w14:paraId="6195A3E8" w14:textId="77777777">
      <w:pPr>
        <w:widowControl/>
        <w:rPr>
          <w:rFonts w:cs="Arial"/>
          <w:szCs w:val="22"/>
        </w:rPr>
      </w:pPr>
    </w:p>
    <w:p w:rsidRPr="00A32597" w:rsidR="001B0614" w:rsidP="001B0614" w:rsidRDefault="001B0614" w14:paraId="44BDD352" w14:textId="73C36D69">
      <w:pPr>
        <w:widowControl/>
        <w:rPr>
          <w:rFonts w:cs="Arial"/>
          <w:szCs w:val="22"/>
        </w:rPr>
      </w:pPr>
      <w:r>
        <w:rPr>
          <w:rFonts w:cs="Arial"/>
          <w:szCs w:val="22"/>
        </w:rPr>
        <w:t xml:space="preserve">This supporting statement includes </w:t>
      </w:r>
      <w:r w:rsidR="00C257D7">
        <w:rPr>
          <w:rFonts w:cs="Arial"/>
          <w:szCs w:val="22"/>
        </w:rPr>
        <w:t>burden associated with information collection changes associated with 10 CFR Part 73</w:t>
      </w:r>
      <w:r w:rsidR="00843F80">
        <w:rPr>
          <w:rFonts w:cs="Arial"/>
          <w:szCs w:val="22"/>
        </w:rPr>
        <w:t xml:space="preserve"> (3150-0002)</w:t>
      </w:r>
      <w:r w:rsidR="00532174">
        <w:rPr>
          <w:rFonts w:cs="Arial"/>
          <w:szCs w:val="22"/>
        </w:rPr>
        <w:t xml:space="preserve">.  </w:t>
      </w:r>
      <w:r w:rsidR="00FF1C15">
        <w:rPr>
          <w:rFonts w:cs="Arial"/>
          <w:szCs w:val="22"/>
        </w:rPr>
        <w:t>D</w:t>
      </w:r>
      <w:r w:rsidR="00FF1C15">
        <w:rPr>
          <w:rFonts w:eastAsia="Calibri" w:cs="Arial"/>
          <w:szCs w:val="22"/>
        </w:rPr>
        <w:t>ue to other submissions in ROCIS under the Part 73 clearance (3150-0002), the information collection</w:t>
      </w:r>
      <w:r w:rsidR="00237AD9">
        <w:rPr>
          <w:rFonts w:eastAsia="Calibri" w:cs="Arial"/>
          <w:szCs w:val="22"/>
        </w:rPr>
        <w:t xml:space="preserve"> changes to Part 73 that</w:t>
      </w:r>
      <w:r w:rsidR="00FF1C15">
        <w:rPr>
          <w:rFonts w:eastAsia="Calibri" w:cs="Arial"/>
          <w:szCs w:val="22"/>
        </w:rPr>
        <w:t xml:space="preserve"> </w:t>
      </w:r>
      <w:r w:rsidR="00237AD9">
        <w:rPr>
          <w:rFonts w:eastAsia="Calibri" w:cs="Arial"/>
          <w:szCs w:val="22"/>
        </w:rPr>
        <w:t>associated with t</w:t>
      </w:r>
      <w:r w:rsidR="00FF1C15">
        <w:rPr>
          <w:rFonts w:eastAsia="Calibri" w:cs="Arial"/>
          <w:szCs w:val="22"/>
        </w:rPr>
        <w:t xml:space="preserve">his final rule are being submitted as a new clearance.  The NRC staff intends to transfer the burden associated with these information collections to the Part 73 clearance via nonsubstantive change request.  </w:t>
      </w:r>
      <w:r w:rsidR="00D73350">
        <w:rPr>
          <w:rFonts w:cs="Arial"/>
          <w:szCs w:val="22"/>
        </w:rPr>
        <w:t xml:space="preserve">The NRC has </w:t>
      </w:r>
      <w:r w:rsidR="00FF1C15">
        <w:rPr>
          <w:rFonts w:cs="Arial"/>
          <w:szCs w:val="22"/>
        </w:rPr>
        <w:t xml:space="preserve">also </w:t>
      </w:r>
      <w:r w:rsidR="00D73350">
        <w:rPr>
          <w:rFonts w:cs="Arial"/>
          <w:szCs w:val="22"/>
        </w:rPr>
        <w:t>submitted s</w:t>
      </w:r>
      <w:r w:rsidR="00C257D7">
        <w:rPr>
          <w:rFonts w:cs="Arial"/>
          <w:szCs w:val="22"/>
        </w:rPr>
        <w:t>eparate supporting statement</w:t>
      </w:r>
      <w:r w:rsidR="00532174">
        <w:rPr>
          <w:rFonts w:cs="Arial"/>
          <w:szCs w:val="22"/>
        </w:rPr>
        <w:t xml:space="preserve">s </w:t>
      </w:r>
      <w:r w:rsidR="00C257D7">
        <w:rPr>
          <w:rFonts w:cs="Arial"/>
          <w:szCs w:val="22"/>
        </w:rPr>
        <w:t xml:space="preserve">to describe </w:t>
      </w:r>
      <w:r w:rsidR="00FD7DEF">
        <w:rPr>
          <w:rFonts w:cs="Arial"/>
          <w:szCs w:val="22"/>
        </w:rPr>
        <w:t xml:space="preserve">the </w:t>
      </w:r>
      <w:r w:rsidR="00C257D7">
        <w:rPr>
          <w:rFonts w:cs="Arial"/>
          <w:szCs w:val="22"/>
        </w:rPr>
        <w:t xml:space="preserve">information collections associated with </w:t>
      </w:r>
      <w:r w:rsidR="00D73350">
        <w:rPr>
          <w:rFonts w:cs="Arial"/>
          <w:szCs w:val="22"/>
        </w:rPr>
        <w:t xml:space="preserve">new </w:t>
      </w:r>
      <w:r w:rsidR="00C257D7">
        <w:rPr>
          <w:rFonts w:cs="Arial"/>
          <w:szCs w:val="22"/>
        </w:rPr>
        <w:t>NRC Form 754</w:t>
      </w:r>
      <w:r w:rsidR="00FD7DEF">
        <w:rPr>
          <w:rFonts w:cs="Arial"/>
          <w:szCs w:val="22"/>
        </w:rPr>
        <w:t>,</w:t>
      </w:r>
      <w:r w:rsidR="0095416F">
        <w:rPr>
          <w:rFonts w:cs="Arial"/>
          <w:szCs w:val="22"/>
        </w:rPr>
        <w:t xml:space="preserve"> “Armed Security Firearms Background Check” (3150-0204) and </w:t>
      </w:r>
      <w:r w:rsidR="00D73350">
        <w:rPr>
          <w:rFonts w:cs="Arial"/>
          <w:szCs w:val="22"/>
        </w:rPr>
        <w:t xml:space="preserve">revised </w:t>
      </w:r>
      <w:r w:rsidR="0095416F">
        <w:rPr>
          <w:rFonts w:cs="Arial"/>
          <w:szCs w:val="22"/>
        </w:rPr>
        <w:t>NRC Form 366</w:t>
      </w:r>
      <w:r w:rsidR="00532174">
        <w:rPr>
          <w:rFonts w:cs="Arial"/>
          <w:szCs w:val="22"/>
        </w:rPr>
        <w:t>, “Licensee Event Report” (3150</w:t>
      </w:r>
      <w:r w:rsidR="00532174">
        <w:rPr>
          <w:rFonts w:cs="Arial"/>
          <w:szCs w:val="22"/>
        </w:rPr>
        <w:noBreakHyphen/>
      </w:r>
      <w:r w:rsidR="0095416F">
        <w:rPr>
          <w:rFonts w:cs="Arial"/>
          <w:szCs w:val="22"/>
        </w:rPr>
        <w:t>0104)</w:t>
      </w:r>
      <w:r w:rsidR="00843F80">
        <w:rPr>
          <w:rFonts w:cs="Arial"/>
          <w:szCs w:val="22"/>
        </w:rPr>
        <w:t>.</w:t>
      </w:r>
      <w:r w:rsidR="00C257D7">
        <w:rPr>
          <w:rFonts w:cs="Arial"/>
          <w:szCs w:val="22"/>
        </w:rPr>
        <w:t xml:space="preserve">  </w:t>
      </w:r>
    </w:p>
    <w:p w:rsidRPr="00A32597" w:rsidR="001B0614" w:rsidP="00577D64" w:rsidRDefault="001B0614" w14:paraId="4160DB0A" w14:textId="77777777">
      <w:pPr>
        <w:widowControl/>
        <w:rPr>
          <w:rFonts w:cs="Arial"/>
          <w:szCs w:val="22"/>
        </w:rPr>
      </w:pPr>
    </w:p>
    <w:p w:rsidRPr="00A32597" w:rsidR="002B1B50" w:rsidP="00577D64" w:rsidRDefault="002B1B50" w14:paraId="3BBFD7D7" w14:textId="77777777">
      <w:pPr>
        <w:widowControl/>
        <w:ind w:left="1440" w:hanging="720"/>
        <w:rPr>
          <w:rFonts w:cs="Arial"/>
          <w:szCs w:val="22"/>
          <w:u w:val="single"/>
        </w:rPr>
      </w:pPr>
      <w:r w:rsidRPr="00A32597">
        <w:rPr>
          <w:rFonts w:cs="Arial"/>
          <w:szCs w:val="22"/>
        </w:rPr>
        <w:t xml:space="preserve">1. </w:t>
      </w:r>
      <w:r w:rsidRPr="00A32597" w:rsidR="00C8524D">
        <w:rPr>
          <w:rFonts w:cs="Arial"/>
          <w:szCs w:val="22"/>
        </w:rPr>
        <w:tab/>
      </w:r>
      <w:r w:rsidRPr="00A32597">
        <w:rPr>
          <w:rFonts w:cs="Arial"/>
          <w:szCs w:val="22"/>
          <w:u w:val="single"/>
        </w:rPr>
        <w:t xml:space="preserve">Need for and Practical Utility of the </w:t>
      </w:r>
      <w:r w:rsidRPr="00A32597" w:rsidR="006F795D">
        <w:rPr>
          <w:rFonts w:cs="Arial"/>
          <w:szCs w:val="22"/>
          <w:u w:val="single"/>
        </w:rPr>
        <w:t xml:space="preserve">Collection of </w:t>
      </w:r>
      <w:r w:rsidRPr="00A32597">
        <w:rPr>
          <w:rFonts w:cs="Arial"/>
          <w:szCs w:val="22"/>
          <w:u w:val="single"/>
        </w:rPr>
        <w:t>Information</w:t>
      </w:r>
    </w:p>
    <w:p w:rsidRPr="00A32597" w:rsidR="002B1B50" w:rsidP="00577D64" w:rsidRDefault="002B1B50" w14:paraId="49C81857" w14:textId="77777777">
      <w:pPr>
        <w:widowControl/>
        <w:rPr>
          <w:rFonts w:cs="Arial"/>
          <w:szCs w:val="22"/>
        </w:rPr>
      </w:pPr>
    </w:p>
    <w:p w:rsidRPr="00A32597" w:rsidR="006F08B3" w:rsidP="00577D64" w:rsidRDefault="006F08B3" w14:paraId="1C5A9527" w14:textId="77777777">
      <w:pPr>
        <w:widowControl/>
        <w:ind w:left="720"/>
        <w:rPr>
          <w:rFonts w:cs="Arial"/>
          <w:szCs w:val="22"/>
        </w:rPr>
      </w:pPr>
      <w:r w:rsidRPr="00A32597">
        <w:rPr>
          <w:rFonts w:cs="Arial"/>
          <w:szCs w:val="22"/>
        </w:rPr>
        <w:t>In general, the reports and records are necessary for the following reason</w:t>
      </w:r>
      <w:r w:rsidR="0095416F">
        <w:rPr>
          <w:rFonts w:cs="Arial"/>
          <w:szCs w:val="22"/>
        </w:rPr>
        <w:t>s</w:t>
      </w:r>
      <w:r w:rsidR="00AE137D">
        <w:rPr>
          <w:rFonts w:cs="Arial"/>
          <w:szCs w:val="22"/>
        </w:rPr>
        <w:t>:</w:t>
      </w:r>
    </w:p>
    <w:p w:rsidRPr="00A32597" w:rsidR="006F08B3" w:rsidP="00577D64" w:rsidRDefault="006F08B3" w14:paraId="5A18C0F3" w14:textId="77777777">
      <w:pPr>
        <w:widowControl/>
        <w:ind w:left="720"/>
        <w:rPr>
          <w:rFonts w:cs="Arial"/>
          <w:szCs w:val="22"/>
        </w:rPr>
      </w:pPr>
    </w:p>
    <w:p w:rsidR="00D73350" w:rsidP="0095416F" w:rsidRDefault="001869B2" w14:paraId="02AF0492" w14:textId="1D4CE2ED">
      <w:pPr>
        <w:widowControl/>
        <w:ind w:left="720"/>
        <w:rPr>
          <w:rFonts w:cs="Arial"/>
          <w:szCs w:val="22"/>
        </w:rPr>
      </w:pPr>
      <w:r>
        <w:rPr>
          <w:rFonts w:cs="Arial"/>
          <w:szCs w:val="22"/>
        </w:rPr>
        <w:t xml:space="preserve">For the first </w:t>
      </w:r>
      <w:r w:rsidR="0085211D">
        <w:rPr>
          <w:rFonts w:cs="Arial"/>
          <w:szCs w:val="22"/>
        </w:rPr>
        <w:t>part</w:t>
      </w:r>
      <w:r>
        <w:rPr>
          <w:rFonts w:cs="Arial"/>
          <w:szCs w:val="22"/>
        </w:rPr>
        <w:t xml:space="preserve"> of the final rule, the i</w:t>
      </w:r>
      <w:r w:rsidR="00D73350">
        <w:rPr>
          <w:rFonts w:cs="Arial"/>
          <w:szCs w:val="22"/>
        </w:rPr>
        <w:t xml:space="preserve">nformation collections related to </w:t>
      </w:r>
      <w:r w:rsidRPr="004A3713" w:rsidR="00D73350">
        <w:rPr>
          <w:rFonts w:cs="Arial"/>
          <w:szCs w:val="22"/>
        </w:rPr>
        <w:t>implement</w:t>
      </w:r>
      <w:r w:rsidR="00D73350">
        <w:rPr>
          <w:rFonts w:cs="Arial"/>
          <w:szCs w:val="22"/>
        </w:rPr>
        <w:t>ation</w:t>
      </w:r>
      <w:r w:rsidRPr="004A3713" w:rsidR="00D73350">
        <w:rPr>
          <w:rFonts w:cs="Arial"/>
          <w:szCs w:val="22"/>
        </w:rPr>
        <w:t xml:space="preserve"> </w:t>
      </w:r>
      <w:r w:rsidR="00D73350">
        <w:rPr>
          <w:rFonts w:cs="Arial"/>
          <w:szCs w:val="22"/>
        </w:rPr>
        <w:t>of the NRC’s</w:t>
      </w:r>
      <w:r w:rsidRPr="004A3713" w:rsidR="00D73350">
        <w:rPr>
          <w:rFonts w:cs="Arial"/>
          <w:szCs w:val="22"/>
        </w:rPr>
        <w:t xml:space="preserve"> authority </w:t>
      </w:r>
      <w:r w:rsidR="00D73350">
        <w:rPr>
          <w:rFonts w:cs="Arial"/>
          <w:szCs w:val="22"/>
        </w:rPr>
        <w:t>under</w:t>
      </w:r>
      <w:r w:rsidRPr="004A3713" w:rsidR="00D73350">
        <w:rPr>
          <w:rFonts w:cs="Arial"/>
          <w:szCs w:val="22"/>
        </w:rPr>
        <w:t xml:space="preserve"> Section 161A of the AEA</w:t>
      </w:r>
      <w:r w:rsidR="00D73350">
        <w:rPr>
          <w:rFonts w:cs="Arial"/>
          <w:szCs w:val="22"/>
        </w:rPr>
        <w:t xml:space="preserve"> are needed to evaluate the changes being proposed to a licensee’s physical security program regarding covered weapons.  </w:t>
      </w:r>
      <w:r w:rsidRPr="004A3713" w:rsidR="00D73350">
        <w:rPr>
          <w:rFonts w:cs="Arial"/>
          <w:szCs w:val="22"/>
        </w:rPr>
        <w:t>Overall, the benefits of the final regulation include enhanced public safety and security resulting from increased defensive capability at regulated entities to interdict and neutralize an attack or potentially to deter an attack for those entities that opt to employ these voluntary authorities</w:t>
      </w:r>
      <w:r w:rsidR="00D73350">
        <w:rPr>
          <w:rFonts w:cs="Arial"/>
          <w:szCs w:val="22"/>
        </w:rPr>
        <w:t>.</w:t>
      </w:r>
      <w:r w:rsidRPr="001869B2">
        <w:rPr>
          <w:rFonts w:cs="Arial"/>
          <w:szCs w:val="22"/>
        </w:rPr>
        <w:t xml:space="preserve"> </w:t>
      </w:r>
      <w:r>
        <w:rPr>
          <w:rFonts w:cs="Arial"/>
          <w:szCs w:val="22"/>
        </w:rPr>
        <w:t xml:space="preserve"> Additionally, the information collections related to the accomplishment of firearms background checks verifies that security personnel possessing covered weapons (under the authority of Section 161A) are not prohibited from possessing </w:t>
      </w:r>
      <w:r w:rsidR="003A0749">
        <w:rPr>
          <w:rFonts w:cs="Arial"/>
          <w:szCs w:val="22"/>
        </w:rPr>
        <w:t xml:space="preserve">these </w:t>
      </w:r>
      <w:r>
        <w:rPr>
          <w:rFonts w:cs="Arial"/>
          <w:szCs w:val="22"/>
        </w:rPr>
        <w:t>firearms or ammunition under Federal or State law.</w:t>
      </w:r>
    </w:p>
    <w:p w:rsidR="00D73350" w:rsidP="0095416F" w:rsidRDefault="00D73350" w14:paraId="0F4F03CC" w14:textId="77777777">
      <w:pPr>
        <w:widowControl/>
        <w:ind w:left="720"/>
        <w:rPr>
          <w:rFonts w:cs="Arial"/>
          <w:szCs w:val="22"/>
        </w:rPr>
      </w:pPr>
    </w:p>
    <w:p w:rsidR="00705A6F" w:rsidP="0095416F" w:rsidRDefault="00B0332B" w14:paraId="655169C6" w14:textId="07FC6F93">
      <w:pPr>
        <w:widowControl/>
        <w:ind w:left="720"/>
        <w:rPr>
          <w:rFonts w:cs="Arial"/>
          <w:szCs w:val="22"/>
        </w:rPr>
      </w:pPr>
      <w:r>
        <w:rPr>
          <w:rFonts w:cs="Arial"/>
          <w:szCs w:val="22"/>
        </w:rPr>
        <w:t xml:space="preserve">For the second </w:t>
      </w:r>
      <w:r w:rsidR="0085211D">
        <w:rPr>
          <w:rFonts w:cs="Arial"/>
          <w:szCs w:val="22"/>
        </w:rPr>
        <w:t>part</w:t>
      </w:r>
      <w:r>
        <w:rPr>
          <w:rFonts w:cs="Arial"/>
          <w:szCs w:val="22"/>
        </w:rPr>
        <w:t xml:space="preserve"> of the final rule, the information collections related to </w:t>
      </w:r>
      <w:r w:rsidRPr="00A32597" w:rsidR="00D1054C">
        <w:rPr>
          <w:rFonts w:cs="Arial"/>
          <w:szCs w:val="22"/>
        </w:rPr>
        <w:t xml:space="preserve">notifying the NRC of the occurrence of and circumstances surrounding </w:t>
      </w:r>
      <w:r w:rsidR="00AE137D">
        <w:rPr>
          <w:rFonts w:cs="Arial"/>
          <w:szCs w:val="22"/>
        </w:rPr>
        <w:t xml:space="preserve">physical security </w:t>
      </w:r>
      <w:r w:rsidRPr="00A32597" w:rsidR="00D1054C">
        <w:rPr>
          <w:rFonts w:cs="Arial"/>
          <w:szCs w:val="22"/>
        </w:rPr>
        <w:t xml:space="preserve">events (e.g., reports of </w:t>
      </w:r>
      <w:r w:rsidR="001330AC">
        <w:rPr>
          <w:rFonts w:cs="Arial"/>
          <w:szCs w:val="22"/>
        </w:rPr>
        <w:t xml:space="preserve">hostile actions, </w:t>
      </w:r>
      <w:r w:rsidR="00AE137D">
        <w:rPr>
          <w:rFonts w:cs="Arial"/>
          <w:szCs w:val="22"/>
        </w:rPr>
        <w:t xml:space="preserve">tampering, </w:t>
      </w:r>
      <w:r w:rsidRPr="00A32597" w:rsidR="00D1054C">
        <w:rPr>
          <w:rFonts w:cs="Arial"/>
          <w:szCs w:val="22"/>
        </w:rPr>
        <w:t>theft, sabotage</w:t>
      </w:r>
      <w:r w:rsidRPr="00A32597" w:rsidR="004C7108">
        <w:rPr>
          <w:rFonts w:cs="Arial"/>
          <w:szCs w:val="22"/>
        </w:rPr>
        <w:t xml:space="preserve">, </w:t>
      </w:r>
      <w:r w:rsidRPr="00A32597" w:rsidR="00D1054C">
        <w:rPr>
          <w:rFonts w:cs="Arial"/>
          <w:szCs w:val="22"/>
        </w:rPr>
        <w:t xml:space="preserve">or </w:t>
      </w:r>
      <w:r w:rsidR="00AE137D">
        <w:rPr>
          <w:rFonts w:cs="Arial"/>
          <w:szCs w:val="22"/>
        </w:rPr>
        <w:t xml:space="preserve">a lost or </w:t>
      </w:r>
      <w:r w:rsidRPr="00A32597" w:rsidR="00D1054C">
        <w:rPr>
          <w:rFonts w:cs="Arial"/>
          <w:szCs w:val="22"/>
        </w:rPr>
        <w:t>overdue shipment)</w:t>
      </w:r>
      <w:r w:rsidR="00E3083A">
        <w:rPr>
          <w:rFonts w:cs="Arial"/>
          <w:szCs w:val="22"/>
        </w:rPr>
        <w:t xml:space="preserve"> </w:t>
      </w:r>
      <w:r w:rsidR="00D73350">
        <w:rPr>
          <w:rFonts w:cs="Arial"/>
          <w:szCs w:val="22"/>
        </w:rPr>
        <w:t xml:space="preserve">are </w:t>
      </w:r>
      <w:r w:rsidRPr="00A32597" w:rsidR="00D1054C">
        <w:rPr>
          <w:rFonts w:cs="Arial"/>
          <w:szCs w:val="22"/>
        </w:rPr>
        <w:t xml:space="preserve">needed to enable the NRC to fulfill its </w:t>
      </w:r>
      <w:r w:rsidR="001330AC">
        <w:rPr>
          <w:rFonts w:cs="Arial"/>
          <w:szCs w:val="22"/>
        </w:rPr>
        <w:t xml:space="preserve">statutory </w:t>
      </w:r>
      <w:r w:rsidRPr="00A32597" w:rsidR="00D1054C">
        <w:rPr>
          <w:rFonts w:cs="Arial"/>
          <w:szCs w:val="22"/>
        </w:rPr>
        <w:t xml:space="preserve">responsibilities </w:t>
      </w:r>
      <w:r>
        <w:rPr>
          <w:rFonts w:cs="Arial"/>
          <w:szCs w:val="22"/>
        </w:rPr>
        <w:t xml:space="preserve">under the AEA </w:t>
      </w:r>
      <w:r w:rsidRPr="00A32597" w:rsidR="00D1054C">
        <w:rPr>
          <w:rFonts w:cs="Arial"/>
          <w:szCs w:val="22"/>
        </w:rPr>
        <w:t xml:space="preserve">to </w:t>
      </w:r>
      <w:r w:rsidR="00BC56A3">
        <w:rPr>
          <w:rFonts w:cs="Arial"/>
          <w:szCs w:val="22"/>
        </w:rPr>
        <w:t xml:space="preserve">assess </w:t>
      </w:r>
      <w:r>
        <w:rPr>
          <w:rFonts w:cs="Arial"/>
          <w:szCs w:val="22"/>
        </w:rPr>
        <w:t xml:space="preserve">such events </w:t>
      </w:r>
      <w:r w:rsidR="00BC56A3">
        <w:rPr>
          <w:rFonts w:cs="Arial"/>
          <w:szCs w:val="22"/>
        </w:rPr>
        <w:t xml:space="preserve">and, when appropriate, </w:t>
      </w:r>
      <w:r w:rsidRPr="00A32597" w:rsidR="00D1054C">
        <w:rPr>
          <w:rFonts w:cs="Arial"/>
          <w:szCs w:val="22"/>
        </w:rPr>
        <w:t>respond to</w:t>
      </w:r>
      <w:r w:rsidR="00705A6F">
        <w:rPr>
          <w:rFonts w:cs="Arial"/>
          <w:szCs w:val="22"/>
        </w:rPr>
        <w:t xml:space="preserve">, inspect, or investigate </w:t>
      </w:r>
      <w:r w:rsidRPr="00A32597" w:rsidR="00D1054C">
        <w:rPr>
          <w:rFonts w:cs="Arial"/>
          <w:szCs w:val="22"/>
        </w:rPr>
        <w:t xml:space="preserve"> situations which </w:t>
      </w:r>
      <w:r w:rsidR="00BC56A3">
        <w:rPr>
          <w:rFonts w:cs="Arial"/>
          <w:szCs w:val="22"/>
        </w:rPr>
        <w:t xml:space="preserve">may </w:t>
      </w:r>
      <w:r w:rsidRPr="00A32597" w:rsidR="00D1054C">
        <w:rPr>
          <w:rFonts w:cs="Arial"/>
          <w:szCs w:val="22"/>
        </w:rPr>
        <w:t xml:space="preserve">adversely affect public health and safety or the common defense and security.  </w:t>
      </w:r>
    </w:p>
    <w:p w:rsidR="00705A6F" w:rsidP="0095416F" w:rsidRDefault="00705A6F" w14:paraId="7F53B867" w14:textId="77777777">
      <w:pPr>
        <w:widowControl/>
        <w:ind w:left="720"/>
        <w:rPr>
          <w:rFonts w:cs="Arial"/>
          <w:szCs w:val="22"/>
        </w:rPr>
      </w:pPr>
    </w:p>
    <w:p w:rsidR="00705A6F" w:rsidP="00705A6F" w:rsidRDefault="00705A6F" w14:paraId="49D641B3" w14:textId="77777777">
      <w:pPr>
        <w:widowControl/>
        <w:ind w:left="720"/>
        <w:rPr>
          <w:rFonts w:cs="Arial"/>
          <w:color w:val="000000"/>
          <w:szCs w:val="22"/>
        </w:rPr>
      </w:pPr>
      <w:r w:rsidRPr="00A32597">
        <w:rPr>
          <w:rFonts w:cs="Arial"/>
          <w:color w:val="000000"/>
          <w:szCs w:val="22"/>
        </w:rPr>
        <w:t xml:space="preserve">The NRC </w:t>
      </w:r>
      <w:r>
        <w:rPr>
          <w:rFonts w:cs="Arial"/>
          <w:color w:val="000000"/>
          <w:szCs w:val="22"/>
        </w:rPr>
        <w:t xml:space="preserve">also </w:t>
      </w:r>
      <w:r w:rsidRPr="00A32597">
        <w:rPr>
          <w:rFonts w:cs="Arial"/>
          <w:color w:val="000000"/>
          <w:szCs w:val="22"/>
        </w:rPr>
        <w:t xml:space="preserve">has a strategic mission to immediately communicate </w:t>
      </w:r>
      <w:r>
        <w:rPr>
          <w:rFonts w:cs="Arial"/>
          <w:color w:val="000000"/>
          <w:szCs w:val="22"/>
        </w:rPr>
        <w:t xml:space="preserve">information on imminent or actual hostile actions </w:t>
      </w:r>
      <w:r w:rsidRPr="00A32597">
        <w:rPr>
          <w:rFonts w:cs="Arial"/>
          <w:color w:val="000000"/>
          <w:szCs w:val="22"/>
        </w:rPr>
        <w:t xml:space="preserve">to the Department of Homeland Security (DHS) </w:t>
      </w:r>
      <w:r>
        <w:rPr>
          <w:rFonts w:cs="Arial"/>
          <w:color w:val="000000"/>
          <w:szCs w:val="22"/>
        </w:rPr>
        <w:t>National Operations C</w:t>
      </w:r>
      <w:r w:rsidRPr="00A32597">
        <w:rPr>
          <w:rFonts w:cs="Arial"/>
          <w:color w:val="000000"/>
          <w:szCs w:val="22"/>
        </w:rPr>
        <w:t xml:space="preserve">enter under the National Response Framework.  </w:t>
      </w:r>
      <w:r>
        <w:rPr>
          <w:rFonts w:cs="Arial"/>
          <w:color w:val="000000"/>
          <w:szCs w:val="22"/>
        </w:rPr>
        <w:t>Furthermore, t</w:t>
      </w:r>
      <w:r w:rsidRPr="00A32597">
        <w:rPr>
          <w:rFonts w:cs="Arial"/>
          <w:color w:val="000000"/>
          <w:szCs w:val="22"/>
        </w:rPr>
        <w:t xml:space="preserve">he NRC also has a strategic mission to immediately communicate </w:t>
      </w:r>
      <w:r>
        <w:rPr>
          <w:rFonts w:cs="Arial"/>
          <w:color w:val="000000"/>
          <w:szCs w:val="22"/>
        </w:rPr>
        <w:t>hostile action</w:t>
      </w:r>
      <w:r w:rsidRPr="00A32597">
        <w:rPr>
          <w:rFonts w:cs="Arial"/>
          <w:color w:val="000000"/>
          <w:szCs w:val="22"/>
        </w:rPr>
        <w:t xml:space="preserve"> information to other appropriate NRC licensees so that they can increase their security posture at their facilities or for their shipments of SNF, HLW, or Category I SSNM.  </w:t>
      </w:r>
      <w:r>
        <w:rPr>
          <w:rFonts w:cs="Arial"/>
          <w:color w:val="000000"/>
          <w:szCs w:val="22"/>
        </w:rPr>
        <w:t xml:space="preserve">The NRC views this </w:t>
      </w:r>
      <w:r w:rsidRPr="00A32597">
        <w:rPr>
          <w:rFonts w:cs="Arial"/>
          <w:color w:val="000000"/>
          <w:szCs w:val="22"/>
        </w:rPr>
        <w:t xml:space="preserve">prompt notification </w:t>
      </w:r>
      <w:r>
        <w:rPr>
          <w:rFonts w:cs="Arial"/>
          <w:color w:val="000000"/>
          <w:szCs w:val="22"/>
        </w:rPr>
        <w:t xml:space="preserve">as </w:t>
      </w:r>
      <w:r w:rsidRPr="00A32597">
        <w:rPr>
          <w:rFonts w:cs="Arial"/>
          <w:color w:val="000000"/>
          <w:szCs w:val="22"/>
        </w:rPr>
        <w:t xml:space="preserve">vital </w:t>
      </w:r>
      <w:r>
        <w:rPr>
          <w:rFonts w:cs="Arial"/>
          <w:color w:val="000000"/>
          <w:szCs w:val="22"/>
        </w:rPr>
        <w:t>to</w:t>
      </w:r>
      <w:r w:rsidRPr="00A32597">
        <w:rPr>
          <w:rFonts w:cs="Arial"/>
          <w:color w:val="000000"/>
          <w:szCs w:val="22"/>
        </w:rPr>
        <w:t xml:space="preserve"> increasing another licensees’ </w:t>
      </w:r>
      <w:r>
        <w:rPr>
          <w:rFonts w:cs="Arial"/>
          <w:color w:val="000000"/>
          <w:szCs w:val="22"/>
        </w:rPr>
        <w:t>security posture in order</w:t>
      </w:r>
      <w:r w:rsidRPr="00A32597">
        <w:rPr>
          <w:rFonts w:cs="Arial"/>
          <w:color w:val="000000"/>
          <w:szCs w:val="22"/>
        </w:rPr>
        <w:t xml:space="preserve"> to defeat poorly-synchronized multiple-site attacks and in protecting the lives of security and plant personnel (a</w:t>
      </w:r>
      <w:r>
        <w:rPr>
          <w:rFonts w:cs="Arial"/>
          <w:color w:val="000000"/>
          <w:szCs w:val="22"/>
        </w:rPr>
        <w:t>t a second facility)</w:t>
      </w:r>
      <w:r w:rsidRPr="00A32597">
        <w:rPr>
          <w:rFonts w:cs="Arial"/>
          <w:color w:val="000000"/>
          <w:szCs w:val="22"/>
        </w:rPr>
        <w:t>.  This prompt notification could also be vital in increasing the defensive posture of other government or critical infrastructure facilities to defeat poorly-synchronized multiple-sector attacks.</w:t>
      </w:r>
      <w:r>
        <w:rPr>
          <w:rFonts w:cs="Arial"/>
          <w:color w:val="000000"/>
          <w:szCs w:val="22"/>
        </w:rPr>
        <w:t xml:space="preserve">  </w:t>
      </w:r>
    </w:p>
    <w:p w:rsidR="003E1A46" w:rsidP="0095416F" w:rsidRDefault="003E1A46" w14:paraId="3BA35AA7" w14:textId="77777777">
      <w:pPr>
        <w:widowControl/>
        <w:ind w:left="720"/>
        <w:rPr>
          <w:rFonts w:cs="Arial"/>
          <w:szCs w:val="22"/>
        </w:rPr>
      </w:pPr>
    </w:p>
    <w:p w:rsidR="003E1A46" w:rsidP="0095416F" w:rsidRDefault="00B0332B" w14:paraId="04D97E5B" w14:textId="14432EC1">
      <w:pPr>
        <w:widowControl/>
        <w:ind w:left="720"/>
        <w:rPr>
          <w:rFonts w:cs="Arial"/>
          <w:szCs w:val="22"/>
        </w:rPr>
      </w:pPr>
      <w:r>
        <w:rPr>
          <w:rFonts w:cs="Arial"/>
          <w:szCs w:val="22"/>
        </w:rPr>
        <w:t xml:space="preserve">For the third </w:t>
      </w:r>
      <w:r w:rsidR="0085211D">
        <w:rPr>
          <w:rFonts w:cs="Arial"/>
          <w:szCs w:val="22"/>
        </w:rPr>
        <w:t>part</w:t>
      </w:r>
      <w:r>
        <w:rPr>
          <w:rFonts w:cs="Arial"/>
          <w:szCs w:val="22"/>
        </w:rPr>
        <w:t xml:space="preserve"> of the final rule, the information collections related to </w:t>
      </w:r>
      <w:r w:rsidR="003E1A46">
        <w:rPr>
          <w:rFonts w:cs="Arial"/>
          <w:color w:val="000000"/>
          <w:szCs w:val="22"/>
        </w:rPr>
        <w:t xml:space="preserve">notifying </w:t>
      </w:r>
      <w:r>
        <w:rPr>
          <w:rFonts w:cs="Arial"/>
          <w:color w:val="000000"/>
          <w:szCs w:val="22"/>
        </w:rPr>
        <w:t xml:space="preserve">local </w:t>
      </w:r>
      <w:r w:rsidR="007E7538">
        <w:rPr>
          <w:rFonts w:cs="Arial"/>
          <w:color w:val="000000"/>
          <w:szCs w:val="22"/>
        </w:rPr>
        <w:t xml:space="preserve">and Federal </w:t>
      </w:r>
      <w:r w:rsidR="003E1A46">
        <w:rPr>
          <w:rFonts w:cs="Arial"/>
          <w:color w:val="000000"/>
          <w:szCs w:val="22"/>
        </w:rPr>
        <w:t>law enforcement agencies, the FAA (for suspicious aircraft activities), and the</w:t>
      </w:r>
      <w:r w:rsidR="00B660A5">
        <w:rPr>
          <w:rFonts w:cs="Arial"/>
          <w:color w:val="000000"/>
          <w:szCs w:val="22"/>
        </w:rPr>
        <w:t xml:space="preserve"> NRC are needed, respectively, by law enforcement agencies to conduct investigations of potential terrorist </w:t>
      </w:r>
      <w:r w:rsidR="000B31DD">
        <w:rPr>
          <w:rFonts w:cs="Arial"/>
          <w:color w:val="000000"/>
          <w:szCs w:val="22"/>
        </w:rPr>
        <w:t>activities</w:t>
      </w:r>
      <w:r w:rsidR="00B660A5">
        <w:rPr>
          <w:rFonts w:cs="Arial"/>
          <w:color w:val="000000"/>
          <w:szCs w:val="22"/>
        </w:rPr>
        <w:t xml:space="preserve">, by the FAA to </w:t>
      </w:r>
      <w:r w:rsidR="007E7538">
        <w:rPr>
          <w:rFonts w:cs="Arial"/>
          <w:color w:val="000000"/>
          <w:szCs w:val="22"/>
        </w:rPr>
        <w:t xml:space="preserve">full fill their statutory responsibilities to </w:t>
      </w:r>
      <w:r w:rsidR="00B660A5">
        <w:rPr>
          <w:rFonts w:cs="Arial"/>
          <w:color w:val="000000"/>
          <w:szCs w:val="22"/>
        </w:rPr>
        <w:t xml:space="preserve">oversee aircraft activities, and by the NRC to fulfil its statutory responsibilities regarding </w:t>
      </w:r>
      <w:r>
        <w:rPr>
          <w:rFonts w:cs="Arial"/>
          <w:color w:val="000000"/>
          <w:szCs w:val="22"/>
        </w:rPr>
        <w:t xml:space="preserve">conducting </w:t>
      </w:r>
      <w:r w:rsidR="00B660A5">
        <w:rPr>
          <w:rFonts w:cs="Arial"/>
          <w:color w:val="000000"/>
          <w:szCs w:val="22"/>
        </w:rPr>
        <w:t>threat</w:t>
      </w:r>
      <w:r w:rsidR="000B31DD">
        <w:rPr>
          <w:rFonts w:cs="Arial"/>
          <w:color w:val="000000"/>
          <w:szCs w:val="22"/>
        </w:rPr>
        <w:t xml:space="preserve"> assessments of</w:t>
      </w:r>
      <w:r w:rsidR="00B660A5">
        <w:rPr>
          <w:rFonts w:cs="Arial"/>
          <w:color w:val="000000"/>
          <w:szCs w:val="22"/>
        </w:rPr>
        <w:t xml:space="preserve"> NRC-licensed facilities and activities. </w:t>
      </w:r>
      <w:r w:rsidR="003E1A46">
        <w:rPr>
          <w:rFonts w:cs="Arial"/>
          <w:szCs w:val="22"/>
        </w:rPr>
        <w:t xml:space="preserve">The timely </w:t>
      </w:r>
      <w:r w:rsidR="003E1A46">
        <w:rPr>
          <w:rFonts w:cs="Arial"/>
          <w:color w:val="000000"/>
          <w:szCs w:val="22"/>
        </w:rPr>
        <w:t xml:space="preserve">reporting of suspicious activities to law enforcement agencies permits these agencies to </w:t>
      </w:r>
      <w:r w:rsidR="00705A6F">
        <w:rPr>
          <w:rFonts w:cs="Arial"/>
          <w:color w:val="000000"/>
          <w:szCs w:val="22"/>
        </w:rPr>
        <w:t xml:space="preserve">effectively </w:t>
      </w:r>
      <w:r w:rsidR="003E1A46">
        <w:rPr>
          <w:rFonts w:cs="Arial"/>
          <w:szCs w:val="22"/>
        </w:rPr>
        <w:t xml:space="preserve">investigate such suspicious activities, </w:t>
      </w:r>
      <w:r w:rsidR="007E7538">
        <w:rPr>
          <w:rFonts w:cs="Arial"/>
          <w:szCs w:val="22"/>
        </w:rPr>
        <w:t>with an objective</w:t>
      </w:r>
      <w:r w:rsidR="003E1A46">
        <w:rPr>
          <w:rFonts w:cs="Arial"/>
          <w:szCs w:val="22"/>
        </w:rPr>
        <w:t xml:space="preserve"> to potentially disrupt or dissuade planned terrorist attacks</w:t>
      </w:r>
      <w:r w:rsidRPr="00353FF1" w:rsidR="003E1A46">
        <w:rPr>
          <w:rFonts w:cs="Arial"/>
          <w:szCs w:val="22"/>
        </w:rPr>
        <w:t>.</w:t>
      </w:r>
    </w:p>
    <w:p w:rsidR="00E41B61" w:rsidRDefault="00E41B61" w14:paraId="26D119B0" w14:textId="77777777">
      <w:pPr>
        <w:widowControl/>
        <w:autoSpaceDE/>
        <w:autoSpaceDN/>
        <w:adjustRightInd/>
        <w:rPr>
          <w:rFonts w:cs="Arial"/>
          <w:b/>
          <w:i/>
          <w:szCs w:val="22"/>
        </w:rPr>
      </w:pPr>
    </w:p>
    <w:p w:rsidR="00622657" w:rsidP="00B660A5" w:rsidRDefault="00622657" w14:paraId="3ED34A5B" w14:textId="77777777">
      <w:pPr>
        <w:widowControl/>
        <w:ind w:left="720"/>
        <w:rPr>
          <w:rFonts w:cs="Arial"/>
          <w:b/>
          <w:i/>
          <w:szCs w:val="22"/>
        </w:rPr>
      </w:pPr>
      <w:r>
        <w:rPr>
          <w:rFonts w:cs="Arial"/>
          <w:b/>
          <w:i/>
          <w:szCs w:val="22"/>
        </w:rPr>
        <w:t xml:space="preserve">10 CFR Part </w:t>
      </w:r>
      <w:r w:rsidR="0007735A">
        <w:rPr>
          <w:rFonts w:cs="Arial"/>
          <w:b/>
          <w:i/>
          <w:szCs w:val="22"/>
        </w:rPr>
        <w:t>73.15</w:t>
      </w:r>
      <w:r>
        <w:rPr>
          <w:rFonts w:cs="Arial"/>
          <w:b/>
          <w:i/>
          <w:szCs w:val="22"/>
        </w:rPr>
        <w:t xml:space="preserve"> and </w:t>
      </w:r>
      <w:r w:rsidR="0007735A">
        <w:rPr>
          <w:rFonts w:cs="Arial"/>
          <w:b/>
          <w:i/>
          <w:szCs w:val="22"/>
        </w:rPr>
        <w:t>73.17</w:t>
      </w:r>
    </w:p>
    <w:p w:rsidRPr="00A32597" w:rsidR="006F08B3" w:rsidP="00B660A5" w:rsidRDefault="006F08B3" w14:paraId="4AD86198" w14:textId="77777777">
      <w:pPr>
        <w:widowControl/>
        <w:ind w:left="720"/>
        <w:rPr>
          <w:rFonts w:cs="Arial"/>
          <w:szCs w:val="22"/>
        </w:rPr>
      </w:pPr>
    </w:p>
    <w:p w:rsidR="005574E7" w:rsidP="00B660A5" w:rsidRDefault="00705A6F" w14:paraId="6A24EA92" w14:textId="40AFC8EB">
      <w:pPr>
        <w:widowControl/>
        <w:ind w:left="720"/>
        <w:rPr>
          <w:rFonts w:cs="Arial"/>
          <w:szCs w:val="22"/>
        </w:rPr>
      </w:pPr>
      <w:r>
        <w:rPr>
          <w:rFonts w:cs="Arial"/>
          <w:szCs w:val="22"/>
        </w:rPr>
        <w:t xml:space="preserve">The first </w:t>
      </w:r>
      <w:r w:rsidR="0085211D">
        <w:rPr>
          <w:rFonts w:cs="Arial"/>
          <w:szCs w:val="22"/>
        </w:rPr>
        <w:t>part</w:t>
      </w:r>
      <w:r>
        <w:rPr>
          <w:rFonts w:cs="Arial"/>
          <w:szCs w:val="22"/>
        </w:rPr>
        <w:t xml:space="preserve"> of the final rule add</w:t>
      </w:r>
      <w:r w:rsidR="00842A93">
        <w:rPr>
          <w:rFonts w:cs="Arial"/>
          <w:szCs w:val="22"/>
        </w:rPr>
        <w:t>s</w:t>
      </w:r>
      <w:r w:rsidR="00932AD7">
        <w:rPr>
          <w:rFonts w:cs="Arial"/>
          <w:color w:val="000000"/>
          <w:szCs w:val="22"/>
        </w:rPr>
        <w:t xml:space="preserve"> </w:t>
      </w:r>
      <w:r w:rsidR="00353FF1">
        <w:rPr>
          <w:rFonts w:cs="Arial"/>
          <w:szCs w:val="22"/>
        </w:rPr>
        <w:t>§§</w:t>
      </w:r>
      <w:r w:rsidRPr="00A32597" w:rsidR="00FA718F">
        <w:rPr>
          <w:rFonts w:cs="Arial"/>
          <w:color w:val="000000"/>
          <w:szCs w:val="22"/>
        </w:rPr>
        <w:t> </w:t>
      </w:r>
      <w:r w:rsidR="0007735A">
        <w:rPr>
          <w:rFonts w:cs="Arial"/>
          <w:color w:val="000000"/>
          <w:szCs w:val="22"/>
        </w:rPr>
        <w:t>73.15</w:t>
      </w:r>
      <w:r w:rsidRPr="00A32597" w:rsidR="00FA718F">
        <w:rPr>
          <w:rFonts w:cs="Arial"/>
          <w:color w:val="000000"/>
          <w:szCs w:val="22"/>
        </w:rPr>
        <w:t xml:space="preserve"> and </w:t>
      </w:r>
      <w:r w:rsidR="0007735A">
        <w:rPr>
          <w:rFonts w:cs="Arial"/>
          <w:color w:val="000000"/>
          <w:szCs w:val="22"/>
        </w:rPr>
        <w:t>73.17</w:t>
      </w:r>
      <w:r w:rsidRPr="00A32597" w:rsidR="00FA718F">
        <w:rPr>
          <w:rFonts w:cs="Arial"/>
          <w:color w:val="000000"/>
          <w:szCs w:val="22"/>
        </w:rPr>
        <w:t xml:space="preserve"> to Part 73</w:t>
      </w:r>
      <w:r w:rsidRPr="00A32597" w:rsidR="00FA718F">
        <w:rPr>
          <w:rFonts w:cs="Arial"/>
          <w:szCs w:val="22"/>
        </w:rPr>
        <w:t xml:space="preserve">.  </w:t>
      </w:r>
      <w:r w:rsidRPr="00A32597" w:rsidR="006F08B3">
        <w:rPr>
          <w:rFonts w:cs="Arial"/>
          <w:szCs w:val="22"/>
        </w:rPr>
        <w:t>Specific requirements for reports and records in the amendments t</w:t>
      </w:r>
      <w:r w:rsidR="00577D64">
        <w:rPr>
          <w:rFonts w:cs="Arial"/>
          <w:szCs w:val="22"/>
        </w:rPr>
        <w:t>o Part 73 are identified below.</w:t>
      </w:r>
      <w:r w:rsidR="00932AD7">
        <w:rPr>
          <w:rFonts w:cs="Arial"/>
          <w:szCs w:val="22"/>
        </w:rPr>
        <w:t xml:space="preserve"> </w:t>
      </w:r>
      <w:r w:rsidR="00673F8A">
        <w:rPr>
          <w:rFonts w:cs="Arial"/>
          <w:szCs w:val="22"/>
        </w:rPr>
        <w:t xml:space="preserve"> </w:t>
      </w:r>
    </w:p>
    <w:p w:rsidR="00A769F9" w:rsidP="00B660A5" w:rsidRDefault="00A769F9" w14:paraId="2547C187" w14:textId="77777777">
      <w:pPr>
        <w:widowControl/>
        <w:ind w:left="720"/>
        <w:rPr>
          <w:rFonts w:cs="Arial"/>
          <w:szCs w:val="22"/>
        </w:rPr>
      </w:pPr>
    </w:p>
    <w:p w:rsidRPr="00B52E84" w:rsidR="008A31D8" w:rsidP="00B660A5" w:rsidRDefault="008A31D8" w14:paraId="4CD80D64" w14:textId="176A23BD">
      <w:pPr>
        <w:widowControl/>
        <w:ind w:left="720"/>
        <w:rPr>
          <w:rFonts w:cs="Arial"/>
          <w:i/>
          <w:szCs w:val="22"/>
        </w:rPr>
      </w:pPr>
      <w:r w:rsidRPr="00A32597">
        <w:rPr>
          <w:rFonts w:cs="Arial"/>
          <w:szCs w:val="22"/>
          <w:u w:val="single"/>
        </w:rPr>
        <w:t xml:space="preserve">Section </w:t>
      </w:r>
      <w:r w:rsidR="0007735A">
        <w:rPr>
          <w:rFonts w:cs="Arial"/>
          <w:szCs w:val="22"/>
          <w:u w:val="single"/>
        </w:rPr>
        <w:t>73.15</w:t>
      </w:r>
      <w:r w:rsidRPr="00A32597">
        <w:rPr>
          <w:rFonts w:cs="Arial"/>
          <w:szCs w:val="22"/>
          <w:u w:val="single"/>
        </w:rPr>
        <w:t>(b)</w:t>
      </w:r>
      <w:r w:rsidRPr="00A32597">
        <w:rPr>
          <w:rFonts w:cs="Arial"/>
          <w:szCs w:val="22"/>
        </w:rPr>
        <w:t xml:space="preserve"> allows licensees to apply to the NRC to receive stand-alone preemption authority or </w:t>
      </w:r>
      <w:r w:rsidR="00803AD3">
        <w:rPr>
          <w:rFonts w:cs="Arial"/>
          <w:szCs w:val="22"/>
        </w:rPr>
        <w:t xml:space="preserve">combined </w:t>
      </w:r>
      <w:r w:rsidR="00084228">
        <w:rPr>
          <w:rFonts w:cs="Arial"/>
          <w:szCs w:val="22"/>
        </w:rPr>
        <w:t xml:space="preserve">preemption </w:t>
      </w:r>
      <w:r w:rsidR="00FF4915">
        <w:rPr>
          <w:rFonts w:cs="Arial"/>
          <w:szCs w:val="22"/>
        </w:rPr>
        <w:t>authority</w:t>
      </w:r>
      <w:r w:rsidR="00803AD3">
        <w:rPr>
          <w:rFonts w:cs="Arial"/>
          <w:szCs w:val="22"/>
        </w:rPr>
        <w:t xml:space="preserve"> and </w:t>
      </w:r>
      <w:r w:rsidR="00084228">
        <w:rPr>
          <w:rFonts w:cs="Arial"/>
          <w:szCs w:val="22"/>
        </w:rPr>
        <w:t xml:space="preserve">enhanced weapons </w:t>
      </w:r>
      <w:r w:rsidR="00803AD3">
        <w:rPr>
          <w:rFonts w:cs="Arial"/>
          <w:szCs w:val="22"/>
        </w:rPr>
        <w:t>authority</w:t>
      </w:r>
      <w:r w:rsidRPr="00A32597">
        <w:rPr>
          <w:rFonts w:cs="Arial"/>
          <w:szCs w:val="22"/>
        </w:rPr>
        <w:t>.</w:t>
      </w:r>
    </w:p>
    <w:p w:rsidRPr="00A32597" w:rsidR="008A31D8" w:rsidP="00B660A5" w:rsidRDefault="008A31D8" w14:paraId="17869BC2" w14:textId="77777777">
      <w:pPr>
        <w:widowControl/>
        <w:ind w:left="720"/>
        <w:rPr>
          <w:rFonts w:cs="Arial"/>
          <w:szCs w:val="22"/>
          <w:u w:val="single"/>
        </w:rPr>
      </w:pPr>
    </w:p>
    <w:p w:rsidR="00BA5455" w:rsidP="00B660A5" w:rsidRDefault="008A31D8" w14:paraId="22122091" w14:textId="77777777">
      <w:pPr>
        <w:widowControl/>
        <w:ind w:left="720"/>
        <w:rPr>
          <w:rFonts w:cs="Arial"/>
          <w:szCs w:val="22"/>
        </w:rPr>
      </w:pPr>
      <w:r w:rsidRPr="00A32597">
        <w:rPr>
          <w:rFonts w:cs="Arial"/>
          <w:szCs w:val="22"/>
          <w:u w:val="single"/>
        </w:rPr>
        <w:t xml:space="preserve">Section </w:t>
      </w:r>
      <w:r w:rsidR="0007735A">
        <w:rPr>
          <w:rFonts w:cs="Arial"/>
          <w:szCs w:val="22"/>
          <w:u w:val="single"/>
        </w:rPr>
        <w:t>73.15</w:t>
      </w:r>
      <w:r w:rsidRPr="00A32597">
        <w:rPr>
          <w:rFonts w:cs="Arial"/>
          <w:szCs w:val="22"/>
          <w:u w:val="single"/>
        </w:rPr>
        <w:t>(d)(2)</w:t>
      </w:r>
      <w:r w:rsidRPr="00A32597">
        <w:rPr>
          <w:rFonts w:cs="Arial"/>
          <w:szCs w:val="22"/>
        </w:rPr>
        <w:t xml:space="preserve"> requires licensees seeking stand-alone preemption authority to submit an application to the NRC in writing.</w:t>
      </w:r>
    </w:p>
    <w:p w:rsidRPr="00353FF1" w:rsidR="00BA5455" w:rsidP="00577D64" w:rsidRDefault="00BA5455" w14:paraId="2C783245" w14:textId="77777777">
      <w:pPr>
        <w:widowControl/>
        <w:ind w:left="720"/>
        <w:rPr>
          <w:rFonts w:cs="Arial"/>
          <w:szCs w:val="22"/>
          <w:u w:val="single"/>
        </w:rPr>
      </w:pPr>
    </w:p>
    <w:p w:rsidRPr="00353FF1" w:rsidR="00CE764B" w:rsidP="00577D64" w:rsidRDefault="00941B2B" w14:paraId="1A2D4182"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 xml:space="preserve">(d)(3) </w:t>
      </w:r>
      <w:r w:rsidRPr="00353FF1">
        <w:rPr>
          <w:rFonts w:cs="Arial"/>
          <w:szCs w:val="22"/>
        </w:rPr>
        <w:t>describes the contents of the application</w:t>
      </w:r>
      <w:r w:rsidRPr="00353FF1" w:rsidR="00BA5455">
        <w:rPr>
          <w:rFonts w:cs="Arial"/>
          <w:szCs w:val="22"/>
        </w:rPr>
        <w:t xml:space="preserve"> for Section 161A authority, including the licensee’s purposes and objectives in requesting stand</w:t>
      </w:r>
      <w:r w:rsidR="00F1529A">
        <w:rPr>
          <w:rFonts w:cs="Arial"/>
          <w:szCs w:val="22"/>
        </w:rPr>
        <w:noBreakHyphen/>
      </w:r>
      <w:r w:rsidRPr="00353FF1" w:rsidR="00BA5455">
        <w:rPr>
          <w:rFonts w:cs="Arial"/>
          <w:szCs w:val="22"/>
        </w:rPr>
        <w:t>alone preemption authority</w:t>
      </w:r>
      <w:r w:rsidRPr="00353FF1" w:rsidR="00E04E34">
        <w:rPr>
          <w:rFonts w:cs="Arial"/>
          <w:szCs w:val="22"/>
        </w:rPr>
        <w:t>.</w:t>
      </w:r>
      <w:r w:rsidRPr="00353FF1" w:rsidR="00970399">
        <w:rPr>
          <w:rFonts w:cs="Arial"/>
          <w:szCs w:val="22"/>
        </w:rPr>
        <w:t xml:space="preserve">  </w:t>
      </w:r>
    </w:p>
    <w:p w:rsidRPr="00353FF1" w:rsidR="008A31D8" w:rsidP="00577D64" w:rsidRDefault="008A31D8" w14:paraId="5536D3CB" w14:textId="77777777">
      <w:pPr>
        <w:widowControl/>
        <w:ind w:left="720"/>
        <w:rPr>
          <w:rFonts w:cs="Arial"/>
          <w:szCs w:val="22"/>
          <w:u w:val="single"/>
        </w:rPr>
      </w:pPr>
    </w:p>
    <w:p w:rsidRPr="00353FF1" w:rsidR="008A31D8" w:rsidP="00577D64" w:rsidRDefault="008A31D8" w14:paraId="3367FC19"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(d)(</w:t>
      </w:r>
      <w:r w:rsidRPr="00353FF1" w:rsidR="0086551B">
        <w:rPr>
          <w:rFonts w:cs="Arial"/>
          <w:szCs w:val="22"/>
          <w:u w:val="single"/>
        </w:rPr>
        <w:t>4</w:t>
      </w:r>
      <w:r w:rsidRPr="00353FF1">
        <w:rPr>
          <w:rFonts w:cs="Arial"/>
          <w:szCs w:val="22"/>
          <w:u w:val="single"/>
        </w:rPr>
        <w:t>)</w:t>
      </w:r>
      <w:r w:rsidRPr="00353FF1">
        <w:rPr>
          <w:rFonts w:cs="Arial"/>
          <w:szCs w:val="22"/>
        </w:rPr>
        <w:t xml:space="preserve"> requires licensees who have applied for stand</w:t>
      </w:r>
      <w:r w:rsidR="00F1529A">
        <w:rPr>
          <w:rFonts w:cs="Arial"/>
          <w:szCs w:val="22"/>
        </w:rPr>
        <w:noBreakHyphen/>
      </w:r>
      <w:r w:rsidRPr="00353FF1">
        <w:rPr>
          <w:rFonts w:cs="Arial"/>
          <w:szCs w:val="22"/>
        </w:rPr>
        <w:t xml:space="preserve">alone preemption authority to notify the NRC when their security personnel whose duties require access to covered weapons have satisfactorily completed the firearms background checks per </w:t>
      </w:r>
      <w:r w:rsidRPr="00353FF1" w:rsidR="0086551B">
        <w:rPr>
          <w:rFonts w:cs="Arial"/>
          <w:szCs w:val="22"/>
        </w:rPr>
        <w:t>§</w:t>
      </w:r>
      <w:r w:rsidRPr="00353FF1">
        <w:rPr>
          <w:rFonts w:cs="Arial"/>
          <w:szCs w:val="22"/>
        </w:rPr>
        <w:t> </w:t>
      </w:r>
      <w:r w:rsidRPr="00353FF1" w:rsidR="0007735A">
        <w:rPr>
          <w:rFonts w:cs="Arial"/>
          <w:szCs w:val="22"/>
        </w:rPr>
        <w:t>73.17</w:t>
      </w:r>
      <w:r w:rsidR="00457A27">
        <w:rPr>
          <w:rFonts w:cs="Arial"/>
          <w:szCs w:val="22"/>
        </w:rPr>
        <w:t xml:space="preserve"> and when training procedures have been developed and associated training completed</w:t>
      </w:r>
      <w:r w:rsidRPr="00353FF1">
        <w:rPr>
          <w:rFonts w:cs="Arial"/>
          <w:szCs w:val="22"/>
        </w:rPr>
        <w:t>.</w:t>
      </w:r>
    </w:p>
    <w:p w:rsidRPr="00353FF1" w:rsidR="008A31D8" w:rsidP="00577D64" w:rsidRDefault="008A31D8" w14:paraId="373F0D65" w14:textId="77777777">
      <w:pPr>
        <w:widowControl/>
        <w:ind w:left="720"/>
        <w:rPr>
          <w:rFonts w:cs="Arial"/>
          <w:szCs w:val="22"/>
          <w:u w:val="single"/>
        </w:rPr>
      </w:pPr>
    </w:p>
    <w:p w:rsidRPr="00353FF1" w:rsidR="00CE764B" w:rsidP="00577D64" w:rsidRDefault="008A31D8" w14:paraId="08F1AC05" w14:textId="05C3CB84">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(e)</w:t>
      </w:r>
      <w:r w:rsidRPr="00353FF1" w:rsidR="001832CD">
        <w:rPr>
          <w:rFonts w:cs="Arial"/>
          <w:szCs w:val="22"/>
          <w:u w:val="single"/>
        </w:rPr>
        <w:t>(2)</w:t>
      </w:r>
      <w:r w:rsidRPr="00353FF1">
        <w:rPr>
          <w:rFonts w:cs="Arial"/>
          <w:szCs w:val="22"/>
        </w:rPr>
        <w:t xml:space="preserve"> requires licensees seeking a combined </w:t>
      </w:r>
      <w:r w:rsidRPr="00353FF1" w:rsidR="00251894">
        <w:rPr>
          <w:rFonts w:cs="Arial"/>
          <w:szCs w:val="22"/>
        </w:rPr>
        <w:t xml:space="preserve">preemption authority </w:t>
      </w:r>
      <w:r w:rsidRPr="00353FF1">
        <w:rPr>
          <w:rFonts w:cs="Arial"/>
          <w:szCs w:val="22"/>
        </w:rPr>
        <w:t xml:space="preserve">and </w:t>
      </w:r>
      <w:r w:rsidRPr="00353FF1" w:rsidR="00251894">
        <w:rPr>
          <w:rFonts w:cs="Arial"/>
          <w:szCs w:val="22"/>
        </w:rPr>
        <w:t xml:space="preserve">enhanced weapons </w:t>
      </w:r>
      <w:r w:rsidRPr="00353FF1">
        <w:rPr>
          <w:rFonts w:cs="Arial"/>
          <w:szCs w:val="22"/>
        </w:rPr>
        <w:t>authority to submit an application to the NRC</w:t>
      </w:r>
      <w:r w:rsidRPr="00353FF1" w:rsidR="00533E10">
        <w:rPr>
          <w:rFonts w:cs="Arial"/>
          <w:szCs w:val="22"/>
        </w:rPr>
        <w:t>.</w:t>
      </w:r>
    </w:p>
    <w:p w:rsidRPr="00353FF1" w:rsidR="00CE764B" w:rsidP="00577D64" w:rsidRDefault="00CE764B" w14:paraId="3A60E481" w14:textId="77777777">
      <w:pPr>
        <w:widowControl/>
        <w:ind w:left="720"/>
        <w:rPr>
          <w:rFonts w:cs="Arial"/>
          <w:szCs w:val="22"/>
          <w:u w:val="single"/>
        </w:rPr>
      </w:pPr>
    </w:p>
    <w:p w:rsidRPr="00353FF1" w:rsidR="00970399" w:rsidP="00970399" w:rsidRDefault="00CE764B" w14:paraId="322AF48B" w14:textId="116269A2">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sidR="00533E10">
        <w:rPr>
          <w:rFonts w:cs="Arial"/>
          <w:szCs w:val="22"/>
          <w:u w:val="single"/>
        </w:rPr>
        <w:t>(e)(3</w:t>
      </w:r>
      <w:r w:rsidRPr="00353FF1" w:rsidR="00533E10">
        <w:rPr>
          <w:rFonts w:cs="Arial"/>
          <w:szCs w:val="22"/>
        </w:rPr>
        <w:t xml:space="preserve">) </w:t>
      </w:r>
      <w:r w:rsidRPr="00353FF1" w:rsidR="00941B2B">
        <w:rPr>
          <w:rFonts w:cs="Arial"/>
          <w:szCs w:val="22"/>
        </w:rPr>
        <w:t>describes the conte</w:t>
      </w:r>
      <w:r w:rsidRPr="00353FF1" w:rsidR="00E04E34">
        <w:rPr>
          <w:rFonts w:cs="Arial"/>
          <w:szCs w:val="22"/>
        </w:rPr>
        <w:t>nts of the application</w:t>
      </w:r>
      <w:r w:rsidRPr="00353FF1" w:rsidR="00533E10">
        <w:rPr>
          <w:rFonts w:cs="Arial"/>
          <w:szCs w:val="22"/>
        </w:rPr>
        <w:t xml:space="preserve"> </w:t>
      </w:r>
      <w:r w:rsidRPr="00353FF1">
        <w:rPr>
          <w:rFonts w:cs="Arial"/>
          <w:szCs w:val="22"/>
        </w:rPr>
        <w:t xml:space="preserve">for </w:t>
      </w:r>
      <w:r w:rsidRPr="00353FF1" w:rsidR="009B0AAE">
        <w:rPr>
          <w:rFonts w:cs="Arial"/>
          <w:szCs w:val="22"/>
        </w:rPr>
        <w:t xml:space="preserve">enhanced weapons </w:t>
      </w:r>
      <w:r w:rsidRPr="00353FF1">
        <w:rPr>
          <w:rFonts w:cs="Arial"/>
          <w:szCs w:val="22"/>
        </w:rPr>
        <w:t xml:space="preserve">authority </w:t>
      </w:r>
      <w:r w:rsidRPr="00353FF1" w:rsidR="00533E10">
        <w:rPr>
          <w:rFonts w:cs="Arial"/>
          <w:szCs w:val="22"/>
        </w:rPr>
        <w:t xml:space="preserve">including the purposes and objectives in requesting </w:t>
      </w:r>
      <w:r w:rsidR="00803AD3">
        <w:rPr>
          <w:rFonts w:cs="Arial"/>
          <w:szCs w:val="22"/>
        </w:rPr>
        <w:t xml:space="preserve">combined </w:t>
      </w:r>
      <w:r w:rsidRPr="00353FF1" w:rsidR="00251894">
        <w:rPr>
          <w:rFonts w:cs="Arial"/>
          <w:szCs w:val="22"/>
        </w:rPr>
        <w:t>preemption authority and enhanced weapons authority</w:t>
      </w:r>
      <w:r w:rsidRPr="00353FF1" w:rsidR="00E04E34">
        <w:rPr>
          <w:rFonts w:cs="Arial"/>
          <w:szCs w:val="22"/>
        </w:rPr>
        <w:t>.</w:t>
      </w:r>
      <w:r w:rsidRPr="00353FF1" w:rsidR="00970399">
        <w:rPr>
          <w:rFonts w:cs="Arial"/>
          <w:szCs w:val="22"/>
        </w:rPr>
        <w:t xml:space="preserve"> </w:t>
      </w:r>
    </w:p>
    <w:p w:rsidRPr="00353FF1" w:rsidR="008A31D8" w:rsidP="00577D64" w:rsidRDefault="008A31D8" w14:paraId="34F43D82" w14:textId="77777777">
      <w:pPr>
        <w:widowControl/>
        <w:ind w:left="720"/>
        <w:rPr>
          <w:rFonts w:cs="Arial"/>
          <w:szCs w:val="22"/>
        </w:rPr>
      </w:pPr>
    </w:p>
    <w:p w:rsidRPr="00353FF1" w:rsidR="008A31D8" w:rsidP="00577D64" w:rsidRDefault="008A31D8" w14:paraId="18E862DF" w14:textId="7FE5FFF2">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(e)(</w:t>
      </w:r>
      <w:r w:rsidRPr="00353FF1" w:rsidR="001832CD">
        <w:rPr>
          <w:rFonts w:cs="Arial"/>
          <w:szCs w:val="22"/>
          <w:u w:val="single"/>
        </w:rPr>
        <w:t>5</w:t>
      </w:r>
      <w:r w:rsidRPr="00353FF1">
        <w:rPr>
          <w:rFonts w:cs="Arial"/>
          <w:szCs w:val="22"/>
          <w:u w:val="single"/>
        </w:rPr>
        <w:t>)</w:t>
      </w:r>
      <w:r w:rsidRPr="00353FF1">
        <w:rPr>
          <w:rFonts w:cs="Arial"/>
          <w:szCs w:val="22"/>
        </w:rPr>
        <w:t xml:space="preserve"> </w:t>
      </w:r>
      <w:r w:rsidRPr="00353FF1" w:rsidR="001832CD">
        <w:rPr>
          <w:rFonts w:cs="Arial"/>
          <w:szCs w:val="22"/>
        </w:rPr>
        <w:t xml:space="preserve">requires licensees who have </w:t>
      </w:r>
      <w:r w:rsidRPr="00353FF1">
        <w:rPr>
          <w:rFonts w:cs="Arial"/>
          <w:szCs w:val="22"/>
        </w:rPr>
        <w:t xml:space="preserve">applied for </w:t>
      </w:r>
      <w:r w:rsidR="00C22C66">
        <w:rPr>
          <w:rFonts w:cs="Arial"/>
          <w:szCs w:val="22"/>
        </w:rPr>
        <w:t xml:space="preserve">combined </w:t>
      </w:r>
      <w:r w:rsidRPr="00353FF1" w:rsidR="00251894">
        <w:rPr>
          <w:rFonts w:cs="Arial"/>
          <w:szCs w:val="22"/>
        </w:rPr>
        <w:t xml:space="preserve">preemption authority and enhanced weapons authority </w:t>
      </w:r>
      <w:r w:rsidRPr="00353FF1" w:rsidR="001832CD">
        <w:rPr>
          <w:rFonts w:cs="Arial"/>
          <w:szCs w:val="22"/>
        </w:rPr>
        <w:t>to notify the NRC when their security personal whose duties require access to covered weapons have satisfactorily completed the firearms background checks per §</w:t>
      </w:r>
      <w:r w:rsidRPr="00353FF1">
        <w:rPr>
          <w:rFonts w:cs="Arial"/>
          <w:szCs w:val="22"/>
        </w:rPr>
        <w:t xml:space="preserve"> </w:t>
      </w:r>
      <w:r w:rsidRPr="00353FF1" w:rsidR="0007735A">
        <w:rPr>
          <w:rFonts w:cs="Arial"/>
          <w:szCs w:val="22"/>
        </w:rPr>
        <w:t>73.17</w:t>
      </w:r>
      <w:r w:rsidRPr="00457A27" w:rsidR="00457A27">
        <w:rPr>
          <w:rFonts w:cs="Arial"/>
          <w:szCs w:val="22"/>
        </w:rPr>
        <w:t xml:space="preserve"> </w:t>
      </w:r>
      <w:r w:rsidR="00457A27">
        <w:rPr>
          <w:rFonts w:cs="Arial"/>
          <w:szCs w:val="22"/>
        </w:rPr>
        <w:t>and when training procedures have been developed and associated training completed</w:t>
      </w:r>
      <w:r w:rsidRPr="00353FF1">
        <w:rPr>
          <w:rFonts w:cs="Arial"/>
          <w:szCs w:val="22"/>
        </w:rPr>
        <w:t>.</w:t>
      </w:r>
    </w:p>
    <w:p w:rsidRPr="00353FF1" w:rsidR="00941B2B" w:rsidP="00577D64" w:rsidRDefault="00941B2B" w14:paraId="2625B2CB" w14:textId="77777777">
      <w:pPr>
        <w:widowControl/>
        <w:ind w:left="720"/>
        <w:rPr>
          <w:rFonts w:cs="Arial"/>
          <w:szCs w:val="22"/>
        </w:rPr>
      </w:pPr>
    </w:p>
    <w:p w:rsidRPr="00353FF1" w:rsidR="00941B2B" w:rsidP="00577D64" w:rsidRDefault="00941B2B" w14:paraId="0F48EEEA"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(e)(6)</w:t>
      </w:r>
      <w:r w:rsidRPr="00353FF1">
        <w:rPr>
          <w:rFonts w:cs="Arial"/>
          <w:szCs w:val="22"/>
        </w:rPr>
        <w:t xml:space="preserve"> requires licensees submitting applications to do so under oath or affirmation.</w:t>
      </w:r>
      <w:r w:rsidRPr="00353FF1" w:rsidR="00E04E34">
        <w:rPr>
          <w:rFonts w:cs="Arial"/>
          <w:szCs w:val="22"/>
        </w:rPr>
        <w:t xml:space="preserve"> (</w:t>
      </w:r>
      <w:r w:rsidR="00FD73C9">
        <w:rPr>
          <w:rFonts w:cs="Arial"/>
          <w:szCs w:val="22"/>
        </w:rPr>
        <w:t>N</w:t>
      </w:r>
      <w:r w:rsidRPr="00353FF1" w:rsidR="00FD73C9">
        <w:rPr>
          <w:rFonts w:cs="Arial"/>
          <w:szCs w:val="22"/>
        </w:rPr>
        <w:t xml:space="preserve">o </w:t>
      </w:r>
      <w:r w:rsidRPr="00353FF1" w:rsidR="00E04E34">
        <w:rPr>
          <w:rFonts w:cs="Arial"/>
          <w:szCs w:val="22"/>
        </w:rPr>
        <w:t>additional burden)</w:t>
      </w:r>
    </w:p>
    <w:p w:rsidRPr="00353FF1" w:rsidR="008A31D8" w:rsidP="00577D64" w:rsidRDefault="008A31D8" w14:paraId="7C024053" w14:textId="77777777">
      <w:pPr>
        <w:widowControl/>
        <w:ind w:left="720"/>
        <w:rPr>
          <w:rFonts w:cs="Arial"/>
          <w:szCs w:val="22"/>
          <w:u w:val="single"/>
        </w:rPr>
      </w:pPr>
    </w:p>
    <w:p w:rsidRPr="00353FF1" w:rsidR="008A31D8" w:rsidP="00577D64" w:rsidRDefault="008A31D8" w14:paraId="7D6AAEA1" w14:textId="7213E226">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(e)(</w:t>
      </w:r>
      <w:r w:rsidRPr="00353FF1" w:rsidR="001832CD">
        <w:rPr>
          <w:rFonts w:cs="Arial"/>
          <w:szCs w:val="22"/>
          <w:u w:val="single"/>
        </w:rPr>
        <w:t>7</w:t>
      </w:r>
      <w:r w:rsidRPr="00353FF1">
        <w:rPr>
          <w:rFonts w:cs="Arial"/>
          <w:szCs w:val="22"/>
          <w:u w:val="single"/>
        </w:rPr>
        <w:t>)</w:t>
      </w:r>
      <w:r w:rsidRPr="00353FF1">
        <w:rPr>
          <w:rFonts w:cs="Arial"/>
          <w:szCs w:val="22"/>
        </w:rPr>
        <w:t xml:space="preserve"> </w:t>
      </w:r>
      <w:r w:rsidRPr="00353FF1" w:rsidR="00E352B2">
        <w:rPr>
          <w:rFonts w:cs="Arial"/>
          <w:szCs w:val="22"/>
        </w:rPr>
        <w:t xml:space="preserve">allows </w:t>
      </w:r>
      <w:r w:rsidRPr="00353FF1">
        <w:rPr>
          <w:rFonts w:cs="Arial"/>
          <w:szCs w:val="22"/>
        </w:rPr>
        <w:t xml:space="preserve">licensees </w:t>
      </w:r>
      <w:r w:rsidR="00D53B24">
        <w:rPr>
          <w:rFonts w:cs="Arial"/>
          <w:szCs w:val="22"/>
        </w:rPr>
        <w:t>with</w:t>
      </w:r>
      <w:r w:rsidRPr="00353FF1">
        <w:rPr>
          <w:rFonts w:cs="Arial"/>
          <w:szCs w:val="22"/>
        </w:rPr>
        <w:t xml:space="preserve"> enhanced</w:t>
      </w:r>
      <w:r w:rsidR="00D53B24">
        <w:rPr>
          <w:rFonts w:cs="Arial"/>
          <w:szCs w:val="22"/>
        </w:rPr>
        <w:t xml:space="preserve"> </w:t>
      </w:r>
      <w:r w:rsidRPr="00353FF1">
        <w:rPr>
          <w:rFonts w:cs="Arial"/>
          <w:szCs w:val="22"/>
        </w:rPr>
        <w:t xml:space="preserve">weapons authority to </w:t>
      </w:r>
      <w:r w:rsidRPr="00353FF1" w:rsidR="00E352B2">
        <w:rPr>
          <w:rFonts w:cs="Arial"/>
          <w:szCs w:val="22"/>
        </w:rPr>
        <w:t xml:space="preserve">submit </w:t>
      </w:r>
      <w:r w:rsidR="00251894">
        <w:rPr>
          <w:rFonts w:cs="Arial"/>
          <w:szCs w:val="22"/>
        </w:rPr>
        <w:t xml:space="preserve">a new application </w:t>
      </w:r>
      <w:r w:rsidRPr="00353FF1">
        <w:rPr>
          <w:rFonts w:cs="Arial"/>
          <w:szCs w:val="22"/>
        </w:rPr>
        <w:t xml:space="preserve">to </w:t>
      </w:r>
      <w:r w:rsidRPr="00353FF1" w:rsidR="00E352B2">
        <w:rPr>
          <w:rFonts w:cs="Arial"/>
          <w:szCs w:val="22"/>
        </w:rPr>
        <w:t xml:space="preserve">use a different </w:t>
      </w:r>
      <w:r w:rsidR="00E41B61">
        <w:rPr>
          <w:rFonts w:cs="Arial"/>
          <w:szCs w:val="22"/>
        </w:rPr>
        <w:t>model</w:t>
      </w:r>
      <w:r w:rsidRPr="00353FF1" w:rsidR="00E352B2">
        <w:rPr>
          <w:rFonts w:cs="Arial"/>
          <w:szCs w:val="22"/>
        </w:rPr>
        <w:t>, caliber</w:t>
      </w:r>
      <w:r w:rsidR="00E41B61">
        <w:rPr>
          <w:rFonts w:cs="Arial"/>
          <w:szCs w:val="22"/>
        </w:rPr>
        <w:t xml:space="preserve"> or gauge</w:t>
      </w:r>
      <w:r w:rsidRPr="00353FF1" w:rsidR="00E352B2">
        <w:rPr>
          <w:rFonts w:cs="Arial"/>
          <w:szCs w:val="22"/>
        </w:rPr>
        <w:t>, or quantity of enhanced weapons from that previously approved by the NRC</w:t>
      </w:r>
      <w:r w:rsidR="00FA7CA1">
        <w:rPr>
          <w:rFonts w:cs="Arial"/>
          <w:szCs w:val="22"/>
        </w:rPr>
        <w:t>.</w:t>
      </w:r>
    </w:p>
    <w:p w:rsidRPr="00353FF1" w:rsidR="008A31D8" w:rsidP="00577D64" w:rsidRDefault="008A31D8" w14:paraId="00BA47B6" w14:textId="77777777">
      <w:pPr>
        <w:widowControl/>
        <w:ind w:left="720"/>
        <w:rPr>
          <w:rFonts w:cs="Arial"/>
          <w:szCs w:val="22"/>
          <w:u w:val="single"/>
        </w:rPr>
      </w:pPr>
    </w:p>
    <w:p w:rsidR="008E2B26" w:rsidP="00577D64" w:rsidRDefault="008A31D8" w14:paraId="055DAFEB" w14:textId="77777777">
      <w:pPr>
        <w:widowControl/>
        <w:ind w:left="720"/>
        <w:rPr>
          <w:rFonts w:cs="Arial"/>
          <w:szCs w:val="22"/>
        </w:rPr>
      </w:pPr>
      <w:r w:rsidRPr="00A83D06">
        <w:rPr>
          <w:rFonts w:cs="Arial"/>
          <w:szCs w:val="22"/>
          <w:u w:val="single"/>
        </w:rPr>
        <w:t xml:space="preserve">Section </w:t>
      </w:r>
      <w:r w:rsidRPr="00A83D06" w:rsidR="0007735A">
        <w:rPr>
          <w:rFonts w:cs="Arial"/>
          <w:szCs w:val="22"/>
          <w:u w:val="single"/>
        </w:rPr>
        <w:t>73.15</w:t>
      </w:r>
      <w:r w:rsidRPr="00A83D06">
        <w:rPr>
          <w:rFonts w:cs="Arial"/>
          <w:szCs w:val="22"/>
          <w:u w:val="single"/>
        </w:rPr>
        <w:t>(f)(1)</w:t>
      </w:r>
      <w:r w:rsidRPr="00353FF1">
        <w:rPr>
          <w:rFonts w:cs="Arial"/>
          <w:szCs w:val="22"/>
        </w:rPr>
        <w:t xml:space="preserve"> requires licensees applying for enhanced</w:t>
      </w:r>
      <w:r w:rsidR="00D53B24">
        <w:rPr>
          <w:rFonts w:cs="Arial"/>
          <w:szCs w:val="22"/>
        </w:rPr>
        <w:t xml:space="preserve"> </w:t>
      </w:r>
      <w:r w:rsidRPr="00353FF1">
        <w:rPr>
          <w:rFonts w:cs="Arial"/>
          <w:szCs w:val="22"/>
        </w:rPr>
        <w:t xml:space="preserve">weapons authority to submit to the NRC for prior review and written approval new or revised physical security plans, training and qualification plans, safeguards contingency plans, and </w:t>
      </w:r>
      <w:r w:rsidR="009F3A34">
        <w:rPr>
          <w:rFonts w:cs="Arial"/>
          <w:szCs w:val="22"/>
        </w:rPr>
        <w:t xml:space="preserve">weapons </w:t>
      </w:r>
      <w:r w:rsidRPr="00353FF1">
        <w:rPr>
          <w:rFonts w:cs="Arial"/>
          <w:szCs w:val="22"/>
        </w:rPr>
        <w:t>safety assessments incorporating the use of enhanced weapons.</w:t>
      </w:r>
      <w:r w:rsidRPr="00353FF1" w:rsidR="00664218">
        <w:rPr>
          <w:rFonts w:cs="Arial"/>
          <w:szCs w:val="22"/>
        </w:rPr>
        <w:t xml:space="preserve"> </w:t>
      </w:r>
    </w:p>
    <w:p w:rsidR="008E2B26" w:rsidP="00577D64" w:rsidRDefault="008E2B26" w14:paraId="76327095" w14:textId="77777777">
      <w:pPr>
        <w:widowControl/>
        <w:ind w:left="720"/>
        <w:rPr>
          <w:rFonts w:cs="Arial"/>
          <w:szCs w:val="22"/>
          <w:u w:val="single"/>
        </w:rPr>
      </w:pPr>
    </w:p>
    <w:p w:rsidRPr="00353FF1" w:rsidR="008A31D8" w:rsidP="00577D64" w:rsidRDefault="008A31D8" w14:paraId="081601E5" w14:textId="77777777">
      <w:pPr>
        <w:widowControl/>
        <w:ind w:left="720"/>
        <w:rPr>
          <w:rFonts w:cs="Arial"/>
          <w:szCs w:val="22"/>
          <w:u w:val="single"/>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(f)(2)(i)</w:t>
      </w:r>
      <w:r w:rsidRPr="00353FF1">
        <w:rPr>
          <w:rFonts w:cs="Arial"/>
          <w:szCs w:val="22"/>
        </w:rPr>
        <w:t xml:space="preserve"> requires licensees to identify in the physical security plan the specific </w:t>
      </w:r>
      <w:r w:rsidR="00E41B61">
        <w:rPr>
          <w:rFonts w:cs="Arial"/>
          <w:szCs w:val="22"/>
        </w:rPr>
        <w:t>models</w:t>
      </w:r>
      <w:r w:rsidRPr="00353FF1">
        <w:rPr>
          <w:rFonts w:cs="Arial"/>
          <w:szCs w:val="22"/>
        </w:rPr>
        <w:t>, calibers</w:t>
      </w:r>
      <w:r w:rsidR="00FE5CFE">
        <w:rPr>
          <w:rFonts w:cs="Arial"/>
          <w:szCs w:val="22"/>
        </w:rPr>
        <w:t xml:space="preserve"> or gauges</w:t>
      </w:r>
      <w:r w:rsidRPr="00353FF1">
        <w:rPr>
          <w:rFonts w:cs="Arial"/>
          <w:szCs w:val="22"/>
        </w:rPr>
        <w:t>, and numbers of enhanced weapons to be used.</w:t>
      </w:r>
    </w:p>
    <w:p w:rsidR="008E2B26" w:rsidP="00577D64" w:rsidRDefault="008E2B26" w14:paraId="4F5368DC" w14:textId="77777777">
      <w:pPr>
        <w:widowControl/>
        <w:ind w:left="720"/>
        <w:rPr>
          <w:rFonts w:cs="Arial"/>
          <w:szCs w:val="22"/>
          <w:u w:val="single"/>
        </w:rPr>
      </w:pPr>
    </w:p>
    <w:p w:rsidRPr="00353FF1" w:rsidR="008A31D8" w:rsidP="00577D64" w:rsidRDefault="008A31D8" w14:paraId="4DEAA261"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(f)(2)(ii)</w:t>
      </w:r>
      <w:r w:rsidRPr="00353FF1">
        <w:rPr>
          <w:rFonts w:cs="Arial"/>
          <w:szCs w:val="22"/>
        </w:rPr>
        <w:t xml:space="preserve"> requires licensees to address in the training and qualification plan the training and qualification requirements to use these specific enhanced weapons.</w:t>
      </w:r>
    </w:p>
    <w:p w:rsidRPr="00353FF1" w:rsidR="008A31D8" w:rsidP="00577D64" w:rsidRDefault="008A31D8" w14:paraId="3D6430A4" w14:textId="77777777">
      <w:pPr>
        <w:widowControl/>
        <w:ind w:left="720"/>
        <w:rPr>
          <w:rFonts w:cs="Arial"/>
          <w:szCs w:val="22"/>
          <w:u w:val="single"/>
        </w:rPr>
      </w:pPr>
    </w:p>
    <w:p w:rsidRPr="00353FF1" w:rsidR="00F05F98" w:rsidP="00577D64" w:rsidRDefault="008A31D8" w14:paraId="47AACF68" w14:textId="77777777">
      <w:pPr>
        <w:widowControl/>
        <w:ind w:left="720"/>
        <w:rPr>
          <w:rFonts w:cs="Arial"/>
          <w:szCs w:val="22"/>
          <w:u w:val="single"/>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(f)(2)(iii)</w:t>
      </w:r>
      <w:r w:rsidRPr="00353FF1">
        <w:rPr>
          <w:rFonts w:cs="Arial"/>
          <w:szCs w:val="22"/>
        </w:rPr>
        <w:t xml:space="preserve"> requires licensees to address in the safeguards contingency plan how enhanced weapons will be employed by the licensee</w:t>
      </w:r>
      <w:r w:rsidRPr="00353FF1" w:rsidR="0031534D">
        <w:rPr>
          <w:rFonts w:cs="Arial"/>
          <w:szCs w:val="22"/>
        </w:rPr>
        <w:t>’</w:t>
      </w:r>
      <w:r w:rsidRPr="00353FF1">
        <w:rPr>
          <w:rFonts w:cs="Arial"/>
          <w:szCs w:val="22"/>
        </w:rPr>
        <w:t>s security personnel in meeting the NRC-required protective strategy, including tactical approaches and maneuvers.</w:t>
      </w:r>
    </w:p>
    <w:p w:rsidRPr="00353FF1" w:rsidR="00F05F98" w:rsidP="00577D64" w:rsidRDefault="00F05F98" w14:paraId="7EE39BB9" w14:textId="77777777">
      <w:pPr>
        <w:widowControl/>
        <w:ind w:left="720"/>
        <w:rPr>
          <w:rFonts w:cs="Arial"/>
          <w:szCs w:val="22"/>
          <w:u w:val="single"/>
        </w:rPr>
      </w:pPr>
    </w:p>
    <w:p w:rsidRPr="00353FF1" w:rsidR="00A1678D" w:rsidP="00577D64" w:rsidRDefault="008A31D8" w14:paraId="7CDA0B54"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(f)(2)(iv)</w:t>
      </w:r>
      <w:r w:rsidRPr="00353FF1">
        <w:rPr>
          <w:rFonts w:cs="Arial"/>
          <w:szCs w:val="22"/>
        </w:rPr>
        <w:t xml:space="preserve"> requires licensees to assess in the safety assessment any potential safety impact on the facility, radioactive material, other property, public or private facilities, public or private property, or on members of the public in areas outside of the site boundary from the use of these enhanced weapons.  In addition, licensees must assess in the safety assessment any potential safety impact on public or private facilities, public or private property, or on members of the public from the use of these enhanced weapons at training facilities intended for proficiency demonstration and qualification purposes</w:t>
      </w:r>
      <w:r w:rsidR="00F1529A">
        <w:rPr>
          <w:rFonts w:cs="Arial"/>
          <w:szCs w:val="22"/>
        </w:rPr>
        <w:t>.</w:t>
      </w:r>
    </w:p>
    <w:p w:rsidRPr="00353FF1" w:rsidR="00A1678D" w:rsidP="00577D64" w:rsidRDefault="00A1678D" w14:paraId="53F190EC" w14:textId="77777777">
      <w:pPr>
        <w:widowControl/>
        <w:ind w:left="720"/>
        <w:rPr>
          <w:rFonts w:cs="Arial"/>
          <w:szCs w:val="22"/>
          <w:u w:val="single"/>
        </w:rPr>
      </w:pPr>
    </w:p>
    <w:p w:rsidR="00A1678D" w:rsidP="00986440" w:rsidRDefault="008A31D8" w14:paraId="75518DDD" w14:textId="1552DA11">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(f)(3)</w:t>
      </w:r>
      <w:r w:rsidRPr="00353FF1">
        <w:rPr>
          <w:rFonts w:cs="Arial"/>
          <w:szCs w:val="22"/>
        </w:rPr>
        <w:t xml:space="preserve"> requires licensees to include information in the training and qualification plan on </w:t>
      </w:r>
      <w:r w:rsidR="00A83D06">
        <w:rPr>
          <w:rFonts w:cs="Arial"/>
          <w:szCs w:val="22"/>
        </w:rPr>
        <w:t xml:space="preserve">the use of </w:t>
      </w:r>
      <w:r w:rsidRPr="00353FF1">
        <w:rPr>
          <w:rFonts w:cs="Arial"/>
          <w:szCs w:val="22"/>
        </w:rPr>
        <w:t xml:space="preserve">applicable firearms standards developed by nationally-recognized firearms organizations or standard setting bodies or standards developed by Federal </w:t>
      </w:r>
      <w:r w:rsidR="00A83D06">
        <w:rPr>
          <w:rFonts w:cs="Arial"/>
          <w:szCs w:val="22"/>
        </w:rPr>
        <w:t xml:space="preserve">or State </w:t>
      </w:r>
      <w:r w:rsidRPr="00353FF1">
        <w:rPr>
          <w:rFonts w:cs="Arial"/>
          <w:szCs w:val="22"/>
        </w:rPr>
        <w:t>agencies.</w:t>
      </w:r>
    </w:p>
    <w:p w:rsidR="00593479" w:rsidP="00986440" w:rsidRDefault="00593479" w14:paraId="54BC5936" w14:textId="77777777">
      <w:pPr>
        <w:widowControl/>
        <w:ind w:left="720"/>
        <w:rPr>
          <w:rFonts w:cs="Arial"/>
          <w:szCs w:val="22"/>
        </w:rPr>
      </w:pPr>
    </w:p>
    <w:p w:rsidRPr="008E5F17" w:rsidR="00593479" w:rsidP="00986440" w:rsidRDefault="00593479" w14:paraId="58B74542" w14:textId="77777777">
      <w:pPr>
        <w:widowControl/>
        <w:ind w:left="720"/>
        <w:rPr>
          <w:rFonts w:cs="Arial"/>
          <w:szCs w:val="22"/>
          <w:u w:val="single"/>
        </w:rPr>
      </w:pPr>
      <w:r w:rsidRPr="008E5F17">
        <w:rPr>
          <w:rFonts w:cs="Arial"/>
          <w:szCs w:val="22"/>
          <w:u w:val="single"/>
        </w:rPr>
        <w:t>Section 73.15(g)(1)</w:t>
      </w:r>
      <w:r w:rsidRPr="006B359F">
        <w:rPr>
          <w:rFonts w:cs="Arial"/>
          <w:szCs w:val="22"/>
        </w:rPr>
        <w:t xml:space="preserve"> </w:t>
      </w:r>
      <w:r w:rsidRPr="006B359F" w:rsidR="002A7A2D">
        <w:rPr>
          <w:rFonts w:cs="Arial"/>
          <w:szCs w:val="22"/>
        </w:rPr>
        <w:t xml:space="preserve">requires licensees to provide a copy of the NRC’s authorization to the Bureau of Alcohol, Tobacco, Firearms and Explosives (ATF’s) federal firearms license (FFL) holder with the application </w:t>
      </w:r>
      <w:r w:rsidRPr="006B359F" w:rsidR="009C65D0">
        <w:rPr>
          <w:rFonts w:cs="Arial"/>
          <w:szCs w:val="22"/>
        </w:rPr>
        <w:t>to</w:t>
      </w:r>
      <w:r w:rsidRPr="006B359F" w:rsidR="002A7A2D">
        <w:rPr>
          <w:rFonts w:cs="Arial"/>
          <w:szCs w:val="22"/>
        </w:rPr>
        <w:t xml:space="preserve"> request ATF’s pre-approval of the transfer and registration of the enhanced weapons to the NRC licensee.</w:t>
      </w:r>
    </w:p>
    <w:p w:rsidR="00D619AE" w:rsidP="00986440" w:rsidRDefault="00D619AE" w14:paraId="09E8CA40" w14:textId="77777777">
      <w:pPr>
        <w:widowControl/>
        <w:ind w:left="720"/>
        <w:rPr>
          <w:rFonts w:cs="Arial"/>
          <w:szCs w:val="22"/>
          <w:u w:val="single"/>
        </w:rPr>
      </w:pPr>
    </w:p>
    <w:p w:rsidR="00457A27" w:rsidP="00986440" w:rsidRDefault="00457A27" w14:paraId="42A3A17D" w14:textId="12D15B1B">
      <w:pPr>
        <w:widowControl/>
        <w:ind w:left="720"/>
        <w:rPr>
          <w:rFonts w:cs="Arial"/>
          <w:szCs w:val="22"/>
          <w:u w:val="single"/>
        </w:rPr>
      </w:pPr>
      <w:r>
        <w:rPr>
          <w:rFonts w:cs="Arial"/>
          <w:szCs w:val="22"/>
          <w:u w:val="single"/>
        </w:rPr>
        <w:t>Section 73.15(g)(3)</w:t>
      </w:r>
      <w:r w:rsidR="001330AC">
        <w:rPr>
          <w:rFonts w:cs="Arial"/>
          <w:szCs w:val="22"/>
        </w:rPr>
        <w:t xml:space="preserve"> requires </w:t>
      </w:r>
      <w:r w:rsidR="00A83D06">
        <w:rPr>
          <w:rFonts w:cs="Arial"/>
          <w:szCs w:val="22"/>
        </w:rPr>
        <w:t xml:space="preserve">all enhanced weapons possessed by the </w:t>
      </w:r>
      <w:r w:rsidR="001330AC">
        <w:rPr>
          <w:rFonts w:cs="Arial"/>
          <w:szCs w:val="22"/>
        </w:rPr>
        <w:t>licensee</w:t>
      </w:r>
      <w:r w:rsidR="00A83D06">
        <w:rPr>
          <w:rFonts w:cs="Arial"/>
          <w:szCs w:val="22"/>
        </w:rPr>
        <w:t xml:space="preserve"> to be registered under the name of the licensee</w:t>
      </w:r>
      <w:r w:rsidR="001330AC">
        <w:rPr>
          <w:rFonts w:cs="Arial"/>
          <w:szCs w:val="22"/>
        </w:rPr>
        <w:t>.</w:t>
      </w:r>
    </w:p>
    <w:p w:rsidRPr="00353FF1" w:rsidR="00457A27" w:rsidP="00986440" w:rsidRDefault="00457A27" w14:paraId="1A7700A5" w14:textId="77777777">
      <w:pPr>
        <w:widowControl/>
        <w:ind w:left="720"/>
        <w:rPr>
          <w:rFonts w:cs="Arial"/>
          <w:szCs w:val="22"/>
          <w:u w:val="single"/>
        </w:rPr>
      </w:pPr>
    </w:p>
    <w:p w:rsidR="00593479" w:rsidP="00986440" w:rsidRDefault="00593479" w14:paraId="62607150" w14:textId="77777777">
      <w:pPr>
        <w:widowControl/>
        <w:ind w:left="720"/>
        <w:rPr>
          <w:rFonts w:cs="Arial"/>
          <w:szCs w:val="22"/>
          <w:u w:val="single"/>
        </w:rPr>
      </w:pPr>
      <w:r>
        <w:rPr>
          <w:rFonts w:cs="Arial"/>
          <w:szCs w:val="22"/>
          <w:u w:val="single"/>
        </w:rPr>
        <w:t>Section 73.15(h)</w:t>
      </w:r>
      <w:r w:rsidRPr="006B359F" w:rsidR="003C1570">
        <w:rPr>
          <w:rFonts w:cs="Arial"/>
          <w:szCs w:val="22"/>
        </w:rPr>
        <w:t xml:space="preserve"> requires licensees to complete and document the completion of training and qualification before use of enhanced weapons. </w:t>
      </w:r>
    </w:p>
    <w:p w:rsidRPr="00353FF1" w:rsidR="00593479" w:rsidP="00986440" w:rsidRDefault="00593479" w14:paraId="28E7ECD2" w14:textId="77777777">
      <w:pPr>
        <w:widowControl/>
        <w:ind w:left="720"/>
        <w:rPr>
          <w:rFonts w:cs="Arial"/>
          <w:szCs w:val="22"/>
          <w:u w:val="single"/>
        </w:rPr>
      </w:pPr>
    </w:p>
    <w:p w:rsidRPr="00353FF1" w:rsidR="008A31D8" w:rsidP="00D53B24" w:rsidRDefault="00E352B2" w14:paraId="6474F733" w14:textId="706EA1E8">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(k</w:t>
      </w:r>
      <w:r w:rsidRPr="00353FF1" w:rsidR="008A31D8">
        <w:rPr>
          <w:rFonts w:cs="Arial"/>
          <w:szCs w:val="22"/>
          <w:u w:val="single"/>
        </w:rPr>
        <w:t>)</w:t>
      </w:r>
      <w:r w:rsidRPr="00353FF1" w:rsidR="008A31D8">
        <w:rPr>
          <w:rFonts w:cs="Arial"/>
          <w:szCs w:val="22"/>
        </w:rPr>
        <w:t xml:space="preserve"> requires licensees with enhanced weapons to notify the NRC of instances involving adverse ATF findings or ATF notices related to their enhanced weapons.</w:t>
      </w:r>
    </w:p>
    <w:p w:rsidRPr="00353FF1" w:rsidR="008A31D8" w:rsidP="00D53B24" w:rsidRDefault="008A31D8" w14:paraId="763C413B" w14:textId="77777777">
      <w:pPr>
        <w:widowControl/>
        <w:ind w:left="720"/>
        <w:rPr>
          <w:rFonts w:cs="Arial"/>
          <w:szCs w:val="22"/>
        </w:rPr>
      </w:pPr>
    </w:p>
    <w:p w:rsidR="00593479" w:rsidP="00D53B24" w:rsidRDefault="006B359F" w14:paraId="009F6F3F" w14:textId="77777777">
      <w:pPr>
        <w:widowControl/>
        <w:ind w:left="720"/>
        <w:rPr>
          <w:rFonts w:cs="Arial"/>
          <w:szCs w:val="22"/>
        </w:rPr>
      </w:pPr>
      <w:r w:rsidRPr="006B359F">
        <w:rPr>
          <w:rFonts w:cs="Arial"/>
          <w:szCs w:val="22"/>
          <w:u w:val="single"/>
        </w:rPr>
        <w:t xml:space="preserve">Section </w:t>
      </w:r>
      <w:r w:rsidRPr="006B359F" w:rsidR="00593479">
        <w:rPr>
          <w:rFonts w:cs="Arial"/>
          <w:szCs w:val="22"/>
          <w:u w:val="single"/>
        </w:rPr>
        <w:t>73.15(m)(9)</w:t>
      </w:r>
      <w:r w:rsidR="007814EE">
        <w:rPr>
          <w:rFonts w:cs="Arial"/>
          <w:szCs w:val="22"/>
        </w:rPr>
        <w:t xml:space="preserve"> requires</w:t>
      </w:r>
      <w:r w:rsidRPr="008E5F17" w:rsidR="007814EE">
        <w:rPr>
          <w:rFonts w:cs="Arial"/>
          <w:szCs w:val="22"/>
        </w:rPr>
        <w:t xml:space="preserve"> th</w:t>
      </w:r>
      <w:r w:rsidR="007814EE">
        <w:rPr>
          <w:rFonts w:cs="Arial"/>
          <w:szCs w:val="22"/>
        </w:rPr>
        <w:t>a</w:t>
      </w:r>
      <w:r w:rsidRPr="008E5F17" w:rsidR="007814EE">
        <w:rPr>
          <w:rFonts w:cs="Arial"/>
          <w:szCs w:val="22"/>
        </w:rPr>
        <w:t>t licensees treat any e</w:t>
      </w:r>
      <w:r w:rsidRPr="007814EE" w:rsidR="007814EE">
        <w:rPr>
          <w:rFonts w:cs="Arial"/>
          <w:szCs w:val="22"/>
        </w:rPr>
        <w:t xml:space="preserve">nhanced weapon that </w:t>
      </w:r>
      <w:r w:rsidR="007814EE">
        <w:rPr>
          <w:rFonts w:cs="Arial"/>
          <w:szCs w:val="22"/>
        </w:rPr>
        <w:t>is</w:t>
      </w:r>
      <w:r w:rsidRPr="007814EE" w:rsidR="007814EE">
        <w:rPr>
          <w:rFonts w:cs="Arial"/>
          <w:szCs w:val="22"/>
        </w:rPr>
        <w:t xml:space="preserve"> not returned to the licensee's facility</w:t>
      </w:r>
      <w:r w:rsidR="007814EE">
        <w:rPr>
          <w:rFonts w:cs="Arial"/>
          <w:szCs w:val="22"/>
        </w:rPr>
        <w:t xml:space="preserve"> as a transferred weapon and documentation of that situation is required in accordance with </w:t>
      </w:r>
      <w:r w:rsidRPr="00353FF1">
        <w:rPr>
          <w:rFonts w:cs="Arial"/>
          <w:szCs w:val="22"/>
        </w:rPr>
        <w:t>§</w:t>
      </w:r>
      <w:r>
        <w:rPr>
          <w:rFonts w:cs="Arial"/>
          <w:szCs w:val="22"/>
        </w:rPr>
        <w:t xml:space="preserve"> </w:t>
      </w:r>
      <w:r w:rsidR="007814EE">
        <w:rPr>
          <w:rFonts w:cs="Arial"/>
          <w:szCs w:val="22"/>
        </w:rPr>
        <w:t>73.15(q).</w:t>
      </w:r>
    </w:p>
    <w:p w:rsidRPr="00353FF1" w:rsidR="00593479" w:rsidP="00D53B24" w:rsidRDefault="00593479" w14:paraId="7F7B6C45" w14:textId="77777777">
      <w:pPr>
        <w:widowControl/>
        <w:ind w:left="720"/>
        <w:rPr>
          <w:rFonts w:cs="Arial"/>
          <w:szCs w:val="22"/>
        </w:rPr>
      </w:pPr>
    </w:p>
    <w:p w:rsidRPr="00353FF1" w:rsidR="008A31D8" w:rsidP="00D53B24" w:rsidRDefault="00E352B2" w14:paraId="3CF58F99" w14:textId="7A5496A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(o)</w:t>
      </w:r>
      <w:r w:rsidR="000B31DD">
        <w:rPr>
          <w:rFonts w:cs="Arial"/>
          <w:szCs w:val="22"/>
          <w:u w:val="single"/>
        </w:rPr>
        <w:t xml:space="preserve">(1) thru </w:t>
      </w:r>
      <w:r w:rsidR="00221BFF">
        <w:rPr>
          <w:rFonts w:cs="Arial"/>
          <w:szCs w:val="22"/>
          <w:u w:val="single"/>
        </w:rPr>
        <w:t>(</w:t>
      </w:r>
      <w:r w:rsidR="000F78AD">
        <w:rPr>
          <w:rFonts w:cs="Arial"/>
          <w:szCs w:val="22"/>
          <w:u w:val="single"/>
        </w:rPr>
        <w:t>5</w:t>
      </w:r>
      <w:r w:rsidR="00221BFF">
        <w:rPr>
          <w:rFonts w:cs="Arial"/>
          <w:szCs w:val="22"/>
          <w:u w:val="single"/>
        </w:rPr>
        <w:t>)</w:t>
      </w:r>
      <w:r w:rsidRPr="00353FF1">
        <w:rPr>
          <w:rFonts w:cs="Arial"/>
          <w:szCs w:val="22"/>
        </w:rPr>
        <w:t xml:space="preserve"> requires licensees to perform </w:t>
      </w:r>
      <w:r w:rsidRPr="00353FF1" w:rsidR="00EE50FE">
        <w:rPr>
          <w:rFonts w:cs="Arial"/>
          <w:szCs w:val="22"/>
        </w:rPr>
        <w:t xml:space="preserve">monthly and annual </w:t>
      </w:r>
      <w:r w:rsidRPr="00353FF1">
        <w:rPr>
          <w:rFonts w:cs="Arial"/>
          <w:szCs w:val="22"/>
        </w:rPr>
        <w:t>inventories of any enhanced weapons in their possession</w:t>
      </w:r>
      <w:r w:rsidR="00467034">
        <w:rPr>
          <w:rFonts w:cs="Arial"/>
          <w:szCs w:val="22"/>
        </w:rPr>
        <w:t xml:space="preserve">, </w:t>
      </w:r>
      <w:r w:rsidR="00221BFF">
        <w:rPr>
          <w:rFonts w:cs="Arial"/>
          <w:szCs w:val="22"/>
        </w:rPr>
        <w:t>and to</w:t>
      </w:r>
      <w:r w:rsidRPr="00353FF1" w:rsidR="008A31D8">
        <w:rPr>
          <w:rFonts w:cs="Arial"/>
          <w:szCs w:val="22"/>
        </w:rPr>
        <w:t xml:space="preserve"> retain the records from any periodic inventories of enhanced weapons.</w:t>
      </w:r>
    </w:p>
    <w:p w:rsidRPr="00353FF1" w:rsidR="00EE50FE" w:rsidP="00D53B24" w:rsidRDefault="00EE50FE" w14:paraId="3392C19E" w14:textId="77777777">
      <w:pPr>
        <w:widowControl/>
        <w:ind w:left="720"/>
        <w:rPr>
          <w:rFonts w:cs="Arial"/>
          <w:szCs w:val="22"/>
        </w:rPr>
      </w:pPr>
    </w:p>
    <w:p w:rsidRPr="00353FF1" w:rsidR="00EE50FE" w:rsidP="00D53B24" w:rsidRDefault="00EE50FE" w14:paraId="201A867E" w14:textId="051B9B6C">
      <w:pPr>
        <w:widowControl/>
        <w:ind w:left="720"/>
        <w:rPr>
          <w:rFonts w:cs="Arial"/>
          <w:szCs w:val="22"/>
        </w:rPr>
      </w:pPr>
      <w:r w:rsidRPr="00353FF1">
        <w:rPr>
          <w:rFonts w:cs="Arial"/>
          <w:szCs w:val="22"/>
          <w:u w:val="single"/>
        </w:rPr>
        <w:lastRenderedPageBreak/>
        <w:t xml:space="preserve">Section </w:t>
      </w:r>
      <w:r w:rsidRPr="00353FF1" w:rsidR="0007735A">
        <w:rPr>
          <w:rFonts w:cs="Arial"/>
          <w:szCs w:val="22"/>
          <w:u w:val="single"/>
        </w:rPr>
        <w:t>73.15</w:t>
      </w:r>
      <w:r w:rsidRPr="00353FF1">
        <w:rPr>
          <w:rFonts w:cs="Arial"/>
          <w:szCs w:val="22"/>
          <w:u w:val="single"/>
        </w:rPr>
        <w:t>(o)(</w:t>
      </w:r>
      <w:r w:rsidR="000F78AD">
        <w:rPr>
          <w:rFonts w:cs="Arial"/>
          <w:szCs w:val="22"/>
          <w:u w:val="single"/>
        </w:rPr>
        <w:t>6</w:t>
      </w:r>
      <w:r w:rsidRPr="00353FF1">
        <w:rPr>
          <w:rFonts w:cs="Arial"/>
          <w:szCs w:val="22"/>
          <w:u w:val="single"/>
        </w:rPr>
        <w:t>)</w:t>
      </w:r>
      <w:r w:rsidRPr="00353FF1">
        <w:rPr>
          <w:rFonts w:cs="Arial"/>
          <w:szCs w:val="22"/>
        </w:rPr>
        <w:t xml:space="preserve"> requires licensees to maintain a log of issued tamper-indicating devices (TID) </w:t>
      </w:r>
      <w:r w:rsidRPr="00353FF1" w:rsidR="00CA58CA">
        <w:rPr>
          <w:rFonts w:cs="Arial"/>
          <w:szCs w:val="22"/>
        </w:rPr>
        <w:t xml:space="preserve">placed </w:t>
      </w:r>
      <w:r w:rsidRPr="00353FF1">
        <w:rPr>
          <w:rFonts w:cs="Arial"/>
          <w:szCs w:val="22"/>
        </w:rPr>
        <w:t>on locked containers that store enhanced weapons.</w:t>
      </w:r>
    </w:p>
    <w:p w:rsidRPr="00353FF1" w:rsidR="008A31D8" w:rsidP="00D53B24" w:rsidRDefault="008A31D8" w14:paraId="34A65D2D" w14:textId="77777777">
      <w:pPr>
        <w:widowControl/>
        <w:ind w:left="720"/>
        <w:rPr>
          <w:rFonts w:cs="Arial"/>
          <w:szCs w:val="22"/>
        </w:rPr>
      </w:pPr>
    </w:p>
    <w:p w:rsidRPr="00353FF1" w:rsidR="008A31D8" w:rsidP="00D53B24" w:rsidRDefault="00E352B2" w14:paraId="6D51532C"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(p</w:t>
      </w:r>
      <w:r w:rsidRPr="00353FF1" w:rsidR="008A31D8">
        <w:rPr>
          <w:rFonts w:cs="Arial"/>
          <w:szCs w:val="22"/>
          <w:u w:val="single"/>
        </w:rPr>
        <w:t>)</w:t>
      </w:r>
      <w:r w:rsidRPr="00353FF1" w:rsidR="008A31D8">
        <w:rPr>
          <w:rFonts w:cs="Arial"/>
          <w:szCs w:val="22"/>
        </w:rPr>
        <w:t xml:space="preserve"> requires licensees to notify the NRC and local law enforcement officials if they discover that any of the enhanced weapons are lost or stolen.</w:t>
      </w:r>
    </w:p>
    <w:p w:rsidRPr="00353FF1" w:rsidR="008A31D8" w:rsidP="00D53B24" w:rsidRDefault="008A31D8" w14:paraId="63F0B84B" w14:textId="77777777">
      <w:pPr>
        <w:widowControl/>
        <w:ind w:left="720"/>
        <w:rPr>
          <w:rFonts w:cs="Arial"/>
          <w:szCs w:val="22"/>
        </w:rPr>
      </w:pPr>
    </w:p>
    <w:p w:rsidRPr="00353FF1" w:rsidR="008A31D8" w:rsidP="00D53B24" w:rsidRDefault="00E352B2" w14:paraId="24DAF216" w14:textId="77777777">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(q</w:t>
      </w:r>
      <w:r w:rsidRPr="00353FF1" w:rsidR="008A31D8">
        <w:rPr>
          <w:rFonts w:cs="Arial"/>
          <w:szCs w:val="22"/>
          <w:u w:val="single"/>
        </w:rPr>
        <w:t>)</w:t>
      </w:r>
      <w:r w:rsidRPr="00353FF1" w:rsidR="008A31D8">
        <w:rPr>
          <w:rFonts w:cs="Arial"/>
          <w:szCs w:val="22"/>
        </w:rPr>
        <w:t xml:space="preserve"> requires licensees to maintain records of receipt, transfer, transportation</w:t>
      </w:r>
      <w:r w:rsidR="003C0FE3">
        <w:rPr>
          <w:rFonts w:cs="Arial"/>
          <w:szCs w:val="22"/>
        </w:rPr>
        <w:t>, and inventory</w:t>
      </w:r>
      <w:r w:rsidRPr="00353FF1" w:rsidR="008A31D8">
        <w:rPr>
          <w:rFonts w:cs="Arial"/>
          <w:szCs w:val="22"/>
        </w:rPr>
        <w:t xml:space="preserve"> of enhanced weapons.</w:t>
      </w:r>
    </w:p>
    <w:p w:rsidRPr="00353FF1" w:rsidR="008A31D8" w:rsidP="00D53B24" w:rsidRDefault="008A31D8" w14:paraId="7E85EB7D" w14:textId="77777777">
      <w:pPr>
        <w:widowControl/>
        <w:ind w:left="720"/>
        <w:rPr>
          <w:rFonts w:cs="Arial"/>
          <w:szCs w:val="22"/>
        </w:rPr>
      </w:pPr>
    </w:p>
    <w:p w:rsidRPr="00353FF1" w:rsidR="008A31D8" w:rsidP="00D53B24" w:rsidRDefault="00E352B2" w14:paraId="72A80EC5" w14:textId="12536ECE">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(r</w:t>
      </w:r>
      <w:r w:rsidRPr="00353FF1" w:rsidR="008A31D8">
        <w:rPr>
          <w:rFonts w:cs="Arial"/>
          <w:szCs w:val="22"/>
          <w:u w:val="single"/>
        </w:rPr>
        <w:t>)(1)</w:t>
      </w:r>
      <w:r w:rsidRPr="00353FF1" w:rsidR="008A31D8">
        <w:rPr>
          <w:rFonts w:cs="Arial"/>
          <w:szCs w:val="22"/>
        </w:rPr>
        <w:t xml:space="preserve"> requires licensees that desire to terminate their stand-alone </w:t>
      </w:r>
      <w:r w:rsidRPr="00353FF1" w:rsidR="00D35828">
        <w:rPr>
          <w:rFonts w:cs="Arial"/>
          <w:szCs w:val="22"/>
        </w:rPr>
        <w:t xml:space="preserve">preemption authority </w:t>
      </w:r>
      <w:r w:rsidRPr="00353FF1" w:rsidR="008A31D8">
        <w:rPr>
          <w:rFonts w:cs="Arial"/>
          <w:szCs w:val="22"/>
        </w:rPr>
        <w:t xml:space="preserve">or combined </w:t>
      </w:r>
      <w:r w:rsidRPr="00353FF1" w:rsidR="00D35828">
        <w:rPr>
          <w:rFonts w:cs="Arial"/>
          <w:szCs w:val="22"/>
        </w:rPr>
        <w:t xml:space="preserve">preemption </w:t>
      </w:r>
      <w:r w:rsidRPr="00353FF1" w:rsidR="008A31D8">
        <w:rPr>
          <w:rFonts w:cs="Arial"/>
          <w:szCs w:val="22"/>
        </w:rPr>
        <w:t xml:space="preserve">authority </w:t>
      </w:r>
      <w:r w:rsidR="00D35828">
        <w:rPr>
          <w:rFonts w:cs="Arial"/>
          <w:szCs w:val="22"/>
        </w:rPr>
        <w:t xml:space="preserve">and enhanced weapons authority </w:t>
      </w:r>
      <w:r w:rsidRPr="00353FF1" w:rsidR="008A31D8">
        <w:rPr>
          <w:rFonts w:cs="Arial"/>
          <w:szCs w:val="22"/>
        </w:rPr>
        <w:t>to request approval from the NRC.</w:t>
      </w:r>
    </w:p>
    <w:p w:rsidRPr="00353FF1" w:rsidR="00577D64" w:rsidP="00AC1EBF" w:rsidRDefault="00577D64" w14:paraId="344B9F37" w14:textId="77777777">
      <w:pPr>
        <w:widowControl/>
        <w:ind w:left="720"/>
        <w:rPr>
          <w:rFonts w:cs="Arial"/>
          <w:szCs w:val="22"/>
          <w:u w:val="single"/>
        </w:rPr>
      </w:pPr>
    </w:p>
    <w:p w:rsidRPr="00353FF1" w:rsidR="008A31D8" w:rsidP="00286921" w:rsidRDefault="00E352B2" w14:paraId="5427E05D" w14:textId="651261FE">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(r</w:t>
      </w:r>
      <w:r w:rsidRPr="00353FF1" w:rsidR="008A31D8">
        <w:rPr>
          <w:rFonts w:cs="Arial"/>
          <w:szCs w:val="22"/>
          <w:u w:val="single"/>
        </w:rPr>
        <w:t>)(2)</w:t>
      </w:r>
      <w:r w:rsidRPr="00353FF1" w:rsidR="008A31D8">
        <w:rPr>
          <w:rFonts w:cs="Arial"/>
          <w:szCs w:val="22"/>
        </w:rPr>
        <w:t xml:space="preserve"> requires licensees that desire to modify their combined </w:t>
      </w:r>
      <w:r w:rsidRPr="00353FF1" w:rsidR="00D35828">
        <w:rPr>
          <w:rFonts w:cs="Arial"/>
          <w:szCs w:val="22"/>
        </w:rPr>
        <w:t xml:space="preserve">preemption authority </w:t>
      </w:r>
      <w:r w:rsidR="00D35828">
        <w:rPr>
          <w:rFonts w:cs="Arial"/>
          <w:szCs w:val="22"/>
        </w:rPr>
        <w:t xml:space="preserve">and enhanced weapons </w:t>
      </w:r>
      <w:r w:rsidRPr="00353FF1" w:rsidR="008A31D8">
        <w:rPr>
          <w:rFonts w:cs="Arial"/>
          <w:szCs w:val="22"/>
        </w:rPr>
        <w:t>authority to request approval from the NRC.</w:t>
      </w:r>
    </w:p>
    <w:p w:rsidRPr="00353FF1" w:rsidR="00CA58CA" w:rsidP="002F3884" w:rsidRDefault="00CA58CA" w14:paraId="18D73265" w14:textId="77777777">
      <w:pPr>
        <w:widowControl/>
        <w:ind w:left="720"/>
        <w:rPr>
          <w:rFonts w:cs="Arial"/>
          <w:szCs w:val="22"/>
        </w:rPr>
      </w:pPr>
    </w:p>
    <w:p w:rsidRPr="00353FF1" w:rsidR="00CA58CA" w:rsidP="00BA5455" w:rsidRDefault="00CA58CA" w14:paraId="12B501AB" w14:textId="2C0FCE69">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(r)(4)</w:t>
      </w:r>
      <w:r w:rsidRPr="00353FF1">
        <w:rPr>
          <w:rFonts w:cs="Arial"/>
          <w:szCs w:val="22"/>
        </w:rPr>
        <w:t xml:space="preserve"> requires licensees that have had their </w:t>
      </w:r>
      <w:r w:rsidRPr="00353FF1" w:rsidR="000F57A2">
        <w:rPr>
          <w:rFonts w:cs="Arial"/>
          <w:szCs w:val="22"/>
        </w:rPr>
        <w:t>stand</w:t>
      </w:r>
      <w:r w:rsidR="00F1529A">
        <w:rPr>
          <w:rFonts w:cs="Arial"/>
          <w:szCs w:val="22"/>
        </w:rPr>
        <w:noBreakHyphen/>
      </w:r>
      <w:r w:rsidRPr="00353FF1">
        <w:rPr>
          <w:rFonts w:cs="Arial"/>
          <w:szCs w:val="22"/>
        </w:rPr>
        <w:t xml:space="preserve">alone </w:t>
      </w:r>
      <w:r w:rsidRPr="00353FF1" w:rsidR="00D35828">
        <w:rPr>
          <w:rFonts w:cs="Arial"/>
          <w:szCs w:val="22"/>
        </w:rPr>
        <w:t xml:space="preserve">preemption authority </w:t>
      </w:r>
      <w:r w:rsidRPr="00353FF1">
        <w:rPr>
          <w:rFonts w:cs="Arial"/>
          <w:szCs w:val="22"/>
        </w:rPr>
        <w:t xml:space="preserve">or combined </w:t>
      </w:r>
      <w:r w:rsidRPr="00353FF1" w:rsidR="00D35828">
        <w:rPr>
          <w:rFonts w:cs="Arial"/>
          <w:szCs w:val="22"/>
        </w:rPr>
        <w:t xml:space="preserve">preemption authority </w:t>
      </w:r>
      <w:r w:rsidR="00D35828">
        <w:rPr>
          <w:rFonts w:cs="Arial"/>
          <w:szCs w:val="22"/>
        </w:rPr>
        <w:t xml:space="preserve">and enhanced weapons </w:t>
      </w:r>
      <w:r w:rsidRPr="00353FF1">
        <w:rPr>
          <w:rFonts w:cs="Arial"/>
          <w:szCs w:val="22"/>
        </w:rPr>
        <w:t>authority terminated, suspended, or revoked may reapply by sending a new application to the NRC.</w:t>
      </w:r>
    </w:p>
    <w:p w:rsidRPr="00353FF1" w:rsidR="008A31D8" w:rsidP="00577D64" w:rsidRDefault="008A31D8" w14:paraId="450DC0B5" w14:textId="77777777">
      <w:pPr>
        <w:widowControl/>
        <w:ind w:left="720"/>
        <w:rPr>
          <w:rFonts w:cs="Arial"/>
          <w:szCs w:val="22"/>
        </w:rPr>
      </w:pPr>
    </w:p>
    <w:p w:rsidRPr="00353FF1" w:rsidR="00833A69" w:rsidP="00577D64" w:rsidRDefault="00886A32" w14:paraId="3BA6B373" w14:textId="2400B061">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73.15</w:t>
      </w:r>
      <w:r w:rsidRPr="00353FF1">
        <w:rPr>
          <w:rFonts w:cs="Arial"/>
          <w:szCs w:val="22"/>
          <w:u w:val="single"/>
        </w:rPr>
        <w:t>(s)(3)</w:t>
      </w:r>
      <w:r w:rsidRPr="00353FF1">
        <w:rPr>
          <w:rFonts w:cs="Arial"/>
          <w:szCs w:val="22"/>
        </w:rPr>
        <w:t xml:space="preserve"> requires licensees that had received confirmatory orders approving Section 161A authority must update within </w:t>
      </w:r>
      <w:r w:rsidR="00457A27">
        <w:rPr>
          <w:rFonts w:cs="Arial"/>
          <w:szCs w:val="22"/>
        </w:rPr>
        <w:t>300</w:t>
      </w:r>
      <w:r w:rsidRPr="00353FF1" w:rsidR="00457A27">
        <w:rPr>
          <w:rFonts w:cs="Arial"/>
          <w:szCs w:val="22"/>
        </w:rPr>
        <w:t xml:space="preserve"> </w:t>
      </w:r>
      <w:r w:rsidRPr="00353FF1">
        <w:rPr>
          <w:rFonts w:cs="Arial"/>
          <w:szCs w:val="22"/>
        </w:rPr>
        <w:t xml:space="preserve">days after the </w:t>
      </w:r>
      <w:r w:rsidR="00FA7CA1">
        <w:rPr>
          <w:rFonts w:cs="Arial"/>
          <w:szCs w:val="22"/>
        </w:rPr>
        <w:t xml:space="preserve">date of publication of the </w:t>
      </w:r>
      <w:r w:rsidRPr="00353FF1">
        <w:rPr>
          <w:rFonts w:cs="Arial"/>
          <w:szCs w:val="22"/>
        </w:rPr>
        <w:t>final rule any procedures, instructions, and training material</w:t>
      </w:r>
      <w:r w:rsidR="00D35828">
        <w:rPr>
          <w:rFonts w:cs="Arial"/>
          <w:szCs w:val="22"/>
        </w:rPr>
        <w:t>s,</w:t>
      </w:r>
      <w:r w:rsidRPr="00353FF1">
        <w:rPr>
          <w:rFonts w:cs="Arial"/>
          <w:szCs w:val="22"/>
        </w:rPr>
        <w:t xml:space="preserve"> developed in response to the orders, to reflect the transition from requirements under the order to the </w:t>
      </w:r>
      <w:r w:rsidRPr="00353FF1" w:rsidR="00416DEB">
        <w:rPr>
          <w:rFonts w:cs="Arial"/>
          <w:szCs w:val="22"/>
        </w:rPr>
        <w:t xml:space="preserve">requirements of </w:t>
      </w:r>
      <w:r w:rsidR="00D35828">
        <w:rPr>
          <w:rFonts w:cs="Arial"/>
          <w:szCs w:val="22"/>
        </w:rPr>
        <w:t>the final rule</w:t>
      </w:r>
      <w:r w:rsidRPr="00353FF1">
        <w:rPr>
          <w:rFonts w:cs="Arial"/>
          <w:szCs w:val="22"/>
        </w:rPr>
        <w:t xml:space="preserve">.  </w:t>
      </w:r>
    </w:p>
    <w:p w:rsidR="00F63D48" w:rsidP="00577D64" w:rsidRDefault="00F63D48" w14:paraId="053F1880" w14:textId="77777777">
      <w:pPr>
        <w:widowControl/>
        <w:ind w:left="720"/>
        <w:rPr>
          <w:rFonts w:cs="Arial"/>
          <w:szCs w:val="22"/>
          <w:u w:val="single"/>
        </w:rPr>
      </w:pPr>
    </w:p>
    <w:p w:rsidRPr="00353FF1" w:rsidR="001A78D9" w:rsidP="00577D64" w:rsidRDefault="001201E1" w14:paraId="609B922E" w14:textId="16212F5B">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73.17</w:t>
      </w:r>
      <w:r w:rsidRPr="00353FF1" w:rsidR="006F08B3">
        <w:rPr>
          <w:rFonts w:cs="Arial"/>
          <w:szCs w:val="22"/>
          <w:u w:val="single"/>
        </w:rPr>
        <w:t>(b)(1)</w:t>
      </w:r>
      <w:r w:rsidRPr="00353FF1" w:rsidR="006F08B3">
        <w:rPr>
          <w:rFonts w:cs="Arial"/>
          <w:szCs w:val="22"/>
        </w:rPr>
        <w:t xml:space="preserve"> </w:t>
      </w:r>
      <w:r w:rsidRPr="00353FF1" w:rsidR="005574E7">
        <w:rPr>
          <w:rFonts w:cs="Arial"/>
          <w:szCs w:val="22"/>
        </w:rPr>
        <w:t xml:space="preserve">states that licenses who have applied for stand-alone preemption authority or for </w:t>
      </w:r>
      <w:r w:rsidR="00FA7CA1">
        <w:rPr>
          <w:rFonts w:cs="Arial"/>
          <w:szCs w:val="22"/>
        </w:rPr>
        <w:t xml:space="preserve">combined </w:t>
      </w:r>
      <w:r w:rsidRPr="00353FF1" w:rsidR="00D35828">
        <w:rPr>
          <w:rFonts w:cs="Arial"/>
          <w:szCs w:val="22"/>
        </w:rPr>
        <w:t xml:space="preserve">preemption authority </w:t>
      </w:r>
      <w:r w:rsidR="00D35828">
        <w:rPr>
          <w:rFonts w:cs="Arial"/>
          <w:szCs w:val="22"/>
        </w:rPr>
        <w:t xml:space="preserve">and enhanced weapons </w:t>
      </w:r>
      <w:r w:rsidR="00FA7CA1">
        <w:rPr>
          <w:rFonts w:cs="Arial"/>
          <w:szCs w:val="22"/>
        </w:rPr>
        <w:t xml:space="preserve">authority </w:t>
      </w:r>
      <w:r w:rsidRPr="00353FF1" w:rsidR="005574E7">
        <w:rPr>
          <w:rFonts w:cs="Arial"/>
          <w:szCs w:val="22"/>
        </w:rPr>
        <w:t>must comply with the provisions of this section</w:t>
      </w:r>
      <w:r w:rsidR="0082459E">
        <w:rPr>
          <w:rFonts w:cs="Arial"/>
          <w:szCs w:val="22"/>
        </w:rPr>
        <w:t xml:space="preserve"> in conducting firearms background checks</w:t>
      </w:r>
      <w:r w:rsidRPr="00353FF1" w:rsidR="005574E7">
        <w:rPr>
          <w:rFonts w:cs="Arial"/>
          <w:szCs w:val="22"/>
        </w:rPr>
        <w:t>.  These</w:t>
      </w:r>
      <w:r w:rsidRPr="00353FF1" w:rsidR="00D62588">
        <w:rPr>
          <w:rFonts w:cs="Arial"/>
          <w:szCs w:val="22"/>
        </w:rPr>
        <w:t xml:space="preserve"> applicants for Section 161A authorities </w:t>
      </w:r>
      <w:r w:rsidRPr="00353FF1" w:rsidR="005574E7">
        <w:rPr>
          <w:rFonts w:cs="Arial"/>
          <w:szCs w:val="22"/>
        </w:rPr>
        <w:t xml:space="preserve">must </w:t>
      </w:r>
      <w:r w:rsidRPr="00353FF1" w:rsidR="00D62588">
        <w:rPr>
          <w:rFonts w:cs="Arial"/>
          <w:szCs w:val="22"/>
        </w:rPr>
        <w:t>develop a Firearms Background Check Plan which is to be part of the required Training and Qualification plan for</w:t>
      </w:r>
      <w:r w:rsidRPr="00353FF1" w:rsidR="006F08B3">
        <w:rPr>
          <w:rFonts w:cs="Arial"/>
          <w:szCs w:val="22"/>
        </w:rPr>
        <w:t xml:space="preserve"> security personnel requiring access to covered weapons as part of </w:t>
      </w:r>
      <w:r w:rsidRPr="00353FF1" w:rsidR="00577D64">
        <w:rPr>
          <w:rFonts w:cs="Arial"/>
          <w:szCs w:val="22"/>
        </w:rPr>
        <w:t>their official security duties.</w:t>
      </w:r>
    </w:p>
    <w:p w:rsidR="00F24F96" w:rsidP="00577D64" w:rsidRDefault="00F24F96" w14:paraId="4B43EAF1" w14:textId="77777777">
      <w:pPr>
        <w:widowControl/>
        <w:ind w:left="720"/>
        <w:rPr>
          <w:rFonts w:cs="Arial"/>
          <w:szCs w:val="22"/>
        </w:rPr>
      </w:pPr>
    </w:p>
    <w:p w:rsidRPr="00353FF1" w:rsidR="00F24F96" w:rsidP="00577D64" w:rsidRDefault="008E5F17" w14:paraId="0798FF8A" w14:textId="77777777">
      <w:pPr>
        <w:widowControl/>
        <w:ind w:left="720"/>
        <w:rPr>
          <w:rFonts w:cs="Arial"/>
          <w:szCs w:val="22"/>
        </w:rPr>
      </w:pPr>
      <w:r w:rsidRPr="00F63D48">
        <w:rPr>
          <w:rFonts w:cs="Arial"/>
          <w:szCs w:val="22"/>
          <w:u w:val="single"/>
        </w:rPr>
        <w:t xml:space="preserve">Section </w:t>
      </w:r>
      <w:r w:rsidRPr="00F63D48" w:rsidR="00F24F96">
        <w:rPr>
          <w:rFonts w:cs="Arial"/>
          <w:szCs w:val="22"/>
          <w:u w:val="single"/>
        </w:rPr>
        <w:t>73.17(b)(3)</w:t>
      </w:r>
      <w:r w:rsidR="00BC1A46">
        <w:rPr>
          <w:rFonts w:cs="Arial"/>
          <w:szCs w:val="22"/>
        </w:rPr>
        <w:t xml:space="preserve"> describes the objectives of the Firearms Background Check Plan.</w:t>
      </w:r>
    </w:p>
    <w:p w:rsidR="00FE5433" w:rsidP="00577D64" w:rsidRDefault="00FE5433" w14:paraId="138FF866" w14:textId="77777777">
      <w:pPr>
        <w:widowControl/>
        <w:ind w:left="720"/>
        <w:rPr>
          <w:rFonts w:cs="Arial"/>
          <w:szCs w:val="22"/>
          <w:u w:val="single"/>
        </w:rPr>
      </w:pPr>
    </w:p>
    <w:p w:rsidR="00FE5433" w:rsidP="00577D64" w:rsidRDefault="00FE5433" w14:paraId="15391B6D" w14:textId="77777777">
      <w:pPr>
        <w:widowControl/>
        <w:ind w:left="720"/>
        <w:rPr>
          <w:rFonts w:cs="Arial"/>
          <w:szCs w:val="22"/>
          <w:u w:val="single"/>
        </w:rPr>
      </w:pPr>
      <w:r>
        <w:rPr>
          <w:rFonts w:cs="Arial"/>
          <w:szCs w:val="22"/>
          <w:u w:val="single"/>
        </w:rPr>
        <w:t>Section 73.17(g)</w:t>
      </w:r>
      <w:r w:rsidR="00CA2ED3">
        <w:rPr>
          <w:rFonts w:cs="Arial"/>
          <w:szCs w:val="22"/>
          <w:u w:val="single"/>
        </w:rPr>
        <w:t xml:space="preserve"> </w:t>
      </w:r>
      <w:r w:rsidRPr="00EA234C" w:rsidR="00CA2ED3">
        <w:rPr>
          <w:rFonts w:cs="Arial"/>
          <w:szCs w:val="22"/>
        </w:rPr>
        <w:t>requires licensees to notify the NRC Headquarters Operations Center by telephone within 72 hours after removing security personnel from duties requiring access to covered weapons due to the identification or occurrence of any Federal or State disqualifying status condition or disqualifying event that would prohibit them from possessing, receiving, or using firearms or ammunition.</w:t>
      </w:r>
    </w:p>
    <w:p w:rsidRPr="00353FF1" w:rsidR="00CD6604" w:rsidP="00577D64" w:rsidRDefault="00CD6604" w14:paraId="4ADDEB2E" w14:textId="77777777">
      <w:pPr>
        <w:widowControl/>
        <w:ind w:left="720"/>
        <w:rPr>
          <w:rFonts w:cs="Arial"/>
          <w:szCs w:val="22"/>
          <w:u w:val="single"/>
        </w:rPr>
      </w:pPr>
    </w:p>
    <w:p w:rsidR="00FC7E0D" w:rsidP="00577D64" w:rsidRDefault="00FC7E0D" w14:paraId="3E942199" w14:textId="77777777">
      <w:pPr>
        <w:widowControl/>
        <w:ind w:left="720"/>
        <w:rPr>
          <w:rFonts w:cs="Arial"/>
          <w:szCs w:val="22"/>
          <w:u w:val="single"/>
        </w:rPr>
      </w:pPr>
      <w:r>
        <w:rPr>
          <w:rFonts w:cs="Arial"/>
          <w:szCs w:val="22"/>
          <w:u w:val="single"/>
        </w:rPr>
        <w:t>Section 73.17(j)</w:t>
      </w:r>
      <w:r w:rsidRPr="00F63D48" w:rsidR="00E707A8">
        <w:rPr>
          <w:rFonts w:cs="Arial"/>
          <w:szCs w:val="22"/>
        </w:rPr>
        <w:t xml:space="preserve"> describes the contents of the training licensees are required to provide to security personnel about disqualifying events.  The paragraph also requires that licensees include within their Firearms Background Check Plan the development and accomplishment of the training modules.</w:t>
      </w:r>
    </w:p>
    <w:p w:rsidRPr="00353FF1" w:rsidR="009D6D83" w:rsidP="00577D64" w:rsidRDefault="009D6D83" w14:paraId="53D9B4E9" w14:textId="77777777">
      <w:pPr>
        <w:widowControl/>
        <w:ind w:left="720"/>
        <w:rPr>
          <w:rFonts w:cs="Arial"/>
          <w:szCs w:val="22"/>
          <w:u w:val="single"/>
        </w:rPr>
      </w:pPr>
    </w:p>
    <w:p w:rsidRPr="00353FF1" w:rsidR="009D6D83" w:rsidP="00577D64" w:rsidRDefault="001201E1" w14:paraId="61FE2FAD" w14:textId="7C8EE110">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73.17</w:t>
      </w:r>
      <w:r w:rsidRPr="00353FF1" w:rsidR="00706AF4">
        <w:rPr>
          <w:rFonts w:cs="Arial"/>
          <w:szCs w:val="22"/>
          <w:u w:val="single"/>
        </w:rPr>
        <w:t>(k</w:t>
      </w:r>
      <w:r w:rsidRPr="00353FF1" w:rsidR="006F08B3">
        <w:rPr>
          <w:rFonts w:cs="Arial"/>
          <w:szCs w:val="22"/>
          <w:u w:val="single"/>
        </w:rPr>
        <w:t>)(3)</w:t>
      </w:r>
      <w:r w:rsidRPr="00353FF1" w:rsidR="006F08B3">
        <w:rPr>
          <w:rFonts w:cs="Arial"/>
          <w:szCs w:val="22"/>
        </w:rPr>
        <w:t xml:space="preserve"> requires licensees to establish procedures to minimize the rejection rate of fingerprint cards due to poor quality and illegible or incomplete information.</w:t>
      </w:r>
      <w:r w:rsidR="00DA6DE8">
        <w:rPr>
          <w:rFonts w:cs="Arial"/>
          <w:szCs w:val="22"/>
        </w:rPr>
        <w:t xml:space="preserve">  </w:t>
      </w:r>
    </w:p>
    <w:p w:rsidRPr="00353FF1" w:rsidR="009D6D83" w:rsidP="00577D64" w:rsidRDefault="009D6D83" w14:paraId="6F77E24D" w14:textId="77777777">
      <w:pPr>
        <w:widowControl/>
        <w:ind w:left="720"/>
        <w:rPr>
          <w:rFonts w:cs="Arial"/>
          <w:szCs w:val="22"/>
          <w:u w:val="single"/>
        </w:rPr>
      </w:pPr>
    </w:p>
    <w:p w:rsidRPr="00353FF1" w:rsidR="009D6D83" w:rsidP="00577D64" w:rsidRDefault="001201E1" w14:paraId="653197BC" w14:textId="1ADB28B4">
      <w:pPr>
        <w:widowControl/>
        <w:ind w:left="720"/>
        <w:rPr>
          <w:rFonts w:cs="Arial"/>
          <w:szCs w:val="22"/>
        </w:rPr>
      </w:pPr>
      <w:r w:rsidRPr="00353FF1">
        <w:rPr>
          <w:rFonts w:cs="Arial"/>
          <w:szCs w:val="22"/>
          <w:u w:val="single"/>
        </w:rPr>
        <w:t xml:space="preserve">Section </w:t>
      </w:r>
      <w:r w:rsidRPr="00353FF1" w:rsidR="0007735A">
        <w:rPr>
          <w:rFonts w:cs="Arial"/>
          <w:szCs w:val="22"/>
          <w:u w:val="single"/>
        </w:rPr>
        <w:t>73.17</w:t>
      </w:r>
      <w:r w:rsidRPr="00353FF1" w:rsidR="006F08B3">
        <w:rPr>
          <w:rFonts w:cs="Arial"/>
          <w:szCs w:val="22"/>
          <w:u w:val="single"/>
        </w:rPr>
        <w:t>(p)</w:t>
      </w:r>
      <w:r w:rsidRPr="00353FF1" w:rsidR="006F08B3">
        <w:rPr>
          <w:rFonts w:cs="Arial"/>
          <w:szCs w:val="22"/>
        </w:rPr>
        <w:t xml:space="preserve"> requires licensees to provide information </w:t>
      </w:r>
      <w:r w:rsidR="0082459E">
        <w:rPr>
          <w:rFonts w:cs="Arial"/>
          <w:szCs w:val="22"/>
        </w:rPr>
        <w:t xml:space="preserve">to security personnel subject to firearms background checks </w:t>
      </w:r>
      <w:r w:rsidRPr="00353FF1" w:rsidR="006F08B3">
        <w:rPr>
          <w:rFonts w:cs="Arial"/>
          <w:szCs w:val="22"/>
        </w:rPr>
        <w:t>on the FBI</w:t>
      </w:r>
      <w:r w:rsidRPr="00353FF1" w:rsidR="0031534D">
        <w:rPr>
          <w:rFonts w:cs="Arial"/>
          <w:szCs w:val="22"/>
        </w:rPr>
        <w:t>’</w:t>
      </w:r>
      <w:r w:rsidRPr="00353FF1" w:rsidR="006F08B3">
        <w:rPr>
          <w:rFonts w:cs="Arial"/>
          <w:szCs w:val="22"/>
        </w:rPr>
        <w:t xml:space="preserve">s procedures for appealing a </w:t>
      </w:r>
      <w:r w:rsidRPr="00353FF1" w:rsidR="000935A4">
        <w:rPr>
          <w:rFonts w:cs="Arial"/>
          <w:szCs w:val="22"/>
        </w:rPr>
        <w:t>“</w:t>
      </w:r>
      <w:r w:rsidRPr="00353FF1" w:rsidR="006F08B3">
        <w:rPr>
          <w:rFonts w:cs="Arial"/>
          <w:szCs w:val="22"/>
        </w:rPr>
        <w:t>denied</w:t>
      </w:r>
      <w:r w:rsidRPr="00353FF1" w:rsidR="000935A4">
        <w:rPr>
          <w:rFonts w:cs="Arial"/>
          <w:szCs w:val="22"/>
        </w:rPr>
        <w:t>”</w:t>
      </w:r>
      <w:r w:rsidRPr="00353FF1" w:rsidR="006F08B3">
        <w:rPr>
          <w:rFonts w:cs="Arial"/>
          <w:szCs w:val="22"/>
        </w:rPr>
        <w:t xml:space="preserve"> response to </w:t>
      </w:r>
      <w:r w:rsidRPr="00353FF1" w:rsidR="000935A4">
        <w:rPr>
          <w:rFonts w:cs="Arial"/>
          <w:szCs w:val="22"/>
        </w:rPr>
        <w:lastRenderedPageBreak/>
        <w:t>an</w:t>
      </w:r>
      <w:r w:rsidRPr="00353FF1" w:rsidR="006F08B3">
        <w:rPr>
          <w:rFonts w:cs="Arial"/>
          <w:szCs w:val="22"/>
        </w:rPr>
        <w:t xml:space="preserve"> individual or on providing additional information to the FBI to resolve a </w:t>
      </w:r>
      <w:r w:rsidRPr="00353FF1" w:rsidR="000935A4">
        <w:rPr>
          <w:rFonts w:cs="Arial"/>
          <w:szCs w:val="22"/>
        </w:rPr>
        <w:t>“</w:t>
      </w:r>
      <w:r w:rsidRPr="00353FF1" w:rsidR="006F08B3">
        <w:rPr>
          <w:rFonts w:cs="Arial"/>
          <w:szCs w:val="22"/>
        </w:rPr>
        <w:t>delayed</w:t>
      </w:r>
      <w:r w:rsidRPr="00353FF1" w:rsidR="000935A4">
        <w:rPr>
          <w:rFonts w:cs="Arial"/>
          <w:szCs w:val="22"/>
        </w:rPr>
        <w:t>”</w:t>
      </w:r>
      <w:r w:rsidRPr="00353FF1" w:rsidR="006F08B3">
        <w:rPr>
          <w:rFonts w:cs="Arial"/>
          <w:szCs w:val="22"/>
        </w:rPr>
        <w:t xml:space="preserve"> response.  The licensee must provide the individual who has received the </w:t>
      </w:r>
      <w:r w:rsidR="00973927">
        <w:rPr>
          <w:rFonts w:cs="Arial"/>
          <w:szCs w:val="22"/>
        </w:rPr>
        <w:t>“</w:t>
      </w:r>
      <w:r w:rsidRPr="00353FF1" w:rsidR="000935A4">
        <w:rPr>
          <w:rFonts w:cs="Arial"/>
          <w:szCs w:val="22"/>
        </w:rPr>
        <w:t>denied</w:t>
      </w:r>
      <w:r w:rsidR="00973927">
        <w:rPr>
          <w:rFonts w:cs="Arial"/>
          <w:szCs w:val="22"/>
        </w:rPr>
        <w:t>”</w:t>
      </w:r>
      <w:r w:rsidRPr="00353FF1" w:rsidR="000935A4">
        <w:rPr>
          <w:rFonts w:cs="Arial"/>
          <w:szCs w:val="22"/>
        </w:rPr>
        <w:t xml:space="preserve"> or </w:t>
      </w:r>
      <w:r w:rsidR="00973927">
        <w:rPr>
          <w:rFonts w:cs="Arial"/>
          <w:szCs w:val="22"/>
        </w:rPr>
        <w:t>“</w:t>
      </w:r>
      <w:r w:rsidRPr="00353FF1" w:rsidR="000935A4">
        <w:rPr>
          <w:rFonts w:cs="Arial"/>
          <w:szCs w:val="22"/>
        </w:rPr>
        <w:t>delayed</w:t>
      </w:r>
      <w:r w:rsidR="00973927">
        <w:rPr>
          <w:rFonts w:cs="Arial"/>
          <w:szCs w:val="22"/>
        </w:rPr>
        <w:t>”</w:t>
      </w:r>
      <w:r w:rsidRPr="00353FF1" w:rsidR="000935A4">
        <w:rPr>
          <w:rFonts w:cs="Arial"/>
          <w:szCs w:val="22"/>
        </w:rPr>
        <w:t xml:space="preserve"> </w:t>
      </w:r>
      <w:r w:rsidRPr="00353FF1" w:rsidR="006F08B3">
        <w:rPr>
          <w:rFonts w:cs="Arial"/>
          <w:szCs w:val="22"/>
        </w:rPr>
        <w:t>response the unique NICS transaction number</w:t>
      </w:r>
      <w:r w:rsidR="00816633">
        <w:rPr>
          <w:rFonts w:cs="Arial"/>
          <w:szCs w:val="22"/>
        </w:rPr>
        <w:t>(s)</w:t>
      </w:r>
      <w:r w:rsidRPr="00353FF1" w:rsidR="006F08B3">
        <w:rPr>
          <w:rFonts w:cs="Arial"/>
          <w:szCs w:val="22"/>
        </w:rPr>
        <w:t xml:space="preserve"> associated with the</w:t>
      </w:r>
      <w:r w:rsidR="00816633">
        <w:rPr>
          <w:rFonts w:cs="Arial"/>
          <w:szCs w:val="22"/>
        </w:rPr>
        <w:t>ir</w:t>
      </w:r>
      <w:r w:rsidRPr="00353FF1" w:rsidR="006F08B3">
        <w:rPr>
          <w:rFonts w:cs="Arial"/>
          <w:szCs w:val="22"/>
        </w:rPr>
        <w:t xml:space="preserve"> specific firearms background check.    </w:t>
      </w:r>
    </w:p>
    <w:p w:rsidRPr="00353FF1" w:rsidR="009D6D83" w:rsidP="00577D64" w:rsidRDefault="009D6D83" w14:paraId="3A96F990" w14:textId="77777777">
      <w:pPr>
        <w:widowControl/>
        <w:ind w:left="720"/>
        <w:rPr>
          <w:rFonts w:cs="Arial"/>
          <w:szCs w:val="22"/>
          <w:u w:val="single"/>
        </w:rPr>
      </w:pPr>
    </w:p>
    <w:p w:rsidRPr="00353FF1" w:rsidR="00A41DCE" w:rsidP="00577D64" w:rsidRDefault="00A41DCE" w14:paraId="4CF0E33A" w14:textId="77777777">
      <w:pPr>
        <w:widowControl/>
        <w:ind w:left="720"/>
        <w:rPr>
          <w:rFonts w:cs="Arial"/>
          <w:szCs w:val="22"/>
          <w:u w:val="single"/>
        </w:rPr>
      </w:pPr>
      <w:r w:rsidRPr="00353FF1">
        <w:rPr>
          <w:rFonts w:cs="Arial"/>
          <w:szCs w:val="22"/>
          <w:u w:val="single"/>
        </w:rPr>
        <w:t xml:space="preserve">Section </w:t>
      </w:r>
      <w:r w:rsidRPr="00353FF1" w:rsidR="0007735A">
        <w:rPr>
          <w:rFonts w:cs="Arial"/>
          <w:szCs w:val="22"/>
          <w:u w:val="single"/>
        </w:rPr>
        <w:t>73.17</w:t>
      </w:r>
      <w:r w:rsidRPr="00353FF1">
        <w:rPr>
          <w:rFonts w:cs="Arial"/>
          <w:szCs w:val="22"/>
          <w:u w:val="single"/>
        </w:rPr>
        <w:t>(q)</w:t>
      </w:r>
      <w:r w:rsidRPr="00353FF1">
        <w:rPr>
          <w:rFonts w:cs="Arial"/>
          <w:szCs w:val="22"/>
        </w:rPr>
        <w:t xml:space="preserve"> requires licensees to establish and maintain a system to protect the records and personal information from unauthorized disclosure.</w:t>
      </w:r>
    </w:p>
    <w:p w:rsidRPr="00353FF1" w:rsidR="00416DEB" w:rsidP="00577D64" w:rsidRDefault="00416DEB" w14:paraId="504A00B6" w14:textId="77777777">
      <w:pPr>
        <w:widowControl/>
        <w:ind w:left="720"/>
        <w:rPr>
          <w:rFonts w:cs="Arial"/>
          <w:szCs w:val="22"/>
          <w:u w:val="single"/>
        </w:rPr>
      </w:pPr>
    </w:p>
    <w:p w:rsidR="00E04E34" w:rsidP="00E04E34" w:rsidRDefault="00D217B8" w14:paraId="7A40A735" w14:textId="77777777">
      <w:pPr>
        <w:widowControl/>
        <w:ind w:left="720"/>
        <w:rPr>
          <w:rFonts w:cs="Arial"/>
          <w:b/>
          <w:i/>
          <w:color w:val="000000"/>
          <w:szCs w:val="22"/>
        </w:rPr>
      </w:pPr>
      <w:r>
        <w:rPr>
          <w:rFonts w:cs="Arial"/>
          <w:b/>
          <w:i/>
          <w:color w:val="000000"/>
          <w:szCs w:val="22"/>
        </w:rPr>
        <w:t xml:space="preserve">Physical </w:t>
      </w:r>
      <w:r w:rsidRPr="00A32597" w:rsidR="009E01C7">
        <w:rPr>
          <w:rFonts w:cs="Arial"/>
          <w:b/>
          <w:i/>
          <w:color w:val="000000"/>
          <w:szCs w:val="22"/>
        </w:rPr>
        <w:t>Security Event Notification Requirements</w:t>
      </w:r>
      <w:r w:rsidRPr="00A32597" w:rsidR="00A41DCE">
        <w:rPr>
          <w:rFonts w:cs="Arial"/>
          <w:b/>
          <w:i/>
          <w:color w:val="000000"/>
          <w:szCs w:val="22"/>
        </w:rPr>
        <w:t xml:space="preserve"> (10 CFR Part 73</w:t>
      </w:r>
      <w:r w:rsidR="00592596">
        <w:rPr>
          <w:rFonts w:cs="Arial"/>
          <w:b/>
          <w:i/>
          <w:color w:val="000000"/>
          <w:szCs w:val="22"/>
        </w:rPr>
        <w:t>, Subpart T</w:t>
      </w:r>
      <w:r w:rsidRPr="00A32597" w:rsidR="00A41DCE">
        <w:rPr>
          <w:rFonts w:cs="Arial"/>
          <w:b/>
          <w:i/>
          <w:color w:val="000000"/>
          <w:szCs w:val="22"/>
        </w:rPr>
        <w:t xml:space="preserve">) </w:t>
      </w:r>
    </w:p>
    <w:p w:rsidR="00592596" w:rsidP="00577D64" w:rsidRDefault="00592596" w14:paraId="1D5B8588" w14:textId="77777777">
      <w:pPr>
        <w:widowControl/>
        <w:ind w:left="720"/>
        <w:rPr>
          <w:rFonts w:cs="Arial"/>
          <w:b/>
          <w:i/>
          <w:color w:val="000000"/>
          <w:szCs w:val="22"/>
        </w:rPr>
      </w:pPr>
    </w:p>
    <w:p w:rsidR="00CC3790" w:rsidP="00577D64" w:rsidRDefault="008B371D" w14:paraId="5B1E6DD3" w14:textId="69CB89F8">
      <w:pPr>
        <w:widowControl/>
        <w:ind w:left="720"/>
        <w:rPr>
          <w:rFonts w:cs="Arial"/>
          <w:color w:val="000000"/>
          <w:szCs w:val="22"/>
        </w:rPr>
      </w:pPr>
      <w:r>
        <w:rPr>
          <w:rFonts w:cs="Arial"/>
          <w:color w:val="000000"/>
          <w:szCs w:val="22"/>
        </w:rPr>
        <w:t xml:space="preserve">The second </w:t>
      </w:r>
      <w:r w:rsidR="0085211D">
        <w:rPr>
          <w:rFonts w:cs="Arial"/>
          <w:color w:val="000000"/>
          <w:szCs w:val="22"/>
        </w:rPr>
        <w:t>part</w:t>
      </w:r>
      <w:r>
        <w:rPr>
          <w:rFonts w:cs="Arial"/>
          <w:color w:val="000000"/>
          <w:szCs w:val="22"/>
        </w:rPr>
        <w:t xml:space="preserve"> of the final rule redesignate</w:t>
      </w:r>
      <w:r w:rsidR="00842A93">
        <w:rPr>
          <w:rFonts w:cs="Arial"/>
          <w:color w:val="000000"/>
          <w:szCs w:val="22"/>
        </w:rPr>
        <w:t>s</w:t>
      </w:r>
      <w:r>
        <w:rPr>
          <w:rFonts w:cs="Arial"/>
          <w:color w:val="000000"/>
          <w:szCs w:val="22"/>
        </w:rPr>
        <w:t xml:space="preserve"> </w:t>
      </w:r>
      <w:r w:rsidR="00842A93">
        <w:rPr>
          <w:rFonts w:cs="Arial"/>
          <w:color w:val="000000"/>
          <w:szCs w:val="22"/>
        </w:rPr>
        <w:t xml:space="preserve">the </w:t>
      </w:r>
      <w:r>
        <w:rPr>
          <w:rFonts w:cs="Arial"/>
          <w:color w:val="000000"/>
          <w:szCs w:val="22"/>
        </w:rPr>
        <w:t>e</w:t>
      </w:r>
      <w:r w:rsidR="00CC3790">
        <w:rPr>
          <w:rFonts w:cs="Arial"/>
          <w:color w:val="000000"/>
          <w:szCs w:val="22"/>
        </w:rPr>
        <w:t xml:space="preserve">xisting </w:t>
      </w:r>
      <w:r w:rsidR="002F10AD">
        <w:rPr>
          <w:rFonts w:cs="Arial"/>
          <w:color w:val="000000"/>
          <w:szCs w:val="22"/>
        </w:rPr>
        <w:t xml:space="preserve">physical </w:t>
      </w:r>
      <w:r w:rsidR="00CC3790">
        <w:rPr>
          <w:rFonts w:cs="Arial"/>
          <w:color w:val="000000"/>
          <w:szCs w:val="22"/>
        </w:rPr>
        <w:t xml:space="preserve">security event notification requirements </w:t>
      </w:r>
      <w:r>
        <w:rPr>
          <w:rFonts w:cs="Arial"/>
          <w:color w:val="000000"/>
          <w:szCs w:val="22"/>
        </w:rPr>
        <w:t>(</w:t>
      </w:r>
      <w:r w:rsidR="00CC3790">
        <w:rPr>
          <w:rFonts w:cs="Arial"/>
          <w:color w:val="000000"/>
          <w:szCs w:val="22"/>
        </w:rPr>
        <w:t xml:space="preserve">currently in </w:t>
      </w:r>
      <w:r w:rsidR="00CB23AA">
        <w:rPr>
          <w:rFonts w:cs="Arial"/>
          <w:szCs w:val="22"/>
        </w:rPr>
        <w:t xml:space="preserve">§ </w:t>
      </w:r>
      <w:r w:rsidR="00CC3790">
        <w:rPr>
          <w:rFonts w:cs="Arial"/>
          <w:color w:val="000000"/>
          <w:szCs w:val="22"/>
        </w:rPr>
        <w:t>73.71</w:t>
      </w:r>
      <w:r w:rsidR="00CB23AA">
        <w:rPr>
          <w:rFonts w:cs="Arial"/>
          <w:color w:val="000000"/>
          <w:szCs w:val="22"/>
        </w:rPr>
        <w:t xml:space="preserve"> and 10 CFR Part 73, Appendix G</w:t>
      </w:r>
      <w:r>
        <w:rPr>
          <w:rFonts w:cs="Arial"/>
          <w:color w:val="000000"/>
          <w:szCs w:val="22"/>
        </w:rPr>
        <w:t>) into new</w:t>
      </w:r>
      <w:r w:rsidR="00816633">
        <w:rPr>
          <w:rFonts w:cs="Arial"/>
          <w:color w:val="000000"/>
          <w:szCs w:val="22"/>
        </w:rPr>
        <w:t xml:space="preserve"> </w:t>
      </w:r>
      <w:r w:rsidR="00B63C99">
        <w:rPr>
          <w:rFonts w:cs="Arial"/>
          <w:color w:val="000000"/>
          <w:szCs w:val="22"/>
        </w:rPr>
        <w:t xml:space="preserve">Subpart T under </w:t>
      </w:r>
      <w:r w:rsidR="00816633">
        <w:rPr>
          <w:rFonts w:cs="Arial"/>
          <w:color w:val="000000"/>
          <w:szCs w:val="22"/>
        </w:rPr>
        <w:t>§§ 73.1200, 73.1205, and 73.1210</w:t>
      </w:r>
      <w:r w:rsidR="00CC3790">
        <w:rPr>
          <w:rFonts w:cs="Arial"/>
          <w:color w:val="000000"/>
          <w:szCs w:val="22"/>
        </w:rPr>
        <w:t xml:space="preserve"> </w:t>
      </w:r>
      <w:r w:rsidR="00321F35">
        <w:rPr>
          <w:rFonts w:cs="Arial"/>
          <w:color w:val="000000"/>
          <w:szCs w:val="22"/>
        </w:rPr>
        <w:t xml:space="preserve">to improve regulatory </w:t>
      </w:r>
      <w:r w:rsidR="00CC3790">
        <w:rPr>
          <w:rFonts w:cs="Arial"/>
          <w:color w:val="000000"/>
          <w:szCs w:val="22"/>
        </w:rPr>
        <w:t>clarity</w:t>
      </w:r>
      <w:r w:rsidR="002F10AD">
        <w:rPr>
          <w:rFonts w:cs="Arial"/>
          <w:color w:val="000000"/>
          <w:szCs w:val="22"/>
        </w:rPr>
        <w:t xml:space="preserve"> and reduce the impact of notifications upon licensees</w:t>
      </w:r>
      <w:r w:rsidR="00280093">
        <w:rPr>
          <w:rFonts w:cs="Arial"/>
          <w:color w:val="000000"/>
          <w:szCs w:val="22"/>
        </w:rPr>
        <w:t>.  N</w:t>
      </w:r>
      <w:r w:rsidR="007D37C7">
        <w:rPr>
          <w:rFonts w:cs="Arial"/>
          <w:color w:val="000000"/>
          <w:szCs w:val="22"/>
        </w:rPr>
        <w:t>ew</w:t>
      </w:r>
      <w:r w:rsidR="00CC3790">
        <w:rPr>
          <w:rFonts w:cs="Arial"/>
          <w:color w:val="000000"/>
          <w:szCs w:val="22"/>
        </w:rPr>
        <w:t xml:space="preserve"> </w:t>
      </w:r>
      <w:r w:rsidR="0054294B">
        <w:rPr>
          <w:rFonts w:cs="Arial"/>
          <w:color w:val="000000"/>
          <w:szCs w:val="22"/>
        </w:rPr>
        <w:t xml:space="preserve">notification </w:t>
      </w:r>
      <w:r w:rsidR="00CC3790">
        <w:rPr>
          <w:rFonts w:cs="Arial"/>
          <w:color w:val="000000"/>
          <w:szCs w:val="22"/>
        </w:rPr>
        <w:t>requirements have been added</w:t>
      </w:r>
      <w:r w:rsidR="00F24D7F">
        <w:rPr>
          <w:rFonts w:cs="Arial"/>
          <w:color w:val="000000"/>
          <w:szCs w:val="22"/>
        </w:rPr>
        <w:t xml:space="preserve"> </w:t>
      </w:r>
      <w:r w:rsidR="0054294B">
        <w:rPr>
          <w:rFonts w:cs="Arial"/>
          <w:color w:val="000000"/>
          <w:szCs w:val="22"/>
        </w:rPr>
        <w:t>regarding</w:t>
      </w:r>
      <w:r w:rsidR="002F10AD">
        <w:rPr>
          <w:rFonts w:cs="Arial"/>
          <w:color w:val="000000"/>
          <w:szCs w:val="22"/>
        </w:rPr>
        <w:t>:</w:t>
      </w:r>
      <w:r w:rsidR="0054294B">
        <w:rPr>
          <w:rFonts w:cs="Arial"/>
          <w:color w:val="000000"/>
          <w:szCs w:val="22"/>
        </w:rPr>
        <w:t xml:space="preserve"> </w:t>
      </w:r>
      <w:r w:rsidR="007D37C7">
        <w:rPr>
          <w:rFonts w:cs="Arial"/>
          <w:color w:val="000000"/>
          <w:szCs w:val="22"/>
        </w:rPr>
        <w:t xml:space="preserve">lost or stolen enhanced weapons, </w:t>
      </w:r>
      <w:r w:rsidR="00816633">
        <w:rPr>
          <w:rFonts w:cs="Arial"/>
          <w:color w:val="000000"/>
          <w:szCs w:val="22"/>
        </w:rPr>
        <w:t xml:space="preserve">adverse ATF enforcement actions, and </w:t>
      </w:r>
      <w:r w:rsidR="007D37C7">
        <w:rPr>
          <w:rFonts w:cs="Arial"/>
          <w:color w:val="000000"/>
          <w:szCs w:val="22"/>
        </w:rPr>
        <w:t>actual or imminent hostile actions</w:t>
      </w:r>
      <w:r w:rsidR="00CC3790">
        <w:rPr>
          <w:rFonts w:cs="Arial"/>
          <w:color w:val="000000"/>
          <w:szCs w:val="22"/>
        </w:rPr>
        <w:t xml:space="preserve">.  </w:t>
      </w:r>
      <w:r w:rsidR="002F10AD">
        <w:rPr>
          <w:rFonts w:cs="Arial"/>
          <w:color w:val="000000"/>
          <w:szCs w:val="22"/>
        </w:rPr>
        <w:t>Additionally, t</w:t>
      </w:r>
      <w:r w:rsidRPr="00EC19A1" w:rsidR="002F10AD">
        <w:rPr>
          <w:rFonts w:cs="Arial"/>
          <w:color w:val="000000"/>
          <w:szCs w:val="22"/>
        </w:rPr>
        <w:t>he applicability of the</w:t>
      </w:r>
      <w:r w:rsidR="002F10AD">
        <w:rPr>
          <w:rFonts w:cs="Arial"/>
          <w:color w:val="000000"/>
          <w:szCs w:val="22"/>
        </w:rPr>
        <w:t>se</w:t>
      </w:r>
      <w:r w:rsidRPr="00EC19A1" w:rsidR="002F10AD">
        <w:rPr>
          <w:rFonts w:cs="Arial"/>
          <w:color w:val="000000"/>
          <w:szCs w:val="22"/>
        </w:rPr>
        <w:t xml:space="preserve"> notifications has been expanded t</w:t>
      </w:r>
      <w:r w:rsidR="002F10AD">
        <w:rPr>
          <w:rFonts w:cs="Arial"/>
          <w:color w:val="000000"/>
          <w:szCs w:val="22"/>
        </w:rPr>
        <w:t xml:space="preserve">o include additional facilities and </w:t>
      </w:r>
      <w:r w:rsidRPr="00EC19A1" w:rsidR="002F10AD">
        <w:rPr>
          <w:rFonts w:cs="Arial"/>
          <w:color w:val="000000"/>
          <w:szCs w:val="22"/>
        </w:rPr>
        <w:t>activities</w:t>
      </w:r>
      <w:r w:rsidR="002F10AD">
        <w:rPr>
          <w:rFonts w:cs="Arial"/>
          <w:color w:val="000000"/>
          <w:szCs w:val="22"/>
        </w:rPr>
        <w:t xml:space="preserve"> involving HLW.  However, no HLW storage or disposal facilities are currently licensed by the NRC, nor is any transportation of HLW ongoing to</w:t>
      </w:r>
      <w:r w:rsidR="00B63C99">
        <w:rPr>
          <w:rFonts w:cs="Arial"/>
          <w:color w:val="000000"/>
          <w:szCs w:val="22"/>
        </w:rPr>
        <w:t xml:space="preserve"> or from</w:t>
      </w:r>
      <w:r w:rsidR="002F10AD">
        <w:rPr>
          <w:rFonts w:cs="Arial"/>
          <w:color w:val="000000"/>
          <w:szCs w:val="22"/>
        </w:rPr>
        <w:t xml:space="preserve"> NRC-regulated facilities. Therefore, this addition of applicability to </w:t>
      </w:r>
      <w:r w:rsidR="006430F7">
        <w:rPr>
          <w:rFonts w:cs="Arial"/>
          <w:color w:val="000000"/>
          <w:szCs w:val="22"/>
        </w:rPr>
        <w:t>HLW</w:t>
      </w:r>
      <w:r w:rsidR="002F10AD">
        <w:rPr>
          <w:rFonts w:cs="Arial"/>
          <w:color w:val="000000"/>
          <w:szCs w:val="22"/>
        </w:rPr>
        <w:t xml:space="preserve"> facilities and activities causes no increase in burden.</w:t>
      </w:r>
      <w:r w:rsidR="00725379">
        <w:rPr>
          <w:rFonts w:cs="Arial"/>
          <w:color w:val="000000"/>
          <w:szCs w:val="22"/>
        </w:rPr>
        <w:t xml:space="preserve">  Each of the provisions appl</w:t>
      </w:r>
      <w:r w:rsidR="00BF5473">
        <w:rPr>
          <w:rFonts w:cs="Arial"/>
          <w:color w:val="000000"/>
          <w:szCs w:val="22"/>
        </w:rPr>
        <w:t>ies</w:t>
      </w:r>
      <w:r w:rsidR="00725379">
        <w:rPr>
          <w:rFonts w:cs="Arial"/>
          <w:color w:val="000000"/>
          <w:szCs w:val="22"/>
        </w:rPr>
        <w:t xml:space="preserve"> to a specific set of licensees</w:t>
      </w:r>
      <w:r w:rsidR="006E1E68">
        <w:rPr>
          <w:rFonts w:cs="Arial"/>
          <w:color w:val="000000"/>
          <w:szCs w:val="22"/>
        </w:rPr>
        <w:t xml:space="preserve"> and not all provisions apply to all licensees</w:t>
      </w:r>
      <w:r w:rsidR="00725379">
        <w:rPr>
          <w:rFonts w:cs="Arial"/>
          <w:color w:val="000000"/>
          <w:szCs w:val="22"/>
        </w:rPr>
        <w:t>.</w:t>
      </w:r>
    </w:p>
    <w:p w:rsidR="00CC3790" w:rsidP="00577D64" w:rsidRDefault="00CC3790" w14:paraId="39681311" w14:textId="77777777">
      <w:pPr>
        <w:widowControl/>
        <w:ind w:left="720"/>
        <w:rPr>
          <w:rFonts w:cs="Arial"/>
          <w:color w:val="000000"/>
          <w:szCs w:val="22"/>
        </w:rPr>
      </w:pPr>
    </w:p>
    <w:p w:rsidRPr="00A32597" w:rsidR="008E2E46" w:rsidP="00577D64" w:rsidRDefault="00E967A8" w14:paraId="68B03DBA" w14:textId="69D098BD">
      <w:pPr>
        <w:widowControl/>
        <w:ind w:left="720"/>
        <w:rPr>
          <w:rFonts w:cs="Arial"/>
        </w:rPr>
      </w:pPr>
      <w:r w:rsidRPr="334BA068">
        <w:rPr>
          <w:rFonts w:cs="Arial"/>
          <w:u w:val="single"/>
        </w:rPr>
        <w:t>Section 73.</w:t>
      </w:r>
      <w:r w:rsidRPr="334BA068" w:rsidR="00592596">
        <w:rPr>
          <w:rFonts w:cs="Arial"/>
          <w:u w:val="single"/>
        </w:rPr>
        <w:t>1200</w:t>
      </w:r>
      <w:r w:rsidRPr="334BA068">
        <w:rPr>
          <w:rFonts w:cs="Arial"/>
          <w:u w:val="single"/>
        </w:rPr>
        <w:t>(a)</w:t>
      </w:r>
      <w:r w:rsidRPr="334BA068">
        <w:rPr>
          <w:rFonts w:cs="Arial"/>
        </w:rPr>
        <w:t xml:space="preserve"> requires </w:t>
      </w:r>
      <w:r w:rsidRPr="334BA068" w:rsidR="003161B4">
        <w:rPr>
          <w:rFonts w:cs="Arial"/>
        </w:rPr>
        <w:t xml:space="preserve">a </w:t>
      </w:r>
      <w:r w:rsidRPr="334BA068">
        <w:rPr>
          <w:rFonts w:cs="Arial"/>
        </w:rPr>
        <w:t xml:space="preserve">licensee </w:t>
      </w:r>
      <w:r w:rsidRPr="334BA068" w:rsidR="00547956">
        <w:rPr>
          <w:rFonts w:cs="Arial"/>
        </w:rPr>
        <w:t xml:space="preserve">to </w:t>
      </w:r>
      <w:r w:rsidRPr="334BA068">
        <w:rPr>
          <w:rFonts w:cs="Arial"/>
        </w:rPr>
        <w:t xml:space="preserve">notify the NRC </w:t>
      </w:r>
      <w:bookmarkStart w:name="OLE_LINK3" w:id="0"/>
      <w:bookmarkStart w:name="OLE_LINK4" w:id="1"/>
      <w:r w:rsidRPr="334BA068" w:rsidR="004A697C">
        <w:rPr>
          <w:rFonts w:cs="Arial"/>
        </w:rPr>
        <w:t>Headquarters</w:t>
      </w:r>
      <w:bookmarkEnd w:id="0"/>
      <w:bookmarkEnd w:id="1"/>
      <w:r w:rsidRPr="334BA068" w:rsidR="004A697C">
        <w:rPr>
          <w:rFonts w:cs="Arial"/>
        </w:rPr>
        <w:t xml:space="preserve"> </w:t>
      </w:r>
      <w:r w:rsidRPr="334BA068">
        <w:rPr>
          <w:rFonts w:cs="Arial"/>
        </w:rPr>
        <w:t xml:space="preserve">Operations Center as soon as possible, but </w:t>
      </w:r>
      <w:r w:rsidRPr="334BA068" w:rsidR="00ED136F">
        <w:rPr>
          <w:rFonts w:cs="Arial"/>
        </w:rPr>
        <w:t>within approximately</w:t>
      </w:r>
      <w:r w:rsidRPr="334BA068">
        <w:rPr>
          <w:rFonts w:cs="Arial"/>
        </w:rPr>
        <w:t xml:space="preserve"> 15 minutes after </w:t>
      </w:r>
      <w:r w:rsidRPr="334BA068" w:rsidR="006430F7">
        <w:rPr>
          <w:rFonts w:cs="Arial"/>
        </w:rPr>
        <w:t xml:space="preserve">the </w:t>
      </w:r>
      <w:r w:rsidRPr="334BA068">
        <w:rPr>
          <w:rFonts w:cs="Arial"/>
        </w:rPr>
        <w:t xml:space="preserve">discovery of an imminent or actual </w:t>
      </w:r>
      <w:r w:rsidRPr="334BA068" w:rsidR="006430F7">
        <w:rPr>
          <w:rFonts w:cs="Arial"/>
        </w:rPr>
        <w:t>hostile action</w:t>
      </w:r>
      <w:r w:rsidRPr="334BA068">
        <w:rPr>
          <w:rFonts w:cs="Arial"/>
        </w:rPr>
        <w:t xml:space="preserve"> </w:t>
      </w:r>
      <w:r w:rsidRPr="334BA068" w:rsidR="00973927">
        <w:rPr>
          <w:rFonts w:cs="Arial"/>
        </w:rPr>
        <w:t xml:space="preserve">or the notification by law enforcement or government officials of a potential hostile action or sabotage </w:t>
      </w:r>
      <w:r w:rsidRPr="334BA068" w:rsidR="00683FB0">
        <w:rPr>
          <w:rFonts w:cs="Arial"/>
        </w:rPr>
        <w:t>within the next 12 hours against the licensee’s facility</w:t>
      </w:r>
      <w:r w:rsidRPr="334BA068">
        <w:rPr>
          <w:rFonts w:cs="Arial"/>
        </w:rPr>
        <w:t>.  The report must identify the facility name, the type of threat</w:t>
      </w:r>
      <w:r w:rsidRPr="334BA068" w:rsidR="006430F7">
        <w:rPr>
          <w:rFonts w:cs="Arial"/>
        </w:rPr>
        <w:t xml:space="preserve"> or event</w:t>
      </w:r>
      <w:r w:rsidRPr="334BA068">
        <w:rPr>
          <w:rFonts w:cs="Arial"/>
        </w:rPr>
        <w:t>, and the status</w:t>
      </w:r>
      <w:r w:rsidRPr="334BA068" w:rsidR="006430F7">
        <w:rPr>
          <w:rFonts w:cs="Arial"/>
        </w:rPr>
        <w:t xml:space="preserve"> of the threat or event</w:t>
      </w:r>
      <w:r w:rsidRPr="334BA068" w:rsidR="00CC3790">
        <w:rPr>
          <w:rFonts w:cs="Arial"/>
        </w:rPr>
        <w:t xml:space="preserve"> (new requirement)</w:t>
      </w:r>
      <w:r w:rsidRPr="334BA068" w:rsidR="00460F13">
        <w:rPr>
          <w:rFonts w:cs="Arial"/>
        </w:rPr>
        <w:t>.</w:t>
      </w:r>
    </w:p>
    <w:p w:rsidRPr="00A32597" w:rsidR="008E2E46" w:rsidP="00577D64" w:rsidRDefault="008E2E46" w14:paraId="4C3CFE82" w14:textId="77777777">
      <w:pPr>
        <w:widowControl/>
        <w:ind w:left="720"/>
        <w:rPr>
          <w:rFonts w:cs="Arial"/>
          <w:szCs w:val="22"/>
          <w:u w:val="single"/>
        </w:rPr>
      </w:pPr>
    </w:p>
    <w:p w:rsidRPr="00A32597" w:rsidR="008E2E46" w:rsidP="00577D64" w:rsidRDefault="00547956" w14:paraId="5AFC9751" w14:textId="1150CE5A">
      <w:pPr>
        <w:widowControl/>
        <w:ind w:left="720"/>
        <w:rPr>
          <w:rFonts w:cs="Arial"/>
        </w:rPr>
      </w:pPr>
      <w:r w:rsidRPr="334BA068">
        <w:rPr>
          <w:rFonts w:cs="Arial"/>
          <w:u w:val="single"/>
        </w:rPr>
        <w:t>Section 73.</w:t>
      </w:r>
      <w:r w:rsidRPr="334BA068" w:rsidR="00DC0ACA">
        <w:rPr>
          <w:rFonts w:cs="Arial"/>
          <w:u w:val="single"/>
        </w:rPr>
        <w:t>1200</w:t>
      </w:r>
      <w:r w:rsidRPr="334BA068">
        <w:rPr>
          <w:rFonts w:cs="Arial"/>
          <w:u w:val="single"/>
        </w:rPr>
        <w:t>(b)</w:t>
      </w:r>
      <w:r w:rsidRPr="334BA068">
        <w:rPr>
          <w:rFonts w:cs="Arial"/>
        </w:rPr>
        <w:t xml:space="preserve"> requires </w:t>
      </w:r>
      <w:r w:rsidRPr="334BA068" w:rsidR="003161B4">
        <w:rPr>
          <w:rFonts w:cs="Arial"/>
        </w:rPr>
        <w:t>a</w:t>
      </w:r>
      <w:r w:rsidRPr="334BA068">
        <w:rPr>
          <w:rFonts w:cs="Arial"/>
        </w:rPr>
        <w:t xml:space="preserve"> licensee to notify the NRC </w:t>
      </w:r>
      <w:r w:rsidRPr="334BA068" w:rsidR="004A697C">
        <w:rPr>
          <w:rFonts w:cs="Arial"/>
        </w:rPr>
        <w:t xml:space="preserve">Headquarters </w:t>
      </w:r>
      <w:r w:rsidRPr="334BA068">
        <w:rPr>
          <w:rFonts w:cs="Arial"/>
        </w:rPr>
        <w:t xml:space="preserve">Operations Center as soon as possible, but </w:t>
      </w:r>
      <w:r w:rsidRPr="334BA068" w:rsidR="00ED136F">
        <w:rPr>
          <w:rFonts w:cs="Arial"/>
        </w:rPr>
        <w:t>within approximately</w:t>
      </w:r>
      <w:r w:rsidRPr="334BA068">
        <w:rPr>
          <w:rFonts w:cs="Arial"/>
        </w:rPr>
        <w:t xml:space="preserve"> 15 minutes after discovery of an imminent or actual threat </w:t>
      </w:r>
      <w:r w:rsidRPr="334BA068" w:rsidR="008B34B4">
        <w:rPr>
          <w:rFonts w:cs="Arial"/>
        </w:rPr>
        <w:t xml:space="preserve">or </w:t>
      </w:r>
      <w:r w:rsidRPr="334BA068" w:rsidR="00A70C5F">
        <w:rPr>
          <w:rFonts w:cs="Arial"/>
        </w:rPr>
        <w:t xml:space="preserve">the notification by </w:t>
      </w:r>
      <w:r w:rsidRPr="334BA068" w:rsidR="008B34B4">
        <w:rPr>
          <w:rFonts w:cs="Arial"/>
        </w:rPr>
        <w:t xml:space="preserve">government officials of a potential hostile action or sabotage within the next 12 hours against a shipment of </w:t>
      </w:r>
      <w:r w:rsidR="008B34B4">
        <w:t xml:space="preserve">Category I </w:t>
      </w:r>
      <w:r w:rsidRPr="00A32597" w:rsidR="008B34B4">
        <w:t>SSNM</w:t>
      </w:r>
      <w:r w:rsidR="008B34B4">
        <w:t>,</w:t>
      </w:r>
      <w:r w:rsidRPr="334BA068" w:rsidR="008B34B4">
        <w:rPr>
          <w:rFonts w:cs="Arial"/>
        </w:rPr>
        <w:t xml:space="preserve"> SNF</w:t>
      </w:r>
      <w:r w:rsidRPr="00A32597" w:rsidR="008B34B4">
        <w:t xml:space="preserve">, </w:t>
      </w:r>
      <w:r w:rsidR="008B34B4">
        <w:t xml:space="preserve">or </w:t>
      </w:r>
      <w:r w:rsidRPr="00A32597" w:rsidR="008B34B4">
        <w:t>HLW</w:t>
      </w:r>
      <w:r w:rsidRPr="334BA068">
        <w:rPr>
          <w:rFonts w:cs="Arial"/>
        </w:rPr>
        <w:t xml:space="preserve">.  The report must identify the facility </w:t>
      </w:r>
      <w:r w:rsidRPr="334BA068" w:rsidR="003F37CE">
        <w:rPr>
          <w:rFonts w:cs="Arial"/>
        </w:rPr>
        <w:t>making the shipment</w:t>
      </w:r>
      <w:r w:rsidRPr="334BA068">
        <w:rPr>
          <w:rFonts w:cs="Arial"/>
        </w:rPr>
        <w:t xml:space="preserve">, </w:t>
      </w:r>
      <w:r w:rsidRPr="334BA068" w:rsidR="003F37CE">
        <w:rPr>
          <w:rFonts w:cs="Arial"/>
        </w:rPr>
        <w:t xml:space="preserve">type of material being shipped, </w:t>
      </w:r>
      <w:r w:rsidRPr="334BA068" w:rsidR="00A70C5F">
        <w:rPr>
          <w:rFonts w:cs="Arial"/>
        </w:rPr>
        <w:t xml:space="preserve">the last know location of the shipment, </w:t>
      </w:r>
      <w:r w:rsidRPr="334BA068">
        <w:rPr>
          <w:rFonts w:cs="Arial"/>
        </w:rPr>
        <w:t>the type of threat</w:t>
      </w:r>
      <w:r w:rsidRPr="334BA068" w:rsidR="006430F7">
        <w:rPr>
          <w:rFonts w:cs="Arial"/>
        </w:rPr>
        <w:t xml:space="preserve"> or event</w:t>
      </w:r>
      <w:r w:rsidRPr="334BA068">
        <w:rPr>
          <w:rFonts w:cs="Arial"/>
        </w:rPr>
        <w:t xml:space="preserve">, and the threat </w:t>
      </w:r>
      <w:r w:rsidRPr="334BA068" w:rsidR="006430F7">
        <w:rPr>
          <w:rFonts w:cs="Arial"/>
        </w:rPr>
        <w:t xml:space="preserve">or event </w:t>
      </w:r>
      <w:r w:rsidRPr="334BA068">
        <w:rPr>
          <w:rFonts w:cs="Arial"/>
        </w:rPr>
        <w:t>status</w:t>
      </w:r>
      <w:r w:rsidRPr="334BA068" w:rsidR="00CC3790">
        <w:rPr>
          <w:rFonts w:cs="Arial"/>
        </w:rPr>
        <w:t xml:space="preserve"> (new requirement)</w:t>
      </w:r>
      <w:r w:rsidRPr="334BA068" w:rsidR="00460F13">
        <w:rPr>
          <w:rFonts w:cs="Arial"/>
        </w:rPr>
        <w:t>.</w:t>
      </w:r>
    </w:p>
    <w:p w:rsidRPr="00A32597" w:rsidR="008E2E46" w:rsidP="00577D64" w:rsidRDefault="008E2E46" w14:paraId="2745F351" w14:textId="77777777">
      <w:pPr>
        <w:widowControl/>
        <w:ind w:left="720"/>
        <w:rPr>
          <w:rFonts w:cs="Arial"/>
          <w:szCs w:val="22"/>
          <w:u w:val="single"/>
        </w:rPr>
      </w:pPr>
    </w:p>
    <w:p w:rsidRPr="00A32597" w:rsidR="008E2E46" w:rsidP="00577D64" w:rsidRDefault="00547956" w14:paraId="41942BB0" w14:textId="124FD2D5">
      <w:pPr>
        <w:widowControl/>
        <w:ind w:left="720"/>
        <w:rPr>
          <w:rFonts w:cs="Arial"/>
          <w:szCs w:val="22"/>
        </w:rPr>
      </w:pPr>
      <w:r w:rsidRPr="00A32597">
        <w:rPr>
          <w:rFonts w:cs="Arial"/>
          <w:szCs w:val="22"/>
          <w:u w:val="single"/>
        </w:rPr>
        <w:t>Section 73.</w:t>
      </w:r>
      <w:r w:rsidR="00D14197">
        <w:rPr>
          <w:rFonts w:cs="Arial"/>
          <w:szCs w:val="22"/>
          <w:u w:val="single"/>
        </w:rPr>
        <w:t>1200</w:t>
      </w:r>
      <w:r w:rsidRPr="00A32597">
        <w:rPr>
          <w:rFonts w:cs="Arial"/>
          <w:szCs w:val="22"/>
          <w:u w:val="single"/>
        </w:rPr>
        <w:t>(c)</w:t>
      </w:r>
      <w:r w:rsidRPr="00A32597">
        <w:rPr>
          <w:rFonts w:cs="Arial"/>
          <w:szCs w:val="22"/>
        </w:rPr>
        <w:t xml:space="preserve"> requires </w:t>
      </w:r>
      <w:r w:rsidRPr="00A32597" w:rsidR="006430F7">
        <w:rPr>
          <w:rFonts w:cs="Arial"/>
          <w:szCs w:val="22"/>
        </w:rPr>
        <w:t xml:space="preserve">that each licensee subject to the provisions of </w:t>
      </w:r>
      <w:r w:rsidR="006430F7">
        <w:rPr>
          <w:rFonts w:cs="Arial"/>
          <w:szCs w:val="22"/>
        </w:rPr>
        <w:t>§</w:t>
      </w:r>
      <w:r w:rsidRPr="00353FF1" w:rsidR="006430F7">
        <w:rPr>
          <w:rFonts w:cs="Arial"/>
          <w:szCs w:val="22"/>
        </w:rPr>
        <w:t>§</w:t>
      </w:r>
      <w:r w:rsidRPr="00A32597" w:rsidR="006430F7">
        <w:rPr>
          <w:rFonts w:cs="Arial"/>
          <w:szCs w:val="22"/>
        </w:rPr>
        <w:t xml:space="preserve"> 73.20, 73.45, 73.46, 73.50, 73.51, 73.55, 73.60, or 73.67 </w:t>
      </w:r>
      <w:r w:rsidR="00A70C5F">
        <w:rPr>
          <w:rFonts w:cs="Arial"/>
          <w:szCs w:val="22"/>
        </w:rPr>
        <w:t xml:space="preserve">must </w:t>
      </w:r>
      <w:r w:rsidRPr="00A32597">
        <w:rPr>
          <w:rFonts w:cs="Arial"/>
          <w:szCs w:val="22"/>
        </w:rPr>
        <w:t xml:space="preserve">notify the NRC </w:t>
      </w:r>
      <w:r w:rsidRPr="00A32597" w:rsidR="004A697C">
        <w:rPr>
          <w:rFonts w:cs="Arial"/>
          <w:szCs w:val="22"/>
        </w:rPr>
        <w:t xml:space="preserve">Headquarters </w:t>
      </w:r>
      <w:r w:rsidRPr="00A32597">
        <w:rPr>
          <w:rFonts w:cs="Arial"/>
          <w:szCs w:val="22"/>
        </w:rPr>
        <w:t xml:space="preserve">Operations Center no later than </w:t>
      </w:r>
      <w:r w:rsidR="00D14197">
        <w:rPr>
          <w:rFonts w:cs="Arial"/>
          <w:szCs w:val="22"/>
        </w:rPr>
        <w:t>one hour</w:t>
      </w:r>
      <w:r w:rsidRPr="00A32597">
        <w:rPr>
          <w:rFonts w:cs="Arial"/>
          <w:szCs w:val="22"/>
        </w:rPr>
        <w:t xml:space="preserve"> after </w:t>
      </w:r>
      <w:r w:rsidR="00D00DEE">
        <w:rPr>
          <w:rFonts w:cs="Arial"/>
          <w:szCs w:val="22"/>
        </w:rPr>
        <w:t xml:space="preserve">the </w:t>
      </w:r>
      <w:r w:rsidR="00A70C5F">
        <w:rPr>
          <w:rFonts w:cs="Arial"/>
          <w:szCs w:val="22"/>
        </w:rPr>
        <w:t xml:space="preserve">time of </w:t>
      </w:r>
      <w:r w:rsidRPr="00A32597">
        <w:rPr>
          <w:rFonts w:cs="Arial"/>
          <w:szCs w:val="22"/>
        </w:rPr>
        <w:t xml:space="preserve">discovery of a </w:t>
      </w:r>
      <w:r w:rsidR="00D14197">
        <w:rPr>
          <w:rFonts w:cs="Arial"/>
          <w:szCs w:val="22"/>
        </w:rPr>
        <w:t>significant facility security</w:t>
      </w:r>
      <w:r w:rsidRPr="00A32597">
        <w:rPr>
          <w:rFonts w:cs="Arial"/>
          <w:szCs w:val="22"/>
        </w:rPr>
        <w:t xml:space="preserve"> event </w:t>
      </w:r>
      <w:r w:rsidR="006430F7">
        <w:rPr>
          <w:rFonts w:cs="Arial"/>
          <w:szCs w:val="22"/>
        </w:rPr>
        <w:t xml:space="preserve">at </w:t>
      </w:r>
      <w:r w:rsidR="007B4231">
        <w:rPr>
          <w:rFonts w:cs="Arial"/>
          <w:szCs w:val="22"/>
        </w:rPr>
        <w:t>a fixed site</w:t>
      </w:r>
      <w:r w:rsidR="00DC0ACA">
        <w:rPr>
          <w:rFonts w:cs="Arial"/>
          <w:szCs w:val="22"/>
        </w:rPr>
        <w:t xml:space="preserve"> (</w:t>
      </w:r>
      <w:r w:rsidR="00CC3790">
        <w:rPr>
          <w:rFonts w:cs="Arial"/>
          <w:szCs w:val="22"/>
        </w:rPr>
        <w:t xml:space="preserve">existing requirement, </w:t>
      </w:r>
      <w:r w:rsidR="00DC0ACA">
        <w:rPr>
          <w:rFonts w:cs="Arial"/>
          <w:szCs w:val="22"/>
        </w:rPr>
        <w:t>no new burden as a result of the final rule)</w:t>
      </w:r>
      <w:r w:rsidR="002A6105">
        <w:rPr>
          <w:rFonts w:cs="Arial"/>
          <w:szCs w:val="22"/>
        </w:rPr>
        <w:t>.</w:t>
      </w:r>
    </w:p>
    <w:p w:rsidRPr="00A32597" w:rsidR="008E2E46" w:rsidP="00577D64" w:rsidRDefault="008E2E46" w14:paraId="6C5CE0CB" w14:textId="77777777">
      <w:pPr>
        <w:widowControl/>
        <w:ind w:left="720"/>
        <w:rPr>
          <w:rFonts w:cs="Arial"/>
          <w:szCs w:val="22"/>
          <w:u w:val="single"/>
        </w:rPr>
      </w:pPr>
    </w:p>
    <w:p w:rsidRPr="00A32597" w:rsidR="008E2E46" w:rsidP="00577D64" w:rsidRDefault="00547956" w14:paraId="4228AE21" w14:textId="41C3DF06">
      <w:pPr>
        <w:widowControl/>
        <w:ind w:left="720"/>
        <w:rPr>
          <w:rFonts w:cs="Arial"/>
          <w:szCs w:val="22"/>
        </w:rPr>
      </w:pPr>
      <w:r w:rsidRPr="00A32597">
        <w:rPr>
          <w:rFonts w:cs="Arial"/>
          <w:szCs w:val="22"/>
          <w:u w:val="single"/>
        </w:rPr>
        <w:t>Section 73.</w:t>
      </w:r>
      <w:r w:rsidR="00D14197">
        <w:rPr>
          <w:rFonts w:cs="Arial"/>
          <w:szCs w:val="22"/>
          <w:u w:val="single"/>
        </w:rPr>
        <w:t>1200</w:t>
      </w:r>
      <w:r w:rsidRPr="00A32597">
        <w:rPr>
          <w:rFonts w:cs="Arial"/>
          <w:szCs w:val="22"/>
          <w:u w:val="single"/>
        </w:rPr>
        <w:t>(d)</w:t>
      </w:r>
      <w:r w:rsidRPr="00A32597">
        <w:rPr>
          <w:rFonts w:cs="Arial"/>
          <w:szCs w:val="22"/>
        </w:rPr>
        <w:t xml:space="preserve"> requires </w:t>
      </w:r>
      <w:r w:rsidRPr="00A32597" w:rsidR="006430F7">
        <w:rPr>
          <w:rFonts w:cs="Arial"/>
          <w:szCs w:val="22"/>
        </w:rPr>
        <w:t xml:space="preserve">that each licensee subject to the provisions of </w:t>
      </w:r>
      <w:r w:rsidR="006430F7">
        <w:rPr>
          <w:rFonts w:cs="Arial"/>
          <w:szCs w:val="22"/>
        </w:rPr>
        <w:t>§</w:t>
      </w:r>
      <w:r w:rsidRPr="00353FF1" w:rsidR="006430F7">
        <w:rPr>
          <w:rFonts w:cs="Arial"/>
          <w:szCs w:val="22"/>
        </w:rPr>
        <w:t>§</w:t>
      </w:r>
      <w:r w:rsidRPr="00A32597" w:rsidR="006430F7">
        <w:rPr>
          <w:rFonts w:cs="Arial"/>
          <w:szCs w:val="22"/>
        </w:rPr>
        <w:t> 73.20, 73.</w:t>
      </w:r>
      <w:r w:rsidR="006430F7">
        <w:rPr>
          <w:rFonts w:cs="Arial"/>
          <w:szCs w:val="22"/>
        </w:rPr>
        <w:t>2</w:t>
      </w:r>
      <w:r w:rsidRPr="00A32597" w:rsidR="006430F7">
        <w:rPr>
          <w:rFonts w:cs="Arial"/>
          <w:szCs w:val="22"/>
        </w:rPr>
        <w:t>5, 73.</w:t>
      </w:r>
      <w:r w:rsidR="006430F7">
        <w:rPr>
          <w:rFonts w:cs="Arial"/>
          <w:szCs w:val="22"/>
        </w:rPr>
        <w:t>2</w:t>
      </w:r>
      <w:r w:rsidRPr="00A32597" w:rsidR="006430F7">
        <w:rPr>
          <w:rFonts w:cs="Arial"/>
          <w:szCs w:val="22"/>
        </w:rPr>
        <w:t>6, 73.</w:t>
      </w:r>
      <w:r w:rsidR="006430F7">
        <w:rPr>
          <w:rFonts w:cs="Arial"/>
          <w:szCs w:val="22"/>
        </w:rPr>
        <w:t>27</w:t>
      </w:r>
      <w:r w:rsidRPr="00A32597" w:rsidR="006430F7">
        <w:rPr>
          <w:rFonts w:cs="Arial"/>
          <w:szCs w:val="22"/>
        </w:rPr>
        <w:t>, 73.</w:t>
      </w:r>
      <w:r w:rsidR="006430F7">
        <w:rPr>
          <w:rFonts w:cs="Arial"/>
          <w:szCs w:val="22"/>
        </w:rPr>
        <w:t>37</w:t>
      </w:r>
      <w:r w:rsidRPr="00A32597" w:rsidR="006430F7">
        <w:rPr>
          <w:rFonts w:cs="Arial"/>
          <w:szCs w:val="22"/>
        </w:rPr>
        <w:t xml:space="preserve">, or 73.67 </w:t>
      </w:r>
      <w:r w:rsidR="00A70C5F">
        <w:rPr>
          <w:rFonts w:cs="Arial"/>
          <w:szCs w:val="22"/>
        </w:rPr>
        <w:t xml:space="preserve">must </w:t>
      </w:r>
      <w:r w:rsidRPr="00A32597">
        <w:rPr>
          <w:rFonts w:cs="Arial"/>
          <w:szCs w:val="22"/>
        </w:rPr>
        <w:t xml:space="preserve">notify the NRC </w:t>
      </w:r>
      <w:r w:rsidRPr="00A32597" w:rsidR="004A697C">
        <w:rPr>
          <w:rFonts w:cs="Arial"/>
          <w:szCs w:val="22"/>
        </w:rPr>
        <w:t xml:space="preserve">Headquarters </w:t>
      </w:r>
      <w:r w:rsidRPr="00A32597">
        <w:rPr>
          <w:rFonts w:cs="Arial"/>
          <w:szCs w:val="22"/>
        </w:rPr>
        <w:t xml:space="preserve">Operations Center no later than </w:t>
      </w:r>
      <w:r w:rsidR="00D14197">
        <w:rPr>
          <w:rFonts w:cs="Arial"/>
          <w:szCs w:val="22"/>
        </w:rPr>
        <w:t>one hour</w:t>
      </w:r>
      <w:r w:rsidRPr="00A32597">
        <w:rPr>
          <w:rFonts w:cs="Arial"/>
          <w:szCs w:val="22"/>
        </w:rPr>
        <w:t xml:space="preserve"> after </w:t>
      </w:r>
      <w:r w:rsidR="00D00DEE">
        <w:rPr>
          <w:rFonts w:cs="Arial"/>
          <w:szCs w:val="22"/>
        </w:rPr>
        <w:t xml:space="preserve">the </w:t>
      </w:r>
      <w:r w:rsidR="00A70C5F">
        <w:rPr>
          <w:rFonts w:cs="Arial"/>
          <w:szCs w:val="22"/>
        </w:rPr>
        <w:t xml:space="preserve">time of </w:t>
      </w:r>
      <w:r w:rsidRPr="00A32597">
        <w:rPr>
          <w:rFonts w:cs="Arial"/>
          <w:szCs w:val="22"/>
        </w:rPr>
        <w:t xml:space="preserve">discovery of </w:t>
      </w:r>
      <w:r w:rsidR="006430F7">
        <w:rPr>
          <w:rFonts w:cs="Arial"/>
          <w:szCs w:val="22"/>
        </w:rPr>
        <w:t>significant transportation security event</w:t>
      </w:r>
      <w:r w:rsidRPr="00DC0ACA" w:rsidR="00DC0ACA">
        <w:rPr>
          <w:rFonts w:cs="Arial"/>
          <w:szCs w:val="22"/>
        </w:rPr>
        <w:t xml:space="preserve"> </w:t>
      </w:r>
      <w:r w:rsidR="00DC0ACA">
        <w:rPr>
          <w:rFonts w:cs="Arial"/>
          <w:szCs w:val="22"/>
        </w:rPr>
        <w:t>(</w:t>
      </w:r>
      <w:r w:rsidR="00CC3790">
        <w:rPr>
          <w:rFonts w:cs="Arial"/>
          <w:szCs w:val="22"/>
        </w:rPr>
        <w:t xml:space="preserve">existing requirement, </w:t>
      </w:r>
      <w:r w:rsidR="00DC0ACA">
        <w:rPr>
          <w:rFonts w:cs="Arial"/>
          <w:szCs w:val="22"/>
        </w:rPr>
        <w:t>no new burden as a result of the final rule)</w:t>
      </w:r>
      <w:r w:rsidR="002A6105">
        <w:rPr>
          <w:rFonts w:cs="Arial"/>
          <w:szCs w:val="22"/>
        </w:rPr>
        <w:t>.</w:t>
      </w:r>
    </w:p>
    <w:p w:rsidRPr="00A32597" w:rsidR="008E2E46" w:rsidP="00577D64" w:rsidRDefault="008E2E46" w14:paraId="2DACEE7F" w14:textId="77777777">
      <w:pPr>
        <w:widowControl/>
        <w:ind w:left="720"/>
        <w:rPr>
          <w:rFonts w:cs="Arial"/>
          <w:szCs w:val="22"/>
          <w:u w:val="single"/>
        </w:rPr>
      </w:pPr>
    </w:p>
    <w:p w:rsidRPr="00A32597" w:rsidR="008E2E46" w:rsidP="00577D64" w:rsidRDefault="00E967A8" w14:paraId="5E46550D" w14:textId="5918B920">
      <w:pPr>
        <w:widowControl/>
        <w:ind w:left="720"/>
        <w:rPr>
          <w:rFonts w:cs="Arial"/>
          <w:szCs w:val="22"/>
        </w:rPr>
      </w:pPr>
      <w:r w:rsidRPr="00A32597">
        <w:rPr>
          <w:rFonts w:cs="Arial"/>
          <w:szCs w:val="22"/>
          <w:u w:val="single"/>
        </w:rPr>
        <w:t>Section 73.</w:t>
      </w:r>
      <w:r w:rsidR="00196350">
        <w:rPr>
          <w:rFonts w:cs="Arial"/>
          <w:szCs w:val="22"/>
          <w:u w:val="single"/>
        </w:rPr>
        <w:t>1200</w:t>
      </w:r>
      <w:r w:rsidRPr="00A32597">
        <w:rPr>
          <w:rFonts w:cs="Arial"/>
          <w:szCs w:val="22"/>
          <w:u w:val="single"/>
        </w:rPr>
        <w:t>(</w:t>
      </w:r>
      <w:r w:rsidRPr="00A32597" w:rsidR="00547956">
        <w:rPr>
          <w:rFonts w:cs="Arial"/>
          <w:szCs w:val="22"/>
          <w:u w:val="single"/>
        </w:rPr>
        <w:t>e</w:t>
      </w:r>
      <w:r w:rsidRPr="00A32597">
        <w:rPr>
          <w:rFonts w:cs="Arial"/>
          <w:szCs w:val="22"/>
          <w:u w:val="single"/>
        </w:rPr>
        <w:t>)</w:t>
      </w:r>
      <w:r w:rsidRPr="00A32597">
        <w:rPr>
          <w:rFonts w:cs="Arial"/>
          <w:szCs w:val="22"/>
        </w:rPr>
        <w:t xml:space="preserve"> requires </w:t>
      </w:r>
      <w:r w:rsidR="00D00DEE">
        <w:rPr>
          <w:rFonts w:cs="Arial"/>
          <w:szCs w:val="22"/>
        </w:rPr>
        <w:t xml:space="preserve">that </w:t>
      </w:r>
      <w:r w:rsidRPr="00A32597" w:rsidR="00D00DEE">
        <w:rPr>
          <w:rFonts w:cs="Arial"/>
          <w:szCs w:val="22"/>
        </w:rPr>
        <w:t xml:space="preserve">each licensee subject to the provisions of </w:t>
      </w:r>
      <w:r w:rsidR="00D00DEE">
        <w:rPr>
          <w:rFonts w:cs="Arial"/>
          <w:szCs w:val="22"/>
        </w:rPr>
        <w:t>§</w:t>
      </w:r>
      <w:r w:rsidRPr="00353FF1" w:rsidR="00D00DEE">
        <w:rPr>
          <w:rFonts w:cs="Arial"/>
          <w:szCs w:val="22"/>
        </w:rPr>
        <w:t>§</w:t>
      </w:r>
      <w:r w:rsidRPr="00A32597" w:rsidR="00D00DEE">
        <w:rPr>
          <w:rFonts w:cs="Arial"/>
          <w:szCs w:val="22"/>
        </w:rPr>
        <w:t> 73.20, 73.45, 73.46, 73.50, 73.51, 73.55, 73.60, or 73.67</w:t>
      </w:r>
      <w:r w:rsidR="00D00DEE">
        <w:rPr>
          <w:rFonts w:cs="Arial"/>
          <w:szCs w:val="22"/>
        </w:rPr>
        <w:t xml:space="preserve"> </w:t>
      </w:r>
      <w:r w:rsidRPr="00A32597">
        <w:rPr>
          <w:rFonts w:cs="Arial"/>
          <w:szCs w:val="22"/>
        </w:rPr>
        <w:t xml:space="preserve">notify the NRC </w:t>
      </w:r>
      <w:r w:rsidRPr="00A32597" w:rsidR="004A697C">
        <w:rPr>
          <w:rFonts w:cs="Arial"/>
          <w:szCs w:val="22"/>
        </w:rPr>
        <w:t xml:space="preserve">Headquarters </w:t>
      </w:r>
      <w:r w:rsidRPr="00A32597">
        <w:rPr>
          <w:rFonts w:cs="Arial"/>
          <w:szCs w:val="22"/>
        </w:rPr>
        <w:t xml:space="preserve">Operations Center </w:t>
      </w:r>
      <w:r w:rsidR="00A70C5F">
        <w:rPr>
          <w:rFonts w:cs="Arial"/>
          <w:szCs w:val="22"/>
        </w:rPr>
        <w:t xml:space="preserve">no later than </w:t>
      </w:r>
      <w:r w:rsidRPr="00A32597">
        <w:rPr>
          <w:rFonts w:cs="Arial"/>
          <w:szCs w:val="22"/>
        </w:rPr>
        <w:t>four hours after</w:t>
      </w:r>
      <w:r w:rsidRPr="00196350" w:rsidR="00196350">
        <w:t xml:space="preserve"> </w:t>
      </w:r>
      <w:r w:rsidR="00A70C5F">
        <w:t xml:space="preserve">time of </w:t>
      </w:r>
      <w:r w:rsidRPr="00A32597" w:rsidR="00D00DEE">
        <w:rPr>
          <w:rFonts w:cs="Arial"/>
          <w:szCs w:val="22"/>
        </w:rPr>
        <w:t xml:space="preserve">discovery of a </w:t>
      </w:r>
      <w:r w:rsidRPr="00196350" w:rsidR="00196350">
        <w:rPr>
          <w:rFonts w:cs="Arial"/>
          <w:szCs w:val="22"/>
        </w:rPr>
        <w:t>facility security challenge</w:t>
      </w:r>
      <w:r w:rsidRPr="00DC0ACA" w:rsidR="00DC0ACA">
        <w:rPr>
          <w:rFonts w:cs="Arial"/>
          <w:szCs w:val="22"/>
        </w:rPr>
        <w:t xml:space="preserve"> </w:t>
      </w:r>
      <w:r w:rsidR="00DC0ACA">
        <w:rPr>
          <w:rFonts w:cs="Arial"/>
          <w:szCs w:val="22"/>
        </w:rPr>
        <w:t>(</w:t>
      </w:r>
      <w:r w:rsidR="00CC3790">
        <w:rPr>
          <w:rFonts w:cs="Arial"/>
          <w:szCs w:val="22"/>
        </w:rPr>
        <w:t xml:space="preserve">existing requirement, </w:t>
      </w:r>
      <w:r w:rsidR="00C054E9">
        <w:rPr>
          <w:rFonts w:cs="Arial"/>
          <w:szCs w:val="22"/>
        </w:rPr>
        <w:t>no new</w:t>
      </w:r>
      <w:r w:rsidR="00DC0ACA">
        <w:rPr>
          <w:rFonts w:cs="Arial"/>
          <w:szCs w:val="22"/>
        </w:rPr>
        <w:t xml:space="preserve"> burden as a result of the final rule)</w:t>
      </w:r>
      <w:r w:rsidR="002A6105">
        <w:rPr>
          <w:rFonts w:cs="Arial"/>
          <w:szCs w:val="22"/>
        </w:rPr>
        <w:t>.</w:t>
      </w:r>
    </w:p>
    <w:p w:rsidRPr="00A32597" w:rsidR="008E2E46" w:rsidP="00577D64" w:rsidRDefault="008E2E46" w14:paraId="4B39C889" w14:textId="77777777">
      <w:pPr>
        <w:widowControl/>
        <w:ind w:left="720"/>
        <w:rPr>
          <w:rFonts w:cs="Arial"/>
          <w:szCs w:val="22"/>
          <w:u w:val="single"/>
        </w:rPr>
      </w:pPr>
    </w:p>
    <w:p w:rsidRPr="00A32597" w:rsidR="00C10D3A" w:rsidP="00577D64" w:rsidRDefault="007127EC" w14:paraId="02CF106E" w14:textId="1862CDDC">
      <w:pPr>
        <w:widowControl/>
        <w:ind w:left="720"/>
        <w:rPr>
          <w:rFonts w:cs="Arial"/>
          <w:szCs w:val="22"/>
        </w:rPr>
      </w:pPr>
      <w:r w:rsidRPr="00A32597">
        <w:rPr>
          <w:rFonts w:cs="Arial"/>
          <w:szCs w:val="22"/>
          <w:u w:val="single"/>
        </w:rPr>
        <w:t>Section 73.</w:t>
      </w:r>
      <w:r w:rsidR="00196350">
        <w:rPr>
          <w:rFonts w:cs="Arial"/>
          <w:szCs w:val="22"/>
          <w:u w:val="single"/>
        </w:rPr>
        <w:t>1200</w:t>
      </w:r>
      <w:r w:rsidRPr="00A32597">
        <w:rPr>
          <w:rFonts w:cs="Arial"/>
          <w:szCs w:val="22"/>
          <w:u w:val="single"/>
        </w:rPr>
        <w:t>(f)</w:t>
      </w:r>
      <w:r w:rsidRPr="00A32597">
        <w:rPr>
          <w:rFonts w:cs="Arial"/>
          <w:szCs w:val="22"/>
        </w:rPr>
        <w:t xml:space="preserve"> requires </w:t>
      </w:r>
      <w:r w:rsidR="00D00DEE">
        <w:rPr>
          <w:rFonts w:cs="Arial"/>
          <w:szCs w:val="22"/>
        </w:rPr>
        <w:t xml:space="preserve">that </w:t>
      </w:r>
      <w:r w:rsidRPr="00A32597" w:rsidR="00D00DEE">
        <w:rPr>
          <w:rFonts w:cs="Arial"/>
          <w:szCs w:val="22"/>
        </w:rPr>
        <w:t xml:space="preserve">each licensee subject to the provisions of </w:t>
      </w:r>
      <w:r w:rsidR="00D00DEE">
        <w:rPr>
          <w:rFonts w:cs="Arial"/>
          <w:szCs w:val="22"/>
        </w:rPr>
        <w:t>§</w:t>
      </w:r>
      <w:r w:rsidRPr="00353FF1" w:rsidR="00D00DEE">
        <w:rPr>
          <w:rFonts w:cs="Arial"/>
          <w:szCs w:val="22"/>
        </w:rPr>
        <w:t>§</w:t>
      </w:r>
      <w:r w:rsidRPr="00A32597" w:rsidR="00D00DEE">
        <w:rPr>
          <w:rFonts w:cs="Arial"/>
          <w:szCs w:val="22"/>
        </w:rPr>
        <w:t> 73.20, 73.</w:t>
      </w:r>
      <w:r w:rsidR="00D00DEE">
        <w:rPr>
          <w:rFonts w:cs="Arial"/>
          <w:szCs w:val="22"/>
        </w:rPr>
        <w:t>2</w:t>
      </w:r>
      <w:r w:rsidRPr="00A32597" w:rsidR="00D00DEE">
        <w:rPr>
          <w:rFonts w:cs="Arial"/>
          <w:szCs w:val="22"/>
        </w:rPr>
        <w:t>5, 73.</w:t>
      </w:r>
      <w:r w:rsidR="00D00DEE">
        <w:rPr>
          <w:rFonts w:cs="Arial"/>
          <w:szCs w:val="22"/>
        </w:rPr>
        <w:t>2</w:t>
      </w:r>
      <w:r w:rsidRPr="00A32597" w:rsidR="00D00DEE">
        <w:rPr>
          <w:rFonts w:cs="Arial"/>
          <w:szCs w:val="22"/>
        </w:rPr>
        <w:t>6, 73.</w:t>
      </w:r>
      <w:r w:rsidR="00D00DEE">
        <w:rPr>
          <w:rFonts w:cs="Arial"/>
          <w:szCs w:val="22"/>
        </w:rPr>
        <w:t>27</w:t>
      </w:r>
      <w:r w:rsidRPr="00A32597" w:rsidR="00D00DEE">
        <w:rPr>
          <w:rFonts w:cs="Arial"/>
          <w:szCs w:val="22"/>
        </w:rPr>
        <w:t>, 73.</w:t>
      </w:r>
      <w:r w:rsidR="00D00DEE">
        <w:rPr>
          <w:rFonts w:cs="Arial"/>
          <w:szCs w:val="22"/>
        </w:rPr>
        <w:t>37</w:t>
      </w:r>
      <w:r w:rsidRPr="00A32597" w:rsidR="00D00DEE">
        <w:rPr>
          <w:rFonts w:cs="Arial"/>
          <w:szCs w:val="22"/>
        </w:rPr>
        <w:t>, or 73.67</w:t>
      </w:r>
      <w:r w:rsidR="00D00DEE">
        <w:rPr>
          <w:rFonts w:cs="Arial"/>
          <w:szCs w:val="22"/>
        </w:rPr>
        <w:t xml:space="preserve"> </w:t>
      </w:r>
      <w:r w:rsidRPr="00A32597">
        <w:rPr>
          <w:rFonts w:cs="Arial"/>
          <w:szCs w:val="22"/>
        </w:rPr>
        <w:t xml:space="preserve">notify the NRC </w:t>
      </w:r>
      <w:r w:rsidRPr="00A32597" w:rsidR="004A697C">
        <w:rPr>
          <w:rFonts w:cs="Arial"/>
          <w:szCs w:val="22"/>
        </w:rPr>
        <w:t xml:space="preserve">Headquarters </w:t>
      </w:r>
      <w:r w:rsidRPr="00A32597">
        <w:rPr>
          <w:rFonts w:cs="Arial"/>
          <w:szCs w:val="22"/>
        </w:rPr>
        <w:t xml:space="preserve">Operations Center </w:t>
      </w:r>
      <w:r w:rsidR="00A70C5F">
        <w:rPr>
          <w:rFonts w:cs="Arial"/>
          <w:szCs w:val="22"/>
        </w:rPr>
        <w:t xml:space="preserve">no later than </w:t>
      </w:r>
      <w:r w:rsidR="00ED136F">
        <w:rPr>
          <w:rFonts w:cs="Arial"/>
          <w:szCs w:val="22"/>
        </w:rPr>
        <w:t>four</w:t>
      </w:r>
      <w:r w:rsidRPr="00A32597">
        <w:rPr>
          <w:rFonts w:cs="Arial"/>
          <w:szCs w:val="22"/>
        </w:rPr>
        <w:t xml:space="preserve"> hours after </w:t>
      </w:r>
      <w:r w:rsidR="00A70C5F">
        <w:rPr>
          <w:rFonts w:cs="Arial"/>
          <w:szCs w:val="22"/>
        </w:rPr>
        <w:t xml:space="preserve">time of </w:t>
      </w:r>
      <w:r w:rsidRPr="00A32597" w:rsidR="00D00DEE">
        <w:rPr>
          <w:rFonts w:cs="Arial"/>
          <w:szCs w:val="22"/>
        </w:rPr>
        <w:t xml:space="preserve">discovery of a </w:t>
      </w:r>
      <w:r w:rsidR="00D00DEE">
        <w:rPr>
          <w:rFonts w:cs="Arial"/>
          <w:szCs w:val="22"/>
        </w:rPr>
        <w:t xml:space="preserve">transportation </w:t>
      </w:r>
      <w:r w:rsidRPr="00196350" w:rsidR="00196350">
        <w:rPr>
          <w:rFonts w:cs="Arial"/>
          <w:szCs w:val="22"/>
        </w:rPr>
        <w:t>security challenge</w:t>
      </w:r>
      <w:r w:rsidR="00196350">
        <w:rPr>
          <w:rFonts w:cs="Arial"/>
          <w:szCs w:val="22"/>
        </w:rPr>
        <w:t xml:space="preserve"> </w:t>
      </w:r>
      <w:r w:rsidR="00DC0ACA">
        <w:rPr>
          <w:rFonts w:cs="Arial"/>
          <w:szCs w:val="22"/>
        </w:rPr>
        <w:t>(</w:t>
      </w:r>
      <w:r w:rsidR="00CC3790">
        <w:rPr>
          <w:rFonts w:cs="Arial"/>
          <w:szCs w:val="22"/>
        </w:rPr>
        <w:t>existing requirement, no</w:t>
      </w:r>
      <w:r w:rsidR="00DC0ACA">
        <w:rPr>
          <w:rFonts w:cs="Arial"/>
          <w:szCs w:val="22"/>
        </w:rPr>
        <w:t xml:space="preserve"> new burden as a result of the final rule)</w:t>
      </w:r>
      <w:r w:rsidR="002A6105">
        <w:rPr>
          <w:rFonts w:cs="Arial"/>
          <w:szCs w:val="22"/>
        </w:rPr>
        <w:t>.</w:t>
      </w:r>
    </w:p>
    <w:p w:rsidR="00C10D3A" w:rsidP="00577D64" w:rsidRDefault="00C10D3A" w14:paraId="5CB60B93" w14:textId="77777777">
      <w:pPr>
        <w:widowControl/>
        <w:ind w:left="720"/>
        <w:rPr>
          <w:rFonts w:cs="Arial"/>
          <w:szCs w:val="22"/>
          <w:u w:val="single"/>
        </w:rPr>
      </w:pPr>
    </w:p>
    <w:p w:rsidRPr="00094B8F" w:rsidR="00094B8F" w:rsidP="00577D64" w:rsidRDefault="007127EC" w14:paraId="4EE6E869" w14:textId="3F749878">
      <w:pPr>
        <w:widowControl/>
        <w:ind w:left="720"/>
        <w:rPr>
          <w:rFonts w:cs="Arial"/>
          <w:szCs w:val="22"/>
        </w:rPr>
      </w:pPr>
      <w:r w:rsidRPr="00A32597">
        <w:rPr>
          <w:rFonts w:cs="Arial"/>
          <w:szCs w:val="22"/>
          <w:u w:val="single"/>
        </w:rPr>
        <w:t>Section 73.</w:t>
      </w:r>
      <w:r w:rsidR="00196350">
        <w:rPr>
          <w:rFonts w:cs="Arial"/>
          <w:szCs w:val="22"/>
          <w:u w:val="single"/>
        </w:rPr>
        <w:t>1200</w:t>
      </w:r>
      <w:r w:rsidRPr="00A32597">
        <w:rPr>
          <w:rFonts w:cs="Arial"/>
          <w:szCs w:val="22"/>
          <w:u w:val="single"/>
        </w:rPr>
        <w:t>(</w:t>
      </w:r>
      <w:r w:rsidRPr="00A32597" w:rsidR="00E94CCB">
        <w:rPr>
          <w:rFonts w:cs="Arial"/>
          <w:szCs w:val="22"/>
          <w:u w:val="single"/>
        </w:rPr>
        <w:t>g</w:t>
      </w:r>
      <w:r w:rsidRPr="00A32597">
        <w:rPr>
          <w:rFonts w:cs="Arial"/>
          <w:szCs w:val="22"/>
          <w:u w:val="single"/>
        </w:rPr>
        <w:t>)</w:t>
      </w:r>
      <w:r w:rsidRPr="00A32597">
        <w:rPr>
          <w:rFonts w:cs="Arial"/>
          <w:szCs w:val="22"/>
        </w:rPr>
        <w:t xml:space="preserve"> requires </w:t>
      </w:r>
      <w:r w:rsidR="00D00DEE">
        <w:rPr>
          <w:rFonts w:cs="Arial"/>
          <w:szCs w:val="22"/>
        </w:rPr>
        <w:t xml:space="preserve">that </w:t>
      </w:r>
      <w:r w:rsidRPr="00A32597" w:rsidR="00D00DEE">
        <w:rPr>
          <w:rFonts w:cs="Arial"/>
          <w:szCs w:val="22"/>
        </w:rPr>
        <w:t xml:space="preserve">each licensee subject to the provisions of </w:t>
      </w:r>
      <w:r w:rsidR="00D00DEE">
        <w:rPr>
          <w:rFonts w:cs="Arial"/>
          <w:szCs w:val="22"/>
        </w:rPr>
        <w:t>§</w:t>
      </w:r>
      <w:r w:rsidRPr="00353FF1" w:rsidR="00D00DEE">
        <w:rPr>
          <w:rFonts w:cs="Arial"/>
          <w:szCs w:val="22"/>
        </w:rPr>
        <w:t>§</w:t>
      </w:r>
      <w:r w:rsidRPr="00A32597" w:rsidR="00D00DEE">
        <w:rPr>
          <w:rFonts w:cs="Arial"/>
          <w:szCs w:val="22"/>
        </w:rPr>
        <w:t> 73.20, 73.45, 73.46, 73.50, 73.51, 73.55, 73.60, or 73.67</w:t>
      </w:r>
      <w:r w:rsidR="00D00DEE">
        <w:rPr>
          <w:rFonts w:cs="Arial"/>
          <w:szCs w:val="22"/>
        </w:rPr>
        <w:t xml:space="preserve"> </w:t>
      </w:r>
      <w:r w:rsidRPr="00A32597">
        <w:rPr>
          <w:rFonts w:cs="Arial"/>
          <w:szCs w:val="22"/>
        </w:rPr>
        <w:t xml:space="preserve">notify the NRC </w:t>
      </w:r>
      <w:r w:rsidRPr="00A32597" w:rsidR="004A697C">
        <w:rPr>
          <w:rFonts w:cs="Arial"/>
          <w:szCs w:val="22"/>
        </w:rPr>
        <w:t xml:space="preserve">Headquarters </w:t>
      </w:r>
      <w:r w:rsidRPr="00A32597">
        <w:rPr>
          <w:rFonts w:cs="Arial"/>
          <w:szCs w:val="22"/>
        </w:rPr>
        <w:t xml:space="preserve">Operations Center </w:t>
      </w:r>
      <w:r w:rsidR="00A70C5F">
        <w:rPr>
          <w:rFonts w:cs="Arial"/>
          <w:szCs w:val="22"/>
        </w:rPr>
        <w:t xml:space="preserve">no later than </w:t>
      </w:r>
      <w:r w:rsidR="00094B8F">
        <w:rPr>
          <w:rFonts w:cs="Arial"/>
          <w:szCs w:val="22"/>
        </w:rPr>
        <w:t xml:space="preserve">eight hours after </w:t>
      </w:r>
      <w:r w:rsidR="00A70C5F">
        <w:rPr>
          <w:rFonts w:cs="Arial"/>
          <w:szCs w:val="22"/>
        </w:rPr>
        <w:t xml:space="preserve">time of </w:t>
      </w:r>
      <w:r w:rsidR="00094B8F">
        <w:rPr>
          <w:rFonts w:cs="Arial"/>
          <w:szCs w:val="22"/>
        </w:rPr>
        <w:t xml:space="preserve">discovery </w:t>
      </w:r>
      <w:r w:rsidRPr="00094B8F" w:rsidR="00094B8F">
        <w:rPr>
          <w:rFonts w:cs="Arial"/>
          <w:szCs w:val="22"/>
        </w:rPr>
        <w:t xml:space="preserve">of facility security program failure </w:t>
      </w:r>
      <w:r w:rsidR="00DC0ACA">
        <w:rPr>
          <w:rFonts w:cs="Arial"/>
          <w:szCs w:val="22"/>
        </w:rPr>
        <w:t>(</w:t>
      </w:r>
      <w:r w:rsidR="00CC3790">
        <w:rPr>
          <w:rFonts w:cs="Arial"/>
          <w:szCs w:val="22"/>
        </w:rPr>
        <w:t>existing requirement, no</w:t>
      </w:r>
      <w:r w:rsidR="00DC0ACA">
        <w:rPr>
          <w:rFonts w:cs="Arial"/>
          <w:szCs w:val="22"/>
        </w:rPr>
        <w:t xml:space="preserve"> new burden as a result of the final rule)</w:t>
      </w:r>
      <w:r w:rsidR="002A6105">
        <w:rPr>
          <w:rFonts w:cs="Arial"/>
          <w:szCs w:val="22"/>
        </w:rPr>
        <w:t>.</w:t>
      </w:r>
    </w:p>
    <w:p w:rsidR="00094B8F" w:rsidP="00577D64" w:rsidRDefault="00094B8F" w14:paraId="0B6EE51B" w14:textId="77777777">
      <w:pPr>
        <w:widowControl/>
        <w:ind w:left="720"/>
        <w:rPr>
          <w:rFonts w:cs="Arial"/>
          <w:szCs w:val="22"/>
        </w:rPr>
      </w:pPr>
    </w:p>
    <w:p w:rsidR="00094B8F" w:rsidP="00577D64" w:rsidRDefault="00E94CCB" w14:paraId="3857F1EF" w14:textId="4DF8BC76">
      <w:pPr>
        <w:widowControl/>
        <w:ind w:left="720"/>
        <w:rPr>
          <w:rFonts w:cs="Arial"/>
          <w:szCs w:val="22"/>
        </w:rPr>
      </w:pPr>
      <w:r w:rsidRPr="00A32597">
        <w:rPr>
          <w:rFonts w:cs="Arial"/>
          <w:szCs w:val="22"/>
          <w:u w:val="single"/>
        </w:rPr>
        <w:t>Section 73.</w:t>
      </w:r>
      <w:r w:rsidR="00094B8F">
        <w:rPr>
          <w:rFonts w:cs="Arial"/>
          <w:szCs w:val="22"/>
          <w:u w:val="single"/>
        </w:rPr>
        <w:t>1200</w:t>
      </w:r>
      <w:r w:rsidRPr="00A32597">
        <w:rPr>
          <w:rFonts w:cs="Arial"/>
          <w:szCs w:val="22"/>
          <w:u w:val="single"/>
        </w:rPr>
        <w:t>(h)</w:t>
      </w:r>
      <w:r w:rsidRPr="00A32597">
        <w:rPr>
          <w:rFonts w:cs="Arial"/>
          <w:szCs w:val="22"/>
        </w:rPr>
        <w:t xml:space="preserve"> </w:t>
      </w:r>
      <w:r w:rsidRPr="00A32597" w:rsidR="00094B8F">
        <w:rPr>
          <w:rFonts w:cs="Arial"/>
          <w:szCs w:val="22"/>
        </w:rPr>
        <w:t xml:space="preserve">requires </w:t>
      </w:r>
      <w:r w:rsidRPr="00A32597" w:rsidR="00D00DEE">
        <w:rPr>
          <w:rFonts w:cs="Arial"/>
          <w:szCs w:val="22"/>
        </w:rPr>
        <w:t xml:space="preserve">that each licensee subject to the provisions of </w:t>
      </w:r>
      <w:r w:rsidR="00D00DEE">
        <w:rPr>
          <w:rFonts w:cs="Arial"/>
          <w:szCs w:val="22"/>
        </w:rPr>
        <w:t>§</w:t>
      </w:r>
      <w:r w:rsidRPr="00353FF1" w:rsidR="00D00DEE">
        <w:rPr>
          <w:rFonts w:cs="Arial"/>
          <w:szCs w:val="22"/>
        </w:rPr>
        <w:t>§</w:t>
      </w:r>
      <w:r w:rsidRPr="00A32597" w:rsidR="00D00DEE">
        <w:rPr>
          <w:rFonts w:cs="Arial"/>
          <w:szCs w:val="22"/>
        </w:rPr>
        <w:t> 73.20, 73.</w:t>
      </w:r>
      <w:r w:rsidR="00D00DEE">
        <w:rPr>
          <w:rFonts w:cs="Arial"/>
          <w:szCs w:val="22"/>
        </w:rPr>
        <w:t>2</w:t>
      </w:r>
      <w:r w:rsidRPr="00A32597" w:rsidR="00D00DEE">
        <w:rPr>
          <w:rFonts w:cs="Arial"/>
          <w:szCs w:val="22"/>
        </w:rPr>
        <w:t>5, 73.</w:t>
      </w:r>
      <w:r w:rsidR="00D00DEE">
        <w:rPr>
          <w:rFonts w:cs="Arial"/>
          <w:szCs w:val="22"/>
        </w:rPr>
        <w:t>2</w:t>
      </w:r>
      <w:r w:rsidRPr="00A32597" w:rsidR="00D00DEE">
        <w:rPr>
          <w:rFonts w:cs="Arial"/>
          <w:szCs w:val="22"/>
        </w:rPr>
        <w:t>6, 73.</w:t>
      </w:r>
      <w:r w:rsidR="00D00DEE">
        <w:rPr>
          <w:rFonts w:cs="Arial"/>
          <w:szCs w:val="22"/>
        </w:rPr>
        <w:t>27</w:t>
      </w:r>
      <w:r w:rsidRPr="00A32597" w:rsidR="00D00DEE">
        <w:rPr>
          <w:rFonts w:cs="Arial"/>
          <w:szCs w:val="22"/>
        </w:rPr>
        <w:t>, 73.</w:t>
      </w:r>
      <w:r w:rsidR="00D00DEE">
        <w:rPr>
          <w:rFonts w:cs="Arial"/>
          <w:szCs w:val="22"/>
        </w:rPr>
        <w:t>37</w:t>
      </w:r>
      <w:r w:rsidRPr="00A32597" w:rsidR="00D00DEE">
        <w:rPr>
          <w:rFonts w:cs="Arial"/>
          <w:szCs w:val="22"/>
        </w:rPr>
        <w:t>, or 73.67</w:t>
      </w:r>
      <w:r w:rsidR="00D00DEE">
        <w:rPr>
          <w:rFonts w:cs="Arial"/>
          <w:szCs w:val="22"/>
        </w:rPr>
        <w:t xml:space="preserve"> </w:t>
      </w:r>
      <w:r w:rsidRPr="00A32597" w:rsidR="00094B8F">
        <w:rPr>
          <w:rFonts w:cs="Arial"/>
          <w:szCs w:val="22"/>
        </w:rPr>
        <w:t xml:space="preserve">notify the NRC Headquarters Operations Center </w:t>
      </w:r>
      <w:r w:rsidR="002471B2">
        <w:rPr>
          <w:rFonts w:cs="Arial"/>
          <w:szCs w:val="22"/>
        </w:rPr>
        <w:t xml:space="preserve">no later than </w:t>
      </w:r>
      <w:r w:rsidR="00094B8F">
        <w:rPr>
          <w:rFonts w:cs="Arial"/>
          <w:szCs w:val="22"/>
        </w:rPr>
        <w:t xml:space="preserve">eight hours after the </w:t>
      </w:r>
      <w:r w:rsidR="002471B2">
        <w:rPr>
          <w:rFonts w:cs="Arial"/>
          <w:szCs w:val="22"/>
        </w:rPr>
        <w:t xml:space="preserve">time of </w:t>
      </w:r>
      <w:r w:rsidR="00094B8F">
        <w:rPr>
          <w:rFonts w:cs="Arial"/>
          <w:szCs w:val="22"/>
        </w:rPr>
        <w:t xml:space="preserve">discovery </w:t>
      </w:r>
      <w:r w:rsidRPr="00094B8F" w:rsidR="00094B8F">
        <w:rPr>
          <w:rFonts w:cs="Arial"/>
          <w:szCs w:val="22"/>
        </w:rPr>
        <w:t xml:space="preserve">of </w:t>
      </w:r>
      <w:r w:rsidR="005E23EE">
        <w:rPr>
          <w:rFonts w:cs="Arial"/>
          <w:szCs w:val="22"/>
        </w:rPr>
        <w:t xml:space="preserve">transportation </w:t>
      </w:r>
      <w:r w:rsidRPr="00094B8F" w:rsidR="00094B8F">
        <w:rPr>
          <w:rFonts w:cs="Arial"/>
          <w:szCs w:val="22"/>
        </w:rPr>
        <w:t>security program failure</w:t>
      </w:r>
      <w:r w:rsidR="00094B8F">
        <w:rPr>
          <w:rFonts w:cs="Arial"/>
          <w:szCs w:val="22"/>
        </w:rPr>
        <w:t xml:space="preserve"> </w:t>
      </w:r>
      <w:r w:rsidR="00DC0ACA">
        <w:rPr>
          <w:rFonts w:cs="Arial"/>
          <w:szCs w:val="22"/>
        </w:rPr>
        <w:t>(</w:t>
      </w:r>
      <w:r w:rsidR="00CC3790">
        <w:rPr>
          <w:rFonts w:cs="Arial"/>
          <w:szCs w:val="22"/>
        </w:rPr>
        <w:t>existing requirement, no</w:t>
      </w:r>
      <w:r w:rsidR="00460F13">
        <w:rPr>
          <w:rFonts w:cs="Arial"/>
          <w:szCs w:val="22"/>
        </w:rPr>
        <w:t xml:space="preserve"> </w:t>
      </w:r>
      <w:r w:rsidR="00DC0ACA">
        <w:rPr>
          <w:rFonts w:cs="Arial"/>
          <w:szCs w:val="22"/>
        </w:rPr>
        <w:t>new burden as a result of the final rule)</w:t>
      </w:r>
      <w:r w:rsidR="002A6105">
        <w:rPr>
          <w:rFonts w:cs="Arial"/>
          <w:szCs w:val="22"/>
        </w:rPr>
        <w:t>.</w:t>
      </w:r>
    </w:p>
    <w:p w:rsidR="00094B8F" w:rsidP="00577D64" w:rsidRDefault="00094B8F" w14:paraId="20E92F59" w14:textId="77777777">
      <w:pPr>
        <w:widowControl/>
        <w:ind w:left="720"/>
        <w:rPr>
          <w:rFonts w:cs="Arial"/>
          <w:szCs w:val="22"/>
        </w:rPr>
      </w:pPr>
    </w:p>
    <w:p w:rsidRPr="00A32597" w:rsidR="006711EB" w:rsidP="006711EB" w:rsidRDefault="00F80E83" w14:paraId="2CCA34C9" w14:textId="169B54E0">
      <w:pPr>
        <w:widowControl/>
        <w:ind w:left="720"/>
        <w:rPr>
          <w:rFonts w:cs="Arial"/>
          <w:szCs w:val="22"/>
        </w:rPr>
      </w:pPr>
      <w:r w:rsidRPr="00A32597">
        <w:rPr>
          <w:rFonts w:cs="Arial"/>
          <w:szCs w:val="22"/>
          <w:u w:val="single"/>
        </w:rPr>
        <w:t>Section 73.</w:t>
      </w:r>
      <w:r w:rsidR="0041195C">
        <w:rPr>
          <w:rFonts w:cs="Arial"/>
          <w:szCs w:val="22"/>
          <w:u w:val="single"/>
        </w:rPr>
        <w:t>1200</w:t>
      </w:r>
      <w:r w:rsidRPr="00A32597">
        <w:rPr>
          <w:rFonts w:cs="Arial"/>
          <w:szCs w:val="22"/>
          <w:u w:val="single"/>
        </w:rPr>
        <w:t>(m)(1)</w:t>
      </w:r>
      <w:r>
        <w:rPr>
          <w:rFonts w:cs="Arial"/>
          <w:szCs w:val="22"/>
          <w:u w:val="single"/>
        </w:rPr>
        <w:t>(i)</w:t>
      </w:r>
      <w:r>
        <w:rPr>
          <w:rFonts w:cs="Arial"/>
          <w:szCs w:val="22"/>
        </w:rPr>
        <w:t xml:space="preserve"> requires </w:t>
      </w:r>
      <w:r w:rsidR="007B4231">
        <w:rPr>
          <w:rFonts w:cs="Arial"/>
          <w:szCs w:val="22"/>
        </w:rPr>
        <w:t xml:space="preserve">a </w:t>
      </w:r>
      <w:r>
        <w:rPr>
          <w:rFonts w:cs="Arial"/>
          <w:szCs w:val="22"/>
        </w:rPr>
        <w:t xml:space="preserve">licensee </w:t>
      </w:r>
      <w:r w:rsidR="00214539">
        <w:rPr>
          <w:rFonts w:cs="Arial"/>
          <w:szCs w:val="22"/>
        </w:rPr>
        <w:t>subject to §</w:t>
      </w:r>
      <w:r w:rsidRPr="00A32597" w:rsidR="00214539">
        <w:rPr>
          <w:rFonts w:cs="Arial"/>
          <w:szCs w:val="22"/>
        </w:rPr>
        <w:t> 73.</w:t>
      </w:r>
      <w:r w:rsidR="00214539">
        <w:rPr>
          <w:rFonts w:cs="Arial"/>
          <w:szCs w:val="22"/>
        </w:rPr>
        <w:t xml:space="preserve">15 </w:t>
      </w:r>
      <w:r w:rsidR="005E23EE">
        <w:rPr>
          <w:rFonts w:cs="Arial"/>
          <w:szCs w:val="22"/>
        </w:rPr>
        <w:t xml:space="preserve">with enhanced weapons authority </w:t>
      </w:r>
      <w:r>
        <w:rPr>
          <w:rFonts w:cs="Arial"/>
          <w:szCs w:val="22"/>
        </w:rPr>
        <w:t xml:space="preserve">to </w:t>
      </w:r>
      <w:r w:rsidR="002471B2">
        <w:rPr>
          <w:rFonts w:cs="Arial"/>
          <w:szCs w:val="22"/>
        </w:rPr>
        <w:t xml:space="preserve">immediately </w:t>
      </w:r>
      <w:r>
        <w:rPr>
          <w:rFonts w:cs="Arial"/>
          <w:szCs w:val="22"/>
        </w:rPr>
        <w:t xml:space="preserve">notify the </w:t>
      </w:r>
      <w:r w:rsidR="002471B2">
        <w:rPr>
          <w:rFonts w:cs="Arial"/>
          <w:szCs w:val="22"/>
        </w:rPr>
        <w:t>ATF</w:t>
      </w:r>
      <w:r w:rsidRPr="00A32597" w:rsidR="006711EB">
        <w:rPr>
          <w:rFonts w:cs="Arial"/>
          <w:szCs w:val="22"/>
        </w:rPr>
        <w:t xml:space="preserve"> </w:t>
      </w:r>
      <w:r w:rsidR="000C0595">
        <w:rPr>
          <w:rFonts w:cs="Arial"/>
          <w:szCs w:val="22"/>
        </w:rPr>
        <w:t>upon</w:t>
      </w:r>
      <w:r w:rsidRPr="00A32597" w:rsidR="006711EB">
        <w:rPr>
          <w:rFonts w:cs="Arial"/>
          <w:szCs w:val="22"/>
        </w:rPr>
        <w:t xml:space="preserve"> discovery of any </w:t>
      </w:r>
      <w:r w:rsidRPr="00A32597" w:rsidR="000C0595">
        <w:rPr>
          <w:rFonts w:cs="Arial"/>
          <w:szCs w:val="22"/>
        </w:rPr>
        <w:t>stolen or lost</w:t>
      </w:r>
      <w:r w:rsidR="000C0595">
        <w:rPr>
          <w:rFonts w:cs="Arial"/>
          <w:szCs w:val="22"/>
        </w:rPr>
        <w:t xml:space="preserve"> </w:t>
      </w:r>
      <w:r w:rsidR="00732522">
        <w:rPr>
          <w:rFonts w:cs="Arial"/>
          <w:szCs w:val="22"/>
        </w:rPr>
        <w:t>enhanced weapon</w:t>
      </w:r>
      <w:r w:rsidR="000C0595">
        <w:rPr>
          <w:rFonts w:cs="Arial"/>
          <w:szCs w:val="22"/>
        </w:rPr>
        <w:t>s</w:t>
      </w:r>
      <w:r w:rsidR="00CC3790">
        <w:rPr>
          <w:rFonts w:cs="Arial"/>
          <w:szCs w:val="22"/>
        </w:rPr>
        <w:t xml:space="preserve"> (new requirement</w:t>
      </w:r>
      <w:r w:rsidR="005E23EE">
        <w:rPr>
          <w:rFonts w:cs="Arial"/>
          <w:szCs w:val="22"/>
        </w:rPr>
        <w:t>; however, no increase in burden is assumed</w:t>
      </w:r>
      <w:r w:rsidR="00CC3790">
        <w:rPr>
          <w:rFonts w:cs="Arial"/>
          <w:szCs w:val="22"/>
        </w:rPr>
        <w:t>)</w:t>
      </w:r>
      <w:r w:rsidR="00460F13">
        <w:rPr>
          <w:rFonts w:cs="Arial"/>
          <w:szCs w:val="22"/>
        </w:rPr>
        <w:t>.</w:t>
      </w:r>
    </w:p>
    <w:p w:rsidR="0041195C" w:rsidP="0041195C" w:rsidRDefault="0041195C" w14:paraId="6457D97C" w14:textId="77777777">
      <w:pPr>
        <w:widowControl/>
        <w:ind w:left="720"/>
        <w:rPr>
          <w:rFonts w:cs="Arial"/>
          <w:szCs w:val="22"/>
          <w:u w:val="single"/>
        </w:rPr>
      </w:pPr>
    </w:p>
    <w:p w:rsidR="00BC7FFE" w:rsidRDefault="0041195C" w14:paraId="193F5B6B" w14:textId="3FB71CF0">
      <w:pPr>
        <w:widowControl/>
        <w:ind w:left="720"/>
        <w:rPr>
          <w:rFonts w:cs="Arial"/>
          <w:szCs w:val="22"/>
        </w:rPr>
      </w:pPr>
      <w:r w:rsidRPr="00A32597">
        <w:rPr>
          <w:rFonts w:cs="Arial"/>
          <w:szCs w:val="22"/>
          <w:u w:val="single"/>
        </w:rPr>
        <w:t>Section 73.</w:t>
      </w:r>
      <w:r>
        <w:rPr>
          <w:rFonts w:cs="Arial"/>
          <w:szCs w:val="22"/>
          <w:u w:val="single"/>
        </w:rPr>
        <w:t>1200</w:t>
      </w:r>
      <w:r w:rsidRPr="00A32597">
        <w:rPr>
          <w:rFonts w:cs="Arial"/>
          <w:szCs w:val="22"/>
          <w:u w:val="single"/>
        </w:rPr>
        <w:t>(m)(1)</w:t>
      </w:r>
      <w:r>
        <w:rPr>
          <w:rFonts w:cs="Arial"/>
          <w:szCs w:val="22"/>
          <w:u w:val="single"/>
        </w:rPr>
        <w:t>(ii)</w:t>
      </w:r>
      <w:r>
        <w:rPr>
          <w:rFonts w:cs="Arial"/>
          <w:szCs w:val="22"/>
        </w:rPr>
        <w:t xml:space="preserve"> requires </w:t>
      </w:r>
      <w:r w:rsidR="007B4231">
        <w:rPr>
          <w:rFonts w:cs="Arial"/>
          <w:szCs w:val="22"/>
        </w:rPr>
        <w:t xml:space="preserve">a </w:t>
      </w:r>
      <w:r>
        <w:rPr>
          <w:rFonts w:cs="Arial"/>
          <w:szCs w:val="22"/>
        </w:rPr>
        <w:t xml:space="preserve">licensee </w:t>
      </w:r>
      <w:r w:rsidR="00214539">
        <w:rPr>
          <w:rFonts w:cs="Arial"/>
          <w:szCs w:val="22"/>
        </w:rPr>
        <w:t>subject to §</w:t>
      </w:r>
      <w:r w:rsidRPr="00A32597" w:rsidR="00214539">
        <w:rPr>
          <w:rFonts w:cs="Arial"/>
          <w:szCs w:val="22"/>
        </w:rPr>
        <w:t> 73.</w:t>
      </w:r>
      <w:r w:rsidR="00214539">
        <w:rPr>
          <w:rFonts w:cs="Arial"/>
          <w:szCs w:val="22"/>
        </w:rPr>
        <w:t xml:space="preserve">15 </w:t>
      </w:r>
      <w:r w:rsidR="005E23EE">
        <w:rPr>
          <w:rFonts w:cs="Arial"/>
          <w:szCs w:val="22"/>
        </w:rPr>
        <w:t xml:space="preserve">with enhanced weapons authority </w:t>
      </w:r>
      <w:r>
        <w:rPr>
          <w:rFonts w:cs="Arial"/>
          <w:szCs w:val="22"/>
        </w:rPr>
        <w:t xml:space="preserve">to notify the NRC Headquarters Operations Center </w:t>
      </w:r>
      <w:r w:rsidRPr="00A32597" w:rsidR="006711EB">
        <w:rPr>
          <w:rFonts w:cs="Arial"/>
          <w:szCs w:val="22"/>
        </w:rPr>
        <w:t xml:space="preserve">as soon as possible, but not later than four hours </w:t>
      </w:r>
      <w:r w:rsidR="00B90BB2">
        <w:rPr>
          <w:rFonts w:cs="Arial"/>
          <w:szCs w:val="22"/>
        </w:rPr>
        <w:t xml:space="preserve">subsequent to the notification of the ATF </w:t>
      </w:r>
      <w:r w:rsidRPr="00A32597" w:rsidR="00B90BB2">
        <w:rPr>
          <w:rFonts w:cs="Arial"/>
          <w:szCs w:val="22"/>
        </w:rPr>
        <w:t xml:space="preserve">after </w:t>
      </w:r>
      <w:r w:rsidR="005E23EE">
        <w:rPr>
          <w:rFonts w:cs="Arial"/>
          <w:szCs w:val="22"/>
        </w:rPr>
        <w:t xml:space="preserve">the </w:t>
      </w:r>
      <w:r w:rsidRPr="00A32597" w:rsidR="00B90BB2">
        <w:rPr>
          <w:rFonts w:cs="Arial"/>
          <w:szCs w:val="22"/>
        </w:rPr>
        <w:t>discovery of any stolen or lost enhanced weapon</w:t>
      </w:r>
      <w:r w:rsidR="000C0595">
        <w:rPr>
          <w:rFonts w:cs="Arial"/>
          <w:szCs w:val="22"/>
        </w:rPr>
        <w:t>s</w:t>
      </w:r>
      <w:r w:rsidR="00CC3790">
        <w:rPr>
          <w:rFonts w:cs="Arial"/>
          <w:szCs w:val="22"/>
        </w:rPr>
        <w:t xml:space="preserve"> (new requirement</w:t>
      </w:r>
      <w:r w:rsidR="005E23EE">
        <w:rPr>
          <w:rFonts w:cs="Arial"/>
          <w:szCs w:val="22"/>
        </w:rPr>
        <w:t>; however, no increase in burden is assumed</w:t>
      </w:r>
      <w:r w:rsidR="00CC3790">
        <w:rPr>
          <w:rFonts w:cs="Arial"/>
          <w:szCs w:val="22"/>
        </w:rPr>
        <w:t>)</w:t>
      </w:r>
      <w:r w:rsidR="00460F13">
        <w:rPr>
          <w:rFonts w:cs="Arial"/>
          <w:szCs w:val="22"/>
        </w:rPr>
        <w:t>.</w:t>
      </w:r>
    </w:p>
    <w:p w:rsidR="002A6105" w:rsidP="002A6105" w:rsidRDefault="002A6105" w14:paraId="2EA2C488" w14:textId="77777777">
      <w:pPr>
        <w:widowControl/>
        <w:ind w:left="720"/>
        <w:rPr>
          <w:rFonts w:cs="Arial"/>
          <w:szCs w:val="22"/>
          <w:u w:val="single"/>
        </w:rPr>
      </w:pPr>
    </w:p>
    <w:p w:rsidRPr="00A32597" w:rsidR="002A6105" w:rsidP="002A6105" w:rsidRDefault="002A6105" w14:paraId="355A52C6" w14:textId="77777777">
      <w:pPr>
        <w:widowControl/>
        <w:ind w:left="720"/>
        <w:rPr>
          <w:rFonts w:cs="Arial"/>
          <w:szCs w:val="22"/>
        </w:rPr>
      </w:pPr>
      <w:r w:rsidRPr="00A32597">
        <w:rPr>
          <w:rFonts w:cs="Arial"/>
          <w:szCs w:val="22"/>
          <w:u w:val="single"/>
        </w:rPr>
        <w:t>Section 73.</w:t>
      </w:r>
      <w:r>
        <w:rPr>
          <w:rFonts w:cs="Arial"/>
          <w:szCs w:val="22"/>
          <w:u w:val="single"/>
        </w:rPr>
        <w:t>1200</w:t>
      </w:r>
      <w:r w:rsidRPr="00A32597">
        <w:rPr>
          <w:rFonts w:cs="Arial"/>
          <w:szCs w:val="22"/>
          <w:u w:val="single"/>
        </w:rPr>
        <w:t>(m)</w:t>
      </w:r>
      <w:r w:rsidR="004E74D4">
        <w:rPr>
          <w:rFonts w:cs="Arial"/>
          <w:szCs w:val="22"/>
          <w:u w:val="single"/>
        </w:rPr>
        <w:t>(1)</w:t>
      </w:r>
      <w:r>
        <w:rPr>
          <w:rFonts w:cs="Arial"/>
          <w:szCs w:val="22"/>
          <w:u w:val="single"/>
        </w:rPr>
        <w:t>(iii)</w:t>
      </w:r>
      <w:r>
        <w:rPr>
          <w:rFonts w:cs="Arial"/>
          <w:szCs w:val="22"/>
        </w:rPr>
        <w:t xml:space="preserve"> requires </w:t>
      </w:r>
      <w:r w:rsidR="00214539">
        <w:rPr>
          <w:rFonts w:cs="Arial"/>
          <w:szCs w:val="22"/>
        </w:rPr>
        <w:t>a</w:t>
      </w:r>
      <w:r>
        <w:rPr>
          <w:rFonts w:cs="Arial"/>
          <w:szCs w:val="22"/>
        </w:rPr>
        <w:t xml:space="preserve"> licensee subject to §</w:t>
      </w:r>
      <w:r w:rsidRPr="00A32597">
        <w:rPr>
          <w:rFonts w:cs="Arial"/>
          <w:szCs w:val="22"/>
        </w:rPr>
        <w:t> 73.</w:t>
      </w:r>
      <w:r>
        <w:rPr>
          <w:rFonts w:cs="Arial"/>
          <w:szCs w:val="22"/>
        </w:rPr>
        <w:t xml:space="preserve">15 </w:t>
      </w:r>
      <w:r w:rsidR="005E23EE">
        <w:rPr>
          <w:rFonts w:cs="Arial"/>
          <w:szCs w:val="22"/>
        </w:rPr>
        <w:t xml:space="preserve">with enhanced weapons </w:t>
      </w:r>
      <w:r>
        <w:rPr>
          <w:rFonts w:cs="Arial"/>
          <w:szCs w:val="22"/>
        </w:rPr>
        <w:t xml:space="preserve">to notify the </w:t>
      </w:r>
      <w:r w:rsidR="00214539">
        <w:rPr>
          <w:rFonts w:cs="Arial"/>
          <w:szCs w:val="22"/>
        </w:rPr>
        <w:t xml:space="preserve">appropriate </w:t>
      </w:r>
      <w:r w:rsidR="00460F13">
        <w:rPr>
          <w:rFonts w:cs="Arial"/>
          <w:szCs w:val="22"/>
        </w:rPr>
        <w:t>LLEA</w:t>
      </w:r>
      <w:r>
        <w:rPr>
          <w:rFonts w:cs="Arial"/>
          <w:szCs w:val="22"/>
        </w:rPr>
        <w:t xml:space="preserve"> within</w:t>
      </w:r>
      <w:r w:rsidRPr="00A32597">
        <w:rPr>
          <w:rFonts w:cs="Arial"/>
          <w:szCs w:val="22"/>
        </w:rPr>
        <w:t xml:space="preserve"> </w:t>
      </w:r>
      <w:r>
        <w:rPr>
          <w:rFonts w:cs="Arial"/>
          <w:szCs w:val="22"/>
        </w:rPr>
        <w:t>48</w:t>
      </w:r>
      <w:r w:rsidRPr="00A32597">
        <w:rPr>
          <w:rFonts w:cs="Arial"/>
          <w:szCs w:val="22"/>
        </w:rPr>
        <w:t xml:space="preserve"> hour</w:t>
      </w:r>
      <w:r>
        <w:rPr>
          <w:rFonts w:cs="Arial"/>
          <w:szCs w:val="22"/>
        </w:rPr>
        <w:t>s</w:t>
      </w:r>
      <w:r w:rsidRPr="00A32597">
        <w:rPr>
          <w:rFonts w:cs="Arial"/>
          <w:szCs w:val="22"/>
        </w:rPr>
        <w:t xml:space="preserve"> after </w:t>
      </w:r>
      <w:r>
        <w:rPr>
          <w:rFonts w:cs="Arial"/>
          <w:szCs w:val="22"/>
        </w:rPr>
        <w:t xml:space="preserve">the discovery of </w:t>
      </w:r>
      <w:r w:rsidRPr="00A32597">
        <w:rPr>
          <w:rFonts w:cs="Arial"/>
          <w:szCs w:val="22"/>
        </w:rPr>
        <w:t>any stolen or lost enhanced weapon</w:t>
      </w:r>
      <w:r w:rsidR="00CC3790">
        <w:rPr>
          <w:rFonts w:cs="Arial"/>
          <w:szCs w:val="22"/>
        </w:rPr>
        <w:t xml:space="preserve"> (new requirement</w:t>
      </w:r>
      <w:r w:rsidR="005E23EE">
        <w:rPr>
          <w:rFonts w:cs="Arial"/>
          <w:szCs w:val="22"/>
        </w:rPr>
        <w:t>; however, no increase in burden is assumed</w:t>
      </w:r>
      <w:r w:rsidR="00CC3790">
        <w:rPr>
          <w:rFonts w:cs="Arial"/>
          <w:szCs w:val="22"/>
        </w:rPr>
        <w:t>)</w:t>
      </w:r>
      <w:r w:rsidR="00460F13">
        <w:rPr>
          <w:rFonts w:cs="Arial"/>
          <w:szCs w:val="22"/>
        </w:rPr>
        <w:t>.</w:t>
      </w:r>
    </w:p>
    <w:p w:rsidR="00FE5433" w:rsidP="007F1603" w:rsidRDefault="00FE5433" w14:paraId="652646B3" w14:textId="77777777">
      <w:pPr>
        <w:widowControl/>
        <w:ind w:left="720"/>
        <w:rPr>
          <w:rFonts w:cs="Arial"/>
          <w:szCs w:val="22"/>
          <w:u w:val="single"/>
        </w:rPr>
      </w:pPr>
    </w:p>
    <w:p w:rsidR="0060404F" w:rsidP="007F1603" w:rsidRDefault="0060404F" w14:paraId="087339E4" w14:textId="56CE84BD">
      <w:pPr>
        <w:widowControl/>
        <w:ind w:left="720"/>
        <w:rPr>
          <w:rFonts w:cs="Arial"/>
          <w:szCs w:val="22"/>
        </w:rPr>
      </w:pPr>
      <w:r>
        <w:rPr>
          <w:rFonts w:cs="Arial"/>
          <w:szCs w:val="22"/>
          <w:u w:val="single"/>
        </w:rPr>
        <w:t>Section 73.</w:t>
      </w:r>
      <w:r w:rsidR="007F1603">
        <w:rPr>
          <w:rFonts w:cs="Arial"/>
          <w:szCs w:val="22"/>
          <w:u w:val="single"/>
        </w:rPr>
        <w:t>1200(</w:t>
      </w:r>
      <w:r w:rsidR="001364CB">
        <w:rPr>
          <w:rFonts w:cs="Arial"/>
          <w:szCs w:val="22"/>
          <w:u w:val="single"/>
        </w:rPr>
        <w:t>n</w:t>
      </w:r>
      <w:r w:rsidRPr="00A32597">
        <w:rPr>
          <w:rFonts w:cs="Arial"/>
          <w:szCs w:val="22"/>
          <w:u w:val="single"/>
        </w:rPr>
        <w:t>)</w:t>
      </w:r>
      <w:r w:rsidRPr="00A32597">
        <w:rPr>
          <w:rFonts w:cs="Arial"/>
          <w:szCs w:val="22"/>
        </w:rPr>
        <w:t xml:space="preserve"> requires </w:t>
      </w:r>
      <w:r w:rsidR="00214539">
        <w:rPr>
          <w:rFonts w:cs="Arial"/>
          <w:szCs w:val="22"/>
        </w:rPr>
        <w:t>a</w:t>
      </w:r>
      <w:r w:rsidRPr="00A32597">
        <w:rPr>
          <w:rFonts w:cs="Arial"/>
          <w:szCs w:val="22"/>
        </w:rPr>
        <w:t xml:space="preserve"> licensee </w:t>
      </w:r>
      <w:r w:rsidR="001364CB">
        <w:rPr>
          <w:rFonts w:cs="Arial"/>
          <w:szCs w:val="22"/>
        </w:rPr>
        <w:t xml:space="preserve">subject to </w:t>
      </w:r>
      <w:r w:rsidRPr="006B0BED" w:rsidR="001364CB">
        <w:rPr>
          <w:rFonts w:cs="Arial"/>
          <w:szCs w:val="22"/>
        </w:rPr>
        <w:t>§</w:t>
      </w:r>
      <w:r w:rsidR="001364CB">
        <w:rPr>
          <w:rFonts w:cs="Arial"/>
          <w:szCs w:val="22"/>
        </w:rPr>
        <w:t xml:space="preserve"> 73.15 </w:t>
      </w:r>
      <w:r w:rsidR="005E23EE">
        <w:rPr>
          <w:rFonts w:cs="Arial"/>
          <w:szCs w:val="22"/>
        </w:rPr>
        <w:t xml:space="preserve">with enhanced weapons </w:t>
      </w:r>
      <w:r w:rsidR="00B90BB2">
        <w:rPr>
          <w:rFonts w:cs="Arial"/>
          <w:szCs w:val="22"/>
        </w:rPr>
        <w:t xml:space="preserve">to notify the NRC Headquarters Operations Center </w:t>
      </w:r>
      <w:r w:rsidRPr="00A32597" w:rsidR="00B90BB2">
        <w:rPr>
          <w:rFonts w:cs="Arial"/>
          <w:szCs w:val="22"/>
        </w:rPr>
        <w:t xml:space="preserve">as soon as possible, but not later than </w:t>
      </w:r>
      <w:r w:rsidR="00B90BB2">
        <w:rPr>
          <w:rFonts w:cs="Arial"/>
          <w:szCs w:val="22"/>
        </w:rPr>
        <w:t xml:space="preserve">24 </w:t>
      </w:r>
      <w:r w:rsidRPr="00A32597" w:rsidR="00B90BB2">
        <w:rPr>
          <w:rFonts w:cs="Arial"/>
          <w:szCs w:val="22"/>
        </w:rPr>
        <w:t>hours</w:t>
      </w:r>
      <w:r w:rsidR="00B90BB2">
        <w:rPr>
          <w:rFonts w:cs="Arial"/>
          <w:szCs w:val="22"/>
        </w:rPr>
        <w:t xml:space="preserve"> </w:t>
      </w:r>
      <w:r w:rsidR="001364CB">
        <w:rPr>
          <w:rFonts w:cs="Arial"/>
          <w:szCs w:val="22"/>
        </w:rPr>
        <w:t xml:space="preserve">after </w:t>
      </w:r>
      <w:r w:rsidRPr="001364CB" w:rsidR="001364CB">
        <w:rPr>
          <w:rFonts w:cs="Arial"/>
          <w:szCs w:val="22"/>
        </w:rPr>
        <w:t>receipt of an adverse inspection finding, enforcement finding, or other adverse notice from the ATF</w:t>
      </w:r>
      <w:r w:rsidR="001364CB">
        <w:rPr>
          <w:rFonts w:cs="Arial"/>
          <w:szCs w:val="22"/>
        </w:rPr>
        <w:t xml:space="preserve"> regarding </w:t>
      </w:r>
      <w:r w:rsidR="005E23EE">
        <w:rPr>
          <w:rFonts w:cs="Arial"/>
          <w:szCs w:val="22"/>
        </w:rPr>
        <w:t xml:space="preserve">these </w:t>
      </w:r>
      <w:r w:rsidR="001364CB">
        <w:rPr>
          <w:rFonts w:cs="Arial"/>
          <w:szCs w:val="22"/>
        </w:rPr>
        <w:t xml:space="preserve">enhanced weapons or </w:t>
      </w:r>
      <w:r w:rsidR="00214539">
        <w:rPr>
          <w:rFonts w:cs="Arial"/>
          <w:szCs w:val="22"/>
        </w:rPr>
        <w:t xml:space="preserve">an ATF federal </w:t>
      </w:r>
      <w:r w:rsidR="001364CB">
        <w:rPr>
          <w:rFonts w:cs="Arial"/>
          <w:szCs w:val="22"/>
        </w:rPr>
        <w:t>firearms licens</w:t>
      </w:r>
      <w:r w:rsidR="00214539">
        <w:rPr>
          <w:rFonts w:cs="Arial"/>
          <w:szCs w:val="22"/>
        </w:rPr>
        <w:t>e</w:t>
      </w:r>
      <w:r w:rsidR="00CC3790">
        <w:rPr>
          <w:rFonts w:cs="Arial"/>
          <w:szCs w:val="22"/>
        </w:rPr>
        <w:t xml:space="preserve"> (new requirement</w:t>
      </w:r>
      <w:r w:rsidR="005E23EE">
        <w:rPr>
          <w:rFonts w:cs="Arial"/>
          <w:szCs w:val="22"/>
        </w:rPr>
        <w:t>; however, no increase in burden is assumed</w:t>
      </w:r>
      <w:r w:rsidR="00CC3790">
        <w:rPr>
          <w:rFonts w:cs="Arial"/>
          <w:szCs w:val="22"/>
        </w:rPr>
        <w:t>)</w:t>
      </w:r>
      <w:r w:rsidR="00460F13">
        <w:rPr>
          <w:rFonts w:cs="Arial"/>
          <w:szCs w:val="22"/>
        </w:rPr>
        <w:t>.</w:t>
      </w:r>
    </w:p>
    <w:p w:rsidR="00E94CCB" w:rsidP="007F1603" w:rsidRDefault="00E94CCB" w14:paraId="478092C7" w14:textId="77777777">
      <w:pPr>
        <w:widowControl/>
        <w:ind w:left="720"/>
        <w:rPr>
          <w:rFonts w:cs="Arial"/>
          <w:szCs w:val="22"/>
        </w:rPr>
      </w:pPr>
    </w:p>
    <w:p w:rsidR="007F1603" w:rsidP="007F1603" w:rsidRDefault="007F1603" w14:paraId="2A8BC9EA" w14:textId="5207873C">
      <w:pPr>
        <w:widowControl/>
        <w:ind w:left="720"/>
        <w:rPr>
          <w:rFonts w:cs="Arial"/>
          <w:szCs w:val="22"/>
        </w:rPr>
      </w:pPr>
      <w:r>
        <w:rPr>
          <w:rFonts w:cs="Arial"/>
          <w:szCs w:val="22"/>
          <w:u w:val="single"/>
        </w:rPr>
        <w:t>Section 73.1200(q</w:t>
      </w:r>
      <w:r w:rsidRPr="00A32597">
        <w:rPr>
          <w:rFonts w:cs="Arial"/>
          <w:szCs w:val="22"/>
          <w:u w:val="single"/>
        </w:rPr>
        <w:t>)</w:t>
      </w:r>
      <w:r w:rsidRPr="00A32597">
        <w:rPr>
          <w:rFonts w:cs="Arial"/>
          <w:szCs w:val="22"/>
        </w:rPr>
        <w:t xml:space="preserve"> </w:t>
      </w:r>
      <w:r>
        <w:rPr>
          <w:rFonts w:cs="Arial"/>
          <w:szCs w:val="22"/>
        </w:rPr>
        <w:t xml:space="preserve">requires </w:t>
      </w:r>
      <w:r w:rsidR="002F5F25">
        <w:rPr>
          <w:rFonts w:cs="Arial"/>
          <w:szCs w:val="22"/>
        </w:rPr>
        <w:t>a licensee desiring to</w:t>
      </w:r>
      <w:r w:rsidR="00B63C99">
        <w:rPr>
          <w:rFonts w:cs="Arial"/>
          <w:szCs w:val="22"/>
        </w:rPr>
        <w:t xml:space="preserve"> retract a previous security event </w:t>
      </w:r>
      <w:r>
        <w:rPr>
          <w:rFonts w:cs="Arial"/>
          <w:szCs w:val="22"/>
        </w:rPr>
        <w:t>notification</w:t>
      </w:r>
      <w:r w:rsidR="00B63C99">
        <w:rPr>
          <w:rFonts w:cs="Arial"/>
          <w:szCs w:val="22"/>
        </w:rPr>
        <w:t xml:space="preserve"> (i.e., invalid, not reportable after further evaluation, or recharacterized as recordable under § 73.1210)</w:t>
      </w:r>
      <w:r>
        <w:rPr>
          <w:rFonts w:cs="Arial"/>
          <w:szCs w:val="22"/>
        </w:rPr>
        <w:t xml:space="preserve"> to </w:t>
      </w:r>
      <w:r w:rsidR="00F53876">
        <w:rPr>
          <w:rFonts w:cs="Arial"/>
          <w:szCs w:val="22"/>
        </w:rPr>
        <w:t xml:space="preserve">notify </w:t>
      </w:r>
      <w:r>
        <w:rPr>
          <w:rFonts w:cs="Arial"/>
          <w:szCs w:val="22"/>
        </w:rPr>
        <w:t xml:space="preserve">the NRC Headquarters Operations Center </w:t>
      </w:r>
      <w:r w:rsidR="00CC3790">
        <w:rPr>
          <w:rFonts w:cs="Arial"/>
          <w:szCs w:val="22"/>
        </w:rPr>
        <w:t>(new requirement</w:t>
      </w:r>
      <w:r w:rsidR="00B63C99">
        <w:rPr>
          <w:rFonts w:cs="Arial"/>
          <w:szCs w:val="22"/>
        </w:rPr>
        <w:t xml:space="preserve"> – codifies current voluntary practice</w:t>
      </w:r>
      <w:r w:rsidR="00CC3790">
        <w:rPr>
          <w:rFonts w:cs="Arial"/>
          <w:szCs w:val="22"/>
        </w:rPr>
        <w:t>)</w:t>
      </w:r>
      <w:r w:rsidR="00460F13">
        <w:rPr>
          <w:rFonts w:cs="Arial"/>
          <w:szCs w:val="22"/>
        </w:rPr>
        <w:t>.</w:t>
      </w:r>
    </w:p>
    <w:p w:rsidRPr="00A32597" w:rsidR="007F1603" w:rsidP="007F1603" w:rsidRDefault="007F1603" w14:paraId="4FCDE5E1" w14:textId="77777777">
      <w:pPr>
        <w:widowControl/>
        <w:ind w:left="720"/>
        <w:rPr>
          <w:rFonts w:cs="Arial"/>
          <w:szCs w:val="22"/>
        </w:rPr>
      </w:pPr>
    </w:p>
    <w:p w:rsidRPr="00A32597" w:rsidR="009472E4" w:rsidP="009472E4" w:rsidRDefault="007F1603" w14:paraId="28F8DAB5" w14:textId="2ADFAD7E">
      <w:pPr>
        <w:widowControl/>
        <w:ind w:left="720"/>
        <w:rPr>
          <w:rFonts w:cs="Arial"/>
          <w:szCs w:val="22"/>
        </w:rPr>
      </w:pPr>
      <w:r>
        <w:rPr>
          <w:rFonts w:cs="Arial"/>
          <w:szCs w:val="22"/>
          <w:u w:val="single"/>
        </w:rPr>
        <w:t>Section 73.1205</w:t>
      </w:r>
      <w:r w:rsidRPr="00A32597">
        <w:rPr>
          <w:rFonts w:cs="Arial"/>
          <w:szCs w:val="22"/>
        </w:rPr>
        <w:t xml:space="preserve"> </w:t>
      </w:r>
      <w:r w:rsidRPr="00A32597" w:rsidR="00E967A8">
        <w:rPr>
          <w:rFonts w:cs="Arial"/>
          <w:szCs w:val="22"/>
        </w:rPr>
        <w:t>require</w:t>
      </w:r>
      <w:r w:rsidRPr="00A32597" w:rsidR="00406847">
        <w:rPr>
          <w:rFonts w:cs="Arial"/>
          <w:szCs w:val="22"/>
        </w:rPr>
        <w:t>s</w:t>
      </w:r>
      <w:r w:rsidRPr="00A32597" w:rsidR="00E967A8">
        <w:rPr>
          <w:rFonts w:cs="Arial"/>
          <w:szCs w:val="22"/>
        </w:rPr>
        <w:t xml:space="preserve"> each licensee </w:t>
      </w:r>
      <w:r w:rsidR="00F53876">
        <w:rPr>
          <w:rFonts w:cs="Arial"/>
          <w:szCs w:val="22"/>
        </w:rPr>
        <w:t xml:space="preserve">making a telephonic notification under </w:t>
      </w:r>
      <w:r w:rsidRPr="00353FF1" w:rsidR="00B63C99">
        <w:rPr>
          <w:rFonts w:cs="Arial"/>
          <w:szCs w:val="22"/>
        </w:rPr>
        <w:t>§</w:t>
      </w:r>
      <w:r w:rsidRPr="00A32597" w:rsidR="00B63C99">
        <w:rPr>
          <w:rFonts w:cs="Arial"/>
          <w:szCs w:val="22"/>
        </w:rPr>
        <w:t> 73.</w:t>
      </w:r>
      <w:r w:rsidR="00F53876">
        <w:rPr>
          <w:rFonts w:cs="Arial"/>
          <w:szCs w:val="22"/>
        </w:rPr>
        <w:t>1</w:t>
      </w:r>
      <w:r w:rsidRPr="00A32597" w:rsidR="00B63C99">
        <w:rPr>
          <w:rFonts w:cs="Arial"/>
          <w:szCs w:val="22"/>
        </w:rPr>
        <w:t>2</w:t>
      </w:r>
      <w:r w:rsidR="00F53876">
        <w:rPr>
          <w:rFonts w:cs="Arial"/>
          <w:szCs w:val="22"/>
        </w:rPr>
        <w:t>0</w:t>
      </w:r>
      <w:r w:rsidRPr="00A32597" w:rsidR="00B63C99">
        <w:rPr>
          <w:rFonts w:cs="Arial"/>
          <w:szCs w:val="22"/>
        </w:rPr>
        <w:t>0</w:t>
      </w:r>
      <w:r w:rsidR="00B63C99">
        <w:rPr>
          <w:rFonts w:cs="Arial"/>
          <w:szCs w:val="22"/>
        </w:rPr>
        <w:t xml:space="preserve"> </w:t>
      </w:r>
      <w:r w:rsidR="00460F13">
        <w:rPr>
          <w:rFonts w:cs="Arial"/>
          <w:szCs w:val="22"/>
        </w:rPr>
        <w:t xml:space="preserve">to </w:t>
      </w:r>
      <w:r w:rsidRPr="00A32597" w:rsidR="00E967A8">
        <w:rPr>
          <w:rFonts w:cs="Arial"/>
          <w:szCs w:val="22"/>
        </w:rPr>
        <w:t xml:space="preserve">submit a written </w:t>
      </w:r>
      <w:r w:rsidR="00F53876">
        <w:rPr>
          <w:rFonts w:cs="Arial"/>
          <w:szCs w:val="22"/>
        </w:rPr>
        <w:t xml:space="preserve">follow-up </w:t>
      </w:r>
      <w:r w:rsidRPr="00A32597" w:rsidR="00E967A8">
        <w:rPr>
          <w:rFonts w:cs="Arial"/>
          <w:szCs w:val="22"/>
        </w:rPr>
        <w:t xml:space="preserve">report to the NRC within 60 days of making </w:t>
      </w:r>
      <w:r w:rsidR="00F53876">
        <w:rPr>
          <w:rFonts w:cs="Arial"/>
          <w:szCs w:val="22"/>
        </w:rPr>
        <w:t xml:space="preserve">such </w:t>
      </w:r>
      <w:r w:rsidRPr="00A32597" w:rsidR="00E967A8">
        <w:rPr>
          <w:rFonts w:cs="Arial"/>
          <w:szCs w:val="22"/>
        </w:rPr>
        <w:t>notification</w:t>
      </w:r>
      <w:r w:rsidR="00F53876">
        <w:rPr>
          <w:rFonts w:cs="Arial"/>
          <w:szCs w:val="22"/>
        </w:rPr>
        <w:t xml:space="preserve">s </w:t>
      </w:r>
      <w:r w:rsidR="009472E4">
        <w:rPr>
          <w:rFonts w:cs="Arial"/>
          <w:szCs w:val="22"/>
        </w:rPr>
        <w:t xml:space="preserve">(existing requirement, no new burden as a result of the final rule for existing notifications; however, new burden for new notifications, but no increase in burden assumed for </w:t>
      </w:r>
      <w:r w:rsidR="007E7538">
        <w:rPr>
          <w:rFonts w:cs="Arial"/>
          <w:szCs w:val="22"/>
        </w:rPr>
        <w:t xml:space="preserve">written </w:t>
      </w:r>
      <w:r w:rsidR="009472E4">
        <w:rPr>
          <w:rFonts w:cs="Arial"/>
          <w:szCs w:val="22"/>
        </w:rPr>
        <w:t>reports associated with § 73.1200(m) and (n) notifications).</w:t>
      </w:r>
    </w:p>
    <w:p w:rsidR="00276456" w:rsidP="00276456" w:rsidRDefault="00276456" w14:paraId="6DEB0FCB" w14:textId="77777777">
      <w:pPr>
        <w:widowControl/>
        <w:ind w:left="720"/>
        <w:rPr>
          <w:rFonts w:cs="Arial"/>
          <w:szCs w:val="22"/>
          <w:u w:val="single"/>
        </w:rPr>
      </w:pPr>
    </w:p>
    <w:p w:rsidR="00A409F4" w:rsidP="00276456" w:rsidRDefault="00FE5433" w14:paraId="6DC9C7DE" w14:textId="2B49379A">
      <w:pPr>
        <w:widowControl/>
        <w:ind w:left="720"/>
        <w:rPr>
          <w:rFonts w:cs="Arial"/>
          <w:szCs w:val="22"/>
        </w:rPr>
      </w:pPr>
      <w:r w:rsidRPr="00214539">
        <w:rPr>
          <w:rFonts w:cs="Arial"/>
          <w:szCs w:val="22"/>
          <w:u w:val="single"/>
        </w:rPr>
        <w:t xml:space="preserve">Section </w:t>
      </w:r>
      <w:r w:rsidRPr="00214539" w:rsidR="00A409F4">
        <w:rPr>
          <w:rFonts w:cs="Arial"/>
          <w:szCs w:val="22"/>
          <w:u w:val="single"/>
        </w:rPr>
        <w:t>73.1210</w:t>
      </w:r>
      <w:r w:rsidRPr="00214539" w:rsidR="00A409F4">
        <w:rPr>
          <w:rFonts w:cs="Arial"/>
          <w:szCs w:val="22"/>
        </w:rPr>
        <w:t xml:space="preserve"> </w:t>
      </w:r>
      <w:r w:rsidRPr="00214539" w:rsidR="00401491">
        <w:rPr>
          <w:rFonts w:cs="Arial"/>
          <w:szCs w:val="22"/>
        </w:rPr>
        <w:t xml:space="preserve">requires </w:t>
      </w:r>
      <w:r w:rsidRPr="00A32597" w:rsidR="009472E4">
        <w:rPr>
          <w:rFonts w:cs="Arial"/>
          <w:szCs w:val="22"/>
        </w:rPr>
        <w:t xml:space="preserve">each licensee subject to the provisions of </w:t>
      </w:r>
      <w:r w:rsidR="009472E4">
        <w:rPr>
          <w:rFonts w:cs="Arial"/>
          <w:szCs w:val="22"/>
        </w:rPr>
        <w:t>§</w:t>
      </w:r>
      <w:r w:rsidRPr="00353FF1" w:rsidR="009472E4">
        <w:rPr>
          <w:rFonts w:cs="Arial"/>
          <w:szCs w:val="22"/>
        </w:rPr>
        <w:t>§</w:t>
      </w:r>
      <w:r w:rsidRPr="00A32597" w:rsidR="009472E4">
        <w:rPr>
          <w:rFonts w:cs="Arial"/>
          <w:szCs w:val="22"/>
        </w:rPr>
        <w:t xml:space="preserve"> 73.20, </w:t>
      </w:r>
      <w:r w:rsidR="009472E4">
        <w:rPr>
          <w:rFonts w:cs="Arial"/>
          <w:szCs w:val="22"/>
        </w:rPr>
        <w:t xml:space="preserve">73.25, 73.26, 73.27, 73.37, </w:t>
      </w:r>
      <w:r w:rsidRPr="00A32597" w:rsidR="009472E4">
        <w:rPr>
          <w:rFonts w:cs="Arial"/>
          <w:szCs w:val="22"/>
        </w:rPr>
        <w:t>73.45, 73.46, 73.50, 73.51, 73.55, 73.60, or 73.67</w:t>
      </w:r>
      <w:r w:rsidR="009472E4">
        <w:rPr>
          <w:rFonts w:cs="Arial"/>
          <w:szCs w:val="22"/>
        </w:rPr>
        <w:t xml:space="preserve"> </w:t>
      </w:r>
      <w:r w:rsidRPr="00214539" w:rsidR="00401491">
        <w:rPr>
          <w:rFonts w:cs="Arial"/>
          <w:szCs w:val="22"/>
        </w:rPr>
        <w:t xml:space="preserve">to record </w:t>
      </w:r>
      <w:r w:rsidR="00122A44">
        <w:rPr>
          <w:rFonts w:cs="Arial"/>
          <w:szCs w:val="22"/>
        </w:rPr>
        <w:t xml:space="preserve">within 24-hours of the time of discovery any </w:t>
      </w:r>
      <w:r w:rsidRPr="00214539" w:rsidR="00401491">
        <w:rPr>
          <w:rFonts w:cs="Arial"/>
          <w:szCs w:val="22"/>
        </w:rPr>
        <w:t xml:space="preserve">less significant physical security events and conditions adverse to </w:t>
      </w:r>
      <w:r w:rsidRPr="00214539" w:rsidR="00401491">
        <w:rPr>
          <w:rFonts w:cs="Arial"/>
          <w:szCs w:val="22"/>
        </w:rPr>
        <w:lastRenderedPageBreak/>
        <w:t xml:space="preserve">security </w:t>
      </w:r>
      <w:r w:rsidR="00CE5EBF">
        <w:rPr>
          <w:rFonts w:cs="Arial"/>
          <w:szCs w:val="22"/>
        </w:rPr>
        <w:t xml:space="preserve">(for both facilities and transportation) </w:t>
      </w:r>
      <w:r w:rsidRPr="00214539" w:rsidR="00401491">
        <w:rPr>
          <w:rFonts w:cs="Arial"/>
          <w:szCs w:val="22"/>
        </w:rPr>
        <w:t>that are specified in paragraphs (c) through (f) of this section</w:t>
      </w:r>
      <w:r w:rsidR="009472E4">
        <w:rPr>
          <w:rFonts w:cs="Arial"/>
          <w:szCs w:val="22"/>
        </w:rPr>
        <w:t xml:space="preserve"> (existing requirement, no new burden as a result of the final rule).</w:t>
      </w:r>
    </w:p>
    <w:p w:rsidR="00237AD9" w:rsidP="00276456" w:rsidRDefault="00237AD9" w14:paraId="32E6DC7F" w14:textId="77777777">
      <w:pPr>
        <w:widowControl/>
        <w:ind w:left="720"/>
        <w:rPr>
          <w:rFonts w:cs="Arial"/>
          <w:szCs w:val="22"/>
          <w:u w:val="single"/>
        </w:rPr>
      </w:pPr>
    </w:p>
    <w:p w:rsidR="00E4462F" w:rsidP="00276456" w:rsidRDefault="005358A3" w14:paraId="0316085D" w14:textId="54FE163F">
      <w:pPr>
        <w:widowControl/>
        <w:ind w:left="720"/>
        <w:rPr>
          <w:rFonts w:eastAsia="Arial"/>
          <w:u w:val="single"/>
        </w:rPr>
      </w:pPr>
      <w:r w:rsidRPr="005358A3">
        <w:rPr>
          <w:rFonts w:eastAsia="Arial"/>
          <w:u w:val="single"/>
        </w:rPr>
        <w:t>Weapons Safety Assessment</w:t>
      </w:r>
      <w:r w:rsidRPr="005358A3">
        <w:rPr>
          <w:rFonts w:eastAsia="Arial"/>
        </w:rPr>
        <w:t xml:space="preserve"> - The NRC has published a four volume “Weapons Safety Assessment” (WSA) guidance document to assist licensees in completing the weapons safety assessment required under § 73.15(e) and (f) as part of an application for combined preemption authority and enhanced weapons authority.  Volumes 1 and 3 contain introductory and evaluatory material.  Volume 2 contains the weapons safety assessment template that licensees will complete and submit with their applications under § 73.15.  Volume 4 contains a completed sample template for a hypothetical power reactor facility.  A separate “WSA Reference Information” volume contains reference information on weapons capabilities and characteristics and is not publicly available for security reasons.</w:t>
      </w:r>
    </w:p>
    <w:p w:rsidR="005358A3" w:rsidP="00276456" w:rsidRDefault="005358A3" w14:paraId="32A84F52" w14:textId="77777777">
      <w:pPr>
        <w:widowControl/>
        <w:ind w:left="720"/>
        <w:rPr>
          <w:rFonts w:cs="Arial"/>
          <w:szCs w:val="22"/>
          <w:u w:val="single"/>
        </w:rPr>
      </w:pPr>
    </w:p>
    <w:p w:rsidR="002A488B" w:rsidP="00673C3E" w:rsidRDefault="002A488B" w14:paraId="7C867A49" w14:textId="620F8853">
      <w:pPr>
        <w:widowControl/>
        <w:autoSpaceDE/>
        <w:autoSpaceDN/>
        <w:adjustRightInd/>
        <w:rPr>
          <w:rFonts w:cs="Arial"/>
          <w:b/>
          <w:i/>
          <w:color w:val="000000"/>
          <w:szCs w:val="22"/>
        </w:rPr>
      </w:pPr>
      <w:r w:rsidRPr="00A32597">
        <w:rPr>
          <w:rFonts w:cs="Arial"/>
          <w:b/>
          <w:i/>
          <w:color w:val="000000"/>
          <w:szCs w:val="22"/>
        </w:rPr>
        <w:t>S</w:t>
      </w:r>
      <w:r>
        <w:rPr>
          <w:rFonts w:cs="Arial"/>
          <w:b/>
          <w:i/>
          <w:color w:val="000000"/>
          <w:szCs w:val="22"/>
        </w:rPr>
        <w:t xml:space="preserve">uspicious Activity Reporting </w:t>
      </w:r>
      <w:r w:rsidRPr="00A32597">
        <w:rPr>
          <w:rFonts w:cs="Arial"/>
          <w:b/>
          <w:i/>
          <w:color w:val="000000"/>
          <w:szCs w:val="22"/>
        </w:rPr>
        <w:t>Requirements (10 CFR Part 73</w:t>
      </w:r>
      <w:r>
        <w:rPr>
          <w:rFonts w:cs="Arial"/>
          <w:b/>
          <w:i/>
          <w:color w:val="000000"/>
          <w:szCs w:val="22"/>
        </w:rPr>
        <w:t>, Subpart T</w:t>
      </w:r>
      <w:r w:rsidRPr="00A32597">
        <w:rPr>
          <w:rFonts w:cs="Arial"/>
          <w:b/>
          <w:i/>
          <w:color w:val="000000"/>
          <w:szCs w:val="22"/>
        </w:rPr>
        <w:t xml:space="preserve">) </w:t>
      </w:r>
    </w:p>
    <w:p w:rsidR="002A488B" w:rsidP="00276456" w:rsidRDefault="002A488B" w14:paraId="4E0E39BB" w14:textId="77777777">
      <w:pPr>
        <w:widowControl/>
        <w:ind w:left="720"/>
        <w:rPr>
          <w:rFonts w:cs="Arial"/>
          <w:szCs w:val="22"/>
          <w:u w:val="single"/>
        </w:rPr>
      </w:pPr>
    </w:p>
    <w:p w:rsidR="002A488B" w:rsidP="002A488B" w:rsidRDefault="00122A44" w14:paraId="12C9947A" w14:textId="1FF2A08B">
      <w:pPr>
        <w:widowControl/>
        <w:ind w:left="720"/>
        <w:rPr>
          <w:rFonts w:cs="Arial"/>
          <w:color w:val="000000"/>
          <w:szCs w:val="22"/>
        </w:rPr>
      </w:pPr>
      <w:r>
        <w:rPr>
          <w:rFonts w:cs="Arial"/>
          <w:color w:val="000000"/>
          <w:szCs w:val="22"/>
        </w:rPr>
        <w:t xml:space="preserve">The third </w:t>
      </w:r>
      <w:r w:rsidR="0085211D">
        <w:rPr>
          <w:rFonts w:cs="Arial"/>
          <w:color w:val="000000"/>
          <w:szCs w:val="22"/>
        </w:rPr>
        <w:t>part</w:t>
      </w:r>
      <w:r>
        <w:rPr>
          <w:rFonts w:cs="Arial"/>
          <w:color w:val="000000"/>
          <w:szCs w:val="22"/>
        </w:rPr>
        <w:t xml:space="preserve"> of the final rule require</w:t>
      </w:r>
      <w:r w:rsidR="00842A93">
        <w:rPr>
          <w:rFonts w:cs="Arial"/>
          <w:color w:val="000000"/>
          <w:szCs w:val="22"/>
        </w:rPr>
        <w:t>s</w:t>
      </w:r>
      <w:r>
        <w:rPr>
          <w:rFonts w:cs="Arial"/>
          <w:color w:val="000000"/>
          <w:szCs w:val="22"/>
        </w:rPr>
        <w:t xml:space="preserve"> a licensee to report </w:t>
      </w:r>
      <w:r w:rsidRPr="00FE5433" w:rsidR="002A488B">
        <w:rPr>
          <w:rFonts w:cs="Arial"/>
          <w:color w:val="000000"/>
          <w:szCs w:val="22"/>
        </w:rPr>
        <w:t>suspicious activity</w:t>
      </w:r>
      <w:r>
        <w:rPr>
          <w:rFonts w:cs="Arial"/>
          <w:color w:val="000000"/>
          <w:szCs w:val="22"/>
        </w:rPr>
        <w:t xml:space="preserve"> to local and Federal law enforcement agencies, to the </w:t>
      </w:r>
      <w:r w:rsidR="00A457C9">
        <w:rPr>
          <w:rFonts w:cs="Arial"/>
          <w:color w:val="000000"/>
          <w:szCs w:val="22"/>
        </w:rPr>
        <w:t xml:space="preserve">NRC, and to the </w:t>
      </w:r>
      <w:r>
        <w:rPr>
          <w:rFonts w:cs="Arial"/>
          <w:color w:val="000000"/>
          <w:szCs w:val="22"/>
        </w:rPr>
        <w:t>FAA (for suspi</w:t>
      </w:r>
      <w:r w:rsidR="00A457C9">
        <w:rPr>
          <w:rFonts w:cs="Arial"/>
          <w:color w:val="000000"/>
          <w:szCs w:val="22"/>
        </w:rPr>
        <w:t>cious aircraft activities)</w:t>
      </w:r>
      <w:r w:rsidR="007E7538">
        <w:rPr>
          <w:rFonts w:cs="Arial"/>
          <w:color w:val="000000"/>
          <w:szCs w:val="22"/>
        </w:rPr>
        <w:t>.</w:t>
      </w:r>
      <w:r>
        <w:rPr>
          <w:rFonts w:cs="Arial"/>
          <w:color w:val="000000"/>
          <w:szCs w:val="22"/>
        </w:rPr>
        <w:t xml:space="preserve">  </w:t>
      </w:r>
      <w:r w:rsidRPr="00FE5433" w:rsidR="002A488B">
        <w:rPr>
          <w:rFonts w:cs="Arial"/>
          <w:color w:val="000000"/>
          <w:szCs w:val="22"/>
        </w:rPr>
        <w:t xml:space="preserve"> </w:t>
      </w:r>
    </w:p>
    <w:p w:rsidR="002A488B" w:rsidP="00276456" w:rsidRDefault="002A488B" w14:paraId="5A51C21E" w14:textId="77777777">
      <w:pPr>
        <w:widowControl/>
        <w:ind w:left="720"/>
        <w:rPr>
          <w:rFonts w:cs="Arial"/>
          <w:szCs w:val="22"/>
          <w:u w:val="single"/>
        </w:rPr>
      </w:pPr>
    </w:p>
    <w:p w:rsidR="00276456" w:rsidP="00276456" w:rsidRDefault="00276456" w14:paraId="0D90E2C7" w14:textId="0E931814">
      <w:pPr>
        <w:widowControl/>
        <w:ind w:left="720"/>
        <w:rPr>
          <w:rFonts w:cs="Arial"/>
          <w:szCs w:val="22"/>
        </w:rPr>
      </w:pPr>
      <w:r>
        <w:rPr>
          <w:rFonts w:cs="Arial"/>
          <w:szCs w:val="22"/>
          <w:u w:val="single"/>
        </w:rPr>
        <w:t>Section 73.1215</w:t>
      </w:r>
      <w:r w:rsidR="007E7538">
        <w:rPr>
          <w:rFonts w:cs="Arial"/>
          <w:szCs w:val="22"/>
          <w:u w:val="single"/>
        </w:rPr>
        <w:t>(d)</w:t>
      </w:r>
      <w:r>
        <w:rPr>
          <w:rFonts w:cs="Arial"/>
          <w:szCs w:val="22"/>
          <w:u w:val="single"/>
        </w:rPr>
        <w:t xml:space="preserve"> </w:t>
      </w:r>
      <w:r w:rsidRPr="006711EB">
        <w:rPr>
          <w:rFonts w:cs="Arial"/>
          <w:szCs w:val="22"/>
        </w:rPr>
        <w:t xml:space="preserve">requires </w:t>
      </w:r>
      <w:r w:rsidR="00CE5EBF">
        <w:rPr>
          <w:rFonts w:cs="Arial"/>
          <w:szCs w:val="22"/>
        </w:rPr>
        <w:t xml:space="preserve">each licensee subject to the provisions of </w:t>
      </w:r>
      <w:r w:rsidRPr="006B0BED" w:rsidR="00CE5EBF">
        <w:rPr>
          <w:rFonts w:cs="Arial"/>
          <w:szCs w:val="22"/>
        </w:rPr>
        <w:t>§§</w:t>
      </w:r>
      <w:r w:rsidR="00CE5EBF">
        <w:rPr>
          <w:rFonts w:cs="Arial"/>
          <w:szCs w:val="22"/>
        </w:rPr>
        <w:t xml:space="preserve"> 73.20, 73.45, 73.46, 73.50, 73.51, 73.55, 73.60, or 73.67 </w:t>
      </w:r>
      <w:r>
        <w:rPr>
          <w:rFonts w:cs="Arial"/>
          <w:szCs w:val="22"/>
        </w:rPr>
        <w:t xml:space="preserve">to </w:t>
      </w:r>
      <w:r w:rsidRPr="002A488B" w:rsidR="002A488B">
        <w:rPr>
          <w:rFonts w:cs="Arial"/>
          <w:szCs w:val="22"/>
        </w:rPr>
        <w:t xml:space="preserve">report </w:t>
      </w:r>
      <w:r w:rsidR="00782887">
        <w:rPr>
          <w:rFonts w:cs="Arial"/>
          <w:szCs w:val="22"/>
        </w:rPr>
        <w:t xml:space="preserve">as soon as practicable, but </w:t>
      </w:r>
      <w:r w:rsidR="00CE5EBF">
        <w:rPr>
          <w:rFonts w:cs="Arial"/>
          <w:szCs w:val="22"/>
        </w:rPr>
        <w:t xml:space="preserve">within 8 hours of the time of discovery </w:t>
      </w:r>
      <w:r w:rsidRPr="002A488B" w:rsidR="002A488B">
        <w:rPr>
          <w:rFonts w:cs="Arial"/>
          <w:szCs w:val="22"/>
        </w:rPr>
        <w:t xml:space="preserve">suspicious </w:t>
      </w:r>
      <w:r w:rsidR="00CE5EBF">
        <w:rPr>
          <w:rFonts w:cs="Arial"/>
          <w:szCs w:val="22"/>
        </w:rPr>
        <w:t xml:space="preserve">facility-related </w:t>
      </w:r>
      <w:r w:rsidRPr="002A488B" w:rsidR="002A488B">
        <w:rPr>
          <w:rFonts w:cs="Arial"/>
          <w:szCs w:val="22"/>
        </w:rPr>
        <w:t>activities</w:t>
      </w:r>
      <w:r w:rsidR="00CE5EBF">
        <w:rPr>
          <w:rFonts w:cs="Arial"/>
          <w:szCs w:val="22"/>
        </w:rPr>
        <w:t xml:space="preserve">.  Category II and III SNM fuel fabrication facilities are </w:t>
      </w:r>
      <w:r w:rsidR="00DF41F8">
        <w:rPr>
          <w:rFonts w:cs="Arial"/>
          <w:szCs w:val="22"/>
        </w:rPr>
        <w:t>excepted</w:t>
      </w:r>
      <w:r w:rsidR="00C57DB2">
        <w:rPr>
          <w:rFonts w:cs="Arial"/>
          <w:szCs w:val="22"/>
        </w:rPr>
        <w:t xml:space="preserve"> from the requirements of </w:t>
      </w:r>
      <w:r w:rsidR="00CE5EBF">
        <w:rPr>
          <w:rFonts w:cs="Arial"/>
          <w:szCs w:val="22"/>
        </w:rPr>
        <w:t xml:space="preserve">this </w:t>
      </w:r>
      <w:r w:rsidR="00DF41F8">
        <w:rPr>
          <w:rFonts w:cs="Arial"/>
          <w:szCs w:val="22"/>
        </w:rPr>
        <w:t>section</w:t>
      </w:r>
      <w:r w:rsidR="00CE5EBF">
        <w:rPr>
          <w:rFonts w:cs="Arial"/>
          <w:szCs w:val="22"/>
        </w:rPr>
        <w:t>.</w:t>
      </w:r>
      <w:r w:rsidRPr="002A488B" w:rsidR="002A488B">
        <w:rPr>
          <w:rFonts w:cs="Arial"/>
          <w:szCs w:val="22"/>
        </w:rPr>
        <w:t xml:space="preserve"> </w:t>
      </w:r>
      <w:r w:rsidR="00CE5EBF">
        <w:rPr>
          <w:rFonts w:cs="Arial"/>
          <w:szCs w:val="22"/>
        </w:rPr>
        <w:t xml:space="preserve"> </w:t>
      </w:r>
      <w:r w:rsidR="00DF41F8">
        <w:rPr>
          <w:rFonts w:cs="Arial"/>
          <w:szCs w:val="22"/>
        </w:rPr>
        <w:t xml:space="preserve">Category II and III SNM enrichment facilities employing Restricted Data (RD) technology are </w:t>
      </w:r>
      <w:r w:rsidR="00C57DB2">
        <w:rPr>
          <w:rFonts w:cs="Arial"/>
          <w:szCs w:val="22"/>
        </w:rPr>
        <w:t xml:space="preserve">excepted from </w:t>
      </w:r>
      <w:r w:rsidR="00DF41F8">
        <w:rPr>
          <w:rFonts w:cs="Arial"/>
          <w:szCs w:val="22"/>
        </w:rPr>
        <w:t xml:space="preserve">the requirements of this paragraph, but are subject to the requirements of § 73.1215(f). </w:t>
      </w:r>
      <w:r w:rsidR="00CE5EBF">
        <w:rPr>
          <w:rFonts w:cs="Arial"/>
          <w:szCs w:val="22"/>
        </w:rPr>
        <w:t xml:space="preserve">Additionally, </w:t>
      </w:r>
      <w:r w:rsidR="001468E2">
        <w:rPr>
          <w:rFonts w:cs="Arial"/>
          <w:szCs w:val="22"/>
        </w:rPr>
        <w:t>two</w:t>
      </w:r>
      <w:r w:rsidR="00BA0D05">
        <w:rPr>
          <w:rFonts w:cs="Arial"/>
          <w:szCs w:val="22"/>
        </w:rPr>
        <w:t xml:space="preserve"> </w:t>
      </w:r>
      <w:r w:rsidR="00DF41F8">
        <w:rPr>
          <w:rFonts w:cs="Arial"/>
          <w:szCs w:val="22"/>
        </w:rPr>
        <w:t xml:space="preserve">sealed-source </w:t>
      </w:r>
      <w:r w:rsidR="00CE5EBF">
        <w:rPr>
          <w:rFonts w:cs="Arial"/>
          <w:szCs w:val="22"/>
        </w:rPr>
        <w:t xml:space="preserve">SNM </w:t>
      </w:r>
      <w:r w:rsidR="00BA0D05">
        <w:rPr>
          <w:rFonts w:cs="Arial"/>
          <w:szCs w:val="22"/>
        </w:rPr>
        <w:t xml:space="preserve">licensees </w:t>
      </w:r>
      <w:r w:rsidR="00CE5EBF">
        <w:rPr>
          <w:rFonts w:cs="Arial"/>
          <w:szCs w:val="22"/>
        </w:rPr>
        <w:t>listed in §</w:t>
      </w:r>
      <w:r w:rsidR="00DF41F8">
        <w:rPr>
          <w:rFonts w:cs="Arial"/>
          <w:szCs w:val="22"/>
        </w:rPr>
        <w:t> </w:t>
      </w:r>
      <w:r w:rsidR="00CE5EBF">
        <w:rPr>
          <w:rFonts w:cs="Arial"/>
          <w:szCs w:val="22"/>
        </w:rPr>
        <w:t xml:space="preserve">73.1215(g) </w:t>
      </w:r>
      <w:r w:rsidR="00DF41F8">
        <w:rPr>
          <w:rFonts w:cs="Arial"/>
          <w:szCs w:val="22"/>
        </w:rPr>
        <w:t>are</w:t>
      </w:r>
      <w:r w:rsidR="00CE5EBF">
        <w:rPr>
          <w:rFonts w:cs="Arial"/>
          <w:szCs w:val="22"/>
        </w:rPr>
        <w:t xml:space="preserve"> </w:t>
      </w:r>
      <w:r w:rsidR="00BA0D05">
        <w:rPr>
          <w:rFonts w:cs="Arial"/>
          <w:szCs w:val="22"/>
        </w:rPr>
        <w:t xml:space="preserve">exempted from </w:t>
      </w:r>
      <w:r w:rsidR="00DF41F8">
        <w:rPr>
          <w:rFonts w:cs="Arial"/>
          <w:szCs w:val="22"/>
        </w:rPr>
        <w:t xml:space="preserve">the requirements of </w:t>
      </w:r>
      <w:r w:rsidR="00BA0D05">
        <w:rPr>
          <w:rFonts w:cs="Arial"/>
          <w:szCs w:val="22"/>
        </w:rPr>
        <w:t xml:space="preserve">this </w:t>
      </w:r>
      <w:r w:rsidR="00CE5EBF">
        <w:rPr>
          <w:rFonts w:cs="Arial"/>
          <w:szCs w:val="22"/>
        </w:rPr>
        <w:t>section (new requirement</w:t>
      </w:r>
      <w:r w:rsidR="00BA0D05">
        <w:rPr>
          <w:rFonts w:cs="Arial"/>
          <w:szCs w:val="22"/>
        </w:rPr>
        <w:t>).</w:t>
      </w:r>
    </w:p>
    <w:p w:rsidR="009E01C7" w:rsidP="00577D64" w:rsidRDefault="009E01C7" w14:paraId="0A5892A9" w14:textId="77777777">
      <w:pPr>
        <w:widowControl/>
        <w:ind w:left="720"/>
        <w:rPr>
          <w:rFonts w:cs="Arial"/>
          <w:szCs w:val="22"/>
          <w:u w:val="single"/>
        </w:rPr>
      </w:pPr>
    </w:p>
    <w:p w:rsidR="00E760B8" w:rsidP="00E760B8" w:rsidRDefault="00E760B8" w14:paraId="02FF10E0" w14:textId="6FEDA9A5">
      <w:pPr>
        <w:widowControl/>
        <w:ind w:left="720"/>
        <w:rPr>
          <w:rFonts w:cs="Arial"/>
          <w:szCs w:val="22"/>
        </w:rPr>
      </w:pPr>
      <w:r>
        <w:rPr>
          <w:rFonts w:cs="Arial"/>
          <w:szCs w:val="22"/>
          <w:u w:val="single"/>
        </w:rPr>
        <w:t>Section 73.1215(</w:t>
      </w:r>
      <w:r w:rsidR="00DF41F8">
        <w:rPr>
          <w:rFonts w:cs="Arial"/>
          <w:szCs w:val="22"/>
          <w:u w:val="single"/>
        </w:rPr>
        <w:t>e</w:t>
      </w:r>
      <w:r>
        <w:rPr>
          <w:rFonts w:cs="Arial"/>
          <w:szCs w:val="22"/>
          <w:u w:val="single"/>
        </w:rPr>
        <w:t xml:space="preserve">) </w:t>
      </w:r>
      <w:r w:rsidRPr="006711EB" w:rsidR="00DF41F8">
        <w:rPr>
          <w:rFonts w:cs="Arial"/>
          <w:szCs w:val="22"/>
        </w:rPr>
        <w:t xml:space="preserve">requires </w:t>
      </w:r>
      <w:r w:rsidR="00DF41F8">
        <w:rPr>
          <w:rFonts w:cs="Arial"/>
          <w:szCs w:val="22"/>
        </w:rPr>
        <w:t>each licensee subject to the provisions of §</w:t>
      </w:r>
      <w:r w:rsidRPr="00353FF1" w:rsidR="00DF41F8">
        <w:rPr>
          <w:rFonts w:cs="Arial"/>
          <w:szCs w:val="22"/>
        </w:rPr>
        <w:t>§</w:t>
      </w:r>
      <w:r w:rsidRPr="00A32597" w:rsidR="00DF41F8">
        <w:rPr>
          <w:rFonts w:cs="Arial"/>
          <w:szCs w:val="22"/>
        </w:rPr>
        <w:t> 73.20, 73.</w:t>
      </w:r>
      <w:r w:rsidR="00DF41F8">
        <w:rPr>
          <w:rFonts w:cs="Arial"/>
          <w:szCs w:val="22"/>
        </w:rPr>
        <w:t>2</w:t>
      </w:r>
      <w:r w:rsidRPr="00A32597" w:rsidR="00DF41F8">
        <w:rPr>
          <w:rFonts w:cs="Arial"/>
          <w:szCs w:val="22"/>
        </w:rPr>
        <w:t>5, 73.</w:t>
      </w:r>
      <w:r w:rsidR="00DF41F8">
        <w:rPr>
          <w:rFonts w:cs="Arial"/>
          <w:szCs w:val="22"/>
        </w:rPr>
        <w:t>2</w:t>
      </w:r>
      <w:r w:rsidRPr="00A32597" w:rsidR="00DF41F8">
        <w:rPr>
          <w:rFonts w:cs="Arial"/>
          <w:szCs w:val="22"/>
        </w:rPr>
        <w:t>6, 73.</w:t>
      </w:r>
      <w:r w:rsidR="00DF41F8">
        <w:rPr>
          <w:rFonts w:cs="Arial"/>
          <w:szCs w:val="22"/>
        </w:rPr>
        <w:t>27</w:t>
      </w:r>
      <w:r w:rsidRPr="00A32597" w:rsidR="00DF41F8">
        <w:rPr>
          <w:rFonts w:cs="Arial"/>
          <w:szCs w:val="22"/>
        </w:rPr>
        <w:t xml:space="preserve">, </w:t>
      </w:r>
      <w:r w:rsidR="00DF41F8">
        <w:rPr>
          <w:rFonts w:cs="Arial"/>
          <w:szCs w:val="22"/>
        </w:rPr>
        <w:t xml:space="preserve">or </w:t>
      </w:r>
      <w:r w:rsidRPr="00A32597" w:rsidR="00DF41F8">
        <w:rPr>
          <w:rFonts w:cs="Arial"/>
          <w:szCs w:val="22"/>
        </w:rPr>
        <w:t>73.</w:t>
      </w:r>
      <w:r w:rsidR="00DF41F8">
        <w:rPr>
          <w:rFonts w:cs="Arial"/>
          <w:szCs w:val="22"/>
        </w:rPr>
        <w:t xml:space="preserve">37 to </w:t>
      </w:r>
      <w:r w:rsidRPr="002A488B" w:rsidR="00DF41F8">
        <w:rPr>
          <w:rFonts w:cs="Arial"/>
          <w:szCs w:val="22"/>
        </w:rPr>
        <w:t xml:space="preserve">report </w:t>
      </w:r>
      <w:r w:rsidR="00782887">
        <w:rPr>
          <w:rFonts w:cs="Arial"/>
          <w:szCs w:val="22"/>
        </w:rPr>
        <w:t xml:space="preserve">as soon as practicable, but </w:t>
      </w:r>
      <w:r w:rsidR="00DF41F8">
        <w:rPr>
          <w:rFonts w:cs="Arial"/>
          <w:szCs w:val="22"/>
        </w:rPr>
        <w:t xml:space="preserve">within 8 hours of the time of discovery </w:t>
      </w:r>
      <w:r w:rsidRPr="002A488B" w:rsidR="00DF41F8">
        <w:rPr>
          <w:rFonts w:cs="Arial"/>
          <w:szCs w:val="22"/>
        </w:rPr>
        <w:t xml:space="preserve">suspicious </w:t>
      </w:r>
      <w:r w:rsidR="00DF41F8">
        <w:rPr>
          <w:rFonts w:cs="Arial"/>
          <w:szCs w:val="22"/>
        </w:rPr>
        <w:t xml:space="preserve">transportation-related </w:t>
      </w:r>
      <w:r w:rsidRPr="002A488B" w:rsidR="00DF41F8">
        <w:rPr>
          <w:rFonts w:cs="Arial"/>
          <w:szCs w:val="22"/>
        </w:rPr>
        <w:t>activities</w:t>
      </w:r>
      <w:r w:rsidR="00DF41F8">
        <w:rPr>
          <w:rFonts w:cs="Arial"/>
          <w:szCs w:val="22"/>
        </w:rPr>
        <w:t xml:space="preserve"> </w:t>
      </w:r>
      <w:r>
        <w:rPr>
          <w:rFonts w:cs="Arial"/>
          <w:szCs w:val="22"/>
        </w:rPr>
        <w:t xml:space="preserve">(new requirement).  </w:t>
      </w:r>
    </w:p>
    <w:p w:rsidR="00E760B8" w:rsidP="00577D64" w:rsidRDefault="00E760B8" w14:paraId="0E370CB0" w14:textId="77777777">
      <w:pPr>
        <w:widowControl/>
        <w:ind w:left="720"/>
        <w:rPr>
          <w:rFonts w:cs="Arial"/>
          <w:szCs w:val="22"/>
          <w:u w:val="single"/>
        </w:rPr>
      </w:pPr>
    </w:p>
    <w:p w:rsidR="00CE5EBF" w:rsidP="00CE5EBF" w:rsidRDefault="00CE5EBF" w14:paraId="70EE6EF7" w14:textId="77777777">
      <w:pPr>
        <w:widowControl/>
        <w:ind w:left="720"/>
        <w:rPr>
          <w:rFonts w:cs="Arial"/>
          <w:szCs w:val="22"/>
        </w:rPr>
      </w:pPr>
      <w:r>
        <w:rPr>
          <w:rFonts w:cs="Arial"/>
          <w:szCs w:val="22"/>
          <w:u w:val="single"/>
        </w:rPr>
        <w:t>Section 73.1215(</w:t>
      </w:r>
      <w:r w:rsidR="00C57DB2">
        <w:rPr>
          <w:rFonts w:cs="Arial"/>
          <w:szCs w:val="22"/>
          <w:u w:val="single"/>
        </w:rPr>
        <w:t>f</w:t>
      </w:r>
      <w:r>
        <w:rPr>
          <w:rFonts w:cs="Arial"/>
          <w:szCs w:val="22"/>
          <w:u w:val="single"/>
        </w:rPr>
        <w:t xml:space="preserve">) </w:t>
      </w:r>
      <w:r w:rsidRPr="006711EB">
        <w:rPr>
          <w:rFonts w:cs="Arial"/>
          <w:szCs w:val="22"/>
        </w:rPr>
        <w:t xml:space="preserve">requires </w:t>
      </w:r>
      <w:r>
        <w:rPr>
          <w:rFonts w:cs="Arial"/>
          <w:szCs w:val="22"/>
        </w:rPr>
        <w:t>a</w:t>
      </w:r>
      <w:r w:rsidRPr="006711EB">
        <w:rPr>
          <w:rFonts w:cs="Arial"/>
          <w:szCs w:val="22"/>
        </w:rPr>
        <w:t xml:space="preserve"> licensee </w:t>
      </w:r>
      <w:r w:rsidR="00C57DB2">
        <w:rPr>
          <w:rFonts w:cs="Arial"/>
          <w:szCs w:val="22"/>
        </w:rPr>
        <w:t xml:space="preserve">subject § 73.67 who is engaged in Category II or III SNM enrichment </w:t>
      </w:r>
      <w:r w:rsidR="0041243D">
        <w:rPr>
          <w:rFonts w:cs="Arial"/>
          <w:szCs w:val="22"/>
        </w:rPr>
        <w:t>(</w:t>
      </w:r>
      <w:r w:rsidR="00C57DB2">
        <w:rPr>
          <w:rFonts w:cs="Arial"/>
          <w:szCs w:val="22"/>
        </w:rPr>
        <w:t>using RD technology</w:t>
      </w:r>
      <w:r w:rsidR="005F14CF">
        <w:rPr>
          <w:rFonts w:cs="Arial"/>
          <w:szCs w:val="22"/>
        </w:rPr>
        <w:t>)</w:t>
      </w:r>
      <w:r w:rsidR="00C57DB2">
        <w:rPr>
          <w:rFonts w:cs="Arial"/>
          <w:szCs w:val="22"/>
        </w:rPr>
        <w:t xml:space="preserve"> to report </w:t>
      </w:r>
      <w:r w:rsidRPr="002A488B">
        <w:rPr>
          <w:rFonts w:cs="Arial"/>
          <w:szCs w:val="22"/>
        </w:rPr>
        <w:t xml:space="preserve">suspicious activities </w:t>
      </w:r>
      <w:r w:rsidR="00C57DB2">
        <w:rPr>
          <w:rFonts w:cs="Arial"/>
          <w:szCs w:val="22"/>
        </w:rPr>
        <w:t>related to their RD information, technology, or materials (new requirement).</w:t>
      </w:r>
    </w:p>
    <w:p w:rsidRPr="00A32597" w:rsidR="00CE5EBF" w:rsidP="00577D64" w:rsidRDefault="00CE5EBF" w14:paraId="0623DEF6" w14:textId="77777777">
      <w:pPr>
        <w:widowControl/>
        <w:ind w:left="720"/>
        <w:rPr>
          <w:rFonts w:cs="Arial"/>
          <w:szCs w:val="22"/>
          <w:u w:val="single"/>
        </w:rPr>
      </w:pPr>
    </w:p>
    <w:p w:rsidRPr="00A32597" w:rsidR="002B1B50" w:rsidP="00991E81" w:rsidRDefault="002B1B50" w14:paraId="292D4621" w14:textId="77777777">
      <w:pPr>
        <w:keepNext/>
        <w:keepLines/>
        <w:widowControl/>
        <w:tabs>
          <w:tab w:val="left" w:pos="-1440"/>
        </w:tabs>
        <w:ind w:left="1440" w:hanging="720"/>
        <w:rPr>
          <w:rFonts w:cs="Arial"/>
          <w:szCs w:val="22"/>
          <w:u w:val="single"/>
        </w:rPr>
      </w:pPr>
      <w:r w:rsidRPr="00A32597">
        <w:rPr>
          <w:rFonts w:cs="Arial"/>
          <w:szCs w:val="22"/>
        </w:rPr>
        <w:t>2.</w:t>
      </w:r>
      <w:r w:rsidRPr="00A32597">
        <w:rPr>
          <w:rFonts w:cs="Arial"/>
          <w:szCs w:val="22"/>
        </w:rPr>
        <w:tab/>
      </w:r>
      <w:r w:rsidRPr="00A32597">
        <w:rPr>
          <w:rFonts w:cs="Arial"/>
          <w:szCs w:val="22"/>
          <w:u w:val="single"/>
        </w:rPr>
        <w:t>Agency Use of the Information</w:t>
      </w:r>
    </w:p>
    <w:p w:rsidRPr="00A32597" w:rsidR="002B1B50" w:rsidP="00991E81" w:rsidRDefault="002B1B50" w14:paraId="48E833C2" w14:textId="77777777">
      <w:pPr>
        <w:keepNext/>
        <w:keepLines/>
        <w:widowControl/>
        <w:rPr>
          <w:rFonts w:cs="Arial"/>
          <w:szCs w:val="22"/>
          <w:u w:val="single"/>
        </w:rPr>
      </w:pPr>
    </w:p>
    <w:p w:rsidRPr="00A32597" w:rsidR="00A243B4" w:rsidP="00991E81" w:rsidRDefault="00E77974" w14:paraId="0F16762B" w14:textId="1A6BB2C7">
      <w:pPr>
        <w:keepNext/>
        <w:keepLines/>
        <w:widowControl/>
        <w:ind w:left="720"/>
        <w:rPr>
          <w:rFonts w:cs="Arial"/>
          <w:szCs w:val="22"/>
        </w:rPr>
      </w:pPr>
      <w:r>
        <w:rPr>
          <w:rFonts w:cs="Arial"/>
          <w:szCs w:val="22"/>
        </w:rPr>
        <w:t xml:space="preserve">In the first </w:t>
      </w:r>
      <w:r w:rsidR="0085211D">
        <w:rPr>
          <w:rFonts w:cs="Arial"/>
          <w:szCs w:val="22"/>
        </w:rPr>
        <w:t>part</w:t>
      </w:r>
      <w:r>
        <w:rPr>
          <w:rFonts w:cs="Arial"/>
          <w:szCs w:val="22"/>
        </w:rPr>
        <w:t xml:space="preserve"> of the final rule, t</w:t>
      </w:r>
      <w:r w:rsidRPr="00A32597" w:rsidR="00A243B4">
        <w:rPr>
          <w:rFonts w:cs="Arial"/>
          <w:szCs w:val="22"/>
        </w:rPr>
        <w:t xml:space="preserve">he information included in the applications, reports, and records for </w:t>
      </w:r>
      <w:r>
        <w:rPr>
          <w:rFonts w:cs="Arial"/>
          <w:szCs w:val="22"/>
        </w:rPr>
        <w:t>Section 161A authorities</w:t>
      </w:r>
      <w:r w:rsidRPr="00A32597" w:rsidR="00A243B4">
        <w:rPr>
          <w:rFonts w:cs="Arial"/>
          <w:szCs w:val="22"/>
        </w:rPr>
        <w:t xml:space="preserve"> is </w:t>
      </w:r>
      <w:r w:rsidR="006C0318">
        <w:rPr>
          <w:rFonts w:cs="Arial"/>
          <w:szCs w:val="22"/>
        </w:rPr>
        <w:t>used</w:t>
      </w:r>
      <w:r w:rsidRPr="00A32597" w:rsidR="006C0318">
        <w:rPr>
          <w:rFonts w:cs="Arial"/>
          <w:szCs w:val="22"/>
        </w:rPr>
        <w:t xml:space="preserve"> </w:t>
      </w:r>
      <w:r w:rsidRPr="00A32597" w:rsidR="00A243B4">
        <w:rPr>
          <w:rFonts w:cs="Arial"/>
          <w:szCs w:val="22"/>
        </w:rPr>
        <w:t>by the NRC staff to assess the adequacy of the applicant's physical plant, equipment, organization, training, experience, procedures, and plans for the common defense and security</w:t>
      </w:r>
      <w:r w:rsidR="007E1C0C">
        <w:rPr>
          <w:rFonts w:cs="Arial"/>
          <w:szCs w:val="22"/>
        </w:rPr>
        <w:t xml:space="preserve">, and to assess </w:t>
      </w:r>
      <w:r w:rsidRPr="007E1C0C" w:rsidR="007E1C0C">
        <w:rPr>
          <w:rFonts w:cs="Arial"/>
          <w:szCs w:val="22"/>
        </w:rPr>
        <w:t xml:space="preserve">the adequacy of a licensee’s application for § 161A authority, including </w:t>
      </w:r>
      <w:r w:rsidRPr="007E1C0C" w:rsidR="00214539">
        <w:rPr>
          <w:rFonts w:cs="Arial"/>
          <w:szCs w:val="22"/>
        </w:rPr>
        <w:t>possession</w:t>
      </w:r>
      <w:r w:rsidRPr="007E1C0C" w:rsidR="007E1C0C">
        <w:rPr>
          <w:rFonts w:cs="Arial"/>
          <w:szCs w:val="22"/>
        </w:rPr>
        <w:t xml:space="preserve"> of enhanced weapons</w:t>
      </w:r>
      <w:r w:rsidRPr="00A32597" w:rsidR="00A243B4">
        <w:rPr>
          <w:rFonts w:cs="Arial"/>
          <w:szCs w:val="22"/>
        </w:rPr>
        <w:t>.</w:t>
      </w:r>
      <w:r>
        <w:rPr>
          <w:rFonts w:cs="Arial"/>
          <w:szCs w:val="22"/>
        </w:rPr>
        <w:t xml:space="preserve">  Additionally, information included</w:t>
      </w:r>
      <w:r w:rsidR="008A68F5">
        <w:rPr>
          <w:rFonts w:cs="Arial"/>
          <w:szCs w:val="22"/>
        </w:rPr>
        <w:t xml:space="preserve"> in firearms background checks is </w:t>
      </w:r>
      <w:r w:rsidR="006C0318">
        <w:rPr>
          <w:rFonts w:cs="Arial"/>
          <w:szCs w:val="22"/>
        </w:rPr>
        <w:t xml:space="preserve">used </w:t>
      </w:r>
      <w:r w:rsidR="008A68F5">
        <w:rPr>
          <w:rFonts w:cs="Arial"/>
          <w:szCs w:val="22"/>
        </w:rPr>
        <w:t>by the FBI to verify that a security personnel is not prohibited from possessing firearms or ammunition under Federal or State law.</w:t>
      </w:r>
    </w:p>
    <w:p w:rsidRPr="00A32597" w:rsidR="00A243B4" w:rsidP="00577D64" w:rsidRDefault="00A243B4" w14:paraId="6BBFF72E" w14:textId="77777777">
      <w:pPr>
        <w:widowControl/>
        <w:ind w:left="720"/>
        <w:rPr>
          <w:rFonts w:cs="Arial"/>
          <w:szCs w:val="22"/>
        </w:rPr>
      </w:pPr>
    </w:p>
    <w:p w:rsidR="00D1054C" w:rsidP="00577D64" w:rsidRDefault="00E77974" w14:paraId="3E7A9C51" w14:textId="5ADA2D23">
      <w:pPr>
        <w:widowControl/>
        <w:ind w:left="720"/>
        <w:rPr>
          <w:rFonts w:cs="Arial"/>
          <w:szCs w:val="22"/>
        </w:rPr>
      </w:pPr>
      <w:r>
        <w:rPr>
          <w:rFonts w:cs="Arial"/>
          <w:szCs w:val="22"/>
        </w:rPr>
        <w:t xml:space="preserve">In the second </w:t>
      </w:r>
      <w:r w:rsidR="0085211D">
        <w:rPr>
          <w:rFonts w:cs="Arial"/>
          <w:szCs w:val="22"/>
        </w:rPr>
        <w:t>part</w:t>
      </w:r>
      <w:r>
        <w:rPr>
          <w:rFonts w:cs="Arial"/>
          <w:szCs w:val="22"/>
        </w:rPr>
        <w:t xml:space="preserve"> of the final rule, t</w:t>
      </w:r>
      <w:r w:rsidRPr="00A32597" w:rsidR="00D1054C">
        <w:rPr>
          <w:rFonts w:cs="Arial"/>
          <w:szCs w:val="22"/>
        </w:rPr>
        <w:t xml:space="preserve">he information received during a </w:t>
      </w:r>
      <w:r w:rsidR="008A68F5">
        <w:rPr>
          <w:rFonts w:cs="Arial"/>
          <w:szCs w:val="22"/>
        </w:rPr>
        <w:t xml:space="preserve">physical </w:t>
      </w:r>
      <w:r w:rsidRPr="00A32597" w:rsidR="00D1054C">
        <w:rPr>
          <w:rFonts w:cs="Arial"/>
          <w:szCs w:val="22"/>
        </w:rPr>
        <w:t xml:space="preserve">security </w:t>
      </w:r>
      <w:r w:rsidRPr="00A32597" w:rsidR="008A68F5">
        <w:rPr>
          <w:rFonts w:cs="Arial"/>
          <w:szCs w:val="22"/>
        </w:rPr>
        <w:t xml:space="preserve">event </w:t>
      </w:r>
      <w:r w:rsidRPr="00A32597" w:rsidR="00D1054C">
        <w:rPr>
          <w:rFonts w:cs="Arial"/>
          <w:szCs w:val="22"/>
        </w:rPr>
        <w:t xml:space="preserve">notification will be reviewed by the NRC staff for follow-up, inspection, or activation of the NRC’s </w:t>
      </w:r>
      <w:r w:rsidRPr="00A32597" w:rsidR="00144D4A">
        <w:rPr>
          <w:rFonts w:cs="Arial"/>
          <w:szCs w:val="22"/>
        </w:rPr>
        <w:t xml:space="preserve">Headquarters </w:t>
      </w:r>
      <w:r w:rsidRPr="00A32597" w:rsidR="00D1054C">
        <w:rPr>
          <w:rFonts w:cs="Arial"/>
          <w:szCs w:val="22"/>
        </w:rPr>
        <w:t>Operations Center</w:t>
      </w:r>
      <w:r w:rsidR="008A68F5">
        <w:rPr>
          <w:rFonts w:cs="Arial"/>
          <w:szCs w:val="22"/>
        </w:rPr>
        <w:t xml:space="preserve">.  Information regarding actual or imminent hostile actions will be disseminated to other NRC licensees and </w:t>
      </w:r>
      <w:r w:rsidR="00FF6C49">
        <w:rPr>
          <w:rFonts w:cs="Arial"/>
          <w:szCs w:val="22"/>
        </w:rPr>
        <w:t xml:space="preserve">to </w:t>
      </w:r>
      <w:r w:rsidR="008A68F5">
        <w:rPr>
          <w:rFonts w:cs="Arial"/>
          <w:szCs w:val="22"/>
        </w:rPr>
        <w:t xml:space="preserve">the DHS National Operations </w:t>
      </w:r>
      <w:r w:rsidR="008A68F5">
        <w:rPr>
          <w:rFonts w:cs="Arial"/>
          <w:szCs w:val="22"/>
        </w:rPr>
        <w:lastRenderedPageBreak/>
        <w:t>Center</w:t>
      </w:r>
      <w:r w:rsidR="00FF6C49">
        <w:rPr>
          <w:rFonts w:cs="Arial"/>
          <w:szCs w:val="22"/>
        </w:rPr>
        <w:t>;</w:t>
      </w:r>
      <w:r w:rsidR="008A68F5">
        <w:rPr>
          <w:rFonts w:cs="Arial"/>
          <w:szCs w:val="22"/>
        </w:rPr>
        <w:t xml:space="preserve"> so that these licensees, other government agencies, and other critical infrastructure can increase their defensive posture</w:t>
      </w:r>
      <w:r w:rsidRPr="00A32597" w:rsidR="00D1054C">
        <w:rPr>
          <w:rFonts w:cs="Arial"/>
          <w:szCs w:val="22"/>
        </w:rPr>
        <w:t>.</w:t>
      </w:r>
    </w:p>
    <w:p w:rsidR="007E1C0C" w:rsidP="00577D64" w:rsidRDefault="007E1C0C" w14:paraId="00CBABF7" w14:textId="77777777">
      <w:pPr>
        <w:widowControl/>
        <w:ind w:left="720"/>
        <w:rPr>
          <w:rFonts w:cs="Arial"/>
          <w:szCs w:val="22"/>
        </w:rPr>
      </w:pPr>
    </w:p>
    <w:p w:rsidR="00E339F0" w:rsidP="007E1C0C" w:rsidRDefault="008A68F5" w14:paraId="2090E2B9" w14:textId="207F9013">
      <w:pPr>
        <w:widowControl/>
        <w:ind w:left="720"/>
        <w:rPr>
          <w:rFonts w:cs="Arial"/>
          <w:szCs w:val="22"/>
        </w:rPr>
      </w:pPr>
      <w:r>
        <w:rPr>
          <w:rFonts w:cs="Arial"/>
          <w:szCs w:val="22"/>
        </w:rPr>
        <w:t xml:space="preserve">In the third </w:t>
      </w:r>
      <w:r w:rsidR="0085211D">
        <w:rPr>
          <w:rFonts w:cs="Arial"/>
          <w:szCs w:val="22"/>
        </w:rPr>
        <w:t>part</w:t>
      </w:r>
      <w:r>
        <w:rPr>
          <w:rFonts w:cs="Arial"/>
          <w:szCs w:val="22"/>
        </w:rPr>
        <w:t xml:space="preserve"> of the final rule, t</w:t>
      </w:r>
      <w:r w:rsidRPr="00A32597">
        <w:rPr>
          <w:rFonts w:cs="Arial"/>
          <w:szCs w:val="22"/>
        </w:rPr>
        <w:t xml:space="preserve">he </w:t>
      </w:r>
      <w:r w:rsidR="007E1C0C">
        <w:rPr>
          <w:rFonts w:cs="Arial"/>
          <w:szCs w:val="22"/>
        </w:rPr>
        <w:t>information received from a suspicious activity report</w:t>
      </w:r>
      <w:r>
        <w:rPr>
          <w:rFonts w:cs="Arial"/>
          <w:szCs w:val="22"/>
        </w:rPr>
        <w:t xml:space="preserve"> will be used by local and Federal </w:t>
      </w:r>
      <w:r w:rsidRPr="007E1C0C" w:rsidR="007E1C0C">
        <w:rPr>
          <w:rFonts w:cs="Arial"/>
          <w:szCs w:val="22"/>
        </w:rPr>
        <w:t xml:space="preserve">law enforcement </w:t>
      </w:r>
      <w:r>
        <w:rPr>
          <w:rFonts w:cs="Arial"/>
          <w:szCs w:val="22"/>
        </w:rPr>
        <w:t xml:space="preserve">agencies investigating such activities, as </w:t>
      </w:r>
      <w:r w:rsidRPr="007E1C0C" w:rsidR="007E1C0C">
        <w:rPr>
          <w:rFonts w:cs="Arial"/>
          <w:szCs w:val="22"/>
        </w:rPr>
        <w:t xml:space="preserve">part of the U.S. government’s efforts to disrupt or dissuade </w:t>
      </w:r>
      <w:r>
        <w:rPr>
          <w:rFonts w:cs="Arial"/>
          <w:szCs w:val="22"/>
        </w:rPr>
        <w:t>planned terrorist</w:t>
      </w:r>
      <w:r w:rsidRPr="007E1C0C" w:rsidR="007E1C0C">
        <w:rPr>
          <w:rFonts w:cs="Arial"/>
          <w:szCs w:val="22"/>
        </w:rPr>
        <w:t xml:space="preserve"> acts against </w:t>
      </w:r>
      <w:r w:rsidR="00E339F0">
        <w:rPr>
          <w:rFonts w:cs="Arial"/>
          <w:szCs w:val="22"/>
        </w:rPr>
        <w:t xml:space="preserve">NRC-facilities and activities, against </w:t>
      </w:r>
      <w:r w:rsidRPr="007E1C0C" w:rsidR="007E1C0C">
        <w:rPr>
          <w:rFonts w:cs="Arial"/>
          <w:szCs w:val="22"/>
        </w:rPr>
        <w:t>critical infrastructure</w:t>
      </w:r>
      <w:r w:rsidR="00E339F0">
        <w:rPr>
          <w:rFonts w:cs="Arial"/>
          <w:szCs w:val="22"/>
        </w:rPr>
        <w:t>, and against government facilities.</w:t>
      </w:r>
      <w:r w:rsidRPr="00E339F0" w:rsidR="00E339F0">
        <w:rPr>
          <w:rFonts w:cs="Arial"/>
          <w:szCs w:val="22"/>
        </w:rPr>
        <w:t xml:space="preserve"> </w:t>
      </w:r>
      <w:r w:rsidR="00E339F0">
        <w:rPr>
          <w:rFonts w:cs="Arial"/>
          <w:szCs w:val="22"/>
        </w:rPr>
        <w:t xml:space="preserve">The NRC also uses the information as part of </w:t>
      </w:r>
      <w:r w:rsidRPr="007E1C0C" w:rsidR="00E339F0">
        <w:rPr>
          <w:rFonts w:cs="Arial"/>
          <w:szCs w:val="22"/>
        </w:rPr>
        <w:t>one of the agency’s primary mission essential functions of threat assessment for licensed facilities, materials, and shipping activities.</w:t>
      </w:r>
    </w:p>
    <w:p w:rsidR="00E339F0" w:rsidP="007E1C0C" w:rsidRDefault="00E339F0" w14:paraId="71568B54" w14:textId="77777777">
      <w:pPr>
        <w:widowControl/>
        <w:ind w:left="720"/>
        <w:rPr>
          <w:rFonts w:cs="Arial"/>
          <w:szCs w:val="22"/>
        </w:rPr>
      </w:pPr>
    </w:p>
    <w:p w:rsidRPr="00A32597" w:rsidR="007E1C0C" w:rsidP="007E1C0C" w:rsidRDefault="00E339F0" w14:paraId="202BFCBB" w14:textId="77777777">
      <w:pPr>
        <w:widowControl/>
        <w:ind w:left="720"/>
        <w:rPr>
          <w:rFonts w:cs="Arial"/>
          <w:szCs w:val="22"/>
        </w:rPr>
      </w:pPr>
      <w:r>
        <w:rPr>
          <w:rFonts w:cs="Arial"/>
          <w:szCs w:val="22"/>
        </w:rPr>
        <w:t>The intelligence community assesses that a</w:t>
      </w:r>
      <w:r w:rsidRPr="007E1C0C" w:rsidR="007E1C0C">
        <w:rPr>
          <w:rFonts w:cs="Arial"/>
          <w:szCs w:val="22"/>
        </w:rPr>
        <w:t>ttack planning and preparation generally proceed through several predictable stages, including intelligence gathering and pre-attack surveillance</w:t>
      </w:r>
      <w:r>
        <w:rPr>
          <w:rFonts w:cs="Arial"/>
          <w:szCs w:val="22"/>
        </w:rPr>
        <w:t xml:space="preserve"> or reconnaissance</w:t>
      </w:r>
      <w:r w:rsidRPr="007E1C0C" w:rsidR="007E1C0C">
        <w:rPr>
          <w:rFonts w:cs="Arial"/>
          <w:szCs w:val="22"/>
        </w:rPr>
        <w:t xml:space="preserve">.  These </w:t>
      </w:r>
      <w:r>
        <w:rPr>
          <w:rFonts w:cs="Arial"/>
          <w:szCs w:val="22"/>
        </w:rPr>
        <w:t xml:space="preserve">pre-attack </w:t>
      </w:r>
      <w:r w:rsidRPr="007E1C0C" w:rsidR="007E1C0C">
        <w:rPr>
          <w:rFonts w:cs="Arial"/>
          <w:szCs w:val="22"/>
        </w:rPr>
        <w:t xml:space="preserve">stages offer law enforcement and security personnel the greatest opportunity to disrupt or dissuade acts of terrorism before they occur. </w:t>
      </w:r>
      <w:r w:rsidR="007E1C0C">
        <w:rPr>
          <w:rFonts w:cs="Arial"/>
          <w:szCs w:val="22"/>
        </w:rPr>
        <w:t xml:space="preserve"> </w:t>
      </w:r>
    </w:p>
    <w:p w:rsidRPr="00A32597" w:rsidR="002B1B50" w:rsidP="00577D64" w:rsidRDefault="002B1B50" w14:paraId="528B60AF" w14:textId="77777777">
      <w:pPr>
        <w:widowControl/>
        <w:rPr>
          <w:rFonts w:cs="Arial"/>
          <w:szCs w:val="22"/>
        </w:rPr>
      </w:pPr>
    </w:p>
    <w:p w:rsidRPr="00A32597" w:rsidR="002B1B50" w:rsidP="00577D64" w:rsidRDefault="002B1B50" w14:paraId="4808EFBE" w14:textId="77777777">
      <w:pPr>
        <w:widowControl/>
        <w:tabs>
          <w:tab w:val="left" w:pos="-1440"/>
        </w:tabs>
        <w:ind w:left="1440" w:hanging="720"/>
        <w:rPr>
          <w:rFonts w:cs="Arial"/>
          <w:szCs w:val="22"/>
        </w:rPr>
      </w:pPr>
      <w:r w:rsidRPr="00A32597">
        <w:rPr>
          <w:rFonts w:cs="Arial"/>
          <w:szCs w:val="22"/>
        </w:rPr>
        <w:t>3.</w:t>
      </w:r>
      <w:r w:rsidRPr="00A32597">
        <w:rPr>
          <w:rFonts w:cs="Arial"/>
          <w:szCs w:val="22"/>
        </w:rPr>
        <w:tab/>
      </w:r>
      <w:r w:rsidRPr="00A32597">
        <w:rPr>
          <w:rFonts w:cs="Arial"/>
          <w:szCs w:val="22"/>
          <w:u w:val="single"/>
        </w:rPr>
        <w:t>Reduction of Burden Through Information Technology</w:t>
      </w:r>
    </w:p>
    <w:p w:rsidRPr="00A32597" w:rsidR="002B1B50" w:rsidP="00577D64" w:rsidRDefault="002B1B50" w14:paraId="19E22185" w14:textId="77777777">
      <w:pPr>
        <w:widowControl/>
        <w:rPr>
          <w:rFonts w:cs="Arial"/>
          <w:szCs w:val="22"/>
        </w:rPr>
      </w:pPr>
    </w:p>
    <w:p w:rsidR="00F03CF3" w:rsidP="00577D64" w:rsidRDefault="00E22AFA" w14:paraId="132CA876" w14:textId="77777777">
      <w:pPr>
        <w:widowControl/>
        <w:ind w:left="720"/>
        <w:rPr>
          <w:rFonts w:cs="Arial"/>
          <w:szCs w:val="22"/>
        </w:rPr>
      </w:pPr>
      <w:r w:rsidRPr="00CA2D13">
        <w:rPr>
          <w:rFonts w:cs="Arial"/>
          <w:szCs w:val="22"/>
        </w:rPr>
        <w:t>There are no legal obstacles to reducing the burden associated with this information collection. The NRC encourages respondents to use information technology when it would be beneficial to them</w:t>
      </w:r>
      <w:r w:rsidR="00F03CF3">
        <w:rPr>
          <w:rFonts w:cs="Arial"/>
          <w:szCs w:val="22"/>
        </w:rPr>
        <w:t>.</w:t>
      </w:r>
      <w:r>
        <w:rPr>
          <w:rFonts w:cs="Arial"/>
          <w:szCs w:val="22"/>
        </w:rPr>
        <w:t xml:space="preserve">  </w:t>
      </w:r>
      <w:r w:rsidR="00F03CF3">
        <w:rPr>
          <w:rFonts w:cs="Arial"/>
          <w:szCs w:val="22"/>
        </w:rPr>
        <w:t>T</w:t>
      </w:r>
      <w:r w:rsidRPr="004A6986">
        <w:rPr>
          <w:rFonts w:eastAsia="Calibri" w:cs="Arial"/>
          <w:szCs w:val="22"/>
        </w:rPr>
        <w:t xml:space="preserve">he NRC has issued </w:t>
      </w:r>
      <w:hyperlink w:history="1" r:id="rId12">
        <w:r w:rsidRPr="004A6986">
          <w:rPr>
            <w:rFonts w:eastAsia="Calibri" w:cs="Arial"/>
            <w:i/>
            <w:color w:val="0000FF"/>
            <w:szCs w:val="22"/>
            <w:u w:val="single"/>
          </w:rPr>
          <w:t>Guidance for Electronic Submissions to the NRC</w:t>
        </w:r>
      </w:hyperlink>
      <w:r w:rsidRPr="004A6986">
        <w:rPr>
          <w:rFonts w:eastAsia="Calibri" w:cs="Arial"/>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w:t>
      </w:r>
      <w:r w:rsidRPr="007C04DC" w:rsidR="002B1B50">
        <w:rPr>
          <w:rFonts w:cs="Arial"/>
          <w:szCs w:val="22"/>
        </w:rPr>
        <w:t xml:space="preserve">It is estimated that </w:t>
      </w:r>
      <w:r w:rsidRPr="007C04DC" w:rsidR="00134F1A">
        <w:rPr>
          <w:rFonts w:cs="Arial"/>
          <w:szCs w:val="22"/>
        </w:rPr>
        <w:t>50</w:t>
      </w:r>
      <w:r w:rsidRPr="007C04DC" w:rsidR="002B1B50">
        <w:rPr>
          <w:rFonts w:cs="Arial"/>
          <w:szCs w:val="22"/>
        </w:rPr>
        <w:t xml:space="preserve"> percent of the potential responses </w:t>
      </w:r>
      <w:r w:rsidRPr="007C04DC" w:rsidR="00134F1A">
        <w:rPr>
          <w:rFonts w:cs="Arial"/>
          <w:szCs w:val="22"/>
        </w:rPr>
        <w:t xml:space="preserve">from </w:t>
      </w:r>
      <w:r w:rsidRPr="007C04DC" w:rsidR="00416DEB">
        <w:rPr>
          <w:rFonts w:cs="Arial"/>
          <w:szCs w:val="22"/>
        </w:rPr>
        <w:t>§</w:t>
      </w:r>
      <w:r w:rsidR="00F03CF3">
        <w:rPr>
          <w:rFonts w:cs="Arial"/>
          <w:szCs w:val="22"/>
        </w:rPr>
        <w:t>§</w:t>
      </w:r>
      <w:r w:rsidRPr="007C04DC" w:rsidR="00134F1A">
        <w:rPr>
          <w:rFonts w:cs="Arial"/>
          <w:szCs w:val="22"/>
        </w:rPr>
        <w:t> </w:t>
      </w:r>
      <w:r w:rsidR="0007735A">
        <w:rPr>
          <w:rFonts w:cs="Arial"/>
          <w:szCs w:val="22"/>
        </w:rPr>
        <w:t>73.15</w:t>
      </w:r>
      <w:r w:rsidR="00F03CF3">
        <w:rPr>
          <w:rFonts w:cs="Arial"/>
          <w:szCs w:val="22"/>
        </w:rPr>
        <w:t>, 73.17,</w:t>
      </w:r>
      <w:r w:rsidRPr="007C04DC" w:rsidR="00134F1A">
        <w:rPr>
          <w:rFonts w:cs="Arial"/>
          <w:szCs w:val="22"/>
        </w:rPr>
        <w:t xml:space="preserve"> and </w:t>
      </w:r>
      <w:r w:rsidR="00F03CF3">
        <w:rPr>
          <w:rFonts w:cs="Arial"/>
          <w:szCs w:val="22"/>
        </w:rPr>
        <w:t>73.1205</w:t>
      </w:r>
      <w:r w:rsidRPr="007C04DC" w:rsidR="00134F1A">
        <w:rPr>
          <w:rFonts w:cs="Arial"/>
          <w:szCs w:val="22"/>
        </w:rPr>
        <w:t xml:space="preserve"> will be </w:t>
      </w:r>
      <w:r w:rsidRPr="007C04DC" w:rsidR="002B1B50">
        <w:rPr>
          <w:rFonts w:cs="Arial"/>
          <w:szCs w:val="22"/>
        </w:rPr>
        <w:t>filed electronically.</w:t>
      </w:r>
    </w:p>
    <w:p w:rsidR="001139E2" w:rsidP="00577D64" w:rsidRDefault="001139E2" w14:paraId="334772BC" w14:textId="77777777">
      <w:pPr>
        <w:widowControl/>
        <w:ind w:left="720"/>
        <w:rPr>
          <w:rFonts w:cs="Arial"/>
          <w:szCs w:val="22"/>
        </w:rPr>
      </w:pPr>
    </w:p>
    <w:p w:rsidR="001139E2" w:rsidP="00577D64" w:rsidRDefault="001139E2" w14:paraId="57097528" w14:textId="1492BA88">
      <w:pPr>
        <w:widowControl/>
        <w:ind w:left="720"/>
        <w:rPr>
          <w:rFonts w:cs="Arial"/>
          <w:szCs w:val="22"/>
        </w:rPr>
      </w:pPr>
      <w:r>
        <w:rPr>
          <w:rFonts w:cs="Arial"/>
          <w:szCs w:val="22"/>
        </w:rPr>
        <w:t>Some of the information submitted under §§ 73.15 and 73.1205 is expected to contain Safeguards Information or classified information.  As such, it is not eligible to be submitted via the EIE process.</w:t>
      </w:r>
      <w:r w:rsidR="00423F5F">
        <w:rPr>
          <w:rFonts w:cs="Arial"/>
          <w:szCs w:val="22"/>
        </w:rPr>
        <w:t xml:space="preserve">  This information would typically be submitted in hard copy format or secure electronic </w:t>
      </w:r>
      <w:r w:rsidR="00A162DB">
        <w:rPr>
          <w:rFonts w:cs="Arial"/>
          <w:szCs w:val="22"/>
        </w:rPr>
        <w:t>transmission</w:t>
      </w:r>
      <w:r w:rsidR="00423F5F">
        <w:rPr>
          <w:rFonts w:cs="Arial"/>
          <w:szCs w:val="22"/>
        </w:rPr>
        <w:t>.</w:t>
      </w:r>
    </w:p>
    <w:p w:rsidR="00F03CF3" w:rsidP="00577D64" w:rsidRDefault="00F03CF3" w14:paraId="20E057B9" w14:textId="77777777">
      <w:pPr>
        <w:widowControl/>
        <w:ind w:left="720"/>
        <w:rPr>
          <w:rFonts w:cs="Arial"/>
          <w:szCs w:val="22"/>
        </w:rPr>
      </w:pPr>
    </w:p>
    <w:p w:rsidRPr="00A32597" w:rsidR="00BC3586" w:rsidP="00577D64" w:rsidRDefault="00F03CF3" w14:paraId="59922607" w14:textId="4164CCBC">
      <w:pPr>
        <w:widowControl/>
        <w:ind w:left="720"/>
        <w:rPr>
          <w:rFonts w:cs="Arial"/>
          <w:szCs w:val="22"/>
        </w:rPr>
      </w:pPr>
      <w:r>
        <w:rPr>
          <w:rFonts w:cs="Arial"/>
          <w:szCs w:val="22"/>
        </w:rPr>
        <w:t>The reports made under §§ 73.1200 and 73.121</w:t>
      </w:r>
      <w:r w:rsidR="00A833DA">
        <w:rPr>
          <w:rFonts w:cs="Arial"/>
          <w:szCs w:val="22"/>
        </w:rPr>
        <w:t>5</w:t>
      </w:r>
      <w:r>
        <w:rPr>
          <w:rFonts w:cs="Arial"/>
          <w:szCs w:val="22"/>
        </w:rPr>
        <w:t xml:space="preserve"> are required to be made telephonically.  For § 73.1200, this is due to the need for the NRC Headquarters Operations Center operations officers to be capable of asking question</w:t>
      </w:r>
      <w:r w:rsidR="00055331">
        <w:rPr>
          <w:rFonts w:cs="Arial"/>
          <w:szCs w:val="22"/>
        </w:rPr>
        <w:t>s</w:t>
      </w:r>
      <w:r>
        <w:rPr>
          <w:rFonts w:cs="Arial"/>
          <w:szCs w:val="22"/>
        </w:rPr>
        <w:t xml:space="preserve"> </w:t>
      </w:r>
      <w:r w:rsidR="001330AC">
        <w:rPr>
          <w:rFonts w:cs="Arial"/>
          <w:szCs w:val="22"/>
        </w:rPr>
        <w:t xml:space="preserve">to the licensee </w:t>
      </w:r>
      <w:r>
        <w:rPr>
          <w:rFonts w:cs="Arial"/>
          <w:szCs w:val="22"/>
        </w:rPr>
        <w:t xml:space="preserve">or </w:t>
      </w:r>
      <w:r w:rsidR="001330AC">
        <w:rPr>
          <w:rFonts w:cs="Arial"/>
          <w:szCs w:val="22"/>
        </w:rPr>
        <w:t xml:space="preserve">requesting that the licensee </w:t>
      </w:r>
      <w:r>
        <w:rPr>
          <w:rFonts w:cs="Arial"/>
          <w:szCs w:val="22"/>
        </w:rPr>
        <w:t>establish a continuous communications channel with the NRC</w:t>
      </w:r>
      <w:r w:rsidR="001330AC">
        <w:rPr>
          <w:rFonts w:cs="Arial"/>
          <w:szCs w:val="22"/>
        </w:rPr>
        <w:t xml:space="preserve"> Operations Center</w:t>
      </w:r>
      <w:r>
        <w:rPr>
          <w:rFonts w:cs="Arial"/>
          <w:szCs w:val="22"/>
        </w:rPr>
        <w:t xml:space="preserve"> (for significant or ongoing </w:t>
      </w:r>
      <w:r w:rsidR="001330AC">
        <w:rPr>
          <w:rFonts w:cs="Arial"/>
          <w:szCs w:val="22"/>
        </w:rPr>
        <w:t xml:space="preserve">security </w:t>
      </w:r>
      <w:r>
        <w:rPr>
          <w:rFonts w:cs="Arial"/>
          <w:szCs w:val="22"/>
        </w:rPr>
        <w:t>events</w:t>
      </w:r>
      <w:r w:rsidR="001330AC">
        <w:rPr>
          <w:rFonts w:cs="Arial"/>
          <w:szCs w:val="22"/>
        </w:rPr>
        <w:t>)</w:t>
      </w:r>
      <w:r>
        <w:rPr>
          <w:rFonts w:cs="Arial"/>
          <w:szCs w:val="22"/>
        </w:rPr>
        <w:t xml:space="preserve">. </w:t>
      </w:r>
      <w:r w:rsidR="00055331">
        <w:rPr>
          <w:rFonts w:cs="Arial"/>
          <w:szCs w:val="22"/>
        </w:rPr>
        <w:t xml:space="preserve"> </w:t>
      </w:r>
      <w:r>
        <w:rPr>
          <w:rFonts w:cs="Arial"/>
          <w:szCs w:val="22"/>
        </w:rPr>
        <w:t>For § 73.12</w:t>
      </w:r>
      <w:r w:rsidR="00AC5814">
        <w:rPr>
          <w:rFonts w:cs="Arial"/>
          <w:szCs w:val="22"/>
        </w:rPr>
        <w:t xml:space="preserve">15, this is due to </w:t>
      </w:r>
      <w:r w:rsidR="00C3762A">
        <w:rPr>
          <w:rFonts w:cs="Arial"/>
          <w:szCs w:val="22"/>
        </w:rPr>
        <w:t xml:space="preserve">fact that </w:t>
      </w:r>
      <w:r w:rsidR="00AC5814">
        <w:rPr>
          <w:rFonts w:cs="Arial"/>
          <w:szCs w:val="22"/>
        </w:rPr>
        <w:t xml:space="preserve">the notifications </w:t>
      </w:r>
      <w:r w:rsidR="00C3762A">
        <w:rPr>
          <w:rFonts w:cs="Arial"/>
          <w:szCs w:val="22"/>
        </w:rPr>
        <w:t>are</w:t>
      </w:r>
      <w:r w:rsidR="00AC5814">
        <w:rPr>
          <w:rFonts w:cs="Arial"/>
          <w:szCs w:val="22"/>
        </w:rPr>
        <w:t xml:space="preserve"> made first to law enforcement agencies; and then to the NRC with telephonic notifications viewed as a </w:t>
      </w:r>
      <w:r w:rsidR="00C3762A">
        <w:rPr>
          <w:rFonts w:cs="Arial"/>
          <w:szCs w:val="22"/>
        </w:rPr>
        <w:t xml:space="preserve">simplification to expedite the </w:t>
      </w:r>
      <w:r w:rsidR="002234F1">
        <w:rPr>
          <w:rFonts w:cs="Arial"/>
          <w:szCs w:val="22"/>
        </w:rPr>
        <w:t xml:space="preserve">timeliness of the </w:t>
      </w:r>
      <w:r w:rsidR="00C3762A">
        <w:rPr>
          <w:rFonts w:cs="Arial"/>
          <w:szCs w:val="22"/>
        </w:rPr>
        <w:t xml:space="preserve">notification process </w:t>
      </w:r>
      <w:r w:rsidR="002234F1">
        <w:rPr>
          <w:rFonts w:cs="Arial"/>
          <w:szCs w:val="22"/>
        </w:rPr>
        <w:t xml:space="preserve">to reduce the perishable nature of the information. </w:t>
      </w:r>
      <w:r w:rsidR="00A833DA">
        <w:rPr>
          <w:rFonts w:cs="Arial"/>
          <w:szCs w:val="22"/>
        </w:rPr>
        <w:t xml:space="preserve"> </w:t>
      </w:r>
      <w:r w:rsidR="002234F1">
        <w:rPr>
          <w:rFonts w:cs="Arial"/>
          <w:szCs w:val="22"/>
        </w:rPr>
        <w:t xml:space="preserve">For suspicious activity reports made under § 73.1215, no written follow-up reports are required (as a means of </w:t>
      </w:r>
      <w:r w:rsidR="005544E1">
        <w:rPr>
          <w:rFonts w:cs="Arial"/>
          <w:szCs w:val="22"/>
        </w:rPr>
        <w:t xml:space="preserve">minimizing </w:t>
      </w:r>
      <w:r w:rsidR="00AC5814">
        <w:rPr>
          <w:rFonts w:cs="Arial"/>
          <w:szCs w:val="22"/>
        </w:rPr>
        <w:t>burden).</w:t>
      </w:r>
    </w:p>
    <w:p w:rsidRPr="00A32597" w:rsidR="002B1B50" w:rsidP="00577D64" w:rsidRDefault="002B1B50" w14:paraId="56C9C1DE" w14:textId="77777777">
      <w:pPr>
        <w:widowControl/>
        <w:ind w:left="720"/>
        <w:rPr>
          <w:rFonts w:cs="Arial"/>
          <w:szCs w:val="22"/>
        </w:rPr>
      </w:pPr>
    </w:p>
    <w:p w:rsidRPr="00A32597" w:rsidR="002B1B50" w:rsidP="00577D64" w:rsidRDefault="002B1B50" w14:paraId="151F4DFF" w14:textId="77777777">
      <w:pPr>
        <w:widowControl/>
        <w:tabs>
          <w:tab w:val="left" w:pos="-1440"/>
        </w:tabs>
        <w:ind w:left="1440" w:hanging="720"/>
        <w:rPr>
          <w:rFonts w:cs="Arial"/>
          <w:szCs w:val="22"/>
        </w:rPr>
      </w:pPr>
      <w:r w:rsidRPr="00A32597">
        <w:rPr>
          <w:rFonts w:cs="Arial"/>
          <w:szCs w:val="22"/>
        </w:rPr>
        <w:t>4.</w:t>
      </w:r>
      <w:r w:rsidRPr="00A32597">
        <w:rPr>
          <w:rFonts w:cs="Arial"/>
          <w:szCs w:val="22"/>
        </w:rPr>
        <w:tab/>
      </w:r>
      <w:r w:rsidRPr="00A32597">
        <w:rPr>
          <w:rFonts w:cs="Arial"/>
          <w:szCs w:val="22"/>
          <w:u w:val="single"/>
        </w:rPr>
        <w:t>Effort to Identify Duplication and Use Similar Information</w:t>
      </w:r>
    </w:p>
    <w:p w:rsidRPr="00A32597" w:rsidR="002B1B50" w:rsidP="00577D64" w:rsidRDefault="002B1B50" w14:paraId="6CFFFC23" w14:textId="77777777">
      <w:pPr>
        <w:widowControl/>
        <w:rPr>
          <w:rFonts w:cs="Arial"/>
          <w:szCs w:val="22"/>
        </w:rPr>
      </w:pPr>
    </w:p>
    <w:p w:rsidR="00A243B4" w:rsidP="00577D64" w:rsidRDefault="000F7012" w14:paraId="3378B603" w14:textId="77777777">
      <w:pPr>
        <w:widowControl/>
        <w:ind w:left="720"/>
        <w:rPr>
          <w:rFonts w:cs="Arial"/>
          <w:szCs w:val="22"/>
        </w:rPr>
      </w:pPr>
      <w:r w:rsidRPr="000F7012">
        <w:rPr>
          <w:rFonts w:cs="Arial"/>
          <w:szCs w:val="22"/>
        </w:rPr>
        <w:t xml:space="preserve">No sources of similar information are available.  There is no duplication of requirements.  </w:t>
      </w:r>
    </w:p>
    <w:p w:rsidRPr="00A32597" w:rsidR="000F7012" w:rsidP="00577D64" w:rsidRDefault="000F7012" w14:paraId="38EB6F20" w14:textId="77777777">
      <w:pPr>
        <w:widowControl/>
        <w:ind w:left="720"/>
        <w:rPr>
          <w:rFonts w:cs="Arial"/>
          <w:szCs w:val="22"/>
        </w:rPr>
      </w:pPr>
    </w:p>
    <w:p w:rsidR="009A11BC" w:rsidP="00577D64" w:rsidRDefault="009A11BC" w14:paraId="3B12F6E4" w14:textId="0A9D3D02">
      <w:pPr>
        <w:widowControl/>
        <w:ind w:left="720"/>
      </w:pPr>
      <w:r>
        <w:t xml:space="preserve">Section </w:t>
      </w:r>
      <w:r w:rsidR="0007735A">
        <w:t>73.15</w:t>
      </w:r>
      <w:r>
        <w:t>(q)(</w:t>
      </w:r>
      <w:r w:rsidR="00B90BB2">
        <w:t>7</w:t>
      </w:r>
      <w:r>
        <w:t>) reduces duplication by allowing l</w:t>
      </w:r>
      <w:r w:rsidRPr="00555ED9">
        <w:t xml:space="preserve">icensees </w:t>
      </w:r>
      <w:r>
        <w:t>to</w:t>
      </w:r>
      <w:r w:rsidRPr="00555ED9">
        <w:t xml:space="preserve"> in</w:t>
      </w:r>
      <w:r>
        <w:t xml:space="preserve">tegrate records related to enhanced weapons and </w:t>
      </w:r>
      <w:r w:rsidR="00F32613">
        <w:t>Section 161A</w:t>
      </w:r>
      <w:r>
        <w:t xml:space="preserve"> authority </w:t>
      </w:r>
      <w:r w:rsidRPr="00555ED9">
        <w:t>with records maintained by the licensee under ATF’s regulations.</w:t>
      </w:r>
    </w:p>
    <w:p w:rsidR="00050BDF" w:rsidP="00577D64" w:rsidRDefault="00050BDF" w14:paraId="6196619E" w14:textId="77777777">
      <w:pPr>
        <w:widowControl/>
        <w:ind w:left="720"/>
      </w:pPr>
    </w:p>
    <w:p w:rsidR="002234F1" w:rsidP="002234F1" w:rsidRDefault="002234F1" w14:paraId="612BCD9A" w14:textId="472B6835">
      <w:pPr>
        <w:widowControl/>
        <w:ind w:left="720"/>
        <w:rPr>
          <w:rFonts w:cs="Arial"/>
          <w:szCs w:val="22"/>
        </w:rPr>
      </w:pPr>
      <w:r>
        <w:rPr>
          <w:rFonts w:cs="Arial"/>
          <w:szCs w:val="22"/>
        </w:rPr>
        <w:t xml:space="preserve">Section 73.15(s) reduces duplication by stating that that </w:t>
      </w:r>
      <w:r w:rsidRPr="00A32597">
        <w:rPr>
          <w:rFonts w:cs="Arial"/>
          <w:szCs w:val="22"/>
        </w:rPr>
        <w:t xml:space="preserve">licensees that </w:t>
      </w:r>
      <w:r>
        <w:rPr>
          <w:rFonts w:cs="Arial"/>
          <w:szCs w:val="22"/>
        </w:rPr>
        <w:t>applied for stand</w:t>
      </w:r>
      <w:r w:rsidR="00F32613">
        <w:rPr>
          <w:rFonts w:cs="Arial"/>
          <w:szCs w:val="22"/>
        </w:rPr>
        <w:noBreakHyphen/>
      </w:r>
      <w:r>
        <w:rPr>
          <w:rFonts w:cs="Arial"/>
          <w:szCs w:val="22"/>
        </w:rPr>
        <w:t>alone preemption authority via confirmatory order</w:t>
      </w:r>
      <w:r w:rsidR="007E5F88">
        <w:rPr>
          <w:rFonts w:cs="Arial"/>
          <w:szCs w:val="22"/>
        </w:rPr>
        <w:t>,</w:t>
      </w:r>
      <w:r>
        <w:rPr>
          <w:rFonts w:cs="Arial"/>
          <w:szCs w:val="22"/>
        </w:rPr>
        <w:t xml:space="preserve"> do not need to reapply for this authority in order to </w:t>
      </w:r>
      <w:r w:rsidR="00F32613">
        <w:rPr>
          <w:rFonts w:cs="Arial"/>
          <w:szCs w:val="22"/>
        </w:rPr>
        <w:t>witdrawal</w:t>
      </w:r>
      <w:r>
        <w:rPr>
          <w:rFonts w:cs="Arial"/>
          <w:szCs w:val="22"/>
        </w:rPr>
        <w:t xml:space="preserve"> the order and transition to the final rule requirements.</w:t>
      </w:r>
    </w:p>
    <w:p w:rsidR="002234F1" w:rsidP="002234F1" w:rsidRDefault="002234F1" w14:paraId="687B79AA" w14:textId="77777777">
      <w:pPr>
        <w:widowControl/>
        <w:ind w:left="720"/>
        <w:rPr>
          <w:rFonts w:cs="Arial"/>
          <w:szCs w:val="22"/>
        </w:rPr>
      </w:pPr>
    </w:p>
    <w:p w:rsidR="00050BDF" w:rsidP="00577D64" w:rsidRDefault="00050BDF" w14:paraId="63F75E19" w14:textId="56D07192">
      <w:pPr>
        <w:widowControl/>
        <w:ind w:left="720"/>
        <w:rPr>
          <w:rFonts w:cs="Arial"/>
          <w:szCs w:val="22"/>
        </w:rPr>
      </w:pPr>
      <w:r w:rsidRPr="00050BDF">
        <w:rPr>
          <w:rFonts w:cs="Arial"/>
          <w:szCs w:val="22"/>
        </w:rPr>
        <w:t xml:space="preserve">Section </w:t>
      </w:r>
      <w:r w:rsidR="0007735A">
        <w:rPr>
          <w:rFonts w:cs="Arial"/>
          <w:szCs w:val="22"/>
        </w:rPr>
        <w:t>73.17</w:t>
      </w:r>
      <w:r w:rsidRPr="00050BDF">
        <w:rPr>
          <w:rFonts w:cs="Arial"/>
          <w:szCs w:val="22"/>
        </w:rPr>
        <w:t>(b)(</w:t>
      </w:r>
      <w:r w:rsidR="00B90BB2">
        <w:rPr>
          <w:rFonts w:cs="Arial"/>
          <w:szCs w:val="22"/>
        </w:rPr>
        <w:t>1</w:t>
      </w:r>
      <w:r w:rsidR="00D45481">
        <w:rPr>
          <w:rFonts w:cs="Arial"/>
          <w:szCs w:val="22"/>
        </w:rPr>
        <w:t>2</w:t>
      </w:r>
      <w:r w:rsidRPr="00050BDF">
        <w:rPr>
          <w:rFonts w:cs="Arial"/>
          <w:szCs w:val="22"/>
        </w:rPr>
        <w:t>)</w:t>
      </w:r>
      <w:r w:rsidRPr="00A32597">
        <w:rPr>
          <w:rFonts w:cs="Arial"/>
          <w:szCs w:val="22"/>
        </w:rPr>
        <w:t xml:space="preserve"> </w:t>
      </w:r>
      <w:r>
        <w:rPr>
          <w:rFonts w:cs="Arial"/>
          <w:szCs w:val="22"/>
        </w:rPr>
        <w:t xml:space="preserve">reduces duplication by stating that that </w:t>
      </w:r>
      <w:r w:rsidRPr="00A32597">
        <w:rPr>
          <w:rFonts w:cs="Arial"/>
          <w:szCs w:val="22"/>
        </w:rPr>
        <w:t xml:space="preserve">licensees that </w:t>
      </w:r>
      <w:r>
        <w:rPr>
          <w:rFonts w:cs="Arial"/>
          <w:szCs w:val="22"/>
        </w:rPr>
        <w:t xml:space="preserve">conducted firearms background checks pursuant to a confirmatory order, do not need to repeat the </w:t>
      </w:r>
      <w:r w:rsidR="002F1B4E">
        <w:rPr>
          <w:rFonts w:cs="Arial"/>
          <w:szCs w:val="22"/>
        </w:rPr>
        <w:t xml:space="preserve">initial </w:t>
      </w:r>
      <w:r>
        <w:rPr>
          <w:rFonts w:cs="Arial"/>
          <w:szCs w:val="22"/>
        </w:rPr>
        <w:t xml:space="preserve">checks to </w:t>
      </w:r>
      <w:r w:rsidR="00D45481">
        <w:rPr>
          <w:rFonts w:cs="Arial"/>
          <w:szCs w:val="22"/>
        </w:rPr>
        <w:t xml:space="preserve">withdraw </w:t>
      </w:r>
      <w:r>
        <w:rPr>
          <w:rFonts w:cs="Arial"/>
          <w:szCs w:val="22"/>
        </w:rPr>
        <w:t>the order and transition to the final rule requirements</w:t>
      </w:r>
      <w:r w:rsidR="00577D64">
        <w:rPr>
          <w:rFonts w:cs="Arial"/>
          <w:szCs w:val="22"/>
        </w:rPr>
        <w:t>.</w:t>
      </w:r>
    </w:p>
    <w:p w:rsidR="002234F1" w:rsidP="00577D64" w:rsidRDefault="002234F1" w14:paraId="23E1E224" w14:textId="77777777">
      <w:pPr>
        <w:widowControl/>
        <w:ind w:left="720"/>
        <w:rPr>
          <w:rFonts w:cs="Arial"/>
          <w:szCs w:val="22"/>
        </w:rPr>
      </w:pPr>
    </w:p>
    <w:p w:rsidRPr="00E27986" w:rsidR="00E27986" w:rsidP="00E27986" w:rsidRDefault="00E27986" w14:paraId="2BAD38A0" w14:textId="6EB9D1F1">
      <w:pPr>
        <w:widowControl/>
        <w:ind w:left="720"/>
        <w:rPr>
          <w:rFonts w:cs="Arial"/>
          <w:szCs w:val="22"/>
        </w:rPr>
      </w:pPr>
      <w:r>
        <w:rPr>
          <w:rFonts w:cs="Arial"/>
          <w:szCs w:val="22"/>
        </w:rPr>
        <w:t>Section</w:t>
      </w:r>
      <w:r w:rsidRPr="00E27986">
        <w:rPr>
          <w:rFonts w:cs="Arial"/>
          <w:szCs w:val="22"/>
        </w:rPr>
        <w:t xml:space="preserve"> </w:t>
      </w:r>
      <w:r>
        <w:rPr>
          <w:rFonts w:cs="Arial"/>
          <w:szCs w:val="22"/>
        </w:rPr>
        <w:t>73.1200(</w:t>
      </w:r>
      <w:r w:rsidR="007F1603">
        <w:rPr>
          <w:rFonts w:cs="Arial"/>
          <w:szCs w:val="22"/>
        </w:rPr>
        <w:t>s</w:t>
      </w:r>
      <w:r>
        <w:rPr>
          <w:rFonts w:cs="Arial"/>
          <w:szCs w:val="22"/>
        </w:rPr>
        <w:t>) specifically eliminates the need for licensees to submit duplicate reports for security events that are reportable under other CFR requirements.</w:t>
      </w:r>
      <w:r w:rsidR="00D45481">
        <w:rPr>
          <w:rFonts w:cs="Arial"/>
          <w:szCs w:val="22"/>
        </w:rPr>
        <w:t xml:space="preserve"> </w:t>
      </w:r>
      <w:r>
        <w:rPr>
          <w:rFonts w:cs="Arial"/>
          <w:szCs w:val="22"/>
        </w:rPr>
        <w:t xml:space="preserve"> Separate notifications and reports are not required for events that are also reportable in accordance with §§ 50.72, </w:t>
      </w:r>
      <w:r w:rsidR="00D45481">
        <w:rPr>
          <w:rFonts w:cs="Arial"/>
          <w:szCs w:val="22"/>
        </w:rPr>
        <w:t xml:space="preserve">63.73, </w:t>
      </w:r>
      <w:r>
        <w:rPr>
          <w:rFonts w:cs="Arial"/>
          <w:szCs w:val="22"/>
        </w:rPr>
        <w:t xml:space="preserve">70.50, </w:t>
      </w:r>
      <w:r w:rsidR="00B90BB2">
        <w:rPr>
          <w:rFonts w:cs="Arial"/>
          <w:szCs w:val="22"/>
        </w:rPr>
        <w:t xml:space="preserve">and </w:t>
      </w:r>
      <w:r>
        <w:rPr>
          <w:rFonts w:cs="Arial"/>
          <w:szCs w:val="22"/>
        </w:rPr>
        <w:t xml:space="preserve">72.75.  </w:t>
      </w:r>
    </w:p>
    <w:p w:rsidRPr="00A32597" w:rsidR="002B1B50" w:rsidP="00577D64" w:rsidRDefault="002B1B50" w14:paraId="615D9582" w14:textId="77777777">
      <w:pPr>
        <w:widowControl/>
        <w:tabs>
          <w:tab w:val="left" w:pos="-1440"/>
        </w:tabs>
        <w:ind w:left="1440" w:hanging="720"/>
        <w:rPr>
          <w:rFonts w:cs="Arial"/>
          <w:szCs w:val="22"/>
        </w:rPr>
      </w:pPr>
      <w:r w:rsidRPr="00A32597">
        <w:rPr>
          <w:rFonts w:cs="Arial"/>
          <w:szCs w:val="22"/>
        </w:rPr>
        <w:t>5.</w:t>
      </w:r>
      <w:r w:rsidRPr="00A32597">
        <w:rPr>
          <w:rFonts w:cs="Arial"/>
          <w:szCs w:val="22"/>
        </w:rPr>
        <w:tab/>
      </w:r>
      <w:r w:rsidRPr="00A32597">
        <w:rPr>
          <w:rFonts w:cs="Arial"/>
          <w:szCs w:val="22"/>
          <w:u w:val="single"/>
        </w:rPr>
        <w:t>Effort to Reduce Small Business Burden</w:t>
      </w:r>
    </w:p>
    <w:p w:rsidRPr="00A32597" w:rsidR="002B1B50" w:rsidP="00577D64" w:rsidRDefault="002B1B50" w14:paraId="5E3D88CC" w14:textId="77777777">
      <w:pPr>
        <w:widowControl/>
        <w:rPr>
          <w:rFonts w:cs="Arial"/>
          <w:szCs w:val="22"/>
        </w:rPr>
      </w:pPr>
    </w:p>
    <w:p w:rsidRPr="00A32597" w:rsidR="002B1B50" w:rsidP="00577D64" w:rsidRDefault="002F4B46" w14:paraId="79B5DB83" w14:textId="77777777">
      <w:pPr>
        <w:widowControl/>
        <w:ind w:left="720"/>
        <w:rPr>
          <w:rFonts w:cs="Arial"/>
          <w:szCs w:val="22"/>
        </w:rPr>
      </w:pPr>
      <w:r>
        <w:rPr>
          <w:rFonts w:cs="Arial"/>
          <w:szCs w:val="22"/>
        </w:rPr>
        <w:t>No</w:t>
      </w:r>
      <w:r w:rsidRPr="00A32597" w:rsidR="002B1B50">
        <w:rPr>
          <w:rFonts w:cs="Arial"/>
          <w:szCs w:val="22"/>
        </w:rPr>
        <w:t xml:space="preserve"> small entities are expected to be impacted by the </w:t>
      </w:r>
      <w:r w:rsidR="00FF6C49">
        <w:rPr>
          <w:rFonts w:cs="Arial"/>
          <w:szCs w:val="22"/>
        </w:rPr>
        <w:t>final</w:t>
      </w:r>
      <w:r w:rsidRPr="00A32597" w:rsidR="002B1B50">
        <w:rPr>
          <w:rFonts w:cs="Arial"/>
          <w:szCs w:val="22"/>
        </w:rPr>
        <w:t xml:space="preserve"> rule.</w:t>
      </w:r>
    </w:p>
    <w:p w:rsidRPr="00A32597" w:rsidR="002B1B50" w:rsidP="00577D64" w:rsidRDefault="002B1B50" w14:paraId="50B335E3" w14:textId="77777777">
      <w:pPr>
        <w:widowControl/>
        <w:rPr>
          <w:rFonts w:cs="Arial"/>
          <w:szCs w:val="22"/>
        </w:rPr>
      </w:pPr>
    </w:p>
    <w:p w:rsidRPr="00A32597" w:rsidR="002B1B50" w:rsidP="00577D64" w:rsidRDefault="002B1B50" w14:paraId="062724B4" w14:textId="77777777">
      <w:pPr>
        <w:widowControl/>
        <w:tabs>
          <w:tab w:val="left" w:pos="-1440"/>
        </w:tabs>
        <w:ind w:left="1440" w:hanging="720"/>
        <w:rPr>
          <w:rFonts w:cs="Arial"/>
          <w:szCs w:val="22"/>
        </w:rPr>
      </w:pPr>
      <w:r w:rsidRPr="00A32597">
        <w:rPr>
          <w:rFonts w:cs="Arial"/>
          <w:szCs w:val="22"/>
        </w:rPr>
        <w:t>6.</w:t>
      </w:r>
      <w:r w:rsidRPr="00A32597">
        <w:rPr>
          <w:rFonts w:cs="Arial"/>
          <w:szCs w:val="22"/>
        </w:rPr>
        <w:tab/>
      </w:r>
      <w:r w:rsidRPr="00A32597">
        <w:rPr>
          <w:rFonts w:cs="Arial"/>
          <w:szCs w:val="22"/>
          <w:u w:val="single"/>
        </w:rPr>
        <w:t>Consequences to Federal Program or Policy Activities if the Collection is Not Conducted or is Conducted Less Frequently</w:t>
      </w:r>
    </w:p>
    <w:p w:rsidRPr="00A32597" w:rsidR="002B1B50" w:rsidP="00577D64" w:rsidRDefault="002B1B50" w14:paraId="26B7BBB3" w14:textId="77777777">
      <w:pPr>
        <w:widowControl/>
        <w:rPr>
          <w:rFonts w:cs="Arial"/>
          <w:szCs w:val="22"/>
        </w:rPr>
      </w:pPr>
    </w:p>
    <w:p w:rsidRPr="00A32597" w:rsidR="002B1B50" w:rsidP="00577D64" w:rsidRDefault="00655802" w14:paraId="71A87F3E" w14:textId="26741F8D">
      <w:pPr>
        <w:widowControl/>
        <w:ind w:left="720"/>
        <w:rPr>
          <w:rFonts w:cs="Arial"/>
          <w:szCs w:val="22"/>
        </w:rPr>
      </w:pPr>
      <w:r>
        <w:rPr>
          <w:rFonts w:cs="Arial"/>
          <w:szCs w:val="22"/>
        </w:rPr>
        <w:t>I</w:t>
      </w:r>
      <w:r w:rsidR="00922232">
        <w:rPr>
          <w:rFonts w:cs="Arial"/>
          <w:szCs w:val="22"/>
        </w:rPr>
        <w:t xml:space="preserve">t is necessary for </w:t>
      </w:r>
      <w:r>
        <w:rPr>
          <w:rFonts w:cs="Arial"/>
          <w:szCs w:val="22"/>
        </w:rPr>
        <w:t xml:space="preserve">the </w:t>
      </w:r>
      <w:r w:rsidR="00922232">
        <w:rPr>
          <w:rFonts w:cs="Arial"/>
          <w:szCs w:val="22"/>
        </w:rPr>
        <w:t xml:space="preserve">NRC to receive applications for </w:t>
      </w:r>
      <w:r w:rsidR="00D45481">
        <w:rPr>
          <w:rFonts w:cs="Arial"/>
          <w:szCs w:val="22"/>
        </w:rPr>
        <w:t xml:space="preserve">stand-alone </w:t>
      </w:r>
      <w:r w:rsidR="00922232">
        <w:rPr>
          <w:rFonts w:cs="Arial"/>
          <w:szCs w:val="22"/>
        </w:rPr>
        <w:t xml:space="preserve">preemption </w:t>
      </w:r>
      <w:r w:rsidR="00D45481">
        <w:rPr>
          <w:rFonts w:cs="Arial"/>
          <w:szCs w:val="22"/>
        </w:rPr>
        <w:t xml:space="preserve">authority </w:t>
      </w:r>
      <w:r w:rsidR="00922232">
        <w:rPr>
          <w:rFonts w:cs="Arial"/>
          <w:szCs w:val="22"/>
        </w:rPr>
        <w:t xml:space="preserve">or </w:t>
      </w:r>
      <w:r w:rsidR="00D45481">
        <w:rPr>
          <w:rFonts w:cs="Arial"/>
          <w:szCs w:val="22"/>
        </w:rPr>
        <w:t xml:space="preserve">combined preemption authority and </w:t>
      </w:r>
      <w:r w:rsidR="00922232">
        <w:rPr>
          <w:rFonts w:cs="Arial"/>
          <w:szCs w:val="22"/>
        </w:rPr>
        <w:t>enhanced weapons authorit</w:t>
      </w:r>
      <w:r w:rsidR="00D45481">
        <w:rPr>
          <w:rFonts w:cs="Arial"/>
          <w:szCs w:val="22"/>
        </w:rPr>
        <w:t>y</w:t>
      </w:r>
      <w:r w:rsidR="00922232">
        <w:rPr>
          <w:rFonts w:cs="Arial"/>
          <w:szCs w:val="22"/>
        </w:rPr>
        <w:t xml:space="preserve"> in order to implement </w:t>
      </w:r>
      <w:r w:rsidR="00206222">
        <w:rPr>
          <w:rFonts w:cs="Arial"/>
          <w:szCs w:val="22"/>
        </w:rPr>
        <w:t xml:space="preserve">the statutory authority of </w:t>
      </w:r>
      <w:r w:rsidR="00922232">
        <w:rPr>
          <w:rFonts w:cs="Arial"/>
          <w:szCs w:val="22"/>
        </w:rPr>
        <w:t xml:space="preserve">Section 161A </w:t>
      </w:r>
      <w:r w:rsidR="00206222">
        <w:rPr>
          <w:rFonts w:cs="Arial"/>
          <w:szCs w:val="22"/>
        </w:rPr>
        <w:t xml:space="preserve">of the AEA.  </w:t>
      </w:r>
      <w:r w:rsidR="00A974D5">
        <w:rPr>
          <w:rFonts w:cs="Arial"/>
          <w:szCs w:val="22"/>
        </w:rPr>
        <w:t>W</w:t>
      </w:r>
      <w:r w:rsidR="007E5F88">
        <w:rPr>
          <w:rFonts w:cs="Arial"/>
          <w:szCs w:val="22"/>
        </w:rPr>
        <w:t xml:space="preserve">ithout </w:t>
      </w:r>
      <w:r w:rsidR="00214D1E">
        <w:rPr>
          <w:rFonts w:cs="Arial"/>
          <w:szCs w:val="22"/>
        </w:rPr>
        <w:t xml:space="preserve">NRC review and approval of </w:t>
      </w:r>
      <w:r w:rsidR="00D45481">
        <w:rPr>
          <w:rFonts w:cs="Arial"/>
          <w:szCs w:val="22"/>
        </w:rPr>
        <w:t xml:space="preserve">the </w:t>
      </w:r>
      <w:r w:rsidR="00214D1E">
        <w:rPr>
          <w:rFonts w:cs="Arial"/>
          <w:szCs w:val="22"/>
        </w:rPr>
        <w:t xml:space="preserve">application for </w:t>
      </w:r>
      <w:r w:rsidR="00D45481">
        <w:rPr>
          <w:rFonts w:cs="Arial"/>
          <w:szCs w:val="22"/>
        </w:rPr>
        <w:t xml:space="preserve">combined preemption authority and </w:t>
      </w:r>
      <w:r w:rsidR="00214D1E">
        <w:rPr>
          <w:rFonts w:cs="Arial"/>
          <w:szCs w:val="22"/>
        </w:rPr>
        <w:t xml:space="preserve">enhanced weapons authority, </w:t>
      </w:r>
      <w:r w:rsidR="00A974D5">
        <w:rPr>
          <w:rFonts w:cs="Arial"/>
          <w:szCs w:val="22"/>
        </w:rPr>
        <w:t>licensees cannot possess enhanced weapons</w:t>
      </w:r>
      <w:r w:rsidR="00214D1E">
        <w:rPr>
          <w:rFonts w:cs="Arial"/>
          <w:szCs w:val="22"/>
        </w:rPr>
        <w:t>.  Additionally</w:t>
      </w:r>
      <w:r w:rsidR="00206222">
        <w:rPr>
          <w:rFonts w:cs="Arial"/>
          <w:szCs w:val="22"/>
        </w:rPr>
        <w:t xml:space="preserve">, subjecting security personnel of licensees who have applied for Section 161A authority to firearms background checks is also required </w:t>
      </w:r>
      <w:r w:rsidR="00C3762A">
        <w:rPr>
          <w:rFonts w:cs="Arial"/>
          <w:szCs w:val="22"/>
        </w:rPr>
        <w:t xml:space="preserve">to </w:t>
      </w:r>
      <w:r w:rsidRPr="00206222" w:rsidR="00C3762A">
        <w:rPr>
          <w:rFonts w:cs="Arial"/>
          <w:szCs w:val="22"/>
        </w:rPr>
        <w:t>implement</w:t>
      </w:r>
      <w:r w:rsidR="00206222">
        <w:rPr>
          <w:rFonts w:cs="Arial"/>
          <w:szCs w:val="22"/>
        </w:rPr>
        <w:t xml:space="preserve"> the statutory authority of Section 161A of the AEA</w:t>
      </w:r>
      <w:r w:rsidR="00214D1E">
        <w:rPr>
          <w:rFonts w:cs="Arial"/>
          <w:szCs w:val="22"/>
        </w:rPr>
        <w:t xml:space="preserve"> to verify these personnel are </w:t>
      </w:r>
      <w:r w:rsidR="00D45481">
        <w:rPr>
          <w:rFonts w:cs="Arial"/>
          <w:szCs w:val="22"/>
        </w:rPr>
        <w:t xml:space="preserve">not </w:t>
      </w:r>
      <w:r w:rsidR="00214D1E">
        <w:rPr>
          <w:rFonts w:cs="Arial"/>
          <w:szCs w:val="22"/>
        </w:rPr>
        <w:t>prohibited from possessing firearms or ammunition under Federal or State law</w:t>
      </w:r>
      <w:r w:rsidR="00922232">
        <w:rPr>
          <w:rFonts w:cs="Arial"/>
          <w:szCs w:val="22"/>
        </w:rPr>
        <w:t>.</w:t>
      </w:r>
      <w:r w:rsidR="00C3762A">
        <w:rPr>
          <w:rFonts w:cs="Arial"/>
          <w:szCs w:val="22"/>
        </w:rPr>
        <w:t xml:space="preserve">  Such firearms background checks include both initial checks and periodic recurring checks every 5 years.</w:t>
      </w:r>
    </w:p>
    <w:p w:rsidRPr="00A32597" w:rsidR="00FA718F" w:rsidP="00577D64" w:rsidRDefault="00FA718F" w14:paraId="682656B8" w14:textId="77777777">
      <w:pPr>
        <w:widowControl/>
        <w:ind w:left="720"/>
        <w:rPr>
          <w:rFonts w:cs="Arial"/>
          <w:szCs w:val="22"/>
        </w:rPr>
      </w:pPr>
    </w:p>
    <w:p w:rsidR="007E1C0C" w:rsidP="00577D64" w:rsidRDefault="00FA718F" w14:paraId="21D9D1F3" w14:textId="245F9780">
      <w:pPr>
        <w:widowControl/>
        <w:ind w:left="720"/>
        <w:rPr>
          <w:rFonts w:cs="Arial"/>
          <w:color w:val="000000"/>
          <w:szCs w:val="22"/>
        </w:rPr>
      </w:pPr>
      <w:r w:rsidRPr="00A32597">
        <w:rPr>
          <w:rFonts w:cs="Arial"/>
          <w:color w:val="000000"/>
          <w:szCs w:val="22"/>
        </w:rPr>
        <w:t xml:space="preserve">The NRC </w:t>
      </w:r>
      <w:r w:rsidR="00D01BDD">
        <w:rPr>
          <w:rFonts w:cs="Arial"/>
          <w:color w:val="000000"/>
          <w:szCs w:val="22"/>
        </w:rPr>
        <w:t xml:space="preserve">needs </w:t>
      </w:r>
      <w:r w:rsidRPr="00A32597">
        <w:rPr>
          <w:rFonts w:cs="Arial"/>
          <w:color w:val="000000"/>
          <w:szCs w:val="22"/>
        </w:rPr>
        <w:t xml:space="preserve">to immediately communicate </w:t>
      </w:r>
      <w:r w:rsidRPr="00A32597" w:rsidR="00D45481">
        <w:rPr>
          <w:rFonts w:cs="Arial"/>
          <w:color w:val="000000"/>
          <w:szCs w:val="22"/>
        </w:rPr>
        <w:t>information</w:t>
      </w:r>
      <w:r w:rsidR="00D45481">
        <w:rPr>
          <w:rFonts w:cs="Arial"/>
          <w:color w:val="000000"/>
          <w:szCs w:val="22"/>
        </w:rPr>
        <w:t xml:space="preserve"> on </w:t>
      </w:r>
      <w:r w:rsidR="00206222">
        <w:rPr>
          <w:rFonts w:cs="Arial"/>
          <w:color w:val="000000"/>
          <w:szCs w:val="22"/>
        </w:rPr>
        <w:t>imminent or actual hostile act</w:t>
      </w:r>
      <w:r w:rsidR="00D45481">
        <w:rPr>
          <w:rFonts w:cs="Arial"/>
          <w:color w:val="000000"/>
          <w:szCs w:val="22"/>
        </w:rPr>
        <w:t>s</w:t>
      </w:r>
      <w:r w:rsidR="00206222">
        <w:rPr>
          <w:rFonts w:cs="Arial"/>
          <w:color w:val="000000"/>
          <w:szCs w:val="22"/>
        </w:rPr>
        <w:t xml:space="preserve"> to national command authorities and </w:t>
      </w:r>
      <w:r w:rsidRPr="00A32597">
        <w:rPr>
          <w:rFonts w:cs="Arial"/>
          <w:color w:val="000000"/>
          <w:szCs w:val="22"/>
        </w:rPr>
        <w:t>to other NRC licensees so that they can increase their security posture at their facilities or for their shipments.</w:t>
      </w:r>
      <w:r w:rsidR="009A11BC">
        <w:rPr>
          <w:rFonts w:cs="Arial"/>
          <w:color w:val="000000"/>
          <w:szCs w:val="22"/>
        </w:rPr>
        <w:t xml:space="preserve">  Without the revised security event notifications in </w:t>
      </w:r>
      <w:r w:rsidR="00003541">
        <w:t>§ </w:t>
      </w:r>
      <w:r w:rsidR="009A11BC">
        <w:rPr>
          <w:rFonts w:cs="Arial"/>
          <w:color w:val="000000"/>
          <w:szCs w:val="22"/>
        </w:rPr>
        <w:t>73.</w:t>
      </w:r>
      <w:r w:rsidR="00E27986">
        <w:rPr>
          <w:rFonts w:cs="Arial"/>
          <w:color w:val="000000"/>
          <w:szCs w:val="22"/>
        </w:rPr>
        <w:t>1200</w:t>
      </w:r>
      <w:r w:rsidR="009A11BC">
        <w:rPr>
          <w:rFonts w:cs="Arial"/>
          <w:color w:val="000000"/>
          <w:szCs w:val="22"/>
        </w:rPr>
        <w:t xml:space="preserve">, the NRC would not be notified as quickly about an attack or threat so the communication to other affected licensees and the National Response Framework would be </w:t>
      </w:r>
      <w:r w:rsidR="000A3AF2">
        <w:rPr>
          <w:rFonts w:cs="Arial"/>
          <w:color w:val="000000"/>
          <w:szCs w:val="22"/>
        </w:rPr>
        <w:t>delayed.</w:t>
      </w:r>
      <w:r w:rsidR="00401491">
        <w:rPr>
          <w:rFonts w:cs="Arial"/>
          <w:color w:val="000000"/>
          <w:szCs w:val="22"/>
        </w:rPr>
        <w:t xml:space="preserve">  </w:t>
      </w:r>
    </w:p>
    <w:p w:rsidR="007E1C0C" w:rsidP="00577D64" w:rsidRDefault="007E1C0C" w14:paraId="3C58097B" w14:textId="77777777">
      <w:pPr>
        <w:widowControl/>
        <w:ind w:left="720"/>
        <w:rPr>
          <w:rFonts w:cs="Arial"/>
          <w:color w:val="000000"/>
          <w:szCs w:val="22"/>
        </w:rPr>
      </w:pPr>
    </w:p>
    <w:p w:rsidRPr="00577D64" w:rsidR="00FA718F" w:rsidP="00577D64" w:rsidRDefault="00401491" w14:paraId="187081FD" w14:textId="77777777">
      <w:pPr>
        <w:widowControl/>
        <w:ind w:left="720"/>
        <w:rPr>
          <w:rFonts w:cs="Arial"/>
          <w:color w:val="000000"/>
          <w:szCs w:val="22"/>
        </w:rPr>
      </w:pPr>
      <w:r>
        <w:rPr>
          <w:rFonts w:cs="Arial"/>
          <w:color w:val="000000"/>
          <w:szCs w:val="22"/>
        </w:rPr>
        <w:t xml:space="preserve">Without the new suspicious activity reporting requirements in § 73.1215, local </w:t>
      </w:r>
      <w:r w:rsidR="00214D1E">
        <w:rPr>
          <w:rFonts w:cs="Arial"/>
          <w:color w:val="000000"/>
          <w:szCs w:val="22"/>
        </w:rPr>
        <w:t xml:space="preserve">and Federal </w:t>
      </w:r>
      <w:r>
        <w:rPr>
          <w:rFonts w:cs="Arial"/>
          <w:color w:val="000000"/>
          <w:szCs w:val="22"/>
        </w:rPr>
        <w:t xml:space="preserve">law enforcement </w:t>
      </w:r>
      <w:r w:rsidR="00214D1E">
        <w:rPr>
          <w:rFonts w:cs="Arial"/>
          <w:color w:val="000000"/>
          <w:szCs w:val="22"/>
        </w:rPr>
        <w:t xml:space="preserve">agencies </w:t>
      </w:r>
      <w:r>
        <w:rPr>
          <w:rFonts w:cs="Arial"/>
          <w:color w:val="000000"/>
          <w:szCs w:val="22"/>
        </w:rPr>
        <w:t xml:space="preserve">would not be made aware of suspicious activities, which may hinder </w:t>
      </w:r>
      <w:r w:rsidR="00214D1E">
        <w:rPr>
          <w:rFonts w:cs="Arial"/>
          <w:color w:val="000000"/>
          <w:szCs w:val="22"/>
        </w:rPr>
        <w:t>such agencies’ investigative efforts</w:t>
      </w:r>
      <w:r w:rsidRPr="00FE5433">
        <w:rPr>
          <w:rFonts w:cs="Arial"/>
          <w:color w:val="000000"/>
          <w:szCs w:val="22"/>
        </w:rPr>
        <w:t xml:space="preserve"> to disrupt or dissuade malevolent acts against </w:t>
      </w:r>
      <w:r w:rsidR="00214D1E">
        <w:rPr>
          <w:rFonts w:cs="Arial"/>
          <w:color w:val="000000"/>
          <w:szCs w:val="22"/>
        </w:rPr>
        <w:t xml:space="preserve">NRC licensed facilities, materials, and activities and other </w:t>
      </w:r>
      <w:r w:rsidRPr="00FE5433">
        <w:rPr>
          <w:rFonts w:cs="Arial"/>
          <w:color w:val="000000"/>
          <w:szCs w:val="22"/>
        </w:rPr>
        <w:t>critical infrastructure</w:t>
      </w:r>
      <w:r w:rsidR="00214D1E">
        <w:rPr>
          <w:rFonts w:cs="Arial"/>
          <w:color w:val="000000"/>
          <w:szCs w:val="22"/>
        </w:rPr>
        <w:t>.</w:t>
      </w:r>
    </w:p>
    <w:p w:rsidR="002A7992" w:rsidRDefault="002A7992" w14:paraId="2F377345" w14:textId="77777777">
      <w:pPr>
        <w:widowControl/>
        <w:autoSpaceDE/>
        <w:autoSpaceDN/>
        <w:adjustRightInd/>
        <w:rPr>
          <w:rFonts w:cs="Arial"/>
          <w:szCs w:val="22"/>
        </w:rPr>
      </w:pPr>
    </w:p>
    <w:p w:rsidR="000A3AF2" w:rsidP="00577D64" w:rsidRDefault="002B1B50" w14:paraId="7D4DE5EB" w14:textId="77777777">
      <w:pPr>
        <w:widowControl/>
        <w:tabs>
          <w:tab w:val="left" w:pos="-1440"/>
        </w:tabs>
        <w:ind w:left="1440" w:hanging="720"/>
        <w:rPr>
          <w:rFonts w:cs="Arial"/>
          <w:szCs w:val="22"/>
          <w:u w:val="single"/>
        </w:rPr>
      </w:pPr>
      <w:r w:rsidRPr="00A32597">
        <w:rPr>
          <w:rFonts w:cs="Arial"/>
          <w:szCs w:val="22"/>
        </w:rPr>
        <w:t>7.</w:t>
      </w:r>
      <w:r w:rsidRPr="00A32597">
        <w:rPr>
          <w:rFonts w:cs="Arial"/>
          <w:szCs w:val="22"/>
        </w:rPr>
        <w:tab/>
      </w:r>
      <w:r w:rsidRPr="00A32597">
        <w:rPr>
          <w:rFonts w:cs="Arial"/>
          <w:szCs w:val="22"/>
          <w:u w:val="single"/>
        </w:rPr>
        <w:t>Circumstances Which Justify Variation from OMB Guidelines</w:t>
      </w:r>
    </w:p>
    <w:p w:rsidR="000A3AF2" w:rsidP="00577D64" w:rsidRDefault="000A3AF2" w14:paraId="307A6FFE" w14:textId="77777777">
      <w:pPr>
        <w:widowControl/>
        <w:tabs>
          <w:tab w:val="left" w:pos="-1440"/>
        </w:tabs>
        <w:ind w:left="1440" w:hanging="720"/>
        <w:rPr>
          <w:rFonts w:cs="Arial"/>
          <w:szCs w:val="22"/>
        </w:rPr>
      </w:pPr>
    </w:p>
    <w:p w:rsidR="000A3AF2" w:rsidP="00577D64" w:rsidRDefault="00A243B4" w14:paraId="6427346B" w14:textId="0243DAE0">
      <w:pPr>
        <w:widowControl/>
        <w:tabs>
          <w:tab w:val="left" w:pos="-1440"/>
        </w:tabs>
        <w:ind w:left="720"/>
        <w:rPr>
          <w:rFonts w:cs="Arial"/>
          <w:szCs w:val="22"/>
        </w:rPr>
      </w:pPr>
      <w:r w:rsidRPr="00A32597">
        <w:rPr>
          <w:rFonts w:cs="Arial"/>
          <w:szCs w:val="22"/>
        </w:rPr>
        <w:t>Certain sections of Part 73 vary from the OMB Guidelines in 5 CFR 1320.5(d) by requiring that licensees submit reports to the NRC in less than 30 days.  Section</w:t>
      </w:r>
      <w:r w:rsidR="00FD4AD8">
        <w:rPr>
          <w:rFonts w:cs="Arial"/>
          <w:szCs w:val="22"/>
        </w:rPr>
        <w:t>s</w:t>
      </w:r>
      <w:r w:rsidRPr="00A32597">
        <w:rPr>
          <w:rFonts w:cs="Arial"/>
          <w:szCs w:val="22"/>
        </w:rPr>
        <w:t xml:space="preserve"> 73.</w:t>
      </w:r>
      <w:r w:rsidR="003F4C86">
        <w:rPr>
          <w:rFonts w:cs="Arial"/>
          <w:szCs w:val="22"/>
        </w:rPr>
        <w:t>1200</w:t>
      </w:r>
      <w:r w:rsidR="00437CC5">
        <w:rPr>
          <w:rFonts w:cs="Arial"/>
          <w:szCs w:val="22"/>
        </w:rPr>
        <w:t xml:space="preserve">, </w:t>
      </w:r>
      <w:r w:rsidR="00655802">
        <w:rPr>
          <w:rFonts w:cs="Arial"/>
          <w:szCs w:val="22"/>
        </w:rPr>
        <w:t xml:space="preserve">73.1215, </w:t>
      </w:r>
      <w:r w:rsidR="00437CC5">
        <w:rPr>
          <w:rFonts w:cs="Arial"/>
          <w:szCs w:val="22"/>
        </w:rPr>
        <w:t xml:space="preserve">73.15, and 73.17 </w:t>
      </w:r>
      <w:r w:rsidRPr="00A32597">
        <w:rPr>
          <w:rFonts w:cs="Arial"/>
          <w:szCs w:val="22"/>
        </w:rPr>
        <w:t xml:space="preserve">require </w:t>
      </w:r>
      <w:r w:rsidR="003F4C86">
        <w:rPr>
          <w:rFonts w:cs="Arial"/>
          <w:szCs w:val="22"/>
        </w:rPr>
        <w:t>rapid</w:t>
      </w:r>
      <w:r w:rsidRPr="00A32597" w:rsidR="003F4C86">
        <w:rPr>
          <w:rFonts w:cs="Arial"/>
          <w:szCs w:val="22"/>
        </w:rPr>
        <w:t xml:space="preserve"> </w:t>
      </w:r>
      <w:r w:rsidRPr="00A32597">
        <w:rPr>
          <w:rFonts w:cs="Arial"/>
          <w:szCs w:val="22"/>
        </w:rPr>
        <w:t xml:space="preserve">notifications to </w:t>
      </w:r>
      <w:r w:rsidRPr="00A32597" w:rsidR="00D1054C">
        <w:rPr>
          <w:rFonts w:cs="Arial"/>
          <w:szCs w:val="22"/>
        </w:rPr>
        <w:t xml:space="preserve">the </w:t>
      </w:r>
      <w:r w:rsidRPr="00A32597">
        <w:rPr>
          <w:rFonts w:cs="Arial"/>
          <w:szCs w:val="22"/>
        </w:rPr>
        <w:t>NRC.  The notification</w:t>
      </w:r>
      <w:r w:rsidR="00437CC5">
        <w:rPr>
          <w:rFonts w:cs="Arial"/>
          <w:szCs w:val="22"/>
        </w:rPr>
        <w:t>s under §</w:t>
      </w:r>
      <w:r w:rsidRPr="00A32597" w:rsidR="00437CC5">
        <w:rPr>
          <w:rFonts w:cs="Arial"/>
          <w:szCs w:val="22"/>
        </w:rPr>
        <w:t> </w:t>
      </w:r>
      <w:r w:rsidR="00437CC5">
        <w:rPr>
          <w:rFonts w:cs="Arial"/>
          <w:szCs w:val="22"/>
        </w:rPr>
        <w:t>73.1200</w:t>
      </w:r>
      <w:r w:rsidRPr="00A32597">
        <w:rPr>
          <w:rFonts w:cs="Arial"/>
          <w:szCs w:val="22"/>
        </w:rPr>
        <w:t xml:space="preserve"> are needed to permit the NRC </w:t>
      </w:r>
      <w:r w:rsidRPr="00A32597" w:rsidR="00144D4A">
        <w:rPr>
          <w:rFonts w:cs="Arial"/>
          <w:szCs w:val="22"/>
        </w:rPr>
        <w:t xml:space="preserve">Headquarters </w:t>
      </w:r>
      <w:r w:rsidRPr="00A32597">
        <w:rPr>
          <w:rFonts w:cs="Arial"/>
          <w:szCs w:val="22"/>
        </w:rPr>
        <w:t xml:space="preserve">Operations Center staff, </w:t>
      </w:r>
      <w:r w:rsidR="00206222">
        <w:rPr>
          <w:rFonts w:cs="Arial"/>
          <w:szCs w:val="22"/>
        </w:rPr>
        <w:t xml:space="preserve">other government agencies, </w:t>
      </w:r>
      <w:r w:rsidRPr="00A32597">
        <w:rPr>
          <w:rFonts w:cs="Arial"/>
          <w:szCs w:val="22"/>
        </w:rPr>
        <w:t xml:space="preserve">and law enforcement authorities to </w:t>
      </w:r>
      <w:r w:rsidR="00E747CD">
        <w:rPr>
          <w:rFonts w:cs="Arial"/>
          <w:szCs w:val="22"/>
        </w:rPr>
        <w:t xml:space="preserve">react to an imminent or actual hostile action or to </w:t>
      </w:r>
      <w:r w:rsidRPr="00A32597">
        <w:rPr>
          <w:rFonts w:cs="Arial"/>
          <w:szCs w:val="22"/>
        </w:rPr>
        <w:t xml:space="preserve">determine whether </w:t>
      </w:r>
      <w:r w:rsidR="00D45481">
        <w:rPr>
          <w:rFonts w:cs="Arial"/>
          <w:szCs w:val="22"/>
        </w:rPr>
        <w:t xml:space="preserve">a </w:t>
      </w:r>
      <w:r w:rsidR="00E747CD">
        <w:rPr>
          <w:rFonts w:cs="Arial"/>
          <w:szCs w:val="22"/>
        </w:rPr>
        <w:t xml:space="preserve">suspicious activity is indicative of preoperational surveillance or </w:t>
      </w:r>
      <w:r w:rsidR="00E747CD">
        <w:rPr>
          <w:rFonts w:cs="Arial"/>
          <w:szCs w:val="22"/>
        </w:rPr>
        <w:lastRenderedPageBreak/>
        <w:t>reconnaissance</w:t>
      </w:r>
      <w:r w:rsidRPr="00A32597" w:rsidR="00D1054C">
        <w:rPr>
          <w:rFonts w:cs="Arial"/>
          <w:szCs w:val="22"/>
        </w:rPr>
        <w:t xml:space="preserve"> against NRC licensed facilities and activities</w:t>
      </w:r>
      <w:r w:rsidRPr="00A32597">
        <w:rPr>
          <w:rFonts w:cs="Arial"/>
          <w:szCs w:val="22"/>
        </w:rPr>
        <w:t xml:space="preserve">.  </w:t>
      </w:r>
      <w:r w:rsidR="00437CC5">
        <w:rPr>
          <w:rFonts w:cs="Arial"/>
          <w:szCs w:val="22"/>
        </w:rPr>
        <w:t xml:space="preserve">Section 73.15(p) requires licensees to notify </w:t>
      </w:r>
      <w:r w:rsidR="00003541">
        <w:rPr>
          <w:rFonts w:cs="Arial"/>
          <w:szCs w:val="22"/>
        </w:rPr>
        <w:t xml:space="preserve">LLEA </w:t>
      </w:r>
      <w:r w:rsidR="00D94532">
        <w:rPr>
          <w:rFonts w:cs="Arial"/>
          <w:szCs w:val="22"/>
        </w:rPr>
        <w:t>and the NRC</w:t>
      </w:r>
      <w:r w:rsidR="00437CC5">
        <w:rPr>
          <w:rFonts w:cs="Arial"/>
          <w:szCs w:val="22"/>
        </w:rPr>
        <w:t xml:space="preserve"> </w:t>
      </w:r>
      <w:r w:rsidR="00D94532">
        <w:rPr>
          <w:rFonts w:cs="Arial"/>
          <w:szCs w:val="22"/>
        </w:rPr>
        <w:t>if</w:t>
      </w:r>
      <w:r w:rsidR="00437CC5">
        <w:rPr>
          <w:rFonts w:cs="Arial"/>
          <w:szCs w:val="22"/>
        </w:rPr>
        <w:t xml:space="preserve"> an enhanced weapon is lost or stolen.  The notification is necessary to a</w:t>
      </w:r>
      <w:r w:rsidR="00D94532">
        <w:rPr>
          <w:rFonts w:cs="Arial"/>
          <w:szCs w:val="22"/>
        </w:rPr>
        <w:t>llow law enforcement</w:t>
      </w:r>
      <w:r w:rsidR="00437CC5">
        <w:rPr>
          <w:rFonts w:cs="Arial"/>
          <w:szCs w:val="22"/>
        </w:rPr>
        <w:t xml:space="preserve"> and NRC to take timely action in response to a lost or stolen enhanced weapon</w:t>
      </w:r>
      <w:r w:rsidR="00E747CD">
        <w:rPr>
          <w:rFonts w:cs="Arial"/>
          <w:szCs w:val="22"/>
        </w:rPr>
        <w:t xml:space="preserve"> (including changes to protective posture</w:t>
      </w:r>
      <w:r w:rsidR="00214D1E">
        <w:rPr>
          <w:rFonts w:cs="Arial"/>
          <w:szCs w:val="22"/>
        </w:rPr>
        <w:t xml:space="preserve"> of law enforcement personnel</w:t>
      </w:r>
      <w:r w:rsidR="00E747CD">
        <w:rPr>
          <w:rFonts w:cs="Arial"/>
          <w:szCs w:val="22"/>
        </w:rPr>
        <w:t>)</w:t>
      </w:r>
      <w:r w:rsidR="00437CC5">
        <w:rPr>
          <w:rFonts w:cs="Arial"/>
          <w:szCs w:val="22"/>
        </w:rPr>
        <w:t xml:space="preserve">.  </w:t>
      </w:r>
      <w:r w:rsidRPr="00A32597">
        <w:rPr>
          <w:rFonts w:cs="Arial"/>
          <w:szCs w:val="22"/>
        </w:rPr>
        <w:t xml:space="preserve">In addition, </w:t>
      </w:r>
      <w:r w:rsidR="00050BDF">
        <w:rPr>
          <w:rFonts w:cs="Arial"/>
          <w:szCs w:val="22"/>
        </w:rPr>
        <w:t>§</w:t>
      </w:r>
      <w:r w:rsidRPr="00A32597">
        <w:rPr>
          <w:rFonts w:cs="Arial"/>
          <w:szCs w:val="22"/>
        </w:rPr>
        <w:t> </w:t>
      </w:r>
      <w:r w:rsidR="0007735A">
        <w:rPr>
          <w:rFonts w:cs="Arial"/>
          <w:szCs w:val="22"/>
        </w:rPr>
        <w:t>73.</w:t>
      </w:r>
      <w:r w:rsidR="00B90BB2">
        <w:rPr>
          <w:rFonts w:cs="Arial"/>
          <w:szCs w:val="22"/>
        </w:rPr>
        <w:t>17(g)</w:t>
      </w:r>
      <w:r w:rsidRPr="00A32597">
        <w:rPr>
          <w:rFonts w:cs="Arial"/>
          <w:szCs w:val="22"/>
        </w:rPr>
        <w:t xml:space="preserve"> requires licensees to notify the NRC within 72 hours of removing security personnel from duties requiring access to covered weapons.  This notification requirement is needed to ensure that, following their removal, individuals do not perform duties requiring access to covered weapons at any other licensee site.</w:t>
      </w:r>
    </w:p>
    <w:p w:rsidR="000A3AF2" w:rsidP="00577D64" w:rsidRDefault="000A3AF2" w14:paraId="4F12E235" w14:textId="77777777">
      <w:pPr>
        <w:widowControl/>
        <w:tabs>
          <w:tab w:val="left" w:pos="-1440"/>
        </w:tabs>
        <w:ind w:left="720"/>
        <w:rPr>
          <w:rFonts w:cs="Arial"/>
          <w:szCs w:val="22"/>
        </w:rPr>
      </w:pPr>
    </w:p>
    <w:p w:rsidR="00833A69" w:rsidP="00005087" w:rsidRDefault="00A15814" w14:paraId="227CF654" w14:textId="2E6942D5">
      <w:pPr>
        <w:widowControl/>
        <w:tabs>
          <w:tab w:val="left" w:pos="-1440"/>
        </w:tabs>
        <w:ind w:left="720"/>
        <w:rPr>
          <w:rFonts w:cs="Arial"/>
          <w:szCs w:val="22"/>
        </w:rPr>
      </w:pPr>
      <w:r w:rsidRPr="00A32597">
        <w:rPr>
          <w:rFonts w:cs="Arial"/>
          <w:szCs w:val="22"/>
        </w:rPr>
        <w:t xml:space="preserve">Certain other sections of Part 73 </w:t>
      </w:r>
      <w:r w:rsidRPr="00A32597" w:rsidR="00640012">
        <w:rPr>
          <w:rFonts w:cs="Arial"/>
          <w:szCs w:val="22"/>
        </w:rPr>
        <w:t>(</w:t>
      </w:r>
      <w:r w:rsidR="00050BDF">
        <w:rPr>
          <w:rFonts w:cs="Arial"/>
          <w:szCs w:val="22"/>
        </w:rPr>
        <w:t>§§</w:t>
      </w:r>
      <w:r w:rsidR="001C44A1">
        <w:rPr>
          <w:rFonts w:cs="Arial"/>
          <w:szCs w:val="22"/>
        </w:rPr>
        <w:t> </w:t>
      </w:r>
      <w:r w:rsidR="0007735A">
        <w:rPr>
          <w:rFonts w:cs="Arial"/>
          <w:szCs w:val="22"/>
        </w:rPr>
        <w:t>73.15</w:t>
      </w:r>
      <w:r w:rsidR="001C44A1">
        <w:rPr>
          <w:rFonts w:cs="Arial"/>
          <w:szCs w:val="22"/>
        </w:rPr>
        <w:t>(q</w:t>
      </w:r>
      <w:r w:rsidRPr="00005087" w:rsidR="00640012">
        <w:rPr>
          <w:rFonts w:cs="Arial"/>
          <w:szCs w:val="22"/>
        </w:rPr>
        <w:t>)</w:t>
      </w:r>
      <w:r w:rsidR="00305FCC">
        <w:rPr>
          <w:rFonts w:cs="Arial"/>
          <w:szCs w:val="22"/>
        </w:rPr>
        <w:t>(6)</w:t>
      </w:r>
      <w:r w:rsidRPr="00005087" w:rsidR="00640012">
        <w:rPr>
          <w:rFonts w:cs="Arial"/>
          <w:szCs w:val="22"/>
        </w:rPr>
        <w:t>, 73.</w:t>
      </w:r>
      <w:r w:rsidRPr="00005087" w:rsidR="003C783F">
        <w:rPr>
          <w:rFonts w:cs="Arial"/>
          <w:szCs w:val="22"/>
        </w:rPr>
        <w:t>17(e)(4)</w:t>
      </w:r>
      <w:r w:rsidRPr="00005087" w:rsidR="00640012">
        <w:rPr>
          <w:rFonts w:cs="Arial"/>
          <w:szCs w:val="22"/>
        </w:rPr>
        <w:t>, and 73.</w:t>
      </w:r>
      <w:r w:rsidRPr="00005087" w:rsidR="003C783F">
        <w:rPr>
          <w:rFonts w:cs="Arial"/>
          <w:szCs w:val="22"/>
        </w:rPr>
        <w:t>1210</w:t>
      </w:r>
      <w:r w:rsidRPr="00005087" w:rsidR="00640012">
        <w:rPr>
          <w:rFonts w:cs="Arial"/>
          <w:szCs w:val="22"/>
        </w:rPr>
        <w:t xml:space="preserve">) </w:t>
      </w:r>
      <w:r w:rsidRPr="00005087">
        <w:rPr>
          <w:rFonts w:cs="Arial"/>
          <w:szCs w:val="22"/>
        </w:rPr>
        <w:t>vary</w:t>
      </w:r>
      <w:r w:rsidRPr="00A32597">
        <w:rPr>
          <w:rFonts w:cs="Arial"/>
          <w:szCs w:val="22"/>
        </w:rPr>
        <w:t xml:space="preserve"> from the OMB Guidelines in 5 CFR 1320.5(d) by requiring that licensees retain records for more than 3 years.  Various sections require retention of records for extended periods such as duration of an individual</w:t>
      </w:r>
      <w:r w:rsidR="0031534D">
        <w:rPr>
          <w:rFonts w:cs="Arial"/>
          <w:szCs w:val="22"/>
        </w:rPr>
        <w:t>’</w:t>
      </w:r>
      <w:r w:rsidRPr="00A32597">
        <w:rPr>
          <w:rFonts w:cs="Arial"/>
          <w:szCs w:val="22"/>
        </w:rPr>
        <w:t>s employment, or until the Commission terminates the facility</w:t>
      </w:r>
      <w:r w:rsidR="0031534D">
        <w:rPr>
          <w:rFonts w:cs="Arial"/>
          <w:szCs w:val="22"/>
        </w:rPr>
        <w:t>’</w:t>
      </w:r>
      <w:r w:rsidRPr="00A32597">
        <w:rPr>
          <w:rFonts w:cs="Arial"/>
          <w:szCs w:val="22"/>
        </w:rPr>
        <w:t>s license or other regulatory approval.  Other records are required for inspection</w:t>
      </w:r>
      <w:r w:rsidR="00604BB1">
        <w:rPr>
          <w:rFonts w:cs="Arial"/>
          <w:szCs w:val="22"/>
        </w:rPr>
        <w:t>, investigation,</w:t>
      </w:r>
      <w:r w:rsidRPr="00A32597">
        <w:rPr>
          <w:rFonts w:cs="Arial"/>
          <w:szCs w:val="22"/>
        </w:rPr>
        <w:t xml:space="preserve"> or for reconstruction of events </w:t>
      </w:r>
      <w:r w:rsidR="00E747CD">
        <w:rPr>
          <w:rFonts w:cs="Arial"/>
          <w:szCs w:val="22"/>
        </w:rPr>
        <w:t>associated with a physical security event</w:t>
      </w:r>
      <w:r w:rsidRPr="00A32597">
        <w:rPr>
          <w:rFonts w:cs="Arial"/>
          <w:szCs w:val="22"/>
        </w:rPr>
        <w:t>.</w:t>
      </w:r>
    </w:p>
    <w:p w:rsidR="00EA234C" w:rsidP="00005087" w:rsidRDefault="00EA234C" w14:paraId="2F02BDA6" w14:textId="77777777">
      <w:pPr>
        <w:widowControl/>
        <w:tabs>
          <w:tab w:val="left" w:pos="-1440"/>
        </w:tabs>
        <w:ind w:left="720"/>
        <w:rPr>
          <w:rFonts w:cs="Arial"/>
          <w:szCs w:val="22"/>
        </w:rPr>
      </w:pPr>
    </w:p>
    <w:p w:rsidR="000A3AF2" w:rsidP="00577D64" w:rsidRDefault="002B1B50" w14:paraId="17324793" w14:textId="77777777">
      <w:pPr>
        <w:widowControl/>
        <w:numPr>
          <w:ilvl w:val="0"/>
          <w:numId w:val="6"/>
        </w:numPr>
        <w:tabs>
          <w:tab w:val="left" w:pos="-1440"/>
        </w:tabs>
        <w:rPr>
          <w:rFonts w:cs="Arial"/>
          <w:szCs w:val="22"/>
          <w:u w:val="single"/>
        </w:rPr>
      </w:pPr>
      <w:r w:rsidRPr="00A32597">
        <w:rPr>
          <w:rFonts w:cs="Arial"/>
          <w:szCs w:val="22"/>
          <w:u w:val="single"/>
        </w:rPr>
        <w:t>Consultations Outside the NRC</w:t>
      </w:r>
    </w:p>
    <w:p w:rsidR="000A3AF2" w:rsidP="00577D64" w:rsidRDefault="000A3AF2" w14:paraId="7EF083B4" w14:textId="77777777">
      <w:pPr>
        <w:widowControl/>
        <w:tabs>
          <w:tab w:val="left" w:pos="-1440"/>
        </w:tabs>
        <w:ind w:left="720"/>
        <w:rPr>
          <w:rFonts w:cs="Arial"/>
          <w:szCs w:val="22"/>
          <w:u w:val="single"/>
        </w:rPr>
      </w:pPr>
    </w:p>
    <w:p w:rsidR="000A3AF2" w:rsidP="00577D64" w:rsidRDefault="00A15814" w14:paraId="6BF97E29" w14:textId="33DCAB16">
      <w:pPr>
        <w:widowControl/>
        <w:tabs>
          <w:tab w:val="left" w:pos="-1440"/>
        </w:tabs>
        <w:ind w:left="720"/>
        <w:rPr>
          <w:rFonts w:cs="Arial"/>
          <w:szCs w:val="22"/>
        </w:rPr>
      </w:pPr>
      <w:r w:rsidRPr="00A32597">
        <w:rPr>
          <w:rFonts w:cs="Arial"/>
          <w:szCs w:val="22"/>
        </w:rPr>
        <w:t xml:space="preserve">This </w:t>
      </w:r>
      <w:r w:rsidR="005F565F">
        <w:rPr>
          <w:rFonts w:cs="Arial"/>
          <w:szCs w:val="22"/>
        </w:rPr>
        <w:t xml:space="preserve">final </w:t>
      </w:r>
      <w:r w:rsidRPr="00A32597">
        <w:rPr>
          <w:rFonts w:cs="Arial"/>
          <w:szCs w:val="22"/>
        </w:rPr>
        <w:t xml:space="preserve">rule contains new requirements that implement the </w:t>
      </w:r>
      <w:r w:rsidR="00305FCC">
        <w:rPr>
          <w:rFonts w:cs="Arial"/>
          <w:szCs w:val="22"/>
        </w:rPr>
        <w:t>Commission’s</w:t>
      </w:r>
      <w:r w:rsidRPr="00A32597">
        <w:rPr>
          <w:rFonts w:cs="Arial"/>
          <w:szCs w:val="22"/>
        </w:rPr>
        <w:t xml:space="preserve"> authority </w:t>
      </w:r>
      <w:r w:rsidR="00050BDF">
        <w:rPr>
          <w:rFonts w:cs="Arial"/>
          <w:szCs w:val="22"/>
        </w:rPr>
        <w:t>under Section </w:t>
      </w:r>
      <w:r w:rsidRPr="00A32597">
        <w:rPr>
          <w:rFonts w:cs="Arial"/>
          <w:szCs w:val="22"/>
        </w:rPr>
        <w:t xml:space="preserve">161A of the AEA.  During the development </w:t>
      </w:r>
      <w:r w:rsidR="000A618C">
        <w:rPr>
          <w:rFonts w:cs="Arial"/>
          <w:szCs w:val="22"/>
        </w:rPr>
        <w:t xml:space="preserve">of </w:t>
      </w:r>
      <w:r w:rsidR="0098597E">
        <w:rPr>
          <w:rFonts w:cs="Arial"/>
          <w:szCs w:val="22"/>
        </w:rPr>
        <w:t>the</w:t>
      </w:r>
      <w:r w:rsidRPr="00A32597">
        <w:rPr>
          <w:rFonts w:cs="Arial"/>
          <w:szCs w:val="22"/>
        </w:rPr>
        <w:t xml:space="preserve"> requirements in </w:t>
      </w:r>
      <w:r w:rsidR="002A26B3">
        <w:rPr>
          <w:rFonts w:cs="Arial"/>
          <w:szCs w:val="22"/>
        </w:rPr>
        <w:t>§</w:t>
      </w:r>
      <w:r w:rsidR="00050BDF">
        <w:rPr>
          <w:rFonts w:cs="Arial"/>
          <w:szCs w:val="22"/>
        </w:rPr>
        <w:t>§</w:t>
      </w:r>
      <w:r w:rsidRPr="00A32597">
        <w:rPr>
          <w:rFonts w:cs="Arial"/>
          <w:szCs w:val="22"/>
        </w:rPr>
        <w:t> </w:t>
      </w:r>
      <w:r w:rsidR="0007735A">
        <w:rPr>
          <w:rFonts w:cs="Arial"/>
          <w:szCs w:val="22"/>
        </w:rPr>
        <w:t>73.15</w:t>
      </w:r>
      <w:r w:rsidRPr="00A32597">
        <w:rPr>
          <w:rFonts w:cs="Arial"/>
          <w:szCs w:val="22"/>
        </w:rPr>
        <w:t xml:space="preserve"> and </w:t>
      </w:r>
      <w:r w:rsidR="0007735A">
        <w:rPr>
          <w:rFonts w:cs="Arial"/>
          <w:szCs w:val="22"/>
        </w:rPr>
        <w:t>73.17</w:t>
      </w:r>
      <w:r w:rsidRPr="00A32597">
        <w:rPr>
          <w:rFonts w:cs="Arial"/>
          <w:szCs w:val="22"/>
        </w:rPr>
        <w:t xml:space="preserve">, the NRC engaged with representatives from the U.S. Department of Justice, </w:t>
      </w:r>
      <w:r w:rsidR="00604BB1">
        <w:rPr>
          <w:rFonts w:cs="Arial"/>
          <w:szCs w:val="22"/>
        </w:rPr>
        <w:t xml:space="preserve">including </w:t>
      </w:r>
      <w:r w:rsidRPr="00A32597">
        <w:rPr>
          <w:rFonts w:cs="Arial"/>
          <w:szCs w:val="22"/>
        </w:rPr>
        <w:t xml:space="preserve">the </w:t>
      </w:r>
      <w:r w:rsidR="00F1529A">
        <w:rPr>
          <w:rFonts w:cs="Arial"/>
          <w:szCs w:val="22"/>
        </w:rPr>
        <w:t>FBI</w:t>
      </w:r>
      <w:r w:rsidR="00604BB1">
        <w:rPr>
          <w:rFonts w:cs="Arial"/>
          <w:szCs w:val="22"/>
        </w:rPr>
        <w:t xml:space="preserve"> </w:t>
      </w:r>
      <w:r w:rsidRPr="00A32597">
        <w:rPr>
          <w:rFonts w:cs="Arial"/>
          <w:szCs w:val="22"/>
        </w:rPr>
        <w:t xml:space="preserve">and the </w:t>
      </w:r>
      <w:r w:rsidR="00F1529A">
        <w:rPr>
          <w:rFonts w:cs="Arial"/>
          <w:szCs w:val="22"/>
        </w:rPr>
        <w:t>ATF</w:t>
      </w:r>
      <w:r w:rsidRPr="00A32597">
        <w:rPr>
          <w:rFonts w:cs="Arial"/>
          <w:szCs w:val="22"/>
        </w:rPr>
        <w:t>.</w:t>
      </w:r>
    </w:p>
    <w:p w:rsidR="000A3AF2" w:rsidP="00577D64" w:rsidRDefault="000A3AF2" w14:paraId="5D69C8C7" w14:textId="77777777">
      <w:pPr>
        <w:widowControl/>
        <w:tabs>
          <w:tab w:val="left" w:pos="-1440"/>
        </w:tabs>
        <w:ind w:left="720"/>
        <w:rPr>
          <w:rFonts w:cs="Arial"/>
          <w:szCs w:val="22"/>
        </w:rPr>
      </w:pPr>
    </w:p>
    <w:p w:rsidR="00296384" w:rsidP="00577D64" w:rsidRDefault="000A3AF2" w14:paraId="5908CA30" w14:textId="0B461CC3">
      <w:pPr>
        <w:keepNext/>
        <w:keepLines/>
        <w:widowControl/>
        <w:ind w:left="720"/>
      </w:pPr>
      <w:r>
        <w:t xml:space="preserve">On October 26, 2006 (71 FR 62663), the NRC published the proposed </w:t>
      </w:r>
      <w:r w:rsidR="00305FCC">
        <w:t>rule</w:t>
      </w:r>
      <w:r>
        <w:t xml:space="preserve"> that would implement this new authority as part of a larger proposed rule entitled "Power Reactor Security Requirements."  </w:t>
      </w:r>
    </w:p>
    <w:p w:rsidR="0002455A" w:rsidP="00577D64" w:rsidRDefault="0002455A" w14:paraId="169C85CF" w14:textId="77777777">
      <w:pPr>
        <w:keepNext/>
        <w:keepLines/>
        <w:widowControl/>
        <w:ind w:left="720"/>
        <w:rPr>
          <w:rFonts w:cs="Arial"/>
          <w:szCs w:val="22"/>
        </w:rPr>
      </w:pPr>
    </w:p>
    <w:p w:rsidR="004C64A2" w:rsidP="004C64A2" w:rsidRDefault="00A16C86" w14:paraId="41416615" w14:textId="6D14878B">
      <w:pPr>
        <w:widowControl/>
        <w:ind w:left="720"/>
        <w:rPr>
          <w:rFonts w:cs="Arial"/>
          <w:szCs w:val="22"/>
        </w:rPr>
      </w:pPr>
      <w:r w:rsidRPr="00A16C86">
        <w:rPr>
          <w:rFonts w:cs="Arial"/>
          <w:szCs w:val="22"/>
        </w:rPr>
        <w:t xml:space="preserve">On February 3, 2011, the NRC published in the </w:t>
      </w:r>
      <w:r w:rsidRPr="00305FCC">
        <w:rPr>
          <w:rFonts w:cs="Arial"/>
          <w:i/>
          <w:szCs w:val="22"/>
        </w:rPr>
        <w:t>Federal Register</w:t>
      </w:r>
      <w:r w:rsidRPr="00A16C86">
        <w:rPr>
          <w:rFonts w:cs="Arial"/>
          <w:szCs w:val="22"/>
        </w:rPr>
        <w:t xml:space="preserve"> a new proposed rule,</w:t>
      </w:r>
      <w:r>
        <w:rPr>
          <w:rFonts w:cs="Arial"/>
          <w:szCs w:val="22"/>
        </w:rPr>
        <w:t xml:space="preserve"> </w:t>
      </w:r>
      <w:r w:rsidRPr="00A16C86">
        <w:rPr>
          <w:rFonts w:cs="Arial"/>
          <w:szCs w:val="22"/>
        </w:rPr>
        <w:t>“Enhanced Weapons, Firearms Background Checks and Security Event Notifications”</w:t>
      </w:r>
      <w:r>
        <w:rPr>
          <w:rFonts w:cs="Arial"/>
          <w:szCs w:val="22"/>
        </w:rPr>
        <w:t xml:space="preserve"> </w:t>
      </w:r>
      <w:r w:rsidRPr="00A16C86">
        <w:rPr>
          <w:rFonts w:cs="Arial"/>
          <w:szCs w:val="22"/>
        </w:rPr>
        <w:t xml:space="preserve">that reflected the </w:t>
      </w:r>
      <w:r w:rsidR="004C64A2">
        <w:rPr>
          <w:rFonts w:cs="Arial"/>
          <w:szCs w:val="22"/>
        </w:rPr>
        <w:t xml:space="preserve">issued </w:t>
      </w:r>
      <w:r w:rsidRPr="00A16C86">
        <w:rPr>
          <w:rFonts w:cs="Arial"/>
          <w:szCs w:val="22"/>
        </w:rPr>
        <w:t xml:space="preserve">2009 Firearms Guidelines. </w:t>
      </w:r>
      <w:r w:rsidR="00FB0398">
        <w:rPr>
          <w:rFonts w:cs="Arial"/>
          <w:szCs w:val="22"/>
        </w:rPr>
        <w:t xml:space="preserve"> </w:t>
      </w:r>
      <w:r w:rsidRPr="00A16C86">
        <w:rPr>
          <w:rFonts w:cs="Arial"/>
          <w:szCs w:val="22"/>
        </w:rPr>
        <w:t>The 2011 proposed rule would implement the provisions of Section</w:t>
      </w:r>
      <w:r>
        <w:rPr>
          <w:rFonts w:cs="Arial"/>
          <w:szCs w:val="22"/>
        </w:rPr>
        <w:t xml:space="preserve"> </w:t>
      </w:r>
      <w:r w:rsidRPr="00A16C86">
        <w:rPr>
          <w:rFonts w:cs="Arial"/>
          <w:szCs w:val="22"/>
        </w:rPr>
        <w:t>161A and would make several changes to the security event notification requirements in</w:t>
      </w:r>
      <w:r>
        <w:rPr>
          <w:rFonts w:cs="Arial"/>
          <w:szCs w:val="22"/>
        </w:rPr>
        <w:t xml:space="preserve"> </w:t>
      </w:r>
      <w:r w:rsidR="00FB0398">
        <w:rPr>
          <w:rFonts w:cs="Arial"/>
          <w:szCs w:val="22"/>
        </w:rPr>
        <w:t>P</w:t>
      </w:r>
      <w:r w:rsidRPr="00A16C86">
        <w:rPr>
          <w:rFonts w:cs="Arial"/>
          <w:szCs w:val="22"/>
        </w:rPr>
        <w:t>art 73 to address imminent attacks or threats against power reactors as well as</w:t>
      </w:r>
      <w:r>
        <w:rPr>
          <w:rFonts w:cs="Arial"/>
          <w:szCs w:val="22"/>
        </w:rPr>
        <w:t xml:space="preserve"> </w:t>
      </w:r>
      <w:r w:rsidRPr="00A16C86">
        <w:rPr>
          <w:rFonts w:cs="Arial"/>
          <w:szCs w:val="22"/>
        </w:rPr>
        <w:t xml:space="preserve">suspicious </w:t>
      </w:r>
      <w:r w:rsidR="0051583F">
        <w:rPr>
          <w:rFonts w:cs="Arial"/>
          <w:szCs w:val="22"/>
        </w:rPr>
        <w:t>activities</w:t>
      </w:r>
      <w:r w:rsidRPr="00A16C86" w:rsidR="0051583F">
        <w:rPr>
          <w:rFonts w:cs="Arial"/>
          <w:szCs w:val="22"/>
        </w:rPr>
        <w:t xml:space="preserve"> </w:t>
      </w:r>
      <w:r w:rsidRPr="00A16C86">
        <w:rPr>
          <w:rFonts w:cs="Arial"/>
          <w:szCs w:val="22"/>
        </w:rPr>
        <w:t>that could be indicative of potential preoperational reconnaissance,</w:t>
      </w:r>
      <w:r>
        <w:rPr>
          <w:rFonts w:cs="Arial"/>
          <w:szCs w:val="22"/>
        </w:rPr>
        <w:t xml:space="preserve"> </w:t>
      </w:r>
      <w:r w:rsidRPr="00A16C86">
        <w:rPr>
          <w:rFonts w:cs="Arial"/>
          <w:szCs w:val="22"/>
        </w:rPr>
        <w:t xml:space="preserve">surveillance, or challenges to security systems by adversaries. </w:t>
      </w:r>
      <w:r w:rsidR="00FB0398">
        <w:rPr>
          <w:rFonts w:cs="Arial"/>
          <w:szCs w:val="22"/>
        </w:rPr>
        <w:t xml:space="preserve"> </w:t>
      </w:r>
      <w:r w:rsidRPr="00A16C86">
        <w:rPr>
          <w:rFonts w:cs="Arial"/>
          <w:szCs w:val="22"/>
        </w:rPr>
        <w:t>The public was provided 180</w:t>
      </w:r>
      <w:r>
        <w:rPr>
          <w:rFonts w:cs="Arial"/>
          <w:szCs w:val="22"/>
        </w:rPr>
        <w:t xml:space="preserve"> </w:t>
      </w:r>
      <w:r w:rsidRPr="00A16C86">
        <w:rPr>
          <w:rFonts w:cs="Arial"/>
          <w:szCs w:val="22"/>
        </w:rPr>
        <w:t>days to review and comment on the February 2011 proposed rule and associated guidance.</w:t>
      </w:r>
      <w:r>
        <w:rPr>
          <w:rFonts w:cs="Arial"/>
          <w:szCs w:val="22"/>
        </w:rPr>
        <w:t xml:space="preserve">  </w:t>
      </w:r>
    </w:p>
    <w:p w:rsidR="004C64A2" w:rsidP="004C64A2" w:rsidRDefault="004C64A2" w14:paraId="04F61AE2" w14:textId="77777777">
      <w:pPr>
        <w:widowControl/>
        <w:ind w:left="720"/>
        <w:rPr>
          <w:rFonts w:cs="Arial"/>
          <w:szCs w:val="22"/>
        </w:rPr>
      </w:pPr>
    </w:p>
    <w:p w:rsidR="00706ED9" w:rsidP="004C64A2" w:rsidRDefault="00A16C86" w14:paraId="70720F1D" w14:textId="40D8D27F">
      <w:pPr>
        <w:widowControl/>
        <w:ind w:left="720"/>
        <w:rPr>
          <w:rFonts w:cs="Arial"/>
          <w:szCs w:val="22"/>
        </w:rPr>
      </w:pPr>
      <w:r>
        <w:rPr>
          <w:rFonts w:cs="Arial"/>
          <w:szCs w:val="22"/>
        </w:rPr>
        <w:t xml:space="preserve">In addition, </w:t>
      </w:r>
      <w:r w:rsidR="004C64A2">
        <w:rPr>
          <w:rFonts w:cs="Arial"/>
          <w:szCs w:val="22"/>
        </w:rPr>
        <w:t>o</w:t>
      </w:r>
      <w:r w:rsidRPr="00A16C86">
        <w:rPr>
          <w:rFonts w:cs="Arial"/>
          <w:szCs w:val="22"/>
        </w:rPr>
        <w:t>n January 10, 2013, the NRC published a supplemental proposed rule to</w:t>
      </w:r>
      <w:r>
        <w:rPr>
          <w:rFonts w:cs="Arial"/>
          <w:szCs w:val="22"/>
        </w:rPr>
        <w:t xml:space="preserve"> </w:t>
      </w:r>
      <w:r w:rsidRPr="00A16C86">
        <w:rPr>
          <w:rFonts w:cs="Arial"/>
          <w:szCs w:val="22"/>
        </w:rPr>
        <w:t xml:space="preserve">add at-reactor ISFSIs as a class of designated facilities under § </w:t>
      </w:r>
      <w:r w:rsidR="0007735A">
        <w:rPr>
          <w:rFonts w:cs="Arial"/>
          <w:szCs w:val="22"/>
        </w:rPr>
        <w:t>73.15</w:t>
      </w:r>
      <w:r w:rsidRPr="00A16C86">
        <w:rPr>
          <w:rFonts w:cs="Arial"/>
          <w:szCs w:val="22"/>
        </w:rPr>
        <w:t>(c) that would be eligible</w:t>
      </w:r>
      <w:r>
        <w:rPr>
          <w:rFonts w:cs="Arial"/>
          <w:szCs w:val="22"/>
        </w:rPr>
        <w:t xml:space="preserve"> </w:t>
      </w:r>
      <w:r w:rsidRPr="00A16C86">
        <w:rPr>
          <w:rFonts w:cs="Arial"/>
          <w:szCs w:val="22"/>
        </w:rPr>
        <w:t>to apply for Section 161A authority.</w:t>
      </w:r>
      <w:r>
        <w:rPr>
          <w:rFonts w:cs="Arial"/>
          <w:szCs w:val="22"/>
        </w:rPr>
        <w:t xml:space="preserve">  </w:t>
      </w:r>
      <w:r w:rsidRPr="00A16C86">
        <w:rPr>
          <w:rFonts w:cs="Arial"/>
          <w:szCs w:val="22"/>
        </w:rPr>
        <w:t>The</w:t>
      </w:r>
      <w:r>
        <w:rPr>
          <w:rFonts w:cs="Arial"/>
          <w:szCs w:val="22"/>
        </w:rPr>
        <w:t xml:space="preserve"> </w:t>
      </w:r>
      <w:r w:rsidRPr="00A16C86">
        <w:rPr>
          <w:rFonts w:cs="Arial"/>
          <w:szCs w:val="22"/>
        </w:rPr>
        <w:t>public was provided 45 days to review and comment on the January 2013 supplemental</w:t>
      </w:r>
      <w:r>
        <w:rPr>
          <w:rFonts w:cs="Arial"/>
          <w:szCs w:val="22"/>
        </w:rPr>
        <w:t xml:space="preserve"> </w:t>
      </w:r>
      <w:r w:rsidRPr="00A16C86">
        <w:rPr>
          <w:rFonts w:cs="Arial"/>
          <w:szCs w:val="22"/>
        </w:rPr>
        <w:t>proposed rule.</w:t>
      </w:r>
      <w:r>
        <w:rPr>
          <w:rFonts w:cs="Arial"/>
          <w:szCs w:val="22"/>
        </w:rPr>
        <w:t xml:space="preserve"> </w:t>
      </w:r>
      <w:r w:rsidR="004C64A2">
        <w:rPr>
          <w:rFonts w:cs="Arial"/>
          <w:szCs w:val="22"/>
        </w:rPr>
        <w:t xml:space="preserve"> </w:t>
      </w:r>
      <w:r w:rsidR="00FB0398">
        <w:rPr>
          <w:rFonts w:cs="Arial"/>
          <w:szCs w:val="22"/>
        </w:rPr>
        <w:t>On September</w:t>
      </w:r>
      <w:r w:rsidR="004C64A2">
        <w:rPr>
          <w:rFonts w:cs="Arial"/>
          <w:szCs w:val="22"/>
        </w:rPr>
        <w:t> </w:t>
      </w:r>
      <w:r w:rsidR="00FB0398">
        <w:rPr>
          <w:rFonts w:cs="Arial"/>
          <w:szCs w:val="22"/>
        </w:rPr>
        <w:t xml:space="preserve">22, 2015, the NRC published a </w:t>
      </w:r>
      <w:r w:rsidR="000A618C">
        <w:rPr>
          <w:rFonts w:cs="Arial"/>
          <w:szCs w:val="22"/>
        </w:rPr>
        <w:t xml:space="preserve">second </w:t>
      </w:r>
      <w:r w:rsidR="00FB0398">
        <w:rPr>
          <w:rFonts w:cs="Arial"/>
          <w:szCs w:val="22"/>
        </w:rPr>
        <w:t>supplemental proposed rule</w:t>
      </w:r>
      <w:r w:rsidR="002636FA">
        <w:rPr>
          <w:rFonts w:cs="Arial"/>
          <w:szCs w:val="22"/>
        </w:rPr>
        <w:t xml:space="preserve"> </w:t>
      </w:r>
      <w:r w:rsidR="004C64A2">
        <w:rPr>
          <w:rFonts w:cs="Arial"/>
          <w:szCs w:val="22"/>
        </w:rPr>
        <w:t xml:space="preserve">that reflected </w:t>
      </w:r>
      <w:r w:rsidR="00FB0398">
        <w:rPr>
          <w:rFonts w:cs="Arial"/>
          <w:szCs w:val="22"/>
        </w:rPr>
        <w:t xml:space="preserve">changes from the </w:t>
      </w:r>
      <w:r w:rsidR="004C64A2">
        <w:rPr>
          <w:rFonts w:cs="Arial"/>
          <w:szCs w:val="22"/>
        </w:rPr>
        <w:t xml:space="preserve">2014 revision to the </w:t>
      </w:r>
      <w:r w:rsidR="00FB0398">
        <w:rPr>
          <w:rFonts w:cs="Arial"/>
          <w:szCs w:val="22"/>
        </w:rPr>
        <w:t>Firearms Guidelines</w:t>
      </w:r>
      <w:r w:rsidR="002636FA">
        <w:rPr>
          <w:rFonts w:cs="Arial"/>
          <w:szCs w:val="22"/>
        </w:rPr>
        <w:t xml:space="preserve">. </w:t>
      </w:r>
      <w:r w:rsidR="00FB0398">
        <w:rPr>
          <w:rFonts w:cs="Arial"/>
          <w:szCs w:val="22"/>
        </w:rPr>
        <w:t xml:space="preserve"> </w:t>
      </w:r>
    </w:p>
    <w:p w:rsidR="0002455A" w:rsidP="00706ED9" w:rsidRDefault="0002455A" w14:paraId="0DC605A2" w14:textId="77777777">
      <w:pPr>
        <w:keepNext/>
        <w:keepLines/>
        <w:widowControl/>
        <w:ind w:left="720"/>
        <w:rPr>
          <w:rFonts w:cs="Arial"/>
          <w:szCs w:val="22"/>
        </w:rPr>
      </w:pPr>
    </w:p>
    <w:p w:rsidR="00706ED9" w:rsidP="00706ED9" w:rsidRDefault="00706ED9" w14:paraId="62BAC285" w14:textId="4BE172D3">
      <w:pPr>
        <w:keepNext/>
        <w:keepLines/>
        <w:widowControl/>
        <w:ind w:left="720"/>
        <w:rPr>
          <w:rFonts w:cs="Arial"/>
          <w:szCs w:val="22"/>
        </w:rPr>
      </w:pPr>
      <w:r>
        <w:rPr>
          <w:rFonts w:cs="Arial"/>
          <w:szCs w:val="22"/>
        </w:rPr>
        <w:t xml:space="preserve">A full summary of </w:t>
      </w:r>
      <w:r w:rsidR="0002455A">
        <w:rPr>
          <w:rFonts w:cs="Arial"/>
          <w:szCs w:val="22"/>
        </w:rPr>
        <w:t xml:space="preserve">the </w:t>
      </w:r>
      <w:r>
        <w:rPr>
          <w:rFonts w:cs="Arial"/>
          <w:szCs w:val="22"/>
        </w:rPr>
        <w:t xml:space="preserve">public and other stakeholder comments </w:t>
      </w:r>
      <w:r w:rsidR="0002455A">
        <w:rPr>
          <w:rFonts w:cs="Arial"/>
          <w:szCs w:val="22"/>
        </w:rPr>
        <w:t xml:space="preserve">on the 2011 proposed rule, 2013 supplemental proposed rule, and 2015 supplemental proposed rule, </w:t>
      </w:r>
      <w:r>
        <w:rPr>
          <w:rFonts w:cs="Arial"/>
          <w:szCs w:val="22"/>
        </w:rPr>
        <w:t xml:space="preserve">and NRC responses </w:t>
      </w:r>
      <w:r w:rsidR="00604BB1">
        <w:rPr>
          <w:rFonts w:cs="Arial"/>
          <w:szCs w:val="22"/>
        </w:rPr>
        <w:t>(ADAMS Accession No. ML</w:t>
      </w:r>
      <w:r w:rsidR="00A92AFF">
        <w:rPr>
          <w:rFonts w:cs="Arial"/>
          <w:szCs w:val="22"/>
        </w:rPr>
        <w:t>16264A004</w:t>
      </w:r>
      <w:r w:rsidR="00FF6E4A">
        <w:rPr>
          <w:rFonts w:cs="Arial"/>
          <w:szCs w:val="22"/>
        </w:rPr>
        <w:t>)</w:t>
      </w:r>
      <w:r w:rsidR="004C64A2">
        <w:rPr>
          <w:rFonts w:cs="Arial"/>
          <w:szCs w:val="22"/>
        </w:rPr>
        <w:t xml:space="preserve"> </w:t>
      </w:r>
      <w:r>
        <w:rPr>
          <w:rFonts w:cs="Arial"/>
          <w:szCs w:val="22"/>
        </w:rPr>
        <w:t>has been submitted as a supplementary document</w:t>
      </w:r>
      <w:r w:rsidR="008D3E14">
        <w:rPr>
          <w:rFonts w:cs="Arial"/>
          <w:szCs w:val="22"/>
        </w:rPr>
        <w:t xml:space="preserve"> (“Supplemental Document #1, </w:t>
      </w:r>
      <w:r w:rsidR="00FE2B70">
        <w:rPr>
          <w:rFonts w:cs="Arial"/>
          <w:szCs w:val="22"/>
        </w:rPr>
        <w:t>NRC Response to Public Comments – Enhanced Weapons, Firearms Background Checks, and Security Event Notifications Rule</w:t>
      </w:r>
      <w:r w:rsidR="008D3E14">
        <w:rPr>
          <w:rFonts w:cs="Arial"/>
          <w:szCs w:val="22"/>
        </w:rPr>
        <w:t>”)</w:t>
      </w:r>
    </w:p>
    <w:p w:rsidRPr="00A32597" w:rsidR="005348E9" w:rsidP="00577D64" w:rsidRDefault="005348E9" w14:paraId="31C5533E" w14:textId="77777777">
      <w:pPr>
        <w:widowControl/>
        <w:rPr>
          <w:rFonts w:cs="Arial"/>
          <w:szCs w:val="22"/>
        </w:rPr>
      </w:pPr>
    </w:p>
    <w:p w:rsidRPr="00A32597" w:rsidR="002B1B50" w:rsidP="00577D64" w:rsidRDefault="002B1B50" w14:paraId="7A172CB7" w14:textId="77777777">
      <w:pPr>
        <w:widowControl/>
        <w:tabs>
          <w:tab w:val="left" w:pos="-1440"/>
        </w:tabs>
        <w:ind w:left="1440" w:hanging="720"/>
        <w:rPr>
          <w:rFonts w:cs="Arial"/>
          <w:szCs w:val="22"/>
        </w:rPr>
      </w:pPr>
      <w:r w:rsidRPr="00A32597">
        <w:rPr>
          <w:rFonts w:cs="Arial"/>
          <w:szCs w:val="22"/>
        </w:rPr>
        <w:lastRenderedPageBreak/>
        <w:t>9.</w:t>
      </w:r>
      <w:r w:rsidRPr="00A32597">
        <w:rPr>
          <w:rFonts w:cs="Arial"/>
          <w:szCs w:val="22"/>
        </w:rPr>
        <w:tab/>
      </w:r>
      <w:r w:rsidRPr="00A32597">
        <w:rPr>
          <w:rFonts w:cs="Arial"/>
          <w:szCs w:val="22"/>
          <w:u w:val="single"/>
        </w:rPr>
        <w:t>Payment or Gift to Respondents</w:t>
      </w:r>
    </w:p>
    <w:p w:rsidRPr="00A32597" w:rsidR="002B1B50" w:rsidP="00577D64" w:rsidRDefault="002B1B50" w14:paraId="661B5559" w14:textId="77777777">
      <w:pPr>
        <w:widowControl/>
        <w:rPr>
          <w:rFonts w:cs="Arial"/>
          <w:szCs w:val="22"/>
        </w:rPr>
      </w:pPr>
    </w:p>
    <w:p w:rsidRPr="00A32597" w:rsidR="002B1B50" w:rsidP="00577D64" w:rsidRDefault="002B1B50" w14:paraId="41A634B0" w14:textId="77777777">
      <w:pPr>
        <w:widowControl/>
        <w:ind w:firstLine="720"/>
        <w:rPr>
          <w:rFonts w:cs="Arial"/>
          <w:szCs w:val="22"/>
        </w:rPr>
      </w:pPr>
      <w:r w:rsidRPr="00A32597">
        <w:rPr>
          <w:rFonts w:cs="Arial"/>
          <w:szCs w:val="22"/>
        </w:rPr>
        <w:t xml:space="preserve">Not </w:t>
      </w:r>
      <w:r w:rsidRPr="00A32597" w:rsidR="00046E88">
        <w:rPr>
          <w:rFonts w:cs="Arial"/>
          <w:szCs w:val="22"/>
        </w:rPr>
        <w:t>A</w:t>
      </w:r>
      <w:r w:rsidRPr="00A32597">
        <w:rPr>
          <w:rFonts w:cs="Arial"/>
          <w:szCs w:val="22"/>
        </w:rPr>
        <w:t>pplicable.</w:t>
      </w:r>
    </w:p>
    <w:p w:rsidRPr="00A32597" w:rsidR="002B1B50" w:rsidP="00577D64" w:rsidRDefault="002B1B50" w14:paraId="2040195C" w14:textId="77777777">
      <w:pPr>
        <w:widowControl/>
        <w:rPr>
          <w:rFonts w:cs="Arial"/>
          <w:szCs w:val="22"/>
        </w:rPr>
      </w:pPr>
    </w:p>
    <w:p w:rsidRPr="00A32597" w:rsidR="002B1B50" w:rsidP="00577D64" w:rsidRDefault="002B1B50" w14:paraId="56199498" w14:textId="77777777">
      <w:pPr>
        <w:widowControl/>
        <w:tabs>
          <w:tab w:val="left" w:pos="-1440"/>
        </w:tabs>
        <w:ind w:left="1440" w:hanging="720"/>
        <w:rPr>
          <w:rFonts w:cs="Arial"/>
          <w:szCs w:val="22"/>
          <w:u w:val="single"/>
        </w:rPr>
      </w:pPr>
      <w:r w:rsidRPr="00A32597">
        <w:rPr>
          <w:rFonts w:cs="Arial"/>
          <w:szCs w:val="22"/>
        </w:rPr>
        <w:t>10.</w:t>
      </w:r>
      <w:r w:rsidRPr="00A32597">
        <w:rPr>
          <w:rFonts w:cs="Arial"/>
          <w:szCs w:val="22"/>
        </w:rPr>
        <w:tab/>
      </w:r>
      <w:r w:rsidRPr="00A32597">
        <w:rPr>
          <w:rFonts w:cs="Arial"/>
          <w:szCs w:val="22"/>
          <w:u w:val="single"/>
        </w:rPr>
        <w:t>Confidentiality of Information</w:t>
      </w:r>
    </w:p>
    <w:p w:rsidRPr="00A32597" w:rsidR="00A57433" w:rsidP="00577D64" w:rsidRDefault="00A57433" w14:paraId="2E667192" w14:textId="77777777">
      <w:pPr>
        <w:widowControl/>
        <w:tabs>
          <w:tab w:val="left" w:pos="-1440"/>
        </w:tabs>
        <w:ind w:left="1440" w:hanging="720"/>
        <w:rPr>
          <w:rFonts w:cs="Arial"/>
          <w:szCs w:val="22"/>
          <w:u w:val="single"/>
        </w:rPr>
      </w:pPr>
    </w:p>
    <w:p w:rsidR="008B5BDA" w:rsidP="006A16B4" w:rsidRDefault="006A16B4" w14:paraId="2B1FCC86" w14:textId="77777777">
      <w:pPr>
        <w:widowControl/>
        <w:ind w:left="720"/>
        <w:rPr>
          <w:rFonts w:cs="Arial"/>
          <w:szCs w:val="22"/>
        </w:rPr>
      </w:pPr>
      <w:r w:rsidRPr="006A16B4">
        <w:rPr>
          <w:rFonts w:cs="Arial"/>
          <w:szCs w:val="22"/>
        </w:rPr>
        <w:t xml:space="preserve">Certain information </w:t>
      </w:r>
      <w:r w:rsidR="002151D6">
        <w:rPr>
          <w:rFonts w:cs="Arial"/>
          <w:szCs w:val="22"/>
        </w:rPr>
        <w:t xml:space="preserve">submitted by licensees under Part 73 is </w:t>
      </w:r>
      <w:r w:rsidRPr="006A16B4">
        <w:rPr>
          <w:rFonts w:cs="Arial"/>
          <w:szCs w:val="22"/>
        </w:rPr>
        <w:t>designated as Safeguards Information</w:t>
      </w:r>
      <w:r w:rsidR="002151D6">
        <w:rPr>
          <w:rFonts w:cs="Arial"/>
          <w:szCs w:val="22"/>
        </w:rPr>
        <w:t>, which</w:t>
      </w:r>
      <w:r w:rsidRPr="006A16B4">
        <w:rPr>
          <w:rFonts w:cs="Arial"/>
          <w:szCs w:val="22"/>
        </w:rPr>
        <w:t xml:space="preserve"> is prohibited from public disclosure in accordance with </w:t>
      </w:r>
      <w:r w:rsidR="008B5BDA">
        <w:rPr>
          <w:rFonts w:cs="Arial"/>
          <w:szCs w:val="22"/>
        </w:rPr>
        <w:t xml:space="preserve">Section 147 of the AEA. </w:t>
      </w:r>
      <w:r w:rsidR="000A618C">
        <w:rPr>
          <w:rFonts w:cs="Arial"/>
          <w:szCs w:val="22"/>
        </w:rPr>
        <w:t xml:space="preserve"> </w:t>
      </w:r>
      <w:r w:rsidR="008B5BDA">
        <w:rPr>
          <w:rFonts w:cs="Arial"/>
          <w:szCs w:val="22"/>
        </w:rPr>
        <w:t xml:space="preserve">Other information </w:t>
      </w:r>
      <w:r w:rsidR="002151D6">
        <w:rPr>
          <w:rFonts w:cs="Arial"/>
          <w:szCs w:val="22"/>
        </w:rPr>
        <w:t xml:space="preserve">submitted by licensees under Part 73 </w:t>
      </w:r>
      <w:r w:rsidR="008B5BDA">
        <w:rPr>
          <w:rFonts w:cs="Arial"/>
          <w:szCs w:val="22"/>
        </w:rPr>
        <w:t>is</w:t>
      </w:r>
      <w:r w:rsidRPr="006A16B4">
        <w:rPr>
          <w:rFonts w:cs="Arial"/>
          <w:szCs w:val="22"/>
        </w:rPr>
        <w:t xml:space="preserve"> classified National Security Information</w:t>
      </w:r>
      <w:r w:rsidR="002151D6">
        <w:rPr>
          <w:rFonts w:cs="Arial"/>
          <w:szCs w:val="22"/>
        </w:rPr>
        <w:t xml:space="preserve"> (NSI)</w:t>
      </w:r>
      <w:r w:rsidRPr="006A16B4">
        <w:rPr>
          <w:rFonts w:cs="Arial"/>
          <w:szCs w:val="22"/>
        </w:rPr>
        <w:t xml:space="preserve">, </w:t>
      </w:r>
      <w:r w:rsidR="002151D6">
        <w:rPr>
          <w:rFonts w:cs="Arial"/>
          <w:szCs w:val="22"/>
        </w:rPr>
        <w:t>which is prohibited from public disclosure</w:t>
      </w:r>
      <w:r w:rsidRPr="006A16B4" w:rsidR="002151D6">
        <w:rPr>
          <w:rFonts w:cs="Arial"/>
          <w:szCs w:val="22"/>
        </w:rPr>
        <w:t xml:space="preserve"> </w:t>
      </w:r>
      <w:r w:rsidRPr="006A16B4">
        <w:rPr>
          <w:rFonts w:cs="Arial"/>
          <w:szCs w:val="22"/>
        </w:rPr>
        <w:t>in accordance with Executive Order</w:t>
      </w:r>
      <w:r w:rsidR="002151D6">
        <w:rPr>
          <w:rFonts w:cs="Arial"/>
          <w:szCs w:val="22"/>
        </w:rPr>
        <w:t>s</w:t>
      </w:r>
      <w:r w:rsidRPr="006A16B4">
        <w:rPr>
          <w:rFonts w:cs="Arial"/>
          <w:szCs w:val="22"/>
        </w:rPr>
        <w:t xml:space="preserve"> </w:t>
      </w:r>
      <w:r w:rsidR="002151D6">
        <w:rPr>
          <w:rFonts w:cs="Arial"/>
          <w:szCs w:val="22"/>
        </w:rPr>
        <w:t>12829, 1296</w:t>
      </w:r>
      <w:r w:rsidRPr="006A16B4">
        <w:rPr>
          <w:rFonts w:cs="Arial"/>
          <w:szCs w:val="22"/>
        </w:rPr>
        <w:t>8</w:t>
      </w:r>
      <w:r w:rsidR="002151D6">
        <w:rPr>
          <w:rFonts w:cs="Arial"/>
          <w:szCs w:val="22"/>
        </w:rPr>
        <w:t xml:space="preserve">, 13549, and 13587.  This </w:t>
      </w:r>
      <w:r w:rsidR="00FF6E4A">
        <w:rPr>
          <w:rFonts w:cs="Arial"/>
          <w:szCs w:val="22"/>
        </w:rPr>
        <w:t xml:space="preserve">non-public information </w:t>
      </w:r>
      <w:r w:rsidR="002151D6">
        <w:rPr>
          <w:rFonts w:cs="Arial"/>
          <w:szCs w:val="22"/>
        </w:rPr>
        <w:t xml:space="preserve">includes: </w:t>
      </w:r>
    </w:p>
    <w:p w:rsidR="008B5BDA" w:rsidP="006A16B4" w:rsidRDefault="008B5BDA" w14:paraId="7DF60C63" w14:textId="77777777">
      <w:pPr>
        <w:widowControl/>
        <w:ind w:left="720"/>
        <w:rPr>
          <w:rFonts w:cs="Arial"/>
          <w:szCs w:val="22"/>
        </w:rPr>
      </w:pPr>
    </w:p>
    <w:p w:rsidR="006A16B4" w:rsidP="002D060E" w:rsidRDefault="00924F3A" w14:paraId="63463EC1" w14:textId="77777777">
      <w:pPr>
        <w:pStyle w:val="ListParagraph"/>
        <w:widowControl/>
        <w:numPr>
          <w:ilvl w:val="0"/>
          <w:numId w:val="15"/>
        </w:numPr>
        <w:rPr>
          <w:rFonts w:cs="Arial"/>
          <w:szCs w:val="22"/>
        </w:rPr>
      </w:pPr>
      <w:r>
        <w:rPr>
          <w:rFonts w:cs="Arial"/>
          <w:szCs w:val="22"/>
        </w:rPr>
        <w:t xml:space="preserve">The contents of </w:t>
      </w:r>
      <w:r w:rsidR="002D060E">
        <w:rPr>
          <w:rFonts w:cs="Arial"/>
          <w:szCs w:val="22"/>
        </w:rPr>
        <w:t>application</w:t>
      </w:r>
      <w:r>
        <w:rPr>
          <w:rFonts w:cs="Arial"/>
          <w:szCs w:val="22"/>
        </w:rPr>
        <w:t>s</w:t>
      </w:r>
      <w:r w:rsidR="002D060E">
        <w:rPr>
          <w:rFonts w:cs="Arial"/>
          <w:szCs w:val="22"/>
        </w:rPr>
        <w:t xml:space="preserve"> for enhanced weapons authority under § 73.15(f)</w:t>
      </w:r>
      <w:r w:rsidR="002151D6">
        <w:rPr>
          <w:rFonts w:cs="Arial"/>
          <w:szCs w:val="22"/>
        </w:rPr>
        <w:t xml:space="preserve">, which </w:t>
      </w:r>
      <w:r w:rsidR="00680E9A">
        <w:rPr>
          <w:rFonts w:cs="Arial"/>
          <w:szCs w:val="22"/>
        </w:rPr>
        <w:t xml:space="preserve"> includes submission of new or updated physical security plans, training and qualification plans, contingency response plans, and weapons safety assessments.  These documents </w:t>
      </w:r>
      <w:r w:rsidR="002151D6">
        <w:rPr>
          <w:rFonts w:cs="Arial"/>
          <w:szCs w:val="22"/>
        </w:rPr>
        <w:t>typically</w:t>
      </w:r>
      <w:r w:rsidR="00680E9A">
        <w:rPr>
          <w:rFonts w:cs="Arial"/>
          <w:szCs w:val="22"/>
        </w:rPr>
        <w:t xml:space="preserve"> contain either Safeguards Information or classified </w:t>
      </w:r>
      <w:r w:rsidR="002151D6">
        <w:rPr>
          <w:rFonts w:cs="Arial"/>
          <w:szCs w:val="22"/>
        </w:rPr>
        <w:t>NSI</w:t>
      </w:r>
      <w:r w:rsidR="00680E9A">
        <w:rPr>
          <w:rFonts w:cs="Arial"/>
          <w:szCs w:val="22"/>
        </w:rPr>
        <w:t>, depending on the security program for the applying facility or activity.</w:t>
      </w:r>
    </w:p>
    <w:p w:rsidR="00680E9A" w:rsidP="00680E9A" w:rsidRDefault="00680E9A" w14:paraId="18E257A5" w14:textId="77777777">
      <w:pPr>
        <w:pStyle w:val="ListParagraph"/>
        <w:widowControl/>
        <w:ind w:left="1080"/>
        <w:rPr>
          <w:rFonts w:cs="Arial"/>
          <w:szCs w:val="22"/>
        </w:rPr>
      </w:pPr>
    </w:p>
    <w:p w:rsidRPr="002D060E" w:rsidR="00680E9A" w:rsidP="002D060E" w:rsidRDefault="00680E9A" w14:paraId="3E490D23" w14:textId="1FF330C3">
      <w:pPr>
        <w:pStyle w:val="ListParagraph"/>
        <w:widowControl/>
        <w:numPr>
          <w:ilvl w:val="0"/>
          <w:numId w:val="15"/>
        </w:numPr>
        <w:rPr>
          <w:rFonts w:cs="Arial"/>
          <w:szCs w:val="22"/>
        </w:rPr>
      </w:pPr>
      <w:r>
        <w:rPr>
          <w:rFonts w:cs="Arial"/>
          <w:szCs w:val="22"/>
        </w:rPr>
        <w:t>The contents of physical security event notifications under § 73.1200</w:t>
      </w:r>
      <w:r w:rsidR="00A46400">
        <w:rPr>
          <w:rFonts w:cs="Arial"/>
          <w:szCs w:val="22"/>
        </w:rPr>
        <w:t>;</w:t>
      </w:r>
      <w:r>
        <w:rPr>
          <w:rFonts w:cs="Arial"/>
          <w:szCs w:val="22"/>
        </w:rPr>
        <w:t xml:space="preserve"> written follow-up reports under </w:t>
      </w:r>
      <w:r w:rsidR="00A46400">
        <w:rPr>
          <w:rFonts w:cs="Arial"/>
          <w:szCs w:val="22"/>
        </w:rPr>
        <w:t>§ 73.1205;</w:t>
      </w:r>
      <w:r>
        <w:rPr>
          <w:rFonts w:cs="Arial"/>
          <w:szCs w:val="22"/>
        </w:rPr>
        <w:t xml:space="preserve"> and recordable security events under § 73.1210</w:t>
      </w:r>
      <w:r w:rsidR="00A46400">
        <w:rPr>
          <w:rFonts w:cs="Arial"/>
          <w:szCs w:val="22"/>
        </w:rPr>
        <w:t>,</w:t>
      </w:r>
      <w:r>
        <w:rPr>
          <w:rFonts w:cs="Arial"/>
          <w:szCs w:val="22"/>
        </w:rPr>
        <w:t xml:space="preserve"> </w:t>
      </w:r>
      <w:r w:rsidR="002151D6">
        <w:rPr>
          <w:rFonts w:cs="Arial"/>
          <w:szCs w:val="22"/>
        </w:rPr>
        <w:t xml:space="preserve">which </w:t>
      </w:r>
      <w:r>
        <w:rPr>
          <w:rFonts w:cs="Arial"/>
          <w:szCs w:val="22"/>
        </w:rPr>
        <w:t xml:space="preserve">may </w:t>
      </w:r>
      <w:r w:rsidR="002151D6">
        <w:rPr>
          <w:rFonts w:cs="Arial"/>
          <w:szCs w:val="22"/>
        </w:rPr>
        <w:t xml:space="preserve">include details on </w:t>
      </w:r>
      <w:r w:rsidR="00924F3A">
        <w:rPr>
          <w:rFonts w:cs="Arial"/>
          <w:szCs w:val="22"/>
        </w:rPr>
        <w:t xml:space="preserve">these </w:t>
      </w:r>
      <w:r w:rsidR="002151D6">
        <w:rPr>
          <w:rFonts w:cs="Arial"/>
          <w:szCs w:val="22"/>
        </w:rPr>
        <w:t xml:space="preserve">events that </w:t>
      </w:r>
      <w:r>
        <w:rPr>
          <w:rFonts w:cs="Arial"/>
          <w:szCs w:val="22"/>
        </w:rPr>
        <w:t xml:space="preserve">contain Safeguards </w:t>
      </w:r>
      <w:r w:rsidR="000A618C">
        <w:rPr>
          <w:rFonts w:cs="Arial"/>
          <w:szCs w:val="22"/>
        </w:rPr>
        <w:t>I</w:t>
      </w:r>
      <w:r>
        <w:rPr>
          <w:rFonts w:cs="Arial"/>
          <w:szCs w:val="22"/>
        </w:rPr>
        <w:t xml:space="preserve">nformation or classified </w:t>
      </w:r>
      <w:r w:rsidR="002151D6">
        <w:rPr>
          <w:rFonts w:cs="Arial"/>
          <w:szCs w:val="22"/>
        </w:rPr>
        <w:t>NSI</w:t>
      </w:r>
      <w:r>
        <w:rPr>
          <w:rFonts w:cs="Arial"/>
          <w:szCs w:val="22"/>
        </w:rPr>
        <w:t>, depending on the security program for the applying facility or activity.</w:t>
      </w:r>
    </w:p>
    <w:p w:rsidRPr="006A16B4" w:rsidR="006A16B4" w:rsidP="006A16B4" w:rsidRDefault="006A16B4" w14:paraId="1389DA66" w14:textId="77777777">
      <w:pPr>
        <w:widowControl/>
        <w:ind w:left="720"/>
        <w:rPr>
          <w:rFonts w:cs="Arial"/>
          <w:szCs w:val="22"/>
        </w:rPr>
      </w:pPr>
    </w:p>
    <w:p w:rsidRPr="006A16B4" w:rsidR="00FF6E4A" w:rsidP="00FF6E4A" w:rsidRDefault="00FF6E4A" w14:paraId="2A8C3700" w14:textId="77777777">
      <w:pPr>
        <w:keepNext/>
        <w:keepLines/>
        <w:widowControl/>
        <w:ind w:left="720"/>
        <w:rPr>
          <w:rFonts w:cs="Arial"/>
          <w:szCs w:val="22"/>
        </w:rPr>
      </w:pPr>
      <w:r w:rsidRPr="006A16B4">
        <w:rPr>
          <w:rFonts w:cs="Arial"/>
          <w:szCs w:val="22"/>
        </w:rPr>
        <w:t>Section</w:t>
      </w:r>
      <w:r>
        <w:rPr>
          <w:rFonts w:cs="Arial"/>
          <w:szCs w:val="22"/>
        </w:rPr>
        <w:t>s</w:t>
      </w:r>
      <w:r w:rsidRPr="006A16B4">
        <w:rPr>
          <w:rFonts w:cs="Arial"/>
          <w:szCs w:val="22"/>
        </w:rPr>
        <w:t xml:space="preserve"> </w:t>
      </w:r>
      <w:r>
        <w:rPr>
          <w:rFonts w:cs="Arial"/>
          <w:szCs w:val="22"/>
        </w:rPr>
        <w:t>73.17(e) and 73.17(q)</w:t>
      </w:r>
      <w:r w:rsidRPr="006A16B4">
        <w:rPr>
          <w:rFonts w:cs="Arial"/>
          <w:szCs w:val="22"/>
        </w:rPr>
        <w:t xml:space="preserve"> address confidentiality and protection of information regarding </w:t>
      </w:r>
      <w:r>
        <w:rPr>
          <w:rFonts w:cs="Arial"/>
          <w:szCs w:val="22"/>
        </w:rPr>
        <w:t xml:space="preserve">firearms background checks, </w:t>
      </w:r>
      <w:r w:rsidR="00730F37">
        <w:rPr>
          <w:rFonts w:cs="Arial"/>
          <w:szCs w:val="22"/>
        </w:rPr>
        <w:t>including</w:t>
      </w:r>
      <w:r w:rsidR="00BC2191">
        <w:rPr>
          <w:rFonts w:cs="Arial"/>
          <w:szCs w:val="22"/>
        </w:rPr>
        <w:t xml:space="preserve">: </w:t>
      </w:r>
      <w:r w:rsidR="00730F37">
        <w:rPr>
          <w:rFonts w:cs="Arial"/>
          <w:szCs w:val="22"/>
        </w:rPr>
        <w:t xml:space="preserve"> </w:t>
      </w:r>
      <w:r w:rsidR="00BC2191">
        <w:rPr>
          <w:rFonts w:cs="Arial"/>
          <w:szCs w:val="22"/>
        </w:rPr>
        <w:t>e</w:t>
      </w:r>
      <w:r>
        <w:rPr>
          <w:rFonts w:cs="Arial"/>
          <w:szCs w:val="22"/>
        </w:rPr>
        <w:t>lectronic transmission and records</w:t>
      </w:r>
      <w:r w:rsidR="00BC2191">
        <w:rPr>
          <w:rFonts w:cs="Arial"/>
          <w:szCs w:val="22"/>
        </w:rPr>
        <w:t>.</w:t>
      </w:r>
    </w:p>
    <w:p w:rsidRPr="006A16B4" w:rsidR="00FF6E4A" w:rsidP="00FF6E4A" w:rsidRDefault="00FF6E4A" w14:paraId="6026BA76" w14:textId="77777777">
      <w:pPr>
        <w:widowControl/>
        <w:ind w:left="720"/>
        <w:rPr>
          <w:rFonts w:cs="Arial"/>
          <w:szCs w:val="22"/>
        </w:rPr>
      </w:pPr>
    </w:p>
    <w:p w:rsidR="00FF6E4A" w:rsidP="00FF6E4A" w:rsidRDefault="00FF6E4A" w14:paraId="48CC3B4D" w14:textId="77777777">
      <w:pPr>
        <w:widowControl/>
        <w:ind w:left="720"/>
        <w:rPr>
          <w:rFonts w:cs="Arial"/>
          <w:szCs w:val="22"/>
        </w:rPr>
      </w:pPr>
      <w:r>
        <w:rPr>
          <w:rFonts w:cs="Arial"/>
          <w:szCs w:val="22"/>
        </w:rPr>
        <w:t xml:space="preserve">Section 73.17(q) requires that: </w:t>
      </w:r>
    </w:p>
    <w:p w:rsidR="00FF6E4A" w:rsidP="00FF6E4A" w:rsidRDefault="00FF6E4A" w14:paraId="5E0BCB2B" w14:textId="77777777">
      <w:pPr>
        <w:widowControl/>
        <w:ind w:left="720"/>
        <w:rPr>
          <w:rFonts w:cs="Arial"/>
          <w:szCs w:val="22"/>
        </w:rPr>
      </w:pPr>
    </w:p>
    <w:p w:rsidR="00FF6E4A" w:rsidP="00FF6E4A" w:rsidRDefault="00811D35" w14:paraId="057E146E" w14:textId="5A309C47">
      <w:pPr>
        <w:widowControl/>
        <w:ind w:left="1440" w:right="720"/>
        <w:rPr>
          <w:rFonts w:cs="Arial"/>
          <w:szCs w:val="22"/>
        </w:rPr>
      </w:pPr>
      <w:r w:rsidRPr="00530CD4">
        <w:rPr>
          <w:rFonts w:eastAsia="Arial Unicode MS"/>
        </w:rPr>
        <w:t>The licensee may not disclose these records or PII</w:t>
      </w:r>
      <w:r w:rsidRPr="005567D8">
        <w:rPr>
          <w:rFonts w:eastAsia="Arial Unicode MS"/>
        </w:rPr>
        <w:t xml:space="preserve"> </w:t>
      </w:r>
      <w:r>
        <w:rPr>
          <w:rFonts w:eastAsia="Arial Unicode MS"/>
        </w:rPr>
        <w:t>[</w:t>
      </w:r>
      <w:r w:rsidRPr="005567D8">
        <w:rPr>
          <w:rFonts w:eastAsia="Arial Unicode MS"/>
        </w:rPr>
        <w:t>personal</w:t>
      </w:r>
      <w:r>
        <w:rPr>
          <w:rFonts w:eastAsia="Arial Unicode MS"/>
        </w:rPr>
        <w:t>ly</w:t>
      </w:r>
      <w:r w:rsidRPr="005567D8">
        <w:rPr>
          <w:rFonts w:eastAsia="Arial Unicode MS"/>
        </w:rPr>
        <w:t xml:space="preserve"> </w:t>
      </w:r>
      <w:r>
        <w:rPr>
          <w:rFonts w:eastAsia="Arial Unicode MS"/>
        </w:rPr>
        <w:t>identifiable</w:t>
      </w:r>
      <w:r w:rsidRPr="005567D8">
        <w:rPr>
          <w:rFonts w:eastAsia="Arial Unicode MS"/>
        </w:rPr>
        <w:t xml:space="preserve"> information</w:t>
      </w:r>
      <w:r>
        <w:rPr>
          <w:rFonts w:eastAsia="Arial Unicode MS"/>
        </w:rPr>
        <w:t>]</w:t>
      </w:r>
      <w:r w:rsidRPr="005567D8">
        <w:rPr>
          <w:rFonts w:eastAsia="Arial Unicode MS"/>
        </w:rPr>
        <w:t xml:space="preserve"> to persons other than the subject individual, his/her representative, or to those </w:t>
      </w:r>
      <w:r>
        <w:rPr>
          <w:rFonts w:eastAsia="Arial Unicode MS"/>
        </w:rPr>
        <w:t xml:space="preserve">with </w:t>
      </w:r>
      <w:r w:rsidRPr="005567D8">
        <w:rPr>
          <w:rFonts w:eastAsia="Arial Unicode MS"/>
        </w:rPr>
        <w:t xml:space="preserve">a need to have access to the information in performing assigned duties in the process of granting access to covered weapons. </w:t>
      </w:r>
      <w:r>
        <w:rPr>
          <w:rFonts w:eastAsia="Arial Unicode MS"/>
        </w:rPr>
        <w:t xml:space="preserve"> </w:t>
      </w:r>
      <w:r w:rsidRPr="005567D8">
        <w:rPr>
          <w:rFonts w:eastAsia="Arial Unicode MS"/>
        </w:rPr>
        <w:t>No individual authorized to have access to th</w:t>
      </w:r>
      <w:r>
        <w:rPr>
          <w:rFonts w:eastAsia="Arial Unicode MS"/>
        </w:rPr>
        <w:t>is</w:t>
      </w:r>
      <w:r w:rsidRPr="005567D8">
        <w:rPr>
          <w:rFonts w:eastAsia="Arial Unicode MS"/>
        </w:rPr>
        <w:t xml:space="preserve"> information may disseminate the information to any other individual who does not have a need to know.</w:t>
      </w:r>
    </w:p>
    <w:p w:rsidR="00FF6E4A" w:rsidP="00FF6E4A" w:rsidRDefault="00FF6E4A" w14:paraId="50E27157" w14:textId="77777777">
      <w:pPr>
        <w:widowControl/>
        <w:ind w:left="720"/>
        <w:rPr>
          <w:rFonts w:cs="Arial"/>
          <w:szCs w:val="22"/>
        </w:rPr>
      </w:pPr>
    </w:p>
    <w:p w:rsidR="00DB7D58" w:rsidP="00DB7D58" w:rsidRDefault="00CC7FB3" w14:paraId="29962FD6" w14:textId="513D72B4">
      <w:pPr>
        <w:ind w:left="1080"/>
      </w:pPr>
      <w:r>
        <w:rPr>
          <w:rFonts w:cs="Arial"/>
          <w:szCs w:val="22"/>
        </w:rPr>
        <w:t xml:space="preserve">In addition, </w:t>
      </w:r>
      <w:r w:rsidR="00DB7D58">
        <w:rPr>
          <w:rFonts w:cs="Arial"/>
          <w:szCs w:val="22"/>
        </w:rPr>
        <w:t>c</w:t>
      </w:r>
      <w:r w:rsidR="00DB7D58">
        <w:t>onfidential and proprietary information is protected in accordance with NRC regulations at 10 CFR 9.17(a) and 10 CFR 2.390(b).</w:t>
      </w:r>
    </w:p>
    <w:p w:rsidRPr="00A46400" w:rsidR="00A46400" w:rsidP="00FF6E4A" w:rsidRDefault="00A46400" w14:paraId="1A22E4FC" w14:textId="77777777">
      <w:pPr>
        <w:widowControl/>
        <w:ind w:left="720" w:right="720"/>
        <w:rPr>
          <w:rFonts w:cs="Arial"/>
          <w:szCs w:val="22"/>
        </w:rPr>
      </w:pPr>
    </w:p>
    <w:p w:rsidRPr="00A32597" w:rsidR="002B1B50" w:rsidP="00577D64" w:rsidRDefault="002B1B50" w14:paraId="5DC0371C" w14:textId="77777777">
      <w:pPr>
        <w:keepNext/>
        <w:keepLines/>
        <w:widowControl/>
        <w:tabs>
          <w:tab w:val="left" w:pos="-1440"/>
        </w:tabs>
        <w:ind w:left="1440" w:hanging="720"/>
        <w:rPr>
          <w:rFonts w:cs="Arial"/>
          <w:szCs w:val="22"/>
        </w:rPr>
      </w:pPr>
      <w:r w:rsidRPr="00A32597">
        <w:rPr>
          <w:rFonts w:cs="Arial"/>
          <w:szCs w:val="22"/>
        </w:rPr>
        <w:t>11.</w:t>
      </w:r>
      <w:r w:rsidRPr="00A32597">
        <w:rPr>
          <w:rFonts w:cs="Arial"/>
          <w:szCs w:val="22"/>
        </w:rPr>
        <w:tab/>
      </w:r>
      <w:r w:rsidRPr="00A32597">
        <w:rPr>
          <w:rFonts w:cs="Arial"/>
          <w:szCs w:val="22"/>
          <w:u w:val="single"/>
        </w:rPr>
        <w:t>Justification for Sensitive Questions</w:t>
      </w:r>
    </w:p>
    <w:p w:rsidRPr="0083389B" w:rsidR="002B1B50" w:rsidP="00752F02" w:rsidRDefault="002B1B50" w14:paraId="320F0ECE" w14:textId="77777777">
      <w:pPr>
        <w:keepNext/>
        <w:keepLines/>
        <w:widowControl/>
        <w:ind w:left="720"/>
        <w:rPr>
          <w:rFonts w:cs="Arial"/>
          <w:szCs w:val="22"/>
        </w:rPr>
      </w:pPr>
    </w:p>
    <w:p w:rsidRPr="00752F02" w:rsidR="0083389B" w:rsidP="00752F02" w:rsidRDefault="008D3E14" w14:paraId="06B7C251" w14:textId="77777777">
      <w:pPr>
        <w:pStyle w:val="CommentText"/>
        <w:ind w:left="720"/>
        <w:rPr>
          <w:rFonts w:cs="Arial"/>
          <w:sz w:val="22"/>
          <w:szCs w:val="22"/>
        </w:rPr>
      </w:pPr>
      <w:r>
        <w:rPr>
          <w:rFonts w:cs="Arial"/>
          <w:sz w:val="22"/>
          <w:szCs w:val="22"/>
        </w:rPr>
        <w:t>No sensitive information is collected.</w:t>
      </w:r>
    </w:p>
    <w:p w:rsidRPr="00A32597" w:rsidR="00A57433" w:rsidP="00577D64" w:rsidRDefault="00A57433" w14:paraId="52A649DC" w14:textId="77777777">
      <w:pPr>
        <w:widowControl/>
        <w:ind w:left="720"/>
        <w:rPr>
          <w:rFonts w:cs="Arial"/>
          <w:szCs w:val="22"/>
        </w:rPr>
      </w:pPr>
    </w:p>
    <w:p w:rsidRPr="00A32597" w:rsidR="002B1B50" w:rsidP="00577D64" w:rsidRDefault="002B1B50" w14:paraId="506C4BBF" w14:textId="77777777">
      <w:pPr>
        <w:widowControl/>
        <w:tabs>
          <w:tab w:val="left" w:pos="-1440"/>
        </w:tabs>
        <w:ind w:left="1440" w:hanging="720"/>
        <w:rPr>
          <w:rFonts w:cs="Arial"/>
          <w:szCs w:val="22"/>
        </w:rPr>
      </w:pPr>
      <w:r w:rsidRPr="00A32597">
        <w:rPr>
          <w:rFonts w:cs="Arial"/>
          <w:szCs w:val="22"/>
        </w:rPr>
        <w:t>12.</w:t>
      </w:r>
      <w:r w:rsidRPr="00A32597">
        <w:rPr>
          <w:rFonts w:cs="Arial"/>
          <w:szCs w:val="22"/>
        </w:rPr>
        <w:tab/>
      </w:r>
      <w:r w:rsidRPr="00A32597">
        <w:rPr>
          <w:rFonts w:cs="Arial"/>
          <w:szCs w:val="22"/>
          <w:u w:val="single"/>
        </w:rPr>
        <w:t xml:space="preserve">Estimated </w:t>
      </w:r>
      <w:r w:rsidRPr="00A32597" w:rsidR="006F795D">
        <w:rPr>
          <w:rFonts w:cs="Arial"/>
          <w:szCs w:val="22"/>
          <w:u w:val="single"/>
        </w:rPr>
        <w:t xml:space="preserve">Annualized </w:t>
      </w:r>
      <w:r w:rsidRPr="00A32597">
        <w:rPr>
          <w:rFonts w:cs="Arial"/>
          <w:szCs w:val="22"/>
          <w:u w:val="single"/>
        </w:rPr>
        <w:t>Burden and Burden Hour Cost</w:t>
      </w:r>
    </w:p>
    <w:p w:rsidRPr="00A32597" w:rsidR="002B1B50" w:rsidP="00577D64" w:rsidRDefault="002B1B50" w14:paraId="65A2BB85" w14:textId="77777777">
      <w:pPr>
        <w:widowControl/>
        <w:rPr>
          <w:rFonts w:cs="Arial"/>
          <w:szCs w:val="22"/>
        </w:rPr>
      </w:pPr>
    </w:p>
    <w:p w:rsidR="00051122" w:rsidP="00811D35" w:rsidRDefault="00051122" w14:paraId="2F00D50E" w14:textId="0CDE1F5F">
      <w:pPr>
        <w:widowControl/>
        <w:ind w:left="720"/>
        <w:rPr>
          <w:rFonts w:cs="Arial"/>
          <w:szCs w:val="22"/>
        </w:rPr>
      </w:pPr>
      <w:r>
        <w:rPr>
          <w:rFonts w:cs="Arial"/>
          <w:szCs w:val="22"/>
        </w:rPr>
        <w:t xml:space="preserve">As described in the “Affected Regulated Entities” section above, </w:t>
      </w:r>
      <w:r w:rsidR="00A5637C">
        <w:rPr>
          <w:rFonts w:cs="Arial"/>
          <w:szCs w:val="22"/>
        </w:rPr>
        <w:t>13</w:t>
      </w:r>
      <w:r w:rsidR="004216D7">
        <w:rPr>
          <w:rFonts w:cs="Arial"/>
          <w:szCs w:val="22"/>
        </w:rPr>
        <w:t>8</w:t>
      </w:r>
      <w:r>
        <w:rPr>
          <w:rFonts w:cs="Arial"/>
          <w:szCs w:val="22"/>
        </w:rPr>
        <w:t xml:space="preserve"> licensees are </w:t>
      </w:r>
      <w:r w:rsidR="00DB3667">
        <w:rPr>
          <w:rFonts w:cs="Arial"/>
          <w:szCs w:val="22"/>
        </w:rPr>
        <w:t>subject to the</w:t>
      </w:r>
      <w:r w:rsidR="00E44ACC">
        <w:rPr>
          <w:rFonts w:cs="Arial"/>
          <w:szCs w:val="22"/>
        </w:rPr>
        <w:t xml:space="preserve"> change in Part 73 final rule</w:t>
      </w:r>
      <w:r w:rsidR="00DB3667">
        <w:rPr>
          <w:rFonts w:cs="Arial"/>
          <w:szCs w:val="22"/>
        </w:rPr>
        <w:t>.  However, only</w:t>
      </w:r>
      <w:r w:rsidR="00C52564">
        <w:rPr>
          <w:rFonts w:cs="Arial"/>
          <w:szCs w:val="22"/>
        </w:rPr>
        <w:t xml:space="preserve"> 5</w:t>
      </w:r>
      <w:r w:rsidR="00A7742D">
        <w:rPr>
          <w:rFonts w:cs="Arial"/>
          <w:szCs w:val="22"/>
        </w:rPr>
        <w:t>6</w:t>
      </w:r>
      <w:r w:rsidR="00983C29">
        <w:rPr>
          <w:rFonts w:cs="Arial"/>
          <w:szCs w:val="22"/>
        </w:rPr>
        <w:t xml:space="preserve"> are expected to respond to the information collection</w:t>
      </w:r>
      <w:r w:rsidR="00A10CBF">
        <w:rPr>
          <w:rFonts w:cs="Arial"/>
          <w:szCs w:val="22"/>
        </w:rPr>
        <w:t>s</w:t>
      </w:r>
      <w:r w:rsidR="00983C29">
        <w:rPr>
          <w:rFonts w:cs="Arial"/>
          <w:szCs w:val="22"/>
        </w:rPr>
        <w:t xml:space="preserve"> </w:t>
      </w:r>
      <w:r w:rsidR="00A10CBF">
        <w:rPr>
          <w:rFonts w:cs="Arial"/>
          <w:szCs w:val="22"/>
        </w:rPr>
        <w:t>in</w:t>
      </w:r>
      <w:r w:rsidR="00983C29">
        <w:rPr>
          <w:rFonts w:cs="Arial"/>
          <w:szCs w:val="22"/>
        </w:rPr>
        <w:t xml:space="preserve"> this</w:t>
      </w:r>
      <w:r w:rsidR="00C52564">
        <w:rPr>
          <w:rFonts w:cs="Arial"/>
          <w:szCs w:val="22"/>
        </w:rPr>
        <w:t xml:space="preserve"> rule.</w:t>
      </w:r>
      <w:r w:rsidR="00A10CBF">
        <w:rPr>
          <w:rFonts w:cs="Arial"/>
          <w:szCs w:val="22"/>
        </w:rPr>
        <w:t xml:space="preserve">  All respondents to this final rule are already subject to other requirements in Part 73.</w:t>
      </w:r>
      <w:r w:rsidR="00C52564">
        <w:rPr>
          <w:rFonts w:cs="Arial"/>
          <w:szCs w:val="22"/>
        </w:rPr>
        <w:t xml:space="preserve"> </w:t>
      </w:r>
    </w:p>
    <w:p w:rsidR="000A00B6" w:rsidP="00520D8B" w:rsidRDefault="000A00B6" w14:paraId="4DFA379A" w14:textId="77777777">
      <w:pPr>
        <w:widowControl/>
        <w:ind w:left="720"/>
        <w:rPr>
          <w:rFonts w:cs="Arial"/>
          <w:szCs w:val="22"/>
        </w:rPr>
      </w:pPr>
    </w:p>
    <w:p w:rsidR="008D3E14" w:rsidP="00520D8B" w:rsidRDefault="008D3E14" w14:paraId="1333EDA8" w14:textId="658E979D">
      <w:pPr>
        <w:widowControl/>
        <w:ind w:left="720"/>
        <w:rPr>
          <w:rFonts w:cs="Arial"/>
          <w:szCs w:val="22"/>
        </w:rPr>
      </w:pPr>
      <w:r>
        <w:rPr>
          <w:rFonts w:cs="Arial"/>
          <w:szCs w:val="22"/>
        </w:rPr>
        <w:lastRenderedPageBreak/>
        <w:t xml:space="preserve">The total estimated burden </w:t>
      </w:r>
      <w:r w:rsidR="00D375E9">
        <w:rPr>
          <w:rFonts w:cs="Arial"/>
          <w:szCs w:val="22"/>
        </w:rPr>
        <w:t xml:space="preserve">for reports and records for these licensees affected by the requirements of </w:t>
      </w:r>
      <w:r w:rsidR="00DA36D0">
        <w:rPr>
          <w:rFonts w:cs="Arial"/>
          <w:szCs w:val="22"/>
        </w:rPr>
        <w:t xml:space="preserve">all three </w:t>
      </w:r>
      <w:r w:rsidR="0085211D">
        <w:rPr>
          <w:rFonts w:cs="Arial"/>
          <w:szCs w:val="22"/>
        </w:rPr>
        <w:t>part</w:t>
      </w:r>
      <w:r w:rsidR="00DA36D0">
        <w:rPr>
          <w:rFonts w:cs="Arial"/>
          <w:szCs w:val="22"/>
        </w:rPr>
        <w:t xml:space="preserve">s of the final </w:t>
      </w:r>
      <w:r>
        <w:rPr>
          <w:rFonts w:cs="Arial"/>
          <w:szCs w:val="22"/>
        </w:rPr>
        <w:t>rule are as follows:</w:t>
      </w:r>
    </w:p>
    <w:p w:rsidR="00940837" w:rsidP="00520D8B" w:rsidRDefault="00940837" w14:paraId="2A5B48D7" w14:textId="661C0081">
      <w:pPr>
        <w:widowControl/>
        <w:ind w:left="720"/>
        <w:rPr>
          <w:rFonts w:cs="Arial"/>
          <w:szCs w:val="22"/>
        </w:rPr>
      </w:pPr>
    </w:p>
    <w:p w:rsidR="00671332" w:rsidP="00520D8B" w:rsidRDefault="00F676DD" w14:paraId="5B4C3B97" w14:textId="257BEAF8">
      <w:pPr>
        <w:widowControl/>
        <w:ind w:left="720"/>
        <w:rPr>
          <w:rFonts w:cs="Arial"/>
          <w:szCs w:val="22"/>
        </w:rPr>
      </w:pPr>
      <w:r w:rsidRPr="00F676DD">
        <w:rPr>
          <w:noProof/>
        </w:rPr>
        <w:drawing>
          <wp:inline distT="0" distB="0" distL="0" distR="0" wp14:anchorId="1E1DF7DD" wp14:editId="68371DB7">
            <wp:extent cx="5302250" cy="107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2250" cy="1073150"/>
                    </a:xfrm>
                    <a:prstGeom prst="rect">
                      <a:avLst/>
                    </a:prstGeom>
                    <a:noFill/>
                    <a:ln>
                      <a:noFill/>
                    </a:ln>
                  </pic:spPr>
                </pic:pic>
              </a:graphicData>
            </a:graphic>
          </wp:inline>
        </w:drawing>
      </w:r>
    </w:p>
    <w:p w:rsidR="00940837" w:rsidP="00520D8B" w:rsidRDefault="00940837" w14:paraId="04607ED6" w14:textId="77777777">
      <w:pPr>
        <w:widowControl/>
        <w:ind w:left="720"/>
        <w:rPr>
          <w:rFonts w:cs="Arial"/>
          <w:szCs w:val="22"/>
        </w:rPr>
      </w:pPr>
    </w:p>
    <w:p w:rsidR="008D3E14" w:rsidP="00CC49CB" w:rsidRDefault="00D347AD" w14:paraId="3C93B0BE" w14:textId="359C22E9">
      <w:pPr>
        <w:widowControl/>
        <w:ind w:left="720"/>
        <w:rPr>
          <w:rFonts w:cs="Arial"/>
          <w:szCs w:val="22"/>
        </w:rPr>
      </w:pPr>
      <w:r>
        <w:rPr>
          <w:rFonts w:cs="Arial"/>
          <w:szCs w:val="22"/>
        </w:rPr>
        <w:t xml:space="preserve">The estimated burden cost is </w:t>
      </w:r>
      <w:r w:rsidR="002C5C6F">
        <w:rPr>
          <w:rFonts w:cs="Arial"/>
          <w:szCs w:val="22"/>
        </w:rPr>
        <w:t>$1,606,</w:t>
      </w:r>
      <w:r w:rsidR="00F676DD">
        <w:rPr>
          <w:rFonts w:cs="Arial"/>
          <w:szCs w:val="22"/>
        </w:rPr>
        <w:t>752</w:t>
      </w:r>
      <w:r w:rsidR="002C5C6F">
        <w:rPr>
          <w:rFonts w:cs="Arial"/>
          <w:szCs w:val="22"/>
        </w:rPr>
        <w:t xml:space="preserve"> (5,57</w:t>
      </w:r>
      <w:r w:rsidR="00671332">
        <w:rPr>
          <w:rFonts w:cs="Arial"/>
          <w:szCs w:val="22"/>
        </w:rPr>
        <w:t>9</w:t>
      </w:r>
      <w:r w:rsidR="002C5C6F">
        <w:rPr>
          <w:rFonts w:cs="Arial"/>
          <w:szCs w:val="22"/>
        </w:rPr>
        <w:t xml:space="preserve"> hours x $288/hr).  </w:t>
      </w:r>
      <w:r w:rsidR="008D3E14">
        <w:rPr>
          <w:rFonts w:cs="Arial"/>
          <w:szCs w:val="22"/>
        </w:rPr>
        <w:t xml:space="preserve">A detailed breakdown of burden estimates is provided </w:t>
      </w:r>
      <w:r w:rsidR="00820CE0">
        <w:rPr>
          <w:rFonts w:cs="Arial"/>
          <w:szCs w:val="22"/>
        </w:rPr>
        <w:t>in the supplemental document</w:t>
      </w:r>
      <w:r w:rsidR="008D3E14">
        <w:rPr>
          <w:rFonts w:cs="Arial"/>
          <w:szCs w:val="22"/>
        </w:rPr>
        <w:t xml:space="preserve"> “Burden Spreadsheet for Enhanced Weapons Final Rule.”</w:t>
      </w:r>
      <w:r w:rsidR="004B164B">
        <w:rPr>
          <w:rFonts w:cs="Arial"/>
          <w:szCs w:val="22"/>
        </w:rPr>
        <w:t xml:space="preserve">  These c</w:t>
      </w:r>
      <w:r w:rsidR="008D3E14">
        <w:rPr>
          <w:rFonts w:cs="Arial"/>
          <w:szCs w:val="22"/>
        </w:rPr>
        <w:t xml:space="preserve">osts </w:t>
      </w:r>
      <w:r w:rsidR="004B164B">
        <w:rPr>
          <w:rFonts w:cs="Arial"/>
          <w:szCs w:val="22"/>
        </w:rPr>
        <w:t xml:space="preserve">have </w:t>
      </w:r>
      <w:r w:rsidR="008D3E14">
        <w:rPr>
          <w:rFonts w:cs="Arial"/>
          <w:szCs w:val="22"/>
        </w:rPr>
        <w:t>been calculated using the agency’s fee rate of $</w:t>
      </w:r>
      <w:r w:rsidR="00D96C65">
        <w:rPr>
          <w:rFonts w:cs="Arial"/>
          <w:szCs w:val="22"/>
        </w:rPr>
        <w:t>288</w:t>
      </w:r>
      <w:r w:rsidR="004B164B">
        <w:rPr>
          <w:rFonts w:cs="Arial"/>
          <w:szCs w:val="22"/>
        </w:rPr>
        <w:t xml:space="preserve"> per hour</w:t>
      </w:r>
      <w:r w:rsidR="008D3E14">
        <w:rPr>
          <w:rFonts w:cs="Arial"/>
          <w:szCs w:val="22"/>
        </w:rPr>
        <w:t>.</w:t>
      </w:r>
      <w:r w:rsidR="00381638">
        <w:rPr>
          <w:rFonts w:cs="Arial"/>
          <w:szCs w:val="22"/>
        </w:rPr>
        <w:t xml:space="preserve">  </w:t>
      </w:r>
      <w:r w:rsidRPr="00381638" w:rsidR="00381638">
        <w:rPr>
          <w:rFonts w:cs="Arial"/>
          <w:szCs w:val="22"/>
        </w:rPr>
        <w:t>The $</w:t>
      </w:r>
      <w:r w:rsidR="00D96C65">
        <w:rPr>
          <w:rFonts w:cs="Arial"/>
          <w:szCs w:val="22"/>
        </w:rPr>
        <w:t>288</w:t>
      </w:r>
      <w:r w:rsidRPr="00381638" w:rsidR="00381638">
        <w:rPr>
          <w:rFonts w:cs="Arial"/>
          <w:szCs w:val="22"/>
        </w:rPr>
        <w:t xml:space="preserve"> hourly rate used in the burden estimates is based on the Nuclear Regulatory Commission’s fee for hourly rates as noted in 10</w:t>
      </w:r>
      <w:r w:rsidR="005702C5">
        <w:rPr>
          <w:rFonts w:cs="Arial"/>
          <w:szCs w:val="22"/>
        </w:rPr>
        <w:t> </w:t>
      </w:r>
      <w:r w:rsidRPr="00381638" w:rsidR="00381638">
        <w:rPr>
          <w:rFonts w:cs="Arial"/>
          <w:szCs w:val="22"/>
        </w:rPr>
        <w:t>CFR</w:t>
      </w:r>
      <w:r w:rsidR="005702C5">
        <w:rPr>
          <w:rFonts w:cs="Arial"/>
          <w:szCs w:val="22"/>
        </w:rPr>
        <w:t> </w:t>
      </w:r>
      <w:r w:rsidRPr="00381638" w:rsidR="00381638">
        <w:rPr>
          <w:rFonts w:cs="Arial"/>
          <w:szCs w:val="22"/>
        </w:rPr>
        <w:t xml:space="preserve">170.20 “Average cost per professional staff-hour.”  For more information on the basis of this rate, see the Revision Of Fee Schedules; </w:t>
      </w:r>
      <w:r w:rsidRPr="00215422" w:rsidR="00381638">
        <w:rPr>
          <w:rFonts w:cs="Arial"/>
          <w:szCs w:val="22"/>
        </w:rPr>
        <w:t xml:space="preserve">Fee Recovery For Fiscal Year </w:t>
      </w:r>
      <w:r w:rsidRPr="00215422" w:rsidR="002367DA">
        <w:rPr>
          <w:rFonts w:cs="Arial"/>
          <w:szCs w:val="22"/>
        </w:rPr>
        <w:t>2021</w:t>
      </w:r>
      <w:r w:rsidRPr="00827A31" w:rsidR="00381638">
        <w:rPr>
          <w:rFonts w:cs="Arial"/>
          <w:szCs w:val="22"/>
        </w:rPr>
        <w:t xml:space="preserve"> (8</w:t>
      </w:r>
      <w:r w:rsidRPr="00215422" w:rsidR="002367DA">
        <w:rPr>
          <w:rFonts w:cs="Arial"/>
          <w:szCs w:val="22"/>
        </w:rPr>
        <w:t>6</w:t>
      </w:r>
      <w:r w:rsidRPr="00827A31" w:rsidR="00811D35">
        <w:rPr>
          <w:rFonts w:cs="Arial"/>
          <w:szCs w:val="22"/>
        </w:rPr>
        <w:t> </w:t>
      </w:r>
      <w:r w:rsidRPr="00827A31" w:rsidR="00381638">
        <w:rPr>
          <w:rFonts w:cs="Arial"/>
          <w:szCs w:val="22"/>
        </w:rPr>
        <w:t>FR</w:t>
      </w:r>
      <w:r w:rsidRPr="00827A31" w:rsidR="00811D35">
        <w:rPr>
          <w:rFonts w:cs="Arial"/>
          <w:szCs w:val="22"/>
        </w:rPr>
        <w:t> </w:t>
      </w:r>
      <w:r w:rsidRPr="009F4DA6" w:rsidR="002367DA">
        <w:rPr>
          <w:rFonts w:cs="Arial"/>
          <w:szCs w:val="22"/>
        </w:rPr>
        <w:t>32146</w:t>
      </w:r>
      <w:r w:rsidRPr="00827A31" w:rsidR="00381638">
        <w:rPr>
          <w:rFonts w:cs="Arial"/>
          <w:szCs w:val="22"/>
        </w:rPr>
        <w:t xml:space="preserve">; June </w:t>
      </w:r>
      <w:r w:rsidRPr="009F4DA6" w:rsidR="002367DA">
        <w:rPr>
          <w:rFonts w:cs="Arial"/>
          <w:szCs w:val="22"/>
        </w:rPr>
        <w:t>16, 2021</w:t>
      </w:r>
      <w:r w:rsidRPr="00827A31" w:rsidR="00381638">
        <w:rPr>
          <w:rFonts w:cs="Arial"/>
          <w:szCs w:val="22"/>
        </w:rPr>
        <w:t>).</w:t>
      </w:r>
    </w:p>
    <w:p w:rsidR="000A00B6" w:rsidP="00520D8B" w:rsidRDefault="000A00B6" w14:paraId="08F046B0" w14:textId="77777777">
      <w:pPr>
        <w:widowControl/>
        <w:ind w:left="720"/>
        <w:rPr>
          <w:rFonts w:cs="Arial"/>
          <w:szCs w:val="22"/>
        </w:rPr>
      </w:pPr>
    </w:p>
    <w:p w:rsidRPr="00752F02" w:rsidR="000A00B6" w:rsidP="004B164B" w:rsidRDefault="000A00B6" w14:paraId="04D4835E" w14:textId="186222A5">
      <w:pPr>
        <w:widowControl/>
        <w:ind w:left="720"/>
        <w:rPr>
          <w:rFonts w:cs="Arial"/>
          <w:szCs w:val="22"/>
        </w:rPr>
      </w:pPr>
      <w:r w:rsidRPr="00752F02">
        <w:rPr>
          <w:rFonts w:cs="Arial"/>
          <w:szCs w:val="22"/>
        </w:rPr>
        <w:t xml:space="preserve">Burden hour changes associated with </w:t>
      </w:r>
      <w:r w:rsidR="005702C5">
        <w:rPr>
          <w:rFonts w:cs="Arial"/>
          <w:szCs w:val="22"/>
        </w:rPr>
        <w:t xml:space="preserve">stand-alone </w:t>
      </w:r>
      <w:r w:rsidRPr="00752F02" w:rsidR="005702C5">
        <w:rPr>
          <w:rFonts w:cs="Arial"/>
          <w:szCs w:val="22"/>
        </w:rPr>
        <w:t xml:space="preserve">preemption authority </w:t>
      </w:r>
      <w:r w:rsidR="005702C5">
        <w:rPr>
          <w:rFonts w:cs="Arial"/>
          <w:szCs w:val="22"/>
        </w:rPr>
        <w:t xml:space="preserve">and combined </w:t>
      </w:r>
      <w:r w:rsidRPr="00752F02">
        <w:rPr>
          <w:rFonts w:cs="Arial"/>
          <w:szCs w:val="22"/>
        </w:rPr>
        <w:t>preemption authority and enhanced weapons authority (</w:t>
      </w:r>
      <w:r w:rsidR="00BC2191">
        <w:rPr>
          <w:rFonts w:cs="Arial"/>
          <w:szCs w:val="22"/>
        </w:rPr>
        <w:t xml:space="preserve">§§ </w:t>
      </w:r>
      <w:r w:rsidRPr="00752F02">
        <w:rPr>
          <w:rFonts w:cs="Arial"/>
          <w:szCs w:val="22"/>
        </w:rPr>
        <w:t xml:space="preserve">73.15, 73.17, 73.1200(m) and 73.1200(n)) result from implementation of the new </w:t>
      </w:r>
      <w:r w:rsidR="00811D35">
        <w:rPr>
          <w:rFonts w:cs="Arial"/>
          <w:szCs w:val="22"/>
        </w:rPr>
        <w:t>S</w:t>
      </w:r>
      <w:r w:rsidRPr="00752F02">
        <w:rPr>
          <w:rFonts w:cs="Arial"/>
          <w:szCs w:val="22"/>
        </w:rPr>
        <w:t xml:space="preserve">ection 161A </w:t>
      </w:r>
      <w:r w:rsidR="00811D35">
        <w:rPr>
          <w:rFonts w:cs="Arial"/>
          <w:szCs w:val="22"/>
        </w:rPr>
        <w:t>authority</w:t>
      </w:r>
      <w:r w:rsidRPr="00752F02">
        <w:rPr>
          <w:rFonts w:cs="Arial"/>
          <w:szCs w:val="22"/>
        </w:rPr>
        <w:t xml:space="preserve">, </w:t>
      </w:r>
      <w:r>
        <w:rPr>
          <w:rFonts w:cs="Arial"/>
          <w:szCs w:val="22"/>
        </w:rPr>
        <w:t xml:space="preserve">and have been reported as due to new statute.  </w:t>
      </w:r>
      <w:r w:rsidRPr="00752F02">
        <w:rPr>
          <w:rFonts w:cs="Arial"/>
          <w:szCs w:val="22"/>
        </w:rPr>
        <w:t xml:space="preserve">With the exception of 73.1200(m) and 73.1200(n), burden hour changes associated with </w:t>
      </w:r>
      <w:r w:rsidR="004B164B">
        <w:rPr>
          <w:rFonts w:cs="Arial"/>
          <w:szCs w:val="22"/>
        </w:rPr>
        <w:t xml:space="preserve">physical </w:t>
      </w:r>
      <w:r w:rsidRPr="00752F02">
        <w:rPr>
          <w:rFonts w:cs="Arial"/>
          <w:szCs w:val="22"/>
        </w:rPr>
        <w:t xml:space="preserve">security event notifications in </w:t>
      </w:r>
      <w:r w:rsidR="004B164B">
        <w:rPr>
          <w:rFonts w:cs="Arial"/>
          <w:szCs w:val="22"/>
        </w:rPr>
        <w:t xml:space="preserve">§§ </w:t>
      </w:r>
      <w:r w:rsidRPr="00752F02">
        <w:rPr>
          <w:rFonts w:cs="Arial"/>
          <w:szCs w:val="22"/>
        </w:rPr>
        <w:t>73.12</w:t>
      </w:r>
      <w:r>
        <w:rPr>
          <w:rFonts w:cs="Arial"/>
          <w:szCs w:val="22"/>
        </w:rPr>
        <w:t>00</w:t>
      </w:r>
      <w:r w:rsidR="004B164B">
        <w:rPr>
          <w:rFonts w:cs="Arial"/>
          <w:szCs w:val="22"/>
        </w:rPr>
        <w:t>, 73.1205, and 73.1210 and suspicious activity reporting in § 73.1215</w:t>
      </w:r>
      <w:r>
        <w:rPr>
          <w:rFonts w:cs="Arial"/>
          <w:szCs w:val="22"/>
        </w:rPr>
        <w:t xml:space="preserve"> are due to agency discretion.</w:t>
      </w:r>
    </w:p>
    <w:p w:rsidR="008D3E14" w:rsidP="00520D8B" w:rsidRDefault="008D3E14" w14:paraId="67C04DD1" w14:textId="77777777">
      <w:pPr>
        <w:widowControl/>
        <w:ind w:left="720"/>
        <w:rPr>
          <w:rFonts w:cs="Arial"/>
          <w:szCs w:val="22"/>
        </w:rPr>
      </w:pPr>
    </w:p>
    <w:p w:rsidRPr="00E03639" w:rsidR="002B1B50" w:rsidP="004B164B" w:rsidRDefault="002B1B50" w14:paraId="57762C42" w14:textId="77777777">
      <w:pPr>
        <w:widowControl/>
        <w:ind w:left="720"/>
        <w:rPr>
          <w:rFonts w:cs="Arial"/>
          <w:szCs w:val="22"/>
        </w:rPr>
      </w:pPr>
      <w:r w:rsidRPr="00E03639">
        <w:rPr>
          <w:rFonts w:cs="Arial"/>
          <w:szCs w:val="22"/>
        </w:rPr>
        <w:t>13.</w:t>
      </w:r>
      <w:r w:rsidRPr="00E03639">
        <w:rPr>
          <w:rFonts w:cs="Arial"/>
          <w:szCs w:val="22"/>
        </w:rPr>
        <w:tab/>
      </w:r>
      <w:r w:rsidRPr="00E03639">
        <w:rPr>
          <w:rFonts w:cs="Arial"/>
          <w:szCs w:val="22"/>
          <w:u w:val="single"/>
        </w:rPr>
        <w:t>Estimate of Other Additional Costs</w:t>
      </w:r>
    </w:p>
    <w:p w:rsidRPr="00E03639" w:rsidR="002B1B50" w:rsidP="004B164B" w:rsidRDefault="002B1B50" w14:paraId="6B8CB7F1" w14:textId="77777777">
      <w:pPr>
        <w:widowControl/>
        <w:rPr>
          <w:rFonts w:cs="Arial"/>
          <w:szCs w:val="22"/>
        </w:rPr>
      </w:pPr>
    </w:p>
    <w:p w:rsidRPr="00A32597" w:rsidR="002B1B50" w:rsidP="004B164B" w:rsidRDefault="002B1B50" w14:paraId="10797BD6" w14:textId="146DB6BB">
      <w:pPr>
        <w:widowControl/>
        <w:ind w:left="720"/>
        <w:rPr>
          <w:rFonts w:cs="Arial"/>
          <w:szCs w:val="22"/>
        </w:rPr>
      </w:pPr>
      <w:r w:rsidRPr="00E03639">
        <w:rPr>
          <w:rFonts w:cs="Arial"/>
          <w:szCs w:val="22"/>
        </w:rPr>
        <w:t xml:space="preserve">The NRC has determined that the records storage cost is roughly proportional to the recordkeeping burden cost.  Based on a typical clearance, the records storage cost has been determined to be equal to </w:t>
      </w:r>
      <w:r w:rsidRPr="00E03639" w:rsidR="00926A5D">
        <w:rPr>
          <w:rFonts w:cs="Arial"/>
          <w:szCs w:val="22"/>
        </w:rPr>
        <w:t>0</w:t>
      </w:r>
      <w:r w:rsidRPr="00E03639">
        <w:rPr>
          <w:rFonts w:cs="Arial"/>
          <w:szCs w:val="22"/>
        </w:rPr>
        <w:t xml:space="preserve">.04 percent of the recordkeeping burden cost.  Therefore, the records storage cost for this clearance is estimated to be </w:t>
      </w:r>
      <w:r w:rsidRPr="009F4DA6" w:rsidR="003B764E">
        <w:rPr>
          <w:rFonts w:cs="Arial"/>
          <w:szCs w:val="22"/>
        </w:rPr>
        <w:t>$</w:t>
      </w:r>
      <w:r w:rsidR="00744E71">
        <w:rPr>
          <w:rFonts w:cs="Arial"/>
          <w:szCs w:val="22"/>
        </w:rPr>
        <w:t>320</w:t>
      </w:r>
      <w:r w:rsidRPr="009F4DA6" w:rsidR="003B764E">
        <w:rPr>
          <w:rFonts w:cs="Arial"/>
          <w:szCs w:val="22"/>
        </w:rPr>
        <w:t xml:space="preserve"> (</w:t>
      </w:r>
      <w:r w:rsidR="003B6A47">
        <w:rPr>
          <w:rFonts w:cs="Arial"/>
          <w:szCs w:val="22"/>
        </w:rPr>
        <w:t>2,779</w:t>
      </w:r>
      <w:r w:rsidRPr="009F4DA6" w:rsidR="003C02F4">
        <w:rPr>
          <w:rFonts w:cs="Arial"/>
          <w:szCs w:val="22"/>
        </w:rPr>
        <w:t xml:space="preserve"> </w:t>
      </w:r>
      <w:r w:rsidRPr="009F4DA6" w:rsidR="003B764E">
        <w:rPr>
          <w:rFonts w:cs="Arial"/>
          <w:szCs w:val="22"/>
        </w:rPr>
        <w:t xml:space="preserve">hours x </w:t>
      </w:r>
      <w:r w:rsidRPr="009F4DA6" w:rsidR="00BC2191">
        <w:rPr>
          <w:rFonts w:cs="Arial"/>
          <w:szCs w:val="22"/>
        </w:rPr>
        <w:t>0</w:t>
      </w:r>
      <w:r w:rsidRPr="009F4DA6" w:rsidR="003B764E">
        <w:rPr>
          <w:rFonts w:cs="Arial"/>
          <w:szCs w:val="22"/>
        </w:rPr>
        <w:t>.0004 x $</w:t>
      </w:r>
      <w:r w:rsidR="004227D4">
        <w:rPr>
          <w:rFonts w:cs="Arial"/>
          <w:szCs w:val="22"/>
        </w:rPr>
        <w:t>288</w:t>
      </w:r>
      <w:r w:rsidRPr="009F4DA6" w:rsidR="003B764E">
        <w:rPr>
          <w:rFonts w:cs="Arial"/>
          <w:szCs w:val="22"/>
        </w:rPr>
        <w:t>).</w:t>
      </w:r>
      <w:r w:rsidRPr="009F4DA6" w:rsidR="00B950EA">
        <w:rPr>
          <w:rFonts w:cs="Arial"/>
          <w:szCs w:val="22"/>
        </w:rPr>
        <w:t xml:space="preserve">  </w:t>
      </w:r>
    </w:p>
    <w:p w:rsidR="002A7992" w:rsidRDefault="002A7992" w14:paraId="1F9067C8" w14:textId="77777777">
      <w:pPr>
        <w:widowControl/>
        <w:autoSpaceDE/>
        <w:autoSpaceDN/>
        <w:adjustRightInd/>
        <w:rPr>
          <w:rFonts w:cs="Arial"/>
          <w:szCs w:val="22"/>
        </w:rPr>
      </w:pPr>
    </w:p>
    <w:p w:rsidRPr="00A32597" w:rsidR="002B1B50" w:rsidP="00924F3A" w:rsidRDefault="00924F3A" w14:paraId="01EA2F7D" w14:textId="77777777">
      <w:pPr>
        <w:widowControl/>
        <w:autoSpaceDE/>
        <w:autoSpaceDN/>
        <w:adjustRightInd/>
        <w:rPr>
          <w:rFonts w:cs="Arial"/>
          <w:szCs w:val="22"/>
        </w:rPr>
      </w:pPr>
      <w:r>
        <w:rPr>
          <w:rFonts w:cs="Arial"/>
          <w:szCs w:val="22"/>
        </w:rPr>
        <w:tab/>
      </w:r>
      <w:r w:rsidRPr="00A32597" w:rsidR="002B1B50">
        <w:rPr>
          <w:rFonts w:cs="Arial"/>
          <w:szCs w:val="22"/>
        </w:rPr>
        <w:t>14.</w:t>
      </w:r>
      <w:r w:rsidRPr="00A32597" w:rsidR="002B1B50">
        <w:rPr>
          <w:rFonts w:cs="Arial"/>
          <w:szCs w:val="22"/>
        </w:rPr>
        <w:tab/>
      </w:r>
      <w:r w:rsidRPr="00A32597" w:rsidR="002B1B50">
        <w:rPr>
          <w:rFonts w:cs="Arial"/>
          <w:szCs w:val="22"/>
          <w:u w:val="single"/>
        </w:rPr>
        <w:t>Estimated Annualized Cost to Federal Government</w:t>
      </w:r>
    </w:p>
    <w:p w:rsidRPr="00A32597" w:rsidR="002B1B50" w:rsidP="00577D64" w:rsidRDefault="002B1B50" w14:paraId="102C7AFF" w14:textId="77777777">
      <w:pPr>
        <w:widowControl/>
        <w:rPr>
          <w:rFonts w:cs="Arial"/>
          <w:szCs w:val="22"/>
        </w:rPr>
      </w:pPr>
    </w:p>
    <w:p w:rsidR="00F77E27" w:rsidP="008B4FD9" w:rsidRDefault="00F77E27" w14:paraId="58CE56C3" w14:textId="587186D1">
      <w:pPr>
        <w:widowControl/>
        <w:ind w:left="720"/>
        <w:rPr>
          <w:rFonts w:cs="Arial"/>
          <w:szCs w:val="22"/>
        </w:rPr>
      </w:pPr>
      <w:r>
        <w:rPr>
          <w:rFonts w:cs="Arial"/>
          <w:szCs w:val="22"/>
        </w:rPr>
        <w:t>No licensees have formally informed the NRC of their intent to apply Section 161A authority over the next three years; therefore, no Federal government costs are anticipated as a result of this final rule.  Annual costs associated with firearms background checks are included in the submission of NRC Form 754, “Armed Security Personnel Firearms Background Check” (OMB control number 3150-0204).</w:t>
      </w:r>
    </w:p>
    <w:p w:rsidR="0031534D" w:rsidP="00577D64" w:rsidRDefault="0031534D" w14:paraId="48BAB8F3" w14:textId="77777777">
      <w:pPr>
        <w:widowControl/>
        <w:ind w:left="720"/>
        <w:rPr>
          <w:rFonts w:cs="Arial"/>
          <w:szCs w:val="22"/>
        </w:rPr>
      </w:pPr>
    </w:p>
    <w:p w:rsidRPr="00A32597" w:rsidR="002B1B50" w:rsidP="00577D64" w:rsidRDefault="002B1B50" w14:paraId="3E56275B" w14:textId="77777777">
      <w:pPr>
        <w:widowControl/>
        <w:ind w:left="720"/>
        <w:rPr>
          <w:rFonts w:cs="Arial"/>
          <w:szCs w:val="22"/>
        </w:rPr>
      </w:pPr>
      <w:r w:rsidRPr="00A32597">
        <w:rPr>
          <w:rFonts w:cs="Arial"/>
          <w:szCs w:val="22"/>
        </w:rPr>
        <w:t>15.</w:t>
      </w:r>
      <w:r w:rsidRPr="00A32597">
        <w:rPr>
          <w:rFonts w:cs="Arial"/>
          <w:szCs w:val="22"/>
        </w:rPr>
        <w:tab/>
      </w:r>
      <w:r w:rsidRPr="00A32597">
        <w:rPr>
          <w:rFonts w:cs="Arial"/>
          <w:szCs w:val="22"/>
          <w:u w:val="single"/>
        </w:rPr>
        <w:t>Reason</w:t>
      </w:r>
      <w:r w:rsidRPr="00A32597" w:rsidR="006F795D">
        <w:rPr>
          <w:rFonts w:cs="Arial"/>
          <w:szCs w:val="22"/>
          <w:u w:val="single"/>
        </w:rPr>
        <w:t>s</w:t>
      </w:r>
      <w:r w:rsidRPr="00A32597">
        <w:rPr>
          <w:rFonts w:cs="Arial"/>
          <w:szCs w:val="22"/>
          <w:u w:val="single"/>
        </w:rPr>
        <w:t> for Change in Burden</w:t>
      </w:r>
    </w:p>
    <w:p w:rsidRPr="00A32597" w:rsidR="002B1B50" w:rsidP="00577D64" w:rsidRDefault="002B1B50" w14:paraId="0A30A92D" w14:textId="77777777">
      <w:pPr>
        <w:widowControl/>
        <w:rPr>
          <w:rFonts w:cs="Arial"/>
          <w:szCs w:val="22"/>
        </w:rPr>
      </w:pPr>
    </w:p>
    <w:p w:rsidRPr="00A32597" w:rsidR="006A7F85" w:rsidP="00577D64" w:rsidRDefault="006A7F85" w14:paraId="07D6D208" w14:textId="59BCD359">
      <w:pPr>
        <w:widowControl/>
        <w:ind w:left="720"/>
        <w:rPr>
          <w:rFonts w:cs="Arial"/>
          <w:szCs w:val="22"/>
        </w:rPr>
      </w:pPr>
      <w:r w:rsidRPr="00A32597">
        <w:rPr>
          <w:rFonts w:cs="Arial"/>
          <w:szCs w:val="22"/>
        </w:rPr>
        <w:t xml:space="preserve">The </w:t>
      </w:r>
      <w:r w:rsidR="005F14CF">
        <w:rPr>
          <w:rFonts w:cs="Arial"/>
          <w:szCs w:val="22"/>
        </w:rPr>
        <w:t xml:space="preserve">first </w:t>
      </w:r>
      <w:r w:rsidR="0085211D">
        <w:rPr>
          <w:rFonts w:cs="Arial"/>
          <w:szCs w:val="22"/>
        </w:rPr>
        <w:t>part</w:t>
      </w:r>
      <w:r w:rsidR="005F14CF">
        <w:rPr>
          <w:rFonts w:cs="Arial"/>
          <w:szCs w:val="22"/>
        </w:rPr>
        <w:t xml:space="preserve"> of the </w:t>
      </w:r>
      <w:r w:rsidR="002D114C">
        <w:rPr>
          <w:rFonts w:cs="Arial"/>
          <w:szCs w:val="22"/>
        </w:rPr>
        <w:t>final</w:t>
      </w:r>
      <w:r w:rsidRPr="00A32597">
        <w:rPr>
          <w:rFonts w:cs="Arial"/>
          <w:szCs w:val="22"/>
        </w:rPr>
        <w:t xml:space="preserve"> rule </w:t>
      </w:r>
      <w:r w:rsidRPr="0023798C">
        <w:rPr>
          <w:rFonts w:cs="Arial"/>
          <w:szCs w:val="22"/>
        </w:rPr>
        <w:t xml:space="preserve">adds two new sections, </w:t>
      </w:r>
      <w:r w:rsidR="002A26B3">
        <w:rPr>
          <w:rFonts w:cs="Arial"/>
          <w:szCs w:val="22"/>
        </w:rPr>
        <w:t>§</w:t>
      </w:r>
      <w:r w:rsidR="004C7455">
        <w:rPr>
          <w:rFonts w:cs="Arial"/>
          <w:szCs w:val="22"/>
        </w:rPr>
        <w:t>§</w:t>
      </w:r>
      <w:r w:rsidRPr="00A32597">
        <w:rPr>
          <w:rFonts w:cs="Arial"/>
          <w:szCs w:val="22"/>
        </w:rPr>
        <w:t> </w:t>
      </w:r>
      <w:r w:rsidR="0007735A">
        <w:rPr>
          <w:rFonts w:cs="Arial"/>
          <w:szCs w:val="22"/>
        </w:rPr>
        <w:t>73.15</w:t>
      </w:r>
      <w:r w:rsidRPr="0023798C">
        <w:rPr>
          <w:rFonts w:cs="Arial"/>
          <w:szCs w:val="22"/>
        </w:rPr>
        <w:t xml:space="preserve"> and</w:t>
      </w:r>
      <w:r w:rsidRPr="00A32597">
        <w:rPr>
          <w:rFonts w:cs="Arial"/>
          <w:szCs w:val="22"/>
        </w:rPr>
        <w:t> </w:t>
      </w:r>
      <w:r w:rsidR="0007735A">
        <w:rPr>
          <w:rFonts w:cs="Arial"/>
          <w:szCs w:val="22"/>
        </w:rPr>
        <w:t>73.17</w:t>
      </w:r>
      <w:r w:rsidR="00100B7B">
        <w:rPr>
          <w:rFonts w:cs="Arial"/>
          <w:szCs w:val="22"/>
        </w:rPr>
        <w:t xml:space="preserve"> </w:t>
      </w:r>
      <w:r w:rsidR="005F14CF">
        <w:rPr>
          <w:rFonts w:cs="Arial"/>
          <w:szCs w:val="22"/>
        </w:rPr>
        <w:t>to implement the Commission’s authority under</w:t>
      </w:r>
      <w:r w:rsidR="00100B7B">
        <w:rPr>
          <w:rFonts w:cs="Arial"/>
          <w:szCs w:val="22"/>
        </w:rPr>
        <w:t xml:space="preserve"> Section 161A </w:t>
      </w:r>
      <w:r w:rsidR="005F14CF">
        <w:rPr>
          <w:rFonts w:cs="Arial"/>
          <w:szCs w:val="22"/>
        </w:rPr>
        <w:t xml:space="preserve">of the AEA.  The second </w:t>
      </w:r>
      <w:r w:rsidR="0085211D">
        <w:rPr>
          <w:rFonts w:cs="Arial"/>
          <w:szCs w:val="22"/>
        </w:rPr>
        <w:t>part</w:t>
      </w:r>
      <w:r w:rsidR="005F14CF">
        <w:rPr>
          <w:rFonts w:cs="Arial"/>
          <w:szCs w:val="22"/>
        </w:rPr>
        <w:t xml:space="preserve"> of the final rule</w:t>
      </w:r>
      <w:r w:rsidRPr="00A32597">
        <w:rPr>
          <w:rFonts w:cs="Arial"/>
          <w:szCs w:val="22"/>
        </w:rPr>
        <w:t xml:space="preserve"> revises </w:t>
      </w:r>
      <w:r w:rsidR="004609AD">
        <w:rPr>
          <w:rFonts w:cs="Arial"/>
          <w:szCs w:val="22"/>
        </w:rPr>
        <w:t xml:space="preserve">and restructures physical security event notification </w:t>
      </w:r>
      <w:r w:rsidR="005F14CF">
        <w:rPr>
          <w:rFonts w:cs="Arial"/>
          <w:szCs w:val="22"/>
        </w:rPr>
        <w:t>requirements under redesignated §</w:t>
      </w:r>
      <w:r w:rsidR="00363BEF">
        <w:rPr>
          <w:rFonts w:cs="Arial"/>
          <w:szCs w:val="22"/>
        </w:rPr>
        <w:t>§</w:t>
      </w:r>
      <w:r w:rsidRPr="00A32597" w:rsidR="00363BEF">
        <w:rPr>
          <w:rFonts w:cs="Arial"/>
          <w:szCs w:val="22"/>
        </w:rPr>
        <w:t> </w:t>
      </w:r>
      <w:r w:rsidR="00363BEF">
        <w:rPr>
          <w:rFonts w:cs="Arial"/>
          <w:szCs w:val="22"/>
        </w:rPr>
        <w:t>73.1200, 73</w:t>
      </w:r>
      <w:r w:rsidR="00B705D7">
        <w:rPr>
          <w:rFonts w:cs="Arial"/>
          <w:szCs w:val="22"/>
        </w:rPr>
        <w:t>.</w:t>
      </w:r>
      <w:r w:rsidR="00363BEF">
        <w:rPr>
          <w:rFonts w:cs="Arial"/>
          <w:szCs w:val="22"/>
        </w:rPr>
        <w:t xml:space="preserve">1205, </w:t>
      </w:r>
      <w:r w:rsidR="00924F3A">
        <w:rPr>
          <w:rFonts w:cs="Arial"/>
          <w:szCs w:val="22"/>
        </w:rPr>
        <w:t xml:space="preserve">and </w:t>
      </w:r>
      <w:r w:rsidR="00363BEF">
        <w:rPr>
          <w:rFonts w:cs="Arial"/>
          <w:szCs w:val="22"/>
        </w:rPr>
        <w:t>73.1210</w:t>
      </w:r>
      <w:r w:rsidR="005F14CF">
        <w:rPr>
          <w:rFonts w:cs="Arial"/>
          <w:szCs w:val="22"/>
        </w:rPr>
        <w:t>; adds new requirements for reporting lost or stolen enhanced weapons, adverse A</w:t>
      </w:r>
      <w:r w:rsidR="007D472F">
        <w:rPr>
          <w:rFonts w:cs="Arial"/>
          <w:szCs w:val="22"/>
        </w:rPr>
        <w:t>TF</w:t>
      </w:r>
      <w:r w:rsidR="005F14CF">
        <w:rPr>
          <w:rFonts w:cs="Arial"/>
          <w:szCs w:val="22"/>
        </w:rPr>
        <w:t xml:space="preserve"> enforcement actions</w:t>
      </w:r>
      <w:r w:rsidR="00F54A35">
        <w:rPr>
          <w:rFonts w:cs="Arial"/>
          <w:szCs w:val="22"/>
        </w:rPr>
        <w:t>, actual or imminent hostile actions</w:t>
      </w:r>
      <w:r w:rsidR="005F14CF">
        <w:rPr>
          <w:rFonts w:cs="Arial"/>
          <w:szCs w:val="22"/>
        </w:rPr>
        <w:t xml:space="preserve">; and </w:t>
      </w:r>
      <w:r w:rsidR="00B522B0">
        <w:rPr>
          <w:rFonts w:cs="Arial"/>
          <w:szCs w:val="22"/>
        </w:rPr>
        <w:t>restructures</w:t>
      </w:r>
      <w:r w:rsidR="005F14CF">
        <w:rPr>
          <w:rFonts w:cs="Arial"/>
          <w:szCs w:val="22"/>
        </w:rPr>
        <w:t xml:space="preserve"> </w:t>
      </w:r>
      <w:r w:rsidR="00B522B0">
        <w:rPr>
          <w:rFonts w:cs="Arial"/>
          <w:szCs w:val="22"/>
        </w:rPr>
        <w:t xml:space="preserve">physical security </w:t>
      </w:r>
      <w:r w:rsidR="005F14CF">
        <w:rPr>
          <w:rFonts w:cs="Arial"/>
          <w:szCs w:val="22"/>
        </w:rPr>
        <w:t>event notification</w:t>
      </w:r>
      <w:r w:rsidR="00B522B0">
        <w:rPr>
          <w:rFonts w:cs="Arial"/>
          <w:szCs w:val="22"/>
        </w:rPr>
        <w:t>s</w:t>
      </w:r>
      <w:r w:rsidR="005F14CF">
        <w:rPr>
          <w:rFonts w:cs="Arial"/>
          <w:szCs w:val="22"/>
        </w:rPr>
        <w:t xml:space="preserve"> using a more risk-informed </w:t>
      </w:r>
      <w:r w:rsidR="005F14CF">
        <w:rPr>
          <w:rFonts w:cs="Arial"/>
          <w:szCs w:val="22"/>
        </w:rPr>
        <w:lastRenderedPageBreak/>
        <w:t xml:space="preserve">structure of 1-hr, 4-hr, and 8-hr notifications, instead of only 1-hr notifications.  The third </w:t>
      </w:r>
      <w:r w:rsidR="0085211D">
        <w:rPr>
          <w:rFonts w:cs="Arial"/>
          <w:szCs w:val="22"/>
        </w:rPr>
        <w:t>part</w:t>
      </w:r>
      <w:r w:rsidR="005F14CF">
        <w:rPr>
          <w:rFonts w:cs="Arial"/>
          <w:szCs w:val="22"/>
        </w:rPr>
        <w:t xml:space="preserve"> of the final rule adds new section, § 73.1215, </w:t>
      </w:r>
      <w:r w:rsidR="002D114C">
        <w:rPr>
          <w:rFonts w:cs="Arial"/>
          <w:szCs w:val="22"/>
        </w:rPr>
        <w:t xml:space="preserve">to codify </w:t>
      </w:r>
      <w:r w:rsidR="00924F3A">
        <w:rPr>
          <w:rFonts w:cs="Arial"/>
          <w:szCs w:val="22"/>
        </w:rPr>
        <w:t>reporting suspicious activities</w:t>
      </w:r>
      <w:r>
        <w:rPr>
          <w:rFonts w:cs="Arial"/>
          <w:szCs w:val="22"/>
        </w:rPr>
        <w:t>.</w:t>
      </w:r>
      <w:r w:rsidRPr="006A7F85">
        <w:rPr>
          <w:rFonts w:cs="Arial"/>
          <w:szCs w:val="22"/>
        </w:rPr>
        <w:t xml:space="preserve"> </w:t>
      </w:r>
      <w:r>
        <w:rPr>
          <w:rFonts w:cs="Arial"/>
          <w:szCs w:val="22"/>
        </w:rPr>
        <w:t xml:space="preserve"> </w:t>
      </w:r>
      <w:r w:rsidRPr="00827A31">
        <w:rPr>
          <w:rFonts w:cs="Arial"/>
          <w:szCs w:val="22"/>
        </w:rPr>
        <w:t xml:space="preserve">The total burden increase associated with the </w:t>
      </w:r>
      <w:r w:rsidRPr="00827A31" w:rsidR="00E03639">
        <w:rPr>
          <w:rFonts w:cs="Arial"/>
          <w:szCs w:val="22"/>
        </w:rPr>
        <w:t>final</w:t>
      </w:r>
      <w:r w:rsidRPr="00827A31">
        <w:rPr>
          <w:rFonts w:cs="Arial"/>
          <w:szCs w:val="22"/>
        </w:rPr>
        <w:t xml:space="preserve"> rule is </w:t>
      </w:r>
      <w:r w:rsidR="00FD602A">
        <w:rPr>
          <w:rFonts w:cs="Arial"/>
          <w:szCs w:val="22"/>
        </w:rPr>
        <w:t>2,300</w:t>
      </w:r>
      <w:r w:rsidRPr="00827A31" w:rsidR="002F3884">
        <w:rPr>
          <w:rFonts w:cs="Arial"/>
          <w:szCs w:val="22"/>
        </w:rPr>
        <w:t xml:space="preserve"> r</w:t>
      </w:r>
      <w:r w:rsidRPr="00827A31">
        <w:rPr>
          <w:rFonts w:cs="Arial"/>
          <w:szCs w:val="22"/>
        </w:rPr>
        <w:t xml:space="preserve">esponses and </w:t>
      </w:r>
      <w:r w:rsidR="00FD602A">
        <w:rPr>
          <w:rFonts w:cs="Arial"/>
          <w:szCs w:val="22"/>
        </w:rPr>
        <w:t>5,579</w:t>
      </w:r>
      <w:r w:rsidRPr="00827A31" w:rsidR="005F14CF">
        <w:rPr>
          <w:rFonts w:cs="Arial"/>
          <w:szCs w:val="22"/>
        </w:rPr>
        <w:t xml:space="preserve"> </w:t>
      </w:r>
      <w:r w:rsidRPr="00827A31">
        <w:rPr>
          <w:rFonts w:cs="Arial"/>
          <w:szCs w:val="22"/>
        </w:rPr>
        <w:t>hours</w:t>
      </w:r>
      <w:r w:rsidRPr="00827A31" w:rsidR="00FE11CA">
        <w:rPr>
          <w:rFonts w:cs="Arial"/>
          <w:szCs w:val="22"/>
        </w:rPr>
        <w:t>.</w:t>
      </w:r>
    </w:p>
    <w:p w:rsidRPr="0064275C" w:rsidR="0064275C" w:rsidP="0064275C" w:rsidRDefault="0064275C" w14:paraId="760938BE" w14:textId="77777777">
      <w:pPr>
        <w:pStyle w:val="ListParagraph"/>
        <w:widowControl/>
        <w:ind w:left="1440"/>
        <w:rPr>
          <w:rFonts w:cs="Arial"/>
          <w:szCs w:val="22"/>
        </w:rPr>
      </w:pPr>
    </w:p>
    <w:p w:rsidR="0064275C" w:rsidP="0064275C" w:rsidRDefault="0064275C" w14:paraId="5AD2BE58" w14:textId="7B88CB5C">
      <w:pPr>
        <w:widowControl/>
        <w:ind w:left="720"/>
        <w:rPr>
          <w:rFonts w:cs="Arial"/>
          <w:szCs w:val="22"/>
        </w:rPr>
      </w:pPr>
      <w:r w:rsidRPr="0064275C">
        <w:rPr>
          <w:rFonts w:cs="Arial"/>
          <w:szCs w:val="22"/>
        </w:rPr>
        <w:t xml:space="preserve">The factors that account for the increased estimate are the following: The </w:t>
      </w:r>
      <w:r>
        <w:rPr>
          <w:rFonts w:cs="Arial"/>
          <w:szCs w:val="22"/>
        </w:rPr>
        <w:t>final</w:t>
      </w:r>
      <w:r w:rsidRPr="0064275C">
        <w:rPr>
          <w:rFonts w:cs="Arial"/>
          <w:szCs w:val="22"/>
        </w:rPr>
        <w:t xml:space="preserve"> rule (1)</w:t>
      </w:r>
      <w:r>
        <w:rPr>
          <w:rFonts w:cs="Arial"/>
          <w:szCs w:val="22"/>
        </w:rPr>
        <w:t> </w:t>
      </w:r>
      <w:r w:rsidRPr="0064275C">
        <w:rPr>
          <w:rFonts w:cs="Arial"/>
          <w:szCs w:val="22"/>
        </w:rPr>
        <w:t xml:space="preserve">creates detailed </w:t>
      </w:r>
      <w:r w:rsidR="004B5138">
        <w:rPr>
          <w:rFonts w:cs="Arial"/>
          <w:szCs w:val="22"/>
        </w:rPr>
        <w:t xml:space="preserve">reporting and recordkeeping </w:t>
      </w:r>
      <w:r w:rsidRPr="0064275C">
        <w:rPr>
          <w:rFonts w:cs="Arial"/>
          <w:szCs w:val="22"/>
        </w:rPr>
        <w:t xml:space="preserve">requirements </w:t>
      </w:r>
      <w:r w:rsidR="004B5138">
        <w:rPr>
          <w:rFonts w:cs="Arial"/>
          <w:szCs w:val="22"/>
        </w:rPr>
        <w:t xml:space="preserve">for </w:t>
      </w:r>
      <w:r w:rsidRPr="0064275C">
        <w:rPr>
          <w:rFonts w:cs="Arial"/>
          <w:szCs w:val="22"/>
        </w:rPr>
        <w:t xml:space="preserve">licensees’ </w:t>
      </w:r>
      <w:r w:rsidR="00A81AED">
        <w:rPr>
          <w:rFonts w:cs="Arial"/>
          <w:szCs w:val="22"/>
        </w:rPr>
        <w:t xml:space="preserve">applications for </w:t>
      </w:r>
      <w:r w:rsidR="005F14CF">
        <w:rPr>
          <w:rFonts w:cs="Arial"/>
          <w:szCs w:val="22"/>
        </w:rPr>
        <w:t>Section 161A authorities</w:t>
      </w:r>
      <w:r w:rsidRPr="0064275C">
        <w:rPr>
          <w:rFonts w:cs="Arial"/>
          <w:szCs w:val="22"/>
        </w:rPr>
        <w:t>;</w:t>
      </w:r>
      <w:r>
        <w:rPr>
          <w:rFonts w:cs="Arial"/>
          <w:szCs w:val="22"/>
        </w:rPr>
        <w:t xml:space="preserve"> </w:t>
      </w:r>
      <w:r w:rsidR="005F14CF">
        <w:rPr>
          <w:rFonts w:cs="Arial"/>
          <w:szCs w:val="22"/>
        </w:rPr>
        <w:t xml:space="preserve">(2) creates detailed </w:t>
      </w:r>
      <w:r w:rsidR="004B5138">
        <w:rPr>
          <w:rFonts w:cs="Arial"/>
          <w:szCs w:val="22"/>
        </w:rPr>
        <w:t xml:space="preserve">reporting and recordkeeping </w:t>
      </w:r>
      <w:r w:rsidR="005F14CF">
        <w:rPr>
          <w:rFonts w:cs="Arial"/>
          <w:szCs w:val="22"/>
        </w:rPr>
        <w:t>requirements for accomplishing firearms background checks; (3</w:t>
      </w:r>
      <w:r w:rsidRPr="0064275C">
        <w:rPr>
          <w:rFonts w:cs="Arial"/>
          <w:szCs w:val="22"/>
        </w:rPr>
        <w:t xml:space="preserve">) adds requirements for </w:t>
      </w:r>
      <w:r w:rsidR="005F14CF">
        <w:rPr>
          <w:rFonts w:cs="Arial"/>
          <w:szCs w:val="22"/>
        </w:rPr>
        <w:t xml:space="preserve">accomplishing a </w:t>
      </w:r>
      <w:r w:rsidRPr="0064275C">
        <w:rPr>
          <w:rFonts w:cs="Arial"/>
          <w:szCs w:val="22"/>
        </w:rPr>
        <w:t xml:space="preserve">safety-security interface </w:t>
      </w:r>
      <w:r w:rsidR="005F14CF">
        <w:rPr>
          <w:rFonts w:cs="Arial"/>
          <w:szCs w:val="22"/>
        </w:rPr>
        <w:t xml:space="preserve">review </w:t>
      </w:r>
      <w:r w:rsidR="008238F3">
        <w:rPr>
          <w:rFonts w:cs="Arial"/>
          <w:szCs w:val="22"/>
        </w:rPr>
        <w:t>(</w:t>
      </w:r>
      <w:r w:rsidR="005F14CF">
        <w:rPr>
          <w:rFonts w:cs="Arial"/>
          <w:szCs w:val="22"/>
        </w:rPr>
        <w:t xml:space="preserve">i.e., </w:t>
      </w:r>
      <w:r w:rsidR="00A81AED">
        <w:rPr>
          <w:rFonts w:cs="Arial"/>
          <w:szCs w:val="22"/>
        </w:rPr>
        <w:t>completing a weapons safety assessment</w:t>
      </w:r>
      <w:r w:rsidR="008238F3">
        <w:rPr>
          <w:rFonts w:cs="Arial"/>
          <w:szCs w:val="22"/>
        </w:rPr>
        <w:t>)</w:t>
      </w:r>
      <w:r w:rsidR="004B5138">
        <w:rPr>
          <w:rFonts w:cs="Arial"/>
          <w:szCs w:val="22"/>
        </w:rPr>
        <w:t xml:space="preserve"> for applications for </w:t>
      </w:r>
      <w:r w:rsidR="005702C5">
        <w:rPr>
          <w:rFonts w:cs="Arial"/>
          <w:szCs w:val="22"/>
        </w:rPr>
        <w:t xml:space="preserve">combined preemption authority and </w:t>
      </w:r>
      <w:r w:rsidR="004B5138">
        <w:rPr>
          <w:rFonts w:cs="Arial"/>
          <w:szCs w:val="22"/>
        </w:rPr>
        <w:t>enhanced weapons authority</w:t>
      </w:r>
      <w:r w:rsidR="00A81AED">
        <w:rPr>
          <w:rFonts w:cs="Arial"/>
          <w:szCs w:val="22"/>
        </w:rPr>
        <w:t>;</w:t>
      </w:r>
      <w:r>
        <w:rPr>
          <w:rFonts w:cs="Arial"/>
          <w:szCs w:val="22"/>
        </w:rPr>
        <w:t xml:space="preserve"> (</w:t>
      </w:r>
      <w:r w:rsidR="004B5138">
        <w:rPr>
          <w:rFonts w:cs="Arial"/>
          <w:szCs w:val="22"/>
        </w:rPr>
        <w:t>4</w:t>
      </w:r>
      <w:r>
        <w:rPr>
          <w:rFonts w:cs="Arial"/>
          <w:szCs w:val="22"/>
        </w:rPr>
        <w:t xml:space="preserve">) creates additional </w:t>
      </w:r>
      <w:r w:rsidRPr="0064275C">
        <w:rPr>
          <w:rFonts w:cs="Arial"/>
          <w:szCs w:val="22"/>
        </w:rPr>
        <w:t xml:space="preserve">recordkeeping and reporting requirements associated with </w:t>
      </w:r>
      <w:r w:rsidR="004B5138">
        <w:rPr>
          <w:rFonts w:cs="Arial"/>
          <w:szCs w:val="22"/>
        </w:rPr>
        <w:t>new physical security event notifications; and (5</w:t>
      </w:r>
      <w:r w:rsidR="00006DBA">
        <w:rPr>
          <w:rFonts w:cs="Arial"/>
          <w:szCs w:val="22"/>
        </w:rPr>
        <w:t xml:space="preserve">) </w:t>
      </w:r>
      <w:r w:rsidR="004B5138">
        <w:rPr>
          <w:rFonts w:cs="Arial"/>
          <w:szCs w:val="22"/>
        </w:rPr>
        <w:t xml:space="preserve">creates additional </w:t>
      </w:r>
      <w:r w:rsidRPr="0064275C" w:rsidR="004B5138">
        <w:rPr>
          <w:rFonts w:cs="Arial"/>
          <w:szCs w:val="22"/>
        </w:rPr>
        <w:t>reporting requirements</w:t>
      </w:r>
      <w:r w:rsidR="004B5138">
        <w:rPr>
          <w:rFonts w:cs="Arial"/>
          <w:szCs w:val="22"/>
        </w:rPr>
        <w:t xml:space="preserve"> </w:t>
      </w:r>
      <w:r w:rsidR="00006DBA">
        <w:rPr>
          <w:rFonts w:cs="Arial"/>
          <w:szCs w:val="22"/>
        </w:rPr>
        <w:t xml:space="preserve">reporting of suspicious activities to </w:t>
      </w:r>
      <w:r w:rsidR="004B5138">
        <w:rPr>
          <w:rFonts w:cs="Arial"/>
          <w:szCs w:val="22"/>
        </w:rPr>
        <w:t xml:space="preserve">local and Federal </w:t>
      </w:r>
      <w:r w:rsidR="00006DBA">
        <w:rPr>
          <w:rFonts w:cs="Arial"/>
          <w:szCs w:val="22"/>
        </w:rPr>
        <w:t>law enfo</w:t>
      </w:r>
      <w:r w:rsidR="00516AB8">
        <w:rPr>
          <w:rFonts w:cs="Arial"/>
          <w:szCs w:val="22"/>
        </w:rPr>
        <w:t>r</w:t>
      </w:r>
      <w:r w:rsidR="00006DBA">
        <w:rPr>
          <w:rFonts w:cs="Arial"/>
          <w:szCs w:val="22"/>
        </w:rPr>
        <w:t xml:space="preserve">cement agencies and </w:t>
      </w:r>
      <w:r w:rsidR="004B5138">
        <w:rPr>
          <w:rFonts w:cs="Arial"/>
          <w:szCs w:val="22"/>
        </w:rPr>
        <w:t xml:space="preserve">to </w:t>
      </w:r>
      <w:r w:rsidR="00006DBA">
        <w:rPr>
          <w:rFonts w:cs="Arial"/>
          <w:szCs w:val="22"/>
        </w:rPr>
        <w:t>the NRC</w:t>
      </w:r>
      <w:r w:rsidRPr="0064275C">
        <w:rPr>
          <w:rFonts w:cs="Arial"/>
          <w:szCs w:val="22"/>
        </w:rPr>
        <w:t>.</w:t>
      </w:r>
    </w:p>
    <w:p w:rsidR="0064275C" w:rsidP="0064275C" w:rsidRDefault="0064275C" w14:paraId="61DD1068" w14:textId="77777777">
      <w:pPr>
        <w:widowControl/>
        <w:ind w:left="720"/>
        <w:rPr>
          <w:rFonts w:cs="Arial"/>
          <w:szCs w:val="22"/>
        </w:rPr>
      </w:pPr>
    </w:p>
    <w:p w:rsidR="00462C94" w:rsidP="0064275C" w:rsidRDefault="00D545AE" w14:paraId="78CB48D5" w14:textId="33C0A1BD">
      <w:pPr>
        <w:widowControl/>
        <w:ind w:left="720"/>
        <w:rPr>
          <w:rFonts w:cs="Arial"/>
          <w:szCs w:val="22"/>
        </w:rPr>
      </w:pPr>
      <w:r w:rsidRPr="00D545AE">
        <w:rPr>
          <w:rFonts w:cs="Arial"/>
          <w:szCs w:val="22"/>
        </w:rPr>
        <w:t>Note that of the 5,579 hours and 2,300 responses associated with the final rule, 3,772 hours and 2,146 responses are due to new statutory authority under Section 161A of the AEA.  The remaining 1,807 hours and 154 responses are changes due to agency discretion</w:t>
      </w:r>
      <w:r w:rsidR="00462C94">
        <w:rPr>
          <w:rFonts w:cs="Arial"/>
          <w:szCs w:val="22"/>
        </w:rPr>
        <w:t>.</w:t>
      </w:r>
    </w:p>
    <w:p w:rsidRPr="00A32597" w:rsidR="002B1B50" w:rsidP="00577D64" w:rsidRDefault="002B1B50" w14:paraId="29B61887" w14:textId="77777777">
      <w:pPr>
        <w:widowControl/>
        <w:ind w:left="720"/>
        <w:rPr>
          <w:rFonts w:cs="Arial"/>
          <w:szCs w:val="22"/>
        </w:rPr>
      </w:pPr>
    </w:p>
    <w:p w:rsidRPr="00A32597" w:rsidR="002B1B50" w:rsidP="00577D64" w:rsidRDefault="002B1B50" w14:paraId="49D7C457" w14:textId="77777777">
      <w:pPr>
        <w:keepNext/>
        <w:keepLines/>
        <w:widowControl/>
        <w:tabs>
          <w:tab w:val="left" w:pos="-1440"/>
        </w:tabs>
        <w:ind w:left="1440" w:hanging="720"/>
        <w:rPr>
          <w:rFonts w:cs="Arial"/>
          <w:szCs w:val="22"/>
        </w:rPr>
      </w:pPr>
      <w:r w:rsidRPr="00A32597">
        <w:rPr>
          <w:rFonts w:cs="Arial"/>
          <w:szCs w:val="22"/>
        </w:rPr>
        <w:t>16.</w:t>
      </w:r>
      <w:r w:rsidRPr="00A32597">
        <w:rPr>
          <w:rFonts w:cs="Arial"/>
          <w:szCs w:val="22"/>
        </w:rPr>
        <w:tab/>
      </w:r>
      <w:r w:rsidRPr="00A32597">
        <w:rPr>
          <w:rFonts w:cs="Arial"/>
          <w:szCs w:val="22"/>
          <w:u w:val="single"/>
        </w:rPr>
        <w:t>Publication for Statistical Use</w:t>
      </w:r>
    </w:p>
    <w:p w:rsidRPr="00A32597" w:rsidR="002B1B50" w:rsidP="00577D64" w:rsidRDefault="002B1B50" w14:paraId="75941A83" w14:textId="77777777">
      <w:pPr>
        <w:keepNext/>
        <w:keepLines/>
        <w:widowControl/>
        <w:rPr>
          <w:rFonts w:cs="Arial"/>
          <w:szCs w:val="22"/>
        </w:rPr>
      </w:pPr>
    </w:p>
    <w:p w:rsidRPr="00A32597" w:rsidR="002B1B50" w:rsidP="00577D64" w:rsidRDefault="005F699A" w14:paraId="4DCA1CC8" w14:textId="77777777">
      <w:pPr>
        <w:keepNext/>
        <w:keepLines/>
        <w:widowControl/>
        <w:ind w:firstLine="720"/>
        <w:rPr>
          <w:rFonts w:cs="Arial"/>
          <w:szCs w:val="22"/>
        </w:rPr>
      </w:pPr>
      <w:r w:rsidRPr="00A32597">
        <w:rPr>
          <w:rFonts w:cs="Arial"/>
          <w:szCs w:val="22"/>
        </w:rPr>
        <w:t>Not Applicable</w:t>
      </w:r>
      <w:r w:rsidRPr="00A32597" w:rsidR="002B1B50">
        <w:rPr>
          <w:rFonts w:cs="Arial"/>
          <w:szCs w:val="22"/>
        </w:rPr>
        <w:t>.</w:t>
      </w:r>
    </w:p>
    <w:p w:rsidRPr="00A32597" w:rsidR="002B1B50" w:rsidP="00577D64" w:rsidRDefault="002B1B50" w14:paraId="5DBF14F9" w14:textId="77777777">
      <w:pPr>
        <w:keepLines/>
        <w:widowControl/>
        <w:rPr>
          <w:rFonts w:cs="Arial"/>
          <w:szCs w:val="22"/>
        </w:rPr>
      </w:pPr>
    </w:p>
    <w:p w:rsidRPr="00A32597" w:rsidR="002B1B50" w:rsidP="00577D64" w:rsidRDefault="002B1B50" w14:paraId="06947904" w14:textId="77777777">
      <w:pPr>
        <w:keepNext/>
        <w:keepLines/>
        <w:widowControl/>
        <w:tabs>
          <w:tab w:val="left" w:pos="-1440"/>
        </w:tabs>
        <w:ind w:left="1440" w:hanging="720"/>
        <w:rPr>
          <w:rFonts w:cs="Arial"/>
          <w:szCs w:val="22"/>
          <w:u w:val="single"/>
        </w:rPr>
      </w:pPr>
      <w:r w:rsidRPr="00A32597">
        <w:rPr>
          <w:rFonts w:cs="Arial"/>
          <w:szCs w:val="22"/>
        </w:rPr>
        <w:t>17.</w:t>
      </w:r>
      <w:r w:rsidRPr="00A32597">
        <w:rPr>
          <w:rFonts w:cs="Arial"/>
          <w:szCs w:val="22"/>
        </w:rPr>
        <w:tab/>
      </w:r>
      <w:r w:rsidRPr="00A32597">
        <w:rPr>
          <w:rFonts w:cs="Arial"/>
          <w:szCs w:val="22"/>
          <w:u w:val="single"/>
        </w:rPr>
        <w:t>Reasons for Not Displaying the Expiration Date</w:t>
      </w:r>
    </w:p>
    <w:p w:rsidRPr="00A32597" w:rsidR="002B1B50" w:rsidP="00577D64" w:rsidRDefault="002B1B50" w14:paraId="08F338CB" w14:textId="77777777">
      <w:pPr>
        <w:keepNext/>
        <w:keepLines/>
        <w:widowControl/>
        <w:rPr>
          <w:rFonts w:cs="Arial"/>
          <w:szCs w:val="22"/>
          <w:u w:val="single"/>
        </w:rPr>
      </w:pPr>
    </w:p>
    <w:p w:rsidR="003248D0" w:rsidP="00520D8B" w:rsidRDefault="003248D0" w14:paraId="75D668E8" w14:textId="77777777">
      <w:pPr>
        <w:pStyle w:val="BodyText"/>
        <w:spacing w:before="71"/>
        <w:ind w:left="720" w:right="186"/>
      </w:pPr>
      <w:r>
        <w:t>The</w:t>
      </w:r>
      <w:r>
        <w:rPr>
          <w:spacing w:val="-8"/>
        </w:rPr>
        <w:t xml:space="preserve"> </w:t>
      </w:r>
      <w:r>
        <w:t>recordkeeping</w:t>
      </w:r>
      <w:r>
        <w:rPr>
          <w:spacing w:val="-8"/>
        </w:rPr>
        <w:t xml:space="preserve"> </w:t>
      </w:r>
      <w:r>
        <w:t>and</w:t>
      </w:r>
      <w:r>
        <w:rPr>
          <w:spacing w:val="-8"/>
        </w:rPr>
        <w:t xml:space="preserve"> </w:t>
      </w:r>
      <w:r>
        <w:rPr>
          <w:spacing w:val="-1"/>
        </w:rPr>
        <w:t>reporting</w:t>
      </w:r>
      <w:r>
        <w:rPr>
          <w:spacing w:val="-8"/>
        </w:rPr>
        <w:t xml:space="preserve"> </w:t>
      </w:r>
      <w:r>
        <w:rPr>
          <w:spacing w:val="-1"/>
        </w:rPr>
        <w:t>requirements</w:t>
      </w:r>
      <w:r>
        <w:rPr>
          <w:spacing w:val="-8"/>
        </w:rPr>
        <w:t xml:space="preserve"> </w:t>
      </w:r>
      <w:r>
        <w:t>for</w:t>
      </w:r>
      <w:r>
        <w:rPr>
          <w:spacing w:val="-8"/>
        </w:rPr>
        <w:t xml:space="preserve"> </w:t>
      </w:r>
      <w:r>
        <w:t>th</w:t>
      </w:r>
      <w:r w:rsidR="00520D8B">
        <w:t>e</w:t>
      </w:r>
      <w:r w:rsidR="004872C9">
        <w:t>se</w:t>
      </w:r>
      <w:r>
        <w:rPr>
          <w:spacing w:val="-8"/>
        </w:rPr>
        <w:t xml:space="preserve"> </w:t>
      </w:r>
      <w:r>
        <w:rPr>
          <w:spacing w:val="-1"/>
        </w:rPr>
        <w:t>information</w:t>
      </w:r>
      <w:r>
        <w:rPr>
          <w:spacing w:val="-8"/>
        </w:rPr>
        <w:t xml:space="preserve"> </w:t>
      </w:r>
      <w:r>
        <w:rPr>
          <w:spacing w:val="-1"/>
        </w:rPr>
        <w:t xml:space="preserve">collections </w:t>
      </w:r>
      <w:r>
        <w:t>are</w:t>
      </w:r>
      <w:r>
        <w:rPr>
          <w:spacing w:val="69"/>
          <w:w w:val="99"/>
        </w:rPr>
        <w:t xml:space="preserve"> </w:t>
      </w:r>
      <w:r>
        <w:rPr>
          <w:spacing w:val="-1"/>
        </w:rPr>
        <w:t>associated</w:t>
      </w:r>
      <w:r>
        <w:rPr>
          <w:spacing w:val="-8"/>
        </w:rPr>
        <w:t xml:space="preserve"> </w:t>
      </w:r>
      <w:r>
        <w:t>with</w:t>
      </w:r>
      <w:r>
        <w:rPr>
          <w:spacing w:val="-6"/>
        </w:rPr>
        <w:t xml:space="preserve"> </w:t>
      </w:r>
      <w:r>
        <w:t>regulations</w:t>
      </w:r>
      <w:r>
        <w:rPr>
          <w:spacing w:val="-7"/>
        </w:rPr>
        <w:t xml:space="preserve"> </w:t>
      </w:r>
      <w:r>
        <w:t>and</w:t>
      </w:r>
      <w:r>
        <w:rPr>
          <w:spacing w:val="-6"/>
        </w:rPr>
        <w:t xml:space="preserve"> </w:t>
      </w:r>
      <w:r>
        <w:t>are</w:t>
      </w:r>
      <w:r>
        <w:rPr>
          <w:spacing w:val="-8"/>
        </w:rPr>
        <w:t xml:space="preserve"> </w:t>
      </w:r>
      <w:r w:rsidR="004872C9">
        <w:rPr>
          <w:spacing w:val="-8"/>
        </w:rPr>
        <w:t xml:space="preserve">not </w:t>
      </w:r>
      <w:r>
        <w:t>submitted</w:t>
      </w:r>
      <w:r>
        <w:rPr>
          <w:spacing w:val="-6"/>
        </w:rPr>
        <w:t xml:space="preserve"> </w:t>
      </w:r>
      <w:r>
        <w:t>on</w:t>
      </w:r>
      <w:r>
        <w:rPr>
          <w:spacing w:val="-7"/>
        </w:rPr>
        <w:t xml:space="preserve"> </w:t>
      </w:r>
      <w:r>
        <w:t>instruments</w:t>
      </w:r>
      <w:r>
        <w:rPr>
          <w:spacing w:val="-5"/>
        </w:rPr>
        <w:t xml:space="preserve"> </w:t>
      </w:r>
      <w:r>
        <w:t>such</w:t>
      </w:r>
      <w:r>
        <w:rPr>
          <w:spacing w:val="-7"/>
        </w:rPr>
        <w:t xml:space="preserve"> </w:t>
      </w:r>
      <w:r>
        <w:rPr>
          <w:spacing w:val="-1"/>
        </w:rPr>
        <w:t>as</w:t>
      </w:r>
      <w:r>
        <w:rPr>
          <w:spacing w:val="-6"/>
        </w:rPr>
        <w:t xml:space="preserve"> </w:t>
      </w:r>
      <w:r>
        <w:t>forms</w:t>
      </w:r>
      <w:r>
        <w:rPr>
          <w:spacing w:val="20"/>
          <w:w w:val="99"/>
        </w:rPr>
        <w:t xml:space="preserve"> </w:t>
      </w:r>
      <w:r>
        <w:t>or</w:t>
      </w:r>
      <w:r>
        <w:rPr>
          <w:spacing w:val="-5"/>
        </w:rPr>
        <w:t xml:space="preserve"> </w:t>
      </w:r>
      <w:r>
        <w:t>surveys.</w:t>
      </w:r>
      <w:r>
        <w:rPr>
          <w:spacing w:val="-5"/>
        </w:rPr>
        <w:t xml:space="preserve"> </w:t>
      </w:r>
      <w:r w:rsidR="00520D8B">
        <w:rPr>
          <w:spacing w:val="-5"/>
        </w:rPr>
        <w:t xml:space="preserve"> </w:t>
      </w:r>
      <w:r>
        <w:t>For</w:t>
      </w:r>
      <w:r>
        <w:rPr>
          <w:spacing w:val="-5"/>
        </w:rPr>
        <w:t xml:space="preserve"> </w:t>
      </w:r>
      <w:r>
        <w:t>this</w:t>
      </w:r>
      <w:r>
        <w:rPr>
          <w:spacing w:val="-5"/>
        </w:rPr>
        <w:t xml:space="preserve"> </w:t>
      </w:r>
      <w:r>
        <w:t>reason,</w:t>
      </w:r>
      <w:r>
        <w:rPr>
          <w:spacing w:val="-5"/>
        </w:rPr>
        <w:t xml:space="preserve"> </w:t>
      </w:r>
      <w:r>
        <w:t>there</w:t>
      </w:r>
      <w:r>
        <w:rPr>
          <w:spacing w:val="-6"/>
        </w:rPr>
        <w:t xml:space="preserve"> </w:t>
      </w:r>
      <w:r>
        <w:t>are</w:t>
      </w:r>
      <w:r>
        <w:rPr>
          <w:spacing w:val="-5"/>
        </w:rPr>
        <w:t xml:space="preserve"> </w:t>
      </w:r>
      <w:r>
        <w:t>no</w:t>
      </w:r>
      <w:r>
        <w:rPr>
          <w:spacing w:val="-5"/>
        </w:rPr>
        <w:t xml:space="preserve"> </w:t>
      </w:r>
      <w:r>
        <w:t>data</w:t>
      </w:r>
      <w:r>
        <w:rPr>
          <w:spacing w:val="-5"/>
        </w:rPr>
        <w:t xml:space="preserve"> </w:t>
      </w:r>
      <w:r>
        <w:rPr>
          <w:spacing w:val="-1"/>
        </w:rPr>
        <w:t>instruments</w:t>
      </w:r>
      <w:r>
        <w:rPr>
          <w:spacing w:val="-5"/>
        </w:rPr>
        <w:t xml:space="preserve"> </w:t>
      </w:r>
      <w:r>
        <w:t>on</w:t>
      </w:r>
      <w:r>
        <w:rPr>
          <w:spacing w:val="-5"/>
        </w:rPr>
        <w:t xml:space="preserve"> </w:t>
      </w:r>
      <w:r>
        <w:t>which</w:t>
      </w:r>
      <w:r>
        <w:rPr>
          <w:spacing w:val="-5"/>
        </w:rPr>
        <w:t xml:space="preserve"> </w:t>
      </w:r>
      <w:r>
        <w:t>to</w:t>
      </w:r>
      <w:r>
        <w:rPr>
          <w:spacing w:val="-5"/>
        </w:rPr>
        <w:t xml:space="preserve"> </w:t>
      </w:r>
      <w:r>
        <w:t>display</w:t>
      </w:r>
      <w:r>
        <w:rPr>
          <w:spacing w:val="-5"/>
        </w:rPr>
        <w:t xml:space="preserve"> </w:t>
      </w:r>
      <w:r>
        <w:t>an</w:t>
      </w:r>
      <w:r>
        <w:rPr>
          <w:spacing w:val="20"/>
          <w:w w:val="99"/>
        </w:rPr>
        <w:t xml:space="preserve"> </w:t>
      </w:r>
      <w:r>
        <w:t>OMB</w:t>
      </w:r>
      <w:r>
        <w:rPr>
          <w:spacing w:val="-6"/>
        </w:rPr>
        <w:t xml:space="preserve"> </w:t>
      </w:r>
      <w:r>
        <w:t>expiration</w:t>
      </w:r>
      <w:r>
        <w:rPr>
          <w:spacing w:val="-6"/>
        </w:rPr>
        <w:t xml:space="preserve"> </w:t>
      </w:r>
      <w:r>
        <w:t>date.</w:t>
      </w:r>
      <w:r>
        <w:rPr>
          <w:spacing w:val="-6"/>
        </w:rPr>
        <w:t xml:space="preserve"> </w:t>
      </w:r>
      <w:r w:rsidR="00520D8B">
        <w:rPr>
          <w:spacing w:val="-6"/>
        </w:rPr>
        <w:t xml:space="preserve"> </w:t>
      </w:r>
      <w:r>
        <w:rPr>
          <w:spacing w:val="-1"/>
        </w:rPr>
        <w:t>Further,</w:t>
      </w:r>
      <w:r>
        <w:rPr>
          <w:spacing w:val="-6"/>
        </w:rPr>
        <w:t xml:space="preserve"> </w:t>
      </w:r>
      <w:r>
        <w:t>amending</w:t>
      </w:r>
      <w:r>
        <w:rPr>
          <w:spacing w:val="-6"/>
        </w:rPr>
        <w:t xml:space="preserve"> </w:t>
      </w:r>
      <w:r>
        <w:t>the</w:t>
      </w:r>
      <w:r>
        <w:rPr>
          <w:spacing w:val="-6"/>
        </w:rPr>
        <w:t xml:space="preserve"> </w:t>
      </w:r>
      <w:r>
        <w:rPr>
          <w:spacing w:val="-1"/>
        </w:rPr>
        <w:t>regulatory</w:t>
      </w:r>
      <w:r>
        <w:rPr>
          <w:spacing w:val="-6"/>
        </w:rPr>
        <w:t xml:space="preserve"> </w:t>
      </w:r>
      <w:r>
        <w:t>text</w:t>
      </w:r>
      <w:r>
        <w:rPr>
          <w:spacing w:val="-5"/>
        </w:rPr>
        <w:t xml:space="preserve"> </w:t>
      </w:r>
      <w:r>
        <w:t>of</w:t>
      </w:r>
      <w:r>
        <w:rPr>
          <w:spacing w:val="-6"/>
        </w:rPr>
        <w:t xml:space="preserve"> </w:t>
      </w:r>
      <w:r>
        <w:t>the</w:t>
      </w:r>
      <w:r>
        <w:rPr>
          <w:spacing w:val="-6"/>
        </w:rPr>
        <w:t xml:space="preserve"> </w:t>
      </w:r>
      <w:r>
        <w:t>CFR</w:t>
      </w:r>
      <w:r>
        <w:rPr>
          <w:spacing w:val="-6"/>
        </w:rPr>
        <w:t xml:space="preserve"> </w:t>
      </w:r>
      <w:r>
        <w:t>to</w:t>
      </w:r>
      <w:r>
        <w:rPr>
          <w:spacing w:val="-6"/>
        </w:rPr>
        <w:t xml:space="preserve"> </w:t>
      </w:r>
      <w:r>
        <w:t>display</w:t>
      </w:r>
      <w:r>
        <w:rPr>
          <w:spacing w:val="34"/>
          <w:w w:val="99"/>
        </w:rPr>
        <w:t xml:space="preserve"> </w:t>
      </w:r>
      <w:r>
        <w:t>information</w:t>
      </w:r>
      <w:r>
        <w:rPr>
          <w:spacing w:val="-7"/>
        </w:rPr>
        <w:t xml:space="preserve"> </w:t>
      </w:r>
      <w:r>
        <w:t>that,</w:t>
      </w:r>
      <w:r>
        <w:rPr>
          <w:spacing w:val="-7"/>
        </w:rPr>
        <w:t xml:space="preserve"> </w:t>
      </w:r>
      <w:r>
        <w:t>in</w:t>
      </w:r>
      <w:r>
        <w:rPr>
          <w:spacing w:val="-6"/>
        </w:rPr>
        <w:t xml:space="preserve"> </w:t>
      </w:r>
      <w:r>
        <w:t>an</w:t>
      </w:r>
      <w:r>
        <w:rPr>
          <w:spacing w:val="-7"/>
        </w:rPr>
        <w:t xml:space="preserve"> </w:t>
      </w:r>
      <w:r>
        <w:rPr>
          <w:spacing w:val="-1"/>
        </w:rPr>
        <w:t>annual</w:t>
      </w:r>
      <w:r>
        <w:rPr>
          <w:spacing w:val="-7"/>
        </w:rPr>
        <w:t xml:space="preserve"> </w:t>
      </w:r>
      <w:r>
        <w:rPr>
          <w:spacing w:val="-1"/>
        </w:rPr>
        <w:t>publication,</w:t>
      </w:r>
      <w:r>
        <w:rPr>
          <w:spacing w:val="-6"/>
        </w:rPr>
        <w:t xml:space="preserve"> </w:t>
      </w:r>
      <w:r>
        <w:t>could</w:t>
      </w:r>
      <w:r>
        <w:rPr>
          <w:spacing w:val="-7"/>
        </w:rPr>
        <w:t xml:space="preserve"> </w:t>
      </w:r>
      <w:r>
        <w:rPr>
          <w:spacing w:val="-1"/>
        </w:rPr>
        <w:t>become</w:t>
      </w:r>
      <w:r>
        <w:rPr>
          <w:spacing w:val="-7"/>
        </w:rPr>
        <w:t xml:space="preserve"> </w:t>
      </w:r>
      <w:r>
        <w:t>obsolete</w:t>
      </w:r>
      <w:r>
        <w:rPr>
          <w:spacing w:val="-6"/>
        </w:rPr>
        <w:t xml:space="preserve"> </w:t>
      </w:r>
      <w:r>
        <w:t>would</w:t>
      </w:r>
      <w:r>
        <w:rPr>
          <w:spacing w:val="-7"/>
        </w:rPr>
        <w:t xml:space="preserve"> </w:t>
      </w:r>
      <w:r>
        <w:rPr>
          <w:spacing w:val="-1"/>
        </w:rPr>
        <w:t>be</w:t>
      </w:r>
      <w:r w:rsidR="004B5138">
        <w:rPr>
          <w:spacing w:val="-1"/>
        </w:rPr>
        <w:t xml:space="preserve"> </w:t>
      </w:r>
      <w:r>
        <w:t>unduly</w:t>
      </w:r>
      <w:r>
        <w:rPr>
          <w:spacing w:val="-7"/>
        </w:rPr>
        <w:t xml:space="preserve"> </w:t>
      </w:r>
      <w:r>
        <w:t>burdensome</w:t>
      </w:r>
      <w:r>
        <w:rPr>
          <w:spacing w:val="-7"/>
        </w:rPr>
        <w:t xml:space="preserve"> </w:t>
      </w:r>
      <w:r>
        <w:t>and</w:t>
      </w:r>
      <w:r>
        <w:rPr>
          <w:spacing w:val="-7"/>
        </w:rPr>
        <w:t xml:space="preserve"> </w:t>
      </w:r>
      <w:r>
        <w:t>too</w:t>
      </w:r>
      <w:r>
        <w:rPr>
          <w:spacing w:val="-6"/>
        </w:rPr>
        <w:t xml:space="preserve"> </w:t>
      </w:r>
      <w:r>
        <w:rPr>
          <w:spacing w:val="-1"/>
        </w:rPr>
        <w:t>difficult</w:t>
      </w:r>
      <w:r>
        <w:rPr>
          <w:spacing w:val="-8"/>
        </w:rPr>
        <w:t xml:space="preserve"> </w:t>
      </w:r>
      <w:r>
        <w:t>to</w:t>
      </w:r>
      <w:r>
        <w:rPr>
          <w:spacing w:val="-7"/>
        </w:rPr>
        <w:t xml:space="preserve"> </w:t>
      </w:r>
      <w:r>
        <w:t>keep</w:t>
      </w:r>
      <w:r>
        <w:rPr>
          <w:spacing w:val="-6"/>
        </w:rPr>
        <w:t xml:space="preserve"> </w:t>
      </w:r>
      <w:r>
        <w:rPr>
          <w:spacing w:val="-1"/>
        </w:rPr>
        <w:t>current.</w:t>
      </w:r>
    </w:p>
    <w:p w:rsidR="003248D0" w:rsidP="00577D64" w:rsidRDefault="003248D0" w14:paraId="3D839015" w14:textId="77777777">
      <w:pPr>
        <w:keepLines/>
        <w:widowControl/>
        <w:ind w:left="720"/>
        <w:rPr>
          <w:rFonts w:cs="Arial"/>
          <w:szCs w:val="22"/>
        </w:rPr>
      </w:pPr>
    </w:p>
    <w:p w:rsidRPr="00A32597" w:rsidR="002B1B50" w:rsidP="00577D64" w:rsidRDefault="002B1B50" w14:paraId="7B3B3C95" w14:textId="77777777">
      <w:pPr>
        <w:keepNext/>
        <w:keepLines/>
        <w:widowControl/>
        <w:tabs>
          <w:tab w:val="left" w:pos="-1440"/>
        </w:tabs>
        <w:ind w:left="1440" w:hanging="720"/>
        <w:rPr>
          <w:rFonts w:cs="Arial"/>
          <w:szCs w:val="22"/>
          <w:u w:val="single"/>
        </w:rPr>
      </w:pPr>
      <w:r w:rsidRPr="00A32597">
        <w:rPr>
          <w:rFonts w:cs="Arial"/>
          <w:szCs w:val="22"/>
        </w:rPr>
        <w:t>18.</w:t>
      </w:r>
      <w:r w:rsidRPr="00A32597">
        <w:rPr>
          <w:rFonts w:cs="Arial"/>
          <w:szCs w:val="22"/>
        </w:rPr>
        <w:tab/>
      </w:r>
      <w:r w:rsidRPr="00A32597">
        <w:rPr>
          <w:rFonts w:cs="Arial"/>
          <w:szCs w:val="22"/>
          <w:u w:val="single"/>
        </w:rPr>
        <w:t>Exceptions to the Certification Statement</w:t>
      </w:r>
    </w:p>
    <w:p w:rsidRPr="00A32597" w:rsidR="002B1B50" w:rsidP="00577D64" w:rsidRDefault="002B1B50" w14:paraId="2A9020DB" w14:textId="77777777">
      <w:pPr>
        <w:keepNext/>
        <w:keepLines/>
        <w:widowControl/>
        <w:rPr>
          <w:rFonts w:cs="Arial"/>
          <w:szCs w:val="22"/>
          <w:u w:val="single"/>
        </w:rPr>
      </w:pPr>
    </w:p>
    <w:p w:rsidRPr="00A32597" w:rsidR="002B1B50" w:rsidP="00577D64" w:rsidRDefault="005F699A" w14:paraId="76494DCB" w14:textId="77777777">
      <w:pPr>
        <w:keepNext/>
        <w:keepLines/>
        <w:widowControl/>
        <w:ind w:left="720"/>
        <w:rPr>
          <w:rFonts w:cs="Arial"/>
          <w:szCs w:val="22"/>
        </w:rPr>
      </w:pPr>
      <w:r w:rsidRPr="00A32597">
        <w:rPr>
          <w:rFonts w:cs="Arial"/>
          <w:szCs w:val="22"/>
        </w:rPr>
        <w:t>There are no exceptions</w:t>
      </w:r>
      <w:r w:rsidRPr="00A32597" w:rsidR="002B1B50">
        <w:rPr>
          <w:rFonts w:cs="Arial"/>
          <w:szCs w:val="22"/>
        </w:rPr>
        <w:t>.</w:t>
      </w:r>
    </w:p>
    <w:p w:rsidR="00A32597" w:rsidP="00577D64" w:rsidRDefault="00A32597" w14:paraId="753A5596" w14:textId="77777777">
      <w:pPr>
        <w:keepNext/>
        <w:keepLines/>
        <w:widowControl/>
        <w:rPr>
          <w:rFonts w:cs="Arial"/>
          <w:szCs w:val="22"/>
        </w:rPr>
      </w:pPr>
    </w:p>
    <w:p w:rsidRPr="000C35E0" w:rsidR="002B1B50" w:rsidP="00577D64" w:rsidRDefault="002B1B50" w14:paraId="59F24A9C" w14:textId="77777777">
      <w:pPr>
        <w:keepNext/>
        <w:keepLines/>
        <w:widowControl/>
        <w:rPr>
          <w:rFonts w:cs="Arial"/>
          <w:szCs w:val="22"/>
        </w:rPr>
      </w:pPr>
      <w:r w:rsidRPr="000C35E0">
        <w:rPr>
          <w:rFonts w:cs="Arial"/>
          <w:szCs w:val="22"/>
        </w:rPr>
        <w:t>B.  COLLECTIONS OF INFORMATION EMPLOYING STATISTICAL METHODS</w:t>
      </w:r>
    </w:p>
    <w:p w:rsidRPr="00A32597" w:rsidR="002B1B50" w:rsidP="00577D64" w:rsidRDefault="002B1B50" w14:paraId="3F252AE6" w14:textId="77777777">
      <w:pPr>
        <w:keepNext/>
        <w:keepLines/>
        <w:widowControl/>
        <w:rPr>
          <w:rFonts w:cs="Arial"/>
          <w:szCs w:val="22"/>
        </w:rPr>
      </w:pPr>
    </w:p>
    <w:p w:rsidRPr="00E031E3" w:rsidR="008F4BB6" w:rsidP="008F4BB6" w:rsidRDefault="008F4BB6" w14:paraId="1BD0C892" w14:textId="33AB5BB0">
      <w:pPr>
        <w:keepNext/>
        <w:keepLines/>
        <w:widowControl/>
        <w:ind w:firstLine="720"/>
      </w:pPr>
      <w:r w:rsidRPr="00A32597">
        <w:rPr>
          <w:rFonts w:cs="Arial"/>
          <w:szCs w:val="22"/>
        </w:rPr>
        <w:t>Not Applicable.</w:t>
      </w:r>
    </w:p>
    <w:p w:rsidRPr="00E031E3" w:rsidR="00500E5A" w:rsidP="007B20A2" w:rsidRDefault="00500E5A" w14:paraId="0FEB866F" w14:textId="79ED332A">
      <w:pPr>
        <w:widowControl/>
      </w:pPr>
    </w:p>
    <w:sectPr w:rsidRPr="00E031E3" w:rsidR="00500E5A" w:rsidSect="007B20A2">
      <w:footerReference w:type="default" r:id="rId14"/>
      <w:pgSz w:w="12240" w:h="15840" w:code="1"/>
      <w:pgMar w:top="1008" w:right="1296" w:bottom="1008" w:left="1296"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C4D7" w14:textId="77777777" w:rsidR="009C7A0F" w:rsidRDefault="009C7A0F">
      <w:r>
        <w:separator/>
      </w:r>
    </w:p>
  </w:endnote>
  <w:endnote w:type="continuationSeparator" w:id="0">
    <w:p w14:paraId="20907BA7" w14:textId="77777777" w:rsidR="009C7A0F" w:rsidRDefault="009C7A0F">
      <w:r>
        <w:continuationSeparator/>
      </w:r>
    </w:p>
  </w:endnote>
  <w:endnote w:type="continuationNotice" w:id="1">
    <w:p w14:paraId="147FACA6" w14:textId="77777777" w:rsidR="009C7A0F" w:rsidRDefault="009C7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C2FD" w14:textId="77777777" w:rsidR="00D45481" w:rsidRPr="00C1504A" w:rsidRDefault="00D45481">
    <w:pPr>
      <w:pStyle w:val="Footer"/>
      <w:jc w:val="center"/>
      <w:rPr>
        <w:rFonts w:cs="Arial"/>
        <w:szCs w:val="22"/>
      </w:rPr>
    </w:pPr>
    <w:r w:rsidRPr="00C1504A">
      <w:rPr>
        <w:rFonts w:cs="Arial"/>
        <w:szCs w:val="22"/>
      </w:rPr>
      <w:fldChar w:fldCharType="begin"/>
    </w:r>
    <w:r w:rsidRPr="00C1504A">
      <w:rPr>
        <w:rFonts w:cs="Arial"/>
        <w:szCs w:val="22"/>
      </w:rPr>
      <w:instrText xml:space="preserve"> PAGE   \* MERGEFORMAT </w:instrText>
    </w:r>
    <w:r w:rsidRPr="00C1504A">
      <w:rPr>
        <w:rFonts w:cs="Arial"/>
        <w:szCs w:val="22"/>
      </w:rPr>
      <w:fldChar w:fldCharType="separate"/>
    </w:r>
    <w:r w:rsidR="009A2C57">
      <w:rPr>
        <w:rFonts w:cs="Arial"/>
        <w:noProof/>
        <w:szCs w:val="22"/>
      </w:rPr>
      <w:t>19</w:t>
    </w:r>
    <w:r w:rsidRPr="00C1504A">
      <w:rPr>
        <w:rFonts w:cs="Arial"/>
        <w:noProof/>
        <w:szCs w:val="22"/>
      </w:rPr>
      <w:fldChar w:fldCharType="end"/>
    </w:r>
  </w:p>
  <w:p w14:paraId="4C345D72" w14:textId="77777777" w:rsidR="00D45481" w:rsidRPr="001441A2" w:rsidRDefault="00D45481" w:rsidP="001441A2">
    <w:pPr>
      <w:pStyle w:val="Footer"/>
      <w:jc w:val="cen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941D" w14:textId="77777777" w:rsidR="009C7A0F" w:rsidRDefault="009C7A0F">
      <w:r>
        <w:separator/>
      </w:r>
    </w:p>
  </w:footnote>
  <w:footnote w:type="continuationSeparator" w:id="0">
    <w:p w14:paraId="5C96D70E" w14:textId="77777777" w:rsidR="009C7A0F" w:rsidRDefault="009C7A0F">
      <w:r>
        <w:continuationSeparator/>
      </w:r>
    </w:p>
  </w:footnote>
  <w:footnote w:type="continuationNotice" w:id="1">
    <w:p w14:paraId="230128C0" w14:textId="77777777" w:rsidR="009C7A0F" w:rsidRDefault="009C7A0F"/>
  </w:footnote>
  <w:footnote w:id="2">
    <w:p w14:paraId="7BC8F61E" w14:textId="4C4DE7DB" w:rsidR="00D45481" w:rsidRPr="00041E33" w:rsidRDefault="00D45481">
      <w:pPr>
        <w:pStyle w:val="FootnoteText"/>
        <w:rPr>
          <w:sz w:val="18"/>
          <w:szCs w:val="18"/>
        </w:rPr>
      </w:pPr>
      <w:r w:rsidRPr="00041E33">
        <w:rPr>
          <w:rStyle w:val="FootnoteReference"/>
          <w:sz w:val="18"/>
          <w:szCs w:val="18"/>
          <w:vertAlign w:val="superscript"/>
        </w:rPr>
        <w:footnoteRef/>
      </w:r>
      <w:r w:rsidRPr="00041E33">
        <w:rPr>
          <w:sz w:val="18"/>
          <w:szCs w:val="18"/>
          <w:vertAlign w:val="superscript"/>
        </w:rPr>
        <w:t xml:space="preserve"> </w:t>
      </w:r>
      <w:r w:rsidRPr="00041E33">
        <w:rPr>
          <w:sz w:val="18"/>
          <w:szCs w:val="18"/>
        </w:rPr>
        <w:t>Voluntary suspicious activity reporting was approved by OMB under clearance 3150-0219, “Suspicious Activity Reporting Using the Protected Web Server.”</w:t>
      </w:r>
      <w:r>
        <w:rPr>
          <w:sz w:val="18"/>
          <w:szCs w:val="18"/>
        </w:rPr>
        <w:t xml:space="preserve">  Under the final rule, suspicious activity reporting will be mandatory for licensees subject to Part 73, except Category II and III fresh fuel fabrication facilities and </w:t>
      </w:r>
      <w:r w:rsidR="001E18CC">
        <w:rPr>
          <w:sz w:val="18"/>
          <w:szCs w:val="18"/>
        </w:rPr>
        <w:t>2</w:t>
      </w:r>
      <w:r>
        <w:rPr>
          <w:sz w:val="18"/>
          <w:szCs w:val="18"/>
        </w:rPr>
        <w:t xml:space="preserve"> licensees listed in 73.1215(g) .</w:t>
      </w:r>
    </w:p>
  </w:footnote>
  <w:footnote w:id="3">
    <w:p w14:paraId="6796D588" w14:textId="56B2C889" w:rsidR="00D45481" w:rsidRPr="0053071B" w:rsidRDefault="00D45481">
      <w:pPr>
        <w:pStyle w:val="FootnoteText"/>
      </w:pPr>
      <w:r w:rsidRPr="0053071B">
        <w:rPr>
          <w:rStyle w:val="FootnoteReference"/>
          <w:vertAlign w:val="superscript"/>
        </w:rPr>
        <w:footnoteRef/>
      </w:r>
      <w:r w:rsidRPr="0053071B">
        <w:rPr>
          <w:vertAlign w:val="superscript"/>
        </w:rPr>
        <w:t xml:space="preserve"> </w:t>
      </w:r>
      <w:r w:rsidRPr="0053071B">
        <w:rPr>
          <w:sz w:val="18"/>
        </w:rPr>
        <w:t>Previously approved under “Suspicious Activity Reporting Using the Protected Web Server” (</w:t>
      </w:r>
      <w:r>
        <w:rPr>
          <w:sz w:val="18"/>
        </w:rPr>
        <w:t xml:space="preserve">OMB control number </w:t>
      </w:r>
      <w:r w:rsidRPr="0053071B">
        <w:rPr>
          <w:sz w:val="18"/>
        </w:rPr>
        <w:t>3150-0214)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AEA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1C731834"/>
    <w:multiLevelType w:val="hybridMultilevel"/>
    <w:tmpl w:val="7D5A54DA"/>
    <w:lvl w:ilvl="0" w:tplc="05481E8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71070"/>
    <w:multiLevelType w:val="hybridMultilevel"/>
    <w:tmpl w:val="88D4C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A00D56"/>
    <w:multiLevelType w:val="hybridMultilevel"/>
    <w:tmpl w:val="FD147500"/>
    <w:lvl w:ilvl="0" w:tplc="9D344B8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DD0D31"/>
    <w:multiLevelType w:val="hybridMultilevel"/>
    <w:tmpl w:val="8278C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0B594A"/>
    <w:multiLevelType w:val="hybridMultilevel"/>
    <w:tmpl w:val="84BA3D0E"/>
    <w:lvl w:ilvl="0" w:tplc="F5289654">
      <w:start w:val="1"/>
      <w:numFmt w:val="bullet"/>
      <w:lvlText w:val=""/>
      <w:lvlJc w:val="left"/>
      <w:pPr>
        <w:ind w:left="1800" w:hanging="360"/>
      </w:pPr>
      <w:rPr>
        <w:rFonts w:ascii="Symbol" w:hAnsi="Symbol" w:hint="default"/>
        <w:sz w:val="22"/>
      </w:rPr>
    </w:lvl>
    <w:lvl w:ilvl="1" w:tplc="EC307D46">
      <w:start w:val="1"/>
      <w:numFmt w:val="lowerLetter"/>
      <w:lvlText w:val="%2."/>
      <w:lvlJc w:val="left"/>
      <w:pPr>
        <w:ind w:left="2520" w:hanging="360"/>
      </w:pPr>
      <w:rPr>
        <w:rFonts w:hint="default"/>
      </w:rPr>
    </w:lvl>
    <w:lvl w:ilvl="2" w:tplc="9504579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444470"/>
    <w:multiLevelType w:val="hybridMultilevel"/>
    <w:tmpl w:val="5F0E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4C6442"/>
    <w:multiLevelType w:val="hybridMultilevel"/>
    <w:tmpl w:val="00C6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57CE"/>
    <w:multiLevelType w:val="hybridMultilevel"/>
    <w:tmpl w:val="043CF32A"/>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60F3072D"/>
    <w:multiLevelType w:val="hybridMultilevel"/>
    <w:tmpl w:val="F0822BC0"/>
    <w:lvl w:ilvl="0" w:tplc="098CBD9A">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B666587"/>
    <w:multiLevelType w:val="hybridMultilevel"/>
    <w:tmpl w:val="900829E4"/>
    <w:lvl w:ilvl="0" w:tplc="098CB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F16E4"/>
    <w:multiLevelType w:val="hybridMultilevel"/>
    <w:tmpl w:val="BB285D1C"/>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71ED51D2"/>
    <w:multiLevelType w:val="hybridMultilevel"/>
    <w:tmpl w:val="5922EF04"/>
    <w:lvl w:ilvl="0" w:tplc="578C20D2">
      <w:start w:val="4"/>
      <w:numFmt w:val="lowerLetter"/>
      <w:lvlText w:val="%1)"/>
      <w:lvlJc w:val="left"/>
      <w:pPr>
        <w:tabs>
          <w:tab w:val="num" w:pos="1440"/>
        </w:tabs>
        <w:ind w:left="1440" w:hanging="720"/>
      </w:pPr>
      <w:rPr>
        <w:rFonts w:ascii="Shruti" w:hAnsi="Shruti" w:cs="Shruti"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35F58D9"/>
    <w:multiLevelType w:val="hybridMultilevel"/>
    <w:tmpl w:val="84B0D6DA"/>
    <w:lvl w:ilvl="0" w:tplc="098CBD9A">
      <w:start w:val="1"/>
      <w:numFmt w:val="bullet"/>
      <w:lvlText w:val=""/>
      <w:lvlJc w:val="left"/>
      <w:pPr>
        <w:tabs>
          <w:tab w:val="num" w:pos="1080"/>
        </w:tabs>
        <w:ind w:left="1080" w:hanging="360"/>
      </w:pPr>
      <w:rPr>
        <w:rFonts w:ascii="Symbol" w:hAnsi="Symbol" w:hint="default"/>
        <w:color w:val="auto"/>
      </w:rPr>
    </w:lvl>
    <w:lvl w:ilvl="1" w:tplc="098CBD9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5"/>
  </w:num>
  <w:num w:numId="2">
    <w:abstractNumId w:val="12"/>
  </w:num>
  <w:num w:numId="3">
    <w:abstractNumId w:val="11"/>
  </w:num>
  <w:num w:numId="4">
    <w:abstractNumId w:val="6"/>
  </w:num>
  <w:num w:numId="5">
    <w:abstractNumId w:val="16"/>
  </w:num>
  <w:num w:numId="6">
    <w:abstractNumId w:val="5"/>
  </w:num>
  <w:num w:numId="7">
    <w:abstractNumId w:val="14"/>
  </w:num>
  <w:num w:numId="8">
    <w:abstractNumId w:val="9"/>
  </w:num>
  <w:num w:numId="9">
    <w:abstractNumId w:val="0"/>
  </w:num>
  <w:num w:numId="10">
    <w:abstractNumId w:val="0"/>
  </w:num>
  <w:num w:numId="11">
    <w:abstractNumId w:val="8"/>
  </w:num>
  <w:num w:numId="12">
    <w:abstractNumId w:val="10"/>
  </w:num>
  <w:num w:numId="13">
    <w:abstractNumId w:val="7"/>
  </w:num>
  <w:num w:numId="14">
    <w:abstractNumId w:val="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50"/>
    <w:rsid w:val="0000323C"/>
    <w:rsid w:val="00003541"/>
    <w:rsid w:val="0000399E"/>
    <w:rsid w:val="00004BAD"/>
    <w:rsid w:val="00004DF0"/>
    <w:rsid w:val="00005087"/>
    <w:rsid w:val="00005A18"/>
    <w:rsid w:val="00006DBA"/>
    <w:rsid w:val="00007BA1"/>
    <w:rsid w:val="00012EF0"/>
    <w:rsid w:val="00016397"/>
    <w:rsid w:val="000169F8"/>
    <w:rsid w:val="0002057E"/>
    <w:rsid w:val="00022F2B"/>
    <w:rsid w:val="0002455A"/>
    <w:rsid w:val="00024BAE"/>
    <w:rsid w:val="00026E79"/>
    <w:rsid w:val="00040122"/>
    <w:rsid w:val="000404EA"/>
    <w:rsid w:val="00040E53"/>
    <w:rsid w:val="00041E33"/>
    <w:rsid w:val="000459CE"/>
    <w:rsid w:val="00045D3C"/>
    <w:rsid w:val="00045E1B"/>
    <w:rsid w:val="00046E88"/>
    <w:rsid w:val="00050BDF"/>
    <w:rsid w:val="00051122"/>
    <w:rsid w:val="00053613"/>
    <w:rsid w:val="00054A33"/>
    <w:rsid w:val="00055331"/>
    <w:rsid w:val="00060124"/>
    <w:rsid w:val="00065898"/>
    <w:rsid w:val="00066BA8"/>
    <w:rsid w:val="00066D1D"/>
    <w:rsid w:val="00073824"/>
    <w:rsid w:val="0007735A"/>
    <w:rsid w:val="000839F6"/>
    <w:rsid w:val="00084228"/>
    <w:rsid w:val="000935A4"/>
    <w:rsid w:val="00093C87"/>
    <w:rsid w:val="00094B8F"/>
    <w:rsid w:val="00095A6F"/>
    <w:rsid w:val="000974E1"/>
    <w:rsid w:val="000A00B6"/>
    <w:rsid w:val="000A32A0"/>
    <w:rsid w:val="000A3AF2"/>
    <w:rsid w:val="000A3E41"/>
    <w:rsid w:val="000A4136"/>
    <w:rsid w:val="000A618C"/>
    <w:rsid w:val="000A674C"/>
    <w:rsid w:val="000B0BEA"/>
    <w:rsid w:val="000B0C56"/>
    <w:rsid w:val="000B2332"/>
    <w:rsid w:val="000B31DD"/>
    <w:rsid w:val="000B6661"/>
    <w:rsid w:val="000B783F"/>
    <w:rsid w:val="000B7AF7"/>
    <w:rsid w:val="000C0595"/>
    <w:rsid w:val="000C35E0"/>
    <w:rsid w:val="000C429C"/>
    <w:rsid w:val="000C7DC0"/>
    <w:rsid w:val="000C7FC7"/>
    <w:rsid w:val="000D1713"/>
    <w:rsid w:val="000D1F39"/>
    <w:rsid w:val="000D356E"/>
    <w:rsid w:val="000D6527"/>
    <w:rsid w:val="000D6F57"/>
    <w:rsid w:val="000D7087"/>
    <w:rsid w:val="000D7C1A"/>
    <w:rsid w:val="000D7C27"/>
    <w:rsid w:val="000E4015"/>
    <w:rsid w:val="000E405F"/>
    <w:rsid w:val="000E517F"/>
    <w:rsid w:val="000E7CE5"/>
    <w:rsid w:val="000F114C"/>
    <w:rsid w:val="000F1E4F"/>
    <w:rsid w:val="000F22C0"/>
    <w:rsid w:val="000F348D"/>
    <w:rsid w:val="000F56C6"/>
    <w:rsid w:val="000F57A2"/>
    <w:rsid w:val="000F7012"/>
    <w:rsid w:val="000F78AD"/>
    <w:rsid w:val="00100B7B"/>
    <w:rsid w:val="001022EA"/>
    <w:rsid w:val="0010324F"/>
    <w:rsid w:val="001040D8"/>
    <w:rsid w:val="0010589D"/>
    <w:rsid w:val="001116EF"/>
    <w:rsid w:val="00112A4A"/>
    <w:rsid w:val="001139E2"/>
    <w:rsid w:val="001201E1"/>
    <w:rsid w:val="00122A44"/>
    <w:rsid w:val="00122E4E"/>
    <w:rsid w:val="00123952"/>
    <w:rsid w:val="001243AA"/>
    <w:rsid w:val="00124899"/>
    <w:rsid w:val="00124A52"/>
    <w:rsid w:val="00132252"/>
    <w:rsid w:val="001330AC"/>
    <w:rsid w:val="00134F1A"/>
    <w:rsid w:val="00135282"/>
    <w:rsid w:val="001364CB"/>
    <w:rsid w:val="001435D2"/>
    <w:rsid w:val="001441A2"/>
    <w:rsid w:val="00144AC8"/>
    <w:rsid w:val="00144D4A"/>
    <w:rsid w:val="001468E2"/>
    <w:rsid w:val="00154E24"/>
    <w:rsid w:val="00156E72"/>
    <w:rsid w:val="00160551"/>
    <w:rsid w:val="00164F52"/>
    <w:rsid w:val="00166497"/>
    <w:rsid w:val="00171ADB"/>
    <w:rsid w:val="00172EA9"/>
    <w:rsid w:val="001731A0"/>
    <w:rsid w:val="0017390D"/>
    <w:rsid w:val="00174DA8"/>
    <w:rsid w:val="00175092"/>
    <w:rsid w:val="0017601E"/>
    <w:rsid w:val="001771D2"/>
    <w:rsid w:val="001773EE"/>
    <w:rsid w:val="00182104"/>
    <w:rsid w:val="00182A0A"/>
    <w:rsid w:val="001832CD"/>
    <w:rsid w:val="001869B2"/>
    <w:rsid w:val="00195553"/>
    <w:rsid w:val="00195B37"/>
    <w:rsid w:val="00195D93"/>
    <w:rsid w:val="00196350"/>
    <w:rsid w:val="001973A6"/>
    <w:rsid w:val="001A04BB"/>
    <w:rsid w:val="001A4E61"/>
    <w:rsid w:val="001A5E78"/>
    <w:rsid w:val="001A6A46"/>
    <w:rsid w:val="001A78D9"/>
    <w:rsid w:val="001B0614"/>
    <w:rsid w:val="001B0B47"/>
    <w:rsid w:val="001B3554"/>
    <w:rsid w:val="001B4927"/>
    <w:rsid w:val="001C3E76"/>
    <w:rsid w:val="001C44A1"/>
    <w:rsid w:val="001C74E2"/>
    <w:rsid w:val="001D1723"/>
    <w:rsid w:val="001D7635"/>
    <w:rsid w:val="001E18CC"/>
    <w:rsid w:val="001E3EEE"/>
    <w:rsid w:val="001E522B"/>
    <w:rsid w:val="001E58AB"/>
    <w:rsid w:val="001E7B1A"/>
    <w:rsid w:val="001F2EEE"/>
    <w:rsid w:val="001F317F"/>
    <w:rsid w:val="001F31C5"/>
    <w:rsid w:val="001F437A"/>
    <w:rsid w:val="001F628A"/>
    <w:rsid w:val="002005C1"/>
    <w:rsid w:val="00200F87"/>
    <w:rsid w:val="00201D8C"/>
    <w:rsid w:val="002045A3"/>
    <w:rsid w:val="0020513F"/>
    <w:rsid w:val="00206222"/>
    <w:rsid w:val="00211C46"/>
    <w:rsid w:val="00214084"/>
    <w:rsid w:val="00214539"/>
    <w:rsid w:val="00214D1E"/>
    <w:rsid w:val="002151D6"/>
    <w:rsid w:val="00215422"/>
    <w:rsid w:val="00215E42"/>
    <w:rsid w:val="002169C5"/>
    <w:rsid w:val="00217580"/>
    <w:rsid w:val="0022136D"/>
    <w:rsid w:val="00221BFF"/>
    <w:rsid w:val="0022348A"/>
    <w:rsid w:val="002234F1"/>
    <w:rsid w:val="0023212B"/>
    <w:rsid w:val="00235469"/>
    <w:rsid w:val="002367DA"/>
    <w:rsid w:val="0023798C"/>
    <w:rsid w:val="00237AD9"/>
    <w:rsid w:val="0024432D"/>
    <w:rsid w:val="00246334"/>
    <w:rsid w:val="002471B2"/>
    <w:rsid w:val="0025037D"/>
    <w:rsid w:val="0025176A"/>
    <w:rsid w:val="00251894"/>
    <w:rsid w:val="002519AC"/>
    <w:rsid w:val="00252684"/>
    <w:rsid w:val="002544B7"/>
    <w:rsid w:val="002545BB"/>
    <w:rsid w:val="00256BBB"/>
    <w:rsid w:val="00256E87"/>
    <w:rsid w:val="00260C4E"/>
    <w:rsid w:val="00262F7C"/>
    <w:rsid w:val="00263018"/>
    <w:rsid w:val="002636FA"/>
    <w:rsid w:val="00264BF0"/>
    <w:rsid w:val="00266FC6"/>
    <w:rsid w:val="00275325"/>
    <w:rsid w:val="00275CEF"/>
    <w:rsid w:val="00276456"/>
    <w:rsid w:val="002777F9"/>
    <w:rsid w:val="00280093"/>
    <w:rsid w:val="002811E0"/>
    <w:rsid w:val="0028187E"/>
    <w:rsid w:val="00283840"/>
    <w:rsid w:val="0028524E"/>
    <w:rsid w:val="002855E9"/>
    <w:rsid w:val="002856DA"/>
    <w:rsid w:val="002858CD"/>
    <w:rsid w:val="002862D0"/>
    <w:rsid w:val="00286921"/>
    <w:rsid w:val="0028716D"/>
    <w:rsid w:val="00296384"/>
    <w:rsid w:val="002A26B3"/>
    <w:rsid w:val="002A394C"/>
    <w:rsid w:val="002A3E8D"/>
    <w:rsid w:val="002A488B"/>
    <w:rsid w:val="002A6105"/>
    <w:rsid w:val="002A6608"/>
    <w:rsid w:val="002A7992"/>
    <w:rsid w:val="002A7A2D"/>
    <w:rsid w:val="002B08ED"/>
    <w:rsid w:val="002B10F3"/>
    <w:rsid w:val="002B1B50"/>
    <w:rsid w:val="002B1B96"/>
    <w:rsid w:val="002B1C8C"/>
    <w:rsid w:val="002B4443"/>
    <w:rsid w:val="002B4E39"/>
    <w:rsid w:val="002B5EE6"/>
    <w:rsid w:val="002C1BC2"/>
    <w:rsid w:val="002C545E"/>
    <w:rsid w:val="002C5C6F"/>
    <w:rsid w:val="002C685F"/>
    <w:rsid w:val="002C7EDB"/>
    <w:rsid w:val="002D060E"/>
    <w:rsid w:val="002D114C"/>
    <w:rsid w:val="002D30C7"/>
    <w:rsid w:val="002D3BAF"/>
    <w:rsid w:val="002D70D5"/>
    <w:rsid w:val="002E3C80"/>
    <w:rsid w:val="002E70CC"/>
    <w:rsid w:val="002E76B7"/>
    <w:rsid w:val="002F0CC9"/>
    <w:rsid w:val="002F0FA5"/>
    <w:rsid w:val="002F10AD"/>
    <w:rsid w:val="002F18CF"/>
    <w:rsid w:val="002F1B4E"/>
    <w:rsid w:val="002F20D7"/>
    <w:rsid w:val="002F3884"/>
    <w:rsid w:val="002F492A"/>
    <w:rsid w:val="002F4B46"/>
    <w:rsid w:val="002F5F25"/>
    <w:rsid w:val="002F6D86"/>
    <w:rsid w:val="003000A9"/>
    <w:rsid w:val="00301C41"/>
    <w:rsid w:val="00302F94"/>
    <w:rsid w:val="00303A59"/>
    <w:rsid w:val="00304D47"/>
    <w:rsid w:val="00305989"/>
    <w:rsid w:val="00305FCC"/>
    <w:rsid w:val="00306947"/>
    <w:rsid w:val="00307AF5"/>
    <w:rsid w:val="00310D20"/>
    <w:rsid w:val="00311586"/>
    <w:rsid w:val="003115FF"/>
    <w:rsid w:val="00311AB4"/>
    <w:rsid w:val="003144E5"/>
    <w:rsid w:val="0031534D"/>
    <w:rsid w:val="003157E4"/>
    <w:rsid w:val="003161B4"/>
    <w:rsid w:val="00317EC8"/>
    <w:rsid w:val="00321CF2"/>
    <w:rsid w:val="00321F35"/>
    <w:rsid w:val="00323E8A"/>
    <w:rsid w:val="00323F18"/>
    <w:rsid w:val="00324879"/>
    <w:rsid w:val="003248D0"/>
    <w:rsid w:val="0032605D"/>
    <w:rsid w:val="00326FA5"/>
    <w:rsid w:val="00330162"/>
    <w:rsid w:val="003301B0"/>
    <w:rsid w:val="0033118F"/>
    <w:rsid w:val="00343412"/>
    <w:rsid w:val="00347988"/>
    <w:rsid w:val="003518BE"/>
    <w:rsid w:val="00352508"/>
    <w:rsid w:val="00353FF1"/>
    <w:rsid w:val="00354D21"/>
    <w:rsid w:val="00354F49"/>
    <w:rsid w:val="00356725"/>
    <w:rsid w:val="00360ED9"/>
    <w:rsid w:val="00363BEF"/>
    <w:rsid w:val="00364C12"/>
    <w:rsid w:val="00366CD4"/>
    <w:rsid w:val="00370BEC"/>
    <w:rsid w:val="003773B8"/>
    <w:rsid w:val="0037742E"/>
    <w:rsid w:val="00377B8D"/>
    <w:rsid w:val="003811F0"/>
    <w:rsid w:val="00381638"/>
    <w:rsid w:val="0038163B"/>
    <w:rsid w:val="00382656"/>
    <w:rsid w:val="00382ECF"/>
    <w:rsid w:val="00385DF3"/>
    <w:rsid w:val="00386457"/>
    <w:rsid w:val="003879D3"/>
    <w:rsid w:val="003905D3"/>
    <w:rsid w:val="00390E81"/>
    <w:rsid w:val="00391BEB"/>
    <w:rsid w:val="00395A46"/>
    <w:rsid w:val="0039621C"/>
    <w:rsid w:val="003A0749"/>
    <w:rsid w:val="003A1146"/>
    <w:rsid w:val="003A21A0"/>
    <w:rsid w:val="003A5EE9"/>
    <w:rsid w:val="003B1DF3"/>
    <w:rsid w:val="003B4900"/>
    <w:rsid w:val="003B6A47"/>
    <w:rsid w:val="003B6FA9"/>
    <w:rsid w:val="003B764E"/>
    <w:rsid w:val="003C02F4"/>
    <w:rsid w:val="003C0FE3"/>
    <w:rsid w:val="003C1179"/>
    <w:rsid w:val="003C1570"/>
    <w:rsid w:val="003C721F"/>
    <w:rsid w:val="003C783F"/>
    <w:rsid w:val="003D03B4"/>
    <w:rsid w:val="003D0EC7"/>
    <w:rsid w:val="003D7F27"/>
    <w:rsid w:val="003E05C4"/>
    <w:rsid w:val="003E1646"/>
    <w:rsid w:val="003E1A46"/>
    <w:rsid w:val="003E23AB"/>
    <w:rsid w:val="003E5068"/>
    <w:rsid w:val="003E59FD"/>
    <w:rsid w:val="003E6943"/>
    <w:rsid w:val="003F1D04"/>
    <w:rsid w:val="003F32CF"/>
    <w:rsid w:val="003F37CE"/>
    <w:rsid w:val="003F4C86"/>
    <w:rsid w:val="003F4D46"/>
    <w:rsid w:val="003F50F0"/>
    <w:rsid w:val="003F55E1"/>
    <w:rsid w:val="003F5B71"/>
    <w:rsid w:val="00401491"/>
    <w:rsid w:val="00404AA2"/>
    <w:rsid w:val="004060FF"/>
    <w:rsid w:val="00406847"/>
    <w:rsid w:val="0041195C"/>
    <w:rsid w:val="0041243D"/>
    <w:rsid w:val="00416DEB"/>
    <w:rsid w:val="004179F6"/>
    <w:rsid w:val="00420184"/>
    <w:rsid w:val="004216D7"/>
    <w:rsid w:val="004227D4"/>
    <w:rsid w:val="00423F5F"/>
    <w:rsid w:val="00424E07"/>
    <w:rsid w:val="004258C3"/>
    <w:rsid w:val="00425A8B"/>
    <w:rsid w:val="00427C27"/>
    <w:rsid w:val="004309D5"/>
    <w:rsid w:val="00430DEC"/>
    <w:rsid w:val="00431B11"/>
    <w:rsid w:val="00431F87"/>
    <w:rsid w:val="00434025"/>
    <w:rsid w:val="004342BA"/>
    <w:rsid w:val="00435563"/>
    <w:rsid w:val="0043650C"/>
    <w:rsid w:val="00437CC5"/>
    <w:rsid w:val="004431B2"/>
    <w:rsid w:val="00444A84"/>
    <w:rsid w:val="00454922"/>
    <w:rsid w:val="00456D50"/>
    <w:rsid w:val="00457A27"/>
    <w:rsid w:val="00457B25"/>
    <w:rsid w:val="00460073"/>
    <w:rsid w:val="004609AD"/>
    <w:rsid w:val="00460B38"/>
    <w:rsid w:val="00460DC0"/>
    <w:rsid w:val="00460F13"/>
    <w:rsid w:val="00462A3F"/>
    <w:rsid w:val="00462C94"/>
    <w:rsid w:val="0046616A"/>
    <w:rsid w:val="00467034"/>
    <w:rsid w:val="00470BAE"/>
    <w:rsid w:val="00472CC0"/>
    <w:rsid w:val="00477AD3"/>
    <w:rsid w:val="00480C73"/>
    <w:rsid w:val="00480E69"/>
    <w:rsid w:val="00482950"/>
    <w:rsid w:val="00483094"/>
    <w:rsid w:val="00483EEC"/>
    <w:rsid w:val="00484D20"/>
    <w:rsid w:val="004872C9"/>
    <w:rsid w:val="0049262C"/>
    <w:rsid w:val="00492683"/>
    <w:rsid w:val="00492A8B"/>
    <w:rsid w:val="00493178"/>
    <w:rsid w:val="004A2DD5"/>
    <w:rsid w:val="004A3119"/>
    <w:rsid w:val="004A33A4"/>
    <w:rsid w:val="004A3713"/>
    <w:rsid w:val="004A697C"/>
    <w:rsid w:val="004B164B"/>
    <w:rsid w:val="004B1D28"/>
    <w:rsid w:val="004B4311"/>
    <w:rsid w:val="004B5138"/>
    <w:rsid w:val="004B71D6"/>
    <w:rsid w:val="004C081B"/>
    <w:rsid w:val="004C1DAD"/>
    <w:rsid w:val="004C5677"/>
    <w:rsid w:val="004C64A2"/>
    <w:rsid w:val="004C7108"/>
    <w:rsid w:val="004C7455"/>
    <w:rsid w:val="004C766A"/>
    <w:rsid w:val="004D0EB8"/>
    <w:rsid w:val="004D20B9"/>
    <w:rsid w:val="004D4F61"/>
    <w:rsid w:val="004D6C31"/>
    <w:rsid w:val="004E4812"/>
    <w:rsid w:val="004E5250"/>
    <w:rsid w:val="004E5851"/>
    <w:rsid w:val="004E64E3"/>
    <w:rsid w:val="004E6E18"/>
    <w:rsid w:val="004E74D4"/>
    <w:rsid w:val="004E74DF"/>
    <w:rsid w:val="004E75F6"/>
    <w:rsid w:val="004F287A"/>
    <w:rsid w:val="004F2CF5"/>
    <w:rsid w:val="004F4110"/>
    <w:rsid w:val="004F71E1"/>
    <w:rsid w:val="005002A7"/>
    <w:rsid w:val="00500E5A"/>
    <w:rsid w:val="00502FAA"/>
    <w:rsid w:val="00503864"/>
    <w:rsid w:val="0050487A"/>
    <w:rsid w:val="0050691D"/>
    <w:rsid w:val="005070B4"/>
    <w:rsid w:val="00512BC3"/>
    <w:rsid w:val="00512CE8"/>
    <w:rsid w:val="00512EC5"/>
    <w:rsid w:val="00514B1B"/>
    <w:rsid w:val="0051583F"/>
    <w:rsid w:val="00515FB0"/>
    <w:rsid w:val="00516AB8"/>
    <w:rsid w:val="00520D8B"/>
    <w:rsid w:val="00521340"/>
    <w:rsid w:val="0053071B"/>
    <w:rsid w:val="00532174"/>
    <w:rsid w:val="00533E10"/>
    <w:rsid w:val="005340FB"/>
    <w:rsid w:val="005348E9"/>
    <w:rsid w:val="005358A3"/>
    <w:rsid w:val="0053745F"/>
    <w:rsid w:val="005378B2"/>
    <w:rsid w:val="0054294B"/>
    <w:rsid w:val="00546EF3"/>
    <w:rsid w:val="00547956"/>
    <w:rsid w:val="0055083A"/>
    <w:rsid w:val="005508D9"/>
    <w:rsid w:val="00550F9A"/>
    <w:rsid w:val="005544E1"/>
    <w:rsid w:val="00556400"/>
    <w:rsid w:val="005574E7"/>
    <w:rsid w:val="00560285"/>
    <w:rsid w:val="00560803"/>
    <w:rsid w:val="00565C9A"/>
    <w:rsid w:val="00566BEB"/>
    <w:rsid w:val="005702C5"/>
    <w:rsid w:val="00571668"/>
    <w:rsid w:val="0057368C"/>
    <w:rsid w:val="00573891"/>
    <w:rsid w:val="00574085"/>
    <w:rsid w:val="005774CE"/>
    <w:rsid w:val="00577D64"/>
    <w:rsid w:val="0058184A"/>
    <w:rsid w:val="0059081B"/>
    <w:rsid w:val="00592596"/>
    <w:rsid w:val="00593479"/>
    <w:rsid w:val="00593CC6"/>
    <w:rsid w:val="0059431A"/>
    <w:rsid w:val="005969BE"/>
    <w:rsid w:val="00597BB3"/>
    <w:rsid w:val="00597C50"/>
    <w:rsid w:val="005A6C11"/>
    <w:rsid w:val="005A762F"/>
    <w:rsid w:val="005B2144"/>
    <w:rsid w:val="005B7098"/>
    <w:rsid w:val="005C2BB3"/>
    <w:rsid w:val="005C3AD4"/>
    <w:rsid w:val="005C63F0"/>
    <w:rsid w:val="005C6AB1"/>
    <w:rsid w:val="005D107E"/>
    <w:rsid w:val="005D1A94"/>
    <w:rsid w:val="005D1D6E"/>
    <w:rsid w:val="005D2267"/>
    <w:rsid w:val="005D5393"/>
    <w:rsid w:val="005D6144"/>
    <w:rsid w:val="005D6F2E"/>
    <w:rsid w:val="005E1BFF"/>
    <w:rsid w:val="005E23EE"/>
    <w:rsid w:val="005E2AB4"/>
    <w:rsid w:val="005E2C23"/>
    <w:rsid w:val="005E3EB0"/>
    <w:rsid w:val="005E4A40"/>
    <w:rsid w:val="005E5548"/>
    <w:rsid w:val="005E55FD"/>
    <w:rsid w:val="005E6AD2"/>
    <w:rsid w:val="005E6AE8"/>
    <w:rsid w:val="005E6D49"/>
    <w:rsid w:val="005F14CF"/>
    <w:rsid w:val="005F1CA1"/>
    <w:rsid w:val="005F47C7"/>
    <w:rsid w:val="005F48D7"/>
    <w:rsid w:val="005F565F"/>
    <w:rsid w:val="005F56F9"/>
    <w:rsid w:val="005F6244"/>
    <w:rsid w:val="005F699A"/>
    <w:rsid w:val="0060404F"/>
    <w:rsid w:val="00604BB1"/>
    <w:rsid w:val="00604C7E"/>
    <w:rsid w:val="006059B8"/>
    <w:rsid w:val="0061279A"/>
    <w:rsid w:val="006157F9"/>
    <w:rsid w:val="006175CA"/>
    <w:rsid w:val="00621058"/>
    <w:rsid w:val="00622657"/>
    <w:rsid w:val="00623FE3"/>
    <w:rsid w:val="006261C4"/>
    <w:rsid w:val="0062627E"/>
    <w:rsid w:val="0062723D"/>
    <w:rsid w:val="0062725D"/>
    <w:rsid w:val="006272C4"/>
    <w:rsid w:val="006342D1"/>
    <w:rsid w:val="00637696"/>
    <w:rsid w:val="00640012"/>
    <w:rsid w:val="00641601"/>
    <w:rsid w:val="00642362"/>
    <w:rsid w:val="00642690"/>
    <w:rsid w:val="0064275C"/>
    <w:rsid w:val="006430F7"/>
    <w:rsid w:val="00645B50"/>
    <w:rsid w:val="00645BE2"/>
    <w:rsid w:val="006461F9"/>
    <w:rsid w:val="006507F8"/>
    <w:rsid w:val="006535E5"/>
    <w:rsid w:val="00655802"/>
    <w:rsid w:val="00656D4E"/>
    <w:rsid w:val="00657C0D"/>
    <w:rsid w:val="00663E6F"/>
    <w:rsid w:val="00664218"/>
    <w:rsid w:val="00664468"/>
    <w:rsid w:val="006650D7"/>
    <w:rsid w:val="00665467"/>
    <w:rsid w:val="006703DB"/>
    <w:rsid w:val="006711EB"/>
    <w:rsid w:val="00671332"/>
    <w:rsid w:val="00672B71"/>
    <w:rsid w:val="00673C3E"/>
    <w:rsid w:val="00673F8A"/>
    <w:rsid w:val="00680811"/>
    <w:rsid w:val="00680E9A"/>
    <w:rsid w:val="00683FB0"/>
    <w:rsid w:val="00687674"/>
    <w:rsid w:val="00697F68"/>
    <w:rsid w:val="006A16B4"/>
    <w:rsid w:val="006A29A4"/>
    <w:rsid w:val="006A4263"/>
    <w:rsid w:val="006A69E9"/>
    <w:rsid w:val="006A7F85"/>
    <w:rsid w:val="006B03E7"/>
    <w:rsid w:val="006B359F"/>
    <w:rsid w:val="006B4106"/>
    <w:rsid w:val="006B5062"/>
    <w:rsid w:val="006B5547"/>
    <w:rsid w:val="006B5B7B"/>
    <w:rsid w:val="006B6454"/>
    <w:rsid w:val="006B7A8A"/>
    <w:rsid w:val="006C0318"/>
    <w:rsid w:val="006C2F67"/>
    <w:rsid w:val="006C30EA"/>
    <w:rsid w:val="006C6C54"/>
    <w:rsid w:val="006D534A"/>
    <w:rsid w:val="006D67CE"/>
    <w:rsid w:val="006D7C7A"/>
    <w:rsid w:val="006E1E68"/>
    <w:rsid w:val="006E2B76"/>
    <w:rsid w:val="006E3FD6"/>
    <w:rsid w:val="006E6A22"/>
    <w:rsid w:val="006E6FE3"/>
    <w:rsid w:val="006E73A1"/>
    <w:rsid w:val="006F08B3"/>
    <w:rsid w:val="006F13A3"/>
    <w:rsid w:val="006F209B"/>
    <w:rsid w:val="006F50E9"/>
    <w:rsid w:val="006F795D"/>
    <w:rsid w:val="007009FC"/>
    <w:rsid w:val="0070249E"/>
    <w:rsid w:val="00703F63"/>
    <w:rsid w:val="00705A6F"/>
    <w:rsid w:val="0070635F"/>
    <w:rsid w:val="00706AF4"/>
    <w:rsid w:val="00706B45"/>
    <w:rsid w:val="00706ED9"/>
    <w:rsid w:val="00707062"/>
    <w:rsid w:val="00707503"/>
    <w:rsid w:val="00712005"/>
    <w:rsid w:val="007127EC"/>
    <w:rsid w:val="00714187"/>
    <w:rsid w:val="007142BA"/>
    <w:rsid w:val="00715D15"/>
    <w:rsid w:val="00717369"/>
    <w:rsid w:val="00717A81"/>
    <w:rsid w:val="00722504"/>
    <w:rsid w:val="007231BA"/>
    <w:rsid w:val="007238C4"/>
    <w:rsid w:val="00725379"/>
    <w:rsid w:val="0072588B"/>
    <w:rsid w:val="00727AB2"/>
    <w:rsid w:val="00730F37"/>
    <w:rsid w:val="00731127"/>
    <w:rsid w:val="00732522"/>
    <w:rsid w:val="007326A3"/>
    <w:rsid w:val="007337E2"/>
    <w:rsid w:val="00736476"/>
    <w:rsid w:val="00736C8A"/>
    <w:rsid w:val="00736D1C"/>
    <w:rsid w:val="00740370"/>
    <w:rsid w:val="007406C2"/>
    <w:rsid w:val="00740718"/>
    <w:rsid w:val="00740D5B"/>
    <w:rsid w:val="00741B41"/>
    <w:rsid w:val="007427AB"/>
    <w:rsid w:val="00742B60"/>
    <w:rsid w:val="00744E71"/>
    <w:rsid w:val="00746416"/>
    <w:rsid w:val="00752F02"/>
    <w:rsid w:val="0075309F"/>
    <w:rsid w:val="00754C2B"/>
    <w:rsid w:val="00760D19"/>
    <w:rsid w:val="00760E3D"/>
    <w:rsid w:val="0076129B"/>
    <w:rsid w:val="00762024"/>
    <w:rsid w:val="007634D1"/>
    <w:rsid w:val="0076477D"/>
    <w:rsid w:val="0076516F"/>
    <w:rsid w:val="00771831"/>
    <w:rsid w:val="00774508"/>
    <w:rsid w:val="0077477E"/>
    <w:rsid w:val="00775AA4"/>
    <w:rsid w:val="007814EE"/>
    <w:rsid w:val="00782887"/>
    <w:rsid w:val="00784826"/>
    <w:rsid w:val="00786869"/>
    <w:rsid w:val="007873D4"/>
    <w:rsid w:val="00787F42"/>
    <w:rsid w:val="007900B0"/>
    <w:rsid w:val="00790906"/>
    <w:rsid w:val="007951F2"/>
    <w:rsid w:val="00796980"/>
    <w:rsid w:val="00796B73"/>
    <w:rsid w:val="00797ED8"/>
    <w:rsid w:val="007A0B6F"/>
    <w:rsid w:val="007A0E88"/>
    <w:rsid w:val="007A124B"/>
    <w:rsid w:val="007A2FD6"/>
    <w:rsid w:val="007A4A9C"/>
    <w:rsid w:val="007A5065"/>
    <w:rsid w:val="007A66BD"/>
    <w:rsid w:val="007A6A8A"/>
    <w:rsid w:val="007B20A2"/>
    <w:rsid w:val="007B2A3D"/>
    <w:rsid w:val="007B3457"/>
    <w:rsid w:val="007B4231"/>
    <w:rsid w:val="007B51B0"/>
    <w:rsid w:val="007B54CD"/>
    <w:rsid w:val="007B67E9"/>
    <w:rsid w:val="007B6A2A"/>
    <w:rsid w:val="007B76D6"/>
    <w:rsid w:val="007B7786"/>
    <w:rsid w:val="007C04DC"/>
    <w:rsid w:val="007C38F7"/>
    <w:rsid w:val="007C3CC9"/>
    <w:rsid w:val="007C58F5"/>
    <w:rsid w:val="007C5973"/>
    <w:rsid w:val="007C63B8"/>
    <w:rsid w:val="007D37C7"/>
    <w:rsid w:val="007D472F"/>
    <w:rsid w:val="007D677A"/>
    <w:rsid w:val="007E08EC"/>
    <w:rsid w:val="007E150D"/>
    <w:rsid w:val="007E1C0C"/>
    <w:rsid w:val="007E4308"/>
    <w:rsid w:val="007E5F88"/>
    <w:rsid w:val="007E614B"/>
    <w:rsid w:val="007E7538"/>
    <w:rsid w:val="007E76A0"/>
    <w:rsid w:val="007F02B8"/>
    <w:rsid w:val="007F1603"/>
    <w:rsid w:val="007F1B2C"/>
    <w:rsid w:val="007F4A36"/>
    <w:rsid w:val="007F4B1D"/>
    <w:rsid w:val="007F5517"/>
    <w:rsid w:val="007F6E0D"/>
    <w:rsid w:val="007F78B4"/>
    <w:rsid w:val="007F79DD"/>
    <w:rsid w:val="00800A37"/>
    <w:rsid w:val="00801841"/>
    <w:rsid w:val="008018DF"/>
    <w:rsid w:val="0080286B"/>
    <w:rsid w:val="00803AD3"/>
    <w:rsid w:val="008059EB"/>
    <w:rsid w:val="00806639"/>
    <w:rsid w:val="008070D3"/>
    <w:rsid w:val="00807223"/>
    <w:rsid w:val="00810D9C"/>
    <w:rsid w:val="00811D35"/>
    <w:rsid w:val="00812444"/>
    <w:rsid w:val="00812E25"/>
    <w:rsid w:val="008163D5"/>
    <w:rsid w:val="00816633"/>
    <w:rsid w:val="00816D90"/>
    <w:rsid w:val="00820CE0"/>
    <w:rsid w:val="008238F3"/>
    <w:rsid w:val="0082459E"/>
    <w:rsid w:val="008279A2"/>
    <w:rsid w:val="00827A31"/>
    <w:rsid w:val="00831C0C"/>
    <w:rsid w:val="00832942"/>
    <w:rsid w:val="00832DC6"/>
    <w:rsid w:val="0083389B"/>
    <w:rsid w:val="00833A69"/>
    <w:rsid w:val="00834F0F"/>
    <w:rsid w:val="00835715"/>
    <w:rsid w:val="00836B83"/>
    <w:rsid w:val="00837228"/>
    <w:rsid w:val="00840B3F"/>
    <w:rsid w:val="00841E29"/>
    <w:rsid w:val="00842A93"/>
    <w:rsid w:val="00843F80"/>
    <w:rsid w:val="00846073"/>
    <w:rsid w:val="00851F44"/>
    <w:rsid w:val="0085211D"/>
    <w:rsid w:val="00854AA3"/>
    <w:rsid w:val="00860D2B"/>
    <w:rsid w:val="00860EE4"/>
    <w:rsid w:val="00862DF3"/>
    <w:rsid w:val="00862EB4"/>
    <w:rsid w:val="0086551B"/>
    <w:rsid w:val="00866F54"/>
    <w:rsid w:val="00871525"/>
    <w:rsid w:val="00872A3D"/>
    <w:rsid w:val="00876979"/>
    <w:rsid w:val="008770FC"/>
    <w:rsid w:val="00881066"/>
    <w:rsid w:val="00882746"/>
    <w:rsid w:val="00885B82"/>
    <w:rsid w:val="00886A32"/>
    <w:rsid w:val="0089046E"/>
    <w:rsid w:val="00890900"/>
    <w:rsid w:val="0089166E"/>
    <w:rsid w:val="0089218D"/>
    <w:rsid w:val="00892F28"/>
    <w:rsid w:val="008937CD"/>
    <w:rsid w:val="00895657"/>
    <w:rsid w:val="008962E9"/>
    <w:rsid w:val="008A2BC5"/>
    <w:rsid w:val="008A31D8"/>
    <w:rsid w:val="008A68F5"/>
    <w:rsid w:val="008B1FE9"/>
    <w:rsid w:val="008B2A9B"/>
    <w:rsid w:val="008B34B4"/>
    <w:rsid w:val="008B371D"/>
    <w:rsid w:val="008B4FD9"/>
    <w:rsid w:val="008B5BDA"/>
    <w:rsid w:val="008C1581"/>
    <w:rsid w:val="008C190E"/>
    <w:rsid w:val="008C58EB"/>
    <w:rsid w:val="008C59B7"/>
    <w:rsid w:val="008D1808"/>
    <w:rsid w:val="008D3C78"/>
    <w:rsid w:val="008D3E14"/>
    <w:rsid w:val="008D7290"/>
    <w:rsid w:val="008D7746"/>
    <w:rsid w:val="008E094F"/>
    <w:rsid w:val="008E2B26"/>
    <w:rsid w:val="008E2E46"/>
    <w:rsid w:val="008E3A3C"/>
    <w:rsid w:val="008E3C41"/>
    <w:rsid w:val="008E5F17"/>
    <w:rsid w:val="008E5F9A"/>
    <w:rsid w:val="008F0AB2"/>
    <w:rsid w:val="008F286B"/>
    <w:rsid w:val="008F3B23"/>
    <w:rsid w:val="008F4435"/>
    <w:rsid w:val="008F4BB6"/>
    <w:rsid w:val="008F70B6"/>
    <w:rsid w:val="008F7D7B"/>
    <w:rsid w:val="00900BDD"/>
    <w:rsid w:val="00900EA3"/>
    <w:rsid w:val="00902981"/>
    <w:rsid w:val="00904943"/>
    <w:rsid w:val="00905475"/>
    <w:rsid w:val="00905F15"/>
    <w:rsid w:val="00906D11"/>
    <w:rsid w:val="00913736"/>
    <w:rsid w:val="0091403C"/>
    <w:rsid w:val="00915395"/>
    <w:rsid w:val="009219A3"/>
    <w:rsid w:val="00922232"/>
    <w:rsid w:val="00922600"/>
    <w:rsid w:val="00924F3A"/>
    <w:rsid w:val="00926A5D"/>
    <w:rsid w:val="00927637"/>
    <w:rsid w:val="00932AD7"/>
    <w:rsid w:val="0093303C"/>
    <w:rsid w:val="009341E8"/>
    <w:rsid w:val="00940837"/>
    <w:rsid w:val="00941822"/>
    <w:rsid w:val="00941B2B"/>
    <w:rsid w:val="00944556"/>
    <w:rsid w:val="009472E4"/>
    <w:rsid w:val="009478AC"/>
    <w:rsid w:val="0095416F"/>
    <w:rsid w:val="00956CCC"/>
    <w:rsid w:val="00956FC7"/>
    <w:rsid w:val="00957626"/>
    <w:rsid w:val="00960AB1"/>
    <w:rsid w:val="00961516"/>
    <w:rsid w:val="00964908"/>
    <w:rsid w:val="00967BF1"/>
    <w:rsid w:val="00970399"/>
    <w:rsid w:val="00970AE2"/>
    <w:rsid w:val="00973927"/>
    <w:rsid w:val="00974DC1"/>
    <w:rsid w:val="00976148"/>
    <w:rsid w:val="00976340"/>
    <w:rsid w:val="00980170"/>
    <w:rsid w:val="009803E9"/>
    <w:rsid w:val="00983C29"/>
    <w:rsid w:val="00983E80"/>
    <w:rsid w:val="00984C99"/>
    <w:rsid w:val="0098597E"/>
    <w:rsid w:val="00986440"/>
    <w:rsid w:val="009875FE"/>
    <w:rsid w:val="0099120F"/>
    <w:rsid w:val="00991E81"/>
    <w:rsid w:val="00994587"/>
    <w:rsid w:val="00994B2A"/>
    <w:rsid w:val="009971AB"/>
    <w:rsid w:val="00997BC6"/>
    <w:rsid w:val="009A0094"/>
    <w:rsid w:val="009A11BC"/>
    <w:rsid w:val="009A2C57"/>
    <w:rsid w:val="009A3938"/>
    <w:rsid w:val="009A510C"/>
    <w:rsid w:val="009B0AAE"/>
    <w:rsid w:val="009B64C5"/>
    <w:rsid w:val="009C03E4"/>
    <w:rsid w:val="009C21E4"/>
    <w:rsid w:val="009C33C2"/>
    <w:rsid w:val="009C65D0"/>
    <w:rsid w:val="009C6E95"/>
    <w:rsid w:val="009C7A0F"/>
    <w:rsid w:val="009D2949"/>
    <w:rsid w:val="009D5A33"/>
    <w:rsid w:val="009D6D83"/>
    <w:rsid w:val="009E01C7"/>
    <w:rsid w:val="009E6316"/>
    <w:rsid w:val="009F1078"/>
    <w:rsid w:val="009F19FF"/>
    <w:rsid w:val="009F3839"/>
    <w:rsid w:val="009F3A34"/>
    <w:rsid w:val="009F4DA6"/>
    <w:rsid w:val="009F695D"/>
    <w:rsid w:val="00A019A5"/>
    <w:rsid w:val="00A03D24"/>
    <w:rsid w:val="00A04EAC"/>
    <w:rsid w:val="00A051AD"/>
    <w:rsid w:val="00A10CBF"/>
    <w:rsid w:val="00A118B7"/>
    <w:rsid w:val="00A11FFE"/>
    <w:rsid w:val="00A12C27"/>
    <w:rsid w:val="00A13BA7"/>
    <w:rsid w:val="00A15814"/>
    <w:rsid w:val="00A15FCC"/>
    <w:rsid w:val="00A162DB"/>
    <w:rsid w:val="00A1678D"/>
    <w:rsid w:val="00A16C86"/>
    <w:rsid w:val="00A243B4"/>
    <w:rsid w:val="00A2564E"/>
    <w:rsid w:val="00A318DE"/>
    <w:rsid w:val="00A3218F"/>
    <w:rsid w:val="00A32597"/>
    <w:rsid w:val="00A362A6"/>
    <w:rsid w:val="00A368A4"/>
    <w:rsid w:val="00A37F64"/>
    <w:rsid w:val="00A405CC"/>
    <w:rsid w:val="00A409F4"/>
    <w:rsid w:val="00A41DCE"/>
    <w:rsid w:val="00A42992"/>
    <w:rsid w:val="00A431FE"/>
    <w:rsid w:val="00A43A18"/>
    <w:rsid w:val="00A457C9"/>
    <w:rsid w:val="00A46400"/>
    <w:rsid w:val="00A5637C"/>
    <w:rsid w:val="00A57433"/>
    <w:rsid w:val="00A632D2"/>
    <w:rsid w:val="00A652F2"/>
    <w:rsid w:val="00A66B72"/>
    <w:rsid w:val="00A66DE1"/>
    <w:rsid w:val="00A70C5F"/>
    <w:rsid w:val="00A7107D"/>
    <w:rsid w:val="00A7144A"/>
    <w:rsid w:val="00A73A0A"/>
    <w:rsid w:val="00A75BF6"/>
    <w:rsid w:val="00A769F9"/>
    <w:rsid w:val="00A7742D"/>
    <w:rsid w:val="00A81572"/>
    <w:rsid w:val="00A81AED"/>
    <w:rsid w:val="00A833DA"/>
    <w:rsid w:val="00A83D06"/>
    <w:rsid w:val="00A92AFF"/>
    <w:rsid w:val="00A96CEC"/>
    <w:rsid w:val="00A974D5"/>
    <w:rsid w:val="00AA040B"/>
    <w:rsid w:val="00AA0B90"/>
    <w:rsid w:val="00AA5606"/>
    <w:rsid w:val="00AB0CC5"/>
    <w:rsid w:val="00AB1502"/>
    <w:rsid w:val="00AB245D"/>
    <w:rsid w:val="00AB30E2"/>
    <w:rsid w:val="00AB39D8"/>
    <w:rsid w:val="00AB5357"/>
    <w:rsid w:val="00AB5E78"/>
    <w:rsid w:val="00AB65D9"/>
    <w:rsid w:val="00AC1EBF"/>
    <w:rsid w:val="00AC30EF"/>
    <w:rsid w:val="00AC324B"/>
    <w:rsid w:val="00AC4412"/>
    <w:rsid w:val="00AC5814"/>
    <w:rsid w:val="00AC5EC4"/>
    <w:rsid w:val="00AD2B3A"/>
    <w:rsid w:val="00AD4C6A"/>
    <w:rsid w:val="00AD685B"/>
    <w:rsid w:val="00AD6A42"/>
    <w:rsid w:val="00AE137D"/>
    <w:rsid w:val="00AE299B"/>
    <w:rsid w:val="00AE6DB9"/>
    <w:rsid w:val="00AF0332"/>
    <w:rsid w:val="00AF26F5"/>
    <w:rsid w:val="00AF3033"/>
    <w:rsid w:val="00AF3951"/>
    <w:rsid w:val="00AF3C97"/>
    <w:rsid w:val="00AF4A3D"/>
    <w:rsid w:val="00B0332B"/>
    <w:rsid w:val="00B03DF8"/>
    <w:rsid w:val="00B06D7C"/>
    <w:rsid w:val="00B1127A"/>
    <w:rsid w:val="00B129C1"/>
    <w:rsid w:val="00B17D47"/>
    <w:rsid w:val="00B210E9"/>
    <w:rsid w:val="00B25044"/>
    <w:rsid w:val="00B26044"/>
    <w:rsid w:val="00B262AC"/>
    <w:rsid w:val="00B27188"/>
    <w:rsid w:val="00B27FCA"/>
    <w:rsid w:val="00B30B01"/>
    <w:rsid w:val="00B33CD0"/>
    <w:rsid w:val="00B34BE9"/>
    <w:rsid w:val="00B36B42"/>
    <w:rsid w:val="00B36CBB"/>
    <w:rsid w:val="00B37249"/>
    <w:rsid w:val="00B37294"/>
    <w:rsid w:val="00B40320"/>
    <w:rsid w:val="00B43EBB"/>
    <w:rsid w:val="00B44059"/>
    <w:rsid w:val="00B45A8F"/>
    <w:rsid w:val="00B50EE9"/>
    <w:rsid w:val="00B51A31"/>
    <w:rsid w:val="00B522B0"/>
    <w:rsid w:val="00B52E84"/>
    <w:rsid w:val="00B53904"/>
    <w:rsid w:val="00B54ABC"/>
    <w:rsid w:val="00B55144"/>
    <w:rsid w:val="00B55222"/>
    <w:rsid w:val="00B5568D"/>
    <w:rsid w:val="00B560EF"/>
    <w:rsid w:val="00B56E10"/>
    <w:rsid w:val="00B57AB0"/>
    <w:rsid w:val="00B62A76"/>
    <w:rsid w:val="00B62E60"/>
    <w:rsid w:val="00B62E75"/>
    <w:rsid w:val="00B63C99"/>
    <w:rsid w:val="00B660A5"/>
    <w:rsid w:val="00B705D7"/>
    <w:rsid w:val="00B71AF5"/>
    <w:rsid w:val="00B757CF"/>
    <w:rsid w:val="00B76599"/>
    <w:rsid w:val="00B76D06"/>
    <w:rsid w:val="00B77E2E"/>
    <w:rsid w:val="00B8184B"/>
    <w:rsid w:val="00B81F20"/>
    <w:rsid w:val="00B8381D"/>
    <w:rsid w:val="00B8754B"/>
    <w:rsid w:val="00B87A24"/>
    <w:rsid w:val="00B90BB2"/>
    <w:rsid w:val="00B9335B"/>
    <w:rsid w:val="00B94A1B"/>
    <w:rsid w:val="00B950EA"/>
    <w:rsid w:val="00B95388"/>
    <w:rsid w:val="00B9603F"/>
    <w:rsid w:val="00BA03E4"/>
    <w:rsid w:val="00BA0D05"/>
    <w:rsid w:val="00BA2EAF"/>
    <w:rsid w:val="00BA49A5"/>
    <w:rsid w:val="00BA4E07"/>
    <w:rsid w:val="00BA5455"/>
    <w:rsid w:val="00BB04E3"/>
    <w:rsid w:val="00BB0994"/>
    <w:rsid w:val="00BB1506"/>
    <w:rsid w:val="00BB1AD4"/>
    <w:rsid w:val="00BC107C"/>
    <w:rsid w:val="00BC1A46"/>
    <w:rsid w:val="00BC2191"/>
    <w:rsid w:val="00BC2299"/>
    <w:rsid w:val="00BC3586"/>
    <w:rsid w:val="00BC3D69"/>
    <w:rsid w:val="00BC467A"/>
    <w:rsid w:val="00BC56A3"/>
    <w:rsid w:val="00BC7153"/>
    <w:rsid w:val="00BC7FFE"/>
    <w:rsid w:val="00BD0F24"/>
    <w:rsid w:val="00BD1C3A"/>
    <w:rsid w:val="00BD4ED8"/>
    <w:rsid w:val="00BD709A"/>
    <w:rsid w:val="00BE04D2"/>
    <w:rsid w:val="00BE1D1E"/>
    <w:rsid w:val="00BF4442"/>
    <w:rsid w:val="00BF51C2"/>
    <w:rsid w:val="00BF536F"/>
    <w:rsid w:val="00BF5473"/>
    <w:rsid w:val="00BF570F"/>
    <w:rsid w:val="00BF7D7E"/>
    <w:rsid w:val="00C005CF"/>
    <w:rsid w:val="00C054E9"/>
    <w:rsid w:val="00C0770F"/>
    <w:rsid w:val="00C10888"/>
    <w:rsid w:val="00C10D3A"/>
    <w:rsid w:val="00C119BE"/>
    <w:rsid w:val="00C12153"/>
    <w:rsid w:val="00C1504A"/>
    <w:rsid w:val="00C15BC1"/>
    <w:rsid w:val="00C22C66"/>
    <w:rsid w:val="00C24D52"/>
    <w:rsid w:val="00C257D7"/>
    <w:rsid w:val="00C266DD"/>
    <w:rsid w:val="00C2761F"/>
    <w:rsid w:val="00C2766E"/>
    <w:rsid w:val="00C33BD0"/>
    <w:rsid w:val="00C34B0D"/>
    <w:rsid w:val="00C36D03"/>
    <w:rsid w:val="00C3703C"/>
    <w:rsid w:val="00C37383"/>
    <w:rsid w:val="00C3762A"/>
    <w:rsid w:val="00C405BF"/>
    <w:rsid w:val="00C432AB"/>
    <w:rsid w:val="00C439A4"/>
    <w:rsid w:val="00C43B8A"/>
    <w:rsid w:val="00C45943"/>
    <w:rsid w:val="00C52564"/>
    <w:rsid w:val="00C544CE"/>
    <w:rsid w:val="00C57347"/>
    <w:rsid w:val="00C57DB2"/>
    <w:rsid w:val="00C63997"/>
    <w:rsid w:val="00C63ABA"/>
    <w:rsid w:val="00C720AA"/>
    <w:rsid w:val="00C74967"/>
    <w:rsid w:val="00C77EA7"/>
    <w:rsid w:val="00C80EB0"/>
    <w:rsid w:val="00C81391"/>
    <w:rsid w:val="00C8395F"/>
    <w:rsid w:val="00C84380"/>
    <w:rsid w:val="00C8524D"/>
    <w:rsid w:val="00C90549"/>
    <w:rsid w:val="00C95981"/>
    <w:rsid w:val="00C966B5"/>
    <w:rsid w:val="00CA2687"/>
    <w:rsid w:val="00CA2ED3"/>
    <w:rsid w:val="00CA33F1"/>
    <w:rsid w:val="00CA50F2"/>
    <w:rsid w:val="00CA58CA"/>
    <w:rsid w:val="00CB23AA"/>
    <w:rsid w:val="00CB549A"/>
    <w:rsid w:val="00CB5B2D"/>
    <w:rsid w:val="00CB695D"/>
    <w:rsid w:val="00CC080C"/>
    <w:rsid w:val="00CC0E43"/>
    <w:rsid w:val="00CC3790"/>
    <w:rsid w:val="00CC37AC"/>
    <w:rsid w:val="00CC49CB"/>
    <w:rsid w:val="00CC5F8C"/>
    <w:rsid w:val="00CC7FB3"/>
    <w:rsid w:val="00CD2549"/>
    <w:rsid w:val="00CD30AB"/>
    <w:rsid w:val="00CD637C"/>
    <w:rsid w:val="00CD6604"/>
    <w:rsid w:val="00CD66F8"/>
    <w:rsid w:val="00CD6B1E"/>
    <w:rsid w:val="00CE0FFA"/>
    <w:rsid w:val="00CE137A"/>
    <w:rsid w:val="00CE1905"/>
    <w:rsid w:val="00CE5EBF"/>
    <w:rsid w:val="00CE764B"/>
    <w:rsid w:val="00CE7C99"/>
    <w:rsid w:val="00CF2750"/>
    <w:rsid w:val="00CF279A"/>
    <w:rsid w:val="00CF29BE"/>
    <w:rsid w:val="00CF5FCB"/>
    <w:rsid w:val="00D00DEE"/>
    <w:rsid w:val="00D01BDD"/>
    <w:rsid w:val="00D0222D"/>
    <w:rsid w:val="00D02445"/>
    <w:rsid w:val="00D03046"/>
    <w:rsid w:val="00D05C1A"/>
    <w:rsid w:val="00D1054C"/>
    <w:rsid w:val="00D1057D"/>
    <w:rsid w:val="00D14197"/>
    <w:rsid w:val="00D14269"/>
    <w:rsid w:val="00D165C8"/>
    <w:rsid w:val="00D171E4"/>
    <w:rsid w:val="00D17BE8"/>
    <w:rsid w:val="00D17F22"/>
    <w:rsid w:val="00D217B8"/>
    <w:rsid w:val="00D22622"/>
    <w:rsid w:val="00D2278F"/>
    <w:rsid w:val="00D23669"/>
    <w:rsid w:val="00D25CA1"/>
    <w:rsid w:val="00D27D07"/>
    <w:rsid w:val="00D30666"/>
    <w:rsid w:val="00D347AD"/>
    <w:rsid w:val="00D34DF5"/>
    <w:rsid w:val="00D35828"/>
    <w:rsid w:val="00D3615B"/>
    <w:rsid w:val="00D36DD3"/>
    <w:rsid w:val="00D375E9"/>
    <w:rsid w:val="00D37E3F"/>
    <w:rsid w:val="00D40D81"/>
    <w:rsid w:val="00D427EE"/>
    <w:rsid w:val="00D43C39"/>
    <w:rsid w:val="00D45056"/>
    <w:rsid w:val="00D45481"/>
    <w:rsid w:val="00D45652"/>
    <w:rsid w:val="00D53B24"/>
    <w:rsid w:val="00D53B3E"/>
    <w:rsid w:val="00D545AE"/>
    <w:rsid w:val="00D54B08"/>
    <w:rsid w:val="00D57FDC"/>
    <w:rsid w:val="00D6123A"/>
    <w:rsid w:val="00D619AE"/>
    <w:rsid w:val="00D62588"/>
    <w:rsid w:val="00D64ABC"/>
    <w:rsid w:val="00D66423"/>
    <w:rsid w:val="00D700C2"/>
    <w:rsid w:val="00D70AD3"/>
    <w:rsid w:val="00D73350"/>
    <w:rsid w:val="00D734CC"/>
    <w:rsid w:val="00D74CD2"/>
    <w:rsid w:val="00D74D0C"/>
    <w:rsid w:val="00D77AD1"/>
    <w:rsid w:val="00D86417"/>
    <w:rsid w:val="00D87016"/>
    <w:rsid w:val="00D9335C"/>
    <w:rsid w:val="00D93529"/>
    <w:rsid w:val="00D94532"/>
    <w:rsid w:val="00D95377"/>
    <w:rsid w:val="00D96C65"/>
    <w:rsid w:val="00D97A6A"/>
    <w:rsid w:val="00D97ED1"/>
    <w:rsid w:val="00DA01BB"/>
    <w:rsid w:val="00DA2ADE"/>
    <w:rsid w:val="00DA36D0"/>
    <w:rsid w:val="00DA5BA7"/>
    <w:rsid w:val="00DA6C16"/>
    <w:rsid w:val="00DA6DE8"/>
    <w:rsid w:val="00DB1A19"/>
    <w:rsid w:val="00DB29F3"/>
    <w:rsid w:val="00DB3667"/>
    <w:rsid w:val="00DB5819"/>
    <w:rsid w:val="00DB5975"/>
    <w:rsid w:val="00DB61C1"/>
    <w:rsid w:val="00DB6C8E"/>
    <w:rsid w:val="00DB7D58"/>
    <w:rsid w:val="00DC03B6"/>
    <w:rsid w:val="00DC0ACA"/>
    <w:rsid w:val="00DD0366"/>
    <w:rsid w:val="00DD1E7D"/>
    <w:rsid w:val="00DD2EA1"/>
    <w:rsid w:val="00DD5F16"/>
    <w:rsid w:val="00DE0574"/>
    <w:rsid w:val="00DE0B21"/>
    <w:rsid w:val="00DE1421"/>
    <w:rsid w:val="00DE50C3"/>
    <w:rsid w:val="00DF07A1"/>
    <w:rsid w:val="00DF07E7"/>
    <w:rsid w:val="00DF41F8"/>
    <w:rsid w:val="00DF49E9"/>
    <w:rsid w:val="00E0089C"/>
    <w:rsid w:val="00E01DB4"/>
    <w:rsid w:val="00E031E3"/>
    <w:rsid w:val="00E0359B"/>
    <w:rsid w:val="00E03639"/>
    <w:rsid w:val="00E044B9"/>
    <w:rsid w:val="00E04E34"/>
    <w:rsid w:val="00E05E15"/>
    <w:rsid w:val="00E079C1"/>
    <w:rsid w:val="00E142D1"/>
    <w:rsid w:val="00E1483F"/>
    <w:rsid w:val="00E16FAC"/>
    <w:rsid w:val="00E20D43"/>
    <w:rsid w:val="00E20F2E"/>
    <w:rsid w:val="00E2116D"/>
    <w:rsid w:val="00E21F02"/>
    <w:rsid w:val="00E22AFA"/>
    <w:rsid w:val="00E273E0"/>
    <w:rsid w:val="00E276C6"/>
    <w:rsid w:val="00E27986"/>
    <w:rsid w:val="00E3083A"/>
    <w:rsid w:val="00E3309B"/>
    <w:rsid w:val="00E334DC"/>
    <w:rsid w:val="00E339F0"/>
    <w:rsid w:val="00E352B2"/>
    <w:rsid w:val="00E35959"/>
    <w:rsid w:val="00E36ABA"/>
    <w:rsid w:val="00E36B5C"/>
    <w:rsid w:val="00E41B61"/>
    <w:rsid w:val="00E4462F"/>
    <w:rsid w:val="00E44ACC"/>
    <w:rsid w:val="00E455CC"/>
    <w:rsid w:val="00E45E49"/>
    <w:rsid w:val="00E4680B"/>
    <w:rsid w:val="00E46DE4"/>
    <w:rsid w:val="00E50A9D"/>
    <w:rsid w:val="00E50F7B"/>
    <w:rsid w:val="00E55FA3"/>
    <w:rsid w:val="00E56CAC"/>
    <w:rsid w:val="00E619E2"/>
    <w:rsid w:val="00E61E9F"/>
    <w:rsid w:val="00E6204F"/>
    <w:rsid w:val="00E66420"/>
    <w:rsid w:val="00E70174"/>
    <w:rsid w:val="00E707A8"/>
    <w:rsid w:val="00E70AE4"/>
    <w:rsid w:val="00E736FB"/>
    <w:rsid w:val="00E747CD"/>
    <w:rsid w:val="00E760B8"/>
    <w:rsid w:val="00E77974"/>
    <w:rsid w:val="00E81B77"/>
    <w:rsid w:val="00E820F8"/>
    <w:rsid w:val="00E8454A"/>
    <w:rsid w:val="00E85885"/>
    <w:rsid w:val="00E862D6"/>
    <w:rsid w:val="00E86CB6"/>
    <w:rsid w:val="00E91C05"/>
    <w:rsid w:val="00E9212A"/>
    <w:rsid w:val="00E9261C"/>
    <w:rsid w:val="00E943B6"/>
    <w:rsid w:val="00E94901"/>
    <w:rsid w:val="00E94CCB"/>
    <w:rsid w:val="00E967A8"/>
    <w:rsid w:val="00EA234C"/>
    <w:rsid w:val="00EA2C94"/>
    <w:rsid w:val="00EA301A"/>
    <w:rsid w:val="00EA33D6"/>
    <w:rsid w:val="00EA5954"/>
    <w:rsid w:val="00EB1A85"/>
    <w:rsid w:val="00EB30D5"/>
    <w:rsid w:val="00EB30F9"/>
    <w:rsid w:val="00EB3332"/>
    <w:rsid w:val="00EC19A1"/>
    <w:rsid w:val="00EC3361"/>
    <w:rsid w:val="00EC6190"/>
    <w:rsid w:val="00EC7255"/>
    <w:rsid w:val="00ED1324"/>
    <w:rsid w:val="00ED136F"/>
    <w:rsid w:val="00ED7A91"/>
    <w:rsid w:val="00EE0040"/>
    <w:rsid w:val="00EE21E6"/>
    <w:rsid w:val="00EE50FE"/>
    <w:rsid w:val="00EE5118"/>
    <w:rsid w:val="00EF22DE"/>
    <w:rsid w:val="00EF57DE"/>
    <w:rsid w:val="00EF5B2C"/>
    <w:rsid w:val="00EF613B"/>
    <w:rsid w:val="00EF7AAC"/>
    <w:rsid w:val="00F000F9"/>
    <w:rsid w:val="00F01236"/>
    <w:rsid w:val="00F02333"/>
    <w:rsid w:val="00F03CF3"/>
    <w:rsid w:val="00F04398"/>
    <w:rsid w:val="00F04640"/>
    <w:rsid w:val="00F04E25"/>
    <w:rsid w:val="00F05F98"/>
    <w:rsid w:val="00F06457"/>
    <w:rsid w:val="00F06FE2"/>
    <w:rsid w:val="00F11590"/>
    <w:rsid w:val="00F12732"/>
    <w:rsid w:val="00F1529A"/>
    <w:rsid w:val="00F17C6C"/>
    <w:rsid w:val="00F23AE3"/>
    <w:rsid w:val="00F24D7F"/>
    <w:rsid w:val="00F24F96"/>
    <w:rsid w:val="00F26682"/>
    <w:rsid w:val="00F27225"/>
    <w:rsid w:val="00F318EE"/>
    <w:rsid w:val="00F32613"/>
    <w:rsid w:val="00F32E29"/>
    <w:rsid w:val="00F33B0B"/>
    <w:rsid w:val="00F364F7"/>
    <w:rsid w:val="00F36BA8"/>
    <w:rsid w:val="00F40CE3"/>
    <w:rsid w:val="00F42F29"/>
    <w:rsid w:val="00F43C98"/>
    <w:rsid w:val="00F441F1"/>
    <w:rsid w:val="00F456BA"/>
    <w:rsid w:val="00F459DC"/>
    <w:rsid w:val="00F46C4E"/>
    <w:rsid w:val="00F53876"/>
    <w:rsid w:val="00F5419A"/>
    <w:rsid w:val="00F548B6"/>
    <w:rsid w:val="00F54A35"/>
    <w:rsid w:val="00F55100"/>
    <w:rsid w:val="00F553B8"/>
    <w:rsid w:val="00F568C6"/>
    <w:rsid w:val="00F56DDA"/>
    <w:rsid w:val="00F6048B"/>
    <w:rsid w:val="00F60BEE"/>
    <w:rsid w:val="00F61C0E"/>
    <w:rsid w:val="00F62FB9"/>
    <w:rsid w:val="00F63D48"/>
    <w:rsid w:val="00F65C67"/>
    <w:rsid w:val="00F676DD"/>
    <w:rsid w:val="00F75885"/>
    <w:rsid w:val="00F77E27"/>
    <w:rsid w:val="00F80E83"/>
    <w:rsid w:val="00F8181D"/>
    <w:rsid w:val="00F9191B"/>
    <w:rsid w:val="00F92741"/>
    <w:rsid w:val="00F92ACB"/>
    <w:rsid w:val="00F9306C"/>
    <w:rsid w:val="00F96653"/>
    <w:rsid w:val="00F9792B"/>
    <w:rsid w:val="00FA0844"/>
    <w:rsid w:val="00FA718F"/>
    <w:rsid w:val="00FA78D1"/>
    <w:rsid w:val="00FA7B16"/>
    <w:rsid w:val="00FA7CA1"/>
    <w:rsid w:val="00FB0398"/>
    <w:rsid w:val="00FB0D29"/>
    <w:rsid w:val="00FB1E74"/>
    <w:rsid w:val="00FB234C"/>
    <w:rsid w:val="00FB2754"/>
    <w:rsid w:val="00FB3CC6"/>
    <w:rsid w:val="00FB6098"/>
    <w:rsid w:val="00FB6D68"/>
    <w:rsid w:val="00FB7E19"/>
    <w:rsid w:val="00FC2CD0"/>
    <w:rsid w:val="00FC3791"/>
    <w:rsid w:val="00FC7E0D"/>
    <w:rsid w:val="00FD1210"/>
    <w:rsid w:val="00FD2393"/>
    <w:rsid w:val="00FD2FD6"/>
    <w:rsid w:val="00FD4AD8"/>
    <w:rsid w:val="00FD5C31"/>
    <w:rsid w:val="00FD602A"/>
    <w:rsid w:val="00FD63F4"/>
    <w:rsid w:val="00FD731F"/>
    <w:rsid w:val="00FD73C9"/>
    <w:rsid w:val="00FD7DEF"/>
    <w:rsid w:val="00FE0205"/>
    <w:rsid w:val="00FE0273"/>
    <w:rsid w:val="00FE04C7"/>
    <w:rsid w:val="00FE11CA"/>
    <w:rsid w:val="00FE2B70"/>
    <w:rsid w:val="00FE31A7"/>
    <w:rsid w:val="00FE5433"/>
    <w:rsid w:val="00FE5557"/>
    <w:rsid w:val="00FE5CFE"/>
    <w:rsid w:val="00FE6023"/>
    <w:rsid w:val="00FE6D4C"/>
    <w:rsid w:val="00FF0AC5"/>
    <w:rsid w:val="00FF0C9C"/>
    <w:rsid w:val="00FF1C15"/>
    <w:rsid w:val="00FF4915"/>
    <w:rsid w:val="00FF6C49"/>
    <w:rsid w:val="00FF6E4A"/>
    <w:rsid w:val="0234457C"/>
    <w:rsid w:val="027C0EEE"/>
    <w:rsid w:val="0A3DEEAE"/>
    <w:rsid w:val="0B413659"/>
    <w:rsid w:val="0FCE5623"/>
    <w:rsid w:val="13EE133F"/>
    <w:rsid w:val="1840C0CD"/>
    <w:rsid w:val="1D766FAE"/>
    <w:rsid w:val="1D9DD758"/>
    <w:rsid w:val="203E40DC"/>
    <w:rsid w:val="247DC2BA"/>
    <w:rsid w:val="26742DE2"/>
    <w:rsid w:val="26AF48B9"/>
    <w:rsid w:val="27CDD5EF"/>
    <w:rsid w:val="28B1B7A3"/>
    <w:rsid w:val="2C8B9A93"/>
    <w:rsid w:val="321BE562"/>
    <w:rsid w:val="334BA068"/>
    <w:rsid w:val="336206DB"/>
    <w:rsid w:val="3377D6DE"/>
    <w:rsid w:val="34FDD73C"/>
    <w:rsid w:val="37CB5C0E"/>
    <w:rsid w:val="3D9AC485"/>
    <w:rsid w:val="40B04D7A"/>
    <w:rsid w:val="46CDE3D1"/>
    <w:rsid w:val="4C0805D4"/>
    <w:rsid w:val="52A4934E"/>
    <w:rsid w:val="57AC915D"/>
    <w:rsid w:val="5D160DE5"/>
    <w:rsid w:val="6147D32E"/>
    <w:rsid w:val="623E3B4A"/>
    <w:rsid w:val="63BAC394"/>
    <w:rsid w:val="69766EE8"/>
    <w:rsid w:val="6C1E6B6B"/>
    <w:rsid w:val="726C2C62"/>
    <w:rsid w:val="735220B5"/>
    <w:rsid w:val="7726F610"/>
    <w:rsid w:val="78892557"/>
    <w:rsid w:val="7BCD5569"/>
    <w:rsid w:val="7E15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4EE71"/>
  <w15:docId w15:val="{F8A57D12-A04E-4518-BF3D-326AF1D7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3C2"/>
    <w:pPr>
      <w:widowControl w:val="0"/>
      <w:autoSpaceDE w:val="0"/>
      <w:autoSpaceDN w:val="0"/>
      <w:adjustRightInd w:val="0"/>
    </w:pPr>
  </w:style>
  <w:style w:type="paragraph" w:styleId="Heading1">
    <w:name w:val="heading 1"/>
    <w:basedOn w:val="Normal"/>
    <w:next w:val="Normal"/>
    <w:link w:val="Heading1Char"/>
    <w:qFormat/>
    <w:rsid w:val="00BA0D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A0D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C33C2"/>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semiHidden/>
    <w:rsid w:val="00A57433"/>
    <w:rPr>
      <w:sz w:val="16"/>
      <w:szCs w:val="16"/>
    </w:rPr>
  </w:style>
  <w:style w:type="paragraph" w:styleId="CommentText">
    <w:name w:val="annotation text"/>
    <w:basedOn w:val="Normal"/>
    <w:link w:val="CommentTextChar"/>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uiPriority w:val="59"/>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DF49E9"/>
    <w:rPr>
      <w:b/>
      <w:bCs/>
    </w:rPr>
  </w:style>
  <w:style w:type="character" w:customStyle="1" w:styleId="CommentTextChar">
    <w:name w:val="Comment Text Char"/>
    <w:basedOn w:val="DefaultParagraphFont"/>
    <w:link w:val="CommentText"/>
    <w:semiHidden/>
    <w:rsid w:val="00DF49E9"/>
  </w:style>
  <w:style w:type="character" w:customStyle="1" w:styleId="CommentSubjectChar">
    <w:name w:val="Comment Subject Char"/>
    <w:link w:val="CommentSubject"/>
    <w:rsid w:val="00DF49E9"/>
    <w:rPr>
      <w:b/>
      <w:bCs/>
    </w:rPr>
  </w:style>
  <w:style w:type="paragraph" w:styleId="ListBullet">
    <w:name w:val="List Bullet"/>
    <w:basedOn w:val="Normal"/>
    <w:rsid w:val="00986440"/>
    <w:pPr>
      <w:numPr>
        <w:numId w:val="9"/>
      </w:numPr>
      <w:contextualSpacing/>
    </w:pPr>
  </w:style>
  <w:style w:type="paragraph" w:styleId="ListParagraph">
    <w:name w:val="List Paragraph"/>
    <w:basedOn w:val="Normal"/>
    <w:uiPriority w:val="34"/>
    <w:qFormat/>
    <w:rsid w:val="00353FF1"/>
    <w:pPr>
      <w:ind w:left="720"/>
      <w:contextualSpacing/>
    </w:pPr>
  </w:style>
  <w:style w:type="paragraph" w:styleId="Revision">
    <w:name w:val="Revision"/>
    <w:hidden/>
    <w:uiPriority w:val="99"/>
    <w:semiHidden/>
    <w:rsid w:val="000F1E4F"/>
    <w:rPr>
      <w:sz w:val="24"/>
    </w:rPr>
  </w:style>
  <w:style w:type="paragraph" w:styleId="BodyText">
    <w:name w:val="Body Text"/>
    <w:basedOn w:val="Normal"/>
    <w:link w:val="BodyTextChar"/>
    <w:uiPriority w:val="1"/>
    <w:qFormat/>
    <w:rsid w:val="00B37249"/>
    <w:pPr>
      <w:autoSpaceDE/>
      <w:autoSpaceDN/>
      <w:adjustRightInd/>
      <w:ind w:left="1160"/>
    </w:pPr>
    <w:rPr>
      <w:rFonts w:eastAsia="Arial" w:cstheme="minorBidi"/>
      <w:szCs w:val="22"/>
    </w:rPr>
  </w:style>
  <w:style w:type="character" w:customStyle="1" w:styleId="BodyTextChar">
    <w:name w:val="Body Text Char"/>
    <w:basedOn w:val="DefaultParagraphFont"/>
    <w:link w:val="BodyText"/>
    <w:uiPriority w:val="1"/>
    <w:rsid w:val="00B37249"/>
    <w:rPr>
      <w:rFonts w:ascii="Arial" w:eastAsia="Arial" w:hAnsi="Arial" w:cstheme="minorBidi"/>
      <w:sz w:val="22"/>
      <w:szCs w:val="22"/>
    </w:rPr>
  </w:style>
  <w:style w:type="character" w:customStyle="1" w:styleId="Heading2Char">
    <w:name w:val="Heading 2 Char"/>
    <w:basedOn w:val="DefaultParagraphFont"/>
    <w:link w:val="Heading2"/>
    <w:rsid w:val="00BA0D0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BA0D0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unhideWhenUsed/>
    <w:rsid w:val="00905F15"/>
    <w:rPr>
      <w:color w:val="605E5C"/>
      <w:shd w:val="clear" w:color="auto" w:fill="E1DFDD"/>
    </w:rPr>
  </w:style>
  <w:style w:type="character" w:styleId="Mention">
    <w:name w:val="Mention"/>
    <w:basedOn w:val="DefaultParagraphFont"/>
    <w:uiPriority w:val="99"/>
    <w:unhideWhenUsed/>
    <w:rsid w:val="00905F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49">
      <w:bodyDiv w:val="1"/>
      <w:marLeft w:val="0"/>
      <w:marRight w:val="0"/>
      <w:marTop w:val="0"/>
      <w:marBottom w:val="0"/>
      <w:divBdr>
        <w:top w:val="none" w:sz="0" w:space="0" w:color="auto"/>
        <w:left w:val="none" w:sz="0" w:space="0" w:color="auto"/>
        <w:bottom w:val="none" w:sz="0" w:space="0" w:color="auto"/>
        <w:right w:val="none" w:sz="0" w:space="0" w:color="auto"/>
      </w:divBdr>
    </w:div>
    <w:div w:id="10381627">
      <w:bodyDiv w:val="1"/>
      <w:marLeft w:val="0"/>
      <w:marRight w:val="0"/>
      <w:marTop w:val="0"/>
      <w:marBottom w:val="0"/>
      <w:divBdr>
        <w:top w:val="none" w:sz="0" w:space="0" w:color="auto"/>
        <w:left w:val="none" w:sz="0" w:space="0" w:color="auto"/>
        <w:bottom w:val="none" w:sz="0" w:space="0" w:color="auto"/>
        <w:right w:val="none" w:sz="0" w:space="0" w:color="auto"/>
      </w:divBdr>
    </w:div>
    <w:div w:id="66651269">
      <w:bodyDiv w:val="1"/>
      <w:marLeft w:val="0"/>
      <w:marRight w:val="0"/>
      <w:marTop w:val="0"/>
      <w:marBottom w:val="0"/>
      <w:divBdr>
        <w:top w:val="none" w:sz="0" w:space="0" w:color="auto"/>
        <w:left w:val="none" w:sz="0" w:space="0" w:color="auto"/>
        <w:bottom w:val="none" w:sz="0" w:space="0" w:color="auto"/>
        <w:right w:val="none" w:sz="0" w:space="0" w:color="auto"/>
      </w:divBdr>
    </w:div>
    <w:div w:id="90975230">
      <w:bodyDiv w:val="1"/>
      <w:marLeft w:val="0"/>
      <w:marRight w:val="0"/>
      <w:marTop w:val="0"/>
      <w:marBottom w:val="0"/>
      <w:divBdr>
        <w:top w:val="none" w:sz="0" w:space="0" w:color="auto"/>
        <w:left w:val="none" w:sz="0" w:space="0" w:color="auto"/>
        <w:bottom w:val="none" w:sz="0" w:space="0" w:color="auto"/>
        <w:right w:val="none" w:sz="0" w:space="0" w:color="auto"/>
      </w:divBdr>
    </w:div>
    <w:div w:id="98647933">
      <w:bodyDiv w:val="1"/>
      <w:marLeft w:val="0"/>
      <w:marRight w:val="0"/>
      <w:marTop w:val="0"/>
      <w:marBottom w:val="0"/>
      <w:divBdr>
        <w:top w:val="none" w:sz="0" w:space="0" w:color="auto"/>
        <w:left w:val="none" w:sz="0" w:space="0" w:color="auto"/>
        <w:bottom w:val="none" w:sz="0" w:space="0" w:color="auto"/>
        <w:right w:val="none" w:sz="0" w:space="0" w:color="auto"/>
      </w:divBdr>
    </w:div>
    <w:div w:id="104690764">
      <w:bodyDiv w:val="1"/>
      <w:marLeft w:val="0"/>
      <w:marRight w:val="0"/>
      <w:marTop w:val="0"/>
      <w:marBottom w:val="0"/>
      <w:divBdr>
        <w:top w:val="none" w:sz="0" w:space="0" w:color="auto"/>
        <w:left w:val="none" w:sz="0" w:space="0" w:color="auto"/>
        <w:bottom w:val="none" w:sz="0" w:space="0" w:color="auto"/>
        <w:right w:val="none" w:sz="0" w:space="0" w:color="auto"/>
      </w:divBdr>
    </w:div>
    <w:div w:id="174001266">
      <w:bodyDiv w:val="1"/>
      <w:marLeft w:val="0"/>
      <w:marRight w:val="0"/>
      <w:marTop w:val="0"/>
      <w:marBottom w:val="0"/>
      <w:divBdr>
        <w:top w:val="none" w:sz="0" w:space="0" w:color="auto"/>
        <w:left w:val="none" w:sz="0" w:space="0" w:color="auto"/>
        <w:bottom w:val="none" w:sz="0" w:space="0" w:color="auto"/>
        <w:right w:val="none" w:sz="0" w:space="0" w:color="auto"/>
      </w:divBdr>
    </w:div>
    <w:div w:id="240452364">
      <w:bodyDiv w:val="1"/>
      <w:marLeft w:val="0"/>
      <w:marRight w:val="0"/>
      <w:marTop w:val="0"/>
      <w:marBottom w:val="0"/>
      <w:divBdr>
        <w:top w:val="none" w:sz="0" w:space="0" w:color="auto"/>
        <w:left w:val="none" w:sz="0" w:space="0" w:color="auto"/>
        <w:bottom w:val="none" w:sz="0" w:space="0" w:color="auto"/>
        <w:right w:val="none" w:sz="0" w:space="0" w:color="auto"/>
      </w:divBdr>
    </w:div>
    <w:div w:id="289744977">
      <w:bodyDiv w:val="1"/>
      <w:marLeft w:val="0"/>
      <w:marRight w:val="0"/>
      <w:marTop w:val="0"/>
      <w:marBottom w:val="0"/>
      <w:divBdr>
        <w:top w:val="none" w:sz="0" w:space="0" w:color="auto"/>
        <w:left w:val="none" w:sz="0" w:space="0" w:color="auto"/>
        <w:bottom w:val="none" w:sz="0" w:space="0" w:color="auto"/>
        <w:right w:val="none" w:sz="0" w:space="0" w:color="auto"/>
      </w:divBdr>
    </w:div>
    <w:div w:id="301272640">
      <w:bodyDiv w:val="1"/>
      <w:marLeft w:val="0"/>
      <w:marRight w:val="0"/>
      <w:marTop w:val="0"/>
      <w:marBottom w:val="0"/>
      <w:divBdr>
        <w:top w:val="none" w:sz="0" w:space="0" w:color="auto"/>
        <w:left w:val="none" w:sz="0" w:space="0" w:color="auto"/>
        <w:bottom w:val="none" w:sz="0" w:space="0" w:color="auto"/>
        <w:right w:val="none" w:sz="0" w:space="0" w:color="auto"/>
      </w:divBdr>
    </w:div>
    <w:div w:id="391269114">
      <w:bodyDiv w:val="1"/>
      <w:marLeft w:val="0"/>
      <w:marRight w:val="0"/>
      <w:marTop w:val="0"/>
      <w:marBottom w:val="0"/>
      <w:divBdr>
        <w:top w:val="none" w:sz="0" w:space="0" w:color="auto"/>
        <w:left w:val="none" w:sz="0" w:space="0" w:color="auto"/>
        <w:bottom w:val="none" w:sz="0" w:space="0" w:color="auto"/>
        <w:right w:val="none" w:sz="0" w:space="0" w:color="auto"/>
      </w:divBdr>
    </w:div>
    <w:div w:id="445082607">
      <w:bodyDiv w:val="1"/>
      <w:marLeft w:val="0"/>
      <w:marRight w:val="0"/>
      <w:marTop w:val="0"/>
      <w:marBottom w:val="0"/>
      <w:divBdr>
        <w:top w:val="none" w:sz="0" w:space="0" w:color="auto"/>
        <w:left w:val="none" w:sz="0" w:space="0" w:color="auto"/>
        <w:bottom w:val="none" w:sz="0" w:space="0" w:color="auto"/>
        <w:right w:val="none" w:sz="0" w:space="0" w:color="auto"/>
      </w:divBdr>
    </w:div>
    <w:div w:id="455761703">
      <w:bodyDiv w:val="1"/>
      <w:marLeft w:val="0"/>
      <w:marRight w:val="0"/>
      <w:marTop w:val="0"/>
      <w:marBottom w:val="0"/>
      <w:divBdr>
        <w:top w:val="none" w:sz="0" w:space="0" w:color="auto"/>
        <w:left w:val="none" w:sz="0" w:space="0" w:color="auto"/>
        <w:bottom w:val="none" w:sz="0" w:space="0" w:color="auto"/>
        <w:right w:val="none" w:sz="0" w:space="0" w:color="auto"/>
      </w:divBdr>
    </w:div>
    <w:div w:id="465005161">
      <w:bodyDiv w:val="1"/>
      <w:marLeft w:val="0"/>
      <w:marRight w:val="0"/>
      <w:marTop w:val="0"/>
      <w:marBottom w:val="0"/>
      <w:divBdr>
        <w:top w:val="none" w:sz="0" w:space="0" w:color="auto"/>
        <w:left w:val="none" w:sz="0" w:space="0" w:color="auto"/>
        <w:bottom w:val="none" w:sz="0" w:space="0" w:color="auto"/>
        <w:right w:val="none" w:sz="0" w:space="0" w:color="auto"/>
      </w:divBdr>
    </w:div>
    <w:div w:id="480267664">
      <w:bodyDiv w:val="1"/>
      <w:marLeft w:val="0"/>
      <w:marRight w:val="0"/>
      <w:marTop w:val="0"/>
      <w:marBottom w:val="0"/>
      <w:divBdr>
        <w:top w:val="none" w:sz="0" w:space="0" w:color="auto"/>
        <w:left w:val="none" w:sz="0" w:space="0" w:color="auto"/>
        <w:bottom w:val="none" w:sz="0" w:space="0" w:color="auto"/>
        <w:right w:val="none" w:sz="0" w:space="0" w:color="auto"/>
      </w:divBdr>
    </w:div>
    <w:div w:id="617564347">
      <w:bodyDiv w:val="1"/>
      <w:marLeft w:val="0"/>
      <w:marRight w:val="0"/>
      <w:marTop w:val="0"/>
      <w:marBottom w:val="0"/>
      <w:divBdr>
        <w:top w:val="none" w:sz="0" w:space="0" w:color="auto"/>
        <w:left w:val="none" w:sz="0" w:space="0" w:color="auto"/>
        <w:bottom w:val="none" w:sz="0" w:space="0" w:color="auto"/>
        <w:right w:val="none" w:sz="0" w:space="0" w:color="auto"/>
      </w:divBdr>
    </w:div>
    <w:div w:id="620115063">
      <w:bodyDiv w:val="1"/>
      <w:marLeft w:val="0"/>
      <w:marRight w:val="0"/>
      <w:marTop w:val="0"/>
      <w:marBottom w:val="0"/>
      <w:divBdr>
        <w:top w:val="none" w:sz="0" w:space="0" w:color="auto"/>
        <w:left w:val="none" w:sz="0" w:space="0" w:color="auto"/>
        <w:bottom w:val="none" w:sz="0" w:space="0" w:color="auto"/>
        <w:right w:val="none" w:sz="0" w:space="0" w:color="auto"/>
      </w:divBdr>
    </w:div>
    <w:div w:id="631059153">
      <w:bodyDiv w:val="1"/>
      <w:marLeft w:val="0"/>
      <w:marRight w:val="0"/>
      <w:marTop w:val="0"/>
      <w:marBottom w:val="0"/>
      <w:divBdr>
        <w:top w:val="none" w:sz="0" w:space="0" w:color="auto"/>
        <w:left w:val="none" w:sz="0" w:space="0" w:color="auto"/>
        <w:bottom w:val="none" w:sz="0" w:space="0" w:color="auto"/>
        <w:right w:val="none" w:sz="0" w:space="0" w:color="auto"/>
      </w:divBdr>
    </w:div>
    <w:div w:id="642000574">
      <w:bodyDiv w:val="1"/>
      <w:marLeft w:val="0"/>
      <w:marRight w:val="0"/>
      <w:marTop w:val="0"/>
      <w:marBottom w:val="0"/>
      <w:divBdr>
        <w:top w:val="none" w:sz="0" w:space="0" w:color="auto"/>
        <w:left w:val="none" w:sz="0" w:space="0" w:color="auto"/>
        <w:bottom w:val="none" w:sz="0" w:space="0" w:color="auto"/>
        <w:right w:val="none" w:sz="0" w:space="0" w:color="auto"/>
      </w:divBdr>
    </w:div>
    <w:div w:id="647633266">
      <w:bodyDiv w:val="1"/>
      <w:marLeft w:val="0"/>
      <w:marRight w:val="0"/>
      <w:marTop w:val="0"/>
      <w:marBottom w:val="0"/>
      <w:divBdr>
        <w:top w:val="none" w:sz="0" w:space="0" w:color="auto"/>
        <w:left w:val="none" w:sz="0" w:space="0" w:color="auto"/>
        <w:bottom w:val="none" w:sz="0" w:space="0" w:color="auto"/>
        <w:right w:val="none" w:sz="0" w:space="0" w:color="auto"/>
      </w:divBdr>
    </w:div>
    <w:div w:id="680010495">
      <w:bodyDiv w:val="1"/>
      <w:marLeft w:val="0"/>
      <w:marRight w:val="0"/>
      <w:marTop w:val="0"/>
      <w:marBottom w:val="0"/>
      <w:divBdr>
        <w:top w:val="none" w:sz="0" w:space="0" w:color="auto"/>
        <w:left w:val="none" w:sz="0" w:space="0" w:color="auto"/>
        <w:bottom w:val="none" w:sz="0" w:space="0" w:color="auto"/>
        <w:right w:val="none" w:sz="0" w:space="0" w:color="auto"/>
      </w:divBdr>
    </w:div>
    <w:div w:id="792098692">
      <w:bodyDiv w:val="1"/>
      <w:marLeft w:val="0"/>
      <w:marRight w:val="0"/>
      <w:marTop w:val="0"/>
      <w:marBottom w:val="0"/>
      <w:divBdr>
        <w:top w:val="none" w:sz="0" w:space="0" w:color="auto"/>
        <w:left w:val="none" w:sz="0" w:space="0" w:color="auto"/>
        <w:bottom w:val="none" w:sz="0" w:space="0" w:color="auto"/>
        <w:right w:val="none" w:sz="0" w:space="0" w:color="auto"/>
      </w:divBdr>
    </w:div>
    <w:div w:id="861674336">
      <w:bodyDiv w:val="1"/>
      <w:marLeft w:val="0"/>
      <w:marRight w:val="0"/>
      <w:marTop w:val="0"/>
      <w:marBottom w:val="0"/>
      <w:divBdr>
        <w:top w:val="none" w:sz="0" w:space="0" w:color="auto"/>
        <w:left w:val="none" w:sz="0" w:space="0" w:color="auto"/>
        <w:bottom w:val="none" w:sz="0" w:space="0" w:color="auto"/>
        <w:right w:val="none" w:sz="0" w:space="0" w:color="auto"/>
      </w:divBdr>
    </w:div>
    <w:div w:id="881988595">
      <w:bodyDiv w:val="1"/>
      <w:marLeft w:val="0"/>
      <w:marRight w:val="0"/>
      <w:marTop w:val="0"/>
      <w:marBottom w:val="0"/>
      <w:divBdr>
        <w:top w:val="none" w:sz="0" w:space="0" w:color="auto"/>
        <w:left w:val="none" w:sz="0" w:space="0" w:color="auto"/>
        <w:bottom w:val="none" w:sz="0" w:space="0" w:color="auto"/>
        <w:right w:val="none" w:sz="0" w:space="0" w:color="auto"/>
      </w:divBdr>
    </w:div>
    <w:div w:id="895169885">
      <w:bodyDiv w:val="1"/>
      <w:marLeft w:val="0"/>
      <w:marRight w:val="0"/>
      <w:marTop w:val="0"/>
      <w:marBottom w:val="0"/>
      <w:divBdr>
        <w:top w:val="none" w:sz="0" w:space="0" w:color="auto"/>
        <w:left w:val="none" w:sz="0" w:space="0" w:color="auto"/>
        <w:bottom w:val="none" w:sz="0" w:space="0" w:color="auto"/>
        <w:right w:val="none" w:sz="0" w:space="0" w:color="auto"/>
      </w:divBdr>
    </w:div>
    <w:div w:id="1089427172">
      <w:bodyDiv w:val="1"/>
      <w:marLeft w:val="0"/>
      <w:marRight w:val="0"/>
      <w:marTop w:val="0"/>
      <w:marBottom w:val="0"/>
      <w:divBdr>
        <w:top w:val="none" w:sz="0" w:space="0" w:color="auto"/>
        <w:left w:val="none" w:sz="0" w:space="0" w:color="auto"/>
        <w:bottom w:val="none" w:sz="0" w:space="0" w:color="auto"/>
        <w:right w:val="none" w:sz="0" w:space="0" w:color="auto"/>
      </w:divBdr>
    </w:div>
    <w:div w:id="1095976062">
      <w:bodyDiv w:val="1"/>
      <w:marLeft w:val="0"/>
      <w:marRight w:val="0"/>
      <w:marTop w:val="0"/>
      <w:marBottom w:val="0"/>
      <w:divBdr>
        <w:top w:val="none" w:sz="0" w:space="0" w:color="auto"/>
        <w:left w:val="none" w:sz="0" w:space="0" w:color="auto"/>
        <w:bottom w:val="none" w:sz="0" w:space="0" w:color="auto"/>
        <w:right w:val="none" w:sz="0" w:space="0" w:color="auto"/>
      </w:divBdr>
    </w:div>
    <w:div w:id="1109425700">
      <w:bodyDiv w:val="1"/>
      <w:marLeft w:val="0"/>
      <w:marRight w:val="0"/>
      <w:marTop w:val="0"/>
      <w:marBottom w:val="0"/>
      <w:divBdr>
        <w:top w:val="none" w:sz="0" w:space="0" w:color="auto"/>
        <w:left w:val="none" w:sz="0" w:space="0" w:color="auto"/>
        <w:bottom w:val="none" w:sz="0" w:space="0" w:color="auto"/>
        <w:right w:val="none" w:sz="0" w:space="0" w:color="auto"/>
      </w:divBdr>
    </w:div>
    <w:div w:id="1137920379">
      <w:bodyDiv w:val="1"/>
      <w:marLeft w:val="0"/>
      <w:marRight w:val="0"/>
      <w:marTop w:val="0"/>
      <w:marBottom w:val="0"/>
      <w:divBdr>
        <w:top w:val="none" w:sz="0" w:space="0" w:color="auto"/>
        <w:left w:val="none" w:sz="0" w:space="0" w:color="auto"/>
        <w:bottom w:val="none" w:sz="0" w:space="0" w:color="auto"/>
        <w:right w:val="none" w:sz="0" w:space="0" w:color="auto"/>
      </w:divBdr>
    </w:div>
    <w:div w:id="1161385094">
      <w:bodyDiv w:val="1"/>
      <w:marLeft w:val="0"/>
      <w:marRight w:val="0"/>
      <w:marTop w:val="0"/>
      <w:marBottom w:val="0"/>
      <w:divBdr>
        <w:top w:val="none" w:sz="0" w:space="0" w:color="auto"/>
        <w:left w:val="none" w:sz="0" w:space="0" w:color="auto"/>
        <w:bottom w:val="none" w:sz="0" w:space="0" w:color="auto"/>
        <w:right w:val="none" w:sz="0" w:space="0" w:color="auto"/>
      </w:divBdr>
    </w:div>
    <w:div w:id="1260944630">
      <w:bodyDiv w:val="1"/>
      <w:marLeft w:val="0"/>
      <w:marRight w:val="0"/>
      <w:marTop w:val="0"/>
      <w:marBottom w:val="0"/>
      <w:divBdr>
        <w:top w:val="none" w:sz="0" w:space="0" w:color="auto"/>
        <w:left w:val="none" w:sz="0" w:space="0" w:color="auto"/>
        <w:bottom w:val="none" w:sz="0" w:space="0" w:color="auto"/>
        <w:right w:val="none" w:sz="0" w:space="0" w:color="auto"/>
      </w:divBdr>
    </w:div>
    <w:div w:id="1324550276">
      <w:bodyDiv w:val="1"/>
      <w:marLeft w:val="0"/>
      <w:marRight w:val="0"/>
      <w:marTop w:val="0"/>
      <w:marBottom w:val="0"/>
      <w:divBdr>
        <w:top w:val="none" w:sz="0" w:space="0" w:color="auto"/>
        <w:left w:val="none" w:sz="0" w:space="0" w:color="auto"/>
        <w:bottom w:val="none" w:sz="0" w:space="0" w:color="auto"/>
        <w:right w:val="none" w:sz="0" w:space="0" w:color="auto"/>
      </w:divBdr>
    </w:div>
    <w:div w:id="1445345661">
      <w:bodyDiv w:val="1"/>
      <w:marLeft w:val="0"/>
      <w:marRight w:val="0"/>
      <w:marTop w:val="0"/>
      <w:marBottom w:val="0"/>
      <w:divBdr>
        <w:top w:val="none" w:sz="0" w:space="0" w:color="auto"/>
        <w:left w:val="none" w:sz="0" w:space="0" w:color="auto"/>
        <w:bottom w:val="none" w:sz="0" w:space="0" w:color="auto"/>
        <w:right w:val="none" w:sz="0" w:space="0" w:color="auto"/>
      </w:divBdr>
    </w:div>
    <w:div w:id="1491674097">
      <w:bodyDiv w:val="1"/>
      <w:marLeft w:val="0"/>
      <w:marRight w:val="0"/>
      <w:marTop w:val="0"/>
      <w:marBottom w:val="0"/>
      <w:divBdr>
        <w:top w:val="none" w:sz="0" w:space="0" w:color="auto"/>
        <w:left w:val="none" w:sz="0" w:space="0" w:color="auto"/>
        <w:bottom w:val="none" w:sz="0" w:space="0" w:color="auto"/>
        <w:right w:val="none" w:sz="0" w:space="0" w:color="auto"/>
      </w:divBdr>
    </w:div>
    <w:div w:id="1495099269">
      <w:bodyDiv w:val="1"/>
      <w:marLeft w:val="0"/>
      <w:marRight w:val="0"/>
      <w:marTop w:val="0"/>
      <w:marBottom w:val="0"/>
      <w:divBdr>
        <w:top w:val="none" w:sz="0" w:space="0" w:color="auto"/>
        <w:left w:val="none" w:sz="0" w:space="0" w:color="auto"/>
        <w:bottom w:val="none" w:sz="0" w:space="0" w:color="auto"/>
        <w:right w:val="none" w:sz="0" w:space="0" w:color="auto"/>
      </w:divBdr>
    </w:div>
    <w:div w:id="1510951727">
      <w:bodyDiv w:val="1"/>
      <w:marLeft w:val="0"/>
      <w:marRight w:val="0"/>
      <w:marTop w:val="0"/>
      <w:marBottom w:val="0"/>
      <w:divBdr>
        <w:top w:val="none" w:sz="0" w:space="0" w:color="auto"/>
        <w:left w:val="none" w:sz="0" w:space="0" w:color="auto"/>
        <w:bottom w:val="none" w:sz="0" w:space="0" w:color="auto"/>
        <w:right w:val="none" w:sz="0" w:space="0" w:color="auto"/>
      </w:divBdr>
    </w:div>
    <w:div w:id="1562983971">
      <w:bodyDiv w:val="1"/>
      <w:marLeft w:val="0"/>
      <w:marRight w:val="0"/>
      <w:marTop w:val="0"/>
      <w:marBottom w:val="0"/>
      <w:divBdr>
        <w:top w:val="none" w:sz="0" w:space="0" w:color="auto"/>
        <w:left w:val="none" w:sz="0" w:space="0" w:color="auto"/>
        <w:bottom w:val="none" w:sz="0" w:space="0" w:color="auto"/>
        <w:right w:val="none" w:sz="0" w:space="0" w:color="auto"/>
      </w:divBdr>
    </w:div>
    <w:div w:id="1678920417">
      <w:bodyDiv w:val="1"/>
      <w:marLeft w:val="0"/>
      <w:marRight w:val="0"/>
      <w:marTop w:val="0"/>
      <w:marBottom w:val="0"/>
      <w:divBdr>
        <w:top w:val="none" w:sz="0" w:space="0" w:color="auto"/>
        <w:left w:val="none" w:sz="0" w:space="0" w:color="auto"/>
        <w:bottom w:val="none" w:sz="0" w:space="0" w:color="auto"/>
        <w:right w:val="none" w:sz="0" w:space="0" w:color="auto"/>
      </w:divBdr>
    </w:div>
    <w:div w:id="1729841136">
      <w:bodyDiv w:val="1"/>
      <w:marLeft w:val="0"/>
      <w:marRight w:val="0"/>
      <w:marTop w:val="0"/>
      <w:marBottom w:val="0"/>
      <w:divBdr>
        <w:top w:val="none" w:sz="0" w:space="0" w:color="auto"/>
        <w:left w:val="none" w:sz="0" w:space="0" w:color="auto"/>
        <w:bottom w:val="none" w:sz="0" w:space="0" w:color="auto"/>
        <w:right w:val="none" w:sz="0" w:space="0" w:color="auto"/>
      </w:divBdr>
    </w:div>
    <w:div w:id="1812285630">
      <w:bodyDiv w:val="1"/>
      <w:marLeft w:val="0"/>
      <w:marRight w:val="0"/>
      <w:marTop w:val="0"/>
      <w:marBottom w:val="0"/>
      <w:divBdr>
        <w:top w:val="none" w:sz="0" w:space="0" w:color="auto"/>
        <w:left w:val="none" w:sz="0" w:space="0" w:color="auto"/>
        <w:bottom w:val="none" w:sz="0" w:space="0" w:color="auto"/>
        <w:right w:val="none" w:sz="0" w:space="0" w:color="auto"/>
      </w:divBdr>
    </w:div>
    <w:div w:id="2012835564">
      <w:bodyDiv w:val="1"/>
      <w:marLeft w:val="0"/>
      <w:marRight w:val="0"/>
      <w:marTop w:val="0"/>
      <w:marBottom w:val="0"/>
      <w:divBdr>
        <w:top w:val="none" w:sz="0" w:space="0" w:color="auto"/>
        <w:left w:val="none" w:sz="0" w:space="0" w:color="auto"/>
        <w:bottom w:val="none" w:sz="0" w:space="0" w:color="auto"/>
        <w:right w:val="none" w:sz="0" w:space="0" w:color="auto"/>
      </w:divBdr>
    </w:div>
    <w:div w:id="2068718559">
      <w:bodyDiv w:val="1"/>
      <w:marLeft w:val="0"/>
      <w:marRight w:val="0"/>
      <w:marTop w:val="0"/>
      <w:marBottom w:val="0"/>
      <w:divBdr>
        <w:top w:val="none" w:sz="0" w:space="0" w:color="auto"/>
        <w:left w:val="none" w:sz="0" w:space="0" w:color="auto"/>
        <w:bottom w:val="none" w:sz="0" w:space="0" w:color="auto"/>
        <w:right w:val="none" w:sz="0" w:space="0" w:color="auto"/>
      </w:divBdr>
    </w:div>
    <w:div w:id="21213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rc.gov/site-help/electronic-sub-ref-m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4CEAC64A3E4490D27790897D8AC2" ma:contentTypeVersion="4" ma:contentTypeDescription="Create a new document." ma:contentTypeScope="" ma:versionID="77a15753b6190edaf8d1011c541deffd">
  <xsd:schema xmlns:xsd="http://www.w3.org/2001/XMLSchema" xmlns:xs="http://www.w3.org/2001/XMLSchema" xmlns:p="http://schemas.microsoft.com/office/2006/metadata/properties" xmlns:ns2="c9e69d05-501e-469d-aacb-de131789b486" xmlns:ns3="cb8d7062-2b18-4baf-a043-92cac5d28331" targetNamespace="http://schemas.microsoft.com/office/2006/metadata/properties" ma:root="true" ma:fieldsID="66b15a2ae8ddf24ad87baa59a2bd55d0" ns2:_="" ns3:_="">
    <xsd:import namespace="c9e69d05-501e-469d-aacb-de131789b486"/>
    <xsd:import namespace="cb8d7062-2b18-4baf-a043-92cac5d283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9d05-501e-469d-aacb-de131789b4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d7062-2b18-4baf-a043-92cac5d283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9e69d05-501e-469d-aacb-de131789b486">P3SVQDWCR2EE-342808493-13</_dlc_DocId>
    <_dlc_DocIdUrl xmlns="c9e69d05-501e-469d-aacb-de131789b486">
      <Url>https://usnrc.sharepoint.com/teams/NMSS-Enhance-Weapons-Firearms-Background-Checks-Security-Event/_layouts/15/DocIdRedir.aspx?ID=P3SVQDWCR2EE-342808493-13</Url>
      <Description>P3SVQDWCR2EE-342808493-13</Description>
    </_dlc_DocIdUrl>
  </documentManagement>
</p:properties>
</file>

<file path=customXml/itemProps1.xml><?xml version="1.0" encoding="utf-8"?>
<ds:datastoreItem xmlns:ds="http://schemas.openxmlformats.org/officeDocument/2006/customXml" ds:itemID="{C9A5DFFE-3805-42FB-84EC-3ECA54D6B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9d05-501e-469d-aacb-de131789b486"/>
    <ds:schemaRef ds:uri="cb8d7062-2b18-4baf-a043-92cac5d28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B8B57-E845-41C0-B404-AC4275EA664D}">
  <ds:schemaRefs>
    <ds:schemaRef ds:uri="http://schemas.microsoft.com/sharepoint/v3/contenttype/forms"/>
  </ds:schemaRefs>
</ds:datastoreItem>
</file>

<file path=customXml/itemProps3.xml><?xml version="1.0" encoding="utf-8"?>
<ds:datastoreItem xmlns:ds="http://schemas.openxmlformats.org/officeDocument/2006/customXml" ds:itemID="{E6470097-D846-4255-A194-AE841A562818}">
  <ds:schemaRefs>
    <ds:schemaRef ds:uri="http://schemas.microsoft.com/sharepoint/events"/>
  </ds:schemaRefs>
</ds:datastoreItem>
</file>

<file path=customXml/itemProps4.xml><?xml version="1.0" encoding="utf-8"?>
<ds:datastoreItem xmlns:ds="http://schemas.openxmlformats.org/officeDocument/2006/customXml" ds:itemID="{0E370CBB-C0AD-4AA2-B34A-B9D59C379863}">
  <ds:schemaRefs>
    <ds:schemaRef ds:uri="http://schemas.openxmlformats.org/officeDocument/2006/bibliography"/>
  </ds:schemaRefs>
</ds:datastoreItem>
</file>

<file path=customXml/itemProps5.xml><?xml version="1.0" encoding="utf-8"?>
<ds:datastoreItem xmlns:ds="http://schemas.openxmlformats.org/officeDocument/2006/customXml" ds:itemID="{1E8923C6-14EA-44E1-9712-D8585DB0991A}">
  <ds:schemaRefs>
    <ds:schemaRef ds:uri="http://schemas.microsoft.com/office/2006/metadata/properties"/>
    <ds:schemaRef ds:uri="http://schemas.microsoft.com/office/infopath/2007/PartnerControls"/>
    <ds:schemaRef ds:uri="c9e69d05-501e-469d-aacb-de131789b48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8756</Words>
  <Characters>51285</Characters>
  <Application>Microsoft Office Word</Application>
  <DocSecurity>0</DocSecurity>
  <Lines>427</Lines>
  <Paragraphs>119</Paragraphs>
  <ScaleCrop>false</ScaleCrop>
  <HeadingPairs>
    <vt:vector size="2" baseType="variant">
      <vt:variant>
        <vt:lpstr>Title</vt:lpstr>
      </vt:variant>
      <vt:variant>
        <vt:i4>1</vt:i4>
      </vt:variant>
    </vt:vector>
  </HeadingPairs>
  <TitlesOfParts>
    <vt:vector size="1" baseType="lpstr">
      <vt:lpstr>Description of the Information Collection</vt:lpstr>
    </vt:vector>
  </TitlesOfParts>
  <Company>USNRC</Company>
  <LinksUpToDate>false</LinksUpToDate>
  <CharactersWithSpaces>59922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Information Collection</dc:title>
  <dc:subject/>
  <dc:creator>Robert H. Beall</dc:creator>
  <cp:keywords/>
  <cp:lastModifiedBy>Benney, Kristen</cp:lastModifiedBy>
  <cp:revision>7</cp:revision>
  <cp:lastPrinted>2018-05-02T02:39:00Z</cp:lastPrinted>
  <dcterms:created xsi:type="dcterms:W3CDTF">2022-03-31T18:17:00Z</dcterms:created>
  <dcterms:modified xsi:type="dcterms:W3CDTF">2022-04-11T15:25:00Z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0x01010018764CEAC64A3E4490D27790897D8AC2</vt:lpwstr>
  </property>
  <property fmtid="{D5CDD505-2E9C-101B-9397-08002B2CF9AE}" pid="4" name="_dlc_DocIdItemGuid">
    <vt:lpwstr>f06282df-1f6c-4f96-ac2e-66fdc37ec927</vt:lpwstr>
  </property>
  <property fmtid="{D5CDD505-2E9C-101B-9397-08002B2CF9AE}" pid="5" name="MSIP_Label_fb74f9b6-60a9-4243-a26a-1dfd9303d70f_Enabled">
    <vt:lpwstr>true</vt:lpwstr>
  </property>
  <property fmtid="{D5CDD505-2E9C-101B-9397-08002B2CF9AE}" pid="6" name="MSIP_Label_fb74f9b6-60a9-4243-a26a-1dfd9303d70f_SetDate">
    <vt:lpwstr>2022-03-02T11:39:52Z</vt:lpwstr>
  </property>
  <property fmtid="{D5CDD505-2E9C-101B-9397-08002B2CF9AE}" pid="7" name="MSIP_Label_fb74f9b6-60a9-4243-a26a-1dfd9303d70f_Method">
    <vt:lpwstr>Privileged</vt:lpwstr>
  </property>
  <property fmtid="{D5CDD505-2E9C-101B-9397-08002B2CF9AE}" pid="8" name="MSIP_Label_fb74f9b6-60a9-4243-a26a-1dfd9303d70f_Name">
    <vt:lpwstr>fb74f9b6-60a9-4243-a26a-1dfd9303d70f</vt:lpwstr>
  </property>
  <property fmtid="{D5CDD505-2E9C-101B-9397-08002B2CF9AE}" pid="9" name="MSIP_Label_fb74f9b6-60a9-4243-a26a-1dfd9303d70f_SiteId">
    <vt:lpwstr>e8d01475-c3b5-436a-a065-5def4c64f52e</vt:lpwstr>
  </property>
  <property fmtid="{D5CDD505-2E9C-101B-9397-08002B2CF9AE}" pid="10" name="MSIP_Label_fb74f9b6-60a9-4243-a26a-1dfd9303d70f_ActionId">
    <vt:lpwstr>4cd56f23-09ed-4e6b-b447-5e2b328e4f6c</vt:lpwstr>
  </property>
  <property fmtid="{D5CDD505-2E9C-101B-9397-08002B2CF9AE}" pid="11" name="MSIP_Label_fb74f9b6-60a9-4243-a26a-1dfd9303d70f_ContentBits">
    <vt:lpwstr>0</vt:lpwstr>
  </property>
</Properties>
</file>