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597" w:rsidR="00F52F5C" w:rsidP="00F52F5C" w:rsidRDefault="00F71719" w14:paraId="4F3E9A06" w14:textId="0D7D3C94">
      <w:pPr>
        <w:widowControl/>
        <w:jc w:val="center"/>
        <w:rPr>
          <w:rFonts w:ascii="Arial" w:hAnsi="Arial" w:cs="Arial"/>
          <w:sz w:val="22"/>
          <w:szCs w:val="22"/>
        </w:rPr>
      </w:pPr>
      <w:r>
        <w:rPr>
          <w:rFonts w:ascii="Arial" w:hAnsi="Arial" w:cs="Arial"/>
          <w:sz w:val="22"/>
          <w:szCs w:val="22"/>
        </w:rPr>
        <w:t>FINAL</w:t>
      </w:r>
      <w:r w:rsidR="00F43CFA">
        <w:rPr>
          <w:rFonts w:ascii="Arial" w:hAnsi="Arial" w:cs="Arial"/>
          <w:sz w:val="22"/>
          <w:szCs w:val="22"/>
        </w:rPr>
        <w:t xml:space="preserve"> </w:t>
      </w:r>
      <w:r w:rsidRPr="00A32597" w:rsidR="00F52F5C">
        <w:rPr>
          <w:rFonts w:ascii="Arial" w:hAnsi="Arial" w:cs="Arial"/>
          <w:sz w:val="22"/>
          <w:szCs w:val="22"/>
        </w:rPr>
        <w:t>SUPPORTING STATEMENT FOR</w:t>
      </w:r>
    </w:p>
    <w:p w:rsidR="003C4790" w:rsidP="002F41B7" w:rsidRDefault="00E05077" w14:paraId="172C1052" w14:textId="77777777">
      <w:pPr>
        <w:widowControl/>
        <w:jc w:val="center"/>
        <w:rPr>
          <w:rFonts w:ascii="Arial" w:hAnsi="Arial" w:cs="Arial"/>
          <w:sz w:val="22"/>
          <w:szCs w:val="22"/>
        </w:rPr>
      </w:pPr>
      <w:r w:rsidRPr="00D674C5">
        <w:rPr>
          <w:rFonts w:ascii="Arial" w:hAnsi="Arial" w:cs="Arial"/>
          <w:sz w:val="22"/>
          <w:szCs w:val="22"/>
        </w:rPr>
        <w:t xml:space="preserve">NRC FORMS 366, 366A, and 366B </w:t>
      </w:r>
    </w:p>
    <w:p w:rsidR="00E05077" w:rsidP="002F41B7" w:rsidRDefault="00E05077" w14:paraId="33B7485C" w14:textId="107ACF71">
      <w:pPr>
        <w:widowControl/>
        <w:jc w:val="center"/>
        <w:rPr>
          <w:rFonts w:ascii="Arial" w:hAnsi="Arial" w:cs="Arial"/>
          <w:sz w:val="22"/>
          <w:szCs w:val="22"/>
        </w:rPr>
      </w:pPr>
      <w:r w:rsidRPr="00D674C5">
        <w:rPr>
          <w:rFonts w:ascii="Arial" w:hAnsi="Arial" w:cs="Arial"/>
          <w:sz w:val="22"/>
          <w:szCs w:val="22"/>
        </w:rPr>
        <w:t>"LICENSEE EVENT REPORT"</w:t>
      </w:r>
      <w:r>
        <w:rPr>
          <w:sz w:val="22"/>
          <w:szCs w:val="22"/>
        </w:rPr>
        <w:t xml:space="preserve"> </w:t>
      </w:r>
    </w:p>
    <w:p w:rsidR="003C4790" w:rsidP="002F41B7" w:rsidRDefault="003C4790" w14:paraId="5274D7A0" w14:textId="77777777">
      <w:pPr>
        <w:widowControl/>
        <w:jc w:val="center"/>
        <w:rPr>
          <w:rFonts w:ascii="Arial" w:hAnsi="Arial" w:cs="Arial"/>
          <w:sz w:val="22"/>
          <w:szCs w:val="22"/>
        </w:rPr>
      </w:pPr>
    </w:p>
    <w:p w:rsidR="00636573" w:rsidP="002F41B7" w:rsidRDefault="00636573" w14:paraId="4AA5AC9F" w14:textId="2E0E3BF2">
      <w:pPr>
        <w:widowControl/>
        <w:jc w:val="center"/>
        <w:rPr>
          <w:rFonts w:ascii="Arial" w:hAnsi="Arial" w:cs="Arial"/>
          <w:sz w:val="22"/>
          <w:szCs w:val="22"/>
        </w:rPr>
      </w:pPr>
      <w:r>
        <w:rPr>
          <w:rFonts w:ascii="Arial" w:hAnsi="Arial" w:cs="Arial"/>
          <w:sz w:val="22"/>
          <w:szCs w:val="22"/>
        </w:rPr>
        <w:t>(</w:t>
      </w:r>
      <w:r w:rsidR="00CF6642">
        <w:rPr>
          <w:rFonts w:ascii="Arial" w:hAnsi="Arial" w:cs="Arial"/>
          <w:sz w:val="22"/>
          <w:szCs w:val="22"/>
        </w:rPr>
        <w:t>3150-0104</w:t>
      </w:r>
      <w:r>
        <w:rPr>
          <w:rFonts w:ascii="Arial" w:hAnsi="Arial" w:cs="Arial"/>
          <w:sz w:val="22"/>
          <w:szCs w:val="22"/>
        </w:rPr>
        <w:t>)</w:t>
      </w:r>
    </w:p>
    <w:p w:rsidR="00636573" w:rsidP="002F41B7" w:rsidRDefault="00636573" w14:paraId="50DC2B06" w14:textId="77777777">
      <w:pPr>
        <w:widowControl/>
        <w:jc w:val="center"/>
        <w:rPr>
          <w:rFonts w:ascii="Arial" w:hAnsi="Arial" w:cs="Arial"/>
          <w:sz w:val="22"/>
          <w:szCs w:val="22"/>
        </w:rPr>
      </w:pPr>
      <w:r>
        <w:rPr>
          <w:rFonts w:ascii="Arial" w:hAnsi="Arial" w:cs="Arial"/>
          <w:sz w:val="22"/>
          <w:szCs w:val="22"/>
        </w:rPr>
        <w:br/>
        <w:t>REVISION</w:t>
      </w:r>
    </w:p>
    <w:p w:rsidR="00F9792B" w:rsidP="002F41B7" w:rsidRDefault="00F9792B" w14:paraId="296B6829" w14:textId="77777777">
      <w:pPr>
        <w:widowControl/>
        <w:jc w:val="center"/>
        <w:rPr>
          <w:rFonts w:ascii="Arial" w:hAnsi="Arial" w:cs="Arial"/>
          <w:sz w:val="22"/>
          <w:szCs w:val="22"/>
        </w:rPr>
      </w:pPr>
    </w:p>
    <w:p w:rsidRPr="00A32597" w:rsidR="0031522D" w:rsidP="002F41B7" w:rsidRDefault="0031522D" w14:paraId="1887C4B7" w14:textId="77777777">
      <w:pPr>
        <w:widowControl/>
        <w:jc w:val="center"/>
        <w:rPr>
          <w:rFonts w:ascii="Arial" w:hAnsi="Arial" w:cs="Arial"/>
          <w:sz w:val="22"/>
          <w:szCs w:val="22"/>
        </w:rPr>
      </w:pPr>
    </w:p>
    <w:p w:rsidRPr="00220B95" w:rsidR="002B1B50" w:rsidP="002F41B7" w:rsidRDefault="002F20D7" w14:paraId="2B924F76" w14:textId="77777777">
      <w:pPr>
        <w:widowControl/>
        <w:rPr>
          <w:rFonts w:ascii="Arial" w:hAnsi="Arial" w:cs="Arial"/>
          <w:sz w:val="22"/>
          <w:szCs w:val="22"/>
        </w:rPr>
      </w:pPr>
      <w:r w:rsidRPr="00220B95">
        <w:rPr>
          <w:rFonts w:ascii="Arial" w:hAnsi="Arial" w:cs="Arial"/>
          <w:sz w:val="22"/>
          <w:szCs w:val="22"/>
        </w:rPr>
        <w:t>Description of the Information Collection</w:t>
      </w:r>
    </w:p>
    <w:p w:rsidR="003A241C" w:rsidP="003A241C" w:rsidRDefault="003A241C" w14:paraId="24D3B38A" w14:textId="77777777">
      <w:pPr>
        <w:pStyle w:val="Default"/>
      </w:pPr>
    </w:p>
    <w:p w:rsidR="00F52F5C" w:rsidP="003A241C" w:rsidRDefault="003A241C" w14:paraId="5EA23EB3" w14:textId="19F42C8E">
      <w:pPr>
        <w:widowControl/>
        <w:rPr>
          <w:rFonts w:ascii="Arial" w:hAnsi="Arial" w:cs="Arial"/>
          <w:sz w:val="22"/>
          <w:szCs w:val="22"/>
        </w:rPr>
      </w:pPr>
      <w:r w:rsidRPr="007F35D9">
        <w:rPr>
          <w:rFonts w:ascii="Arial" w:hAnsi="Arial" w:cs="Arial"/>
          <w:sz w:val="22"/>
          <w:szCs w:val="22"/>
        </w:rPr>
        <w:t xml:space="preserve">Part of the </w:t>
      </w:r>
      <w:r w:rsidRPr="008754D9" w:rsidR="003C4790">
        <w:rPr>
          <w:rFonts w:ascii="Arial" w:hAnsi="Arial" w:cs="Arial"/>
          <w:sz w:val="22"/>
          <w:szCs w:val="22"/>
        </w:rPr>
        <w:t xml:space="preserve">U.S. </w:t>
      </w:r>
      <w:r w:rsidRPr="007F35D9">
        <w:rPr>
          <w:rFonts w:ascii="Arial" w:hAnsi="Arial" w:cs="Arial"/>
          <w:sz w:val="22"/>
          <w:szCs w:val="22"/>
        </w:rPr>
        <w:t>Nuclear Regulatory Commission’s (NRC) function is to license and regulate the operation of commercial nuclear power plants to ensure protection of public health and safety and the environment in accordance with the Atomic Energy Act of 1954</w:t>
      </w:r>
      <w:r w:rsidR="003C4790">
        <w:rPr>
          <w:rFonts w:ascii="Arial" w:hAnsi="Arial" w:cs="Arial"/>
          <w:sz w:val="22"/>
          <w:szCs w:val="22"/>
        </w:rPr>
        <w:t>,</w:t>
      </w:r>
      <w:r w:rsidRPr="007F35D9">
        <w:rPr>
          <w:rFonts w:ascii="Arial" w:hAnsi="Arial" w:cs="Arial"/>
          <w:sz w:val="22"/>
          <w:szCs w:val="22"/>
        </w:rPr>
        <w:t xml:space="preserve"> as amended</w:t>
      </w:r>
      <w:r w:rsidR="003C4790">
        <w:rPr>
          <w:rFonts w:ascii="Arial" w:hAnsi="Arial" w:cs="Arial"/>
          <w:sz w:val="22"/>
          <w:szCs w:val="22"/>
        </w:rPr>
        <w:t xml:space="preserve"> </w:t>
      </w:r>
      <w:r w:rsidRPr="007F35D9" w:rsidR="003C4790">
        <w:rPr>
          <w:rFonts w:ascii="Arial" w:hAnsi="Arial" w:cs="Arial"/>
          <w:sz w:val="22"/>
          <w:szCs w:val="22"/>
        </w:rPr>
        <w:t>(A</w:t>
      </w:r>
      <w:r w:rsidR="003C4790">
        <w:rPr>
          <w:rFonts w:ascii="Arial" w:hAnsi="Arial" w:cs="Arial"/>
          <w:sz w:val="22"/>
          <w:szCs w:val="22"/>
        </w:rPr>
        <w:t>EA</w:t>
      </w:r>
      <w:r w:rsidRPr="007F35D9" w:rsidR="003C4790">
        <w:rPr>
          <w:rFonts w:ascii="Arial" w:hAnsi="Arial" w:cs="Arial"/>
          <w:sz w:val="22"/>
          <w:szCs w:val="22"/>
        </w:rPr>
        <w:t>)</w:t>
      </w:r>
      <w:r w:rsidRPr="007F35D9">
        <w:rPr>
          <w:rFonts w:ascii="Arial" w:hAnsi="Arial" w:cs="Arial"/>
          <w:sz w:val="22"/>
          <w:szCs w:val="22"/>
        </w:rPr>
        <w:t xml:space="preserve">. The holder of an operating license under </w:t>
      </w:r>
      <w:r w:rsidRPr="00A33F04" w:rsidR="003C4790">
        <w:rPr>
          <w:rFonts w:ascii="Arial" w:hAnsi="Arial" w:cs="Arial"/>
          <w:sz w:val="22"/>
          <w:szCs w:val="22"/>
        </w:rPr>
        <w:t xml:space="preserve">Title 10 of the </w:t>
      </w:r>
      <w:r w:rsidRPr="00A33F04" w:rsidR="003C4790">
        <w:rPr>
          <w:rFonts w:ascii="Arial" w:hAnsi="Arial" w:cs="Arial"/>
          <w:i/>
          <w:sz w:val="22"/>
          <w:szCs w:val="22"/>
        </w:rPr>
        <w:t>Code of Federal Regulations</w:t>
      </w:r>
      <w:r w:rsidRPr="00A33F04" w:rsidR="003C4790">
        <w:rPr>
          <w:rFonts w:ascii="Arial" w:hAnsi="Arial" w:cs="Arial"/>
          <w:sz w:val="22"/>
          <w:szCs w:val="22"/>
        </w:rPr>
        <w:t xml:space="preserve"> (10 CFR)</w:t>
      </w:r>
      <w:r w:rsidR="003C4790">
        <w:rPr>
          <w:rFonts w:ascii="Arial" w:hAnsi="Arial" w:cs="Arial"/>
          <w:sz w:val="22"/>
          <w:szCs w:val="22"/>
        </w:rPr>
        <w:t xml:space="preserve"> Part 50 </w:t>
      </w:r>
      <w:r w:rsidRPr="007F35D9">
        <w:rPr>
          <w:rFonts w:ascii="Arial" w:hAnsi="Arial" w:cs="Arial"/>
          <w:sz w:val="22"/>
          <w:szCs w:val="22"/>
        </w:rPr>
        <w:t xml:space="preserve">or a combined license under part 52 of this chapter (after the Commission has made the finding under </w:t>
      </w:r>
      <w:r w:rsidR="005001D6">
        <w:rPr>
          <w:rFonts w:ascii="Arial" w:hAnsi="Arial" w:cs="Arial"/>
          <w:sz w:val="22"/>
          <w:szCs w:val="22"/>
        </w:rPr>
        <w:t>10 CFR</w:t>
      </w:r>
      <w:r w:rsidRPr="007F35D9">
        <w:rPr>
          <w:rFonts w:ascii="Arial" w:hAnsi="Arial" w:cs="Arial"/>
          <w:sz w:val="22"/>
          <w:szCs w:val="22"/>
        </w:rPr>
        <w:t xml:space="preserve"> 52.103(g) of this chapter) for a nuclear power </w:t>
      </w:r>
      <w:r w:rsidRPr="003A241C">
        <w:rPr>
          <w:rFonts w:ascii="Arial" w:hAnsi="Arial" w:cs="Arial"/>
          <w:sz w:val="22"/>
          <w:szCs w:val="22"/>
        </w:rPr>
        <w:t xml:space="preserve">plant (licensee) shall submit an NRC Form 366, </w:t>
      </w:r>
      <w:r>
        <w:rPr>
          <w:rFonts w:ascii="Arial" w:hAnsi="Arial" w:cs="Arial"/>
          <w:sz w:val="22"/>
          <w:szCs w:val="22"/>
        </w:rPr>
        <w:t>“</w:t>
      </w:r>
      <w:r w:rsidRPr="007F35D9">
        <w:rPr>
          <w:rFonts w:ascii="Arial" w:hAnsi="Arial" w:cs="Arial"/>
          <w:sz w:val="22"/>
          <w:szCs w:val="22"/>
        </w:rPr>
        <w:t>Licensee Event Report</w:t>
      </w:r>
      <w:r>
        <w:rPr>
          <w:rFonts w:ascii="Arial" w:hAnsi="Arial" w:cs="Arial"/>
          <w:sz w:val="22"/>
          <w:szCs w:val="22"/>
        </w:rPr>
        <w:t>”</w:t>
      </w:r>
      <w:r w:rsidRPr="007F35D9">
        <w:rPr>
          <w:rFonts w:ascii="Arial" w:hAnsi="Arial" w:cs="Arial"/>
          <w:sz w:val="22"/>
          <w:szCs w:val="22"/>
        </w:rPr>
        <w:t xml:space="preserve"> (LER)</w:t>
      </w:r>
      <w:r>
        <w:rPr>
          <w:rFonts w:ascii="Arial" w:hAnsi="Arial" w:cs="Arial"/>
          <w:sz w:val="22"/>
          <w:szCs w:val="22"/>
        </w:rPr>
        <w:t xml:space="preserve"> to report specified events.</w:t>
      </w:r>
    </w:p>
    <w:p w:rsidR="00F52F5C" w:rsidP="00F52F5C" w:rsidRDefault="00F52F5C" w14:paraId="114C37BD" w14:textId="77777777">
      <w:pPr>
        <w:widowControl/>
        <w:rPr>
          <w:rFonts w:ascii="Arial" w:hAnsi="Arial" w:cs="Arial"/>
          <w:sz w:val="22"/>
          <w:szCs w:val="22"/>
        </w:rPr>
      </w:pPr>
    </w:p>
    <w:p w:rsidRPr="004E4948" w:rsidR="00F52F5C" w:rsidP="00F52F5C" w:rsidRDefault="00220B95" w14:paraId="340317EA" w14:textId="1A61E492">
      <w:pPr>
        <w:widowControl/>
        <w:rPr>
          <w:rFonts w:ascii="Arial" w:hAnsi="Arial" w:cs="Arial"/>
          <w:sz w:val="22"/>
          <w:szCs w:val="22"/>
        </w:rPr>
      </w:pPr>
      <w:r>
        <w:rPr>
          <w:rFonts w:ascii="Arial" w:hAnsi="Arial" w:cs="Arial"/>
          <w:sz w:val="22"/>
          <w:szCs w:val="22"/>
        </w:rPr>
        <w:t>P</w:t>
      </w:r>
      <w:r w:rsidR="008A2333">
        <w:rPr>
          <w:rFonts w:ascii="Arial" w:hAnsi="Arial" w:cs="Arial"/>
          <w:sz w:val="22"/>
          <w:szCs w:val="22"/>
        </w:rPr>
        <w:t xml:space="preserve">art of </w:t>
      </w:r>
      <w:r w:rsidR="00BC0845">
        <w:rPr>
          <w:rFonts w:ascii="Arial" w:hAnsi="Arial" w:cs="Arial"/>
          <w:sz w:val="22"/>
          <w:szCs w:val="22"/>
        </w:rPr>
        <w:t xml:space="preserve">the </w:t>
      </w:r>
      <w:r w:rsidR="003C4790">
        <w:rPr>
          <w:rFonts w:ascii="Arial" w:hAnsi="Arial" w:cs="Arial"/>
          <w:sz w:val="22"/>
          <w:szCs w:val="22"/>
        </w:rPr>
        <w:t>“</w:t>
      </w:r>
      <w:r w:rsidR="00BC0845">
        <w:rPr>
          <w:rFonts w:ascii="Arial" w:hAnsi="Arial" w:cs="Arial"/>
          <w:sz w:val="22"/>
          <w:szCs w:val="22"/>
        </w:rPr>
        <w:t>Enhanced Weapons, Firearms Background Checks, and Security Event Notifications</w:t>
      </w:r>
      <w:r w:rsidR="003C4790">
        <w:rPr>
          <w:rFonts w:ascii="Arial" w:hAnsi="Arial" w:cs="Arial"/>
          <w:sz w:val="22"/>
          <w:szCs w:val="22"/>
        </w:rPr>
        <w:t>”</w:t>
      </w:r>
      <w:r w:rsidR="00BC0845">
        <w:rPr>
          <w:rFonts w:ascii="Arial" w:hAnsi="Arial" w:cs="Arial"/>
          <w:sz w:val="22"/>
          <w:szCs w:val="22"/>
        </w:rPr>
        <w:t xml:space="preserve"> </w:t>
      </w:r>
      <w:r w:rsidR="008A2333">
        <w:rPr>
          <w:rFonts w:ascii="Arial" w:hAnsi="Arial" w:cs="Arial"/>
          <w:sz w:val="22"/>
          <w:szCs w:val="22"/>
        </w:rPr>
        <w:t>f</w:t>
      </w:r>
      <w:r w:rsidR="00BC0845">
        <w:rPr>
          <w:rFonts w:ascii="Arial" w:hAnsi="Arial" w:cs="Arial"/>
          <w:sz w:val="22"/>
          <w:szCs w:val="22"/>
        </w:rPr>
        <w:t xml:space="preserve">inal </w:t>
      </w:r>
      <w:r w:rsidR="008A2333">
        <w:rPr>
          <w:rFonts w:ascii="Arial" w:hAnsi="Arial" w:cs="Arial"/>
          <w:sz w:val="22"/>
          <w:szCs w:val="22"/>
        </w:rPr>
        <w:t>r</w:t>
      </w:r>
      <w:r w:rsidR="00BC0845">
        <w:rPr>
          <w:rFonts w:ascii="Arial" w:hAnsi="Arial" w:cs="Arial"/>
          <w:sz w:val="22"/>
          <w:szCs w:val="22"/>
        </w:rPr>
        <w:t>ule</w:t>
      </w:r>
      <w:r w:rsidRPr="00F425DF" w:rsidR="008A2333">
        <w:rPr>
          <w:rStyle w:val="FootnoteReference"/>
          <w:rFonts w:cs="Arial"/>
          <w:szCs w:val="22"/>
          <w:vertAlign w:val="superscript"/>
        </w:rPr>
        <w:footnoteReference w:id="1"/>
      </w:r>
      <w:r w:rsidR="00BC0845">
        <w:rPr>
          <w:rFonts w:ascii="Arial" w:hAnsi="Arial" w:cs="Arial"/>
          <w:sz w:val="22"/>
          <w:szCs w:val="22"/>
        </w:rPr>
        <w:t xml:space="preserve"> </w:t>
      </w:r>
      <w:r>
        <w:rPr>
          <w:rFonts w:ascii="Arial" w:hAnsi="Arial" w:cs="Arial"/>
          <w:sz w:val="22"/>
          <w:szCs w:val="22"/>
        </w:rPr>
        <w:t xml:space="preserve">modifies </w:t>
      </w:r>
      <w:r w:rsidR="008A2333">
        <w:rPr>
          <w:rFonts w:ascii="Arial" w:hAnsi="Arial" w:cs="Arial"/>
          <w:sz w:val="22"/>
          <w:szCs w:val="22"/>
        </w:rPr>
        <w:t xml:space="preserve">the </w:t>
      </w:r>
      <w:r w:rsidR="00BC0845">
        <w:rPr>
          <w:rFonts w:ascii="Arial" w:hAnsi="Arial" w:cs="Arial"/>
          <w:sz w:val="22"/>
          <w:szCs w:val="22"/>
        </w:rPr>
        <w:t xml:space="preserve">security event notifications </w:t>
      </w:r>
      <w:r w:rsidR="00E13471">
        <w:rPr>
          <w:rFonts w:ascii="Arial" w:hAnsi="Arial" w:cs="Arial"/>
          <w:sz w:val="22"/>
          <w:szCs w:val="22"/>
        </w:rPr>
        <w:t>and written follow-up</w:t>
      </w:r>
      <w:r w:rsidR="005001D6">
        <w:rPr>
          <w:rFonts w:ascii="Arial" w:hAnsi="Arial" w:cs="Arial"/>
          <w:sz w:val="22"/>
          <w:szCs w:val="22"/>
        </w:rPr>
        <w:t xml:space="preserve"> reports (10 CFR</w:t>
      </w:r>
      <w:r w:rsidR="003C4790">
        <w:rPr>
          <w:rFonts w:ascii="Arial" w:hAnsi="Arial" w:cs="Arial"/>
          <w:sz w:val="22"/>
          <w:szCs w:val="22"/>
        </w:rPr>
        <w:t> </w:t>
      </w:r>
      <w:r w:rsidR="00E13471">
        <w:rPr>
          <w:rFonts w:ascii="Arial" w:hAnsi="Arial" w:cs="Arial"/>
          <w:sz w:val="22"/>
          <w:szCs w:val="22"/>
        </w:rPr>
        <w:t>73.1205)</w:t>
      </w:r>
      <w:r>
        <w:rPr>
          <w:rFonts w:ascii="Arial" w:hAnsi="Arial" w:cs="Arial"/>
          <w:sz w:val="22"/>
          <w:szCs w:val="22"/>
        </w:rPr>
        <w:t xml:space="preserve"> regulations</w:t>
      </w:r>
      <w:r w:rsidR="00E13471">
        <w:rPr>
          <w:rFonts w:ascii="Arial" w:hAnsi="Arial" w:cs="Arial"/>
          <w:sz w:val="22"/>
          <w:szCs w:val="22"/>
        </w:rPr>
        <w:t xml:space="preserve">, which </w:t>
      </w:r>
      <w:r w:rsidR="00F52F5C">
        <w:rPr>
          <w:rFonts w:ascii="Arial" w:hAnsi="Arial" w:cs="Arial"/>
          <w:sz w:val="22"/>
          <w:szCs w:val="22"/>
        </w:rPr>
        <w:t xml:space="preserve">affect the </w:t>
      </w:r>
      <w:r w:rsidRPr="004E4948" w:rsidR="00F52F5C">
        <w:rPr>
          <w:rFonts w:ascii="Arial" w:hAnsi="Arial" w:cs="Arial"/>
          <w:sz w:val="22"/>
          <w:szCs w:val="22"/>
        </w:rPr>
        <w:t>information colle</w:t>
      </w:r>
      <w:r w:rsidR="005001D6">
        <w:rPr>
          <w:rFonts w:ascii="Arial" w:hAnsi="Arial" w:cs="Arial"/>
          <w:sz w:val="22"/>
          <w:szCs w:val="22"/>
        </w:rPr>
        <w:t>ctions contained in 10 CFR Part </w:t>
      </w:r>
      <w:r w:rsidRPr="004E4948" w:rsidR="00F52F5C">
        <w:rPr>
          <w:rFonts w:ascii="Arial" w:hAnsi="Arial" w:cs="Arial"/>
          <w:sz w:val="22"/>
          <w:szCs w:val="22"/>
        </w:rPr>
        <w:t>73</w:t>
      </w:r>
      <w:r w:rsidRPr="004E4948" w:rsidR="00935F32">
        <w:rPr>
          <w:rFonts w:ascii="Arial" w:hAnsi="Arial" w:cs="Arial"/>
          <w:sz w:val="22"/>
          <w:szCs w:val="22"/>
        </w:rPr>
        <w:t xml:space="preserve"> under NRC Form 366</w:t>
      </w:r>
      <w:r w:rsidRPr="004E4948" w:rsidR="004E4948">
        <w:rPr>
          <w:rFonts w:ascii="Arial" w:hAnsi="Arial" w:cs="Arial"/>
          <w:sz w:val="22"/>
          <w:szCs w:val="22"/>
        </w:rPr>
        <w:t>, “Licensee Event Report”</w:t>
      </w:r>
      <w:r w:rsidRPr="004E4948" w:rsidR="00F52F5C">
        <w:rPr>
          <w:rFonts w:ascii="Arial" w:hAnsi="Arial" w:cs="Arial"/>
          <w:sz w:val="22"/>
          <w:szCs w:val="22"/>
        </w:rPr>
        <w:t>.</w:t>
      </w:r>
    </w:p>
    <w:p w:rsidR="00F52F5C" w:rsidP="00F52F5C" w:rsidRDefault="00F52F5C" w14:paraId="75B94612" w14:textId="77777777">
      <w:pPr>
        <w:widowControl/>
        <w:rPr>
          <w:rFonts w:ascii="Arial" w:hAnsi="Arial" w:cs="Arial"/>
          <w:sz w:val="22"/>
          <w:szCs w:val="22"/>
        </w:rPr>
      </w:pPr>
    </w:p>
    <w:p w:rsidR="00F425DF" w:rsidP="00F52F5C" w:rsidRDefault="008A2333" w14:paraId="38D6ACE2" w14:textId="1EA835BB">
      <w:pPr>
        <w:widowControl/>
        <w:rPr>
          <w:rFonts w:ascii="Arial" w:hAnsi="Arial" w:cs="Arial"/>
          <w:sz w:val="22"/>
          <w:szCs w:val="22"/>
        </w:rPr>
      </w:pPr>
      <w:r>
        <w:rPr>
          <w:rFonts w:ascii="Arial" w:hAnsi="Arial" w:cs="Arial"/>
          <w:sz w:val="22"/>
          <w:szCs w:val="22"/>
        </w:rPr>
        <w:t>T</w:t>
      </w:r>
      <w:r w:rsidRPr="001B0614" w:rsidR="00F52F5C">
        <w:rPr>
          <w:rFonts w:ascii="Arial" w:hAnsi="Arial" w:cs="Arial"/>
          <w:sz w:val="22"/>
          <w:szCs w:val="22"/>
        </w:rPr>
        <w:t xml:space="preserve">he NRC is revising its existing </w:t>
      </w:r>
      <w:r w:rsidR="006A209D">
        <w:rPr>
          <w:rFonts w:ascii="Arial" w:hAnsi="Arial" w:cs="Arial"/>
          <w:sz w:val="22"/>
          <w:szCs w:val="22"/>
        </w:rPr>
        <w:t xml:space="preserve">physical </w:t>
      </w:r>
      <w:r w:rsidRPr="001B0614" w:rsidR="006A209D">
        <w:rPr>
          <w:rFonts w:ascii="Arial" w:hAnsi="Arial" w:cs="Arial"/>
          <w:sz w:val="22"/>
          <w:szCs w:val="22"/>
        </w:rPr>
        <w:t>securi</w:t>
      </w:r>
      <w:r w:rsidRPr="00593479" w:rsidR="006A209D">
        <w:rPr>
          <w:rFonts w:ascii="Arial" w:hAnsi="Arial" w:cs="Arial"/>
          <w:sz w:val="22"/>
          <w:szCs w:val="22"/>
        </w:rPr>
        <w:t xml:space="preserve">ty event notification </w:t>
      </w:r>
      <w:r w:rsidRPr="001B0614" w:rsidR="00F52F5C">
        <w:rPr>
          <w:rFonts w:ascii="Arial" w:hAnsi="Arial" w:cs="Arial"/>
          <w:sz w:val="22"/>
          <w:szCs w:val="22"/>
        </w:rPr>
        <w:t xml:space="preserve">regulations to provide for </w:t>
      </w:r>
      <w:r w:rsidR="006A209D">
        <w:rPr>
          <w:rFonts w:ascii="Arial" w:hAnsi="Arial" w:cs="Arial"/>
          <w:sz w:val="22"/>
          <w:szCs w:val="22"/>
        </w:rPr>
        <w:t xml:space="preserve">increased </w:t>
      </w:r>
      <w:r w:rsidRPr="001B0614" w:rsidR="00F52F5C">
        <w:rPr>
          <w:rFonts w:ascii="Arial" w:hAnsi="Arial" w:cs="Arial"/>
          <w:sz w:val="22"/>
          <w:szCs w:val="22"/>
        </w:rPr>
        <w:t>consistency</w:t>
      </w:r>
      <w:r w:rsidR="006A209D">
        <w:rPr>
          <w:rFonts w:ascii="Arial" w:hAnsi="Arial" w:cs="Arial"/>
          <w:sz w:val="22"/>
          <w:szCs w:val="22"/>
        </w:rPr>
        <w:t xml:space="preserve"> and reduced impact consistent with the security risk-significance of the event for these </w:t>
      </w:r>
      <w:r w:rsidRPr="001B0614" w:rsidR="00F52F5C">
        <w:rPr>
          <w:rFonts w:ascii="Arial" w:hAnsi="Arial" w:cs="Arial"/>
          <w:sz w:val="22"/>
          <w:szCs w:val="22"/>
        </w:rPr>
        <w:t xml:space="preserve">mandatory </w:t>
      </w:r>
      <w:r w:rsidRPr="00593479" w:rsidR="00F52F5C">
        <w:rPr>
          <w:rFonts w:ascii="Arial" w:hAnsi="Arial" w:cs="Arial"/>
          <w:sz w:val="22"/>
          <w:szCs w:val="22"/>
        </w:rPr>
        <w:t>requirements</w:t>
      </w:r>
      <w:r w:rsidR="006A209D">
        <w:rPr>
          <w:rFonts w:ascii="Arial" w:hAnsi="Arial" w:cs="Arial"/>
          <w:sz w:val="22"/>
          <w:szCs w:val="22"/>
        </w:rPr>
        <w:t>, which apply to multiple classes of regulated</w:t>
      </w:r>
      <w:r w:rsidRPr="00593479" w:rsidR="00F52F5C">
        <w:rPr>
          <w:rFonts w:ascii="Arial" w:hAnsi="Arial" w:cs="Arial"/>
          <w:sz w:val="22"/>
          <w:szCs w:val="22"/>
        </w:rPr>
        <w:t xml:space="preserve"> facilities</w:t>
      </w:r>
      <w:r w:rsidR="00F52F5C">
        <w:rPr>
          <w:rFonts w:ascii="Arial" w:hAnsi="Arial" w:cs="Arial"/>
          <w:sz w:val="22"/>
          <w:szCs w:val="22"/>
        </w:rPr>
        <w:t xml:space="preserve"> and </w:t>
      </w:r>
      <w:r w:rsidRPr="00593479" w:rsidR="00F52F5C">
        <w:rPr>
          <w:rFonts w:ascii="Arial" w:hAnsi="Arial" w:cs="Arial"/>
          <w:sz w:val="22"/>
          <w:szCs w:val="22"/>
        </w:rPr>
        <w:t xml:space="preserve">transportation </w:t>
      </w:r>
      <w:r w:rsidR="006A209D">
        <w:rPr>
          <w:rFonts w:ascii="Arial" w:hAnsi="Arial" w:cs="Arial"/>
          <w:sz w:val="22"/>
          <w:szCs w:val="22"/>
        </w:rPr>
        <w:t>activities.  Moreover</w:t>
      </w:r>
      <w:r w:rsidRPr="00593479" w:rsidR="00F52F5C">
        <w:rPr>
          <w:rFonts w:ascii="Arial" w:hAnsi="Arial" w:cs="Arial"/>
          <w:sz w:val="22"/>
          <w:szCs w:val="22"/>
        </w:rPr>
        <w:t xml:space="preserve">, the NRC is revising the existing regulations to add </w:t>
      </w:r>
      <w:r w:rsidR="00F425DF">
        <w:rPr>
          <w:rFonts w:ascii="Arial" w:hAnsi="Arial" w:cs="Arial"/>
          <w:sz w:val="22"/>
          <w:szCs w:val="22"/>
        </w:rPr>
        <w:t xml:space="preserve">the following </w:t>
      </w:r>
      <w:r w:rsidRPr="00593479" w:rsidR="00F52F5C">
        <w:rPr>
          <w:rFonts w:ascii="Arial" w:hAnsi="Arial" w:cs="Arial"/>
          <w:sz w:val="22"/>
          <w:szCs w:val="22"/>
        </w:rPr>
        <w:t>new mandatory event notification requirements</w:t>
      </w:r>
      <w:r w:rsidR="00E13471">
        <w:rPr>
          <w:rFonts w:ascii="Arial" w:hAnsi="Arial" w:cs="Arial"/>
          <w:sz w:val="22"/>
          <w:szCs w:val="22"/>
        </w:rPr>
        <w:t xml:space="preserve"> for</w:t>
      </w:r>
      <w:r w:rsidR="00F425DF">
        <w:rPr>
          <w:rFonts w:ascii="Arial" w:hAnsi="Arial" w:cs="Arial"/>
          <w:sz w:val="22"/>
          <w:szCs w:val="22"/>
        </w:rPr>
        <w:t>:</w:t>
      </w:r>
    </w:p>
    <w:p w:rsidR="006A209D" w:rsidP="00F52F5C" w:rsidRDefault="006A209D" w14:paraId="7ED023C8" w14:textId="77777777">
      <w:pPr>
        <w:widowControl/>
        <w:rPr>
          <w:rFonts w:ascii="Arial" w:hAnsi="Arial" w:cs="Arial"/>
          <w:sz w:val="22"/>
          <w:szCs w:val="22"/>
        </w:rPr>
      </w:pPr>
    </w:p>
    <w:p w:rsidR="00F425DF" w:rsidP="00F425DF" w:rsidRDefault="002904BE" w14:paraId="59E28CFC" w14:textId="44192932">
      <w:pPr>
        <w:pStyle w:val="ListBullet"/>
      </w:pPr>
      <w:r>
        <w:t>T</w:t>
      </w:r>
      <w:r w:rsidRPr="00593479" w:rsidR="00F52F5C">
        <w:t xml:space="preserve">he theft or </w:t>
      </w:r>
      <w:r w:rsidR="00E13471">
        <w:t xml:space="preserve">loss of enhanced </w:t>
      </w:r>
      <w:proofErr w:type="gramStart"/>
      <w:r w:rsidR="00E13471">
        <w:t>weapons;</w:t>
      </w:r>
      <w:proofErr w:type="gramEnd"/>
      <w:r w:rsidR="00E13471">
        <w:t xml:space="preserve"> </w:t>
      </w:r>
    </w:p>
    <w:p w:rsidR="00E13471" w:rsidP="00F425DF" w:rsidRDefault="002904BE" w14:paraId="7086E7E9" w14:textId="144E44CC">
      <w:pPr>
        <w:pStyle w:val="ListBullet"/>
      </w:pPr>
      <w:r>
        <w:t>T</w:t>
      </w:r>
      <w:r w:rsidR="006A209D">
        <w:t xml:space="preserve">he </w:t>
      </w:r>
      <w:r w:rsidR="00F425DF">
        <w:t xml:space="preserve">reporting of </w:t>
      </w:r>
      <w:r w:rsidRPr="00593479" w:rsidR="00F52F5C">
        <w:t xml:space="preserve">imminent or actual hostile </w:t>
      </w:r>
      <w:r w:rsidR="00935F32">
        <w:t>actions</w:t>
      </w:r>
      <w:r w:rsidR="00E13471">
        <w:t xml:space="preserve"> against power reactor facilities; and</w:t>
      </w:r>
    </w:p>
    <w:p w:rsidR="00F52F5C" w:rsidP="00F425DF" w:rsidRDefault="002904BE" w14:paraId="28BCDCA9" w14:textId="19B21397">
      <w:pPr>
        <w:pStyle w:val="ListBullet"/>
      </w:pPr>
      <w:r>
        <w:t>T</w:t>
      </w:r>
      <w:r w:rsidR="006A209D">
        <w:t xml:space="preserve">he </w:t>
      </w:r>
      <w:r w:rsidR="00E13471">
        <w:t xml:space="preserve">reporting of imminent or actual hostile actions against </w:t>
      </w:r>
      <w:r w:rsidR="00F52F5C">
        <w:t>shipments of</w:t>
      </w:r>
      <w:r w:rsidR="00E13471">
        <w:t xml:space="preserve"> spent nuclear fuel (SNF).</w:t>
      </w:r>
    </w:p>
    <w:p w:rsidR="00F30821" w:rsidP="00F52F5C" w:rsidRDefault="00F30821" w14:paraId="29083C6D" w14:textId="3B5477BA">
      <w:pPr>
        <w:widowControl/>
        <w:rPr>
          <w:rFonts w:ascii="Arial" w:hAnsi="Arial" w:cs="Arial"/>
          <w:sz w:val="22"/>
          <w:szCs w:val="22"/>
        </w:rPr>
      </w:pPr>
    </w:p>
    <w:p w:rsidR="00F30821" w:rsidP="00F52F5C" w:rsidRDefault="00F30821" w14:paraId="3281F3A9" w14:textId="388A6C1D">
      <w:pPr>
        <w:widowControl/>
        <w:rPr>
          <w:rFonts w:ascii="Arial" w:hAnsi="Arial" w:cs="Arial"/>
          <w:sz w:val="22"/>
          <w:szCs w:val="22"/>
        </w:rPr>
      </w:pPr>
      <w:r>
        <w:rPr>
          <w:rFonts w:ascii="Arial" w:hAnsi="Arial" w:cs="Arial"/>
          <w:sz w:val="22"/>
          <w:szCs w:val="22"/>
        </w:rPr>
        <w:t>Written follow-up reports are currently required to be submitted to the NRC within 60 days of the licensee making a physical security event notification</w:t>
      </w:r>
      <w:r w:rsidR="00E5628E">
        <w:rPr>
          <w:rFonts w:ascii="Arial" w:hAnsi="Arial" w:cs="Arial"/>
          <w:sz w:val="22"/>
          <w:szCs w:val="22"/>
        </w:rPr>
        <w:t xml:space="preserve"> under 10 CFR 73.</w:t>
      </w:r>
      <w:r w:rsidR="00F16590">
        <w:rPr>
          <w:rFonts w:ascii="Arial" w:hAnsi="Arial" w:cs="Arial"/>
          <w:sz w:val="22"/>
          <w:szCs w:val="22"/>
        </w:rPr>
        <w:t>71;</w:t>
      </w:r>
      <w:r w:rsidR="003C4790">
        <w:rPr>
          <w:rFonts w:ascii="Arial" w:hAnsi="Arial" w:cs="Arial"/>
          <w:sz w:val="22"/>
          <w:szCs w:val="22"/>
        </w:rPr>
        <w:t xml:space="preserve"> </w:t>
      </w:r>
      <w:r w:rsidR="005F3F0A">
        <w:rPr>
          <w:rFonts w:ascii="Arial" w:hAnsi="Arial" w:cs="Arial"/>
          <w:sz w:val="22"/>
          <w:szCs w:val="22"/>
        </w:rPr>
        <w:t>h</w:t>
      </w:r>
      <w:r w:rsidR="00127910">
        <w:rPr>
          <w:rFonts w:ascii="Arial" w:hAnsi="Arial" w:cs="Arial"/>
          <w:sz w:val="22"/>
          <w:szCs w:val="22"/>
        </w:rPr>
        <w:t xml:space="preserve">owever, the final rule </w:t>
      </w:r>
      <w:r w:rsidR="00127910">
        <w:rPr>
          <w:rFonts w:ascii="Arial" w:hAnsi="Arial" w:eastAsia="Calibri" w:cs="Arial"/>
          <w:sz w:val="22"/>
          <w:szCs w:val="22"/>
        </w:rPr>
        <w:t xml:space="preserve">has </w:t>
      </w:r>
      <w:proofErr w:type="gramStart"/>
      <w:r w:rsidR="00127910">
        <w:rPr>
          <w:rFonts w:ascii="Arial" w:hAnsi="Arial" w:eastAsia="Calibri" w:cs="Arial"/>
          <w:sz w:val="22"/>
          <w:szCs w:val="22"/>
        </w:rPr>
        <w:t>renumbered</w:t>
      </w:r>
      <w:proofErr w:type="gramEnd"/>
      <w:r w:rsidR="00127910">
        <w:rPr>
          <w:rFonts w:ascii="Arial" w:hAnsi="Arial" w:eastAsia="Calibri" w:cs="Arial"/>
          <w:sz w:val="22"/>
          <w:szCs w:val="22"/>
        </w:rPr>
        <w:t xml:space="preserve"> and restructured Part 73 regulations related to event reporting</w:t>
      </w:r>
      <w:r w:rsidR="00F16590">
        <w:rPr>
          <w:rFonts w:ascii="Arial" w:hAnsi="Arial" w:eastAsia="Calibri" w:cs="Arial"/>
          <w:sz w:val="22"/>
          <w:szCs w:val="22"/>
        </w:rPr>
        <w:t xml:space="preserve"> and notifications will now be reported under </w:t>
      </w:r>
      <w:r w:rsidR="005001D6">
        <w:rPr>
          <w:rFonts w:ascii="Arial" w:hAnsi="Arial" w:eastAsia="Calibri" w:cs="Arial"/>
          <w:sz w:val="22"/>
          <w:szCs w:val="22"/>
        </w:rPr>
        <w:t xml:space="preserve">10 CFR </w:t>
      </w:r>
      <w:r w:rsidR="00F16590">
        <w:rPr>
          <w:rFonts w:ascii="Arial" w:hAnsi="Arial" w:eastAsia="Calibri" w:cs="Arial"/>
          <w:sz w:val="22"/>
          <w:szCs w:val="22"/>
        </w:rPr>
        <w:t>73.1200</w:t>
      </w:r>
      <w:r w:rsidR="003C4790">
        <w:rPr>
          <w:rFonts w:ascii="Arial" w:hAnsi="Arial" w:eastAsia="Calibri" w:cs="Arial"/>
          <w:sz w:val="22"/>
          <w:szCs w:val="22"/>
        </w:rPr>
        <w:t>, “Notification of physical security events</w:t>
      </w:r>
      <w:r w:rsidR="00F16590">
        <w:rPr>
          <w:rFonts w:ascii="Arial" w:hAnsi="Arial" w:eastAsia="Calibri" w:cs="Arial"/>
          <w:sz w:val="22"/>
          <w:szCs w:val="22"/>
        </w:rPr>
        <w:t>.</w:t>
      </w:r>
      <w:r w:rsidR="003C4790">
        <w:rPr>
          <w:rFonts w:ascii="Arial" w:hAnsi="Arial" w:eastAsia="Calibri" w:cs="Arial"/>
          <w:sz w:val="22"/>
          <w:szCs w:val="22"/>
        </w:rPr>
        <w:t>”</w:t>
      </w:r>
      <w:r w:rsidR="00127910">
        <w:rPr>
          <w:rFonts w:ascii="Arial" w:hAnsi="Arial" w:eastAsia="Calibri" w:cs="Arial"/>
          <w:sz w:val="22"/>
          <w:szCs w:val="22"/>
        </w:rPr>
        <w:t xml:space="preserve">  </w:t>
      </w:r>
      <w:r w:rsidR="00F425DF">
        <w:rPr>
          <w:rFonts w:ascii="Arial" w:hAnsi="Arial" w:cs="Arial"/>
          <w:sz w:val="22"/>
          <w:szCs w:val="22"/>
        </w:rPr>
        <w:t>Power reactors are</w:t>
      </w:r>
      <w:r>
        <w:rPr>
          <w:rFonts w:ascii="Arial" w:hAnsi="Arial" w:cs="Arial"/>
          <w:sz w:val="22"/>
          <w:szCs w:val="22"/>
        </w:rPr>
        <w:t xml:space="preserve"> required to submit </w:t>
      </w:r>
      <w:r w:rsidR="00220B95">
        <w:rPr>
          <w:rFonts w:ascii="Arial" w:hAnsi="Arial" w:cs="Arial"/>
          <w:sz w:val="22"/>
          <w:szCs w:val="22"/>
        </w:rPr>
        <w:t>the</w:t>
      </w:r>
      <w:r w:rsidR="00E5628E">
        <w:rPr>
          <w:rFonts w:ascii="Arial" w:hAnsi="Arial" w:cs="Arial"/>
          <w:sz w:val="22"/>
          <w:szCs w:val="22"/>
        </w:rPr>
        <w:t xml:space="preserve"> </w:t>
      </w:r>
      <w:r>
        <w:rPr>
          <w:rFonts w:ascii="Arial" w:hAnsi="Arial" w:cs="Arial"/>
          <w:sz w:val="22"/>
          <w:szCs w:val="22"/>
        </w:rPr>
        <w:t xml:space="preserve">follow-up reports using NRC Form 366.  No change has been made </w:t>
      </w:r>
      <w:r w:rsidR="00E5628E">
        <w:rPr>
          <w:rFonts w:ascii="Arial" w:hAnsi="Arial" w:cs="Arial"/>
          <w:sz w:val="22"/>
          <w:szCs w:val="22"/>
        </w:rPr>
        <w:t xml:space="preserve">under this final rule </w:t>
      </w:r>
      <w:r>
        <w:rPr>
          <w:rFonts w:ascii="Arial" w:hAnsi="Arial" w:cs="Arial"/>
          <w:sz w:val="22"/>
          <w:szCs w:val="22"/>
        </w:rPr>
        <w:t xml:space="preserve">to the licensees required to use NRC Form 366, nor </w:t>
      </w:r>
      <w:r w:rsidR="00E43150">
        <w:rPr>
          <w:rFonts w:ascii="Arial" w:hAnsi="Arial" w:cs="Arial"/>
          <w:sz w:val="22"/>
          <w:szCs w:val="22"/>
        </w:rPr>
        <w:t xml:space="preserve">to </w:t>
      </w:r>
      <w:r>
        <w:rPr>
          <w:rFonts w:ascii="Arial" w:hAnsi="Arial" w:cs="Arial"/>
          <w:sz w:val="22"/>
          <w:szCs w:val="22"/>
        </w:rPr>
        <w:t>the 60-day timeliness requirement</w:t>
      </w:r>
      <w:r w:rsidR="00E43150">
        <w:rPr>
          <w:rFonts w:ascii="Arial" w:hAnsi="Arial" w:cs="Arial"/>
          <w:sz w:val="22"/>
          <w:szCs w:val="22"/>
        </w:rPr>
        <w:t xml:space="preserve"> for submission of the Form 366</w:t>
      </w:r>
      <w:r w:rsidR="007E3DB4">
        <w:rPr>
          <w:rFonts w:ascii="Arial" w:hAnsi="Arial" w:cs="Arial"/>
          <w:sz w:val="22"/>
          <w:szCs w:val="22"/>
        </w:rPr>
        <w:t>, nor in the burden estimated to complete the form.  H</w:t>
      </w:r>
      <w:r w:rsidR="00F425DF">
        <w:rPr>
          <w:rFonts w:ascii="Arial" w:hAnsi="Arial" w:cs="Arial"/>
          <w:sz w:val="22"/>
          <w:szCs w:val="22"/>
        </w:rPr>
        <w:t xml:space="preserve">owever, the final rule will require </w:t>
      </w:r>
      <w:r w:rsidR="00220B95">
        <w:rPr>
          <w:rFonts w:ascii="Arial" w:hAnsi="Arial" w:cs="Arial"/>
          <w:sz w:val="22"/>
          <w:szCs w:val="22"/>
        </w:rPr>
        <w:t>licensees</w:t>
      </w:r>
      <w:r w:rsidR="00F425DF">
        <w:rPr>
          <w:rFonts w:ascii="Arial" w:hAnsi="Arial" w:cs="Arial"/>
          <w:sz w:val="22"/>
          <w:szCs w:val="22"/>
        </w:rPr>
        <w:t xml:space="preserve"> to use the form for </w:t>
      </w:r>
      <w:r w:rsidR="00F425DF">
        <w:rPr>
          <w:rFonts w:ascii="Arial" w:hAnsi="Arial" w:cs="Arial"/>
          <w:sz w:val="22"/>
          <w:szCs w:val="22"/>
        </w:rPr>
        <w:lastRenderedPageBreak/>
        <w:t xml:space="preserve">completing </w:t>
      </w:r>
      <w:r w:rsidR="007E3DB4">
        <w:rPr>
          <w:rFonts w:ascii="Arial" w:hAnsi="Arial" w:cs="Arial"/>
          <w:sz w:val="22"/>
          <w:szCs w:val="22"/>
        </w:rPr>
        <w:t xml:space="preserve">written </w:t>
      </w:r>
      <w:r w:rsidR="00F425DF">
        <w:rPr>
          <w:rFonts w:ascii="Arial" w:hAnsi="Arial" w:cs="Arial"/>
          <w:sz w:val="22"/>
          <w:szCs w:val="22"/>
        </w:rPr>
        <w:t xml:space="preserve">follow-up reports for the new mandatory </w:t>
      </w:r>
      <w:r w:rsidR="00B5601B">
        <w:rPr>
          <w:rFonts w:ascii="Arial" w:hAnsi="Arial" w:cs="Arial"/>
          <w:sz w:val="22"/>
          <w:szCs w:val="22"/>
        </w:rPr>
        <w:t xml:space="preserve">physical security </w:t>
      </w:r>
      <w:r w:rsidR="00F425DF">
        <w:rPr>
          <w:rFonts w:ascii="Arial" w:hAnsi="Arial" w:cs="Arial"/>
          <w:sz w:val="22"/>
          <w:szCs w:val="22"/>
        </w:rPr>
        <w:t xml:space="preserve">event notifications </w:t>
      </w:r>
      <w:r w:rsidR="00B5601B">
        <w:rPr>
          <w:rFonts w:ascii="Arial" w:hAnsi="Arial" w:cs="Arial"/>
          <w:sz w:val="22"/>
          <w:szCs w:val="22"/>
        </w:rPr>
        <w:t xml:space="preserve">involving the </w:t>
      </w:r>
      <w:r w:rsidR="007E3DB4">
        <w:rPr>
          <w:rFonts w:ascii="Arial" w:hAnsi="Arial" w:cs="Arial"/>
          <w:sz w:val="22"/>
          <w:szCs w:val="22"/>
        </w:rPr>
        <w:t xml:space="preserve">theft or </w:t>
      </w:r>
      <w:r w:rsidR="00F43CFA">
        <w:rPr>
          <w:rFonts w:ascii="Arial" w:hAnsi="Arial" w:cs="Arial"/>
          <w:sz w:val="22"/>
          <w:szCs w:val="22"/>
        </w:rPr>
        <w:t xml:space="preserve">loss of enhanced weapons and </w:t>
      </w:r>
      <w:r w:rsidR="00F425DF">
        <w:rPr>
          <w:rFonts w:ascii="Arial" w:hAnsi="Arial" w:cs="Arial"/>
          <w:sz w:val="22"/>
          <w:szCs w:val="22"/>
        </w:rPr>
        <w:t>imm</w:t>
      </w:r>
      <w:r w:rsidR="00B5601B">
        <w:rPr>
          <w:rFonts w:ascii="Arial" w:hAnsi="Arial" w:cs="Arial"/>
          <w:sz w:val="22"/>
          <w:szCs w:val="22"/>
        </w:rPr>
        <w:t>inent or actual hostile actions.</w:t>
      </w:r>
    </w:p>
    <w:p w:rsidR="00F52F5C" w:rsidP="00F52F5C" w:rsidRDefault="00F52F5C" w14:paraId="7069F723" w14:textId="77777777">
      <w:pPr>
        <w:widowControl/>
        <w:rPr>
          <w:rFonts w:ascii="Arial" w:hAnsi="Arial" w:cs="Arial"/>
          <w:sz w:val="22"/>
          <w:szCs w:val="22"/>
        </w:rPr>
      </w:pPr>
    </w:p>
    <w:p w:rsidRPr="00B52E84" w:rsidR="00F52F5C" w:rsidP="00F52F5C" w:rsidRDefault="00F52F5C" w14:paraId="2C3AFF50" w14:textId="77777777">
      <w:pPr>
        <w:widowControl/>
        <w:autoSpaceDE/>
        <w:autoSpaceDN/>
        <w:adjustRightInd/>
        <w:rPr>
          <w:rFonts w:ascii="Arial" w:hAnsi="Arial" w:cs="Arial"/>
          <w:i/>
          <w:sz w:val="22"/>
          <w:szCs w:val="22"/>
        </w:rPr>
      </w:pPr>
      <w:r>
        <w:rPr>
          <w:rFonts w:ascii="Arial" w:hAnsi="Arial" w:cs="Arial"/>
          <w:i/>
          <w:sz w:val="22"/>
          <w:szCs w:val="22"/>
        </w:rPr>
        <w:t xml:space="preserve">Changes to the final rule </w:t>
      </w:r>
      <w:proofErr w:type="gramStart"/>
      <w:r>
        <w:rPr>
          <w:rFonts w:ascii="Arial" w:hAnsi="Arial" w:cs="Arial"/>
          <w:i/>
          <w:sz w:val="22"/>
          <w:szCs w:val="22"/>
        </w:rPr>
        <w:t>as a result of</w:t>
      </w:r>
      <w:proofErr w:type="gramEnd"/>
      <w:r>
        <w:rPr>
          <w:rFonts w:ascii="Arial" w:hAnsi="Arial" w:cs="Arial"/>
          <w:i/>
          <w:sz w:val="22"/>
          <w:szCs w:val="22"/>
        </w:rPr>
        <w:t xml:space="preserve"> public comment</w:t>
      </w:r>
    </w:p>
    <w:p w:rsidR="00F52F5C" w:rsidP="00F52F5C" w:rsidRDefault="00F52F5C" w14:paraId="6E6174CE" w14:textId="77777777">
      <w:pPr>
        <w:widowControl/>
        <w:rPr>
          <w:rFonts w:ascii="Arial" w:hAnsi="Arial" w:cs="Arial"/>
          <w:sz w:val="22"/>
          <w:szCs w:val="22"/>
        </w:rPr>
      </w:pPr>
    </w:p>
    <w:p w:rsidRPr="00A769F9" w:rsidR="00F52F5C" w:rsidP="00F52F5C" w:rsidRDefault="00F52F5C" w14:paraId="2BCAED63" w14:textId="1A64124E">
      <w:pPr>
        <w:widowControl/>
        <w:rPr>
          <w:rFonts w:ascii="Arial" w:hAnsi="Arial" w:cs="Arial"/>
          <w:sz w:val="22"/>
          <w:szCs w:val="22"/>
        </w:rPr>
      </w:pPr>
      <w:r w:rsidRPr="00A769F9">
        <w:rPr>
          <w:rFonts w:ascii="Arial" w:hAnsi="Arial" w:cs="Arial"/>
          <w:sz w:val="22"/>
          <w:szCs w:val="22"/>
        </w:rPr>
        <w:t xml:space="preserve">The </w:t>
      </w:r>
      <w:r w:rsidR="00220B95">
        <w:rPr>
          <w:rFonts w:ascii="Arial" w:hAnsi="Arial" w:cs="Arial"/>
          <w:sz w:val="22"/>
          <w:szCs w:val="22"/>
        </w:rPr>
        <w:t>NRC</w:t>
      </w:r>
      <w:r w:rsidRPr="00A769F9">
        <w:rPr>
          <w:rFonts w:ascii="Arial" w:hAnsi="Arial" w:cs="Arial"/>
          <w:sz w:val="22"/>
          <w:szCs w:val="22"/>
        </w:rPr>
        <w:t xml:space="preserve"> made changes to the proposed rule </w:t>
      </w:r>
      <w:proofErr w:type="gramStart"/>
      <w:r w:rsidRPr="00A769F9">
        <w:rPr>
          <w:rFonts w:ascii="Arial" w:hAnsi="Arial" w:cs="Arial"/>
          <w:sz w:val="22"/>
          <w:szCs w:val="22"/>
        </w:rPr>
        <w:t>as a result of</w:t>
      </w:r>
      <w:proofErr w:type="gramEnd"/>
      <w:r w:rsidRPr="00A769F9">
        <w:rPr>
          <w:rFonts w:ascii="Arial" w:hAnsi="Arial" w:cs="Arial"/>
          <w:sz w:val="22"/>
          <w:szCs w:val="22"/>
        </w:rPr>
        <w:t xml:space="preserve"> public comments and other considerations. </w:t>
      </w:r>
      <w:r>
        <w:rPr>
          <w:rFonts w:ascii="Arial" w:hAnsi="Arial" w:cs="Arial"/>
          <w:sz w:val="22"/>
          <w:szCs w:val="22"/>
        </w:rPr>
        <w:t xml:space="preserve"> </w:t>
      </w:r>
      <w:r w:rsidRPr="00A769F9">
        <w:rPr>
          <w:rFonts w:ascii="Arial" w:hAnsi="Arial" w:cs="Arial"/>
          <w:sz w:val="22"/>
          <w:szCs w:val="22"/>
        </w:rPr>
        <w:t>The final rule reflects the following changes:</w:t>
      </w:r>
    </w:p>
    <w:p w:rsidRPr="00A769F9" w:rsidR="00F52F5C" w:rsidP="00F52F5C" w:rsidRDefault="00F52F5C" w14:paraId="682863FA" w14:textId="06E7E0FF">
      <w:pPr>
        <w:widowControl/>
        <w:rPr>
          <w:rFonts w:ascii="Arial" w:hAnsi="Arial" w:cs="Arial"/>
          <w:sz w:val="22"/>
          <w:szCs w:val="22"/>
        </w:rPr>
      </w:pPr>
    </w:p>
    <w:p w:rsidRPr="00353FF1" w:rsidR="00F52F5C" w:rsidP="00F52F5C" w:rsidRDefault="00F52F5C" w14:paraId="70904EA0" w14:textId="4E3747AE">
      <w:pPr>
        <w:pStyle w:val="ListParagraph"/>
        <w:numPr>
          <w:ilvl w:val="0"/>
          <w:numId w:val="11"/>
        </w:numPr>
        <w:autoSpaceDE w:val="0"/>
        <w:autoSpaceDN w:val="0"/>
        <w:adjustRightInd w:val="0"/>
        <w:spacing w:line="240" w:lineRule="auto"/>
      </w:pPr>
      <w:r w:rsidRPr="00353FF1">
        <w:t xml:space="preserve">The </w:t>
      </w:r>
      <w:r>
        <w:t xml:space="preserve">final </w:t>
      </w:r>
      <w:r w:rsidRPr="00353FF1">
        <w:t xml:space="preserve">rule extends the compliance date of the physical security event notification requirements.  Public comments indicated that 9 months would be an appropriate time to </w:t>
      </w:r>
      <w:r w:rsidR="007E3DB4">
        <w:t xml:space="preserve">update procedures and </w:t>
      </w:r>
      <w:r w:rsidRPr="00353FF1">
        <w:t xml:space="preserve">complete </w:t>
      </w:r>
      <w:r w:rsidR="007E3DB4">
        <w:t xml:space="preserve">associated </w:t>
      </w:r>
      <w:r w:rsidRPr="00353FF1">
        <w:t xml:space="preserve">training necessary </w:t>
      </w:r>
      <w:r w:rsidR="007E3DB4">
        <w:t xml:space="preserve">to implement </w:t>
      </w:r>
      <w:r w:rsidRPr="00353FF1">
        <w:t xml:space="preserve">the rule.  The compliance date was accordingly increased </w:t>
      </w:r>
      <w:r>
        <w:t xml:space="preserve">from 180 days </w:t>
      </w:r>
      <w:r w:rsidRPr="00353FF1">
        <w:t xml:space="preserve">to </w:t>
      </w:r>
      <w:r w:rsidR="009A6B95">
        <w:t>300</w:t>
      </w:r>
      <w:r w:rsidRPr="00353FF1" w:rsidR="009A6B95">
        <w:t xml:space="preserve"> </w:t>
      </w:r>
      <w:r w:rsidRPr="00353FF1">
        <w:t>days</w:t>
      </w:r>
      <w:r w:rsidR="009A6B95">
        <w:t xml:space="preserve"> from the date of publication</w:t>
      </w:r>
      <w:r w:rsidR="007E3DB4">
        <w:t xml:space="preserve"> of the final rule in the </w:t>
      </w:r>
      <w:r w:rsidR="007E3DB4">
        <w:rPr>
          <w:i/>
        </w:rPr>
        <w:t>Federal Register</w:t>
      </w:r>
      <w:r w:rsidRPr="00353FF1">
        <w:t xml:space="preserve">.  </w:t>
      </w:r>
    </w:p>
    <w:p w:rsidR="00F52F5C" w:rsidP="00F52F5C" w:rsidRDefault="00F52F5C" w14:paraId="64257101" w14:textId="77777777">
      <w:pPr>
        <w:widowControl/>
        <w:rPr>
          <w:rFonts w:ascii="Arial" w:hAnsi="Arial" w:cs="Arial"/>
          <w:sz w:val="22"/>
          <w:szCs w:val="22"/>
        </w:rPr>
      </w:pPr>
    </w:p>
    <w:p w:rsidRPr="00220B95" w:rsidR="00F52F5C" w:rsidP="00220B95" w:rsidRDefault="00220B95" w14:paraId="0B6D0D6E" w14:textId="2C7BE89F">
      <w:pPr>
        <w:pStyle w:val="ListParagraph"/>
        <w:numPr>
          <w:ilvl w:val="0"/>
          <w:numId w:val="11"/>
        </w:numPr>
        <w:spacing w:line="240" w:lineRule="auto"/>
      </w:pPr>
      <w:r>
        <w:t>T</w:t>
      </w:r>
      <w:r w:rsidRPr="00220B95" w:rsidR="00F52F5C">
        <w:t xml:space="preserve">he final rule restructures </w:t>
      </w:r>
      <w:r w:rsidRPr="00220B95" w:rsidR="00F52F5C">
        <w:rPr>
          <w:rFonts w:eastAsia="Calibri"/>
        </w:rPr>
        <w:t>10 CFR P</w:t>
      </w:r>
      <w:r w:rsidRPr="00220B95" w:rsidR="007E3DB4">
        <w:rPr>
          <w:rFonts w:eastAsia="Calibri"/>
        </w:rPr>
        <w:t>art 73.  Physical security e</w:t>
      </w:r>
      <w:r w:rsidRPr="00220B95" w:rsidR="00F52F5C">
        <w:rPr>
          <w:rFonts w:eastAsia="Calibri"/>
        </w:rPr>
        <w:t>vent notifications</w:t>
      </w:r>
      <w:r w:rsidRPr="00220B95" w:rsidR="007E3DB4">
        <w:rPr>
          <w:rFonts w:eastAsia="Calibri"/>
        </w:rPr>
        <w:t>, written follow-up reports</w:t>
      </w:r>
      <w:r>
        <w:rPr>
          <w:rFonts w:eastAsia="Calibri"/>
        </w:rPr>
        <w:t>,</w:t>
      </w:r>
      <w:r w:rsidRPr="00220B95" w:rsidR="007E3DB4">
        <w:rPr>
          <w:rFonts w:eastAsia="Calibri"/>
        </w:rPr>
        <w:t xml:space="preserve"> and records of less significant security events</w:t>
      </w:r>
      <w:r w:rsidRPr="00220B95" w:rsidR="00F52F5C">
        <w:rPr>
          <w:rFonts w:eastAsia="Calibri"/>
        </w:rPr>
        <w:t xml:space="preserve"> previously </w:t>
      </w:r>
      <w:r w:rsidRPr="00220B95" w:rsidR="007E3DB4">
        <w:rPr>
          <w:rFonts w:eastAsia="Calibri"/>
        </w:rPr>
        <w:t xml:space="preserve">required under </w:t>
      </w:r>
      <w:r w:rsidR="005001D6">
        <w:rPr>
          <w:rFonts w:eastAsia="Calibri"/>
        </w:rPr>
        <w:t>10 CFR</w:t>
      </w:r>
      <w:r w:rsidRPr="00220B95" w:rsidR="00F52F5C">
        <w:rPr>
          <w:rFonts w:eastAsia="Calibri"/>
        </w:rPr>
        <w:t xml:space="preserve"> 73.71 and 10 CFR </w:t>
      </w:r>
      <w:r w:rsidR="003C4790">
        <w:rPr>
          <w:rFonts w:eastAsia="Calibri"/>
        </w:rPr>
        <w:t>P</w:t>
      </w:r>
      <w:r w:rsidRPr="00220B95" w:rsidR="00F52F5C">
        <w:rPr>
          <w:rFonts w:eastAsia="Calibri"/>
        </w:rPr>
        <w:t>art 73, Appendix G, are now r</w:t>
      </w:r>
      <w:r w:rsidRPr="00220B95" w:rsidR="007E3DB4">
        <w:rPr>
          <w:rFonts w:eastAsia="Calibri"/>
        </w:rPr>
        <w:t xml:space="preserve">edesignated </w:t>
      </w:r>
      <w:r w:rsidRPr="00220B95" w:rsidR="00F52F5C">
        <w:rPr>
          <w:rFonts w:eastAsia="Calibri"/>
        </w:rPr>
        <w:t>in</w:t>
      </w:r>
      <w:r w:rsidRPr="00220B95" w:rsidR="007E3DB4">
        <w:rPr>
          <w:rFonts w:eastAsia="Calibri"/>
        </w:rPr>
        <w:t>to</w:t>
      </w:r>
      <w:r w:rsidRPr="00220B95" w:rsidR="00F52F5C">
        <w:rPr>
          <w:rFonts w:eastAsia="Calibri"/>
        </w:rPr>
        <w:t xml:space="preserve"> </w:t>
      </w:r>
      <w:r w:rsidR="005001D6">
        <w:rPr>
          <w:rFonts w:eastAsia="Calibri"/>
        </w:rPr>
        <w:t>10 CFR </w:t>
      </w:r>
      <w:r w:rsidRPr="00220B95" w:rsidR="00F52F5C">
        <w:rPr>
          <w:rFonts w:eastAsia="Calibri"/>
        </w:rPr>
        <w:t>73.1200, 73.1205, and 73.1210</w:t>
      </w:r>
      <w:r w:rsidRPr="00220B95" w:rsidR="007E3DB4">
        <w:rPr>
          <w:rFonts w:eastAsia="Calibri"/>
        </w:rPr>
        <w:t>, respectively</w:t>
      </w:r>
      <w:r w:rsidRPr="00220B95" w:rsidR="00F52F5C">
        <w:rPr>
          <w:rFonts w:eastAsia="Calibri"/>
        </w:rPr>
        <w:t>.  T</w:t>
      </w:r>
      <w:r w:rsidR="005001D6">
        <w:rPr>
          <w:rFonts w:eastAsia="Calibri"/>
        </w:rPr>
        <w:t>he restructuring of 10 CFR Part </w:t>
      </w:r>
      <w:r w:rsidRPr="00220B95" w:rsidR="00F52F5C">
        <w:rPr>
          <w:rFonts w:eastAsia="Calibri"/>
        </w:rPr>
        <w:t xml:space="preserve">73 does not affect the information collection requirements of </w:t>
      </w:r>
      <w:r w:rsidRPr="00220B95" w:rsidR="007E3DB4">
        <w:rPr>
          <w:rFonts w:eastAsia="Calibri"/>
        </w:rPr>
        <w:t>this form</w:t>
      </w:r>
      <w:r w:rsidRPr="00220B95" w:rsidR="00F52F5C">
        <w:rPr>
          <w:rFonts w:eastAsia="Calibri"/>
        </w:rPr>
        <w:t>.</w:t>
      </w:r>
    </w:p>
    <w:p w:rsidR="00F056B2" w:rsidRDefault="00F056B2" w14:paraId="7E566BE5" w14:textId="02E80C2C">
      <w:pPr>
        <w:widowControl/>
        <w:autoSpaceDE/>
        <w:autoSpaceDN/>
        <w:adjustRightInd/>
        <w:rPr>
          <w:rFonts w:ascii="Arial" w:hAnsi="Arial" w:cs="Arial"/>
          <w:sz w:val="22"/>
          <w:szCs w:val="22"/>
        </w:rPr>
      </w:pPr>
    </w:p>
    <w:p w:rsidRPr="00F40FA9" w:rsidR="002B1B50" w:rsidP="002F41B7" w:rsidRDefault="002B1B50" w14:paraId="547622E8" w14:textId="77777777">
      <w:pPr>
        <w:widowControl/>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r>
      <w:r w:rsidRPr="003C4790">
        <w:rPr>
          <w:rFonts w:ascii="Arial" w:hAnsi="Arial" w:cs="Arial"/>
          <w:sz w:val="22"/>
          <w:szCs w:val="22"/>
          <w:u w:val="single"/>
        </w:rPr>
        <w:t>JUSTIFICATION</w:t>
      </w:r>
    </w:p>
    <w:p w:rsidRPr="00A32597" w:rsidR="00220B95" w:rsidP="002F41B7" w:rsidRDefault="00220B95" w14:paraId="60EF5D6A" w14:textId="77777777">
      <w:pPr>
        <w:widowControl/>
        <w:rPr>
          <w:rFonts w:ascii="Arial" w:hAnsi="Arial" w:cs="Arial"/>
          <w:sz w:val="22"/>
          <w:szCs w:val="22"/>
        </w:rPr>
      </w:pPr>
    </w:p>
    <w:p w:rsidRPr="00A32597" w:rsidR="002B1B50" w:rsidP="004E4948" w:rsidRDefault="00B222D0" w14:paraId="733688B9" w14:textId="39EA839F">
      <w:pPr>
        <w:widowControl/>
        <w:ind w:left="720"/>
        <w:rPr>
          <w:rFonts w:ascii="Arial" w:hAnsi="Arial" w:cs="Arial"/>
          <w:sz w:val="22"/>
          <w:szCs w:val="22"/>
          <w:u w:val="single"/>
        </w:rPr>
      </w:pPr>
      <w:r>
        <w:rPr>
          <w:rFonts w:ascii="Arial" w:hAnsi="Arial" w:cs="Arial"/>
          <w:sz w:val="22"/>
          <w:szCs w:val="22"/>
        </w:rPr>
        <w:t>1.</w:t>
      </w:r>
      <w:r w:rsidRPr="00A32597" w:rsidR="00C8524D">
        <w:rPr>
          <w:rFonts w:ascii="Arial" w:hAnsi="Arial" w:cs="Arial"/>
          <w:sz w:val="22"/>
          <w:szCs w:val="22"/>
        </w:rPr>
        <w:tab/>
      </w:r>
      <w:r w:rsidRPr="00A32597" w:rsidR="002B1B50">
        <w:rPr>
          <w:rFonts w:ascii="Arial" w:hAnsi="Arial" w:cs="Arial"/>
          <w:sz w:val="22"/>
          <w:szCs w:val="22"/>
          <w:u w:val="single"/>
        </w:rPr>
        <w:t xml:space="preserve">Need for and Practical Utility of the </w:t>
      </w:r>
      <w:r w:rsidR="003C4790">
        <w:rPr>
          <w:rFonts w:ascii="Arial" w:hAnsi="Arial" w:cs="Arial"/>
          <w:sz w:val="22"/>
          <w:szCs w:val="22"/>
          <w:u w:val="single"/>
        </w:rPr>
        <w:t xml:space="preserve">Collection of </w:t>
      </w:r>
      <w:r w:rsidRPr="00A32597" w:rsidR="002B1B50">
        <w:rPr>
          <w:rFonts w:ascii="Arial" w:hAnsi="Arial" w:cs="Arial"/>
          <w:sz w:val="22"/>
          <w:szCs w:val="22"/>
          <w:u w:val="single"/>
        </w:rPr>
        <w:t>Information</w:t>
      </w:r>
    </w:p>
    <w:p w:rsidRPr="00A32597" w:rsidR="002B1B50" w:rsidP="002F41B7" w:rsidRDefault="002B1B50" w14:paraId="0E281AF8" w14:textId="77777777">
      <w:pPr>
        <w:widowControl/>
        <w:rPr>
          <w:rFonts w:ascii="Arial" w:hAnsi="Arial" w:cs="Arial"/>
          <w:sz w:val="22"/>
          <w:szCs w:val="22"/>
        </w:rPr>
      </w:pPr>
    </w:p>
    <w:p w:rsidR="00441C6D" w:rsidP="009E5D6A" w:rsidRDefault="00441C6D" w14:paraId="6F3E4DFB" w14:textId="7A3FD24D">
      <w:pPr>
        <w:widowControl/>
        <w:ind w:left="720"/>
        <w:rPr>
          <w:rFonts w:ascii="Arial" w:hAnsi="Arial" w:cs="Arial"/>
          <w:sz w:val="22"/>
          <w:szCs w:val="22"/>
        </w:rPr>
      </w:pPr>
      <w:r w:rsidRPr="007E3DB4">
        <w:rPr>
          <w:rFonts w:ascii="Arial" w:hAnsi="Arial" w:cs="Arial"/>
          <w:sz w:val="22"/>
          <w:szCs w:val="22"/>
        </w:rPr>
        <w:t>Under the final rule, additional mandatory event notification requirements have been added, including reporting the theft or loss of enhanced weapons, and reporting of imminent or actual hostile actions</w:t>
      </w:r>
      <w:r w:rsidR="003813FE">
        <w:rPr>
          <w:rFonts w:ascii="Arial" w:hAnsi="Arial" w:cs="Arial"/>
          <w:sz w:val="22"/>
          <w:szCs w:val="22"/>
        </w:rPr>
        <w:t xml:space="preserve"> against power reactors and shipments of SNF</w:t>
      </w:r>
      <w:r w:rsidRPr="007E3DB4">
        <w:rPr>
          <w:rFonts w:ascii="Arial" w:hAnsi="Arial" w:cs="Arial"/>
          <w:sz w:val="22"/>
          <w:szCs w:val="22"/>
        </w:rPr>
        <w:t xml:space="preserve">. </w:t>
      </w:r>
    </w:p>
    <w:p w:rsidRPr="007E3DB4" w:rsidR="003813FE" w:rsidP="009E5D6A" w:rsidRDefault="003813FE" w14:paraId="1761ED1F" w14:textId="77777777">
      <w:pPr>
        <w:widowControl/>
        <w:ind w:left="720"/>
        <w:rPr>
          <w:rFonts w:ascii="Arial" w:hAnsi="Arial" w:cs="Arial"/>
          <w:sz w:val="22"/>
          <w:szCs w:val="22"/>
        </w:rPr>
      </w:pPr>
    </w:p>
    <w:p w:rsidR="00F52F5C" w:rsidP="00BC0845" w:rsidRDefault="00F52F5C" w14:paraId="4EEDC345" w14:textId="373BC675">
      <w:pPr>
        <w:widowControl/>
        <w:ind w:left="720"/>
        <w:rPr>
          <w:rFonts w:ascii="Arial" w:hAnsi="Arial" w:cs="Arial"/>
          <w:sz w:val="22"/>
          <w:szCs w:val="22"/>
        </w:rPr>
      </w:pPr>
      <w:r w:rsidRPr="007E3DB4">
        <w:rPr>
          <w:rFonts w:ascii="Arial" w:hAnsi="Arial" w:cs="Arial"/>
          <w:sz w:val="22"/>
          <w:szCs w:val="22"/>
        </w:rPr>
        <w:t xml:space="preserve">Information notifying the NRC of the occurrence of and circumstances surrounding </w:t>
      </w:r>
      <w:r w:rsidR="00047958">
        <w:rPr>
          <w:rFonts w:ascii="Arial" w:hAnsi="Arial" w:cs="Arial"/>
          <w:sz w:val="22"/>
          <w:szCs w:val="22"/>
        </w:rPr>
        <w:t>physical security</w:t>
      </w:r>
      <w:r w:rsidRPr="007E3DB4">
        <w:rPr>
          <w:rFonts w:ascii="Arial" w:hAnsi="Arial" w:cs="Arial"/>
          <w:sz w:val="22"/>
          <w:szCs w:val="22"/>
        </w:rPr>
        <w:t xml:space="preserve"> events (e.g., reports of theft, sabotage, </w:t>
      </w:r>
      <w:r w:rsidR="00047958">
        <w:rPr>
          <w:rFonts w:ascii="Arial" w:hAnsi="Arial" w:cs="Arial"/>
          <w:sz w:val="22"/>
          <w:szCs w:val="22"/>
        </w:rPr>
        <w:t xml:space="preserve">tampering, </w:t>
      </w:r>
      <w:r w:rsidRPr="007E3DB4">
        <w:rPr>
          <w:rFonts w:ascii="Arial" w:hAnsi="Arial" w:cs="Arial"/>
          <w:sz w:val="22"/>
          <w:szCs w:val="22"/>
        </w:rPr>
        <w:t>or overdue shipment) is needed to enable the NRC to fulfill its responsibilities to respond to, investigate, and correct</w:t>
      </w:r>
      <w:r w:rsidR="00047958">
        <w:rPr>
          <w:rFonts w:ascii="Arial" w:hAnsi="Arial" w:cs="Arial"/>
          <w:sz w:val="22"/>
          <w:szCs w:val="22"/>
        </w:rPr>
        <w:t>ly assess</w:t>
      </w:r>
      <w:r w:rsidRPr="007E3DB4">
        <w:rPr>
          <w:rFonts w:ascii="Arial" w:hAnsi="Arial" w:cs="Arial"/>
          <w:sz w:val="22"/>
          <w:szCs w:val="22"/>
        </w:rPr>
        <w:t xml:space="preserve"> situations which </w:t>
      </w:r>
      <w:r w:rsidR="00047958">
        <w:rPr>
          <w:rFonts w:ascii="Arial" w:hAnsi="Arial" w:cs="Arial"/>
          <w:sz w:val="22"/>
          <w:szCs w:val="22"/>
        </w:rPr>
        <w:t xml:space="preserve">could </w:t>
      </w:r>
      <w:r w:rsidRPr="007E3DB4">
        <w:rPr>
          <w:rFonts w:ascii="Arial" w:hAnsi="Arial" w:cs="Arial"/>
          <w:sz w:val="22"/>
          <w:szCs w:val="22"/>
        </w:rPr>
        <w:t>adversely affect public health and safety or the common defense and security.</w:t>
      </w:r>
      <w:r w:rsidRPr="00A32597">
        <w:rPr>
          <w:rFonts w:ascii="Arial" w:hAnsi="Arial" w:cs="Arial"/>
          <w:sz w:val="22"/>
          <w:szCs w:val="22"/>
        </w:rPr>
        <w:t xml:space="preserve">  </w:t>
      </w:r>
    </w:p>
    <w:p w:rsidR="004E4948" w:rsidP="00BC0845" w:rsidRDefault="004E4948" w14:paraId="2ACF9348" w14:textId="77777777">
      <w:pPr>
        <w:widowControl/>
        <w:ind w:left="720"/>
        <w:rPr>
          <w:rFonts w:ascii="Arial" w:hAnsi="Arial" w:cs="Arial"/>
          <w:sz w:val="22"/>
          <w:szCs w:val="22"/>
        </w:rPr>
      </w:pPr>
    </w:p>
    <w:p w:rsidRPr="004E4948" w:rsidR="004E4948" w:rsidP="004E4948" w:rsidRDefault="004E4948" w14:paraId="3C2D97FE" w14:textId="63EA7DD6">
      <w:pPr>
        <w:ind w:left="720"/>
        <w:rPr>
          <w:rFonts w:ascii="Arial" w:hAnsi="Arial" w:eastAsia="Arial Unicode MS" w:cs="Arial"/>
          <w:sz w:val="22"/>
          <w:szCs w:val="22"/>
        </w:rPr>
      </w:pPr>
      <w:r w:rsidRPr="00C72824">
        <w:rPr>
          <w:rFonts w:ascii="Arial" w:hAnsi="Arial" w:cs="Arial"/>
          <w:sz w:val="22"/>
          <w:szCs w:val="22"/>
          <w:u w:val="single"/>
        </w:rPr>
        <w:t>Section 73.1205(b)(2)(</w:t>
      </w:r>
      <w:proofErr w:type="spellStart"/>
      <w:r w:rsidRPr="00C72824">
        <w:rPr>
          <w:rFonts w:ascii="Arial" w:hAnsi="Arial" w:cs="Arial"/>
          <w:sz w:val="22"/>
          <w:szCs w:val="22"/>
          <w:u w:val="single"/>
        </w:rPr>
        <w:t>i</w:t>
      </w:r>
      <w:proofErr w:type="spellEnd"/>
      <w:r w:rsidRPr="00C72824">
        <w:rPr>
          <w:rFonts w:ascii="Arial" w:hAnsi="Arial" w:cs="Arial"/>
          <w:sz w:val="22"/>
          <w:szCs w:val="22"/>
          <w:u w:val="single"/>
        </w:rPr>
        <w:t>)</w:t>
      </w:r>
      <w:r w:rsidRPr="004E4948">
        <w:rPr>
          <w:rFonts w:ascii="Arial" w:hAnsi="Arial" w:cs="Arial"/>
          <w:sz w:val="22"/>
          <w:szCs w:val="22"/>
        </w:rPr>
        <w:t xml:space="preserve"> requires licensees </w:t>
      </w:r>
      <w:r w:rsidR="005001D6">
        <w:rPr>
          <w:rFonts w:ascii="Arial" w:hAnsi="Arial" w:eastAsia="Arial Unicode MS" w:cs="Arial"/>
          <w:sz w:val="22"/>
          <w:szCs w:val="22"/>
        </w:rPr>
        <w:t>subject to 10 CFR</w:t>
      </w:r>
      <w:r w:rsidRPr="004E4948">
        <w:rPr>
          <w:rFonts w:ascii="Arial" w:hAnsi="Arial" w:eastAsia="Arial Unicode MS" w:cs="Arial"/>
          <w:sz w:val="22"/>
          <w:szCs w:val="22"/>
        </w:rPr>
        <w:t xml:space="preserve"> 50.73 to prepare the written follow-up report on an NRC Form 366.</w:t>
      </w:r>
    </w:p>
    <w:p w:rsidR="004E4948" w:rsidP="00BC0845" w:rsidRDefault="004E4948" w14:paraId="1232A697" w14:textId="77777777">
      <w:pPr>
        <w:widowControl/>
        <w:ind w:left="720"/>
        <w:rPr>
          <w:rFonts w:ascii="Arial" w:hAnsi="Arial" w:cs="Arial"/>
          <w:sz w:val="22"/>
          <w:szCs w:val="22"/>
        </w:rPr>
      </w:pPr>
    </w:p>
    <w:p w:rsidRPr="00A32597" w:rsidR="002B1B50" w:rsidP="004E4948" w:rsidRDefault="002B1B50" w14:paraId="1063591D" w14:textId="77777777">
      <w:pPr>
        <w:widowControl/>
        <w:tabs>
          <w:tab w:val="left" w:pos="-1440"/>
        </w:tabs>
        <w:ind w:left="720"/>
        <w:rPr>
          <w:rFonts w:ascii="Arial" w:hAnsi="Arial" w:cs="Arial"/>
          <w:sz w:val="22"/>
          <w:szCs w:val="22"/>
          <w:u w:val="single"/>
        </w:rPr>
      </w:pPr>
      <w:r w:rsidRPr="00A32597">
        <w:rPr>
          <w:rFonts w:ascii="Arial" w:hAnsi="Arial" w:cs="Arial"/>
          <w:sz w:val="22"/>
          <w:szCs w:val="22"/>
        </w:rPr>
        <w:t>2.</w:t>
      </w:r>
      <w:r w:rsidRPr="00A32597">
        <w:rPr>
          <w:rFonts w:ascii="Arial" w:hAnsi="Arial" w:cs="Arial"/>
          <w:sz w:val="22"/>
          <w:szCs w:val="22"/>
        </w:rPr>
        <w:tab/>
      </w:r>
      <w:r w:rsidRPr="00A32597">
        <w:rPr>
          <w:rFonts w:ascii="Arial" w:hAnsi="Arial" w:cs="Arial"/>
          <w:sz w:val="22"/>
          <w:szCs w:val="22"/>
          <w:u w:val="single"/>
        </w:rPr>
        <w:t>Agency Use of the Information</w:t>
      </w:r>
    </w:p>
    <w:p w:rsidRPr="00A32597" w:rsidR="002B1B50" w:rsidP="002F41B7" w:rsidRDefault="002B1B50" w14:paraId="4E5E5FE3" w14:textId="77777777">
      <w:pPr>
        <w:widowControl/>
        <w:rPr>
          <w:rFonts w:ascii="Arial" w:hAnsi="Arial" w:cs="Arial"/>
          <w:sz w:val="22"/>
          <w:szCs w:val="22"/>
          <w:u w:val="single"/>
        </w:rPr>
      </w:pPr>
    </w:p>
    <w:p w:rsidRPr="00A32597" w:rsidR="00F52F5C" w:rsidP="00BC0845" w:rsidRDefault="00F52F5C" w14:paraId="13E7707E" w14:textId="6795BDEA">
      <w:pPr>
        <w:widowControl/>
        <w:ind w:left="720"/>
        <w:rPr>
          <w:rFonts w:ascii="Arial" w:hAnsi="Arial" w:cs="Arial"/>
          <w:sz w:val="22"/>
          <w:szCs w:val="22"/>
        </w:rPr>
      </w:pPr>
      <w:r w:rsidRPr="00A32597">
        <w:rPr>
          <w:rFonts w:ascii="Arial" w:hAnsi="Arial" w:cs="Arial"/>
          <w:sz w:val="22"/>
          <w:szCs w:val="22"/>
        </w:rPr>
        <w:t xml:space="preserve">The information received </w:t>
      </w:r>
      <w:r w:rsidR="000376DF">
        <w:rPr>
          <w:rFonts w:ascii="Arial" w:hAnsi="Arial" w:cs="Arial"/>
          <w:sz w:val="22"/>
          <w:szCs w:val="22"/>
        </w:rPr>
        <w:t>in</w:t>
      </w:r>
      <w:r w:rsidRPr="00A32597" w:rsidR="000376DF">
        <w:rPr>
          <w:rFonts w:ascii="Arial" w:hAnsi="Arial" w:cs="Arial"/>
          <w:sz w:val="22"/>
          <w:szCs w:val="22"/>
        </w:rPr>
        <w:t xml:space="preserve"> </w:t>
      </w:r>
      <w:r w:rsidR="003D618B">
        <w:rPr>
          <w:rFonts w:ascii="Arial" w:hAnsi="Arial" w:cs="Arial"/>
          <w:sz w:val="22"/>
          <w:szCs w:val="22"/>
        </w:rPr>
        <w:t>NRC Form 366</w:t>
      </w:r>
      <w:r w:rsidR="000376DF">
        <w:rPr>
          <w:rFonts w:ascii="Arial" w:hAnsi="Arial" w:cs="Arial"/>
          <w:sz w:val="22"/>
          <w:szCs w:val="22"/>
        </w:rPr>
        <w:t xml:space="preserve"> to a </w:t>
      </w:r>
      <w:r w:rsidR="00047958">
        <w:rPr>
          <w:rFonts w:ascii="Arial" w:hAnsi="Arial" w:cs="Arial"/>
          <w:sz w:val="22"/>
          <w:szCs w:val="22"/>
        </w:rPr>
        <w:t xml:space="preserve">physical </w:t>
      </w:r>
      <w:r w:rsidRPr="00A32597">
        <w:rPr>
          <w:rFonts w:ascii="Arial" w:hAnsi="Arial" w:cs="Arial"/>
          <w:sz w:val="22"/>
          <w:szCs w:val="22"/>
        </w:rPr>
        <w:t xml:space="preserve">security </w:t>
      </w:r>
      <w:r w:rsidRPr="00A32597" w:rsidR="00047958">
        <w:rPr>
          <w:rFonts w:ascii="Arial" w:hAnsi="Arial" w:cs="Arial"/>
          <w:sz w:val="22"/>
          <w:szCs w:val="22"/>
        </w:rPr>
        <w:t xml:space="preserve">event </w:t>
      </w:r>
      <w:r w:rsidRPr="00A32597">
        <w:rPr>
          <w:rFonts w:ascii="Arial" w:hAnsi="Arial" w:cs="Arial"/>
          <w:sz w:val="22"/>
          <w:szCs w:val="22"/>
        </w:rPr>
        <w:t xml:space="preserve">notification will be reviewed by the NRC for follow-up inspection, </w:t>
      </w:r>
      <w:r w:rsidR="00047958">
        <w:rPr>
          <w:rFonts w:ascii="Arial" w:hAnsi="Arial" w:cs="Arial"/>
          <w:sz w:val="22"/>
          <w:szCs w:val="22"/>
        </w:rPr>
        <w:t xml:space="preserve">generic communication, </w:t>
      </w:r>
      <w:r w:rsidR="000376DF">
        <w:rPr>
          <w:rFonts w:ascii="Arial" w:hAnsi="Arial" w:cs="Arial"/>
          <w:sz w:val="22"/>
          <w:szCs w:val="22"/>
        </w:rPr>
        <w:t>and/</w:t>
      </w:r>
      <w:r w:rsidRPr="00A32597">
        <w:rPr>
          <w:rFonts w:ascii="Arial" w:hAnsi="Arial" w:cs="Arial"/>
          <w:sz w:val="22"/>
          <w:szCs w:val="22"/>
        </w:rPr>
        <w:t xml:space="preserve">or </w:t>
      </w:r>
      <w:r w:rsidR="000376DF">
        <w:rPr>
          <w:rFonts w:ascii="Arial" w:hAnsi="Arial" w:cs="Arial"/>
          <w:sz w:val="22"/>
          <w:szCs w:val="22"/>
        </w:rPr>
        <w:t xml:space="preserve">corrective actions to prevent recurrence; </w:t>
      </w:r>
      <w:r w:rsidRPr="00A32597">
        <w:rPr>
          <w:rFonts w:ascii="Arial" w:hAnsi="Arial" w:cs="Arial"/>
          <w:sz w:val="22"/>
          <w:szCs w:val="22"/>
        </w:rPr>
        <w:t xml:space="preserve">and may also be forwarded to </w:t>
      </w:r>
      <w:r w:rsidR="00047958">
        <w:rPr>
          <w:rFonts w:ascii="Arial" w:hAnsi="Arial" w:cs="Arial"/>
          <w:sz w:val="22"/>
          <w:szCs w:val="22"/>
        </w:rPr>
        <w:t>other Federal agencies</w:t>
      </w:r>
      <w:r w:rsidRPr="00A32597">
        <w:rPr>
          <w:rFonts w:ascii="Arial" w:hAnsi="Arial" w:cs="Arial"/>
          <w:sz w:val="22"/>
          <w:szCs w:val="22"/>
        </w:rPr>
        <w:t>, as needed.</w:t>
      </w:r>
      <w:r w:rsidR="00047958">
        <w:rPr>
          <w:rFonts w:ascii="Arial" w:hAnsi="Arial" w:cs="Arial"/>
          <w:sz w:val="22"/>
          <w:szCs w:val="22"/>
        </w:rPr>
        <w:t xml:space="preserve"> </w:t>
      </w:r>
    </w:p>
    <w:p w:rsidR="00F52F5C" w:rsidP="002F41B7" w:rsidRDefault="00F52F5C" w14:paraId="54B3E1BA" w14:textId="77777777">
      <w:pPr>
        <w:widowControl/>
        <w:rPr>
          <w:rFonts w:ascii="Arial" w:hAnsi="Arial" w:cs="Arial"/>
          <w:sz w:val="22"/>
          <w:szCs w:val="22"/>
        </w:rPr>
      </w:pPr>
    </w:p>
    <w:p w:rsidRPr="00A32597" w:rsidR="002B1B50" w:rsidP="004E4948" w:rsidRDefault="002B1B50" w14:paraId="01CFC59F" w14:textId="77777777">
      <w:pPr>
        <w:widowControl/>
        <w:tabs>
          <w:tab w:val="left" w:pos="-1440"/>
        </w:tabs>
        <w:ind w:left="720"/>
        <w:rPr>
          <w:rFonts w:ascii="Arial" w:hAnsi="Arial" w:cs="Arial"/>
          <w:sz w:val="22"/>
          <w:szCs w:val="22"/>
        </w:rPr>
      </w:pPr>
      <w:r w:rsidRPr="00A32597">
        <w:rPr>
          <w:rFonts w:ascii="Arial" w:hAnsi="Arial" w:cs="Arial"/>
          <w:sz w:val="22"/>
          <w:szCs w:val="22"/>
        </w:rPr>
        <w:t>3.</w:t>
      </w:r>
      <w:r w:rsidRPr="00A32597">
        <w:rPr>
          <w:rFonts w:ascii="Arial" w:hAnsi="Arial" w:cs="Arial"/>
          <w:sz w:val="22"/>
          <w:szCs w:val="22"/>
        </w:rPr>
        <w:tab/>
      </w:r>
      <w:r w:rsidRPr="00A32597">
        <w:rPr>
          <w:rFonts w:ascii="Arial" w:hAnsi="Arial" w:cs="Arial"/>
          <w:sz w:val="22"/>
          <w:szCs w:val="22"/>
          <w:u w:val="single"/>
        </w:rPr>
        <w:t>Reduction of Burden </w:t>
      </w:r>
      <w:r w:rsidRPr="00A32597" w:rsidR="00047677">
        <w:rPr>
          <w:rFonts w:ascii="Arial" w:hAnsi="Arial" w:cs="Arial"/>
          <w:sz w:val="22"/>
          <w:szCs w:val="22"/>
          <w:u w:val="single"/>
        </w:rPr>
        <w:t>through</w:t>
      </w:r>
      <w:r w:rsidRPr="00A32597">
        <w:rPr>
          <w:rFonts w:ascii="Arial" w:hAnsi="Arial" w:cs="Arial"/>
          <w:sz w:val="22"/>
          <w:szCs w:val="22"/>
          <w:u w:val="single"/>
        </w:rPr>
        <w:t> Information Technology</w:t>
      </w:r>
    </w:p>
    <w:p w:rsidRPr="00A32597" w:rsidR="002B1B50" w:rsidP="002F41B7" w:rsidRDefault="002B1B50" w14:paraId="1ADD189D" w14:textId="77777777">
      <w:pPr>
        <w:widowControl/>
        <w:rPr>
          <w:rFonts w:ascii="Arial" w:hAnsi="Arial" w:cs="Arial"/>
          <w:sz w:val="22"/>
          <w:szCs w:val="22"/>
        </w:rPr>
      </w:pPr>
    </w:p>
    <w:p w:rsidRPr="00CA2D13" w:rsidR="00A76D46" w:rsidP="00BC0845" w:rsidRDefault="00A76D46" w14:paraId="7FB9EFEE" w14:textId="7EA99106">
      <w:pPr>
        <w:widowControl/>
        <w:ind w:left="720"/>
        <w:rPr>
          <w:rFonts w:ascii="Arial" w:hAnsi="Arial" w:cs="Arial"/>
          <w:sz w:val="22"/>
          <w:szCs w:val="22"/>
        </w:rPr>
      </w:pPr>
      <w:r w:rsidRPr="004A6986">
        <w:rPr>
          <w:rFonts w:ascii="Arial" w:hAnsi="Arial" w:eastAsia="Calibri" w:cs="Arial"/>
          <w:sz w:val="22"/>
          <w:szCs w:val="22"/>
        </w:rPr>
        <w:t xml:space="preserve">The NRC has issued </w:t>
      </w:r>
      <w:hyperlink w:history="1" r:id="rId13">
        <w:r w:rsidRPr="004A6986">
          <w:rPr>
            <w:rFonts w:ascii="Arial" w:hAnsi="Arial" w:eastAsia="Calibri" w:cs="Arial"/>
            <w:i/>
            <w:color w:val="0000FF"/>
            <w:sz w:val="22"/>
            <w:szCs w:val="22"/>
            <w:u w:val="single"/>
          </w:rPr>
          <w:t>Guidance for Electronic Submissions to the NRC</w:t>
        </w:r>
      </w:hyperlink>
      <w:r w:rsidRPr="004A6986">
        <w:rPr>
          <w:rFonts w:ascii="Arial" w:hAnsi="Arial" w:eastAsia="Calibri" w:cs="Arial"/>
          <w:sz w:val="22"/>
          <w:szCs w:val="22"/>
        </w:rPr>
        <w:t xml:space="preserve"> which provides direction for the electronic transmission and submittal of documents to the NRC.  </w:t>
      </w:r>
      <w:r w:rsidR="002F1996">
        <w:rPr>
          <w:rFonts w:ascii="Arial" w:hAnsi="Arial" w:eastAsia="Calibri" w:cs="Arial"/>
          <w:sz w:val="22"/>
          <w:szCs w:val="22"/>
        </w:rPr>
        <w:t>Unsecure e</w:t>
      </w:r>
      <w:r w:rsidRPr="004A6986">
        <w:rPr>
          <w:rFonts w:ascii="Arial" w:hAnsi="Arial" w:eastAsia="Calibri" w:cs="Arial"/>
          <w:sz w:val="22"/>
          <w:szCs w:val="22"/>
        </w:rPr>
        <w:t xml:space="preserve">lectronic transmission and submittal of documents can be accomplished via the following avenues: the Electronic Information Exchange (EIE) process, which is </w:t>
      </w:r>
      <w:r w:rsidRPr="004A6986">
        <w:rPr>
          <w:rFonts w:ascii="Arial" w:hAnsi="Arial" w:eastAsia="Calibri" w:cs="Arial"/>
          <w:sz w:val="22"/>
          <w:szCs w:val="22"/>
        </w:rPr>
        <w:lastRenderedPageBreak/>
        <w:t>available from the NRC's “Electronic Submittals” Web page, by Optical Storage Media (OSM) (</w:t>
      </w:r>
      <w:proofErr w:type="gramStart"/>
      <w:r w:rsidRPr="004A6986">
        <w:rPr>
          <w:rFonts w:ascii="Arial" w:hAnsi="Arial" w:eastAsia="Calibri" w:cs="Arial"/>
          <w:sz w:val="22"/>
          <w:szCs w:val="22"/>
        </w:rPr>
        <w:t>e.g.</w:t>
      </w:r>
      <w:proofErr w:type="gramEnd"/>
      <w:r w:rsidRPr="004A6986">
        <w:rPr>
          <w:rFonts w:ascii="Arial" w:hAnsi="Arial" w:eastAsia="Calibri" w:cs="Arial"/>
          <w:sz w:val="22"/>
          <w:szCs w:val="22"/>
        </w:rPr>
        <w:t xml:space="preserve"> CD-ROM, DVD), by facsimile or by e-mail.  </w:t>
      </w:r>
      <w:r w:rsidRPr="00842BE0">
        <w:rPr>
          <w:rFonts w:ascii="Arial" w:hAnsi="Arial" w:cs="Arial"/>
          <w:sz w:val="22"/>
          <w:szCs w:val="22"/>
        </w:rPr>
        <w:t xml:space="preserve">It is estimated that </w:t>
      </w:r>
      <w:r w:rsidR="005001D6">
        <w:rPr>
          <w:rFonts w:ascii="Arial" w:hAnsi="Arial" w:cs="Arial"/>
          <w:sz w:val="22"/>
          <w:szCs w:val="22"/>
        </w:rPr>
        <w:t>99 percent</w:t>
      </w:r>
      <w:r w:rsidRPr="00842BE0">
        <w:rPr>
          <w:rFonts w:ascii="Arial" w:hAnsi="Arial" w:cs="Arial"/>
          <w:sz w:val="22"/>
          <w:szCs w:val="22"/>
        </w:rPr>
        <w:t xml:space="preserve"> of the potential responses are filed electronically.</w:t>
      </w:r>
      <w:r w:rsidR="00F54AB0">
        <w:rPr>
          <w:rFonts w:ascii="Arial" w:hAnsi="Arial" w:cs="Arial"/>
          <w:sz w:val="22"/>
          <w:szCs w:val="22"/>
        </w:rPr>
        <w:t xml:space="preserve">  </w:t>
      </w:r>
      <w:r w:rsidR="006C52A9">
        <w:rPr>
          <w:rFonts w:ascii="Arial" w:hAnsi="Arial" w:cs="Arial"/>
          <w:sz w:val="22"/>
          <w:szCs w:val="22"/>
        </w:rPr>
        <w:t>Security-related submissions</w:t>
      </w:r>
      <w:r w:rsidR="00296CC8">
        <w:rPr>
          <w:rFonts w:ascii="Arial" w:hAnsi="Arial" w:cs="Arial"/>
          <w:sz w:val="22"/>
          <w:szCs w:val="22"/>
        </w:rPr>
        <w:t xml:space="preserve"> that</w:t>
      </w:r>
      <w:r w:rsidR="00F54AB0">
        <w:rPr>
          <w:rFonts w:ascii="Arial" w:hAnsi="Arial" w:cs="Arial"/>
          <w:sz w:val="22"/>
          <w:szCs w:val="22"/>
        </w:rPr>
        <w:t xml:space="preserve"> contain S</w:t>
      </w:r>
      <w:r w:rsidR="006C52A9">
        <w:rPr>
          <w:rFonts w:ascii="Arial" w:hAnsi="Arial" w:cs="Arial"/>
          <w:sz w:val="22"/>
          <w:szCs w:val="22"/>
        </w:rPr>
        <w:t xml:space="preserve">afeguards </w:t>
      </w:r>
      <w:r w:rsidR="00F54AB0">
        <w:rPr>
          <w:rFonts w:ascii="Arial" w:hAnsi="Arial" w:cs="Arial"/>
          <w:sz w:val="22"/>
          <w:szCs w:val="22"/>
        </w:rPr>
        <w:t>I</w:t>
      </w:r>
      <w:r w:rsidR="006C52A9">
        <w:rPr>
          <w:rFonts w:ascii="Arial" w:hAnsi="Arial" w:cs="Arial"/>
          <w:sz w:val="22"/>
          <w:szCs w:val="22"/>
        </w:rPr>
        <w:t>nformation are submitted in paper format</w:t>
      </w:r>
      <w:r w:rsidR="00F54AB0">
        <w:rPr>
          <w:rFonts w:ascii="Arial" w:hAnsi="Arial" w:cs="Arial"/>
          <w:sz w:val="22"/>
          <w:szCs w:val="22"/>
        </w:rPr>
        <w:t xml:space="preserve"> or </w:t>
      </w:r>
      <w:r w:rsidRPr="00F00DAC" w:rsidR="00F54AB0">
        <w:rPr>
          <w:rFonts w:ascii="Arial" w:hAnsi="Arial" w:cs="Arial"/>
          <w:sz w:val="22"/>
          <w:szCs w:val="22"/>
        </w:rPr>
        <w:t xml:space="preserve">by secure </w:t>
      </w:r>
      <w:r w:rsidR="00F54AB0">
        <w:rPr>
          <w:rFonts w:ascii="Arial" w:hAnsi="Arial" w:cs="Arial"/>
          <w:sz w:val="22"/>
          <w:szCs w:val="22"/>
        </w:rPr>
        <w:t xml:space="preserve">electronic </w:t>
      </w:r>
      <w:r w:rsidRPr="00F00DAC" w:rsidR="00F54AB0">
        <w:rPr>
          <w:rFonts w:ascii="Arial" w:hAnsi="Arial" w:cs="Arial"/>
          <w:sz w:val="22"/>
          <w:szCs w:val="22"/>
        </w:rPr>
        <w:t>transmission</w:t>
      </w:r>
      <w:r w:rsidR="006C52A9">
        <w:rPr>
          <w:rFonts w:ascii="Arial" w:hAnsi="Arial" w:cs="Arial"/>
          <w:sz w:val="22"/>
          <w:szCs w:val="22"/>
        </w:rPr>
        <w:t>.</w:t>
      </w:r>
    </w:p>
    <w:p w:rsidR="007831B7" w:rsidP="00BC0845" w:rsidRDefault="007831B7" w14:paraId="1634C63A" w14:textId="77777777">
      <w:pPr>
        <w:widowControl/>
        <w:ind w:left="720"/>
        <w:rPr>
          <w:rFonts w:ascii="Arial" w:hAnsi="Arial" w:cs="Arial"/>
          <w:sz w:val="22"/>
          <w:szCs w:val="22"/>
        </w:rPr>
      </w:pPr>
    </w:p>
    <w:p w:rsidRPr="00A32597" w:rsidR="002B1B50" w:rsidP="004E4948" w:rsidRDefault="002B1B50" w14:paraId="01A5661B" w14:textId="77777777">
      <w:pPr>
        <w:widowControl/>
        <w:tabs>
          <w:tab w:val="left" w:pos="-1440"/>
        </w:tabs>
        <w:ind w:left="720"/>
        <w:rPr>
          <w:rFonts w:ascii="Arial" w:hAnsi="Arial" w:cs="Arial"/>
          <w:sz w:val="22"/>
          <w:szCs w:val="22"/>
        </w:rPr>
      </w:pPr>
      <w:r w:rsidRPr="00A32597">
        <w:rPr>
          <w:rFonts w:ascii="Arial" w:hAnsi="Arial" w:cs="Arial"/>
          <w:sz w:val="22"/>
          <w:szCs w:val="22"/>
        </w:rPr>
        <w:t>4.</w:t>
      </w:r>
      <w:r w:rsidRPr="00A32597">
        <w:rPr>
          <w:rFonts w:ascii="Arial" w:hAnsi="Arial" w:cs="Arial"/>
          <w:sz w:val="22"/>
          <w:szCs w:val="22"/>
        </w:rPr>
        <w:tab/>
      </w:r>
      <w:r w:rsidRPr="00A32597">
        <w:rPr>
          <w:rFonts w:ascii="Arial" w:hAnsi="Arial" w:cs="Arial"/>
          <w:sz w:val="22"/>
          <w:szCs w:val="22"/>
          <w:u w:val="single"/>
        </w:rPr>
        <w:t>Effort to Identify Duplication and Use Similar Information</w:t>
      </w:r>
    </w:p>
    <w:p w:rsidRPr="00A32597" w:rsidR="002B1B50" w:rsidP="00BC0845" w:rsidRDefault="002B1B50" w14:paraId="414AD4C7" w14:textId="77777777">
      <w:pPr>
        <w:widowControl/>
        <w:rPr>
          <w:rFonts w:ascii="Arial" w:hAnsi="Arial" w:cs="Arial"/>
          <w:sz w:val="22"/>
          <w:szCs w:val="22"/>
        </w:rPr>
      </w:pPr>
    </w:p>
    <w:p w:rsidR="00584E7D" w:rsidP="00BC0845" w:rsidRDefault="00731127" w14:paraId="6C1962FB" w14:textId="76A3AD18">
      <w:pPr>
        <w:widowControl/>
        <w:ind w:left="720"/>
        <w:rPr>
          <w:rFonts w:ascii="Arial" w:hAnsi="Arial"/>
          <w:sz w:val="22"/>
        </w:rPr>
      </w:pPr>
      <w:r w:rsidRPr="005955C8">
        <w:rPr>
          <w:rFonts w:ascii="Arial" w:hAnsi="Arial" w:cs="Arial"/>
          <w:sz w:val="22"/>
          <w:szCs w:val="22"/>
        </w:rPr>
        <w:t>No s</w:t>
      </w:r>
      <w:r w:rsidRPr="005955C8" w:rsidR="00A243B4">
        <w:rPr>
          <w:rFonts w:ascii="Arial" w:hAnsi="Arial" w:cs="Arial"/>
          <w:sz w:val="22"/>
          <w:szCs w:val="22"/>
        </w:rPr>
        <w:t>ources of simi</w:t>
      </w:r>
      <w:r w:rsidR="000C141A">
        <w:rPr>
          <w:rFonts w:ascii="Arial" w:hAnsi="Arial" w:cs="Arial"/>
          <w:sz w:val="22"/>
          <w:szCs w:val="22"/>
        </w:rPr>
        <w:t>lar information are available.</w:t>
      </w:r>
      <w:r w:rsidR="00E9447E">
        <w:rPr>
          <w:rFonts w:ascii="Arial" w:hAnsi="Arial" w:cs="Arial"/>
          <w:sz w:val="22"/>
          <w:szCs w:val="22"/>
        </w:rPr>
        <w:t xml:space="preserve">  </w:t>
      </w:r>
      <w:r w:rsidRPr="000F7012" w:rsidR="003D618B">
        <w:rPr>
          <w:rFonts w:ascii="Arial" w:hAnsi="Arial" w:cs="Arial"/>
          <w:sz w:val="22"/>
          <w:szCs w:val="22"/>
        </w:rPr>
        <w:t xml:space="preserve">There is no duplication of requirements.  </w:t>
      </w:r>
      <w:r w:rsidR="002F1996">
        <w:rPr>
          <w:rFonts w:ascii="Arial" w:hAnsi="Arial" w:cs="Arial"/>
          <w:sz w:val="22"/>
          <w:szCs w:val="22"/>
        </w:rPr>
        <w:t>Some</w:t>
      </w:r>
      <w:r w:rsidR="00E9447E">
        <w:rPr>
          <w:rFonts w:ascii="Arial" w:hAnsi="Arial" w:cs="Arial"/>
          <w:sz w:val="22"/>
          <w:szCs w:val="22"/>
        </w:rPr>
        <w:t xml:space="preserve"> of </w:t>
      </w:r>
      <w:r w:rsidR="001678A7">
        <w:rPr>
          <w:rFonts w:ascii="Arial" w:hAnsi="Arial" w:cs="Arial"/>
          <w:sz w:val="22"/>
          <w:szCs w:val="22"/>
        </w:rPr>
        <w:t xml:space="preserve">the </w:t>
      </w:r>
      <w:r w:rsidR="00E9447E">
        <w:rPr>
          <w:rFonts w:ascii="Arial" w:hAnsi="Arial" w:cs="Arial"/>
          <w:sz w:val="22"/>
          <w:szCs w:val="22"/>
        </w:rPr>
        <w:t xml:space="preserve">information </w:t>
      </w:r>
      <w:r w:rsidR="001678A7">
        <w:rPr>
          <w:rFonts w:ascii="Arial" w:hAnsi="Arial" w:cs="Arial"/>
          <w:sz w:val="22"/>
          <w:szCs w:val="22"/>
        </w:rPr>
        <w:t xml:space="preserve">included by a licensee </w:t>
      </w:r>
      <w:r w:rsidR="003D618B">
        <w:rPr>
          <w:rFonts w:ascii="Arial" w:hAnsi="Arial" w:cs="Arial"/>
          <w:sz w:val="22"/>
          <w:szCs w:val="22"/>
        </w:rPr>
        <w:t>on</w:t>
      </w:r>
      <w:r w:rsidR="001678A7">
        <w:rPr>
          <w:rFonts w:ascii="Arial" w:hAnsi="Arial" w:cs="Arial"/>
          <w:sz w:val="22"/>
          <w:szCs w:val="22"/>
        </w:rPr>
        <w:t xml:space="preserve"> NRC Form 366 </w:t>
      </w:r>
      <w:r w:rsidR="00E9447E">
        <w:rPr>
          <w:rFonts w:ascii="Arial" w:hAnsi="Arial" w:cs="Arial"/>
          <w:sz w:val="22"/>
          <w:szCs w:val="22"/>
        </w:rPr>
        <w:t xml:space="preserve">is </w:t>
      </w:r>
      <w:r w:rsidR="002F1996">
        <w:rPr>
          <w:rFonts w:ascii="Arial" w:hAnsi="Arial" w:cs="Arial"/>
          <w:sz w:val="22"/>
          <w:szCs w:val="22"/>
        </w:rPr>
        <w:t xml:space="preserve">not </w:t>
      </w:r>
      <w:r w:rsidR="00E9447E">
        <w:rPr>
          <w:rFonts w:ascii="Arial" w:hAnsi="Arial" w:cs="Arial"/>
          <w:sz w:val="22"/>
          <w:szCs w:val="22"/>
        </w:rPr>
        <w:t xml:space="preserve">available at the time of the </w:t>
      </w:r>
      <w:r w:rsidR="001678A7">
        <w:rPr>
          <w:rFonts w:ascii="Arial" w:hAnsi="Arial" w:cs="Arial"/>
          <w:sz w:val="22"/>
          <w:szCs w:val="22"/>
        </w:rPr>
        <w:t xml:space="preserve">licensee’s </w:t>
      </w:r>
      <w:r w:rsidR="00E9447E">
        <w:rPr>
          <w:rFonts w:ascii="Arial" w:hAnsi="Arial" w:cs="Arial"/>
          <w:sz w:val="22"/>
          <w:szCs w:val="22"/>
        </w:rPr>
        <w:t>initial telephonic notification</w:t>
      </w:r>
      <w:r w:rsidR="001678A7">
        <w:rPr>
          <w:rFonts w:ascii="Arial" w:hAnsi="Arial" w:cs="Arial"/>
          <w:sz w:val="22"/>
          <w:szCs w:val="22"/>
        </w:rPr>
        <w:t xml:space="preserve"> of a physical security event</w:t>
      </w:r>
      <w:r w:rsidR="002F1996">
        <w:rPr>
          <w:rFonts w:ascii="Arial" w:hAnsi="Arial" w:cs="Arial"/>
          <w:sz w:val="22"/>
          <w:szCs w:val="22"/>
        </w:rPr>
        <w:t xml:space="preserve"> (e.g., the root cause and corrective actions to prevent recurrence)</w:t>
      </w:r>
      <w:r w:rsidR="00E9447E">
        <w:rPr>
          <w:rFonts w:ascii="Arial" w:hAnsi="Arial" w:cs="Arial"/>
          <w:sz w:val="22"/>
          <w:szCs w:val="22"/>
        </w:rPr>
        <w:t>.</w:t>
      </w:r>
    </w:p>
    <w:p w:rsidRPr="00584E7D" w:rsidR="00B104CB" w:rsidP="00BC0845" w:rsidRDefault="00B104CB" w14:paraId="24F71572" w14:textId="77777777">
      <w:pPr>
        <w:widowControl/>
        <w:ind w:left="720"/>
        <w:rPr>
          <w:rFonts w:ascii="Arial" w:hAnsi="Arial"/>
          <w:sz w:val="22"/>
        </w:rPr>
      </w:pPr>
    </w:p>
    <w:p w:rsidRPr="00A32597" w:rsidR="002B1B50" w:rsidP="004E4948" w:rsidRDefault="002B1B50" w14:paraId="35FE7D5F" w14:textId="77777777">
      <w:pPr>
        <w:keepNext/>
        <w:keepLines/>
        <w:widowControl/>
        <w:tabs>
          <w:tab w:val="left" w:pos="-1440"/>
        </w:tabs>
        <w:ind w:left="720"/>
        <w:rPr>
          <w:rFonts w:ascii="Arial" w:hAnsi="Arial" w:cs="Arial"/>
          <w:sz w:val="22"/>
          <w:szCs w:val="22"/>
        </w:rPr>
      </w:pPr>
      <w:r w:rsidRPr="00A32597">
        <w:rPr>
          <w:rFonts w:ascii="Arial" w:hAnsi="Arial" w:cs="Arial"/>
          <w:sz w:val="22"/>
          <w:szCs w:val="22"/>
        </w:rPr>
        <w:t>5.</w:t>
      </w:r>
      <w:r w:rsidRPr="00A32597">
        <w:rPr>
          <w:rFonts w:ascii="Arial" w:hAnsi="Arial" w:cs="Arial"/>
          <w:sz w:val="22"/>
          <w:szCs w:val="22"/>
        </w:rPr>
        <w:tab/>
      </w:r>
      <w:r w:rsidRPr="00A32597">
        <w:rPr>
          <w:rFonts w:ascii="Arial" w:hAnsi="Arial" w:cs="Arial"/>
          <w:sz w:val="22"/>
          <w:szCs w:val="22"/>
          <w:u w:val="single"/>
        </w:rPr>
        <w:t>Effort to Reduce Small Business Burden</w:t>
      </w:r>
    </w:p>
    <w:p w:rsidRPr="00A32597" w:rsidR="002B1B50" w:rsidP="00BC0845" w:rsidRDefault="002B1B50" w14:paraId="7F1C7FDF" w14:textId="77777777">
      <w:pPr>
        <w:keepNext/>
        <w:keepLines/>
        <w:widowControl/>
        <w:rPr>
          <w:rFonts w:ascii="Arial" w:hAnsi="Arial" w:cs="Arial"/>
          <w:sz w:val="22"/>
          <w:szCs w:val="22"/>
        </w:rPr>
      </w:pPr>
    </w:p>
    <w:p w:rsidR="00FA4B69" w:rsidP="00BC0845" w:rsidRDefault="00B7333B" w14:paraId="03629077" w14:textId="21371B3C">
      <w:pPr>
        <w:keepNext/>
        <w:keepLines/>
        <w:widowControl/>
        <w:ind w:left="720"/>
        <w:rPr>
          <w:rFonts w:ascii="Arial" w:hAnsi="Arial" w:cs="Arial"/>
          <w:sz w:val="22"/>
          <w:szCs w:val="22"/>
        </w:rPr>
      </w:pPr>
      <w:r>
        <w:rPr>
          <w:rFonts w:ascii="Arial" w:hAnsi="Arial" w:cs="Arial"/>
          <w:sz w:val="22"/>
          <w:szCs w:val="22"/>
        </w:rPr>
        <w:t>The</w:t>
      </w:r>
      <w:r w:rsidRPr="00FA4B69" w:rsidR="00FA4B69">
        <w:rPr>
          <w:rFonts w:ascii="Arial" w:hAnsi="Arial" w:cs="Arial"/>
          <w:sz w:val="22"/>
          <w:szCs w:val="22"/>
        </w:rPr>
        <w:t xml:space="preserve"> NRC has determined that the </w:t>
      </w:r>
      <w:r w:rsidR="00FA4B69">
        <w:rPr>
          <w:rFonts w:ascii="Arial" w:hAnsi="Arial" w:cs="Arial"/>
          <w:sz w:val="22"/>
          <w:szCs w:val="22"/>
        </w:rPr>
        <w:t xml:space="preserve">companies that own the sites affected by the final rule do not </w:t>
      </w:r>
      <w:r w:rsidRPr="00FA4B69" w:rsidR="00FA4B69">
        <w:rPr>
          <w:rFonts w:ascii="Arial" w:hAnsi="Arial" w:cs="Arial"/>
          <w:sz w:val="22"/>
          <w:szCs w:val="22"/>
        </w:rPr>
        <w:t>fall within t</w:t>
      </w:r>
      <w:r w:rsidR="00594BCB">
        <w:rPr>
          <w:rFonts w:ascii="Arial" w:hAnsi="Arial" w:cs="Arial"/>
          <w:sz w:val="22"/>
          <w:szCs w:val="22"/>
        </w:rPr>
        <w:t>he scope of the definition of “small entities”</w:t>
      </w:r>
      <w:r w:rsidRPr="00FA4B69" w:rsidR="00FA4B69">
        <w:rPr>
          <w:rFonts w:ascii="Arial" w:hAnsi="Arial" w:cs="Arial"/>
          <w:sz w:val="22"/>
          <w:szCs w:val="22"/>
        </w:rPr>
        <w:t xml:space="preserve"> set forth in the Regulatory Flexibility Act or the size stand</w:t>
      </w:r>
      <w:r w:rsidR="00C9088E">
        <w:rPr>
          <w:rFonts w:ascii="Arial" w:hAnsi="Arial" w:cs="Arial"/>
          <w:sz w:val="22"/>
          <w:szCs w:val="22"/>
        </w:rPr>
        <w:t>ards established by the NRC (10 </w:t>
      </w:r>
      <w:r w:rsidRPr="007831B7" w:rsidR="007831B7">
        <w:rPr>
          <w:rFonts w:ascii="Arial" w:hAnsi="Arial" w:cs="Arial"/>
          <w:sz w:val="22"/>
          <w:szCs w:val="22"/>
        </w:rPr>
        <w:t>CFR</w:t>
      </w:r>
      <w:r w:rsidRPr="00FA4B69" w:rsidR="00FA4B69">
        <w:rPr>
          <w:rFonts w:ascii="Arial" w:hAnsi="Arial" w:cs="Arial"/>
          <w:sz w:val="22"/>
          <w:szCs w:val="22"/>
        </w:rPr>
        <w:t xml:space="preserve"> 2.810).</w:t>
      </w:r>
    </w:p>
    <w:p w:rsidRPr="00A32597" w:rsidR="00C9088E" w:rsidP="00BC0845" w:rsidRDefault="00C9088E" w14:paraId="5A1C9D7E" w14:textId="77777777">
      <w:pPr>
        <w:widowControl/>
        <w:rPr>
          <w:rFonts w:ascii="Arial" w:hAnsi="Arial" w:cs="Arial"/>
          <w:sz w:val="22"/>
          <w:szCs w:val="22"/>
        </w:rPr>
      </w:pPr>
    </w:p>
    <w:p w:rsidRPr="00A32597" w:rsidR="002B1B50" w:rsidP="00C72824" w:rsidRDefault="002B1B50" w14:paraId="5B8119A6" w14:textId="77777777">
      <w:pPr>
        <w:widowControl/>
        <w:tabs>
          <w:tab w:val="left" w:pos="-1440"/>
        </w:tabs>
        <w:ind w:left="1440" w:hanging="720"/>
        <w:rPr>
          <w:rFonts w:ascii="Arial" w:hAnsi="Arial" w:cs="Arial"/>
          <w:sz w:val="22"/>
          <w:szCs w:val="22"/>
        </w:rPr>
      </w:pPr>
      <w:r w:rsidRPr="00A32597">
        <w:rPr>
          <w:rFonts w:ascii="Arial" w:hAnsi="Arial" w:cs="Arial"/>
          <w:sz w:val="22"/>
          <w:szCs w:val="22"/>
        </w:rPr>
        <w:t>6.</w:t>
      </w:r>
      <w:r w:rsidRPr="00A32597">
        <w:rPr>
          <w:rFonts w:ascii="Arial" w:hAnsi="Arial" w:cs="Arial"/>
          <w:sz w:val="22"/>
          <w:szCs w:val="22"/>
        </w:rPr>
        <w:tab/>
      </w:r>
      <w:r w:rsidRPr="00A32597">
        <w:rPr>
          <w:rFonts w:ascii="Arial" w:hAnsi="Arial" w:cs="Arial"/>
          <w:sz w:val="22"/>
          <w:szCs w:val="22"/>
          <w:u w:val="single"/>
        </w:rPr>
        <w:t>Consequences to Federal Program or Policy Activities if the Collection is Not Conducted or is Conducted Less Frequently</w:t>
      </w:r>
    </w:p>
    <w:p w:rsidRPr="00A32597" w:rsidR="002B1B50" w:rsidP="00BC0845" w:rsidRDefault="002B1B50" w14:paraId="02C1CAA7" w14:textId="77777777">
      <w:pPr>
        <w:widowControl/>
        <w:rPr>
          <w:rFonts w:ascii="Arial" w:hAnsi="Arial" w:cs="Arial"/>
          <w:sz w:val="22"/>
          <w:szCs w:val="22"/>
        </w:rPr>
      </w:pPr>
    </w:p>
    <w:p w:rsidRPr="00C33E91" w:rsidR="001678A7" w:rsidP="000C141A" w:rsidRDefault="001678A7" w14:paraId="6181B3BF" w14:textId="2566A62B">
      <w:pPr>
        <w:widowControl/>
        <w:ind w:left="720"/>
        <w:rPr>
          <w:rFonts w:ascii="Arial" w:hAnsi="Arial" w:cs="Arial"/>
          <w:sz w:val="22"/>
          <w:szCs w:val="22"/>
        </w:rPr>
      </w:pPr>
      <w:r>
        <w:rPr>
          <w:rFonts w:ascii="Arial" w:hAnsi="Arial" w:cs="Arial"/>
          <w:sz w:val="22"/>
          <w:szCs w:val="22"/>
        </w:rPr>
        <w:t xml:space="preserve">A completed NRC Form 366 contains an </w:t>
      </w:r>
      <w:r w:rsidR="00BB1AF0">
        <w:rPr>
          <w:rFonts w:ascii="Arial" w:hAnsi="Arial" w:cs="Arial"/>
          <w:sz w:val="22"/>
          <w:szCs w:val="22"/>
        </w:rPr>
        <w:t>analysis</w:t>
      </w:r>
      <w:r>
        <w:rPr>
          <w:rFonts w:ascii="Arial" w:hAnsi="Arial" w:cs="Arial"/>
          <w:sz w:val="22"/>
          <w:szCs w:val="22"/>
        </w:rPr>
        <w:t xml:space="preserve"> of the </w:t>
      </w:r>
      <w:r w:rsidR="002A787F">
        <w:rPr>
          <w:rFonts w:ascii="Arial" w:hAnsi="Arial" w:cs="Arial"/>
          <w:sz w:val="22"/>
          <w:szCs w:val="22"/>
        </w:rPr>
        <w:t xml:space="preserve">security </w:t>
      </w:r>
      <w:r>
        <w:rPr>
          <w:rFonts w:ascii="Arial" w:hAnsi="Arial" w:cs="Arial"/>
          <w:sz w:val="22"/>
          <w:szCs w:val="22"/>
        </w:rPr>
        <w:t xml:space="preserve">event, </w:t>
      </w:r>
      <w:r w:rsidR="00F84CBF">
        <w:rPr>
          <w:rFonts w:ascii="Arial" w:hAnsi="Arial" w:cs="Arial"/>
          <w:sz w:val="22"/>
          <w:szCs w:val="22"/>
        </w:rPr>
        <w:t>identifies</w:t>
      </w:r>
      <w:r>
        <w:rPr>
          <w:rFonts w:ascii="Arial" w:hAnsi="Arial" w:cs="Arial"/>
          <w:sz w:val="22"/>
          <w:szCs w:val="22"/>
        </w:rPr>
        <w:t xml:space="preserve"> </w:t>
      </w:r>
      <w:r w:rsidR="002F1996">
        <w:rPr>
          <w:rFonts w:ascii="Arial" w:hAnsi="Arial" w:cs="Arial"/>
          <w:sz w:val="22"/>
          <w:szCs w:val="22"/>
        </w:rPr>
        <w:t>a root cause</w:t>
      </w:r>
      <w:r w:rsidR="003D618B">
        <w:rPr>
          <w:rFonts w:ascii="Arial" w:hAnsi="Arial" w:cs="Arial"/>
          <w:sz w:val="22"/>
          <w:szCs w:val="22"/>
        </w:rPr>
        <w:t xml:space="preserve">, </w:t>
      </w:r>
      <w:r w:rsidR="002F1996">
        <w:rPr>
          <w:rFonts w:ascii="Arial" w:hAnsi="Arial" w:cs="Arial"/>
          <w:sz w:val="22"/>
          <w:szCs w:val="22"/>
        </w:rPr>
        <w:t xml:space="preserve">any </w:t>
      </w:r>
      <w:r>
        <w:rPr>
          <w:rFonts w:ascii="Arial" w:hAnsi="Arial" w:cs="Arial"/>
          <w:sz w:val="22"/>
          <w:szCs w:val="22"/>
        </w:rPr>
        <w:t xml:space="preserve">personnel or </w:t>
      </w:r>
      <w:r w:rsidR="00BB1AF0">
        <w:rPr>
          <w:rFonts w:ascii="Arial" w:hAnsi="Arial" w:cs="Arial"/>
          <w:sz w:val="22"/>
          <w:szCs w:val="22"/>
        </w:rPr>
        <w:t>equipment</w:t>
      </w:r>
      <w:r>
        <w:rPr>
          <w:rFonts w:ascii="Arial" w:hAnsi="Arial" w:cs="Arial"/>
          <w:sz w:val="22"/>
          <w:szCs w:val="22"/>
        </w:rPr>
        <w:t xml:space="preserve"> </w:t>
      </w:r>
      <w:r w:rsidR="00F84CBF">
        <w:rPr>
          <w:rFonts w:ascii="Arial" w:hAnsi="Arial" w:cs="Arial"/>
          <w:sz w:val="22"/>
          <w:szCs w:val="22"/>
        </w:rPr>
        <w:t>failures</w:t>
      </w:r>
      <w:r>
        <w:rPr>
          <w:rFonts w:ascii="Arial" w:hAnsi="Arial" w:cs="Arial"/>
          <w:sz w:val="22"/>
          <w:szCs w:val="22"/>
        </w:rPr>
        <w:t xml:space="preserve">, and specifies corrective action to prevent recurrence.  </w:t>
      </w:r>
      <w:r w:rsidR="002F1996">
        <w:rPr>
          <w:rFonts w:ascii="Arial" w:hAnsi="Arial" w:cs="Arial"/>
          <w:sz w:val="22"/>
          <w:szCs w:val="22"/>
        </w:rPr>
        <w:t>Most</w:t>
      </w:r>
      <w:r>
        <w:rPr>
          <w:rFonts w:ascii="Arial" w:hAnsi="Arial" w:cs="Arial"/>
          <w:sz w:val="22"/>
          <w:szCs w:val="22"/>
        </w:rPr>
        <w:t xml:space="preserve"> of this information is </w:t>
      </w:r>
      <w:r w:rsidR="002F1996">
        <w:rPr>
          <w:rFonts w:ascii="Arial" w:hAnsi="Arial" w:cs="Arial"/>
          <w:sz w:val="22"/>
          <w:szCs w:val="22"/>
        </w:rPr>
        <w:t xml:space="preserve">typically not </w:t>
      </w:r>
      <w:r>
        <w:rPr>
          <w:rFonts w:ascii="Arial" w:hAnsi="Arial" w:cs="Arial"/>
          <w:sz w:val="22"/>
          <w:szCs w:val="22"/>
        </w:rPr>
        <w:t>available at the time of the initial telephonic notification.</w:t>
      </w:r>
      <w:r w:rsidR="00C33E91">
        <w:rPr>
          <w:rFonts w:ascii="Arial" w:hAnsi="Arial" w:cs="Arial"/>
          <w:sz w:val="22"/>
          <w:szCs w:val="22"/>
        </w:rPr>
        <w:t xml:space="preserve">  </w:t>
      </w:r>
      <w:r w:rsidR="002F1996">
        <w:rPr>
          <w:rFonts w:ascii="Arial" w:hAnsi="Arial" w:cs="Arial"/>
          <w:sz w:val="22"/>
          <w:szCs w:val="22"/>
        </w:rPr>
        <w:t xml:space="preserve">For example, some notifications are made within 15 minutes or 1 hour </w:t>
      </w:r>
      <w:r w:rsidR="0003537D">
        <w:rPr>
          <w:rFonts w:ascii="Arial" w:hAnsi="Arial" w:cs="Arial"/>
          <w:sz w:val="22"/>
          <w:szCs w:val="22"/>
        </w:rPr>
        <w:t xml:space="preserve">after </w:t>
      </w:r>
      <w:r w:rsidR="002F1996">
        <w:rPr>
          <w:rFonts w:ascii="Arial" w:hAnsi="Arial" w:cs="Arial"/>
          <w:sz w:val="22"/>
          <w:szCs w:val="22"/>
        </w:rPr>
        <w:t xml:space="preserve">the time of discovery.  This is insufficient time to identify root causes and corrective actions.  </w:t>
      </w:r>
      <w:r w:rsidRPr="00432159" w:rsidR="00C33E91">
        <w:rPr>
          <w:rFonts w:ascii="Arial" w:hAnsi="Arial" w:cs="Arial"/>
          <w:sz w:val="22"/>
          <w:szCs w:val="22"/>
        </w:rPr>
        <w:t>Not collecting the information, or collecting it less frequently, would degrade the NRC’s ability to</w:t>
      </w:r>
      <w:r w:rsidR="00432159">
        <w:rPr>
          <w:rFonts w:ascii="Arial" w:hAnsi="Arial" w:cs="Arial"/>
          <w:sz w:val="22"/>
          <w:szCs w:val="22"/>
        </w:rPr>
        <w:t xml:space="preserve"> follow up on root causes, component failures, and corrective actions.</w:t>
      </w:r>
    </w:p>
    <w:p w:rsidRPr="00A32597" w:rsidR="002B1B50" w:rsidP="002F41B7" w:rsidRDefault="002B1B50" w14:paraId="0308B07E" w14:textId="77777777">
      <w:pPr>
        <w:widowControl/>
        <w:rPr>
          <w:rFonts w:ascii="Arial" w:hAnsi="Arial" w:cs="Arial"/>
          <w:sz w:val="22"/>
          <w:szCs w:val="22"/>
        </w:rPr>
      </w:pPr>
    </w:p>
    <w:p w:rsidR="000A3AF2" w:rsidP="004E4948" w:rsidRDefault="002B1B50" w14:paraId="7F677A28" w14:textId="77777777">
      <w:pPr>
        <w:widowControl/>
        <w:tabs>
          <w:tab w:val="left" w:pos="-1440"/>
        </w:tabs>
        <w:ind w:left="720"/>
        <w:rPr>
          <w:rFonts w:ascii="Arial" w:hAnsi="Arial" w:cs="Arial"/>
          <w:sz w:val="22"/>
          <w:szCs w:val="22"/>
          <w:u w:val="single"/>
        </w:rPr>
      </w:pPr>
      <w:r w:rsidRPr="00A32597">
        <w:rPr>
          <w:rFonts w:ascii="Arial" w:hAnsi="Arial" w:cs="Arial"/>
          <w:sz w:val="22"/>
          <w:szCs w:val="22"/>
        </w:rPr>
        <w:t>7.</w:t>
      </w:r>
      <w:r w:rsidRPr="00A32597">
        <w:rPr>
          <w:rFonts w:ascii="Arial" w:hAnsi="Arial" w:cs="Arial"/>
          <w:sz w:val="22"/>
          <w:szCs w:val="22"/>
        </w:rPr>
        <w:tab/>
      </w:r>
      <w:r w:rsidRPr="00A32597">
        <w:rPr>
          <w:rFonts w:ascii="Arial" w:hAnsi="Arial" w:cs="Arial"/>
          <w:sz w:val="22"/>
          <w:szCs w:val="22"/>
          <w:u w:val="single"/>
        </w:rPr>
        <w:t>Circumstances Which Justify Variation from OMB Guidelines</w:t>
      </w:r>
    </w:p>
    <w:p w:rsidR="000A3AF2" w:rsidP="002F41B7" w:rsidRDefault="000A3AF2" w14:paraId="3FC64D11" w14:textId="77777777">
      <w:pPr>
        <w:widowControl/>
        <w:tabs>
          <w:tab w:val="left" w:pos="-1440"/>
        </w:tabs>
        <w:ind w:left="1440" w:hanging="720"/>
        <w:rPr>
          <w:rFonts w:ascii="Arial" w:hAnsi="Arial" w:cs="Arial"/>
          <w:sz w:val="22"/>
          <w:szCs w:val="22"/>
        </w:rPr>
      </w:pPr>
    </w:p>
    <w:p w:rsidR="00296CC8" w:rsidP="00296CC8" w:rsidRDefault="00296CC8" w14:paraId="17B86C5A" w14:textId="1F9CA255">
      <w:pPr>
        <w:widowControl/>
        <w:tabs>
          <w:tab w:val="left" w:pos="-1440"/>
        </w:tabs>
        <w:ind w:left="720"/>
        <w:rPr>
          <w:rFonts w:ascii="Arial" w:hAnsi="Arial" w:cs="Arial"/>
          <w:sz w:val="22"/>
          <w:szCs w:val="22"/>
        </w:rPr>
      </w:pPr>
      <w:r>
        <w:rPr>
          <w:rFonts w:ascii="Arial" w:hAnsi="Arial" w:cs="Arial"/>
          <w:sz w:val="22"/>
          <w:szCs w:val="22"/>
        </w:rPr>
        <w:t xml:space="preserve">The provisions of </w:t>
      </w:r>
      <w:r w:rsidR="005001D6">
        <w:rPr>
          <w:rFonts w:ascii="Arial" w:hAnsi="Arial" w:cs="Arial"/>
          <w:sz w:val="22"/>
          <w:szCs w:val="22"/>
        </w:rPr>
        <w:t>10 CFR</w:t>
      </w:r>
      <w:r>
        <w:rPr>
          <w:rFonts w:ascii="Arial" w:hAnsi="Arial" w:cs="Arial"/>
          <w:sz w:val="22"/>
          <w:szCs w:val="22"/>
        </w:rPr>
        <w:t xml:space="preserve"> 73.1205(e) vary from the OMB Guidelines in 5 CFR 1320.5(d) by requiring licensees to retain a copy of all NRC Forms 366 submitted to the NRC for more than 3 years.  This provision requires licensees to retain completed NRC Forms 366 for a period of three years from the date of the report or until the termination of the license, whichever is later.</w:t>
      </w:r>
    </w:p>
    <w:p w:rsidRPr="00A32597" w:rsidR="000C141A" w:rsidP="002F41B7" w:rsidRDefault="000C141A" w14:paraId="28B4FDE2" w14:textId="77777777">
      <w:pPr>
        <w:widowControl/>
        <w:tabs>
          <w:tab w:val="left" w:pos="-1440"/>
        </w:tabs>
        <w:ind w:left="1440" w:hanging="720"/>
        <w:rPr>
          <w:rFonts w:ascii="Arial" w:hAnsi="Arial" w:cs="Arial"/>
          <w:sz w:val="22"/>
          <w:szCs w:val="22"/>
        </w:rPr>
      </w:pPr>
    </w:p>
    <w:p w:rsidR="000A3AF2" w:rsidP="004E4948" w:rsidRDefault="002B1B50" w14:paraId="44F71249" w14:textId="77777777">
      <w:pPr>
        <w:widowControl/>
        <w:numPr>
          <w:ilvl w:val="0"/>
          <w:numId w:val="6"/>
        </w:numPr>
        <w:tabs>
          <w:tab w:val="left" w:pos="-1440"/>
        </w:tabs>
        <w:ind w:firstLine="0"/>
        <w:rPr>
          <w:rFonts w:ascii="Arial" w:hAnsi="Arial" w:cs="Arial"/>
          <w:sz w:val="22"/>
          <w:szCs w:val="22"/>
          <w:u w:val="single"/>
        </w:rPr>
      </w:pPr>
      <w:r w:rsidRPr="00A32597">
        <w:rPr>
          <w:rFonts w:ascii="Arial" w:hAnsi="Arial" w:cs="Arial"/>
          <w:sz w:val="22"/>
          <w:szCs w:val="22"/>
          <w:u w:val="single"/>
        </w:rPr>
        <w:t>Consultations Outside the NRC</w:t>
      </w:r>
    </w:p>
    <w:p w:rsidR="005B0050" w:rsidP="002F41B7" w:rsidRDefault="005B0050" w14:paraId="154F95B0" w14:textId="77777777">
      <w:pPr>
        <w:widowControl/>
        <w:tabs>
          <w:tab w:val="left" w:pos="-1440"/>
        </w:tabs>
        <w:ind w:left="720"/>
        <w:rPr>
          <w:rFonts w:ascii="Arial" w:hAnsi="Arial" w:cs="Arial"/>
          <w:sz w:val="22"/>
          <w:szCs w:val="22"/>
          <w:u w:val="single"/>
        </w:rPr>
      </w:pPr>
    </w:p>
    <w:p w:rsidR="00E30D3C" w:rsidP="003E0D49" w:rsidRDefault="003E0D49" w14:paraId="29E044F4" w14:textId="3E32DC07">
      <w:pPr>
        <w:ind w:left="720"/>
        <w:rPr>
          <w:rFonts w:ascii="Arial" w:hAnsi="Arial" w:cs="Arial"/>
          <w:sz w:val="22"/>
          <w:szCs w:val="22"/>
        </w:rPr>
      </w:pPr>
      <w:r w:rsidRPr="00A16C86">
        <w:rPr>
          <w:rFonts w:ascii="Arial" w:hAnsi="Arial" w:cs="Arial"/>
          <w:sz w:val="22"/>
          <w:szCs w:val="22"/>
        </w:rPr>
        <w:t xml:space="preserve">On February 3, 2011, the NRC published in the </w:t>
      </w:r>
      <w:r w:rsidRPr="00E30D3C">
        <w:rPr>
          <w:rFonts w:ascii="Arial" w:hAnsi="Arial" w:cs="Arial"/>
          <w:i/>
          <w:sz w:val="22"/>
          <w:szCs w:val="22"/>
        </w:rPr>
        <w:t>Federal Register</w:t>
      </w:r>
      <w:r w:rsidRPr="00A16C86">
        <w:rPr>
          <w:rFonts w:ascii="Arial" w:hAnsi="Arial" w:cs="Arial"/>
          <w:sz w:val="22"/>
          <w:szCs w:val="22"/>
        </w:rPr>
        <w:t xml:space="preserve"> a proposed rule,</w:t>
      </w:r>
      <w:r>
        <w:rPr>
          <w:rFonts w:ascii="Arial" w:hAnsi="Arial" w:cs="Arial"/>
          <w:sz w:val="22"/>
          <w:szCs w:val="22"/>
        </w:rPr>
        <w:t xml:space="preserve"> </w:t>
      </w:r>
      <w:r w:rsidRPr="00A16C86">
        <w:rPr>
          <w:rFonts w:ascii="Arial" w:hAnsi="Arial" w:cs="Arial"/>
          <w:sz w:val="22"/>
          <w:szCs w:val="22"/>
        </w:rPr>
        <w:t>“Enhanced Weapons, Firearms Background Checks and Security Event Notifications”</w:t>
      </w:r>
      <w:r>
        <w:rPr>
          <w:rFonts w:ascii="Arial" w:hAnsi="Arial" w:cs="Arial"/>
          <w:sz w:val="22"/>
          <w:szCs w:val="22"/>
        </w:rPr>
        <w:t xml:space="preserve"> </w:t>
      </w:r>
      <w:r w:rsidRPr="00A16C86">
        <w:rPr>
          <w:rFonts w:ascii="Arial" w:hAnsi="Arial" w:cs="Arial"/>
          <w:sz w:val="22"/>
          <w:szCs w:val="22"/>
        </w:rPr>
        <w:t>(76</w:t>
      </w:r>
      <w:r>
        <w:rPr>
          <w:rFonts w:ascii="Arial" w:hAnsi="Arial" w:cs="Arial"/>
          <w:sz w:val="22"/>
          <w:szCs w:val="22"/>
        </w:rPr>
        <w:t> </w:t>
      </w:r>
      <w:r w:rsidRPr="00A16C86">
        <w:rPr>
          <w:rFonts w:ascii="Arial" w:hAnsi="Arial" w:cs="Arial"/>
          <w:sz w:val="22"/>
          <w:szCs w:val="22"/>
        </w:rPr>
        <w:t xml:space="preserve">FR 6200). </w:t>
      </w:r>
      <w:r>
        <w:rPr>
          <w:rFonts w:ascii="Arial" w:hAnsi="Arial" w:cs="Arial"/>
          <w:sz w:val="22"/>
          <w:szCs w:val="22"/>
        </w:rPr>
        <w:t xml:space="preserve"> Part of t</w:t>
      </w:r>
      <w:r w:rsidRPr="00A16C86">
        <w:rPr>
          <w:rFonts w:ascii="Arial" w:hAnsi="Arial" w:cs="Arial"/>
          <w:sz w:val="22"/>
          <w:szCs w:val="22"/>
        </w:rPr>
        <w:t>he 2011 proposed rule would make several changes to the security event notification requirements in</w:t>
      </w:r>
      <w:r>
        <w:rPr>
          <w:rFonts w:ascii="Arial" w:hAnsi="Arial" w:cs="Arial"/>
          <w:sz w:val="22"/>
          <w:szCs w:val="22"/>
        </w:rPr>
        <w:t xml:space="preserve"> </w:t>
      </w:r>
      <w:r w:rsidR="005001D6">
        <w:rPr>
          <w:rFonts w:ascii="Arial" w:hAnsi="Arial" w:cs="Arial"/>
          <w:sz w:val="22"/>
          <w:szCs w:val="22"/>
        </w:rPr>
        <w:t>10 CFR </w:t>
      </w:r>
      <w:r>
        <w:rPr>
          <w:rFonts w:ascii="Arial" w:hAnsi="Arial" w:cs="Arial"/>
          <w:sz w:val="22"/>
          <w:szCs w:val="22"/>
        </w:rPr>
        <w:t>P</w:t>
      </w:r>
      <w:r w:rsidRPr="00A16C86">
        <w:rPr>
          <w:rFonts w:ascii="Arial" w:hAnsi="Arial" w:cs="Arial"/>
          <w:sz w:val="22"/>
          <w:szCs w:val="22"/>
        </w:rPr>
        <w:t xml:space="preserve">art 73. </w:t>
      </w:r>
      <w:r>
        <w:rPr>
          <w:rFonts w:ascii="Arial" w:hAnsi="Arial" w:cs="Arial"/>
          <w:sz w:val="22"/>
          <w:szCs w:val="22"/>
        </w:rPr>
        <w:t xml:space="preserve"> </w:t>
      </w:r>
      <w:r w:rsidRPr="00A16C86">
        <w:rPr>
          <w:rFonts w:ascii="Arial" w:hAnsi="Arial" w:cs="Arial"/>
          <w:sz w:val="22"/>
          <w:szCs w:val="22"/>
        </w:rPr>
        <w:t>The public was provided 180</w:t>
      </w:r>
      <w:r>
        <w:rPr>
          <w:rFonts w:ascii="Arial" w:hAnsi="Arial" w:cs="Arial"/>
          <w:sz w:val="22"/>
          <w:szCs w:val="22"/>
        </w:rPr>
        <w:t xml:space="preserve"> </w:t>
      </w:r>
      <w:r w:rsidRPr="00A16C86">
        <w:rPr>
          <w:rFonts w:ascii="Arial" w:hAnsi="Arial" w:cs="Arial"/>
          <w:sz w:val="22"/>
          <w:szCs w:val="22"/>
        </w:rPr>
        <w:t>days to review and comment on the 2011 proposed rule and associated guidance.</w:t>
      </w:r>
      <w:r>
        <w:rPr>
          <w:rFonts w:ascii="Arial" w:hAnsi="Arial" w:cs="Arial"/>
          <w:sz w:val="22"/>
          <w:szCs w:val="22"/>
        </w:rPr>
        <w:t xml:space="preserve">  In addition, o</w:t>
      </w:r>
      <w:r w:rsidRPr="00A16C86">
        <w:rPr>
          <w:rFonts w:ascii="Arial" w:hAnsi="Arial" w:cs="Arial"/>
          <w:sz w:val="22"/>
          <w:szCs w:val="22"/>
        </w:rPr>
        <w:t>n January 10, 2013, the NRC published a su</w:t>
      </w:r>
      <w:r w:rsidR="005001D6">
        <w:rPr>
          <w:rFonts w:ascii="Arial" w:hAnsi="Arial" w:cs="Arial"/>
          <w:sz w:val="22"/>
          <w:szCs w:val="22"/>
        </w:rPr>
        <w:t>pplemental proposed rule (78 FR </w:t>
      </w:r>
      <w:r w:rsidRPr="00A16C86">
        <w:rPr>
          <w:rFonts w:ascii="Arial" w:hAnsi="Arial" w:cs="Arial"/>
          <w:sz w:val="22"/>
          <w:szCs w:val="22"/>
        </w:rPr>
        <w:t>2214) to</w:t>
      </w:r>
      <w:r>
        <w:rPr>
          <w:rFonts w:ascii="Arial" w:hAnsi="Arial" w:cs="Arial"/>
          <w:sz w:val="22"/>
          <w:szCs w:val="22"/>
        </w:rPr>
        <w:t xml:space="preserve"> </w:t>
      </w:r>
      <w:r w:rsidRPr="00A16C86">
        <w:rPr>
          <w:rFonts w:ascii="Arial" w:hAnsi="Arial" w:cs="Arial"/>
          <w:sz w:val="22"/>
          <w:szCs w:val="22"/>
        </w:rPr>
        <w:t>add at-reactor I</w:t>
      </w:r>
      <w:r w:rsidR="00E30D3C">
        <w:rPr>
          <w:rFonts w:ascii="Arial" w:hAnsi="Arial" w:cs="Arial"/>
          <w:sz w:val="22"/>
          <w:szCs w:val="22"/>
        </w:rPr>
        <w:t xml:space="preserve">ndependent </w:t>
      </w:r>
      <w:r w:rsidRPr="00A16C86">
        <w:rPr>
          <w:rFonts w:ascii="Arial" w:hAnsi="Arial" w:cs="Arial"/>
          <w:sz w:val="22"/>
          <w:szCs w:val="22"/>
        </w:rPr>
        <w:t>S</w:t>
      </w:r>
      <w:r w:rsidR="00E30D3C">
        <w:rPr>
          <w:rFonts w:ascii="Arial" w:hAnsi="Arial" w:cs="Arial"/>
          <w:sz w:val="22"/>
          <w:szCs w:val="22"/>
        </w:rPr>
        <w:t xml:space="preserve">pent </w:t>
      </w:r>
      <w:r w:rsidRPr="00A16C86">
        <w:rPr>
          <w:rFonts w:ascii="Arial" w:hAnsi="Arial" w:cs="Arial"/>
          <w:sz w:val="22"/>
          <w:szCs w:val="22"/>
        </w:rPr>
        <w:t>F</w:t>
      </w:r>
      <w:r w:rsidR="00E30D3C">
        <w:rPr>
          <w:rFonts w:ascii="Arial" w:hAnsi="Arial" w:cs="Arial"/>
          <w:sz w:val="22"/>
          <w:szCs w:val="22"/>
        </w:rPr>
        <w:t xml:space="preserve">uel </w:t>
      </w:r>
      <w:r w:rsidRPr="00A16C86">
        <w:rPr>
          <w:rFonts w:ascii="Arial" w:hAnsi="Arial" w:cs="Arial"/>
          <w:sz w:val="22"/>
          <w:szCs w:val="22"/>
        </w:rPr>
        <w:t>S</w:t>
      </w:r>
      <w:r w:rsidR="00E30D3C">
        <w:rPr>
          <w:rFonts w:ascii="Arial" w:hAnsi="Arial" w:cs="Arial"/>
          <w:sz w:val="22"/>
          <w:szCs w:val="22"/>
        </w:rPr>
        <w:t xml:space="preserve">torage </w:t>
      </w:r>
      <w:r w:rsidRPr="00A16C86">
        <w:rPr>
          <w:rFonts w:ascii="Arial" w:hAnsi="Arial" w:cs="Arial"/>
          <w:sz w:val="22"/>
          <w:szCs w:val="22"/>
        </w:rPr>
        <w:t>I</w:t>
      </w:r>
      <w:r w:rsidR="00E30D3C">
        <w:rPr>
          <w:rFonts w:ascii="Arial" w:hAnsi="Arial" w:cs="Arial"/>
          <w:sz w:val="22"/>
          <w:szCs w:val="22"/>
        </w:rPr>
        <w:t>nstallation</w:t>
      </w:r>
      <w:r w:rsidRPr="00A16C86">
        <w:rPr>
          <w:rFonts w:ascii="Arial" w:hAnsi="Arial" w:cs="Arial"/>
          <w:sz w:val="22"/>
          <w:szCs w:val="22"/>
        </w:rPr>
        <w:t xml:space="preserve">s as a class </w:t>
      </w:r>
      <w:r w:rsidR="005001D6">
        <w:rPr>
          <w:rFonts w:ascii="Arial" w:hAnsi="Arial" w:cs="Arial"/>
          <w:sz w:val="22"/>
          <w:szCs w:val="22"/>
        </w:rPr>
        <w:t>of designated facilities under 10 CFR</w:t>
      </w:r>
      <w:r w:rsidRPr="00A16C86">
        <w:rPr>
          <w:rFonts w:ascii="Arial" w:hAnsi="Arial" w:cs="Arial"/>
          <w:sz w:val="22"/>
          <w:szCs w:val="22"/>
        </w:rPr>
        <w:t xml:space="preserve"> </w:t>
      </w:r>
      <w:r>
        <w:rPr>
          <w:rFonts w:ascii="Arial" w:hAnsi="Arial" w:cs="Arial"/>
          <w:sz w:val="22"/>
          <w:szCs w:val="22"/>
        </w:rPr>
        <w:t>73.15</w:t>
      </w:r>
      <w:r w:rsidRPr="00A16C86">
        <w:rPr>
          <w:rFonts w:ascii="Arial" w:hAnsi="Arial" w:cs="Arial"/>
          <w:sz w:val="22"/>
          <w:szCs w:val="22"/>
        </w:rPr>
        <w:t>(c).</w:t>
      </w:r>
      <w:r>
        <w:rPr>
          <w:rFonts w:ascii="Arial" w:hAnsi="Arial" w:cs="Arial"/>
          <w:sz w:val="22"/>
          <w:szCs w:val="22"/>
        </w:rPr>
        <w:t xml:space="preserve">  </w:t>
      </w:r>
      <w:r w:rsidRPr="00A16C86">
        <w:rPr>
          <w:rFonts w:ascii="Arial" w:hAnsi="Arial" w:cs="Arial"/>
          <w:sz w:val="22"/>
          <w:szCs w:val="22"/>
        </w:rPr>
        <w:t>The</w:t>
      </w:r>
      <w:r>
        <w:rPr>
          <w:rFonts w:ascii="Arial" w:hAnsi="Arial" w:cs="Arial"/>
          <w:sz w:val="22"/>
          <w:szCs w:val="22"/>
        </w:rPr>
        <w:t xml:space="preserve"> </w:t>
      </w:r>
      <w:r w:rsidRPr="00A16C86">
        <w:rPr>
          <w:rFonts w:ascii="Arial" w:hAnsi="Arial" w:cs="Arial"/>
          <w:sz w:val="22"/>
          <w:szCs w:val="22"/>
        </w:rPr>
        <w:t>public was provided 45 days to review and comment on the January 2013 supplemental</w:t>
      </w:r>
      <w:r>
        <w:rPr>
          <w:rFonts w:ascii="Arial" w:hAnsi="Arial" w:cs="Arial"/>
          <w:sz w:val="22"/>
          <w:szCs w:val="22"/>
        </w:rPr>
        <w:t xml:space="preserve"> </w:t>
      </w:r>
      <w:r w:rsidRPr="00A16C86">
        <w:rPr>
          <w:rFonts w:ascii="Arial" w:hAnsi="Arial" w:cs="Arial"/>
          <w:sz w:val="22"/>
          <w:szCs w:val="22"/>
        </w:rPr>
        <w:t>proposed rule.</w:t>
      </w:r>
      <w:r>
        <w:rPr>
          <w:rFonts w:ascii="Arial" w:hAnsi="Arial" w:cs="Arial"/>
          <w:sz w:val="22"/>
          <w:szCs w:val="22"/>
        </w:rPr>
        <w:t xml:space="preserve">  On </w:t>
      </w:r>
      <w:r>
        <w:rPr>
          <w:rFonts w:ascii="Arial" w:hAnsi="Arial" w:cs="Arial"/>
          <w:sz w:val="22"/>
          <w:szCs w:val="22"/>
        </w:rPr>
        <w:lastRenderedPageBreak/>
        <w:t>September</w:t>
      </w:r>
      <w:r w:rsidR="005001D6">
        <w:rPr>
          <w:rFonts w:ascii="Arial" w:hAnsi="Arial" w:cs="Arial"/>
          <w:sz w:val="22"/>
          <w:szCs w:val="22"/>
        </w:rPr>
        <w:t> </w:t>
      </w:r>
      <w:r>
        <w:rPr>
          <w:rFonts w:ascii="Arial" w:hAnsi="Arial" w:cs="Arial"/>
          <w:sz w:val="22"/>
          <w:szCs w:val="22"/>
        </w:rPr>
        <w:t>22, 2015, the NRC published a second su</w:t>
      </w:r>
      <w:r w:rsidR="005001D6">
        <w:rPr>
          <w:rFonts w:ascii="Arial" w:hAnsi="Arial" w:cs="Arial"/>
          <w:sz w:val="22"/>
          <w:szCs w:val="22"/>
        </w:rPr>
        <w:t>pplemental proposed rule (80 FR </w:t>
      </w:r>
      <w:r>
        <w:rPr>
          <w:rFonts w:ascii="Arial" w:hAnsi="Arial" w:cs="Arial"/>
          <w:sz w:val="22"/>
          <w:szCs w:val="22"/>
        </w:rPr>
        <w:t xml:space="preserve">57106) to incorporate changes </w:t>
      </w:r>
      <w:r w:rsidR="00E30D3C">
        <w:rPr>
          <w:rFonts w:ascii="Arial" w:hAnsi="Arial" w:cs="Arial"/>
          <w:sz w:val="22"/>
          <w:szCs w:val="22"/>
        </w:rPr>
        <w:t>related to the frequency of performing firearms background checks.</w:t>
      </w:r>
      <w:r>
        <w:rPr>
          <w:rFonts w:ascii="Arial" w:hAnsi="Arial" w:cs="Arial"/>
          <w:sz w:val="22"/>
          <w:szCs w:val="22"/>
        </w:rPr>
        <w:t xml:space="preserve">  The following is a summary of the major comments that impact the information collection burden associated with NRC Form </w:t>
      </w:r>
      <w:r w:rsidR="00E30D3C">
        <w:rPr>
          <w:rFonts w:ascii="Arial" w:hAnsi="Arial" w:cs="Arial"/>
          <w:sz w:val="22"/>
          <w:szCs w:val="22"/>
        </w:rPr>
        <w:t>366.</w:t>
      </w:r>
    </w:p>
    <w:p w:rsidR="00E30D3C" w:rsidP="003E0D49" w:rsidRDefault="00E30D3C" w14:paraId="7D4C9210" w14:textId="77777777">
      <w:pPr>
        <w:ind w:left="720"/>
        <w:rPr>
          <w:rFonts w:ascii="Arial" w:hAnsi="Arial" w:cs="Arial"/>
          <w:sz w:val="22"/>
          <w:szCs w:val="22"/>
        </w:rPr>
      </w:pPr>
    </w:p>
    <w:p w:rsidR="003E0D49" w:rsidP="00C72824" w:rsidRDefault="00E30D3C" w14:paraId="7A467F22" w14:textId="51F90C0B">
      <w:pPr>
        <w:pStyle w:val="ListParagraph"/>
        <w:numPr>
          <w:ilvl w:val="0"/>
          <w:numId w:val="12"/>
        </w:numPr>
        <w:spacing w:line="240" w:lineRule="auto"/>
      </w:pPr>
      <w:r>
        <w:t xml:space="preserve">Comments were received on the </w:t>
      </w:r>
      <w:r w:rsidR="003E0D49">
        <w:t>written follow-up reports from licensees subject to 10 CFR 50.73 (power reactor licensees)</w:t>
      </w:r>
      <w:r>
        <w:t>.  P</w:t>
      </w:r>
      <w:r w:rsidR="003E0D49">
        <w:t>roposed 10 CFR 73.71(m)(5) required such licensees to use NRC Form 366 to submit</w:t>
      </w:r>
      <w:r w:rsidRPr="00393F2B" w:rsidR="003E0D49">
        <w:t xml:space="preserve"> </w:t>
      </w:r>
      <w:r w:rsidR="003E0D49">
        <w:t>a written follow</w:t>
      </w:r>
      <w:r w:rsidR="004E4948">
        <w:t>-</w:t>
      </w:r>
      <w:r w:rsidR="003E0D49">
        <w:t xml:space="preserve">up report.  However, the proposed rule did not specify the content of the </w:t>
      </w:r>
      <w:proofErr w:type="gramStart"/>
      <w:r w:rsidR="003E0D49">
        <w:t>abstract, if</w:t>
      </w:r>
      <w:proofErr w:type="gramEnd"/>
      <w:r w:rsidR="003E0D49">
        <w:t xml:space="preserve"> NRC Form 366 is used.  The commenter recommended that the requirement be clarified or left to the licensee’s discretion.</w:t>
      </w:r>
      <w:r>
        <w:t xml:space="preserve">  The NRC added a new 10 CFR 73.1205(c), which describes the contents of these follow</w:t>
      </w:r>
      <w:r w:rsidR="004E4948">
        <w:t>-</w:t>
      </w:r>
      <w:r>
        <w:t>up reports and added new language in paragraph (c) which specifies the content requirements for written follow</w:t>
      </w:r>
      <w:r w:rsidR="004E4948">
        <w:t>-</w:t>
      </w:r>
      <w:r>
        <w:t>up reports under 10 CFR 73.1205.</w:t>
      </w:r>
    </w:p>
    <w:p w:rsidR="00E30D3C" w:rsidP="00C72824" w:rsidRDefault="00E30D3C" w14:paraId="6B6E0300" w14:textId="77777777">
      <w:pPr>
        <w:widowControl/>
        <w:rPr>
          <w:rFonts w:ascii="Arial" w:hAnsi="Arial" w:cs="Arial"/>
          <w:sz w:val="22"/>
          <w:szCs w:val="22"/>
        </w:rPr>
      </w:pPr>
    </w:p>
    <w:p w:rsidRPr="00415AFB" w:rsidR="0003537D" w:rsidP="0003537D" w:rsidRDefault="0003537D" w14:paraId="467964AC" w14:textId="77777777">
      <w:pPr>
        <w:keepNext/>
        <w:keepLines/>
        <w:widowControl/>
        <w:ind w:left="720"/>
        <w:rPr>
          <w:rFonts w:ascii="Arial" w:hAnsi="Arial" w:cs="Arial"/>
          <w:sz w:val="22"/>
          <w:szCs w:val="22"/>
        </w:rPr>
      </w:pPr>
      <w:r w:rsidRPr="00415AFB">
        <w:rPr>
          <w:rFonts w:ascii="Arial" w:hAnsi="Arial" w:cs="Arial"/>
          <w:sz w:val="22"/>
          <w:szCs w:val="22"/>
        </w:rPr>
        <w:t>A full summary of the public and other stakeholder comments on the 2011 proposed rule, 2013 supplemental proposed rule, and 2015 supplemental proposed rule, and NRC responses (ADAMS Accession No. ML16264A004) has been submitted as a supplementary document (“Supplemental Document #1, NRC Response to Public Comments – Enhanced Weapons, Firearms Background Checks, and Security Event Notifications Rule”)</w:t>
      </w:r>
    </w:p>
    <w:p w:rsidRPr="00A32597" w:rsidR="00E30D3C" w:rsidP="002F41B7" w:rsidRDefault="00E30D3C" w14:paraId="73BE6D24" w14:textId="77777777">
      <w:pPr>
        <w:widowControl/>
        <w:rPr>
          <w:rFonts w:ascii="Arial" w:hAnsi="Arial" w:cs="Arial"/>
          <w:sz w:val="22"/>
          <w:szCs w:val="22"/>
        </w:rPr>
      </w:pPr>
    </w:p>
    <w:p w:rsidRPr="00A32597" w:rsidR="002B1B50" w:rsidP="004E4948" w:rsidRDefault="002B1B50" w14:paraId="2592170D" w14:textId="77777777">
      <w:pPr>
        <w:widowControl/>
        <w:tabs>
          <w:tab w:val="left" w:pos="-1440"/>
        </w:tabs>
        <w:ind w:left="720"/>
        <w:rPr>
          <w:rFonts w:ascii="Arial" w:hAnsi="Arial" w:cs="Arial"/>
          <w:sz w:val="22"/>
          <w:szCs w:val="22"/>
        </w:rPr>
      </w:pPr>
      <w:r w:rsidRPr="00A32597">
        <w:rPr>
          <w:rFonts w:ascii="Arial" w:hAnsi="Arial" w:cs="Arial"/>
          <w:sz w:val="22"/>
          <w:szCs w:val="22"/>
        </w:rPr>
        <w:t>9.</w:t>
      </w:r>
      <w:r w:rsidRPr="00A32597">
        <w:rPr>
          <w:rFonts w:ascii="Arial" w:hAnsi="Arial" w:cs="Arial"/>
          <w:sz w:val="22"/>
          <w:szCs w:val="22"/>
        </w:rPr>
        <w:tab/>
      </w:r>
      <w:r w:rsidRPr="00A32597">
        <w:rPr>
          <w:rFonts w:ascii="Arial" w:hAnsi="Arial" w:cs="Arial"/>
          <w:sz w:val="22"/>
          <w:szCs w:val="22"/>
          <w:u w:val="single"/>
        </w:rPr>
        <w:t>Payment or Gift to Respondents</w:t>
      </w:r>
    </w:p>
    <w:p w:rsidRPr="00A32597" w:rsidR="002B1B50" w:rsidP="00A94A47" w:rsidRDefault="002B1B50" w14:paraId="708B0205" w14:textId="77777777">
      <w:pPr>
        <w:widowControl/>
        <w:rPr>
          <w:rFonts w:ascii="Arial" w:hAnsi="Arial" w:cs="Arial"/>
          <w:sz w:val="22"/>
          <w:szCs w:val="22"/>
        </w:rPr>
      </w:pPr>
    </w:p>
    <w:p w:rsidRPr="00A32597" w:rsidR="002B1B50" w:rsidP="00A94A47" w:rsidRDefault="002B1B50" w14:paraId="1FD971C7" w14:textId="77777777">
      <w:pPr>
        <w:widowControl/>
        <w:ind w:firstLine="720"/>
        <w:rPr>
          <w:rFonts w:ascii="Arial" w:hAnsi="Arial" w:cs="Arial"/>
          <w:sz w:val="22"/>
          <w:szCs w:val="22"/>
        </w:rPr>
      </w:pPr>
      <w:r w:rsidRPr="00D1717D">
        <w:rPr>
          <w:rFonts w:ascii="Arial" w:hAnsi="Arial" w:cs="Arial"/>
          <w:sz w:val="22"/>
          <w:szCs w:val="22"/>
        </w:rPr>
        <w:t xml:space="preserve">Not </w:t>
      </w:r>
      <w:r w:rsidR="006E1C71">
        <w:rPr>
          <w:rFonts w:ascii="Arial" w:hAnsi="Arial" w:cs="Arial"/>
          <w:sz w:val="22"/>
          <w:szCs w:val="22"/>
        </w:rPr>
        <w:t>a</w:t>
      </w:r>
      <w:r w:rsidRPr="00D1717D">
        <w:rPr>
          <w:rFonts w:ascii="Arial" w:hAnsi="Arial" w:cs="Arial"/>
          <w:sz w:val="22"/>
          <w:szCs w:val="22"/>
        </w:rPr>
        <w:t>pplicable.</w:t>
      </w:r>
    </w:p>
    <w:p w:rsidRPr="00A32597" w:rsidR="002B1B50" w:rsidP="00A94A47" w:rsidRDefault="002B1B50" w14:paraId="73EEB1C9" w14:textId="77777777">
      <w:pPr>
        <w:widowControl/>
        <w:rPr>
          <w:rFonts w:ascii="Arial" w:hAnsi="Arial" w:cs="Arial"/>
          <w:sz w:val="22"/>
          <w:szCs w:val="22"/>
        </w:rPr>
      </w:pPr>
    </w:p>
    <w:p w:rsidRPr="00A32597" w:rsidR="002B1B50" w:rsidP="004E4948" w:rsidRDefault="002B1B50" w14:paraId="27276BB3" w14:textId="77777777">
      <w:pPr>
        <w:widowControl/>
        <w:tabs>
          <w:tab w:val="left" w:pos="-1440"/>
        </w:tabs>
        <w:ind w:left="720"/>
        <w:rPr>
          <w:rFonts w:ascii="Arial" w:hAnsi="Arial" w:cs="Arial"/>
          <w:sz w:val="22"/>
          <w:szCs w:val="22"/>
          <w:u w:val="single"/>
        </w:rPr>
      </w:pPr>
      <w:r w:rsidRPr="00A32597">
        <w:rPr>
          <w:rFonts w:ascii="Arial" w:hAnsi="Arial" w:cs="Arial"/>
          <w:sz w:val="22"/>
          <w:szCs w:val="22"/>
        </w:rPr>
        <w:t>10.</w:t>
      </w:r>
      <w:r w:rsidRPr="00A32597">
        <w:rPr>
          <w:rFonts w:ascii="Arial" w:hAnsi="Arial" w:cs="Arial"/>
          <w:sz w:val="22"/>
          <w:szCs w:val="22"/>
        </w:rPr>
        <w:tab/>
      </w:r>
      <w:r w:rsidRPr="00A32597">
        <w:rPr>
          <w:rFonts w:ascii="Arial" w:hAnsi="Arial" w:cs="Arial"/>
          <w:sz w:val="22"/>
          <w:szCs w:val="22"/>
          <w:u w:val="single"/>
        </w:rPr>
        <w:t>Confidentiality of Information</w:t>
      </w:r>
    </w:p>
    <w:p w:rsidRPr="00A32597" w:rsidR="00A57433" w:rsidP="00A94A47" w:rsidRDefault="00A57433" w14:paraId="2E5B7949" w14:textId="77777777">
      <w:pPr>
        <w:widowControl/>
        <w:tabs>
          <w:tab w:val="left" w:pos="-1440"/>
        </w:tabs>
        <w:ind w:left="720" w:hanging="720"/>
        <w:rPr>
          <w:rFonts w:ascii="Arial" w:hAnsi="Arial" w:cs="Arial"/>
          <w:sz w:val="22"/>
          <w:szCs w:val="22"/>
          <w:u w:val="single"/>
        </w:rPr>
      </w:pPr>
    </w:p>
    <w:p w:rsidRPr="00D1717D" w:rsidR="00A57433" w:rsidP="00A94A47" w:rsidRDefault="00A57433" w14:paraId="4148B4A6" w14:textId="5561DAA2">
      <w:pPr>
        <w:widowControl/>
        <w:ind w:left="720"/>
        <w:rPr>
          <w:rFonts w:ascii="Arial" w:hAnsi="Arial" w:cs="Arial"/>
          <w:sz w:val="22"/>
          <w:szCs w:val="22"/>
        </w:rPr>
      </w:pPr>
      <w:r w:rsidRPr="00D857D7">
        <w:rPr>
          <w:rFonts w:ascii="Arial" w:hAnsi="Arial" w:cs="Arial"/>
          <w:sz w:val="22"/>
          <w:szCs w:val="22"/>
        </w:rPr>
        <w:t xml:space="preserve">Certain information </w:t>
      </w:r>
      <w:r w:rsidR="005B0050">
        <w:rPr>
          <w:rFonts w:ascii="Arial" w:hAnsi="Arial" w:cs="Arial"/>
          <w:sz w:val="22"/>
          <w:szCs w:val="22"/>
        </w:rPr>
        <w:t xml:space="preserve">contained within submitted NRC Forms 366 </w:t>
      </w:r>
      <w:r w:rsidRPr="00D857D7" w:rsidR="00D1717D">
        <w:rPr>
          <w:rFonts w:ascii="Arial" w:hAnsi="Arial" w:cs="Arial"/>
          <w:sz w:val="22"/>
          <w:szCs w:val="22"/>
        </w:rPr>
        <w:t xml:space="preserve">is </w:t>
      </w:r>
      <w:r w:rsidR="008E0F83">
        <w:rPr>
          <w:rFonts w:ascii="Arial" w:hAnsi="Arial" w:cs="Arial"/>
          <w:sz w:val="22"/>
          <w:szCs w:val="22"/>
        </w:rPr>
        <w:t xml:space="preserve">designated as </w:t>
      </w:r>
      <w:r w:rsidRPr="00D857D7">
        <w:rPr>
          <w:rFonts w:ascii="Arial" w:hAnsi="Arial" w:cs="Arial"/>
          <w:sz w:val="22"/>
          <w:szCs w:val="22"/>
        </w:rPr>
        <w:t>Safeguards Information</w:t>
      </w:r>
      <w:r w:rsidR="002F1996">
        <w:rPr>
          <w:rFonts w:ascii="Arial" w:hAnsi="Arial" w:cs="Arial"/>
          <w:sz w:val="22"/>
          <w:szCs w:val="22"/>
        </w:rPr>
        <w:t xml:space="preserve">.  </w:t>
      </w:r>
      <w:r w:rsidRPr="00D857D7">
        <w:rPr>
          <w:rFonts w:ascii="Arial" w:hAnsi="Arial" w:cs="Arial"/>
          <w:sz w:val="22"/>
          <w:szCs w:val="22"/>
        </w:rPr>
        <w:t xml:space="preserve">Safeguards Information is prohibited from disclosure under Section 147 of the </w:t>
      </w:r>
      <w:r w:rsidRPr="00D857D7" w:rsidR="008E0F83">
        <w:rPr>
          <w:rFonts w:ascii="Arial" w:hAnsi="Arial" w:cs="Arial"/>
          <w:sz w:val="22"/>
          <w:szCs w:val="22"/>
        </w:rPr>
        <w:t>Atomic Energy Act of 1954, as amended (AEA)</w:t>
      </w:r>
      <w:r w:rsidRPr="00D857D7">
        <w:rPr>
          <w:rFonts w:ascii="Arial" w:hAnsi="Arial" w:cs="Arial"/>
          <w:sz w:val="22"/>
          <w:szCs w:val="22"/>
        </w:rPr>
        <w:t xml:space="preserve">.  </w:t>
      </w:r>
      <w:r w:rsidR="00C9088E">
        <w:rPr>
          <w:rFonts w:ascii="Arial" w:hAnsi="Arial" w:cs="Arial"/>
          <w:sz w:val="22"/>
          <w:szCs w:val="22"/>
        </w:rPr>
        <w:t>The NRC’s regulations in 10 </w:t>
      </w:r>
      <w:r w:rsidRPr="007831B7" w:rsidR="00984C4C">
        <w:rPr>
          <w:rFonts w:ascii="Arial" w:hAnsi="Arial" w:cs="Arial"/>
          <w:sz w:val="22"/>
          <w:szCs w:val="22"/>
        </w:rPr>
        <w:t xml:space="preserve">CFR </w:t>
      </w:r>
      <w:r w:rsidRPr="00D857D7" w:rsidR="00984C4C">
        <w:rPr>
          <w:rFonts w:ascii="Arial" w:hAnsi="Arial" w:cs="Arial"/>
          <w:sz w:val="22"/>
          <w:szCs w:val="22"/>
        </w:rPr>
        <w:t xml:space="preserve">73.21 and 73.22 address the protection of Safeguards Information.  </w:t>
      </w:r>
    </w:p>
    <w:p w:rsidRPr="00D1717D" w:rsidR="00A57433" w:rsidP="00A94A47" w:rsidRDefault="00A57433" w14:paraId="1D472D6E" w14:textId="77777777">
      <w:pPr>
        <w:widowControl/>
        <w:rPr>
          <w:rFonts w:ascii="Arial" w:hAnsi="Arial" w:cs="Arial"/>
          <w:sz w:val="22"/>
          <w:szCs w:val="22"/>
        </w:rPr>
      </w:pPr>
    </w:p>
    <w:p w:rsidR="00A57433" w:rsidP="00A94A47" w:rsidRDefault="002F1996" w14:paraId="4EA6A8BB" w14:textId="5D2EF06A">
      <w:pPr>
        <w:widowControl/>
        <w:ind w:left="720"/>
        <w:rPr>
          <w:rFonts w:ascii="Arial" w:hAnsi="Arial" w:cs="Arial"/>
          <w:sz w:val="22"/>
          <w:szCs w:val="22"/>
        </w:rPr>
      </w:pPr>
      <w:r>
        <w:rPr>
          <w:rFonts w:ascii="Arial" w:hAnsi="Arial" w:cs="Arial"/>
          <w:sz w:val="22"/>
          <w:szCs w:val="22"/>
        </w:rPr>
        <w:t>Business c</w:t>
      </w:r>
      <w:r w:rsidRPr="00D1717D" w:rsidR="00A57433">
        <w:rPr>
          <w:rFonts w:ascii="Arial" w:hAnsi="Arial" w:cs="Arial"/>
          <w:sz w:val="22"/>
          <w:szCs w:val="22"/>
        </w:rPr>
        <w:t xml:space="preserve">onfidential and proprietary information is protected in accordance with NRC regulations in 10 </w:t>
      </w:r>
      <w:r w:rsidRPr="007831B7" w:rsidR="00A57433">
        <w:rPr>
          <w:rFonts w:ascii="Arial" w:hAnsi="Arial" w:cs="Arial"/>
          <w:sz w:val="22"/>
          <w:szCs w:val="22"/>
        </w:rPr>
        <w:t xml:space="preserve">CFR </w:t>
      </w:r>
      <w:r w:rsidRPr="00D1717D" w:rsidR="00A57433">
        <w:rPr>
          <w:rFonts w:ascii="Arial" w:hAnsi="Arial" w:cs="Arial"/>
          <w:sz w:val="22"/>
          <w:szCs w:val="22"/>
        </w:rPr>
        <w:t xml:space="preserve">9.17(a) and 10 </w:t>
      </w:r>
      <w:r w:rsidRPr="007831B7" w:rsidR="00A57433">
        <w:rPr>
          <w:rFonts w:ascii="Arial" w:hAnsi="Arial" w:cs="Arial"/>
          <w:sz w:val="22"/>
          <w:szCs w:val="22"/>
        </w:rPr>
        <w:t xml:space="preserve">CFR </w:t>
      </w:r>
      <w:r w:rsidRPr="00D1717D" w:rsidR="00A57433">
        <w:rPr>
          <w:rFonts w:ascii="Arial" w:hAnsi="Arial" w:cs="Arial"/>
          <w:sz w:val="22"/>
          <w:szCs w:val="22"/>
        </w:rPr>
        <w:t>2.390(b).</w:t>
      </w:r>
      <w:r w:rsidRPr="00A32597" w:rsidR="00A57433">
        <w:rPr>
          <w:rFonts w:ascii="Arial" w:hAnsi="Arial" w:cs="Arial"/>
          <w:sz w:val="22"/>
          <w:szCs w:val="22"/>
        </w:rPr>
        <w:t xml:space="preserve">  </w:t>
      </w:r>
    </w:p>
    <w:p w:rsidR="009912C0" w:rsidP="00A94A47" w:rsidRDefault="009912C0" w14:paraId="6AA3EA9E" w14:textId="77777777">
      <w:pPr>
        <w:widowControl/>
        <w:ind w:left="720"/>
        <w:rPr>
          <w:rFonts w:ascii="Arial" w:hAnsi="Arial" w:cs="Arial"/>
          <w:sz w:val="22"/>
          <w:szCs w:val="22"/>
        </w:rPr>
      </w:pPr>
    </w:p>
    <w:p w:rsidRPr="00A32597" w:rsidR="002B1B50" w:rsidP="004E4948" w:rsidRDefault="002B1B50" w14:paraId="2D6CA3B0" w14:textId="77777777">
      <w:pPr>
        <w:widowControl/>
        <w:tabs>
          <w:tab w:val="left" w:pos="-1440"/>
        </w:tabs>
        <w:ind w:left="720"/>
        <w:rPr>
          <w:rFonts w:ascii="Arial" w:hAnsi="Arial" w:cs="Arial"/>
          <w:sz w:val="22"/>
          <w:szCs w:val="22"/>
        </w:rPr>
      </w:pPr>
      <w:r w:rsidRPr="00A32597">
        <w:rPr>
          <w:rFonts w:ascii="Arial" w:hAnsi="Arial" w:cs="Arial"/>
          <w:sz w:val="22"/>
          <w:szCs w:val="22"/>
        </w:rPr>
        <w:t>11.</w:t>
      </w:r>
      <w:r w:rsidRPr="00A32597">
        <w:rPr>
          <w:rFonts w:ascii="Arial" w:hAnsi="Arial" w:cs="Arial"/>
          <w:sz w:val="22"/>
          <w:szCs w:val="22"/>
        </w:rPr>
        <w:tab/>
      </w:r>
      <w:r w:rsidRPr="00A32597">
        <w:rPr>
          <w:rFonts w:ascii="Arial" w:hAnsi="Arial" w:cs="Arial"/>
          <w:sz w:val="22"/>
          <w:szCs w:val="22"/>
          <w:u w:val="single"/>
        </w:rPr>
        <w:t>Justification for Sensitive Questions</w:t>
      </w:r>
    </w:p>
    <w:p w:rsidRPr="00A32597" w:rsidR="002B1B50" w:rsidP="00A94A47" w:rsidRDefault="002B1B50" w14:paraId="3BD06D2E" w14:textId="77777777">
      <w:pPr>
        <w:widowControl/>
        <w:rPr>
          <w:rFonts w:ascii="Arial" w:hAnsi="Arial" w:cs="Arial"/>
          <w:sz w:val="22"/>
          <w:szCs w:val="22"/>
        </w:rPr>
      </w:pPr>
    </w:p>
    <w:p w:rsidRPr="00A32597" w:rsidR="002B1B50" w:rsidP="00A94A47" w:rsidRDefault="006E1C71" w14:paraId="45F95A2C" w14:textId="77777777">
      <w:pPr>
        <w:widowControl/>
        <w:ind w:left="720"/>
        <w:rPr>
          <w:rFonts w:ascii="Arial" w:hAnsi="Arial" w:cs="Arial"/>
          <w:sz w:val="22"/>
          <w:szCs w:val="22"/>
        </w:rPr>
      </w:pPr>
      <w:r>
        <w:rPr>
          <w:rFonts w:ascii="Arial" w:hAnsi="Arial" w:cs="Arial"/>
          <w:sz w:val="22"/>
          <w:szCs w:val="22"/>
        </w:rPr>
        <w:t>Not applicable</w:t>
      </w:r>
      <w:r w:rsidRPr="00CD0765" w:rsidR="00CD0765">
        <w:rPr>
          <w:rFonts w:ascii="Arial" w:hAnsi="Arial" w:cs="Arial"/>
          <w:sz w:val="22"/>
          <w:szCs w:val="22"/>
        </w:rPr>
        <w:t>.</w:t>
      </w:r>
    </w:p>
    <w:p w:rsidRPr="00A32597" w:rsidR="00A57433" w:rsidP="00A94A47" w:rsidRDefault="00A57433" w14:paraId="0A05295F" w14:textId="77777777">
      <w:pPr>
        <w:widowControl/>
        <w:rPr>
          <w:rFonts w:ascii="Arial" w:hAnsi="Arial" w:cs="Arial"/>
          <w:sz w:val="22"/>
          <w:szCs w:val="22"/>
        </w:rPr>
      </w:pPr>
    </w:p>
    <w:p w:rsidRPr="00A32597" w:rsidR="002B1B50" w:rsidP="004E4948" w:rsidRDefault="002B1B50" w14:paraId="0310DDC2" w14:textId="10573C1D">
      <w:pPr>
        <w:keepNext/>
        <w:widowControl/>
        <w:tabs>
          <w:tab w:val="left" w:pos="-1440"/>
        </w:tabs>
        <w:ind w:left="720"/>
        <w:rPr>
          <w:rFonts w:ascii="Arial" w:hAnsi="Arial" w:cs="Arial"/>
          <w:sz w:val="22"/>
          <w:szCs w:val="22"/>
        </w:rPr>
      </w:pPr>
      <w:r w:rsidRPr="00A32597">
        <w:rPr>
          <w:rFonts w:ascii="Arial" w:hAnsi="Arial" w:cs="Arial"/>
          <w:sz w:val="22"/>
          <w:szCs w:val="22"/>
        </w:rPr>
        <w:t>12.</w:t>
      </w:r>
      <w:r w:rsidRPr="00A32597">
        <w:rPr>
          <w:rFonts w:ascii="Arial" w:hAnsi="Arial" w:cs="Arial"/>
          <w:sz w:val="22"/>
          <w:szCs w:val="22"/>
        </w:rPr>
        <w:tab/>
      </w:r>
      <w:r w:rsidR="00165D17">
        <w:rPr>
          <w:rFonts w:ascii="Arial" w:hAnsi="Arial" w:cs="Arial"/>
          <w:sz w:val="22"/>
          <w:szCs w:val="22"/>
          <w:u w:val="single"/>
        </w:rPr>
        <w:t>Estimate</w:t>
      </w:r>
      <w:r w:rsidR="005F3F0A">
        <w:rPr>
          <w:rFonts w:ascii="Arial" w:hAnsi="Arial" w:cs="Arial"/>
          <w:sz w:val="22"/>
          <w:szCs w:val="22"/>
          <w:u w:val="single"/>
        </w:rPr>
        <w:t>d Burden and Burden Hour Cost</w:t>
      </w:r>
    </w:p>
    <w:p w:rsidRPr="00A32597" w:rsidR="002B1B50" w:rsidP="00A94A47" w:rsidRDefault="002B1B50" w14:paraId="39181074" w14:textId="77777777">
      <w:pPr>
        <w:keepNext/>
        <w:widowControl/>
        <w:rPr>
          <w:rFonts w:ascii="Arial" w:hAnsi="Arial" w:cs="Arial"/>
          <w:sz w:val="22"/>
          <w:szCs w:val="22"/>
        </w:rPr>
      </w:pPr>
    </w:p>
    <w:p w:rsidR="009A6D1C" w:rsidP="00A94A47" w:rsidRDefault="00432159" w14:paraId="1F3321C0" w14:textId="71AB5828">
      <w:pPr>
        <w:keepNext/>
        <w:widowControl/>
        <w:ind w:left="720"/>
        <w:rPr>
          <w:rFonts w:ascii="Arial" w:hAnsi="Arial" w:cs="Arial"/>
          <w:sz w:val="22"/>
          <w:szCs w:val="22"/>
        </w:rPr>
      </w:pPr>
      <w:r>
        <w:rPr>
          <w:rFonts w:ascii="Arial" w:hAnsi="Arial" w:cs="Arial"/>
          <w:sz w:val="22"/>
          <w:szCs w:val="22"/>
        </w:rPr>
        <w:t>The final rule adds reporting requirements for reactors to submit NRC Form 366 for imminent or actual hostile actions and lost</w:t>
      </w:r>
      <w:r w:rsidR="009A6D1C">
        <w:rPr>
          <w:rFonts w:ascii="Arial" w:hAnsi="Arial" w:cs="Arial"/>
          <w:sz w:val="22"/>
          <w:szCs w:val="22"/>
        </w:rPr>
        <w:t xml:space="preserve"> or stolen enhanced weapons.  The NRC staff has estimated that the frequency of one of these actions is once in 20 years</w:t>
      </w:r>
      <w:r w:rsidR="002F1996">
        <w:rPr>
          <w:rFonts w:ascii="Arial" w:hAnsi="Arial" w:cs="Arial"/>
          <w:sz w:val="22"/>
          <w:szCs w:val="22"/>
        </w:rPr>
        <w:t xml:space="preserve">; and </w:t>
      </w:r>
      <w:r w:rsidR="002F1996">
        <w:rPr>
          <w:rFonts w:ascii="Arial" w:hAnsi="Arial" w:cs="Arial"/>
          <w:sz w:val="22"/>
          <w:szCs w:val="22"/>
        </w:rPr>
        <w:lastRenderedPageBreak/>
        <w:t>considers this</w:t>
      </w:r>
      <w:r w:rsidR="009A6D1C">
        <w:rPr>
          <w:rFonts w:ascii="Arial" w:hAnsi="Arial" w:cs="Arial"/>
          <w:sz w:val="22"/>
          <w:szCs w:val="22"/>
        </w:rPr>
        <w:t xml:space="preserve"> a</w:t>
      </w:r>
      <w:r w:rsidR="00612B23">
        <w:rPr>
          <w:rFonts w:ascii="Arial" w:hAnsi="Arial" w:cs="Arial"/>
          <w:sz w:val="22"/>
          <w:szCs w:val="22"/>
        </w:rPr>
        <w:t>n insignificant</w:t>
      </w:r>
      <w:r w:rsidR="009A6D1C">
        <w:rPr>
          <w:rFonts w:ascii="Arial" w:hAnsi="Arial" w:cs="Arial"/>
          <w:sz w:val="22"/>
          <w:szCs w:val="22"/>
        </w:rPr>
        <w:t xml:space="preserve"> change in the burden </w:t>
      </w:r>
      <w:proofErr w:type="gramStart"/>
      <w:r w:rsidR="009A6D1C">
        <w:rPr>
          <w:rFonts w:ascii="Arial" w:hAnsi="Arial" w:cs="Arial"/>
          <w:sz w:val="22"/>
          <w:szCs w:val="22"/>
        </w:rPr>
        <w:t>estimate  As</w:t>
      </w:r>
      <w:proofErr w:type="gramEnd"/>
      <w:r w:rsidR="009A6D1C">
        <w:rPr>
          <w:rFonts w:ascii="Arial" w:hAnsi="Arial" w:cs="Arial"/>
          <w:sz w:val="22"/>
          <w:szCs w:val="22"/>
        </w:rPr>
        <w:t xml:space="preserve"> a result, the number of annual NRC Form 366 submissions remains unchanged. </w:t>
      </w:r>
      <w:r w:rsidR="00612B23">
        <w:rPr>
          <w:rFonts w:ascii="Arial" w:hAnsi="Arial" w:cs="Arial"/>
          <w:sz w:val="22"/>
          <w:szCs w:val="22"/>
        </w:rPr>
        <w:t xml:space="preserve"> </w:t>
      </w:r>
    </w:p>
    <w:p w:rsidR="009A6D1C" w:rsidP="00A94A47" w:rsidRDefault="009A6D1C" w14:paraId="7F19FB2D" w14:textId="77777777">
      <w:pPr>
        <w:keepNext/>
        <w:widowControl/>
        <w:ind w:left="720"/>
        <w:rPr>
          <w:rFonts w:ascii="Arial" w:hAnsi="Arial" w:cs="Arial"/>
          <w:sz w:val="22"/>
          <w:szCs w:val="22"/>
        </w:rPr>
      </w:pPr>
    </w:p>
    <w:p w:rsidR="00432159" w:rsidP="00A94A47" w:rsidRDefault="009A6D1C" w14:paraId="35B84C64" w14:textId="7472A73E">
      <w:pPr>
        <w:keepNext/>
        <w:widowControl/>
        <w:ind w:left="720"/>
        <w:rPr>
          <w:rFonts w:ascii="Arial" w:hAnsi="Arial" w:cs="Arial"/>
          <w:sz w:val="22"/>
          <w:szCs w:val="22"/>
        </w:rPr>
      </w:pPr>
      <w:r>
        <w:rPr>
          <w:rFonts w:ascii="Arial" w:hAnsi="Arial" w:cs="Arial"/>
          <w:sz w:val="22"/>
          <w:szCs w:val="22"/>
        </w:rPr>
        <w:t xml:space="preserve">The form </w:t>
      </w:r>
      <w:r w:rsidR="002F1996">
        <w:rPr>
          <w:rFonts w:ascii="Arial" w:hAnsi="Arial" w:cs="Arial"/>
          <w:sz w:val="22"/>
          <w:szCs w:val="22"/>
        </w:rPr>
        <w:t xml:space="preserve">itself </w:t>
      </w:r>
      <w:r>
        <w:rPr>
          <w:rFonts w:ascii="Arial" w:hAnsi="Arial" w:cs="Arial"/>
          <w:sz w:val="22"/>
          <w:szCs w:val="22"/>
        </w:rPr>
        <w:t xml:space="preserve">has been updated to reflect the inclusion of the new section numbers </w:t>
      </w:r>
      <w:r w:rsidR="002F1996">
        <w:rPr>
          <w:rFonts w:ascii="Arial" w:hAnsi="Arial" w:cs="Arial"/>
          <w:sz w:val="22"/>
          <w:szCs w:val="22"/>
        </w:rPr>
        <w:t xml:space="preserve">relating to the origination of the event </w:t>
      </w:r>
      <w:r>
        <w:rPr>
          <w:rFonts w:ascii="Arial" w:hAnsi="Arial" w:cs="Arial"/>
          <w:sz w:val="22"/>
          <w:szCs w:val="22"/>
        </w:rPr>
        <w:t>(</w:t>
      </w:r>
      <w:r w:rsidR="002F1996">
        <w:rPr>
          <w:rFonts w:ascii="Arial" w:hAnsi="Arial" w:cs="Arial"/>
          <w:sz w:val="22"/>
          <w:szCs w:val="22"/>
        </w:rPr>
        <w:t xml:space="preserve">i.e., the </w:t>
      </w:r>
      <w:r w:rsidR="005001D6">
        <w:rPr>
          <w:rFonts w:ascii="Arial" w:hAnsi="Arial" w:cs="Arial"/>
          <w:sz w:val="22"/>
          <w:szCs w:val="22"/>
        </w:rPr>
        <w:t>10 CFR </w:t>
      </w:r>
      <w:r>
        <w:rPr>
          <w:rFonts w:ascii="Arial" w:hAnsi="Arial" w:cs="Arial"/>
          <w:sz w:val="22"/>
          <w:szCs w:val="22"/>
        </w:rPr>
        <w:t xml:space="preserve">73.71 and Appendix G to </w:t>
      </w:r>
      <w:r w:rsidR="005001D6">
        <w:rPr>
          <w:rFonts w:ascii="Arial" w:hAnsi="Arial" w:cs="Arial"/>
          <w:sz w:val="22"/>
          <w:szCs w:val="22"/>
        </w:rPr>
        <w:t>10 CFR </w:t>
      </w:r>
      <w:r>
        <w:rPr>
          <w:rFonts w:ascii="Arial" w:hAnsi="Arial" w:cs="Arial"/>
          <w:sz w:val="22"/>
          <w:szCs w:val="22"/>
        </w:rPr>
        <w:t xml:space="preserve">Part 73 have been redesignated </w:t>
      </w:r>
      <w:r w:rsidR="002F1996">
        <w:rPr>
          <w:rFonts w:ascii="Arial" w:hAnsi="Arial" w:cs="Arial"/>
          <w:sz w:val="22"/>
          <w:szCs w:val="22"/>
        </w:rPr>
        <w:t>with</w:t>
      </w:r>
      <w:r>
        <w:rPr>
          <w:rFonts w:ascii="Arial" w:hAnsi="Arial" w:cs="Arial"/>
          <w:sz w:val="22"/>
          <w:szCs w:val="22"/>
        </w:rPr>
        <w:t xml:space="preserve"> </w:t>
      </w:r>
      <w:r w:rsidR="005001D6">
        <w:rPr>
          <w:rFonts w:ascii="Arial" w:hAnsi="Arial" w:cs="Arial"/>
          <w:sz w:val="22"/>
          <w:szCs w:val="22"/>
        </w:rPr>
        <w:t>10 CFR </w:t>
      </w:r>
      <w:r>
        <w:rPr>
          <w:rFonts w:ascii="Arial" w:hAnsi="Arial" w:cs="Arial"/>
          <w:sz w:val="22"/>
          <w:szCs w:val="22"/>
        </w:rPr>
        <w:t xml:space="preserve">73.1200).  In addition, </w:t>
      </w:r>
      <w:r w:rsidR="006A209D">
        <w:rPr>
          <w:rFonts w:ascii="Arial" w:hAnsi="Arial" w:cs="Arial"/>
          <w:sz w:val="22"/>
          <w:szCs w:val="22"/>
        </w:rPr>
        <w:t xml:space="preserve">new </w:t>
      </w:r>
      <w:r>
        <w:rPr>
          <w:rFonts w:ascii="Arial" w:hAnsi="Arial" w:cs="Arial"/>
          <w:sz w:val="22"/>
          <w:szCs w:val="22"/>
        </w:rPr>
        <w:t>check boxes have been added to the form to allow reporting of imminent or actual hostile actions and lost or stolen enhanced weapons.</w:t>
      </w:r>
      <w:r w:rsidR="00612B23">
        <w:rPr>
          <w:rFonts w:ascii="Arial" w:hAnsi="Arial" w:cs="Arial"/>
          <w:sz w:val="22"/>
          <w:szCs w:val="22"/>
        </w:rPr>
        <w:t xml:space="preserve">  The burden estimate per form of 64 hours reporting and 16 hours recordkeeping (a total of 80 of burden) remains unchanged.</w:t>
      </w:r>
    </w:p>
    <w:p w:rsidR="00612B23" w:rsidP="00A94A47" w:rsidRDefault="00612B23" w14:paraId="7092454C" w14:textId="77777777">
      <w:pPr>
        <w:keepNext/>
        <w:widowControl/>
        <w:ind w:left="720"/>
        <w:rPr>
          <w:rFonts w:ascii="Arial" w:hAnsi="Arial" w:cs="Arial"/>
          <w:sz w:val="22"/>
          <w:szCs w:val="22"/>
        </w:rPr>
      </w:pPr>
    </w:p>
    <w:p w:rsidR="00612B23" w:rsidP="00A94A47" w:rsidRDefault="00612B23" w14:paraId="367971D1" w14:textId="42A1286E">
      <w:pPr>
        <w:keepNext/>
        <w:widowControl/>
        <w:ind w:left="720"/>
        <w:rPr>
          <w:rFonts w:ascii="Arial" w:hAnsi="Arial" w:cs="Arial"/>
          <w:sz w:val="22"/>
          <w:szCs w:val="22"/>
        </w:rPr>
      </w:pPr>
      <w:r>
        <w:rPr>
          <w:rFonts w:ascii="Arial" w:hAnsi="Arial" w:cs="Arial"/>
          <w:sz w:val="22"/>
          <w:szCs w:val="22"/>
        </w:rPr>
        <w:t>The total burden associated with NRC Form 366 remains unchanged (35,360 hours).</w:t>
      </w:r>
    </w:p>
    <w:p w:rsidR="000C141A" w:rsidP="00DF11D9" w:rsidRDefault="000C141A" w14:paraId="47C2CDA4" w14:textId="77777777">
      <w:pPr>
        <w:keepNext/>
        <w:widowControl/>
        <w:ind w:left="720"/>
        <w:rPr>
          <w:rFonts w:ascii="Arial" w:hAnsi="Arial" w:cs="Arial"/>
          <w:b/>
          <w:bCs/>
          <w:color w:val="000000"/>
          <w:sz w:val="20"/>
          <w:szCs w:val="20"/>
        </w:rPr>
      </w:pPr>
    </w:p>
    <w:p w:rsidRPr="00A32597" w:rsidR="002B1B50" w:rsidP="004E4948" w:rsidRDefault="002B1B50" w14:paraId="11D44FCB" w14:textId="77777777">
      <w:pPr>
        <w:keepNext/>
        <w:widowControl/>
        <w:ind w:left="720"/>
        <w:rPr>
          <w:rFonts w:ascii="Arial" w:hAnsi="Arial" w:cs="Arial"/>
          <w:sz w:val="22"/>
          <w:szCs w:val="22"/>
        </w:rPr>
      </w:pPr>
      <w:r w:rsidRPr="00A32597">
        <w:rPr>
          <w:rFonts w:ascii="Arial" w:hAnsi="Arial" w:cs="Arial"/>
          <w:sz w:val="22"/>
          <w:szCs w:val="22"/>
        </w:rPr>
        <w:t>13.</w:t>
      </w:r>
      <w:r w:rsidRPr="00A32597">
        <w:rPr>
          <w:rFonts w:ascii="Arial" w:hAnsi="Arial" w:cs="Arial"/>
          <w:sz w:val="22"/>
          <w:szCs w:val="22"/>
        </w:rPr>
        <w:tab/>
      </w:r>
      <w:r w:rsidRPr="00A32597">
        <w:rPr>
          <w:rFonts w:ascii="Arial" w:hAnsi="Arial" w:cs="Arial"/>
          <w:sz w:val="22"/>
          <w:szCs w:val="22"/>
          <w:u w:val="single"/>
        </w:rPr>
        <w:t>Estimate of Other Additional Costs</w:t>
      </w:r>
    </w:p>
    <w:p w:rsidRPr="00A32597" w:rsidR="002B1B50" w:rsidP="00A94A47" w:rsidRDefault="002B1B50" w14:paraId="1905E34F" w14:textId="77777777">
      <w:pPr>
        <w:keepNext/>
        <w:widowControl/>
        <w:rPr>
          <w:rFonts w:ascii="Arial" w:hAnsi="Arial" w:cs="Arial"/>
          <w:sz w:val="22"/>
          <w:szCs w:val="22"/>
        </w:rPr>
      </w:pPr>
    </w:p>
    <w:p w:rsidR="002B1B50" w:rsidP="00A94A47" w:rsidRDefault="009A6D1C" w14:paraId="11EE08E5" w14:textId="42D847C8">
      <w:pPr>
        <w:widowControl/>
        <w:ind w:left="720"/>
        <w:rPr>
          <w:rFonts w:ascii="Arial" w:hAnsi="Arial" w:cs="Arial"/>
          <w:sz w:val="22"/>
          <w:szCs w:val="22"/>
        </w:rPr>
      </w:pPr>
      <w:r>
        <w:rPr>
          <w:rFonts w:ascii="Arial" w:hAnsi="Arial" w:cs="Arial"/>
          <w:sz w:val="22"/>
          <w:szCs w:val="22"/>
        </w:rPr>
        <w:t xml:space="preserve">The estimated additional costs </w:t>
      </w:r>
      <w:r w:rsidR="006A209D">
        <w:rPr>
          <w:rFonts w:ascii="Arial" w:hAnsi="Arial" w:cs="Arial"/>
          <w:sz w:val="22"/>
          <w:szCs w:val="22"/>
        </w:rPr>
        <w:t xml:space="preserve">for this form </w:t>
      </w:r>
      <w:proofErr w:type="gramStart"/>
      <w:r>
        <w:rPr>
          <w:rFonts w:ascii="Arial" w:hAnsi="Arial" w:cs="Arial"/>
          <w:sz w:val="22"/>
          <w:szCs w:val="22"/>
        </w:rPr>
        <w:t>remains</w:t>
      </w:r>
      <w:proofErr w:type="gramEnd"/>
      <w:r>
        <w:rPr>
          <w:rFonts w:ascii="Arial" w:hAnsi="Arial" w:cs="Arial"/>
          <w:sz w:val="22"/>
          <w:szCs w:val="22"/>
        </w:rPr>
        <w:t xml:space="preserve"> unchanged as a result of the final rule.</w:t>
      </w:r>
    </w:p>
    <w:p w:rsidR="006309CE" w:rsidP="00A94A47" w:rsidRDefault="006309CE" w14:paraId="73D7FFB2" w14:textId="77777777">
      <w:pPr>
        <w:widowControl/>
        <w:ind w:left="720"/>
        <w:rPr>
          <w:rFonts w:ascii="Arial" w:hAnsi="Arial" w:cs="Arial"/>
          <w:sz w:val="22"/>
          <w:szCs w:val="22"/>
        </w:rPr>
      </w:pPr>
    </w:p>
    <w:p w:rsidR="000C141A" w:rsidP="004E4948" w:rsidRDefault="002B1B50" w14:paraId="62022C43" w14:textId="77777777">
      <w:pPr>
        <w:widowControl/>
        <w:tabs>
          <w:tab w:val="left" w:pos="-1440"/>
        </w:tabs>
        <w:ind w:left="720"/>
        <w:rPr>
          <w:rFonts w:ascii="Arial" w:hAnsi="Arial" w:cs="Arial"/>
          <w:sz w:val="22"/>
          <w:szCs w:val="22"/>
        </w:rPr>
      </w:pPr>
      <w:r w:rsidRPr="00A32597">
        <w:rPr>
          <w:rFonts w:ascii="Arial" w:hAnsi="Arial" w:cs="Arial"/>
          <w:sz w:val="22"/>
          <w:szCs w:val="22"/>
        </w:rPr>
        <w:t>14.</w:t>
      </w:r>
      <w:r w:rsidRPr="00A32597">
        <w:rPr>
          <w:rFonts w:ascii="Arial" w:hAnsi="Arial" w:cs="Arial"/>
          <w:sz w:val="22"/>
          <w:szCs w:val="22"/>
        </w:rPr>
        <w:tab/>
      </w:r>
      <w:r w:rsidRPr="00A32597">
        <w:rPr>
          <w:rFonts w:ascii="Arial" w:hAnsi="Arial" w:cs="Arial"/>
          <w:sz w:val="22"/>
          <w:szCs w:val="22"/>
          <w:u w:val="single"/>
        </w:rPr>
        <w:t>Estimated Annualized Cost to Federal Government</w:t>
      </w:r>
    </w:p>
    <w:p w:rsidR="000C141A" w:rsidP="00A94A47" w:rsidRDefault="000C141A" w14:paraId="3D0DB81F" w14:textId="77777777">
      <w:pPr>
        <w:widowControl/>
        <w:tabs>
          <w:tab w:val="left" w:pos="-1440"/>
        </w:tabs>
        <w:ind w:left="720" w:hanging="720"/>
        <w:rPr>
          <w:rFonts w:ascii="Arial" w:hAnsi="Arial" w:cs="Arial"/>
          <w:sz w:val="22"/>
          <w:szCs w:val="22"/>
        </w:rPr>
      </w:pPr>
    </w:p>
    <w:p w:rsidR="000C141A" w:rsidP="006A209D" w:rsidRDefault="009A6D1C" w14:paraId="525D5168" w14:textId="67C45691">
      <w:pPr>
        <w:widowControl/>
        <w:tabs>
          <w:tab w:val="left" w:pos="-1440"/>
        </w:tabs>
        <w:ind w:left="720"/>
        <w:rPr>
          <w:rFonts w:ascii="Arial" w:hAnsi="Arial" w:cs="Arial"/>
          <w:sz w:val="22"/>
          <w:szCs w:val="22"/>
        </w:rPr>
      </w:pPr>
      <w:r>
        <w:rPr>
          <w:rFonts w:ascii="Arial" w:hAnsi="Arial" w:cs="Arial"/>
          <w:sz w:val="22"/>
          <w:szCs w:val="22"/>
        </w:rPr>
        <w:t xml:space="preserve">The estimated annualized cost to the Federal Government </w:t>
      </w:r>
      <w:r w:rsidR="006A209D">
        <w:rPr>
          <w:rFonts w:ascii="Arial" w:hAnsi="Arial" w:cs="Arial"/>
          <w:sz w:val="22"/>
          <w:szCs w:val="22"/>
        </w:rPr>
        <w:t xml:space="preserve">for this form </w:t>
      </w:r>
      <w:r>
        <w:rPr>
          <w:rFonts w:ascii="Arial" w:hAnsi="Arial" w:cs="Arial"/>
          <w:sz w:val="22"/>
          <w:szCs w:val="22"/>
        </w:rPr>
        <w:t>remains unchanged</w:t>
      </w:r>
      <w:r w:rsidR="0003537D">
        <w:rPr>
          <w:rFonts w:ascii="Arial" w:hAnsi="Arial" w:cs="Arial"/>
          <w:sz w:val="22"/>
          <w:szCs w:val="22"/>
        </w:rPr>
        <w:t xml:space="preserve"> </w:t>
      </w:r>
      <w:r w:rsidR="00D57366">
        <w:rPr>
          <w:rFonts w:ascii="Arial" w:hAnsi="Arial" w:cs="Arial"/>
          <w:sz w:val="22"/>
          <w:szCs w:val="22"/>
        </w:rPr>
        <w:t xml:space="preserve">at $1,903,750 </w:t>
      </w:r>
      <w:proofErr w:type="gramStart"/>
      <w:r w:rsidR="0003537D">
        <w:rPr>
          <w:rFonts w:ascii="Arial" w:hAnsi="Arial" w:cs="Arial"/>
          <w:sz w:val="22"/>
          <w:szCs w:val="22"/>
        </w:rPr>
        <w:t>as a result of</w:t>
      </w:r>
      <w:proofErr w:type="gramEnd"/>
      <w:r w:rsidR="0003537D">
        <w:rPr>
          <w:rFonts w:ascii="Arial" w:hAnsi="Arial" w:cs="Arial"/>
          <w:sz w:val="22"/>
          <w:szCs w:val="22"/>
        </w:rPr>
        <w:t xml:space="preserve"> the final rule</w:t>
      </w:r>
      <w:r>
        <w:rPr>
          <w:rFonts w:ascii="Arial" w:hAnsi="Arial" w:cs="Arial"/>
          <w:sz w:val="22"/>
          <w:szCs w:val="22"/>
        </w:rPr>
        <w:t>.</w:t>
      </w:r>
    </w:p>
    <w:p w:rsidR="000C141A" w:rsidP="00A94A47" w:rsidRDefault="000C141A" w14:paraId="6108DBF2" w14:textId="77777777">
      <w:pPr>
        <w:widowControl/>
        <w:tabs>
          <w:tab w:val="left" w:pos="-1440"/>
        </w:tabs>
        <w:ind w:left="720" w:hanging="720"/>
        <w:rPr>
          <w:rFonts w:ascii="Arial" w:hAnsi="Arial" w:cs="Arial"/>
          <w:sz w:val="22"/>
          <w:szCs w:val="22"/>
        </w:rPr>
      </w:pPr>
    </w:p>
    <w:p w:rsidRPr="00A32597" w:rsidR="002B1B50" w:rsidP="004E4948" w:rsidRDefault="002B1B50" w14:paraId="549340EB" w14:textId="09E17D8A">
      <w:pPr>
        <w:widowControl/>
        <w:tabs>
          <w:tab w:val="left" w:pos="-1440"/>
        </w:tabs>
        <w:ind w:left="720"/>
        <w:rPr>
          <w:rFonts w:ascii="Arial" w:hAnsi="Arial" w:cs="Arial"/>
          <w:sz w:val="22"/>
          <w:szCs w:val="22"/>
        </w:rPr>
      </w:pPr>
      <w:r w:rsidRPr="00A32597">
        <w:rPr>
          <w:rFonts w:ascii="Arial" w:hAnsi="Arial" w:cs="Arial"/>
          <w:sz w:val="22"/>
          <w:szCs w:val="22"/>
        </w:rPr>
        <w:t>15.</w:t>
      </w:r>
      <w:r w:rsidRPr="00A32597">
        <w:rPr>
          <w:rFonts w:ascii="Arial" w:hAnsi="Arial" w:cs="Arial"/>
          <w:sz w:val="22"/>
          <w:szCs w:val="22"/>
        </w:rPr>
        <w:tab/>
      </w:r>
      <w:r w:rsidRPr="00A32597">
        <w:rPr>
          <w:rFonts w:ascii="Arial" w:hAnsi="Arial" w:cs="Arial"/>
          <w:sz w:val="22"/>
          <w:szCs w:val="22"/>
          <w:u w:val="single"/>
        </w:rPr>
        <w:t>Reason</w:t>
      </w:r>
      <w:r w:rsidRPr="00A32597" w:rsidR="006F795D">
        <w:rPr>
          <w:rFonts w:ascii="Arial" w:hAnsi="Arial" w:cs="Arial"/>
          <w:sz w:val="22"/>
          <w:szCs w:val="22"/>
          <w:u w:val="single"/>
        </w:rPr>
        <w:t>s</w:t>
      </w:r>
      <w:r w:rsidRPr="00A32597">
        <w:rPr>
          <w:rFonts w:ascii="Arial" w:hAnsi="Arial" w:cs="Arial"/>
          <w:sz w:val="22"/>
          <w:szCs w:val="22"/>
          <w:u w:val="single"/>
        </w:rPr>
        <w:t> for Change in Burden</w:t>
      </w:r>
      <w:r w:rsidR="00DF11D9">
        <w:rPr>
          <w:rFonts w:ascii="Arial" w:hAnsi="Arial" w:cs="Arial"/>
          <w:sz w:val="22"/>
          <w:szCs w:val="22"/>
          <w:u w:val="single"/>
        </w:rPr>
        <w:t xml:space="preserve"> or Cost</w:t>
      </w:r>
    </w:p>
    <w:p w:rsidRPr="00A32597" w:rsidR="002B1B50" w:rsidP="00A94A47" w:rsidRDefault="002B1B50" w14:paraId="302E51BC" w14:textId="77777777">
      <w:pPr>
        <w:keepNext/>
        <w:keepLines/>
        <w:widowControl/>
        <w:rPr>
          <w:rFonts w:ascii="Arial" w:hAnsi="Arial" w:cs="Arial"/>
          <w:sz w:val="22"/>
          <w:szCs w:val="22"/>
        </w:rPr>
      </w:pPr>
    </w:p>
    <w:p w:rsidR="00C24D52" w:rsidP="00321140" w:rsidRDefault="009A6D1C" w14:paraId="18F7395F" w14:textId="3B98E598">
      <w:pPr>
        <w:keepNext/>
        <w:keepLines/>
        <w:widowControl/>
        <w:ind w:left="720"/>
        <w:rPr>
          <w:rFonts w:ascii="Arial" w:hAnsi="Arial" w:cs="Arial"/>
          <w:sz w:val="22"/>
          <w:szCs w:val="22"/>
        </w:rPr>
      </w:pPr>
      <w:r>
        <w:rPr>
          <w:rFonts w:ascii="Arial" w:hAnsi="Arial" w:cs="Arial"/>
          <w:sz w:val="22"/>
          <w:szCs w:val="22"/>
        </w:rPr>
        <w:t xml:space="preserve">There is no change in burden </w:t>
      </w:r>
      <w:r w:rsidR="00612B23">
        <w:rPr>
          <w:rFonts w:ascii="Arial" w:hAnsi="Arial" w:cs="Arial"/>
          <w:sz w:val="22"/>
          <w:szCs w:val="22"/>
        </w:rPr>
        <w:t xml:space="preserve">or costs </w:t>
      </w:r>
      <w:r w:rsidR="006A209D">
        <w:rPr>
          <w:rFonts w:ascii="Arial" w:hAnsi="Arial" w:cs="Arial"/>
          <w:sz w:val="22"/>
          <w:szCs w:val="22"/>
        </w:rPr>
        <w:t xml:space="preserve">for this form </w:t>
      </w:r>
      <w:proofErr w:type="gramStart"/>
      <w:r>
        <w:rPr>
          <w:rFonts w:ascii="Arial" w:hAnsi="Arial" w:cs="Arial"/>
          <w:sz w:val="22"/>
          <w:szCs w:val="22"/>
        </w:rPr>
        <w:t>as a result of</w:t>
      </w:r>
      <w:proofErr w:type="gramEnd"/>
      <w:r>
        <w:rPr>
          <w:rFonts w:ascii="Arial" w:hAnsi="Arial" w:cs="Arial"/>
          <w:sz w:val="22"/>
          <w:szCs w:val="22"/>
        </w:rPr>
        <w:t xml:space="preserve"> the final rule.</w:t>
      </w:r>
    </w:p>
    <w:p w:rsidRPr="0077789A" w:rsidR="000C141A" w:rsidP="00A94A47" w:rsidRDefault="000C141A" w14:paraId="5F2F1A92" w14:textId="77777777">
      <w:pPr>
        <w:keepNext/>
        <w:keepLines/>
        <w:widowControl/>
        <w:ind w:left="720"/>
        <w:rPr>
          <w:rFonts w:ascii="Arial" w:hAnsi="Arial" w:cs="Arial"/>
          <w:sz w:val="22"/>
          <w:szCs w:val="22"/>
          <w:highlight w:val="yellow"/>
        </w:rPr>
      </w:pPr>
    </w:p>
    <w:p w:rsidRPr="00A32597" w:rsidR="002B1B50" w:rsidP="004E4948" w:rsidRDefault="002B1B50" w14:paraId="5F60A057" w14:textId="77777777">
      <w:pPr>
        <w:keepNext/>
        <w:widowControl/>
        <w:tabs>
          <w:tab w:val="left" w:pos="-1440"/>
        </w:tabs>
        <w:ind w:left="720"/>
        <w:rPr>
          <w:rFonts w:ascii="Arial" w:hAnsi="Arial" w:cs="Arial"/>
          <w:sz w:val="22"/>
          <w:szCs w:val="22"/>
        </w:rPr>
      </w:pPr>
      <w:r w:rsidRPr="00A32597">
        <w:rPr>
          <w:rFonts w:ascii="Arial" w:hAnsi="Arial" w:cs="Arial"/>
          <w:sz w:val="22"/>
          <w:szCs w:val="22"/>
        </w:rPr>
        <w:t>16.</w:t>
      </w:r>
      <w:r w:rsidRPr="00A32597">
        <w:rPr>
          <w:rFonts w:ascii="Arial" w:hAnsi="Arial" w:cs="Arial"/>
          <w:sz w:val="22"/>
          <w:szCs w:val="22"/>
        </w:rPr>
        <w:tab/>
      </w:r>
      <w:r w:rsidRPr="00A32597">
        <w:rPr>
          <w:rFonts w:ascii="Arial" w:hAnsi="Arial" w:cs="Arial"/>
          <w:sz w:val="22"/>
          <w:szCs w:val="22"/>
          <w:u w:val="single"/>
        </w:rPr>
        <w:t>Publication for Statistical Use</w:t>
      </w:r>
    </w:p>
    <w:p w:rsidRPr="00A32597" w:rsidR="002B1B50" w:rsidP="00A94A47" w:rsidRDefault="002B1B50" w14:paraId="18F4179A" w14:textId="77777777">
      <w:pPr>
        <w:keepNext/>
        <w:widowControl/>
        <w:rPr>
          <w:rFonts w:ascii="Arial" w:hAnsi="Arial" w:cs="Arial"/>
          <w:sz w:val="22"/>
          <w:szCs w:val="22"/>
        </w:rPr>
      </w:pPr>
    </w:p>
    <w:p w:rsidRPr="00A32597" w:rsidR="002B1B50" w:rsidP="0003537D" w:rsidRDefault="0003537D" w14:paraId="673A3B4C" w14:textId="19582F3C">
      <w:pPr>
        <w:keepNext/>
        <w:keepLines/>
        <w:widowControl/>
        <w:ind w:firstLine="720"/>
        <w:rPr>
          <w:rFonts w:ascii="Arial" w:hAnsi="Arial" w:cs="Arial"/>
          <w:sz w:val="22"/>
          <w:szCs w:val="22"/>
        </w:rPr>
      </w:pPr>
      <w:r w:rsidRPr="00A32597">
        <w:rPr>
          <w:rFonts w:ascii="Arial" w:hAnsi="Arial" w:cs="Arial"/>
          <w:sz w:val="22"/>
          <w:szCs w:val="22"/>
        </w:rPr>
        <w:t>Not Applicable.</w:t>
      </w:r>
    </w:p>
    <w:p w:rsidRPr="00A32597" w:rsidR="002B1B50" w:rsidP="00A94A47" w:rsidRDefault="002B1B50" w14:paraId="4001AFF8" w14:textId="77777777">
      <w:pPr>
        <w:widowControl/>
        <w:rPr>
          <w:rFonts w:ascii="Arial" w:hAnsi="Arial" w:cs="Arial"/>
          <w:sz w:val="22"/>
          <w:szCs w:val="22"/>
        </w:rPr>
      </w:pPr>
    </w:p>
    <w:p w:rsidRPr="00A32597" w:rsidR="002B1B50" w:rsidP="004E4948" w:rsidRDefault="002B1B50" w14:paraId="1BC8A360" w14:textId="77777777">
      <w:pPr>
        <w:keepNext/>
        <w:widowControl/>
        <w:tabs>
          <w:tab w:val="left" w:pos="-1440"/>
        </w:tabs>
        <w:ind w:left="720"/>
        <w:rPr>
          <w:rFonts w:ascii="Arial" w:hAnsi="Arial" w:cs="Arial"/>
          <w:sz w:val="22"/>
          <w:szCs w:val="22"/>
          <w:u w:val="single"/>
        </w:rPr>
      </w:pPr>
      <w:r w:rsidRPr="00A32597">
        <w:rPr>
          <w:rFonts w:ascii="Arial" w:hAnsi="Arial" w:cs="Arial"/>
          <w:sz w:val="22"/>
          <w:szCs w:val="22"/>
        </w:rPr>
        <w:t>17.</w:t>
      </w:r>
      <w:r w:rsidRPr="00A32597">
        <w:rPr>
          <w:rFonts w:ascii="Arial" w:hAnsi="Arial" w:cs="Arial"/>
          <w:sz w:val="22"/>
          <w:szCs w:val="22"/>
        </w:rPr>
        <w:tab/>
      </w:r>
      <w:r w:rsidR="00DF11D9">
        <w:rPr>
          <w:rFonts w:ascii="Arial" w:hAnsi="Arial" w:cs="Arial"/>
          <w:sz w:val="22"/>
          <w:szCs w:val="22"/>
          <w:u w:val="single"/>
        </w:rPr>
        <w:t>Reason</w:t>
      </w:r>
      <w:r w:rsidRPr="00A32597">
        <w:rPr>
          <w:rFonts w:ascii="Arial" w:hAnsi="Arial" w:cs="Arial"/>
          <w:sz w:val="22"/>
          <w:szCs w:val="22"/>
          <w:u w:val="single"/>
        </w:rPr>
        <w:t xml:space="preserve"> for Not Displaying the Expiration Date</w:t>
      </w:r>
    </w:p>
    <w:p w:rsidRPr="00A32597" w:rsidR="002B1B50" w:rsidP="00A94A47" w:rsidRDefault="002B1B50" w14:paraId="7B304B06" w14:textId="77777777">
      <w:pPr>
        <w:keepNext/>
        <w:widowControl/>
        <w:rPr>
          <w:rFonts w:ascii="Arial" w:hAnsi="Arial" w:cs="Arial"/>
          <w:sz w:val="22"/>
          <w:szCs w:val="22"/>
          <w:u w:val="single"/>
        </w:rPr>
      </w:pPr>
    </w:p>
    <w:p w:rsidR="00D2702B" w:rsidP="00A94A47" w:rsidRDefault="00AB17AB" w14:paraId="06BB2B61" w14:textId="0CEEED12">
      <w:pPr>
        <w:widowControl/>
        <w:ind w:left="720"/>
        <w:rPr>
          <w:rFonts w:ascii="Arial" w:hAnsi="Arial" w:cs="Arial"/>
          <w:sz w:val="22"/>
          <w:szCs w:val="22"/>
        </w:rPr>
      </w:pPr>
      <w:r>
        <w:rPr>
          <w:rFonts w:ascii="Arial" w:hAnsi="Arial" w:cs="Arial"/>
          <w:sz w:val="22"/>
          <w:szCs w:val="22"/>
        </w:rPr>
        <w:t>The expiration date is displayed.</w:t>
      </w:r>
    </w:p>
    <w:p w:rsidR="00D2702B" w:rsidP="00A94A47" w:rsidRDefault="00D2702B" w14:paraId="557BE800" w14:textId="77777777">
      <w:pPr>
        <w:widowControl/>
        <w:ind w:left="720"/>
        <w:rPr>
          <w:rFonts w:ascii="Arial" w:hAnsi="Arial" w:cs="Arial"/>
          <w:sz w:val="22"/>
          <w:szCs w:val="22"/>
        </w:rPr>
      </w:pPr>
    </w:p>
    <w:p w:rsidRPr="00A32597" w:rsidR="002B1B50" w:rsidP="004E4948" w:rsidRDefault="002B1B50" w14:paraId="0DF7DF6E" w14:textId="77777777">
      <w:pPr>
        <w:keepNext/>
        <w:widowControl/>
        <w:tabs>
          <w:tab w:val="left" w:pos="-1440"/>
        </w:tabs>
        <w:ind w:left="720"/>
        <w:rPr>
          <w:rFonts w:ascii="Arial" w:hAnsi="Arial" w:cs="Arial"/>
          <w:sz w:val="22"/>
          <w:szCs w:val="22"/>
          <w:u w:val="single"/>
        </w:rPr>
      </w:pPr>
      <w:r w:rsidRPr="00A32597">
        <w:rPr>
          <w:rFonts w:ascii="Arial" w:hAnsi="Arial" w:cs="Arial"/>
          <w:sz w:val="22"/>
          <w:szCs w:val="22"/>
        </w:rPr>
        <w:t>18.</w:t>
      </w:r>
      <w:r w:rsidRPr="00A32597">
        <w:rPr>
          <w:rFonts w:ascii="Arial" w:hAnsi="Arial" w:cs="Arial"/>
          <w:sz w:val="22"/>
          <w:szCs w:val="22"/>
        </w:rPr>
        <w:tab/>
      </w:r>
      <w:r w:rsidRPr="00A32597">
        <w:rPr>
          <w:rFonts w:ascii="Arial" w:hAnsi="Arial" w:cs="Arial"/>
          <w:sz w:val="22"/>
          <w:szCs w:val="22"/>
          <w:u w:val="single"/>
        </w:rPr>
        <w:t>Exceptions to the Certification Statement</w:t>
      </w:r>
    </w:p>
    <w:p w:rsidRPr="00A32597" w:rsidR="002B1B50" w:rsidP="00A94A47" w:rsidRDefault="002B1B50" w14:paraId="7943489D" w14:textId="77777777">
      <w:pPr>
        <w:keepNext/>
        <w:widowControl/>
        <w:rPr>
          <w:rFonts w:ascii="Arial" w:hAnsi="Arial" w:cs="Arial"/>
          <w:sz w:val="22"/>
          <w:szCs w:val="22"/>
          <w:u w:val="single"/>
        </w:rPr>
      </w:pPr>
    </w:p>
    <w:p w:rsidR="002B1B50" w:rsidP="00A94A47" w:rsidRDefault="005F699A" w14:paraId="25459E15" w14:textId="77777777">
      <w:pPr>
        <w:widowControl/>
        <w:ind w:left="720"/>
        <w:rPr>
          <w:rFonts w:ascii="Arial" w:hAnsi="Arial" w:cs="Arial"/>
          <w:sz w:val="22"/>
          <w:szCs w:val="22"/>
        </w:rPr>
      </w:pPr>
      <w:r w:rsidRPr="0077789A">
        <w:rPr>
          <w:rFonts w:ascii="Arial" w:hAnsi="Arial" w:cs="Arial"/>
          <w:sz w:val="22"/>
          <w:szCs w:val="22"/>
        </w:rPr>
        <w:t>There are no exceptions</w:t>
      </w:r>
      <w:r w:rsidRPr="0077789A" w:rsidR="002B1B50">
        <w:rPr>
          <w:rFonts w:ascii="Arial" w:hAnsi="Arial" w:cs="Arial"/>
          <w:sz w:val="22"/>
          <w:szCs w:val="22"/>
        </w:rPr>
        <w:t>.</w:t>
      </w:r>
    </w:p>
    <w:p w:rsidRPr="0077789A" w:rsidR="00BD2591" w:rsidP="00A94A47" w:rsidRDefault="00BD2591" w14:paraId="1570E1A1" w14:textId="77777777">
      <w:pPr>
        <w:widowControl/>
        <w:ind w:left="720"/>
        <w:rPr>
          <w:rFonts w:ascii="Arial" w:hAnsi="Arial" w:cs="Arial"/>
          <w:sz w:val="22"/>
          <w:szCs w:val="22"/>
        </w:rPr>
      </w:pPr>
    </w:p>
    <w:p w:rsidRPr="0077789A" w:rsidR="002B1B50" w:rsidP="00A94A47" w:rsidRDefault="002B1B50" w14:paraId="5677338C" w14:textId="77777777">
      <w:pPr>
        <w:widowControl/>
        <w:rPr>
          <w:rFonts w:ascii="Arial" w:hAnsi="Arial" w:cs="Arial"/>
          <w:sz w:val="22"/>
          <w:szCs w:val="22"/>
        </w:rPr>
      </w:pPr>
      <w:r w:rsidRPr="0077789A">
        <w:rPr>
          <w:rFonts w:ascii="Arial" w:hAnsi="Arial" w:cs="Arial"/>
          <w:sz w:val="22"/>
          <w:szCs w:val="22"/>
        </w:rPr>
        <w:t>B.  COLLECTIONS OF INFORMATION EMPLOYING STATISTICAL METHODS</w:t>
      </w:r>
    </w:p>
    <w:p w:rsidRPr="0077789A" w:rsidR="002B1B50" w:rsidP="00A94A47" w:rsidRDefault="002B1B50" w14:paraId="3601654A" w14:textId="77777777">
      <w:pPr>
        <w:widowControl/>
        <w:rPr>
          <w:rFonts w:ascii="Arial" w:hAnsi="Arial" w:cs="Arial"/>
          <w:sz w:val="22"/>
          <w:szCs w:val="22"/>
        </w:rPr>
      </w:pPr>
    </w:p>
    <w:p w:rsidRPr="00E031E3" w:rsidR="006F7CFE" w:rsidP="006F7CFE" w:rsidRDefault="006F7CFE" w14:paraId="35CC01E6" w14:textId="77777777">
      <w:pPr>
        <w:keepNext/>
        <w:keepLines/>
        <w:widowControl/>
        <w:ind w:firstLine="720"/>
      </w:pPr>
      <w:r w:rsidRPr="00A32597">
        <w:rPr>
          <w:rFonts w:ascii="Arial" w:hAnsi="Arial" w:cs="Arial"/>
          <w:sz w:val="22"/>
          <w:szCs w:val="22"/>
        </w:rPr>
        <w:t>Not Applicable.</w:t>
      </w:r>
    </w:p>
    <w:p w:rsidRPr="00A32597" w:rsidR="002B1B50" w:rsidP="00A94A47" w:rsidRDefault="002B1B50" w14:paraId="6E97A325" w14:textId="356F185D">
      <w:pPr>
        <w:widowControl/>
        <w:ind w:firstLine="720"/>
        <w:rPr>
          <w:rFonts w:ascii="Arial" w:hAnsi="Arial" w:cs="Arial"/>
          <w:sz w:val="22"/>
          <w:szCs w:val="22"/>
        </w:rPr>
      </w:pPr>
    </w:p>
    <w:p w:rsidR="00C92DA5" w:rsidP="000C141A" w:rsidRDefault="00C92DA5" w14:paraId="06786E55" w14:textId="09C7974A">
      <w:pPr>
        <w:widowControl/>
        <w:rPr>
          <w:rFonts w:ascii="Arial" w:hAnsi="Arial" w:cs="Arial"/>
          <w:sz w:val="22"/>
          <w:szCs w:val="22"/>
        </w:rPr>
      </w:pPr>
    </w:p>
    <w:sectPr w:rsidR="00C92DA5" w:rsidSect="00C9088E">
      <w:footerReference w:type="default" r:id="rId14"/>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BDBB" w14:textId="77777777" w:rsidR="006E67ED" w:rsidRDefault="006E67ED">
      <w:r>
        <w:separator/>
      </w:r>
    </w:p>
  </w:endnote>
  <w:endnote w:type="continuationSeparator" w:id="0">
    <w:p w14:paraId="254306E1" w14:textId="77777777" w:rsidR="006E67ED" w:rsidRDefault="006E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33B2" w14:textId="0F01F6A1" w:rsidR="00A76D46" w:rsidRPr="00C9088E" w:rsidRDefault="00A76D46" w:rsidP="004A1202">
    <w:pPr>
      <w:pStyle w:val="Footer"/>
      <w:jc w:val="center"/>
      <w:rPr>
        <w:rFonts w:ascii="Arial" w:hAnsi="Arial" w:cs="Arial"/>
        <w:sz w:val="22"/>
        <w:szCs w:val="20"/>
      </w:rPr>
    </w:pPr>
    <w:r w:rsidRPr="00C9088E">
      <w:rPr>
        <w:rFonts w:ascii="Arial" w:hAnsi="Arial" w:cs="Arial"/>
        <w:sz w:val="22"/>
        <w:szCs w:val="20"/>
      </w:rPr>
      <w:fldChar w:fldCharType="begin"/>
    </w:r>
    <w:r w:rsidRPr="00C9088E">
      <w:rPr>
        <w:rFonts w:ascii="Arial" w:hAnsi="Arial" w:cs="Arial"/>
        <w:sz w:val="22"/>
        <w:szCs w:val="20"/>
      </w:rPr>
      <w:instrText xml:space="preserve"> PAGE   \* MERGEFORMAT </w:instrText>
    </w:r>
    <w:r w:rsidRPr="00C9088E">
      <w:rPr>
        <w:rFonts w:ascii="Arial" w:hAnsi="Arial" w:cs="Arial"/>
        <w:sz w:val="22"/>
        <w:szCs w:val="20"/>
      </w:rPr>
      <w:fldChar w:fldCharType="separate"/>
    </w:r>
    <w:r w:rsidR="005001D6">
      <w:rPr>
        <w:rFonts w:ascii="Arial" w:hAnsi="Arial" w:cs="Arial"/>
        <w:noProof/>
        <w:sz w:val="22"/>
        <w:szCs w:val="20"/>
      </w:rPr>
      <w:t>5</w:t>
    </w:r>
    <w:r w:rsidRPr="00C9088E">
      <w:rPr>
        <w:rFonts w:ascii="Arial" w:hAnsi="Arial" w:cs="Arial"/>
        <w:sz w:val="2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1FC7" w14:textId="77777777" w:rsidR="006E67ED" w:rsidRDefault="006E67ED">
      <w:r>
        <w:separator/>
      </w:r>
    </w:p>
  </w:footnote>
  <w:footnote w:type="continuationSeparator" w:id="0">
    <w:p w14:paraId="10C2A31B" w14:textId="77777777" w:rsidR="006E67ED" w:rsidRDefault="006E67ED">
      <w:r>
        <w:continuationSeparator/>
      </w:r>
    </w:p>
  </w:footnote>
  <w:footnote w:id="1">
    <w:p w14:paraId="7CA63A64" w14:textId="6D5B2FA3" w:rsidR="008A2333" w:rsidRPr="003C4790" w:rsidRDefault="008A2333" w:rsidP="003C4790">
      <w:pPr>
        <w:pStyle w:val="FootnoteText"/>
        <w:ind w:left="180" w:hanging="180"/>
        <w:rPr>
          <w:rFonts w:ascii="Arial" w:hAnsi="Arial" w:cs="Arial"/>
        </w:rPr>
      </w:pPr>
      <w:r w:rsidRPr="003C4790">
        <w:rPr>
          <w:rStyle w:val="FootnoteReference"/>
          <w:rFonts w:cs="Arial"/>
          <w:szCs w:val="18"/>
        </w:rPr>
        <w:footnoteRef/>
      </w:r>
      <w:r w:rsidRPr="003C4790">
        <w:rPr>
          <w:rFonts w:ascii="Arial" w:hAnsi="Arial" w:cs="Arial"/>
          <w:sz w:val="18"/>
          <w:szCs w:val="18"/>
        </w:rPr>
        <w:t xml:space="preserve"> Other information collection changes associated with the Enhanced Weapons, Firearms Background Checks, and Security Event Notifications </w:t>
      </w:r>
      <w:r w:rsidR="00220B95" w:rsidRPr="003C4790">
        <w:rPr>
          <w:rFonts w:ascii="Arial" w:hAnsi="Arial" w:cs="Arial"/>
          <w:sz w:val="18"/>
          <w:szCs w:val="18"/>
        </w:rPr>
        <w:t>f</w:t>
      </w:r>
      <w:r w:rsidRPr="003C4790">
        <w:rPr>
          <w:rFonts w:ascii="Arial" w:hAnsi="Arial" w:cs="Arial"/>
          <w:sz w:val="18"/>
          <w:szCs w:val="18"/>
        </w:rPr>
        <w:t xml:space="preserve">inal </w:t>
      </w:r>
      <w:r w:rsidR="00220B95" w:rsidRPr="003C4790">
        <w:rPr>
          <w:rFonts w:ascii="Arial" w:hAnsi="Arial" w:cs="Arial"/>
          <w:sz w:val="18"/>
          <w:szCs w:val="18"/>
        </w:rPr>
        <w:t>r</w:t>
      </w:r>
      <w:r w:rsidRPr="003C4790">
        <w:rPr>
          <w:rFonts w:ascii="Arial" w:hAnsi="Arial" w:cs="Arial"/>
          <w:sz w:val="18"/>
          <w:szCs w:val="18"/>
        </w:rPr>
        <w:t>ule have been submitted to OMB under clearance numbers 3150-0002 (10 CFR Part 73, “Physical Security of Plants and Materials”) and 3150-0204 (“</w:t>
      </w:r>
      <w:r w:rsidRPr="003C4790">
        <w:rPr>
          <w:rFonts w:ascii="Arial" w:hAnsi="Arial" w:cs="Arial"/>
          <w:color w:val="000000"/>
          <w:sz w:val="18"/>
          <w:szCs w:val="18"/>
          <w:shd w:val="clear" w:color="auto" w:fill="FFFFFF"/>
        </w:rPr>
        <w:t>NRC Form 754, Armed Security Personnel Firearms Background Check.”)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949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29A00D56"/>
    <w:multiLevelType w:val="hybridMultilevel"/>
    <w:tmpl w:val="FD147500"/>
    <w:lvl w:ilvl="0" w:tplc="9D344B80">
      <w:start w:val="8"/>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4C6442"/>
    <w:multiLevelType w:val="hybridMultilevel"/>
    <w:tmpl w:val="46AE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49F67FE"/>
    <w:multiLevelType w:val="hybridMultilevel"/>
    <w:tmpl w:val="9DF2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E3D61CD"/>
    <w:multiLevelType w:val="hybridMultilevel"/>
    <w:tmpl w:val="E5129250"/>
    <w:lvl w:ilvl="0" w:tplc="28EEB1D6">
      <w:start w:val="1"/>
      <w:numFmt w:val="lowerLetter"/>
      <w:lvlText w:val="(%1)"/>
      <w:lvlJc w:val="left"/>
      <w:pPr>
        <w:ind w:left="1080" w:hanging="360"/>
      </w:pPr>
      <w:rPr>
        <w:rFonts w:ascii="Arial" w:eastAsiaTheme="minorHAnsi"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2"/>
  </w:num>
  <w:num w:numId="2">
    <w:abstractNumId w:val="8"/>
  </w:num>
  <w:num w:numId="3">
    <w:abstractNumId w:val="7"/>
  </w:num>
  <w:num w:numId="4">
    <w:abstractNumId w:val="4"/>
  </w:num>
  <w:num w:numId="5">
    <w:abstractNumId w:val="13"/>
  </w:num>
  <w:num w:numId="6">
    <w:abstractNumId w:val="3"/>
  </w:num>
  <w:num w:numId="7">
    <w:abstractNumId w:val="10"/>
  </w:num>
  <w:num w:numId="8">
    <w:abstractNumId w:val="5"/>
  </w:num>
  <w:num w:numId="9">
    <w:abstractNumId w:val="0"/>
  </w:num>
  <w:num w:numId="10">
    <w:abstractNumId w:val="11"/>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50"/>
    <w:rsid w:val="000029E9"/>
    <w:rsid w:val="00003FC5"/>
    <w:rsid w:val="00012EC5"/>
    <w:rsid w:val="00014C89"/>
    <w:rsid w:val="0002057E"/>
    <w:rsid w:val="00025C64"/>
    <w:rsid w:val="00026E79"/>
    <w:rsid w:val="00031E92"/>
    <w:rsid w:val="00034944"/>
    <w:rsid w:val="0003537D"/>
    <w:rsid w:val="000376DF"/>
    <w:rsid w:val="00041A7B"/>
    <w:rsid w:val="000459CE"/>
    <w:rsid w:val="00046E88"/>
    <w:rsid w:val="00047677"/>
    <w:rsid w:val="00047958"/>
    <w:rsid w:val="00054A33"/>
    <w:rsid w:val="00060C12"/>
    <w:rsid w:val="00066D1D"/>
    <w:rsid w:val="00074ADF"/>
    <w:rsid w:val="00076C75"/>
    <w:rsid w:val="0007747F"/>
    <w:rsid w:val="00082B28"/>
    <w:rsid w:val="0008392E"/>
    <w:rsid w:val="000839F6"/>
    <w:rsid w:val="00084D76"/>
    <w:rsid w:val="00085B3A"/>
    <w:rsid w:val="00087721"/>
    <w:rsid w:val="00093024"/>
    <w:rsid w:val="000930C3"/>
    <w:rsid w:val="00093CA8"/>
    <w:rsid w:val="000952D8"/>
    <w:rsid w:val="000A1090"/>
    <w:rsid w:val="000A1CD0"/>
    <w:rsid w:val="000A355A"/>
    <w:rsid w:val="000A3AF2"/>
    <w:rsid w:val="000A40BD"/>
    <w:rsid w:val="000A4136"/>
    <w:rsid w:val="000A7A4B"/>
    <w:rsid w:val="000B0BEA"/>
    <w:rsid w:val="000B2332"/>
    <w:rsid w:val="000B2D70"/>
    <w:rsid w:val="000B49DD"/>
    <w:rsid w:val="000B5CCB"/>
    <w:rsid w:val="000B783F"/>
    <w:rsid w:val="000C0C7D"/>
    <w:rsid w:val="000C141A"/>
    <w:rsid w:val="000C35E0"/>
    <w:rsid w:val="000C3B32"/>
    <w:rsid w:val="000C432F"/>
    <w:rsid w:val="000D287F"/>
    <w:rsid w:val="000D3774"/>
    <w:rsid w:val="000D7C27"/>
    <w:rsid w:val="000E4015"/>
    <w:rsid w:val="000E517F"/>
    <w:rsid w:val="000E7CE5"/>
    <w:rsid w:val="000E7EBB"/>
    <w:rsid w:val="000F114C"/>
    <w:rsid w:val="000F6EF7"/>
    <w:rsid w:val="00100403"/>
    <w:rsid w:val="0010159C"/>
    <w:rsid w:val="00102B2C"/>
    <w:rsid w:val="00105742"/>
    <w:rsid w:val="00106F9D"/>
    <w:rsid w:val="001106E0"/>
    <w:rsid w:val="00115802"/>
    <w:rsid w:val="001201E1"/>
    <w:rsid w:val="00120B4D"/>
    <w:rsid w:val="00122E4E"/>
    <w:rsid w:val="00124A52"/>
    <w:rsid w:val="00125324"/>
    <w:rsid w:val="00125C4B"/>
    <w:rsid w:val="0012728C"/>
    <w:rsid w:val="00127910"/>
    <w:rsid w:val="00132252"/>
    <w:rsid w:val="0013239E"/>
    <w:rsid w:val="00133DEE"/>
    <w:rsid w:val="001345BA"/>
    <w:rsid w:val="00134F1A"/>
    <w:rsid w:val="001415E4"/>
    <w:rsid w:val="001441A2"/>
    <w:rsid w:val="00144D4A"/>
    <w:rsid w:val="00151784"/>
    <w:rsid w:val="001540DE"/>
    <w:rsid w:val="0016347D"/>
    <w:rsid w:val="00165D17"/>
    <w:rsid w:val="00166497"/>
    <w:rsid w:val="00166ADA"/>
    <w:rsid w:val="001678A7"/>
    <w:rsid w:val="00172EA9"/>
    <w:rsid w:val="00172FCF"/>
    <w:rsid w:val="00174D74"/>
    <w:rsid w:val="001771D2"/>
    <w:rsid w:val="001773EE"/>
    <w:rsid w:val="00177A5B"/>
    <w:rsid w:val="00181DC2"/>
    <w:rsid w:val="00186576"/>
    <w:rsid w:val="00186876"/>
    <w:rsid w:val="0018747E"/>
    <w:rsid w:val="00195553"/>
    <w:rsid w:val="001A04BB"/>
    <w:rsid w:val="001A78D9"/>
    <w:rsid w:val="001B1AAE"/>
    <w:rsid w:val="001B3554"/>
    <w:rsid w:val="001C44A1"/>
    <w:rsid w:val="001C6FAD"/>
    <w:rsid w:val="001C74E2"/>
    <w:rsid w:val="001D4739"/>
    <w:rsid w:val="001D7398"/>
    <w:rsid w:val="001E11F2"/>
    <w:rsid w:val="001E1865"/>
    <w:rsid w:val="001E456F"/>
    <w:rsid w:val="001F437A"/>
    <w:rsid w:val="001F52A4"/>
    <w:rsid w:val="001F628A"/>
    <w:rsid w:val="002002D7"/>
    <w:rsid w:val="00200F87"/>
    <w:rsid w:val="00201D8C"/>
    <w:rsid w:val="002034FB"/>
    <w:rsid w:val="00207C7D"/>
    <w:rsid w:val="002132FB"/>
    <w:rsid w:val="00214084"/>
    <w:rsid w:val="00214456"/>
    <w:rsid w:val="0021469A"/>
    <w:rsid w:val="00215E42"/>
    <w:rsid w:val="0021619E"/>
    <w:rsid w:val="00216EA0"/>
    <w:rsid w:val="00217AE7"/>
    <w:rsid w:val="00220B95"/>
    <w:rsid w:val="0022136D"/>
    <w:rsid w:val="00227218"/>
    <w:rsid w:val="0023032F"/>
    <w:rsid w:val="00234CD3"/>
    <w:rsid w:val="00247D7F"/>
    <w:rsid w:val="00254996"/>
    <w:rsid w:val="00260C4E"/>
    <w:rsid w:val="00262372"/>
    <w:rsid w:val="00263B31"/>
    <w:rsid w:val="0026589E"/>
    <w:rsid w:val="00267734"/>
    <w:rsid w:val="00273661"/>
    <w:rsid w:val="00275CEF"/>
    <w:rsid w:val="002904BE"/>
    <w:rsid w:val="002949EA"/>
    <w:rsid w:val="00296CC8"/>
    <w:rsid w:val="00297B95"/>
    <w:rsid w:val="002A37A8"/>
    <w:rsid w:val="002A4CFC"/>
    <w:rsid w:val="002A5091"/>
    <w:rsid w:val="002A787F"/>
    <w:rsid w:val="002B08ED"/>
    <w:rsid w:val="002B10F3"/>
    <w:rsid w:val="002B1B50"/>
    <w:rsid w:val="002B3FA3"/>
    <w:rsid w:val="002B4552"/>
    <w:rsid w:val="002C0A63"/>
    <w:rsid w:val="002C4F00"/>
    <w:rsid w:val="002C545E"/>
    <w:rsid w:val="002C5847"/>
    <w:rsid w:val="002C685F"/>
    <w:rsid w:val="002C7B10"/>
    <w:rsid w:val="002C7EDB"/>
    <w:rsid w:val="002D3BAF"/>
    <w:rsid w:val="002D6065"/>
    <w:rsid w:val="002E0172"/>
    <w:rsid w:val="002E0498"/>
    <w:rsid w:val="002E17CA"/>
    <w:rsid w:val="002E1959"/>
    <w:rsid w:val="002E2CC5"/>
    <w:rsid w:val="002E337F"/>
    <w:rsid w:val="002E70CC"/>
    <w:rsid w:val="002F1996"/>
    <w:rsid w:val="002F20D7"/>
    <w:rsid w:val="002F41B7"/>
    <w:rsid w:val="002F43EC"/>
    <w:rsid w:val="002F47DA"/>
    <w:rsid w:val="002F5501"/>
    <w:rsid w:val="002F7AA8"/>
    <w:rsid w:val="002F7CC5"/>
    <w:rsid w:val="00300F3F"/>
    <w:rsid w:val="00302F94"/>
    <w:rsid w:val="00307AF5"/>
    <w:rsid w:val="00307F21"/>
    <w:rsid w:val="00311AB4"/>
    <w:rsid w:val="00312396"/>
    <w:rsid w:val="00313ECD"/>
    <w:rsid w:val="003144E5"/>
    <w:rsid w:val="0031522D"/>
    <w:rsid w:val="0031534D"/>
    <w:rsid w:val="003157E4"/>
    <w:rsid w:val="00321140"/>
    <w:rsid w:val="00321CF2"/>
    <w:rsid w:val="00323652"/>
    <w:rsid w:val="00323F18"/>
    <w:rsid w:val="00326FA5"/>
    <w:rsid w:val="0032778E"/>
    <w:rsid w:val="00327BE0"/>
    <w:rsid w:val="003301B0"/>
    <w:rsid w:val="00331896"/>
    <w:rsid w:val="00336134"/>
    <w:rsid w:val="00341379"/>
    <w:rsid w:val="00342093"/>
    <w:rsid w:val="00343C25"/>
    <w:rsid w:val="0034538A"/>
    <w:rsid w:val="00346FA2"/>
    <w:rsid w:val="003475FD"/>
    <w:rsid w:val="003509B7"/>
    <w:rsid w:val="003518BE"/>
    <w:rsid w:val="003551D7"/>
    <w:rsid w:val="0036293E"/>
    <w:rsid w:val="00371762"/>
    <w:rsid w:val="0037294F"/>
    <w:rsid w:val="00374528"/>
    <w:rsid w:val="00374C2A"/>
    <w:rsid w:val="003773B8"/>
    <w:rsid w:val="00377B8D"/>
    <w:rsid w:val="003811F0"/>
    <w:rsid w:val="003813FE"/>
    <w:rsid w:val="00385778"/>
    <w:rsid w:val="00386457"/>
    <w:rsid w:val="003879D3"/>
    <w:rsid w:val="003905D3"/>
    <w:rsid w:val="003950A4"/>
    <w:rsid w:val="00395A46"/>
    <w:rsid w:val="00395E72"/>
    <w:rsid w:val="003A1CD5"/>
    <w:rsid w:val="003A241C"/>
    <w:rsid w:val="003B1DF3"/>
    <w:rsid w:val="003C1179"/>
    <w:rsid w:val="003C4790"/>
    <w:rsid w:val="003C74E9"/>
    <w:rsid w:val="003D03B4"/>
    <w:rsid w:val="003D1027"/>
    <w:rsid w:val="003D2677"/>
    <w:rsid w:val="003D3317"/>
    <w:rsid w:val="003D4F93"/>
    <w:rsid w:val="003D618B"/>
    <w:rsid w:val="003E05C4"/>
    <w:rsid w:val="003E0D49"/>
    <w:rsid w:val="003E460F"/>
    <w:rsid w:val="003E5476"/>
    <w:rsid w:val="003F0960"/>
    <w:rsid w:val="003F0D07"/>
    <w:rsid w:val="003F37CE"/>
    <w:rsid w:val="003F7E1E"/>
    <w:rsid w:val="00401232"/>
    <w:rsid w:val="00403DAC"/>
    <w:rsid w:val="00404AA2"/>
    <w:rsid w:val="004060FF"/>
    <w:rsid w:val="00406847"/>
    <w:rsid w:val="00414740"/>
    <w:rsid w:val="004165B5"/>
    <w:rsid w:val="004179F6"/>
    <w:rsid w:val="00417EBF"/>
    <w:rsid w:val="00424E07"/>
    <w:rsid w:val="00427445"/>
    <w:rsid w:val="00431B11"/>
    <w:rsid w:val="00432159"/>
    <w:rsid w:val="00433356"/>
    <w:rsid w:val="00433E81"/>
    <w:rsid w:val="00434025"/>
    <w:rsid w:val="004342BA"/>
    <w:rsid w:val="00441C6D"/>
    <w:rsid w:val="004431B2"/>
    <w:rsid w:val="0044377A"/>
    <w:rsid w:val="00447239"/>
    <w:rsid w:val="004479A7"/>
    <w:rsid w:val="00457B25"/>
    <w:rsid w:val="00460B38"/>
    <w:rsid w:val="00467614"/>
    <w:rsid w:val="00467B1B"/>
    <w:rsid w:val="00476BEC"/>
    <w:rsid w:val="00477AD3"/>
    <w:rsid w:val="00481CAB"/>
    <w:rsid w:val="00485B89"/>
    <w:rsid w:val="004A11D1"/>
    <w:rsid w:val="004A1202"/>
    <w:rsid w:val="004A2DD5"/>
    <w:rsid w:val="004A46E7"/>
    <w:rsid w:val="004A6848"/>
    <w:rsid w:val="004A697C"/>
    <w:rsid w:val="004B4C6F"/>
    <w:rsid w:val="004B6F59"/>
    <w:rsid w:val="004B71D6"/>
    <w:rsid w:val="004B7D7E"/>
    <w:rsid w:val="004C4714"/>
    <w:rsid w:val="004C5677"/>
    <w:rsid w:val="004C7108"/>
    <w:rsid w:val="004C766A"/>
    <w:rsid w:val="004C7F27"/>
    <w:rsid w:val="004D17F2"/>
    <w:rsid w:val="004D1C55"/>
    <w:rsid w:val="004D6C31"/>
    <w:rsid w:val="004E11BB"/>
    <w:rsid w:val="004E4948"/>
    <w:rsid w:val="004E5250"/>
    <w:rsid w:val="004E63C9"/>
    <w:rsid w:val="004E7730"/>
    <w:rsid w:val="004F0256"/>
    <w:rsid w:val="004F287A"/>
    <w:rsid w:val="005001D6"/>
    <w:rsid w:val="00502FAA"/>
    <w:rsid w:val="0050349D"/>
    <w:rsid w:val="0050487A"/>
    <w:rsid w:val="0050511E"/>
    <w:rsid w:val="00511842"/>
    <w:rsid w:val="00511AA7"/>
    <w:rsid w:val="00512413"/>
    <w:rsid w:val="00512EC5"/>
    <w:rsid w:val="005135DA"/>
    <w:rsid w:val="00514190"/>
    <w:rsid w:val="00514B1B"/>
    <w:rsid w:val="0051579B"/>
    <w:rsid w:val="00530EC0"/>
    <w:rsid w:val="005344B7"/>
    <w:rsid w:val="005348E9"/>
    <w:rsid w:val="00535EE8"/>
    <w:rsid w:val="00537DF2"/>
    <w:rsid w:val="00545381"/>
    <w:rsid w:val="005469B4"/>
    <w:rsid w:val="00547956"/>
    <w:rsid w:val="00550A3F"/>
    <w:rsid w:val="00550F9A"/>
    <w:rsid w:val="00552A4A"/>
    <w:rsid w:val="00553882"/>
    <w:rsid w:val="00555410"/>
    <w:rsid w:val="00556DDA"/>
    <w:rsid w:val="00557E0D"/>
    <w:rsid w:val="00560285"/>
    <w:rsid w:val="00560803"/>
    <w:rsid w:val="00565C9A"/>
    <w:rsid w:val="00571C3A"/>
    <w:rsid w:val="005740A9"/>
    <w:rsid w:val="00574A76"/>
    <w:rsid w:val="005774CE"/>
    <w:rsid w:val="00584E7D"/>
    <w:rsid w:val="00584FD6"/>
    <w:rsid w:val="00590527"/>
    <w:rsid w:val="0059431A"/>
    <w:rsid w:val="00594BCB"/>
    <w:rsid w:val="005955C8"/>
    <w:rsid w:val="005A7183"/>
    <w:rsid w:val="005A762F"/>
    <w:rsid w:val="005B0050"/>
    <w:rsid w:val="005B37F8"/>
    <w:rsid w:val="005B54EA"/>
    <w:rsid w:val="005C3AD4"/>
    <w:rsid w:val="005C50AA"/>
    <w:rsid w:val="005D1A3E"/>
    <w:rsid w:val="005D1D6E"/>
    <w:rsid w:val="005D2267"/>
    <w:rsid w:val="005D5393"/>
    <w:rsid w:val="005D6F2E"/>
    <w:rsid w:val="005D78E6"/>
    <w:rsid w:val="005E2AB4"/>
    <w:rsid w:val="005E6AD2"/>
    <w:rsid w:val="005F08BF"/>
    <w:rsid w:val="005F3B64"/>
    <w:rsid w:val="005F3F0A"/>
    <w:rsid w:val="005F48D7"/>
    <w:rsid w:val="005F56F9"/>
    <w:rsid w:val="005F699A"/>
    <w:rsid w:val="00603F24"/>
    <w:rsid w:val="0060404F"/>
    <w:rsid w:val="00604F7D"/>
    <w:rsid w:val="0061279A"/>
    <w:rsid w:val="00612B23"/>
    <w:rsid w:val="006175CA"/>
    <w:rsid w:val="00622657"/>
    <w:rsid w:val="00623FE3"/>
    <w:rsid w:val="00625344"/>
    <w:rsid w:val="006261C4"/>
    <w:rsid w:val="0062627E"/>
    <w:rsid w:val="006272C4"/>
    <w:rsid w:val="00627612"/>
    <w:rsid w:val="00627BE5"/>
    <w:rsid w:val="0063067E"/>
    <w:rsid w:val="006309CE"/>
    <w:rsid w:val="00632CD4"/>
    <w:rsid w:val="00636573"/>
    <w:rsid w:val="00640012"/>
    <w:rsid w:val="00641601"/>
    <w:rsid w:val="00642362"/>
    <w:rsid w:val="006549AE"/>
    <w:rsid w:val="00660DBF"/>
    <w:rsid w:val="0066193F"/>
    <w:rsid w:val="00663E6F"/>
    <w:rsid w:val="0066407A"/>
    <w:rsid w:val="006640F5"/>
    <w:rsid w:val="006650D7"/>
    <w:rsid w:val="006703DB"/>
    <w:rsid w:val="00671532"/>
    <w:rsid w:val="006732DA"/>
    <w:rsid w:val="00676EA6"/>
    <w:rsid w:val="00680AAC"/>
    <w:rsid w:val="006811A1"/>
    <w:rsid w:val="006847BB"/>
    <w:rsid w:val="00685BBF"/>
    <w:rsid w:val="006860B2"/>
    <w:rsid w:val="0068726D"/>
    <w:rsid w:val="00690784"/>
    <w:rsid w:val="006911AE"/>
    <w:rsid w:val="00694515"/>
    <w:rsid w:val="006965CF"/>
    <w:rsid w:val="006A0C32"/>
    <w:rsid w:val="006A209D"/>
    <w:rsid w:val="006A29A4"/>
    <w:rsid w:val="006A7EC1"/>
    <w:rsid w:val="006A7F85"/>
    <w:rsid w:val="006B02A9"/>
    <w:rsid w:val="006B3430"/>
    <w:rsid w:val="006B4106"/>
    <w:rsid w:val="006B4622"/>
    <w:rsid w:val="006B5062"/>
    <w:rsid w:val="006B5C57"/>
    <w:rsid w:val="006B6E2A"/>
    <w:rsid w:val="006C52A9"/>
    <w:rsid w:val="006D4992"/>
    <w:rsid w:val="006D7C7A"/>
    <w:rsid w:val="006E1C71"/>
    <w:rsid w:val="006E3FD6"/>
    <w:rsid w:val="006E4E47"/>
    <w:rsid w:val="006E67ED"/>
    <w:rsid w:val="006F08B3"/>
    <w:rsid w:val="006F209B"/>
    <w:rsid w:val="006F795D"/>
    <w:rsid w:val="006F7CFE"/>
    <w:rsid w:val="00703F63"/>
    <w:rsid w:val="00706AF4"/>
    <w:rsid w:val="00711DFF"/>
    <w:rsid w:val="007127EC"/>
    <w:rsid w:val="00714187"/>
    <w:rsid w:val="007142BA"/>
    <w:rsid w:val="00714DF5"/>
    <w:rsid w:val="007159C6"/>
    <w:rsid w:val="00715D15"/>
    <w:rsid w:val="00715F61"/>
    <w:rsid w:val="0071690D"/>
    <w:rsid w:val="00717A81"/>
    <w:rsid w:val="00720EEA"/>
    <w:rsid w:val="007210A1"/>
    <w:rsid w:val="007231BA"/>
    <w:rsid w:val="00730504"/>
    <w:rsid w:val="00731127"/>
    <w:rsid w:val="007326A3"/>
    <w:rsid w:val="007337E2"/>
    <w:rsid w:val="00733C51"/>
    <w:rsid w:val="00735757"/>
    <w:rsid w:val="00745132"/>
    <w:rsid w:val="00746CE4"/>
    <w:rsid w:val="0074750A"/>
    <w:rsid w:val="00747C6C"/>
    <w:rsid w:val="0075309F"/>
    <w:rsid w:val="0075448D"/>
    <w:rsid w:val="0075640B"/>
    <w:rsid w:val="007604DD"/>
    <w:rsid w:val="00760E3D"/>
    <w:rsid w:val="0076326E"/>
    <w:rsid w:val="00764202"/>
    <w:rsid w:val="0076516F"/>
    <w:rsid w:val="0077789A"/>
    <w:rsid w:val="007831B7"/>
    <w:rsid w:val="00783C3D"/>
    <w:rsid w:val="0078605B"/>
    <w:rsid w:val="00787F42"/>
    <w:rsid w:val="00790906"/>
    <w:rsid w:val="007936EB"/>
    <w:rsid w:val="00796980"/>
    <w:rsid w:val="00796B73"/>
    <w:rsid w:val="007A092A"/>
    <w:rsid w:val="007A0B6F"/>
    <w:rsid w:val="007A2649"/>
    <w:rsid w:val="007A2A2D"/>
    <w:rsid w:val="007A6D6D"/>
    <w:rsid w:val="007B1F93"/>
    <w:rsid w:val="007B2978"/>
    <w:rsid w:val="007B2A3D"/>
    <w:rsid w:val="007B2E43"/>
    <w:rsid w:val="007B375B"/>
    <w:rsid w:val="007B51B0"/>
    <w:rsid w:val="007B54CD"/>
    <w:rsid w:val="007B76D6"/>
    <w:rsid w:val="007B7786"/>
    <w:rsid w:val="007C38F7"/>
    <w:rsid w:val="007C3CF7"/>
    <w:rsid w:val="007D18F8"/>
    <w:rsid w:val="007D1B6F"/>
    <w:rsid w:val="007D31EF"/>
    <w:rsid w:val="007D677A"/>
    <w:rsid w:val="007D7025"/>
    <w:rsid w:val="007E150D"/>
    <w:rsid w:val="007E3DB4"/>
    <w:rsid w:val="007E4308"/>
    <w:rsid w:val="007E5847"/>
    <w:rsid w:val="007E614B"/>
    <w:rsid w:val="007E76A0"/>
    <w:rsid w:val="007E7C62"/>
    <w:rsid w:val="007F0DFF"/>
    <w:rsid w:val="007F285E"/>
    <w:rsid w:val="007F35D9"/>
    <w:rsid w:val="007F5517"/>
    <w:rsid w:val="0080286B"/>
    <w:rsid w:val="008029F9"/>
    <w:rsid w:val="008039CC"/>
    <w:rsid w:val="00805326"/>
    <w:rsid w:val="00805A2C"/>
    <w:rsid w:val="008076B8"/>
    <w:rsid w:val="0081506A"/>
    <w:rsid w:val="008163D5"/>
    <w:rsid w:val="00817D6F"/>
    <w:rsid w:val="00817FD3"/>
    <w:rsid w:val="00827F3E"/>
    <w:rsid w:val="00832EDC"/>
    <w:rsid w:val="00834F0F"/>
    <w:rsid w:val="00835E60"/>
    <w:rsid w:val="00837F25"/>
    <w:rsid w:val="00840B3F"/>
    <w:rsid w:val="00843D3A"/>
    <w:rsid w:val="00844947"/>
    <w:rsid w:val="00850F8C"/>
    <w:rsid w:val="00851F44"/>
    <w:rsid w:val="008540D4"/>
    <w:rsid w:val="008607AD"/>
    <w:rsid w:val="00862EB4"/>
    <w:rsid w:val="00866959"/>
    <w:rsid w:val="00872A3D"/>
    <w:rsid w:val="00876868"/>
    <w:rsid w:val="008806EC"/>
    <w:rsid w:val="008814B7"/>
    <w:rsid w:val="00882640"/>
    <w:rsid w:val="00882C16"/>
    <w:rsid w:val="008843E4"/>
    <w:rsid w:val="00885B82"/>
    <w:rsid w:val="0089166E"/>
    <w:rsid w:val="00892D9D"/>
    <w:rsid w:val="008937CD"/>
    <w:rsid w:val="008962E9"/>
    <w:rsid w:val="008A2333"/>
    <w:rsid w:val="008A31D8"/>
    <w:rsid w:val="008A7AA5"/>
    <w:rsid w:val="008B49DF"/>
    <w:rsid w:val="008B74F1"/>
    <w:rsid w:val="008C1581"/>
    <w:rsid w:val="008C59B7"/>
    <w:rsid w:val="008C716E"/>
    <w:rsid w:val="008D0FBF"/>
    <w:rsid w:val="008D1A3E"/>
    <w:rsid w:val="008D3C78"/>
    <w:rsid w:val="008D4431"/>
    <w:rsid w:val="008D7F10"/>
    <w:rsid w:val="008E0420"/>
    <w:rsid w:val="008E0817"/>
    <w:rsid w:val="008E094F"/>
    <w:rsid w:val="008E0F83"/>
    <w:rsid w:val="008E2E46"/>
    <w:rsid w:val="008E3A3C"/>
    <w:rsid w:val="008E46F8"/>
    <w:rsid w:val="008E6313"/>
    <w:rsid w:val="008E7B9D"/>
    <w:rsid w:val="008E7F61"/>
    <w:rsid w:val="008F00C3"/>
    <w:rsid w:val="008F3B23"/>
    <w:rsid w:val="008F4A3A"/>
    <w:rsid w:val="00900BDD"/>
    <w:rsid w:val="00903920"/>
    <w:rsid w:val="00904943"/>
    <w:rsid w:val="00904E16"/>
    <w:rsid w:val="0090509B"/>
    <w:rsid w:val="00905F72"/>
    <w:rsid w:val="0091176A"/>
    <w:rsid w:val="00912CCF"/>
    <w:rsid w:val="00913788"/>
    <w:rsid w:val="0092005C"/>
    <w:rsid w:val="009203E7"/>
    <w:rsid w:val="00920D26"/>
    <w:rsid w:val="00925A28"/>
    <w:rsid w:val="00926468"/>
    <w:rsid w:val="00926A5D"/>
    <w:rsid w:val="00927637"/>
    <w:rsid w:val="009277DC"/>
    <w:rsid w:val="00930717"/>
    <w:rsid w:val="009341E8"/>
    <w:rsid w:val="009356BF"/>
    <w:rsid w:val="00935F32"/>
    <w:rsid w:val="009402A2"/>
    <w:rsid w:val="0095332B"/>
    <w:rsid w:val="00960AE8"/>
    <w:rsid w:val="009633FE"/>
    <w:rsid w:val="00964C7E"/>
    <w:rsid w:val="00966EA9"/>
    <w:rsid w:val="00967CDD"/>
    <w:rsid w:val="00970E34"/>
    <w:rsid w:val="00972023"/>
    <w:rsid w:val="00975856"/>
    <w:rsid w:val="00980170"/>
    <w:rsid w:val="00983465"/>
    <w:rsid w:val="00983E80"/>
    <w:rsid w:val="00984A2B"/>
    <w:rsid w:val="00984C4C"/>
    <w:rsid w:val="00990758"/>
    <w:rsid w:val="009912C0"/>
    <w:rsid w:val="0099457F"/>
    <w:rsid w:val="009A11BC"/>
    <w:rsid w:val="009A28DF"/>
    <w:rsid w:val="009A6B95"/>
    <w:rsid w:val="009A6D1C"/>
    <w:rsid w:val="009B1624"/>
    <w:rsid w:val="009B417D"/>
    <w:rsid w:val="009B5185"/>
    <w:rsid w:val="009B549E"/>
    <w:rsid w:val="009B5911"/>
    <w:rsid w:val="009B64C5"/>
    <w:rsid w:val="009C03E4"/>
    <w:rsid w:val="009C11E2"/>
    <w:rsid w:val="009C3936"/>
    <w:rsid w:val="009C6C45"/>
    <w:rsid w:val="009C6E95"/>
    <w:rsid w:val="009C7EA9"/>
    <w:rsid w:val="009D1152"/>
    <w:rsid w:val="009D1267"/>
    <w:rsid w:val="009D2949"/>
    <w:rsid w:val="009D4934"/>
    <w:rsid w:val="009D6D83"/>
    <w:rsid w:val="009E01C7"/>
    <w:rsid w:val="009E0F65"/>
    <w:rsid w:val="009E50CF"/>
    <w:rsid w:val="009E5D6A"/>
    <w:rsid w:val="009F0CEA"/>
    <w:rsid w:val="009F1078"/>
    <w:rsid w:val="009F19FF"/>
    <w:rsid w:val="009F4951"/>
    <w:rsid w:val="009F4F02"/>
    <w:rsid w:val="009F5A20"/>
    <w:rsid w:val="009F5DC6"/>
    <w:rsid w:val="009F695D"/>
    <w:rsid w:val="009F6EA8"/>
    <w:rsid w:val="00A00509"/>
    <w:rsid w:val="00A02899"/>
    <w:rsid w:val="00A11FFE"/>
    <w:rsid w:val="00A12523"/>
    <w:rsid w:val="00A12C27"/>
    <w:rsid w:val="00A131A8"/>
    <w:rsid w:val="00A15814"/>
    <w:rsid w:val="00A15F5D"/>
    <w:rsid w:val="00A1678D"/>
    <w:rsid w:val="00A207A9"/>
    <w:rsid w:val="00A208E4"/>
    <w:rsid w:val="00A223AB"/>
    <w:rsid w:val="00A243B4"/>
    <w:rsid w:val="00A2564E"/>
    <w:rsid w:val="00A2723A"/>
    <w:rsid w:val="00A314CC"/>
    <w:rsid w:val="00A32597"/>
    <w:rsid w:val="00A3411E"/>
    <w:rsid w:val="00A35C2F"/>
    <w:rsid w:val="00A35E20"/>
    <w:rsid w:val="00A36920"/>
    <w:rsid w:val="00A36984"/>
    <w:rsid w:val="00A37F64"/>
    <w:rsid w:val="00A4028A"/>
    <w:rsid w:val="00A41126"/>
    <w:rsid w:val="00A41DCE"/>
    <w:rsid w:val="00A4279A"/>
    <w:rsid w:val="00A431FE"/>
    <w:rsid w:val="00A46AE1"/>
    <w:rsid w:val="00A5491E"/>
    <w:rsid w:val="00A57433"/>
    <w:rsid w:val="00A616F2"/>
    <w:rsid w:val="00A652F2"/>
    <w:rsid w:val="00A66DE1"/>
    <w:rsid w:val="00A7144A"/>
    <w:rsid w:val="00A7184E"/>
    <w:rsid w:val="00A73A0A"/>
    <w:rsid w:val="00A75A59"/>
    <w:rsid w:val="00A76757"/>
    <w:rsid w:val="00A76D46"/>
    <w:rsid w:val="00A81122"/>
    <w:rsid w:val="00A81572"/>
    <w:rsid w:val="00A829F5"/>
    <w:rsid w:val="00A83237"/>
    <w:rsid w:val="00A94A47"/>
    <w:rsid w:val="00A950BC"/>
    <w:rsid w:val="00A961BF"/>
    <w:rsid w:val="00AA439F"/>
    <w:rsid w:val="00AB17AB"/>
    <w:rsid w:val="00AB245D"/>
    <w:rsid w:val="00AB2917"/>
    <w:rsid w:val="00AB30E2"/>
    <w:rsid w:val="00AB5357"/>
    <w:rsid w:val="00AB606B"/>
    <w:rsid w:val="00AB6B69"/>
    <w:rsid w:val="00AC30EF"/>
    <w:rsid w:val="00AC5EC4"/>
    <w:rsid w:val="00AD2EC0"/>
    <w:rsid w:val="00AD685B"/>
    <w:rsid w:val="00AD6A42"/>
    <w:rsid w:val="00AE05A0"/>
    <w:rsid w:val="00AE0677"/>
    <w:rsid w:val="00AE2A2B"/>
    <w:rsid w:val="00AE498B"/>
    <w:rsid w:val="00AE5788"/>
    <w:rsid w:val="00AE6DB9"/>
    <w:rsid w:val="00AE717E"/>
    <w:rsid w:val="00AE77CF"/>
    <w:rsid w:val="00AF0332"/>
    <w:rsid w:val="00AF0DA2"/>
    <w:rsid w:val="00AF11D5"/>
    <w:rsid w:val="00AF3951"/>
    <w:rsid w:val="00AF3E08"/>
    <w:rsid w:val="00AF40C3"/>
    <w:rsid w:val="00B06D7C"/>
    <w:rsid w:val="00B07DEA"/>
    <w:rsid w:val="00B104CB"/>
    <w:rsid w:val="00B1127A"/>
    <w:rsid w:val="00B17D47"/>
    <w:rsid w:val="00B222D0"/>
    <w:rsid w:val="00B26044"/>
    <w:rsid w:val="00B27188"/>
    <w:rsid w:val="00B318A7"/>
    <w:rsid w:val="00B31E0C"/>
    <w:rsid w:val="00B3222C"/>
    <w:rsid w:val="00B33785"/>
    <w:rsid w:val="00B40320"/>
    <w:rsid w:val="00B442C8"/>
    <w:rsid w:val="00B45A8F"/>
    <w:rsid w:val="00B536BC"/>
    <w:rsid w:val="00B53904"/>
    <w:rsid w:val="00B54ABC"/>
    <w:rsid w:val="00B5568D"/>
    <w:rsid w:val="00B5601B"/>
    <w:rsid w:val="00B57AB0"/>
    <w:rsid w:val="00B62E60"/>
    <w:rsid w:val="00B62E75"/>
    <w:rsid w:val="00B651FE"/>
    <w:rsid w:val="00B669EA"/>
    <w:rsid w:val="00B7333B"/>
    <w:rsid w:val="00B765C4"/>
    <w:rsid w:val="00B76C9B"/>
    <w:rsid w:val="00B7726D"/>
    <w:rsid w:val="00B80289"/>
    <w:rsid w:val="00B8184B"/>
    <w:rsid w:val="00B81B77"/>
    <w:rsid w:val="00B842F0"/>
    <w:rsid w:val="00B86876"/>
    <w:rsid w:val="00B87A24"/>
    <w:rsid w:val="00B93E73"/>
    <w:rsid w:val="00B9603F"/>
    <w:rsid w:val="00BA1133"/>
    <w:rsid w:val="00BA4416"/>
    <w:rsid w:val="00BA49A5"/>
    <w:rsid w:val="00BA4E07"/>
    <w:rsid w:val="00BA70D0"/>
    <w:rsid w:val="00BB0192"/>
    <w:rsid w:val="00BB04E3"/>
    <w:rsid w:val="00BB1506"/>
    <w:rsid w:val="00BB1AD4"/>
    <w:rsid w:val="00BB1AF0"/>
    <w:rsid w:val="00BB2AF5"/>
    <w:rsid w:val="00BB3AAC"/>
    <w:rsid w:val="00BB589D"/>
    <w:rsid w:val="00BB7074"/>
    <w:rsid w:val="00BB76B6"/>
    <w:rsid w:val="00BC0845"/>
    <w:rsid w:val="00BC107C"/>
    <w:rsid w:val="00BC3586"/>
    <w:rsid w:val="00BD0BD2"/>
    <w:rsid w:val="00BD0F24"/>
    <w:rsid w:val="00BD1835"/>
    <w:rsid w:val="00BD1E43"/>
    <w:rsid w:val="00BD1F5D"/>
    <w:rsid w:val="00BD2591"/>
    <w:rsid w:val="00BD40F6"/>
    <w:rsid w:val="00BD4AA4"/>
    <w:rsid w:val="00BD652A"/>
    <w:rsid w:val="00BD7564"/>
    <w:rsid w:val="00BE04D2"/>
    <w:rsid w:val="00BE2D02"/>
    <w:rsid w:val="00BE2D91"/>
    <w:rsid w:val="00BE70C6"/>
    <w:rsid w:val="00BF44A5"/>
    <w:rsid w:val="00BF536F"/>
    <w:rsid w:val="00C005CF"/>
    <w:rsid w:val="00C02A3B"/>
    <w:rsid w:val="00C053E4"/>
    <w:rsid w:val="00C0770F"/>
    <w:rsid w:val="00C10D3A"/>
    <w:rsid w:val="00C119BE"/>
    <w:rsid w:val="00C141CA"/>
    <w:rsid w:val="00C224A4"/>
    <w:rsid w:val="00C24D52"/>
    <w:rsid w:val="00C266DD"/>
    <w:rsid w:val="00C332A3"/>
    <w:rsid w:val="00C33E91"/>
    <w:rsid w:val="00C34D55"/>
    <w:rsid w:val="00C36F23"/>
    <w:rsid w:val="00C43B8A"/>
    <w:rsid w:val="00C45943"/>
    <w:rsid w:val="00C472C9"/>
    <w:rsid w:val="00C55FD8"/>
    <w:rsid w:val="00C56121"/>
    <w:rsid w:val="00C57347"/>
    <w:rsid w:val="00C634A2"/>
    <w:rsid w:val="00C63997"/>
    <w:rsid w:val="00C70474"/>
    <w:rsid w:val="00C71DB8"/>
    <w:rsid w:val="00C720AA"/>
    <w:rsid w:val="00C72824"/>
    <w:rsid w:val="00C7451E"/>
    <w:rsid w:val="00C77891"/>
    <w:rsid w:val="00C811B7"/>
    <w:rsid w:val="00C83A22"/>
    <w:rsid w:val="00C8524D"/>
    <w:rsid w:val="00C9088E"/>
    <w:rsid w:val="00C927F7"/>
    <w:rsid w:val="00C92DA5"/>
    <w:rsid w:val="00C936C1"/>
    <w:rsid w:val="00C93F03"/>
    <w:rsid w:val="00C951E6"/>
    <w:rsid w:val="00CA33F1"/>
    <w:rsid w:val="00CA50F2"/>
    <w:rsid w:val="00CA58CA"/>
    <w:rsid w:val="00CA68B0"/>
    <w:rsid w:val="00CB00FB"/>
    <w:rsid w:val="00CB139E"/>
    <w:rsid w:val="00CB24AD"/>
    <w:rsid w:val="00CB5B2D"/>
    <w:rsid w:val="00CC32E0"/>
    <w:rsid w:val="00CC37AC"/>
    <w:rsid w:val="00CC42A1"/>
    <w:rsid w:val="00CC5958"/>
    <w:rsid w:val="00CC5EBA"/>
    <w:rsid w:val="00CC5F8C"/>
    <w:rsid w:val="00CC7E8C"/>
    <w:rsid w:val="00CD0765"/>
    <w:rsid w:val="00CD2549"/>
    <w:rsid w:val="00CD30AB"/>
    <w:rsid w:val="00CD6333"/>
    <w:rsid w:val="00CD637C"/>
    <w:rsid w:val="00CD72DC"/>
    <w:rsid w:val="00CE2181"/>
    <w:rsid w:val="00CE3D84"/>
    <w:rsid w:val="00CF2C8A"/>
    <w:rsid w:val="00CF4E47"/>
    <w:rsid w:val="00CF5F67"/>
    <w:rsid w:val="00CF6642"/>
    <w:rsid w:val="00D05262"/>
    <w:rsid w:val="00D078BE"/>
    <w:rsid w:val="00D1054C"/>
    <w:rsid w:val="00D1717D"/>
    <w:rsid w:val="00D171C9"/>
    <w:rsid w:val="00D171E4"/>
    <w:rsid w:val="00D17BE8"/>
    <w:rsid w:val="00D2032B"/>
    <w:rsid w:val="00D2278F"/>
    <w:rsid w:val="00D25CA1"/>
    <w:rsid w:val="00D25D7A"/>
    <w:rsid w:val="00D26433"/>
    <w:rsid w:val="00D2702B"/>
    <w:rsid w:val="00D3253E"/>
    <w:rsid w:val="00D41291"/>
    <w:rsid w:val="00D45652"/>
    <w:rsid w:val="00D53B3E"/>
    <w:rsid w:val="00D53D1E"/>
    <w:rsid w:val="00D57366"/>
    <w:rsid w:val="00D60A0A"/>
    <w:rsid w:val="00D674C5"/>
    <w:rsid w:val="00D67B4A"/>
    <w:rsid w:val="00D70087"/>
    <w:rsid w:val="00D700C2"/>
    <w:rsid w:val="00D73CE1"/>
    <w:rsid w:val="00D74432"/>
    <w:rsid w:val="00D74D0C"/>
    <w:rsid w:val="00D769A5"/>
    <w:rsid w:val="00D772D1"/>
    <w:rsid w:val="00D805BE"/>
    <w:rsid w:val="00D80A22"/>
    <w:rsid w:val="00D857D7"/>
    <w:rsid w:val="00D86417"/>
    <w:rsid w:val="00D91F11"/>
    <w:rsid w:val="00D9335C"/>
    <w:rsid w:val="00D95377"/>
    <w:rsid w:val="00DA26EB"/>
    <w:rsid w:val="00DA2A48"/>
    <w:rsid w:val="00DA360B"/>
    <w:rsid w:val="00DA5BA7"/>
    <w:rsid w:val="00DA6C16"/>
    <w:rsid w:val="00DA7103"/>
    <w:rsid w:val="00DB1343"/>
    <w:rsid w:val="00DB29F3"/>
    <w:rsid w:val="00DB3596"/>
    <w:rsid w:val="00DB61C1"/>
    <w:rsid w:val="00DC707C"/>
    <w:rsid w:val="00DD03F0"/>
    <w:rsid w:val="00DD12C7"/>
    <w:rsid w:val="00DD2EA1"/>
    <w:rsid w:val="00DD6FAD"/>
    <w:rsid w:val="00DE0574"/>
    <w:rsid w:val="00DE0B21"/>
    <w:rsid w:val="00DE1049"/>
    <w:rsid w:val="00DE1274"/>
    <w:rsid w:val="00DE7197"/>
    <w:rsid w:val="00DF11D9"/>
    <w:rsid w:val="00DF369F"/>
    <w:rsid w:val="00E007C2"/>
    <w:rsid w:val="00E031E3"/>
    <w:rsid w:val="00E04751"/>
    <w:rsid w:val="00E05077"/>
    <w:rsid w:val="00E05975"/>
    <w:rsid w:val="00E12647"/>
    <w:rsid w:val="00E13471"/>
    <w:rsid w:val="00E1483F"/>
    <w:rsid w:val="00E16FAC"/>
    <w:rsid w:val="00E224BD"/>
    <w:rsid w:val="00E24800"/>
    <w:rsid w:val="00E25850"/>
    <w:rsid w:val="00E273E0"/>
    <w:rsid w:val="00E276C6"/>
    <w:rsid w:val="00E3083A"/>
    <w:rsid w:val="00E30D3C"/>
    <w:rsid w:val="00E33290"/>
    <w:rsid w:val="00E352B2"/>
    <w:rsid w:val="00E36ABA"/>
    <w:rsid w:val="00E36B5C"/>
    <w:rsid w:val="00E43150"/>
    <w:rsid w:val="00E45A33"/>
    <w:rsid w:val="00E50A9D"/>
    <w:rsid w:val="00E544E8"/>
    <w:rsid w:val="00E54A68"/>
    <w:rsid w:val="00E55BE6"/>
    <w:rsid w:val="00E55FA3"/>
    <w:rsid w:val="00E5628E"/>
    <w:rsid w:val="00E56CAC"/>
    <w:rsid w:val="00E60D9F"/>
    <w:rsid w:val="00E619E2"/>
    <w:rsid w:val="00E6204F"/>
    <w:rsid w:val="00E70174"/>
    <w:rsid w:val="00E70AE4"/>
    <w:rsid w:val="00E7174B"/>
    <w:rsid w:val="00E736FB"/>
    <w:rsid w:val="00E76605"/>
    <w:rsid w:val="00E76A59"/>
    <w:rsid w:val="00E805D9"/>
    <w:rsid w:val="00E81B77"/>
    <w:rsid w:val="00E8454A"/>
    <w:rsid w:val="00E84814"/>
    <w:rsid w:val="00E9261C"/>
    <w:rsid w:val="00E943B6"/>
    <w:rsid w:val="00E9447E"/>
    <w:rsid w:val="00E94CCB"/>
    <w:rsid w:val="00E967A8"/>
    <w:rsid w:val="00EA11CB"/>
    <w:rsid w:val="00EA5954"/>
    <w:rsid w:val="00EA5F3C"/>
    <w:rsid w:val="00EB30D5"/>
    <w:rsid w:val="00EB5C5B"/>
    <w:rsid w:val="00EC2B8E"/>
    <w:rsid w:val="00EC3361"/>
    <w:rsid w:val="00ED0ADD"/>
    <w:rsid w:val="00ED0CAE"/>
    <w:rsid w:val="00ED0DDB"/>
    <w:rsid w:val="00ED77BE"/>
    <w:rsid w:val="00EE21E6"/>
    <w:rsid w:val="00EE50FE"/>
    <w:rsid w:val="00EE5118"/>
    <w:rsid w:val="00EF06E7"/>
    <w:rsid w:val="00EF1C7D"/>
    <w:rsid w:val="00EF25D8"/>
    <w:rsid w:val="00EF38C0"/>
    <w:rsid w:val="00EF79F9"/>
    <w:rsid w:val="00F01236"/>
    <w:rsid w:val="00F04721"/>
    <w:rsid w:val="00F056B2"/>
    <w:rsid w:val="00F05F98"/>
    <w:rsid w:val="00F06457"/>
    <w:rsid w:val="00F13DC5"/>
    <w:rsid w:val="00F15842"/>
    <w:rsid w:val="00F16590"/>
    <w:rsid w:val="00F1768D"/>
    <w:rsid w:val="00F21540"/>
    <w:rsid w:val="00F2286E"/>
    <w:rsid w:val="00F26682"/>
    <w:rsid w:val="00F30821"/>
    <w:rsid w:val="00F33B0B"/>
    <w:rsid w:val="00F377EC"/>
    <w:rsid w:val="00F40441"/>
    <w:rsid w:val="00F40CE3"/>
    <w:rsid w:val="00F40FA9"/>
    <w:rsid w:val="00F425DF"/>
    <w:rsid w:val="00F43C98"/>
    <w:rsid w:val="00F43CFA"/>
    <w:rsid w:val="00F459DC"/>
    <w:rsid w:val="00F46C4E"/>
    <w:rsid w:val="00F52F5C"/>
    <w:rsid w:val="00F54AB0"/>
    <w:rsid w:val="00F5776E"/>
    <w:rsid w:val="00F60BEE"/>
    <w:rsid w:val="00F6262B"/>
    <w:rsid w:val="00F71719"/>
    <w:rsid w:val="00F77950"/>
    <w:rsid w:val="00F8181D"/>
    <w:rsid w:val="00F8269F"/>
    <w:rsid w:val="00F84CBF"/>
    <w:rsid w:val="00F92ACB"/>
    <w:rsid w:val="00F96653"/>
    <w:rsid w:val="00F9792B"/>
    <w:rsid w:val="00F97A53"/>
    <w:rsid w:val="00FA4B69"/>
    <w:rsid w:val="00FA718F"/>
    <w:rsid w:val="00FB0607"/>
    <w:rsid w:val="00FB0A27"/>
    <w:rsid w:val="00FB10CF"/>
    <w:rsid w:val="00FB1FE9"/>
    <w:rsid w:val="00FB2568"/>
    <w:rsid w:val="00FB26C1"/>
    <w:rsid w:val="00FB6A2B"/>
    <w:rsid w:val="00FC046E"/>
    <w:rsid w:val="00FC0807"/>
    <w:rsid w:val="00FC1240"/>
    <w:rsid w:val="00FC3791"/>
    <w:rsid w:val="00FD1210"/>
    <w:rsid w:val="00FD2393"/>
    <w:rsid w:val="00FD6E6B"/>
    <w:rsid w:val="00FE0205"/>
    <w:rsid w:val="00FE04C7"/>
    <w:rsid w:val="00FE31A7"/>
    <w:rsid w:val="00FE38A2"/>
    <w:rsid w:val="00FE3A6E"/>
    <w:rsid w:val="00FE5557"/>
    <w:rsid w:val="00FE6023"/>
    <w:rsid w:val="00FE6D4C"/>
    <w:rsid w:val="00FE6F73"/>
    <w:rsid w:val="00FF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506D77"/>
  <w15:docId w15:val="{C839B265-B7C3-433F-A0F2-A8255E0B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5776E"/>
    <w:rPr>
      <w:rFonts w:ascii="Arial" w:hAnsi="Arial"/>
      <w:sz w:val="18"/>
    </w:rPr>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uiPriority w:val="99"/>
    <w:semiHidden/>
    <w:rsid w:val="00A57433"/>
    <w:rPr>
      <w:sz w:val="16"/>
      <w:szCs w:val="16"/>
    </w:rPr>
  </w:style>
  <w:style w:type="paragraph" w:styleId="CommentText">
    <w:name w:val="annotation text"/>
    <w:basedOn w:val="Normal"/>
    <w:link w:val="CommentTextChar"/>
    <w:uiPriority w:val="99"/>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5B54EA"/>
    <w:rPr>
      <w:b/>
      <w:bCs/>
    </w:rPr>
  </w:style>
  <w:style w:type="character" w:customStyle="1" w:styleId="CommentTextChar">
    <w:name w:val="Comment Text Char"/>
    <w:basedOn w:val="DefaultParagraphFont"/>
    <w:link w:val="CommentText"/>
    <w:uiPriority w:val="99"/>
    <w:semiHidden/>
    <w:rsid w:val="005B54EA"/>
  </w:style>
  <w:style w:type="character" w:customStyle="1" w:styleId="CommentSubjectChar">
    <w:name w:val="Comment Subject Char"/>
    <w:link w:val="CommentSubject"/>
    <w:rsid w:val="005B54EA"/>
    <w:rPr>
      <w:b/>
      <w:bCs/>
    </w:rPr>
  </w:style>
  <w:style w:type="character" w:styleId="Hyperlink">
    <w:name w:val="Hyperlink"/>
    <w:rsid w:val="00267734"/>
    <w:rPr>
      <w:color w:val="0000FF"/>
      <w:u w:val="single"/>
    </w:rPr>
  </w:style>
  <w:style w:type="character" w:customStyle="1" w:styleId="Style">
    <w:name w:val="Style"/>
    <w:rsid w:val="00F5776E"/>
    <w:rPr>
      <w:rFonts w:ascii="Arial" w:hAnsi="Arial"/>
      <w:sz w:val="20"/>
      <w:vertAlign w:val="superscript"/>
    </w:rPr>
  </w:style>
  <w:style w:type="character" w:styleId="FollowedHyperlink">
    <w:name w:val="FollowedHyperlink"/>
    <w:rsid w:val="00F5776E"/>
    <w:rPr>
      <w:color w:val="800080"/>
      <w:u w:val="single"/>
    </w:rPr>
  </w:style>
  <w:style w:type="paragraph" w:styleId="NormalWeb">
    <w:name w:val="Normal (Web)"/>
    <w:basedOn w:val="Normal"/>
    <w:rsid w:val="002002D7"/>
    <w:pPr>
      <w:widowControl/>
      <w:autoSpaceDE/>
      <w:autoSpaceDN/>
      <w:adjustRightInd/>
      <w:spacing w:before="100" w:beforeAutospacing="1" w:after="100" w:afterAutospacing="1"/>
    </w:pPr>
  </w:style>
  <w:style w:type="paragraph" w:customStyle="1" w:styleId="Level1">
    <w:name w:val="Level 1"/>
    <w:basedOn w:val="Normal"/>
    <w:rsid w:val="00AB17AB"/>
    <w:pPr>
      <w:autoSpaceDE/>
      <w:autoSpaceDN/>
      <w:adjustRightInd/>
    </w:pPr>
    <w:rPr>
      <w:szCs w:val="20"/>
    </w:rPr>
  </w:style>
  <w:style w:type="paragraph" w:styleId="Revision">
    <w:name w:val="Revision"/>
    <w:hidden/>
    <w:uiPriority w:val="99"/>
    <w:semiHidden/>
    <w:rsid w:val="006911AE"/>
    <w:rPr>
      <w:sz w:val="24"/>
      <w:szCs w:val="24"/>
    </w:rPr>
  </w:style>
  <w:style w:type="paragraph" w:styleId="ListBullet">
    <w:name w:val="List Bullet"/>
    <w:basedOn w:val="Normal"/>
    <w:uiPriority w:val="99"/>
    <w:unhideWhenUsed/>
    <w:rsid w:val="00C70474"/>
    <w:pPr>
      <w:widowControl/>
      <w:numPr>
        <w:numId w:val="9"/>
      </w:numPr>
      <w:autoSpaceDE/>
      <w:autoSpaceDN/>
      <w:adjustRightInd/>
      <w:spacing w:line="276" w:lineRule="auto"/>
      <w:contextualSpacing/>
    </w:pPr>
    <w:rPr>
      <w:rFonts w:ascii="Arial" w:eastAsiaTheme="minorHAnsi" w:hAnsi="Arial" w:cs="Arial"/>
      <w:sz w:val="22"/>
      <w:szCs w:val="22"/>
    </w:rPr>
  </w:style>
  <w:style w:type="paragraph" w:styleId="ListParagraph">
    <w:name w:val="List Paragraph"/>
    <w:basedOn w:val="Normal"/>
    <w:uiPriority w:val="34"/>
    <w:qFormat/>
    <w:rsid w:val="00C70474"/>
    <w:pPr>
      <w:widowControl/>
      <w:autoSpaceDE/>
      <w:autoSpaceDN/>
      <w:adjustRightInd/>
      <w:spacing w:line="276" w:lineRule="auto"/>
      <w:ind w:left="720"/>
      <w:contextualSpacing/>
    </w:pPr>
    <w:rPr>
      <w:rFonts w:ascii="Arial" w:eastAsiaTheme="minorHAnsi" w:hAnsi="Arial" w:cs="Arial"/>
      <w:sz w:val="22"/>
      <w:szCs w:val="22"/>
    </w:rPr>
  </w:style>
  <w:style w:type="paragraph" w:customStyle="1" w:styleId="Default">
    <w:name w:val="Default"/>
    <w:rsid w:val="00E050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8858">
      <w:bodyDiv w:val="1"/>
      <w:marLeft w:val="0"/>
      <w:marRight w:val="0"/>
      <w:marTop w:val="0"/>
      <w:marBottom w:val="0"/>
      <w:divBdr>
        <w:top w:val="none" w:sz="0" w:space="0" w:color="auto"/>
        <w:left w:val="none" w:sz="0" w:space="0" w:color="auto"/>
        <w:bottom w:val="none" w:sz="0" w:space="0" w:color="auto"/>
        <w:right w:val="none" w:sz="0" w:space="0" w:color="auto"/>
      </w:divBdr>
    </w:div>
    <w:div w:id="102000060">
      <w:bodyDiv w:val="1"/>
      <w:marLeft w:val="0"/>
      <w:marRight w:val="0"/>
      <w:marTop w:val="0"/>
      <w:marBottom w:val="0"/>
      <w:divBdr>
        <w:top w:val="none" w:sz="0" w:space="0" w:color="auto"/>
        <w:left w:val="none" w:sz="0" w:space="0" w:color="auto"/>
        <w:bottom w:val="none" w:sz="0" w:space="0" w:color="auto"/>
        <w:right w:val="none" w:sz="0" w:space="0" w:color="auto"/>
      </w:divBdr>
    </w:div>
    <w:div w:id="167251591">
      <w:bodyDiv w:val="1"/>
      <w:marLeft w:val="0"/>
      <w:marRight w:val="0"/>
      <w:marTop w:val="0"/>
      <w:marBottom w:val="0"/>
      <w:divBdr>
        <w:top w:val="none" w:sz="0" w:space="0" w:color="auto"/>
        <w:left w:val="none" w:sz="0" w:space="0" w:color="auto"/>
        <w:bottom w:val="none" w:sz="0" w:space="0" w:color="auto"/>
        <w:right w:val="none" w:sz="0" w:space="0" w:color="auto"/>
      </w:divBdr>
    </w:div>
    <w:div w:id="205679834">
      <w:bodyDiv w:val="1"/>
      <w:marLeft w:val="0"/>
      <w:marRight w:val="0"/>
      <w:marTop w:val="0"/>
      <w:marBottom w:val="0"/>
      <w:divBdr>
        <w:top w:val="none" w:sz="0" w:space="0" w:color="auto"/>
        <w:left w:val="none" w:sz="0" w:space="0" w:color="auto"/>
        <w:bottom w:val="none" w:sz="0" w:space="0" w:color="auto"/>
        <w:right w:val="none" w:sz="0" w:space="0" w:color="auto"/>
      </w:divBdr>
    </w:div>
    <w:div w:id="246037361">
      <w:bodyDiv w:val="1"/>
      <w:marLeft w:val="0"/>
      <w:marRight w:val="0"/>
      <w:marTop w:val="0"/>
      <w:marBottom w:val="0"/>
      <w:divBdr>
        <w:top w:val="none" w:sz="0" w:space="0" w:color="auto"/>
        <w:left w:val="none" w:sz="0" w:space="0" w:color="auto"/>
        <w:bottom w:val="none" w:sz="0" w:space="0" w:color="auto"/>
        <w:right w:val="none" w:sz="0" w:space="0" w:color="auto"/>
      </w:divBdr>
    </w:div>
    <w:div w:id="277881484">
      <w:bodyDiv w:val="1"/>
      <w:marLeft w:val="0"/>
      <w:marRight w:val="0"/>
      <w:marTop w:val="0"/>
      <w:marBottom w:val="0"/>
      <w:divBdr>
        <w:top w:val="none" w:sz="0" w:space="0" w:color="auto"/>
        <w:left w:val="none" w:sz="0" w:space="0" w:color="auto"/>
        <w:bottom w:val="none" w:sz="0" w:space="0" w:color="auto"/>
        <w:right w:val="none" w:sz="0" w:space="0" w:color="auto"/>
      </w:divBdr>
    </w:div>
    <w:div w:id="317074235">
      <w:bodyDiv w:val="1"/>
      <w:marLeft w:val="0"/>
      <w:marRight w:val="0"/>
      <w:marTop w:val="0"/>
      <w:marBottom w:val="0"/>
      <w:divBdr>
        <w:top w:val="none" w:sz="0" w:space="0" w:color="auto"/>
        <w:left w:val="none" w:sz="0" w:space="0" w:color="auto"/>
        <w:bottom w:val="none" w:sz="0" w:space="0" w:color="auto"/>
        <w:right w:val="none" w:sz="0" w:space="0" w:color="auto"/>
      </w:divBdr>
    </w:div>
    <w:div w:id="320084930">
      <w:bodyDiv w:val="1"/>
      <w:marLeft w:val="0"/>
      <w:marRight w:val="0"/>
      <w:marTop w:val="0"/>
      <w:marBottom w:val="0"/>
      <w:divBdr>
        <w:top w:val="none" w:sz="0" w:space="0" w:color="auto"/>
        <w:left w:val="none" w:sz="0" w:space="0" w:color="auto"/>
        <w:bottom w:val="none" w:sz="0" w:space="0" w:color="auto"/>
        <w:right w:val="none" w:sz="0" w:space="0" w:color="auto"/>
      </w:divBdr>
    </w:div>
    <w:div w:id="356204272">
      <w:bodyDiv w:val="1"/>
      <w:marLeft w:val="0"/>
      <w:marRight w:val="0"/>
      <w:marTop w:val="0"/>
      <w:marBottom w:val="0"/>
      <w:divBdr>
        <w:top w:val="none" w:sz="0" w:space="0" w:color="auto"/>
        <w:left w:val="none" w:sz="0" w:space="0" w:color="auto"/>
        <w:bottom w:val="none" w:sz="0" w:space="0" w:color="auto"/>
        <w:right w:val="none" w:sz="0" w:space="0" w:color="auto"/>
      </w:divBdr>
    </w:div>
    <w:div w:id="425198983">
      <w:bodyDiv w:val="1"/>
      <w:marLeft w:val="0"/>
      <w:marRight w:val="0"/>
      <w:marTop w:val="0"/>
      <w:marBottom w:val="0"/>
      <w:divBdr>
        <w:top w:val="none" w:sz="0" w:space="0" w:color="auto"/>
        <w:left w:val="none" w:sz="0" w:space="0" w:color="auto"/>
        <w:bottom w:val="none" w:sz="0" w:space="0" w:color="auto"/>
        <w:right w:val="none" w:sz="0" w:space="0" w:color="auto"/>
      </w:divBdr>
    </w:div>
    <w:div w:id="456535973">
      <w:bodyDiv w:val="1"/>
      <w:marLeft w:val="0"/>
      <w:marRight w:val="0"/>
      <w:marTop w:val="0"/>
      <w:marBottom w:val="0"/>
      <w:divBdr>
        <w:top w:val="none" w:sz="0" w:space="0" w:color="auto"/>
        <w:left w:val="none" w:sz="0" w:space="0" w:color="auto"/>
        <w:bottom w:val="none" w:sz="0" w:space="0" w:color="auto"/>
        <w:right w:val="none" w:sz="0" w:space="0" w:color="auto"/>
      </w:divBdr>
    </w:div>
    <w:div w:id="468212231">
      <w:bodyDiv w:val="1"/>
      <w:marLeft w:val="0"/>
      <w:marRight w:val="0"/>
      <w:marTop w:val="0"/>
      <w:marBottom w:val="0"/>
      <w:divBdr>
        <w:top w:val="none" w:sz="0" w:space="0" w:color="auto"/>
        <w:left w:val="none" w:sz="0" w:space="0" w:color="auto"/>
        <w:bottom w:val="none" w:sz="0" w:space="0" w:color="auto"/>
        <w:right w:val="none" w:sz="0" w:space="0" w:color="auto"/>
      </w:divBdr>
    </w:div>
    <w:div w:id="514225201">
      <w:bodyDiv w:val="1"/>
      <w:marLeft w:val="0"/>
      <w:marRight w:val="0"/>
      <w:marTop w:val="0"/>
      <w:marBottom w:val="0"/>
      <w:divBdr>
        <w:top w:val="none" w:sz="0" w:space="0" w:color="auto"/>
        <w:left w:val="none" w:sz="0" w:space="0" w:color="auto"/>
        <w:bottom w:val="none" w:sz="0" w:space="0" w:color="auto"/>
        <w:right w:val="none" w:sz="0" w:space="0" w:color="auto"/>
      </w:divBdr>
    </w:div>
    <w:div w:id="557284273">
      <w:bodyDiv w:val="1"/>
      <w:marLeft w:val="0"/>
      <w:marRight w:val="0"/>
      <w:marTop w:val="0"/>
      <w:marBottom w:val="0"/>
      <w:divBdr>
        <w:top w:val="none" w:sz="0" w:space="0" w:color="auto"/>
        <w:left w:val="none" w:sz="0" w:space="0" w:color="auto"/>
        <w:bottom w:val="none" w:sz="0" w:space="0" w:color="auto"/>
        <w:right w:val="none" w:sz="0" w:space="0" w:color="auto"/>
      </w:divBdr>
    </w:div>
    <w:div w:id="591814267">
      <w:bodyDiv w:val="1"/>
      <w:marLeft w:val="0"/>
      <w:marRight w:val="0"/>
      <w:marTop w:val="0"/>
      <w:marBottom w:val="0"/>
      <w:divBdr>
        <w:top w:val="none" w:sz="0" w:space="0" w:color="auto"/>
        <w:left w:val="none" w:sz="0" w:space="0" w:color="auto"/>
        <w:bottom w:val="none" w:sz="0" w:space="0" w:color="auto"/>
        <w:right w:val="none" w:sz="0" w:space="0" w:color="auto"/>
      </w:divBdr>
    </w:div>
    <w:div w:id="647519751">
      <w:bodyDiv w:val="1"/>
      <w:marLeft w:val="0"/>
      <w:marRight w:val="0"/>
      <w:marTop w:val="0"/>
      <w:marBottom w:val="0"/>
      <w:divBdr>
        <w:top w:val="none" w:sz="0" w:space="0" w:color="auto"/>
        <w:left w:val="none" w:sz="0" w:space="0" w:color="auto"/>
        <w:bottom w:val="none" w:sz="0" w:space="0" w:color="auto"/>
        <w:right w:val="none" w:sz="0" w:space="0" w:color="auto"/>
      </w:divBdr>
    </w:div>
    <w:div w:id="680862465">
      <w:bodyDiv w:val="1"/>
      <w:marLeft w:val="0"/>
      <w:marRight w:val="0"/>
      <w:marTop w:val="0"/>
      <w:marBottom w:val="0"/>
      <w:divBdr>
        <w:top w:val="none" w:sz="0" w:space="0" w:color="auto"/>
        <w:left w:val="none" w:sz="0" w:space="0" w:color="auto"/>
        <w:bottom w:val="none" w:sz="0" w:space="0" w:color="auto"/>
        <w:right w:val="none" w:sz="0" w:space="0" w:color="auto"/>
      </w:divBdr>
    </w:div>
    <w:div w:id="766273075">
      <w:bodyDiv w:val="1"/>
      <w:marLeft w:val="0"/>
      <w:marRight w:val="0"/>
      <w:marTop w:val="0"/>
      <w:marBottom w:val="0"/>
      <w:divBdr>
        <w:top w:val="none" w:sz="0" w:space="0" w:color="auto"/>
        <w:left w:val="none" w:sz="0" w:space="0" w:color="auto"/>
        <w:bottom w:val="none" w:sz="0" w:space="0" w:color="auto"/>
        <w:right w:val="none" w:sz="0" w:space="0" w:color="auto"/>
      </w:divBdr>
    </w:div>
    <w:div w:id="772701470">
      <w:bodyDiv w:val="1"/>
      <w:marLeft w:val="0"/>
      <w:marRight w:val="0"/>
      <w:marTop w:val="0"/>
      <w:marBottom w:val="0"/>
      <w:divBdr>
        <w:top w:val="none" w:sz="0" w:space="0" w:color="auto"/>
        <w:left w:val="none" w:sz="0" w:space="0" w:color="auto"/>
        <w:bottom w:val="none" w:sz="0" w:space="0" w:color="auto"/>
        <w:right w:val="none" w:sz="0" w:space="0" w:color="auto"/>
      </w:divBdr>
    </w:div>
    <w:div w:id="784235314">
      <w:bodyDiv w:val="1"/>
      <w:marLeft w:val="0"/>
      <w:marRight w:val="0"/>
      <w:marTop w:val="0"/>
      <w:marBottom w:val="0"/>
      <w:divBdr>
        <w:top w:val="none" w:sz="0" w:space="0" w:color="auto"/>
        <w:left w:val="none" w:sz="0" w:space="0" w:color="auto"/>
        <w:bottom w:val="none" w:sz="0" w:space="0" w:color="auto"/>
        <w:right w:val="none" w:sz="0" w:space="0" w:color="auto"/>
      </w:divBdr>
    </w:div>
    <w:div w:id="829642435">
      <w:bodyDiv w:val="1"/>
      <w:marLeft w:val="0"/>
      <w:marRight w:val="0"/>
      <w:marTop w:val="0"/>
      <w:marBottom w:val="0"/>
      <w:divBdr>
        <w:top w:val="none" w:sz="0" w:space="0" w:color="auto"/>
        <w:left w:val="none" w:sz="0" w:space="0" w:color="auto"/>
        <w:bottom w:val="none" w:sz="0" w:space="0" w:color="auto"/>
        <w:right w:val="none" w:sz="0" w:space="0" w:color="auto"/>
      </w:divBdr>
    </w:div>
    <w:div w:id="843596290">
      <w:bodyDiv w:val="1"/>
      <w:marLeft w:val="0"/>
      <w:marRight w:val="0"/>
      <w:marTop w:val="0"/>
      <w:marBottom w:val="0"/>
      <w:divBdr>
        <w:top w:val="none" w:sz="0" w:space="0" w:color="auto"/>
        <w:left w:val="none" w:sz="0" w:space="0" w:color="auto"/>
        <w:bottom w:val="none" w:sz="0" w:space="0" w:color="auto"/>
        <w:right w:val="none" w:sz="0" w:space="0" w:color="auto"/>
      </w:divBdr>
    </w:div>
    <w:div w:id="988242542">
      <w:bodyDiv w:val="1"/>
      <w:marLeft w:val="0"/>
      <w:marRight w:val="0"/>
      <w:marTop w:val="0"/>
      <w:marBottom w:val="0"/>
      <w:divBdr>
        <w:top w:val="none" w:sz="0" w:space="0" w:color="auto"/>
        <w:left w:val="none" w:sz="0" w:space="0" w:color="auto"/>
        <w:bottom w:val="none" w:sz="0" w:space="0" w:color="auto"/>
        <w:right w:val="none" w:sz="0" w:space="0" w:color="auto"/>
      </w:divBdr>
    </w:div>
    <w:div w:id="1007486876">
      <w:bodyDiv w:val="1"/>
      <w:marLeft w:val="0"/>
      <w:marRight w:val="0"/>
      <w:marTop w:val="0"/>
      <w:marBottom w:val="0"/>
      <w:divBdr>
        <w:top w:val="none" w:sz="0" w:space="0" w:color="auto"/>
        <w:left w:val="none" w:sz="0" w:space="0" w:color="auto"/>
        <w:bottom w:val="none" w:sz="0" w:space="0" w:color="auto"/>
        <w:right w:val="none" w:sz="0" w:space="0" w:color="auto"/>
      </w:divBdr>
    </w:div>
    <w:div w:id="1020854575">
      <w:bodyDiv w:val="1"/>
      <w:marLeft w:val="0"/>
      <w:marRight w:val="0"/>
      <w:marTop w:val="0"/>
      <w:marBottom w:val="0"/>
      <w:divBdr>
        <w:top w:val="none" w:sz="0" w:space="0" w:color="auto"/>
        <w:left w:val="none" w:sz="0" w:space="0" w:color="auto"/>
        <w:bottom w:val="none" w:sz="0" w:space="0" w:color="auto"/>
        <w:right w:val="none" w:sz="0" w:space="0" w:color="auto"/>
      </w:divBdr>
    </w:div>
    <w:div w:id="1041245207">
      <w:bodyDiv w:val="1"/>
      <w:marLeft w:val="0"/>
      <w:marRight w:val="0"/>
      <w:marTop w:val="0"/>
      <w:marBottom w:val="0"/>
      <w:divBdr>
        <w:top w:val="none" w:sz="0" w:space="0" w:color="auto"/>
        <w:left w:val="none" w:sz="0" w:space="0" w:color="auto"/>
        <w:bottom w:val="none" w:sz="0" w:space="0" w:color="auto"/>
        <w:right w:val="none" w:sz="0" w:space="0" w:color="auto"/>
      </w:divBdr>
    </w:div>
    <w:div w:id="1073623891">
      <w:bodyDiv w:val="1"/>
      <w:marLeft w:val="0"/>
      <w:marRight w:val="0"/>
      <w:marTop w:val="0"/>
      <w:marBottom w:val="0"/>
      <w:divBdr>
        <w:top w:val="none" w:sz="0" w:space="0" w:color="auto"/>
        <w:left w:val="none" w:sz="0" w:space="0" w:color="auto"/>
        <w:bottom w:val="none" w:sz="0" w:space="0" w:color="auto"/>
        <w:right w:val="none" w:sz="0" w:space="0" w:color="auto"/>
      </w:divBdr>
    </w:div>
    <w:div w:id="1195075619">
      <w:bodyDiv w:val="1"/>
      <w:marLeft w:val="0"/>
      <w:marRight w:val="0"/>
      <w:marTop w:val="0"/>
      <w:marBottom w:val="0"/>
      <w:divBdr>
        <w:top w:val="none" w:sz="0" w:space="0" w:color="auto"/>
        <w:left w:val="none" w:sz="0" w:space="0" w:color="auto"/>
        <w:bottom w:val="none" w:sz="0" w:space="0" w:color="auto"/>
        <w:right w:val="none" w:sz="0" w:space="0" w:color="auto"/>
      </w:divBdr>
    </w:div>
    <w:div w:id="1203984953">
      <w:bodyDiv w:val="1"/>
      <w:marLeft w:val="0"/>
      <w:marRight w:val="0"/>
      <w:marTop w:val="0"/>
      <w:marBottom w:val="0"/>
      <w:divBdr>
        <w:top w:val="none" w:sz="0" w:space="0" w:color="auto"/>
        <w:left w:val="none" w:sz="0" w:space="0" w:color="auto"/>
        <w:bottom w:val="none" w:sz="0" w:space="0" w:color="auto"/>
        <w:right w:val="none" w:sz="0" w:space="0" w:color="auto"/>
      </w:divBdr>
    </w:div>
    <w:div w:id="1295716226">
      <w:bodyDiv w:val="1"/>
      <w:marLeft w:val="0"/>
      <w:marRight w:val="0"/>
      <w:marTop w:val="0"/>
      <w:marBottom w:val="0"/>
      <w:divBdr>
        <w:top w:val="none" w:sz="0" w:space="0" w:color="auto"/>
        <w:left w:val="none" w:sz="0" w:space="0" w:color="auto"/>
        <w:bottom w:val="none" w:sz="0" w:space="0" w:color="auto"/>
        <w:right w:val="none" w:sz="0" w:space="0" w:color="auto"/>
      </w:divBdr>
    </w:div>
    <w:div w:id="1307395863">
      <w:bodyDiv w:val="1"/>
      <w:marLeft w:val="0"/>
      <w:marRight w:val="0"/>
      <w:marTop w:val="0"/>
      <w:marBottom w:val="0"/>
      <w:divBdr>
        <w:top w:val="none" w:sz="0" w:space="0" w:color="auto"/>
        <w:left w:val="none" w:sz="0" w:space="0" w:color="auto"/>
        <w:bottom w:val="none" w:sz="0" w:space="0" w:color="auto"/>
        <w:right w:val="none" w:sz="0" w:space="0" w:color="auto"/>
      </w:divBdr>
    </w:div>
    <w:div w:id="1325889213">
      <w:bodyDiv w:val="1"/>
      <w:marLeft w:val="0"/>
      <w:marRight w:val="0"/>
      <w:marTop w:val="0"/>
      <w:marBottom w:val="0"/>
      <w:divBdr>
        <w:top w:val="none" w:sz="0" w:space="0" w:color="auto"/>
        <w:left w:val="none" w:sz="0" w:space="0" w:color="auto"/>
        <w:bottom w:val="none" w:sz="0" w:space="0" w:color="auto"/>
        <w:right w:val="none" w:sz="0" w:space="0" w:color="auto"/>
      </w:divBdr>
    </w:div>
    <w:div w:id="1334575262">
      <w:bodyDiv w:val="1"/>
      <w:marLeft w:val="0"/>
      <w:marRight w:val="0"/>
      <w:marTop w:val="0"/>
      <w:marBottom w:val="0"/>
      <w:divBdr>
        <w:top w:val="none" w:sz="0" w:space="0" w:color="auto"/>
        <w:left w:val="none" w:sz="0" w:space="0" w:color="auto"/>
        <w:bottom w:val="none" w:sz="0" w:space="0" w:color="auto"/>
        <w:right w:val="none" w:sz="0" w:space="0" w:color="auto"/>
      </w:divBdr>
    </w:div>
    <w:div w:id="1372069562">
      <w:bodyDiv w:val="1"/>
      <w:marLeft w:val="0"/>
      <w:marRight w:val="0"/>
      <w:marTop w:val="0"/>
      <w:marBottom w:val="0"/>
      <w:divBdr>
        <w:top w:val="none" w:sz="0" w:space="0" w:color="auto"/>
        <w:left w:val="none" w:sz="0" w:space="0" w:color="auto"/>
        <w:bottom w:val="none" w:sz="0" w:space="0" w:color="auto"/>
        <w:right w:val="none" w:sz="0" w:space="0" w:color="auto"/>
      </w:divBdr>
    </w:div>
    <w:div w:id="1536846111">
      <w:bodyDiv w:val="1"/>
      <w:marLeft w:val="0"/>
      <w:marRight w:val="0"/>
      <w:marTop w:val="0"/>
      <w:marBottom w:val="0"/>
      <w:divBdr>
        <w:top w:val="none" w:sz="0" w:space="0" w:color="auto"/>
        <w:left w:val="none" w:sz="0" w:space="0" w:color="auto"/>
        <w:bottom w:val="none" w:sz="0" w:space="0" w:color="auto"/>
        <w:right w:val="none" w:sz="0" w:space="0" w:color="auto"/>
      </w:divBdr>
    </w:div>
    <w:div w:id="1572425960">
      <w:bodyDiv w:val="1"/>
      <w:marLeft w:val="0"/>
      <w:marRight w:val="0"/>
      <w:marTop w:val="0"/>
      <w:marBottom w:val="0"/>
      <w:divBdr>
        <w:top w:val="none" w:sz="0" w:space="0" w:color="auto"/>
        <w:left w:val="none" w:sz="0" w:space="0" w:color="auto"/>
        <w:bottom w:val="none" w:sz="0" w:space="0" w:color="auto"/>
        <w:right w:val="none" w:sz="0" w:space="0" w:color="auto"/>
      </w:divBdr>
    </w:div>
    <w:div w:id="1611161268">
      <w:bodyDiv w:val="1"/>
      <w:marLeft w:val="0"/>
      <w:marRight w:val="0"/>
      <w:marTop w:val="0"/>
      <w:marBottom w:val="0"/>
      <w:divBdr>
        <w:top w:val="none" w:sz="0" w:space="0" w:color="auto"/>
        <w:left w:val="none" w:sz="0" w:space="0" w:color="auto"/>
        <w:bottom w:val="none" w:sz="0" w:space="0" w:color="auto"/>
        <w:right w:val="none" w:sz="0" w:space="0" w:color="auto"/>
      </w:divBdr>
    </w:div>
    <w:div w:id="1633169720">
      <w:bodyDiv w:val="1"/>
      <w:marLeft w:val="0"/>
      <w:marRight w:val="0"/>
      <w:marTop w:val="0"/>
      <w:marBottom w:val="0"/>
      <w:divBdr>
        <w:top w:val="none" w:sz="0" w:space="0" w:color="auto"/>
        <w:left w:val="none" w:sz="0" w:space="0" w:color="auto"/>
        <w:bottom w:val="none" w:sz="0" w:space="0" w:color="auto"/>
        <w:right w:val="none" w:sz="0" w:space="0" w:color="auto"/>
      </w:divBdr>
    </w:div>
    <w:div w:id="1661426734">
      <w:bodyDiv w:val="1"/>
      <w:marLeft w:val="0"/>
      <w:marRight w:val="0"/>
      <w:marTop w:val="0"/>
      <w:marBottom w:val="0"/>
      <w:divBdr>
        <w:top w:val="none" w:sz="0" w:space="0" w:color="auto"/>
        <w:left w:val="none" w:sz="0" w:space="0" w:color="auto"/>
        <w:bottom w:val="none" w:sz="0" w:space="0" w:color="auto"/>
        <w:right w:val="none" w:sz="0" w:space="0" w:color="auto"/>
      </w:divBdr>
    </w:div>
    <w:div w:id="1714234083">
      <w:bodyDiv w:val="1"/>
      <w:marLeft w:val="0"/>
      <w:marRight w:val="0"/>
      <w:marTop w:val="0"/>
      <w:marBottom w:val="0"/>
      <w:divBdr>
        <w:top w:val="none" w:sz="0" w:space="0" w:color="auto"/>
        <w:left w:val="none" w:sz="0" w:space="0" w:color="auto"/>
        <w:bottom w:val="none" w:sz="0" w:space="0" w:color="auto"/>
        <w:right w:val="none" w:sz="0" w:space="0" w:color="auto"/>
      </w:divBdr>
    </w:div>
    <w:div w:id="1758012870">
      <w:bodyDiv w:val="1"/>
      <w:marLeft w:val="0"/>
      <w:marRight w:val="0"/>
      <w:marTop w:val="0"/>
      <w:marBottom w:val="0"/>
      <w:divBdr>
        <w:top w:val="none" w:sz="0" w:space="0" w:color="auto"/>
        <w:left w:val="none" w:sz="0" w:space="0" w:color="auto"/>
        <w:bottom w:val="none" w:sz="0" w:space="0" w:color="auto"/>
        <w:right w:val="none" w:sz="0" w:space="0" w:color="auto"/>
      </w:divBdr>
    </w:div>
    <w:div w:id="1780682211">
      <w:bodyDiv w:val="1"/>
      <w:marLeft w:val="0"/>
      <w:marRight w:val="0"/>
      <w:marTop w:val="0"/>
      <w:marBottom w:val="0"/>
      <w:divBdr>
        <w:top w:val="none" w:sz="0" w:space="0" w:color="auto"/>
        <w:left w:val="none" w:sz="0" w:space="0" w:color="auto"/>
        <w:bottom w:val="none" w:sz="0" w:space="0" w:color="auto"/>
        <w:right w:val="none" w:sz="0" w:space="0" w:color="auto"/>
      </w:divBdr>
    </w:div>
    <w:div w:id="1783720640">
      <w:bodyDiv w:val="1"/>
      <w:marLeft w:val="0"/>
      <w:marRight w:val="0"/>
      <w:marTop w:val="0"/>
      <w:marBottom w:val="0"/>
      <w:divBdr>
        <w:top w:val="none" w:sz="0" w:space="0" w:color="auto"/>
        <w:left w:val="none" w:sz="0" w:space="0" w:color="auto"/>
        <w:bottom w:val="none" w:sz="0" w:space="0" w:color="auto"/>
        <w:right w:val="none" w:sz="0" w:space="0" w:color="auto"/>
      </w:divBdr>
    </w:div>
    <w:div w:id="1845584447">
      <w:bodyDiv w:val="1"/>
      <w:marLeft w:val="0"/>
      <w:marRight w:val="0"/>
      <w:marTop w:val="0"/>
      <w:marBottom w:val="0"/>
      <w:divBdr>
        <w:top w:val="none" w:sz="0" w:space="0" w:color="auto"/>
        <w:left w:val="none" w:sz="0" w:space="0" w:color="auto"/>
        <w:bottom w:val="none" w:sz="0" w:space="0" w:color="auto"/>
        <w:right w:val="none" w:sz="0" w:space="0" w:color="auto"/>
      </w:divBdr>
    </w:div>
    <w:div w:id="1875389075">
      <w:bodyDiv w:val="1"/>
      <w:marLeft w:val="0"/>
      <w:marRight w:val="0"/>
      <w:marTop w:val="0"/>
      <w:marBottom w:val="0"/>
      <w:divBdr>
        <w:top w:val="none" w:sz="0" w:space="0" w:color="auto"/>
        <w:left w:val="none" w:sz="0" w:space="0" w:color="auto"/>
        <w:bottom w:val="none" w:sz="0" w:space="0" w:color="auto"/>
        <w:right w:val="none" w:sz="0" w:space="0" w:color="auto"/>
      </w:divBdr>
    </w:div>
    <w:div w:id="1950041193">
      <w:bodyDiv w:val="1"/>
      <w:marLeft w:val="0"/>
      <w:marRight w:val="0"/>
      <w:marTop w:val="0"/>
      <w:marBottom w:val="0"/>
      <w:divBdr>
        <w:top w:val="none" w:sz="0" w:space="0" w:color="auto"/>
        <w:left w:val="none" w:sz="0" w:space="0" w:color="auto"/>
        <w:bottom w:val="none" w:sz="0" w:space="0" w:color="auto"/>
        <w:right w:val="none" w:sz="0" w:space="0" w:color="auto"/>
      </w:divBdr>
    </w:div>
    <w:div w:id="1969429394">
      <w:bodyDiv w:val="1"/>
      <w:marLeft w:val="0"/>
      <w:marRight w:val="0"/>
      <w:marTop w:val="0"/>
      <w:marBottom w:val="0"/>
      <w:divBdr>
        <w:top w:val="none" w:sz="0" w:space="0" w:color="auto"/>
        <w:left w:val="none" w:sz="0" w:space="0" w:color="auto"/>
        <w:bottom w:val="none" w:sz="0" w:space="0" w:color="auto"/>
        <w:right w:val="none" w:sz="0" w:space="0" w:color="auto"/>
      </w:divBdr>
    </w:div>
    <w:div w:id="2058123329">
      <w:bodyDiv w:val="1"/>
      <w:marLeft w:val="0"/>
      <w:marRight w:val="0"/>
      <w:marTop w:val="0"/>
      <w:marBottom w:val="0"/>
      <w:divBdr>
        <w:top w:val="none" w:sz="0" w:space="0" w:color="auto"/>
        <w:left w:val="none" w:sz="0" w:space="0" w:color="auto"/>
        <w:bottom w:val="none" w:sz="0" w:space="0" w:color="auto"/>
        <w:right w:val="none" w:sz="0" w:space="0" w:color="auto"/>
      </w:divBdr>
    </w:div>
    <w:div w:id="209284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rc.gov/site-help/electronic-sub-ref-mat.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4CEAC64A3E4490D27790897D8AC2" ma:contentTypeVersion="4" ma:contentTypeDescription="Create a new document." ma:contentTypeScope="" ma:versionID="77a15753b6190edaf8d1011c541deffd">
  <xsd:schema xmlns:xsd="http://www.w3.org/2001/XMLSchema" xmlns:xs="http://www.w3.org/2001/XMLSchema" xmlns:p="http://schemas.microsoft.com/office/2006/metadata/properties" xmlns:ns2="c9e69d05-501e-469d-aacb-de131789b486" xmlns:ns3="cb8d7062-2b18-4baf-a043-92cac5d28331" targetNamespace="http://schemas.microsoft.com/office/2006/metadata/properties" ma:root="true" ma:fieldsID="66b15a2ae8ddf24ad87baa59a2bd55d0" ns2:_="" ns3:_="">
    <xsd:import namespace="c9e69d05-501e-469d-aacb-de131789b486"/>
    <xsd:import namespace="cb8d7062-2b18-4baf-a043-92cac5d283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9d05-501e-469d-aacb-de131789b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d7062-2b18-4baf-a043-92cac5d283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c9e69d05-501e-469d-aacb-de131789b486">P3SVQDWCR2EE-342808493-14</_dlc_DocId>
    <_dlc_DocIdUrl xmlns="c9e69d05-501e-469d-aacb-de131789b486">
      <Url>https://usnrc.sharepoint.com/teams/NMSS-Enhance-Weapons-Firearms-Background-Checks-Security-Event/_layouts/15/DocIdRedir.aspx?ID=P3SVQDWCR2EE-342808493-14</Url>
      <Description>P3SVQDWCR2EE-342808493-14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5FC454-A6C7-4BDF-B028-7C86994BBF29}">
  <ds:schemaRefs>
    <ds:schemaRef ds:uri="http://schemas.microsoft.com/sharepoint/v3/contenttype/forms"/>
  </ds:schemaRefs>
</ds:datastoreItem>
</file>

<file path=customXml/itemProps2.xml><?xml version="1.0" encoding="utf-8"?>
<ds:datastoreItem xmlns:ds="http://schemas.openxmlformats.org/officeDocument/2006/customXml" ds:itemID="{3FDD4E23-7D27-4DC0-80A3-6C02D5B6680D}">
  <ds:schemaRefs>
    <ds:schemaRef ds:uri="http://schemas.microsoft.com/office/2006/metadata/longProperties"/>
  </ds:schemaRefs>
</ds:datastoreItem>
</file>

<file path=customXml/itemProps3.xml><?xml version="1.0" encoding="utf-8"?>
<ds:datastoreItem xmlns:ds="http://schemas.openxmlformats.org/officeDocument/2006/customXml" ds:itemID="{ADD735C2-48F4-43B9-9170-32B91CBE0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9d05-501e-469d-aacb-de131789b486"/>
    <ds:schemaRef ds:uri="cb8d7062-2b18-4baf-a043-92cac5d28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11640-644A-4D71-9EAC-91EA18BD2594}">
  <ds:schemaRefs>
    <ds:schemaRef ds:uri="http://schemas.openxmlformats.org/officeDocument/2006/bibliography"/>
  </ds:schemaRefs>
</ds:datastoreItem>
</file>

<file path=customXml/itemProps5.xml><?xml version="1.0" encoding="utf-8"?>
<ds:datastoreItem xmlns:ds="http://schemas.openxmlformats.org/officeDocument/2006/customXml" ds:itemID="{4BAD937D-FD07-4E4F-96CF-62559F540B5D}">
  <ds:schemaRefs>
    <ds:schemaRef ds:uri="http://schemas.microsoft.com/office/2006/metadata/properties"/>
    <ds:schemaRef ds:uri="http://schemas.microsoft.com/office/infopath/2007/PartnerControls"/>
    <ds:schemaRef ds:uri="c9e69d05-501e-469d-aacb-de131789b486"/>
  </ds:schemaRefs>
</ds:datastoreItem>
</file>

<file path=customXml/itemProps6.xml><?xml version="1.0" encoding="utf-8"?>
<ds:datastoreItem xmlns:ds="http://schemas.openxmlformats.org/officeDocument/2006/customXml" ds:itemID="{F8C4A6D9-3284-4DB0-AD7F-96B942DBF7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ICF International</Company>
  <LinksUpToDate>false</LinksUpToDate>
  <CharactersWithSpaces>12121</CharactersWithSpaces>
  <SharedDoc>false</SharedDoc>
  <HLinks>
    <vt:vector size="18" baseType="variant">
      <vt:variant>
        <vt:i4>3342383</vt:i4>
      </vt:variant>
      <vt:variant>
        <vt:i4>6</vt:i4>
      </vt:variant>
      <vt:variant>
        <vt:i4>0</vt:i4>
      </vt:variant>
      <vt:variant>
        <vt:i4>5</vt:i4>
      </vt:variant>
      <vt:variant>
        <vt:lpwstr>http://www.nrc.gov/reading-rm/doc-collections/cfr/part170/part170-0020.html</vt:lpwstr>
      </vt:variant>
      <vt:variant>
        <vt:lpwstr/>
      </vt:variant>
      <vt:variant>
        <vt:i4>3342383</vt:i4>
      </vt:variant>
      <vt:variant>
        <vt:i4>3</vt:i4>
      </vt:variant>
      <vt:variant>
        <vt:i4>0</vt:i4>
      </vt:variant>
      <vt:variant>
        <vt:i4>5</vt:i4>
      </vt:variant>
      <vt:variant>
        <vt:lpwstr>http://www.nrc.gov/reading-rm/doc-collections/cfr/part170/part170-0020.html</vt:lpwstr>
      </vt:variant>
      <vt:variant>
        <vt:lpwstr/>
      </vt:variant>
      <vt:variant>
        <vt:i4>3342383</vt:i4>
      </vt:variant>
      <vt:variant>
        <vt:i4>0</vt:i4>
      </vt:variant>
      <vt:variant>
        <vt:i4>0</vt:i4>
      </vt:variant>
      <vt:variant>
        <vt:i4>5</vt:i4>
      </vt:variant>
      <vt:variant>
        <vt:lpwstr>http://www.nrc.gov/reading-rm/doc-collections/cfr/part170/part170-0020.html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subject/>
  <dc:creator>Robert H. Beall</dc:creator>
  <cp:keywords/>
  <dc:description/>
  <cp:lastModifiedBy>Benney, Kristen</cp:lastModifiedBy>
  <cp:revision>4</cp:revision>
  <cp:lastPrinted>2015-08-06T21:59:00Z</cp:lastPrinted>
  <dcterms:created xsi:type="dcterms:W3CDTF">2022-02-01T15:48:00Z</dcterms:created>
  <dcterms:modified xsi:type="dcterms:W3CDTF">2022-04-07T20:05:00Z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0x01010018764CEAC64A3E4490D27790897D8AC2</vt:lpwstr>
  </property>
  <property fmtid="{D5CDD505-2E9C-101B-9397-08002B2CF9AE}" pid="5" name="_dlc_DocIdItemGuid">
    <vt:lpwstr>25860155-afed-4b55-bdea-ba7cafd0ac87</vt:lpwstr>
  </property>
</Properties>
</file>