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32597" w:rsidR="00F9792B" w:rsidP="00577D64" w:rsidRDefault="00645685" w14:paraId="2CDBBC7E" w14:textId="77777777">
      <w:pPr>
        <w:widowControl/>
        <w:jc w:val="center"/>
        <w:rPr>
          <w:rFonts w:ascii="Arial" w:hAnsi="Arial" w:cs="Arial"/>
          <w:sz w:val="22"/>
          <w:szCs w:val="22"/>
        </w:rPr>
      </w:pPr>
      <w:r>
        <w:rPr>
          <w:rFonts w:ascii="Arial" w:hAnsi="Arial" w:cs="Arial"/>
          <w:sz w:val="22"/>
          <w:szCs w:val="22"/>
        </w:rPr>
        <w:t xml:space="preserve">FINAL </w:t>
      </w:r>
      <w:r w:rsidRPr="00A32597" w:rsidR="00F9792B">
        <w:rPr>
          <w:rFonts w:ascii="Arial" w:hAnsi="Arial" w:cs="Arial"/>
          <w:sz w:val="22"/>
          <w:szCs w:val="22"/>
        </w:rPr>
        <w:t>SUPPORTING STATEMENT FOR</w:t>
      </w:r>
    </w:p>
    <w:p w:rsidR="00F9792B" w:rsidP="00577D64" w:rsidRDefault="00F9792B" w14:paraId="04DAFC87" w14:textId="77777777">
      <w:pPr>
        <w:widowControl/>
        <w:jc w:val="center"/>
        <w:rPr>
          <w:rFonts w:ascii="Arial" w:hAnsi="Arial" w:cs="Arial"/>
          <w:sz w:val="22"/>
          <w:szCs w:val="22"/>
        </w:rPr>
      </w:pPr>
      <w:r w:rsidRPr="00A32597">
        <w:rPr>
          <w:rFonts w:ascii="Arial" w:hAnsi="Arial" w:cs="Arial"/>
          <w:sz w:val="22"/>
          <w:szCs w:val="22"/>
        </w:rPr>
        <w:t>NRC FORM 754</w:t>
      </w:r>
    </w:p>
    <w:p w:rsidRPr="00A32597" w:rsidR="00E80DF3" w:rsidP="00577D64" w:rsidRDefault="00811678" w14:paraId="601676D8" w14:textId="77777777">
      <w:pPr>
        <w:widowControl/>
        <w:jc w:val="center"/>
        <w:rPr>
          <w:rFonts w:ascii="Arial" w:hAnsi="Arial" w:cs="Arial"/>
          <w:sz w:val="22"/>
          <w:szCs w:val="22"/>
        </w:rPr>
      </w:pPr>
      <w:r>
        <w:rPr>
          <w:rFonts w:ascii="Arial" w:hAnsi="Arial" w:cs="Arial"/>
          <w:sz w:val="22"/>
          <w:szCs w:val="22"/>
        </w:rPr>
        <w:t>“</w:t>
      </w:r>
      <w:r w:rsidR="00E80DF3">
        <w:rPr>
          <w:rFonts w:ascii="Arial" w:hAnsi="Arial" w:cs="Arial"/>
          <w:sz w:val="22"/>
          <w:szCs w:val="22"/>
        </w:rPr>
        <w:t>ARMED SECURITY PERSONNEL FIREARMS BACKGROUND CHECK</w:t>
      </w:r>
      <w:r>
        <w:rPr>
          <w:rFonts w:ascii="Arial" w:hAnsi="Arial" w:cs="Arial"/>
          <w:sz w:val="22"/>
          <w:szCs w:val="22"/>
        </w:rPr>
        <w:t>”</w:t>
      </w:r>
    </w:p>
    <w:p w:rsidR="00F9792B" w:rsidP="00577D64" w:rsidRDefault="00F9792B" w14:paraId="58DA3853" w14:textId="77777777">
      <w:pPr>
        <w:widowControl/>
        <w:jc w:val="center"/>
        <w:rPr>
          <w:rFonts w:ascii="Arial" w:hAnsi="Arial" w:cs="Arial"/>
          <w:sz w:val="22"/>
          <w:szCs w:val="22"/>
        </w:rPr>
      </w:pPr>
    </w:p>
    <w:p w:rsidR="00F9792B" w:rsidP="00577D64" w:rsidRDefault="00F9792B" w14:paraId="46AFABA8" w14:textId="77777777">
      <w:pPr>
        <w:widowControl/>
        <w:jc w:val="center"/>
        <w:rPr>
          <w:rFonts w:ascii="Arial" w:hAnsi="Arial" w:cs="Arial"/>
          <w:sz w:val="22"/>
          <w:szCs w:val="22"/>
        </w:rPr>
      </w:pPr>
      <w:r w:rsidRPr="00A32597">
        <w:rPr>
          <w:rFonts w:ascii="Arial" w:hAnsi="Arial" w:cs="Arial"/>
          <w:sz w:val="22"/>
          <w:szCs w:val="22"/>
        </w:rPr>
        <w:t>(3150-0204)</w:t>
      </w:r>
    </w:p>
    <w:p w:rsidR="009F695D" w:rsidP="00577D64" w:rsidRDefault="009F695D" w14:paraId="5C592E43" w14:textId="77777777">
      <w:pPr>
        <w:widowControl/>
        <w:jc w:val="center"/>
        <w:rPr>
          <w:rFonts w:ascii="Arial" w:hAnsi="Arial" w:cs="Arial"/>
          <w:sz w:val="22"/>
          <w:szCs w:val="22"/>
        </w:rPr>
      </w:pPr>
    </w:p>
    <w:p w:rsidRPr="00A32597" w:rsidR="009F695D" w:rsidP="00577D64" w:rsidRDefault="00E80DF3" w14:paraId="64509F32" w14:textId="77777777">
      <w:pPr>
        <w:widowControl/>
        <w:jc w:val="center"/>
        <w:rPr>
          <w:rFonts w:ascii="Arial" w:hAnsi="Arial" w:cs="Arial"/>
          <w:sz w:val="22"/>
          <w:szCs w:val="22"/>
        </w:rPr>
      </w:pPr>
      <w:r>
        <w:rPr>
          <w:rFonts w:ascii="Arial" w:hAnsi="Arial" w:cs="Arial"/>
          <w:sz w:val="22"/>
          <w:szCs w:val="22"/>
        </w:rPr>
        <w:t>NEW</w:t>
      </w:r>
    </w:p>
    <w:p w:rsidRPr="00A32597" w:rsidR="00F9792B" w:rsidP="00577D64" w:rsidRDefault="00F9792B" w14:paraId="03F83FB9" w14:textId="77777777">
      <w:pPr>
        <w:widowControl/>
        <w:jc w:val="center"/>
        <w:rPr>
          <w:rFonts w:ascii="Arial" w:hAnsi="Arial" w:cs="Arial"/>
          <w:sz w:val="22"/>
          <w:szCs w:val="22"/>
        </w:rPr>
      </w:pPr>
    </w:p>
    <w:p w:rsidRPr="00A32597" w:rsidR="002B1B50" w:rsidP="00577D64" w:rsidRDefault="002F20D7" w14:paraId="65B147AA" w14:textId="77777777">
      <w:pPr>
        <w:widowControl/>
        <w:rPr>
          <w:rFonts w:ascii="Arial" w:hAnsi="Arial" w:cs="Arial"/>
          <w:sz w:val="22"/>
          <w:szCs w:val="22"/>
        </w:rPr>
      </w:pPr>
      <w:r w:rsidRPr="00A32597">
        <w:rPr>
          <w:rFonts w:ascii="Arial" w:hAnsi="Arial" w:cs="Arial"/>
          <w:sz w:val="22"/>
          <w:szCs w:val="22"/>
        </w:rPr>
        <w:t>Description of the Information Collection</w:t>
      </w:r>
    </w:p>
    <w:p w:rsidRPr="00A32597" w:rsidR="002B1B50" w:rsidP="00577D64" w:rsidRDefault="002B1B50" w14:paraId="5D172C15" w14:textId="77777777">
      <w:pPr>
        <w:widowControl/>
        <w:rPr>
          <w:rFonts w:ascii="Arial" w:hAnsi="Arial" w:cs="Arial"/>
          <w:sz w:val="22"/>
          <w:szCs w:val="22"/>
        </w:rPr>
      </w:pPr>
    </w:p>
    <w:p w:rsidRPr="00A33F04" w:rsidR="00D05DF7" w:rsidP="00D05DF7" w:rsidRDefault="001B0614" w14:paraId="5D030DF9" w14:textId="7BE3FD1A">
      <w:pPr>
        <w:widowControl/>
        <w:rPr>
          <w:rFonts w:ascii="Arial" w:hAnsi="Arial" w:cs="Arial"/>
          <w:sz w:val="22"/>
          <w:szCs w:val="22"/>
        </w:rPr>
      </w:pPr>
      <w:r w:rsidRPr="008754D9">
        <w:rPr>
          <w:rFonts w:ascii="Arial" w:hAnsi="Arial" w:cs="Arial"/>
          <w:sz w:val="22"/>
          <w:szCs w:val="22"/>
        </w:rPr>
        <w:t xml:space="preserve">The </w:t>
      </w:r>
      <w:r w:rsidRPr="008754D9" w:rsidR="008754D9">
        <w:rPr>
          <w:rFonts w:ascii="Arial" w:hAnsi="Arial" w:cs="Arial"/>
          <w:sz w:val="22"/>
          <w:szCs w:val="22"/>
        </w:rPr>
        <w:t>U.S. Nuclear Regulatory Commission (</w:t>
      </w:r>
      <w:r w:rsidRPr="008754D9">
        <w:rPr>
          <w:rFonts w:ascii="Arial" w:hAnsi="Arial" w:cs="Arial"/>
          <w:sz w:val="22"/>
          <w:szCs w:val="22"/>
        </w:rPr>
        <w:t>NRC</w:t>
      </w:r>
      <w:r w:rsidR="008754D9">
        <w:rPr>
          <w:rFonts w:ascii="Arial" w:hAnsi="Arial" w:cs="Arial"/>
          <w:sz w:val="22"/>
          <w:szCs w:val="22"/>
        </w:rPr>
        <w:t>)</w:t>
      </w:r>
      <w:r w:rsidRPr="00A33F04">
        <w:rPr>
          <w:rFonts w:ascii="Arial" w:hAnsi="Arial" w:cs="Arial"/>
          <w:sz w:val="22"/>
          <w:szCs w:val="22"/>
        </w:rPr>
        <w:t xml:space="preserve"> regulations in Title 10 of the </w:t>
      </w:r>
      <w:r w:rsidRPr="00A33F04">
        <w:rPr>
          <w:rFonts w:ascii="Arial" w:hAnsi="Arial" w:cs="Arial"/>
          <w:i/>
          <w:sz w:val="22"/>
          <w:szCs w:val="22"/>
        </w:rPr>
        <w:t>Code of Federal Regulations</w:t>
      </w:r>
      <w:r w:rsidRPr="00A33F04">
        <w:rPr>
          <w:rFonts w:ascii="Arial" w:hAnsi="Arial" w:cs="Arial"/>
          <w:sz w:val="22"/>
          <w:szCs w:val="22"/>
        </w:rPr>
        <w:t xml:space="preserve"> (10 CFR</w:t>
      </w:r>
      <w:r w:rsidRPr="00A33F04" w:rsidR="00ED68C5">
        <w:rPr>
          <w:rFonts w:ascii="Arial" w:hAnsi="Arial" w:cs="Arial"/>
          <w:sz w:val="22"/>
          <w:szCs w:val="22"/>
        </w:rPr>
        <w:t xml:space="preserve">) adds new </w:t>
      </w:r>
      <w:r w:rsidR="008754D9">
        <w:rPr>
          <w:rFonts w:ascii="Arial" w:hAnsi="Arial" w:cs="Arial"/>
          <w:sz w:val="22"/>
          <w:szCs w:val="22"/>
        </w:rPr>
        <w:t>S</w:t>
      </w:r>
      <w:r w:rsidRPr="00A33F04" w:rsidR="009B6785">
        <w:rPr>
          <w:rFonts w:ascii="Arial" w:hAnsi="Arial" w:cs="Arial"/>
          <w:sz w:val="22"/>
          <w:szCs w:val="22"/>
        </w:rPr>
        <w:t>ection 73.17</w:t>
      </w:r>
      <w:r w:rsidR="008754D9">
        <w:rPr>
          <w:rFonts w:ascii="Arial" w:hAnsi="Arial" w:cs="Arial"/>
          <w:sz w:val="22"/>
          <w:szCs w:val="22"/>
        </w:rPr>
        <w:t>, “Firearms background checks for armed security personnel,”</w:t>
      </w:r>
      <w:r w:rsidRPr="00A33F04">
        <w:rPr>
          <w:rFonts w:ascii="Arial" w:hAnsi="Arial" w:cs="Arial"/>
          <w:sz w:val="22"/>
          <w:szCs w:val="22"/>
        </w:rPr>
        <w:t xml:space="preserve"> </w:t>
      </w:r>
      <w:r w:rsidRPr="00A33F04" w:rsidR="00ED68C5">
        <w:rPr>
          <w:rFonts w:ascii="Arial" w:hAnsi="Arial" w:cs="Arial"/>
          <w:sz w:val="22"/>
          <w:szCs w:val="22"/>
        </w:rPr>
        <w:t xml:space="preserve">which </w:t>
      </w:r>
      <w:r w:rsidRPr="00A33F04">
        <w:rPr>
          <w:rFonts w:ascii="Arial" w:hAnsi="Arial" w:cs="Arial"/>
          <w:sz w:val="22"/>
          <w:szCs w:val="22"/>
        </w:rPr>
        <w:t>prescribe</w:t>
      </w:r>
      <w:r w:rsidRPr="00A33F04" w:rsidR="00ED68C5">
        <w:rPr>
          <w:rFonts w:ascii="Arial" w:hAnsi="Arial" w:cs="Arial"/>
          <w:sz w:val="22"/>
          <w:szCs w:val="22"/>
        </w:rPr>
        <w:t>s</w:t>
      </w:r>
      <w:r w:rsidRPr="00A33F04">
        <w:rPr>
          <w:rFonts w:ascii="Arial" w:hAnsi="Arial" w:cs="Arial"/>
          <w:sz w:val="22"/>
          <w:szCs w:val="22"/>
        </w:rPr>
        <w:t xml:space="preserve"> requirements for </w:t>
      </w:r>
      <w:r w:rsidRPr="00A33F04" w:rsidR="009B6785">
        <w:rPr>
          <w:rFonts w:ascii="Arial" w:hAnsi="Arial" w:cs="Arial"/>
          <w:sz w:val="22"/>
          <w:szCs w:val="22"/>
        </w:rPr>
        <w:t xml:space="preserve">the conduct of </w:t>
      </w:r>
      <w:r w:rsidRPr="00A33F04" w:rsidR="00961B37">
        <w:rPr>
          <w:rFonts w:ascii="Arial" w:hAnsi="Arial" w:cs="Arial"/>
          <w:sz w:val="22"/>
          <w:szCs w:val="22"/>
        </w:rPr>
        <w:t>f</w:t>
      </w:r>
      <w:r w:rsidRPr="00A33F04" w:rsidR="009B6785">
        <w:rPr>
          <w:rFonts w:ascii="Arial" w:hAnsi="Arial" w:cs="Arial"/>
          <w:sz w:val="22"/>
          <w:szCs w:val="22"/>
        </w:rPr>
        <w:t xml:space="preserve">irearms </w:t>
      </w:r>
      <w:r w:rsidRPr="00A33F04" w:rsidR="00961B37">
        <w:rPr>
          <w:rFonts w:ascii="Arial" w:hAnsi="Arial" w:cs="Arial"/>
          <w:sz w:val="22"/>
          <w:szCs w:val="22"/>
        </w:rPr>
        <w:t>b</w:t>
      </w:r>
      <w:r w:rsidRPr="00A33F04" w:rsidR="009B6785">
        <w:rPr>
          <w:rFonts w:ascii="Arial" w:hAnsi="Arial" w:cs="Arial"/>
          <w:sz w:val="22"/>
          <w:szCs w:val="22"/>
        </w:rPr>
        <w:t xml:space="preserve">ackground </w:t>
      </w:r>
      <w:r w:rsidRPr="00A33F04" w:rsidR="00961B37">
        <w:rPr>
          <w:rFonts w:ascii="Arial" w:hAnsi="Arial" w:cs="Arial"/>
          <w:sz w:val="22"/>
          <w:szCs w:val="22"/>
        </w:rPr>
        <w:t>c</w:t>
      </w:r>
      <w:r w:rsidRPr="00A33F04" w:rsidR="009B6785">
        <w:rPr>
          <w:rFonts w:ascii="Arial" w:hAnsi="Arial" w:cs="Arial"/>
          <w:sz w:val="22"/>
          <w:szCs w:val="22"/>
        </w:rPr>
        <w:t xml:space="preserve">hecks pursuant to Section 161A of the </w:t>
      </w:r>
      <w:r w:rsidRPr="00A33F04" w:rsidR="009B6785">
        <w:rPr>
          <w:rFonts w:ascii="Arial" w:hAnsi="Arial" w:cs="Arial"/>
          <w:i/>
          <w:sz w:val="22"/>
          <w:szCs w:val="22"/>
        </w:rPr>
        <w:t>Atomic Energy Act of 1954</w:t>
      </w:r>
      <w:r w:rsidRPr="00A33F04" w:rsidR="009B6785">
        <w:rPr>
          <w:rFonts w:ascii="Arial" w:hAnsi="Arial" w:cs="Arial"/>
          <w:sz w:val="22"/>
          <w:szCs w:val="22"/>
        </w:rPr>
        <w:t>, as amended (AEA</w:t>
      </w:r>
      <w:r w:rsidRPr="00A33F04" w:rsidR="006A2207">
        <w:rPr>
          <w:rFonts w:ascii="Arial" w:hAnsi="Arial" w:cs="Arial"/>
          <w:sz w:val="22"/>
          <w:szCs w:val="22"/>
        </w:rPr>
        <w:t>).</w:t>
      </w:r>
      <w:r w:rsidRPr="00A33F04" w:rsidR="00D05DF7">
        <w:rPr>
          <w:rFonts w:ascii="Arial" w:hAnsi="Arial" w:cs="Arial"/>
          <w:sz w:val="22"/>
          <w:szCs w:val="22"/>
        </w:rPr>
        <w:t xml:space="preserve">  These regulations apply to licensees of nuclear power reactor facilities, independent spent fuel storage installations (ISFSIs), shipments of spent nuclear fuel, and Category I strategic special nuclear material (SSNM) facilities.  </w:t>
      </w:r>
    </w:p>
    <w:p w:rsidRPr="00A33F04" w:rsidR="001B0614" w:rsidP="001B0614" w:rsidRDefault="001B0614" w14:paraId="593BFC52" w14:textId="77777777">
      <w:pPr>
        <w:widowControl/>
        <w:rPr>
          <w:rFonts w:ascii="Arial" w:hAnsi="Arial" w:cs="Arial"/>
          <w:sz w:val="22"/>
          <w:szCs w:val="22"/>
        </w:rPr>
      </w:pPr>
    </w:p>
    <w:p w:rsidRPr="00A33F04" w:rsidR="0025037D" w:rsidP="000D45E9" w:rsidRDefault="0025037D" w14:paraId="0E3B4708" w14:textId="04106D14">
      <w:pPr>
        <w:widowControl/>
        <w:rPr>
          <w:rFonts w:ascii="Arial" w:hAnsi="Arial" w:cs="Arial"/>
          <w:sz w:val="22"/>
          <w:szCs w:val="22"/>
        </w:rPr>
      </w:pPr>
      <w:r w:rsidRPr="00A33F04">
        <w:rPr>
          <w:rFonts w:ascii="Arial" w:hAnsi="Arial" w:cs="Arial"/>
          <w:sz w:val="22"/>
          <w:szCs w:val="22"/>
        </w:rPr>
        <w:t xml:space="preserve">The </w:t>
      </w:r>
      <w:r w:rsidRPr="00A33F04" w:rsidR="001B0614">
        <w:rPr>
          <w:rFonts w:ascii="Arial" w:hAnsi="Arial" w:cs="Arial"/>
          <w:sz w:val="22"/>
          <w:szCs w:val="22"/>
        </w:rPr>
        <w:t>NRC</w:t>
      </w:r>
      <w:r w:rsidRPr="00A33F04">
        <w:rPr>
          <w:rFonts w:ascii="Arial" w:hAnsi="Arial" w:cs="Arial"/>
          <w:sz w:val="22"/>
          <w:szCs w:val="22"/>
        </w:rPr>
        <w:t xml:space="preserve"> is amending its regulations </w:t>
      </w:r>
      <w:r w:rsidRPr="00A33F04" w:rsidR="00ED68C5">
        <w:rPr>
          <w:rFonts w:ascii="Arial" w:hAnsi="Arial" w:cs="Arial"/>
          <w:sz w:val="22"/>
          <w:szCs w:val="22"/>
        </w:rPr>
        <w:t xml:space="preserve">which adds </w:t>
      </w:r>
      <w:r w:rsidRPr="00A33F04">
        <w:rPr>
          <w:rFonts w:ascii="Arial" w:hAnsi="Arial" w:cs="Arial"/>
          <w:sz w:val="22"/>
          <w:szCs w:val="22"/>
        </w:rPr>
        <w:t>information collections contained in 10 CFR Part 73</w:t>
      </w:r>
      <w:r w:rsidRPr="00A33F04" w:rsidR="00AE1B07">
        <w:rPr>
          <w:rFonts w:ascii="Arial" w:hAnsi="Arial" w:cs="Arial"/>
          <w:sz w:val="22"/>
          <w:szCs w:val="22"/>
        </w:rPr>
        <w:t xml:space="preserve"> </w:t>
      </w:r>
      <w:r w:rsidRPr="00A33F04" w:rsidR="00ED68C5">
        <w:rPr>
          <w:rFonts w:ascii="Arial" w:hAnsi="Arial" w:cs="Arial"/>
          <w:sz w:val="22"/>
          <w:szCs w:val="22"/>
        </w:rPr>
        <w:t xml:space="preserve">and new </w:t>
      </w:r>
      <w:r w:rsidRPr="00A33F04" w:rsidR="00AE1B07">
        <w:rPr>
          <w:rFonts w:ascii="Arial" w:hAnsi="Arial" w:cs="Arial"/>
          <w:sz w:val="22"/>
          <w:szCs w:val="22"/>
        </w:rPr>
        <w:t>NRC Form 754</w:t>
      </w:r>
      <w:r w:rsidR="008754D9">
        <w:rPr>
          <w:rFonts w:ascii="Arial" w:hAnsi="Arial" w:cs="Arial"/>
          <w:sz w:val="22"/>
          <w:szCs w:val="22"/>
        </w:rPr>
        <w:t>, “Armed Security Personnel Firearms Background Check</w:t>
      </w:r>
      <w:r w:rsidRPr="00A33F04">
        <w:rPr>
          <w:rFonts w:ascii="Arial" w:hAnsi="Arial" w:cs="Arial"/>
          <w:sz w:val="22"/>
          <w:szCs w:val="22"/>
        </w:rPr>
        <w:t>.</w:t>
      </w:r>
      <w:r w:rsidR="008754D9">
        <w:rPr>
          <w:rFonts w:ascii="Arial" w:hAnsi="Arial" w:cs="Arial"/>
          <w:sz w:val="22"/>
          <w:szCs w:val="22"/>
        </w:rPr>
        <w:t>”</w:t>
      </w:r>
      <w:r w:rsidRPr="00A33F04" w:rsidR="00D12269">
        <w:rPr>
          <w:rFonts w:ascii="Arial" w:hAnsi="Arial" w:cs="Arial"/>
          <w:sz w:val="22"/>
          <w:szCs w:val="22"/>
        </w:rPr>
        <w:t xml:space="preserve">  T</w:t>
      </w:r>
      <w:r w:rsidRPr="00A33F04">
        <w:rPr>
          <w:rFonts w:ascii="Arial" w:hAnsi="Arial" w:cs="Arial"/>
          <w:sz w:val="22"/>
          <w:szCs w:val="22"/>
        </w:rPr>
        <w:t xml:space="preserve">he rulemaking permits NRC licensees to voluntarily apply for </w:t>
      </w:r>
      <w:r w:rsidRPr="00A33F04" w:rsidR="00B70590">
        <w:rPr>
          <w:rFonts w:ascii="Arial" w:hAnsi="Arial" w:cs="Arial"/>
          <w:sz w:val="22"/>
          <w:szCs w:val="22"/>
        </w:rPr>
        <w:t>either stand-alone preemption authority or combined</w:t>
      </w:r>
      <w:r w:rsidRPr="00A33F04">
        <w:rPr>
          <w:rFonts w:ascii="Arial" w:hAnsi="Arial" w:cs="Arial"/>
          <w:sz w:val="22"/>
          <w:szCs w:val="22"/>
        </w:rPr>
        <w:t xml:space="preserve"> </w:t>
      </w:r>
      <w:r w:rsidRPr="00A33F04" w:rsidR="008754D9">
        <w:rPr>
          <w:rFonts w:ascii="Arial" w:hAnsi="Arial" w:cs="Arial"/>
          <w:sz w:val="22"/>
          <w:szCs w:val="22"/>
        </w:rPr>
        <w:t xml:space="preserve">preemption </w:t>
      </w:r>
      <w:r w:rsidRPr="00A33F04">
        <w:rPr>
          <w:rFonts w:ascii="Arial" w:hAnsi="Arial" w:cs="Arial"/>
          <w:sz w:val="22"/>
          <w:szCs w:val="22"/>
        </w:rPr>
        <w:t>authority</w:t>
      </w:r>
      <w:r w:rsidRPr="00A33F04" w:rsidR="00B70590">
        <w:rPr>
          <w:rFonts w:ascii="Arial" w:hAnsi="Arial" w:cs="Arial"/>
          <w:sz w:val="22"/>
          <w:szCs w:val="22"/>
        </w:rPr>
        <w:t xml:space="preserve"> and </w:t>
      </w:r>
      <w:r w:rsidRPr="00A33F04" w:rsidR="008754D9">
        <w:rPr>
          <w:rFonts w:ascii="Arial" w:hAnsi="Arial" w:cs="Arial"/>
          <w:sz w:val="22"/>
          <w:szCs w:val="22"/>
        </w:rPr>
        <w:t xml:space="preserve">enhanced weapons </w:t>
      </w:r>
      <w:r w:rsidRPr="00A33F04" w:rsidR="00B70590">
        <w:rPr>
          <w:rFonts w:ascii="Arial" w:hAnsi="Arial" w:cs="Arial"/>
          <w:sz w:val="22"/>
          <w:szCs w:val="22"/>
        </w:rPr>
        <w:t>authority</w:t>
      </w:r>
      <w:r w:rsidRPr="00A33F04" w:rsidR="00D12269">
        <w:rPr>
          <w:rFonts w:ascii="Arial" w:hAnsi="Arial" w:cs="Arial"/>
          <w:sz w:val="22"/>
          <w:szCs w:val="22"/>
        </w:rPr>
        <w:t xml:space="preserve"> under Section 161A of the AEA</w:t>
      </w:r>
      <w:r w:rsidRPr="00A33F04">
        <w:rPr>
          <w:rFonts w:ascii="Arial" w:hAnsi="Arial" w:cs="Arial"/>
          <w:sz w:val="22"/>
          <w:szCs w:val="22"/>
        </w:rPr>
        <w:t xml:space="preserve">.  The amended regulations </w:t>
      </w:r>
      <w:r w:rsidRPr="00A33F04" w:rsidR="00B70590">
        <w:rPr>
          <w:rFonts w:ascii="Arial" w:hAnsi="Arial" w:cs="Arial"/>
          <w:sz w:val="22"/>
          <w:szCs w:val="22"/>
        </w:rPr>
        <w:t xml:space="preserve">(in </w:t>
      </w:r>
      <w:r w:rsidRPr="00A33F04" w:rsidR="00F00DAC">
        <w:rPr>
          <w:rFonts w:ascii="Arial" w:hAnsi="Arial" w:cs="Arial"/>
          <w:sz w:val="22"/>
          <w:szCs w:val="22"/>
        </w:rPr>
        <w:t>§</w:t>
      </w:r>
      <w:r w:rsidRPr="00A33F04" w:rsidR="00B70590">
        <w:rPr>
          <w:rFonts w:ascii="Arial" w:hAnsi="Arial" w:cs="Arial"/>
          <w:sz w:val="22"/>
          <w:szCs w:val="22"/>
        </w:rPr>
        <w:t xml:space="preserve"> 73.17) </w:t>
      </w:r>
      <w:r w:rsidRPr="00A33F04">
        <w:rPr>
          <w:rFonts w:ascii="Arial" w:hAnsi="Arial" w:cs="Arial"/>
          <w:sz w:val="22"/>
          <w:szCs w:val="22"/>
        </w:rPr>
        <w:t xml:space="preserve">would implement the </w:t>
      </w:r>
      <w:r w:rsidR="008754D9">
        <w:rPr>
          <w:rFonts w:ascii="Arial" w:hAnsi="Arial" w:cs="Arial"/>
          <w:sz w:val="22"/>
          <w:szCs w:val="22"/>
        </w:rPr>
        <w:t>Commission</w:t>
      </w:r>
      <w:r w:rsidRPr="00A33F04">
        <w:rPr>
          <w:rFonts w:ascii="Arial" w:hAnsi="Arial" w:cs="Arial"/>
          <w:sz w:val="22"/>
          <w:szCs w:val="22"/>
        </w:rPr>
        <w:t xml:space="preserve">’s authority under Section 161A of the </w:t>
      </w:r>
      <w:r w:rsidRPr="00A33F04" w:rsidR="006A2207">
        <w:rPr>
          <w:rFonts w:ascii="Arial" w:hAnsi="Arial" w:cs="Arial"/>
          <w:sz w:val="22"/>
          <w:szCs w:val="22"/>
        </w:rPr>
        <w:t>AEA to conduct</w:t>
      </w:r>
      <w:r w:rsidRPr="00A33F04" w:rsidR="008C77C0">
        <w:rPr>
          <w:rFonts w:ascii="Arial" w:hAnsi="Arial" w:cs="Arial"/>
          <w:sz w:val="22"/>
          <w:szCs w:val="22"/>
        </w:rPr>
        <w:t xml:space="preserve"> </w:t>
      </w:r>
      <w:r w:rsidRPr="00A33F04" w:rsidR="00961B37">
        <w:rPr>
          <w:rFonts w:ascii="Arial" w:hAnsi="Arial" w:cs="Arial"/>
          <w:sz w:val="22"/>
          <w:szCs w:val="22"/>
        </w:rPr>
        <w:t>f</w:t>
      </w:r>
      <w:r w:rsidRPr="00A33F04" w:rsidR="008C77C0">
        <w:rPr>
          <w:rFonts w:ascii="Arial" w:hAnsi="Arial" w:cs="Arial"/>
          <w:sz w:val="22"/>
          <w:szCs w:val="22"/>
        </w:rPr>
        <w:t xml:space="preserve">irearms </w:t>
      </w:r>
      <w:r w:rsidRPr="00A33F04" w:rsidR="00961B37">
        <w:rPr>
          <w:rFonts w:ascii="Arial" w:hAnsi="Arial" w:cs="Arial"/>
          <w:sz w:val="22"/>
          <w:szCs w:val="22"/>
        </w:rPr>
        <w:t>b</w:t>
      </w:r>
      <w:r w:rsidRPr="00A33F04" w:rsidR="008C77C0">
        <w:rPr>
          <w:rFonts w:ascii="Arial" w:hAnsi="Arial" w:cs="Arial"/>
          <w:sz w:val="22"/>
          <w:szCs w:val="22"/>
        </w:rPr>
        <w:t xml:space="preserve">ackground </w:t>
      </w:r>
      <w:r w:rsidRPr="00A33F04" w:rsidR="00961B37">
        <w:rPr>
          <w:rFonts w:ascii="Arial" w:hAnsi="Arial" w:cs="Arial"/>
          <w:sz w:val="22"/>
          <w:szCs w:val="22"/>
        </w:rPr>
        <w:t>c</w:t>
      </w:r>
      <w:r w:rsidRPr="00A33F04" w:rsidR="008C77C0">
        <w:rPr>
          <w:rFonts w:ascii="Arial" w:hAnsi="Arial" w:cs="Arial"/>
          <w:sz w:val="22"/>
          <w:szCs w:val="22"/>
        </w:rPr>
        <w:t>hecks</w:t>
      </w:r>
      <w:r w:rsidRPr="00A33F04">
        <w:rPr>
          <w:rFonts w:ascii="Arial" w:hAnsi="Arial" w:cs="Arial"/>
          <w:sz w:val="22"/>
          <w:szCs w:val="22"/>
        </w:rPr>
        <w:t xml:space="preserve">.  </w:t>
      </w:r>
    </w:p>
    <w:p w:rsidRPr="00A33F04" w:rsidR="0025037D" w:rsidP="00C77510" w:rsidRDefault="0025037D" w14:paraId="1320AFE3" w14:textId="77777777">
      <w:pPr>
        <w:pStyle w:val="ListBullet"/>
        <w:numPr>
          <w:ilvl w:val="0"/>
          <w:numId w:val="0"/>
        </w:numPr>
        <w:rPr>
          <w:rFonts w:ascii="Arial" w:hAnsi="Arial" w:cs="Arial"/>
          <w:sz w:val="22"/>
          <w:szCs w:val="22"/>
        </w:rPr>
      </w:pPr>
    </w:p>
    <w:p w:rsidR="00AC7A0B" w:rsidP="00AC7A0B" w:rsidRDefault="00AC7A0B" w14:paraId="680850DC" w14:textId="5C0AAF0C">
      <w:pPr>
        <w:widowControl/>
        <w:rPr>
          <w:rFonts w:ascii="Arial" w:hAnsi="Arial" w:cs="Arial"/>
          <w:sz w:val="22"/>
          <w:szCs w:val="22"/>
        </w:rPr>
      </w:pPr>
      <w:r w:rsidRPr="00A33F04">
        <w:rPr>
          <w:rFonts w:ascii="Arial" w:hAnsi="Arial" w:cs="Arial"/>
          <w:sz w:val="22"/>
          <w:szCs w:val="22"/>
        </w:rPr>
        <w:t>Section 161A requires</w:t>
      </w:r>
      <w:r w:rsidRPr="00A33F04" w:rsidR="001B7022">
        <w:rPr>
          <w:rFonts w:ascii="Arial" w:hAnsi="Arial" w:cs="Arial"/>
          <w:sz w:val="22"/>
          <w:szCs w:val="22"/>
        </w:rPr>
        <w:t xml:space="preserve"> background checks be conducted for security personnel of licensees who</w:t>
      </w:r>
      <w:r w:rsidR="001B7022">
        <w:rPr>
          <w:rFonts w:ascii="Arial" w:hAnsi="Arial" w:cs="Arial"/>
          <w:sz w:val="22"/>
          <w:szCs w:val="22"/>
        </w:rPr>
        <w:t xml:space="preserve"> have applied for either stand-alone </w:t>
      </w:r>
      <w:r w:rsidRPr="0025037D" w:rsidR="001B7022">
        <w:rPr>
          <w:rFonts w:ascii="Arial" w:hAnsi="Arial" w:cs="Arial"/>
          <w:sz w:val="22"/>
          <w:szCs w:val="22"/>
        </w:rPr>
        <w:t>preemption authority or</w:t>
      </w:r>
      <w:r w:rsidR="001B7022">
        <w:rPr>
          <w:rFonts w:ascii="Arial" w:hAnsi="Arial" w:cs="Arial"/>
          <w:sz w:val="22"/>
          <w:szCs w:val="22"/>
        </w:rPr>
        <w:t xml:space="preserve"> combined</w:t>
      </w:r>
      <w:r w:rsidRPr="0025037D" w:rsidR="001B7022">
        <w:rPr>
          <w:rFonts w:ascii="Arial" w:hAnsi="Arial" w:cs="Arial"/>
          <w:sz w:val="22"/>
          <w:szCs w:val="22"/>
        </w:rPr>
        <w:t xml:space="preserve"> </w:t>
      </w:r>
      <w:r w:rsidRPr="00A33F04" w:rsidR="008754D9">
        <w:rPr>
          <w:rFonts w:ascii="Arial" w:hAnsi="Arial" w:cs="Arial"/>
          <w:sz w:val="22"/>
          <w:szCs w:val="22"/>
        </w:rPr>
        <w:t xml:space="preserve">preemption authority and enhanced weapons </w:t>
      </w:r>
      <w:r w:rsidR="001B7022">
        <w:rPr>
          <w:rFonts w:ascii="Arial" w:hAnsi="Arial" w:cs="Arial"/>
          <w:sz w:val="22"/>
          <w:szCs w:val="22"/>
        </w:rPr>
        <w:t>authority.</w:t>
      </w:r>
      <w:r w:rsidRPr="00A32597">
        <w:rPr>
          <w:rFonts w:ascii="Arial" w:hAnsi="Arial" w:cs="Arial"/>
          <w:sz w:val="22"/>
          <w:szCs w:val="22"/>
        </w:rPr>
        <w:t xml:space="preserve"> The </w:t>
      </w:r>
      <w:r w:rsidR="0040787D">
        <w:rPr>
          <w:rFonts w:ascii="Arial" w:hAnsi="Arial" w:cs="Arial"/>
          <w:sz w:val="22"/>
          <w:szCs w:val="22"/>
        </w:rPr>
        <w:t xml:space="preserve">firearms </w:t>
      </w:r>
      <w:r w:rsidRPr="00A32597">
        <w:rPr>
          <w:rFonts w:ascii="Arial" w:hAnsi="Arial" w:cs="Arial"/>
          <w:sz w:val="22"/>
          <w:szCs w:val="22"/>
        </w:rPr>
        <w:t>background check uses the person’s fingerprints</w:t>
      </w:r>
      <w:r w:rsidR="008C77C0">
        <w:rPr>
          <w:rFonts w:ascii="Arial" w:hAnsi="Arial" w:cs="Arial"/>
          <w:sz w:val="22"/>
          <w:szCs w:val="22"/>
        </w:rPr>
        <w:t>,</w:t>
      </w:r>
      <w:r w:rsidRPr="00A32597">
        <w:rPr>
          <w:rFonts w:ascii="Arial" w:hAnsi="Arial" w:cs="Arial"/>
          <w:sz w:val="22"/>
          <w:szCs w:val="22"/>
        </w:rPr>
        <w:t xml:space="preserve"> other </w:t>
      </w:r>
      <w:r w:rsidR="008C77C0">
        <w:rPr>
          <w:rFonts w:ascii="Arial" w:hAnsi="Arial" w:cs="Arial"/>
          <w:sz w:val="22"/>
          <w:szCs w:val="22"/>
        </w:rPr>
        <w:t xml:space="preserve">personal </w:t>
      </w:r>
      <w:r w:rsidRPr="00A32597">
        <w:rPr>
          <w:rFonts w:ascii="Arial" w:hAnsi="Arial" w:cs="Arial"/>
          <w:sz w:val="22"/>
          <w:szCs w:val="22"/>
        </w:rPr>
        <w:t>identifying information</w:t>
      </w:r>
      <w:r w:rsidR="00463848">
        <w:rPr>
          <w:rFonts w:ascii="Arial" w:hAnsi="Arial" w:cs="Arial"/>
          <w:sz w:val="22"/>
          <w:szCs w:val="22"/>
        </w:rPr>
        <w:t xml:space="preserve"> (PII)</w:t>
      </w:r>
      <w:r w:rsidR="008C77C0">
        <w:rPr>
          <w:rFonts w:ascii="Arial" w:hAnsi="Arial" w:cs="Arial"/>
          <w:sz w:val="22"/>
          <w:szCs w:val="22"/>
        </w:rPr>
        <w:t>, and duty station location</w:t>
      </w:r>
      <w:r w:rsidRPr="00A32597">
        <w:rPr>
          <w:rFonts w:ascii="Arial" w:hAnsi="Arial" w:cs="Arial"/>
          <w:sz w:val="22"/>
          <w:szCs w:val="22"/>
        </w:rPr>
        <w:t xml:space="preserve"> to determine if an individual is prohibited under Federal or State law from possessing or receiving firearms</w:t>
      </w:r>
      <w:r w:rsidR="006A2207">
        <w:rPr>
          <w:rFonts w:ascii="Arial" w:hAnsi="Arial" w:cs="Arial"/>
          <w:sz w:val="22"/>
          <w:szCs w:val="22"/>
        </w:rPr>
        <w:t xml:space="preserve"> </w:t>
      </w:r>
      <w:r w:rsidR="00705DAE">
        <w:rPr>
          <w:rFonts w:ascii="Arial" w:hAnsi="Arial" w:cs="Arial"/>
          <w:sz w:val="22"/>
          <w:szCs w:val="22"/>
        </w:rPr>
        <w:t>or</w:t>
      </w:r>
      <w:r w:rsidR="006A2207">
        <w:rPr>
          <w:rFonts w:ascii="Arial" w:hAnsi="Arial" w:cs="Arial"/>
          <w:sz w:val="22"/>
          <w:szCs w:val="22"/>
        </w:rPr>
        <w:t xml:space="preserve"> ammunition</w:t>
      </w:r>
      <w:r w:rsidRPr="00A32597">
        <w:rPr>
          <w:rFonts w:ascii="Arial" w:hAnsi="Arial" w:cs="Arial"/>
          <w:sz w:val="22"/>
          <w:szCs w:val="22"/>
        </w:rPr>
        <w:t xml:space="preserve">.  </w:t>
      </w:r>
      <w:r w:rsidR="0031741D">
        <w:rPr>
          <w:rFonts w:ascii="Arial" w:hAnsi="Arial" w:cs="Arial"/>
          <w:sz w:val="22"/>
          <w:szCs w:val="22"/>
        </w:rPr>
        <w:t xml:space="preserve">To meet this requirement, </w:t>
      </w:r>
      <w:r w:rsidR="00B70590">
        <w:rPr>
          <w:rFonts w:ascii="Arial" w:hAnsi="Arial" w:cs="Arial"/>
          <w:sz w:val="22"/>
          <w:szCs w:val="22"/>
        </w:rPr>
        <w:t>licensees who have applied to the NRC for Section 161A authority</w:t>
      </w:r>
      <w:r w:rsidR="005D67D1">
        <w:rPr>
          <w:rFonts w:ascii="Arial" w:hAnsi="Arial" w:cs="Arial"/>
          <w:sz w:val="22"/>
          <w:szCs w:val="22"/>
        </w:rPr>
        <w:t xml:space="preserve"> and </w:t>
      </w:r>
      <w:r w:rsidRPr="00A32597">
        <w:rPr>
          <w:rFonts w:ascii="Arial" w:hAnsi="Arial" w:cs="Arial"/>
          <w:sz w:val="22"/>
          <w:szCs w:val="22"/>
        </w:rPr>
        <w:t xml:space="preserve">whose </w:t>
      </w:r>
      <w:r w:rsidR="008754D9">
        <w:rPr>
          <w:rFonts w:ascii="Arial" w:hAnsi="Arial" w:cs="Arial"/>
          <w:sz w:val="22"/>
          <w:szCs w:val="22"/>
        </w:rPr>
        <w:t>s</w:t>
      </w:r>
      <w:r w:rsidRPr="00A32597" w:rsidR="008754D9">
        <w:rPr>
          <w:rFonts w:ascii="Arial" w:hAnsi="Arial" w:cs="Arial"/>
          <w:sz w:val="22"/>
          <w:szCs w:val="22"/>
        </w:rPr>
        <w:t xml:space="preserve">ecurity personnel </w:t>
      </w:r>
      <w:r w:rsidR="008754D9">
        <w:rPr>
          <w:rFonts w:ascii="Arial" w:hAnsi="Arial" w:cs="Arial"/>
          <w:sz w:val="22"/>
          <w:szCs w:val="22"/>
        </w:rPr>
        <w:t xml:space="preserve">have </w:t>
      </w:r>
      <w:r w:rsidR="00B70590">
        <w:rPr>
          <w:rFonts w:ascii="Arial" w:hAnsi="Arial" w:cs="Arial"/>
          <w:sz w:val="22"/>
          <w:szCs w:val="22"/>
        </w:rPr>
        <w:t xml:space="preserve">official </w:t>
      </w:r>
      <w:r w:rsidRPr="00A32597">
        <w:rPr>
          <w:rFonts w:ascii="Arial" w:hAnsi="Arial" w:cs="Arial"/>
          <w:sz w:val="22"/>
          <w:szCs w:val="22"/>
        </w:rPr>
        <w:t xml:space="preserve">duties </w:t>
      </w:r>
      <w:r w:rsidR="00575659">
        <w:rPr>
          <w:rFonts w:ascii="Arial" w:hAnsi="Arial" w:cs="Arial"/>
          <w:sz w:val="22"/>
          <w:szCs w:val="22"/>
        </w:rPr>
        <w:t>requir</w:t>
      </w:r>
      <w:r w:rsidR="008754D9">
        <w:rPr>
          <w:rFonts w:ascii="Arial" w:hAnsi="Arial" w:cs="Arial"/>
          <w:sz w:val="22"/>
          <w:szCs w:val="22"/>
        </w:rPr>
        <w:t>ing</w:t>
      </w:r>
      <w:r w:rsidR="00575659">
        <w:rPr>
          <w:rFonts w:ascii="Arial" w:hAnsi="Arial" w:cs="Arial"/>
          <w:sz w:val="22"/>
          <w:szCs w:val="22"/>
        </w:rPr>
        <w:t xml:space="preserve"> access to </w:t>
      </w:r>
      <w:r w:rsidR="006A2207">
        <w:rPr>
          <w:rFonts w:ascii="Arial" w:hAnsi="Arial" w:cs="Arial"/>
          <w:sz w:val="22"/>
          <w:szCs w:val="22"/>
        </w:rPr>
        <w:t xml:space="preserve">covered </w:t>
      </w:r>
      <w:r w:rsidRPr="00A32597">
        <w:rPr>
          <w:rFonts w:ascii="Arial" w:hAnsi="Arial" w:cs="Arial"/>
          <w:sz w:val="22"/>
          <w:szCs w:val="22"/>
        </w:rPr>
        <w:t>weapons</w:t>
      </w:r>
      <w:r w:rsidR="00575659">
        <w:rPr>
          <w:rFonts w:ascii="Arial" w:hAnsi="Arial" w:cs="Arial"/>
          <w:sz w:val="22"/>
          <w:szCs w:val="22"/>
        </w:rPr>
        <w:t xml:space="preserve"> </w:t>
      </w:r>
      <w:r w:rsidRPr="00A32597">
        <w:rPr>
          <w:rFonts w:ascii="Arial" w:hAnsi="Arial" w:cs="Arial"/>
          <w:sz w:val="22"/>
          <w:szCs w:val="22"/>
        </w:rPr>
        <w:t xml:space="preserve">would complete the </w:t>
      </w:r>
      <w:r w:rsidR="00A0140C">
        <w:rPr>
          <w:rFonts w:ascii="Arial" w:hAnsi="Arial" w:cs="Arial"/>
          <w:sz w:val="22"/>
          <w:szCs w:val="22"/>
        </w:rPr>
        <w:t xml:space="preserve">new </w:t>
      </w:r>
      <w:r w:rsidRPr="00A32597">
        <w:rPr>
          <w:rFonts w:ascii="Arial" w:hAnsi="Arial" w:cs="Arial"/>
          <w:sz w:val="22"/>
          <w:szCs w:val="22"/>
        </w:rPr>
        <w:t>NRC Form 754</w:t>
      </w:r>
      <w:r w:rsidR="00575659">
        <w:rPr>
          <w:rFonts w:ascii="Arial" w:hAnsi="Arial" w:cs="Arial"/>
          <w:sz w:val="22"/>
          <w:szCs w:val="22"/>
        </w:rPr>
        <w:t>.  T</w:t>
      </w:r>
      <w:r w:rsidRPr="00A32597">
        <w:rPr>
          <w:rFonts w:ascii="Arial" w:hAnsi="Arial" w:cs="Arial"/>
          <w:sz w:val="22"/>
          <w:szCs w:val="22"/>
        </w:rPr>
        <w:t xml:space="preserve">he licensee would then submit the completed forms to the NRC, and the NRC would forward </w:t>
      </w:r>
      <w:r w:rsidR="008C77C0">
        <w:rPr>
          <w:rFonts w:ascii="Arial" w:hAnsi="Arial" w:cs="Arial"/>
          <w:sz w:val="22"/>
          <w:szCs w:val="22"/>
        </w:rPr>
        <w:t>this</w:t>
      </w:r>
      <w:r w:rsidRPr="00A32597" w:rsidR="008C77C0">
        <w:rPr>
          <w:rFonts w:ascii="Arial" w:hAnsi="Arial" w:cs="Arial"/>
          <w:sz w:val="22"/>
          <w:szCs w:val="22"/>
        </w:rPr>
        <w:t xml:space="preserve"> </w:t>
      </w:r>
      <w:r w:rsidRPr="00A32597">
        <w:rPr>
          <w:rFonts w:ascii="Arial" w:hAnsi="Arial" w:cs="Arial"/>
          <w:sz w:val="22"/>
          <w:szCs w:val="22"/>
        </w:rPr>
        <w:t xml:space="preserve">information to the </w:t>
      </w:r>
      <w:r w:rsidRPr="00A32597" w:rsidR="00575659">
        <w:rPr>
          <w:rFonts w:ascii="Arial" w:hAnsi="Arial" w:cs="Arial"/>
          <w:sz w:val="22"/>
          <w:szCs w:val="22"/>
        </w:rPr>
        <w:t>Federal Bureau of Investigation’s (FBI’s)</w:t>
      </w:r>
      <w:r w:rsidR="00D12269">
        <w:rPr>
          <w:rFonts w:ascii="Arial" w:hAnsi="Arial" w:cs="Arial"/>
          <w:sz w:val="22"/>
          <w:szCs w:val="22"/>
        </w:rPr>
        <w:t>, Criminal Justice Information Services Division (CJIS), for examination against the</w:t>
      </w:r>
      <w:r w:rsidR="006A2207">
        <w:rPr>
          <w:rFonts w:ascii="Arial" w:hAnsi="Arial" w:cs="Arial"/>
          <w:sz w:val="22"/>
          <w:szCs w:val="22"/>
        </w:rPr>
        <w:t xml:space="preserve"> FBI’s</w:t>
      </w:r>
      <w:r w:rsidRPr="00A32597" w:rsidR="00575659">
        <w:rPr>
          <w:rFonts w:ascii="Arial" w:hAnsi="Arial" w:cs="Arial"/>
          <w:sz w:val="22"/>
          <w:szCs w:val="22"/>
        </w:rPr>
        <w:t xml:space="preserve"> National Instant Criminal Background Check Systems (NICS)</w:t>
      </w:r>
      <w:r w:rsidRPr="00A32597">
        <w:rPr>
          <w:rFonts w:ascii="Arial" w:hAnsi="Arial" w:cs="Arial"/>
          <w:sz w:val="22"/>
          <w:szCs w:val="22"/>
        </w:rPr>
        <w:t xml:space="preserve">.  </w:t>
      </w:r>
    </w:p>
    <w:p w:rsidR="00B34BE9" w:rsidP="0025037D" w:rsidRDefault="00B34BE9" w14:paraId="2212E702" w14:textId="77777777">
      <w:pPr>
        <w:widowControl/>
        <w:rPr>
          <w:rFonts w:ascii="Arial" w:hAnsi="Arial" w:cs="Arial"/>
          <w:sz w:val="22"/>
          <w:szCs w:val="22"/>
        </w:rPr>
      </w:pPr>
    </w:p>
    <w:p w:rsidRPr="00B52E84" w:rsidR="00B34BE9" w:rsidP="00B34BE9" w:rsidRDefault="00B34BE9" w14:paraId="4A34FE75" w14:textId="77777777">
      <w:pPr>
        <w:widowControl/>
        <w:autoSpaceDE/>
        <w:autoSpaceDN/>
        <w:adjustRightInd/>
        <w:rPr>
          <w:rFonts w:ascii="Arial" w:hAnsi="Arial" w:cs="Arial"/>
          <w:i/>
          <w:sz w:val="22"/>
          <w:szCs w:val="22"/>
        </w:rPr>
      </w:pPr>
      <w:r>
        <w:rPr>
          <w:rFonts w:ascii="Arial" w:hAnsi="Arial" w:cs="Arial"/>
          <w:i/>
          <w:sz w:val="22"/>
          <w:szCs w:val="22"/>
        </w:rPr>
        <w:t xml:space="preserve">Changes to the final rule </w:t>
      </w:r>
      <w:proofErr w:type="gramStart"/>
      <w:r>
        <w:rPr>
          <w:rFonts w:ascii="Arial" w:hAnsi="Arial" w:cs="Arial"/>
          <w:i/>
          <w:sz w:val="22"/>
          <w:szCs w:val="22"/>
        </w:rPr>
        <w:t>as a result of</w:t>
      </w:r>
      <w:proofErr w:type="gramEnd"/>
      <w:r>
        <w:rPr>
          <w:rFonts w:ascii="Arial" w:hAnsi="Arial" w:cs="Arial"/>
          <w:i/>
          <w:sz w:val="22"/>
          <w:szCs w:val="22"/>
        </w:rPr>
        <w:t xml:space="preserve"> public comment</w:t>
      </w:r>
    </w:p>
    <w:p w:rsidR="00B34BE9" w:rsidP="00B34BE9" w:rsidRDefault="00B34BE9" w14:paraId="6E12BA53" w14:textId="77777777">
      <w:pPr>
        <w:widowControl/>
        <w:rPr>
          <w:rFonts w:ascii="Arial" w:hAnsi="Arial" w:cs="Arial"/>
          <w:sz w:val="22"/>
          <w:szCs w:val="22"/>
        </w:rPr>
      </w:pPr>
    </w:p>
    <w:p w:rsidRPr="00A769F9" w:rsidR="00B34BE9" w:rsidP="00B34BE9" w:rsidRDefault="00B34BE9" w14:paraId="5F82EA9A" w14:textId="69135261">
      <w:pPr>
        <w:widowControl/>
        <w:rPr>
          <w:rFonts w:ascii="Arial" w:hAnsi="Arial" w:cs="Arial"/>
          <w:sz w:val="22"/>
          <w:szCs w:val="22"/>
        </w:rPr>
      </w:pPr>
      <w:r w:rsidRPr="00A769F9">
        <w:rPr>
          <w:rFonts w:ascii="Arial" w:hAnsi="Arial" w:cs="Arial"/>
          <w:sz w:val="22"/>
          <w:szCs w:val="22"/>
        </w:rPr>
        <w:t xml:space="preserve">The </w:t>
      </w:r>
      <w:r w:rsidR="002A33E3">
        <w:rPr>
          <w:rFonts w:ascii="Arial" w:hAnsi="Arial" w:cs="Arial"/>
          <w:sz w:val="22"/>
          <w:szCs w:val="22"/>
        </w:rPr>
        <w:t>NRC</w:t>
      </w:r>
      <w:r w:rsidRPr="00A769F9">
        <w:rPr>
          <w:rFonts w:ascii="Arial" w:hAnsi="Arial" w:cs="Arial"/>
          <w:sz w:val="22"/>
          <w:szCs w:val="22"/>
        </w:rPr>
        <w:t xml:space="preserve"> made changes to the proposed rule </w:t>
      </w:r>
      <w:proofErr w:type="gramStart"/>
      <w:r w:rsidRPr="00A769F9">
        <w:rPr>
          <w:rFonts w:ascii="Arial" w:hAnsi="Arial" w:cs="Arial"/>
          <w:sz w:val="22"/>
          <w:szCs w:val="22"/>
        </w:rPr>
        <w:t>as a result of</w:t>
      </w:r>
      <w:proofErr w:type="gramEnd"/>
      <w:r w:rsidRPr="00A769F9">
        <w:rPr>
          <w:rFonts w:ascii="Arial" w:hAnsi="Arial" w:cs="Arial"/>
          <w:sz w:val="22"/>
          <w:szCs w:val="22"/>
        </w:rPr>
        <w:t xml:space="preserve"> public</w:t>
      </w:r>
      <w:r w:rsidR="005D67D1">
        <w:rPr>
          <w:rFonts w:ascii="Arial" w:hAnsi="Arial" w:cs="Arial"/>
          <w:sz w:val="22"/>
          <w:szCs w:val="22"/>
        </w:rPr>
        <w:t xml:space="preserve"> comments</w:t>
      </w:r>
      <w:r w:rsidRPr="00A769F9">
        <w:rPr>
          <w:rFonts w:ascii="Arial" w:hAnsi="Arial" w:cs="Arial"/>
          <w:sz w:val="22"/>
          <w:szCs w:val="22"/>
        </w:rPr>
        <w:t xml:space="preserve">. </w:t>
      </w:r>
      <w:r>
        <w:rPr>
          <w:rFonts w:ascii="Arial" w:hAnsi="Arial" w:cs="Arial"/>
          <w:sz w:val="22"/>
          <w:szCs w:val="22"/>
        </w:rPr>
        <w:t xml:space="preserve"> </w:t>
      </w:r>
      <w:r w:rsidR="00E11090">
        <w:rPr>
          <w:rFonts w:ascii="Arial" w:hAnsi="Arial" w:cs="Arial"/>
          <w:sz w:val="22"/>
          <w:szCs w:val="22"/>
        </w:rPr>
        <w:t xml:space="preserve">The changes impact the frequency at which NRC Form 754 would be used but </w:t>
      </w:r>
      <w:r w:rsidR="0031741D">
        <w:rPr>
          <w:rFonts w:ascii="Arial" w:hAnsi="Arial" w:cs="Arial"/>
          <w:sz w:val="22"/>
          <w:szCs w:val="22"/>
        </w:rPr>
        <w:t>do not modify the information collected by the form</w:t>
      </w:r>
      <w:r w:rsidR="00E11090">
        <w:rPr>
          <w:rFonts w:ascii="Arial" w:hAnsi="Arial" w:cs="Arial"/>
          <w:sz w:val="22"/>
          <w:szCs w:val="22"/>
        </w:rPr>
        <w:t xml:space="preserve">.  </w:t>
      </w:r>
      <w:r w:rsidRPr="00A769F9">
        <w:rPr>
          <w:rFonts w:ascii="Arial" w:hAnsi="Arial" w:cs="Arial"/>
          <w:sz w:val="22"/>
          <w:szCs w:val="22"/>
        </w:rPr>
        <w:t>The final rule reflects the following changes:</w:t>
      </w:r>
    </w:p>
    <w:p w:rsidRPr="00A769F9" w:rsidR="00B34BE9" w:rsidP="00B34BE9" w:rsidRDefault="00B34BE9" w14:paraId="3C6EF7E1" w14:textId="77777777">
      <w:pPr>
        <w:widowControl/>
        <w:rPr>
          <w:rFonts w:ascii="Arial" w:hAnsi="Arial" w:cs="Arial"/>
          <w:sz w:val="22"/>
          <w:szCs w:val="22"/>
        </w:rPr>
      </w:pPr>
    </w:p>
    <w:p w:rsidR="00B34BE9" w:rsidP="00B34BE9" w:rsidRDefault="00B34BE9" w14:paraId="082835BA" w14:textId="7C74A45B">
      <w:pPr>
        <w:pStyle w:val="ListParagraph"/>
        <w:widowControl/>
        <w:numPr>
          <w:ilvl w:val="0"/>
          <w:numId w:val="12"/>
        </w:numPr>
        <w:rPr>
          <w:rFonts w:ascii="Arial" w:hAnsi="Arial" w:cs="Arial"/>
          <w:sz w:val="22"/>
          <w:szCs w:val="22"/>
        </w:rPr>
      </w:pPr>
      <w:r w:rsidRPr="00353FF1">
        <w:rPr>
          <w:rFonts w:ascii="Arial" w:hAnsi="Arial" w:cs="Arial"/>
          <w:sz w:val="22"/>
          <w:szCs w:val="22"/>
        </w:rPr>
        <w:t xml:space="preserve">The </w:t>
      </w:r>
      <w:r w:rsidR="00012DCD">
        <w:rPr>
          <w:rFonts w:ascii="Arial" w:hAnsi="Arial" w:cs="Arial"/>
          <w:sz w:val="22"/>
          <w:szCs w:val="22"/>
        </w:rPr>
        <w:t xml:space="preserve">final </w:t>
      </w:r>
      <w:r w:rsidRPr="00353FF1">
        <w:rPr>
          <w:rFonts w:ascii="Arial" w:hAnsi="Arial" w:cs="Arial"/>
          <w:sz w:val="22"/>
          <w:szCs w:val="22"/>
        </w:rPr>
        <w:t xml:space="preserve">rule modifies the periodicity of recurring firearms background checks.  The </w:t>
      </w:r>
      <w:r w:rsidR="00F00DAC">
        <w:rPr>
          <w:rFonts w:ascii="Arial" w:hAnsi="Arial" w:cs="Arial"/>
          <w:sz w:val="22"/>
          <w:szCs w:val="22"/>
        </w:rPr>
        <w:t>p</w:t>
      </w:r>
      <w:r w:rsidRPr="00353FF1">
        <w:rPr>
          <w:rFonts w:ascii="Arial" w:hAnsi="Arial" w:cs="Arial"/>
          <w:sz w:val="22"/>
          <w:szCs w:val="22"/>
        </w:rPr>
        <w:t xml:space="preserve">roposed rule originally stated that periodic firearms background checks for those licensees with Section 161A authority would be required </w:t>
      </w:r>
      <w:r w:rsidR="00B70590">
        <w:rPr>
          <w:rFonts w:ascii="Arial" w:hAnsi="Arial" w:cs="Arial"/>
          <w:sz w:val="22"/>
          <w:szCs w:val="22"/>
        </w:rPr>
        <w:t xml:space="preserve">at least </w:t>
      </w:r>
      <w:r w:rsidRPr="00353FF1">
        <w:rPr>
          <w:rFonts w:ascii="Arial" w:hAnsi="Arial" w:cs="Arial"/>
          <w:sz w:val="22"/>
          <w:szCs w:val="22"/>
        </w:rPr>
        <w:t>every 3 years.  Pub</w:t>
      </w:r>
      <w:r>
        <w:rPr>
          <w:rFonts w:ascii="Arial" w:hAnsi="Arial" w:cs="Arial"/>
          <w:sz w:val="22"/>
          <w:szCs w:val="22"/>
        </w:rPr>
        <w:t>l</w:t>
      </w:r>
      <w:r w:rsidRPr="00353FF1">
        <w:rPr>
          <w:rFonts w:ascii="Arial" w:hAnsi="Arial" w:cs="Arial"/>
          <w:sz w:val="22"/>
          <w:szCs w:val="22"/>
        </w:rPr>
        <w:t xml:space="preserve">ic comments stated that </w:t>
      </w:r>
      <w:r w:rsidRPr="00353FF1" w:rsidR="00D82456">
        <w:rPr>
          <w:rFonts w:ascii="Arial" w:hAnsi="Arial" w:cs="Arial"/>
          <w:sz w:val="22"/>
          <w:szCs w:val="22"/>
        </w:rPr>
        <w:t>5</w:t>
      </w:r>
      <w:r w:rsidR="00D82456">
        <w:rPr>
          <w:rFonts w:ascii="Arial" w:hAnsi="Arial" w:cs="Arial"/>
          <w:sz w:val="22"/>
          <w:szCs w:val="22"/>
        </w:rPr>
        <w:t>-</w:t>
      </w:r>
      <w:r w:rsidRPr="00353FF1">
        <w:rPr>
          <w:rFonts w:ascii="Arial" w:hAnsi="Arial" w:cs="Arial"/>
          <w:sz w:val="22"/>
          <w:szCs w:val="22"/>
        </w:rPr>
        <w:t xml:space="preserve">year </w:t>
      </w:r>
      <w:r w:rsidR="00F00DAC">
        <w:rPr>
          <w:rFonts w:ascii="Arial" w:hAnsi="Arial" w:cs="Arial"/>
          <w:sz w:val="22"/>
          <w:szCs w:val="22"/>
        </w:rPr>
        <w:t>periods</w:t>
      </w:r>
      <w:r w:rsidRPr="00353FF1">
        <w:rPr>
          <w:rFonts w:ascii="Arial" w:hAnsi="Arial" w:cs="Arial"/>
          <w:sz w:val="22"/>
          <w:szCs w:val="22"/>
        </w:rPr>
        <w:t xml:space="preserve"> would be more appropriate as it would allow licensees to align the firearms background checks with the other background checks required of security personnel.  The </w:t>
      </w:r>
      <w:r w:rsidR="002A33E3">
        <w:rPr>
          <w:rFonts w:ascii="Arial" w:hAnsi="Arial" w:cs="Arial"/>
          <w:sz w:val="22"/>
          <w:szCs w:val="22"/>
        </w:rPr>
        <w:t>NRC</w:t>
      </w:r>
      <w:r w:rsidRPr="00353FF1">
        <w:rPr>
          <w:rFonts w:ascii="Arial" w:hAnsi="Arial" w:cs="Arial"/>
          <w:sz w:val="22"/>
          <w:szCs w:val="22"/>
        </w:rPr>
        <w:t xml:space="preserve"> agreed and changed the </w:t>
      </w:r>
      <w:r w:rsidR="00F00DAC">
        <w:rPr>
          <w:rFonts w:ascii="Arial" w:hAnsi="Arial" w:cs="Arial"/>
          <w:sz w:val="22"/>
          <w:szCs w:val="22"/>
        </w:rPr>
        <w:t xml:space="preserve">recurring </w:t>
      </w:r>
      <w:r w:rsidRPr="00353FF1">
        <w:rPr>
          <w:rFonts w:ascii="Arial" w:hAnsi="Arial" w:cs="Arial"/>
          <w:sz w:val="22"/>
          <w:szCs w:val="22"/>
        </w:rPr>
        <w:t>period</w:t>
      </w:r>
      <w:r w:rsidR="00F00DAC">
        <w:rPr>
          <w:rFonts w:ascii="Arial" w:hAnsi="Arial" w:cs="Arial"/>
          <w:sz w:val="22"/>
          <w:szCs w:val="22"/>
        </w:rPr>
        <w:t>s</w:t>
      </w:r>
      <w:r w:rsidRPr="00353FF1">
        <w:rPr>
          <w:rFonts w:ascii="Arial" w:hAnsi="Arial" w:cs="Arial"/>
          <w:sz w:val="22"/>
          <w:szCs w:val="22"/>
        </w:rPr>
        <w:t xml:space="preserve"> to </w:t>
      </w:r>
      <w:r w:rsidR="00B70590">
        <w:rPr>
          <w:rFonts w:ascii="Arial" w:hAnsi="Arial" w:cs="Arial"/>
          <w:sz w:val="22"/>
          <w:szCs w:val="22"/>
        </w:rPr>
        <w:t xml:space="preserve">at least </w:t>
      </w:r>
      <w:r w:rsidR="00F00DAC">
        <w:rPr>
          <w:rFonts w:ascii="Arial" w:hAnsi="Arial" w:cs="Arial"/>
          <w:sz w:val="22"/>
          <w:szCs w:val="22"/>
        </w:rPr>
        <w:t xml:space="preserve">once </w:t>
      </w:r>
      <w:r w:rsidR="00B70590">
        <w:rPr>
          <w:rFonts w:ascii="Arial" w:hAnsi="Arial" w:cs="Arial"/>
          <w:sz w:val="22"/>
          <w:szCs w:val="22"/>
        </w:rPr>
        <w:t xml:space="preserve">every </w:t>
      </w:r>
      <w:r w:rsidR="00F00DAC">
        <w:rPr>
          <w:rFonts w:ascii="Arial" w:hAnsi="Arial" w:cs="Arial"/>
          <w:sz w:val="22"/>
          <w:szCs w:val="22"/>
        </w:rPr>
        <w:t>5 </w:t>
      </w:r>
      <w:r w:rsidRPr="00353FF1">
        <w:rPr>
          <w:rFonts w:ascii="Arial" w:hAnsi="Arial" w:cs="Arial"/>
          <w:sz w:val="22"/>
          <w:szCs w:val="22"/>
        </w:rPr>
        <w:t>years.</w:t>
      </w:r>
      <w:r w:rsidR="00B70590">
        <w:rPr>
          <w:rFonts w:ascii="Arial" w:hAnsi="Arial" w:cs="Arial"/>
          <w:sz w:val="22"/>
          <w:szCs w:val="22"/>
        </w:rPr>
        <w:t xml:space="preserve">  However, licensees </w:t>
      </w:r>
      <w:proofErr w:type="gramStart"/>
      <w:r w:rsidR="00054972">
        <w:rPr>
          <w:rFonts w:ascii="Arial" w:hAnsi="Arial" w:cs="Arial"/>
          <w:sz w:val="22"/>
          <w:szCs w:val="22"/>
        </w:rPr>
        <w:t>are able to</w:t>
      </w:r>
      <w:proofErr w:type="gramEnd"/>
      <w:r w:rsidR="00054972">
        <w:rPr>
          <w:rFonts w:ascii="Arial" w:hAnsi="Arial" w:cs="Arial"/>
          <w:sz w:val="22"/>
          <w:szCs w:val="22"/>
        </w:rPr>
        <w:t xml:space="preserve"> conduct</w:t>
      </w:r>
      <w:r w:rsidR="00B70590">
        <w:rPr>
          <w:rFonts w:ascii="Arial" w:hAnsi="Arial" w:cs="Arial"/>
          <w:sz w:val="22"/>
          <w:szCs w:val="22"/>
        </w:rPr>
        <w:t xml:space="preserve"> recurring firearms background checks </w:t>
      </w:r>
      <w:r w:rsidR="00054972">
        <w:rPr>
          <w:rFonts w:ascii="Arial" w:hAnsi="Arial" w:cs="Arial"/>
          <w:sz w:val="22"/>
          <w:szCs w:val="22"/>
        </w:rPr>
        <w:t>more frequently, if desired</w:t>
      </w:r>
      <w:r w:rsidR="00B70590">
        <w:rPr>
          <w:rFonts w:ascii="Arial" w:hAnsi="Arial" w:cs="Arial"/>
          <w:sz w:val="22"/>
          <w:szCs w:val="22"/>
        </w:rPr>
        <w:t>.</w:t>
      </w:r>
    </w:p>
    <w:p w:rsidR="005079F3" w:rsidP="005079F3" w:rsidRDefault="005079F3" w14:paraId="09A1E2E3" w14:textId="77777777">
      <w:pPr>
        <w:pStyle w:val="ListParagraph"/>
        <w:widowControl/>
        <w:rPr>
          <w:rFonts w:ascii="Arial" w:hAnsi="Arial" w:cs="Arial"/>
          <w:sz w:val="22"/>
          <w:szCs w:val="22"/>
        </w:rPr>
      </w:pPr>
    </w:p>
    <w:p w:rsidR="005079F3" w:rsidP="00B34BE9" w:rsidRDefault="005079F3" w14:paraId="2289C86D" w14:textId="77777777">
      <w:pPr>
        <w:pStyle w:val="ListParagraph"/>
        <w:widowControl/>
        <w:numPr>
          <w:ilvl w:val="0"/>
          <w:numId w:val="12"/>
        </w:numPr>
        <w:rPr>
          <w:rFonts w:ascii="Arial" w:hAnsi="Arial" w:cs="Arial"/>
          <w:sz w:val="22"/>
          <w:szCs w:val="22"/>
        </w:rPr>
      </w:pPr>
      <w:r>
        <w:rPr>
          <w:rFonts w:ascii="Arial" w:hAnsi="Arial" w:cs="Arial"/>
          <w:sz w:val="22"/>
          <w:szCs w:val="22"/>
        </w:rPr>
        <w:lastRenderedPageBreak/>
        <w:t xml:space="preserve">The </w:t>
      </w:r>
      <w:r w:rsidR="00012DCD">
        <w:rPr>
          <w:rFonts w:ascii="Arial" w:hAnsi="Arial" w:cs="Arial"/>
          <w:sz w:val="22"/>
          <w:szCs w:val="22"/>
        </w:rPr>
        <w:t xml:space="preserve">final </w:t>
      </w:r>
      <w:r>
        <w:rPr>
          <w:rFonts w:ascii="Arial" w:hAnsi="Arial" w:cs="Arial"/>
          <w:sz w:val="22"/>
          <w:szCs w:val="22"/>
        </w:rPr>
        <w:t xml:space="preserve">rule modifies the break-in-service firearms background check to provide an exception for security personnel who are away </w:t>
      </w:r>
      <w:r w:rsidR="0040787D">
        <w:rPr>
          <w:rFonts w:ascii="Arial" w:hAnsi="Arial" w:cs="Arial"/>
          <w:sz w:val="22"/>
          <w:szCs w:val="22"/>
        </w:rPr>
        <w:t>(from service with their licensee)</w:t>
      </w:r>
      <w:r w:rsidR="00D743A9">
        <w:rPr>
          <w:rFonts w:ascii="Arial" w:hAnsi="Arial" w:cs="Arial"/>
          <w:sz w:val="22"/>
          <w:szCs w:val="22"/>
        </w:rPr>
        <w:t xml:space="preserve"> </w:t>
      </w:r>
      <w:r>
        <w:rPr>
          <w:rFonts w:ascii="Arial" w:hAnsi="Arial" w:cs="Arial"/>
          <w:sz w:val="22"/>
          <w:szCs w:val="22"/>
        </w:rPr>
        <w:t xml:space="preserve">on active duty with </w:t>
      </w:r>
      <w:r w:rsidR="00F00DAC">
        <w:rPr>
          <w:rFonts w:ascii="Arial" w:hAnsi="Arial" w:cs="Arial"/>
          <w:sz w:val="22"/>
          <w:szCs w:val="22"/>
        </w:rPr>
        <w:t xml:space="preserve">the </w:t>
      </w:r>
      <w:r>
        <w:rPr>
          <w:rFonts w:ascii="Arial" w:hAnsi="Arial" w:cs="Arial"/>
          <w:sz w:val="22"/>
          <w:szCs w:val="22"/>
        </w:rPr>
        <w:t>U.S. military reserves or National Guard.</w:t>
      </w:r>
    </w:p>
    <w:p w:rsidRPr="006F32C3" w:rsidR="006F32C3" w:rsidP="006F32C3" w:rsidRDefault="006F32C3" w14:paraId="1ADACCA6" w14:textId="77777777">
      <w:pPr>
        <w:pStyle w:val="ListParagraph"/>
        <w:rPr>
          <w:rFonts w:ascii="Arial" w:hAnsi="Arial" w:cs="Arial"/>
          <w:sz w:val="22"/>
          <w:szCs w:val="22"/>
        </w:rPr>
      </w:pPr>
    </w:p>
    <w:p w:rsidRPr="00353FF1" w:rsidR="006F32C3" w:rsidP="00B34BE9" w:rsidRDefault="006F32C3" w14:paraId="56E9C7FB" w14:textId="77777777">
      <w:pPr>
        <w:pStyle w:val="ListParagraph"/>
        <w:widowControl/>
        <w:numPr>
          <w:ilvl w:val="0"/>
          <w:numId w:val="12"/>
        </w:numPr>
        <w:rPr>
          <w:rFonts w:ascii="Arial" w:hAnsi="Arial" w:cs="Arial"/>
          <w:sz w:val="22"/>
          <w:szCs w:val="22"/>
        </w:rPr>
      </w:pPr>
      <w:r>
        <w:rPr>
          <w:rFonts w:ascii="Arial" w:hAnsi="Arial" w:cs="Arial"/>
          <w:sz w:val="22"/>
          <w:szCs w:val="22"/>
        </w:rPr>
        <w:t xml:space="preserve">The </w:t>
      </w:r>
      <w:r w:rsidR="00012DCD">
        <w:rPr>
          <w:rFonts w:ascii="Arial" w:hAnsi="Arial" w:cs="Arial"/>
          <w:sz w:val="22"/>
          <w:szCs w:val="22"/>
        </w:rPr>
        <w:t xml:space="preserve">final </w:t>
      </w:r>
      <w:r>
        <w:rPr>
          <w:rFonts w:ascii="Arial" w:hAnsi="Arial" w:cs="Arial"/>
          <w:sz w:val="22"/>
          <w:szCs w:val="22"/>
        </w:rPr>
        <w:t>rule also modifies the 1-week break-in-service firearms background check requirement to provide an exception if the licensee verifies through an industry-wide, information-sharing database that security personnel has completed a satisfactory firearms background check within the preceding 12 months.  Provided, the licensee’s duty station location (for the facility or activity) is encompassed within the States or Territories that were included within the scope of the previous firearms background check.</w:t>
      </w:r>
    </w:p>
    <w:p w:rsidR="00B34BE9" w:rsidP="0025037D" w:rsidRDefault="00B34BE9" w14:paraId="61A9D38E" w14:textId="77777777">
      <w:pPr>
        <w:widowControl/>
        <w:rPr>
          <w:rFonts w:ascii="Arial" w:hAnsi="Arial" w:cs="Arial"/>
          <w:sz w:val="22"/>
          <w:szCs w:val="22"/>
        </w:rPr>
      </w:pPr>
    </w:p>
    <w:p w:rsidRPr="00A32597" w:rsidR="002B1B50" w:rsidP="00577D64" w:rsidRDefault="002B1B50" w14:paraId="4B25D397" w14:textId="77777777">
      <w:pPr>
        <w:widowControl/>
        <w:rPr>
          <w:rFonts w:ascii="Arial" w:hAnsi="Arial" w:cs="Arial"/>
          <w:sz w:val="22"/>
          <w:szCs w:val="22"/>
        </w:rPr>
      </w:pPr>
      <w:r w:rsidRPr="00A32597">
        <w:rPr>
          <w:rFonts w:ascii="Arial" w:hAnsi="Arial" w:cs="Arial"/>
          <w:sz w:val="22"/>
          <w:szCs w:val="22"/>
        </w:rPr>
        <w:t>A.</w:t>
      </w:r>
      <w:r w:rsidRPr="00A32597">
        <w:rPr>
          <w:rFonts w:ascii="Arial" w:hAnsi="Arial" w:cs="Arial"/>
          <w:sz w:val="22"/>
          <w:szCs w:val="22"/>
        </w:rPr>
        <w:tab/>
      </w:r>
      <w:r w:rsidRPr="00A32597">
        <w:rPr>
          <w:rFonts w:ascii="Arial" w:hAnsi="Arial" w:cs="Arial"/>
          <w:sz w:val="22"/>
          <w:szCs w:val="22"/>
          <w:u w:val="single"/>
        </w:rPr>
        <w:t>JUSTIFICATION</w:t>
      </w:r>
    </w:p>
    <w:p w:rsidRPr="00A32597" w:rsidR="002B1B50" w:rsidP="00577D64" w:rsidRDefault="002B1B50" w14:paraId="05331C01" w14:textId="77777777">
      <w:pPr>
        <w:widowControl/>
        <w:rPr>
          <w:rFonts w:ascii="Arial" w:hAnsi="Arial" w:cs="Arial"/>
          <w:sz w:val="22"/>
          <w:szCs w:val="22"/>
        </w:rPr>
      </w:pPr>
    </w:p>
    <w:p w:rsidR="001B0614" w:rsidP="001B0614" w:rsidRDefault="001B0614" w14:paraId="14C6052B" w14:textId="77777777">
      <w:pPr>
        <w:widowControl/>
        <w:tabs>
          <w:tab w:val="center" w:pos="4680"/>
        </w:tabs>
        <w:rPr>
          <w:rFonts w:ascii="Arial" w:hAnsi="Arial" w:cs="Arial"/>
          <w:i/>
          <w:sz w:val="22"/>
          <w:szCs w:val="22"/>
        </w:rPr>
      </w:pPr>
      <w:r>
        <w:rPr>
          <w:rFonts w:ascii="Arial" w:hAnsi="Arial" w:cs="Arial"/>
          <w:i/>
          <w:sz w:val="22"/>
          <w:szCs w:val="22"/>
        </w:rPr>
        <w:t>Requirements related to enhanced weapons and firearms background checks</w:t>
      </w:r>
    </w:p>
    <w:p w:rsidRPr="00B52E84" w:rsidR="001B0614" w:rsidP="001B0614" w:rsidRDefault="001B0614" w14:paraId="0BC0FBF2" w14:textId="77777777">
      <w:pPr>
        <w:widowControl/>
        <w:tabs>
          <w:tab w:val="center" w:pos="4680"/>
        </w:tabs>
        <w:rPr>
          <w:rFonts w:ascii="Arial" w:hAnsi="Arial" w:cs="Arial"/>
          <w:i/>
          <w:sz w:val="22"/>
          <w:szCs w:val="22"/>
        </w:rPr>
      </w:pPr>
    </w:p>
    <w:p w:rsidRPr="00FF4915" w:rsidR="001B0614" w:rsidP="001B0614" w:rsidRDefault="001B0614" w14:paraId="058E24AC" w14:textId="683557AD">
      <w:pPr>
        <w:widowControl/>
        <w:tabs>
          <w:tab w:val="center" w:pos="4680"/>
        </w:tabs>
        <w:rPr>
          <w:rFonts w:ascii="Arial" w:hAnsi="Arial" w:cs="Arial"/>
          <w:sz w:val="22"/>
          <w:szCs w:val="22"/>
        </w:rPr>
      </w:pPr>
      <w:r w:rsidRPr="00832DC6">
        <w:rPr>
          <w:rFonts w:ascii="Arial" w:hAnsi="Arial" w:cs="Arial"/>
          <w:sz w:val="22"/>
          <w:szCs w:val="22"/>
        </w:rPr>
        <w:t>On August 8, 2005, President Bush signed into law the Energy Policy Act of 2005 (</w:t>
      </w:r>
      <w:proofErr w:type="spellStart"/>
      <w:r w:rsidRPr="00832DC6">
        <w:rPr>
          <w:rFonts w:ascii="Arial" w:hAnsi="Arial" w:cs="Arial"/>
          <w:sz w:val="22"/>
          <w:szCs w:val="22"/>
        </w:rPr>
        <w:t>EPAct</w:t>
      </w:r>
      <w:proofErr w:type="spellEnd"/>
      <w:r w:rsidRPr="00832DC6">
        <w:rPr>
          <w:rFonts w:ascii="Arial" w:hAnsi="Arial" w:cs="Arial"/>
          <w:sz w:val="22"/>
          <w:szCs w:val="22"/>
        </w:rPr>
        <w:t xml:space="preserve">), Pub. L. 109-58, 119 Stat. 594 (2005).  Section 653 of the </w:t>
      </w:r>
      <w:proofErr w:type="spellStart"/>
      <w:r w:rsidRPr="00832DC6">
        <w:rPr>
          <w:rFonts w:ascii="Arial" w:hAnsi="Arial" w:cs="Arial"/>
          <w:sz w:val="22"/>
          <w:szCs w:val="22"/>
        </w:rPr>
        <w:t>EPAct</w:t>
      </w:r>
      <w:proofErr w:type="spellEnd"/>
      <w:r w:rsidRPr="00832DC6">
        <w:rPr>
          <w:rFonts w:ascii="Arial" w:hAnsi="Arial" w:cs="Arial"/>
          <w:sz w:val="22"/>
          <w:szCs w:val="22"/>
        </w:rPr>
        <w:t xml:space="preserve"> amended the AEA by adding Section 161A, “Use of Firearms by Security Personnel” (42 U.S.C. 2201a).  </w:t>
      </w:r>
      <w:r w:rsidRPr="00FF4915">
        <w:rPr>
          <w:rFonts w:ascii="Arial" w:hAnsi="Arial" w:cs="Arial"/>
          <w:sz w:val="22"/>
          <w:szCs w:val="22"/>
        </w:rPr>
        <w:t xml:space="preserve">Section 161A.d. of the AEA provides that the Commission shall, with the </w:t>
      </w:r>
      <w:r w:rsidRPr="008342C2">
        <w:rPr>
          <w:rFonts w:ascii="Arial" w:hAnsi="Arial" w:cs="Arial"/>
          <w:sz w:val="22"/>
          <w:szCs w:val="22"/>
        </w:rPr>
        <w:t xml:space="preserve">approval of the </w:t>
      </w:r>
      <w:r w:rsidRPr="008342C2" w:rsidR="008342C2">
        <w:rPr>
          <w:rFonts w:ascii="Arial" w:hAnsi="Arial" w:cs="Arial"/>
          <w:sz w:val="22"/>
          <w:szCs w:val="22"/>
        </w:rPr>
        <w:t>U.S. Attorney General (</w:t>
      </w:r>
      <w:r w:rsidRPr="008342C2" w:rsidR="00012DCD">
        <w:rPr>
          <w:rFonts w:ascii="Arial" w:hAnsi="Arial" w:cs="Arial"/>
          <w:sz w:val="22"/>
          <w:szCs w:val="22"/>
        </w:rPr>
        <w:t>AG</w:t>
      </w:r>
      <w:r w:rsidRPr="008342C2" w:rsidR="008342C2">
        <w:rPr>
          <w:rFonts w:ascii="Arial" w:hAnsi="Arial" w:cs="Arial"/>
          <w:sz w:val="22"/>
          <w:szCs w:val="22"/>
        </w:rPr>
        <w:t>)</w:t>
      </w:r>
      <w:r w:rsidRPr="008342C2">
        <w:rPr>
          <w:rFonts w:ascii="Arial" w:hAnsi="Arial" w:cs="Arial"/>
          <w:sz w:val="22"/>
          <w:szCs w:val="22"/>
        </w:rPr>
        <w:t>,</w:t>
      </w:r>
      <w:r w:rsidRPr="00FF4915">
        <w:rPr>
          <w:rFonts w:ascii="Arial" w:hAnsi="Arial" w:cs="Arial"/>
          <w:sz w:val="22"/>
          <w:szCs w:val="22"/>
        </w:rPr>
        <w:t xml:space="preserve"> develop and promulgate guidelines for the implementation of this statute.  On September 11, 2009, the NRC, with the approval of the </w:t>
      </w:r>
      <w:r w:rsidR="00012DCD">
        <w:rPr>
          <w:rFonts w:ascii="Arial" w:hAnsi="Arial" w:cs="Arial"/>
          <w:sz w:val="22"/>
          <w:szCs w:val="22"/>
        </w:rPr>
        <w:t>AG</w:t>
      </w:r>
      <w:r w:rsidRPr="00FF4915">
        <w:rPr>
          <w:rFonts w:ascii="Arial" w:hAnsi="Arial" w:cs="Arial"/>
          <w:sz w:val="22"/>
          <w:szCs w:val="22"/>
        </w:rPr>
        <w:t xml:space="preserve">, published Firearms Guidelines in the </w:t>
      </w:r>
      <w:r w:rsidRPr="00D82456">
        <w:rPr>
          <w:rFonts w:ascii="Arial" w:hAnsi="Arial" w:cs="Arial"/>
          <w:i/>
          <w:sz w:val="22"/>
          <w:szCs w:val="22"/>
        </w:rPr>
        <w:t>Federal Register</w:t>
      </w:r>
      <w:r w:rsidRPr="00FF4915">
        <w:rPr>
          <w:rFonts w:ascii="Arial" w:hAnsi="Arial" w:cs="Arial"/>
          <w:sz w:val="22"/>
          <w:szCs w:val="22"/>
        </w:rPr>
        <w:t xml:space="preserve"> (74</w:t>
      </w:r>
      <w:r w:rsidR="008342C2">
        <w:rPr>
          <w:rFonts w:ascii="Arial" w:hAnsi="Arial" w:cs="Arial"/>
          <w:sz w:val="22"/>
          <w:szCs w:val="22"/>
        </w:rPr>
        <w:t> </w:t>
      </w:r>
      <w:r w:rsidRPr="00FF4915">
        <w:rPr>
          <w:rFonts w:ascii="Arial" w:hAnsi="Arial" w:cs="Arial"/>
          <w:sz w:val="22"/>
          <w:szCs w:val="22"/>
        </w:rPr>
        <w:t>FR</w:t>
      </w:r>
      <w:r w:rsidR="008342C2">
        <w:rPr>
          <w:rFonts w:ascii="Arial" w:hAnsi="Arial" w:cs="Arial"/>
          <w:sz w:val="22"/>
          <w:szCs w:val="22"/>
        </w:rPr>
        <w:t> </w:t>
      </w:r>
      <w:r w:rsidRPr="00FF4915">
        <w:rPr>
          <w:rFonts w:ascii="Arial" w:hAnsi="Arial" w:cs="Arial"/>
          <w:sz w:val="22"/>
          <w:szCs w:val="22"/>
        </w:rPr>
        <w:t xml:space="preserve">46800).  These guidelines allow licensees to </w:t>
      </w:r>
      <w:r>
        <w:rPr>
          <w:rFonts w:ascii="Arial" w:hAnsi="Arial" w:cs="Arial"/>
          <w:sz w:val="22"/>
          <w:szCs w:val="22"/>
        </w:rPr>
        <w:t xml:space="preserve">voluntarily </w:t>
      </w:r>
      <w:r w:rsidRPr="00FF4915">
        <w:rPr>
          <w:rFonts w:ascii="Arial" w:hAnsi="Arial" w:cs="Arial"/>
          <w:sz w:val="22"/>
          <w:szCs w:val="22"/>
        </w:rPr>
        <w:t xml:space="preserve">apply for </w:t>
      </w:r>
      <w:r w:rsidR="008342C2">
        <w:rPr>
          <w:rFonts w:ascii="Arial" w:hAnsi="Arial" w:cs="Arial"/>
          <w:sz w:val="22"/>
          <w:szCs w:val="22"/>
        </w:rPr>
        <w:t xml:space="preserve">stand-alone </w:t>
      </w:r>
      <w:r w:rsidRPr="00FF4915">
        <w:rPr>
          <w:rFonts w:ascii="Arial" w:hAnsi="Arial" w:cs="Arial"/>
          <w:sz w:val="22"/>
          <w:szCs w:val="22"/>
        </w:rPr>
        <w:t xml:space="preserve">preemption authority only or combined preemption </w:t>
      </w:r>
      <w:r w:rsidR="008342C2">
        <w:rPr>
          <w:rFonts w:ascii="Arial" w:hAnsi="Arial" w:cs="Arial"/>
          <w:sz w:val="22"/>
          <w:szCs w:val="22"/>
        </w:rPr>
        <w:t xml:space="preserve">authority </w:t>
      </w:r>
      <w:r w:rsidRPr="00FF4915">
        <w:rPr>
          <w:rFonts w:ascii="Arial" w:hAnsi="Arial" w:cs="Arial"/>
          <w:sz w:val="22"/>
          <w:szCs w:val="22"/>
        </w:rPr>
        <w:t xml:space="preserve">and enhanced weapons authority.  The </w:t>
      </w:r>
      <w:r w:rsidR="008342C2">
        <w:rPr>
          <w:rFonts w:ascii="Arial" w:hAnsi="Arial" w:cs="Arial"/>
          <w:sz w:val="22"/>
          <w:szCs w:val="22"/>
        </w:rPr>
        <w:t>Commission</w:t>
      </w:r>
      <w:r w:rsidRPr="00FF4915">
        <w:rPr>
          <w:rFonts w:ascii="Arial" w:hAnsi="Arial" w:cs="Arial"/>
          <w:sz w:val="22"/>
          <w:szCs w:val="22"/>
        </w:rPr>
        <w:t xml:space="preserve">, with the approval of the </w:t>
      </w:r>
      <w:r w:rsidR="00012DCD">
        <w:rPr>
          <w:rFonts w:ascii="Arial" w:hAnsi="Arial" w:cs="Arial"/>
          <w:sz w:val="22"/>
          <w:szCs w:val="22"/>
        </w:rPr>
        <w:t>AG</w:t>
      </w:r>
      <w:r w:rsidRPr="00FF4915">
        <w:rPr>
          <w:rFonts w:ascii="Arial" w:hAnsi="Arial" w:cs="Arial"/>
          <w:sz w:val="22"/>
          <w:szCs w:val="22"/>
        </w:rPr>
        <w:t>, published revis</w:t>
      </w:r>
      <w:r w:rsidR="00012DCD">
        <w:rPr>
          <w:rFonts w:ascii="Arial" w:hAnsi="Arial" w:cs="Arial"/>
          <w:sz w:val="22"/>
          <w:szCs w:val="22"/>
        </w:rPr>
        <w:t>ion 1 to the</w:t>
      </w:r>
      <w:r w:rsidRPr="00FF4915">
        <w:rPr>
          <w:rFonts w:ascii="Arial" w:hAnsi="Arial" w:cs="Arial"/>
          <w:sz w:val="22"/>
          <w:szCs w:val="22"/>
        </w:rPr>
        <w:t xml:space="preserve"> Firearms Guidelines in the </w:t>
      </w:r>
      <w:r w:rsidRPr="00FF4915">
        <w:rPr>
          <w:rFonts w:ascii="Arial" w:hAnsi="Arial" w:cs="Arial"/>
          <w:i/>
          <w:sz w:val="22"/>
          <w:szCs w:val="22"/>
        </w:rPr>
        <w:t>Federal Register</w:t>
      </w:r>
      <w:r w:rsidRPr="00FF4915">
        <w:rPr>
          <w:rFonts w:ascii="Arial" w:hAnsi="Arial" w:cs="Arial"/>
          <w:sz w:val="22"/>
          <w:szCs w:val="22"/>
        </w:rPr>
        <w:t xml:space="preserve"> (79 FR 36100</w:t>
      </w:r>
      <w:r w:rsidR="00012DCD">
        <w:rPr>
          <w:rFonts w:ascii="Arial" w:hAnsi="Arial" w:cs="Arial"/>
          <w:sz w:val="22"/>
          <w:szCs w:val="22"/>
        </w:rPr>
        <w:t xml:space="preserve">) on </w:t>
      </w:r>
      <w:r w:rsidRPr="00FF4915">
        <w:rPr>
          <w:rFonts w:ascii="Arial" w:hAnsi="Arial" w:cs="Arial"/>
          <w:sz w:val="22"/>
          <w:szCs w:val="22"/>
        </w:rPr>
        <w:t>June 25, 2014.</w:t>
      </w:r>
      <w:r w:rsidR="005F6D65">
        <w:rPr>
          <w:rFonts w:ascii="Arial" w:hAnsi="Arial" w:cs="Arial"/>
          <w:sz w:val="22"/>
          <w:szCs w:val="22"/>
        </w:rPr>
        <w:t xml:space="preserve"> </w:t>
      </w:r>
      <w:r w:rsidRPr="004E344E" w:rsidR="00773BFC">
        <w:rPr>
          <w:rFonts w:ascii="Arial" w:hAnsi="Arial" w:cs="Arial"/>
          <w:sz w:val="22"/>
          <w:szCs w:val="22"/>
        </w:rPr>
        <w:t xml:space="preserve">Subsequently, the NRC, with the approval of the AG, revised the Firearms Guidelines again (Revision 2) and published them in the </w:t>
      </w:r>
      <w:r w:rsidRPr="004E344E" w:rsidR="00773BFC">
        <w:rPr>
          <w:rFonts w:ascii="Arial" w:hAnsi="Arial" w:cs="Arial"/>
          <w:i/>
          <w:iCs/>
          <w:sz w:val="22"/>
          <w:szCs w:val="22"/>
        </w:rPr>
        <w:t>Federal Register</w:t>
      </w:r>
      <w:r w:rsidRPr="004E344E" w:rsidR="00773BFC">
        <w:rPr>
          <w:rFonts w:ascii="Arial" w:hAnsi="Arial" w:cs="Arial"/>
          <w:sz w:val="22"/>
          <w:szCs w:val="22"/>
        </w:rPr>
        <w:t xml:space="preserve"> on March 8, 2019 (84 FR 8546).</w:t>
      </w:r>
    </w:p>
    <w:p w:rsidR="001B0614" w:rsidP="001B0614" w:rsidRDefault="001B0614" w14:paraId="39217EFA" w14:textId="77777777">
      <w:pPr>
        <w:widowControl/>
        <w:rPr>
          <w:rFonts w:ascii="Arial" w:hAnsi="Arial" w:cs="Arial"/>
          <w:sz w:val="22"/>
          <w:szCs w:val="22"/>
        </w:rPr>
      </w:pPr>
    </w:p>
    <w:p w:rsidR="001B0614" w:rsidP="001B0614" w:rsidRDefault="001B0614" w14:paraId="551101E7" w14:textId="0F0660AA">
      <w:pPr>
        <w:widowControl/>
        <w:rPr>
          <w:rFonts w:ascii="Arial" w:hAnsi="Arial" w:cs="Arial"/>
          <w:sz w:val="22"/>
          <w:szCs w:val="22"/>
        </w:rPr>
      </w:pPr>
      <w:r w:rsidRPr="00A32597">
        <w:rPr>
          <w:rFonts w:ascii="Arial" w:hAnsi="Arial" w:cs="Arial"/>
          <w:sz w:val="22"/>
          <w:szCs w:val="22"/>
        </w:rPr>
        <w:t xml:space="preserve">Section 161A requires that security personnel receiving, possessing, transporting, importing, or using a </w:t>
      </w:r>
      <w:r>
        <w:rPr>
          <w:rFonts w:ascii="Arial" w:hAnsi="Arial" w:cs="Arial"/>
          <w:sz w:val="22"/>
          <w:szCs w:val="22"/>
        </w:rPr>
        <w:t>covered</w:t>
      </w:r>
      <w:r w:rsidRPr="00A32597">
        <w:rPr>
          <w:rFonts w:ascii="Arial" w:hAnsi="Arial" w:cs="Arial"/>
          <w:sz w:val="22"/>
          <w:szCs w:val="22"/>
        </w:rPr>
        <w:t xml:space="preserve"> weapon (i.e.</w:t>
      </w:r>
      <w:r>
        <w:rPr>
          <w:rFonts w:ascii="Arial" w:hAnsi="Arial" w:cs="Arial"/>
          <w:sz w:val="22"/>
          <w:szCs w:val="22"/>
        </w:rPr>
        <w:t>,</w:t>
      </w:r>
      <w:r w:rsidRPr="00A32597">
        <w:rPr>
          <w:rFonts w:ascii="Arial" w:hAnsi="Arial" w:cs="Arial"/>
          <w:sz w:val="22"/>
          <w:szCs w:val="22"/>
        </w:rPr>
        <w:t xml:space="preserve"> </w:t>
      </w:r>
      <w:r w:rsidRPr="0000399E">
        <w:rPr>
          <w:rFonts w:ascii="Arial" w:hAnsi="Arial" w:cs="Arial"/>
          <w:sz w:val="22"/>
          <w:szCs w:val="22"/>
        </w:rPr>
        <w:t>a weapon, ammunition, or a device otherwise prohibited by State, local, or certain Federal laws, including regulations</w:t>
      </w:r>
      <w:r w:rsidRPr="00A32597">
        <w:rPr>
          <w:rFonts w:ascii="Arial" w:hAnsi="Arial" w:cs="Arial"/>
          <w:sz w:val="22"/>
          <w:szCs w:val="22"/>
        </w:rPr>
        <w:t>) or an enhanced weapon (i.e.</w:t>
      </w:r>
      <w:r>
        <w:rPr>
          <w:rFonts w:ascii="Arial" w:hAnsi="Arial" w:cs="Arial"/>
          <w:sz w:val="22"/>
          <w:szCs w:val="22"/>
        </w:rPr>
        <w:t>,</w:t>
      </w:r>
      <w:r w:rsidRPr="00A32597">
        <w:rPr>
          <w:rFonts w:ascii="Arial" w:hAnsi="Arial" w:cs="Arial"/>
          <w:sz w:val="22"/>
          <w:szCs w:val="22"/>
        </w:rPr>
        <w:t xml:space="preserve"> machine guns</w:t>
      </w:r>
      <w:r>
        <w:rPr>
          <w:rFonts w:ascii="Arial" w:hAnsi="Arial" w:cs="Arial"/>
          <w:sz w:val="22"/>
          <w:szCs w:val="22"/>
        </w:rPr>
        <w:t xml:space="preserve">, </w:t>
      </w:r>
      <w:r w:rsidRPr="00A32597">
        <w:rPr>
          <w:rFonts w:ascii="Arial" w:hAnsi="Arial" w:cs="Arial"/>
          <w:sz w:val="22"/>
          <w:szCs w:val="22"/>
        </w:rPr>
        <w:t>short-barreled rifles</w:t>
      </w:r>
      <w:r>
        <w:rPr>
          <w:rFonts w:ascii="Arial" w:hAnsi="Arial" w:cs="Arial"/>
          <w:sz w:val="22"/>
          <w:szCs w:val="22"/>
        </w:rPr>
        <w:t>,</w:t>
      </w:r>
      <w:r w:rsidRPr="00A32597">
        <w:rPr>
          <w:rFonts w:ascii="Arial" w:hAnsi="Arial" w:cs="Arial"/>
          <w:sz w:val="22"/>
          <w:szCs w:val="22"/>
        </w:rPr>
        <w:t xml:space="preserve"> and short-barreled shotguns) shall be subject to a background check by the </w:t>
      </w:r>
      <w:r w:rsidR="00012DCD">
        <w:rPr>
          <w:rFonts w:ascii="Arial" w:hAnsi="Arial" w:cs="Arial"/>
          <w:sz w:val="22"/>
          <w:szCs w:val="22"/>
        </w:rPr>
        <w:t>AG</w:t>
      </w:r>
      <w:r w:rsidRPr="00A32597">
        <w:rPr>
          <w:rFonts w:ascii="Arial" w:hAnsi="Arial" w:cs="Arial"/>
          <w:sz w:val="22"/>
          <w:szCs w:val="22"/>
        </w:rPr>
        <w:t xml:space="preserve">.  </w:t>
      </w:r>
    </w:p>
    <w:p w:rsidRPr="008342C2" w:rsidR="001B0614" w:rsidP="001B0614" w:rsidRDefault="001B0614" w14:paraId="0882E6E5" w14:textId="77777777">
      <w:pPr>
        <w:widowControl/>
        <w:tabs>
          <w:tab w:val="center" w:pos="4680"/>
        </w:tabs>
        <w:rPr>
          <w:rFonts w:ascii="Arial" w:hAnsi="Arial" w:cs="Arial"/>
          <w:sz w:val="22"/>
          <w:szCs w:val="22"/>
        </w:rPr>
      </w:pPr>
    </w:p>
    <w:p w:rsidRPr="008342C2" w:rsidR="009A2C9A" w:rsidP="009A2C9A" w:rsidRDefault="008342C2" w14:paraId="20E088DB" w14:textId="298E6DBD">
      <w:pPr>
        <w:pStyle w:val="CommentText"/>
        <w:rPr>
          <w:rFonts w:ascii="Arial" w:hAnsi="Arial" w:cs="Arial"/>
          <w:sz w:val="22"/>
          <w:szCs w:val="22"/>
        </w:rPr>
      </w:pPr>
      <w:r w:rsidRPr="008342C2">
        <w:rPr>
          <w:rFonts w:ascii="Arial" w:hAnsi="Arial" w:cs="Arial"/>
          <w:sz w:val="22"/>
          <w:szCs w:val="22"/>
        </w:rPr>
        <w:t xml:space="preserve">On February 3, 2011, the NRC published a proposed rule, “Enhanced Weapons, Firearms Background Checks, and Security Event Notifications,” in the </w:t>
      </w:r>
      <w:r w:rsidRPr="008342C2">
        <w:rPr>
          <w:rFonts w:ascii="Arial" w:hAnsi="Arial" w:cs="Arial"/>
          <w:i/>
          <w:sz w:val="22"/>
          <w:szCs w:val="22"/>
        </w:rPr>
        <w:t>Federal Register</w:t>
      </w:r>
      <w:r w:rsidRPr="008342C2">
        <w:rPr>
          <w:rFonts w:ascii="Arial" w:hAnsi="Arial" w:cs="Arial"/>
          <w:sz w:val="22"/>
          <w:szCs w:val="22"/>
        </w:rPr>
        <w:t xml:space="preserve"> (76 FR 6200</w:t>
      </w:r>
      <w:proofErr w:type="gramStart"/>
      <w:r w:rsidRPr="008342C2">
        <w:rPr>
          <w:rFonts w:ascii="Arial" w:hAnsi="Arial" w:cs="Arial"/>
          <w:sz w:val="22"/>
          <w:szCs w:val="22"/>
        </w:rPr>
        <w:t>)</w:t>
      </w:r>
      <w:r w:rsidRPr="008342C2" w:rsidR="001B0614">
        <w:rPr>
          <w:rFonts w:ascii="Arial" w:hAnsi="Arial" w:cs="Arial"/>
          <w:sz w:val="22"/>
          <w:szCs w:val="22"/>
        </w:rPr>
        <w:t>, and</w:t>
      </w:r>
      <w:proofErr w:type="gramEnd"/>
      <w:r w:rsidRPr="008342C2" w:rsidR="001B0614">
        <w:rPr>
          <w:rFonts w:ascii="Arial" w:hAnsi="Arial" w:cs="Arial"/>
          <w:sz w:val="22"/>
          <w:szCs w:val="22"/>
        </w:rPr>
        <w:t xml:space="preserve"> </w:t>
      </w:r>
      <w:r w:rsidRPr="008342C2" w:rsidR="009436CE">
        <w:rPr>
          <w:rFonts w:ascii="Arial" w:hAnsi="Arial" w:cs="Arial"/>
          <w:sz w:val="22"/>
          <w:szCs w:val="22"/>
        </w:rPr>
        <w:t xml:space="preserve">was </w:t>
      </w:r>
      <w:r w:rsidRPr="008342C2" w:rsidR="001B0614">
        <w:rPr>
          <w:rFonts w:ascii="Arial" w:hAnsi="Arial" w:cs="Arial"/>
          <w:sz w:val="22"/>
          <w:szCs w:val="22"/>
        </w:rPr>
        <w:t>supplemented on January 10, 2013 (78 FR 2214) and on September 22, 2015 (80 FR 57106).</w:t>
      </w:r>
    </w:p>
    <w:p w:rsidR="001B0614" w:rsidP="001B0614" w:rsidRDefault="001B0614" w14:paraId="48FCC475" w14:textId="77777777">
      <w:pPr>
        <w:widowControl/>
        <w:rPr>
          <w:rFonts w:ascii="Arial" w:hAnsi="Arial" w:cs="Arial"/>
          <w:sz w:val="22"/>
          <w:szCs w:val="22"/>
        </w:rPr>
      </w:pPr>
    </w:p>
    <w:p w:rsidR="001B0614" w:rsidP="001B0614" w:rsidRDefault="001B0614" w14:paraId="2409A661" w14:textId="33928E11">
      <w:pPr>
        <w:widowControl/>
        <w:tabs>
          <w:tab w:val="center" w:pos="4680"/>
        </w:tabs>
        <w:rPr>
          <w:rFonts w:ascii="Arial" w:hAnsi="Arial" w:cs="Arial"/>
          <w:sz w:val="22"/>
          <w:szCs w:val="22"/>
        </w:rPr>
      </w:pPr>
      <w:r w:rsidRPr="00A32597">
        <w:rPr>
          <w:rFonts w:ascii="Arial" w:hAnsi="Arial" w:cs="Arial"/>
          <w:sz w:val="22"/>
          <w:szCs w:val="22"/>
        </w:rPr>
        <w:t>NRC Form 754, “Armed Security Personnel Firearms Background Check</w:t>
      </w:r>
      <w:r w:rsidR="00FA73C6">
        <w:rPr>
          <w:rFonts w:ascii="Arial" w:hAnsi="Arial" w:cs="Arial"/>
          <w:sz w:val="22"/>
          <w:szCs w:val="22"/>
        </w:rPr>
        <w:t>,”</w:t>
      </w:r>
      <w:r w:rsidRPr="00A32597">
        <w:rPr>
          <w:rFonts w:ascii="Arial" w:hAnsi="Arial" w:cs="Arial"/>
          <w:sz w:val="22"/>
          <w:szCs w:val="22"/>
        </w:rPr>
        <w:t xml:space="preserve"> </w:t>
      </w:r>
      <w:r>
        <w:rPr>
          <w:rFonts w:ascii="Arial" w:hAnsi="Arial" w:cs="Arial"/>
          <w:sz w:val="22"/>
          <w:szCs w:val="22"/>
        </w:rPr>
        <w:t xml:space="preserve">was developed and submitted to OMB for </w:t>
      </w:r>
      <w:r w:rsidR="009436CE">
        <w:rPr>
          <w:rFonts w:ascii="Arial" w:hAnsi="Arial" w:cs="Arial"/>
          <w:sz w:val="22"/>
          <w:szCs w:val="22"/>
        </w:rPr>
        <w:t xml:space="preserve">initial </w:t>
      </w:r>
      <w:r>
        <w:rPr>
          <w:rFonts w:ascii="Arial" w:hAnsi="Arial" w:cs="Arial"/>
          <w:sz w:val="22"/>
          <w:szCs w:val="22"/>
        </w:rPr>
        <w:t xml:space="preserve">review during the 2011 proposed rule to </w:t>
      </w:r>
      <w:r w:rsidRPr="00A32597">
        <w:rPr>
          <w:rFonts w:ascii="Arial" w:hAnsi="Arial" w:cs="Arial"/>
          <w:sz w:val="22"/>
          <w:szCs w:val="22"/>
        </w:rPr>
        <w:t xml:space="preserve">collect the information required to perform the necessary firearms background checks.  </w:t>
      </w:r>
      <w:r>
        <w:rPr>
          <w:rFonts w:ascii="Arial" w:hAnsi="Arial" w:cs="Arial"/>
          <w:sz w:val="22"/>
          <w:szCs w:val="22"/>
        </w:rPr>
        <w:t xml:space="preserve">The final rule does not change </w:t>
      </w:r>
      <w:r w:rsidR="009A2C9A">
        <w:rPr>
          <w:rFonts w:ascii="Arial" w:hAnsi="Arial" w:cs="Arial"/>
          <w:sz w:val="22"/>
          <w:szCs w:val="22"/>
        </w:rPr>
        <w:t xml:space="preserve">the information requested on </w:t>
      </w:r>
      <w:r>
        <w:rPr>
          <w:rFonts w:ascii="Arial" w:hAnsi="Arial" w:cs="Arial"/>
          <w:sz w:val="22"/>
          <w:szCs w:val="22"/>
        </w:rPr>
        <w:t xml:space="preserve">Form 754 or how it is to be used </w:t>
      </w:r>
      <w:r w:rsidR="00FA73C6">
        <w:rPr>
          <w:rFonts w:ascii="Arial" w:hAnsi="Arial" w:cs="Arial"/>
          <w:sz w:val="22"/>
          <w:szCs w:val="22"/>
        </w:rPr>
        <w:t xml:space="preserve">in the final </w:t>
      </w:r>
      <w:r>
        <w:rPr>
          <w:rFonts w:ascii="Arial" w:hAnsi="Arial" w:cs="Arial"/>
          <w:sz w:val="22"/>
          <w:szCs w:val="22"/>
        </w:rPr>
        <w:t>rule.</w:t>
      </w:r>
      <w:r w:rsidR="00442BD8">
        <w:rPr>
          <w:rFonts w:ascii="Arial" w:hAnsi="Arial" w:cs="Arial"/>
          <w:sz w:val="22"/>
          <w:szCs w:val="22"/>
        </w:rPr>
        <w:t xml:space="preserve">  Since the initial submission, the frequency of submission of NRC Form 754 has reduced from every 3 years to every 5 years.</w:t>
      </w:r>
    </w:p>
    <w:p w:rsidR="001B0614" w:rsidP="001B0614" w:rsidRDefault="001B0614" w14:paraId="2140A3F8" w14:textId="77777777">
      <w:pPr>
        <w:widowControl/>
        <w:rPr>
          <w:rFonts w:ascii="Arial" w:hAnsi="Arial" w:cs="Arial"/>
          <w:sz w:val="22"/>
          <w:szCs w:val="22"/>
        </w:rPr>
      </w:pPr>
    </w:p>
    <w:p w:rsidR="001B0614" w:rsidP="001B0614" w:rsidRDefault="001B0614" w14:paraId="47DF1492" w14:textId="77777777">
      <w:pPr>
        <w:widowControl/>
        <w:tabs>
          <w:tab w:val="center" w:pos="4680"/>
        </w:tabs>
        <w:rPr>
          <w:rFonts w:ascii="Arial" w:hAnsi="Arial" w:cs="Arial"/>
          <w:i/>
          <w:sz w:val="22"/>
          <w:szCs w:val="22"/>
        </w:rPr>
      </w:pPr>
      <w:r>
        <w:rPr>
          <w:rFonts w:ascii="Arial" w:hAnsi="Arial" w:cs="Arial"/>
          <w:i/>
          <w:sz w:val="22"/>
          <w:szCs w:val="22"/>
        </w:rPr>
        <w:t>Affected regulated entities</w:t>
      </w:r>
    </w:p>
    <w:p w:rsidR="001B0614" w:rsidP="001B0614" w:rsidRDefault="001B0614" w14:paraId="5424F6B6" w14:textId="77777777">
      <w:pPr>
        <w:widowControl/>
        <w:tabs>
          <w:tab w:val="center" w:pos="4680"/>
        </w:tabs>
        <w:rPr>
          <w:rFonts w:ascii="Arial" w:hAnsi="Arial" w:cs="Arial"/>
          <w:sz w:val="22"/>
          <w:szCs w:val="22"/>
        </w:rPr>
      </w:pPr>
    </w:p>
    <w:p w:rsidR="001B0614" w:rsidP="001B0614" w:rsidRDefault="001B0614" w14:paraId="29197D82" w14:textId="77777777">
      <w:pPr>
        <w:widowControl/>
        <w:rPr>
          <w:rFonts w:ascii="Arial" w:hAnsi="Arial" w:cs="Arial"/>
          <w:sz w:val="22"/>
          <w:szCs w:val="22"/>
        </w:rPr>
      </w:pPr>
      <w:r w:rsidRPr="006B7A8A">
        <w:rPr>
          <w:rFonts w:ascii="Arial" w:hAnsi="Arial" w:cs="Arial"/>
          <w:sz w:val="22"/>
          <w:szCs w:val="22"/>
        </w:rPr>
        <w:t xml:space="preserve">The final rule would require only those licensees who apply for Section 161A </w:t>
      </w:r>
      <w:r w:rsidR="00ED051D">
        <w:rPr>
          <w:rFonts w:ascii="Arial" w:hAnsi="Arial" w:cs="Arial"/>
          <w:sz w:val="22"/>
          <w:szCs w:val="22"/>
        </w:rPr>
        <w:t>authority</w:t>
      </w:r>
      <w:r w:rsidRPr="006B7A8A" w:rsidR="00ED051D">
        <w:rPr>
          <w:rFonts w:ascii="Arial" w:hAnsi="Arial" w:cs="Arial"/>
          <w:sz w:val="22"/>
          <w:szCs w:val="22"/>
        </w:rPr>
        <w:t xml:space="preserve"> </w:t>
      </w:r>
      <w:r w:rsidRPr="006B7A8A">
        <w:rPr>
          <w:rFonts w:ascii="Arial" w:hAnsi="Arial" w:cs="Arial"/>
          <w:sz w:val="22"/>
          <w:szCs w:val="22"/>
        </w:rPr>
        <w:t>to submit information about their security personnel for firearms background checks</w:t>
      </w:r>
      <w:r w:rsidR="009436CE">
        <w:rPr>
          <w:rFonts w:ascii="Arial" w:hAnsi="Arial" w:cs="Arial"/>
          <w:sz w:val="22"/>
          <w:szCs w:val="22"/>
        </w:rPr>
        <w:t xml:space="preserve"> using NRC Form 754</w:t>
      </w:r>
      <w:r w:rsidRPr="006B7A8A">
        <w:rPr>
          <w:rFonts w:ascii="Arial" w:hAnsi="Arial" w:cs="Arial"/>
          <w:sz w:val="22"/>
          <w:szCs w:val="22"/>
        </w:rPr>
        <w:t xml:space="preserve">.  </w:t>
      </w:r>
    </w:p>
    <w:p w:rsidR="00C257D7" w:rsidP="001B0614" w:rsidRDefault="00C257D7" w14:paraId="51F0B273" w14:textId="77777777">
      <w:pPr>
        <w:widowControl/>
        <w:rPr>
          <w:rFonts w:ascii="Arial" w:hAnsi="Arial" w:cs="Arial"/>
          <w:sz w:val="22"/>
          <w:szCs w:val="22"/>
        </w:rPr>
      </w:pPr>
    </w:p>
    <w:p w:rsidR="00C257D7" w:rsidP="00C257D7" w:rsidRDefault="00C257D7" w14:paraId="19FAD7E5" w14:textId="25DF5701">
      <w:pPr>
        <w:widowControl/>
        <w:rPr>
          <w:rFonts w:ascii="Arial" w:hAnsi="Arial" w:cs="Arial"/>
          <w:sz w:val="22"/>
          <w:szCs w:val="22"/>
        </w:rPr>
      </w:pPr>
      <w:r>
        <w:rPr>
          <w:rFonts w:ascii="Arial" w:hAnsi="Arial" w:cs="Arial"/>
          <w:sz w:val="22"/>
          <w:szCs w:val="22"/>
        </w:rPr>
        <w:lastRenderedPageBreak/>
        <w:t xml:space="preserve">The NRC expects only a fraction of licensees </w:t>
      </w:r>
      <w:r w:rsidR="009436CE">
        <w:rPr>
          <w:rFonts w:ascii="Arial" w:hAnsi="Arial" w:cs="Arial"/>
          <w:sz w:val="22"/>
          <w:szCs w:val="22"/>
        </w:rPr>
        <w:t xml:space="preserve">designated by the Commission as </w:t>
      </w:r>
      <w:r>
        <w:rPr>
          <w:rFonts w:ascii="Arial" w:hAnsi="Arial" w:cs="Arial"/>
          <w:sz w:val="22"/>
          <w:szCs w:val="22"/>
        </w:rPr>
        <w:t xml:space="preserve">eligible to apply for Section </w:t>
      </w:r>
      <w:r w:rsidR="00C13568">
        <w:rPr>
          <w:rFonts w:ascii="Arial" w:hAnsi="Arial" w:cs="Arial"/>
          <w:sz w:val="22"/>
          <w:szCs w:val="22"/>
        </w:rPr>
        <w:t>161A authority</w:t>
      </w:r>
      <w:r>
        <w:rPr>
          <w:rFonts w:ascii="Arial" w:hAnsi="Arial" w:cs="Arial"/>
          <w:sz w:val="22"/>
          <w:szCs w:val="22"/>
        </w:rPr>
        <w:t xml:space="preserve"> will do so.  In this supporting statement, the estimate assumes that only </w:t>
      </w:r>
      <w:r w:rsidRPr="00ED4EDE">
        <w:rPr>
          <w:rFonts w:ascii="Arial" w:hAnsi="Arial" w:cs="Arial"/>
          <w:sz w:val="22"/>
          <w:szCs w:val="22"/>
        </w:rPr>
        <w:t xml:space="preserve">7 </w:t>
      </w:r>
      <w:r w:rsidRPr="00ED4EDE" w:rsidR="009436CE">
        <w:rPr>
          <w:rFonts w:ascii="Arial" w:hAnsi="Arial" w:cs="Arial"/>
          <w:sz w:val="22"/>
          <w:szCs w:val="22"/>
        </w:rPr>
        <w:t xml:space="preserve">licensee </w:t>
      </w:r>
      <w:r w:rsidRPr="00ED4EDE">
        <w:rPr>
          <w:rFonts w:ascii="Arial" w:hAnsi="Arial" w:cs="Arial"/>
          <w:sz w:val="22"/>
          <w:szCs w:val="22"/>
        </w:rPr>
        <w:t>sites</w:t>
      </w:r>
      <w:r>
        <w:rPr>
          <w:rFonts w:ascii="Arial" w:hAnsi="Arial" w:cs="Arial"/>
          <w:sz w:val="22"/>
          <w:szCs w:val="22"/>
        </w:rPr>
        <w:t xml:space="preserve"> </w:t>
      </w:r>
      <w:r w:rsidR="007C5329">
        <w:rPr>
          <w:rFonts w:ascii="Arial" w:hAnsi="Arial" w:cs="Arial"/>
          <w:sz w:val="22"/>
          <w:szCs w:val="22"/>
        </w:rPr>
        <w:t>(involving 8</w:t>
      </w:r>
      <w:r w:rsidR="002F014B">
        <w:rPr>
          <w:rFonts w:ascii="Arial" w:hAnsi="Arial" w:cs="Arial"/>
          <w:sz w:val="22"/>
          <w:szCs w:val="22"/>
        </w:rPr>
        <w:t xml:space="preserve"> total</w:t>
      </w:r>
      <w:r w:rsidR="007C5329">
        <w:rPr>
          <w:rFonts w:ascii="Arial" w:hAnsi="Arial" w:cs="Arial"/>
          <w:sz w:val="22"/>
          <w:szCs w:val="22"/>
        </w:rPr>
        <w:t xml:space="preserve"> licensees) </w:t>
      </w:r>
      <w:r>
        <w:rPr>
          <w:rFonts w:ascii="Arial" w:hAnsi="Arial" w:cs="Arial"/>
          <w:sz w:val="22"/>
          <w:szCs w:val="22"/>
        </w:rPr>
        <w:t xml:space="preserve">will </w:t>
      </w:r>
      <w:r w:rsidR="009436CE">
        <w:rPr>
          <w:rFonts w:ascii="Arial" w:hAnsi="Arial" w:cs="Arial"/>
          <w:sz w:val="22"/>
          <w:szCs w:val="22"/>
        </w:rPr>
        <w:t>submit NRC Forms 754 under</w:t>
      </w:r>
      <w:r>
        <w:rPr>
          <w:rFonts w:ascii="Arial" w:hAnsi="Arial" w:cs="Arial"/>
          <w:sz w:val="22"/>
          <w:szCs w:val="22"/>
        </w:rPr>
        <w:t xml:space="preserve"> Section </w:t>
      </w:r>
      <w:r w:rsidR="00C13568">
        <w:rPr>
          <w:rFonts w:ascii="Arial" w:hAnsi="Arial" w:cs="Arial"/>
          <w:sz w:val="22"/>
          <w:szCs w:val="22"/>
        </w:rPr>
        <w:t>161A authority</w:t>
      </w:r>
      <w:r w:rsidR="009436CE">
        <w:rPr>
          <w:rFonts w:ascii="Arial" w:hAnsi="Arial" w:cs="Arial"/>
          <w:sz w:val="22"/>
          <w:szCs w:val="22"/>
        </w:rPr>
        <w:t>.  This number of licensees is</w:t>
      </w:r>
      <w:r>
        <w:rPr>
          <w:rFonts w:ascii="Arial" w:hAnsi="Arial" w:cs="Arial"/>
          <w:sz w:val="22"/>
          <w:szCs w:val="22"/>
        </w:rPr>
        <w:t xml:space="preserve"> consistent with the number of </w:t>
      </w:r>
      <w:r w:rsidR="009436CE">
        <w:rPr>
          <w:rFonts w:ascii="Arial" w:hAnsi="Arial" w:cs="Arial"/>
          <w:sz w:val="22"/>
          <w:szCs w:val="22"/>
        </w:rPr>
        <w:t xml:space="preserve">licensee </w:t>
      </w:r>
      <w:r>
        <w:rPr>
          <w:rFonts w:ascii="Arial" w:hAnsi="Arial" w:cs="Arial"/>
          <w:sz w:val="22"/>
          <w:szCs w:val="22"/>
        </w:rPr>
        <w:t xml:space="preserve">sites that </w:t>
      </w:r>
      <w:r w:rsidR="00ED051D">
        <w:rPr>
          <w:rFonts w:ascii="Arial" w:hAnsi="Arial" w:cs="Arial"/>
          <w:sz w:val="22"/>
          <w:szCs w:val="22"/>
        </w:rPr>
        <w:t xml:space="preserve">previously </w:t>
      </w:r>
      <w:r>
        <w:rPr>
          <w:rFonts w:ascii="Arial" w:hAnsi="Arial" w:cs="Arial"/>
          <w:sz w:val="22"/>
          <w:szCs w:val="22"/>
        </w:rPr>
        <w:t xml:space="preserve">applied for </w:t>
      </w:r>
      <w:r w:rsidR="00ED051D">
        <w:rPr>
          <w:rFonts w:ascii="Arial" w:hAnsi="Arial" w:cs="Arial"/>
          <w:sz w:val="22"/>
          <w:szCs w:val="22"/>
        </w:rPr>
        <w:t xml:space="preserve">stand-alone </w:t>
      </w:r>
      <w:r>
        <w:rPr>
          <w:rFonts w:ascii="Arial" w:hAnsi="Arial" w:cs="Arial"/>
          <w:sz w:val="22"/>
          <w:szCs w:val="22"/>
        </w:rPr>
        <w:t xml:space="preserve">preemption authority </w:t>
      </w:r>
      <w:r w:rsidR="009436CE">
        <w:rPr>
          <w:rFonts w:ascii="Arial" w:hAnsi="Arial" w:cs="Arial"/>
          <w:sz w:val="22"/>
          <w:szCs w:val="22"/>
        </w:rPr>
        <w:t xml:space="preserve">via confirmatory </w:t>
      </w:r>
      <w:r>
        <w:rPr>
          <w:rFonts w:ascii="Arial" w:hAnsi="Arial" w:cs="Arial"/>
          <w:sz w:val="22"/>
          <w:szCs w:val="22"/>
        </w:rPr>
        <w:t xml:space="preserve">orders.  </w:t>
      </w:r>
      <w:r w:rsidR="00B910A3">
        <w:rPr>
          <w:rFonts w:ascii="Arial" w:hAnsi="Arial" w:cs="Arial"/>
          <w:sz w:val="22"/>
          <w:szCs w:val="22"/>
        </w:rPr>
        <w:t xml:space="preserve">Under the final rule these licensees will transition from their orders to the </w:t>
      </w:r>
      <w:r w:rsidR="00735DA7">
        <w:rPr>
          <w:rFonts w:ascii="Arial" w:hAnsi="Arial" w:cs="Arial"/>
          <w:sz w:val="22"/>
          <w:szCs w:val="22"/>
        </w:rPr>
        <w:t>final rule</w:t>
      </w:r>
      <w:r w:rsidR="00B910A3">
        <w:rPr>
          <w:rFonts w:ascii="Arial" w:hAnsi="Arial" w:cs="Arial"/>
          <w:sz w:val="22"/>
          <w:szCs w:val="22"/>
        </w:rPr>
        <w:t xml:space="preserve"> regulations, including the use of NRC Form 754.  No other licensees have formally notified the NRC of any intention, or </w:t>
      </w:r>
      <w:r w:rsidR="00ED051D">
        <w:rPr>
          <w:rFonts w:ascii="Arial" w:hAnsi="Arial" w:cs="Arial"/>
          <w:sz w:val="22"/>
          <w:szCs w:val="22"/>
        </w:rPr>
        <w:t xml:space="preserve">of any </w:t>
      </w:r>
      <w:r w:rsidR="00B910A3">
        <w:rPr>
          <w:rFonts w:ascii="Arial" w:hAnsi="Arial" w:cs="Arial"/>
          <w:sz w:val="22"/>
          <w:szCs w:val="22"/>
        </w:rPr>
        <w:t xml:space="preserve">potential interest, in applying for Section 161A </w:t>
      </w:r>
      <w:r w:rsidR="00ED051D">
        <w:rPr>
          <w:rFonts w:ascii="Arial" w:hAnsi="Arial" w:cs="Arial"/>
          <w:sz w:val="22"/>
          <w:szCs w:val="22"/>
        </w:rPr>
        <w:t>authority</w:t>
      </w:r>
      <w:r w:rsidR="00B910A3">
        <w:rPr>
          <w:rFonts w:ascii="Arial" w:hAnsi="Arial" w:cs="Arial"/>
          <w:sz w:val="22"/>
          <w:szCs w:val="22"/>
        </w:rPr>
        <w:t>.  Consequently, this estimate only assumes these 7 licensee</w:t>
      </w:r>
      <w:r w:rsidR="00752DDF">
        <w:rPr>
          <w:rFonts w:ascii="Arial" w:hAnsi="Arial" w:cs="Arial"/>
          <w:sz w:val="22"/>
          <w:szCs w:val="22"/>
        </w:rPr>
        <w:t xml:space="preserve"> sites</w:t>
      </w:r>
      <w:r w:rsidR="00B910A3">
        <w:rPr>
          <w:rFonts w:ascii="Arial" w:hAnsi="Arial" w:cs="Arial"/>
          <w:sz w:val="22"/>
          <w:szCs w:val="22"/>
        </w:rPr>
        <w:t xml:space="preserve"> will use NRC Form 754.  </w:t>
      </w:r>
    </w:p>
    <w:p w:rsidR="001B0614" w:rsidP="001B0614" w:rsidRDefault="001B0614" w14:paraId="4739382B" w14:textId="77777777">
      <w:pPr>
        <w:widowControl/>
        <w:rPr>
          <w:rFonts w:ascii="Arial" w:hAnsi="Arial" w:cs="Arial"/>
          <w:sz w:val="22"/>
          <w:szCs w:val="22"/>
        </w:rPr>
      </w:pPr>
    </w:p>
    <w:p w:rsidRPr="00A32597" w:rsidR="001B0614" w:rsidP="001B0614" w:rsidRDefault="001B0614" w14:paraId="792CAA80" w14:textId="77777777">
      <w:pPr>
        <w:widowControl/>
        <w:rPr>
          <w:rFonts w:ascii="Arial" w:hAnsi="Arial" w:cs="Arial"/>
          <w:sz w:val="22"/>
          <w:szCs w:val="22"/>
        </w:rPr>
      </w:pPr>
      <w:r>
        <w:rPr>
          <w:rFonts w:ascii="Arial" w:hAnsi="Arial" w:cs="Arial"/>
          <w:sz w:val="22"/>
          <w:szCs w:val="22"/>
        </w:rPr>
        <w:t xml:space="preserve">This supporting statement includes </w:t>
      </w:r>
      <w:r w:rsidR="00C257D7">
        <w:rPr>
          <w:rFonts w:ascii="Arial" w:hAnsi="Arial" w:cs="Arial"/>
          <w:sz w:val="22"/>
          <w:szCs w:val="22"/>
        </w:rPr>
        <w:t xml:space="preserve">burden associated with </w:t>
      </w:r>
      <w:r w:rsidR="00C9227D">
        <w:rPr>
          <w:rFonts w:ascii="Arial" w:hAnsi="Arial" w:cs="Arial"/>
          <w:sz w:val="22"/>
          <w:szCs w:val="22"/>
        </w:rPr>
        <w:t xml:space="preserve">the new </w:t>
      </w:r>
      <w:r w:rsidR="00D51E5B">
        <w:rPr>
          <w:rFonts w:ascii="Arial" w:hAnsi="Arial" w:cs="Arial"/>
          <w:sz w:val="22"/>
          <w:szCs w:val="22"/>
        </w:rPr>
        <w:t>NRC Form 754 (3150-0204)</w:t>
      </w:r>
      <w:r w:rsidR="00C257D7">
        <w:rPr>
          <w:rFonts w:ascii="Arial" w:hAnsi="Arial" w:cs="Arial"/>
          <w:sz w:val="22"/>
          <w:szCs w:val="22"/>
        </w:rPr>
        <w:t xml:space="preserve">.  A separate supporting statement has been submitted to describe information collections associated with </w:t>
      </w:r>
      <w:r w:rsidR="00D51E5B">
        <w:rPr>
          <w:rFonts w:ascii="Arial" w:hAnsi="Arial" w:cs="Arial"/>
          <w:sz w:val="22"/>
          <w:szCs w:val="22"/>
        </w:rPr>
        <w:t>10 CFR Part 73 (3150-0002)</w:t>
      </w:r>
      <w:r w:rsidR="00843F80">
        <w:rPr>
          <w:rFonts w:ascii="Arial" w:hAnsi="Arial" w:cs="Arial"/>
          <w:sz w:val="22"/>
          <w:szCs w:val="22"/>
        </w:rPr>
        <w:t>.</w:t>
      </w:r>
      <w:r w:rsidR="00C257D7">
        <w:rPr>
          <w:rFonts w:ascii="Arial" w:hAnsi="Arial" w:cs="Arial"/>
          <w:sz w:val="22"/>
          <w:szCs w:val="22"/>
        </w:rPr>
        <w:t xml:space="preserve">  </w:t>
      </w:r>
    </w:p>
    <w:p w:rsidRPr="00A32597" w:rsidR="001B0614" w:rsidP="00577D64" w:rsidRDefault="001B0614" w14:paraId="4195EB62" w14:textId="77777777">
      <w:pPr>
        <w:widowControl/>
        <w:rPr>
          <w:rFonts w:ascii="Arial" w:hAnsi="Arial" w:cs="Arial"/>
          <w:sz w:val="22"/>
          <w:szCs w:val="22"/>
        </w:rPr>
      </w:pPr>
    </w:p>
    <w:p w:rsidRPr="00A32597" w:rsidR="002B1B50" w:rsidP="00577D64" w:rsidRDefault="002B1B50" w14:paraId="2F73E43F" w14:textId="77777777">
      <w:pPr>
        <w:widowControl/>
        <w:ind w:left="1440" w:hanging="720"/>
        <w:rPr>
          <w:rFonts w:ascii="Arial" w:hAnsi="Arial" w:cs="Arial"/>
          <w:sz w:val="22"/>
          <w:szCs w:val="22"/>
          <w:u w:val="single"/>
        </w:rPr>
      </w:pPr>
      <w:r w:rsidRPr="00A32597">
        <w:rPr>
          <w:rFonts w:ascii="Arial" w:hAnsi="Arial" w:cs="Arial"/>
          <w:sz w:val="22"/>
          <w:szCs w:val="22"/>
        </w:rPr>
        <w:t xml:space="preserve">1. </w:t>
      </w:r>
      <w:r w:rsidRPr="00A32597" w:rsidR="00C8524D">
        <w:rPr>
          <w:rFonts w:ascii="Arial" w:hAnsi="Arial" w:cs="Arial"/>
          <w:sz w:val="22"/>
          <w:szCs w:val="22"/>
        </w:rPr>
        <w:tab/>
      </w:r>
      <w:r w:rsidRPr="00A32597">
        <w:rPr>
          <w:rFonts w:ascii="Arial" w:hAnsi="Arial" w:cs="Arial"/>
          <w:sz w:val="22"/>
          <w:szCs w:val="22"/>
          <w:u w:val="single"/>
        </w:rPr>
        <w:t xml:space="preserve">Need for and Practical Utility of the </w:t>
      </w:r>
      <w:r w:rsidRPr="00A32597" w:rsidR="006F795D">
        <w:rPr>
          <w:rFonts w:ascii="Arial" w:hAnsi="Arial" w:cs="Arial"/>
          <w:sz w:val="22"/>
          <w:szCs w:val="22"/>
          <w:u w:val="single"/>
        </w:rPr>
        <w:t xml:space="preserve">Collection of </w:t>
      </w:r>
      <w:r w:rsidRPr="00A32597">
        <w:rPr>
          <w:rFonts w:ascii="Arial" w:hAnsi="Arial" w:cs="Arial"/>
          <w:sz w:val="22"/>
          <w:szCs w:val="22"/>
          <w:u w:val="single"/>
        </w:rPr>
        <w:t>Information</w:t>
      </w:r>
    </w:p>
    <w:p w:rsidRPr="00A32597" w:rsidR="002B1B50" w:rsidP="00577D64" w:rsidRDefault="002B1B50" w14:paraId="0C080FF8" w14:textId="77777777">
      <w:pPr>
        <w:widowControl/>
        <w:rPr>
          <w:rFonts w:ascii="Arial" w:hAnsi="Arial" w:cs="Arial"/>
          <w:sz w:val="22"/>
          <w:szCs w:val="22"/>
        </w:rPr>
      </w:pPr>
    </w:p>
    <w:p w:rsidRPr="00A32597" w:rsidR="00D1054C" w:rsidP="000D45E9" w:rsidRDefault="00D1054C" w14:paraId="2C5950B9" w14:textId="690630A7">
      <w:pPr>
        <w:widowControl/>
        <w:ind w:left="720"/>
        <w:rPr>
          <w:rFonts w:ascii="Arial" w:hAnsi="Arial" w:cs="Arial"/>
          <w:sz w:val="22"/>
          <w:szCs w:val="22"/>
        </w:rPr>
      </w:pPr>
      <w:r w:rsidRPr="00BE1D1E">
        <w:rPr>
          <w:rFonts w:ascii="Arial" w:hAnsi="Arial" w:cs="Arial"/>
          <w:sz w:val="22"/>
          <w:szCs w:val="22"/>
        </w:rPr>
        <w:t xml:space="preserve">Information provided to the NRC on the identity of security personnel assigned </w:t>
      </w:r>
      <w:r w:rsidR="00AE61BE">
        <w:rPr>
          <w:rFonts w:ascii="Arial" w:hAnsi="Arial" w:cs="Arial"/>
          <w:sz w:val="22"/>
          <w:szCs w:val="22"/>
        </w:rPr>
        <w:t xml:space="preserve">to </w:t>
      </w:r>
      <w:r w:rsidRPr="00BE1D1E">
        <w:rPr>
          <w:rFonts w:ascii="Arial" w:hAnsi="Arial" w:cs="Arial"/>
          <w:sz w:val="22"/>
          <w:szCs w:val="22"/>
        </w:rPr>
        <w:t xml:space="preserve">armed duties </w:t>
      </w:r>
      <w:r w:rsidR="00C9227D">
        <w:rPr>
          <w:rFonts w:ascii="Arial" w:hAnsi="Arial" w:cs="Arial"/>
          <w:sz w:val="22"/>
          <w:szCs w:val="22"/>
        </w:rPr>
        <w:t xml:space="preserve">is needed </w:t>
      </w:r>
      <w:r w:rsidRPr="00BE1D1E">
        <w:rPr>
          <w:rFonts w:ascii="Arial" w:hAnsi="Arial" w:cs="Arial"/>
          <w:sz w:val="22"/>
          <w:szCs w:val="22"/>
        </w:rPr>
        <w:t xml:space="preserve">to </w:t>
      </w:r>
      <w:r w:rsidR="00B910A3">
        <w:rPr>
          <w:rFonts w:ascii="Arial" w:hAnsi="Arial" w:cs="Arial"/>
          <w:sz w:val="22"/>
          <w:szCs w:val="22"/>
        </w:rPr>
        <w:t xml:space="preserve">conduct checks against FBI databases and resolve discrepancies </w:t>
      </w:r>
      <w:proofErr w:type="gramStart"/>
      <w:r w:rsidR="00B910A3">
        <w:rPr>
          <w:rFonts w:ascii="Arial" w:hAnsi="Arial" w:cs="Arial"/>
          <w:sz w:val="22"/>
          <w:szCs w:val="22"/>
        </w:rPr>
        <w:t>in order to</w:t>
      </w:r>
      <w:proofErr w:type="gramEnd"/>
      <w:r w:rsidR="00B910A3">
        <w:rPr>
          <w:rFonts w:ascii="Arial" w:hAnsi="Arial" w:cs="Arial"/>
          <w:sz w:val="22"/>
          <w:szCs w:val="22"/>
        </w:rPr>
        <w:t xml:space="preserve"> </w:t>
      </w:r>
      <w:r w:rsidRPr="00BE1D1E">
        <w:rPr>
          <w:rFonts w:ascii="Arial" w:hAnsi="Arial" w:cs="Arial"/>
          <w:sz w:val="22"/>
          <w:szCs w:val="22"/>
        </w:rPr>
        <w:t xml:space="preserve">determine that these individuals are not prohibited from receiving, possessing, transporting, importing, or using </w:t>
      </w:r>
      <w:r w:rsidR="00AE61BE">
        <w:rPr>
          <w:rFonts w:ascii="Arial" w:hAnsi="Arial" w:cs="Arial"/>
          <w:sz w:val="22"/>
          <w:szCs w:val="22"/>
        </w:rPr>
        <w:t>covered weapons</w:t>
      </w:r>
      <w:r w:rsidRPr="00BE1D1E">
        <w:rPr>
          <w:rFonts w:ascii="Arial" w:hAnsi="Arial" w:cs="Arial"/>
          <w:sz w:val="22"/>
          <w:szCs w:val="22"/>
        </w:rPr>
        <w:t>.  This information is needed to</w:t>
      </w:r>
      <w:r w:rsidRPr="00A32597">
        <w:rPr>
          <w:rFonts w:ascii="Arial" w:hAnsi="Arial" w:cs="Arial"/>
          <w:sz w:val="22"/>
          <w:szCs w:val="22"/>
        </w:rPr>
        <w:t xml:space="preserve"> enable the NRC to implement the mandate of </w:t>
      </w:r>
      <w:r w:rsidR="007900B0">
        <w:rPr>
          <w:rFonts w:ascii="Arial" w:hAnsi="Arial" w:cs="Arial"/>
          <w:sz w:val="22"/>
          <w:szCs w:val="22"/>
        </w:rPr>
        <w:t xml:space="preserve">Section </w:t>
      </w:r>
      <w:r w:rsidRPr="00A32597">
        <w:rPr>
          <w:rFonts w:ascii="Arial" w:hAnsi="Arial" w:cs="Arial"/>
          <w:sz w:val="22"/>
          <w:szCs w:val="22"/>
        </w:rPr>
        <w:t xml:space="preserve">161A of the AEA to verify that security personnel who will have access to </w:t>
      </w:r>
      <w:r w:rsidR="00ED051D">
        <w:rPr>
          <w:rFonts w:ascii="Arial" w:hAnsi="Arial" w:cs="Arial"/>
          <w:sz w:val="22"/>
          <w:szCs w:val="22"/>
        </w:rPr>
        <w:t xml:space="preserve">covered </w:t>
      </w:r>
      <w:r w:rsidRPr="00A32597" w:rsidR="00ED051D">
        <w:rPr>
          <w:rFonts w:ascii="Arial" w:hAnsi="Arial" w:cs="Arial"/>
          <w:sz w:val="22"/>
          <w:szCs w:val="22"/>
        </w:rPr>
        <w:t>weapons</w:t>
      </w:r>
      <w:r w:rsidRPr="00A32597">
        <w:rPr>
          <w:rFonts w:ascii="Arial" w:hAnsi="Arial" w:cs="Arial"/>
          <w:sz w:val="22"/>
          <w:szCs w:val="22"/>
        </w:rPr>
        <w:t xml:space="preserve"> have been subject to a background check by the </w:t>
      </w:r>
      <w:r w:rsidR="00012DCD">
        <w:rPr>
          <w:rFonts w:ascii="Arial" w:hAnsi="Arial" w:cs="Arial"/>
          <w:sz w:val="22"/>
          <w:szCs w:val="22"/>
        </w:rPr>
        <w:t>AG</w:t>
      </w:r>
      <w:r w:rsidRPr="00A32597">
        <w:rPr>
          <w:rFonts w:ascii="Arial" w:hAnsi="Arial" w:cs="Arial"/>
          <w:sz w:val="22"/>
          <w:szCs w:val="22"/>
        </w:rPr>
        <w:t xml:space="preserve"> </w:t>
      </w:r>
      <w:r w:rsidR="00735DA7">
        <w:rPr>
          <w:rFonts w:ascii="Arial" w:hAnsi="Arial" w:cs="Arial"/>
          <w:sz w:val="22"/>
          <w:szCs w:val="22"/>
        </w:rPr>
        <w:t xml:space="preserve">and </w:t>
      </w:r>
      <w:r w:rsidRPr="00A32597">
        <w:rPr>
          <w:rFonts w:ascii="Arial" w:hAnsi="Arial" w:cs="Arial"/>
          <w:sz w:val="22"/>
          <w:szCs w:val="22"/>
        </w:rPr>
        <w:t>to verify that an individual is not prohibited under Federal or State law from possessing or receiving firearms</w:t>
      </w:r>
      <w:r w:rsidR="00ED051D">
        <w:rPr>
          <w:rFonts w:ascii="Arial" w:hAnsi="Arial" w:cs="Arial"/>
          <w:sz w:val="22"/>
          <w:szCs w:val="22"/>
        </w:rPr>
        <w:t xml:space="preserve"> or </w:t>
      </w:r>
      <w:r w:rsidR="00735DA7">
        <w:rPr>
          <w:rFonts w:ascii="Arial" w:hAnsi="Arial" w:cs="Arial"/>
          <w:sz w:val="22"/>
          <w:szCs w:val="22"/>
        </w:rPr>
        <w:t>ammunition</w:t>
      </w:r>
      <w:r w:rsidRPr="00A32597">
        <w:rPr>
          <w:rFonts w:ascii="Arial" w:hAnsi="Arial" w:cs="Arial"/>
          <w:sz w:val="22"/>
          <w:szCs w:val="22"/>
        </w:rPr>
        <w:t>.</w:t>
      </w:r>
    </w:p>
    <w:p w:rsidR="00833A69" w:rsidRDefault="00833A69" w14:paraId="797A8273" w14:textId="77777777">
      <w:pPr>
        <w:widowControl/>
        <w:autoSpaceDE/>
        <w:autoSpaceDN/>
        <w:adjustRightInd/>
        <w:rPr>
          <w:rFonts w:ascii="Arial" w:hAnsi="Arial" w:cs="Arial"/>
          <w:b/>
          <w:i/>
          <w:sz w:val="22"/>
          <w:szCs w:val="22"/>
        </w:rPr>
      </w:pPr>
    </w:p>
    <w:p w:rsidR="007A1C63" w:rsidP="007A1C63" w:rsidRDefault="007A1C63" w14:paraId="6BEB6D49" w14:textId="77777777">
      <w:pPr>
        <w:widowControl/>
        <w:ind w:left="720"/>
        <w:rPr>
          <w:rFonts w:ascii="Arial" w:hAnsi="Arial" w:cs="Arial"/>
          <w:b/>
          <w:i/>
          <w:sz w:val="22"/>
          <w:szCs w:val="22"/>
        </w:rPr>
      </w:pPr>
      <w:r>
        <w:rPr>
          <w:rFonts w:ascii="Arial" w:hAnsi="Arial" w:cs="Arial"/>
          <w:b/>
          <w:i/>
          <w:sz w:val="22"/>
          <w:szCs w:val="22"/>
        </w:rPr>
        <w:t>NRC Form 754, “Armed Security Personnel Firearms Background Check”</w:t>
      </w:r>
    </w:p>
    <w:p w:rsidRPr="00A32597" w:rsidR="007A1C63" w:rsidP="007A1C63" w:rsidRDefault="007A1C63" w14:paraId="41CC7EEF" w14:textId="77777777">
      <w:pPr>
        <w:widowControl/>
        <w:ind w:left="720"/>
        <w:rPr>
          <w:rFonts w:ascii="Arial" w:hAnsi="Arial" w:cs="Arial"/>
          <w:b/>
          <w:i/>
          <w:sz w:val="22"/>
          <w:szCs w:val="22"/>
        </w:rPr>
      </w:pPr>
      <w:r>
        <w:rPr>
          <w:rFonts w:ascii="Arial" w:hAnsi="Arial" w:cs="Arial"/>
          <w:b/>
          <w:i/>
          <w:sz w:val="22"/>
          <w:szCs w:val="22"/>
        </w:rPr>
        <w:t>OMB Clearance 3150-0204</w:t>
      </w:r>
    </w:p>
    <w:p w:rsidRPr="00A32597" w:rsidR="007A1C63" w:rsidP="007A1C63" w:rsidRDefault="007A1C63" w14:paraId="5D2E6293" w14:textId="77777777">
      <w:pPr>
        <w:widowControl/>
        <w:ind w:left="720"/>
        <w:rPr>
          <w:rFonts w:ascii="Arial" w:hAnsi="Arial" w:cs="Arial"/>
          <w:b/>
          <w:sz w:val="22"/>
          <w:szCs w:val="22"/>
        </w:rPr>
      </w:pPr>
    </w:p>
    <w:p w:rsidRPr="00A32597" w:rsidR="006F08B3" w:rsidP="00577D64" w:rsidRDefault="007A1C63" w14:paraId="578893BE" w14:textId="77777777">
      <w:pPr>
        <w:widowControl/>
        <w:ind w:left="720"/>
        <w:rPr>
          <w:rFonts w:ascii="Arial" w:hAnsi="Arial" w:cs="Arial"/>
          <w:b/>
          <w:i/>
          <w:sz w:val="22"/>
          <w:szCs w:val="22"/>
        </w:rPr>
      </w:pPr>
      <w:r w:rsidRPr="00A32597">
        <w:rPr>
          <w:rFonts w:ascii="Arial" w:hAnsi="Arial" w:cs="Arial"/>
          <w:sz w:val="22"/>
          <w:szCs w:val="22"/>
        </w:rPr>
        <w:t>The reports and records must be provided to the NRC</w:t>
      </w:r>
      <w:r w:rsidR="00735DA7">
        <w:rPr>
          <w:rFonts w:ascii="Arial" w:hAnsi="Arial" w:cs="Arial"/>
          <w:sz w:val="22"/>
          <w:szCs w:val="22"/>
        </w:rPr>
        <w:t>, via</w:t>
      </w:r>
      <w:r w:rsidRPr="00A32597">
        <w:rPr>
          <w:rFonts w:ascii="Arial" w:hAnsi="Arial" w:cs="Arial"/>
          <w:sz w:val="22"/>
          <w:szCs w:val="22"/>
        </w:rPr>
        <w:t xml:space="preserve"> </w:t>
      </w:r>
      <w:r>
        <w:rPr>
          <w:rFonts w:ascii="Arial" w:hAnsi="Arial" w:cs="Arial"/>
          <w:sz w:val="22"/>
          <w:szCs w:val="22"/>
        </w:rPr>
        <w:t>NRC Form 754,</w:t>
      </w:r>
      <w:r w:rsidRPr="00A32597">
        <w:rPr>
          <w:rFonts w:ascii="Arial" w:hAnsi="Arial" w:cs="Arial"/>
          <w:sz w:val="22"/>
          <w:szCs w:val="22"/>
        </w:rPr>
        <w:t xml:space="preserve"> the </w:t>
      </w:r>
      <w:r w:rsidR="00BE2868">
        <w:rPr>
          <w:rFonts w:ascii="Arial" w:hAnsi="Arial" w:cs="Arial"/>
          <w:sz w:val="22"/>
          <w:szCs w:val="22"/>
        </w:rPr>
        <w:t>identifying information</w:t>
      </w:r>
      <w:r w:rsidRPr="00A32597" w:rsidR="00BE2868">
        <w:rPr>
          <w:rFonts w:ascii="Arial" w:hAnsi="Arial" w:cs="Arial"/>
          <w:sz w:val="22"/>
          <w:szCs w:val="22"/>
        </w:rPr>
        <w:t xml:space="preserve"> </w:t>
      </w:r>
      <w:r w:rsidRPr="00A32597">
        <w:rPr>
          <w:rFonts w:ascii="Arial" w:hAnsi="Arial" w:cs="Arial"/>
          <w:sz w:val="22"/>
          <w:szCs w:val="22"/>
        </w:rPr>
        <w:t xml:space="preserve">of security personnel assigned armed duties to determine that these individuals are not prohibited from receiving, possessing, transporting, importing, or using </w:t>
      </w:r>
      <w:r w:rsidR="00BE2868">
        <w:rPr>
          <w:rFonts w:ascii="Arial" w:hAnsi="Arial" w:cs="Arial"/>
          <w:sz w:val="22"/>
          <w:szCs w:val="22"/>
        </w:rPr>
        <w:t>covered</w:t>
      </w:r>
      <w:r w:rsidRPr="00A32597" w:rsidR="00BE2868">
        <w:rPr>
          <w:rFonts w:ascii="Arial" w:hAnsi="Arial" w:cs="Arial"/>
          <w:sz w:val="22"/>
          <w:szCs w:val="22"/>
        </w:rPr>
        <w:t xml:space="preserve"> </w:t>
      </w:r>
      <w:r w:rsidRPr="00A32597">
        <w:rPr>
          <w:rFonts w:ascii="Arial" w:hAnsi="Arial" w:cs="Arial"/>
          <w:sz w:val="22"/>
          <w:szCs w:val="22"/>
        </w:rPr>
        <w:t xml:space="preserve">weapons.  This information is needed to enable the NRC to implement the mandate of </w:t>
      </w:r>
      <w:r>
        <w:rPr>
          <w:rFonts w:ascii="Arial" w:hAnsi="Arial" w:cs="Arial"/>
          <w:sz w:val="22"/>
          <w:szCs w:val="22"/>
        </w:rPr>
        <w:t>Section</w:t>
      </w:r>
      <w:r w:rsidRPr="00A32597">
        <w:rPr>
          <w:rFonts w:ascii="Arial" w:hAnsi="Arial" w:cs="Arial"/>
          <w:sz w:val="22"/>
          <w:szCs w:val="22"/>
        </w:rPr>
        <w:t xml:space="preserve"> 161A of the AEA to verify that security personnel who will have access to these weapons have been subject to a NICS background check by the </w:t>
      </w:r>
      <w:r w:rsidR="00012DCD">
        <w:rPr>
          <w:rFonts w:ascii="Arial" w:hAnsi="Arial" w:cs="Arial"/>
          <w:sz w:val="22"/>
          <w:szCs w:val="22"/>
        </w:rPr>
        <w:t>AG</w:t>
      </w:r>
      <w:r w:rsidRPr="00A32597">
        <w:rPr>
          <w:rFonts w:ascii="Arial" w:hAnsi="Arial" w:cs="Arial"/>
          <w:sz w:val="22"/>
          <w:szCs w:val="22"/>
        </w:rPr>
        <w:t xml:space="preserve"> and to verify that an individual is not prohibited under Federal or State law from possessing or receiving firearms</w:t>
      </w:r>
      <w:r w:rsidR="00ED051D">
        <w:rPr>
          <w:rFonts w:ascii="Arial" w:hAnsi="Arial" w:cs="Arial"/>
          <w:sz w:val="22"/>
          <w:szCs w:val="22"/>
        </w:rPr>
        <w:t xml:space="preserve"> or ammunition</w:t>
      </w:r>
      <w:r w:rsidRPr="00A32597">
        <w:rPr>
          <w:rFonts w:ascii="Arial" w:hAnsi="Arial" w:cs="Arial"/>
          <w:sz w:val="22"/>
          <w:szCs w:val="22"/>
        </w:rPr>
        <w:t>.</w:t>
      </w:r>
    </w:p>
    <w:p w:rsidRPr="00A32597" w:rsidR="006F08B3" w:rsidP="00577D64" w:rsidRDefault="006F08B3" w14:paraId="2D98C0E8" w14:textId="77777777">
      <w:pPr>
        <w:widowControl/>
        <w:ind w:left="720"/>
        <w:rPr>
          <w:rFonts w:ascii="Arial" w:hAnsi="Arial" w:cs="Arial"/>
          <w:sz w:val="22"/>
          <w:szCs w:val="22"/>
        </w:rPr>
      </w:pPr>
    </w:p>
    <w:p w:rsidR="005574E7" w:rsidP="0076129B" w:rsidRDefault="00932AD7" w14:paraId="582D58CD" w14:textId="0E7BBDA7">
      <w:pPr>
        <w:widowControl/>
        <w:ind w:left="720"/>
        <w:rPr>
          <w:rFonts w:ascii="Arial" w:hAnsi="Arial" w:cs="Arial"/>
          <w:sz w:val="22"/>
          <w:szCs w:val="22"/>
        </w:rPr>
      </w:pPr>
      <w:r>
        <w:rPr>
          <w:rFonts w:ascii="Arial" w:hAnsi="Arial" w:cs="Arial"/>
          <w:color w:val="000000"/>
          <w:sz w:val="22"/>
          <w:szCs w:val="22"/>
        </w:rPr>
        <w:t xml:space="preserve">The </w:t>
      </w:r>
      <w:r w:rsidR="00527BBC">
        <w:rPr>
          <w:rFonts w:ascii="Arial" w:hAnsi="Arial" w:cs="Arial"/>
          <w:color w:val="000000"/>
          <w:sz w:val="22"/>
          <w:szCs w:val="22"/>
        </w:rPr>
        <w:t xml:space="preserve">final </w:t>
      </w:r>
      <w:r>
        <w:rPr>
          <w:rFonts w:ascii="Arial" w:hAnsi="Arial" w:cs="Arial"/>
          <w:color w:val="000000"/>
          <w:sz w:val="22"/>
          <w:szCs w:val="22"/>
        </w:rPr>
        <w:t>rule add</w:t>
      </w:r>
      <w:r w:rsidR="007B20F8">
        <w:rPr>
          <w:rFonts w:ascii="Arial" w:hAnsi="Arial" w:cs="Arial"/>
          <w:color w:val="000000"/>
          <w:sz w:val="22"/>
          <w:szCs w:val="22"/>
        </w:rPr>
        <w:t>s</w:t>
      </w:r>
      <w:r>
        <w:rPr>
          <w:rFonts w:ascii="Arial" w:hAnsi="Arial" w:cs="Arial"/>
          <w:color w:val="000000"/>
          <w:sz w:val="22"/>
          <w:szCs w:val="22"/>
        </w:rPr>
        <w:t xml:space="preserve"> </w:t>
      </w:r>
      <w:r w:rsidR="00ED051D">
        <w:rPr>
          <w:rFonts w:ascii="Arial" w:hAnsi="Arial" w:cs="Arial"/>
          <w:sz w:val="22"/>
          <w:szCs w:val="22"/>
        </w:rPr>
        <w:t>§</w:t>
      </w:r>
      <w:r w:rsidRPr="00A32597" w:rsidR="00FA718F">
        <w:rPr>
          <w:rFonts w:ascii="Arial" w:hAnsi="Arial" w:cs="Arial"/>
          <w:color w:val="000000"/>
          <w:sz w:val="22"/>
          <w:szCs w:val="22"/>
        </w:rPr>
        <w:t xml:space="preserve"> </w:t>
      </w:r>
      <w:r w:rsidR="0007735A">
        <w:rPr>
          <w:rFonts w:ascii="Arial" w:hAnsi="Arial" w:cs="Arial"/>
          <w:color w:val="000000"/>
          <w:sz w:val="22"/>
          <w:szCs w:val="22"/>
        </w:rPr>
        <w:t>73.17</w:t>
      </w:r>
      <w:r w:rsidRPr="00A32597" w:rsidR="00FA718F">
        <w:rPr>
          <w:rFonts w:ascii="Arial" w:hAnsi="Arial" w:cs="Arial"/>
          <w:color w:val="000000"/>
          <w:sz w:val="22"/>
          <w:szCs w:val="22"/>
        </w:rPr>
        <w:t xml:space="preserve"> to Part 73</w:t>
      </w:r>
      <w:r w:rsidRPr="00A32597" w:rsidR="00FA718F">
        <w:rPr>
          <w:rFonts w:ascii="Arial" w:hAnsi="Arial" w:cs="Arial"/>
          <w:sz w:val="22"/>
          <w:szCs w:val="22"/>
        </w:rPr>
        <w:t xml:space="preserve">.  </w:t>
      </w:r>
      <w:r w:rsidRPr="00A32597" w:rsidR="006F08B3">
        <w:rPr>
          <w:rFonts w:ascii="Arial" w:hAnsi="Arial" w:cs="Arial"/>
          <w:sz w:val="22"/>
          <w:szCs w:val="22"/>
        </w:rPr>
        <w:t>Specific requirements for reports and records in the amendments t</w:t>
      </w:r>
      <w:r w:rsidR="00577D64">
        <w:rPr>
          <w:rFonts w:ascii="Arial" w:hAnsi="Arial" w:cs="Arial"/>
          <w:sz w:val="22"/>
          <w:szCs w:val="22"/>
        </w:rPr>
        <w:t xml:space="preserve">o Part 73 </w:t>
      </w:r>
      <w:r w:rsidR="00F74DDE">
        <w:rPr>
          <w:rFonts w:ascii="Arial" w:hAnsi="Arial" w:cs="Arial"/>
          <w:sz w:val="22"/>
          <w:szCs w:val="22"/>
        </w:rPr>
        <w:t xml:space="preserve">that relate to information collections and </w:t>
      </w:r>
      <w:r w:rsidR="008068C0">
        <w:rPr>
          <w:rFonts w:ascii="Arial" w:hAnsi="Arial" w:cs="Arial"/>
          <w:sz w:val="22"/>
          <w:szCs w:val="22"/>
        </w:rPr>
        <w:t xml:space="preserve">associated use of </w:t>
      </w:r>
      <w:r w:rsidR="00F74DDE">
        <w:rPr>
          <w:rFonts w:ascii="Arial" w:hAnsi="Arial" w:cs="Arial"/>
          <w:sz w:val="22"/>
          <w:szCs w:val="22"/>
        </w:rPr>
        <w:t xml:space="preserve">NRC Form 754 </w:t>
      </w:r>
      <w:r w:rsidR="00577D64">
        <w:rPr>
          <w:rFonts w:ascii="Arial" w:hAnsi="Arial" w:cs="Arial"/>
          <w:sz w:val="22"/>
          <w:szCs w:val="22"/>
        </w:rPr>
        <w:t>are identified below.</w:t>
      </w:r>
      <w:r>
        <w:rPr>
          <w:rFonts w:ascii="Arial" w:hAnsi="Arial" w:cs="Arial"/>
          <w:sz w:val="22"/>
          <w:szCs w:val="22"/>
        </w:rPr>
        <w:t xml:space="preserve"> </w:t>
      </w:r>
      <w:r w:rsidR="00673F8A">
        <w:rPr>
          <w:rFonts w:ascii="Arial" w:hAnsi="Arial" w:cs="Arial"/>
          <w:sz w:val="22"/>
          <w:szCs w:val="22"/>
        </w:rPr>
        <w:t xml:space="preserve"> </w:t>
      </w:r>
    </w:p>
    <w:p w:rsidR="00A769F9" w:rsidP="0076129B" w:rsidRDefault="00A769F9" w14:paraId="5EB4861D" w14:textId="77777777">
      <w:pPr>
        <w:widowControl/>
        <w:ind w:left="720"/>
        <w:rPr>
          <w:rFonts w:ascii="Arial" w:hAnsi="Arial" w:cs="Arial"/>
          <w:sz w:val="22"/>
          <w:szCs w:val="22"/>
        </w:rPr>
      </w:pPr>
    </w:p>
    <w:p w:rsidRPr="00353FF1" w:rsidR="00D62588" w:rsidP="00577D64" w:rsidRDefault="00D62588" w14:paraId="4E89F7FA" w14:textId="7EDFE519">
      <w:pPr>
        <w:widowControl/>
        <w:ind w:left="720"/>
        <w:rPr>
          <w:rFonts w:ascii="Arial" w:hAnsi="Arial" w:cs="Arial"/>
          <w:sz w:val="22"/>
          <w:szCs w:val="22"/>
        </w:rPr>
      </w:pPr>
      <w:r w:rsidRPr="00353FF1">
        <w:rPr>
          <w:rFonts w:ascii="Arial" w:hAnsi="Arial" w:cs="Arial"/>
          <w:sz w:val="22"/>
          <w:szCs w:val="22"/>
          <w:u w:val="single"/>
        </w:rPr>
        <w:t xml:space="preserve">Section </w:t>
      </w:r>
      <w:r w:rsidRPr="00353FF1" w:rsidR="0007735A">
        <w:rPr>
          <w:rFonts w:ascii="Arial" w:hAnsi="Arial" w:cs="Arial"/>
          <w:sz w:val="22"/>
          <w:szCs w:val="22"/>
          <w:u w:val="single"/>
        </w:rPr>
        <w:t>73.17</w:t>
      </w:r>
      <w:r w:rsidRPr="00353FF1">
        <w:rPr>
          <w:rFonts w:ascii="Arial" w:hAnsi="Arial" w:cs="Arial"/>
          <w:sz w:val="22"/>
          <w:szCs w:val="22"/>
          <w:u w:val="single"/>
        </w:rPr>
        <w:t>(b</w:t>
      </w:r>
      <w:proofErr w:type="gramStart"/>
      <w:r w:rsidRPr="00353FF1">
        <w:rPr>
          <w:rFonts w:ascii="Arial" w:hAnsi="Arial" w:cs="Arial"/>
          <w:sz w:val="22"/>
          <w:szCs w:val="22"/>
          <w:u w:val="single"/>
        </w:rPr>
        <w:t>)(</w:t>
      </w:r>
      <w:proofErr w:type="gramEnd"/>
      <w:r w:rsidRPr="00353FF1">
        <w:rPr>
          <w:rFonts w:ascii="Arial" w:hAnsi="Arial" w:cs="Arial"/>
          <w:sz w:val="22"/>
          <w:szCs w:val="22"/>
          <w:u w:val="single"/>
        </w:rPr>
        <w:t>5-</w:t>
      </w:r>
      <w:r w:rsidR="007146A2">
        <w:rPr>
          <w:rFonts w:ascii="Arial" w:hAnsi="Arial" w:cs="Arial"/>
          <w:sz w:val="22"/>
          <w:szCs w:val="22"/>
          <w:u w:val="single"/>
        </w:rPr>
        <w:t>7</w:t>
      </w:r>
      <w:r w:rsidRPr="00353FF1">
        <w:rPr>
          <w:rFonts w:ascii="Arial" w:hAnsi="Arial" w:cs="Arial"/>
          <w:sz w:val="22"/>
          <w:szCs w:val="22"/>
          <w:u w:val="single"/>
        </w:rPr>
        <w:t>)</w:t>
      </w:r>
      <w:r w:rsidRPr="00353FF1">
        <w:rPr>
          <w:rFonts w:ascii="Arial" w:hAnsi="Arial" w:cs="Arial"/>
          <w:sz w:val="22"/>
          <w:szCs w:val="22"/>
        </w:rPr>
        <w:t xml:space="preserve"> allows regulated entities that submitted applications for Section </w:t>
      </w:r>
      <w:r w:rsidR="00C13568">
        <w:rPr>
          <w:rFonts w:ascii="Arial" w:hAnsi="Arial" w:cs="Arial"/>
          <w:sz w:val="22"/>
          <w:szCs w:val="22"/>
        </w:rPr>
        <w:t>161A authority</w:t>
      </w:r>
      <w:r w:rsidRPr="00353FF1">
        <w:rPr>
          <w:rFonts w:ascii="Arial" w:hAnsi="Arial" w:cs="Arial"/>
          <w:sz w:val="22"/>
          <w:szCs w:val="22"/>
        </w:rPr>
        <w:t xml:space="preserve"> to conduct firearms background checks once the NRC has accepted</w:t>
      </w:r>
      <w:r w:rsidRPr="00353FF1" w:rsidR="006E73A1">
        <w:rPr>
          <w:rFonts w:ascii="Arial" w:hAnsi="Arial" w:cs="Arial"/>
          <w:sz w:val="22"/>
          <w:szCs w:val="22"/>
        </w:rPr>
        <w:t xml:space="preserve"> their application for review.</w:t>
      </w:r>
    </w:p>
    <w:p w:rsidRPr="00353FF1" w:rsidR="00D62588" w:rsidP="00577D64" w:rsidRDefault="00D62588" w14:paraId="1DFB0BD0" w14:textId="77777777">
      <w:pPr>
        <w:widowControl/>
        <w:ind w:left="720"/>
        <w:rPr>
          <w:rFonts w:ascii="Arial" w:hAnsi="Arial" w:cs="Arial"/>
          <w:sz w:val="22"/>
          <w:szCs w:val="22"/>
        </w:rPr>
      </w:pPr>
    </w:p>
    <w:p w:rsidRPr="00353FF1" w:rsidR="007146A2" w:rsidP="007146A2" w:rsidRDefault="007146A2" w14:paraId="3DBAABB1" w14:textId="77777777">
      <w:pPr>
        <w:widowControl/>
        <w:ind w:left="720"/>
        <w:rPr>
          <w:rFonts w:ascii="Arial" w:hAnsi="Arial" w:cs="Arial"/>
          <w:sz w:val="22"/>
          <w:szCs w:val="22"/>
        </w:rPr>
      </w:pPr>
      <w:r w:rsidRPr="00353FF1">
        <w:rPr>
          <w:rFonts w:ascii="Arial" w:hAnsi="Arial" w:cs="Arial"/>
          <w:sz w:val="22"/>
          <w:szCs w:val="22"/>
          <w:u w:val="single"/>
        </w:rPr>
        <w:t>Section 73.17(b)(</w:t>
      </w:r>
      <w:r>
        <w:rPr>
          <w:rFonts w:ascii="Arial" w:hAnsi="Arial" w:cs="Arial"/>
          <w:sz w:val="22"/>
          <w:szCs w:val="22"/>
          <w:u w:val="single"/>
        </w:rPr>
        <w:t>9</w:t>
      </w:r>
      <w:r w:rsidRPr="00353FF1">
        <w:rPr>
          <w:rFonts w:ascii="Arial" w:hAnsi="Arial" w:cs="Arial"/>
          <w:sz w:val="22"/>
          <w:szCs w:val="22"/>
          <w:u w:val="single"/>
        </w:rPr>
        <w:t>)</w:t>
      </w:r>
      <w:r w:rsidRPr="00353FF1">
        <w:rPr>
          <w:rFonts w:ascii="Arial" w:hAnsi="Arial" w:cs="Arial"/>
          <w:sz w:val="22"/>
          <w:szCs w:val="22"/>
        </w:rPr>
        <w:t xml:space="preserve"> requires licensees that have security personnel who have satisfactorily completed a firearms background check, but who have had a break</w:t>
      </w:r>
      <w:r>
        <w:rPr>
          <w:rFonts w:ascii="Arial" w:hAnsi="Arial" w:cs="Arial"/>
          <w:sz w:val="22"/>
          <w:szCs w:val="22"/>
        </w:rPr>
        <w:t>-</w:t>
      </w:r>
      <w:r w:rsidRPr="00353FF1">
        <w:rPr>
          <w:rFonts w:ascii="Arial" w:hAnsi="Arial" w:cs="Arial"/>
          <w:sz w:val="22"/>
          <w:szCs w:val="22"/>
        </w:rPr>
        <w:t>in</w:t>
      </w:r>
      <w:r>
        <w:rPr>
          <w:rFonts w:ascii="Arial" w:hAnsi="Arial" w:cs="Arial"/>
          <w:sz w:val="22"/>
          <w:szCs w:val="22"/>
        </w:rPr>
        <w:t>-service</w:t>
      </w:r>
      <w:r w:rsidRPr="00353FF1">
        <w:rPr>
          <w:rFonts w:ascii="Arial" w:hAnsi="Arial" w:cs="Arial"/>
          <w:sz w:val="22"/>
          <w:szCs w:val="22"/>
        </w:rPr>
        <w:t xml:space="preserve"> with the licensee or their security contractor of greater than one (1) week </w:t>
      </w:r>
      <w:proofErr w:type="gramStart"/>
      <w:r w:rsidRPr="00353FF1">
        <w:rPr>
          <w:rFonts w:ascii="Arial" w:hAnsi="Arial" w:cs="Arial"/>
          <w:sz w:val="22"/>
          <w:szCs w:val="22"/>
        </w:rPr>
        <w:t>subsequent to</w:t>
      </w:r>
      <w:proofErr w:type="gramEnd"/>
      <w:r w:rsidRPr="00353FF1">
        <w:rPr>
          <w:rFonts w:ascii="Arial" w:hAnsi="Arial" w:cs="Arial"/>
          <w:sz w:val="22"/>
          <w:szCs w:val="22"/>
        </w:rPr>
        <w:t xml:space="preserve"> their most recent firearms background check, or who have transferred from a different licensee must complete a new satisfactory firearms background check.</w:t>
      </w:r>
      <w:r>
        <w:rPr>
          <w:rFonts w:ascii="Arial" w:hAnsi="Arial" w:cs="Arial"/>
          <w:sz w:val="22"/>
          <w:szCs w:val="22"/>
        </w:rPr>
        <w:t xml:space="preserve">  An exception is provided in the </w:t>
      </w:r>
      <w:r>
        <w:rPr>
          <w:rFonts w:ascii="Arial" w:hAnsi="Arial" w:cs="Arial"/>
          <w:sz w:val="22"/>
          <w:szCs w:val="22"/>
        </w:rPr>
        <w:lastRenderedPageBreak/>
        <w:t xml:space="preserve">final rule for personnel who are engaged in </w:t>
      </w:r>
      <w:proofErr w:type="gramStart"/>
      <w:r>
        <w:rPr>
          <w:rFonts w:ascii="Arial" w:hAnsi="Arial" w:cs="Arial"/>
          <w:sz w:val="22"/>
          <w:szCs w:val="22"/>
        </w:rPr>
        <w:t>active duty</w:t>
      </w:r>
      <w:proofErr w:type="gramEnd"/>
      <w:r>
        <w:rPr>
          <w:rFonts w:ascii="Arial" w:hAnsi="Arial" w:cs="Arial"/>
          <w:sz w:val="22"/>
          <w:szCs w:val="22"/>
        </w:rPr>
        <w:t xml:space="preserve"> service with the U.S. military reserves or National Guard.</w:t>
      </w:r>
    </w:p>
    <w:p w:rsidR="007146A2" w:rsidP="00577D64" w:rsidRDefault="007146A2" w14:paraId="5CD6F67B" w14:textId="77777777">
      <w:pPr>
        <w:widowControl/>
        <w:ind w:left="720"/>
        <w:rPr>
          <w:rFonts w:ascii="Arial" w:hAnsi="Arial" w:cs="Arial"/>
          <w:sz w:val="22"/>
          <w:szCs w:val="22"/>
          <w:u w:val="single"/>
        </w:rPr>
      </w:pPr>
    </w:p>
    <w:p w:rsidRPr="00353FF1" w:rsidR="009D6D83" w:rsidRDefault="001201E1" w14:paraId="62006246" w14:textId="77777777">
      <w:pPr>
        <w:widowControl/>
        <w:ind w:left="720"/>
        <w:rPr>
          <w:rFonts w:ascii="Arial" w:hAnsi="Arial" w:cs="Arial"/>
          <w:sz w:val="22"/>
          <w:szCs w:val="22"/>
        </w:rPr>
      </w:pPr>
      <w:r w:rsidRPr="00353FF1">
        <w:rPr>
          <w:rFonts w:ascii="Arial" w:hAnsi="Arial" w:cs="Arial"/>
          <w:sz w:val="22"/>
          <w:szCs w:val="22"/>
          <w:u w:val="single"/>
        </w:rPr>
        <w:t xml:space="preserve">Section </w:t>
      </w:r>
      <w:r w:rsidRPr="00353FF1" w:rsidR="0007735A">
        <w:rPr>
          <w:rFonts w:ascii="Arial" w:hAnsi="Arial" w:cs="Arial"/>
          <w:sz w:val="22"/>
          <w:szCs w:val="22"/>
          <w:u w:val="single"/>
        </w:rPr>
        <w:t>73.17</w:t>
      </w:r>
      <w:r w:rsidRPr="00353FF1" w:rsidR="006F08B3">
        <w:rPr>
          <w:rFonts w:ascii="Arial" w:hAnsi="Arial" w:cs="Arial"/>
          <w:sz w:val="22"/>
          <w:szCs w:val="22"/>
          <w:u w:val="single"/>
        </w:rPr>
        <w:t>(d)</w:t>
      </w:r>
      <w:r w:rsidRPr="00353FF1" w:rsidR="006F08B3">
        <w:rPr>
          <w:rFonts w:ascii="Arial" w:hAnsi="Arial" w:cs="Arial"/>
          <w:sz w:val="22"/>
          <w:szCs w:val="22"/>
        </w:rPr>
        <w:t xml:space="preserve"> requires firearms background checks on security personnel to include a check of an individual</w:t>
      </w:r>
      <w:r w:rsidRPr="00353FF1" w:rsidR="0031534D">
        <w:rPr>
          <w:rFonts w:ascii="Arial" w:hAnsi="Arial" w:cs="Arial"/>
          <w:sz w:val="22"/>
          <w:szCs w:val="22"/>
        </w:rPr>
        <w:t>’</w:t>
      </w:r>
      <w:r w:rsidRPr="00353FF1" w:rsidR="006F08B3">
        <w:rPr>
          <w:rFonts w:ascii="Arial" w:hAnsi="Arial" w:cs="Arial"/>
          <w:sz w:val="22"/>
          <w:szCs w:val="22"/>
        </w:rPr>
        <w:t>s fingerprints against the FBI</w:t>
      </w:r>
      <w:r w:rsidRPr="00353FF1" w:rsidR="0031534D">
        <w:rPr>
          <w:rFonts w:ascii="Arial" w:hAnsi="Arial" w:cs="Arial"/>
          <w:sz w:val="22"/>
          <w:szCs w:val="22"/>
        </w:rPr>
        <w:t>’</w:t>
      </w:r>
      <w:r w:rsidRPr="00353FF1" w:rsidR="006F08B3">
        <w:rPr>
          <w:rFonts w:ascii="Arial" w:hAnsi="Arial" w:cs="Arial"/>
          <w:sz w:val="22"/>
          <w:szCs w:val="22"/>
        </w:rPr>
        <w:t>s fingerprint system</w:t>
      </w:r>
      <w:r w:rsidR="00F74DDE">
        <w:rPr>
          <w:rFonts w:ascii="Arial" w:hAnsi="Arial" w:cs="Arial"/>
          <w:sz w:val="22"/>
          <w:szCs w:val="22"/>
        </w:rPr>
        <w:t xml:space="preserve"> and </w:t>
      </w:r>
      <w:r w:rsidRPr="00353FF1" w:rsidR="006F08B3">
        <w:rPr>
          <w:rFonts w:ascii="Arial" w:hAnsi="Arial" w:cs="Arial"/>
          <w:sz w:val="22"/>
          <w:szCs w:val="22"/>
        </w:rPr>
        <w:t>against the FBI</w:t>
      </w:r>
      <w:r w:rsidRPr="00353FF1" w:rsidR="0031534D">
        <w:rPr>
          <w:rFonts w:ascii="Arial" w:hAnsi="Arial" w:cs="Arial"/>
          <w:sz w:val="22"/>
          <w:szCs w:val="22"/>
        </w:rPr>
        <w:t>’</w:t>
      </w:r>
      <w:r w:rsidRPr="00353FF1" w:rsidR="006F08B3">
        <w:rPr>
          <w:rFonts w:ascii="Arial" w:hAnsi="Arial" w:cs="Arial"/>
          <w:sz w:val="22"/>
          <w:szCs w:val="22"/>
        </w:rPr>
        <w:t>s NICS</w:t>
      </w:r>
      <w:r w:rsidR="003C0FE3">
        <w:rPr>
          <w:rFonts w:ascii="Arial" w:hAnsi="Arial" w:cs="Arial"/>
          <w:sz w:val="22"/>
          <w:szCs w:val="22"/>
        </w:rPr>
        <w:t xml:space="preserve"> system</w:t>
      </w:r>
      <w:r w:rsidRPr="00353FF1" w:rsidR="006F08B3">
        <w:rPr>
          <w:rFonts w:ascii="Arial" w:hAnsi="Arial" w:cs="Arial"/>
          <w:sz w:val="22"/>
          <w:szCs w:val="22"/>
        </w:rPr>
        <w:t>.</w:t>
      </w:r>
    </w:p>
    <w:p w:rsidRPr="00353FF1" w:rsidR="009D6D83" w:rsidP="00577D64" w:rsidRDefault="009D6D83" w14:paraId="43C6FC0F" w14:textId="77777777">
      <w:pPr>
        <w:widowControl/>
        <w:ind w:left="720"/>
        <w:rPr>
          <w:rFonts w:ascii="Arial" w:hAnsi="Arial" w:cs="Arial"/>
          <w:sz w:val="22"/>
          <w:szCs w:val="22"/>
          <w:u w:val="single"/>
        </w:rPr>
      </w:pPr>
    </w:p>
    <w:p w:rsidR="00B35709" w:rsidP="00577D64" w:rsidRDefault="00805CD0" w14:paraId="43C0A31E" w14:textId="77777777">
      <w:pPr>
        <w:widowControl/>
        <w:ind w:left="720"/>
        <w:rPr>
          <w:rFonts w:ascii="Arial" w:hAnsi="Arial" w:cs="Arial"/>
          <w:sz w:val="22"/>
          <w:szCs w:val="22"/>
          <w:u w:val="single"/>
        </w:rPr>
      </w:pPr>
      <w:r>
        <w:rPr>
          <w:rFonts w:ascii="Arial" w:hAnsi="Arial" w:cs="Arial"/>
          <w:sz w:val="22"/>
          <w:szCs w:val="22"/>
          <w:u w:val="single"/>
        </w:rPr>
        <w:t xml:space="preserve">Section 73.17(e)(1) </w:t>
      </w:r>
      <w:r w:rsidRPr="00AB27BC">
        <w:rPr>
          <w:rFonts w:ascii="Arial" w:hAnsi="Arial" w:cs="Arial"/>
          <w:sz w:val="22"/>
          <w:szCs w:val="22"/>
        </w:rPr>
        <w:t>requires</w:t>
      </w:r>
      <w:r w:rsidRPr="00AB27BC">
        <w:t xml:space="preserve"> </w:t>
      </w:r>
      <w:r w:rsidR="00527BBC">
        <w:t>f</w:t>
      </w:r>
      <w:r w:rsidRPr="00AB27BC">
        <w:rPr>
          <w:rFonts w:ascii="Arial" w:hAnsi="Arial" w:cs="Arial"/>
          <w:sz w:val="22"/>
          <w:szCs w:val="22"/>
        </w:rPr>
        <w:t xml:space="preserve">irearms </w:t>
      </w:r>
      <w:r w:rsidR="00527BBC">
        <w:rPr>
          <w:rFonts w:ascii="Arial" w:hAnsi="Arial" w:cs="Arial"/>
          <w:sz w:val="22"/>
          <w:szCs w:val="22"/>
        </w:rPr>
        <w:t>b</w:t>
      </w:r>
      <w:r w:rsidRPr="00AB27BC">
        <w:rPr>
          <w:rFonts w:ascii="Arial" w:hAnsi="Arial" w:cs="Arial"/>
          <w:sz w:val="22"/>
          <w:szCs w:val="22"/>
        </w:rPr>
        <w:t xml:space="preserve">ackground </w:t>
      </w:r>
      <w:r w:rsidRPr="00AB27BC" w:rsidR="00B35709">
        <w:rPr>
          <w:rFonts w:ascii="Arial" w:hAnsi="Arial" w:cs="Arial"/>
          <w:sz w:val="22"/>
          <w:szCs w:val="22"/>
        </w:rPr>
        <w:t xml:space="preserve">check </w:t>
      </w:r>
      <w:r w:rsidRPr="00AB27BC">
        <w:rPr>
          <w:rFonts w:ascii="Arial" w:hAnsi="Arial" w:cs="Arial"/>
          <w:sz w:val="22"/>
          <w:szCs w:val="22"/>
        </w:rPr>
        <w:t>submittals in accordance with §</w:t>
      </w:r>
      <w:r w:rsidRPr="00AB27BC" w:rsidR="00B35709">
        <w:rPr>
          <w:rFonts w:ascii="Arial" w:hAnsi="Arial" w:cs="Arial"/>
          <w:sz w:val="22"/>
          <w:szCs w:val="22"/>
        </w:rPr>
        <w:t> 7</w:t>
      </w:r>
      <w:r w:rsidRPr="00AB27BC">
        <w:rPr>
          <w:rFonts w:ascii="Arial" w:hAnsi="Arial" w:cs="Arial"/>
          <w:sz w:val="22"/>
          <w:szCs w:val="22"/>
        </w:rPr>
        <w:t>3.4</w:t>
      </w:r>
      <w:r w:rsidRPr="00AB27BC" w:rsidR="00B35709">
        <w:rPr>
          <w:rFonts w:ascii="Arial" w:hAnsi="Arial" w:cs="Arial"/>
          <w:sz w:val="22"/>
          <w:szCs w:val="22"/>
        </w:rPr>
        <w:t xml:space="preserve">.  These submittals include both a set of fingerprints and a completed NRC Form 754 for </w:t>
      </w:r>
      <w:proofErr w:type="gramStart"/>
      <w:r w:rsidRPr="00AB27BC" w:rsidR="00B35709">
        <w:rPr>
          <w:rFonts w:ascii="Arial" w:hAnsi="Arial" w:cs="Arial"/>
          <w:sz w:val="22"/>
          <w:szCs w:val="22"/>
        </w:rPr>
        <w:t>each individual</w:t>
      </w:r>
      <w:proofErr w:type="gramEnd"/>
      <w:r w:rsidRPr="00AB27BC" w:rsidR="00B35709">
        <w:rPr>
          <w:rFonts w:ascii="Arial" w:hAnsi="Arial" w:cs="Arial"/>
          <w:sz w:val="22"/>
          <w:szCs w:val="22"/>
        </w:rPr>
        <w:t xml:space="preserve">. </w:t>
      </w:r>
    </w:p>
    <w:p w:rsidR="00B35709" w:rsidP="00577D64" w:rsidRDefault="00B35709" w14:paraId="503E7D4E" w14:textId="77777777">
      <w:pPr>
        <w:widowControl/>
        <w:ind w:left="720"/>
        <w:rPr>
          <w:rFonts w:ascii="Arial" w:hAnsi="Arial" w:cs="Arial"/>
          <w:sz w:val="22"/>
          <w:szCs w:val="22"/>
          <w:u w:val="single"/>
        </w:rPr>
      </w:pPr>
    </w:p>
    <w:p w:rsidR="00805CD0" w:rsidP="00577D64" w:rsidRDefault="00B35709" w14:paraId="0859F726" w14:textId="1C05C6DA">
      <w:pPr>
        <w:widowControl/>
        <w:ind w:left="720"/>
        <w:rPr>
          <w:rFonts w:ascii="Arial" w:hAnsi="Arial" w:cs="Arial"/>
          <w:sz w:val="22"/>
          <w:szCs w:val="22"/>
          <w:u w:val="single"/>
        </w:rPr>
      </w:pPr>
      <w:r>
        <w:rPr>
          <w:rFonts w:ascii="Arial" w:hAnsi="Arial" w:cs="Arial"/>
          <w:sz w:val="22"/>
          <w:szCs w:val="22"/>
          <w:u w:val="single"/>
        </w:rPr>
        <w:t>Section 73.17(e</w:t>
      </w:r>
      <w:proofErr w:type="gramStart"/>
      <w:r>
        <w:rPr>
          <w:rFonts w:ascii="Arial" w:hAnsi="Arial" w:cs="Arial"/>
          <w:sz w:val="22"/>
          <w:szCs w:val="22"/>
          <w:u w:val="single"/>
        </w:rPr>
        <w:t>)(</w:t>
      </w:r>
      <w:proofErr w:type="gramEnd"/>
      <w:r w:rsidR="007146A2">
        <w:rPr>
          <w:rFonts w:ascii="Arial" w:hAnsi="Arial" w:cs="Arial"/>
          <w:sz w:val="22"/>
          <w:szCs w:val="22"/>
          <w:u w:val="single"/>
        </w:rPr>
        <w:t>2-</w:t>
      </w:r>
      <w:r>
        <w:rPr>
          <w:rFonts w:ascii="Arial" w:hAnsi="Arial" w:cs="Arial"/>
          <w:sz w:val="22"/>
          <w:szCs w:val="22"/>
          <w:u w:val="single"/>
        </w:rPr>
        <w:t>3)</w:t>
      </w:r>
      <w:r w:rsidRPr="00AB27BC">
        <w:rPr>
          <w:rFonts w:ascii="Arial" w:hAnsi="Arial" w:cs="Arial"/>
          <w:sz w:val="22"/>
          <w:szCs w:val="22"/>
        </w:rPr>
        <w:t xml:space="preserve"> permits licensees to consolidate into a single transmittal the information from multiple NRC Forms 754 for multiple individuals to reduce burden; and to transmit this information electronically</w:t>
      </w:r>
      <w:r w:rsidRPr="00AB27BC" w:rsidR="00805CD0">
        <w:rPr>
          <w:rFonts w:ascii="Arial" w:hAnsi="Arial" w:cs="Arial"/>
          <w:sz w:val="22"/>
          <w:szCs w:val="22"/>
        </w:rPr>
        <w:t>.</w:t>
      </w:r>
      <w:r w:rsidRPr="00AB27BC">
        <w:rPr>
          <w:rFonts w:ascii="Arial" w:hAnsi="Arial" w:cs="Arial"/>
          <w:sz w:val="22"/>
          <w:szCs w:val="22"/>
        </w:rPr>
        <w:t xml:space="preserve">  However, any </w:t>
      </w:r>
      <w:r w:rsidR="00463848">
        <w:rPr>
          <w:rFonts w:ascii="Arial" w:hAnsi="Arial" w:cs="Arial"/>
          <w:sz w:val="22"/>
          <w:szCs w:val="22"/>
        </w:rPr>
        <w:t>PII</w:t>
      </w:r>
      <w:r w:rsidRPr="00AB27BC">
        <w:rPr>
          <w:rFonts w:ascii="Arial" w:hAnsi="Arial" w:cs="Arial"/>
          <w:sz w:val="22"/>
          <w:szCs w:val="22"/>
        </w:rPr>
        <w:t xml:space="preserve"> must be protected during such electronic transmission in accordance with § </w:t>
      </w:r>
      <w:r w:rsidR="007146A2">
        <w:rPr>
          <w:rFonts w:ascii="Arial" w:hAnsi="Arial" w:cs="Arial"/>
          <w:sz w:val="22"/>
          <w:szCs w:val="22"/>
        </w:rPr>
        <w:t>2.390</w:t>
      </w:r>
      <w:r w:rsidR="00AB27BC">
        <w:rPr>
          <w:rFonts w:ascii="Arial" w:hAnsi="Arial" w:cs="Arial"/>
          <w:sz w:val="22"/>
          <w:szCs w:val="22"/>
        </w:rPr>
        <w:t>.</w:t>
      </w:r>
    </w:p>
    <w:p w:rsidR="00805CD0" w:rsidP="00577D64" w:rsidRDefault="00805CD0" w14:paraId="7E6B3029" w14:textId="77777777">
      <w:pPr>
        <w:widowControl/>
        <w:ind w:left="720"/>
        <w:rPr>
          <w:rFonts w:ascii="Arial" w:hAnsi="Arial" w:cs="Arial"/>
          <w:sz w:val="22"/>
          <w:szCs w:val="22"/>
          <w:u w:val="single"/>
        </w:rPr>
      </w:pPr>
    </w:p>
    <w:p w:rsidRPr="00AB27BC" w:rsidR="00805CD0" w:rsidP="00577D64" w:rsidRDefault="00805CD0" w14:paraId="7123A069" w14:textId="77777777">
      <w:pPr>
        <w:widowControl/>
        <w:ind w:left="720"/>
        <w:rPr>
          <w:rFonts w:ascii="Arial" w:hAnsi="Arial" w:cs="Arial"/>
          <w:sz w:val="22"/>
          <w:szCs w:val="22"/>
        </w:rPr>
      </w:pPr>
      <w:r>
        <w:rPr>
          <w:rFonts w:ascii="Arial" w:hAnsi="Arial" w:cs="Arial"/>
          <w:sz w:val="22"/>
          <w:szCs w:val="22"/>
          <w:u w:val="single"/>
        </w:rPr>
        <w:t>Section 73.17(e)(4)</w:t>
      </w:r>
      <w:r w:rsidRPr="00AB27BC">
        <w:rPr>
          <w:rFonts w:ascii="Arial" w:hAnsi="Arial" w:cs="Arial"/>
          <w:sz w:val="22"/>
          <w:szCs w:val="22"/>
        </w:rPr>
        <w:t xml:space="preserve"> requires licensees to retain copies of Form 754 submittals</w:t>
      </w:r>
      <w:r w:rsidRPr="00AB27BC" w:rsidR="00BE2868">
        <w:rPr>
          <w:rFonts w:ascii="Arial" w:hAnsi="Arial" w:cs="Arial"/>
          <w:sz w:val="22"/>
          <w:szCs w:val="22"/>
        </w:rPr>
        <w:t xml:space="preserve"> while the individual is authorized access to covered weapons</w:t>
      </w:r>
      <w:r w:rsidRPr="00AB27BC">
        <w:rPr>
          <w:rFonts w:ascii="Arial" w:hAnsi="Arial" w:cs="Arial"/>
          <w:sz w:val="22"/>
          <w:szCs w:val="22"/>
        </w:rPr>
        <w:t>.</w:t>
      </w:r>
    </w:p>
    <w:p w:rsidR="00805CD0" w:rsidP="00577D64" w:rsidRDefault="00805CD0" w14:paraId="7ECDBE5F" w14:textId="77777777">
      <w:pPr>
        <w:widowControl/>
        <w:ind w:left="720"/>
        <w:rPr>
          <w:rFonts w:ascii="Arial" w:hAnsi="Arial" w:cs="Arial"/>
          <w:sz w:val="22"/>
          <w:szCs w:val="22"/>
          <w:u w:val="single"/>
        </w:rPr>
      </w:pPr>
    </w:p>
    <w:p w:rsidR="007146A2" w:rsidP="00577D64" w:rsidRDefault="007146A2" w14:paraId="48EECA35" w14:textId="69F34EE7">
      <w:pPr>
        <w:widowControl/>
        <w:ind w:left="720"/>
        <w:rPr>
          <w:rFonts w:ascii="Arial" w:hAnsi="Arial" w:cs="Arial"/>
          <w:sz w:val="22"/>
          <w:szCs w:val="22"/>
        </w:rPr>
      </w:pPr>
      <w:r w:rsidRPr="00353FF1">
        <w:rPr>
          <w:rFonts w:ascii="Arial" w:hAnsi="Arial" w:cs="Arial"/>
          <w:sz w:val="22"/>
          <w:szCs w:val="22"/>
          <w:u w:val="single"/>
        </w:rPr>
        <w:t>Section 73.17(</w:t>
      </w:r>
      <w:r>
        <w:rPr>
          <w:rFonts w:ascii="Arial" w:hAnsi="Arial" w:cs="Arial"/>
          <w:sz w:val="22"/>
          <w:szCs w:val="22"/>
          <w:u w:val="single"/>
        </w:rPr>
        <w:t>f</w:t>
      </w:r>
      <w:r w:rsidRPr="00353FF1">
        <w:rPr>
          <w:rFonts w:ascii="Arial" w:hAnsi="Arial" w:cs="Arial"/>
          <w:sz w:val="22"/>
          <w:szCs w:val="22"/>
          <w:u w:val="single"/>
        </w:rPr>
        <w:t xml:space="preserve">) </w:t>
      </w:r>
      <w:r w:rsidRPr="00353FF1">
        <w:rPr>
          <w:rFonts w:ascii="Arial" w:hAnsi="Arial" w:cs="Arial"/>
          <w:sz w:val="22"/>
          <w:szCs w:val="22"/>
        </w:rPr>
        <w:t xml:space="preserve">requires periodic firearms background checks for security personnel whose duties require access to covered weapons at least </w:t>
      </w:r>
      <w:r>
        <w:rPr>
          <w:rFonts w:ascii="Arial" w:hAnsi="Arial" w:cs="Arial"/>
          <w:sz w:val="22"/>
          <w:szCs w:val="22"/>
        </w:rPr>
        <w:t xml:space="preserve">once </w:t>
      </w:r>
      <w:r w:rsidRPr="00353FF1">
        <w:rPr>
          <w:rFonts w:ascii="Arial" w:hAnsi="Arial" w:cs="Arial"/>
          <w:sz w:val="22"/>
          <w:szCs w:val="22"/>
        </w:rPr>
        <w:t xml:space="preserve">every 5 years.  This represents a change from the original proposed rule, which required background checks </w:t>
      </w:r>
      <w:r>
        <w:rPr>
          <w:rFonts w:ascii="Arial" w:hAnsi="Arial" w:cs="Arial"/>
          <w:sz w:val="22"/>
          <w:szCs w:val="22"/>
        </w:rPr>
        <w:t xml:space="preserve">at least once </w:t>
      </w:r>
      <w:r w:rsidRPr="00353FF1">
        <w:rPr>
          <w:rFonts w:ascii="Arial" w:hAnsi="Arial" w:cs="Arial"/>
          <w:sz w:val="22"/>
          <w:szCs w:val="22"/>
        </w:rPr>
        <w:t>every 3 years.  This change would result in no additional burden</w:t>
      </w:r>
      <w:r>
        <w:rPr>
          <w:rFonts w:ascii="Arial" w:hAnsi="Arial" w:cs="Arial"/>
          <w:sz w:val="22"/>
          <w:szCs w:val="22"/>
        </w:rPr>
        <w:t xml:space="preserve"> since the 7 affected licensees are already accomplishing periodic firearms background checks in accordance with the terms of their confirmatory orders, which require periodic checks at least once every 5 years.</w:t>
      </w:r>
    </w:p>
    <w:p w:rsidR="007146A2" w:rsidP="00577D64" w:rsidRDefault="007146A2" w14:paraId="4E168F9A" w14:textId="77777777">
      <w:pPr>
        <w:widowControl/>
        <w:ind w:left="720"/>
        <w:rPr>
          <w:rFonts w:ascii="Arial" w:hAnsi="Arial" w:cs="Arial"/>
          <w:sz w:val="22"/>
          <w:szCs w:val="22"/>
          <w:u w:val="single"/>
        </w:rPr>
      </w:pPr>
    </w:p>
    <w:p w:rsidRPr="00353FF1" w:rsidR="009D6D83" w:rsidP="00577D64" w:rsidRDefault="001201E1" w14:paraId="34BF09FF" w14:textId="77777777">
      <w:pPr>
        <w:widowControl/>
        <w:ind w:left="720"/>
        <w:rPr>
          <w:rFonts w:ascii="Arial" w:hAnsi="Arial" w:cs="Arial"/>
          <w:sz w:val="22"/>
          <w:szCs w:val="22"/>
        </w:rPr>
      </w:pPr>
      <w:r w:rsidRPr="00353FF1">
        <w:rPr>
          <w:rFonts w:ascii="Arial" w:hAnsi="Arial" w:cs="Arial"/>
          <w:sz w:val="22"/>
          <w:szCs w:val="22"/>
          <w:u w:val="single"/>
        </w:rPr>
        <w:t xml:space="preserve">Section </w:t>
      </w:r>
      <w:r w:rsidRPr="00353FF1" w:rsidR="0007735A">
        <w:rPr>
          <w:rFonts w:ascii="Arial" w:hAnsi="Arial" w:cs="Arial"/>
          <w:sz w:val="22"/>
          <w:szCs w:val="22"/>
          <w:u w:val="single"/>
        </w:rPr>
        <w:t>73.17</w:t>
      </w:r>
      <w:r w:rsidRPr="00353FF1" w:rsidR="00BB1506">
        <w:rPr>
          <w:rFonts w:ascii="Arial" w:hAnsi="Arial" w:cs="Arial"/>
          <w:sz w:val="22"/>
          <w:szCs w:val="22"/>
          <w:u w:val="single"/>
        </w:rPr>
        <w:t>(k</w:t>
      </w:r>
      <w:r w:rsidRPr="00353FF1" w:rsidR="006F08B3">
        <w:rPr>
          <w:rFonts w:ascii="Arial" w:hAnsi="Arial" w:cs="Arial"/>
          <w:sz w:val="22"/>
          <w:szCs w:val="22"/>
          <w:u w:val="single"/>
        </w:rPr>
        <w:t>)(1)</w:t>
      </w:r>
      <w:r w:rsidRPr="00353FF1" w:rsidR="006F08B3">
        <w:rPr>
          <w:rFonts w:ascii="Arial" w:hAnsi="Arial" w:cs="Arial"/>
          <w:sz w:val="22"/>
          <w:szCs w:val="22"/>
        </w:rPr>
        <w:t xml:space="preserve"> requires licensees to submit to the NRC one completed, legible standard fingerprint card for </w:t>
      </w:r>
      <w:proofErr w:type="gramStart"/>
      <w:r w:rsidRPr="00353FF1" w:rsidR="006F08B3">
        <w:rPr>
          <w:rFonts w:ascii="Arial" w:hAnsi="Arial" w:cs="Arial"/>
          <w:sz w:val="22"/>
          <w:szCs w:val="22"/>
        </w:rPr>
        <w:t>each individual</w:t>
      </w:r>
      <w:proofErr w:type="gramEnd"/>
      <w:r w:rsidRPr="00353FF1" w:rsidR="006F08B3">
        <w:rPr>
          <w:rFonts w:ascii="Arial" w:hAnsi="Arial" w:cs="Arial"/>
          <w:sz w:val="22"/>
          <w:szCs w:val="22"/>
        </w:rPr>
        <w:t xml:space="preserve"> requiring a firearms background check.</w:t>
      </w:r>
    </w:p>
    <w:p w:rsidRPr="00353FF1" w:rsidR="009D6D83" w:rsidP="00577D64" w:rsidRDefault="009D6D83" w14:paraId="1FEF38DB" w14:textId="77777777">
      <w:pPr>
        <w:widowControl/>
        <w:ind w:left="720"/>
        <w:rPr>
          <w:rFonts w:ascii="Arial" w:hAnsi="Arial" w:cs="Arial"/>
          <w:sz w:val="22"/>
          <w:szCs w:val="22"/>
          <w:u w:val="single"/>
        </w:rPr>
      </w:pPr>
    </w:p>
    <w:p w:rsidRPr="00353FF1" w:rsidR="009D6D83" w:rsidP="00577D64" w:rsidRDefault="001201E1" w14:paraId="3764EC65" w14:textId="1647E505">
      <w:pPr>
        <w:widowControl/>
        <w:ind w:left="720"/>
        <w:rPr>
          <w:rFonts w:ascii="Arial" w:hAnsi="Arial" w:cs="Arial"/>
          <w:sz w:val="22"/>
          <w:szCs w:val="22"/>
        </w:rPr>
      </w:pPr>
      <w:r w:rsidRPr="00353FF1">
        <w:rPr>
          <w:rFonts w:ascii="Arial" w:hAnsi="Arial" w:cs="Arial"/>
          <w:sz w:val="22"/>
          <w:szCs w:val="22"/>
          <w:u w:val="single"/>
        </w:rPr>
        <w:t xml:space="preserve">Section </w:t>
      </w:r>
      <w:r w:rsidRPr="00353FF1" w:rsidR="0007735A">
        <w:rPr>
          <w:rFonts w:ascii="Arial" w:hAnsi="Arial" w:cs="Arial"/>
          <w:sz w:val="22"/>
          <w:szCs w:val="22"/>
          <w:u w:val="single"/>
        </w:rPr>
        <w:t>73.17</w:t>
      </w:r>
      <w:r w:rsidRPr="00353FF1" w:rsidR="00706AF4">
        <w:rPr>
          <w:rFonts w:ascii="Arial" w:hAnsi="Arial" w:cs="Arial"/>
          <w:sz w:val="22"/>
          <w:szCs w:val="22"/>
          <w:u w:val="single"/>
        </w:rPr>
        <w:t>(k</w:t>
      </w:r>
      <w:r w:rsidRPr="00353FF1" w:rsidR="006F08B3">
        <w:rPr>
          <w:rFonts w:ascii="Arial" w:hAnsi="Arial" w:cs="Arial"/>
          <w:sz w:val="22"/>
          <w:szCs w:val="22"/>
          <w:u w:val="single"/>
        </w:rPr>
        <w:t>)(2)</w:t>
      </w:r>
      <w:r w:rsidRPr="00353FF1" w:rsidR="006F08B3">
        <w:rPr>
          <w:rFonts w:ascii="Arial" w:hAnsi="Arial" w:cs="Arial"/>
          <w:sz w:val="22"/>
          <w:szCs w:val="22"/>
        </w:rPr>
        <w:t xml:space="preserve"> requires licensees to indicate on the fingerprint card or other fingerprint record that the purpose for this fingerprint check is the accomplishment of a firearms background check.</w:t>
      </w:r>
      <w:r w:rsidR="00442BD8">
        <w:rPr>
          <w:rFonts w:ascii="Arial" w:hAnsi="Arial" w:cs="Arial"/>
          <w:sz w:val="22"/>
          <w:szCs w:val="22"/>
        </w:rPr>
        <w:t xml:space="preserve">  Licensees may indicate that the fingerprints are being submitted to accomplish a firearms background check, by itself, or </w:t>
      </w:r>
      <w:r w:rsidR="0014577F">
        <w:rPr>
          <w:rFonts w:ascii="Arial" w:hAnsi="Arial" w:cs="Arial"/>
          <w:sz w:val="22"/>
          <w:szCs w:val="22"/>
        </w:rPr>
        <w:t>to accomplish</w:t>
      </w:r>
      <w:r w:rsidR="00442BD8">
        <w:rPr>
          <w:rFonts w:ascii="Arial" w:hAnsi="Arial" w:cs="Arial"/>
          <w:sz w:val="22"/>
          <w:szCs w:val="22"/>
        </w:rPr>
        <w:t xml:space="preserve"> both a firearms background check and an access authorization check.</w:t>
      </w:r>
    </w:p>
    <w:p w:rsidRPr="00353FF1" w:rsidR="009D6D83" w:rsidP="00577D64" w:rsidRDefault="009D6D83" w14:paraId="35CDB96E" w14:textId="77777777">
      <w:pPr>
        <w:widowControl/>
        <w:ind w:left="720"/>
        <w:rPr>
          <w:rFonts w:ascii="Arial" w:hAnsi="Arial" w:cs="Arial"/>
          <w:sz w:val="22"/>
          <w:szCs w:val="22"/>
          <w:u w:val="single"/>
        </w:rPr>
      </w:pPr>
    </w:p>
    <w:p w:rsidRPr="00353FF1" w:rsidR="009D6D83" w:rsidP="00577D64" w:rsidRDefault="001201E1" w14:paraId="304F8987" w14:textId="77777777">
      <w:pPr>
        <w:widowControl/>
        <w:ind w:left="720"/>
        <w:rPr>
          <w:rFonts w:ascii="Arial" w:hAnsi="Arial" w:cs="Arial"/>
          <w:sz w:val="22"/>
          <w:szCs w:val="22"/>
        </w:rPr>
      </w:pPr>
      <w:r w:rsidRPr="00353FF1">
        <w:rPr>
          <w:rFonts w:ascii="Arial" w:hAnsi="Arial" w:cs="Arial"/>
          <w:sz w:val="22"/>
          <w:szCs w:val="22"/>
          <w:u w:val="single"/>
        </w:rPr>
        <w:t xml:space="preserve">Section </w:t>
      </w:r>
      <w:r w:rsidRPr="00353FF1" w:rsidR="0007735A">
        <w:rPr>
          <w:rFonts w:ascii="Arial" w:hAnsi="Arial" w:cs="Arial"/>
          <w:sz w:val="22"/>
          <w:szCs w:val="22"/>
          <w:u w:val="single"/>
        </w:rPr>
        <w:t>73.17</w:t>
      </w:r>
      <w:r w:rsidRPr="00353FF1" w:rsidR="00706AF4">
        <w:rPr>
          <w:rFonts w:ascii="Arial" w:hAnsi="Arial" w:cs="Arial"/>
          <w:sz w:val="22"/>
          <w:szCs w:val="22"/>
          <w:u w:val="single"/>
        </w:rPr>
        <w:t>(k</w:t>
      </w:r>
      <w:r w:rsidRPr="00353FF1" w:rsidR="006F08B3">
        <w:rPr>
          <w:rFonts w:ascii="Arial" w:hAnsi="Arial" w:cs="Arial"/>
          <w:sz w:val="22"/>
          <w:szCs w:val="22"/>
          <w:u w:val="single"/>
        </w:rPr>
        <w:t>)(4)</w:t>
      </w:r>
      <w:r w:rsidRPr="00353FF1" w:rsidR="006F08B3">
        <w:rPr>
          <w:rFonts w:ascii="Arial" w:hAnsi="Arial" w:cs="Arial"/>
          <w:sz w:val="22"/>
          <w:szCs w:val="22"/>
        </w:rPr>
        <w:t xml:space="preserve"> </w:t>
      </w:r>
      <w:r w:rsidRPr="00353FF1" w:rsidR="00706AF4">
        <w:rPr>
          <w:rFonts w:ascii="Arial" w:hAnsi="Arial" w:cs="Arial"/>
          <w:sz w:val="22"/>
          <w:szCs w:val="22"/>
        </w:rPr>
        <w:t>states that the NRC will review the fingerprint cards for completeness.  L</w:t>
      </w:r>
      <w:r w:rsidRPr="00353FF1" w:rsidR="006F08B3">
        <w:rPr>
          <w:rFonts w:ascii="Arial" w:hAnsi="Arial" w:cs="Arial"/>
          <w:sz w:val="22"/>
          <w:szCs w:val="22"/>
        </w:rPr>
        <w:t xml:space="preserve">icensees </w:t>
      </w:r>
      <w:r w:rsidRPr="00353FF1" w:rsidR="00706AF4">
        <w:rPr>
          <w:rFonts w:ascii="Arial" w:hAnsi="Arial" w:cs="Arial"/>
          <w:sz w:val="22"/>
          <w:szCs w:val="22"/>
        </w:rPr>
        <w:t xml:space="preserve">will </w:t>
      </w:r>
      <w:r w:rsidRPr="00353FF1" w:rsidR="006F08B3">
        <w:rPr>
          <w:rFonts w:ascii="Arial" w:hAnsi="Arial" w:cs="Arial"/>
          <w:sz w:val="22"/>
          <w:szCs w:val="22"/>
        </w:rPr>
        <w:t xml:space="preserve">re-submit fingerprint cards that </w:t>
      </w:r>
      <w:r w:rsidR="0075015C">
        <w:rPr>
          <w:rFonts w:ascii="Arial" w:hAnsi="Arial" w:cs="Arial"/>
          <w:sz w:val="22"/>
          <w:szCs w:val="22"/>
        </w:rPr>
        <w:t xml:space="preserve">are illegible or </w:t>
      </w:r>
      <w:r w:rsidRPr="00353FF1" w:rsidR="006F08B3">
        <w:rPr>
          <w:rFonts w:ascii="Arial" w:hAnsi="Arial" w:cs="Arial"/>
          <w:sz w:val="22"/>
          <w:szCs w:val="22"/>
        </w:rPr>
        <w:t>contain omissions or evident errors.</w:t>
      </w:r>
    </w:p>
    <w:p w:rsidRPr="00A32597" w:rsidR="009E01C7" w:rsidP="00577D64" w:rsidRDefault="009E01C7" w14:paraId="765BCE57" w14:textId="77777777">
      <w:pPr>
        <w:widowControl/>
        <w:ind w:left="720"/>
        <w:rPr>
          <w:rFonts w:ascii="Arial" w:hAnsi="Arial" w:cs="Arial"/>
          <w:sz w:val="22"/>
          <w:szCs w:val="22"/>
          <w:u w:val="single"/>
        </w:rPr>
      </w:pPr>
    </w:p>
    <w:p w:rsidRPr="00A32597" w:rsidR="002B1B50" w:rsidP="00777CB0" w:rsidRDefault="002B1B50" w14:paraId="3B07D8B1" w14:textId="77777777">
      <w:pPr>
        <w:keepNext/>
        <w:keepLines/>
        <w:widowControl/>
        <w:tabs>
          <w:tab w:val="left" w:pos="-1440"/>
        </w:tabs>
        <w:ind w:left="1440" w:hanging="720"/>
        <w:rPr>
          <w:rFonts w:ascii="Arial" w:hAnsi="Arial" w:cs="Arial"/>
          <w:sz w:val="22"/>
          <w:szCs w:val="22"/>
          <w:u w:val="single"/>
        </w:rPr>
      </w:pPr>
      <w:r w:rsidRPr="00A32597">
        <w:rPr>
          <w:rFonts w:ascii="Arial" w:hAnsi="Arial" w:cs="Arial"/>
          <w:sz w:val="22"/>
          <w:szCs w:val="22"/>
        </w:rPr>
        <w:t>2.</w:t>
      </w:r>
      <w:r w:rsidRPr="00A32597">
        <w:rPr>
          <w:rFonts w:ascii="Arial" w:hAnsi="Arial" w:cs="Arial"/>
          <w:sz w:val="22"/>
          <w:szCs w:val="22"/>
        </w:rPr>
        <w:tab/>
      </w:r>
      <w:r w:rsidRPr="00A32597">
        <w:rPr>
          <w:rFonts w:ascii="Arial" w:hAnsi="Arial" w:cs="Arial"/>
          <w:sz w:val="22"/>
          <w:szCs w:val="22"/>
          <w:u w:val="single"/>
        </w:rPr>
        <w:t>Agency Use of the Information</w:t>
      </w:r>
    </w:p>
    <w:p w:rsidRPr="00A32597" w:rsidR="002B1B50" w:rsidP="00777CB0" w:rsidRDefault="002B1B50" w14:paraId="3710C628" w14:textId="77777777">
      <w:pPr>
        <w:keepNext/>
        <w:keepLines/>
        <w:widowControl/>
        <w:rPr>
          <w:rFonts w:ascii="Arial" w:hAnsi="Arial" w:cs="Arial"/>
          <w:sz w:val="22"/>
          <w:szCs w:val="22"/>
          <w:u w:val="single"/>
        </w:rPr>
      </w:pPr>
    </w:p>
    <w:p w:rsidRPr="00A32597" w:rsidR="00C119BE" w:rsidP="00777CB0" w:rsidRDefault="002B1B50" w14:paraId="198ECDCA" w14:textId="062DEA16">
      <w:pPr>
        <w:keepNext/>
        <w:keepLines/>
        <w:widowControl/>
        <w:ind w:left="720"/>
        <w:rPr>
          <w:rFonts w:ascii="Arial" w:hAnsi="Arial" w:cs="Arial"/>
          <w:sz w:val="22"/>
          <w:szCs w:val="22"/>
        </w:rPr>
      </w:pPr>
      <w:r w:rsidRPr="00A32597">
        <w:rPr>
          <w:rFonts w:ascii="Arial" w:hAnsi="Arial" w:cs="Arial"/>
          <w:sz w:val="22"/>
          <w:szCs w:val="22"/>
        </w:rPr>
        <w:t xml:space="preserve">The information included in </w:t>
      </w:r>
      <w:r w:rsidR="00C257D7">
        <w:rPr>
          <w:rFonts w:ascii="Arial" w:hAnsi="Arial" w:cs="Arial"/>
          <w:sz w:val="22"/>
          <w:szCs w:val="22"/>
        </w:rPr>
        <w:t>NRC Form 754</w:t>
      </w:r>
      <w:r w:rsidRPr="00A32597">
        <w:rPr>
          <w:rFonts w:ascii="Arial" w:hAnsi="Arial" w:cs="Arial"/>
          <w:sz w:val="22"/>
          <w:szCs w:val="22"/>
        </w:rPr>
        <w:t xml:space="preserve"> is forwarded to the FBI to determine if an individual is prohibited under Federal or State law from possessing or receiving </w:t>
      </w:r>
      <w:r w:rsidR="00463848">
        <w:rPr>
          <w:rFonts w:ascii="Arial" w:hAnsi="Arial" w:cs="Arial"/>
          <w:sz w:val="22"/>
          <w:szCs w:val="22"/>
        </w:rPr>
        <w:t>covered weapons</w:t>
      </w:r>
      <w:r w:rsidRPr="00A32597">
        <w:rPr>
          <w:rFonts w:ascii="Arial" w:hAnsi="Arial" w:cs="Arial"/>
          <w:sz w:val="22"/>
          <w:szCs w:val="22"/>
        </w:rPr>
        <w:t>.</w:t>
      </w:r>
    </w:p>
    <w:p w:rsidRPr="00A32597" w:rsidR="002B1B50" w:rsidP="00577D64" w:rsidRDefault="002B1B50" w14:paraId="16798F62" w14:textId="77777777">
      <w:pPr>
        <w:widowControl/>
        <w:rPr>
          <w:rFonts w:ascii="Arial" w:hAnsi="Arial" w:cs="Arial"/>
          <w:sz w:val="22"/>
          <w:szCs w:val="22"/>
        </w:rPr>
      </w:pPr>
    </w:p>
    <w:p w:rsidRPr="00A32597" w:rsidR="002B1B50" w:rsidP="00577D64" w:rsidRDefault="002B1B50" w14:paraId="507E63A3" w14:textId="77777777">
      <w:pPr>
        <w:widowControl/>
        <w:tabs>
          <w:tab w:val="left" w:pos="-1440"/>
        </w:tabs>
        <w:ind w:left="1440" w:hanging="720"/>
        <w:rPr>
          <w:rFonts w:ascii="Arial" w:hAnsi="Arial" w:cs="Arial"/>
          <w:sz w:val="22"/>
          <w:szCs w:val="22"/>
        </w:rPr>
      </w:pPr>
      <w:r w:rsidRPr="00A32597">
        <w:rPr>
          <w:rFonts w:ascii="Arial" w:hAnsi="Arial" w:cs="Arial"/>
          <w:sz w:val="22"/>
          <w:szCs w:val="22"/>
        </w:rPr>
        <w:t>3.</w:t>
      </w:r>
      <w:r w:rsidRPr="00A32597">
        <w:rPr>
          <w:rFonts w:ascii="Arial" w:hAnsi="Arial" w:cs="Arial"/>
          <w:sz w:val="22"/>
          <w:szCs w:val="22"/>
        </w:rPr>
        <w:tab/>
      </w:r>
      <w:r w:rsidRPr="00A32597">
        <w:rPr>
          <w:rFonts w:ascii="Arial" w:hAnsi="Arial" w:cs="Arial"/>
          <w:sz w:val="22"/>
          <w:szCs w:val="22"/>
          <w:u w:val="single"/>
        </w:rPr>
        <w:t>Reduction of Burden Through Information Technology</w:t>
      </w:r>
    </w:p>
    <w:p w:rsidRPr="00A32597" w:rsidR="002B1B50" w:rsidP="00577D64" w:rsidRDefault="002B1B50" w14:paraId="1BC15788" w14:textId="77777777">
      <w:pPr>
        <w:widowControl/>
        <w:rPr>
          <w:rFonts w:ascii="Arial" w:hAnsi="Arial" w:cs="Arial"/>
          <w:sz w:val="22"/>
          <w:szCs w:val="22"/>
        </w:rPr>
      </w:pPr>
    </w:p>
    <w:p w:rsidRPr="00F00DAC" w:rsidR="0012621A" w:rsidP="008B02A1" w:rsidRDefault="0012621A" w14:paraId="6347C4C9" w14:textId="7B080A65">
      <w:pPr>
        <w:ind w:left="720"/>
        <w:rPr>
          <w:rFonts w:ascii="Arial" w:hAnsi="Arial" w:cs="Arial"/>
          <w:sz w:val="22"/>
          <w:szCs w:val="22"/>
        </w:rPr>
      </w:pPr>
      <w:r w:rsidRPr="00F00DAC">
        <w:rPr>
          <w:rFonts w:ascii="Arial" w:hAnsi="Arial" w:cs="Arial"/>
          <w:sz w:val="22"/>
          <w:szCs w:val="22"/>
        </w:rPr>
        <w:t xml:space="preserve">The NRC has issued </w:t>
      </w:r>
      <w:hyperlink w:history="1" r:id="rId12">
        <w:r w:rsidRPr="00F00DAC">
          <w:rPr>
            <w:rStyle w:val="Hyperlink"/>
            <w:rFonts w:ascii="Arial" w:hAnsi="Arial" w:cs="Arial"/>
            <w:i/>
            <w:sz w:val="22"/>
            <w:szCs w:val="22"/>
          </w:rPr>
          <w:t>Guidance for Electronic Submissions to the NRC</w:t>
        </w:r>
      </w:hyperlink>
      <w:r w:rsidRPr="00F00DAC">
        <w:rPr>
          <w:rFonts w:ascii="Arial" w:hAnsi="Arial" w:cs="Arial"/>
          <w:sz w:val="22"/>
          <w:szCs w:val="22"/>
        </w:rPr>
        <w:t xml:space="preserve"> which provides direction for the electronic transmission and submittal of documents to the NRC.  </w:t>
      </w:r>
      <w:r w:rsidRPr="00F00DAC" w:rsidR="008B02A1">
        <w:rPr>
          <w:rFonts w:ascii="Arial" w:hAnsi="Arial" w:cs="Arial"/>
          <w:sz w:val="22"/>
          <w:szCs w:val="22"/>
        </w:rPr>
        <w:t>Unsecure e</w:t>
      </w:r>
      <w:r w:rsidRPr="00F00DAC">
        <w:rPr>
          <w:rFonts w:ascii="Arial" w:hAnsi="Arial" w:cs="Arial"/>
          <w:sz w:val="22"/>
          <w:szCs w:val="22"/>
        </w:rPr>
        <w:t xml:space="preserve">lectronic transmission and submittal of documents can be accomplished via the following </w:t>
      </w:r>
      <w:r w:rsidRPr="00F00DAC">
        <w:rPr>
          <w:rFonts w:ascii="Arial" w:hAnsi="Arial" w:cs="Arial"/>
          <w:sz w:val="22"/>
          <w:szCs w:val="22"/>
        </w:rPr>
        <w:lastRenderedPageBreak/>
        <w:t>avenues: the Electronic Information Exchange (EIE) process, which is available from the NRC's “Electronic Submittals” Web page, by Optical Storage Media (OSM) (</w:t>
      </w:r>
      <w:proofErr w:type="gramStart"/>
      <w:r w:rsidRPr="00F00DAC">
        <w:rPr>
          <w:rFonts w:ascii="Arial" w:hAnsi="Arial" w:cs="Arial"/>
          <w:sz w:val="22"/>
          <w:szCs w:val="22"/>
        </w:rPr>
        <w:t>e.g.</w:t>
      </w:r>
      <w:proofErr w:type="gramEnd"/>
      <w:r w:rsidRPr="00F00DAC">
        <w:rPr>
          <w:rFonts w:ascii="Arial" w:hAnsi="Arial" w:cs="Arial"/>
          <w:sz w:val="22"/>
          <w:szCs w:val="22"/>
        </w:rPr>
        <w:t xml:space="preserve"> CD-ROM, DVD), by </w:t>
      </w:r>
      <w:r w:rsidRPr="00F00DAC" w:rsidR="008B02A1">
        <w:rPr>
          <w:rFonts w:ascii="Arial" w:hAnsi="Arial" w:eastAsia="Calibri" w:cs="Arial"/>
          <w:sz w:val="22"/>
          <w:szCs w:val="22"/>
        </w:rPr>
        <w:t xml:space="preserve">facsimile, by e-mail, by </w:t>
      </w:r>
      <w:r w:rsidRPr="00F00DAC" w:rsidR="008B02A1">
        <w:rPr>
          <w:rFonts w:ascii="Arial" w:hAnsi="Arial" w:cs="Arial"/>
          <w:sz w:val="22"/>
          <w:szCs w:val="22"/>
        </w:rPr>
        <w:t>special Web-based interface, or by other means</w:t>
      </w:r>
      <w:r w:rsidRPr="00F00DAC">
        <w:rPr>
          <w:rFonts w:ascii="Arial" w:hAnsi="Arial" w:cs="Arial"/>
          <w:sz w:val="22"/>
          <w:szCs w:val="22"/>
        </w:rPr>
        <w:t xml:space="preserve">.  It is estimated that </w:t>
      </w:r>
      <w:r w:rsidRPr="00463848">
        <w:rPr>
          <w:rFonts w:ascii="Arial" w:hAnsi="Arial" w:cs="Arial"/>
          <w:sz w:val="22"/>
          <w:szCs w:val="22"/>
        </w:rPr>
        <w:t>approximately 100% of the potential</w:t>
      </w:r>
      <w:r w:rsidRPr="00F00DAC">
        <w:rPr>
          <w:rFonts w:ascii="Arial" w:hAnsi="Arial" w:cs="Arial"/>
          <w:sz w:val="22"/>
          <w:szCs w:val="22"/>
        </w:rPr>
        <w:t xml:space="preserve"> responses are filed electronically.</w:t>
      </w:r>
      <w:r w:rsidRPr="00F00DAC" w:rsidR="008B02A1">
        <w:rPr>
          <w:rFonts w:ascii="Arial" w:hAnsi="Arial" w:cs="Arial"/>
          <w:sz w:val="22"/>
          <w:szCs w:val="22"/>
        </w:rPr>
        <w:t xml:space="preserve"> However, because </w:t>
      </w:r>
      <w:r w:rsidR="00463848">
        <w:rPr>
          <w:rFonts w:ascii="Arial" w:hAnsi="Arial" w:cs="Arial"/>
          <w:sz w:val="22"/>
          <w:szCs w:val="22"/>
        </w:rPr>
        <w:t>the</w:t>
      </w:r>
      <w:r w:rsidRPr="00F00DAC" w:rsidR="008B02A1">
        <w:rPr>
          <w:rFonts w:ascii="Arial" w:hAnsi="Arial" w:cs="Arial"/>
          <w:sz w:val="22"/>
          <w:szCs w:val="22"/>
        </w:rPr>
        <w:t xml:space="preserve"> NRC Form 754 contain</w:t>
      </w:r>
      <w:r w:rsidR="00463848">
        <w:rPr>
          <w:rFonts w:ascii="Arial" w:hAnsi="Arial" w:cs="Arial"/>
          <w:sz w:val="22"/>
          <w:szCs w:val="22"/>
        </w:rPr>
        <w:t>s</w:t>
      </w:r>
      <w:r w:rsidRPr="00F00DAC" w:rsidR="008B02A1">
        <w:rPr>
          <w:rFonts w:ascii="Arial" w:hAnsi="Arial" w:cs="Arial"/>
          <w:sz w:val="22"/>
          <w:szCs w:val="22"/>
        </w:rPr>
        <w:t xml:space="preserve"> </w:t>
      </w:r>
      <w:r w:rsidR="00463848">
        <w:rPr>
          <w:rFonts w:ascii="Arial" w:hAnsi="Arial" w:cs="Arial"/>
          <w:sz w:val="22"/>
          <w:szCs w:val="22"/>
        </w:rPr>
        <w:t>PII</w:t>
      </w:r>
      <w:r w:rsidRPr="00F00DAC" w:rsidR="008B02A1">
        <w:rPr>
          <w:rFonts w:ascii="Arial" w:hAnsi="Arial" w:cs="Arial"/>
          <w:sz w:val="22"/>
          <w:szCs w:val="22"/>
        </w:rPr>
        <w:t xml:space="preserve">, any such electronic submittals must be made by secure </w:t>
      </w:r>
      <w:r w:rsidR="00463848">
        <w:rPr>
          <w:rFonts w:ascii="Arial" w:hAnsi="Arial" w:cs="Arial"/>
          <w:sz w:val="22"/>
          <w:szCs w:val="22"/>
        </w:rPr>
        <w:t xml:space="preserve">electronic </w:t>
      </w:r>
      <w:r w:rsidRPr="00F00DAC" w:rsidR="008B02A1">
        <w:rPr>
          <w:rFonts w:ascii="Arial" w:hAnsi="Arial" w:cs="Arial"/>
          <w:sz w:val="22"/>
          <w:szCs w:val="22"/>
        </w:rPr>
        <w:t>transmission.</w:t>
      </w:r>
    </w:p>
    <w:p w:rsidR="008E2E51" w:rsidP="00577D64" w:rsidRDefault="008E2E51" w14:paraId="53553EB1" w14:textId="77777777">
      <w:pPr>
        <w:widowControl/>
        <w:ind w:left="720"/>
        <w:rPr>
          <w:rFonts w:ascii="Arial" w:hAnsi="Arial" w:cs="Arial"/>
          <w:sz w:val="22"/>
          <w:szCs w:val="22"/>
        </w:rPr>
      </w:pPr>
    </w:p>
    <w:p w:rsidR="00615A2B" w:rsidP="00577D64" w:rsidRDefault="00615A2B" w14:paraId="0852E6D1" w14:textId="77777777">
      <w:pPr>
        <w:widowControl/>
        <w:ind w:left="720"/>
        <w:rPr>
          <w:rFonts w:ascii="Arial" w:hAnsi="Arial" w:cs="Arial"/>
          <w:sz w:val="22"/>
          <w:szCs w:val="22"/>
        </w:rPr>
      </w:pPr>
      <w:r>
        <w:rPr>
          <w:rFonts w:ascii="Arial" w:hAnsi="Arial" w:cs="Arial"/>
          <w:sz w:val="22"/>
          <w:szCs w:val="22"/>
        </w:rPr>
        <w:t xml:space="preserve">Section 73.17(e) permits licensees to consolidate information from multiple NRC Forms 754 into a single transmittal </w:t>
      </w:r>
      <w:r w:rsidR="00AB27BC">
        <w:rPr>
          <w:rFonts w:ascii="Arial" w:hAnsi="Arial" w:cs="Arial"/>
          <w:sz w:val="22"/>
          <w:szCs w:val="22"/>
        </w:rPr>
        <w:t xml:space="preserve">document </w:t>
      </w:r>
      <w:r>
        <w:rPr>
          <w:rFonts w:ascii="Arial" w:hAnsi="Arial" w:cs="Arial"/>
          <w:sz w:val="22"/>
          <w:szCs w:val="22"/>
        </w:rPr>
        <w:t>and to use electronic transmission methods.</w:t>
      </w:r>
    </w:p>
    <w:p w:rsidR="00615A2B" w:rsidP="00577D64" w:rsidRDefault="00615A2B" w14:paraId="6F6DA395" w14:textId="77777777">
      <w:pPr>
        <w:widowControl/>
        <w:ind w:left="720"/>
        <w:rPr>
          <w:rFonts w:ascii="Arial" w:hAnsi="Arial" w:cs="Arial"/>
          <w:sz w:val="22"/>
          <w:szCs w:val="22"/>
        </w:rPr>
      </w:pPr>
    </w:p>
    <w:p w:rsidRPr="00A32597" w:rsidR="008E2E51" w:rsidP="00577D64" w:rsidRDefault="003B1890" w14:paraId="5C298C27" w14:textId="7A9DD89C">
      <w:pPr>
        <w:widowControl/>
        <w:ind w:left="720"/>
        <w:rPr>
          <w:rFonts w:ascii="Arial" w:hAnsi="Arial" w:cs="Arial"/>
          <w:sz w:val="22"/>
          <w:szCs w:val="22"/>
        </w:rPr>
      </w:pPr>
      <w:r>
        <w:rPr>
          <w:rFonts w:ascii="Arial" w:hAnsi="Arial" w:cs="Arial"/>
          <w:sz w:val="22"/>
          <w:szCs w:val="22"/>
        </w:rPr>
        <w:t xml:space="preserve">Additionally, </w:t>
      </w:r>
      <w:r w:rsidR="008E2E51">
        <w:rPr>
          <w:rFonts w:ascii="Arial" w:hAnsi="Arial" w:cs="Arial"/>
          <w:sz w:val="22"/>
          <w:szCs w:val="22"/>
        </w:rPr>
        <w:t xml:space="preserve">the </w:t>
      </w:r>
      <w:r w:rsidR="00AF5A5E">
        <w:rPr>
          <w:rFonts w:ascii="Arial" w:hAnsi="Arial" w:cs="Arial"/>
          <w:sz w:val="22"/>
          <w:szCs w:val="22"/>
        </w:rPr>
        <w:t xml:space="preserve">requirement </w:t>
      </w:r>
      <w:r w:rsidRPr="00AB27BC" w:rsidR="00463848">
        <w:rPr>
          <w:rFonts w:ascii="Arial" w:hAnsi="Arial" w:cs="Arial"/>
          <w:sz w:val="22"/>
          <w:szCs w:val="22"/>
        </w:rPr>
        <w:t>§</w:t>
      </w:r>
      <w:r w:rsidR="00463848">
        <w:rPr>
          <w:rFonts w:ascii="Arial" w:hAnsi="Arial" w:cs="Arial"/>
          <w:sz w:val="22"/>
          <w:szCs w:val="22"/>
        </w:rPr>
        <w:t xml:space="preserve"> </w:t>
      </w:r>
      <w:r>
        <w:rPr>
          <w:rFonts w:ascii="Arial" w:hAnsi="Arial" w:cs="Arial"/>
          <w:sz w:val="22"/>
          <w:szCs w:val="22"/>
        </w:rPr>
        <w:t>73.17(b)(</w:t>
      </w:r>
      <w:r w:rsidR="00463848">
        <w:rPr>
          <w:rFonts w:ascii="Arial" w:hAnsi="Arial" w:cs="Arial"/>
          <w:sz w:val="22"/>
          <w:szCs w:val="22"/>
        </w:rPr>
        <w:t>9</w:t>
      </w:r>
      <w:r>
        <w:rPr>
          <w:rFonts w:ascii="Arial" w:hAnsi="Arial" w:cs="Arial"/>
          <w:sz w:val="22"/>
          <w:szCs w:val="22"/>
        </w:rPr>
        <w:t xml:space="preserve">) </w:t>
      </w:r>
      <w:r w:rsidR="00AF5A5E">
        <w:rPr>
          <w:rFonts w:ascii="Arial" w:hAnsi="Arial" w:cs="Arial"/>
          <w:sz w:val="22"/>
          <w:szCs w:val="22"/>
        </w:rPr>
        <w:t xml:space="preserve">to conduct a </w:t>
      </w:r>
      <w:r w:rsidR="00463848">
        <w:rPr>
          <w:rFonts w:ascii="Arial" w:hAnsi="Arial" w:cs="Arial"/>
          <w:sz w:val="22"/>
          <w:szCs w:val="22"/>
        </w:rPr>
        <w:t>break-</w:t>
      </w:r>
      <w:r w:rsidR="008E2E51">
        <w:rPr>
          <w:rFonts w:ascii="Arial" w:hAnsi="Arial" w:cs="Arial"/>
          <w:sz w:val="22"/>
          <w:szCs w:val="22"/>
        </w:rPr>
        <w:t>in</w:t>
      </w:r>
      <w:r w:rsidR="00463848">
        <w:rPr>
          <w:rFonts w:ascii="Arial" w:hAnsi="Arial" w:cs="Arial"/>
          <w:sz w:val="22"/>
          <w:szCs w:val="22"/>
        </w:rPr>
        <w:t>-</w:t>
      </w:r>
      <w:r w:rsidR="008E2E51">
        <w:rPr>
          <w:rFonts w:ascii="Arial" w:hAnsi="Arial" w:cs="Arial"/>
          <w:sz w:val="22"/>
          <w:szCs w:val="22"/>
        </w:rPr>
        <w:t>service firearms background check</w:t>
      </w:r>
      <w:r>
        <w:rPr>
          <w:rFonts w:ascii="Arial" w:hAnsi="Arial" w:cs="Arial"/>
          <w:sz w:val="22"/>
          <w:szCs w:val="22"/>
        </w:rPr>
        <w:t>,</w:t>
      </w:r>
      <w:r w:rsidR="00AF5A5E">
        <w:rPr>
          <w:rFonts w:ascii="Arial" w:hAnsi="Arial" w:cs="Arial"/>
          <w:sz w:val="22"/>
          <w:szCs w:val="22"/>
        </w:rPr>
        <w:t xml:space="preserve"> if the individual has a break in service of greater than 1 week, </w:t>
      </w:r>
      <w:r w:rsidR="0031221A">
        <w:rPr>
          <w:rFonts w:ascii="Arial" w:hAnsi="Arial" w:cs="Arial"/>
          <w:sz w:val="22"/>
          <w:szCs w:val="22"/>
        </w:rPr>
        <w:t xml:space="preserve">provides licensees </w:t>
      </w:r>
      <w:r w:rsidR="00AF5A5E">
        <w:rPr>
          <w:rFonts w:ascii="Arial" w:hAnsi="Arial" w:cs="Arial"/>
          <w:sz w:val="22"/>
          <w:szCs w:val="22"/>
        </w:rPr>
        <w:t xml:space="preserve">an exception from conducting a new firearms background check provided the licensee can verify via an “industry-wide information sharing database” that the individual has completed a satisfactory firearms background check within the previous 12 months.  However, the </w:t>
      </w:r>
      <w:r>
        <w:rPr>
          <w:rFonts w:ascii="Arial" w:hAnsi="Arial" w:cs="Arial"/>
          <w:sz w:val="22"/>
          <w:szCs w:val="22"/>
        </w:rPr>
        <w:t xml:space="preserve">exception requires that the </w:t>
      </w:r>
      <w:r w:rsidR="00AF5A5E">
        <w:rPr>
          <w:rFonts w:ascii="Arial" w:hAnsi="Arial" w:cs="Arial"/>
          <w:sz w:val="22"/>
          <w:szCs w:val="22"/>
        </w:rPr>
        <w:t>previous firearms background check must include a duty station location where the licensee (who would otherwise be performing the firearms background check) is located.</w:t>
      </w:r>
    </w:p>
    <w:p w:rsidRPr="00A32597" w:rsidR="002B1B50" w:rsidP="00577D64" w:rsidRDefault="002B1B50" w14:paraId="40F2AC47" w14:textId="77777777">
      <w:pPr>
        <w:widowControl/>
        <w:ind w:left="720"/>
        <w:rPr>
          <w:rFonts w:ascii="Arial" w:hAnsi="Arial" w:cs="Arial"/>
          <w:sz w:val="22"/>
          <w:szCs w:val="22"/>
        </w:rPr>
      </w:pPr>
    </w:p>
    <w:p w:rsidRPr="00A32597" w:rsidR="002B1B50" w:rsidP="00577D64" w:rsidRDefault="002B1B50" w14:paraId="38C80027" w14:textId="77777777">
      <w:pPr>
        <w:widowControl/>
        <w:tabs>
          <w:tab w:val="left" w:pos="-1440"/>
        </w:tabs>
        <w:ind w:left="1440" w:hanging="720"/>
        <w:rPr>
          <w:rFonts w:ascii="Arial" w:hAnsi="Arial" w:cs="Arial"/>
          <w:sz w:val="22"/>
          <w:szCs w:val="22"/>
        </w:rPr>
      </w:pPr>
      <w:r w:rsidRPr="00A32597">
        <w:rPr>
          <w:rFonts w:ascii="Arial" w:hAnsi="Arial" w:cs="Arial"/>
          <w:sz w:val="22"/>
          <w:szCs w:val="22"/>
        </w:rPr>
        <w:t>4.</w:t>
      </w:r>
      <w:r w:rsidRPr="00A32597">
        <w:rPr>
          <w:rFonts w:ascii="Arial" w:hAnsi="Arial" w:cs="Arial"/>
          <w:sz w:val="22"/>
          <w:szCs w:val="22"/>
        </w:rPr>
        <w:tab/>
      </w:r>
      <w:r w:rsidRPr="00A32597">
        <w:rPr>
          <w:rFonts w:ascii="Arial" w:hAnsi="Arial" w:cs="Arial"/>
          <w:sz w:val="22"/>
          <w:szCs w:val="22"/>
          <w:u w:val="single"/>
        </w:rPr>
        <w:t>Effort to Identify Duplication and Use Similar Information</w:t>
      </w:r>
    </w:p>
    <w:p w:rsidRPr="00A32597" w:rsidR="002B1B50" w:rsidP="00577D64" w:rsidRDefault="002B1B50" w14:paraId="6BBAA245" w14:textId="77777777">
      <w:pPr>
        <w:widowControl/>
        <w:rPr>
          <w:rFonts w:ascii="Arial" w:hAnsi="Arial" w:cs="Arial"/>
          <w:sz w:val="22"/>
          <w:szCs w:val="22"/>
        </w:rPr>
      </w:pPr>
    </w:p>
    <w:p w:rsidR="00A243B4" w:rsidP="00577D64" w:rsidRDefault="000F7012" w14:paraId="71F0238E" w14:textId="77777777">
      <w:pPr>
        <w:widowControl/>
        <w:ind w:left="720"/>
        <w:rPr>
          <w:rFonts w:ascii="Arial" w:hAnsi="Arial" w:cs="Arial"/>
          <w:sz w:val="22"/>
          <w:szCs w:val="22"/>
        </w:rPr>
      </w:pPr>
      <w:r w:rsidRPr="000F7012">
        <w:rPr>
          <w:rFonts w:ascii="Arial" w:hAnsi="Arial" w:cs="Arial"/>
          <w:sz w:val="22"/>
          <w:szCs w:val="22"/>
        </w:rPr>
        <w:t xml:space="preserve">No sources of similar information are available.  There is no duplication of requirements.  </w:t>
      </w:r>
    </w:p>
    <w:p w:rsidRPr="00A32597" w:rsidR="000F7012" w:rsidP="00577D64" w:rsidRDefault="000F7012" w14:paraId="2490ED68" w14:textId="77777777">
      <w:pPr>
        <w:widowControl/>
        <w:ind w:left="720"/>
        <w:rPr>
          <w:rFonts w:ascii="Arial" w:hAnsi="Arial" w:cs="Arial"/>
          <w:sz w:val="22"/>
          <w:szCs w:val="22"/>
        </w:rPr>
      </w:pPr>
    </w:p>
    <w:p w:rsidR="00EC3361" w:rsidP="00577D64" w:rsidRDefault="002B1B50" w14:paraId="66F07B22" w14:textId="42E48DCD">
      <w:pPr>
        <w:widowControl/>
        <w:ind w:left="720"/>
        <w:rPr>
          <w:rFonts w:ascii="Arial" w:hAnsi="Arial" w:cs="Arial"/>
          <w:sz w:val="22"/>
          <w:szCs w:val="22"/>
        </w:rPr>
      </w:pPr>
      <w:r w:rsidRPr="00A32597">
        <w:rPr>
          <w:rFonts w:ascii="Arial" w:hAnsi="Arial" w:cs="Arial"/>
          <w:sz w:val="22"/>
          <w:szCs w:val="22"/>
        </w:rPr>
        <w:t xml:space="preserve">NRC Form 754 records maintained by licensees </w:t>
      </w:r>
      <w:r w:rsidRPr="00A32597" w:rsidR="00C119BE">
        <w:rPr>
          <w:rFonts w:ascii="Arial" w:hAnsi="Arial" w:cs="Arial"/>
          <w:color w:val="000000"/>
          <w:sz w:val="22"/>
          <w:szCs w:val="22"/>
        </w:rPr>
        <w:t xml:space="preserve">are </w:t>
      </w:r>
      <w:r w:rsidRPr="00A32597">
        <w:rPr>
          <w:rFonts w:ascii="Arial" w:hAnsi="Arial" w:cs="Arial"/>
          <w:sz w:val="22"/>
          <w:szCs w:val="22"/>
        </w:rPr>
        <w:t>not duplicated by other Federal information collection requirements</w:t>
      </w:r>
      <w:r w:rsidR="006C7F9E">
        <w:rPr>
          <w:rFonts w:ascii="Arial" w:hAnsi="Arial" w:cs="Arial"/>
          <w:sz w:val="22"/>
          <w:szCs w:val="22"/>
        </w:rPr>
        <w:t>, since they are applicable only to the provisions of Section 161A</w:t>
      </w:r>
      <w:r w:rsidR="00CD3A05">
        <w:rPr>
          <w:rFonts w:ascii="Arial" w:hAnsi="Arial" w:cs="Arial"/>
          <w:sz w:val="22"/>
          <w:szCs w:val="22"/>
        </w:rPr>
        <w:t>;</w:t>
      </w:r>
      <w:r w:rsidRPr="00A32597">
        <w:rPr>
          <w:rFonts w:ascii="Arial" w:hAnsi="Arial" w:cs="Arial"/>
          <w:sz w:val="22"/>
          <w:szCs w:val="22"/>
        </w:rPr>
        <w:t xml:space="preserve"> and </w:t>
      </w:r>
      <w:r w:rsidR="00CD3A05">
        <w:rPr>
          <w:rFonts w:ascii="Arial" w:hAnsi="Arial" w:cs="Arial"/>
          <w:sz w:val="22"/>
          <w:szCs w:val="22"/>
        </w:rPr>
        <w:t xml:space="preserve">therefore, </w:t>
      </w:r>
      <w:r w:rsidRPr="00A32597">
        <w:rPr>
          <w:rFonts w:ascii="Arial" w:hAnsi="Arial" w:cs="Arial"/>
          <w:sz w:val="22"/>
          <w:szCs w:val="22"/>
        </w:rPr>
        <w:t>would not be available from any other source.</w:t>
      </w:r>
    </w:p>
    <w:p w:rsidR="00050BDF" w:rsidP="00577D64" w:rsidRDefault="00050BDF" w14:paraId="32B0A4B7" w14:textId="77777777">
      <w:pPr>
        <w:widowControl/>
        <w:ind w:left="720"/>
        <w:rPr>
          <w:rFonts w:ascii="Arial" w:hAnsi="Arial"/>
          <w:sz w:val="22"/>
        </w:rPr>
      </w:pPr>
    </w:p>
    <w:p w:rsidR="00050BDF" w:rsidP="00577D64" w:rsidRDefault="00050BDF" w14:paraId="3DABC065" w14:textId="659BCA4E">
      <w:pPr>
        <w:widowControl/>
        <w:ind w:left="720"/>
        <w:rPr>
          <w:rFonts w:ascii="Arial" w:hAnsi="Arial" w:cs="Arial"/>
          <w:sz w:val="22"/>
          <w:szCs w:val="22"/>
        </w:rPr>
      </w:pPr>
      <w:r w:rsidRPr="00050BDF">
        <w:rPr>
          <w:rFonts w:ascii="Arial" w:hAnsi="Arial" w:cs="Arial"/>
          <w:sz w:val="22"/>
          <w:szCs w:val="22"/>
        </w:rPr>
        <w:t xml:space="preserve">Section </w:t>
      </w:r>
      <w:r w:rsidR="0007735A">
        <w:rPr>
          <w:rFonts w:ascii="Arial" w:hAnsi="Arial" w:cs="Arial"/>
          <w:sz w:val="22"/>
          <w:szCs w:val="22"/>
        </w:rPr>
        <w:t>73.17</w:t>
      </w:r>
      <w:r w:rsidRPr="00050BDF">
        <w:rPr>
          <w:rFonts w:ascii="Arial" w:hAnsi="Arial" w:cs="Arial"/>
          <w:sz w:val="22"/>
          <w:szCs w:val="22"/>
        </w:rPr>
        <w:t>(b)(</w:t>
      </w:r>
      <w:r w:rsidR="00B90BB2">
        <w:rPr>
          <w:rFonts w:ascii="Arial" w:hAnsi="Arial" w:cs="Arial"/>
          <w:sz w:val="22"/>
          <w:szCs w:val="22"/>
        </w:rPr>
        <w:t>1</w:t>
      </w:r>
      <w:r w:rsidR="00310AA1">
        <w:rPr>
          <w:rFonts w:ascii="Arial" w:hAnsi="Arial" w:cs="Arial"/>
          <w:sz w:val="22"/>
          <w:szCs w:val="22"/>
        </w:rPr>
        <w:t>2</w:t>
      </w:r>
      <w:r w:rsidRPr="00050BDF">
        <w:rPr>
          <w:rFonts w:ascii="Arial" w:hAnsi="Arial" w:cs="Arial"/>
          <w:sz w:val="22"/>
          <w:szCs w:val="22"/>
        </w:rPr>
        <w:t>)</w:t>
      </w:r>
      <w:r w:rsidRPr="00A32597">
        <w:rPr>
          <w:rFonts w:ascii="Arial" w:hAnsi="Arial" w:cs="Arial"/>
          <w:sz w:val="22"/>
          <w:szCs w:val="22"/>
        </w:rPr>
        <w:t xml:space="preserve"> </w:t>
      </w:r>
      <w:r>
        <w:rPr>
          <w:rFonts w:ascii="Arial" w:hAnsi="Arial" w:cs="Arial"/>
          <w:sz w:val="22"/>
          <w:szCs w:val="22"/>
        </w:rPr>
        <w:t xml:space="preserve">reduces duplication by stating that </w:t>
      </w:r>
      <w:proofErr w:type="gramStart"/>
      <w:r>
        <w:rPr>
          <w:rFonts w:ascii="Arial" w:hAnsi="Arial" w:cs="Arial"/>
          <w:sz w:val="22"/>
          <w:szCs w:val="22"/>
        </w:rPr>
        <w:t xml:space="preserve">that </w:t>
      </w:r>
      <w:r w:rsidRPr="00A32597">
        <w:rPr>
          <w:rFonts w:ascii="Arial" w:hAnsi="Arial" w:cs="Arial"/>
          <w:sz w:val="22"/>
          <w:szCs w:val="22"/>
        </w:rPr>
        <w:t>licensees</w:t>
      </w:r>
      <w:proofErr w:type="gramEnd"/>
      <w:r w:rsidRPr="00A32597">
        <w:rPr>
          <w:rFonts w:ascii="Arial" w:hAnsi="Arial" w:cs="Arial"/>
          <w:sz w:val="22"/>
          <w:szCs w:val="22"/>
        </w:rPr>
        <w:t xml:space="preserve"> that </w:t>
      </w:r>
      <w:r>
        <w:rPr>
          <w:rFonts w:ascii="Arial" w:hAnsi="Arial" w:cs="Arial"/>
          <w:sz w:val="22"/>
          <w:szCs w:val="22"/>
        </w:rPr>
        <w:t xml:space="preserve">conducted firearms background checks pursuant to a confirmatory order, do not need to repeat the </w:t>
      </w:r>
      <w:r w:rsidR="0031221A">
        <w:rPr>
          <w:rFonts w:ascii="Arial" w:hAnsi="Arial" w:cs="Arial"/>
          <w:sz w:val="22"/>
          <w:szCs w:val="22"/>
        </w:rPr>
        <w:t xml:space="preserve">initial firearms background </w:t>
      </w:r>
      <w:r>
        <w:rPr>
          <w:rFonts w:ascii="Arial" w:hAnsi="Arial" w:cs="Arial"/>
          <w:sz w:val="22"/>
          <w:szCs w:val="22"/>
        </w:rPr>
        <w:t xml:space="preserve">checks </w:t>
      </w:r>
      <w:r w:rsidR="006C7F9E">
        <w:rPr>
          <w:rFonts w:ascii="Arial" w:hAnsi="Arial" w:cs="Arial"/>
          <w:sz w:val="22"/>
          <w:szCs w:val="22"/>
        </w:rPr>
        <w:t>subsequent</w:t>
      </w:r>
      <w:r>
        <w:rPr>
          <w:rFonts w:ascii="Arial" w:hAnsi="Arial" w:cs="Arial"/>
          <w:sz w:val="22"/>
          <w:szCs w:val="22"/>
        </w:rPr>
        <w:t xml:space="preserve"> to </w:t>
      </w:r>
      <w:r w:rsidR="006C7F9E">
        <w:rPr>
          <w:rFonts w:ascii="Arial" w:hAnsi="Arial" w:cs="Arial"/>
          <w:sz w:val="22"/>
          <w:szCs w:val="22"/>
        </w:rPr>
        <w:t xml:space="preserve">the </w:t>
      </w:r>
      <w:r w:rsidR="00834F39">
        <w:rPr>
          <w:rFonts w:ascii="Arial" w:hAnsi="Arial" w:cs="Arial"/>
          <w:sz w:val="22"/>
          <w:szCs w:val="22"/>
        </w:rPr>
        <w:t>withdrawal</w:t>
      </w:r>
      <w:r>
        <w:rPr>
          <w:rFonts w:ascii="Arial" w:hAnsi="Arial" w:cs="Arial"/>
          <w:sz w:val="22"/>
          <w:szCs w:val="22"/>
        </w:rPr>
        <w:t xml:space="preserve"> </w:t>
      </w:r>
      <w:r w:rsidR="0031221A">
        <w:rPr>
          <w:rFonts w:ascii="Arial" w:hAnsi="Arial" w:cs="Arial"/>
          <w:sz w:val="22"/>
          <w:szCs w:val="22"/>
        </w:rPr>
        <w:t xml:space="preserve">of </w:t>
      </w:r>
      <w:r>
        <w:rPr>
          <w:rFonts w:ascii="Arial" w:hAnsi="Arial" w:cs="Arial"/>
          <w:sz w:val="22"/>
          <w:szCs w:val="22"/>
        </w:rPr>
        <w:t xml:space="preserve">the order and </w:t>
      </w:r>
      <w:r w:rsidR="006C7F9E">
        <w:rPr>
          <w:rFonts w:ascii="Arial" w:hAnsi="Arial" w:cs="Arial"/>
          <w:sz w:val="22"/>
          <w:szCs w:val="22"/>
        </w:rPr>
        <w:t xml:space="preserve">the </w:t>
      </w:r>
      <w:r>
        <w:rPr>
          <w:rFonts w:ascii="Arial" w:hAnsi="Arial" w:cs="Arial"/>
          <w:sz w:val="22"/>
          <w:szCs w:val="22"/>
        </w:rPr>
        <w:t xml:space="preserve">transition </w:t>
      </w:r>
      <w:r w:rsidR="00615A2B">
        <w:rPr>
          <w:rFonts w:ascii="Arial" w:hAnsi="Arial" w:cs="Arial"/>
          <w:sz w:val="22"/>
          <w:szCs w:val="22"/>
        </w:rPr>
        <w:t>of the 7 licensee</w:t>
      </w:r>
      <w:r w:rsidR="00CD1139">
        <w:rPr>
          <w:rFonts w:ascii="Arial" w:hAnsi="Arial" w:cs="Arial"/>
          <w:sz w:val="22"/>
          <w:szCs w:val="22"/>
        </w:rPr>
        <w:t xml:space="preserve"> site</w:t>
      </w:r>
      <w:r w:rsidR="00615A2B">
        <w:rPr>
          <w:rFonts w:ascii="Arial" w:hAnsi="Arial" w:cs="Arial"/>
          <w:sz w:val="22"/>
          <w:szCs w:val="22"/>
        </w:rPr>
        <w:t xml:space="preserve">s </w:t>
      </w:r>
      <w:r>
        <w:rPr>
          <w:rFonts w:ascii="Arial" w:hAnsi="Arial" w:cs="Arial"/>
          <w:sz w:val="22"/>
          <w:szCs w:val="22"/>
        </w:rPr>
        <w:t>to the final rule requirements</w:t>
      </w:r>
      <w:r w:rsidR="00577D64">
        <w:rPr>
          <w:rFonts w:ascii="Arial" w:hAnsi="Arial" w:cs="Arial"/>
          <w:sz w:val="22"/>
          <w:szCs w:val="22"/>
        </w:rPr>
        <w:t>.</w:t>
      </w:r>
    </w:p>
    <w:p w:rsidR="00E27986" w:rsidP="00577D64" w:rsidRDefault="00E27986" w14:paraId="0100BA36" w14:textId="77777777">
      <w:pPr>
        <w:widowControl/>
        <w:ind w:left="720"/>
        <w:rPr>
          <w:rFonts w:ascii="Arial" w:hAnsi="Arial" w:cs="Arial"/>
          <w:sz w:val="22"/>
          <w:szCs w:val="22"/>
        </w:rPr>
      </w:pPr>
    </w:p>
    <w:p w:rsidR="00CD3A05" w:rsidP="00577D64" w:rsidRDefault="00CD3A05" w14:paraId="13F46317" w14:textId="4B7B5D2D">
      <w:pPr>
        <w:widowControl/>
        <w:ind w:left="720"/>
        <w:rPr>
          <w:rFonts w:ascii="Arial" w:hAnsi="Arial" w:cs="Arial"/>
          <w:sz w:val="22"/>
          <w:szCs w:val="22"/>
        </w:rPr>
      </w:pPr>
      <w:r>
        <w:rPr>
          <w:rFonts w:ascii="Arial" w:hAnsi="Arial" w:cs="Arial"/>
          <w:sz w:val="22"/>
          <w:szCs w:val="22"/>
        </w:rPr>
        <w:t>Section 73.17(k)(2)(ii) reduces duplication by stating that licensees may submit a single set of fingerprints to accomplish both a firearms background check and an access authorization check.</w:t>
      </w:r>
    </w:p>
    <w:p w:rsidRPr="00A32597" w:rsidR="00EC3361" w:rsidP="00577D64" w:rsidRDefault="00EC3361" w14:paraId="218A290C" w14:textId="77777777">
      <w:pPr>
        <w:widowControl/>
        <w:rPr>
          <w:rFonts w:ascii="Arial" w:hAnsi="Arial" w:cs="Arial"/>
          <w:color w:val="000000"/>
          <w:sz w:val="22"/>
          <w:szCs w:val="22"/>
          <w:u w:val="single"/>
        </w:rPr>
      </w:pPr>
    </w:p>
    <w:p w:rsidRPr="00A32597" w:rsidR="002B1B50" w:rsidP="00123DB3" w:rsidRDefault="002B1B50" w14:paraId="4C557F79" w14:textId="77777777">
      <w:pPr>
        <w:keepNext/>
        <w:keepLines/>
        <w:widowControl/>
        <w:tabs>
          <w:tab w:val="left" w:pos="-1440"/>
        </w:tabs>
        <w:ind w:left="1440" w:hanging="720"/>
        <w:rPr>
          <w:rFonts w:ascii="Arial" w:hAnsi="Arial" w:cs="Arial"/>
          <w:sz w:val="22"/>
          <w:szCs w:val="22"/>
        </w:rPr>
      </w:pPr>
      <w:r w:rsidRPr="00A32597">
        <w:rPr>
          <w:rFonts w:ascii="Arial" w:hAnsi="Arial" w:cs="Arial"/>
          <w:sz w:val="22"/>
          <w:szCs w:val="22"/>
        </w:rPr>
        <w:t>5.</w:t>
      </w:r>
      <w:r w:rsidRPr="00A32597">
        <w:rPr>
          <w:rFonts w:ascii="Arial" w:hAnsi="Arial" w:cs="Arial"/>
          <w:sz w:val="22"/>
          <w:szCs w:val="22"/>
        </w:rPr>
        <w:tab/>
      </w:r>
      <w:r w:rsidRPr="00A32597">
        <w:rPr>
          <w:rFonts w:ascii="Arial" w:hAnsi="Arial" w:cs="Arial"/>
          <w:sz w:val="22"/>
          <w:szCs w:val="22"/>
          <w:u w:val="single"/>
        </w:rPr>
        <w:t>Effort to Reduce Small Business Burden</w:t>
      </w:r>
    </w:p>
    <w:p w:rsidRPr="00A32597" w:rsidR="002B1B50" w:rsidP="00123DB3" w:rsidRDefault="002B1B50" w14:paraId="07081971" w14:textId="77777777">
      <w:pPr>
        <w:keepNext/>
        <w:keepLines/>
        <w:widowControl/>
        <w:rPr>
          <w:rFonts w:ascii="Arial" w:hAnsi="Arial" w:cs="Arial"/>
          <w:sz w:val="22"/>
          <w:szCs w:val="22"/>
        </w:rPr>
      </w:pPr>
    </w:p>
    <w:p w:rsidR="00123DB3" w:rsidP="00123DB3" w:rsidRDefault="00123DB3" w14:paraId="5CC4C2FD" w14:textId="77777777">
      <w:pPr>
        <w:keepNext/>
        <w:keepLines/>
        <w:widowControl/>
        <w:ind w:left="720"/>
        <w:rPr>
          <w:rFonts w:ascii="Arial" w:hAnsi="Arial" w:cs="Arial"/>
          <w:sz w:val="22"/>
          <w:szCs w:val="22"/>
        </w:rPr>
      </w:pPr>
      <w:r>
        <w:rPr>
          <w:rFonts w:ascii="Arial" w:hAnsi="Arial" w:cs="Arial"/>
          <w:sz w:val="22"/>
          <w:szCs w:val="22"/>
        </w:rPr>
        <w:t>The</w:t>
      </w:r>
      <w:r w:rsidRPr="00FA4B69">
        <w:rPr>
          <w:rFonts w:ascii="Arial" w:hAnsi="Arial" w:cs="Arial"/>
          <w:sz w:val="22"/>
          <w:szCs w:val="22"/>
        </w:rPr>
        <w:t xml:space="preserve"> NRC has determined that the </w:t>
      </w:r>
      <w:r>
        <w:rPr>
          <w:rFonts w:ascii="Arial" w:hAnsi="Arial" w:cs="Arial"/>
          <w:sz w:val="22"/>
          <w:szCs w:val="22"/>
        </w:rPr>
        <w:t xml:space="preserve">companies that own the sites affected by the final rule do not </w:t>
      </w:r>
      <w:r w:rsidRPr="00FA4B69">
        <w:rPr>
          <w:rFonts w:ascii="Arial" w:hAnsi="Arial" w:cs="Arial"/>
          <w:sz w:val="22"/>
          <w:szCs w:val="22"/>
        </w:rPr>
        <w:t>fall within t</w:t>
      </w:r>
      <w:r>
        <w:rPr>
          <w:rFonts w:ascii="Arial" w:hAnsi="Arial" w:cs="Arial"/>
          <w:sz w:val="22"/>
          <w:szCs w:val="22"/>
        </w:rPr>
        <w:t>he scope of the definition of “small entities”</w:t>
      </w:r>
      <w:r w:rsidRPr="00FA4B69">
        <w:rPr>
          <w:rFonts w:ascii="Arial" w:hAnsi="Arial" w:cs="Arial"/>
          <w:sz w:val="22"/>
          <w:szCs w:val="22"/>
        </w:rPr>
        <w:t xml:space="preserve"> set forth in the Regulatory Flexibility Act or the size stand</w:t>
      </w:r>
      <w:r>
        <w:rPr>
          <w:rFonts w:ascii="Arial" w:hAnsi="Arial" w:cs="Arial"/>
          <w:sz w:val="22"/>
          <w:szCs w:val="22"/>
        </w:rPr>
        <w:t>ards established by the NRC (10 </w:t>
      </w:r>
      <w:r w:rsidRPr="007831B7">
        <w:rPr>
          <w:rFonts w:ascii="Arial" w:hAnsi="Arial" w:cs="Arial"/>
          <w:sz w:val="22"/>
          <w:szCs w:val="22"/>
        </w:rPr>
        <w:t>CFR</w:t>
      </w:r>
      <w:r w:rsidRPr="00FA4B69">
        <w:rPr>
          <w:rFonts w:ascii="Arial" w:hAnsi="Arial" w:cs="Arial"/>
          <w:sz w:val="22"/>
          <w:szCs w:val="22"/>
        </w:rPr>
        <w:t xml:space="preserve"> 2.810).</w:t>
      </w:r>
    </w:p>
    <w:p w:rsidRPr="00A32597" w:rsidR="002B1B50" w:rsidP="00577D64" w:rsidRDefault="002B1B50" w14:paraId="037953EF" w14:textId="77777777">
      <w:pPr>
        <w:widowControl/>
        <w:rPr>
          <w:rFonts w:ascii="Arial" w:hAnsi="Arial" w:cs="Arial"/>
          <w:sz w:val="22"/>
          <w:szCs w:val="22"/>
        </w:rPr>
      </w:pPr>
    </w:p>
    <w:p w:rsidRPr="00A32597" w:rsidR="002B1B50" w:rsidP="00577D64" w:rsidRDefault="002B1B50" w14:paraId="60959A24" w14:textId="77777777">
      <w:pPr>
        <w:widowControl/>
        <w:tabs>
          <w:tab w:val="left" w:pos="-1440"/>
        </w:tabs>
        <w:ind w:left="1440" w:hanging="720"/>
        <w:rPr>
          <w:rFonts w:ascii="Arial" w:hAnsi="Arial" w:cs="Arial"/>
          <w:sz w:val="22"/>
          <w:szCs w:val="22"/>
        </w:rPr>
      </w:pPr>
      <w:r w:rsidRPr="00A32597">
        <w:rPr>
          <w:rFonts w:ascii="Arial" w:hAnsi="Arial" w:cs="Arial"/>
          <w:sz w:val="22"/>
          <w:szCs w:val="22"/>
        </w:rPr>
        <w:t>6.</w:t>
      </w:r>
      <w:r w:rsidRPr="00A32597">
        <w:rPr>
          <w:rFonts w:ascii="Arial" w:hAnsi="Arial" w:cs="Arial"/>
          <w:sz w:val="22"/>
          <w:szCs w:val="22"/>
        </w:rPr>
        <w:tab/>
      </w:r>
      <w:r w:rsidRPr="00A32597">
        <w:rPr>
          <w:rFonts w:ascii="Arial" w:hAnsi="Arial" w:cs="Arial"/>
          <w:sz w:val="22"/>
          <w:szCs w:val="22"/>
          <w:u w:val="single"/>
        </w:rPr>
        <w:t>Consequences to Federal Program or Policy Activities if the Collection is Not Conducted or is Conducted Less Frequently</w:t>
      </w:r>
    </w:p>
    <w:p w:rsidRPr="00A32597" w:rsidR="002B1B50" w:rsidP="00577D64" w:rsidRDefault="002B1B50" w14:paraId="66473842" w14:textId="77777777">
      <w:pPr>
        <w:widowControl/>
        <w:rPr>
          <w:rFonts w:ascii="Arial" w:hAnsi="Arial" w:cs="Arial"/>
          <w:sz w:val="22"/>
          <w:szCs w:val="22"/>
        </w:rPr>
      </w:pPr>
    </w:p>
    <w:p w:rsidR="002A7992" w:rsidP="001E3772" w:rsidRDefault="002B1B50" w14:paraId="0020FDAD" w14:textId="686FA633">
      <w:pPr>
        <w:widowControl/>
        <w:ind w:left="720"/>
        <w:rPr>
          <w:rFonts w:ascii="Arial" w:hAnsi="Arial" w:cs="Arial"/>
          <w:sz w:val="22"/>
          <w:szCs w:val="22"/>
        </w:rPr>
      </w:pPr>
      <w:r w:rsidRPr="00A32597">
        <w:rPr>
          <w:rFonts w:ascii="Arial" w:hAnsi="Arial" w:cs="Arial"/>
          <w:sz w:val="22"/>
          <w:szCs w:val="22"/>
        </w:rPr>
        <w:t>Without this information collection,</w:t>
      </w:r>
      <w:r w:rsidR="00050BDF">
        <w:rPr>
          <w:rFonts w:ascii="Arial" w:hAnsi="Arial" w:cs="Arial"/>
          <w:sz w:val="22"/>
          <w:szCs w:val="22"/>
        </w:rPr>
        <w:t xml:space="preserve"> firearms</w:t>
      </w:r>
      <w:r w:rsidRPr="00A32597">
        <w:rPr>
          <w:rFonts w:ascii="Arial" w:hAnsi="Arial" w:cs="Arial"/>
          <w:sz w:val="22"/>
          <w:szCs w:val="22"/>
        </w:rPr>
        <w:t xml:space="preserve"> background checks of armed security personnel could not be conducted as required </w:t>
      </w:r>
      <w:r w:rsidR="00615A2B">
        <w:rPr>
          <w:rFonts w:ascii="Arial" w:hAnsi="Arial" w:cs="Arial"/>
          <w:sz w:val="22"/>
          <w:szCs w:val="22"/>
        </w:rPr>
        <w:t>pursuant to</w:t>
      </w:r>
      <w:r w:rsidRPr="00A32597" w:rsidR="00615A2B">
        <w:rPr>
          <w:rFonts w:ascii="Arial" w:hAnsi="Arial" w:cs="Arial"/>
          <w:sz w:val="22"/>
          <w:szCs w:val="22"/>
        </w:rPr>
        <w:t xml:space="preserve"> </w:t>
      </w:r>
      <w:r w:rsidR="00050BDF">
        <w:rPr>
          <w:rFonts w:ascii="Arial" w:hAnsi="Arial" w:cs="Arial"/>
          <w:sz w:val="22"/>
          <w:szCs w:val="22"/>
        </w:rPr>
        <w:t xml:space="preserve">Section </w:t>
      </w:r>
      <w:r w:rsidRPr="00A32597" w:rsidR="006F795D">
        <w:rPr>
          <w:rFonts w:ascii="Arial" w:hAnsi="Arial" w:cs="Arial"/>
          <w:sz w:val="22"/>
          <w:szCs w:val="22"/>
        </w:rPr>
        <w:t>161A</w:t>
      </w:r>
      <w:r w:rsidRPr="00A32597">
        <w:rPr>
          <w:rFonts w:ascii="Arial" w:hAnsi="Arial" w:cs="Arial"/>
          <w:sz w:val="22"/>
          <w:szCs w:val="22"/>
        </w:rPr>
        <w:t xml:space="preserve"> of the AEA</w:t>
      </w:r>
      <w:r w:rsidR="00615A2B">
        <w:rPr>
          <w:rFonts w:ascii="Arial" w:hAnsi="Arial" w:cs="Arial"/>
          <w:sz w:val="22"/>
          <w:szCs w:val="22"/>
        </w:rPr>
        <w:t>.</w:t>
      </w:r>
      <w:r w:rsidR="00CD3A05">
        <w:rPr>
          <w:rFonts w:ascii="Arial" w:hAnsi="Arial" w:cs="Arial"/>
          <w:sz w:val="22"/>
          <w:szCs w:val="22"/>
        </w:rPr>
        <w:t xml:space="preserve"> </w:t>
      </w:r>
      <w:r w:rsidR="00AB27BC">
        <w:rPr>
          <w:rFonts w:ascii="Arial" w:hAnsi="Arial" w:cs="Arial"/>
          <w:sz w:val="22"/>
          <w:szCs w:val="22"/>
        </w:rPr>
        <w:t xml:space="preserve"> </w:t>
      </w:r>
      <w:r w:rsidR="008F799F">
        <w:rPr>
          <w:rFonts w:ascii="Arial" w:hAnsi="Arial" w:cs="Arial"/>
          <w:sz w:val="22"/>
          <w:szCs w:val="22"/>
        </w:rPr>
        <w:t xml:space="preserve">However, completion of firearms background checks is not required unless the licensees voluntarily </w:t>
      </w:r>
      <w:proofErr w:type="gramStart"/>
      <w:r w:rsidR="008F799F">
        <w:rPr>
          <w:rFonts w:ascii="Arial" w:hAnsi="Arial" w:cs="Arial"/>
          <w:sz w:val="22"/>
          <w:szCs w:val="22"/>
        </w:rPr>
        <w:t>applies</w:t>
      </w:r>
      <w:proofErr w:type="gramEnd"/>
      <w:r w:rsidR="008F799F">
        <w:rPr>
          <w:rFonts w:ascii="Arial" w:hAnsi="Arial" w:cs="Arial"/>
          <w:sz w:val="22"/>
          <w:szCs w:val="22"/>
        </w:rPr>
        <w:t xml:space="preserve"> for Section </w:t>
      </w:r>
      <w:r w:rsidR="00C13568">
        <w:rPr>
          <w:rFonts w:ascii="Arial" w:hAnsi="Arial" w:cs="Arial"/>
          <w:sz w:val="22"/>
          <w:szCs w:val="22"/>
        </w:rPr>
        <w:t>161A authority</w:t>
      </w:r>
      <w:r w:rsidR="008F799F">
        <w:rPr>
          <w:rFonts w:ascii="Arial" w:hAnsi="Arial" w:cs="Arial"/>
          <w:sz w:val="22"/>
          <w:szCs w:val="22"/>
        </w:rPr>
        <w:t xml:space="preserve">.  </w:t>
      </w:r>
    </w:p>
    <w:p w:rsidR="00310AA1" w:rsidRDefault="00310AA1" w14:paraId="1710200A" w14:textId="68E72D80">
      <w:pPr>
        <w:widowControl/>
        <w:autoSpaceDE/>
        <w:autoSpaceDN/>
        <w:adjustRightInd/>
        <w:rPr>
          <w:rFonts w:ascii="Arial" w:hAnsi="Arial" w:cs="Arial"/>
          <w:sz w:val="22"/>
          <w:szCs w:val="22"/>
        </w:rPr>
      </w:pPr>
      <w:r>
        <w:rPr>
          <w:rFonts w:ascii="Arial" w:hAnsi="Arial" w:cs="Arial"/>
          <w:sz w:val="22"/>
          <w:szCs w:val="22"/>
        </w:rPr>
        <w:br w:type="page"/>
      </w:r>
    </w:p>
    <w:p w:rsidR="000A3AF2" w:rsidP="00577D64" w:rsidRDefault="002B1B50" w14:paraId="0CB07C11" w14:textId="56B273C5">
      <w:pPr>
        <w:widowControl/>
        <w:tabs>
          <w:tab w:val="left" w:pos="-1440"/>
        </w:tabs>
        <w:ind w:left="1440" w:hanging="720"/>
        <w:rPr>
          <w:rFonts w:ascii="Arial" w:hAnsi="Arial" w:cs="Arial"/>
          <w:sz w:val="22"/>
          <w:szCs w:val="22"/>
          <w:u w:val="single"/>
        </w:rPr>
      </w:pPr>
      <w:r w:rsidRPr="00A32597">
        <w:rPr>
          <w:rFonts w:ascii="Arial" w:hAnsi="Arial" w:cs="Arial"/>
          <w:sz w:val="22"/>
          <w:szCs w:val="22"/>
        </w:rPr>
        <w:lastRenderedPageBreak/>
        <w:t>7.</w:t>
      </w:r>
      <w:r w:rsidRPr="00A32597">
        <w:rPr>
          <w:rFonts w:ascii="Arial" w:hAnsi="Arial" w:cs="Arial"/>
          <w:sz w:val="22"/>
          <w:szCs w:val="22"/>
        </w:rPr>
        <w:tab/>
      </w:r>
      <w:r w:rsidRPr="00A32597">
        <w:rPr>
          <w:rFonts w:ascii="Arial" w:hAnsi="Arial" w:cs="Arial"/>
          <w:sz w:val="22"/>
          <w:szCs w:val="22"/>
          <w:u w:val="single"/>
        </w:rPr>
        <w:t>Circumstances Which Justify Variation from OMB Guidelines</w:t>
      </w:r>
    </w:p>
    <w:p w:rsidR="000A3AF2" w:rsidP="00577D64" w:rsidRDefault="000A3AF2" w14:paraId="69943DB7" w14:textId="77777777">
      <w:pPr>
        <w:widowControl/>
        <w:tabs>
          <w:tab w:val="left" w:pos="-1440"/>
        </w:tabs>
        <w:ind w:left="720"/>
        <w:rPr>
          <w:rFonts w:ascii="Arial" w:hAnsi="Arial" w:cs="Arial"/>
          <w:sz w:val="22"/>
          <w:szCs w:val="22"/>
        </w:rPr>
      </w:pPr>
    </w:p>
    <w:p w:rsidR="00532659" w:rsidP="00005087" w:rsidRDefault="0012621A" w14:paraId="77107DC5" w14:textId="702E6A09">
      <w:pPr>
        <w:widowControl/>
        <w:tabs>
          <w:tab w:val="left" w:pos="-1440"/>
        </w:tabs>
        <w:ind w:left="720"/>
        <w:rPr>
          <w:rFonts w:ascii="Arial" w:hAnsi="Arial" w:cs="Arial"/>
          <w:sz w:val="22"/>
          <w:szCs w:val="22"/>
        </w:rPr>
      </w:pPr>
      <w:r>
        <w:rPr>
          <w:rFonts w:ascii="Arial" w:hAnsi="Arial" w:cs="Arial"/>
          <w:sz w:val="22"/>
          <w:szCs w:val="22"/>
        </w:rPr>
        <w:t>The</w:t>
      </w:r>
      <w:r w:rsidR="00532659">
        <w:rPr>
          <w:rFonts w:ascii="Arial" w:hAnsi="Arial" w:cs="Arial"/>
          <w:sz w:val="22"/>
          <w:szCs w:val="22"/>
        </w:rPr>
        <w:t xml:space="preserve"> provisions of Part 73 vary from the OMB Guidelines in 5 CFR 1320.5(d) by requiring licensees to retain a copy of all NRC Forms 754 submitted to the NRC for more than 3 years.  </w:t>
      </w:r>
      <w:r w:rsidR="00310AA1">
        <w:rPr>
          <w:rFonts w:ascii="Arial" w:hAnsi="Arial" w:cs="Arial"/>
          <w:sz w:val="22"/>
          <w:szCs w:val="22"/>
        </w:rPr>
        <w:t>Section 73.17(e)(4)</w:t>
      </w:r>
      <w:r w:rsidR="00532659">
        <w:rPr>
          <w:rFonts w:ascii="Arial" w:hAnsi="Arial" w:cs="Arial"/>
          <w:sz w:val="22"/>
          <w:szCs w:val="22"/>
        </w:rPr>
        <w:t xml:space="preserve"> requires licensees to retain completed </w:t>
      </w:r>
      <w:r w:rsidR="003B1890">
        <w:rPr>
          <w:rFonts w:ascii="Arial" w:hAnsi="Arial" w:cs="Arial"/>
          <w:sz w:val="22"/>
          <w:szCs w:val="22"/>
        </w:rPr>
        <w:t>NRC Forms 754</w:t>
      </w:r>
      <w:r w:rsidR="00532659">
        <w:rPr>
          <w:rFonts w:ascii="Arial" w:hAnsi="Arial" w:cs="Arial"/>
          <w:sz w:val="22"/>
          <w:szCs w:val="22"/>
        </w:rPr>
        <w:t xml:space="preserve"> for a period of up to one year from the individual’s termination from access to covered weapons or </w:t>
      </w:r>
      <w:r w:rsidR="003B1890">
        <w:rPr>
          <w:rFonts w:ascii="Arial" w:hAnsi="Arial" w:cs="Arial"/>
          <w:sz w:val="22"/>
          <w:szCs w:val="22"/>
        </w:rPr>
        <w:t xml:space="preserve">from </w:t>
      </w:r>
      <w:r w:rsidR="0031221A">
        <w:rPr>
          <w:rFonts w:ascii="Arial" w:hAnsi="Arial" w:cs="Arial"/>
          <w:sz w:val="22"/>
          <w:szCs w:val="22"/>
        </w:rPr>
        <w:t>receipt of a d</w:t>
      </w:r>
      <w:r w:rsidR="00532659">
        <w:rPr>
          <w:rFonts w:ascii="Arial" w:hAnsi="Arial" w:cs="Arial"/>
          <w:sz w:val="22"/>
          <w:szCs w:val="22"/>
        </w:rPr>
        <w:t xml:space="preserve">enied </w:t>
      </w:r>
      <w:r w:rsidR="0031221A">
        <w:rPr>
          <w:rFonts w:ascii="Arial" w:hAnsi="Arial" w:cs="Arial"/>
          <w:sz w:val="22"/>
          <w:szCs w:val="22"/>
        </w:rPr>
        <w:t xml:space="preserve">NICS </w:t>
      </w:r>
      <w:r w:rsidR="00532659">
        <w:rPr>
          <w:rFonts w:ascii="Arial" w:hAnsi="Arial" w:cs="Arial"/>
          <w:sz w:val="22"/>
          <w:szCs w:val="22"/>
        </w:rPr>
        <w:t>response from the FBI.</w:t>
      </w:r>
    </w:p>
    <w:p w:rsidR="00532659" w:rsidP="00005087" w:rsidRDefault="00532659" w14:paraId="4EB5D97D" w14:textId="77777777">
      <w:pPr>
        <w:widowControl/>
        <w:tabs>
          <w:tab w:val="left" w:pos="-1440"/>
        </w:tabs>
        <w:ind w:left="720"/>
        <w:rPr>
          <w:rFonts w:ascii="Arial" w:hAnsi="Arial" w:cs="Arial"/>
          <w:sz w:val="22"/>
          <w:szCs w:val="22"/>
        </w:rPr>
      </w:pPr>
    </w:p>
    <w:p w:rsidR="000A3AF2" w:rsidP="00577D64" w:rsidRDefault="002B1B50" w14:paraId="3165720B" w14:textId="77777777">
      <w:pPr>
        <w:widowControl/>
        <w:numPr>
          <w:ilvl w:val="0"/>
          <w:numId w:val="6"/>
        </w:numPr>
        <w:tabs>
          <w:tab w:val="left" w:pos="-1440"/>
        </w:tabs>
        <w:rPr>
          <w:rFonts w:ascii="Arial" w:hAnsi="Arial" w:cs="Arial"/>
          <w:sz w:val="22"/>
          <w:szCs w:val="22"/>
          <w:u w:val="single"/>
        </w:rPr>
      </w:pPr>
      <w:r w:rsidRPr="00A32597">
        <w:rPr>
          <w:rFonts w:ascii="Arial" w:hAnsi="Arial" w:cs="Arial"/>
          <w:sz w:val="22"/>
          <w:szCs w:val="22"/>
          <w:u w:val="single"/>
        </w:rPr>
        <w:t>Consultations Outside the NRC</w:t>
      </w:r>
    </w:p>
    <w:p w:rsidR="000A3AF2" w:rsidP="00577D64" w:rsidRDefault="000A3AF2" w14:paraId="1BD4DD79" w14:textId="77777777">
      <w:pPr>
        <w:widowControl/>
        <w:tabs>
          <w:tab w:val="left" w:pos="-1440"/>
        </w:tabs>
        <w:ind w:left="720"/>
        <w:rPr>
          <w:rFonts w:ascii="Arial" w:hAnsi="Arial" w:cs="Arial"/>
          <w:sz w:val="22"/>
          <w:szCs w:val="22"/>
          <w:u w:val="single"/>
        </w:rPr>
      </w:pPr>
    </w:p>
    <w:p w:rsidR="000A3AF2" w:rsidP="00577D64" w:rsidRDefault="00A15814" w14:paraId="50413DC1" w14:textId="69A1001D">
      <w:pPr>
        <w:widowControl/>
        <w:tabs>
          <w:tab w:val="left" w:pos="-1440"/>
        </w:tabs>
        <w:ind w:left="720"/>
        <w:rPr>
          <w:rFonts w:ascii="Arial" w:hAnsi="Arial" w:cs="Arial"/>
          <w:sz w:val="22"/>
          <w:szCs w:val="22"/>
        </w:rPr>
      </w:pPr>
      <w:r w:rsidRPr="00A32597">
        <w:rPr>
          <w:rFonts w:ascii="Arial" w:hAnsi="Arial" w:cs="Arial"/>
          <w:sz w:val="22"/>
          <w:szCs w:val="22"/>
        </w:rPr>
        <w:t xml:space="preserve">This </w:t>
      </w:r>
      <w:r w:rsidR="00310AA1">
        <w:rPr>
          <w:rFonts w:ascii="Arial" w:hAnsi="Arial" w:cs="Arial"/>
          <w:sz w:val="22"/>
          <w:szCs w:val="22"/>
        </w:rPr>
        <w:t xml:space="preserve">final </w:t>
      </w:r>
      <w:r w:rsidRPr="00A32597">
        <w:rPr>
          <w:rFonts w:ascii="Arial" w:hAnsi="Arial" w:cs="Arial"/>
          <w:sz w:val="22"/>
          <w:szCs w:val="22"/>
        </w:rPr>
        <w:t xml:space="preserve">rule contains new requirements that implement the </w:t>
      </w:r>
      <w:r w:rsidR="00310AA1">
        <w:rPr>
          <w:rFonts w:ascii="Arial" w:hAnsi="Arial" w:cs="Arial"/>
          <w:sz w:val="22"/>
          <w:szCs w:val="22"/>
        </w:rPr>
        <w:t xml:space="preserve">Commission’s </w:t>
      </w:r>
      <w:r w:rsidRPr="00A32597">
        <w:rPr>
          <w:rFonts w:ascii="Arial" w:hAnsi="Arial" w:cs="Arial"/>
          <w:sz w:val="22"/>
          <w:szCs w:val="22"/>
        </w:rPr>
        <w:t xml:space="preserve">authority </w:t>
      </w:r>
      <w:r w:rsidR="00050BDF">
        <w:rPr>
          <w:rFonts w:ascii="Arial" w:hAnsi="Arial" w:cs="Arial"/>
          <w:sz w:val="22"/>
          <w:szCs w:val="22"/>
        </w:rPr>
        <w:t>under Section </w:t>
      </w:r>
      <w:r w:rsidRPr="00A32597">
        <w:rPr>
          <w:rFonts w:ascii="Arial" w:hAnsi="Arial" w:cs="Arial"/>
          <w:sz w:val="22"/>
          <w:szCs w:val="22"/>
        </w:rPr>
        <w:t xml:space="preserve">161A of the AEA.  During the development of NRC Form 754, as well as the development of the associated requirements in </w:t>
      </w:r>
      <w:r w:rsidR="002A26B3">
        <w:rPr>
          <w:rFonts w:ascii="Arial" w:hAnsi="Arial" w:cs="Arial"/>
          <w:sz w:val="22"/>
          <w:szCs w:val="22"/>
        </w:rPr>
        <w:t>§</w:t>
      </w:r>
      <w:r w:rsidRPr="00A32597">
        <w:rPr>
          <w:rFonts w:ascii="Arial" w:hAnsi="Arial" w:cs="Arial"/>
          <w:sz w:val="22"/>
          <w:szCs w:val="22"/>
        </w:rPr>
        <w:t xml:space="preserve"> </w:t>
      </w:r>
      <w:r w:rsidR="0007735A">
        <w:rPr>
          <w:rFonts w:ascii="Arial" w:hAnsi="Arial" w:cs="Arial"/>
          <w:sz w:val="22"/>
          <w:szCs w:val="22"/>
        </w:rPr>
        <w:t>73.17</w:t>
      </w:r>
      <w:r w:rsidRPr="00A32597">
        <w:rPr>
          <w:rFonts w:ascii="Arial" w:hAnsi="Arial" w:cs="Arial"/>
          <w:sz w:val="22"/>
          <w:szCs w:val="22"/>
        </w:rPr>
        <w:t xml:space="preserve">, the NRC engaged with representatives from the U.S. Department of Justice, the </w:t>
      </w:r>
      <w:r w:rsidR="00F1529A">
        <w:rPr>
          <w:rFonts w:ascii="Arial" w:hAnsi="Arial" w:cs="Arial"/>
          <w:sz w:val="22"/>
          <w:szCs w:val="22"/>
        </w:rPr>
        <w:t>FBI</w:t>
      </w:r>
      <w:r w:rsidRPr="00A32597">
        <w:rPr>
          <w:rFonts w:ascii="Arial" w:hAnsi="Arial" w:cs="Arial"/>
          <w:sz w:val="22"/>
          <w:szCs w:val="22"/>
        </w:rPr>
        <w:t xml:space="preserve">, and the </w:t>
      </w:r>
      <w:r w:rsidR="00F1529A">
        <w:rPr>
          <w:rFonts w:ascii="Arial" w:hAnsi="Arial" w:cs="Arial"/>
          <w:sz w:val="22"/>
          <w:szCs w:val="22"/>
        </w:rPr>
        <w:t>ATF</w:t>
      </w:r>
      <w:r w:rsidRPr="00A32597">
        <w:rPr>
          <w:rFonts w:ascii="Arial" w:hAnsi="Arial" w:cs="Arial"/>
          <w:sz w:val="22"/>
          <w:szCs w:val="22"/>
        </w:rPr>
        <w:t>.</w:t>
      </w:r>
      <w:r w:rsidR="0031221A">
        <w:rPr>
          <w:rFonts w:ascii="Arial" w:hAnsi="Arial" w:cs="Arial"/>
          <w:sz w:val="22"/>
          <w:szCs w:val="22"/>
        </w:rPr>
        <w:t xml:space="preserve">  The NRC also engaged with the Nuclear Energy Institute </w:t>
      </w:r>
      <w:r w:rsidR="004456DE">
        <w:rPr>
          <w:rFonts w:ascii="Arial" w:hAnsi="Arial" w:cs="Arial"/>
          <w:sz w:val="22"/>
          <w:szCs w:val="22"/>
        </w:rPr>
        <w:t xml:space="preserve">(NEI) </w:t>
      </w:r>
      <w:r w:rsidR="0031221A">
        <w:rPr>
          <w:rFonts w:ascii="Arial" w:hAnsi="Arial" w:cs="Arial"/>
          <w:sz w:val="22"/>
          <w:szCs w:val="22"/>
        </w:rPr>
        <w:t xml:space="preserve">regarding the potential use of </w:t>
      </w:r>
      <w:r w:rsidR="004456DE">
        <w:rPr>
          <w:rFonts w:ascii="Arial" w:hAnsi="Arial" w:cs="Arial"/>
          <w:sz w:val="22"/>
          <w:szCs w:val="22"/>
        </w:rPr>
        <w:t>NEI’s Personnel</w:t>
      </w:r>
      <w:r w:rsidR="0031221A">
        <w:rPr>
          <w:rFonts w:ascii="Arial" w:hAnsi="Arial" w:cs="Arial"/>
          <w:sz w:val="22"/>
          <w:szCs w:val="22"/>
        </w:rPr>
        <w:t xml:space="preserve"> Access Data System (PADS)</w:t>
      </w:r>
      <w:r w:rsidR="004456DE">
        <w:rPr>
          <w:rFonts w:ascii="Arial" w:hAnsi="Arial" w:cs="Arial"/>
          <w:sz w:val="22"/>
          <w:szCs w:val="22"/>
        </w:rPr>
        <w:t xml:space="preserve"> as an “industry-wide information-sharing database” </w:t>
      </w:r>
      <w:r w:rsidR="00C13568">
        <w:rPr>
          <w:rFonts w:ascii="Arial" w:hAnsi="Arial" w:cs="Arial"/>
          <w:sz w:val="22"/>
          <w:szCs w:val="22"/>
        </w:rPr>
        <w:t xml:space="preserve">to reduce burden </w:t>
      </w:r>
      <w:r w:rsidR="004456DE">
        <w:rPr>
          <w:rFonts w:ascii="Arial" w:hAnsi="Arial" w:cs="Arial"/>
          <w:sz w:val="22"/>
          <w:szCs w:val="22"/>
        </w:rPr>
        <w:t>under the exception for break</w:t>
      </w:r>
      <w:r w:rsidR="00310AA1">
        <w:rPr>
          <w:rFonts w:ascii="Arial" w:hAnsi="Arial" w:cs="Arial"/>
          <w:sz w:val="22"/>
          <w:szCs w:val="22"/>
        </w:rPr>
        <w:t>-</w:t>
      </w:r>
      <w:r w:rsidR="004456DE">
        <w:rPr>
          <w:rFonts w:ascii="Arial" w:hAnsi="Arial" w:cs="Arial"/>
          <w:sz w:val="22"/>
          <w:szCs w:val="22"/>
        </w:rPr>
        <w:t>in</w:t>
      </w:r>
      <w:r w:rsidR="00310AA1">
        <w:rPr>
          <w:rFonts w:ascii="Arial" w:hAnsi="Arial" w:cs="Arial"/>
          <w:sz w:val="22"/>
          <w:szCs w:val="22"/>
        </w:rPr>
        <w:t>-</w:t>
      </w:r>
      <w:r w:rsidR="004456DE">
        <w:rPr>
          <w:rFonts w:ascii="Arial" w:hAnsi="Arial" w:cs="Arial"/>
          <w:sz w:val="22"/>
          <w:szCs w:val="22"/>
        </w:rPr>
        <w:t xml:space="preserve">service </w:t>
      </w:r>
      <w:r w:rsidR="00415AFB">
        <w:rPr>
          <w:rFonts w:ascii="Arial" w:hAnsi="Arial" w:cs="Arial"/>
          <w:sz w:val="22"/>
          <w:szCs w:val="22"/>
        </w:rPr>
        <w:t xml:space="preserve">for </w:t>
      </w:r>
      <w:r w:rsidR="004456DE">
        <w:rPr>
          <w:rFonts w:ascii="Arial" w:hAnsi="Arial" w:cs="Arial"/>
          <w:sz w:val="22"/>
          <w:szCs w:val="22"/>
        </w:rPr>
        <w:t>firearms background checks.</w:t>
      </w:r>
    </w:p>
    <w:p w:rsidR="000A3AF2" w:rsidP="00577D64" w:rsidRDefault="000A3AF2" w14:paraId="71EAE3EF" w14:textId="77777777">
      <w:pPr>
        <w:widowControl/>
        <w:tabs>
          <w:tab w:val="left" w:pos="-1440"/>
        </w:tabs>
        <w:ind w:left="720"/>
        <w:rPr>
          <w:rFonts w:ascii="Arial" w:hAnsi="Arial" w:cs="Arial"/>
          <w:sz w:val="22"/>
          <w:szCs w:val="22"/>
        </w:rPr>
      </w:pPr>
    </w:p>
    <w:p w:rsidR="000A3AF2" w:rsidP="00577D64" w:rsidRDefault="000A3AF2" w14:paraId="5B374B52" w14:textId="170E9AE8">
      <w:pPr>
        <w:widowControl/>
        <w:tabs>
          <w:tab w:val="left" w:pos="-1440"/>
        </w:tabs>
        <w:ind w:left="720"/>
        <w:rPr>
          <w:rFonts w:ascii="Arial" w:hAnsi="Arial"/>
          <w:sz w:val="22"/>
        </w:rPr>
      </w:pPr>
      <w:r>
        <w:rPr>
          <w:rFonts w:ascii="Arial" w:hAnsi="Arial"/>
          <w:sz w:val="22"/>
        </w:rPr>
        <w:t xml:space="preserve">On October 26, 2006 (71 FR 62663), the NRC published the proposed </w:t>
      </w:r>
      <w:r w:rsidR="00415AFB">
        <w:rPr>
          <w:rFonts w:ascii="Arial" w:hAnsi="Arial"/>
          <w:sz w:val="22"/>
        </w:rPr>
        <w:t>rule</w:t>
      </w:r>
      <w:r>
        <w:rPr>
          <w:rFonts w:ascii="Arial" w:hAnsi="Arial"/>
          <w:sz w:val="22"/>
        </w:rPr>
        <w:t xml:space="preserve"> that would implement this new authority as part of a larger proposed rule entitled "Power Reactor Security Requirements."  This proposed rule also included the proposed NRC Form 754.  The following comments were received on the information collections contained in the 2006 proposed rule, which are also included in the </w:t>
      </w:r>
      <w:r w:rsidR="007C04DC">
        <w:rPr>
          <w:rFonts w:ascii="Arial" w:hAnsi="Arial"/>
          <w:sz w:val="22"/>
        </w:rPr>
        <w:t>2011</w:t>
      </w:r>
      <w:r>
        <w:rPr>
          <w:rFonts w:ascii="Arial" w:hAnsi="Arial"/>
          <w:sz w:val="22"/>
        </w:rPr>
        <w:t xml:space="preserve"> proposed rule:</w:t>
      </w:r>
    </w:p>
    <w:p w:rsidR="000A3AF2" w:rsidP="00577D64" w:rsidRDefault="000A3AF2" w14:paraId="73518099" w14:textId="77777777">
      <w:pPr>
        <w:widowControl/>
        <w:tabs>
          <w:tab w:val="left" w:pos="-1440"/>
        </w:tabs>
        <w:ind w:left="720"/>
        <w:rPr>
          <w:rFonts w:ascii="Arial" w:hAnsi="Arial"/>
          <w:sz w:val="22"/>
        </w:rPr>
      </w:pPr>
    </w:p>
    <w:p w:rsidR="000A3AF2" w:rsidP="004E3E64" w:rsidRDefault="00415AFB" w14:paraId="18BF586F" w14:textId="79D440BB">
      <w:pPr>
        <w:widowControl/>
        <w:numPr>
          <w:ilvl w:val="0"/>
          <w:numId w:val="7"/>
        </w:numPr>
        <w:tabs>
          <w:tab w:val="clear" w:pos="1080"/>
          <w:tab w:val="left" w:pos="-1440"/>
          <w:tab w:val="num" w:pos="1440"/>
        </w:tabs>
        <w:ind w:left="1440"/>
        <w:rPr>
          <w:rFonts w:ascii="Arial" w:hAnsi="Arial" w:cs="Arial"/>
          <w:sz w:val="22"/>
          <w:szCs w:val="22"/>
        </w:rPr>
      </w:pPr>
      <w:r>
        <w:rPr>
          <w:rFonts w:ascii="Arial" w:hAnsi="Arial" w:cs="Arial"/>
          <w:sz w:val="22"/>
          <w:szCs w:val="22"/>
        </w:rPr>
        <w:t>Comment</w:t>
      </w:r>
      <w:r w:rsidRPr="006B0BED" w:rsidR="000A3AF2">
        <w:rPr>
          <w:rFonts w:ascii="Arial" w:hAnsi="Arial" w:cs="Arial"/>
          <w:sz w:val="22"/>
          <w:szCs w:val="22"/>
        </w:rPr>
        <w:t>:</w:t>
      </w:r>
      <w:r w:rsidR="002A26B3">
        <w:rPr>
          <w:rFonts w:ascii="Arial" w:hAnsi="Arial" w:cs="Arial"/>
          <w:sz w:val="22"/>
          <w:szCs w:val="22"/>
        </w:rPr>
        <w:t xml:space="preserve"> </w:t>
      </w:r>
      <w:r w:rsidRPr="006B0BED" w:rsidR="000A3AF2">
        <w:rPr>
          <w:rFonts w:ascii="Arial" w:hAnsi="Arial" w:cs="Arial"/>
          <w:sz w:val="22"/>
          <w:szCs w:val="22"/>
        </w:rPr>
        <w:t xml:space="preserve"> </w:t>
      </w:r>
      <w:r w:rsidR="002279DE">
        <w:rPr>
          <w:rFonts w:ascii="Arial" w:hAnsi="Arial" w:cs="Arial"/>
          <w:sz w:val="22"/>
          <w:szCs w:val="22"/>
        </w:rPr>
        <w:t>In the 2011 proposed rule’s discussion of comments raised on the 2006 proposed rule (see page 76 FR 6217), one</w:t>
      </w:r>
      <w:r w:rsidRPr="006B0BED" w:rsidR="002279DE">
        <w:rPr>
          <w:rFonts w:ascii="Arial" w:hAnsi="Arial" w:cs="Arial"/>
          <w:sz w:val="22"/>
          <w:szCs w:val="22"/>
        </w:rPr>
        <w:t xml:space="preserve"> </w:t>
      </w:r>
      <w:r w:rsidRPr="006B0BED" w:rsidR="000A3AF2">
        <w:rPr>
          <w:rFonts w:ascii="Arial" w:hAnsi="Arial" w:cs="Arial"/>
          <w:sz w:val="22"/>
          <w:szCs w:val="22"/>
        </w:rPr>
        <w:t xml:space="preserve">commenter responded to the NRC’s question on the estimate of the burden and indicated that the number of responses per site and the time per response estimated by the NRC for the fingerprinting provisions in </w:t>
      </w:r>
      <w:r w:rsidRPr="00892F28" w:rsidR="000A3AF2">
        <w:rPr>
          <w:rFonts w:ascii="Arial" w:hAnsi="Arial" w:cs="Arial"/>
          <w:sz w:val="22"/>
          <w:szCs w:val="22"/>
        </w:rPr>
        <w:t>proposed §</w:t>
      </w:r>
      <w:r w:rsidR="002A26B3">
        <w:rPr>
          <w:rFonts w:ascii="Arial" w:hAnsi="Arial" w:cs="Arial"/>
          <w:sz w:val="22"/>
          <w:szCs w:val="22"/>
        </w:rPr>
        <w:t> </w:t>
      </w:r>
      <w:r w:rsidRPr="00892F28" w:rsidR="0007735A">
        <w:rPr>
          <w:rFonts w:ascii="Arial" w:hAnsi="Arial" w:cs="Arial"/>
          <w:sz w:val="22"/>
          <w:szCs w:val="22"/>
        </w:rPr>
        <w:t>73.17</w:t>
      </w:r>
      <w:r w:rsidRPr="00892F28" w:rsidR="000A3AF2">
        <w:rPr>
          <w:rFonts w:ascii="Arial" w:hAnsi="Arial" w:cs="Arial"/>
          <w:sz w:val="22"/>
          <w:szCs w:val="22"/>
        </w:rPr>
        <w:t>(e)(1) were too low.  The commenter suggested a better estimate of the burdens</w:t>
      </w:r>
      <w:r w:rsidRPr="006B0BED" w:rsidR="000A3AF2">
        <w:rPr>
          <w:rFonts w:ascii="Arial" w:hAnsi="Arial" w:cs="Arial"/>
          <w:sz w:val="22"/>
          <w:szCs w:val="22"/>
        </w:rPr>
        <w:t xml:space="preserve"> would be 975 annual responses per site per year and that the time to accomplish each response would be 1 hour.</w:t>
      </w:r>
    </w:p>
    <w:p w:rsidR="000A3AF2" w:rsidP="004E3E64" w:rsidRDefault="000A3AF2" w14:paraId="7FB04EB2" w14:textId="77777777">
      <w:pPr>
        <w:widowControl/>
        <w:tabs>
          <w:tab w:val="left" w:pos="-1440"/>
          <w:tab w:val="num" w:pos="1440"/>
        </w:tabs>
        <w:ind w:left="1440"/>
        <w:rPr>
          <w:rFonts w:ascii="Arial" w:hAnsi="Arial" w:cs="Arial"/>
          <w:sz w:val="22"/>
          <w:szCs w:val="22"/>
        </w:rPr>
      </w:pPr>
    </w:p>
    <w:p w:rsidR="000A3AF2" w:rsidP="004E3E64" w:rsidRDefault="000A3AF2" w14:paraId="29C80198" w14:textId="744AD4A4">
      <w:pPr>
        <w:widowControl/>
        <w:tabs>
          <w:tab w:val="left" w:pos="-1440"/>
          <w:tab w:val="num" w:pos="1440"/>
        </w:tabs>
        <w:ind w:left="1440"/>
        <w:rPr>
          <w:rFonts w:ascii="Arial" w:hAnsi="Arial" w:cs="Arial"/>
          <w:sz w:val="22"/>
          <w:szCs w:val="22"/>
        </w:rPr>
      </w:pPr>
      <w:r w:rsidRPr="006B0BED">
        <w:rPr>
          <w:rFonts w:ascii="Arial" w:hAnsi="Arial" w:cs="Arial"/>
          <w:sz w:val="22"/>
          <w:szCs w:val="22"/>
        </w:rPr>
        <w:t xml:space="preserve">Response: </w:t>
      </w:r>
      <w:r w:rsidR="002A26B3">
        <w:rPr>
          <w:rFonts w:ascii="Arial" w:hAnsi="Arial" w:cs="Arial"/>
          <w:sz w:val="22"/>
          <w:szCs w:val="22"/>
        </w:rPr>
        <w:t xml:space="preserve"> </w:t>
      </w:r>
      <w:r w:rsidRPr="006B0BED">
        <w:rPr>
          <w:rFonts w:ascii="Arial" w:hAnsi="Arial" w:cs="Arial"/>
          <w:sz w:val="22"/>
          <w:szCs w:val="22"/>
        </w:rPr>
        <w:t xml:space="preserve">The NRC </w:t>
      </w:r>
      <w:r w:rsidR="00665870">
        <w:rPr>
          <w:rFonts w:ascii="Arial" w:hAnsi="Arial" w:cs="Arial"/>
          <w:sz w:val="22"/>
          <w:szCs w:val="22"/>
        </w:rPr>
        <w:t xml:space="preserve">initially </w:t>
      </w:r>
      <w:r w:rsidRPr="006B0BED">
        <w:rPr>
          <w:rFonts w:ascii="Arial" w:hAnsi="Arial" w:cs="Arial"/>
          <w:sz w:val="22"/>
          <w:szCs w:val="22"/>
        </w:rPr>
        <w:t xml:space="preserve">revised the estimated information collection burden for this provision in </w:t>
      </w:r>
      <w:r w:rsidR="002279DE">
        <w:rPr>
          <w:rFonts w:ascii="Arial" w:hAnsi="Arial" w:cs="Arial"/>
          <w:sz w:val="22"/>
          <w:szCs w:val="22"/>
        </w:rPr>
        <w:t>the 2011</w:t>
      </w:r>
      <w:r w:rsidRPr="006B0BED" w:rsidR="002279DE">
        <w:rPr>
          <w:rFonts w:ascii="Arial" w:hAnsi="Arial" w:cs="Arial"/>
          <w:sz w:val="22"/>
          <w:szCs w:val="22"/>
        </w:rPr>
        <w:t xml:space="preserve"> </w:t>
      </w:r>
      <w:r w:rsidRPr="006B0BED">
        <w:rPr>
          <w:rFonts w:ascii="Arial" w:hAnsi="Arial" w:cs="Arial"/>
          <w:sz w:val="22"/>
          <w:szCs w:val="22"/>
        </w:rPr>
        <w:t>proposed rule to reflect the</w:t>
      </w:r>
      <w:r w:rsidR="00C13568">
        <w:rPr>
          <w:rFonts w:ascii="Arial" w:hAnsi="Arial" w:cs="Arial"/>
          <w:sz w:val="22"/>
          <w:szCs w:val="22"/>
        </w:rPr>
        <w:t xml:space="preserve"> </w:t>
      </w:r>
      <w:r w:rsidR="00665870">
        <w:rPr>
          <w:rFonts w:ascii="Arial" w:hAnsi="Arial" w:cs="Arial"/>
          <w:sz w:val="22"/>
          <w:szCs w:val="22"/>
        </w:rPr>
        <w:t xml:space="preserve">commenter’s suggestion.  </w:t>
      </w:r>
      <w:r w:rsidR="00B12CEA">
        <w:rPr>
          <w:rFonts w:ascii="Arial" w:hAnsi="Arial" w:cs="Arial"/>
          <w:sz w:val="22"/>
          <w:szCs w:val="22"/>
        </w:rPr>
        <w:t>However, i</w:t>
      </w:r>
      <w:r w:rsidR="00665870">
        <w:rPr>
          <w:rFonts w:ascii="Arial" w:hAnsi="Arial" w:cs="Arial"/>
          <w:sz w:val="22"/>
          <w:szCs w:val="22"/>
        </w:rPr>
        <w:t xml:space="preserve">n the final rule the NRC used the </w:t>
      </w:r>
      <w:r w:rsidR="00C13568">
        <w:rPr>
          <w:rFonts w:ascii="Arial" w:hAnsi="Arial" w:cs="Arial"/>
          <w:sz w:val="22"/>
          <w:szCs w:val="22"/>
        </w:rPr>
        <w:t xml:space="preserve">actual submission </w:t>
      </w:r>
      <w:r w:rsidR="00665870">
        <w:rPr>
          <w:rFonts w:ascii="Arial" w:hAnsi="Arial" w:cs="Arial"/>
          <w:sz w:val="22"/>
          <w:szCs w:val="22"/>
        </w:rPr>
        <w:t xml:space="preserve">information from the </w:t>
      </w:r>
      <w:r w:rsidR="00C13568">
        <w:rPr>
          <w:rFonts w:ascii="Arial" w:hAnsi="Arial" w:cs="Arial"/>
          <w:sz w:val="22"/>
          <w:szCs w:val="22"/>
        </w:rPr>
        <w:t xml:space="preserve">Firearms Background checks experienced under confirmatory </w:t>
      </w:r>
      <w:r w:rsidR="00415AFB">
        <w:rPr>
          <w:rFonts w:ascii="Arial" w:hAnsi="Arial" w:cs="Arial"/>
          <w:sz w:val="22"/>
          <w:szCs w:val="22"/>
        </w:rPr>
        <w:t>o</w:t>
      </w:r>
      <w:r w:rsidR="00C13568">
        <w:rPr>
          <w:rFonts w:ascii="Arial" w:hAnsi="Arial" w:cs="Arial"/>
          <w:sz w:val="22"/>
          <w:szCs w:val="22"/>
        </w:rPr>
        <w:t>rder EA-13-092 by the 7 licensee</w:t>
      </w:r>
      <w:r w:rsidR="000B7BC5">
        <w:rPr>
          <w:rFonts w:ascii="Arial" w:hAnsi="Arial" w:cs="Arial"/>
          <w:sz w:val="22"/>
          <w:szCs w:val="22"/>
        </w:rPr>
        <w:t xml:space="preserve"> site</w:t>
      </w:r>
      <w:r w:rsidR="00C13568">
        <w:rPr>
          <w:rFonts w:ascii="Arial" w:hAnsi="Arial" w:cs="Arial"/>
          <w:sz w:val="22"/>
          <w:szCs w:val="22"/>
        </w:rPr>
        <w:t>s</w:t>
      </w:r>
      <w:r w:rsidRPr="006B0BED">
        <w:rPr>
          <w:rFonts w:ascii="Arial" w:hAnsi="Arial" w:cs="Arial"/>
          <w:sz w:val="22"/>
          <w:szCs w:val="22"/>
        </w:rPr>
        <w:t>.</w:t>
      </w:r>
    </w:p>
    <w:p w:rsidR="002279DE" w:rsidP="004E3E64" w:rsidRDefault="002279DE" w14:paraId="78F1F2AA" w14:textId="77777777">
      <w:pPr>
        <w:widowControl/>
        <w:tabs>
          <w:tab w:val="left" w:pos="-1440"/>
          <w:tab w:val="num" w:pos="1440"/>
        </w:tabs>
        <w:ind w:left="1440"/>
        <w:rPr>
          <w:rFonts w:ascii="Arial" w:hAnsi="Arial" w:cs="Arial"/>
          <w:sz w:val="22"/>
          <w:szCs w:val="22"/>
        </w:rPr>
      </w:pPr>
    </w:p>
    <w:p w:rsidR="002279DE" w:rsidP="004E3E64" w:rsidRDefault="004456DE" w14:paraId="74F76AC7" w14:textId="31425741">
      <w:pPr>
        <w:widowControl/>
        <w:tabs>
          <w:tab w:val="left" w:pos="-1440"/>
          <w:tab w:val="num" w:pos="1440"/>
        </w:tabs>
        <w:ind w:left="1440"/>
        <w:rPr>
          <w:rFonts w:ascii="Arial" w:hAnsi="Arial" w:cs="Arial"/>
          <w:sz w:val="22"/>
          <w:szCs w:val="22"/>
        </w:rPr>
      </w:pPr>
      <w:r>
        <w:rPr>
          <w:rFonts w:ascii="Arial" w:hAnsi="Arial" w:cs="Arial"/>
          <w:sz w:val="22"/>
          <w:szCs w:val="22"/>
        </w:rPr>
        <w:t xml:space="preserve">These </w:t>
      </w:r>
      <w:r w:rsidRPr="007001EB">
        <w:rPr>
          <w:rFonts w:ascii="Arial" w:hAnsi="Arial" w:cs="Arial"/>
          <w:sz w:val="22"/>
          <w:szCs w:val="22"/>
        </w:rPr>
        <w:t>7 licensee</w:t>
      </w:r>
      <w:r w:rsidR="00C31D08">
        <w:rPr>
          <w:rFonts w:ascii="Arial" w:hAnsi="Arial" w:cs="Arial"/>
          <w:sz w:val="22"/>
          <w:szCs w:val="22"/>
        </w:rPr>
        <w:t xml:space="preserve"> sites</w:t>
      </w:r>
      <w:r>
        <w:rPr>
          <w:rFonts w:ascii="Arial" w:hAnsi="Arial" w:cs="Arial"/>
          <w:sz w:val="22"/>
          <w:szCs w:val="22"/>
        </w:rPr>
        <w:t xml:space="preserve"> constitute the estimated burden for accomplishing firearms background checks.  Under their orders, t</w:t>
      </w:r>
      <w:r w:rsidR="002279DE">
        <w:rPr>
          <w:rFonts w:ascii="Arial" w:hAnsi="Arial" w:cs="Arial"/>
          <w:sz w:val="22"/>
          <w:szCs w:val="22"/>
        </w:rPr>
        <w:t xml:space="preserve">hese licensees submitted </w:t>
      </w:r>
      <w:r w:rsidR="00431CA4">
        <w:rPr>
          <w:rFonts w:ascii="Arial" w:hAnsi="Arial" w:cs="Arial"/>
          <w:sz w:val="22"/>
          <w:szCs w:val="22"/>
        </w:rPr>
        <w:t>2</w:t>
      </w:r>
      <w:r w:rsidR="00834F39">
        <w:rPr>
          <w:rFonts w:ascii="Arial" w:hAnsi="Arial" w:cs="Arial"/>
          <w:sz w:val="22"/>
          <w:szCs w:val="22"/>
        </w:rPr>
        <w:t>,</w:t>
      </w:r>
      <w:r w:rsidR="00431CA4">
        <w:rPr>
          <w:rFonts w:ascii="Arial" w:hAnsi="Arial" w:cs="Arial"/>
          <w:sz w:val="22"/>
          <w:szCs w:val="22"/>
        </w:rPr>
        <w:t>1</w:t>
      </w:r>
      <w:r w:rsidR="00834F39">
        <w:rPr>
          <w:rFonts w:ascii="Arial" w:hAnsi="Arial" w:cs="Arial"/>
          <w:sz w:val="22"/>
          <w:szCs w:val="22"/>
        </w:rPr>
        <w:t>48</w:t>
      </w:r>
      <w:r w:rsidR="00431CA4">
        <w:rPr>
          <w:rFonts w:ascii="Arial" w:hAnsi="Arial" w:cs="Arial"/>
          <w:sz w:val="22"/>
          <w:szCs w:val="22"/>
        </w:rPr>
        <w:t xml:space="preserve"> </w:t>
      </w:r>
      <w:r w:rsidR="002279DE">
        <w:rPr>
          <w:rFonts w:ascii="Arial" w:hAnsi="Arial" w:cs="Arial"/>
          <w:sz w:val="22"/>
          <w:szCs w:val="22"/>
        </w:rPr>
        <w:t xml:space="preserve">individuals for firearms background checks.  This equates to </w:t>
      </w:r>
      <w:r w:rsidR="00431CA4">
        <w:rPr>
          <w:rFonts w:ascii="Arial" w:hAnsi="Arial" w:cs="Arial"/>
          <w:sz w:val="22"/>
          <w:szCs w:val="22"/>
        </w:rPr>
        <w:t xml:space="preserve">430 </w:t>
      </w:r>
      <w:r w:rsidR="00415AFB">
        <w:rPr>
          <w:rFonts w:ascii="Arial" w:hAnsi="Arial" w:cs="Arial"/>
          <w:sz w:val="22"/>
          <w:szCs w:val="22"/>
        </w:rPr>
        <w:t xml:space="preserve">firearms background </w:t>
      </w:r>
      <w:r w:rsidR="00DE4751">
        <w:rPr>
          <w:rFonts w:ascii="Arial" w:hAnsi="Arial" w:cs="Arial"/>
          <w:sz w:val="22"/>
          <w:szCs w:val="22"/>
        </w:rPr>
        <w:t xml:space="preserve">checks per year </w:t>
      </w:r>
      <w:r w:rsidR="00AB27BC">
        <w:rPr>
          <w:rFonts w:ascii="Arial" w:hAnsi="Arial" w:cs="Arial"/>
          <w:sz w:val="22"/>
          <w:szCs w:val="22"/>
        </w:rPr>
        <w:t>(over a 5</w:t>
      </w:r>
      <w:r w:rsidR="00AB27BC">
        <w:rPr>
          <w:rFonts w:ascii="Arial" w:hAnsi="Arial" w:cs="Arial"/>
          <w:sz w:val="22"/>
          <w:szCs w:val="22"/>
        </w:rPr>
        <w:noBreakHyphen/>
        <w:t xml:space="preserve">year period) </w:t>
      </w:r>
      <w:r w:rsidR="00DE4751">
        <w:rPr>
          <w:rFonts w:ascii="Arial" w:hAnsi="Arial" w:cs="Arial"/>
          <w:sz w:val="22"/>
          <w:szCs w:val="22"/>
        </w:rPr>
        <w:t xml:space="preserve">for the </w:t>
      </w:r>
      <w:r w:rsidRPr="007001EB" w:rsidR="00DE4751">
        <w:rPr>
          <w:rFonts w:ascii="Arial" w:hAnsi="Arial" w:cs="Arial"/>
          <w:sz w:val="22"/>
          <w:szCs w:val="22"/>
        </w:rPr>
        <w:t>7 affected licensee</w:t>
      </w:r>
      <w:r w:rsidRPr="007001EB" w:rsidR="00AC0A68">
        <w:rPr>
          <w:rFonts w:ascii="Arial" w:hAnsi="Arial" w:cs="Arial"/>
          <w:sz w:val="22"/>
          <w:szCs w:val="22"/>
        </w:rPr>
        <w:t xml:space="preserve"> sites</w:t>
      </w:r>
      <w:r w:rsidR="00DE4751">
        <w:rPr>
          <w:rFonts w:ascii="Arial" w:hAnsi="Arial" w:cs="Arial"/>
          <w:sz w:val="22"/>
          <w:szCs w:val="22"/>
        </w:rPr>
        <w:t>.</w:t>
      </w:r>
      <w:r w:rsidR="00B12CEA">
        <w:rPr>
          <w:rFonts w:ascii="Arial" w:hAnsi="Arial" w:cs="Arial"/>
          <w:sz w:val="22"/>
          <w:szCs w:val="22"/>
        </w:rPr>
        <w:t xml:space="preserve">  </w:t>
      </w:r>
      <w:r w:rsidR="00415AFB">
        <w:rPr>
          <w:rFonts w:ascii="Arial" w:hAnsi="Arial" w:cs="Arial"/>
          <w:sz w:val="22"/>
          <w:szCs w:val="22"/>
        </w:rPr>
        <w:t>I</w:t>
      </w:r>
      <w:r w:rsidR="00B12CEA">
        <w:rPr>
          <w:rFonts w:ascii="Arial" w:hAnsi="Arial" w:cs="Arial"/>
          <w:sz w:val="22"/>
          <w:szCs w:val="22"/>
        </w:rPr>
        <w:t>n the final rule</w:t>
      </w:r>
      <w:r w:rsidR="00415AFB">
        <w:rPr>
          <w:rFonts w:ascii="Arial" w:hAnsi="Arial" w:cs="Arial"/>
          <w:sz w:val="22"/>
          <w:szCs w:val="22"/>
        </w:rPr>
        <w:t xml:space="preserve">, the NRC </w:t>
      </w:r>
      <w:r w:rsidR="00B12CEA">
        <w:rPr>
          <w:rFonts w:ascii="Arial" w:hAnsi="Arial" w:cs="Arial"/>
          <w:sz w:val="22"/>
          <w:szCs w:val="22"/>
        </w:rPr>
        <w:t xml:space="preserve">assumes </w:t>
      </w:r>
      <w:r w:rsidR="00415AFB">
        <w:rPr>
          <w:rFonts w:ascii="Arial" w:hAnsi="Arial" w:cs="Arial"/>
          <w:sz w:val="22"/>
          <w:szCs w:val="22"/>
        </w:rPr>
        <w:t xml:space="preserve">there will be </w:t>
      </w:r>
      <w:r w:rsidR="00B12CEA">
        <w:rPr>
          <w:rFonts w:ascii="Arial" w:hAnsi="Arial" w:cs="Arial"/>
          <w:sz w:val="22"/>
          <w:szCs w:val="22"/>
        </w:rPr>
        <w:t xml:space="preserve">430 </w:t>
      </w:r>
      <w:r w:rsidR="00415AFB">
        <w:rPr>
          <w:rFonts w:ascii="Arial" w:hAnsi="Arial" w:cs="Arial"/>
          <w:sz w:val="22"/>
          <w:szCs w:val="22"/>
        </w:rPr>
        <w:t xml:space="preserve">firearms background </w:t>
      </w:r>
      <w:r w:rsidR="00B12CEA">
        <w:rPr>
          <w:rFonts w:ascii="Arial" w:hAnsi="Arial" w:cs="Arial"/>
          <w:sz w:val="22"/>
          <w:szCs w:val="22"/>
        </w:rPr>
        <w:t xml:space="preserve">checks per year plus 120 </w:t>
      </w:r>
      <w:r w:rsidR="00327C95">
        <w:rPr>
          <w:rFonts w:ascii="Arial" w:hAnsi="Arial" w:cs="Arial"/>
          <w:sz w:val="22"/>
          <w:szCs w:val="22"/>
        </w:rPr>
        <w:t xml:space="preserve">additional </w:t>
      </w:r>
      <w:r w:rsidR="00415AFB">
        <w:rPr>
          <w:rFonts w:ascii="Arial" w:hAnsi="Arial" w:cs="Arial"/>
          <w:sz w:val="22"/>
          <w:szCs w:val="22"/>
        </w:rPr>
        <w:t xml:space="preserve">firearms background </w:t>
      </w:r>
      <w:r w:rsidR="00B12CEA">
        <w:rPr>
          <w:rFonts w:ascii="Arial" w:hAnsi="Arial" w:cs="Arial"/>
          <w:sz w:val="22"/>
          <w:szCs w:val="22"/>
        </w:rPr>
        <w:t>checks for new employees and break-in-service submittals</w:t>
      </w:r>
      <w:r w:rsidR="00415AFB">
        <w:rPr>
          <w:rFonts w:ascii="Arial" w:hAnsi="Arial" w:cs="Arial"/>
          <w:sz w:val="22"/>
          <w:szCs w:val="22"/>
        </w:rPr>
        <w:t xml:space="preserve"> for a total of 550 checks per year</w:t>
      </w:r>
      <w:r w:rsidR="00B12CEA">
        <w:rPr>
          <w:rFonts w:ascii="Arial" w:hAnsi="Arial" w:cs="Arial"/>
          <w:sz w:val="22"/>
          <w:szCs w:val="22"/>
        </w:rPr>
        <w:t>.</w:t>
      </w:r>
    </w:p>
    <w:p w:rsidR="00296384" w:rsidP="00577D64" w:rsidRDefault="00296384" w14:paraId="52C83A6B" w14:textId="77777777">
      <w:pPr>
        <w:keepNext/>
        <w:keepLines/>
        <w:widowControl/>
        <w:ind w:left="720"/>
        <w:rPr>
          <w:rFonts w:ascii="Arial" w:hAnsi="Arial" w:cs="Arial"/>
          <w:sz w:val="22"/>
          <w:szCs w:val="22"/>
        </w:rPr>
      </w:pPr>
    </w:p>
    <w:p w:rsidRPr="00082AE6" w:rsidR="00A16C86" w:rsidP="00C13568" w:rsidRDefault="00A16C86" w14:paraId="66760AE3" w14:textId="1ED1230E">
      <w:pPr>
        <w:widowControl/>
        <w:ind w:left="720"/>
        <w:rPr>
          <w:rFonts w:ascii="Arial" w:hAnsi="Arial" w:cs="Arial"/>
          <w:sz w:val="22"/>
          <w:szCs w:val="22"/>
        </w:rPr>
      </w:pPr>
      <w:r w:rsidRPr="00082AE6">
        <w:rPr>
          <w:rFonts w:ascii="Arial" w:hAnsi="Arial" w:cs="Arial"/>
          <w:sz w:val="22"/>
          <w:szCs w:val="22"/>
        </w:rPr>
        <w:t xml:space="preserve">The 2011 proposed rule would implement the provisions of Section 161A and would make several changes to the security event notification requirements in </w:t>
      </w:r>
      <w:r w:rsidRPr="00082AE6" w:rsidR="00FB0398">
        <w:rPr>
          <w:rFonts w:ascii="Arial" w:hAnsi="Arial" w:cs="Arial"/>
          <w:sz w:val="22"/>
          <w:szCs w:val="22"/>
        </w:rPr>
        <w:t>P</w:t>
      </w:r>
      <w:r w:rsidRPr="00082AE6">
        <w:rPr>
          <w:rFonts w:ascii="Arial" w:hAnsi="Arial" w:cs="Arial"/>
          <w:sz w:val="22"/>
          <w:szCs w:val="22"/>
        </w:rPr>
        <w:t xml:space="preserve">art 73. </w:t>
      </w:r>
      <w:r w:rsidRPr="00082AE6" w:rsidR="00FB0398">
        <w:rPr>
          <w:rFonts w:ascii="Arial" w:hAnsi="Arial" w:cs="Arial"/>
          <w:sz w:val="22"/>
          <w:szCs w:val="22"/>
        </w:rPr>
        <w:t xml:space="preserve"> </w:t>
      </w:r>
      <w:r w:rsidRPr="00082AE6">
        <w:rPr>
          <w:rFonts w:ascii="Arial" w:hAnsi="Arial" w:cs="Arial"/>
          <w:sz w:val="22"/>
          <w:szCs w:val="22"/>
        </w:rPr>
        <w:t xml:space="preserve">The public was provided 180 days to review and comment on the 2011 proposed rule and associated guidance.  In addition, </w:t>
      </w:r>
      <w:r w:rsidRPr="00082AE6" w:rsidR="00A8396E">
        <w:rPr>
          <w:rFonts w:ascii="Arial" w:hAnsi="Arial" w:cs="Arial"/>
          <w:sz w:val="22"/>
          <w:szCs w:val="22"/>
        </w:rPr>
        <w:t>o</w:t>
      </w:r>
      <w:r w:rsidRPr="00082AE6">
        <w:rPr>
          <w:rFonts w:ascii="Arial" w:hAnsi="Arial" w:cs="Arial"/>
          <w:sz w:val="22"/>
          <w:szCs w:val="22"/>
        </w:rPr>
        <w:t xml:space="preserve">n January 10, 2013, the NRC published a supplemental proposed rule to add at-reactor ISFSIs as a class of designated facilities under § </w:t>
      </w:r>
      <w:r w:rsidRPr="00082AE6" w:rsidR="0007735A">
        <w:rPr>
          <w:rFonts w:ascii="Arial" w:hAnsi="Arial" w:cs="Arial"/>
          <w:sz w:val="22"/>
          <w:szCs w:val="22"/>
        </w:rPr>
        <w:t>73.15</w:t>
      </w:r>
      <w:r w:rsidRPr="00082AE6">
        <w:rPr>
          <w:rFonts w:ascii="Arial" w:hAnsi="Arial" w:cs="Arial"/>
          <w:sz w:val="22"/>
          <w:szCs w:val="22"/>
        </w:rPr>
        <w:t xml:space="preserve">(c) that would </w:t>
      </w:r>
      <w:r w:rsidRPr="00082AE6">
        <w:rPr>
          <w:rFonts w:ascii="Arial" w:hAnsi="Arial" w:cs="Arial"/>
          <w:sz w:val="22"/>
          <w:szCs w:val="22"/>
        </w:rPr>
        <w:lastRenderedPageBreak/>
        <w:t xml:space="preserve">be eligible to apply for Section 161A authority.  The public was provided 45 days to review and comment on the 2013 supplemental proposed rule. </w:t>
      </w:r>
      <w:r w:rsidRPr="00082AE6" w:rsidR="00FB0398">
        <w:rPr>
          <w:rFonts w:ascii="Arial" w:hAnsi="Arial" w:cs="Arial"/>
          <w:sz w:val="22"/>
          <w:szCs w:val="22"/>
        </w:rPr>
        <w:t xml:space="preserve">On September 22, 2015, the NRC published a </w:t>
      </w:r>
      <w:r w:rsidRPr="00082AE6" w:rsidR="00A8396E">
        <w:rPr>
          <w:rFonts w:ascii="Arial" w:hAnsi="Arial" w:cs="Arial"/>
          <w:sz w:val="22"/>
          <w:szCs w:val="22"/>
        </w:rPr>
        <w:t xml:space="preserve">second </w:t>
      </w:r>
      <w:r w:rsidRPr="00082AE6" w:rsidR="00FB0398">
        <w:rPr>
          <w:rFonts w:ascii="Arial" w:hAnsi="Arial" w:cs="Arial"/>
          <w:sz w:val="22"/>
          <w:szCs w:val="22"/>
        </w:rPr>
        <w:t>supplemental proposed rule</w:t>
      </w:r>
      <w:r w:rsidRPr="00082AE6" w:rsidR="002636FA">
        <w:rPr>
          <w:rFonts w:ascii="Arial" w:hAnsi="Arial" w:cs="Arial"/>
          <w:sz w:val="22"/>
          <w:szCs w:val="22"/>
        </w:rPr>
        <w:t xml:space="preserve"> </w:t>
      </w:r>
      <w:r w:rsidRPr="00082AE6" w:rsidR="00FB0398">
        <w:rPr>
          <w:rFonts w:ascii="Arial" w:hAnsi="Arial" w:cs="Arial"/>
          <w:sz w:val="22"/>
          <w:szCs w:val="22"/>
        </w:rPr>
        <w:t>to incorporate changes from the revised 2014 Firearms Guidelines</w:t>
      </w:r>
      <w:r w:rsidRPr="00082AE6" w:rsidR="002636FA">
        <w:rPr>
          <w:rFonts w:ascii="Arial" w:hAnsi="Arial" w:cs="Arial"/>
          <w:sz w:val="22"/>
          <w:szCs w:val="22"/>
        </w:rPr>
        <w:t xml:space="preserve">. </w:t>
      </w:r>
      <w:r w:rsidRPr="00082AE6" w:rsidR="00FB0398">
        <w:rPr>
          <w:rFonts w:ascii="Arial" w:hAnsi="Arial" w:cs="Arial"/>
          <w:sz w:val="22"/>
          <w:szCs w:val="22"/>
        </w:rPr>
        <w:t xml:space="preserve"> </w:t>
      </w:r>
      <w:r w:rsidRPr="00082AE6" w:rsidR="00FC6B7F">
        <w:rPr>
          <w:rFonts w:ascii="Arial" w:hAnsi="Arial" w:cs="Arial"/>
          <w:sz w:val="22"/>
          <w:szCs w:val="22"/>
        </w:rPr>
        <w:t>The following is a summary of the major comments that impact the accomplishment of firearms background checks and thus the information collection burden associated with NRC Form 754.</w:t>
      </w:r>
    </w:p>
    <w:p w:rsidRPr="00082AE6" w:rsidR="0035037C" w:rsidP="00A16C86" w:rsidRDefault="0035037C" w14:paraId="598C9582" w14:textId="77777777">
      <w:pPr>
        <w:keepNext/>
        <w:keepLines/>
        <w:widowControl/>
        <w:ind w:left="720"/>
        <w:rPr>
          <w:rFonts w:ascii="Arial" w:hAnsi="Arial" w:cs="Arial"/>
          <w:sz w:val="22"/>
          <w:szCs w:val="22"/>
        </w:rPr>
      </w:pPr>
    </w:p>
    <w:p w:rsidRPr="00082AE6" w:rsidR="0035037C" w:rsidP="00AB27BC" w:rsidRDefault="0035037C" w14:paraId="01507D6A" w14:textId="77777777">
      <w:pPr>
        <w:pStyle w:val="ListParagraph"/>
        <w:widowControl/>
        <w:numPr>
          <w:ilvl w:val="0"/>
          <w:numId w:val="15"/>
        </w:numPr>
        <w:rPr>
          <w:rFonts w:ascii="Arial" w:hAnsi="Arial" w:cs="Arial"/>
          <w:sz w:val="22"/>
          <w:szCs w:val="22"/>
        </w:rPr>
      </w:pPr>
      <w:r w:rsidRPr="00082AE6">
        <w:rPr>
          <w:rFonts w:ascii="Arial" w:hAnsi="Arial" w:cs="Arial"/>
          <w:sz w:val="22"/>
          <w:szCs w:val="22"/>
        </w:rPr>
        <w:t>Comments were received on the</w:t>
      </w:r>
      <w:r w:rsidRPr="00082AE6" w:rsidR="006F71F2">
        <w:rPr>
          <w:rFonts w:ascii="Arial" w:hAnsi="Arial" w:cs="Arial"/>
          <w:sz w:val="22"/>
          <w:szCs w:val="22"/>
        </w:rPr>
        <w:t xml:space="preserve"> break-in-service firearms background check provisions, which would decrease the information collection burden.  The NRC incorporated the comment in the 2015 supplemental proposed rule on exceptions to conducting a break-in-service firearms background check.</w:t>
      </w:r>
    </w:p>
    <w:p w:rsidRPr="00082AE6" w:rsidR="006F71F2" w:rsidP="00AB27BC" w:rsidRDefault="006F71F2" w14:paraId="07E7EF2D" w14:textId="77777777">
      <w:pPr>
        <w:widowControl/>
        <w:ind w:left="720"/>
        <w:rPr>
          <w:rFonts w:ascii="Arial" w:hAnsi="Arial" w:cs="Arial"/>
          <w:sz w:val="22"/>
          <w:szCs w:val="22"/>
        </w:rPr>
      </w:pPr>
    </w:p>
    <w:p w:rsidRPr="00082AE6" w:rsidR="006F71F2" w:rsidP="00AB27BC" w:rsidRDefault="006F71F2" w14:paraId="67CF5681" w14:textId="77777777">
      <w:pPr>
        <w:pStyle w:val="ListParagraph"/>
        <w:widowControl/>
        <w:numPr>
          <w:ilvl w:val="0"/>
          <w:numId w:val="15"/>
        </w:numPr>
        <w:rPr>
          <w:rFonts w:ascii="Arial" w:hAnsi="Arial" w:cs="Arial"/>
          <w:sz w:val="22"/>
          <w:szCs w:val="22"/>
        </w:rPr>
      </w:pPr>
      <w:r w:rsidRPr="00082AE6">
        <w:rPr>
          <w:rFonts w:ascii="Arial" w:hAnsi="Arial" w:cs="Arial"/>
          <w:sz w:val="22"/>
          <w:szCs w:val="22"/>
        </w:rPr>
        <w:t xml:space="preserve">Comments were received on the time interval between periodic firearms background checks recommending a 5-year interval, which would decrease the information collection burden. </w:t>
      </w:r>
      <w:r w:rsidRPr="00082AE6" w:rsidR="00A8396E">
        <w:rPr>
          <w:rFonts w:ascii="Arial" w:hAnsi="Arial" w:cs="Arial"/>
          <w:sz w:val="22"/>
          <w:szCs w:val="22"/>
        </w:rPr>
        <w:t xml:space="preserve"> </w:t>
      </w:r>
      <w:r w:rsidRPr="00082AE6">
        <w:rPr>
          <w:rFonts w:ascii="Arial" w:hAnsi="Arial" w:cs="Arial"/>
          <w:sz w:val="22"/>
          <w:szCs w:val="22"/>
        </w:rPr>
        <w:t xml:space="preserve">The NRC incorporated </w:t>
      </w:r>
      <w:r w:rsidRPr="00082AE6" w:rsidR="00093202">
        <w:rPr>
          <w:rFonts w:ascii="Arial" w:hAnsi="Arial" w:cs="Arial"/>
          <w:sz w:val="22"/>
          <w:szCs w:val="22"/>
        </w:rPr>
        <w:t>this</w:t>
      </w:r>
      <w:r w:rsidRPr="00082AE6">
        <w:rPr>
          <w:rFonts w:ascii="Arial" w:hAnsi="Arial" w:cs="Arial"/>
          <w:sz w:val="22"/>
          <w:szCs w:val="22"/>
        </w:rPr>
        <w:t xml:space="preserve"> comment in the 2015 supplemental proposed </w:t>
      </w:r>
      <w:proofErr w:type="gramStart"/>
      <w:r w:rsidRPr="00082AE6">
        <w:rPr>
          <w:rFonts w:ascii="Arial" w:hAnsi="Arial" w:cs="Arial"/>
          <w:sz w:val="22"/>
          <w:szCs w:val="22"/>
        </w:rPr>
        <w:t>rule</w:t>
      </w:r>
      <w:proofErr w:type="gramEnd"/>
      <w:r w:rsidRPr="00082AE6" w:rsidR="00093202">
        <w:rPr>
          <w:rFonts w:ascii="Arial" w:hAnsi="Arial" w:cs="Arial"/>
          <w:sz w:val="22"/>
          <w:szCs w:val="22"/>
        </w:rPr>
        <w:t xml:space="preserve"> and it is retained in the final rule</w:t>
      </w:r>
      <w:r w:rsidRPr="00082AE6">
        <w:rPr>
          <w:rFonts w:ascii="Arial" w:hAnsi="Arial" w:cs="Arial"/>
          <w:sz w:val="22"/>
          <w:szCs w:val="22"/>
        </w:rPr>
        <w:t>.</w:t>
      </w:r>
    </w:p>
    <w:p w:rsidRPr="00082AE6" w:rsidR="006F71F2" w:rsidP="00AB27BC" w:rsidRDefault="006F71F2" w14:paraId="1836914F" w14:textId="77777777">
      <w:pPr>
        <w:widowControl/>
        <w:ind w:left="720"/>
        <w:rPr>
          <w:rFonts w:ascii="Arial" w:hAnsi="Arial" w:cs="Arial"/>
          <w:sz w:val="22"/>
          <w:szCs w:val="22"/>
        </w:rPr>
      </w:pPr>
    </w:p>
    <w:p w:rsidRPr="00082AE6" w:rsidR="006F71F2" w:rsidP="00AB27BC" w:rsidRDefault="006F71F2" w14:paraId="007137DB" w14:textId="77777777">
      <w:pPr>
        <w:pStyle w:val="ListParagraph"/>
        <w:widowControl/>
        <w:numPr>
          <w:ilvl w:val="0"/>
          <w:numId w:val="15"/>
        </w:numPr>
        <w:rPr>
          <w:rFonts w:ascii="Arial" w:hAnsi="Arial" w:cs="Arial"/>
          <w:sz w:val="22"/>
          <w:szCs w:val="22"/>
        </w:rPr>
      </w:pPr>
      <w:r w:rsidRPr="00082AE6">
        <w:rPr>
          <w:rFonts w:ascii="Arial" w:hAnsi="Arial" w:cs="Arial"/>
          <w:sz w:val="22"/>
          <w:szCs w:val="22"/>
        </w:rPr>
        <w:t>Comments were received on the retention period for firearms background check records.  No change was made to the information collection burden.</w:t>
      </w:r>
    </w:p>
    <w:p w:rsidRPr="00082AE6" w:rsidR="006F71F2" w:rsidP="00AB27BC" w:rsidRDefault="006F71F2" w14:paraId="127869DC" w14:textId="77777777">
      <w:pPr>
        <w:widowControl/>
        <w:ind w:left="720"/>
        <w:rPr>
          <w:rFonts w:ascii="Arial" w:hAnsi="Arial" w:cs="Arial"/>
          <w:sz w:val="22"/>
          <w:szCs w:val="22"/>
        </w:rPr>
      </w:pPr>
    </w:p>
    <w:p w:rsidRPr="00082AE6" w:rsidR="006F71F2" w:rsidP="00AB27BC" w:rsidRDefault="006F71F2" w14:paraId="3081D139" w14:textId="77777777">
      <w:pPr>
        <w:pStyle w:val="ListParagraph"/>
        <w:widowControl/>
        <w:numPr>
          <w:ilvl w:val="0"/>
          <w:numId w:val="15"/>
        </w:numPr>
        <w:rPr>
          <w:rFonts w:ascii="Arial" w:hAnsi="Arial" w:cs="Arial"/>
          <w:sz w:val="22"/>
          <w:szCs w:val="22"/>
        </w:rPr>
      </w:pPr>
      <w:r w:rsidRPr="00082AE6">
        <w:rPr>
          <w:rFonts w:ascii="Arial" w:hAnsi="Arial" w:cs="Arial"/>
          <w:sz w:val="22"/>
          <w:szCs w:val="22"/>
        </w:rPr>
        <w:t>Comments were received regarding</w:t>
      </w:r>
      <w:r w:rsidRPr="00082AE6" w:rsidR="00FC6B7F">
        <w:rPr>
          <w:rFonts w:ascii="Arial" w:hAnsi="Arial" w:cs="Arial"/>
          <w:sz w:val="22"/>
          <w:szCs w:val="22"/>
        </w:rPr>
        <w:t xml:space="preserve"> NRC licensees who are also Federal agencies submitting firearms background checks directly to the </w:t>
      </w:r>
      <w:proofErr w:type="gramStart"/>
      <w:r w:rsidRPr="00082AE6" w:rsidR="00FC6B7F">
        <w:rPr>
          <w:rFonts w:ascii="Arial" w:hAnsi="Arial" w:cs="Arial"/>
          <w:sz w:val="22"/>
          <w:szCs w:val="22"/>
        </w:rPr>
        <w:t>FBI;</w:t>
      </w:r>
      <w:proofErr w:type="gramEnd"/>
      <w:r w:rsidRPr="00082AE6" w:rsidR="00FC6B7F">
        <w:rPr>
          <w:rFonts w:ascii="Arial" w:hAnsi="Arial" w:cs="Arial"/>
          <w:sz w:val="22"/>
          <w:szCs w:val="22"/>
        </w:rPr>
        <w:t xml:space="preserve"> vice, the NRC.  This would reduce this information collection burden.</w:t>
      </w:r>
    </w:p>
    <w:p w:rsidRPr="00082AE6" w:rsidR="00E96074" w:rsidP="00E96074" w:rsidRDefault="00E96074" w14:paraId="7F4454CD" w14:textId="77777777">
      <w:pPr>
        <w:pStyle w:val="ListParagraph"/>
        <w:rPr>
          <w:rFonts w:ascii="Arial" w:hAnsi="Arial" w:cs="Arial"/>
          <w:sz w:val="22"/>
          <w:szCs w:val="22"/>
        </w:rPr>
      </w:pPr>
    </w:p>
    <w:p w:rsidRPr="00082AE6" w:rsidR="005348E9" w:rsidP="00415AFB" w:rsidRDefault="00415AFB" w14:paraId="7B7643E7" w14:textId="6023F8B6">
      <w:pPr>
        <w:keepNext/>
        <w:keepLines/>
        <w:widowControl/>
        <w:ind w:left="720"/>
        <w:rPr>
          <w:rFonts w:ascii="Arial" w:hAnsi="Arial" w:cs="Arial"/>
          <w:sz w:val="22"/>
          <w:szCs w:val="22"/>
        </w:rPr>
      </w:pPr>
      <w:r w:rsidRPr="00082AE6">
        <w:rPr>
          <w:rFonts w:ascii="Arial" w:hAnsi="Arial" w:cs="Arial"/>
          <w:sz w:val="22"/>
          <w:szCs w:val="22"/>
        </w:rPr>
        <w:t>A full summary of the public and other stakeholder comments on the 2011 proposed rule, 2013 supplemental proposed rule, and 2015 supplemental proposed rule, and NRC responses (ADAMS Accession No. ML16264A004) has been submitted as a supplementary document (“Supplemental Document #1, NRC Response to Public Comments – Enhanced Weapons, Firearms Background Checks, and Security Event Notifications Rule”)</w:t>
      </w:r>
    </w:p>
    <w:p w:rsidRPr="00082AE6" w:rsidR="00B81832" w:rsidP="00B81832" w:rsidRDefault="00B81832" w14:paraId="0317EE15" w14:textId="77777777">
      <w:pPr>
        <w:keepNext/>
        <w:keepLines/>
        <w:widowControl/>
        <w:ind w:left="720"/>
        <w:rPr>
          <w:rFonts w:ascii="Arial" w:hAnsi="Arial" w:cs="Arial"/>
          <w:sz w:val="22"/>
          <w:szCs w:val="22"/>
        </w:rPr>
      </w:pPr>
    </w:p>
    <w:p w:rsidRPr="00082AE6" w:rsidR="002B1B50" w:rsidP="00577D64" w:rsidRDefault="002B1B50" w14:paraId="4815442A" w14:textId="77777777">
      <w:pPr>
        <w:widowControl/>
        <w:tabs>
          <w:tab w:val="left" w:pos="-1440"/>
        </w:tabs>
        <w:ind w:left="1440" w:hanging="720"/>
        <w:rPr>
          <w:rFonts w:ascii="Arial" w:hAnsi="Arial" w:cs="Arial"/>
          <w:sz w:val="22"/>
          <w:szCs w:val="22"/>
        </w:rPr>
      </w:pPr>
      <w:r w:rsidRPr="00082AE6">
        <w:rPr>
          <w:rFonts w:ascii="Arial" w:hAnsi="Arial" w:cs="Arial"/>
          <w:sz w:val="22"/>
          <w:szCs w:val="22"/>
        </w:rPr>
        <w:t>9.</w:t>
      </w:r>
      <w:r w:rsidRPr="00082AE6">
        <w:rPr>
          <w:rFonts w:ascii="Arial" w:hAnsi="Arial" w:cs="Arial"/>
          <w:sz w:val="22"/>
          <w:szCs w:val="22"/>
        </w:rPr>
        <w:tab/>
      </w:r>
      <w:r w:rsidRPr="00082AE6">
        <w:rPr>
          <w:rFonts w:ascii="Arial" w:hAnsi="Arial" w:cs="Arial"/>
          <w:sz w:val="22"/>
          <w:szCs w:val="22"/>
          <w:u w:val="single"/>
        </w:rPr>
        <w:t>Payment or Gift to Respondents</w:t>
      </w:r>
    </w:p>
    <w:p w:rsidRPr="00082AE6" w:rsidR="002B1B50" w:rsidP="00577D64" w:rsidRDefault="002B1B50" w14:paraId="72E4E35D" w14:textId="77777777">
      <w:pPr>
        <w:widowControl/>
        <w:rPr>
          <w:rFonts w:ascii="Arial" w:hAnsi="Arial" w:cs="Arial"/>
          <w:sz w:val="22"/>
          <w:szCs w:val="22"/>
        </w:rPr>
      </w:pPr>
    </w:p>
    <w:p w:rsidRPr="00082AE6" w:rsidR="002B1B50" w:rsidP="00577D64" w:rsidRDefault="002B1B50" w14:paraId="51F34B0A" w14:textId="77777777">
      <w:pPr>
        <w:widowControl/>
        <w:ind w:firstLine="720"/>
        <w:rPr>
          <w:rFonts w:ascii="Arial" w:hAnsi="Arial" w:cs="Arial"/>
          <w:sz w:val="22"/>
          <w:szCs w:val="22"/>
        </w:rPr>
      </w:pPr>
      <w:r w:rsidRPr="00082AE6">
        <w:rPr>
          <w:rFonts w:ascii="Arial" w:hAnsi="Arial" w:cs="Arial"/>
          <w:sz w:val="22"/>
          <w:szCs w:val="22"/>
        </w:rPr>
        <w:t xml:space="preserve">Not </w:t>
      </w:r>
      <w:r w:rsidRPr="00082AE6" w:rsidR="00046E88">
        <w:rPr>
          <w:rFonts w:ascii="Arial" w:hAnsi="Arial" w:cs="Arial"/>
          <w:sz w:val="22"/>
          <w:szCs w:val="22"/>
        </w:rPr>
        <w:t>A</w:t>
      </w:r>
      <w:r w:rsidRPr="00082AE6">
        <w:rPr>
          <w:rFonts w:ascii="Arial" w:hAnsi="Arial" w:cs="Arial"/>
          <w:sz w:val="22"/>
          <w:szCs w:val="22"/>
        </w:rPr>
        <w:t>pplicable.</w:t>
      </w:r>
    </w:p>
    <w:p w:rsidRPr="00082AE6" w:rsidR="002B1B50" w:rsidP="00577D64" w:rsidRDefault="002B1B50" w14:paraId="7D9299F8" w14:textId="77777777">
      <w:pPr>
        <w:widowControl/>
        <w:rPr>
          <w:rFonts w:ascii="Arial" w:hAnsi="Arial" w:cs="Arial"/>
          <w:sz w:val="22"/>
          <w:szCs w:val="22"/>
        </w:rPr>
      </w:pPr>
    </w:p>
    <w:p w:rsidRPr="00082AE6" w:rsidR="002B1B50" w:rsidP="00495490" w:rsidRDefault="002B1B50" w14:paraId="7C29A90A" w14:textId="77777777">
      <w:pPr>
        <w:keepNext/>
        <w:keepLines/>
        <w:widowControl/>
        <w:tabs>
          <w:tab w:val="left" w:pos="-1440"/>
        </w:tabs>
        <w:ind w:left="1440" w:hanging="720"/>
        <w:rPr>
          <w:rFonts w:ascii="Arial" w:hAnsi="Arial" w:cs="Arial"/>
          <w:sz w:val="22"/>
          <w:szCs w:val="22"/>
          <w:u w:val="single"/>
        </w:rPr>
      </w:pPr>
      <w:r w:rsidRPr="00082AE6">
        <w:rPr>
          <w:rFonts w:ascii="Arial" w:hAnsi="Arial" w:cs="Arial"/>
          <w:sz w:val="22"/>
          <w:szCs w:val="22"/>
        </w:rPr>
        <w:t>10.</w:t>
      </w:r>
      <w:r w:rsidRPr="00082AE6">
        <w:rPr>
          <w:rFonts w:ascii="Arial" w:hAnsi="Arial" w:cs="Arial"/>
          <w:sz w:val="22"/>
          <w:szCs w:val="22"/>
        </w:rPr>
        <w:tab/>
      </w:r>
      <w:r w:rsidRPr="00082AE6">
        <w:rPr>
          <w:rFonts w:ascii="Arial" w:hAnsi="Arial" w:cs="Arial"/>
          <w:sz w:val="22"/>
          <w:szCs w:val="22"/>
          <w:u w:val="single"/>
        </w:rPr>
        <w:t>Confidentiality of Information</w:t>
      </w:r>
    </w:p>
    <w:p w:rsidRPr="00082AE6" w:rsidR="006A16B4" w:rsidP="00495490" w:rsidRDefault="006A16B4" w14:paraId="6546DED7" w14:textId="77777777">
      <w:pPr>
        <w:keepNext/>
        <w:keepLines/>
        <w:widowControl/>
        <w:ind w:left="720"/>
        <w:rPr>
          <w:rFonts w:ascii="Arial" w:hAnsi="Arial" w:cs="Arial"/>
          <w:sz w:val="22"/>
          <w:szCs w:val="22"/>
        </w:rPr>
      </w:pPr>
    </w:p>
    <w:p w:rsidRPr="00082AE6" w:rsidR="00AF1418" w:rsidP="00AF1418" w:rsidRDefault="00AF1418" w14:paraId="0D97BAA7" w14:textId="77777777">
      <w:pPr>
        <w:keepNext/>
        <w:keepLines/>
        <w:widowControl/>
        <w:ind w:left="720"/>
        <w:rPr>
          <w:rFonts w:ascii="Arial" w:hAnsi="Arial" w:cs="Arial"/>
          <w:sz w:val="22"/>
          <w:szCs w:val="22"/>
        </w:rPr>
      </w:pPr>
      <w:r w:rsidRPr="00082AE6">
        <w:rPr>
          <w:rFonts w:ascii="Arial" w:hAnsi="Arial" w:cs="Arial"/>
          <w:sz w:val="22"/>
          <w:szCs w:val="22"/>
        </w:rPr>
        <w:t>Sections 73.17(e) and 73.17(q) address confidentiality and protection of information regarding firearms background checks, including:  electronic transmission and records.</w:t>
      </w:r>
    </w:p>
    <w:p w:rsidRPr="00082AE6" w:rsidR="00AF1418" w:rsidP="00AF1418" w:rsidRDefault="00AF1418" w14:paraId="10E03EE2" w14:textId="77777777">
      <w:pPr>
        <w:widowControl/>
        <w:ind w:left="720"/>
        <w:rPr>
          <w:rFonts w:ascii="Arial" w:hAnsi="Arial" w:cs="Arial"/>
          <w:sz w:val="22"/>
          <w:szCs w:val="22"/>
        </w:rPr>
      </w:pPr>
    </w:p>
    <w:p w:rsidRPr="00082AE6" w:rsidR="00AF1418" w:rsidP="00AF1418" w:rsidRDefault="00AF1418" w14:paraId="05D93002" w14:textId="77777777">
      <w:pPr>
        <w:widowControl/>
        <w:ind w:left="720"/>
        <w:rPr>
          <w:rFonts w:ascii="Arial" w:hAnsi="Arial" w:cs="Arial"/>
          <w:sz w:val="22"/>
          <w:szCs w:val="22"/>
        </w:rPr>
      </w:pPr>
      <w:r w:rsidRPr="00082AE6">
        <w:rPr>
          <w:rFonts w:ascii="Arial" w:hAnsi="Arial" w:cs="Arial"/>
          <w:sz w:val="22"/>
          <w:szCs w:val="22"/>
        </w:rPr>
        <w:t xml:space="preserve">Section 73.17(q) requires that: </w:t>
      </w:r>
    </w:p>
    <w:p w:rsidRPr="00082AE6" w:rsidR="00AF1418" w:rsidP="00AF1418" w:rsidRDefault="00AF1418" w14:paraId="78137046" w14:textId="77777777">
      <w:pPr>
        <w:widowControl/>
        <w:ind w:left="720"/>
        <w:rPr>
          <w:rFonts w:ascii="Arial" w:hAnsi="Arial" w:cs="Arial"/>
          <w:sz w:val="22"/>
          <w:szCs w:val="22"/>
        </w:rPr>
      </w:pPr>
    </w:p>
    <w:p w:rsidRPr="00082AE6" w:rsidR="00AF1418" w:rsidP="00AF1418" w:rsidRDefault="00AF1418" w14:paraId="1CC72C70" w14:textId="45D57359">
      <w:pPr>
        <w:widowControl/>
        <w:ind w:left="1440" w:right="720"/>
        <w:rPr>
          <w:rFonts w:ascii="Arial" w:hAnsi="Arial" w:cs="Arial"/>
          <w:sz w:val="22"/>
          <w:szCs w:val="22"/>
        </w:rPr>
      </w:pPr>
      <w:r w:rsidRPr="00082AE6">
        <w:rPr>
          <w:rFonts w:ascii="Arial" w:hAnsi="Arial" w:eastAsia="Arial Unicode MS" w:cs="Arial"/>
          <w:sz w:val="22"/>
          <w:szCs w:val="22"/>
        </w:rPr>
        <w:t xml:space="preserve">The licensee may not disclose these records or </w:t>
      </w:r>
      <w:proofErr w:type="gramStart"/>
      <w:r w:rsidRPr="00082AE6">
        <w:rPr>
          <w:rFonts w:ascii="Arial" w:hAnsi="Arial" w:eastAsia="Arial Unicode MS" w:cs="Arial"/>
          <w:sz w:val="22"/>
          <w:szCs w:val="22"/>
        </w:rPr>
        <w:t>PII  to</w:t>
      </w:r>
      <w:proofErr w:type="gramEnd"/>
      <w:r w:rsidRPr="00082AE6">
        <w:rPr>
          <w:rFonts w:ascii="Arial" w:hAnsi="Arial" w:eastAsia="Arial Unicode MS" w:cs="Arial"/>
          <w:sz w:val="22"/>
          <w:szCs w:val="22"/>
        </w:rPr>
        <w:t xml:space="preserve"> persons other than the subject individual, his/her representative, or to those with a need to have access to the information in performing assigned duties in the process of granting access to covered weapons.  No individual authorized to have access to this information may disseminate the information to any other individual who does not have a need to know.</w:t>
      </w:r>
    </w:p>
    <w:p w:rsidRPr="00082AE6" w:rsidR="00AF1418" w:rsidP="00AF1418" w:rsidRDefault="00AF1418" w14:paraId="200073AB" w14:textId="77777777">
      <w:pPr>
        <w:widowControl/>
        <w:ind w:left="720"/>
        <w:rPr>
          <w:rFonts w:ascii="Arial" w:hAnsi="Arial" w:cs="Arial"/>
          <w:sz w:val="22"/>
          <w:szCs w:val="22"/>
        </w:rPr>
      </w:pPr>
    </w:p>
    <w:p w:rsidRPr="00082AE6" w:rsidR="00E96074" w:rsidP="00577D64" w:rsidRDefault="00AF1418" w14:paraId="52B7B9C2" w14:textId="067E3245">
      <w:pPr>
        <w:widowControl/>
        <w:ind w:left="720"/>
        <w:rPr>
          <w:rFonts w:ascii="Arial" w:hAnsi="Arial" w:cs="Arial"/>
          <w:sz w:val="22"/>
          <w:szCs w:val="22"/>
        </w:rPr>
      </w:pPr>
      <w:r w:rsidRPr="00082AE6">
        <w:rPr>
          <w:rFonts w:ascii="Arial" w:hAnsi="Arial" w:cs="Arial"/>
          <w:sz w:val="22"/>
          <w:szCs w:val="22"/>
        </w:rPr>
        <w:t>The</w:t>
      </w:r>
      <w:r w:rsidRPr="00082AE6" w:rsidR="00E96074">
        <w:rPr>
          <w:rFonts w:ascii="Arial" w:hAnsi="Arial" w:cs="Arial"/>
          <w:sz w:val="22"/>
          <w:szCs w:val="22"/>
        </w:rPr>
        <w:t xml:space="preserve"> information submitted on </w:t>
      </w:r>
      <w:r w:rsidRPr="00082AE6" w:rsidR="00A8396E">
        <w:rPr>
          <w:rFonts w:ascii="Arial" w:hAnsi="Arial" w:cs="Arial"/>
          <w:sz w:val="22"/>
          <w:szCs w:val="22"/>
        </w:rPr>
        <w:t>F</w:t>
      </w:r>
      <w:r w:rsidRPr="00082AE6" w:rsidR="00E96074">
        <w:rPr>
          <w:rFonts w:ascii="Arial" w:hAnsi="Arial" w:cs="Arial"/>
          <w:sz w:val="22"/>
          <w:szCs w:val="22"/>
        </w:rPr>
        <w:t xml:space="preserve">orm </w:t>
      </w:r>
      <w:r w:rsidRPr="00082AE6" w:rsidR="00A8396E">
        <w:rPr>
          <w:rFonts w:ascii="Arial" w:hAnsi="Arial" w:cs="Arial"/>
          <w:sz w:val="22"/>
          <w:szCs w:val="22"/>
        </w:rPr>
        <w:t xml:space="preserve">754 </w:t>
      </w:r>
      <w:r w:rsidRPr="00082AE6" w:rsidR="00E96074">
        <w:rPr>
          <w:rFonts w:ascii="Arial" w:hAnsi="Arial" w:cs="Arial"/>
          <w:sz w:val="22"/>
          <w:szCs w:val="22"/>
        </w:rPr>
        <w:t xml:space="preserve">is maintained in a Privacy Act system of records designated as NRC-39, described </w:t>
      </w:r>
      <w:r w:rsidRPr="00082AE6" w:rsidR="00B128AF">
        <w:rPr>
          <w:rFonts w:ascii="Arial" w:hAnsi="Arial" w:cs="Arial"/>
          <w:sz w:val="22"/>
          <w:szCs w:val="22"/>
        </w:rPr>
        <w:t xml:space="preserve">in the </w:t>
      </w:r>
      <w:r w:rsidRPr="00082AE6" w:rsidR="00B128AF">
        <w:rPr>
          <w:rFonts w:ascii="Arial" w:hAnsi="Arial" w:cs="Arial"/>
          <w:i/>
          <w:sz w:val="22"/>
          <w:szCs w:val="22"/>
        </w:rPr>
        <w:t>Federal Register</w:t>
      </w:r>
      <w:r w:rsidRPr="00082AE6" w:rsidR="00E96074">
        <w:rPr>
          <w:rFonts w:ascii="Arial" w:hAnsi="Arial" w:cs="Arial"/>
          <w:sz w:val="22"/>
          <w:szCs w:val="22"/>
        </w:rPr>
        <w:t xml:space="preserve"> </w:t>
      </w:r>
      <w:r w:rsidRPr="00082AE6" w:rsidR="00B128AF">
        <w:rPr>
          <w:rFonts w:ascii="Arial" w:hAnsi="Arial" w:cs="Arial"/>
          <w:sz w:val="22"/>
          <w:szCs w:val="22"/>
        </w:rPr>
        <w:t>(</w:t>
      </w:r>
      <w:r w:rsidRPr="00082AE6" w:rsidR="00E96074">
        <w:rPr>
          <w:rFonts w:ascii="Arial" w:hAnsi="Arial" w:cs="Arial"/>
          <w:sz w:val="22"/>
          <w:szCs w:val="22"/>
        </w:rPr>
        <w:t>81</w:t>
      </w:r>
      <w:r w:rsidRPr="00082AE6" w:rsidR="00B128AF">
        <w:rPr>
          <w:rFonts w:ascii="Arial" w:hAnsi="Arial" w:cs="Arial"/>
          <w:sz w:val="22"/>
          <w:szCs w:val="22"/>
        </w:rPr>
        <w:t> </w:t>
      </w:r>
      <w:r w:rsidRPr="00082AE6" w:rsidR="00632532">
        <w:rPr>
          <w:rFonts w:ascii="Arial" w:hAnsi="Arial" w:cs="Arial"/>
          <w:sz w:val="22"/>
          <w:szCs w:val="22"/>
        </w:rPr>
        <w:t>FR</w:t>
      </w:r>
      <w:r w:rsidRPr="00082AE6" w:rsidR="00B128AF">
        <w:rPr>
          <w:rFonts w:ascii="Arial" w:hAnsi="Arial" w:cs="Arial"/>
          <w:sz w:val="22"/>
          <w:szCs w:val="22"/>
        </w:rPr>
        <w:t> </w:t>
      </w:r>
      <w:proofErr w:type="gramStart"/>
      <w:r w:rsidRPr="00082AE6" w:rsidR="00E96074">
        <w:rPr>
          <w:rFonts w:ascii="Arial" w:hAnsi="Arial" w:cs="Arial"/>
          <w:sz w:val="22"/>
          <w:szCs w:val="22"/>
        </w:rPr>
        <w:t>81348</w:t>
      </w:r>
      <w:r w:rsidRPr="00082AE6" w:rsidR="00B128AF">
        <w:rPr>
          <w:rFonts w:ascii="Arial" w:hAnsi="Arial" w:cs="Arial"/>
          <w:sz w:val="22"/>
          <w:szCs w:val="22"/>
        </w:rPr>
        <w:t>;</w:t>
      </w:r>
      <w:proofErr w:type="gramEnd"/>
      <w:r w:rsidRPr="00082AE6" w:rsidR="00B128AF">
        <w:rPr>
          <w:rFonts w:ascii="Arial" w:hAnsi="Arial" w:cs="Arial"/>
          <w:sz w:val="22"/>
          <w:szCs w:val="22"/>
        </w:rPr>
        <w:t xml:space="preserve"> </w:t>
      </w:r>
      <w:r w:rsidRPr="00082AE6" w:rsidR="00E96074">
        <w:rPr>
          <w:rFonts w:ascii="Arial" w:hAnsi="Arial" w:cs="Arial"/>
          <w:sz w:val="22"/>
          <w:szCs w:val="22"/>
        </w:rPr>
        <w:t xml:space="preserve">November 17, </w:t>
      </w:r>
      <w:r w:rsidRPr="00082AE6" w:rsidR="00E96074">
        <w:rPr>
          <w:rFonts w:ascii="Arial" w:hAnsi="Arial" w:cs="Arial"/>
          <w:sz w:val="22"/>
          <w:szCs w:val="22"/>
        </w:rPr>
        <w:lastRenderedPageBreak/>
        <w:t xml:space="preserve">2016).  This information will be used to determine eligibility to receive, possess, transport, or import covered weapons. The information may also be disclosed to an appropriate </w:t>
      </w:r>
      <w:r w:rsidRPr="00082AE6" w:rsidR="00632532">
        <w:rPr>
          <w:rFonts w:ascii="Arial" w:hAnsi="Arial" w:cs="Arial"/>
          <w:sz w:val="22"/>
          <w:szCs w:val="22"/>
        </w:rPr>
        <w:t>Federal or State</w:t>
      </w:r>
      <w:r w:rsidRPr="00082AE6" w:rsidR="00E96074">
        <w:rPr>
          <w:rFonts w:ascii="Arial" w:hAnsi="Arial" w:cs="Arial"/>
          <w:sz w:val="22"/>
          <w:szCs w:val="22"/>
        </w:rPr>
        <w:t xml:space="preserve"> agency in the event the information indicates a violation or potential violation of law and </w:t>
      </w:r>
      <w:proofErr w:type="gramStart"/>
      <w:r w:rsidRPr="00082AE6" w:rsidR="00E96074">
        <w:rPr>
          <w:rFonts w:ascii="Arial" w:hAnsi="Arial" w:cs="Arial"/>
          <w:sz w:val="22"/>
          <w:szCs w:val="22"/>
        </w:rPr>
        <w:t>in the course of</w:t>
      </w:r>
      <w:proofErr w:type="gramEnd"/>
      <w:r w:rsidRPr="00082AE6" w:rsidR="00E96074">
        <w:rPr>
          <w:rFonts w:ascii="Arial" w:hAnsi="Arial" w:cs="Arial"/>
          <w:sz w:val="22"/>
          <w:szCs w:val="22"/>
        </w:rPr>
        <w:t xml:space="preserve"> an administrative or judicial proceeding.</w:t>
      </w:r>
      <w:r w:rsidRPr="00082AE6" w:rsidR="00A8396E">
        <w:rPr>
          <w:rFonts w:ascii="Arial" w:hAnsi="Arial" w:cs="Arial"/>
          <w:sz w:val="22"/>
          <w:szCs w:val="22"/>
        </w:rPr>
        <w:t xml:space="preserve"> </w:t>
      </w:r>
      <w:r w:rsidRPr="00082AE6" w:rsidR="00E96074">
        <w:rPr>
          <w:rFonts w:ascii="Arial" w:hAnsi="Arial" w:cs="Arial"/>
          <w:sz w:val="22"/>
          <w:szCs w:val="22"/>
        </w:rPr>
        <w:t xml:space="preserve"> In addition, this information may be transferred to an appropriate </w:t>
      </w:r>
      <w:r w:rsidRPr="00082AE6" w:rsidR="00632532">
        <w:rPr>
          <w:rFonts w:ascii="Arial" w:hAnsi="Arial" w:cs="Arial"/>
          <w:sz w:val="22"/>
          <w:szCs w:val="22"/>
        </w:rPr>
        <w:t>Federal or State</w:t>
      </w:r>
      <w:r w:rsidRPr="00082AE6" w:rsidR="00E96074">
        <w:rPr>
          <w:rFonts w:ascii="Arial" w:hAnsi="Arial" w:cs="Arial"/>
          <w:sz w:val="22"/>
          <w:szCs w:val="22"/>
        </w:rPr>
        <w:t xml:space="preserve"> agency to the extent relevant and necessary for it to carry out its responsibilities under </w:t>
      </w:r>
      <w:r w:rsidRPr="00082AE6">
        <w:rPr>
          <w:rFonts w:ascii="Arial" w:hAnsi="Arial" w:cs="Arial"/>
          <w:sz w:val="22"/>
          <w:szCs w:val="22"/>
        </w:rPr>
        <w:t xml:space="preserve">Section </w:t>
      </w:r>
      <w:r w:rsidRPr="00082AE6" w:rsidR="00E96074">
        <w:rPr>
          <w:rFonts w:ascii="Arial" w:hAnsi="Arial" w:cs="Arial"/>
          <w:sz w:val="22"/>
          <w:szCs w:val="22"/>
        </w:rPr>
        <w:t>161A of the Atomic Energy Act of 1954, as amended</w:t>
      </w:r>
      <w:r w:rsidRPr="00082AE6" w:rsidR="00632532">
        <w:rPr>
          <w:rFonts w:ascii="Arial" w:hAnsi="Arial" w:cs="Arial"/>
          <w:sz w:val="22"/>
          <w:szCs w:val="22"/>
        </w:rPr>
        <w:t>, or 18 U.S.C. § 922</w:t>
      </w:r>
      <w:r w:rsidRPr="00082AE6" w:rsidR="00E96074">
        <w:rPr>
          <w:rFonts w:ascii="Arial" w:hAnsi="Arial" w:cs="Arial"/>
          <w:sz w:val="22"/>
          <w:szCs w:val="22"/>
        </w:rPr>
        <w:t xml:space="preserve">. </w:t>
      </w:r>
      <w:r w:rsidRPr="00082AE6" w:rsidR="00A8396E">
        <w:rPr>
          <w:rFonts w:ascii="Arial" w:hAnsi="Arial" w:cs="Arial"/>
          <w:sz w:val="22"/>
          <w:szCs w:val="22"/>
        </w:rPr>
        <w:t xml:space="preserve"> </w:t>
      </w:r>
      <w:r w:rsidRPr="00082AE6" w:rsidR="00E96074">
        <w:rPr>
          <w:rFonts w:ascii="Arial" w:hAnsi="Arial" w:cs="Arial"/>
          <w:sz w:val="22"/>
          <w:szCs w:val="22"/>
        </w:rPr>
        <w:t xml:space="preserve">Information may also be disclosed, </w:t>
      </w:r>
      <w:proofErr w:type="gramStart"/>
      <w:r w:rsidRPr="00082AE6" w:rsidR="00E96074">
        <w:rPr>
          <w:rFonts w:ascii="Arial" w:hAnsi="Arial" w:cs="Arial"/>
          <w:sz w:val="22"/>
          <w:szCs w:val="22"/>
        </w:rPr>
        <w:t>in the course of</w:t>
      </w:r>
      <w:proofErr w:type="gramEnd"/>
      <w:r w:rsidRPr="00082AE6" w:rsidR="00E96074">
        <w:rPr>
          <w:rFonts w:ascii="Arial" w:hAnsi="Arial" w:cs="Arial"/>
          <w:sz w:val="22"/>
          <w:szCs w:val="22"/>
        </w:rPr>
        <w:t xml:space="preserve"> discovery under a protective order issued by a court of competent jurisdiction, and in presenting evidence, to a Congressional office to respond to their inquiry made at your request, or to NRC-paid experts, consultants, and others under contract with the NRC, on a need-to-know basis.</w:t>
      </w:r>
    </w:p>
    <w:p w:rsidRPr="00082AE6" w:rsidR="00E97C7C" w:rsidP="00E97C7C" w:rsidRDefault="00E97C7C" w14:paraId="20F07E0B" w14:textId="77777777">
      <w:pPr>
        <w:widowControl/>
        <w:ind w:left="720"/>
        <w:rPr>
          <w:rFonts w:ascii="Arial" w:hAnsi="Arial" w:cs="Arial"/>
          <w:sz w:val="22"/>
          <w:szCs w:val="22"/>
        </w:rPr>
      </w:pPr>
    </w:p>
    <w:p w:rsidRPr="00082AE6" w:rsidR="00E97C7C" w:rsidP="00E97C7C" w:rsidRDefault="00E97C7C" w14:paraId="452025B1" w14:textId="77777777">
      <w:pPr>
        <w:widowControl/>
        <w:ind w:left="720"/>
        <w:rPr>
          <w:rFonts w:ascii="Arial" w:hAnsi="Arial" w:cs="Arial"/>
          <w:sz w:val="22"/>
          <w:szCs w:val="22"/>
        </w:rPr>
      </w:pPr>
      <w:r w:rsidRPr="00082AE6">
        <w:rPr>
          <w:rFonts w:ascii="Arial" w:hAnsi="Arial" w:cs="Arial"/>
          <w:sz w:val="22"/>
          <w:szCs w:val="22"/>
        </w:rPr>
        <w:t xml:space="preserve">The NRC’s regulations under 10 CFR 9.301 require that Social Security account numbers shall not be visible on the outside of any package sent to the NRC by mail. Licensees submitting NRC Form 754 must ensure that an SSN is not visible on the outside of any mailing package containing these forms.  Consistent with the </w:t>
      </w:r>
      <w:r w:rsidRPr="00082AE6">
        <w:rPr>
          <w:rFonts w:ascii="Arial" w:hAnsi="Arial" w:cs="Arial"/>
          <w:i/>
          <w:iCs/>
          <w:sz w:val="22"/>
          <w:szCs w:val="22"/>
        </w:rPr>
        <w:t>Social Security Number Fraud Prevention Act of 2017</w:t>
      </w:r>
      <w:r w:rsidRPr="00082AE6">
        <w:rPr>
          <w:rFonts w:ascii="Arial" w:hAnsi="Arial" w:cs="Arial"/>
          <w:sz w:val="22"/>
          <w:szCs w:val="22"/>
        </w:rPr>
        <w:t>, Public Law 115-59, the Chairman of the NRC, as the head of the agency, has determined that the criteria specified in 10 CFR 9.301(c)(2) have been met because the inclusion of an individual’s full SSN on NRC Form 754 is necessary to identify a specific individual, and no substitute is available.</w:t>
      </w:r>
    </w:p>
    <w:p w:rsidRPr="00082AE6" w:rsidR="00E97C7C" w:rsidP="00577D64" w:rsidRDefault="00E97C7C" w14:paraId="60E3DF0A" w14:textId="77777777">
      <w:pPr>
        <w:widowControl/>
        <w:ind w:left="720"/>
        <w:rPr>
          <w:rFonts w:ascii="Arial" w:hAnsi="Arial" w:cs="Arial"/>
          <w:sz w:val="22"/>
          <w:szCs w:val="22"/>
        </w:rPr>
      </w:pPr>
    </w:p>
    <w:p w:rsidRPr="00082AE6" w:rsidR="002B1B50" w:rsidP="00577D64" w:rsidRDefault="002B1B50" w14:paraId="4DCF6201" w14:textId="77777777">
      <w:pPr>
        <w:keepNext/>
        <w:keepLines/>
        <w:widowControl/>
        <w:tabs>
          <w:tab w:val="left" w:pos="-1440"/>
        </w:tabs>
        <w:ind w:left="1440" w:hanging="720"/>
        <w:rPr>
          <w:rFonts w:ascii="Arial" w:hAnsi="Arial" w:cs="Arial"/>
          <w:sz w:val="22"/>
          <w:szCs w:val="22"/>
        </w:rPr>
      </w:pPr>
      <w:r w:rsidRPr="00082AE6">
        <w:rPr>
          <w:rFonts w:ascii="Arial" w:hAnsi="Arial" w:cs="Arial"/>
          <w:sz w:val="22"/>
          <w:szCs w:val="22"/>
        </w:rPr>
        <w:t>11.</w:t>
      </w:r>
      <w:r w:rsidRPr="00082AE6">
        <w:rPr>
          <w:rFonts w:ascii="Arial" w:hAnsi="Arial" w:cs="Arial"/>
          <w:sz w:val="22"/>
          <w:szCs w:val="22"/>
        </w:rPr>
        <w:tab/>
      </w:r>
      <w:r w:rsidRPr="00082AE6">
        <w:rPr>
          <w:rFonts w:ascii="Arial" w:hAnsi="Arial" w:cs="Arial"/>
          <w:sz w:val="22"/>
          <w:szCs w:val="22"/>
          <w:u w:val="single"/>
        </w:rPr>
        <w:t>Justification for Sensitive Questions</w:t>
      </w:r>
    </w:p>
    <w:p w:rsidRPr="00082AE6" w:rsidR="002B1B50" w:rsidP="00577D64" w:rsidRDefault="002B1B50" w14:paraId="27EFA1FF" w14:textId="77777777">
      <w:pPr>
        <w:keepNext/>
        <w:keepLines/>
        <w:widowControl/>
        <w:rPr>
          <w:rFonts w:ascii="Arial" w:hAnsi="Arial" w:cs="Arial"/>
          <w:sz w:val="22"/>
          <w:szCs w:val="22"/>
        </w:rPr>
      </w:pPr>
    </w:p>
    <w:p w:rsidRPr="00082AE6" w:rsidR="002B1B50" w:rsidP="00577D64" w:rsidRDefault="00C257D7" w14:paraId="2F26811D" w14:textId="7C62E71D">
      <w:pPr>
        <w:widowControl/>
        <w:ind w:left="720"/>
        <w:rPr>
          <w:rFonts w:ascii="Arial" w:hAnsi="Arial" w:cs="Arial"/>
          <w:sz w:val="22"/>
          <w:szCs w:val="22"/>
        </w:rPr>
      </w:pPr>
      <w:r w:rsidRPr="00082AE6">
        <w:rPr>
          <w:rFonts w:ascii="Arial" w:hAnsi="Arial" w:cs="Arial"/>
          <w:sz w:val="22"/>
          <w:szCs w:val="22"/>
        </w:rPr>
        <w:t>NRC Form 754</w:t>
      </w:r>
      <w:r w:rsidRPr="00082AE6" w:rsidR="00A57433">
        <w:rPr>
          <w:rFonts w:ascii="Arial" w:hAnsi="Arial" w:cs="Arial"/>
          <w:sz w:val="22"/>
          <w:szCs w:val="22"/>
        </w:rPr>
        <w:t xml:space="preserve"> collects information that is used to verify that the individual is not prohibited under Federal or State law from receiving, possessing, transporting, importing, or using </w:t>
      </w:r>
      <w:r w:rsidRPr="00082AE6" w:rsidR="00AF1418">
        <w:rPr>
          <w:rFonts w:ascii="Arial" w:hAnsi="Arial" w:cs="Arial"/>
          <w:sz w:val="22"/>
          <w:szCs w:val="22"/>
        </w:rPr>
        <w:t xml:space="preserve">covered weapons </w:t>
      </w:r>
      <w:r w:rsidRPr="00082AE6" w:rsidR="00A57433">
        <w:rPr>
          <w:rFonts w:ascii="Arial" w:hAnsi="Arial" w:cs="Arial"/>
          <w:sz w:val="22"/>
          <w:szCs w:val="22"/>
        </w:rPr>
        <w:t xml:space="preserve">pursuant to </w:t>
      </w:r>
      <w:r w:rsidRPr="00082AE6" w:rsidR="007900B0">
        <w:rPr>
          <w:rFonts w:ascii="Arial" w:hAnsi="Arial" w:cs="Arial"/>
          <w:sz w:val="22"/>
          <w:szCs w:val="22"/>
        </w:rPr>
        <w:t>Section</w:t>
      </w:r>
      <w:r w:rsidRPr="00082AE6" w:rsidR="00A57433">
        <w:rPr>
          <w:rFonts w:ascii="Arial" w:hAnsi="Arial" w:cs="Arial"/>
          <w:sz w:val="22"/>
          <w:szCs w:val="22"/>
        </w:rPr>
        <w:t xml:space="preserve"> 161A of the </w:t>
      </w:r>
      <w:r w:rsidRPr="00082AE6" w:rsidR="00A15814">
        <w:rPr>
          <w:rFonts w:ascii="Arial" w:hAnsi="Arial" w:cs="Arial"/>
          <w:sz w:val="22"/>
          <w:szCs w:val="22"/>
        </w:rPr>
        <w:t>AEA</w:t>
      </w:r>
      <w:r w:rsidRPr="00082AE6" w:rsidR="00A57433">
        <w:rPr>
          <w:rFonts w:ascii="Arial" w:hAnsi="Arial" w:cs="Arial"/>
          <w:sz w:val="22"/>
          <w:szCs w:val="22"/>
        </w:rPr>
        <w:t xml:space="preserve">.  </w:t>
      </w:r>
      <w:r w:rsidRPr="00082AE6" w:rsidR="00DE4751">
        <w:rPr>
          <w:rFonts w:ascii="Arial" w:hAnsi="Arial" w:cs="Arial"/>
          <w:sz w:val="22"/>
          <w:szCs w:val="22"/>
        </w:rPr>
        <w:t xml:space="preserve">Based upon the NRC’s discussions with the FBI, this </w:t>
      </w:r>
      <w:r w:rsidRPr="00082AE6" w:rsidR="00960F6C">
        <w:rPr>
          <w:rFonts w:ascii="Arial" w:hAnsi="Arial" w:cs="Arial"/>
          <w:sz w:val="22"/>
          <w:szCs w:val="22"/>
        </w:rPr>
        <w:t xml:space="preserve">information collected on </w:t>
      </w:r>
      <w:r w:rsidRPr="00082AE6" w:rsidR="00D13A95">
        <w:rPr>
          <w:rFonts w:ascii="Arial" w:hAnsi="Arial" w:cs="Arial"/>
          <w:sz w:val="22"/>
          <w:szCs w:val="22"/>
        </w:rPr>
        <w:t>NRC Form 754</w:t>
      </w:r>
      <w:r w:rsidRPr="00082AE6" w:rsidR="00A57433">
        <w:rPr>
          <w:rFonts w:ascii="Arial" w:hAnsi="Arial" w:cs="Arial"/>
          <w:sz w:val="22"/>
          <w:szCs w:val="22"/>
        </w:rPr>
        <w:t xml:space="preserve"> is required </w:t>
      </w:r>
      <w:proofErr w:type="gramStart"/>
      <w:r w:rsidRPr="00082AE6" w:rsidR="00A57433">
        <w:rPr>
          <w:rFonts w:ascii="Arial" w:hAnsi="Arial" w:cs="Arial"/>
          <w:sz w:val="22"/>
          <w:szCs w:val="22"/>
        </w:rPr>
        <w:t>in order to</w:t>
      </w:r>
      <w:proofErr w:type="gramEnd"/>
      <w:r w:rsidRPr="00082AE6" w:rsidR="00A57433">
        <w:rPr>
          <w:rFonts w:ascii="Arial" w:hAnsi="Arial" w:cs="Arial"/>
          <w:sz w:val="22"/>
          <w:szCs w:val="22"/>
        </w:rPr>
        <w:t xml:space="preserve"> properly determine the individual</w:t>
      </w:r>
      <w:r w:rsidRPr="00082AE6" w:rsidR="0031534D">
        <w:rPr>
          <w:rFonts w:ascii="Arial" w:hAnsi="Arial" w:cs="Arial"/>
          <w:sz w:val="22"/>
          <w:szCs w:val="22"/>
        </w:rPr>
        <w:t>’</w:t>
      </w:r>
      <w:r w:rsidRPr="00082AE6" w:rsidR="00A57433">
        <w:rPr>
          <w:rFonts w:ascii="Arial" w:hAnsi="Arial" w:cs="Arial"/>
          <w:sz w:val="22"/>
          <w:szCs w:val="22"/>
        </w:rPr>
        <w:t>s identity and contains information on the individual’s name</w:t>
      </w:r>
      <w:r w:rsidRPr="00082AE6" w:rsidR="00B81832">
        <w:rPr>
          <w:rFonts w:ascii="Arial" w:hAnsi="Arial" w:cs="Arial"/>
          <w:sz w:val="22"/>
          <w:szCs w:val="22"/>
        </w:rPr>
        <w:t>,</w:t>
      </w:r>
      <w:r w:rsidRPr="00082AE6" w:rsidR="00A57433">
        <w:rPr>
          <w:rFonts w:ascii="Arial" w:hAnsi="Arial" w:cs="Arial"/>
          <w:sz w:val="22"/>
          <w:szCs w:val="22"/>
        </w:rPr>
        <w:t xml:space="preserve"> address, </w:t>
      </w:r>
      <w:r w:rsidRPr="00082AE6" w:rsidR="00431CA4">
        <w:rPr>
          <w:rFonts w:ascii="Arial" w:hAnsi="Arial" w:cs="Arial"/>
          <w:sz w:val="22"/>
          <w:szCs w:val="22"/>
        </w:rPr>
        <w:t xml:space="preserve">date and place of birth, </w:t>
      </w:r>
      <w:r w:rsidRPr="00082AE6" w:rsidR="00A57433">
        <w:rPr>
          <w:rFonts w:ascii="Arial" w:hAnsi="Arial" w:cs="Arial"/>
          <w:sz w:val="22"/>
          <w:szCs w:val="22"/>
        </w:rPr>
        <w:t xml:space="preserve">social security number, </w:t>
      </w:r>
      <w:r w:rsidRPr="00082AE6" w:rsidR="00431CA4">
        <w:rPr>
          <w:rFonts w:ascii="Arial" w:hAnsi="Arial" w:cs="Arial"/>
          <w:sz w:val="22"/>
          <w:szCs w:val="22"/>
        </w:rPr>
        <w:t xml:space="preserve">gender, </w:t>
      </w:r>
      <w:r w:rsidRPr="00082AE6" w:rsidR="00A57433">
        <w:rPr>
          <w:rFonts w:ascii="Arial" w:hAnsi="Arial" w:cs="Arial"/>
          <w:sz w:val="22"/>
          <w:szCs w:val="22"/>
        </w:rPr>
        <w:t>ethnicity, citizenship, and criminal history.</w:t>
      </w:r>
    </w:p>
    <w:p w:rsidRPr="00082AE6" w:rsidR="00A57433" w:rsidP="00577D64" w:rsidRDefault="00A57433" w14:paraId="73340854" w14:textId="77777777">
      <w:pPr>
        <w:widowControl/>
        <w:ind w:left="720"/>
        <w:rPr>
          <w:rFonts w:ascii="Arial" w:hAnsi="Arial" w:cs="Arial"/>
          <w:sz w:val="22"/>
          <w:szCs w:val="22"/>
        </w:rPr>
      </w:pPr>
    </w:p>
    <w:p w:rsidRPr="00082AE6" w:rsidR="002B1B50" w:rsidP="00577D64" w:rsidRDefault="002B1B50" w14:paraId="2E3073B4" w14:textId="77777777">
      <w:pPr>
        <w:widowControl/>
        <w:tabs>
          <w:tab w:val="left" w:pos="-1440"/>
        </w:tabs>
        <w:ind w:left="1440" w:hanging="720"/>
        <w:rPr>
          <w:rFonts w:ascii="Arial" w:hAnsi="Arial" w:cs="Arial"/>
          <w:sz w:val="22"/>
          <w:szCs w:val="22"/>
        </w:rPr>
      </w:pPr>
      <w:r w:rsidRPr="00082AE6">
        <w:rPr>
          <w:rFonts w:ascii="Arial" w:hAnsi="Arial" w:cs="Arial"/>
          <w:sz w:val="22"/>
          <w:szCs w:val="22"/>
        </w:rPr>
        <w:t>12.</w:t>
      </w:r>
      <w:r w:rsidRPr="00082AE6">
        <w:rPr>
          <w:rFonts w:ascii="Arial" w:hAnsi="Arial" w:cs="Arial"/>
          <w:sz w:val="22"/>
          <w:szCs w:val="22"/>
        </w:rPr>
        <w:tab/>
      </w:r>
      <w:r w:rsidRPr="00082AE6" w:rsidR="001525E4">
        <w:rPr>
          <w:rFonts w:ascii="Arial" w:hAnsi="Arial" w:cs="Arial"/>
          <w:sz w:val="22"/>
          <w:szCs w:val="22"/>
          <w:u w:val="single"/>
        </w:rPr>
        <w:t>Estimated Burden and Burden Hour Cost</w:t>
      </w:r>
    </w:p>
    <w:p w:rsidRPr="00082AE6" w:rsidR="002B1B50" w:rsidP="00577D64" w:rsidRDefault="002B1B50" w14:paraId="13D39D88" w14:textId="77777777">
      <w:pPr>
        <w:widowControl/>
        <w:rPr>
          <w:rFonts w:ascii="Arial" w:hAnsi="Arial" w:cs="Arial"/>
          <w:sz w:val="22"/>
          <w:szCs w:val="22"/>
        </w:rPr>
      </w:pPr>
    </w:p>
    <w:p w:rsidRPr="00082AE6" w:rsidR="00025BC1" w:rsidP="00025BC1" w:rsidRDefault="00B12CEA" w14:paraId="384F156A" w14:textId="000DBD8E">
      <w:pPr>
        <w:widowControl/>
        <w:ind w:left="720"/>
        <w:rPr>
          <w:rFonts w:ascii="Arial" w:hAnsi="Arial" w:cs="Arial"/>
          <w:sz w:val="22"/>
          <w:szCs w:val="22"/>
        </w:rPr>
      </w:pPr>
      <w:r w:rsidRPr="00082AE6">
        <w:rPr>
          <w:rFonts w:ascii="Arial" w:hAnsi="Arial" w:cs="Arial"/>
          <w:sz w:val="22"/>
          <w:szCs w:val="22"/>
        </w:rPr>
        <w:t>Eighty-four</w:t>
      </w:r>
      <w:r w:rsidRPr="00082AE6" w:rsidR="00025BC1">
        <w:rPr>
          <w:rFonts w:ascii="Arial" w:hAnsi="Arial" w:cs="Arial"/>
          <w:sz w:val="22"/>
          <w:szCs w:val="22"/>
        </w:rPr>
        <w:t xml:space="preserve"> licensees are eligible to apply for Section </w:t>
      </w:r>
      <w:r w:rsidRPr="00082AE6" w:rsidR="00C13568">
        <w:rPr>
          <w:rFonts w:ascii="Arial" w:hAnsi="Arial" w:cs="Arial"/>
          <w:sz w:val="22"/>
          <w:szCs w:val="22"/>
        </w:rPr>
        <w:t>161A authority</w:t>
      </w:r>
      <w:r w:rsidRPr="00082AE6" w:rsidR="00025BC1">
        <w:rPr>
          <w:rFonts w:ascii="Arial" w:hAnsi="Arial" w:cs="Arial"/>
          <w:sz w:val="22"/>
          <w:szCs w:val="22"/>
        </w:rPr>
        <w:t xml:space="preserve"> and in this analysis the NRC expects only 7 licensee</w:t>
      </w:r>
      <w:r w:rsidRPr="00082AE6" w:rsidR="0066482D">
        <w:rPr>
          <w:rFonts w:ascii="Arial" w:hAnsi="Arial" w:cs="Arial"/>
          <w:sz w:val="22"/>
          <w:szCs w:val="22"/>
        </w:rPr>
        <w:t xml:space="preserve"> sites</w:t>
      </w:r>
      <w:r w:rsidRPr="00082AE6" w:rsidR="00025BC1">
        <w:rPr>
          <w:rFonts w:ascii="Arial" w:hAnsi="Arial" w:cs="Arial"/>
          <w:sz w:val="22"/>
          <w:szCs w:val="22"/>
        </w:rPr>
        <w:t xml:space="preserve"> who have obtained Section 161A authority via confirmatory order</w:t>
      </w:r>
      <w:r w:rsidRPr="00082AE6" w:rsidR="00D67A81">
        <w:rPr>
          <w:rFonts w:ascii="Arial" w:hAnsi="Arial" w:cs="Arial"/>
          <w:sz w:val="22"/>
          <w:szCs w:val="22"/>
        </w:rPr>
        <w:t>s</w:t>
      </w:r>
      <w:r w:rsidRPr="00082AE6" w:rsidR="00025BC1">
        <w:rPr>
          <w:rFonts w:ascii="Arial" w:hAnsi="Arial" w:cs="Arial"/>
          <w:sz w:val="22"/>
          <w:szCs w:val="22"/>
        </w:rPr>
        <w:t xml:space="preserve"> to be subject to the new regulations and therefore incur the information collections burdens associated with NRC Form 754.  This estimate is </w:t>
      </w:r>
      <w:proofErr w:type="gramStart"/>
      <w:r w:rsidRPr="00082AE6" w:rsidR="00025BC1">
        <w:rPr>
          <w:rFonts w:ascii="Arial" w:hAnsi="Arial" w:cs="Arial"/>
          <w:sz w:val="22"/>
          <w:szCs w:val="22"/>
        </w:rPr>
        <w:t xml:space="preserve">based on </w:t>
      </w:r>
      <w:r w:rsidRPr="00082AE6" w:rsidR="00431CA4">
        <w:rPr>
          <w:rFonts w:ascii="Arial" w:hAnsi="Arial" w:cs="Arial"/>
          <w:sz w:val="22"/>
          <w:szCs w:val="22"/>
        </w:rPr>
        <w:t xml:space="preserve">the fact </w:t>
      </w:r>
      <w:r w:rsidRPr="00082AE6" w:rsidR="00A8396E">
        <w:rPr>
          <w:rFonts w:ascii="Arial" w:hAnsi="Arial" w:cs="Arial"/>
          <w:sz w:val="22"/>
          <w:szCs w:val="22"/>
        </w:rPr>
        <w:t>that</w:t>
      </w:r>
      <w:proofErr w:type="gramEnd"/>
      <w:r w:rsidRPr="00082AE6" w:rsidR="00A8396E">
        <w:rPr>
          <w:rFonts w:ascii="Arial" w:hAnsi="Arial" w:cs="Arial"/>
          <w:sz w:val="22"/>
          <w:szCs w:val="22"/>
        </w:rPr>
        <w:t xml:space="preserve"> only</w:t>
      </w:r>
      <w:r w:rsidRPr="00082AE6" w:rsidR="00025BC1">
        <w:rPr>
          <w:rFonts w:ascii="Arial" w:hAnsi="Arial" w:cs="Arial"/>
          <w:sz w:val="22"/>
          <w:szCs w:val="22"/>
        </w:rPr>
        <w:t xml:space="preserve"> </w:t>
      </w:r>
      <w:r w:rsidRPr="00082AE6" w:rsidR="0095588D">
        <w:rPr>
          <w:rFonts w:ascii="Arial" w:hAnsi="Arial" w:cs="Arial"/>
          <w:sz w:val="22"/>
          <w:szCs w:val="22"/>
        </w:rPr>
        <w:t xml:space="preserve">7 </w:t>
      </w:r>
      <w:r w:rsidRPr="00082AE6" w:rsidR="007001EB">
        <w:rPr>
          <w:rFonts w:ascii="Arial" w:hAnsi="Arial" w:cs="Arial"/>
          <w:sz w:val="22"/>
          <w:szCs w:val="22"/>
        </w:rPr>
        <w:t xml:space="preserve">licensee </w:t>
      </w:r>
      <w:r w:rsidRPr="00082AE6" w:rsidR="0095588D">
        <w:rPr>
          <w:rFonts w:ascii="Arial" w:hAnsi="Arial" w:cs="Arial"/>
          <w:sz w:val="22"/>
          <w:szCs w:val="22"/>
        </w:rPr>
        <w:t xml:space="preserve">sites </w:t>
      </w:r>
      <w:r w:rsidRPr="00082AE6" w:rsidR="00025BC1">
        <w:rPr>
          <w:rFonts w:ascii="Arial" w:hAnsi="Arial" w:cs="Arial"/>
          <w:sz w:val="22"/>
          <w:szCs w:val="22"/>
        </w:rPr>
        <w:t xml:space="preserve">applied for </w:t>
      </w:r>
      <w:r w:rsidRPr="00082AE6" w:rsidR="008754D9">
        <w:rPr>
          <w:rFonts w:ascii="Arial" w:hAnsi="Arial" w:cs="Arial"/>
          <w:sz w:val="22"/>
          <w:szCs w:val="22"/>
        </w:rPr>
        <w:t xml:space="preserve">stand-alone </w:t>
      </w:r>
      <w:r w:rsidRPr="00082AE6" w:rsidR="00025BC1">
        <w:rPr>
          <w:rFonts w:ascii="Arial" w:hAnsi="Arial" w:cs="Arial"/>
          <w:sz w:val="22"/>
          <w:szCs w:val="22"/>
        </w:rPr>
        <w:t>preemption authority via confirmatory order</w:t>
      </w:r>
      <w:r w:rsidRPr="00082AE6" w:rsidR="00431CA4">
        <w:rPr>
          <w:rFonts w:ascii="Arial" w:hAnsi="Arial" w:cs="Arial"/>
          <w:sz w:val="22"/>
          <w:szCs w:val="22"/>
        </w:rPr>
        <w:t xml:space="preserve"> and no other licensees have formally indicated </w:t>
      </w:r>
      <w:r w:rsidRPr="00082AE6" w:rsidR="00C364B1">
        <w:rPr>
          <w:rFonts w:ascii="Arial" w:hAnsi="Arial" w:cs="Arial"/>
          <w:sz w:val="22"/>
          <w:szCs w:val="22"/>
        </w:rPr>
        <w:t xml:space="preserve">to the NRC </w:t>
      </w:r>
      <w:r w:rsidRPr="00082AE6" w:rsidR="00431CA4">
        <w:rPr>
          <w:rFonts w:ascii="Arial" w:hAnsi="Arial" w:cs="Arial"/>
          <w:sz w:val="22"/>
          <w:szCs w:val="22"/>
        </w:rPr>
        <w:t>an intent or applied for Section 161A authority</w:t>
      </w:r>
      <w:r w:rsidRPr="00082AE6" w:rsidR="00025BC1">
        <w:rPr>
          <w:rFonts w:ascii="Arial" w:hAnsi="Arial" w:cs="Arial"/>
          <w:sz w:val="22"/>
          <w:szCs w:val="22"/>
        </w:rPr>
        <w:t xml:space="preserve">.  The </w:t>
      </w:r>
      <w:r w:rsidRPr="00082AE6" w:rsidR="0095588D">
        <w:rPr>
          <w:rFonts w:ascii="Arial" w:hAnsi="Arial" w:cs="Arial"/>
          <w:sz w:val="22"/>
          <w:szCs w:val="22"/>
        </w:rPr>
        <w:t>7</w:t>
      </w:r>
      <w:r w:rsidRPr="00082AE6" w:rsidR="004115E1">
        <w:rPr>
          <w:rFonts w:ascii="Arial" w:hAnsi="Arial" w:cs="Arial"/>
          <w:sz w:val="22"/>
          <w:szCs w:val="22"/>
        </w:rPr>
        <w:t xml:space="preserve"> licensee sites</w:t>
      </w:r>
      <w:r w:rsidRPr="00082AE6" w:rsidR="00025BC1">
        <w:rPr>
          <w:rFonts w:ascii="Arial" w:hAnsi="Arial" w:cs="Arial"/>
          <w:sz w:val="22"/>
          <w:szCs w:val="22"/>
        </w:rPr>
        <w:t xml:space="preserve"> are the following types of licensees:</w:t>
      </w:r>
    </w:p>
    <w:p w:rsidRPr="00082AE6" w:rsidR="00025BC1" w:rsidP="00025BC1" w:rsidRDefault="00025BC1" w14:paraId="4CF56763" w14:textId="77777777">
      <w:pPr>
        <w:widowControl/>
        <w:ind w:left="720"/>
        <w:rPr>
          <w:rFonts w:ascii="Arial" w:hAnsi="Arial" w:cs="Arial"/>
          <w:sz w:val="22"/>
          <w:szCs w:val="22"/>
        </w:rPr>
      </w:pPr>
    </w:p>
    <w:p w:rsidR="00082AE6" w:rsidRDefault="00082AE6" w14:paraId="4F3EFE6E" w14:textId="77777777">
      <w:pPr>
        <w:widowControl/>
        <w:autoSpaceDE/>
        <w:autoSpaceDN/>
        <w:adjustRightInd/>
        <w:rPr>
          <w:rFonts w:ascii="Arial" w:hAnsi="Arial"/>
          <w:color w:val="000000" w:themeColor="text1"/>
          <w:sz w:val="22"/>
        </w:rPr>
      </w:pPr>
      <w:r>
        <w:rPr>
          <w:rFonts w:ascii="Arial" w:hAnsi="Arial"/>
          <w:color w:val="000000" w:themeColor="text1"/>
          <w:sz w:val="22"/>
        </w:rPr>
        <w:br w:type="page"/>
      </w:r>
    </w:p>
    <w:p w:rsidRPr="00082AE6" w:rsidR="008754D9" w:rsidP="008754D9" w:rsidRDefault="008754D9" w14:paraId="528AB571" w14:textId="5C47F2EB">
      <w:pPr>
        <w:keepNext/>
        <w:keepLines/>
        <w:widowControl/>
        <w:jc w:val="center"/>
        <w:rPr>
          <w:rFonts w:ascii="Arial" w:hAnsi="Arial" w:cs="Arial"/>
          <w:sz w:val="22"/>
          <w:szCs w:val="22"/>
        </w:rPr>
      </w:pPr>
      <w:r w:rsidRPr="00082AE6">
        <w:rPr>
          <w:rFonts w:ascii="Arial" w:hAnsi="Arial"/>
          <w:color w:val="000000" w:themeColor="text1"/>
          <w:sz w:val="22"/>
        </w:rPr>
        <w:lastRenderedPageBreak/>
        <w:t xml:space="preserve">Regulated Entities </w:t>
      </w:r>
      <w:r w:rsidRPr="00082AE6">
        <w:rPr>
          <w:rFonts w:ascii="Arial" w:hAnsi="Arial" w:cs="Arial"/>
          <w:sz w:val="22"/>
        </w:rPr>
        <w:t>that May Apply for Section 161A Authority</w:t>
      </w:r>
    </w:p>
    <w:tbl>
      <w:tblPr>
        <w:tblStyle w:val="TableGrid1"/>
        <w:tblW w:w="8455" w:type="dxa"/>
        <w:jc w:val="center"/>
        <w:tblLook w:val="04A0" w:firstRow="1" w:lastRow="0" w:firstColumn="1" w:lastColumn="0" w:noHBand="0" w:noVBand="1"/>
      </w:tblPr>
      <w:tblGrid>
        <w:gridCol w:w="3325"/>
        <w:gridCol w:w="1350"/>
        <w:gridCol w:w="3780"/>
      </w:tblGrid>
      <w:tr w:rsidRPr="00082AE6" w:rsidR="008754D9" w:rsidTr="0077018B" w14:paraId="1A86C3B7" w14:textId="77777777">
        <w:trPr>
          <w:tblHeader/>
          <w:jc w:val="center"/>
        </w:trPr>
        <w:tc>
          <w:tcPr>
            <w:tcW w:w="3325" w:type="dxa"/>
            <w:vAlign w:val="center"/>
          </w:tcPr>
          <w:p w:rsidRPr="00082AE6" w:rsidR="008754D9" w:rsidP="008754D9" w:rsidRDefault="008754D9" w14:paraId="2E5FA2D8" w14:textId="77777777">
            <w:pPr>
              <w:jc w:val="center"/>
              <w:rPr>
                <w:rFonts w:cs="Arial"/>
                <w:b/>
                <w:sz w:val="20"/>
                <w:szCs w:val="20"/>
              </w:rPr>
            </w:pPr>
            <w:r w:rsidRPr="00082AE6">
              <w:rPr>
                <w:rFonts w:cs="Arial"/>
                <w:b/>
                <w:sz w:val="20"/>
                <w:szCs w:val="20"/>
              </w:rPr>
              <w:t>Category</w:t>
            </w:r>
          </w:p>
        </w:tc>
        <w:tc>
          <w:tcPr>
            <w:tcW w:w="1350" w:type="dxa"/>
            <w:vAlign w:val="center"/>
          </w:tcPr>
          <w:p w:rsidRPr="00082AE6" w:rsidR="008754D9" w:rsidP="008754D9" w:rsidRDefault="008754D9" w14:paraId="25F6F670" w14:textId="77777777">
            <w:pPr>
              <w:jc w:val="center"/>
              <w:rPr>
                <w:rFonts w:cs="Arial"/>
                <w:b/>
                <w:sz w:val="20"/>
                <w:szCs w:val="20"/>
              </w:rPr>
            </w:pPr>
            <w:r w:rsidRPr="00082AE6">
              <w:rPr>
                <w:rFonts w:cs="Arial"/>
                <w:b/>
                <w:sz w:val="20"/>
                <w:szCs w:val="20"/>
              </w:rPr>
              <w:t>Number of Sites</w:t>
            </w:r>
          </w:p>
        </w:tc>
        <w:tc>
          <w:tcPr>
            <w:tcW w:w="3780" w:type="dxa"/>
            <w:vAlign w:val="center"/>
          </w:tcPr>
          <w:p w:rsidRPr="00082AE6" w:rsidR="008754D9" w:rsidP="008754D9" w:rsidRDefault="008754D9" w14:paraId="0E58E27C" w14:textId="77777777">
            <w:pPr>
              <w:jc w:val="center"/>
              <w:rPr>
                <w:rFonts w:cs="Arial"/>
                <w:b/>
                <w:sz w:val="20"/>
                <w:szCs w:val="20"/>
              </w:rPr>
            </w:pPr>
            <w:r w:rsidRPr="00082AE6">
              <w:rPr>
                <w:rFonts w:cs="Arial"/>
                <w:b/>
                <w:sz w:val="20"/>
                <w:szCs w:val="20"/>
              </w:rPr>
              <w:t xml:space="preserve">Number of sites that received </w:t>
            </w:r>
          </w:p>
          <w:p w:rsidRPr="00082AE6" w:rsidR="008754D9" w:rsidP="008754D9" w:rsidRDefault="008754D9" w14:paraId="02F56094" w14:textId="77777777">
            <w:pPr>
              <w:jc w:val="center"/>
              <w:rPr>
                <w:rFonts w:cs="Arial"/>
                <w:b/>
                <w:sz w:val="20"/>
                <w:szCs w:val="20"/>
              </w:rPr>
            </w:pPr>
            <w:r w:rsidRPr="00082AE6">
              <w:rPr>
                <w:rFonts w:cs="Arial"/>
                <w:b/>
                <w:sz w:val="20"/>
                <w:szCs w:val="20"/>
              </w:rPr>
              <w:t>stand-alone preemption authority via confirmatory order</w:t>
            </w:r>
          </w:p>
        </w:tc>
      </w:tr>
      <w:tr w:rsidRPr="00082AE6" w:rsidR="008754D9" w:rsidTr="0077018B" w14:paraId="3004C3ED" w14:textId="77777777">
        <w:trPr>
          <w:jc w:val="center"/>
        </w:trPr>
        <w:tc>
          <w:tcPr>
            <w:tcW w:w="3325" w:type="dxa"/>
            <w:vAlign w:val="center"/>
          </w:tcPr>
          <w:p w:rsidRPr="00082AE6" w:rsidR="008754D9" w:rsidP="008754D9" w:rsidRDefault="008754D9" w14:paraId="3F0F14EE" w14:textId="4D145385">
            <w:pPr>
              <w:rPr>
                <w:rFonts w:cs="Arial"/>
                <w:sz w:val="20"/>
                <w:szCs w:val="20"/>
              </w:rPr>
            </w:pPr>
            <w:r w:rsidRPr="00082AE6">
              <w:rPr>
                <w:rFonts w:cs="Arial"/>
                <w:color w:val="000000"/>
                <w:sz w:val="20"/>
                <w:szCs w:val="20"/>
              </w:rPr>
              <w:t>Power reactor sites (operating &amp; under construction)</w:t>
            </w:r>
            <w:r w:rsidRPr="00082AE6">
              <w:rPr>
                <w:rFonts w:cs="Arial"/>
                <w:sz w:val="20"/>
                <w:szCs w:val="20"/>
                <w:vertAlign w:val="superscript"/>
              </w:rPr>
              <w:t xml:space="preserve"> a b</w:t>
            </w:r>
            <w:r w:rsidRPr="00082AE6" w:rsidR="0024184F">
              <w:rPr>
                <w:rFonts w:cs="Arial"/>
                <w:sz w:val="20"/>
                <w:szCs w:val="20"/>
                <w:vertAlign w:val="superscript"/>
              </w:rPr>
              <w:t>d</w:t>
            </w:r>
            <w:r w:rsidRPr="00082AE6" w:rsidDel="00C50796">
              <w:rPr>
                <w:rFonts w:cs="Arial"/>
                <w:sz w:val="20"/>
                <w:szCs w:val="20"/>
              </w:rPr>
              <w:t xml:space="preserve"> </w:t>
            </w:r>
          </w:p>
        </w:tc>
        <w:tc>
          <w:tcPr>
            <w:tcW w:w="1350" w:type="dxa"/>
            <w:vAlign w:val="center"/>
          </w:tcPr>
          <w:p w:rsidRPr="00082AE6" w:rsidR="008754D9" w:rsidP="008754D9" w:rsidRDefault="00F128D0" w14:paraId="40A2C9F3" w14:textId="2C781AC4">
            <w:pPr>
              <w:jc w:val="center"/>
              <w:rPr>
                <w:rFonts w:cs="Arial"/>
                <w:sz w:val="20"/>
                <w:szCs w:val="20"/>
              </w:rPr>
            </w:pPr>
            <w:r w:rsidRPr="00082AE6">
              <w:rPr>
                <w:rFonts w:cs="Arial"/>
                <w:sz w:val="20"/>
                <w:szCs w:val="20"/>
              </w:rPr>
              <w:t>56</w:t>
            </w:r>
          </w:p>
        </w:tc>
        <w:tc>
          <w:tcPr>
            <w:tcW w:w="3780" w:type="dxa"/>
            <w:vAlign w:val="center"/>
          </w:tcPr>
          <w:p w:rsidRPr="00082AE6" w:rsidR="008754D9" w:rsidP="008754D9" w:rsidRDefault="00212016" w14:paraId="402A40CD" w14:textId="16A7A1E7">
            <w:pPr>
              <w:jc w:val="center"/>
              <w:rPr>
                <w:rFonts w:cs="Arial"/>
                <w:sz w:val="20"/>
                <w:szCs w:val="20"/>
              </w:rPr>
            </w:pPr>
            <w:r w:rsidRPr="00082AE6">
              <w:rPr>
                <w:rFonts w:cs="Arial"/>
                <w:sz w:val="20"/>
                <w:szCs w:val="20"/>
              </w:rPr>
              <w:t>4</w:t>
            </w:r>
          </w:p>
        </w:tc>
      </w:tr>
      <w:tr w:rsidRPr="00082AE6" w:rsidR="008754D9" w:rsidTr="0077018B" w14:paraId="3E40AB2A" w14:textId="77777777">
        <w:trPr>
          <w:jc w:val="center"/>
        </w:trPr>
        <w:tc>
          <w:tcPr>
            <w:tcW w:w="3325" w:type="dxa"/>
            <w:vAlign w:val="center"/>
          </w:tcPr>
          <w:p w:rsidRPr="00082AE6" w:rsidR="008754D9" w:rsidP="008754D9" w:rsidRDefault="008754D9" w14:paraId="41DD3191" w14:textId="1FD4FAD9">
            <w:pPr>
              <w:rPr>
                <w:rFonts w:cs="Arial"/>
                <w:sz w:val="20"/>
                <w:szCs w:val="20"/>
              </w:rPr>
            </w:pPr>
            <w:r w:rsidRPr="00082AE6">
              <w:rPr>
                <w:rFonts w:cs="Arial"/>
                <w:sz w:val="20"/>
                <w:szCs w:val="20"/>
              </w:rPr>
              <w:t xml:space="preserve">Decommissioning power reactor </w:t>
            </w:r>
            <w:proofErr w:type="spellStart"/>
            <w:r w:rsidRPr="00082AE6">
              <w:rPr>
                <w:rFonts w:cs="Arial"/>
                <w:sz w:val="20"/>
                <w:szCs w:val="20"/>
              </w:rPr>
              <w:t>sites</w:t>
            </w:r>
            <w:r w:rsidRPr="00082AE6">
              <w:rPr>
                <w:rFonts w:cs="Arial"/>
                <w:sz w:val="20"/>
                <w:szCs w:val="20"/>
                <w:vertAlign w:val="superscript"/>
              </w:rPr>
              <w:t>b</w:t>
            </w:r>
            <w:proofErr w:type="spellEnd"/>
            <w:r w:rsidRPr="00082AE6">
              <w:rPr>
                <w:rFonts w:cs="Arial"/>
                <w:sz w:val="20"/>
                <w:szCs w:val="20"/>
                <w:vertAlign w:val="superscript"/>
              </w:rPr>
              <w:t xml:space="preserve"> c</w:t>
            </w:r>
            <w:r w:rsidRPr="00082AE6" w:rsidR="0024184F">
              <w:rPr>
                <w:rFonts w:cs="Arial"/>
                <w:sz w:val="20"/>
                <w:szCs w:val="20"/>
                <w:vertAlign w:val="superscript"/>
              </w:rPr>
              <w:t>d</w:t>
            </w:r>
          </w:p>
        </w:tc>
        <w:tc>
          <w:tcPr>
            <w:tcW w:w="1350" w:type="dxa"/>
            <w:vAlign w:val="center"/>
          </w:tcPr>
          <w:p w:rsidRPr="00082AE6" w:rsidR="008754D9" w:rsidP="008754D9" w:rsidRDefault="00F128D0" w14:paraId="5DC352AD" w14:textId="37FAE672">
            <w:pPr>
              <w:jc w:val="center"/>
              <w:rPr>
                <w:rFonts w:cs="Arial"/>
                <w:sz w:val="20"/>
                <w:szCs w:val="20"/>
              </w:rPr>
            </w:pPr>
            <w:r w:rsidRPr="00082AE6">
              <w:rPr>
                <w:rFonts w:cs="Arial"/>
                <w:sz w:val="20"/>
                <w:szCs w:val="20"/>
              </w:rPr>
              <w:t>20</w:t>
            </w:r>
          </w:p>
        </w:tc>
        <w:tc>
          <w:tcPr>
            <w:tcW w:w="3780" w:type="dxa"/>
            <w:vAlign w:val="center"/>
          </w:tcPr>
          <w:p w:rsidRPr="00082AE6" w:rsidR="008754D9" w:rsidP="008754D9" w:rsidRDefault="00212016" w14:paraId="2947B03C" w14:textId="2F6780DA">
            <w:pPr>
              <w:jc w:val="center"/>
              <w:rPr>
                <w:rFonts w:cs="Arial"/>
                <w:sz w:val="20"/>
                <w:szCs w:val="20"/>
              </w:rPr>
            </w:pPr>
            <w:r w:rsidRPr="00082AE6">
              <w:rPr>
                <w:rFonts w:cs="Arial"/>
                <w:sz w:val="20"/>
                <w:szCs w:val="20"/>
              </w:rPr>
              <w:t>2</w:t>
            </w:r>
          </w:p>
        </w:tc>
      </w:tr>
      <w:tr w:rsidRPr="00082AE6" w:rsidR="008754D9" w:rsidTr="0077018B" w14:paraId="3AAA2F8E" w14:textId="77777777">
        <w:trPr>
          <w:jc w:val="center"/>
        </w:trPr>
        <w:tc>
          <w:tcPr>
            <w:tcW w:w="3325" w:type="dxa"/>
            <w:vAlign w:val="center"/>
          </w:tcPr>
          <w:p w:rsidRPr="00082AE6" w:rsidR="008754D9" w:rsidP="008754D9" w:rsidRDefault="008754D9" w14:paraId="51F33B08" w14:textId="65C8C15B">
            <w:pPr>
              <w:rPr>
                <w:rFonts w:cs="Arial"/>
                <w:sz w:val="20"/>
                <w:szCs w:val="20"/>
                <w:vertAlign w:val="superscript"/>
              </w:rPr>
            </w:pPr>
            <w:r w:rsidRPr="00082AE6">
              <w:rPr>
                <w:rFonts w:cs="Arial"/>
                <w:sz w:val="20"/>
                <w:szCs w:val="20"/>
              </w:rPr>
              <w:t xml:space="preserve">Away-from-reactor </w:t>
            </w:r>
            <w:proofErr w:type="spellStart"/>
            <w:r w:rsidRPr="00082AE6">
              <w:rPr>
                <w:rFonts w:cs="Arial"/>
                <w:sz w:val="20"/>
                <w:szCs w:val="20"/>
              </w:rPr>
              <w:t>ISFSIs</w:t>
            </w:r>
            <w:r w:rsidRPr="00082AE6" w:rsidR="00916171">
              <w:rPr>
                <w:rFonts w:cs="Arial"/>
                <w:sz w:val="20"/>
                <w:szCs w:val="20"/>
                <w:vertAlign w:val="superscript"/>
              </w:rPr>
              <w:t>d</w:t>
            </w:r>
            <w:proofErr w:type="spellEnd"/>
          </w:p>
        </w:tc>
        <w:tc>
          <w:tcPr>
            <w:tcW w:w="1350" w:type="dxa"/>
            <w:vAlign w:val="center"/>
          </w:tcPr>
          <w:p w:rsidRPr="00082AE6" w:rsidR="008754D9" w:rsidP="008754D9" w:rsidRDefault="007223C0" w14:paraId="7B2C7466" w14:textId="30C6F214">
            <w:pPr>
              <w:jc w:val="center"/>
              <w:rPr>
                <w:rFonts w:cs="Arial"/>
                <w:sz w:val="20"/>
                <w:szCs w:val="20"/>
              </w:rPr>
            </w:pPr>
            <w:r w:rsidRPr="00082AE6">
              <w:rPr>
                <w:rFonts w:cs="Arial"/>
                <w:sz w:val="20"/>
                <w:szCs w:val="20"/>
              </w:rPr>
              <w:t>13</w:t>
            </w:r>
          </w:p>
        </w:tc>
        <w:tc>
          <w:tcPr>
            <w:tcW w:w="3780" w:type="dxa"/>
            <w:vAlign w:val="center"/>
          </w:tcPr>
          <w:p w:rsidRPr="00082AE6" w:rsidR="008754D9" w:rsidP="008754D9" w:rsidRDefault="008754D9" w14:paraId="737A6CBB" w14:textId="77777777">
            <w:pPr>
              <w:jc w:val="center"/>
              <w:rPr>
                <w:rFonts w:cs="Arial"/>
                <w:sz w:val="20"/>
                <w:szCs w:val="20"/>
              </w:rPr>
            </w:pPr>
            <w:r w:rsidRPr="00082AE6">
              <w:rPr>
                <w:rFonts w:cs="Arial"/>
                <w:sz w:val="20"/>
                <w:szCs w:val="20"/>
              </w:rPr>
              <w:t>0</w:t>
            </w:r>
          </w:p>
        </w:tc>
      </w:tr>
      <w:tr w:rsidRPr="00082AE6" w:rsidR="008754D9" w:rsidTr="0077018B" w14:paraId="3B4C0EF7" w14:textId="77777777">
        <w:trPr>
          <w:jc w:val="center"/>
        </w:trPr>
        <w:tc>
          <w:tcPr>
            <w:tcW w:w="3325" w:type="dxa"/>
            <w:vAlign w:val="center"/>
          </w:tcPr>
          <w:p w:rsidRPr="00082AE6" w:rsidR="008754D9" w:rsidP="008754D9" w:rsidRDefault="008754D9" w14:paraId="2DEF2A89" w14:textId="77777777">
            <w:pPr>
              <w:rPr>
                <w:rFonts w:cs="Arial"/>
                <w:sz w:val="20"/>
                <w:szCs w:val="20"/>
              </w:rPr>
            </w:pPr>
            <w:r w:rsidRPr="00082AE6">
              <w:rPr>
                <w:rFonts w:cs="Arial"/>
                <w:sz w:val="20"/>
                <w:szCs w:val="20"/>
              </w:rPr>
              <w:t>Category I SSNM facilities</w:t>
            </w:r>
          </w:p>
        </w:tc>
        <w:tc>
          <w:tcPr>
            <w:tcW w:w="1350" w:type="dxa"/>
            <w:vAlign w:val="center"/>
          </w:tcPr>
          <w:p w:rsidRPr="00082AE6" w:rsidR="008754D9" w:rsidP="008754D9" w:rsidRDefault="008754D9" w14:paraId="4B3F9C57" w14:textId="77777777">
            <w:pPr>
              <w:jc w:val="center"/>
              <w:rPr>
                <w:rFonts w:cs="Arial"/>
                <w:sz w:val="20"/>
                <w:szCs w:val="20"/>
              </w:rPr>
            </w:pPr>
            <w:r w:rsidRPr="00082AE6">
              <w:rPr>
                <w:rFonts w:cs="Arial"/>
                <w:sz w:val="20"/>
                <w:szCs w:val="20"/>
              </w:rPr>
              <w:t>2</w:t>
            </w:r>
          </w:p>
        </w:tc>
        <w:tc>
          <w:tcPr>
            <w:tcW w:w="3780" w:type="dxa"/>
            <w:vAlign w:val="center"/>
          </w:tcPr>
          <w:p w:rsidRPr="00082AE6" w:rsidR="008754D9" w:rsidP="008754D9" w:rsidRDefault="008754D9" w14:paraId="625D95E3" w14:textId="77777777">
            <w:pPr>
              <w:jc w:val="center"/>
              <w:rPr>
                <w:rFonts w:cs="Arial"/>
                <w:sz w:val="20"/>
                <w:szCs w:val="20"/>
              </w:rPr>
            </w:pPr>
            <w:r w:rsidRPr="00082AE6">
              <w:rPr>
                <w:rFonts w:cs="Arial"/>
                <w:sz w:val="20"/>
                <w:szCs w:val="20"/>
              </w:rPr>
              <w:t>1</w:t>
            </w:r>
          </w:p>
        </w:tc>
      </w:tr>
      <w:tr w:rsidRPr="00082AE6" w:rsidR="008754D9" w:rsidTr="0077018B" w14:paraId="672DB33D" w14:textId="77777777">
        <w:trPr>
          <w:jc w:val="center"/>
        </w:trPr>
        <w:tc>
          <w:tcPr>
            <w:tcW w:w="3325" w:type="dxa"/>
            <w:vAlign w:val="center"/>
          </w:tcPr>
          <w:p w:rsidRPr="00082AE6" w:rsidR="008754D9" w:rsidP="008754D9" w:rsidRDefault="008754D9" w14:paraId="6FE6E9FA" w14:textId="77777777">
            <w:pPr>
              <w:jc w:val="right"/>
              <w:rPr>
                <w:rFonts w:cs="Arial"/>
                <w:b/>
                <w:sz w:val="20"/>
                <w:szCs w:val="20"/>
              </w:rPr>
            </w:pPr>
            <w:r w:rsidRPr="00082AE6">
              <w:rPr>
                <w:rFonts w:cs="Arial"/>
                <w:b/>
                <w:sz w:val="20"/>
                <w:szCs w:val="20"/>
              </w:rPr>
              <w:t>Total</w:t>
            </w:r>
          </w:p>
        </w:tc>
        <w:tc>
          <w:tcPr>
            <w:tcW w:w="1350" w:type="dxa"/>
            <w:vAlign w:val="center"/>
          </w:tcPr>
          <w:p w:rsidRPr="00082AE6" w:rsidR="008754D9" w:rsidP="008754D9" w:rsidRDefault="007B1B67" w14:paraId="08AB0A45" w14:textId="5B41BCA9">
            <w:pPr>
              <w:jc w:val="center"/>
              <w:rPr>
                <w:rFonts w:cs="Arial"/>
                <w:b/>
                <w:sz w:val="20"/>
                <w:szCs w:val="20"/>
              </w:rPr>
            </w:pPr>
            <w:r w:rsidRPr="00082AE6">
              <w:rPr>
                <w:rFonts w:cs="Arial"/>
                <w:b/>
                <w:sz w:val="20"/>
                <w:szCs w:val="20"/>
              </w:rPr>
              <w:t>91</w:t>
            </w:r>
          </w:p>
        </w:tc>
        <w:tc>
          <w:tcPr>
            <w:tcW w:w="3780" w:type="dxa"/>
            <w:vAlign w:val="center"/>
          </w:tcPr>
          <w:p w:rsidRPr="00082AE6" w:rsidR="008754D9" w:rsidP="008754D9" w:rsidRDefault="008754D9" w14:paraId="24B5A2A7" w14:textId="77777777">
            <w:pPr>
              <w:jc w:val="center"/>
              <w:rPr>
                <w:rFonts w:cs="Arial"/>
                <w:b/>
                <w:sz w:val="20"/>
                <w:szCs w:val="20"/>
              </w:rPr>
            </w:pPr>
            <w:r w:rsidRPr="00082AE6">
              <w:rPr>
                <w:rFonts w:cs="Arial"/>
                <w:b/>
                <w:sz w:val="20"/>
                <w:szCs w:val="20"/>
              </w:rPr>
              <w:t>7</w:t>
            </w:r>
          </w:p>
        </w:tc>
      </w:tr>
    </w:tbl>
    <w:p w:rsidRPr="00082AE6" w:rsidR="008754D9" w:rsidP="008754D9" w:rsidRDefault="008754D9" w14:paraId="5F420B71" w14:textId="77777777">
      <w:pPr>
        <w:ind w:left="720" w:hanging="360"/>
        <w:rPr>
          <w:rFonts w:ascii="Arial" w:hAnsi="Arial" w:cs="Arial"/>
          <w:sz w:val="18"/>
          <w:szCs w:val="18"/>
        </w:rPr>
      </w:pPr>
      <w:r w:rsidRPr="00082AE6">
        <w:rPr>
          <w:rFonts w:ascii="Arial" w:hAnsi="Arial" w:cs="Arial"/>
          <w:sz w:val="20"/>
          <w:szCs w:val="20"/>
          <w:vertAlign w:val="superscript"/>
        </w:rPr>
        <w:t>a</w:t>
      </w:r>
      <w:r w:rsidRPr="00082AE6">
        <w:rPr>
          <w:rFonts w:ascii="Arial" w:hAnsi="Arial" w:cs="Arial"/>
          <w:sz w:val="20"/>
          <w:szCs w:val="20"/>
        </w:rPr>
        <w:t xml:space="preserve"> </w:t>
      </w:r>
      <w:r w:rsidRPr="00082AE6">
        <w:rPr>
          <w:rFonts w:ascii="Arial" w:hAnsi="Arial" w:cs="Arial"/>
          <w:sz w:val="20"/>
          <w:szCs w:val="20"/>
        </w:rPr>
        <w:tab/>
      </w:r>
      <w:r w:rsidRPr="00082AE6">
        <w:rPr>
          <w:rFonts w:ascii="Arial" w:hAnsi="Arial" w:cs="Arial"/>
          <w:sz w:val="18"/>
          <w:szCs w:val="18"/>
        </w:rPr>
        <w:t>Power reactor sites include those sites with units under construction or in operating status.  Licensees that have not begun construction are not included.</w:t>
      </w:r>
    </w:p>
    <w:p w:rsidRPr="00082AE6" w:rsidR="008754D9" w:rsidP="008754D9" w:rsidRDefault="008754D9" w14:paraId="03BDD78E" w14:textId="77777777">
      <w:pPr>
        <w:ind w:left="720" w:hanging="360"/>
        <w:rPr>
          <w:rFonts w:ascii="Arial" w:hAnsi="Arial" w:cs="Arial"/>
          <w:sz w:val="18"/>
          <w:szCs w:val="18"/>
        </w:rPr>
      </w:pPr>
      <w:r w:rsidRPr="00082AE6">
        <w:rPr>
          <w:rFonts w:ascii="Arial" w:hAnsi="Arial" w:cs="Arial"/>
          <w:sz w:val="18"/>
          <w:szCs w:val="18"/>
          <w:vertAlign w:val="superscript"/>
        </w:rPr>
        <w:t>b</w:t>
      </w:r>
      <w:r w:rsidRPr="00082AE6">
        <w:rPr>
          <w:rFonts w:ascii="Arial" w:hAnsi="Arial" w:cs="Arial"/>
          <w:sz w:val="18"/>
          <w:szCs w:val="18"/>
        </w:rPr>
        <w:t xml:space="preserve"> </w:t>
      </w:r>
      <w:r w:rsidRPr="00082AE6">
        <w:rPr>
          <w:rFonts w:ascii="Arial" w:hAnsi="Arial" w:cs="Arial"/>
          <w:sz w:val="18"/>
          <w:szCs w:val="18"/>
        </w:rPr>
        <w:tab/>
        <w:t>Onsite ISFSIs (at-reactor ISFSIs) are included in these categories.</w:t>
      </w:r>
    </w:p>
    <w:p w:rsidRPr="00082AE6" w:rsidR="008754D9" w:rsidP="008754D9" w:rsidRDefault="008754D9" w14:paraId="25030C79" w14:textId="61AEB791">
      <w:pPr>
        <w:widowControl/>
        <w:ind w:left="720" w:hanging="360"/>
        <w:contextualSpacing/>
        <w:rPr>
          <w:rFonts w:ascii="Arial" w:hAnsi="Arial" w:cs="Arial"/>
          <w:sz w:val="18"/>
          <w:szCs w:val="18"/>
        </w:rPr>
      </w:pPr>
      <w:r w:rsidRPr="00082AE6">
        <w:rPr>
          <w:rFonts w:ascii="Arial" w:hAnsi="Arial" w:cs="Arial"/>
          <w:sz w:val="18"/>
          <w:szCs w:val="18"/>
          <w:vertAlign w:val="superscript"/>
        </w:rPr>
        <w:t>c</w:t>
      </w:r>
      <w:r w:rsidRPr="00082AE6">
        <w:rPr>
          <w:rFonts w:ascii="Arial" w:hAnsi="Arial" w:cs="Arial"/>
          <w:sz w:val="18"/>
          <w:szCs w:val="18"/>
        </w:rPr>
        <w:tab/>
        <w:t>All units on a decommissioning power reactor site are in decommissioning or have been decommissioned</w:t>
      </w:r>
    </w:p>
    <w:p w:rsidRPr="00082AE6" w:rsidR="00916171" w:rsidP="008754D9" w:rsidRDefault="00916171" w14:paraId="06C52B04" w14:textId="6446AB4E">
      <w:pPr>
        <w:widowControl/>
        <w:ind w:left="720" w:hanging="360"/>
        <w:contextualSpacing/>
        <w:rPr>
          <w:rFonts w:ascii="Arial" w:hAnsi="Arial" w:cs="Arial"/>
          <w:b/>
          <w:sz w:val="18"/>
          <w:szCs w:val="18"/>
        </w:rPr>
      </w:pPr>
      <w:r w:rsidRPr="00082AE6">
        <w:rPr>
          <w:rFonts w:ascii="Arial" w:hAnsi="Arial" w:cs="Arial"/>
          <w:sz w:val="18"/>
          <w:szCs w:val="18"/>
          <w:vertAlign w:val="superscript"/>
        </w:rPr>
        <w:t>d</w:t>
      </w:r>
      <w:r w:rsidRPr="00082AE6">
        <w:rPr>
          <w:rFonts w:ascii="Arial" w:hAnsi="Arial" w:cs="Arial"/>
          <w:sz w:val="18"/>
          <w:szCs w:val="18"/>
        </w:rPr>
        <w:t xml:space="preserve">     same entity can apply f</w:t>
      </w:r>
      <w:r w:rsidRPr="00082AE6" w:rsidR="007B3492">
        <w:rPr>
          <w:rFonts w:ascii="Arial" w:hAnsi="Arial" w:cs="Arial"/>
          <w:sz w:val="18"/>
          <w:szCs w:val="18"/>
        </w:rPr>
        <w:t>or</w:t>
      </w:r>
      <w:r w:rsidRPr="00082AE6">
        <w:rPr>
          <w:rFonts w:ascii="Arial" w:hAnsi="Arial" w:cs="Arial"/>
          <w:sz w:val="18"/>
          <w:szCs w:val="18"/>
        </w:rPr>
        <w:t xml:space="preserve"> a facility or transportation </w:t>
      </w:r>
      <w:r w:rsidRPr="00082AE6" w:rsidR="003E7F2F">
        <w:rPr>
          <w:rFonts w:ascii="Arial" w:hAnsi="Arial" w:cs="Arial"/>
          <w:sz w:val="18"/>
          <w:szCs w:val="18"/>
        </w:rPr>
        <w:t>activity</w:t>
      </w:r>
      <w:r w:rsidRPr="00082AE6" w:rsidR="007B3492">
        <w:rPr>
          <w:rFonts w:ascii="Arial" w:hAnsi="Arial" w:cs="Arial"/>
          <w:sz w:val="18"/>
          <w:szCs w:val="18"/>
        </w:rPr>
        <w:t>.  Each entity is only counted once.</w:t>
      </w:r>
    </w:p>
    <w:p w:rsidRPr="00082AE6" w:rsidR="00D67A81" w:rsidP="00577D64" w:rsidRDefault="00D67A81" w14:paraId="00123F85" w14:textId="77777777">
      <w:pPr>
        <w:widowControl/>
        <w:ind w:left="720"/>
        <w:rPr>
          <w:rFonts w:ascii="Arial" w:hAnsi="Arial" w:cs="Arial"/>
          <w:sz w:val="22"/>
          <w:szCs w:val="22"/>
        </w:rPr>
      </w:pPr>
    </w:p>
    <w:p w:rsidRPr="00082AE6" w:rsidR="00025BC1" w:rsidP="00577D64" w:rsidRDefault="00FE0040" w14:paraId="2C5C2BC1" w14:textId="339B206D">
      <w:pPr>
        <w:widowControl/>
        <w:ind w:left="720"/>
        <w:rPr>
          <w:rFonts w:ascii="Arial" w:hAnsi="Arial" w:cs="Arial"/>
          <w:sz w:val="22"/>
          <w:szCs w:val="22"/>
        </w:rPr>
      </w:pPr>
      <w:r w:rsidRPr="00082AE6">
        <w:rPr>
          <w:rFonts w:ascii="Arial" w:hAnsi="Arial" w:cs="Arial"/>
          <w:sz w:val="22"/>
          <w:szCs w:val="22"/>
        </w:rPr>
        <w:t>The NRC estimates that it will require two hours for a licensee to prepare and process the NRC Form 754.  Initial background checks for security personnel have already been performed under orders for 7 licensee</w:t>
      </w:r>
      <w:r w:rsidRPr="00082AE6" w:rsidR="002934BE">
        <w:rPr>
          <w:rFonts w:ascii="Arial" w:hAnsi="Arial" w:cs="Arial"/>
          <w:sz w:val="22"/>
          <w:szCs w:val="22"/>
        </w:rPr>
        <w:t xml:space="preserve"> site</w:t>
      </w:r>
      <w:r w:rsidRPr="00082AE6">
        <w:rPr>
          <w:rFonts w:ascii="Arial" w:hAnsi="Arial" w:cs="Arial"/>
          <w:sz w:val="22"/>
          <w:szCs w:val="22"/>
        </w:rPr>
        <w:t>s and are not included in this analysis.  Burden estimates are based on ongoing annual burdens for submission of the NRC Form 754.</w:t>
      </w:r>
    </w:p>
    <w:p w:rsidRPr="00082AE6" w:rsidR="00D024E6" w:rsidP="00577D64" w:rsidRDefault="00D024E6" w14:paraId="2034A7C6" w14:textId="09C3C9D7">
      <w:pPr>
        <w:widowControl/>
        <w:ind w:left="720"/>
        <w:rPr>
          <w:rFonts w:ascii="Arial" w:hAnsi="Arial" w:cs="Arial"/>
          <w:sz w:val="22"/>
          <w:szCs w:val="22"/>
        </w:rPr>
      </w:pPr>
      <w:r w:rsidRPr="00082AE6">
        <w:rPr>
          <w:rFonts w:ascii="Arial" w:hAnsi="Arial" w:cs="Arial"/>
          <w:sz w:val="22"/>
          <w:szCs w:val="22"/>
        </w:rPr>
        <w:t xml:space="preserve">The NRC Form 754 is used to conduct periodic firearms background checks every 5 years.  </w:t>
      </w:r>
      <w:r w:rsidRPr="00082AE6" w:rsidR="00025BC1">
        <w:rPr>
          <w:rFonts w:ascii="Arial" w:hAnsi="Arial" w:cs="Arial"/>
          <w:sz w:val="22"/>
          <w:szCs w:val="22"/>
        </w:rPr>
        <w:t xml:space="preserve">Estimates assume that licensees will submit forms for one-fifth of their security personnel annually. </w:t>
      </w:r>
      <w:r w:rsidRPr="00082AE6" w:rsidR="002A33E3">
        <w:rPr>
          <w:rFonts w:ascii="Arial" w:hAnsi="Arial" w:cs="Arial"/>
          <w:sz w:val="22"/>
          <w:szCs w:val="22"/>
        </w:rPr>
        <w:t xml:space="preserve"> </w:t>
      </w:r>
      <w:r w:rsidRPr="00082AE6">
        <w:rPr>
          <w:rFonts w:ascii="Arial" w:hAnsi="Arial" w:cs="Arial"/>
          <w:sz w:val="22"/>
          <w:szCs w:val="22"/>
        </w:rPr>
        <w:t xml:space="preserve">Based on the estimated number of personnel at each type of </w:t>
      </w:r>
      <w:r w:rsidRPr="00082AE6" w:rsidR="00025BC1">
        <w:rPr>
          <w:rFonts w:ascii="Arial" w:hAnsi="Arial" w:cs="Arial"/>
          <w:sz w:val="22"/>
          <w:szCs w:val="22"/>
        </w:rPr>
        <w:t xml:space="preserve">site, the NRC has estimated that an average of </w:t>
      </w:r>
      <w:r w:rsidRPr="00082AE6" w:rsidR="00620AEF">
        <w:rPr>
          <w:rFonts w:ascii="Arial" w:hAnsi="Arial" w:cs="Arial"/>
          <w:sz w:val="22"/>
          <w:szCs w:val="22"/>
        </w:rPr>
        <w:t>550</w:t>
      </w:r>
      <w:r w:rsidRPr="00082AE6" w:rsidR="00025BC1">
        <w:rPr>
          <w:rFonts w:ascii="Arial" w:hAnsi="Arial" w:cs="Arial"/>
          <w:sz w:val="22"/>
          <w:szCs w:val="22"/>
        </w:rPr>
        <w:t xml:space="preserve"> forms will be submitted annually:</w:t>
      </w:r>
      <w:r w:rsidRPr="00082AE6" w:rsidR="00620AEF">
        <w:rPr>
          <w:rFonts w:ascii="Arial" w:hAnsi="Arial" w:cs="Arial"/>
          <w:sz w:val="22"/>
          <w:szCs w:val="22"/>
        </w:rPr>
        <w:t xml:space="preserve">  This includes 430 periodic firearms background checks plus 120 break-in-service and new employee background checks.</w:t>
      </w:r>
    </w:p>
    <w:p w:rsidRPr="00082AE6" w:rsidR="00431CA4" w:rsidP="00577D64" w:rsidRDefault="00431CA4" w14:paraId="1F151D37" w14:textId="77777777">
      <w:pPr>
        <w:widowControl/>
        <w:ind w:left="720"/>
        <w:rPr>
          <w:rFonts w:ascii="Arial" w:hAnsi="Arial" w:cs="Arial"/>
          <w:sz w:val="22"/>
          <w:szCs w:val="22"/>
        </w:rPr>
      </w:pPr>
    </w:p>
    <w:p w:rsidRPr="00082AE6" w:rsidR="00D024E6" w:rsidP="00577D64" w:rsidRDefault="00025BC1" w14:paraId="0FA5F5C8" w14:textId="7BEE3A5A">
      <w:pPr>
        <w:widowControl/>
        <w:ind w:left="720"/>
        <w:rPr>
          <w:rFonts w:ascii="Arial" w:hAnsi="Arial" w:cs="Arial"/>
          <w:sz w:val="22"/>
          <w:szCs w:val="22"/>
        </w:rPr>
      </w:pPr>
      <w:r w:rsidRPr="00082AE6">
        <w:rPr>
          <w:rFonts w:ascii="Arial" w:hAnsi="Arial" w:cs="Arial"/>
          <w:sz w:val="22"/>
          <w:szCs w:val="22"/>
        </w:rPr>
        <w:t xml:space="preserve">At 2 hours per form, the estimated annual reporting burden is </w:t>
      </w:r>
      <w:r w:rsidRPr="00082AE6" w:rsidR="00EE7A64">
        <w:rPr>
          <w:rFonts w:ascii="Arial" w:hAnsi="Arial" w:cs="Arial"/>
          <w:sz w:val="22"/>
          <w:szCs w:val="22"/>
        </w:rPr>
        <w:t>1,100 hours (550 forms x 2 hours per form = 1,110</w:t>
      </w:r>
      <w:r w:rsidRPr="00082AE6">
        <w:rPr>
          <w:rFonts w:ascii="Arial" w:hAnsi="Arial" w:cs="Arial"/>
          <w:sz w:val="22"/>
          <w:szCs w:val="22"/>
        </w:rPr>
        <w:t xml:space="preserve"> hours).  The estimated annual recordkeeping burden is 20 hours per site, for a total of 140 hours of recordkeeping burden (20 hours x 7 sites = 140 hours).  The total estimated annual </w:t>
      </w:r>
      <w:r w:rsidRPr="00082AE6" w:rsidR="00EE7A64">
        <w:rPr>
          <w:rFonts w:ascii="Arial" w:hAnsi="Arial" w:cs="Arial"/>
          <w:sz w:val="22"/>
          <w:szCs w:val="22"/>
        </w:rPr>
        <w:t xml:space="preserve">burden for NRC Form 754 is 1,240 hours (1,100 </w:t>
      </w:r>
      <w:r w:rsidRPr="00082AE6">
        <w:rPr>
          <w:rFonts w:ascii="Arial" w:hAnsi="Arial" w:cs="Arial"/>
          <w:sz w:val="22"/>
          <w:szCs w:val="22"/>
        </w:rPr>
        <w:t>reporting hours + 140 recordkeeping hours).</w:t>
      </w:r>
    </w:p>
    <w:p w:rsidRPr="00082AE6" w:rsidR="00025BC1" w:rsidP="00577D64" w:rsidRDefault="00025BC1" w14:paraId="6CD2A15E" w14:textId="77777777">
      <w:pPr>
        <w:widowControl/>
        <w:ind w:left="720"/>
        <w:rPr>
          <w:rFonts w:ascii="Arial" w:hAnsi="Arial" w:cs="Arial"/>
          <w:sz w:val="22"/>
          <w:szCs w:val="22"/>
        </w:rPr>
      </w:pPr>
    </w:p>
    <w:tbl>
      <w:tblPr>
        <w:tblW w:w="6930" w:type="dxa"/>
        <w:jc w:val="center"/>
        <w:tblLook w:val="04A0" w:firstRow="1" w:lastRow="0" w:firstColumn="1" w:lastColumn="0" w:noHBand="0" w:noVBand="1"/>
      </w:tblPr>
      <w:tblGrid>
        <w:gridCol w:w="2940"/>
        <w:gridCol w:w="1317"/>
        <w:gridCol w:w="1233"/>
        <w:gridCol w:w="1440"/>
      </w:tblGrid>
      <w:tr w:rsidRPr="00082AE6" w:rsidR="00025BC1" w:rsidTr="00D67A81" w14:paraId="3F3C7D60" w14:textId="77777777">
        <w:trPr>
          <w:trHeight w:val="368"/>
          <w:jc w:val="center"/>
        </w:trPr>
        <w:tc>
          <w:tcPr>
            <w:tcW w:w="2940" w:type="dxa"/>
            <w:tcBorders>
              <w:top w:val="nil"/>
              <w:left w:val="nil"/>
              <w:bottom w:val="nil"/>
              <w:right w:val="nil"/>
            </w:tcBorders>
            <w:shd w:val="clear" w:color="auto" w:fill="auto"/>
            <w:noWrap/>
            <w:vAlign w:val="bottom"/>
            <w:hideMark/>
          </w:tcPr>
          <w:p w:rsidRPr="00082AE6" w:rsidR="00025BC1" w:rsidP="00495490" w:rsidRDefault="00025BC1" w14:paraId="67857753" w14:textId="77777777">
            <w:pPr>
              <w:keepNext/>
              <w:keepLines/>
              <w:widowControl/>
              <w:autoSpaceDE/>
              <w:autoSpaceDN/>
              <w:adjustRightInd/>
              <w:rPr>
                <w:sz w:val="20"/>
                <w:szCs w:val="20"/>
              </w:rPr>
            </w:pP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82AE6" w:rsidR="00025BC1" w:rsidP="00495490" w:rsidRDefault="00025BC1" w14:paraId="063FA5D0" w14:textId="77777777">
            <w:pPr>
              <w:keepNext/>
              <w:keepLines/>
              <w:widowControl/>
              <w:autoSpaceDE/>
              <w:autoSpaceDN/>
              <w:adjustRightInd/>
              <w:jc w:val="center"/>
              <w:rPr>
                <w:rFonts w:ascii="Arial" w:hAnsi="Arial" w:cs="Arial"/>
                <w:color w:val="000000"/>
                <w:sz w:val="22"/>
                <w:szCs w:val="22"/>
              </w:rPr>
            </w:pPr>
            <w:r w:rsidRPr="00082AE6">
              <w:rPr>
                <w:rFonts w:ascii="Arial" w:hAnsi="Arial" w:cs="Arial"/>
                <w:color w:val="000000"/>
                <w:sz w:val="22"/>
                <w:szCs w:val="22"/>
              </w:rPr>
              <w:t>Responses</w:t>
            </w:r>
          </w:p>
        </w:tc>
        <w:tc>
          <w:tcPr>
            <w:tcW w:w="1233" w:type="dxa"/>
            <w:tcBorders>
              <w:top w:val="single" w:color="auto" w:sz="4" w:space="0"/>
              <w:left w:val="nil"/>
              <w:bottom w:val="single" w:color="auto" w:sz="4" w:space="0"/>
              <w:right w:val="single" w:color="auto" w:sz="4" w:space="0"/>
            </w:tcBorders>
            <w:shd w:val="clear" w:color="auto" w:fill="auto"/>
            <w:noWrap/>
            <w:vAlign w:val="bottom"/>
            <w:hideMark/>
          </w:tcPr>
          <w:p w:rsidRPr="00082AE6" w:rsidR="00025BC1" w:rsidP="00495490" w:rsidRDefault="00025BC1" w14:paraId="52C8DD4D" w14:textId="6C77E5AF">
            <w:pPr>
              <w:keepNext/>
              <w:keepLines/>
              <w:widowControl/>
              <w:autoSpaceDE/>
              <w:autoSpaceDN/>
              <w:adjustRightInd/>
              <w:jc w:val="center"/>
              <w:rPr>
                <w:rFonts w:ascii="Arial" w:hAnsi="Arial" w:cs="Arial"/>
                <w:color w:val="000000"/>
                <w:sz w:val="22"/>
                <w:szCs w:val="22"/>
              </w:rPr>
            </w:pPr>
            <w:r w:rsidRPr="00082AE6">
              <w:rPr>
                <w:rFonts w:ascii="Arial" w:hAnsi="Arial" w:cs="Arial"/>
                <w:color w:val="000000"/>
                <w:sz w:val="22"/>
                <w:szCs w:val="22"/>
              </w:rPr>
              <w:t xml:space="preserve">Burden </w:t>
            </w:r>
            <w:r w:rsidRPr="00082AE6" w:rsidR="00D67A81">
              <w:rPr>
                <w:rFonts w:ascii="Arial" w:hAnsi="Arial" w:cs="Arial"/>
                <w:color w:val="000000"/>
                <w:sz w:val="22"/>
                <w:szCs w:val="22"/>
              </w:rPr>
              <w:t>hours</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082AE6" w:rsidR="00025BC1" w:rsidP="002A33E3" w:rsidRDefault="00025BC1" w14:paraId="7EDEAA69" w14:textId="03EF7F9B">
            <w:pPr>
              <w:keepNext/>
              <w:keepLines/>
              <w:widowControl/>
              <w:autoSpaceDE/>
              <w:autoSpaceDN/>
              <w:adjustRightInd/>
              <w:jc w:val="center"/>
              <w:rPr>
                <w:rFonts w:ascii="Arial" w:hAnsi="Arial" w:cs="Arial"/>
                <w:color w:val="000000"/>
                <w:sz w:val="22"/>
                <w:szCs w:val="22"/>
              </w:rPr>
            </w:pPr>
            <w:r w:rsidRPr="00082AE6">
              <w:rPr>
                <w:rFonts w:ascii="Arial" w:hAnsi="Arial" w:cs="Arial"/>
                <w:color w:val="000000"/>
                <w:sz w:val="22"/>
                <w:szCs w:val="22"/>
              </w:rPr>
              <w:t>Cost at $</w:t>
            </w:r>
            <w:r w:rsidRPr="00082AE6" w:rsidR="000622D7">
              <w:rPr>
                <w:rFonts w:ascii="Arial" w:hAnsi="Arial" w:cs="Arial"/>
                <w:color w:val="000000"/>
                <w:sz w:val="22"/>
                <w:szCs w:val="22"/>
              </w:rPr>
              <w:t>288</w:t>
            </w:r>
            <w:r w:rsidRPr="00082AE6">
              <w:rPr>
                <w:rFonts w:ascii="Arial" w:hAnsi="Arial" w:cs="Arial"/>
                <w:color w:val="000000"/>
                <w:sz w:val="22"/>
                <w:szCs w:val="22"/>
              </w:rPr>
              <w:t>/</w:t>
            </w:r>
            <w:r w:rsidRPr="00082AE6" w:rsidR="00777CB0">
              <w:rPr>
                <w:rFonts w:ascii="Arial" w:hAnsi="Arial" w:cs="Arial"/>
                <w:color w:val="000000"/>
                <w:sz w:val="22"/>
                <w:szCs w:val="22"/>
              </w:rPr>
              <w:t>hr.</w:t>
            </w:r>
          </w:p>
        </w:tc>
      </w:tr>
      <w:tr w:rsidRPr="00082AE6" w:rsidR="00025BC1" w:rsidTr="00D67A81" w14:paraId="2EB4925B" w14:textId="77777777">
        <w:trPr>
          <w:trHeight w:val="276"/>
          <w:jc w:val="center"/>
        </w:trPr>
        <w:tc>
          <w:tcPr>
            <w:tcW w:w="29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82AE6" w:rsidR="00025BC1" w:rsidP="00495490" w:rsidRDefault="00025BC1" w14:paraId="0EA28FD7" w14:textId="77777777">
            <w:pPr>
              <w:keepNext/>
              <w:keepLines/>
              <w:widowControl/>
              <w:autoSpaceDE/>
              <w:autoSpaceDN/>
              <w:adjustRightInd/>
              <w:rPr>
                <w:rFonts w:ascii="Arial" w:hAnsi="Arial" w:cs="Arial"/>
                <w:color w:val="000000"/>
                <w:sz w:val="22"/>
                <w:szCs w:val="22"/>
              </w:rPr>
            </w:pPr>
            <w:r w:rsidRPr="00082AE6">
              <w:rPr>
                <w:rFonts w:ascii="Arial" w:hAnsi="Arial" w:cs="Arial"/>
                <w:color w:val="000000"/>
                <w:sz w:val="22"/>
                <w:szCs w:val="22"/>
              </w:rPr>
              <w:t>Reporting</w:t>
            </w:r>
          </w:p>
        </w:tc>
        <w:tc>
          <w:tcPr>
            <w:tcW w:w="1317" w:type="dxa"/>
            <w:tcBorders>
              <w:top w:val="nil"/>
              <w:left w:val="nil"/>
              <w:bottom w:val="single" w:color="auto" w:sz="4" w:space="0"/>
              <w:right w:val="single" w:color="auto" w:sz="4" w:space="0"/>
            </w:tcBorders>
            <w:shd w:val="clear" w:color="auto" w:fill="auto"/>
            <w:noWrap/>
            <w:vAlign w:val="bottom"/>
            <w:hideMark/>
          </w:tcPr>
          <w:p w:rsidRPr="00082AE6" w:rsidR="00025BC1" w:rsidP="00495490" w:rsidRDefault="00EE7A64" w14:paraId="0D74D4EB" w14:textId="1E61B470">
            <w:pPr>
              <w:keepNext/>
              <w:keepLines/>
              <w:widowControl/>
              <w:autoSpaceDE/>
              <w:autoSpaceDN/>
              <w:adjustRightInd/>
              <w:jc w:val="right"/>
              <w:rPr>
                <w:rFonts w:ascii="Arial" w:hAnsi="Arial" w:cs="Arial"/>
                <w:color w:val="000000"/>
                <w:sz w:val="22"/>
                <w:szCs w:val="22"/>
              </w:rPr>
            </w:pPr>
            <w:r w:rsidRPr="00082AE6">
              <w:rPr>
                <w:rFonts w:ascii="Arial" w:hAnsi="Arial" w:cs="Arial"/>
                <w:color w:val="000000"/>
                <w:sz w:val="22"/>
                <w:szCs w:val="22"/>
              </w:rPr>
              <w:t>550</w:t>
            </w:r>
          </w:p>
        </w:tc>
        <w:tc>
          <w:tcPr>
            <w:tcW w:w="1233" w:type="dxa"/>
            <w:tcBorders>
              <w:top w:val="nil"/>
              <w:left w:val="nil"/>
              <w:bottom w:val="single" w:color="auto" w:sz="4" w:space="0"/>
              <w:right w:val="single" w:color="auto" w:sz="4" w:space="0"/>
            </w:tcBorders>
            <w:shd w:val="clear" w:color="auto" w:fill="auto"/>
            <w:noWrap/>
            <w:vAlign w:val="bottom"/>
            <w:hideMark/>
          </w:tcPr>
          <w:p w:rsidRPr="00082AE6" w:rsidR="00025BC1" w:rsidP="00495490" w:rsidRDefault="00EE7A64" w14:paraId="5618FC7C" w14:textId="0FE26B6D">
            <w:pPr>
              <w:keepNext/>
              <w:keepLines/>
              <w:widowControl/>
              <w:autoSpaceDE/>
              <w:autoSpaceDN/>
              <w:adjustRightInd/>
              <w:jc w:val="right"/>
              <w:rPr>
                <w:rFonts w:ascii="Arial" w:hAnsi="Arial" w:cs="Arial"/>
                <w:color w:val="000000"/>
                <w:sz w:val="22"/>
                <w:szCs w:val="22"/>
              </w:rPr>
            </w:pPr>
            <w:r w:rsidRPr="00082AE6">
              <w:rPr>
                <w:rFonts w:ascii="Arial" w:hAnsi="Arial" w:cs="Arial"/>
                <w:color w:val="000000"/>
                <w:sz w:val="22"/>
                <w:szCs w:val="22"/>
              </w:rPr>
              <w:t>1,100</w:t>
            </w:r>
          </w:p>
        </w:tc>
        <w:tc>
          <w:tcPr>
            <w:tcW w:w="1440" w:type="dxa"/>
            <w:tcBorders>
              <w:top w:val="nil"/>
              <w:left w:val="nil"/>
              <w:bottom w:val="single" w:color="auto" w:sz="4" w:space="0"/>
              <w:right w:val="single" w:color="auto" w:sz="4" w:space="0"/>
            </w:tcBorders>
            <w:shd w:val="clear" w:color="auto" w:fill="auto"/>
            <w:noWrap/>
            <w:vAlign w:val="bottom"/>
            <w:hideMark/>
          </w:tcPr>
          <w:p w:rsidRPr="00082AE6" w:rsidR="00025BC1" w:rsidP="00495490" w:rsidRDefault="00EE7A64" w14:paraId="179AF4F8" w14:textId="15FF197B">
            <w:pPr>
              <w:keepNext/>
              <w:keepLines/>
              <w:widowControl/>
              <w:autoSpaceDE/>
              <w:autoSpaceDN/>
              <w:adjustRightInd/>
              <w:jc w:val="right"/>
              <w:rPr>
                <w:rFonts w:ascii="Arial" w:hAnsi="Arial" w:cs="Arial"/>
                <w:color w:val="000000"/>
                <w:sz w:val="22"/>
                <w:szCs w:val="22"/>
              </w:rPr>
            </w:pPr>
            <w:r w:rsidRPr="00082AE6">
              <w:rPr>
                <w:rFonts w:ascii="Arial" w:hAnsi="Arial" w:cs="Arial"/>
                <w:color w:val="000000"/>
                <w:sz w:val="22"/>
                <w:szCs w:val="22"/>
              </w:rPr>
              <w:t>$</w:t>
            </w:r>
            <w:r w:rsidRPr="00082AE6" w:rsidR="00CA7EF2">
              <w:rPr>
                <w:rFonts w:ascii="Arial" w:hAnsi="Arial" w:cs="Arial"/>
                <w:color w:val="000000"/>
                <w:sz w:val="22"/>
                <w:szCs w:val="22"/>
              </w:rPr>
              <w:t>316,800</w:t>
            </w:r>
          </w:p>
        </w:tc>
      </w:tr>
      <w:tr w:rsidRPr="00082AE6" w:rsidR="00025BC1" w:rsidTr="00D67A81" w14:paraId="2655AC37" w14:textId="77777777">
        <w:trPr>
          <w:trHeight w:val="276"/>
          <w:jc w:val="center"/>
        </w:trPr>
        <w:tc>
          <w:tcPr>
            <w:tcW w:w="2940" w:type="dxa"/>
            <w:tcBorders>
              <w:top w:val="nil"/>
              <w:left w:val="single" w:color="auto" w:sz="4" w:space="0"/>
              <w:bottom w:val="single" w:color="auto" w:sz="4" w:space="0"/>
              <w:right w:val="single" w:color="auto" w:sz="4" w:space="0"/>
            </w:tcBorders>
            <w:shd w:val="clear" w:color="auto" w:fill="auto"/>
            <w:noWrap/>
            <w:vAlign w:val="bottom"/>
            <w:hideMark/>
          </w:tcPr>
          <w:p w:rsidRPr="00082AE6" w:rsidR="00025BC1" w:rsidP="00495490" w:rsidRDefault="00025BC1" w14:paraId="605F72BE" w14:textId="77777777">
            <w:pPr>
              <w:keepNext/>
              <w:keepLines/>
              <w:widowControl/>
              <w:autoSpaceDE/>
              <w:autoSpaceDN/>
              <w:adjustRightInd/>
              <w:rPr>
                <w:rFonts w:ascii="Arial" w:hAnsi="Arial" w:cs="Arial"/>
                <w:color w:val="000000"/>
                <w:sz w:val="22"/>
                <w:szCs w:val="22"/>
              </w:rPr>
            </w:pPr>
            <w:r w:rsidRPr="00082AE6">
              <w:rPr>
                <w:rFonts w:ascii="Arial" w:hAnsi="Arial" w:cs="Arial"/>
                <w:color w:val="000000"/>
                <w:sz w:val="22"/>
                <w:szCs w:val="22"/>
              </w:rPr>
              <w:t>Recordkeeping</w:t>
            </w:r>
          </w:p>
        </w:tc>
        <w:tc>
          <w:tcPr>
            <w:tcW w:w="1317" w:type="dxa"/>
            <w:tcBorders>
              <w:top w:val="nil"/>
              <w:left w:val="nil"/>
              <w:bottom w:val="single" w:color="auto" w:sz="4" w:space="0"/>
              <w:right w:val="single" w:color="auto" w:sz="4" w:space="0"/>
            </w:tcBorders>
            <w:shd w:val="clear" w:color="auto" w:fill="auto"/>
            <w:noWrap/>
            <w:vAlign w:val="bottom"/>
            <w:hideMark/>
          </w:tcPr>
          <w:p w:rsidRPr="00082AE6" w:rsidR="00025BC1" w:rsidP="00495490" w:rsidRDefault="00025BC1" w14:paraId="48C1BA04" w14:textId="77777777">
            <w:pPr>
              <w:keepNext/>
              <w:keepLines/>
              <w:widowControl/>
              <w:autoSpaceDE/>
              <w:autoSpaceDN/>
              <w:adjustRightInd/>
              <w:jc w:val="right"/>
              <w:rPr>
                <w:rFonts w:ascii="Arial" w:hAnsi="Arial" w:cs="Arial"/>
                <w:color w:val="000000"/>
                <w:sz w:val="22"/>
                <w:szCs w:val="22"/>
              </w:rPr>
            </w:pPr>
            <w:r w:rsidRPr="00082AE6">
              <w:rPr>
                <w:rFonts w:ascii="Arial" w:hAnsi="Arial" w:cs="Arial"/>
                <w:color w:val="000000"/>
                <w:sz w:val="22"/>
                <w:szCs w:val="22"/>
              </w:rPr>
              <w:t>7</w:t>
            </w:r>
          </w:p>
        </w:tc>
        <w:tc>
          <w:tcPr>
            <w:tcW w:w="1233" w:type="dxa"/>
            <w:tcBorders>
              <w:top w:val="nil"/>
              <w:left w:val="nil"/>
              <w:bottom w:val="single" w:color="auto" w:sz="4" w:space="0"/>
              <w:right w:val="single" w:color="auto" w:sz="4" w:space="0"/>
            </w:tcBorders>
            <w:shd w:val="clear" w:color="auto" w:fill="auto"/>
            <w:noWrap/>
            <w:vAlign w:val="bottom"/>
            <w:hideMark/>
          </w:tcPr>
          <w:p w:rsidRPr="00082AE6" w:rsidR="00025BC1" w:rsidP="00495490" w:rsidRDefault="00025BC1" w14:paraId="4B0A00DF" w14:textId="77777777">
            <w:pPr>
              <w:keepNext/>
              <w:keepLines/>
              <w:widowControl/>
              <w:autoSpaceDE/>
              <w:autoSpaceDN/>
              <w:adjustRightInd/>
              <w:jc w:val="right"/>
              <w:rPr>
                <w:rFonts w:ascii="Arial" w:hAnsi="Arial" w:cs="Arial"/>
                <w:color w:val="000000"/>
                <w:sz w:val="22"/>
                <w:szCs w:val="22"/>
              </w:rPr>
            </w:pPr>
            <w:r w:rsidRPr="00082AE6">
              <w:rPr>
                <w:rFonts w:ascii="Arial" w:hAnsi="Arial" w:cs="Arial"/>
                <w:color w:val="000000"/>
                <w:sz w:val="22"/>
                <w:szCs w:val="22"/>
              </w:rPr>
              <w:t>140</w:t>
            </w:r>
          </w:p>
        </w:tc>
        <w:tc>
          <w:tcPr>
            <w:tcW w:w="1440" w:type="dxa"/>
            <w:tcBorders>
              <w:top w:val="nil"/>
              <w:left w:val="nil"/>
              <w:bottom w:val="single" w:color="auto" w:sz="4" w:space="0"/>
              <w:right w:val="single" w:color="auto" w:sz="4" w:space="0"/>
            </w:tcBorders>
            <w:shd w:val="clear" w:color="auto" w:fill="auto"/>
            <w:noWrap/>
            <w:vAlign w:val="bottom"/>
            <w:hideMark/>
          </w:tcPr>
          <w:p w:rsidRPr="00082AE6" w:rsidR="00025BC1" w:rsidP="00495490" w:rsidRDefault="00025BC1" w14:paraId="59D0478C" w14:textId="768131B0">
            <w:pPr>
              <w:keepNext/>
              <w:keepLines/>
              <w:widowControl/>
              <w:autoSpaceDE/>
              <w:autoSpaceDN/>
              <w:adjustRightInd/>
              <w:jc w:val="right"/>
              <w:rPr>
                <w:rFonts w:ascii="Arial" w:hAnsi="Arial" w:cs="Arial"/>
                <w:color w:val="000000"/>
                <w:sz w:val="22"/>
                <w:szCs w:val="22"/>
              </w:rPr>
            </w:pPr>
            <w:r w:rsidRPr="00082AE6">
              <w:rPr>
                <w:rFonts w:ascii="Arial" w:hAnsi="Arial" w:cs="Arial"/>
                <w:color w:val="000000"/>
                <w:sz w:val="22"/>
                <w:szCs w:val="22"/>
              </w:rPr>
              <w:t>$</w:t>
            </w:r>
            <w:r w:rsidRPr="00082AE6" w:rsidR="004617E8">
              <w:rPr>
                <w:rFonts w:ascii="Arial" w:hAnsi="Arial" w:cs="Arial"/>
                <w:color w:val="000000"/>
                <w:sz w:val="22"/>
                <w:szCs w:val="22"/>
              </w:rPr>
              <w:t>40,320</w:t>
            </w:r>
          </w:p>
        </w:tc>
      </w:tr>
      <w:tr w:rsidRPr="00082AE6" w:rsidR="00025BC1" w:rsidTr="00D67A81" w14:paraId="7547E718" w14:textId="77777777">
        <w:trPr>
          <w:trHeight w:val="276"/>
          <w:jc w:val="center"/>
        </w:trPr>
        <w:tc>
          <w:tcPr>
            <w:tcW w:w="2940" w:type="dxa"/>
            <w:tcBorders>
              <w:top w:val="nil"/>
              <w:left w:val="single" w:color="auto" w:sz="4" w:space="0"/>
              <w:bottom w:val="single" w:color="auto" w:sz="4" w:space="0"/>
              <w:right w:val="single" w:color="auto" w:sz="4" w:space="0"/>
            </w:tcBorders>
            <w:shd w:val="clear" w:color="auto" w:fill="auto"/>
            <w:noWrap/>
            <w:vAlign w:val="bottom"/>
            <w:hideMark/>
          </w:tcPr>
          <w:p w:rsidRPr="00082AE6" w:rsidR="00025BC1" w:rsidP="00495490" w:rsidRDefault="00025BC1" w14:paraId="3FBC721A" w14:textId="77777777">
            <w:pPr>
              <w:keepNext/>
              <w:keepLines/>
              <w:widowControl/>
              <w:autoSpaceDE/>
              <w:autoSpaceDN/>
              <w:adjustRightInd/>
              <w:rPr>
                <w:rFonts w:ascii="Arial" w:hAnsi="Arial" w:cs="Arial"/>
                <w:b/>
                <w:color w:val="000000"/>
                <w:sz w:val="22"/>
                <w:szCs w:val="22"/>
              </w:rPr>
            </w:pPr>
            <w:r w:rsidRPr="00082AE6">
              <w:rPr>
                <w:rFonts w:ascii="Arial" w:hAnsi="Arial" w:cs="Arial"/>
                <w:b/>
                <w:color w:val="000000"/>
                <w:sz w:val="22"/>
                <w:szCs w:val="22"/>
              </w:rPr>
              <w:t>TOTAL</w:t>
            </w:r>
          </w:p>
        </w:tc>
        <w:tc>
          <w:tcPr>
            <w:tcW w:w="1317" w:type="dxa"/>
            <w:tcBorders>
              <w:top w:val="nil"/>
              <w:left w:val="nil"/>
              <w:bottom w:val="single" w:color="auto" w:sz="4" w:space="0"/>
              <w:right w:val="single" w:color="auto" w:sz="4" w:space="0"/>
            </w:tcBorders>
            <w:shd w:val="clear" w:color="auto" w:fill="auto"/>
            <w:noWrap/>
            <w:vAlign w:val="bottom"/>
            <w:hideMark/>
          </w:tcPr>
          <w:p w:rsidRPr="00082AE6" w:rsidR="00025BC1" w:rsidP="00495490" w:rsidRDefault="00EE7A64" w14:paraId="3B722B28" w14:textId="0B507955">
            <w:pPr>
              <w:keepNext/>
              <w:keepLines/>
              <w:widowControl/>
              <w:autoSpaceDE/>
              <w:autoSpaceDN/>
              <w:adjustRightInd/>
              <w:jc w:val="right"/>
              <w:rPr>
                <w:rFonts w:ascii="Arial" w:hAnsi="Arial" w:cs="Arial"/>
                <w:b/>
                <w:color w:val="000000"/>
                <w:sz w:val="22"/>
                <w:szCs w:val="22"/>
              </w:rPr>
            </w:pPr>
            <w:r w:rsidRPr="00082AE6">
              <w:rPr>
                <w:rFonts w:ascii="Arial" w:hAnsi="Arial" w:cs="Arial"/>
                <w:b/>
                <w:color w:val="000000"/>
                <w:sz w:val="22"/>
                <w:szCs w:val="22"/>
              </w:rPr>
              <w:t>557</w:t>
            </w:r>
          </w:p>
        </w:tc>
        <w:tc>
          <w:tcPr>
            <w:tcW w:w="1233" w:type="dxa"/>
            <w:tcBorders>
              <w:top w:val="nil"/>
              <w:left w:val="nil"/>
              <w:bottom w:val="single" w:color="auto" w:sz="4" w:space="0"/>
              <w:right w:val="single" w:color="auto" w:sz="4" w:space="0"/>
            </w:tcBorders>
            <w:shd w:val="clear" w:color="auto" w:fill="auto"/>
            <w:noWrap/>
            <w:vAlign w:val="bottom"/>
            <w:hideMark/>
          </w:tcPr>
          <w:p w:rsidRPr="00082AE6" w:rsidR="00025BC1" w:rsidP="00495490" w:rsidRDefault="00EE7A64" w14:paraId="25EE83F6" w14:textId="05E14FF0">
            <w:pPr>
              <w:keepNext/>
              <w:keepLines/>
              <w:widowControl/>
              <w:autoSpaceDE/>
              <w:autoSpaceDN/>
              <w:adjustRightInd/>
              <w:jc w:val="right"/>
              <w:rPr>
                <w:rFonts w:ascii="Arial" w:hAnsi="Arial" w:cs="Arial"/>
                <w:b/>
                <w:color w:val="000000"/>
                <w:sz w:val="22"/>
                <w:szCs w:val="22"/>
              </w:rPr>
            </w:pPr>
            <w:r w:rsidRPr="00082AE6">
              <w:rPr>
                <w:rFonts w:ascii="Arial" w:hAnsi="Arial" w:cs="Arial"/>
                <w:b/>
                <w:color w:val="000000"/>
                <w:sz w:val="22"/>
                <w:szCs w:val="22"/>
              </w:rPr>
              <w:t>1,240</w:t>
            </w:r>
          </w:p>
        </w:tc>
        <w:tc>
          <w:tcPr>
            <w:tcW w:w="1440" w:type="dxa"/>
            <w:tcBorders>
              <w:top w:val="nil"/>
              <w:left w:val="nil"/>
              <w:bottom w:val="single" w:color="auto" w:sz="4" w:space="0"/>
              <w:right w:val="single" w:color="auto" w:sz="4" w:space="0"/>
            </w:tcBorders>
            <w:shd w:val="clear" w:color="auto" w:fill="auto"/>
            <w:noWrap/>
            <w:vAlign w:val="bottom"/>
            <w:hideMark/>
          </w:tcPr>
          <w:p w:rsidRPr="00082AE6" w:rsidR="00025BC1" w:rsidP="00495490" w:rsidRDefault="00EE7A64" w14:paraId="4A493375" w14:textId="3EB3B2BA">
            <w:pPr>
              <w:keepNext/>
              <w:keepLines/>
              <w:widowControl/>
              <w:autoSpaceDE/>
              <w:autoSpaceDN/>
              <w:adjustRightInd/>
              <w:jc w:val="right"/>
              <w:rPr>
                <w:rFonts w:ascii="Arial" w:hAnsi="Arial" w:cs="Arial"/>
                <w:b/>
                <w:color w:val="000000"/>
                <w:sz w:val="22"/>
                <w:szCs w:val="22"/>
              </w:rPr>
            </w:pPr>
            <w:r w:rsidRPr="00082AE6">
              <w:rPr>
                <w:rFonts w:ascii="Arial" w:hAnsi="Arial" w:cs="Arial"/>
                <w:b/>
                <w:color w:val="000000"/>
                <w:sz w:val="22"/>
                <w:szCs w:val="22"/>
              </w:rPr>
              <w:t>$</w:t>
            </w:r>
            <w:r w:rsidRPr="00082AE6" w:rsidR="002354C3">
              <w:rPr>
                <w:rFonts w:ascii="Arial" w:hAnsi="Arial" w:cs="Arial"/>
                <w:b/>
                <w:color w:val="000000"/>
                <w:sz w:val="22"/>
                <w:szCs w:val="22"/>
              </w:rPr>
              <w:t>357</w:t>
            </w:r>
            <w:r w:rsidR="00082AE6">
              <w:rPr>
                <w:rFonts w:ascii="Arial" w:hAnsi="Arial" w:cs="Arial"/>
                <w:b/>
                <w:color w:val="000000"/>
                <w:sz w:val="22"/>
                <w:szCs w:val="22"/>
              </w:rPr>
              <w:t>,</w:t>
            </w:r>
            <w:r w:rsidRPr="00082AE6" w:rsidR="002354C3">
              <w:rPr>
                <w:rFonts w:ascii="Arial" w:hAnsi="Arial" w:cs="Arial"/>
                <w:b/>
                <w:color w:val="000000"/>
                <w:sz w:val="22"/>
                <w:szCs w:val="22"/>
              </w:rPr>
              <w:t>120</w:t>
            </w:r>
          </w:p>
        </w:tc>
      </w:tr>
    </w:tbl>
    <w:p w:rsidRPr="00082AE6" w:rsidR="00025BC1" w:rsidP="00577D64" w:rsidRDefault="00025BC1" w14:paraId="62796A85" w14:textId="77777777">
      <w:pPr>
        <w:widowControl/>
        <w:ind w:left="720"/>
        <w:rPr>
          <w:rFonts w:ascii="Arial" w:hAnsi="Arial" w:cs="Arial"/>
          <w:sz w:val="22"/>
          <w:szCs w:val="22"/>
        </w:rPr>
      </w:pPr>
    </w:p>
    <w:p w:rsidRPr="00082AE6" w:rsidR="00D33221" w:rsidP="00577D64" w:rsidRDefault="00D67A81" w14:paraId="68D2D4D4" w14:textId="390CD620">
      <w:pPr>
        <w:widowControl/>
        <w:ind w:left="720"/>
        <w:rPr>
          <w:rFonts w:ascii="Arial" w:hAnsi="Arial" w:cs="Arial"/>
          <w:sz w:val="22"/>
          <w:szCs w:val="22"/>
        </w:rPr>
      </w:pPr>
      <w:r w:rsidRPr="00082AE6">
        <w:rPr>
          <w:rFonts w:ascii="Arial" w:hAnsi="Arial" w:cs="Arial"/>
          <w:sz w:val="22"/>
          <w:szCs w:val="22"/>
        </w:rPr>
        <w:t>The $</w:t>
      </w:r>
      <w:r w:rsidRPr="00082AE6" w:rsidR="002354C3">
        <w:rPr>
          <w:rFonts w:ascii="Arial" w:hAnsi="Arial" w:cs="Arial"/>
          <w:sz w:val="22"/>
          <w:szCs w:val="22"/>
        </w:rPr>
        <w:t>288</w:t>
      </w:r>
      <w:r w:rsidRPr="00082AE6">
        <w:rPr>
          <w:rFonts w:ascii="Arial" w:hAnsi="Arial" w:cs="Arial"/>
          <w:sz w:val="22"/>
          <w:szCs w:val="22"/>
        </w:rPr>
        <w:t xml:space="preserve"> hourly rate used in the burden estimates is based on the Nuclear Regulatory Commission’s fee for hourly rates as noted in 10 CFR 170.20 “Average cost per professional staff-hour.”  For more information on the basis of this rate, see the Revision </w:t>
      </w:r>
      <w:proofErr w:type="gramStart"/>
      <w:r w:rsidRPr="00082AE6">
        <w:rPr>
          <w:rFonts w:ascii="Arial" w:hAnsi="Arial" w:cs="Arial"/>
          <w:sz w:val="22"/>
          <w:szCs w:val="22"/>
        </w:rPr>
        <w:t>Of</w:t>
      </w:r>
      <w:proofErr w:type="gramEnd"/>
      <w:r w:rsidRPr="00082AE6">
        <w:rPr>
          <w:rFonts w:ascii="Arial" w:hAnsi="Arial" w:cs="Arial"/>
          <w:sz w:val="22"/>
          <w:szCs w:val="22"/>
        </w:rPr>
        <w:t xml:space="preserve"> Fee Schedules; Fee Recovery For Fiscal Year </w:t>
      </w:r>
      <w:r w:rsidRPr="00082AE6" w:rsidR="00A36325">
        <w:rPr>
          <w:rFonts w:ascii="Arial" w:hAnsi="Arial" w:cs="Arial"/>
          <w:sz w:val="22"/>
          <w:szCs w:val="22"/>
        </w:rPr>
        <w:t xml:space="preserve">2021 </w:t>
      </w:r>
      <w:r w:rsidRPr="00082AE6">
        <w:rPr>
          <w:rFonts w:ascii="Arial" w:hAnsi="Arial" w:cs="Arial"/>
          <w:sz w:val="22"/>
          <w:szCs w:val="22"/>
        </w:rPr>
        <w:t>(</w:t>
      </w:r>
      <w:r w:rsidRPr="00082AE6" w:rsidR="000D3EB5">
        <w:rPr>
          <w:rFonts w:ascii="Arial" w:hAnsi="Arial" w:cs="Arial"/>
          <w:sz w:val="22"/>
          <w:szCs w:val="22"/>
        </w:rPr>
        <w:t>86 FR 32146; June 16, 2021</w:t>
      </w:r>
      <w:r w:rsidRPr="00082AE6">
        <w:rPr>
          <w:rFonts w:ascii="Arial" w:hAnsi="Arial" w:cs="Arial"/>
          <w:sz w:val="22"/>
          <w:szCs w:val="22"/>
        </w:rPr>
        <w:t>).</w:t>
      </w:r>
    </w:p>
    <w:p w:rsidRPr="00082AE6" w:rsidR="00D33221" w:rsidP="00577D64" w:rsidRDefault="00D33221" w14:paraId="7B3BC59E" w14:textId="77777777">
      <w:pPr>
        <w:widowControl/>
        <w:ind w:left="720"/>
        <w:rPr>
          <w:rFonts w:ascii="Arial" w:hAnsi="Arial" w:cs="Arial"/>
          <w:sz w:val="22"/>
          <w:szCs w:val="22"/>
        </w:rPr>
      </w:pPr>
    </w:p>
    <w:p w:rsidRPr="00082AE6" w:rsidR="002B1B50" w:rsidP="00005087" w:rsidRDefault="002B1B50" w14:paraId="66F8523F" w14:textId="77777777">
      <w:pPr>
        <w:keepNext/>
        <w:widowControl/>
        <w:ind w:left="720"/>
        <w:rPr>
          <w:rFonts w:ascii="Arial" w:hAnsi="Arial" w:cs="Arial"/>
          <w:sz w:val="22"/>
          <w:szCs w:val="22"/>
        </w:rPr>
      </w:pPr>
      <w:r w:rsidRPr="00082AE6">
        <w:rPr>
          <w:rFonts w:ascii="Arial" w:hAnsi="Arial" w:cs="Arial"/>
          <w:sz w:val="22"/>
          <w:szCs w:val="22"/>
        </w:rPr>
        <w:t>13.</w:t>
      </w:r>
      <w:r w:rsidRPr="00082AE6">
        <w:rPr>
          <w:rFonts w:ascii="Arial" w:hAnsi="Arial" w:cs="Arial"/>
          <w:sz w:val="22"/>
          <w:szCs w:val="22"/>
        </w:rPr>
        <w:tab/>
      </w:r>
      <w:r w:rsidRPr="00082AE6">
        <w:rPr>
          <w:rFonts w:ascii="Arial" w:hAnsi="Arial" w:cs="Arial"/>
          <w:sz w:val="22"/>
          <w:szCs w:val="22"/>
          <w:u w:val="single"/>
        </w:rPr>
        <w:t>Estimate of Other Additional Costs</w:t>
      </w:r>
    </w:p>
    <w:p w:rsidRPr="00082AE6" w:rsidR="002B1B50" w:rsidP="00577D64" w:rsidRDefault="002B1B50" w14:paraId="5F78243C" w14:textId="77777777">
      <w:pPr>
        <w:keepNext/>
        <w:keepLines/>
        <w:widowControl/>
        <w:rPr>
          <w:rFonts w:ascii="Arial" w:hAnsi="Arial" w:cs="Arial"/>
          <w:sz w:val="22"/>
          <w:szCs w:val="22"/>
        </w:rPr>
      </w:pPr>
    </w:p>
    <w:p w:rsidRPr="00082AE6" w:rsidR="002B1B50" w:rsidP="00577D64" w:rsidRDefault="002B1B50" w14:paraId="1F12FA79" w14:textId="78FD4E49">
      <w:pPr>
        <w:keepLines/>
        <w:widowControl/>
        <w:ind w:left="720"/>
        <w:rPr>
          <w:rFonts w:ascii="Arial" w:hAnsi="Arial" w:cs="Arial"/>
          <w:sz w:val="22"/>
          <w:szCs w:val="22"/>
        </w:rPr>
      </w:pPr>
      <w:r w:rsidRPr="00082AE6">
        <w:rPr>
          <w:rFonts w:ascii="Arial" w:hAnsi="Arial" w:cs="Arial"/>
          <w:sz w:val="22"/>
          <w:szCs w:val="22"/>
        </w:rPr>
        <w:t xml:space="preserve">The NRC has determined that the records storage cost is roughly proportional to the recordkeeping burden cost.  Based on a typical clearance, the records storage cost has been determined to be equal to </w:t>
      </w:r>
      <w:r w:rsidRPr="00082AE6" w:rsidR="00926A5D">
        <w:rPr>
          <w:rFonts w:ascii="Arial" w:hAnsi="Arial" w:cs="Arial"/>
          <w:sz w:val="22"/>
          <w:szCs w:val="22"/>
        </w:rPr>
        <w:t>0</w:t>
      </w:r>
      <w:r w:rsidRPr="00082AE6">
        <w:rPr>
          <w:rFonts w:ascii="Arial" w:hAnsi="Arial" w:cs="Arial"/>
          <w:sz w:val="22"/>
          <w:szCs w:val="22"/>
        </w:rPr>
        <w:t xml:space="preserve">.04 percent of the recordkeeping burden cost.  Therefore, the records storage cost for this clearance is estimated to be </w:t>
      </w:r>
      <w:r w:rsidRPr="00082AE6" w:rsidR="003B764E">
        <w:rPr>
          <w:rFonts w:ascii="Arial" w:hAnsi="Arial" w:cs="Arial"/>
          <w:sz w:val="22"/>
          <w:szCs w:val="22"/>
        </w:rPr>
        <w:t>$</w:t>
      </w:r>
      <w:r w:rsidRPr="00082AE6" w:rsidR="002174C3">
        <w:rPr>
          <w:rFonts w:ascii="Arial" w:hAnsi="Arial" w:cs="Arial"/>
          <w:sz w:val="22"/>
          <w:szCs w:val="22"/>
        </w:rPr>
        <w:t>16</w:t>
      </w:r>
      <w:r w:rsidRPr="00082AE6" w:rsidR="003B764E">
        <w:rPr>
          <w:rFonts w:ascii="Arial" w:hAnsi="Arial" w:cs="Arial"/>
          <w:sz w:val="22"/>
          <w:szCs w:val="22"/>
        </w:rPr>
        <w:t xml:space="preserve"> for NRC Form 754 (</w:t>
      </w:r>
      <w:r w:rsidRPr="00082AE6" w:rsidR="00E03639">
        <w:rPr>
          <w:rFonts w:ascii="Arial" w:hAnsi="Arial" w:cs="Arial"/>
          <w:sz w:val="22"/>
          <w:szCs w:val="22"/>
        </w:rPr>
        <w:t>1</w:t>
      </w:r>
      <w:r w:rsidRPr="00082AE6" w:rsidR="003B764E">
        <w:rPr>
          <w:rFonts w:ascii="Arial" w:hAnsi="Arial" w:cs="Arial"/>
          <w:sz w:val="22"/>
          <w:szCs w:val="22"/>
        </w:rPr>
        <w:t>40 hours x .0004 x $</w:t>
      </w:r>
      <w:r w:rsidRPr="00082AE6" w:rsidR="00D56869">
        <w:rPr>
          <w:rFonts w:ascii="Arial" w:hAnsi="Arial" w:cs="Arial"/>
          <w:sz w:val="22"/>
          <w:szCs w:val="22"/>
        </w:rPr>
        <w:t>288</w:t>
      </w:r>
      <w:r w:rsidRPr="00082AE6" w:rsidR="003B764E">
        <w:rPr>
          <w:rFonts w:ascii="Arial" w:hAnsi="Arial" w:cs="Arial"/>
          <w:sz w:val="22"/>
          <w:szCs w:val="22"/>
        </w:rPr>
        <w:t>/h</w:t>
      </w:r>
      <w:r w:rsidRPr="00082AE6" w:rsidR="00B705D7">
        <w:rPr>
          <w:rFonts w:ascii="Arial" w:hAnsi="Arial" w:cs="Arial"/>
          <w:sz w:val="22"/>
          <w:szCs w:val="22"/>
        </w:rPr>
        <w:t>ou</w:t>
      </w:r>
      <w:r w:rsidRPr="00082AE6" w:rsidR="003B764E">
        <w:rPr>
          <w:rFonts w:ascii="Arial" w:hAnsi="Arial" w:cs="Arial"/>
          <w:sz w:val="22"/>
          <w:szCs w:val="22"/>
        </w:rPr>
        <w:t>r).</w:t>
      </w:r>
    </w:p>
    <w:p w:rsidRPr="00082AE6" w:rsidR="00733242" w:rsidP="00577D64" w:rsidRDefault="00733242" w14:paraId="5B874F0F" w14:textId="77777777">
      <w:pPr>
        <w:keepLines/>
        <w:widowControl/>
        <w:ind w:left="720"/>
        <w:rPr>
          <w:rFonts w:ascii="Arial" w:hAnsi="Arial" w:cs="Arial"/>
          <w:sz w:val="22"/>
          <w:szCs w:val="22"/>
        </w:rPr>
      </w:pPr>
    </w:p>
    <w:p w:rsidRPr="00082AE6" w:rsidR="00733242" w:rsidP="00577D64" w:rsidRDefault="00733242" w14:paraId="70F0ECA8" w14:textId="5EB46C08">
      <w:pPr>
        <w:keepLines/>
        <w:widowControl/>
        <w:ind w:left="720"/>
        <w:rPr>
          <w:rFonts w:ascii="Arial" w:hAnsi="Arial" w:cs="Arial"/>
          <w:sz w:val="22"/>
          <w:szCs w:val="22"/>
        </w:rPr>
      </w:pPr>
      <w:r w:rsidRPr="00082AE6">
        <w:rPr>
          <w:rFonts w:ascii="Arial" w:hAnsi="Arial" w:cs="Arial"/>
          <w:sz w:val="22"/>
          <w:szCs w:val="22"/>
        </w:rPr>
        <w:t>The NRC charges a fee of $70 per firearms background check to process the NRC Form 754 and fingerprints.  The cost to licensees for submission of 550 forms at $70 per form is $38,500.</w:t>
      </w:r>
    </w:p>
    <w:p w:rsidRPr="00082AE6" w:rsidR="00733242" w:rsidP="00577D64" w:rsidRDefault="00733242" w14:paraId="3080F7EF" w14:textId="77777777">
      <w:pPr>
        <w:keepLines/>
        <w:widowControl/>
        <w:ind w:left="720"/>
        <w:rPr>
          <w:rFonts w:ascii="Arial" w:hAnsi="Arial" w:cs="Arial"/>
          <w:sz w:val="22"/>
          <w:szCs w:val="22"/>
        </w:rPr>
      </w:pPr>
    </w:p>
    <w:p w:rsidRPr="00082AE6" w:rsidR="00733242" w:rsidP="00577D64" w:rsidRDefault="00733242" w14:paraId="4AA15170" w14:textId="2B775789">
      <w:pPr>
        <w:keepLines/>
        <w:widowControl/>
        <w:ind w:left="720"/>
        <w:rPr>
          <w:rFonts w:ascii="Arial" w:hAnsi="Arial" w:cs="Arial"/>
          <w:sz w:val="22"/>
          <w:szCs w:val="22"/>
        </w:rPr>
      </w:pPr>
      <w:r w:rsidRPr="00082AE6">
        <w:rPr>
          <w:rFonts w:ascii="Arial" w:hAnsi="Arial" w:cs="Arial"/>
          <w:sz w:val="22"/>
          <w:szCs w:val="22"/>
        </w:rPr>
        <w:t xml:space="preserve">The total estimated additional costs to respondents </w:t>
      </w:r>
      <w:proofErr w:type="gramStart"/>
      <w:r w:rsidRPr="00082AE6">
        <w:rPr>
          <w:rFonts w:ascii="Arial" w:hAnsi="Arial" w:cs="Arial"/>
          <w:sz w:val="22"/>
          <w:szCs w:val="22"/>
        </w:rPr>
        <w:t>is</w:t>
      </w:r>
      <w:proofErr w:type="gramEnd"/>
      <w:r w:rsidRPr="00082AE6">
        <w:rPr>
          <w:rFonts w:ascii="Arial" w:hAnsi="Arial" w:cs="Arial"/>
          <w:sz w:val="22"/>
          <w:szCs w:val="22"/>
        </w:rPr>
        <w:t xml:space="preserve"> $38,51</w:t>
      </w:r>
      <w:r w:rsidR="007D7FAF">
        <w:rPr>
          <w:rFonts w:ascii="Arial" w:hAnsi="Arial" w:cs="Arial"/>
          <w:sz w:val="22"/>
          <w:szCs w:val="22"/>
        </w:rPr>
        <w:t>6</w:t>
      </w:r>
      <w:r w:rsidRPr="00082AE6">
        <w:rPr>
          <w:rFonts w:ascii="Arial" w:hAnsi="Arial" w:cs="Arial"/>
          <w:sz w:val="22"/>
          <w:szCs w:val="22"/>
        </w:rPr>
        <w:t xml:space="preserve"> ($1</w:t>
      </w:r>
      <w:r w:rsidR="007D7FAF">
        <w:rPr>
          <w:rFonts w:ascii="Arial" w:hAnsi="Arial" w:cs="Arial"/>
          <w:sz w:val="22"/>
          <w:szCs w:val="22"/>
        </w:rPr>
        <w:t>6</w:t>
      </w:r>
      <w:r w:rsidRPr="00082AE6">
        <w:rPr>
          <w:rFonts w:ascii="Arial" w:hAnsi="Arial" w:cs="Arial"/>
          <w:sz w:val="22"/>
          <w:szCs w:val="22"/>
        </w:rPr>
        <w:t xml:space="preserve"> records storage + $38,500 </w:t>
      </w:r>
      <w:r w:rsidRPr="00082AE6" w:rsidR="00A33F04">
        <w:rPr>
          <w:rFonts w:ascii="Arial" w:hAnsi="Arial" w:cs="Arial"/>
          <w:sz w:val="22"/>
          <w:szCs w:val="22"/>
        </w:rPr>
        <w:t>in background check fees.)</w:t>
      </w:r>
    </w:p>
    <w:p w:rsidRPr="00082AE6" w:rsidR="002A7992" w:rsidRDefault="002A7992" w14:paraId="361FC448" w14:textId="576BAE3A">
      <w:pPr>
        <w:widowControl/>
        <w:autoSpaceDE/>
        <w:autoSpaceDN/>
        <w:adjustRightInd/>
        <w:rPr>
          <w:rFonts w:ascii="Arial" w:hAnsi="Arial" w:cs="Arial"/>
          <w:sz w:val="22"/>
          <w:szCs w:val="22"/>
        </w:rPr>
      </w:pPr>
    </w:p>
    <w:p w:rsidRPr="00082AE6" w:rsidR="002B1B50" w:rsidP="00577D64" w:rsidRDefault="002B1B50" w14:paraId="7BB9CD34" w14:textId="07C1C0BD">
      <w:pPr>
        <w:widowControl/>
        <w:tabs>
          <w:tab w:val="left" w:pos="-1440"/>
        </w:tabs>
        <w:ind w:left="1440" w:hanging="720"/>
        <w:rPr>
          <w:rFonts w:ascii="Arial" w:hAnsi="Arial" w:cs="Arial"/>
          <w:sz w:val="22"/>
          <w:szCs w:val="22"/>
        </w:rPr>
      </w:pPr>
      <w:r w:rsidRPr="00082AE6">
        <w:rPr>
          <w:rFonts w:ascii="Arial" w:hAnsi="Arial" w:cs="Arial"/>
          <w:sz w:val="22"/>
          <w:szCs w:val="22"/>
        </w:rPr>
        <w:t>14.</w:t>
      </w:r>
      <w:r w:rsidRPr="00082AE6">
        <w:rPr>
          <w:rFonts w:ascii="Arial" w:hAnsi="Arial" w:cs="Arial"/>
          <w:sz w:val="22"/>
          <w:szCs w:val="22"/>
        </w:rPr>
        <w:tab/>
      </w:r>
      <w:r w:rsidRPr="00082AE6">
        <w:rPr>
          <w:rFonts w:ascii="Arial" w:hAnsi="Arial" w:cs="Arial"/>
          <w:sz w:val="22"/>
          <w:szCs w:val="22"/>
          <w:u w:val="single"/>
        </w:rPr>
        <w:t xml:space="preserve">Estimated Annualized Cost to </w:t>
      </w:r>
      <w:r w:rsidR="000B7BE1">
        <w:rPr>
          <w:rFonts w:ascii="Arial" w:hAnsi="Arial" w:cs="Arial"/>
          <w:sz w:val="22"/>
          <w:szCs w:val="22"/>
          <w:u w:val="single"/>
        </w:rPr>
        <w:t xml:space="preserve">the </w:t>
      </w:r>
      <w:r w:rsidRPr="00082AE6">
        <w:rPr>
          <w:rFonts w:ascii="Arial" w:hAnsi="Arial" w:cs="Arial"/>
          <w:sz w:val="22"/>
          <w:szCs w:val="22"/>
          <w:u w:val="single"/>
        </w:rPr>
        <w:t>Federal Government</w:t>
      </w:r>
    </w:p>
    <w:p w:rsidRPr="00082AE6" w:rsidR="002B1B50" w:rsidP="00577D64" w:rsidRDefault="002B1B50" w14:paraId="220235EF" w14:textId="77777777">
      <w:pPr>
        <w:widowControl/>
        <w:rPr>
          <w:rFonts w:ascii="Arial" w:hAnsi="Arial" w:cs="Arial"/>
          <w:sz w:val="22"/>
          <w:szCs w:val="22"/>
        </w:rPr>
      </w:pPr>
    </w:p>
    <w:p w:rsidRPr="00082AE6" w:rsidR="00D33221" w:rsidP="005D0472" w:rsidRDefault="00D33221" w14:paraId="06E6B0AC" w14:textId="77777777">
      <w:pPr>
        <w:widowControl/>
        <w:ind w:left="720"/>
        <w:rPr>
          <w:rFonts w:ascii="Arial" w:hAnsi="Arial" w:cs="Arial"/>
          <w:sz w:val="22"/>
          <w:szCs w:val="22"/>
        </w:rPr>
      </w:pPr>
      <w:r w:rsidRPr="00082AE6">
        <w:rPr>
          <w:rFonts w:ascii="Arial" w:hAnsi="Arial" w:cs="Arial"/>
          <w:sz w:val="22"/>
          <w:szCs w:val="22"/>
        </w:rP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Pr="00082AE6" w:rsidR="00D33221" w:rsidP="005D0472" w:rsidRDefault="00D33221" w14:paraId="3B9BD83C" w14:textId="77777777">
      <w:pPr>
        <w:widowControl/>
        <w:ind w:left="720"/>
        <w:rPr>
          <w:rFonts w:ascii="Arial" w:hAnsi="Arial" w:cs="Arial"/>
          <w:sz w:val="22"/>
          <w:szCs w:val="22"/>
        </w:rPr>
      </w:pPr>
    </w:p>
    <w:p w:rsidR="00733242" w:rsidP="005D0472" w:rsidRDefault="00733242" w14:paraId="2B1FE0ED" w14:textId="33DBF9FD">
      <w:pPr>
        <w:widowControl/>
        <w:ind w:left="720"/>
        <w:rPr>
          <w:rFonts w:ascii="Arial" w:hAnsi="Arial" w:cs="Arial"/>
          <w:sz w:val="22"/>
          <w:szCs w:val="22"/>
        </w:rPr>
      </w:pPr>
      <w:r w:rsidRPr="00082AE6">
        <w:rPr>
          <w:rFonts w:ascii="Arial" w:hAnsi="Arial" w:cs="Arial"/>
          <w:sz w:val="22"/>
          <w:szCs w:val="22"/>
        </w:rPr>
        <w:t>The NRC staff estimates 1</w:t>
      </w:r>
      <w:r w:rsidRPr="00082AE6" w:rsidR="0005045B">
        <w:rPr>
          <w:rFonts w:ascii="Arial" w:hAnsi="Arial" w:cs="Arial"/>
          <w:sz w:val="22"/>
          <w:szCs w:val="22"/>
        </w:rPr>
        <w:t>5</w:t>
      </w:r>
      <w:r w:rsidRPr="00082AE6">
        <w:rPr>
          <w:rFonts w:ascii="Arial" w:hAnsi="Arial" w:cs="Arial"/>
          <w:sz w:val="22"/>
          <w:szCs w:val="22"/>
        </w:rPr>
        <w:t xml:space="preserve"> minutes of staff time per form to process each submittal.  Annual submissions of 550 forms would take approximately </w:t>
      </w:r>
      <w:r w:rsidRPr="00082AE6" w:rsidR="004E3E64">
        <w:rPr>
          <w:rFonts w:ascii="Arial" w:hAnsi="Arial" w:cs="Arial"/>
          <w:sz w:val="22"/>
          <w:szCs w:val="22"/>
        </w:rPr>
        <w:t>138</w:t>
      </w:r>
      <w:r w:rsidRPr="00082AE6">
        <w:rPr>
          <w:rFonts w:ascii="Arial" w:hAnsi="Arial" w:cs="Arial"/>
          <w:sz w:val="22"/>
          <w:szCs w:val="22"/>
        </w:rPr>
        <w:t xml:space="preserve"> hours of staff time (550 forms x 1</w:t>
      </w:r>
      <w:r w:rsidRPr="00082AE6" w:rsidR="0005045B">
        <w:rPr>
          <w:rFonts w:ascii="Arial" w:hAnsi="Arial" w:cs="Arial"/>
          <w:sz w:val="22"/>
          <w:szCs w:val="22"/>
        </w:rPr>
        <w:t>5</w:t>
      </w:r>
      <w:r w:rsidRPr="00082AE6">
        <w:rPr>
          <w:rFonts w:ascii="Arial" w:hAnsi="Arial" w:cs="Arial"/>
          <w:sz w:val="22"/>
          <w:szCs w:val="22"/>
        </w:rPr>
        <w:t xml:space="preserve"> minutes per form = </w:t>
      </w:r>
      <w:r w:rsidRPr="00082AE6" w:rsidR="0005045B">
        <w:rPr>
          <w:rFonts w:ascii="Arial" w:hAnsi="Arial" w:cs="Arial"/>
          <w:sz w:val="22"/>
          <w:szCs w:val="22"/>
        </w:rPr>
        <w:t>138</w:t>
      </w:r>
      <w:r w:rsidRPr="00082AE6">
        <w:rPr>
          <w:rFonts w:ascii="Arial" w:hAnsi="Arial" w:cs="Arial"/>
          <w:sz w:val="22"/>
          <w:szCs w:val="22"/>
        </w:rPr>
        <w:t xml:space="preserve"> hours) at cost of $</w:t>
      </w:r>
      <w:r w:rsidRPr="00082AE6" w:rsidR="00CE5ABE">
        <w:rPr>
          <w:rFonts w:ascii="Arial" w:hAnsi="Arial" w:cs="Arial"/>
          <w:sz w:val="22"/>
          <w:szCs w:val="22"/>
        </w:rPr>
        <w:t>39,744</w:t>
      </w:r>
      <w:r w:rsidRPr="00082AE6">
        <w:rPr>
          <w:rFonts w:ascii="Arial" w:hAnsi="Arial" w:cs="Arial"/>
          <w:sz w:val="22"/>
          <w:szCs w:val="22"/>
        </w:rPr>
        <w:t xml:space="preserve"> (</w:t>
      </w:r>
      <w:r w:rsidRPr="00082AE6" w:rsidR="0005045B">
        <w:rPr>
          <w:rFonts w:ascii="Arial" w:hAnsi="Arial" w:cs="Arial"/>
          <w:sz w:val="22"/>
          <w:szCs w:val="22"/>
        </w:rPr>
        <w:t>138</w:t>
      </w:r>
      <w:r w:rsidRPr="00082AE6">
        <w:rPr>
          <w:rFonts w:ascii="Arial" w:hAnsi="Arial" w:cs="Arial"/>
          <w:sz w:val="22"/>
          <w:szCs w:val="22"/>
        </w:rPr>
        <w:t xml:space="preserve"> hours x $</w:t>
      </w:r>
      <w:r w:rsidRPr="00082AE6" w:rsidR="008A5902">
        <w:rPr>
          <w:rFonts w:ascii="Arial" w:hAnsi="Arial" w:cs="Arial"/>
          <w:sz w:val="22"/>
          <w:szCs w:val="22"/>
        </w:rPr>
        <w:t>288</w:t>
      </w:r>
      <w:r w:rsidRPr="00082AE6">
        <w:rPr>
          <w:rFonts w:ascii="Arial" w:hAnsi="Arial" w:cs="Arial"/>
          <w:sz w:val="22"/>
          <w:szCs w:val="22"/>
        </w:rPr>
        <w:t>/</w:t>
      </w:r>
      <w:proofErr w:type="spellStart"/>
      <w:r w:rsidRPr="00082AE6">
        <w:rPr>
          <w:rFonts w:ascii="Arial" w:hAnsi="Arial" w:cs="Arial"/>
          <w:sz w:val="22"/>
          <w:szCs w:val="22"/>
        </w:rPr>
        <w:t>hr</w:t>
      </w:r>
      <w:proofErr w:type="spellEnd"/>
      <w:r w:rsidRPr="00082AE6">
        <w:rPr>
          <w:rFonts w:ascii="Arial" w:hAnsi="Arial" w:cs="Arial"/>
          <w:sz w:val="22"/>
          <w:szCs w:val="22"/>
        </w:rPr>
        <w:t>).</w:t>
      </w:r>
      <w:r>
        <w:rPr>
          <w:rFonts w:ascii="Arial" w:hAnsi="Arial" w:cs="Arial"/>
          <w:sz w:val="22"/>
          <w:szCs w:val="22"/>
        </w:rPr>
        <w:t xml:space="preserve">  </w:t>
      </w:r>
    </w:p>
    <w:p w:rsidR="00733242" w:rsidP="005D0472" w:rsidRDefault="00733242" w14:paraId="2C9301E6" w14:textId="77777777">
      <w:pPr>
        <w:widowControl/>
        <w:ind w:left="720"/>
        <w:rPr>
          <w:rFonts w:ascii="Arial" w:hAnsi="Arial" w:cs="Arial"/>
          <w:sz w:val="22"/>
          <w:szCs w:val="22"/>
        </w:rPr>
      </w:pPr>
    </w:p>
    <w:p w:rsidRPr="005D0472" w:rsidR="005D0472" w:rsidP="005D0472" w:rsidRDefault="00E53AD4" w14:paraId="49DBD6FC" w14:textId="6A3DAF9F">
      <w:pPr>
        <w:widowControl/>
        <w:ind w:left="720"/>
        <w:rPr>
          <w:rFonts w:ascii="Arial" w:hAnsi="Arial" w:cs="Arial"/>
          <w:sz w:val="22"/>
          <w:szCs w:val="22"/>
        </w:rPr>
      </w:pPr>
      <w:r>
        <w:rPr>
          <w:rFonts w:ascii="Arial" w:hAnsi="Arial" w:cs="Arial"/>
          <w:sz w:val="22"/>
          <w:szCs w:val="22"/>
        </w:rPr>
        <w:t xml:space="preserve">This cost is offset </w:t>
      </w:r>
      <w:r w:rsidR="005D6B96">
        <w:rPr>
          <w:rFonts w:ascii="Arial" w:hAnsi="Arial" w:cs="Arial"/>
          <w:sz w:val="22"/>
          <w:szCs w:val="22"/>
        </w:rPr>
        <w:t>via a specific</w:t>
      </w:r>
      <w:r w:rsidR="00407E74">
        <w:rPr>
          <w:rFonts w:ascii="Arial" w:hAnsi="Arial" w:cs="Arial"/>
          <w:sz w:val="22"/>
          <w:szCs w:val="22"/>
        </w:rPr>
        <w:t xml:space="preserve"> fee</w:t>
      </w:r>
      <w:r w:rsidR="005D6B96">
        <w:rPr>
          <w:rFonts w:ascii="Arial" w:hAnsi="Arial" w:cs="Arial"/>
          <w:sz w:val="22"/>
          <w:szCs w:val="22"/>
        </w:rPr>
        <w:t xml:space="preserve"> of $70 per check for processing the NRC Form 754 and associated fingerprints</w:t>
      </w:r>
      <w:r>
        <w:rPr>
          <w:rFonts w:ascii="Arial" w:hAnsi="Arial" w:cs="Arial"/>
          <w:sz w:val="22"/>
          <w:szCs w:val="22"/>
        </w:rPr>
        <w:t xml:space="preserve">.  </w:t>
      </w:r>
    </w:p>
    <w:p w:rsidR="0031534D" w:rsidP="00577D64" w:rsidRDefault="0031534D" w14:paraId="11D34E20" w14:textId="77777777">
      <w:pPr>
        <w:widowControl/>
        <w:ind w:left="720"/>
        <w:rPr>
          <w:rFonts w:ascii="Arial" w:hAnsi="Arial" w:cs="Arial"/>
          <w:sz w:val="22"/>
          <w:szCs w:val="22"/>
        </w:rPr>
      </w:pPr>
    </w:p>
    <w:p w:rsidRPr="00A32597" w:rsidR="002B1B50" w:rsidP="00577D64" w:rsidRDefault="002B1B50" w14:paraId="7268ED86" w14:textId="77777777">
      <w:pPr>
        <w:widowControl/>
        <w:ind w:left="720"/>
        <w:rPr>
          <w:rFonts w:ascii="Arial" w:hAnsi="Arial" w:cs="Arial"/>
          <w:sz w:val="22"/>
          <w:szCs w:val="22"/>
        </w:rPr>
      </w:pPr>
      <w:r w:rsidRPr="00A32597">
        <w:rPr>
          <w:rFonts w:ascii="Arial" w:hAnsi="Arial" w:cs="Arial"/>
          <w:sz w:val="22"/>
          <w:szCs w:val="22"/>
        </w:rPr>
        <w:t>15.</w:t>
      </w:r>
      <w:r w:rsidRPr="00A32597">
        <w:rPr>
          <w:rFonts w:ascii="Arial" w:hAnsi="Arial" w:cs="Arial"/>
          <w:sz w:val="22"/>
          <w:szCs w:val="22"/>
        </w:rPr>
        <w:tab/>
      </w:r>
      <w:r w:rsidRPr="00A32597">
        <w:rPr>
          <w:rFonts w:ascii="Arial" w:hAnsi="Arial" w:cs="Arial"/>
          <w:sz w:val="22"/>
          <w:szCs w:val="22"/>
          <w:u w:val="single"/>
        </w:rPr>
        <w:t>Reason</w:t>
      </w:r>
      <w:r w:rsidRPr="00A32597" w:rsidR="006F795D">
        <w:rPr>
          <w:rFonts w:ascii="Arial" w:hAnsi="Arial" w:cs="Arial"/>
          <w:sz w:val="22"/>
          <w:szCs w:val="22"/>
          <w:u w:val="single"/>
        </w:rPr>
        <w:t>s</w:t>
      </w:r>
      <w:r w:rsidRPr="00A32597">
        <w:rPr>
          <w:rFonts w:ascii="Arial" w:hAnsi="Arial" w:cs="Arial"/>
          <w:sz w:val="22"/>
          <w:szCs w:val="22"/>
          <w:u w:val="single"/>
        </w:rPr>
        <w:t> for Change in Burden</w:t>
      </w:r>
    </w:p>
    <w:p w:rsidRPr="00A32597" w:rsidR="002B1B50" w:rsidP="00577D64" w:rsidRDefault="002B1B50" w14:paraId="3E6D2DF5" w14:textId="77777777">
      <w:pPr>
        <w:widowControl/>
        <w:rPr>
          <w:rFonts w:ascii="Arial" w:hAnsi="Arial" w:cs="Arial"/>
          <w:sz w:val="22"/>
          <w:szCs w:val="22"/>
        </w:rPr>
      </w:pPr>
    </w:p>
    <w:p w:rsidRPr="00A32597" w:rsidR="006A7F85" w:rsidP="00577D64" w:rsidRDefault="006A7F85" w14:paraId="7D88E8A4" w14:textId="6B430D7B">
      <w:pPr>
        <w:widowControl/>
        <w:ind w:left="720"/>
        <w:rPr>
          <w:rFonts w:ascii="Arial" w:hAnsi="Arial" w:cs="Arial"/>
          <w:sz w:val="22"/>
          <w:szCs w:val="22"/>
        </w:rPr>
      </w:pPr>
      <w:r w:rsidRPr="00A32597">
        <w:rPr>
          <w:rFonts w:ascii="Arial" w:hAnsi="Arial" w:cs="Arial"/>
          <w:sz w:val="22"/>
          <w:szCs w:val="22"/>
        </w:rPr>
        <w:t xml:space="preserve">The </w:t>
      </w:r>
      <w:r w:rsidR="002A33E3">
        <w:rPr>
          <w:rFonts w:ascii="Arial" w:hAnsi="Arial" w:cs="Arial"/>
          <w:sz w:val="22"/>
          <w:szCs w:val="22"/>
        </w:rPr>
        <w:t xml:space="preserve">final </w:t>
      </w:r>
      <w:r w:rsidRPr="00A32597">
        <w:rPr>
          <w:rFonts w:ascii="Arial" w:hAnsi="Arial" w:cs="Arial"/>
          <w:sz w:val="22"/>
          <w:szCs w:val="22"/>
        </w:rPr>
        <w:t xml:space="preserve">rule </w:t>
      </w:r>
      <w:r w:rsidRPr="0023798C">
        <w:rPr>
          <w:rFonts w:ascii="Arial" w:hAnsi="Arial" w:cs="Arial"/>
          <w:sz w:val="22"/>
          <w:szCs w:val="22"/>
        </w:rPr>
        <w:t xml:space="preserve">adds </w:t>
      </w:r>
      <w:r w:rsidR="00E53AD4">
        <w:rPr>
          <w:rFonts w:ascii="Arial" w:hAnsi="Arial" w:cs="Arial"/>
          <w:sz w:val="22"/>
          <w:szCs w:val="22"/>
        </w:rPr>
        <w:t xml:space="preserve">new </w:t>
      </w:r>
      <w:r w:rsidR="004E3E64">
        <w:rPr>
          <w:rFonts w:ascii="Arial" w:hAnsi="Arial" w:cs="Arial"/>
          <w:sz w:val="22"/>
          <w:szCs w:val="22"/>
        </w:rPr>
        <w:t xml:space="preserve">a </w:t>
      </w:r>
      <w:r w:rsidRPr="004E3E64" w:rsidR="004E3E64">
        <w:rPr>
          <w:rFonts w:ascii="Arial" w:hAnsi="Arial" w:cs="Arial"/>
          <w:sz w:val="22"/>
          <w:szCs w:val="22"/>
        </w:rPr>
        <w:t>s</w:t>
      </w:r>
      <w:r w:rsidRPr="004E3E64" w:rsidR="00C14BFD">
        <w:rPr>
          <w:rFonts w:ascii="Arial" w:hAnsi="Arial" w:cs="Arial"/>
          <w:sz w:val="22"/>
          <w:szCs w:val="22"/>
        </w:rPr>
        <w:t>ection</w:t>
      </w:r>
      <w:r w:rsidRPr="004E3E64" w:rsidR="004E3E64">
        <w:rPr>
          <w:rFonts w:ascii="Arial" w:hAnsi="Arial" w:cs="Arial"/>
          <w:sz w:val="22"/>
          <w:szCs w:val="22"/>
        </w:rPr>
        <w:t>,</w:t>
      </w:r>
      <w:r w:rsidRPr="004E3E64" w:rsidR="00C14BFD">
        <w:rPr>
          <w:rFonts w:ascii="Arial" w:hAnsi="Arial" w:cs="Arial"/>
          <w:sz w:val="22"/>
          <w:szCs w:val="22"/>
        </w:rPr>
        <w:t> </w:t>
      </w:r>
      <w:r w:rsidRPr="004E3E64" w:rsidR="004E3E64">
        <w:rPr>
          <w:rFonts w:ascii="Arial" w:hAnsi="Arial" w:cs="Arial"/>
          <w:sz w:val="22"/>
          <w:szCs w:val="22"/>
        </w:rPr>
        <w:t xml:space="preserve">§ </w:t>
      </w:r>
      <w:r w:rsidRPr="004E3E64" w:rsidR="0007735A">
        <w:rPr>
          <w:rFonts w:ascii="Arial" w:hAnsi="Arial" w:cs="Arial"/>
          <w:sz w:val="22"/>
          <w:szCs w:val="22"/>
        </w:rPr>
        <w:t>73.17</w:t>
      </w:r>
      <w:r w:rsidR="004E3E64">
        <w:rPr>
          <w:rFonts w:ascii="Arial" w:hAnsi="Arial" w:cs="Arial"/>
          <w:sz w:val="22"/>
          <w:szCs w:val="22"/>
        </w:rPr>
        <w:t xml:space="preserve">, to </w:t>
      </w:r>
      <w:r w:rsidRPr="0025037D" w:rsidR="00333B64">
        <w:rPr>
          <w:rFonts w:ascii="Arial" w:hAnsi="Arial" w:cs="Arial"/>
          <w:sz w:val="22"/>
          <w:szCs w:val="22"/>
        </w:rPr>
        <w:t xml:space="preserve">implement the </w:t>
      </w:r>
      <w:r w:rsidR="004E3E64">
        <w:rPr>
          <w:rFonts w:ascii="Arial" w:hAnsi="Arial" w:cs="Arial"/>
          <w:sz w:val="22"/>
          <w:szCs w:val="22"/>
        </w:rPr>
        <w:t>Commission</w:t>
      </w:r>
      <w:r w:rsidRPr="0025037D" w:rsidR="00333B64">
        <w:rPr>
          <w:rFonts w:ascii="Arial" w:hAnsi="Arial" w:cs="Arial"/>
          <w:sz w:val="22"/>
          <w:szCs w:val="22"/>
        </w:rPr>
        <w:t xml:space="preserve">’s authority under Section 161A of the </w:t>
      </w:r>
      <w:r w:rsidR="00333B64">
        <w:rPr>
          <w:rFonts w:ascii="Arial" w:hAnsi="Arial" w:cs="Arial"/>
          <w:sz w:val="22"/>
          <w:szCs w:val="22"/>
        </w:rPr>
        <w:t>AEA</w:t>
      </w:r>
      <w:r w:rsidR="00E53AD4">
        <w:rPr>
          <w:rFonts w:ascii="Arial" w:hAnsi="Arial" w:cs="Arial"/>
          <w:sz w:val="22"/>
          <w:szCs w:val="22"/>
        </w:rPr>
        <w:t xml:space="preserve">, to conduct </w:t>
      </w:r>
      <w:r w:rsidR="002A33E3">
        <w:rPr>
          <w:rFonts w:ascii="Arial" w:hAnsi="Arial" w:cs="Arial"/>
          <w:sz w:val="22"/>
          <w:szCs w:val="22"/>
        </w:rPr>
        <w:t>f</w:t>
      </w:r>
      <w:r w:rsidR="00E53AD4">
        <w:rPr>
          <w:rFonts w:ascii="Arial" w:hAnsi="Arial" w:cs="Arial"/>
          <w:sz w:val="22"/>
          <w:szCs w:val="22"/>
        </w:rPr>
        <w:t xml:space="preserve">irearms </w:t>
      </w:r>
      <w:r w:rsidR="002A33E3">
        <w:rPr>
          <w:rFonts w:ascii="Arial" w:hAnsi="Arial" w:cs="Arial"/>
          <w:sz w:val="22"/>
          <w:szCs w:val="22"/>
        </w:rPr>
        <w:t>b</w:t>
      </w:r>
      <w:r w:rsidR="00E53AD4">
        <w:rPr>
          <w:rFonts w:ascii="Arial" w:hAnsi="Arial" w:cs="Arial"/>
          <w:sz w:val="22"/>
          <w:szCs w:val="22"/>
        </w:rPr>
        <w:t xml:space="preserve">ackground </w:t>
      </w:r>
      <w:r w:rsidR="002A33E3">
        <w:rPr>
          <w:rFonts w:ascii="Arial" w:hAnsi="Arial" w:cs="Arial"/>
          <w:sz w:val="22"/>
          <w:szCs w:val="22"/>
        </w:rPr>
        <w:t>c</w:t>
      </w:r>
      <w:r w:rsidR="00E53AD4">
        <w:rPr>
          <w:rFonts w:ascii="Arial" w:hAnsi="Arial" w:cs="Arial"/>
          <w:sz w:val="22"/>
          <w:szCs w:val="22"/>
        </w:rPr>
        <w:t>hecks</w:t>
      </w:r>
      <w:r w:rsidR="00C14BFD">
        <w:rPr>
          <w:rFonts w:ascii="Arial" w:hAnsi="Arial" w:cs="Arial"/>
          <w:sz w:val="22"/>
          <w:szCs w:val="22"/>
        </w:rPr>
        <w:t xml:space="preserve"> </w:t>
      </w:r>
      <w:r w:rsidRPr="00FE0040" w:rsidR="00C14BFD">
        <w:rPr>
          <w:rFonts w:ascii="Arial" w:hAnsi="Arial" w:cs="Arial"/>
          <w:sz w:val="22"/>
          <w:szCs w:val="22"/>
        </w:rPr>
        <w:t>to verify that an individual is not prohibited from receiving, possessing, transporting, importing, or using covered weapons as part of the performance of their official duties</w:t>
      </w:r>
      <w:r w:rsidR="00E53AD4">
        <w:rPr>
          <w:rFonts w:ascii="Arial" w:hAnsi="Arial" w:cs="Arial"/>
          <w:sz w:val="22"/>
          <w:szCs w:val="22"/>
        </w:rPr>
        <w:t xml:space="preserve">.  </w:t>
      </w:r>
      <w:r w:rsidR="00333B64">
        <w:rPr>
          <w:rFonts w:ascii="Arial" w:hAnsi="Arial" w:cs="Arial"/>
          <w:sz w:val="22"/>
          <w:szCs w:val="22"/>
        </w:rPr>
        <w:t>The NRC Form 754</w:t>
      </w:r>
      <w:r w:rsidR="00EB347E">
        <w:rPr>
          <w:rFonts w:ascii="Arial" w:hAnsi="Arial" w:cs="Arial"/>
          <w:sz w:val="22"/>
          <w:szCs w:val="22"/>
        </w:rPr>
        <w:t xml:space="preserve"> is a new form that</w:t>
      </w:r>
      <w:r w:rsidR="00333B64">
        <w:rPr>
          <w:rFonts w:ascii="Arial" w:hAnsi="Arial" w:cs="Arial"/>
          <w:sz w:val="22"/>
          <w:szCs w:val="22"/>
        </w:rPr>
        <w:t xml:space="preserve"> will be</w:t>
      </w:r>
      <w:r w:rsidRPr="00FE0040" w:rsidR="00FE0040">
        <w:rPr>
          <w:rFonts w:ascii="Arial" w:hAnsi="Arial" w:cs="Arial"/>
          <w:sz w:val="22"/>
          <w:szCs w:val="22"/>
        </w:rPr>
        <w:t xml:space="preserve"> used to perform </w:t>
      </w:r>
      <w:r w:rsidR="00E53AD4">
        <w:rPr>
          <w:rFonts w:ascii="Arial" w:hAnsi="Arial" w:cs="Arial"/>
          <w:sz w:val="22"/>
          <w:szCs w:val="22"/>
        </w:rPr>
        <w:t xml:space="preserve">these </w:t>
      </w:r>
      <w:r w:rsidRPr="00FE0040" w:rsidR="00FE0040">
        <w:rPr>
          <w:rFonts w:ascii="Arial" w:hAnsi="Arial" w:cs="Arial"/>
          <w:sz w:val="22"/>
          <w:szCs w:val="22"/>
        </w:rPr>
        <w:t>check</w:t>
      </w:r>
      <w:r w:rsidR="00E53AD4">
        <w:rPr>
          <w:rFonts w:ascii="Arial" w:hAnsi="Arial" w:cs="Arial"/>
          <w:sz w:val="22"/>
          <w:szCs w:val="22"/>
        </w:rPr>
        <w:t>s</w:t>
      </w:r>
      <w:r w:rsidR="00FE0040">
        <w:rPr>
          <w:rFonts w:ascii="Arial" w:hAnsi="Arial" w:cs="Arial"/>
          <w:sz w:val="22"/>
          <w:szCs w:val="22"/>
        </w:rPr>
        <w:t>.  The estimated burden for seven licensee</w:t>
      </w:r>
      <w:r w:rsidR="00FE2198">
        <w:rPr>
          <w:rFonts w:ascii="Arial" w:hAnsi="Arial" w:cs="Arial"/>
          <w:sz w:val="22"/>
          <w:szCs w:val="22"/>
        </w:rPr>
        <w:t xml:space="preserve"> site</w:t>
      </w:r>
      <w:r w:rsidR="00FE0040">
        <w:rPr>
          <w:rFonts w:ascii="Arial" w:hAnsi="Arial" w:cs="Arial"/>
          <w:sz w:val="22"/>
          <w:szCs w:val="22"/>
        </w:rPr>
        <w:t>s to submit NRC Form 754 for periodic firearms background checks every five years and maintain associated records is 1,</w:t>
      </w:r>
      <w:r w:rsidR="00A33F04">
        <w:rPr>
          <w:rFonts w:ascii="Arial" w:hAnsi="Arial" w:cs="Arial"/>
          <w:sz w:val="22"/>
          <w:szCs w:val="22"/>
        </w:rPr>
        <w:t xml:space="preserve">240 </w:t>
      </w:r>
      <w:r w:rsidR="00FE0040">
        <w:rPr>
          <w:rFonts w:ascii="Arial" w:hAnsi="Arial" w:cs="Arial"/>
          <w:sz w:val="22"/>
          <w:szCs w:val="22"/>
        </w:rPr>
        <w:t>hours annually</w:t>
      </w:r>
      <w:r w:rsidR="00EB347E">
        <w:rPr>
          <w:rFonts w:ascii="Arial" w:hAnsi="Arial" w:cs="Arial"/>
          <w:sz w:val="22"/>
          <w:szCs w:val="22"/>
        </w:rPr>
        <w:t xml:space="preserve"> at a cost of </w:t>
      </w:r>
      <w:r w:rsidR="00A33F04">
        <w:rPr>
          <w:rFonts w:ascii="Arial" w:hAnsi="Arial" w:cs="Arial"/>
          <w:color w:val="000000"/>
          <w:sz w:val="22"/>
          <w:szCs w:val="22"/>
        </w:rPr>
        <w:t>$</w:t>
      </w:r>
      <w:r w:rsidR="00645660">
        <w:rPr>
          <w:rFonts w:ascii="Arial" w:hAnsi="Arial" w:cs="Arial"/>
          <w:color w:val="000000"/>
          <w:sz w:val="22"/>
          <w:szCs w:val="22"/>
        </w:rPr>
        <w:t>357,120</w:t>
      </w:r>
      <w:r w:rsidDel="00A33F04" w:rsidR="00A33F04">
        <w:rPr>
          <w:rFonts w:ascii="Arial" w:hAnsi="Arial" w:cs="Arial"/>
          <w:sz w:val="22"/>
          <w:szCs w:val="22"/>
        </w:rPr>
        <w:t xml:space="preserve"> </w:t>
      </w:r>
      <w:r w:rsidR="00EB347E">
        <w:rPr>
          <w:rFonts w:ascii="Arial" w:hAnsi="Arial" w:cs="Arial"/>
          <w:sz w:val="22"/>
          <w:szCs w:val="22"/>
        </w:rPr>
        <w:t>(1,</w:t>
      </w:r>
      <w:r w:rsidR="00A33F04">
        <w:rPr>
          <w:rFonts w:ascii="Arial" w:hAnsi="Arial" w:cs="Arial"/>
          <w:sz w:val="22"/>
          <w:szCs w:val="22"/>
        </w:rPr>
        <w:t>240</w:t>
      </w:r>
      <w:r w:rsidR="00EB347E">
        <w:rPr>
          <w:rFonts w:ascii="Arial" w:hAnsi="Arial" w:cs="Arial"/>
          <w:sz w:val="22"/>
          <w:szCs w:val="22"/>
        </w:rPr>
        <w:t xml:space="preserve"> hours x $</w:t>
      </w:r>
      <w:r w:rsidR="0094081A">
        <w:rPr>
          <w:rFonts w:ascii="Arial" w:hAnsi="Arial" w:cs="Arial"/>
          <w:sz w:val="22"/>
          <w:szCs w:val="22"/>
        </w:rPr>
        <w:t>288</w:t>
      </w:r>
      <w:r w:rsidR="00EB347E">
        <w:rPr>
          <w:rFonts w:ascii="Arial" w:hAnsi="Arial" w:cs="Arial"/>
          <w:sz w:val="22"/>
          <w:szCs w:val="22"/>
        </w:rPr>
        <w:t>/</w:t>
      </w:r>
      <w:proofErr w:type="spellStart"/>
      <w:r w:rsidR="00EB347E">
        <w:rPr>
          <w:rFonts w:ascii="Arial" w:hAnsi="Arial" w:cs="Arial"/>
          <w:sz w:val="22"/>
          <w:szCs w:val="22"/>
        </w:rPr>
        <w:t>hr</w:t>
      </w:r>
      <w:proofErr w:type="spellEnd"/>
      <w:r w:rsidR="00EB347E">
        <w:rPr>
          <w:rFonts w:ascii="Arial" w:hAnsi="Arial" w:cs="Arial"/>
          <w:sz w:val="22"/>
          <w:szCs w:val="22"/>
        </w:rPr>
        <w:t>)</w:t>
      </w:r>
      <w:r w:rsidR="00FE0040">
        <w:rPr>
          <w:rFonts w:ascii="Arial" w:hAnsi="Arial" w:cs="Arial"/>
          <w:sz w:val="22"/>
          <w:szCs w:val="22"/>
        </w:rPr>
        <w:t>.</w:t>
      </w:r>
    </w:p>
    <w:p w:rsidR="006A7F85" w:rsidP="00577D64" w:rsidRDefault="006A7F85" w14:paraId="0851D737" w14:textId="77777777">
      <w:pPr>
        <w:keepLines/>
        <w:widowControl/>
        <w:ind w:left="720"/>
        <w:rPr>
          <w:rFonts w:ascii="Arial" w:hAnsi="Arial" w:cs="Arial"/>
          <w:sz w:val="22"/>
          <w:szCs w:val="22"/>
        </w:rPr>
      </w:pPr>
    </w:p>
    <w:p w:rsidRPr="00A32597" w:rsidR="002B1B50" w:rsidP="00577D64" w:rsidRDefault="002B1B50" w14:paraId="46BA015E" w14:textId="77777777">
      <w:pPr>
        <w:keepNext/>
        <w:keepLines/>
        <w:widowControl/>
        <w:tabs>
          <w:tab w:val="left" w:pos="-1440"/>
        </w:tabs>
        <w:ind w:left="1440" w:hanging="720"/>
        <w:rPr>
          <w:rFonts w:ascii="Arial" w:hAnsi="Arial" w:cs="Arial"/>
          <w:sz w:val="22"/>
          <w:szCs w:val="22"/>
        </w:rPr>
      </w:pPr>
      <w:r w:rsidRPr="00A32597">
        <w:rPr>
          <w:rFonts w:ascii="Arial" w:hAnsi="Arial" w:cs="Arial"/>
          <w:sz w:val="22"/>
          <w:szCs w:val="22"/>
        </w:rPr>
        <w:t>16.</w:t>
      </w:r>
      <w:r w:rsidRPr="00A32597">
        <w:rPr>
          <w:rFonts w:ascii="Arial" w:hAnsi="Arial" w:cs="Arial"/>
          <w:sz w:val="22"/>
          <w:szCs w:val="22"/>
        </w:rPr>
        <w:tab/>
      </w:r>
      <w:r w:rsidRPr="00A32597">
        <w:rPr>
          <w:rFonts w:ascii="Arial" w:hAnsi="Arial" w:cs="Arial"/>
          <w:sz w:val="22"/>
          <w:szCs w:val="22"/>
          <w:u w:val="single"/>
        </w:rPr>
        <w:t>Publication for Statistical Use</w:t>
      </w:r>
    </w:p>
    <w:p w:rsidRPr="00A32597" w:rsidR="002B1B50" w:rsidP="00577D64" w:rsidRDefault="002B1B50" w14:paraId="68D34950" w14:textId="77777777">
      <w:pPr>
        <w:keepNext/>
        <w:keepLines/>
        <w:widowControl/>
        <w:rPr>
          <w:rFonts w:ascii="Arial" w:hAnsi="Arial" w:cs="Arial"/>
          <w:sz w:val="22"/>
          <w:szCs w:val="22"/>
        </w:rPr>
      </w:pPr>
    </w:p>
    <w:p w:rsidRPr="00A32597" w:rsidR="002B1B50" w:rsidP="00577D64" w:rsidRDefault="005F699A" w14:paraId="0CB07DEC" w14:textId="77777777">
      <w:pPr>
        <w:keepNext/>
        <w:keepLines/>
        <w:widowControl/>
        <w:ind w:firstLine="720"/>
        <w:rPr>
          <w:rFonts w:ascii="Arial" w:hAnsi="Arial" w:cs="Arial"/>
          <w:sz w:val="22"/>
          <w:szCs w:val="22"/>
        </w:rPr>
      </w:pPr>
      <w:r w:rsidRPr="00A32597">
        <w:rPr>
          <w:rFonts w:ascii="Arial" w:hAnsi="Arial" w:cs="Arial"/>
          <w:sz w:val="22"/>
          <w:szCs w:val="22"/>
        </w:rPr>
        <w:t>Not Applicable</w:t>
      </w:r>
      <w:r w:rsidRPr="00A32597" w:rsidR="002B1B50">
        <w:rPr>
          <w:rFonts w:ascii="Arial" w:hAnsi="Arial" w:cs="Arial"/>
          <w:sz w:val="22"/>
          <w:szCs w:val="22"/>
        </w:rPr>
        <w:t>.</w:t>
      </w:r>
    </w:p>
    <w:p w:rsidRPr="00A32597" w:rsidR="002B1B50" w:rsidP="00577D64" w:rsidRDefault="002B1B50" w14:paraId="69DB83E0" w14:textId="77777777">
      <w:pPr>
        <w:keepLines/>
        <w:widowControl/>
        <w:rPr>
          <w:rFonts w:ascii="Arial" w:hAnsi="Arial" w:cs="Arial"/>
          <w:sz w:val="22"/>
          <w:szCs w:val="22"/>
        </w:rPr>
      </w:pPr>
    </w:p>
    <w:p w:rsidRPr="004E3E64" w:rsidR="002B1B50" w:rsidP="00577D64" w:rsidRDefault="002B1B50" w14:paraId="255F0A9C" w14:textId="77777777">
      <w:pPr>
        <w:keepNext/>
        <w:keepLines/>
        <w:widowControl/>
        <w:tabs>
          <w:tab w:val="left" w:pos="-1440"/>
        </w:tabs>
        <w:ind w:left="1440" w:hanging="720"/>
        <w:rPr>
          <w:rFonts w:ascii="Arial" w:hAnsi="Arial" w:cs="Arial"/>
          <w:sz w:val="22"/>
          <w:szCs w:val="22"/>
          <w:u w:val="single"/>
        </w:rPr>
      </w:pPr>
      <w:r w:rsidRPr="00A32597">
        <w:rPr>
          <w:rFonts w:ascii="Arial" w:hAnsi="Arial" w:cs="Arial"/>
          <w:sz w:val="22"/>
          <w:szCs w:val="22"/>
        </w:rPr>
        <w:t>17.</w:t>
      </w:r>
      <w:r w:rsidRPr="00A32597">
        <w:rPr>
          <w:rFonts w:ascii="Arial" w:hAnsi="Arial" w:cs="Arial"/>
          <w:sz w:val="22"/>
          <w:szCs w:val="22"/>
        </w:rPr>
        <w:tab/>
      </w:r>
      <w:r w:rsidRPr="00A32597">
        <w:rPr>
          <w:rFonts w:ascii="Arial" w:hAnsi="Arial" w:cs="Arial"/>
          <w:sz w:val="22"/>
          <w:szCs w:val="22"/>
          <w:u w:val="single"/>
        </w:rPr>
        <w:t xml:space="preserve">Reasons </w:t>
      </w:r>
      <w:r w:rsidRPr="004E3E64">
        <w:rPr>
          <w:rFonts w:ascii="Arial" w:hAnsi="Arial" w:cs="Arial"/>
          <w:sz w:val="22"/>
          <w:szCs w:val="22"/>
          <w:u w:val="single"/>
        </w:rPr>
        <w:t>for Not Displaying the Expiration Date</w:t>
      </w:r>
    </w:p>
    <w:p w:rsidRPr="004E3E64" w:rsidR="002B1B50" w:rsidP="00577D64" w:rsidRDefault="002B1B50" w14:paraId="4A26BB2B" w14:textId="77777777">
      <w:pPr>
        <w:keepNext/>
        <w:keepLines/>
        <w:widowControl/>
        <w:rPr>
          <w:rFonts w:ascii="Arial" w:hAnsi="Arial" w:cs="Arial"/>
          <w:sz w:val="22"/>
          <w:szCs w:val="22"/>
          <w:u w:val="single"/>
        </w:rPr>
      </w:pPr>
    </w:p>
    <w:p w:rsidRPr="004E3E64" w:rsidR="00F4462D" w:rsidP="0034555E" w:rsidRDefault="003248D0" w14:paraId="4AE738D0" w14:textId="77777777">
      <w:pPr>
        <w:pStyle w:val="BodyText"/>
        <w:spacing w:before="71"/>
        <w:ind w:left="720" w:right="187"/>
      </w:pPr>
      <w:r w:rsidRPr="004E3E64">
        <w:t xml:space="preserve">The </w:t>
      </w:r>
      <w:r w:rsidRPr="004E3E64" w:rsidR="00F4462D">
        <w:t>expiration date is displayed.</w:t>
      </w:r>
    </w:p>
    <w:p w:rsidRPr="004E3E64" w:rsidR="00EE36A0" w:rsidP="00577D64" w:rsidRDefault="00EE36A0" w14:paraId="237B5563" w14:textId="77777777">
      <w:pPr>
        <w:keepNext/>
        <w:keepLines/>
        <w:widowControl/>
        <w:tabs>
          <w:tab w:val="left" w:pos="-1440"/>
        </w:tabs>
        <w:ind w:left="1440" w:hanging="720"/>
        <w:rPr>
          <w:rFonts w:ascii="Arial" w:hAnsi="Arial" w:cs="Arial"/>
          <w:sz w:val="22"/>
          <w:szCs w:val="22"/>
        </w:rPr>
      </w:pPr>
    </w:p>
    <w:p w:rsidRPr="004E3E64" w:rsidR="002B1B50" w:rsidP="00577D64" w:rsidRDefault="002B1B50" w14:paraId="4D8777ED" w14:textId="77777777">
      <w:pPr>
        <w:keepNext/>
        <w:keepLines/>
        <w:widowControl/>
        <w:tabs>
          <w:tab w:val="left" w:pos="-1440"/>
        </w:tabs>
        <w:ind w:left="1440" w:hanging="720"/>
        <w:rPr>
          <w:rFonts w:ascii="Arial" w:hAnsi="Arial" w:cs="Arial"/>
          <w:sz w:val="22"/>
          <w:szCs w:val="22"/>
          <w:u w:val="single"/>
        </w:rPr>
      </w:pPr>
      <w:r w:rsidRPr="004E3E64">
        <w:rPr>
          <w:rFonts w:ascii="Arial" w:hAnsi="Arial" w:cs="Arial"/>
          <w:sz w:val="22"/>
          <w:szCs w:val="22"/>
        </w:rPr>
        <w:t>18.</w:t>
      </w:r>
      <w:r w:rsidRPr="004E3E64">
        <w:rPr>
          <w:rFonts w:ascii="Arial" w:hAnsi="Arial" w:cs="Arial"/>
          <w:sz w:val="22"/>
          <w:szCs w:val="22"/>
        </w:rPr>
        <w:tab/>
      </w:r>
      <w:r w:rsidRPr="004E3E64">
        <w:rPr>
          <w:rFonts w:ascii="Arial" w:hAnsi="Arial" w:cs="Arial"/>
          <w:sz w:val="22"/>
          <w:szCs w:val="22"/>
          <w:u w:val="single"/>
        </w:rPr>
        <w:t>Exceptions to the Certification Statement</w:t>
      </w:r>
    </w:p>
    <w:p w:rsidRPr="004E3E64" w:rsidR="002B1B50" w:rsidP="00577D64" w:rsidRDefault="002B1B50" w14:paraId="6110AB71" w14:textId="77777777">
      <w:pPr>
        <w:keepNext/>
        <w:keepLines/>
        <w:widowControl/>
        <w:rPr>
          <w:rFonts w:ascii="Arial" w:hAnsi="Arial" w:cs="Arial"/>
          <w:sz w:val="22"/>
          <w:szCs w:val="22"/>
          <w:u w:val="single"/>
        </w:rPr>
      </w:pPr>
    </w:p>
    <w:p w:rsidRPr="004E3E64" w:rsidR="002B1B50" w:rsidP="00577D64" w:rsidRDefault="005F699A" w14:paraId="578E00EA" w14:textId="77777777">
      <w:pPr>
        <w:keepNext/>
        <w:keepLines/>
        <w:widowControl/>
        <w:ind w:left="720"/>
        <w:rPr>
          <w:rFonts w:ascii="Arial" w:hAnsi="Arial" w:cs="Arial"/>
          <w:sz w:val="22"/>
          <w:szCs w:val="22"/>
        </w:rPr>
      </w:pPr>
      <w:r w:rsidRPr="004E3E64">
        <w:rPr>
          <w:rFonts w:ascii="Arial" w:hAnsi="Arial" w:cs="Arial"/>
          <w:sz w:val="22"/>
          <w:szCs w:val="22"/>
        </w:rPr>
        <w:t>There are no exceptions</w:t>
      </w:r>
      <w:r w:rsidRPr="004E3E64" w:rsidR="002B1B50">
        <w:rPr>
          <w:rFonts w:ascii="Arial" w:hAnsi="Arial" w:cs="Arial"/>
          <w:sz w:val="22"/>
          <w:szCs w:val="22"/>
        </w:rPr>
        <w:t>.</w:t>
      </w:r>
    </w:p>
    <w:p w:rsidR="00A32597" w:rsidP="00577D64" w:rsidRDefault="00A32597" w14:paraId="7DC5FC4D" w14:textId="77777777">
      <w:pPr>
        <w:keepNext/>
        <w:keepLines/>
        <w:widowControl/>
        <w:rPr>
          <w:rFonts w:ascii="Arial" w:hAnsi="Arial" w:cs="Arial"/>
          <w:sz w:val="22"/>
          <w:szCs w:val="22"/>
        </w:rPr>
      </w:pPr>
    </w:p>
    <w:p w:rsidRPr="000C35E0" w:rsidR="002B1B50" w:rsidP="00577D64" w:rsidRDefault="002B1B50" w14:paraId="2F6D1A5F" w14:textId="77777777">
      <w:pPr>
        <w:keepNext/>
        <w:keepLines/>
        <w:widowControl/>
        <w:rPr>
          <w:rFonts w:ascii="Arial" w:hAnsi="Arial" w:cs="Arial"/>
          <w:sz w:val="22"/>
          <w:szCs w:val="22"/>
        </w:rPr>
      </w:pPr>
      <w:r w:rsidRPr="000C35E0">
        <w:rPr>
          <w:rFonts w:ascii="Arial" w:hAnsi="Arial" w:cs="Arial"/>
          <w:sz w:val="22"/>
          <w:szCs w:val="22"/>
        </w:rPr>
        <w:t>B.  COLLECTIONS OF INFORMATION EMPLOYING STATISTICAL METHODS</w:t>
      </w:r>
    </w:p>
    <w:p w:rsidRPr="00A32597" w:rsidR="002B1B50" w:rsidP="00577D64" w:rsidRDefault="002B1B50" w14:paraId="079986DB" w14:textId="77777777">
      <w:pPr>
        <w:keepNext/>
        <w:keepLines/>
        <w:widowControl/>
        <w:rPr>
          <w:rFonts w:ascii="Arial" w:hAnsi="Arial" w:cs="Arial"/>
          <w:sz w:val="22"/>
          <w:szCs w:val="22"/>
        </w:rPr>
      </w:pPr>
    </w:p>
    <w:p w:rsidRPr="00E031E3" w:rsidR="003D03B4" w:rsidP="00093202" w:rsidRDefault="002B1B50" w14:paraId="27D738F5" w14:textId="77777777">
      <w:pPr>
        <w:keepNext/>
        <w:keepLines/>
        <w:widowControl/>
        <w:ind w:firstLine="720"/>
      </w:pPr>
      <w:r w:rsidRPr="00A32597">
        <w:rPr>
          <w:rFonts w:ascii="Arial" w:hAnsi="Arial" w:cs="Arial"/>
          <w:sz w:val="22"/>
          <w:szCs w:val="22"/>
        </w:rPr>
        <w:t xml:space="preserve">Not </w:t>
      </w:r>
      <w:r w:rsidRPr="00A32597" w:rsidR="00046E88">
        <w:rPr>
          <w:rFonts w:ascii="Arial" w:hAnsi="Arial" w:cs="Arial"/>
          <w:sz w:val="22"/>
          <w:szCs w:val="22"/>
        </w:rPr>
        <w:t>A</w:t>
      </w:r>
      <w:r w:rsidRPr="00A32597">
        <w:rPr>
          <w:rFonts w:ascii="Arial" w:hAnsi="Arial" w:cs="Arial"/>
          <w:sz w:val="22"/>
          <w:szCs w:val="22"/>
        </w:rPr>
        <w:t>pplicable.</w:t>
      </w:r>
    </w:p>
    <w:sectPr w:rsidRPr="00E031E3" w:rsidR="003D03B4" w:rsidSect="00961B37">
      <w:footerReference w:type="default" r:id="rId13"/>
      <w:pgSz w:w="12240" w:h="15840" w:code="1"/>
      <w:pgMar w:top="1008" w:right="1296" w:bottom="1008" w:left="1296"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AE34" w14:textId="77777777" w:rsidR="00AA075B" w:rsidRDefault="00AA075B">
      <w:r>
        <w:separator/>
      </w:r>
    </w:p>
  </w:endnote>
  <w:endnote w:type="continuationSeparator" w:id="0">
    <w:p w14:paraId="1AEEF2D9" w14:textId="77777777" w:rsidR="00AA075B" w:rsidRDefault="00AA075B">
      <w:r>
        <w:continuationSeparator/>
      </w:r>
    </w:p>
  </w:endnote>
  <w:endnote w:type="continuationNotice" w:id="1">
    <w:p w14:paraId="4D94BCF0" w14:textId="77777777" w:rsidR="00AA075B" w:rsidRDefault="00AA0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6B3B" w14:textId="77777777" w:rsidR="00615A2B" w:rsidRPr="001A5E3A" w:rsidRDefault="00615A2B">
    <w:pPr>
      <w:pStyle w:val="Footer"/>
      <w:jc w:val="center"/>
      <w:rPr>
        <w:rFonts w:ascii="Arial" w:hAnsi="Arial" w:cs="Arial"/>
        <w:sz w:val="22"/>
        <w:szCs w:val="22"/>
      </w:rPr>
    </w:pPr>
    <w:r w:rsidRPr="001A5E3A">
      <w:rPr>
        <w:rFonts w:ascii="Arial" w:hAnsi="Arial" w:cs="Arial"/>
        <w:sz w:val="22"/>
        <w:szCs w:val="22"/>
      </w:rPr>
      <w:fldChar w:fldCharType="begin"/>
    </w:r>
    <w:r w:rsidRPr="001A5E3A">
      <w:rPr>
        <w:rFonts w:ascii="Arial" w:hAnsi="Arial" w:cs="Arial"/>
        <w:sz w:val="22"/>
        <w:szCs w:val="22"/>
      </w:rPr>
      <w:instrText xml:space="preserve"> PAGE   \* MERGEFORMAT </w:instrText>
    </w:r>
    <w:r w:rsidRPr="001A5E3A">
      <w:rPr>
        <w:rFonts w:ascii="Arial" w:hAnsi="Arial" w:cs="Arial"/>
        <w:sz w:val="22"/>
        <w:szCs w:val="22"/>
      </w:rPr>
      <w:fldChar w:fldCharType="separate"/>
    </w:r>
    <w:r w:rsidR="00B53C8F">
      <w:rPr>
        <w:rFonts w:ascii="Arial" w:hAnsi="Arial" w:cs="Arial"/>
        <w:noProof/>
        <w:sz w:val="22"/>
        <w:szCs w:val="22"/>
      </w:rPr>
      <w:t>10</w:t>
    </w:r>
    <w:r w:rsidRPr="001A5E3A">
      <w:rPr>
        <w:rFonts w:ascii="Arial" w:hAnsi="Arial" w:cs="Arial"/>
        <w:noProof/>
        <w:sz w:val="22"/>
        <w:szCs w:val="22"/>
      </w:rPr>
      <w:fldChar w:fldCharType="end"/>
    </w:r>
  </w:p>
  <w:p w14:paraId="3626BE21" w14:textId="77777777" w:rsidR="00615A2B" w:rsidRPr="001441A2" w:rsidRDefault="00615A2B" w:rsidP="001441A2">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091DA" w14:textId="77777777" w:rsidR="00AA075B" w:rsidRDefault="00AA075B">
      <w:r>
        <w:separator/>
      </w:r>
    </w:p>
  </w:footnote>
  <w:footnote w:type="continuationSeparator" w:id="0">
    <w:p w14:paraId="6555EF6F" w14:textId="77777777" w:rsidR="00AA075B" w:rsidRDefault="00AA075B">
      <w:r>
        <w:continuationSeparator/>
      </w:r>
    </w:p>
  </w:footnote>
  <w:footnote w:type="continuationNotice" w:id="1">
    <w:p w14:paraId="2CEB1894" w14:textId="77777777" w:rsidR="00AA075B" w:rsidRDefault="00AA07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5AEA5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793538A"/>
    <w:multiLevelType w:val="hybridMultilevel"/>
    <w:tmpl w:val="23305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271070"/>
    <w:multiLevelType w:val="hybridMultilevel"/>
    <w:tmpl w:val="88D4C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A00D56"/>
    <w:multiLevelType w:val="hybridMultilevel"/>
    <w:tmpl w:val="FD147500"/>
    <w:lvl w:ilvl="0" w:tplc="9D344B80">
      <w:start w:val="8"/>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854F28"/>
    <w:multiLevelType w:val="multilevel"/>
    <w:tmpl w:val="F0822BC0"/>
    <w:lvl w:ilvl="0">
      <w:start w:val="1"/>
      <w:numFmt w:val="bullet"/>
      <w:lvlText w:val=""/>
      <w:lvlJc w:val="left"/>
      <w:pPr>
        <w:tabs>
          <w:tab w:val="num" w:pos="2880"/>
        </w:tabs>
        <w:ind w:left="288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DD0D31"/>
    <w:multiLevelType w:val="hybridMultilevel"/>
    <w:tmpl w:val="8278C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0B594A"/>
    <w:multiLevelType w:val="hybridMultilevel"/>
    <w:tmpl w:val="84BA3D0E"/>
    <w:lvl w:ilvl="0" w:tplc="F5289654">
      <w:start w:val="1"/>
      <w:numFmt w:val="bullet"/>
      <w:lvlText w:val=""/>
      <w:lvlJc w:val="left"/>
      <w:pPr>
        <w:ind w:left="1800" w:hanging="360"/>
      </w:pPr>
      <w:rPr>
        <w:rFonts w:ascii="Symbol" w:hAnsi="Symbol" w:hint="default"/>
        <w:sz w:val="22"/>
      </w:rPr>
    </w:lvl>
    <w:lvl w:ilvl="1" w:tplc="EC307D46">
      <w:start w:val="1"/>
      <w:numFmt w:val="lowerLetter"/>
      <w:lvlText w:val="%2."/>
      <w:lvlJc w:val="left"/>
      <w:pPr>
        <w:ind w:left="2520" w:hanging="360"/>
      </w:pPr>
      <w:rPr>
        <w:rFonts w:hint="default"/>
      </w:rPr>
    </w:lvl>
    <w:lvl w:ilvl="2" w:tplc="95045796">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3444470"/>
    <w:multiLevelType w:val="hybridMultilevel"/>
    <w:tmpl w:val="5F0E0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74C6442"/>
    <w:multiLevelType w:val="hybridMultilevel"/>
    <w:tmpl w:val="00C6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057CE"/>
    <w:multiLevelType w:val="hybridMultilevel"/>
    <w:tmpl w:val="043CF32A"/>
    <w:lvl w:ilvl="0" w:tplc="098CBD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60F3072D"/>
    <w:multiLevelType w:val="hybridMultilevel"/>
    <w:tmpl w:val="F0822BC0"/>
    <w:lvl w:ilvl="0" w:tplc="098CBD9A">
      <w:start w:val="1"/>
      <w:numFmt w:val="bullet"/>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D5F16E4"/>
    <w:multiLevelType w:val="hybridMultilevel"/>
    <w:tmpl w:val="BB285D1C"/>
    <w:lvl w:ilvl="0" w:tplc="098CBD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71ED51D2"/>
    <w:multiLevelType w:val="hybridMultilevel"/>
    <w:tmpl w:val="5922EF04"/>
    <w:lvl w:ilvl="0" w:tplc="578C20D2">
      <w:start w:val="4"/>
      <w:numFmt w:val="lowerLetter"/>
      <w:lvlText w:val="%1)"/>
      <w:lvlJc w:val="left"/>
      <w:pPr>
        <w:tabs>
          <w:tab w:val="num" w:pos="1440"/>
        </w:tabs>
        <w:ind w:left="1440" w:hanging="720"/>
      </w:pPr>
      <w:rPr>
        <w:rFonts w:ascii="Shruti" w:hAnsi="Shruti" w:cs="Shruti"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35F58D9"/>
    <w:multiLevelType w:val="hybridMultilevel"/>
    <w:tmpl w:val="84B0D6DA"/>
    <w:lvl w:ilvl="0" w:tplc="098CBD9A">
      <w:start w:val="1"/>
      <w:numFmt w:val="bullet"/>
      <w:lvlText w:val=""/>
      <w:lvlJc w:val="left"/>
      <w:pPr>
        <w:tabs>
          <w:tab w:val="num" w:pos="1080"/>
        </w:tabs>
        <w:ind w:left="1080" w:hanging="360"/>
      </w:pPr>
      <w:rPr>
        <w:rFonts w:ascii="Symbol" w:hAnsi="Symbol" w:hint="default"/>
        <w:color w:val="auto"/>
      </w:rPr>
    </w:lvl>
    <w:lvl w:ilvl="1" w:tplc="098CBD9A">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4"/>
  </w:num>
  <w:num w:numId="2">
    <w:abstractNumId w:val="12"/>
  </w:num>
  <w:num w:numId="3">
    <w:abstractNumId w:val="11"/>
  </w:num>
  <w:num w:numId="4">
    <w:abstractNumId w:val="6"/>
  </w:num>
  <w:num w:numId="5">
    <w:abstractNumId w:val="15"/>
  </w:num>
  <w:num w:numId="6">
    <w:abstractNumId w:val="5"/>
  </w:num>
  <w:num w:numId="7">
    <w:abstractNumId w:val="13"/>
  </w:num>
  <w:num w:numId="8">
    <w:abstractNumId w:val="9"/>
  </w:num>
  <w:num w:numId="9">
    <w:abstractNumId w:val="0"/>
  </w:num>
  <w:num w:numId="10">
    <w:abstractNumId w:val="0"/>
  </w:num>
  <w:num w:numId="11">
    <w:abstractNumId w:val="8"/>
  </w:num>
  <w:num w:numId="12">
    <w:abstractNumId w:val="10"/>
  </w:num>
  <w:num w:numId="13">
    <w:abstractNumId w:val="7"/>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B50"/>
    <w:rsid w:val="0000399E"/>
    <w:rsid w:val="00004BAD"/>
    <w:rsid w:val="00005087"/>
    <w:rsid w:val="00012DCD"/>
    <w:rsid w:val="0002057E"/>
    <w:rsid w:val="00022F2B"/>
    <w:rsid w:val="00025BC1"/>
    <w:rsid w:val="00026E79"/>
    <w:rsid w:val="00040122"/>
    <w:rsid w:val="000459CE"/>
    <w:rsid w:val="00045E1B"/>
    <w:rsid w:val="00046E88"/>
    <w:rsid w:val="0005045B"/>
    <w:rsid w:val="00050BDF"/>
    <w:rsid w:val="00053613"/>
    <w:rsid w:val="00054972"/>
    <w:rsid w:val="00054A33"/>
    <w:rsid w:val="00056CC6"/>
    <w:rsid w:val="000622D7"/>
    <w:rsid w:val="0006516C"/>
    <w:rsid w:val="00066D1D"/>
    <w:rsid w:val="0006734C"/>
    <w:rsid w:val="0007386A"/>
    <w:rsid w:val="00074CB4"/>
    <w:rsid w:val="0007735A"/>
    <w:rsid w:val="00082AE6"/>
    <w:rsid w:val="000839F6"/>
    <w:rsid w:val="00093202"/>
    <w:rsid w:val="000935A4"/>
    <w:rsid w:val="00094B8F"/>
    <w:rsid w:val="00095A6F"/>
    <w:rsid w:val="000A32A0"/>
    <w:rsid w:val="000A3AF2"/>
    <w:rsid w:val="000A3E41"/>
    <w:rsid w:val="000A4136"/>
    <w:rsid w:val="000B0BEA"/>
    <w:rsid w:val="000B2332"/>
    <w:rsid w:val="000B6661"/>
    <w:rsid w:val="000B783F"/>
    <w:rsid w:val="000B7BC5"/>
    <w:rsid w:val="000B7BE1"/>
    <w:rsid w:val="000C35E0"/>
    <w:rsid w:val="000D1F39"/>
    <w:rsid w:val="000D31AB"/>
    <w:rsid w:val="000D3EB5"/>
    <w:rsid w:val="000D45E9"/>
    <w:rsid w:val="000D6527"/>
    <w:rsid w:val="000D6CF9"/>
    <w:rsid w:val="000D7C1A"/>
    <w:rsid w:val="000D7C27"/>
    <w:rsid w:val="000E4015"/>
    <w:rsid w:val="000E405F"/>
    <w:rsid w:val="000E517F"/>
    <w:rsid w:val="000E7CE5"/>
    <w:rsid w:val="000F114C"/>
    <w:rsid w:val="000F1E4F"/>
    <w:rsid w:val="000F22C0"/>
    <w:rsid w:val="000F348D"/>
    <w:rsid w:val="000F57A2"/>
    <w:rsid w:val="000F7012"/>
    <w:rsid w:val="000F7289"/>
    <w:rsid w:val="0010324F"/>
    <w:rsid w:val="001040D8"/>
    <w:rsid w:val="0010589D"/>
    <w:rsid w:val="001201E1"/>
    <w:rsid w:val="00122E4E"/>
    <w:rsid w:val="00123952"/>
    <w:rsid w:val="00123DB3"/>
    <w:rsid w:val="00124A52"/>
    <w:rsid w:val="0012621A"/>
    <w:rsid w:val="00132252"/>
    <w:rsid w:val="00134F1A"/>
    <w:rsid w:val="001364CB"/>
    <w:rsid w:val="001377AD"/>
    <w:rsid w:val="001441A2"/>
    <w:rsid w:val="00144AC8"/>
    <w:rsid w:val="00144D4A"/>
    <w:rsid w:val="0014577F"/>
    <w:rsid w:val="001525E4"/>
    <w:rsid w:val="00154E24"/>
    <w:rsid w:val="00166497"/>
    <w:rsid w:val="00172EA9"/>
    <w:rsid w:val="001771D2"/>
    <w:rsid w:val="001773EE"/>
    <w:rsid w:val="001832CD"/>
    <w:rsid w:val="00195553"/>
    <w:rsid w:val="00195B37"/>
    <w:rsid w:val="00196350"/>
    <w:rsid w:val="001A04BB"/>
    <w:rsid w:val="001A5E3A"/>
    <w:rsid w:val="001A78D9"/>
    <w:rsid w:val="001B0614"/>
    <w:rsid w:val="001B3554"/>
    <w:rsid w:val="001B7022"/>
    <w:rsid w:val="001C102E"/>
    <w:rsid w:val="001C44A1"/>
    <w:rsid w:val="001C5AF9"/>
    <w:rsid w:val="001C5D96"/>
    <w:rsid w:val="001C73F6"/>
    <w:rsid w:val="001C74E2"/>
    <w:rsid w:val="001D7635"/>
    <w:rsid w:val="001E3772"/>
    <w:rsid w:val="001E58AB"/>
    <w:rsid w:val="001E7B1A"/>
    <w:rsid w:val="001F2EEE"/>
    <w:rsid w:val="001F317F"/>
    <w:rsid w:val="001F31C5"/>
    <w:rsid w:val="001F437A"/>
    <w:rsid w:val="001F628A"/>
    <w:rsid w:val="00200F87"/>
    <w:rsid w:val="00201D8C"/>
    <w:rsid w:val="00203E7B"/>
    <w:rsid w:val="00211C46"/>
    <w:rsid w:val="00212016"/>
    <w:rsid w:val="00214084"/>
    <w:rsid w:val="00215E42"/>
    <w:rsid w:val="002168D8"/>
    <w:rsid w:val="002174C3"/>
    <w:rsid w:val="00217A80"/>
    <w:rsid w:val="0022136D"/>
    <w:rsid w:val="00221BFF"/>
    <w:rsid w:val="002277CC"/>
    <w:rsid w:val="002279DE"/>
    <w:rsid w:val="00230713"/>
    <w:rsid w:val="002354C3"/>
    <w:rsid w:val="0023798C"/>
    <w:rsid w:val="0024184F"/>
    <w:rsid w:val="00246334"/>
    <w:rsid w:val="0025037D"/>
    <w:rsid w:val="002511ED"/>
    <w:rsid w:val="00260C4E"/>
    <w:rsid w:val="00263018"/>
    <w:rsid w:val="002636FA"/>
    <w:rsid w:val="00275325"/>
    <w:rsid w:val="00275CEF"/>
    <w:rsid w:val="00276C15"/>
    <w:rsid w:val="0028187E"/>
    <w:rsid w:val="0028339C"/>
    <w:rsid w:val="00283840"/>
    <w:rsid w:val="002861F4"/>
    <w:rsid w:val="00286921"/>
    <w:rsid w:val="002934BE"/>
    <w:rsid w:val="00296384"/>
    <w:rsid w:val="002A26B3"/>
    <w:rsid w:val="002A33E3"/>
    <w:rsid w:val="002A394C"/>
    <w:rsid w:val="002A6105"/>
    <w:rsid w:val="002A6608"/>
    <w:rsid w:val="002A773A"/>
    <w:rsid w:val="002A7992"/>
    <w:rsid w:val="002A7A2D"/>
    <w:rsid w:val="002B08ED"/>
    <w:rsid w:val="002B10F3"/>
    <w:rsid w:val="002B117A"/>
    <w:rsid w:val="002B1B50"/>
    <w:rsid w:val="002B39DB"/>
    <w:rsid w:val="002B4E39"/>
    <w:rsid w:val="002B5EE6"/>
    <w:rsid w:val="002C545E"/>
    <w:rsid w:val="002C685F"/>
    <w:rsid w:val="002C7EDB"/>
    <w:rsid w:val="002D3BAF"/>
    <w:rsid w:val="002E3C80"/>
    <w:rsid w:val="002E70CC"/>
    <w:rsid w:val="002E76B7"/>
    <w:rsid w:val="002F014B"/>
    <w:rsid w:val="002F09B3"/>
    <w:rsid w:val="002F18CF"/>
    <w:rsid w:val="002F20D7"/>
    <w:rsid w:val="002F3884"/>
    <w:rsid w:val="002F477C"/>
    <w:rsid w:val="002F4B46"/>
    <w:rsid w:val="002F626C"/>
    <w:rsid w:val="002F6D86"/>
    <w:rsid w:val="00302F94"/>
    <w:rsid w:val="00307AF5"/>
    <w:rsid w:val="00310AA1"/>
    <w:rsid w:val="00310D20"/>
    <w:rsid w:val="00311586"/>
    <w:rsid w:val="003115FF"/>
    <w:rsid w:val="00311AB4"/>
    <w:rsid w:val="0031221A"/>
    <w:rsid w:val="00313748"/>
    <w:rsid w:val="003144E5"/>
    <w:rsid w:val="0031534D"/>
    <w:rsid w:val="003157E4"/>
    <w:rsid w:val="003161B4"/>
    <w:rsid w:val="00316205"/>
    <w:rsid w:val="0031741D"/>
    <w:rsid w:val="00321CF2"/>
    <w:rsid w:val="00323F18"/>
    <w:rsid w:val="003248D0"/>
    <w:rsid w:val="00326FA5"/>
    <w:rsid w:val="00327C95"/>
    <w:rsid w:val="00327DAF"/>
    <w:rsid w:val="00330162"/>
    <w:rsid w:val="003301B0"/>
    <w:rsid w:val="00331923"/>
    <w:rsid w:val="00333B64"/>
    <w:rsid w:val="00340153"/>
    <w:rsid w:val="0034555E"/>
    <w:rsid w:val="0035037C"/>
    <w:rsid w:val="003518BE"/>
    <w:rsid w:val="00353FF1"/>
    <w:rsid w:val="003616BC"/>
    <w:rsid w:val="00363BEF"/>
    <w:rsid w:val="00370560"/>
    <w:rsid w:val="00374A93"/>
    <w:rsid w:val="003773B8"/>
    <w:rsid w:val="0037742E"/>
    <w:rsid w:val="00377B8D"/>
    <w:rsid w:val="003811F0"/>
    <w:rsid w:val="0038163B"/>
    <w:rsid w:val="00382ECF"/>
    <w:rsid w:val="00385DF3"/>
    <w:rsid w:val="00386457"/>
    <w:rsid w:val="003879D3"/>
    <w:rsid w:val="003905D3"/>
    <w:rsid w:val="00390E81"/>
    <w:rsid w:val="00395A46"/>
    <w:rsid w:val="003A5576"/>
    <w:rsid w:val="003B1890"/>
    <w:rsid w:val="003B1DF3"/>
    <w:rsid w:val="003B2E58"/>
    <w:rsid w:val="003B764E"/>
    <w:rsid w:val="003C0FE3"/>
    <w:rsid w:val="003C1179"/>
    <w:rsid w:val="003C1570"/>
    <w:rsid w:val="003C783F"/>
    <w:rsid w:val="003D03B4"/>
    <w:rsid w:val="003E05C4"/>
    <w:rsid w:val="003E1646"/>
    <w:rsid w:val="003E23AB"/>
    <w:rsid w:val="003E5660"/>
    <w:rsid w:val="003E57AD"/>
    <w:rsid w:val="003E6943"/>
    <w:rsid w:val="003E7F2F"/>
    <w:rsid w:val="003F05D2"/>
    <w:rsid w:val="003F1D04"/>
    <w:rsid w:val="003F32CF"/>
    <w:rsid w:val="003F37CE"/>
    <w:rsid w:val="003F4C86"/>
    <w:rsid w:val="003F4D46"/>
    <w:rsid w:val="003F50F0"/>
    <w:rsid w:val="003F55E1"/>
    <w:rsid w:val="00404AA2"/>
    <w:rsid w:val="004060FF"/>
    <w:rsid w:val="00406847"/>
    <w:rsid w:val="0040787D"/>
    <w:rsid w:val="00407E74"/>
    <w:rsid w:val="004115E1"/>
    <w:rsid w:val="0041195C"/>
    <w:rsid w:val="00415AFB"/>
    <w:rsid w:val="00416DEB"/>
    <w:rsid w:val="004179F6"/>
    <w:rsid w:val="00420184"/>
    <w:rsid w:val="00424E07"/>
    <w:rsid w:val="00425A8B"/>
    <w:rsid w:val="00427C27"/>
    <w:rsid w:val="00430C81"/>
    <w:rsid w:val="00431B11"/>
    <w:rsid w:val="00431CA4"/>
    <w:rsid w:val="00434025"/>
    <w:rsid w:val="004342BA"/>
    <w:rsid w:val="00437CC5"/>
    <w:rsid w:val="00442BD8"/>
    <w:rsid w:val="004431B2"/>
    <w:rsid w:val="004456DE"/>
    <w:rsid w:val="00454070"/>
    <w:rsid w:val="00457B25"/>
    <w:rsid w:val="004609AD"/>
    <w:rsid w:val="00460B38"/>
    <w:rsid w:val="00460DC0"/>
    <w:rsid w:val="004617E8"/>
    <w:rsid w:val="00462A3F"/>
    <w:rsid w:val="00463848"/>
    <w:rsid w:val="0046616A"/>
    <w:rsid w:val="00466576"/>
    <w:rsid w:val="00470F2C"/>
    <w:rsid w:val="00477AD3"/>
    <w:rsid w:val="0048381A"/>
    <w:rsid w:val="00492A8B"/>
    <w:rsid w:val="00495490"/>
    <w:rsid w:val="004A2DD5"/>
    <w:rsid w:val="004A33A4"/>
    <w:rsid w:val="004A697C"/>
    <w:rsid w:val="004B4311"/>
    <w:rsid w:val="004B71D6"/>
    <w:rsid w:val="004C081B"/>
    <w:rsid w:val="004C5677"/>
    <w:rsid w:val="004C7108"/>
    <w:rsid w:val="004C7455"/>
    <w:rsid w:val="004C766A"/>
    <w:rsid w:val="004D20B9"/>
    <w:rsid w:val="004D6C31"/>
    <w:rsid w:val="004D6D28"/>
    <w:rsid w:val="004E344E"/>
    <w:rsid w:val="004E3E64"/>
    <w:rsid w:val="004E4DFB"/>
    <w:rsid w:val="004E5250"/>
    <w:rsid w:val="004E64E3"/>
    <w:rsid w:val="004E6E18"/>
    <w:rsid w:val="004E74D4"/>
    <w:rsid w:val="004F287A"/>
    <w:rsid w:val="004F4110"/>
    <w:rsid w:val="004F7230"/>
    <w:rsid w:val="00502FAA"/>
    <w:rsid w:val="00503864"/>
    <w:rsid w:val="0050487A"/>
    <w:rsid w:val="005079F3"/>
    <w:rsid w:val="005105F4"/>
    <w:rsid w:val="00512CE8"/>
    <w:rsid w:val="00512EC5"/>
    <w:rsid w:val="00514B1B"/>
    <w:rsid w:val="00515462"/>
    <w:rsid w:val="00520D9B"/>
    <w:rsid w:val="00527BBC"/>
    <w:rsid w:val="00532659"/>
    <w:rsid w:val="00533E10"/>
    <w:rsid w:val="005348E9"/>
    <w:rsid w:val="00546086"/>
    <w:rsid w:val="00547956"/>
    <w:rsid w:val="0055004C"/>
    <w:rsid w:val="00550F9A"/>
    <w:rsid w:val="00556400"/>
    <w:rsid w:val="005574E7"/>
    <w:rsid w:val="00560285"/>
    <w:rsid w:val="00560803"/>
    <w:rsid w:val="0056266D"/>
    <w:rsid w:val="00565C9A"/>
    <w:rsid w:val="00565F48"/>
    <w:rsid w:val="00573891"/>
    <w:rsid w:val="00573AF3"/>
    <w:rsid w:val="00575659"/>
    <w:rsid w:val="005774CE"/>
    <w:rsid w:val="00577D64"/>
    <w:rsid w:val="005865EB"/>
    <w:rsid w:val="00592596"/>
    <w:rsid w:val="00593479"/>
    <w:rsid w:val="0059431A"/>
    <w:rsid w:val="00594FF4"/>
    <w:rsid w:val="005969BE"/>
    <w:rsid w:val="005A762F"/>
    <w:rsid w:val="005B7912"/>
    <w:rsid w:val="005C3AD4"/>
    <w:rsid w:val="005C6AB1"/>
    <w:rsid w:val="005D0472"/>
    <w:rsid w:val="005D1D6E"/>
    <w:rsid w:val="005D2267"/>
    <w:rsid w:val="005D5393"/>
    <w:rsid w:val="005D67D1"/>
    <w:rsid w:val="005D6B96"/>
    <w:rsid w:val="005D6F2E"/>
    <w:rsid w:val="005E1BFF"/>
    <w:rsid w:val="005E2AB4"/>
    <w:rsid w:val="005E2C23"/>
    <w:rsid w:val="005E3EB0"/>
    <w:rsid w:val="005E50B0"/>
    <w:rsid w:val="005E5548"/>
    <w:rsid w:val="005E6AD2"/>
    <w:rsid w:val="005F48D7"/>
    <w:rsid w:val="005F56F9"/>
    <w:rsid w:val="005F699A"/>
    <w:rsid w:val="005F6D65"/>
    <w:rsid w:val="0060404F"/>
    <w:rsid w:val="00604C7E"/>
    <w:rsid w:val="006059B8"/>
    <w:rsid w:val="0061279A"/>
    <w:rsid w:val="00615A2B"/>
    <w:rsid w:val="006175CA"/>
    <w:rsid w:val="00620AEF"/>
    <w:rsid w:val="00621300"/>
    <w:rsid w:val="00621675"/>
    <w:rsid w:val="00622657"/>
    <w:rsid w:val="00623FE3"/>
    <w:rsid w:val="006261C4"/>
    <w:rsid w:val="0062627E"/>
    <w:rsid w:val="006272C4"/>
    <w:rsid w:val="00632532"/>
    <w:rsid w:val="006342D1"/>
    <w:rsid w:val="00637696"/>
    <w:rsid w:val="00640012"/>
    <w:rsid w:val="00641601"/>
    <w:rsid w:val="00642362"/>
    <w:rsid w:val="00642690"/>
    <w:rsid w:val="0064275C"/>
    <w:rsid w:val="00645660"/>
    <w:rsid w:val="00645685"/>
    <w:rsid w:val="00645BE2"/>
    <w:rsid w:val="006461F9"/>
    <w:rsid w:val="006535E5"/>
    <w:rsid w:val="00654F71"/>
    <w:rsid w:val="00657C0D"/>
    <w:rsid w:val="00663E6F"/>
    <w:rsid w:val="00664218"/>
    <w:rsid w:val="00664468"/>
    <w:rsid w:val="0066482D"/>
    <w:rsid w:val="006650D7"/>
    <w:rsid w:val="00665467"/>
    <w:rsid w:val="00665870"/>
    <w:rsid w:val="0066643D"/>
    <w:rsid w:val="006703DB"/>
    <w:rsid w:val="006711EB"/>
    <w:rsid w:val="00672BB8"/>
    <w:rsid w:val="00673F8A"/>
    <w:rsid w:val="00687674"/>
    <w:rsid w:val="00697F68"/>
    <w:rsid w:val="006A16B4"/>
    <w:rsid w:val="006A2207"/>
    <w:rsid w:val="006A29A4"/>
    <w:rsid w:val="006A77B6"/>
    <w:rsid w:val="006A7F85"/>
    <w:rsid w:val="006B03E7"/>
    <w:rsid w:val="006B4106"/>
    <w:rsid w:val="006B5062"/>
    <w:rsid w:val="006B5B7B"/>
    <w:rsid w:val="006B7A8A"/>
    <w:rsid w:val="006C2F67"/>
    <w:rsid w:val="006C5608"/>
    <w:rsid w:val="006C6C54"/>
    <w:rsid w:val="006C7F9E"/>
    <w:rsid w:val="006D0BA0"/>
    <w:rsid w:val="006D67CE"/>
    <w:rsid w:val="006D7C7A"/>
    <w:rsid w:val="006E3FD6"/>
    <w:rsid w:val="006E6FE3"/>
    <w:rsid w:val="006E73A1"/>
    <w:rsid w:val="006F08B3"/>
    <w:rsid w:val="006F209B"/>
    <w:rsid w:val="006F32C3"/>
    <w:rsid w:val="006F71F2"/>
    <w:rsid w:val="006F795D"/>
    <w:rsid w:val="007001C6"/>
    <w:rsid w:val="007001EB"/>
    <w:rsid w:val="00703F63"/>
    <w:rsid w:val="00705DAE"/>
    <w:rsid w:val="00706AF4"/>
    <w:rsid w:val="00707C96"/>
    <w:rsid w:val="00712005"/>
    <w:rsid w:val="007127EC"/>
    <w:rsid w:val="00714187"/>
    <w:rsid w:val="007142BA"/>
    <w:rsid w:val="007146A2"/>
    <w:rsid w:val="00715D15"/>
    <w:rsid w:val="00717A81"/>
    <w:rsid w:val="007223C0"/>
    <w:rsid w:val="00722504"/>
    <w:rsid w:val="007231BA"/>
    <w:rsid w:val="00731127"/>
    <w:rsid w:val="00732522"/>
    <w:rsid w:val="007326A3"/>
    <w:rsid w:val="00733242"/>
    <w:rsid w:val="007337E2"/>
    <w:rsid w:val="00735DA7"/>
    <w:rsid w:val="00740370"/>
    <w:rsid w:val="007406C2"/>
    <w:rsid w:val="007432C9"/>
    <w:rsid w:val="007456F0"/>
    <w:rsid w:val="0075015C"/>
    <w:rsid w:val="00752DDF"/>
    <w:rsid w:val="0075309F"/>
    <w:rsid w:val="007538DC"/>
    <w:rsid w:val="00754C2B"/>
    <w:rsid w:val="00760E3D"/>
    <w:rsid w:val="0076129B"/>
    <w:rsid w:val="007634D1"/>
    <w:rsid w:val="00764161"/>
    <w:rsid w:val="0076516F"/>
    <w:rsid w:val="00765707"/>
    <w:rsid w:val="00771831"/>
    <w:rsid w:val="00773BFC"/>
    <w:rsid w:val="00777CB0"/>
    <w:rsid w:val="007814EE"/>
    <w:rsid w:val="00785A00"/>
    <w:rsid w:val="007873D4"/>
    <w:rsid w:val="00787F42"/>
    <w:rsid w:val="007900B0"/>
    <w:rsid w:val="00790740"/>
    <w:rsid w:val="00790906"/>
    <w:rsid w:val="00791AF4"/>
    <w:rsid w:val="007951F2"/>
    <w:rsid w:val="00796980"/>
    <w:rsid w:val="00796B73"/>
    <w:rsid w:val="00797ED8"/>
    <w:rsid w:val="007A0953"/>
    <w:rsid w:val="007A0B6F"/>
    <w:rsid w:val="007A0E88"/>
    <w:rsid w:val="007A1C63"/>
    <w:rsid w:val="007A2FD6"/>
    <w:rsid w:val="007A5065"/>
    <w:rsid w:val="007A6A8A"/>
    <w:rsid w:val="007B1B67"/>
    <w:rsid w:val="007B20F8"/>
    <w:rsid w:val="007B2A3D"/>
    <w:rsid w:val="007B3492"/>
    <w:rsid w:val="007B4231"/>
    <w:rsid w:val="007B51B0"/>
    <w:rsid w:val="007B54CD"/>
    <w:rsid w:val="007B67E9"/>
    <w:rsid w:val="007B76D6"/>
    <w:rsid w:val="007B7786"/>
    <w:rsid w:val="007C04DC"/>
    <w:rsid w:val="007C38F7"/>
    <w:rsid w:val="007C3BB4"/>
    <w:rsid w:val="007C3CC9"/>
    <w:rsid w:val="007C4DE2"/>
    <w:rsid w:val="007C5329"/>
    <w:rsid w:val="007C63B8"/>
    <w:rsid w:val="007D677A"/>
    <w:rsid w:val="007D7FAF"/>
    <w:rsid w:val="007E08EC"/>
    <w:rsid w:val="007E150D"/>
    <w:rsid w:val="007E4308"/>
    <w:rsid w:val="007E614B"/>
    <w:rsid w:val="007E76A0"/>
    <w:rsid w:val="007F02B8"/>
    <w:rsid w:val="007F1603"/>
    <w:rsid w:val="007F4A36"/>
    <w:rsid w:val="007F4B1D"/>
    <w:rsid w:val="007F5517"/>
    <w:rsid w:val="00800A37"/>
    <w:rsid w:val="00801841"/>
    <w:rsid w:val="008018DF"/>
    <w:rsid w:val="0080286B"/>
    <w:rsid w:val="00805CD0"/>
    <w:rsid w:val="008068C0"/>
    <w:rsid w:val="00807223"/>
    <w:rsid w:val="0081140A"/>
    <w:rsid w:val="00811678"/>
    <w:rsid w:val="008163D5"/>
    <w:rsid w:val="00816D90"/>
    <w:rsid w:val="008319A3"/>
    <w:rsid w:val="00832DC6"/>
    <w:rsid w:val="00833A69"/>
    <w:rsid w:val="008342C2"/>
    <w:rsid w:val="00834F0F"/>
    <w:rsid w:val="00834F39"/>
    <w:rsid w:val="008359E4"/>
    <w:rsid w:val="008377B2"/>
    <w:rsid w:val="00840B3F"/>
    <w:rsid w:val="00841E29"/>
    <w:rsid w:val="00843F80"/>
    <w:rsid w:val="00851F44"/>
    <w:rsid w:val="008526E2"/>
    <w:rsid w:val="00854D4D"/>
    <w:rsid w:val="00862DF3"/>
    <w:rsid w:val="00862EB4"/>
    <w:rsid w:val="0086551B"/>
    <w:rsid w:val="00871525"/>
    <w:rsid w:val="00872A3D"/>
    <w:rsid w:val="008754D9"/>
    <w:rsid w:val="008766FA"/>
    <w:rsid w:val="00882746"/>
    <w:rsid w:val="008828FB"/>
    <w:rsid w:val="00885B82"/>
    <w:rsid w:val="00886A32"/>
    <w:rsid w:val="0089166E"/>
    <w:rsid w:val="00892F28"/>
    <w:rsid w:val="008937CD"/>
    <w:rsid w:val="008962E9"/>
    <w:rsid w:val="008A2610"/>
    <w:rsid w:val="008A31D8"/>
    <w:rsid w:val="008A5902"/>
    <w:rsid w:val="008B02A1"/>
    <w:rsid w:val="008B4FD9"/>
    <w:rsid w:val="008C1581"/>
    <w:rsid w:val="008C58EB"/>
    <w:rsid w:val="008C59B7"/>
    <w:rsid w:val="008C75F9"/>
    <w:rsid w:val="008C77C0"/>
    <w:rsid w:val="008D069D"/>
    <w:rsid w:val="008D1808"/>
    <w:rsid w:val="008D3C78"/>
    <w:rsid w:val="008D7290"/>
    <w:rsid w:val="008E094F"/>
    <w:rsid w:val="008E2B26"/>
    <w:rsid w:val="008E2E46"/>
    <w:rsid w:val="008E2E51"/>
    <w:rsid w:val="008E3A3C"/>
    <w:rsid w:val="008E3C41"/>
    <w:rsid w:val="008F0AB2"/>
    <w:rsid w:val="008F102D"/>
    <w:rsid w:val="008F3B23"/>
    <w:rsid w:val="008F799F"/>
    <w:rsid w:val="008F7D7B"/>
    <w:rsid w:val="00900BDD"/>
    <w:rsid w:val="00900EA3"/>
    <w:rsid w:val="00904943"/>
    <w:rsid w:val="00906D11"/>
    <w:rsid w:val="009137F7"/>
    <w:rsid w:val="0091403C"/>
    <w:rsid w:val="00915395"/>
    <w:rsid w:val="00916171"/>
    <w:rsid w:val="00922232"/>
    <w:rsid w:val="00926A5D"/>
    <w:rsid w:val="00927637"/>
    <w:rsid w:val="00932AD7"/>
    <w:rsid w:val="009341E8"/>
    <w:rsid w:val="0094081A"/>
    <w:rsid w:val="00941822"/>
    <w:rsid w:val="00941B2B"/>
    <w:rsid w:val="009436CE"/>
    <w:rsid w:val="009478AC"/>
    <w:rsid w:val="00951E43"/>
    <w:rsid w:val="0095588D"/>
    <w:rsid w:val="00956CCC"/>
    <w:rsid w:val="00957626"/>
    <w:rsid w:val="00960AB1"/>
    <w:rsid w:val="00960F6C"/>
    <w:rsid w:val="009611BF"/>
    <w:rsid w:val="00961516"/>
    <w:rsid w:val="00961B37"/>
    <w:rsid w:val="00964908"/>
    <w:rsid w:val="00970399"/>
    <w:rsid w:val="00970AE2"/>
    <w:rsid w:val="00976148"/>
    <w:rsid w:val="00980170"/>
    <w:rsid w:val="00983E80"/>
    <w:rsid w:val="00984C99"/>
    <w:rsid w:val="00986440"/>
    <w:rsid w:val="00990622"/>
    <w:rsid w:val="00992C99"/>
    <w:rsid w:val="0099429F"/>
    <w:rsid w:val="009959FC"/>
    <w:rsid w:val="009A0094"/>
    <w:rsid w:val="009A11BC"/>
    <w:rsid w:val="009A2C9A"/>
    <w:rsid w:val="009A3938"/>
    <w:rsid w:val="009A510C"/>
    <w:rsid w:val="009B0AAE"/>
    <w:rsid w:val="009B64C5"/>
    <w:rsid w:val="009B6785"/>
    <w:rsid w:val="009C03E4"/>
    <w:rsid w:val="009C33C2"/>
    <w:rsid w:val="009C6E95"/>
    <w:rsid w:val="009D2949"/>
    <w:rsid w:val="009D6D83"/>
    <w:rsid w:val="009E01C7"/>
    <w:rsid w:val="009F1078"/>
    <w:rsid w:val="009F19FF"/>
    <w:rsid w:val="009F695D"/>
    <w:rsid w:val="00A00584"/>
    <w:rsid w:val="00A0140C"/>
    <w:rsid w:val="00A019A5"/>
    <w:rsid w:val="00A04EAC"/>
    <w:rsid w:val="00A118B7"/>
    <w:rsid w:val="00A11FFE"/>
    <w:rsid w:val="00A12C27"/>
    <w:rsid w:val="00A13BA7"/>
    <w:rsid w:val="00A15814"/>
    <w:rsid w:val="00A1678D"/>
    <w:rsid w:val="00A16C86"/>
    <w:rsid w:val="00A243B4"/>
    <w:rsid w:val="00A2473E"/>
    <w:rsid w:val="00A24CC2"/>
    <w:rsid w:val="00A2564E"/>
    <w:rsid w:val="00A32597"/>
    <w:rsid w:val="00A33F04"/>
    <w:rsid w:val="00A36325"/>
    <w:rsid w:val="00A37F64"/>
    <w:rsid w:val="00A41DCE"/>
    <w:rsid w:val="00A431FE"/>
    <w:rsid w:val="00A43A18"/>
    <w:rsid w:val="00A57433"/>
    <w:rsid w:val="00A62177"/>
    <w:rsid w:val="00A623A3"/>
    <w:rsid w:val="00A632D2"/>
    <w:rsid w:val="00A63BCF"/>
    <w:rsid w:val="00A652F2"/>
    <w:rsid w:val="00A66772"/>
    <w:rsid w:val="00A66DE1"/>
    <w:rsid w:val="00A7107D"/>
    <w:rsid w:val="00A7144A"/>
    <w:rsid w:val="00A73A0A"/>
    <w:rsid w:val="00A75BF6"/>
    <w:rsid w:val="00A769F9"/>
    <w:rsid w:val="00A81572"/>
    <w:rsid w:val="00A8396E"/>
    <w:rsid w:val="00AA040B"/>
    <w:rsid w:val="00AA075B"/>
    <w:rsid w:val="00AA0B90"/>
    <w:rsid w:val="00AB245D"/>
    <w:rsid w:val="00AB27BC"/>
    <w:rsid w:val="00AB30E2"/>
    <w:rsid w:val="00AB5357"/>
    <w:rsid w:val="00AB57E8"/>
    <w:rsid w:val="00AC0A68"/>
    <w:rsid w:val="00AC1EBF"/>
    <w:rsid w:val="00AC30EF"/>
    <w:rsid w:val="00AC4412"/>
    <w:rsid w:val="00AC5EC4"/>
    <w:rsid w:val="00AC7A0B"/>
    <w:rsid w:val="00AD14A4"/>
    <w:rsid w:val="00AD3844"/>
    <w:rsid w:val="00AD685B"/>
    <w:rsid w:val="00AD6A42"/>
    <w:rsid w:val="00AE1B07"/>
    <w:rsid w:val="00AE61BE"/>
    <w:rsid w:val="00AE6DB9"/>
    <w:rsid w:val="00AF0332"/>
    <w:rsid w:val="00AF1418"/>
    <w:rsid w:val="00AF3033"/>
    <w:rsid w:val="00AF3951"/>
    <w:rsid w:val="00AF5A5E"/>
    <w:rsid w:val="00B06D7C"/>
    <w:rsid w:val="00B1127A"/>
    <w:rsid w:val="00B128AF"/>
    <w:rsid w:val="00B12CEA"/>
    <w:rsid w:val="00B17D47"/>
    <w:rsid w:val="00B23B0C"/>
    <w:rsid w:val="00B26044"/>
    <w:rsid w:val="00B27188"/>
    <w:rsid w:val="00B27FCA"/>
    <w:rsid w:val="00B34BE9"/>
    <w:rsid w:val="00B35709"/>
    <w:rsid w:val="00B36B42"/>
    <w:rsid w:val="00B37249"/>
    <w:rsid w:val="00B40320"/>
    <w:rsid w:val="00B43BCB"/>
    <w:rsid w:val="00B45A8F"/>
    <w:rsid w:val="00B51A31"/>
    <w:rsid w:val="00B52E84"/>
    <w:rsid w:val="00B53904"/>
    <w:rsid w:val="00B53C8F"/>
    <w:rsid w:val="00B542C7"/>
    <w:rsid w:val="00B54ABC"/>
    <w:rsid w:val="00B5568D"/>
    <w:rsid w:val="00B560EF"/>
    <w:rsid w:val="00B57AB0"/>
    <w:rsid w:val="00B60AE3"/>
    <w:rsid w:val="00B611A8"/>
    <w:rsid w:val="00B62E60"/>
    <w:rsid w:val="00B62E75"/>
    <w:rsid w:val="00B70590"/>
    <w:rsid w:val="00B705D7"/>
    <w:rsid w:val="00B71AF5"/>
    <w:rsid w:val="00B76D06"/>
    <w:rsid w:val="00B77E2E"/>
    <w:rsid w:val="00B81832"/>
    <w:rsid w:val="00B8184B"/>
    <w:rsid w:val="00B8381D"/>
    <w:rsid w:val="00B87A24"/>
    <w:rsid w:val="00B90BB2"/>
    <w:rsid w:val="00B910A3"/>
    <w:rsid w:val="00B9603F"/>
    <w:rsid w:val="00BA4637"/>
    <w:rsid w:val="00BA49A5"/>
    <w:rsid w:val="00BA4E07"/>
    <w:rsid w:val="00BA5455"/>
    <w:rsid w:val="00BB04E3"/>
    <w:rsid w:val="00BB1506"/>
    <w:rsid w:val="00BB1AD4"/>
    <w:rsid w:val="00BB6E95"/>
    <w:rsid w:val="00BC107C"/>
    <w:rsid w:val="00BC1A46"/>
    <w:rsid w:val="00BC2299"/>
    <w:rsid w:val="00BC3586"/>
    <w:rsid w:val="00BC7153"/>
    <w:rsid w:val="00BC7FFE"/>
    <w:rsid w:val="00BD0F24"/>
    <w:rsid w:val="00BD709A"/>
    <w:rsid w:val="00BE04D2"/>
    <w:rsid w:val="00BE1D1E"/>
    <w:rsid w:val="00BE2868"/>
    <w:rsid w:val="00BF4442"/>
    <w:rsid w:val="00BF51C2"/>
    <w:rsid w:val="00BF536F"/>
    <w:rsid w:val="00C005CF"/>
    <w:rsid w:val="00C0770F"/>
    <w:rsid w:val="00C10D3A"/>
    <w:rsid w:val="00C10E7D"/>
    <w:rsid w:val="00C119BE"/>
    <w:rsid w:val="00C12153"/>
    <w:rsid w:val="00C13568"/>
    <w:rsid w:val="00C14BFD"/>
    <w:rsid w:val="00C24D52"/>
    <w:rsid w:val="00C257D7"/>
    <w:rsid w:val="00C266DD"/>
    <w:rsid w:val="00C3117B"/>
    <w:rsid w:val="00C31D08"/>
    <w:rsid w:val="00C34E38"/>
    <w:rsid w:val="00C364B1"/>
    <w:rsid w:val="00C405BF"/>
    <w:rsid w:val="00C432AB"/>
    <w:rsid w:val="00C439A4"/>
    <w:rsid w:val="00C43B8A"/>
    <w:rsid w:val="00C45943"/>
    <w:rsid w:val="00C462A2"/>
    <w:rsid w:val="00C544CE"/>
    <w:rsid w:val="00C57347"/>
    <w:rsid w:val="00C63997"/>
    <w:rsid w:val="00C720AA"/>
    <w:rsid w:val="00C77510"/>
    <w:rsid w:val="00C77EA7"/>
    <w:rsid w:val="00C80EB0"/>
    <w:rsid w:val="00C82AC0"/>
    <w:rsid w:val="00C82F02"/>
    <w:rsid w:val="00C8395F"/>
    <w:rsid w:val="00C8524D"/>
    <w:rsid w:val="00C864CA"/>
    <w:rsid w:val="00C9227D"/>
    <w:rsid w:val="00C95981"/>
    <w:rsid w:val="00CA07B3"/>
    <w:rsid w:val="00CA33F1"/>
    <w:rsid w:val="00CA50F2"/>
    <w:rsid w:val="00CA58CA"/>
    <w:rsid w:val="00CA7EF2"/>
    <w:rsid w:val="00CB23AA"/>
    <w:rsid w:val="00CB4234"/>
    <w:rsid w:val="00CB5B2D"/>
    <w:rsid w:val="00CB695D"/>
    <w:rsid w:val="00CC3790"/>
    <w:rsid w:val="00CC37AC"/>
    <w:rsid w:val="00CC5F8C"/>
    <w:rsid w:val="00CC793A"/>
    <w:rsid w:val="00CD1139"/>
    <w:rsid w:val="00CD2549"/>
    <w:rsid w:val="00CD30AB"/>
    <w:rsid w:val="00CD3A05"/>
    <w:rsid w:val="00CD564D"/>
    <w:rsid w:val="00CD637C"/>
    <w:rsid w:val="00CD6604"/>
    <w:rsid w:val="00CD6B1E"/>
    <w:rsid w:val="00CE5ABE"/>
    <w:rsid w:val="00CE764B"/>
    <w:rsid w:val="00CF1370"/>
    <w:rsid w:val="00CF29BE"/>
    <w:rsid w:val="00CF5367"/>
    <w:rsid w:val="00D024E6"/>
    <w:rsid w:val="00D05DF7"/>
    <w:rsid w:val="00D1054C"/>
    <w:rsid w:val="00D10EA2"/>
    <w:rsid w:val="00D12269"/>
    <w:rsid w:val="00D13A95"/>
    <w:rsid w:val="00D14149"/>
    <w:rsid w:val="00D14197"/>
    <w:rsid w:val="00D171E4"/>
    <w:rsid w:val="00D17BE8"/>
    <w:rsid w:val="00D17F22"/>
    <w:rsid w:val="00D2278F"/>
    <w:rsid w:val="00D25CA1"/>
    <w:rsid w:val="00D32983"/>
    <w:rsid w:val="00D33221"/>
    <w:rsid w:val="00D40D81"/>
    <w:rsid w:val="00D45652"/>
    <w:rsid w:val="00D47F2A"/>
    <w:rsid w:val="00D51E5B"/>
    <w:rsid w:val="00D53B24"/>
    <w:rsid w:val="00D53B3E"/>
    <w:rsid w:val="00D53F52"/>
    <w:rsid w:val="00D56869"/>
    <w:rsid w:val="00D619AE"/>
    <w:rsid w:val="00D62588"/>
    <w:rsid w:val="00D67A81"/>
    <w:rsid w:val="00D700C2"/>
    <w:rsid w:val="00D743A9"/>
    <w:rsid w:val="00D74CD2"/>
    <w:rsid w:val="00D74D0C"/>
    <w:rsid w:val="00D82456"/>
    <w:rsid w:val="00D86417"/>
    <w:rsid w:val="00D9335C"/>
    <w:rsid w:val="00D93862"/>
    <w:rsid w:val="00D94532"/>
    <w:rsid w:val="00D95377"/>
    <w:rsid w:val="00D96D80"/>
    <w:rsid w:val="00D97A6A"/>
    <w:rsid w:val="00DA2ADE"/>
    <w:rsid w:val="00DA2CC5"/>
    <w:rsid w:val="00DA5BA7"/>
    <w:rsid w:val="00DA6C16"/>
    <w:rsid w:val="00DB1A19"/>
    <w:rsid w:val="00DB29F3"/>
    <w:rsid w:val="00DB5975"/>
    <w:rsid w:val="00DB61C1"/>
    <w:rsid w:val="00DC0ACA"/>
    <w:rsid w:val="00DD0366"/>
    <w:rsid w:val="00DD2EA1"/>
    <w:rsid w:val="00DE0574"/>
    <w:rsid w:val="00DE0B21"/>
    <w:rsid w:val="00DE4751"/>
    <w:rsid w:val="00DF49E9"/>
    <w:rsid w:val="00E031E3"/>
    <w:rsid w:val="00E0359B"/>
    <w:rsid w:val="00E03639"/>
    <w:rsid w:val="00E044B9"/>
    <w:rsid w:val="00E04E34"/>
    <w:rsid w:val="00E079C1"/>
    <w:rsid w:val="00E11090"/>
    <w:rsid w:val="00E142D1"/>
    <w:rsid w:val="00E1483F"/>
    <w:rsid w:val="00E16FAC"/>
    <w:rsid w:val="00E273E0"/>
    <w:rsid w:val="00E276C6"/>
    <w:rsid w:val="00E27986"/>
    <w:rsid w:val="00E3083A"/>
    <w:rsid w:val="00E3309B"/>
    <w:rsid w:val="00E334DC"/>
    <w:rsid w:val="00E352B2"/>
    <w:rsid w:val="00E36ABA"/>
    <w:rsid w:val="00E36B5C"/>
    <w:rsid w:val="00E37D4E"/>
    <w:rsid w:val="00E45E49"/>
    <w:rsid w:val="00E46DE4"/>
    <w:rsid w:val="00E50A9D"/>
    <w:rsid w:val="00E53AD4"/>
    <w:rsid w:val="00E55FA3"/>
    <w:rsid w:val="00E56CAC"/>
    <w:rsid w:val="00E614BD"/>
    <w:rsid w:val="00E619E2"/>
    <w:rsid w:val="00E6204F"/>
    <w:rsid w:val="00E66420"/>
    <w:rsid w:val="00E70174"/>
    <w:rsid w:val="00E707A8"/>
    <w:rsid w:val="00E70AE4"/>
    <w:rsid w:val="00E736FB"/>
    <w:rsid w:val="00E80DF3"/>
    <w:rsid w:val="00E81B77"/>
    <w:rsid w:val="00E8454A"/>
    <w:rsid w:val="00E862D6"/>
    <w:rsid w:val="00E91C05"/>
    <w:rsid w:val="00E9212A"/>
    <w:rsid w:val="00E9261C"/>
    <w:rsid w:val="00E927B7"/>
    <w:rsid w:val="00E943B6"/>
    <w:rsid w:val="00E94CCB"/>
    <w:rsid w:val="00E96074"/>
    <w:rsid w:val="00E967A8"/>
    <w:rsid w:val="00E976C6"/>
    <w:rsid w:val="00E97C7C"/>
    <w:rsid w:val="00EA2C94"/>
    <w:rsid w:val="00EA5954"/>
    <w:rsid w:val="00EB30D5"/>
    <w:rsid w:val="00EB347E"/>
    <w:rsid w:val="00EB76AA"/>
    <w:rsid w:val="00EC19A1"/>
    <w:rsid w:val="00EC3361"/>
    <w:rsid w:val="00EC772D"/>
    <w:rsid w:val="00EC7A0C"/>
    <w:rsid w:val="00ED051D"/>
    <w:rsid w:val="00ED4EDE"/>
    <w:rsid w:val="00ED68C5"/>
    <w:rsid w:val="00EE21E6"/>
    <w:rsid w:val="00EE36A0"/>
    <w:rsid w:val="00EE50FE"/>
    <w:rsid w:val="00EE5118"/>
    <w:rsid w:val="00EE7A64"/>
    <w:rsid w:val="00EF22DE"/>
    <w:rsid w:val="00EF57DE"/>
    <w:rsid w:val="00EF5B2C"/>
    <w:rsid w:val="00F00DAC"/>
    <w:rsid w:val="00F010A7"/>
    <w:rsid w:val="00F01236"/>
    <w:rsid w:val="00F02333"/>
    <w:rsid w:val="00F04640"/>
    <w:rsid w:val="00F04B53"/>
    <w:rsid w:val="00F05F98"/>
    <w:rsid w:val="00F06457"/>
    <w:rsid w:val="00F11A3C"/>
    <w:rsid w:val="00F12732"/>
    <w:rsid w:val="00F128D0"/>
    <w:rsid w:val="00F1529A"/>
    <w:rsid w:val="00F17C6C"/>
    <w:rsid w:val="00F228E6"/>
    <w:rsid w:val="00F24F96"/>
    <w:rsid w:val="00F26682"/>
    <w:rsid w:val="00F27225"/>
    <w:rsid w:val="00F33B0B"/>
    <w:rsid w:val="00F40CE3"/>
    <w:rsid w:val="00F43C98"/>
    <w:rsid w:val="00F441F1"/>
    <w:rsid w:val="00F4462D"/>
    <w:rsid w:val="00F459DC"/>
    <w:rsid w:val="00F46C4E"/>
    <w:rsid w:val="00F548B6"/>
    <w:rsid w:val="00F54B7E"/>
    <w:rsid w:val="00F553B8"/>
    <w:rsid w:val="00F60005"/>
    <w:rsid w:val="00F60BEE"/>
    <w:rsid w:val="00F61C0E"/>
    <w:rsid w:val="00F65C67"/>
    <w:rsid w:val="00F74DDE"/>
    <w:rsid w:val="00F75885"/>
    <w:rsid w:val="00F80E83"/>
    <w:rsid w:val="00F8181D"/>
    <w:rsid w:val="00F90F8E"/>
    <w:rsid w:val="00F92ACB"/>
    <w:rsid w:val="00F92FEB"/>
    <w:rsid w:val="00F96653"/>
    <w:rsid w:val="00F9792B"/>
    <w:rsid w:val="00FA718F"/>
    <w:rsid w:val="00FA73C6"/>
    <w:rsid w:val="00FA7B16"/>
    <w:rsid w:val="00FB0398"/>
    <w:rsid w:val="00FB234C"/>
    <w:rsid w:val="00FB3CC6"/>
    <w:rsid w:val="00FB6098"/>
    <w:rsid w:val="00FC27F0"/>
    <w:rsid w:val="00FC3791"/>
    <w:rsid w:val="00FC53A0"/>
    <w:rsid w:val="00FC6B7F"/>
    <w:rsid w:val="00FC7E0D"/>
    <w:rsid w:val="00FC7EDD"/>
    <w:rsid w:val="00FD1210"/>
    <w:rsid w:val="00FD1477"/>
    <w:rsid w:val="00FD2393"/>
    <w:rsid w:val="00FD2FD6"/>
    <w:rsid w:val="00FD4AD8"/>
    <w:rsid w:val="00FD73C9"/>
    <w:rsid w:val="00FE0040"/>
    <w:rsid w:val="00FE0205"/>
    <w:rsid w:val="00FE0273"/>
    <w:rsid w:val="00FE04C7"/>
    <w:rsid w:val="00FE2198"/>
    <w:rsid w:val="00FE31A7"/>
    <w:rsid w:val="00FE5557"/>
    <w:rsid w:val="00FE6023"/>
    <w:rsid w:val="00FE6D4C"/>
    <w:rsid w:val="00FF0C9C"/>
    <w:rsid w:val="00FF4915"/>
    <w:rsid w:val="00FF5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AD448"/>
  <w15:docId w15:val="{579F78F3-F20A-4CA9-B082-88DE7C62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3C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C33C2"/>
  </w:style>
  <w:style w:type="paragraph" w:styleId="Header">
    <w:name w:val="header"/>
    <w:basedOn w:val="Normal"/>
    <w:rsid w:val="001441A2"/>
    <w:pPr>
      <w:tabs>
        <w:tab w:val="center" w:pos="4320"/>
        <w:tab w:val="right" w:pos="8640"/>
      </w:tabs>
    </w:pPr>
  </w:style>
  <w:style w:type="paragraph" w:styleId="Footer">
    <w:name w:val="footer"/>
    <w:basedOn w:val="Normal"/>
    <w:link w:val="FooterChar"/>
    <w:uiPriority w:val="99"/>
    <w:rsid w:val="001441A2"/>
    <w:pPr>
      <w:tabs>
        <w:tab w:val="center" w:pos="4320"/>
        <w:tab w:val="right" w:pos="8640"/>
      </w:tabs>
    </w:pPr>
  </w:style>
  <w:style w:type="character" w:styleId="CommentReference">
    <w:name w:val="annotation reference"/>
    <w:semiHidden/>
    <w:rsid w:val="00A57433"/>
    <w:rPr>
      <w:sz w:val="16"/>
      <w:szCs w:val="16"/>
    </w:rPr>
  </w:style>
  <w:style w:type="paragraph" w:styleId="CommentText">
    <w:name w:val="annotation text"/>
    <w:basedOn w:val="Normal"/>
    <w:link w:val="CommentTextChar"/>
    <w:semiHidden/>
    <w:rsid w:val="00A57433"/>
    <w:rPr>
      <w:sz w:val="20"/>
      <w:szCs w:val="20"/>
    </w:rPr>
  </w:style>
  <w:style w:type="paragraph" w:styleId="BalloonText">
    <w:name w:val="Balloon Text"/>
    <w:basedOn w:val="Normal"/>
    <w:semiHidden/>
    <w:rsid w:val="00A57433"/>
    <w:rPr>
      <w:rFonts w:ascii="Tahoma" w:hAnsi="Tahoma" w:cs="Tahoma"/>
      <w:sz w:val="16"/>
      <w:szCs w:val="16"/>
    </w:rPr>
  </w:style>
  <w:style w:type="table" w:styleId="TableGrid">
    <w:name w:val="Table Grid"/>
    <w:basedOn w:val="TableNormal"/>
    <w:rsid w:val="00443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A50F2"/>
    <w:rPr>
      <w:sz w:val="20"/>
      <w:szCs w:val="20"/>
    </w:rPr>
  </w:style>
  <w:style w:type="character" w:customStyle="1" w:styleId="FooterChar">
    <w:name w:val="Footer Char"/>
    <w:link w:val="Footer"/>
    <w:uiPriority w:val="99"/>
    <w:rsid w:val="000459CE"/>
    <w:rPr>
      <w:sz w:val="24"/>
      <w:szCs w:val="24"/>
    </w:rPr>
  </w:style>
  <w:style w:type="paragraph" w:styleId="EndnoteText">
    <w:name w:val="endnote text"/>
    <w:basedOn w:val="Normal"/>
    <w:link w:val="EndnoteTextChar"/>
    <w:rsid w:val="003518BE"/>
    <w:rPr>
      <w:sz w:val="20"/>
      <w:szCs w:val="20"/>
    </w:rPr>
  </w:style>
  <w:style w:type="character" w:customStyle="1" w:styleId="EndnoteTextChar">
    <w:name w:val="Endnote Text Char"/>
    <w:basedOn w:val="DefaultParagraphFont"/>
    <w:link w:val="EndnoteText"/>
    <w:rsid w:val="003518BE"/>
  </w:style>
  <w:style w:type="character" w:styleId="EndnoteReference">
    <w:name w:val="endnote reference"/>
    <w:rsid w:val="003518BE"/>
    <w:rPr>
      <w:vertAlign w:val="superscript"/>
    </w:rPr>
  </w:style>
  <w:style w:type="paragraph" w:styleId="CommentSubject">
    <w:name w:val="annotation subject"/>
    <w:basedOn w:val="CommentText"/>
    <w:next w:val="CommentText"/>
    <w:link w:val="CommentSubjectChar"/>
    <w:rsid w:val="00DF49E9"/>
    <w:rPr>
      <w:b/>
      <w:bCs/>
    </w:rPr>
  </w:style>
  <w:style w:type="character" w:customStyle="1" w:styleId="CommentTextChar">
    <w:name w:val="Comment Text Char"/>
    <w:basedOn w:val="DefaultParagraphFont"/>
    <w:link w:val="CommentText"/>
    <w:semiHidden/>
    <w:rsid w:val="00DF49E9"/>
  </w:style>
  <w:style w:type="character" w:customStyle="1" w:styleId="CommentSubjectChar">
    <w:name w:val="Comment Subject Char"/>
    <w:link w:val="CommentSubject"/>
    <w:rsid w:val="00DF49E9"/>
    <w:rPr>
      <w:b/>
      <w:bCs/>
    </w:rPr>
  </w:style>
  <w:style w:type="paragraph" w:styleId="ListBullet">
    <w:name w:val="List Bullet"/>
    <w:basedOn w:val="Normal"/>
    <w:rsid w:val="00986440"/>
    <w:pPr>
      <w:numPr>
        <w:numId w:val="9"/>
      </w:numPr>
      <w:contextualSpacing/>
    </w:pPr>
  </w:style>
  <w:style w:type="paragraph" w:styleId="ListParagraph">
    <w:name w:val="List Paragraph"/>
    <w:basedOn w:val="Normal"/>
    <w:uiPriority w:val="34"/>
    <w:qFormat/>
    <w:rsid w:val="00353FF1"/>
    <w:pPr>
      <w:ind w:left="720"/>
      <w:contextualSpacing/>
    </w:pPr>
  </w:style>
  <w:style w:type="paragraph" w:styleId="Revision">
    <w:name w:val="Revision"/>
    <w:hidden/>
    <w:uiPriority w:val="99"/>
    <w:semiHidden/>
    <w:rsid w:val="000F1E4F"/>
    <w:rPr>
      <w:sz w:val="24"/>
      <w:szCs w:val="24"/>
    </w:rPr>
  </w:style>
  <w:style w:type="paragraph" w:styleId="BodyText">
    <w:name w:val="Body Text"/>
    <w:basedOn w:val="Normal"/>
    <w:link w:val="BodyTextChar"/>
    <w:uiPriority w:val="1"/>
    <w:qFormat/>
    <w:rsid w:val="00B37249"/>
    <w:pPr>
      <w:autoSpaceDE/>
      <w:autoSpaceDN/>
      <w:adjustRightInd/>
      <w:ind w:left="1160"/>
    </w:pPr>
    <w:rPr>
      <w:rFonts w:ascii="Arial" w:eastAsia="Arial" w:hAnsi="Arial" w:cstheme="minorBidi"/>
      <w:sz w:val="22"/>
      <w:szCs w:val="22"/>
    </w:rPr>
  </w:style>
  <w:style w:type="character" w:customStyle="1" w:styleId="BodyTextChar">
    <w:name w:val="Body Text Char"/>
    <w:basedOn w:val="DefaultParagraphFont"/>
    <w:link w:val="BodyText"/>
    <w:uiPriority w:val="1"/>
    <w:rsid w:val="00B37249"/>
    <w:rPr>
      <w:rFonts w:ascii="Arial" w:eastAsia="Arial" w:hAnsi="Arial" w:cstheme="minorBidi"/>
      <w:sz w:val="22"/>
      <w:szCs w:val="22"/>
    </w:rPr>
  </w:style>
  <w:style w:type="character" w:styleId="Hyperlink">
    <w:name w:val="Hyperlink"/>
    <w:basedOn w:val="DefaultParagraphFont"/>
    <w:uiPriority w:val="99"/>
    <w:unhideWhenUsed/>
    <w:rsid w:val="0012621A"/>
    <w:rPr>
      <w:color w:val="0563C1" w:themeColor="hyperlink"/>
      <w:u w:val="single"/>
    </w:rPr>
  </w:style>
  <w:style w:type="table" w:customStyle="1" w:styleId="TableGrid1">
    <w:name w:val="Table Grid1"/>
    <w:basedOn w:val="TableNormal"/>
    <w:next w:val="TableGrid"/>
    <w:uiPriority w:val="59"/>
    <w:rsid w:val="008754D9"/>
    <w:rPr>
      <w:rFonts w:ascii="Arial" w:hAnsi="Arial"/>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049">
      <w:bodyDiv w:val="1"/>
      <w:marLeft w:val="0"/>
      <w:marRight w:val="0"/>
      <w:marTop w:val="0"/>
      <w:marBottom w:val="0"/>
      <w:divBdr>
        <w:top w:val="none" w:sz="0" w:space="0" w:color="auto"/>
        <w:left w:val="none" w:sz="0" w:space="0" w:color="auto"/>
        <w:bottom w:val="none" w:sz="0" w:space="0" w:color="auto"/>
        <w:right w:val="none" w:sz="0" w:space="0" w:color="auto"/>
      </w:divBdr>
    </w:div>
    <w:div w:id="10381627">
      <w:bodyDiv w:val="1"/>
      <w:marLeft w:val="0"/>
      <w:marRight w:val="0"/>
      <w:marTop w:val="0"/>
      <w:marBottom w:val="0"/>
      <w:divBdr>
        <w:top w:val="none" w:sz="0" w:space="0" w:color="auto"/>
        <w:left w:val="none" w:sz="0" w:space="0" w:color="auto"/>
        <w:bottom w:val="none" w:sz="0" w:space="0" w:color="auto"/>
        <w:right w:val="none" w:sz="0" w:space="0" w:color="auto"/>
      </w:divBdr>
    </w:div>
    <w:div w:id="13270721">
      <w:bodyDiv w:val="1"/>
      <w:marLeft w:val="0"/>
      <w:marRight w:val="0"/>
      <w:marTop w:val="0"/>
      <w:marBottom w:val="0"/>
      <w:divBdr>
        <w:top w:val="none" w:sz="0" w:space="0" w:color="auto"/>
        <w:left w:val="none" w:sz="0" w:space="0" w:color="auto"/>
        <w:bottom w:val="none" w:sz="0" w:space="0" w:color="auto"/>
        <w:right w:val="none" w:sz="0" w:space="0" w:color="auto"/>
      </w:divBdr>
    </w:div>
    <w:div w:id="66651269">
      <w:bodyDiv w:val="1"/>
      <w:marLeft w:val="0"/>
      <w:marRight w:val="0"/>
      <w:marTop w:val="0"/>
      <w:marBottom w:val="0"/>
      <w:divBdr>
        <w:top w:val="none" w:sz="0" w:space="0" w:color="auto"/>
        <w:left w:val="none" w:sz="0" w:space="0" w:color="auto"/>
        <w:bottom w:val="none" w:sz="0" w:space="0" w:color="auto"/>
        <w:right w:val="none" w:sz="0" w:space="0" w:color="auto"/>
      </w:divBdr>
    </w:div>
    <w:div w:id="90975230">
      <w:bodyDiv w:val="1"/>
      <w:marLeft w:val="0"/>
      <w:marRight w:val="0"/>
      <w:marTop w:val="0"/>
      <w:marBottom w:val="0"/>
      <w:divBdr>
        <w:top w:val="none" w:sz="0" w:space="0" w:color="auto"/>
        <w:left w:val="none" w:sz="0" w:space="0" w:color="auto"/>
        <w:bottom w:val="none" w:sz="0" w:space="0" w:color="auto"/>
        <w:right w:val="none" w:sz="0" w:space="0" w:color="auto"/>
      </w:divBdr>
    </w:div>
    <w:div w:id="104690764">
      <w:bodyDiv w:val="1"/>
      <w:marLeft w:val="0"/>
      <w:marRight w:val="0"/>
      <w:marTop w:val="0"/>
      <w:marBottom w:val="0"/>
      <w:divBdr>
        <w:top w:val="none" w:sz="0" w:space="0" w:color="auto"/>
        <w:left w:val="none" w:sz="0" w:space="0" w:color="auto"/>
        <w:bottom w:val="none" w:sz="0" w:space="0" w:color="auto"/>
        <w:right w:val="none" w:sz="0" w:space="0" w:color="auto"/>
      </w:divBdr>
    </w:div>
    <w:div w:id="119736296">
      <w:bodyDiv w:val="1"/>
      <w:marLeft w:val="0"/>
      <w:marRight w:val="0"/>
      <w:marTop w:val="0"/>
      <w:marBottom w:val="0"/>
      <w:divBdr>
        <w:top w:val="none" w:sz="0" w:space="0" w:color="auto"/>
        <w:left w:val="none" w:sz="0" w:space="0" w:color="auto"/>
        <w:bottom w:val="none" w:sz="0" w:space="0" w:color="auto"/>
        <w:right w:val="none" w:sz="0" w:space="0" w:color="auto"/>
      </w:divBdr>
    </w:div>
    <w:div w:id="174001266">
      <w:bodyDiv w:val="1"/>
      <w:marLeft w:val="0"/>
      <w:marRight w:val="0"/>
      <w:marTop w:val="0"/>
      <w:marBottom w:val="0"/>
      <w:divBdr>
        <w:top w:val="none" w:sz="0" w:space="0" w:color="auto"/>
        <w:left w:val="none" w:sz="0" w:space="0" w:color="auto"/>
        <w:bottom w:val="none" w:sz="0" w:space="0" w:color="auto"/>
        <w:right w:val="none" w:sz="0" w:space="0" w:color="auto"/>
      </w:divBdr>
    </w:div>
    <w:div w:id="240452364">
      <w:bodyDiv w:val="1"/>
      <w:marLeft w:val="0"/>
      <w:marRight w:val="0"/>
      <w:marTop w:val="0"/>
      <w:marBottom w:val="0"/>
      <w:divBdr>
        <w:top w:val="none" w:sz="0" w:space="0" w:color="auto"/>
        <w:left w:val="none" w:sz="0" w:space="0" w:color="auto"/>
        <w:bottom w:val="none" w:sz="0" w:space="0" w:color="auto"/>
        <w:right w:val="none" w:sz="0" w:space="0" w:color="auto"/>
      </w:divBdr>
    </w:div>
    <w:div w:id="289744977">
      <w:bodyDiv w:val="1"/>
      <w:marLeft w:val="0"/>
      <w:marRight w:val="0"/>
      <w:marTop w:val="0"/>
      <w:marBottom w:val="0"/>
      <w:divBdr>
        <w:top w:val="none" w:sz="0" w:space="0" w:color="auto"/>
        <w:left w:val="none" w:sz="0" w:space="0" w:color="auto"/>
        <w:bottom w:val="none" w:sz="0" w:space="0" w:color="auto"/>
        <w:right w:val="none" w:sz="0" w:space="0" w:color="auto"/>
      </w:divBdr>
    </w:div>
    <w:div w:id="301272640">
      <w:bodyDiv w:val="1"/>
      <w:marLeft w:val="0"/>
      <w:marRight w:val="0"/>
      <w:marTop w:val="0"/>
      <w:marBottom w:val="0"/>
      <w:divBdr>
        <w:top w:val="none" w:sz="0" w:space="0" w:color="auto"/>
        <w:left w:val="none" w:sz="0" w:space="0" w:color="auto"/>
        <w:bottom w:val="none" w:sz="0" w:space="0" w:color="auto"/>
        <w:right w:val="none" w:sz="0" w:space="0" w:color="auto"/>
      </w:divBdr>
    </w:div>
    <w:div w:id="445082607">
      <w:bodyDiv w:val="1"/>
      <w:marLeft w:val="0"/>
      <w:marRight w:val="0"/>
      <w:marTop w:val="0"/>
      <w:marBottom w:val="0"/>
      <w:divBdr>
        <w:top w:val="none" w:sz="0" w:space="0" w:color="auto"/>
        <w:left w:val="none" w:sz="0" w:space="0" w:color="auto"/>
        <w:bottom w:val="none" w:sz="0" w:space="0" w:color="auto"/>
        <w:right w:val="none" w:sz="0" w:space="0" w:color="auto"/>
      </w:divBdr>
    </w:div>
    <w:div w:id="455761703">
      <w:bodyDiv w:val="1"/>
      <w:marLeft w:val="0"/>
      <w:marRight w:val="0"/>
      <w:marTop w:val="0"/>
      <w:marBottom w:val="0"/>
      <w:divBdr>
        <w:top w:val="none" w:sz="0" w:space="0" w:color="auto"/>
        <w:left w:val="none" w:sz="0" w:space="0" w:color="auto"/>
        <w:bottom w:val="none" w:sz="0" w:space="0" w:color="auto"/>
        <w:right w:val="none" w:sz="0" w:space="0" w:color="auto"/>
      </w:divBdr>
    </w:div>
    <w:div w:id="465005161">
      <w:bodyDiv w:val="1"/>
      <w:marLeft w:val="0"/>
      <w:marRight w:val="0"/>
      <w:marTop w:val="0"/>
      <w:marBottom w:val="0"/>
      <w:divBdr>
        <w:top w:val="none" w:sz="0" w:space="0" w:color="auto"/>
        <w:left w:val="none" w:sz="0" w:space="0" w:color="auto"/>
        <w:bottom w:val="none" w:sz="0" w:space="0" w:color="auto"/>
        <w:right w:val="none" w:sz="0" w:space="0" w:color="auto"/>
      </w:divBdr>
    </w:div>
    <w:div w:id="480267664">
      <w:bodyDiv w:val="1"/>
      <w:marLeft w:val="0"/>
      <w:marRight w:val="0"/>
      <w:marTop w:val="0"/>
      <w:marBottom w:val="0"/>
      <w:divBdr>
        <w:top w:val="none" w:sz="0" w:space="0" w:color="auto"/>
        <w:left w:val="none" w:sz="0" w:space="0" w:color="auto"/>
        <w:bottom w:val="none" w:sz="0" w:space="0" w:color="auto"/>
        <w:right w:val="none" w:sz="0" w:space="0" w:color="auto"/>
      </w:divBdr>
    </w:div>
    <w:div w:id="620115063">
      <w:bodyDiv w:val="1"/>
      <w:marLeft w:val="0"/>
      <w:marRight w:val="0"/>
      <w:marTop w:val="0"/>
      <w:marBottom w:val="0"/>
      <w:divBdr>
        <w:top w:val="none" w:sz="0" w:space="0" w:color="auto"/>
        <w:left w:val="none" w:sz="0" w:space="0" w:color="auto"/>
        <w:bottom w:val="none" w:sz="0" w:space="0" w:color="auto"/>
        <w:right w:val="none" w:sz="0" w:space="0" w:color="auto"/>
      </w:divBdr>
    </w:div>
    <w:div w:id="628710125">
      <w:bodyDiv w:val="1"/>
      <w:marLeft w:val="0"/>
      <w:marRight w:val="0"/>
      <w:marTop w:val="0"/>
      <w:marBottom w:val="0"/>
      <w:divBdr>
        <w:top w:val="none" w:sz="0" w:space="0" w:color="auto"/>
        <w:left w:val="none" w:sz="0" w:space="0" w:color="auto"/>
        <w:bottom w:val="none" w:sz="0" w:space="0" w:color="auto"/>
        <w:right w:val="none" w:sz="0" w:space="0" w:color="auto"/>
      </w:divBdr>
    </w:div>
    <w:div w:id="631059153">
      <w:bodyDiv w:val="1"/>
      <w:marLeft w:val="0"/>
      <w:marRight w:val="0"/>
      <w:marTop w:val="0"/>
      <w:marBottom w:val="0"/>
      <w:divBdr>
        <w:top w:val="none" w:sz="0" w:space="0" w:color="auto"/>
        <w:left w:val="none" w:sz="0" w:space="0" w:color="auto"/>
        <w:bottom w:val="none" w:sz="0" w:space="0" w:color="auto"/>
        <w:right w:val="none" w:sz="0" w:space="0" w:color="auto"/>
      </w:divBdr>
    </w:div>
    <w:div w:id="642000574">
      <w:bodyDiv w:val="1"/>
      <w:marLeft w:val="0"/>
      <w:marRight w:val="0"/>
      <w:marTop w:val="0"/>
      <w:marBottom w:val="0"/>
      <w:divBdr>
        <w:top w:val="none" w:sz="0" w:space="0" w:color="auto"/>
        <w:left w:val="none" w:sz="0" w:space="0" w:color="auto"/>
        <w:bottom w:val="none" w:sz="0" w:space="0" w:color="auto"/>
        <w:right w:val="none" w:sz="0" w:space="0" w:color="auto"/>
      </w:divBdr>
    </w:div>
    <w:div w:id="680010495">
      <w:bodyDiv w:val="1"/>
      <w:marLeft w:val="0"/>
      <w:marRight w:val="0"/>
      <w:marTop w:val="0"/>
      <w:marBottom w:val="0"/>
      <w:divBdr>
        <w:top w:val="none" w:sz="0" w:space="0" w:color="auto"/>
        <w:left w:val="none" w:sz="0" w:space="0" w:color="auto"/>
        <w:bottom w:val="none" w:sz="0" w:space="0" w:color="auto"/>
        <w:right w:val="none" w:sz="0" w:space="0" w:color="auto"/>
      </w:divBdr>
    </w:div>
    <w:div w:id="792098692">
      <w:bodyDiv w:val="1"/>
      <w:marLeft w:val="0"/>
      <w:marRight w:val="0"/>
      <w:marTop w:val="0"/>
      <w:marBottom w:val="0"/>
      <w:divBdr>
        <w:top w:val="none" w:sz="0" w:space="0" w:color="auto"/>
        <w:left w:val="none" w:sz="0" w:space="0" w:color="auto"/>
        <w:bottom w:val="none" w:sz="0" w:space="0" w:color="auto"/>
        <w:right w:val="none" w:sz="0" w:space="0" w:color="auto"/>
      </w:divBdr>
    </w:div>
    <w:div w:id="861674336">
      <w:bodyDiv w:val="1"/>
      <w:marLeft w:val="0"/>
      <w:marRight w:val="0"/>
      <w:marTop w:val="0"/>
      <w:marBottom w:val="0"/>
      <w:divBdr>
        <w:top w:val="none" w:sz="0" w:space="0" w:color="auto"/>
        <w:left w:val="none" w:sz="0" w:space="0" w:color="auto"/>
        <w:bottom w:val="none" w:sz="0" w:space="0" w:color="auto"/>
        <w:right w:val="none" w:sz="0" w:space="0" w:color="auto"/>
      </w:divBdr>
    </w:div>
    <w:div w:id="881988595">
      <w:bodyDiv w:val="1"/>
      <w:marLeft w:val="0"/>
      <w:marRight w:val="0"/>
      <w:marTop w:val="0"/>
      <w:marBottom w:val="0"/>
      <w:divBdr>
        <w:top w:val="none" w:sz="0" w:space="0" w:color="auto"/>
        <w:left w:val="none" w:sz="0" w:space="0" w:color="auto"/>
        <w:bottom w:val="none" w:sz="0" w:space="0" w:color="auto"/>
        <w:right w:val="none" w:sz="0" w:space="0" w:color="auto"/>
      </w:divBdr>
    </w:div>
    <w:div w:id="895169885">
      <w:bodyDiv w:val="1"/>
      <w:marLeft w:val="0"/>
      <w:marRight w:val="0"/>
      <w:marTop w:val="0"/>
      <w:marBottom w:val="0"/>
      <w:divBdr>
        <w:top w:val="none" w:sz="0" w:space="0" w:color="auto"/>
        <w:left w:val="none" w:sz="0" w:space="0" w:color="auto"/>
        <w:bottom w:val="none" w:sz="0" w:space="0" w:color="auto"/>
        <w:right w:val="none" w:sz="0" w:space="0" w:color="auto"/>
      </w:divBdr>
    </w:div>
    <w:div w:id="1067529553">
      <w:bodyDiv w:val="1"/>
      <w:marLeft w:val="0"/>
      <w:marRight w:val="0"/>
      <w:marTop w:val="0"/>
      <w:marBottom w:val="0"/>
      <w:divBdr>
        <w:top w:val="none" w:sz="0" w:space="0" w:color="auto"/>
        <w:left w:val="none" w:sz="0" w:space="0" w:color="auto"/>
        <w:bottom w:val="none" w:sz="0" w:space="0" w:color="auto"/>
        <w:right w:val="none" w:sz="0" w:space="0" w:color="auto"/>
      </w:divBdr>
    </w:div>
    <w:div w:id="1095976062">
      <w:bodyDiv w:val="1"/>
      <w:marLeft w:val="0"/>
      <w:marRight w:val="0"/>
      <w:marTop w:val="0"/>
      <w:marBottom w:val="0"/>
      <w:divBdr>
        <w:top w:val="none" w:sz="0" w:space="0" w:color="auto"/>
        <w:left w:val="none" w:sz="0" w:space="0" w:color="auto"/>
        <w:bottom w:val="none" w:sz="0" w:space="0" w:color="auto"/>
        <w:right w:val="none" w:sz="0" w:space="0" w:color="auto"/>
      </w:divBdr>
    </w:div>
    <w:div w:id="1161385094">
      <w:bodyDiv w:val="1"/>
      <w:marLeft w:val="0"/>
      <w:marRight w:val="0"/>
      <w:marTop w:val="0"/>
      <w:marBottom w:val="0"/>
      <w:divBdr>
        <w:top w:val="none" w:sz="0" w:space="0" w:color="auto"/>
        <w:left w:val="none" w:sz="0" w:space="0" w:color="auto"/>
        <w:bottom w:val="none" w:sz="0" w:space="0" w:color="auto"/>
        <w:right w:val="none" w:sz="0" w:space="0" w:color="auto"/>
      </w:divBdr>
    </w:div>
    <w:div w:id="1324550276">
      <w:bodyDiv w:val="1"/>
      <w:marLeft w:val="0"/>
      <w:marRight w:val="0"/>
      <w:marTop w:val="0"/>
      <w:marBottom w:val="0"/>
      <w:divBdr>
        <w:top w:val="none" w:sz="0" w:space="0" w:color="auto"/>
        <w:left w:val="none" w:sz="0" w:space="0" w:color="auto"/>
        <w:bottom w:val="none" w:sz="0" w:space="0" w:color="auto"/>
        <w:right w:val="none" w:sz="0" w:space="0" w:color="auto"/>
      </w:divBdr>
    </w:div>
    <w:div w:id="1445345661">
      <w:bodyDiv w:val="1"/>
      <w:marLeft w:val="0"/>
      <w:marRight w:val="0"/>
      <w:marTop w:val="0"/>
      <w:marBottom w:val="0"/>
      <w:divBdr>
        <w:top w:val="none" w:sz="0" w:space="0" w:color="auto"/>
        <w:left w:val="none" w:sz="0" w:space="0" w:color="auto"/>
        <w:bottom w:val="none" w:sz="0" w:space="0" w:color="auto"/>
        <w:right w:val="none" w:sz="0" w:space="0" w:color="auto"/>
      </w:divBdr>
    </w:div>
    <w:div w:id="1491674097">
      <w:bodyDiv w:val="1"/>
      <w:marLeft w:val="0"/>
      <w:marRight w:val="0"/>
      <w:marTop w:val="0"/>
      <w:marBottom w:val="0"/>
      <w:divBdr>
        <w:top w:val="none" w:sz="0" w:space="0" w:color="auto"/>
        <w:left w:val="none" w:sz="0" w:space="0" w:color="auto"/>
        <w:bottom w:val="none" w:sz="0" w:space="0" w:color="auto"/>
        <w:right w:val="none" w:sz="0" w:space="0" w:color="auto"/>
      </w:divBdr>
    </w:div>
    <w:div w:id="1510951727">
      <w:bodyDiv w:val="1"/>
      <w:marLeft w:val="0"/>
      <w:marRight w:val="0"/>
      <w:marTop w:val="0"/>
      <w:marBottom w:val="0"/>
      <w:divBdr>
        <w:top w:val="none" w:sz="0" w:space="0" w:color="auto"/>
        <w:left w:val="none" w:sz="0" w:space="0" w:color="auto"/>
        <w:bottom w:val="none" w:sz="0" w:space="0" w:color="auto"/>
        <w:right w:val="none" w:sz="0" w:space="0" w:color="auto"/>
      </w:divBdr>
    </w:div>
    <w:div w:id="1562983971">
      <w:bodyDiv w:val="1"/>
      <w:marLeft w:val="0"/>
      <w:marRight w:val="0"/>
      <w:marTop w:val="0"/>
      <w:marBottom w:val="0"/>
      <w:divBdr>
        <w:top w:val="none" w:sz="0" w:space="0" w:color="auto"/>
        <w:left w:val="none" w:sz="0" w:space="0" w:color="auto"/>
        <w:bottom w:val="none" w:sz="0" w:space="0" w:color="auto"/>
        <w:right w:val="none" w:sz="0" w:space="0" w:color="auto"/>
      </w:divBdr>
    </w:div>
    <w:div w:id="1678920417">
      <w:bodyDiv w:val="1"/>
      <w:marLeft w:val="0"/>
      <w:marRight w:val="0"/>
      <w:marTop w:val="0"/>
      <w:marBottom w:val="0"/>
      <w:divBdr>
        <w:top w:val="none" w:sz="0" w:space="0" w:color="auto"/>
        <w:left w:val="none" w:sz="0" w:space="0" w:color="auto"/>
        <w:bottom w:val="none" w:sz="0" w:space="0" w:color="auto"/>
        <w:right w:val="none" w:sz="0" w:space="0" w:color="auto"/>
      </w:divBdr>
    </w:div>
    <w:div w:id="1729841136">
      <w:bodyDiv w:val="1"/>
      <w:marLeft w:val="0"/>
      <w:marRight w:val="0"/>
      <w:marTop w:val="0"/>
      <w:marBottom w:val="0"/>
      <w:divBdr>
        <w:top w:val="none" w:sz="0" w:space="0" w:color="auto"/>
        <w:left w:val="none" w:sz="0" w:space="0" w:color="auto"/>
        <w:bottom w:val="none" w:sz="0" w:space="0" w:color="auto"/>
        <w:right w:val="none" w:sz="0" w:space="0" w:color="auto"/>
      </w:divBdr>
    </w:div>
    <w:div w:id="1812285630">
      <w:bodyDiv w:val="1"/>
      <w:marLeft w:val="0"/>
      <w:marRight w:val="0"/>
      <w:marTop w:val="0"/>
      <w:marBottom w:val="0"/>
      <w:divBdr>
        <w:top w:val="none" w:sz="0" w:space="0" w:color="auto"/>
        <w:left w:val="none" w:sz="0" w:space="0" w:color="auto"/>
        <w:bottom w:val="none" w:sz="0" w:space="0" w:color="auto"/>
        <w:right w:val="none" w:sz="0" w:space="0" w:color="auto"/>
      </w:divBdr>
    </w:div>
    <w:div w:id="2012835564">
      <w:bodyDiv w:val="1"/>
      <w:marLeft w:val="0"/>
      <w:marRight w:val="0"/>
      <w:marTop w:val="0"/>
      <w:marBottom w:val="0"/>
      <w:divBdr>
        <w:top w:val="none" w:sz="0" w:space="0" w:color="auto"/>
        <w:left w:val="none" w:sz="0" w:space="0" w:color="auto"/>
        <w:bottom w:val="none" w:sz="0" w:space="0" w:color="auto"/>
        <w:right w:val="none" w:sz="0" w:space="0" w:color="auto"/>
      </w:divBdr>
    </w:div>
    <w:div w:id="2068718559">
      <w:bodyDiv w:val="1"/>
      <w:marLeft w:val="0"/>
      <w:marRight w:val="0"/>
      <w:marTop w:val="0"/>
      <w:marBottom w:val="0"/>
      <w:divBdr>
        <w:top w:val="none" w:sz="0" w:space="0" w:color="auto"/>
        <w:left w:val="none" w:sz="0" w:space="0" w:color="auto"/>
        <w:bottom w:val="none" w:sz="0" w:space="0" w:color="auto"/>
        <w:right w:val="none" w:sz="0" w:space="0" w:color="auto"/>
      </w:divBdr>
    </w:div>
    <w:div w:id="212134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rc.gov/site-help/electronic-sub-ref-mat.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8764CEAC64A3E4490D27790897D8AC2" ma:contentTypeVersion="4" ma:contentTypeDescription="Create a new document." ma:contentTypeScope="" ma:versionID="77a15753b6190edaf8d1011c541deffd">
  <xsd:schema xmlns:xsd="http://www.w3.org/2001/XMLSchema" xmlns:xs="http://www.w3.org/2001/XMLSchema" xmlns:p="http://schemas.microsoft.com/office/2006/metadata/properties" xmlns:ns2="c9e69d05-501e-469d-aacb-de131789b486" xmlns:ns3="cb8d7062-2b18-4baf-a043-92cac5d28331" targetNamespace="http://schemas.microsoft.com/office/2006/metadata/properties" ma:root="true" ma:fieldsID="66b15a2ae8ddf24ad87baa59a2bd55d0" ns2:_="" ns3:_="">
    <xsd:import namespace="c9e69d05-501e-469d-aacb-de131789b486"/>
    <xsd:import namespace="cb8d7062-2b18-4baf-a043-92cac5d283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69d05-501e-469d-aacb-de131789b4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d7062-2b18-4baf-a043-92cac5d283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9e69d05-501e-469d-aacb-de131789b486">P3SVQDWCR2EE-342808493-15</_dlc_DocId>
    <_dlc_DocIdUrl xmlns="c9e69d05-501e-469d-aacb-de131789b486">
      <Url>https://usnrc.sharepoint.com/teams/NMSS-Enhance-Weapons-Firearms-Background-Checks-Security-Event/_layouts/15/DocIdRedir.aspx?ID=P3SVQDWCR2EE-342808493-15</Url>
      <Description>P3SVQDWCR2EE-342808493-15</Description>
    </_dlc_DocIdUrl>
  </documentManagement>
</p:properties>
</file>

<file path=customXml/itemProps1.xml><?xml version="1.0" encoding="utf-8"?>
<ds:datastoreItem xmlns:ds="http://schemas.openxmlformats.org/officeDocument/2006/customXml" ds:itemID="{1FDF90C0-058B-455E-99F4-E6525FCFE295}">
  <ds:schemaRefs>
    <ds:schemaRef ds:uri="http://schemas.openxmlformats.org/officeDocument/2006/bibliography"/>
  </ds:schemaRefs>
</ds:datastoreItem>
</file>

<file path=customXml/itemProps2.xml><?xml version="1.0" encoding="utf-8"?>
<ds:datastoreItem xmlns:ds="http://schemas.openxmlformats.org/officeDocument/2006/customXml" ds:itemID="{06AF015D-0C59-4D41-885C-E6091BEC9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69d05-501e-469d-aacb-de131789b486"/>
    <ds:schemaRef ds:uri="cb8d7062-2b18-4baf-a043-92cac5d28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3E689B-FAA1-4998-87D0-69B2B5A126F2}">
  <ds:schemaRefs>
    <ds:schemaRef ds:uri="http://schemas.microsoft.com/sharepoint/events"/>
  </ds:schemaRefs>
</ds:datastoreItem>
</file>

<file path=customXml/itemProps4.xml><?xml version="1.0" encoding="utf-8"?>
<ds:datastoreItem xmlns:ds="http://schemas.openxmlformats.org/officeDocument/2006/customXml" ds:itemID="{DEFC3C3A-DE63-4BE4-A55D-953CCFA9DDB8}">
  <ds:schemaRefs>
    <ds:schemaRef ds:uri="http://schemas.microsoft.com/sharepoint/v3/contenttype/forms"/>
  </ds:schemaRefs>
</ds:datastoreItem>
</file>

<file path=customXml/itemProps5.xml><?xml version="1.0" encoding="utf-8"?>
<ds:datastoreItem xmlns:ds="http://schemas.openxmlformats.org/officeDocument/2006/customXml" ds:itemID="{87BF11C3-8F11-4131-A6DF-7F7A7430764D}">
  <ds:schemaRefs>
    <ds:schemaRef ds:uri="http://schemas.microsoft.com/office/2006/metadata/properties"/>
    <ds:schemaRef ds:uri="http://schemas.microsoft.com/office/infopath/2007/PartnerControls"/>
    <ds:schemaRef ds:uri="c9e69d05-501e-469d-aacb-de131789b486"/>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10</Pages>
  <Words>4412</Words>
  <Characters>25149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Description of the Information Collection</vt:lpstr>
    </vt:vector>
  </TitlesOfParts>
  <Company>USNRC</Company>
  <LinksUpToDate>false</LinksUpToDate>
  <CharactersWithSpaces>29502</CharactersWithSpaces>
  <SharedDoc>false</SharedDoc>
  <HLinks>
    <vt:vector size="6" baseType="variant">
      <vt:variant>
        <vt:i4>1048578</vt:i4>
      </vt:variant>
      <vt:variant>
        <vt:i4>0</vt:i4>
      </vt:variant>
      <vt:variant>
        <vt:i4>0</vt:i4>
      </vt:variant>
      <vt:variant>
        <vt:i4>5</vt:i4>
      </vt:variant>
      <vt:variant>
        <vt:lpwstr>http://www.nrc.gov/site-help/electronic-sub-ref-mat.html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the Information Collection</dc:title>
  <dc:subject/>
  <dc:creator>Robert H. Beall</dc:creator>
  <cp:keywords/>
  <dc:description/>
  <cp:lastModifiedBy>Benney, Kristen</cp:lastModifiedBy>
  <cp:revision>100</cp:revision>
  <cp:lastPrinted>2017-12-13T11:57:00Z</cp:lastPrinted>
  <dcterms:created xsi:type="dcterms:W3CDTF">2022-02-01T15:47:00Z</dcterms:created>
  <dcterms:modified xsi:type="dcterms:W3CDTF">2022-04-07T18:49:00Z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0x01010018764CEAC64A3E4490D27790897D8AC2</vt:lpwstr>
  </property>
  <property fmtid="{D5CDD505-2E9C-101B-9397-08002B2CF9AE}" pid="4" name="_dlc_DocIdItemGuid">
    <vt:lpwstr>10336dec-da1c-419a-8b1a-64b80cbcb9e4</vt:lpwstr>
  </property>
</Properties>
</file>