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07E1" w:rsidRPr="007B66D4" w:rsidP="009007E1" w14:paraId="2470BAE8" w14:textId="183663DA">
      <w:pPr>
        <w:pStyle w:val="DefaultText"/>
        <w:jc w:val="right"/>
        <w:rPr>
          <w:rStyle w:val="InitialStyle"/>
          <w:rFonts w:ascii="Times New Roman" w:hAnsi="Times New Roman"/>
        </w:rPr>
      </w:pPr>
      <w:r>
        <w:rPr>
          <w:rStyle w:val="InitialStyle"/>
          <w:rFonts w:ascii="Times New Roman" w:hAnsi="Times New Roman"/>
        </w:rPr>
        <w:t>May</w:t>
      </w:r>
      <w:r w:rsidRPr="00E25051" w:rsidR="00ED4761">
        <w:rPr>
          <w:rStyle w:val="InitialStyle"/>
          <w:rFonts w:ascii="Times New Roman" w:hAnsi="Times New Roman"/>
        </w:rPr>
        <w:t xml:space="preserve"> 2023</w:t>
      </w:r>
    </w:p>
    <w:p w:rsidR="007B66D4" w:rsidRPr="007B66D4" w:rsidP="007B66D4" w14:paraId="3129521A" w14:textId="77777777">
      <w:pPr>
        <w:pStyle w:val="DefaultText"/>
        <w:rPr>
          <w:rStyle w:val="InitialStyle"/>
          <w:rFonts w:ascii="Times New Roman" w:hAnsi="Times New Roman"/>
          <w:b/>
        </w:rPr>
      </w:pPr>
    </w:p>
    <w:p w:rsidR="00BE6F44" w:rsidRPr="007B66D4" w:rsidP="00C97F1E" w14:paraId="67A84572" w14:textId="26723DF9">
      <w:pPr>
        <w:pStyle w:val="DefaultText"/>
        <w:jc w:val="center"/>
        <w:rPr>
          <w:rStyle w:val="InitialStyle"/>
          <w:rFonts w:ascii="Times New Roman" w:hAnsi="Times New Roman"/>
          <w:b/>
        </w:rPr>
      </w:pPr>
      <w:r w:rsidRPr="007B66D4">
        <w:rPr>
          <w:rStyle w:val="InitialStyle"/>
          <w:rFonts w:ascii="Times New Roman" w:hAnsi="Times New Roman"/>
          <w:b/>
        </w:rPr>
        <w:t xml:space="preserve">SUPPORTING </w:t>
      </w:r>
      <w:r w:rsidRPr="007B66D4" w:rsidR="003B75E5">
        <w:rPr>
          <w:rStyle w:val="InitialStyle"/>
          <w:rFonts w:ascii="Times New Roman" w:hAnsi="Times New Roman"/>
          <w:b/>
        </w:rPr>
        <w:t>STATE</w:t>
      </w:r>
      <w:r w:rsidRPr="007B66D4">
        <w:rPr>
          <w:rStyle w:val="InitialStyle"/>
          <w:rFonts w:ascii="Times New Roman" w:hAnsi="Times New Roman"/>
          <w:b/>
        </w:rPr>
        <w:t>MENT</w:t>
      </w:r>
    </w:p>
    <w:p w:rsidR="00705FA7" w:rsidP="00C97F1E" w14:paraId="163AED5F" w14:textId="38F92AEE">
      <w:pPr>
        <w:pStyle w:val="DefaultText"/>
        <w:jc w:val="center"/>
        <w:rPr>
          <w:b/>
        </w:rPr>
      </w:pPr>
      <w:bookmarkStart w:id="0" w:name="_Hlk126655160"/>
      <w:r w:rsidRPr="00705FA7">
        <w:rPr>
          <w:b/>
        </w:rPr>
        <w:t>I</w:t>
      </w:r>
      <w:r>
        <w:rPr>
          <w:b/>
        </w:rPr>
        <w:t>mports of Live Fish, Fertilized Eggs, and Gametes From</w:t>
      </w:r>
    </w:p>
    <w:p w:rsidR="002C0DB5" w:rsidRPr="007B66D4" w:rsidP="00C97F1E" w14:paraId="03200584" w14:textId="0A3B0BA8">
      <w:pPr>
        <w:pStyle w:val="DefaultText"/>
        <w:jc w:val="center"/>
        <w:rPr>
          <w:b/>
        </w:rPr>
      </w:pPr>
      <w:r>
        <w:rPr>
          <w:b/>
        </w:rPr>
        <w:t xml:space="preserve">Tilapia Lake Virus </w:t>
      </w:r>
      <w:r w:rsidRPr="007B66D4">
        <w:rPr>
          <w:b/>
          <w:caps/>
        </w:rPr>
        <w:t>(TiLV)</w:t>
      </w:r>
      <w:r w:rsidRPr="007B66D4" w:rsidR="00810CEA">
        <w:rPr>
          <w:b/>
          <w:caps/>
        </w:rPr>
        <w:t>-</w:t>
      </w:r>
      <w:r w:rsidRPr="00705FA7">
        <w:rPr>
          <w:b/>
        </w:rPr>
        <w:t>S</w:t>
      </w:r>
      <w:r>
        <w:rPr>
          <w:b/>
        </w:rPr>
        <w:t>usceptible Species</w:t>
      </w:r>
    </w:p>
    <w:bookmarkEnd w:id="0"/>
    <w:p w:rsidR="00810CEA" w:rsidRPr="007B66D4" w:rsidP="00C97F1E" w14:paraId="07C03D45" w14:textId="17C3CE1D">
      <w:pPr>
        <w:pStyle w:val="DefaultText"/>
        <w:jc w:val="center"/>
        <w:rPr>
          <w:rStyle w:val="InitialStyle"/>
          <w:rFonts w:ascii="Times New Roman" w:hAnsi="Times New Roman"/>
          <w:b/>
        </w:rPr>
      </w:pPr>
      <w:r w:rsidRPr="007B66D4">
        <w:rPr>
          <w:b/>
        </w:rPr>
        <w:t>OMB Control No. 0579-</w:t>
      </w:r>
      <w:r w:rsidRPr="007B66D4" w:rsidR="00BE57C2">
        <w:rPr>
          <w:b/>
        </w:rPr>
        <w:t>0473</w:t>
      </w:r>
    </w:p>
    <w:p w:rsidR="00BE6F44" w:rsidRPr="007B66D4" w:rsidP="009007E1" w14:paraId="7E805797" w14:textId="23F45CFE">
      <w:pPr>
        <w:pStyle w:val="DefaultText"/>
        <w:rPr>
          <w:rStyle w:val="InitialStyle"/>
          <w:rFonts w:ascii="Times New Roman" w:hAnsi="Times New Roman"/>
          <w:b/>
        </w:rPr>
      </w:pPr>
    </w:p>
    <w:p w:rsidR="00BE6F44" w:rsidRPr="007B66D4" w:rsidP="00C97F1E" w14:paraId="1CAD365E" w14:textId="77777777">
      <w:pPr>
        <w:pStyle w:val="DefaultText"/>
        <w:rPr>
          <w:rStyle w:val="InitialStyle"/>
          <w:rFonts w:ascii="Times New Roman" w:hAnsi="Times New Roman"/>
          <w:b/>
        </w:rPr>
      </w:pPr>
      <w:r w:rsidRPr="007B66D4">
        <w:rPr>
          <w:rStyle w:val="InitialStyle"/>
          <w:rFonts w:ascii="Times New Roman" w:hAnsi="Times New Roman"/>
          <w:b/>
        </w:rPr>
        <w:t>A.  Justification</w:t>
      </w:r>
    </w:p>
    <w:p w:rsidR="002A104A" w:rsidRPr="007B66D4" w:rsidP="00F92D66" w14:paraId="1FEBD043" w14:textId="77777777">
      <w:pPr>
        <w:pStyle w:val="DefaultText"/>
        <w:rPr>
          <w:rStyle w:val="InitialStyle"/>
          <w:rFonts w:ascii="Times New Roman" w:hAnsi="Times New Roman"/>
          <w:b/>
        </w:rPr>
      </w:pPr>
    </w:p>
    <w:p w:rsidR="00BE6F44" w:rsidRPr="007B66D4" w:rsidP="00F92D66" w14:paraId="34A14CEB" w14:textId="77777777">
      <w:pPr>
        <w:pStyle w:val="DefaultText"/>
        <w:rPr>
          <w:rStyle w:val="InitialStyle"/>
          <w:rFonts w:ascii="Times New Roman" w:hAnsi="Times New Roman"/>
          <w:b/>
        </w:rPr>
      </w:pPr>
      <w:r w:rsidRPr="007B66D4">
        <w:rPr>
          <w:rStyle w:val="InitialStyle"/>
          <w:rFonts w:ascii="Times New Roman" w:hAnsi="Times New Roman"/>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D7E36" w:rsidRPr="007B66D4" w:rsidP="00F92D66" w14:paraId="2B109E27" w14:textId="77777777">
      <w:pPr>
        <w:pStyle w:val="DefaultText"/>
        <w:rPr>
          <w:rStyle w:val="InitialStyle"/>
          <w:rFonts w:ascii="Times New Roman" w:hAnsi="Times New Roman"/>
        </w:rPr>
      </w:pPr>
    </w:p>
    <w:p w:rsidR="00194394" w:rsidRPr="00B738BA" w:rsidP="00194394" w14:paraId="55632DDC" w14:textId="7784D162">
      <w:pPr>
        <w:rPr>
          <w:sz w:val="24"/>
          <w:szCs w:val="24"/>
        </w:rPr>
      </w:pPr>
      <w:r w:rsidRPr="00B738BA">
        <w:rPr>
          <w:rStyle w:val="Strong"/>
          <w:b w:val="0"/>
          <w:sz w:val="24"/>
          <w:szCs w:val="24"/>
        </w:rPr>
        <w:t>The Animal Health Protection Act (AHPA) of 2002 i</w:t>
      </w:r>
      <w:r w:rsidRPr="00B738BA">
        <w:rPr>
          <w:sz w:val="24"/>
          <w:szCs w:val="24"/>
        </w:rPr>
        <w:t>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 The AHPA is contained in Title X, Subtitle E, Sections 10401-18 of P.L. 107-171, May 13, 2002, the Farm Security and Rural Investment Act of 2002</w:t>
      </w:r>
      <w:r w:rsidR="009355B0">
        <w:rPr>
          <w:sz w:val="24"/>
          <w:szCs w:val="24"/>
        </w:rPr>
        <w:t xml:space="preserve"> </w:t>
      </w:r>
      <w:r w:rsidR="00D82712">
        <w:rPr>
          <w:sz w:val="24"/>
          <w:szCs w:val="24"/>
        </w:rPr>
        <w:t>[7 U.S.C. 8301 et. seq</w:t>
      </w:r>
      <w:r w:rsidRPr="00B738BA">
        <w:rPr>
          <w:sz w:val="24"/>
          <w:szCs w:val="24"/>
        </w:rPr>
        <w:t>.</w:t>
      </w:r>
      <w:r w:rsidR="00D82712">
        <w:rPr>
          <w:sz w:val="24"/>
          <w:szCs w:val="24"/>
        </w:rPr>
        <w:t>].</w:t>
      </w:r>
    </w:p>
    <w:p w:rsidR="00194394" w:rsidRPr="00B738BA" w:rsidP="00194394" w14:paraId="58E34330" w14:textId="77777777">
      <w:pPr>
        <w:rPr>
          <w:rStyle w:val="InitialStyle"/>
          <w:rFonts w:ascii="Times New Roman" w:hAnsi="Times New Roman"/>
          <w:szCs w:val="24"/>
        </w:rPr>
      </w:pPr>
    </w:p>
    <w:p w:rsidR="00194394" w:rsidP="00194394" w14:paraId="2195625B" w14:textId="77777777">
      <w:pPr>
        <w:rPr>
          <w:sz w:val="24"/>
          <w:szCs w:val="24"/>
        </w:rPr>
      </w:pPr>
      <w:r w:rsidRPr="00A10959">
        <w:rPr>
          <w:sz w:val="24"/>
          <w:szCs w:val="24"/>
          <w:lang w:val="en"/>
        </w:rPr>
        <w:t>T</w:t>
      </w:r>
      <w:r w:rsidRPr="00A10959">
        <w:rPr>
          <w:sz w:val="24"/>
          <w:szCs w:val="24"/>
        </w:rPr>
        <w:t>he</w:t>
      </w:r>
      <w:r w:rsidRPr="00A10959">
        <w:rPr>
          <w:sz w:val="24"/>
          <w:szCs w:val="24"/>
        </w:rPr>
        <w:t xml:space="preserve"> U.S. aquaculture industry experienced an outbreak of Tilapia Lake Virus (TiLV) in March 2019. The virus can cause high mortality in susceptible fish. </w:t>
      </w:r>
      <w:r w:rsidRPr="00F25208">
        <w:rPr>
          <w:sz w:val="24"/>
          <w:szCs w:val="24"/>
        </w:rPr>
        <w:t>Signs of the disease include cloudy or bulging eyes</w:t>
      </w:r>
      <w:r>
        <w:rPr>
          <w:sz w:val="24"/>
          <w:szCs w:val="24"/>
        </w:rPr>
        <w:t>;</w:t>
      </w:r>
      <w:r w:rsidRPr="00F25208">
        <w:rPr>
          <w:sz w:val="24"/>
          <w:szCs w:val="24"/>
        </w:rPr>
        <w:t xml:space="preserve"> skin lesions such as darkening, bruising, or ulcers</w:t>
      </w:r>
      <w:r>
        <w:rPr>
          <w:sz w:val="24"/>
          <w:szCs w:val="24"/>
        </w:rPr>
        <w:t>; protruding</w:t>
      </w:r>
      <w:r w:rsidRPr="00F25208">
        <w:rPr>
          <w:sz w:val="24"/>
          <w:szCs w:val="24"/>
        </w:rPr>
        <w:t xml:space="preserve"> gills, and abdominal swelling. Fish may </w:t>
      </w:r>
      <w:r>
        <w:rPr>
          <w:sz w:val="24"/>
          <w:szCs w:val="24"/>
        </w:rPr>
        <w:t xml:space="preserve">move slowly </w:t>
      </w:r>
      <w:r w:rsidRPr="00F25208">
        <w:rPr>
          <w:sz w:val="24"/>
          <w:szCs w:val="24"/>
        </w:rPr>
        <w:t xml:space="preserve">and </w:t>
      </w:r>
      <w:r w:rsidRPr="00A10959">
        <w:rPr>
          <w:sz w:val="24"/>
          <w:szCs w:val="24"/>
        </w:rPr>
        <w:t>stop eating.</w:t>
      </w:r>
      <w:r w:rsidRPr="00F25208">
        <w:rPr>
          <w:sz w:val="24"/>
          <w:szCs w:val="24"/>
        </w:rPr>
        <w:t xml:space="preserve"> There are </w:t>
      </w:r>
      <w:r>
        <w:rPr>
          <w:sz w:val="24"/>
          <w:szCs w:val="24"/>
        </w:rPr>
        <w:t xml:space="preserve">currently </w:t>
      </w:r>
      <w:r w:rsidRPr="00F25208">
        <w:rPr>
          <w:sz w:val="24"/>
          <w:szCs w:val="24"/>
        </w:rPr>
        <w:t>no treatments or vaccines for the disease.</w:t>
      </w:r>
    </w:p>
    <w:p w:rsidR="00194394" w:rsidP="00194394" w14:paraId="7AEAEF55" w14:textId="77777777">
      <w:pPr>
        <w:rPr>
          <w:rStyle w:val="InitialStyle"/>
          <w:rFonts w:ascii="Times New Roman" w:hAnsi="Times New Roman"/>
          <w:szCs w:val="24"/>
        </w:rPr>
      </w:pPr>
    </w:p>
    <w:p w:rsidR="00194394" w:rsidP="00194394" w14:paraId="21EC8B83" w14:textId="4AC3A2F2">
      <w:pPr>
        <w:rPr>
          <w:rStyle w:val="InitialStyle"/>
          <w:rFonts w:ascii="Times New Roman" w:hAnsi="Times New Roman"/>
          <w:szCs w:val="24"/>
        </w:rPr>
      </w:pPr>
      <w:r w:rsidRPr="002C0DB5">
        <w:rPr>
          <w:rStyle w:val="InitialStyle"/>
          <w:rFonts w:ascii="Times New Roman" w:hAnsi="Times New Roman"/>
          <w:szCs w:val="24"/>
        </w:rPr>
        <w:t xml:space="preserve">APHIS determined that the introduction and establishment of TiLV poses a serious threat to U.S. agriculture. </w:t>
      </w:r>
      <w:r w:rsidRPr="00F25208">
        <w:rPr>
          <w:rStyle w:val="InitialStyle"/>
          <w:rFonts w:ascii="Times New Roman" w:hAnsi="Times New Roman"/>
          <w:szCs w:val="24"/>
        </w:rPr>
        <w:t>A</w:t>
      </w:r>
      <w:r>
        <w:rPr>
          <w:rStyle w:val="InitialStyle"/>
          <w:rFonts w:ascii="Times New Roman" w:hAnsi="Times New Roman"/>
          <w:szCs w:val="24"/>
        </w:rPr>
        <w:t>n APHIS</w:t>
      </w:r>
      <w:r w:rsidRPr="00F25208">
        <w:rPr>
          <w:rStyle w:val="InitialStyle"/>
          <w:rFonts w:ascii="Times New Roman" w:hAnsi="Times New Roman"/>
          <w:szCs w:val="24"/>
        </w:rPr>
        <w:t xml:space="preserve"> Preliminary Risk Assessment and </w:t>
      </w:r>
      <w:r>
        <w:rPr>
          <w:rStyle w:val="InitialStyle"/>
          <w:rFonts w:ascii="Times New Roman" w:hAnsi="Times New Roman"/>
          <w:szCs w:val="24"/>
        </w:rPr>
        <w:t>A</w:t>
      </w:r>
      <w:r w:rsidRPr="00F25208">
        <w:rPr>
          <w:rStyle w:val="InitialStyle"/>
          <w:rFonts w:ascii="Times New Roman" w:hAnsi="Times New Roman"/>
          <w:szCs w:val="24"/>
        </w:rPr>
        <w:t>nalysis of U.S. Imports and Exports of Live Tilapia, Eggs, and Milt determined the risk posed to relevant industries by the introduction of TiLV via imported tilapia fingerlings (young fish) or the shipping water carrying them as “high</w:t>
      </w:r>
      <w:r>
        <w:rPr>
          <w:rStyle w:val="InitialStyle"/>
          <w:rFonts w:ascii="Times New Roman" w:hAnsi="Times New Roman"/>
          <w:szCs w:val="24"/>
        </w:rPr>
        <w:t>.</w:t>
      </w:r>
      <w:r w:rsidRPr="00F25208">
        <w:rPr>
          <w:rStyle w:val="InitialStyle"/>
          <w:rFonts w:ascii="Times New Roman" w:hAnsi="Times New Roman"/>
          <w:szCs w:val="24"/>
        </w:rPr>
        <w:t xml:space="preserve">” </w:t>
      </w:r>
      <w:r>
        <w:rPr>
          <w:rStyle w:val="InitialStyle"/>
          <w:rFonts w:ascii="Times New Roman" w:hAnsi="Times New Roman"/>
          <w:szCs w:val="24"/>
        </w:rPr>
        <w:t xml:space="preserve">The assessment also determined a high </w:t>
      </w:r>
      <w:r w:rsidRPr="00F25208">
        <w:rPr>
          <w:rStyle w:val="InitialStyle"/>
          <w:rFonts w:ascii="Times New Roman" w:hAnsi="Times New Roman"/>
          <w:szCs w:val="24"/>
        </w:rPr>
        <w:t>likelihood that tilapia infected with TiLV will be imported into the United States</w:t>
      </w:r>
      <w:r>
        <w:rPr>
          <w:rStyle w:val="InitialStyle"/>
          <w:rFonts w:ascii="Times New Roman" w:hAnsi="Times New Roman"/>
          <w:szCs w:val="24"/>
        </w:rPr>
        <w:t xml:space="preserve"> because the United States currently lacks</w:t>
      </w:r>
      <w:r w:rsidRPr="00F25208">
        <w:rPr>
          <w:rStyle w:val="InitialStyle"/>
          <w:rFonts w:ascii="Times New Roman" w:hAnsi="Times New Roman"/>
          <w:szCs w:val="24"/>
        </w:rPr>
        <w:t xml:space="preserve"> import regulations certifying tilapia a</w:t>
      </w:r>
      <w:r>
        <w:rPr>
          <w:rStyle w:val="InitialStyle"/>
          <w:rFonts w:ascii="Times New Roman" w:hAnsi="Times New Roman"/>
          <w:szCs w:val="24"/>
        </w:rPr>
        <w:t>s</w:t>
      </w:r>
      <w:r w:rsidRPr="00F25208">
        <w:rPr>
          <w:rStyle w:val="InitialStyle"/>
          <w:rFonts w:ascii="Times New Roman" w:hAnsi="Times New Roman"/>
          <w:szCs w:val="24"/>
        </w:rPr>
        <w:t xml:space="preserve"> healthy and disease free</w:t>
      </w:r>
      <w:r>
        <w:rPr>
          <w:rStyle w:val="InitialStyle"/>
          <w:rFonts w:ascii="Times New Roman" w:hAnsi="Times New Roman"/>
          <w:szCs w:val="24"/>
        </w:rPr>
        <w:t>; also, there is insufficient global TiLV surveillance and detection</w:t>
      </w:r>
      <w:r w:rsidRPr="00F25208">
        <w:rPr>
          <w:rStyle w:val="InitialStyle"/>
          <w:rFonts w:ascii="Times New Roman" w:hAnsi="Times New Roman"/>
          <w:szCs w:val="24"/>
        </w:rPr>
        <w:t>. More than 15 countries are considered to be “affected” by TiLV</w:t>
      </w:r>
      <w:r w:rsidR="00B513B8">
        <w:rPr>
          <w:rStyle w:val="InitialStyle"/>
          <w:rFonts w:ascii="Times New Roman" w:hAnsi="Times New Roman"/>
          <w:szCs w:val="24"/>
        </w:rPr>
        <w:t xml:space="preserve"> under the assessment</w:t>
      </w:r>
      <w:r w:rsidRPr="00F25208">
        <w:rPr>
          <w:rStyle w:val="InitialStyle"/>
          <w:rFonts w:ascii="Times New Roman" w:hAnsi="Times New Roman"/>
          <w:szCs w:val="24"/>
        </w:rPr>
        <w:t>, while many more are considered to be “at risk.”</w:t>
      </w:r>
    </w:p>
    <w:p w:rsidR="00194394" w:rsidP="00194394" w14:paraId="0AB0EF58" w14:textId="77777777">
      <w:pPr>
        <w:rPr>
          <w:rStyle w:val="InitialStyle"/>
          <w:rFonts w:ascii="Times New Roman" w:hAnsi="Times New Roman"/>
          <w:szCs w:val="24"/>
        </w:rPr>
      </w:pPr>
    </w:p>
    <w:p w:rsidR="00194394" w:rsidP="00194394" w14:paraId="77D3B1BC" w14:textId="1D179EB7">
      <w:pPr>
        <w:rPr>
          <w:rStyle w:val="InitialStyle"/>
          <w:rFonts w:ascii="Times New Roman" w:hAnsi="Times New Roman"/>
          <w:szCs w:val="24"/>
        </w:rPr>
      </w:pPr>
      <w:r>
        <w:rPr>
          <w:rStyle w:val="InitialStyle"/>
          <w:rFonts w:ascii="Times New Roman" w:hAnsi="Times New Roman"/>
          <w:szCs w:val="24"/>
        </w:rPr>
        <w:t>After APHIS determined the United States needed r</w:t>
      </w:r>
      <w:r w:rsidRPr="002C0DB5">
        <w:rPr>
          <w:rStyle w:val="InitialStyle"/>
          <w:rFonts w:ascii="Times New Roman" w:hAnsi="Times New Roman"/>
          <w:szCs w:val="24"/>
        </w:rPr>
        <w:t xml:space="preserve">estrictions to prevent the introduction and establishment of TiLV </w:t>
      </w:r>
      <w:r>
        <w:rPr>
          <w:rStyle w:val="InitialStyle"/>
          <w:rFonts w:ascii="Times New Roman" w:hAnsi="Times New Roman"/>
          <w:szCs w:val="24"/>
        </w:rPr>
        <w:t xml:space="preserve">and </w:t>
      </w:r>
      <w:r w:rsidRPr="002C0DB5">
        <w:rPr>
          <w:rStyle w:val="InitialStyle"/>
          <w:rFonts w:ascii="Times New Roman" w:hAnsi="Times New Roman"/>
          <w:szCs w:val="24"/>
        </w:rPr>
        <w:t>address the animal health and economic risks associated with imports of live fish, fertilized eggs, and gametes from TiLV-susceptible species</w:t>
      </w:r>
      <w:r>
        <w:rPr>
          <w:rStyle w:val="InitialStyle"/>
          <w:rFonts w:ascii="Times New Roman" w:hAnsi="Times New Roman"/>
          <w:szCs w:val="24"/>
        </w:rPr>
        <w:t>, it issued a Federal Order placing certain requirements on importers of these commodities. Importers now must obtain an import permit, submit a health certificate, and undergo an inspection before bringing susceptible commodities into the United States. The</w:t>
      </w:r>
      <w:r w:rsidRPr="002C0DB5">
        <w:rPr>
          <w:rStyle w:val="InitialStyle"/>
          <w:rFonts w:ascii="Times New Roman" w:hAnsi="Times New Roman"/>
          <w:szCs w:val="24"/>
        </w:rPr>
        <w:t xml:space="preserve"> APHIS </w:t>
      </w:r>
      <w:r>
        <w:rPr>
          <w:rStyle w:val="InitialStyle"/>
          <w:rFonts w:ascii="Times New Roman" w:hAnsi="Times New Roman"/>
          <w:szCs w:val="24"/>
        </w:rPr>
        <w:t xml:space="preserve">Federal Order </w:t>
      </w:r>
      <w:r w:rsidRPr="002C0DB5">
        <w:rPr>
          <w:rStyle w:val="InitialStyle"/>
          <w:rFonts w:ascii="Times New Roman" w:hAnsi="Times New Roman"/>
          <w:szCs w:val="24"/>
        </w:rPr>
        <w:t xml:space="preserve">import requirements apply uniformly to all live fish, fertilized eggs, and gametes from susceptible species imported into the United States from all countries.  </w:t>
      </w:r>
    </w:p>
    <w:p w:rsidR="00134900" w:rsidRPr="007B66D4" w:rsidP="00134900" w14:paraId="74806562" w14:textId="4B81A3DE">
      <w:pPr>
        <w:rPr>
          <w:bCs/>
          <w:sz w:val="24"/>
          <w:szCs w:val="24"/>
        </w:rPr>
      </w:pPr>
      <w:r w:rsidRPr="007B66D4">
        <w:rPr>
          <w:sz w:val="24"/>
          <w:szCs w:val="24"/>
        </w:rPr>
        <w:t>APHIS is asking the Office of Management and</w:t>
      </w:r>
      <w:r w:rsidRPr="007B66D4" w:rsidR="00085373">
        <w:rPr>
          <w:sz w:val="24"/>
          <w:szCs w:val="24"/>
        </w:rPr>
        <w:t xml:space="preserve"> Budget (OMB) to approve for</w:t>
      </w:r>
      <w:r w:rsidR="007B66D4">
        <w:rPr>
          <w:sz w:val="24"/>
          <w:szCs w:val="24"/>
        </w:rPr>
        <w:t xml:space="preserve"> 3 years</w:t>
      </w:r>
      <w:r w:rsidRPr="007B66D4">
        <w:rPr>
          <w:bCs/>
          <w:sz w:val="24"/>
          <w:szCs w:val="24"/>
        </w:rPr>
        <w:t xml:space="preserve"> </w:t>
      </w:r>
      <w:r w:rsidR="007B66D4">
        <w:rPr>
          <w:bCs/>
          <w:sz w:val="24"/>
          <w:szCs w:val="24"/>
        </w:rPr>
        <w:t xml:space="preserve">continued </w:t>
      </w:r>
      <w:r w:rsidRPr="007B66D4">
        <w:rPr>
          <w:bCs/>
          <w:sz w:val="24"/>
          <w:szCs w:val="24"/>
        </w:rPr>
        <w:t>use of these information collection activities in connection with its efforts to</w:t>
      </w:r>
      <w:r w:rsidRPr="007B66D4" w:rsidR="002C0DB5">
        <w:rPr>
          <w:bCs/>
          <w:sz w:val="24"/>
          <w:szCs w:val="24"/>
        </w:rPr>
        <w:t xml:space="preserve"> prevent introduction of TiLV into the United States</w:t>
      </w:r>
      <w:r w:rsidRPr="007B66D4" w:rsidR="00217FFE">
        <w:rPr>
          <w:bCs/>
          <w:sz w:val="24"/>
          <w:szCs w:val="24"/>
        </w:rPr>
        <w:t>.</w:t>
      </w:r>
    </w:p>
    <w:p w:rsidR="00CA0D9A" w:rsidRPr="007B66D4" w:rsidP="00F92D66" w14:paraId="7CBE4A3F" w14:textId="77777777">
      <w:pPr>
        <w:pStyle w:val="DefaultText"/>
        <w:rPr>
          <w:rStyle w:val="InitialStyle"/>
          <w:rFonts w:ascii="Times New Roman" w:hAnsi="Times New Roman"/>
          <w:szCs w:val="24"/>
        </w:rPr>
      </w:pPr>
    </w:p>
    <w:p w:rsidR="00D73D68" w:rsidRPr="007B66D4" w:rsidP="00F92D66" w14:paraId="2B335796" w14:textId="77777777">
      <w:pPr>
        <w:pStyle w:val="DefaultText"/>
        <w:rPr>
          <w:rStyle w:val="InitialStyle"/>
          <w:rFonts w:ascii="Times New Roman" w:hAnsi="Times New Roman"/>
        </w:rPr>
      </w:pPr>
    </w:p>
    <w:p w:rsidR="00BE6F44" w:rsidRPr="007B66D4" w:rsidP="00D71253" w14:paraId="6BB3E357" w14:textId="77777777">
      <w:pPr>
        <w:pStyle w:val="DefaultText"/>
        <w:spacing w:line="228" w:lineRule="auto"/>
        <w:rPr>
          <w:rStyle w:val="InitialStyle"/>
          <w:rFonts w:ascii="Times New Roman" w:hAnsi="Times New Roman"/>
          <w:b/>
        </w:rPr>
      </w:pPr>
      <w:r w:rsidRPr="007B66D4">
        <w:rPr>
          <w:rStyle w:val="InitialStyle"/>
          <w:rFonts w:ascii="Times New Roman" w:hAnsi="Times New Roman"/>
          <w:b/>
        </w:rPr>
        <w:t>2.  Indicate how, by whom, how frequently, and for what purpose the information is to be used.  Except for a new collection, indicate the actual use the agency has made of the information received from the current collection.</w:t>
      </w:r>
    </w:p>
    <w:p w:rsidR="00134900" w:rsidRPr="007B66D4" w:rsidP="00D71253" w14:paraId="6F25763E" w14:textId="77777777">
      <w:pPr>
        <w:pStyle w:val="DefaultText"/>
        <w:spacing w:line="228" w:lineRule="auto"/>
        <w:rPr>
          <w:rStyle w:val="InitialStyle"/>
          <w:rFonts w:ascii="Times New Roman" w:hAnsi="Times New Roman"/>
          <w:b/>
        </w:rPr>
      </w:pPr>
    </w:p>
    <w:p w:rsidR="00134900" w:rsidRPr="00687FD1" w:rsidP="00D71253" w14:paraId="330DEFA3" w14:textId="7A218293">
      <w:pPr>
        <w:spacing w:line="228" w:lineRule="auto"/>
        <w:rPr>
          <w:bCs/>
          <w:sz w:val="24"/>
          <w:szCs w:val="24"/>
        </w:rPr>
      </w:pPr>
      <w:r w:rsidRPr="007B66D4">
        <w:rPr>
          <w:sz w:val="24"/>
          <w:szCs w:val="24"/>
        </w:rPr>
        <w:t>APHIS uses the following activities to collect information necessary to</w:t>
      </w:r>
      <w:r w:rsidRPr="007B66D4" w:rsidR="002C0DB5">
        <w:rPr>
          <w:sz w:val="24"/>
          <w:szCs w:val="24"/>
        </w:rPr>
        <w:t xml:space="preserve"> prevent introduction of Ti</w:t>
      </w:r>
      <w:r w:rsidRPr="00687FD1" w:rsidR="002C0DB5">
        <w:rPr>
          <w:sz w:val="24"/>
          <w:szCs w:val="24"/>
        </w:rPr>
        <w:t>LV into the United States</w:t>
      </w:r>
      <w:r w:rsidRPr="00687FD1">
        <w:rPr>
          <w:sz w:val="24"/>
          <w:szCs w:val="24"/>
        </w:rPr>
        <w:t xml:space="preserve">: </w:t>
      </w:r>
    </w:p>
    <w:p w:rsidR="00FC0082" w:rsidRPr="00687FD1" w:rsidP="00D71253" w14:paraId="38AEFEB5" w14:textId="77777777">
      <w:pPr>
        <w:pStyle w:val="DefaultText"/>
        <w:spacing w:line="228" w:lineRule="auto"/>
      </w:pPr>
    </w:p>
    <w:p w:rsidR="00FC0082" w:rsidRPr="00687FD1" w:rsidP="00D71253" w14:paraId="2C6E2BF7" w14:textId="77777777">
      <w:pPr>
        <w:pStyle w:val="DefaultText"/>
        <w:spacing w:line="228" w:lineRule="auto"/>
        <w:rPr>
          <w:b/>
          <w:u w:val="single"/>
        </w:rPr>
      </w:pPr>
      <w:r w:rsidRPr="00687FD1">
        <w:rPr>
          <w:b/>
          <w:u w:val="single"/>
        </w:rPr>
        <w:t>Application for Import or In-Transit Permit (for Live Animals, Animal Semen, Animal</w:t>
      </w:r>
    </w:p>
    <w:p w:rsidR="00FC0082" w:rsidP="00D71253" w14:paraId="19995DC7" w14:textId="55DA67AC">
      <w:pPr>
        <w:pStyle w:val="DefaultText"/>
        <w:spacing w:line="228" w:lineRule="auto"/>
        <w:rPr>
          <w:b/>
          <w:u w:val="single"/>
        </w:rPr>
      </w:pPr>
      <w:r w:rsidRPr="00687FD1">
        <w:rPr>
          <w:b/>
          <w:u w:val="single"/>
        </w:rPr>
        <w:t>Embryos, Birds, Poultry, and Hatching Eggs) (VS Form 1</w:t>
      </w:r>
      <w:r w:rsidRPr="00687FD1" w:rsidR="00F8422D">
        <w:rPr>
          <w:b/>
          <w:u w:val="single"/>
        </w:rPr>
        <w:t>7-129)</w:t>
      </w:r>
      <w:r w:rsidR="00705FA7">
        <w:rPr>
          <w:b/>
          <w:u w:val="single"/>
        </w:rPr>
        <w:t xml:space="preserve">; </w:t>
      </w:r>
      <w:r w:rsidRPr="00D71253" w:rsidR="00D71253">
        <w:rPr>
          <w:b/>
          <w:u w:val="single"/>
        </w:rPr>
        <w:t>Federal Order DA-2019</w:t>
      </w:r>
      <w:r w:rsidR="00D71253">
        <w:rPr>
          <w:b/>
          <w:u w:val="single"/>
        </w:rPr>
        <w:noBreakHyphen/>
      </w:r>
      <w:r w:rsidRPr="00D71253" w:rsidR="00D71253">
        <w:rPr>
          <w:b/>
          <w:u w:val="single"/>
        </w:rPr>
        <w:t>1</w:t>
      </w:r>
      <w:r w:rsidR="00D71253">
        <w:rPr>
          <w:b/>
          <w:u w:val="single"/>
        </w:rPr>
        <w:t>;</w:t>
      </w:r>
      <w:r w:rsidRPr="00D71253" w:rsidR="00D71253">
        <w:rPr>
          <w:b/>
          <w:u w:val="single"/>
        </w:rPr>
        <w:t xml:space="preserve"> </w:t>
      </w:r>
      <w:r w:rsidRPr="00687FD1" w:rsidR="00F8422D">
        <w:rPr>
          <w:b/>
          <w:u w:val="single"/>
        </w:rPr>
        <w:t>(Business</w:t>
      </w:r>
      <w:r w:rsidR="00BE0BF2">
        <w:rPr>
          <w:b/>
          <w:u w:val="single"/>
        </w:rPr>
        <w:t>; Foreign Government</w:t>
      </w:r>
      <w:r w:rsidRPr="00687FD1" w:rsidR="00F8422D">
        <w:rPr>
          <w:b/>
          <w:u w:val="single"/>
        </w:rPr>
        <w:t>)</w:t>
      </w:r>
    </w:p>
    <w:p w:rsidR="00BE0BF2" w:rsidP="00D71253" w14:paraId="36C80D59" w14:textId="42273A7A">
      <w:pPr>
        <w:pStyle w:val="DefaultText"/>
        <w:spacing w:line="228" w:lineRule="auto"/>
        <w:rPr>
          <w:bCs/>
        </w:rPr>
      </w:pPr>
      <w:r>
        <w:rPr>
          <w:bCs/>
        </w:rPr>
        <w:t>Note:  Business and Foreign Government perform this activity and is being corrected in this renewal.  The change does not impact the burden.</w:t>
      </w:r>
    </w:p>
    <w:p w:rsidR="00BE0BF2" w:rsidRPr="00BE0BF2" w:rsidP="00D71253" w14:paraId="08F5FD4A" w14:textId="77777777">
      <w:pPr>
        <w:pStyle w:val="DefaultText"/>
        <w:spacing w:line="228" w:lineRule="auto"/>
        <w:rPr>
          <w:bCs/>
        </w:rPr>
      </w:pPr>
    </w:p>
    <w:p w:rsidR="00FC0082" w:rsidRPr="00687FD1" w:rsidP="00D71253" w14:paraId="2BAF53DE" w14:textId="5F0207AF">
      <w:pPr>
        <w:pStyle w:val="DefaultText"/>
        <w:spacing w:line="228" w:lineRule="auto"/>
      </w:pPr>
      <w:r w:rsidRPr="00687FD1">
        <w:t xml:space="preserve">Businesses or importers seeking to import live fish, fertilized eggs, and gametes from TiLV-susceptible species into the United States must complete an application (VS 17-129) to attain the permit </w:t>
      </w:r>
      <w:r w:rsidR="00194394">
        <w:t xml:space="preserve">(VS Form 17-135) </w:t>
      </w:r>
      <w:r w:rsidRPr="00687FD1">
        <w:t xml:space="preserve">allowing import of these commodities. The importer must provide his/her name, address, and telephone number as well as the name and address of the shipper in the country of origin. The importer must list the port of embarkation, the country from which the </w:t>
      </w:r>
      <w:r w:rsidRPr="00687FD1" w:rsidR="00D20E6C">
        <w:t>live fish, fertilized eggs, and/or gametes</w:t>
      </w:r>
      <w:r w:rsidRPr="00687FD1">
        <w:t xml:space="preserve"> are to be shipped, and the mode of transportation. He/she must also describe the type, number, and identification of the animals to be exported. The importer must further list the origin, intended date and location of arrival, routes of travel, and destination of the animals. APHIS uses the permit applications to track, identify, and monitor animals entering the United States.</w:t>
      </w:r>
    </w:p>
    <w:p w:rsidR="00FC0082" w:rsidRPr="00687FD1" w:rsidP="00FC0082" w14:paraId="00312473" w14:textId="77777777">
      <w:pPr>
        <w:pStyle w:val="DefaultText"/>
      </w:pPr>
    </w:p>
    <w:p w:rsidR="00603622" w:rsidP="00FC0082" w14:paraId="784FF71D" w14:textId="255698AC">
      <w:pPr>
        <w:pStyle w:val="DefaultText"/>
        <w:rPr>
          <w:b/>
          <w:u w:val="single"/>
        </w:rPr>
      </w:pPr>
      <w:r w:rsidRPr="00687FD1">
        <w:rPr>
          <w:b/>
          <w:u w:val="single"/>
        </w:rPr>
        <w:t>Veterinary Health Certificate for the Import of Tilapia into the United States</w:t>
      </w:r>
      <w:r w:rsidR="00705FA7">
        <w:rPr>
          <w:b/>
          <w:u w:val="single"/>
        </w:rPr>
        <w:t>;</w:t>
      </w:r>
      <w:r w:rsidRPr="00687FD1">
        <w:rPr>
          <w:b/>
          <w:u w:val="single"/>
        </w:rPr>
        <w:t xml:space="preserve"> </w:t>
      </w:r>
      <w:r w:rsidRPr="00D71253" w:rsidR="00D71253">
        <w:rPr>
          <w:b/>
          <w:u w:val="single"/>
        </w:rPr>
        <w:t>Federal Order DA-2019</w:t>
      </w:r>
      <w:r w:rsidR="00D71253">
        <w:rPr>
          <w:b/>
          <w:u w:val="single"/>
        </w:rPr>
        <w:noBreakHyphen/>
      </w:r>
      <w:r w:rsidRPr="00D71253" w:rsidR="00D71253">
        <w:rPr>
          <w:b/>
          <w:u w:val="single"/>
        </w:rPr>
        <w:t>1</w:t>
      </w:r>
      <w:r w:rsidR="00D71253">
        <w:rPr>
          <w:b/>
          <w:u w:val="single"/>
        </w:rPr>
        <w:t>;</w:t>
      </w:r>
      <w:r w:rsidRPr="00D71253" w:rsidR="00D71253">
        <w:rPr>
          <w:b/>
          <w:u w:val="single"/>
        </w:rPr>
        <w:t xml:space="preserve"> </w:t>
      </w:r>
      <w:r w:rsidRPr="00687FD1" w:rsidR="00F8422D">
        <w:rPr>
          <w:b/>
          <w:u w:val="single"/>
        </w:rPr>
        <w:t>(Business</w:t>
      </w:r>
      <w:r w:rsidR="00BE0BF2">
        <w:rPr>
          <w:b/>
          <w:u w:val="single"/>
        </w:rPr>
        <w:t>; Foreign Government</w:t>
      </w:r>
      <w:r w:rsidRPr="00687FD1" w:rsidR="00F8422D">
        <w:rPr>
          <w:b/>
          <w:u w:val="single"/>
        </w:rPr>
        <w:t>)</w:t>
      </w:r>
    </w:p>
    <w:p w:rsidR="00BE0BF2" w:rsidP="00BE0BF2" w14:paraId="74E374CC" w14:textId="13B6F6AC">
      <w:pPr>
        <w:pStyle w:val="DefaultText"/>
        <w:rPr>
          <w:bCs/>
        </w:rPr>
      </w:pPr>
      <w:r>
        <w:rPr>
          <w:bCs/>
        </w:rPr>
        <w:t>Note:  Business and Foreign Government perform this activity and is being corrected in this renewal.  The change does not impact the burden.</w:t>
      </w:r>
    </w:p>
    <w:p w:rsidR="00BE0BF2" w:rsidRPr="00687FD1" w:rsidP="00FC0082" w14:paraId="6C50DAB6" w14:textId="77777777">
      <w:pPr>
        <w:pStyle w:val="DefaultText"/>
        <w:rPr>
          <w:b/>
          <w:u w:val="single"/>
        </w:rPr>
      </w:pPr>
    </w:p>
    <w:p w:rsidR="00603622" w:rsidRPr="00687FD1" w:rsidP="0076405A" w14:paraId="48FE2402" w14:textId="0668A430">
      <w:pPr>
        <w:pStyle w:val="DefaultText"/>
        <w:spacing w:after="120"/>
        <w:rPr>
          <w:rStyle w:val="InitialStyle"/>
          <w:rFonts w:ascii="Times New Roman" w:hAnsi="Times New Roman"/>
        </w:rPr>
      </w:pPr>
      <w:r w:rsidRPr="00687FD1">
        <w:rPr>
          <w:rStyle w:val="InitialStyle"/>
          <w:rFonts w:ascii="Times New Roman" w:hAnsi="Times New Roman"/>
        </w:rPr>
        <w:t xml:space="preserve">Businesses or importers seeking to import live fish, fertilized eggs, and gametes from TiLV-susceptible species into the United States must provide an official health certificate issued and endorsed by an official veterinarian of the country of origin’s competent </w:t>
      </w:r>
      <w:r w:rsidRPr="00687FD1" w:rsidR="00A10959">
        <w:rPr>
          <w:rStyle w:val="InitialStyle"/>
          <w:rFonts w:ascii="Times New Roman" w:hAnsi="Times New Roman"/>
        </w:rPr>
        <w:t>authority</w:t>
      </w:r>
      <w:r w:rsidRPr="00687FD1">
        <w:rPr>
          <w:rStyle w:val="InitialStyle"/>
          <w:rFonts w:ascii="Times New Roman" w:hAnsi="Times New Roman"/>
        </w:rPr>
        <w:t>. The certificate must accompany the shipment to the port of entry. The health certificate provides the following information:</w:t>
      </w:r>
    </w:p>
    <w:p w:rsidR="00FC0082" w:rsidRPr="00687FD1" w:rsidP="00705FA7" w14:paraId="58B83A31" w14:textId="77777777">
      <w:pPr>
        <w:pStyle w:val="DefaultText"/>
        <w:numPr>
          <w:ilvl w:val="0"/>
          <w:numId w:val="39"/>
        </w:numPr>
        <w:ind w:left="810"/>
        <w:rPr>
          <w:rStyle w:val="InitialStyle"/>
          <w:rFonts w:ascii="Times New Roman" w:hAnsi="Times New Roman"/>
        </w:rPr>
      </w:pPr>
      <w:r w:rsidRPr="00687FD1">
        <w:rPr>
          <w:rStyle w:val="InitialStyle"/>
          <w:rFonts w:ascii="Times New Roman" w:hAnsi="Times New Roman"/>
        </w:rPr>
        <w:t>The name and address of the consignor.</w:t>
      </w:r>
    </w:p>
    <w:p w:rsidR="00FC0082" w:rsidRPr="00687FD1" w:rsidP="00705FA7" w14:paraId="2E9D3EFF" w14:textId="77777777">
      <w:pPr>
        <w:pStyle w:val="DefaultText"/>
        <w:numPr>
          <w:ilvl w:val="0"/>
          <w:numId w:val="39"/>
        </w:numPr>
        <w:ind w:left="810"/>
        <w:rPr>
          <w:rStyle w:val="InitialStyle"/>
          <w:rFonts w:ascii="Times New Roman" w:hAnsi="Times New Roman"/>
        </w:rPr>
      </w:pPr>
      <w:r w:rsidRPr="00687FD1">
        <w:rPr>
          <w:rStyle w:val="InitialStyle"/>
          <w:rFonts w:ascii="Times New Roman" w:hAnsi="Times New Roman"/>
        </w:rPr>
        <w:t>The name and address of the consignee.</w:t>
      </w:r>
    </w:p>
    <w:p w:rsidR="00FC0082" w:rsidRPr="00687FD1" w:rsidP="00705FA7" w14:paraId="61868444" w14:textId="77777777">
      <w:pPr>
        <w:pStyle w:val="DefaultText"/>
        <w:numPr>
          <w:ilvl w:val="0"/>
          <w:numId w:val="39"/>
        </w:numPr>
        <w:ind w:left="810"/>
        <w:rPr>
          <w:rStyle w:val="InitialStyle"/>
          <w:rFonts w:ascii="Times New Roman" w:hAnsi="Times New Roman"/>
        </w:rPr>
      </w:pPr>
      <w:r w:rsidRPr="00687FD1">
        <w:rPr>
          <w:rStyle w:val="InitialStyle"/>
          <w:rFonts w:ascii="Times New Roman" w:hAnsi="Times New Roman"/>
        </w:rPr>
        <w:t>The country of origin.</w:t>
      </w:r>
    </w:p>
    <w:p w:rsidR="00FC0082" w:rsidRPr="00687FD1" w:rsidP="00705FA7" w14:paraId="008D176C" w14:textId="77777777">
      <w:pPr>
        <w:pStyle w:val="DefaultText"/>
        <w:numPr>
          <w:ilvl w:val="0"/>
          <w:numId w:val="39"/>
        </w:numPr>
        <w:ind w:left="810"/>
        <w:rPr>
          <w:rStyle w:val="InitialStyle"/>
          <w:rFonts w:ascii="Times New Roman" w:hAnsi="Times New Roman"/>
        </w:rPr>
      </w:pPr>
      <w:r w:rsidRPr="00687FD1">
        <w:rPr>
          <w:rStyle w:val="InitialStyle"/>
          <w:rFonts w:ascii="Times New Roman" w:hAnsi="Times New Roman"/>
        </w:rPr>
        <w:t>The port of embarkation.</w:t>
      </w:r>
    </w:p>
    <w:p w:rsidR="00FC0082" w:rsidRPr="00687FD1" w:rsidP="00705FA7" w14:paraId="3FC8413B" w14:textId="77777777">
      <w:pPr>
        <w:pStyle w:val="DefaultText"/>
        <w:numPr>
          <w:ilvl w:val="0"/>
          <w:numId w:val="39"/>
        </w:numPr>
        <w:ind w:left="810"/>
        <w:rPr>
          <w:rStyle w:val="InitialStyle"/>
          <w:rFonts w:ascii="Times New Roman" w:hAnsi="Times New Roman"/>
        </w:rPr>
      </w:pPr>
      <w:r w:rsidRPr="00687FD1">
        <w:rPr>
          <w:rStyle w:val="InitialStyle"/>
          <w:rFonts w:ascii="Times New Roman" w:hAnsi="Times New Roman"/>
        </w:rPr>
        <w:t>The means of transportation.</w:t>
      </w:r>
    </w:p>
    <w:p w:rsidR="00FC0082" w:rsidRPr="00687FD1" w:rsidP="00705FA7" w14:paraId="007B5AB7" w14:textId="77777777">
      <w:pPr>
        <w:pStyle w:val="DefaultText"/>
        <w:numPr>
          <w:ilvl w:val="0"/>
          <w:numId w:val="39"/>
        </w:numPr>
        <w:ind w:left="810"/>
        <w:rPr>
          <w:rStyle w:val="InitialStyle"/>
          <w:rFonts w:ascii="Times New Roman" w:hAnsi="Times New Roman"/>
        </w:rPr>
      </w:pPr>
      <w:r w:rsidRPr="00687FD1">
        <w:rPr>
          <w:rStyle w:val="InitialStyle"/>
          <w:rFonts w:ascii="Times New Roman" w:hAnsi="Times New Roman"/>
        </w:rPr>
        <w:t>The route of travel (country of origin +/- country or countries of transit).</w:t>
      </w:r>
    </w:p>
    <w:p w:rsidR="00FC0082" w:rsidRPr="00687FD1" w:rsidP="00705FA7" w14:paraId="1753DB1A" w14:textId="77777777">
      <w:pPr>
        <w:pStyle w:val="DefaultText"/>
        <w:numPr>
          <w:ilvl w:val="0"/>
          <w:numId w:val="39"/>
        </w:numPr>
        <w:ind w:left="810"/>
        <w:rPr>
          <w:rStyle w:val="InitialStyle"/>
          <w:rFonts w:ascii="Times New Roman" w:hAnsi="Times New Roman"/>
        </w:rPr>
      </w:pPr>
      <w:r w:rsidRPr="00687FD1">
        <w:rPr>
          <w:rStyle w:val="InitialStyle"/>
          <w:rFonts w:ascii="Times New Roman" w:hAnsi="Times New Roman"/>
        </w:rPr>
        <w:t>The designated U.S. port of entry.</w:t>
      </w:r>
    </w:p>
    <w:p w:rsidR="00FC0082" w:rsidRPr="00687FD1" w:rsidP="00705FA7" w14:paraId="070925E7" w14:textId="77777777">
      <w:pPr>
        <w:pStyle w:val="DefaultText"/>
        <w:numPr>
          <w:ilvl w:val="0"/>
          <w:numId w:val="39"/>
        </w:numPr>
        <w:ind w:left="810"/>
        <w:rPr>
          <w:rStyle w:val="InitialStyle"/>
          <w:rFonts w:ascii="Times New Roman" w:hAnsi="Times New Roman"/>
        </w:rPr>
      </w:pPr>
      <w:r w:rsidRPr="00687FD1">
        <w:rPr>
          <w:rStyle w:val="InitialStyle"/>
          <w:rFonts w:ascii="Times New Roman" w:hAnsi="Times New Roman"/>
        </w:rPr>
        <w:t>The date of veterinary inspection in the country of origin.</w:t>
      </w:r>
    </w:p>
    <w:p w:rsidR="00FC0082" w:rsidRPr="00687FD1" w:rsidP="00705FA7" w14:paraId="04FFC967" w14:textId="77777777">
      <w:pPr>
        <w:pStyle w:val="DefaultText"/>
        <w:numPr>
          <w:ilvl w:val="0"/>
          <w:numId w:val="39"/>
        </w:numPr>
        <w:ind w:left="810"/>
        <w:rPr>
          <w:rStyle w:val="InitialStyle"/>
          <w:rFonts w:ascii="Times New Roman" w:hAnsi="Times New Roman"/>
        </w:rPr>
      </w:pPr>
      <w:r w:rsidRPr="00687FD1">
        <w:rPr>
          <w:rStyle w:val="InitialStyle"/>
          <w:rFonts w:ascii="Times New Roman" w:hAnsi="Times New Roman"/>
        </w:rPr>
        <w:t xml:space="preserve">The total quantity of animals. </w:t>
      </w:r>
    </w:p>
    <w:p w:rsidR="00FC0082" w:rsidRPr="00687FD1" w:rsidP="00705FA7" w14:paraId="63DE3245" w14:textId="77777777">
      <w:pPr>
        <w:pStyle w:val="DefaultText"/>
        <w:numPr>
          <w:ilvl w:val="0"/>
          <w:numId w:val="39"/>
        </w:numPr>
        <w:ind w:left="810"/>
        <w:rPr>
          <w:rStyle w:val="InitialStyle"/>
          <w:rFonts w:ascii="Times New Roman" w:hAnsi="Times New Roman"/>
        </w:rPr>
      </w:pPr>
      <w:r w:rsidRPr="00687FD1">
        <w:rPr>
          <w:rStyle w:val="InitialStyle"/>
          <w:rFonts w:ascii="Times New Roman" w:hAnsi="Times New Roman"/>
        </w:rPr>
        <w:t>The total number of packages/containers.</w:t>
      </w:r>
    </w:p>
    <w:p w:rsidR="00FC0082" w:rsidRPr="00687FD1" w:rsidP="0076405A" w14:paraId="5E3B6BF3" w14:textId="3DCB0839">
      <w:pPr>
        <w:pStyle w:val="DefaultText"/>
        <w:numPr>
          <w:ilvl w:val="0"/>
          <w:numId w:val="39"/>
        </w:numPr>
        <w:spacing w:after="120"/>
        <w:ind w:left="806"/>
        <w:rPr>
          <w:rStyle w:val="InitialStyle"/>
          <w:rFonts w:ascii="Times New Roman" w:hAnsi="Times New Roman"/>
        </w:rPr>
      </w:pPr>
      <w:r w:rsidRPr="00687FD1">
        <w:rPr>
          <w:rStyle w:val="InitialStyle"/>
          <w:rFonts w:ascii="Times New Roman" w:hAnsi="Times New Roman"/>
        </w:rPr>
        <w:t>The intended use of the animals (i.e.</w:t>
      </w:r>
      <w:r w:rsidRPr="00687FD1" w:rsidR="00564460">
        <w:rPr>
          <w:rStyle w:val="InitialStyle"/>
          <w:rFonts w:ascii="Times New Roman" w:hAnsi="Times New Roman"/>
        </w:rPr>
        <w:t>,</w:t>
      </w:r>
      <w:r w:rsidRPr="00687FD1">
        <w:rPr>
          <w:rStyle w:val="InitialStyle"/>
          <w:rFonts w:ascii="Times New Roman" w:hAnsi="Times New Roman"/>
        </w:rPr>
        <w:t xml:space="preserve"> breeding, culture/grow out, research, human consumption)</w:t>
      </w:r>
    </w:p>
    <w:p w:rsidR="00FC0082" w:rsidRPr="00687FD1" w:rsidP="00FC0082" w14:paraId="7F38BF16" w14:textId="4C616DDB">
      <w:pPr>
        <w:pStyle w:val="DefaultText"/>
        <w:rPr>
          <w:rStyle w:val="InitialStyle"/>
          <w:rFonts w:ascii="Times New Roman" w:hAnsi="Times New Roman"/>
        </w:rPr>
      </w:pPr>
      <w:r w:rsidRPr="00687FD1">
        <w:rPr>
          <w:rStyle w:val="InitialStyle"/>
          <w:rFonts w:ascii="Times New Roman" w:hAnsi="Times New Roman"/>
        </w:rPr>
        <w:t xml:space="preserve">The official veterinarian of the exporting country’s </w:t>
      </w:r>
      <w:r w:rsidRPr="00687FD1" w:rsidR="00564460">
        <w:rPr>
          <w:rStyle w:val="InitialStyle"/>
          <w:rFonts w:ascii="Times New Roman" w:hAnsi="Times New Roman"/>
        </w:rPr>
        <w:t>c</w:t>
      </w:r>
      <w:r w:rsidRPr="00687FD1">
        <w:rPr>
          <w:rStyle w:val="InitialStyle"/>
          <w:rFonts w:ascii="Times New Roman" w:hAnsi="Times New Roman"/>
        </w:rPr>
        <w:t xml:space="preserve">ompetent </w:t>
      </w:r>
      <w:r w:rsidRPr="00687FD1" w:rsidR="00564460">
        <w:rPr>
          <w:rStyle w:val="InitialStyle"/>
          <w:rFonts w:ascii="Times New Roman" w:hAnsi="Times New Roman"/>
        </w:rPr>
        <w:t>a</w:t>
      </w:r>
      <w:r w:rsidRPr="00687FD1">
        <w:rPr>
          <w:rStyle w:val="InitialStyle"/>
          <w:rFonts w:ascii="Times New Roman" w:hAnsi="Times New Roman"/>
        </w:rPr>
        <w:t>uthority must certify the following statements:</w:t>
      </w:r>
    </w:p>
    <w:p w:rsidR="00687FD1" w:rsidRPr="00687FD1" w:rsidP="00FC0082" w14:paraId="4AAFBDA5" w14:textId="77777777">
      <w:pPr>
        <w:pStyle w:val="DefaultText"/>
        <w:rPr>
          <w:rStyle w:val="InitialStyle"/>
          <w:rFonts w:ascii="Times New Roman" w:hAnsi="Times New Roman"/>
        </w:rPr>
      </w:pPr>
    </w:p>
    <w:p w:rsidR="00FC0082" w:rsidRPr="00351408" w:rsidP="00BE0BF2" w14:paraId="3F07BD35" w14:textId="753BFAFB">
      <w:pPr>
        <w:pStyle w:val="DefaultText"/>
        <w:numPr>
          <w:ilvl w:val="0"/>
          <w:numId w:val="40"/>
        </w:numPr>
        <w:ind w:left="360"/>
        <w:rPr>
          <w:rStyle w:val="InitialStyle"/>
          <w:rFonts w:ascii="Times New Roman" w:hAnsi="Times New Roman"/>
          <w:b/>
          <w:bCs/>
          <w:i/>
          <w:iCs/>
        </w:rPr>
      </w:pPr>
      <w:r w:rsidRPr="00351408">
        <w:rPr>
          <w:rStyle w:val="InitialStyle"/>
          <w:rFonts w:ascii="Times New Roman" w:hAnsi="Times New Roman"/>
          <w:b/>
          <w:bCs/>
          <w:i/>
          <w:iCs/>
        </w:rPr>
        <w:t>Either</w:t>
      </w:r>
      <w:r w:rsidRPr="00351408" w:rsidR="00171E65">
        <w:rPr>
          <w:rStyle w:val="InitialStyle"/>
          <w:rFonts w:ascii="Times New Roman" w:hAnsi="Times New Roman"/>
          <w:b/>
          <w:bCs/>
          <w:i/>
          <w:iCs/>
        </w:rPr>
        <w:t>:</w:t>
      </w:r>
    </w:p>
    <w:p w:rsidR="00FC0082" w:rsidRPr="00687FD1" w:rsidP="00BE0BF2" w14:paraId="26F26ACE" w14:textId="7482EE20">
      <w:pPr>
        <w:pStyle w:val="DefaultText"/>
        <w:numPr>
          <w:ilvl w:val="0"/>
          <w:numId w:val="41"/>
        </w:numPr>
        <w:rPr>
          <w:rStyle w:val="InitialStyle"/>
          <w:rFonts w:ascii="Times New Roman" w:hAnsi="Times New Roman"/>
        </w:rPr>
      </w:pPr>
      <w:r w:rsidRPr="00687FD1">
        <w:rPr>
          <w:rStyle w:val="InitialStyle"/>
          <w:rFonts w:ascii="Times New Roman" w:hAnsi="Times New Roman"/>
        </w:rPr>
        <w:t>Tilapia from this population to be exported tested negative for TiLV within</w:t>
      </w:r>
      <w:r w:rsidR="00E331AD">
        <w:rPr>
          <w:rStyle w:val="InitialStyle"/>
          <w:rFonts w:ascii="Times New Roman" w:hAnsi="Times New Roman"/>
        </w:rPr>
        <w:t xml:space="preserve"> </w:t>
      </w:r>
      <w:r w:rsidRPr="00687FD1">
        <w:rPr>
          <w:rStyle w:val="InitialStyle"/>
          <w:rFonts w:ascii="Times New Roman" w:hAnsi="Times New Roman"/>
        </w:rPr>
        <w:t>30 days prior to export per the World Organization for Animal Health (</w:t>
      </w:r>
      <w:r w:rsidR="00E331AD">
        <w:rPr>
          <w:rStyle w:val="InitialStyle"/>
          <w:rFonts w:ascii="Times New Roman" w:hAnsi="Times New Roman"/>
        </w:rPr>
        <w:t>W</w:t>
      </w:r>
      <w:r w:rsidRPr="00687FD1">
        <w:rPr>
          <w:rStyle w:val="InitialStyle"/>
          <w:rFonts w:ascii="Times New Roman" w:hAnsi="Times New Roman"/>
        </w:rPr>
        <w:t>O</w:t>
      </w:r>
      <w:r w:rsidR="00E331AD">
        <w:rPr>
          <w:rStyle w:val="InitialStyle"/>
          <w:rFonts w:ascii="Times New Roman" w:hAnsi="Times New Roman"/>
        </w:rPr>
        <w:t>AH</w:t>
      </w:r>
      <w:r w:rsidRPr="00687FD1">
        <w:rPr>
          <w:rStyle w:val="InitialStyle"/>
          <w:rFonts w:ascii="Times New Roman" w:hAnsi="Times New Roman"/>
        </w:rPr>
        <w:t>)</w:t>
      </w:r>
      <w:r>
        <w:rPr>
          <w:rStyle w:val="FootnoteReference"/>
        </w:rPr>
        <w:footnoteReference w:id="2"/>
      </w:r>
      <w:r w:rsidRPr="00687FD1">
        <w:rPr>
          <w:rStyle w:val="InitialStyle"/>
          <w:rFonts w:ascii="Times New Roman" w:hAnsi="Times New Roman"/>
        </w:rPr>
        <w:t xml:space="preserve"> </w:t>
      </w:r>
      <w:r w:rsidRPr="00687FD1" w:rsidR="00564460">
        <w:rPr>
          <w:rStyle w:val="InitialStyle"/>
          <w:rFonts w:ascii="Times New Roman" w:hAnsi="Times New Roman"/>
        </w:rPr>
        <w:t>or</w:t>
      </w:r>
      <w:r w:rsidRPr="00687FD1">
        <w:rPr>
          <w:rStyle w:val="InitialStyle"/>
          <w:rFonts w:ascii="Times New Roman" w:hAnsi="Times New Roman"/>
        </w:rPr>
        <w:t xml:space="preserve"> a laboratory testing method reviewed and approved by </w:t>
      </w:r>
      <w:r w:rsidRPr="00687FD1" w:rsidR="00340006">
        <w:rPr>
          <w:rStyle w:val="InitialStyle"/>
          <w:rFonts w:ascii="Times New Roman" w:hAnsi="Times New Roman"/>
        </w:rPr>
        <w:t xml:space="preserve">APHIS </w:t>
      </w:r>
      <w:r w:rsidRPr="00687FD1">
        <w:rPr>
          <w:rStyle w:val="InitialStyle"/>
          <w:rFonts w:ascii="Times New Roman" w:hAnsi="Times New Roman"/>
        </w:rPr>
        <w:t>prior to export. Sampling procedures used an assumed pathogen prevalence of 2 percent, with a corresponding confidence level of 95 percent</w:t>
      </w:r>
      <w:r w:rsidRPr="00687FD1" w:rsidR="00A10959">
        <w:rPr>
          <w:rStyle w:val="InitialStyle"/>
          <w:rFonts w:ascii="Times New Roman" w:hAnsi="Times New Roman"/>
        </w:rPr>
        <w:t>.</w:t>
      </w:r>
    </w:p>
    <w:p w:rsidR="00687FD1" w:rsidRPr="00687FD1" w:rsidP="00BE0BF2" w14:paraId="6AF3AE25" w14:textId="77777777">
      <w:pPr>
        <w:pStyle w:val="DefaultText"/>
        <w:ind w:left="720"/>
        <w:rPr>
          <w:rStyle w:val="InitialStyle"/>
          <w:rFonts w:ascii="Times New Roman" w:hAnsi="Times New Roman"/>
        </w:rPr>
      </w:pPr>
    </w:p>
    <w:p w:rsidR="00D20E6C" w:rsidP="00BE0BF2" w14:paraId="39949B18" w14:textId="6A94954B">
      <w:pPr>
        <w:pStyle w:val="DefaultText"/>
        <w:numPr>
          <w:ilvl w:val="0"/>
          <w:numId w:val="41"/>
        </w:numPr>
        <w:rPr>
          <w:rStyle w:val="InitialStyle"/>
          <w:rFonts w:ascii="Times New Roman" w:hAnsi="Times New Roman"/>
        </w:rPr>
      </w:pPr>
      <w:r w:rsidRPr="00687FD1">
        <w:rPr>
          <w:rStyle w:val="InitialStyle"/>
          <w:rFonts w:ascii="Times New Roman" w:hAnsi="Times New Roman"/>
        </w:rPr>
        <w:t xml:space="preserve">Samples were collected by an official veterinarian or </w:t>
      </w:r>
      <w:r w:rsidRPr="00687FD1" w:rsidR="00171E65">
        <w:rPr>
          <w:rStyle w:val="InitialStyle"/>
          <w:rFonts w:ascii="Times New Roman" w:hAnsi="Times New Roman"/>
        </w:rPr>
        <w:t xml:space="preserve">other </w:t>
      </w:r>
      <w:r w:rsidRPr="00687FD1">
        <w:rPr>
          <w:rStyle w:val="InitialStyle"/>
          <w:rFonts w:ascii="Times New Roman" w:hAnsi="Times New Roman"/>
        </w:rPr>
        <w:t xml:space="preserve">certifying official representing the </w:t>
      </w:r>
      <w:r w:rsidRPr="00687FD1" w:rsidR="00A10959">
        <w:rPr>
          <w:rStyle w:val="InitialStyle"/>
          <w:rFonts w:ascii="Times New Roman" w:hAnsi="Times New Roman"/>
        </w:rPr>
        <w:t>c</w:t>
      </w:r>
      <w:r w:rsidRPr="00687FD1">
        <w:rPr>
          <w:rStyle w:val="InitialStyle"/>
          <w:rFonts w:ascii="Times New Roman" w:hAnsi="Times New Roman"/>
        </w:rPr>
        <w:t xml:space="preserve">ompetent </w:t>
      </w:r>
      <w:r w:rsidRPr="00687FD1" w:rsidR="00A10959">
        <w:rPr>
          <w:rStyle w:val="InitialStyle"/>
          <w:rFonts w:ascii="Times New Roman" w:hAnsi="Times New Roman"/>
        </w:rPr>
        <w:t>a</w:t>
      </w:r>
      <w:r w:rsidRPr="00687FD1">
        <w:rPr>
          <w:rStyle w:val="InitialStyle"/>
          <w:rFonts w:ascii="Times New Roman" w:hAnsi="Times New Roman"/>
        </w:rPr>
        <w:t>uthority.</w:t>
      </w:r>
    </w:p>
    <w:p w:rsidR="00705FA7" w:rsidRPr="00687FD1" w:rsidP="00BE0BF2" w14:paraId="61304EDD" w14:textId="77777777">
      <w:pPr>
        <w:pStyle w:val="DefaultText"/>
        <w:ind w:left="360"/>
        <w:rPr>
          <w:rStyle w:val="InitialStyle"/>
          <w:rFonts w:ascii="Times New Roman" w:hAnsi="Times New Roman"/>
        </w:rPr>
      </w:pPr>
    </w:p>
    <w:p w:rsidR="00FC0082" w:rsidRPr="00351408" w:rsidP="00BE0BF2" w14:paraId="3CF81E6D" w14:textId="19187502">
      <w:pPr>
        <w:pStyle w:val="DefaultText"/>
        <w:ind w:left="360"/>
        <w:rPr>
          <w:rStyle w:val="InitialStyle"/>
          <w:rFonts w:ascii="Times New Roman" w:hAnsi="Times New Roman"/>
          <w:b/>
          <w:bCs/>
          <w:i/>
          <w:iCs/>
        </w:rPr>
      </w:pPr>
      <w:r w:rsidRPr="00351408">
        <w:rPr>
          <w:rStyle w:val="InitialStyle"/>
          <w:rFonts w:ascii="Times New Roman" w:hAnsi="Times New Roman"/>
          <w:b/>
          <w:bCs/>
          <w:i/>
          <w:iCs/>
        </w:rPr>
        <w:t>Or</w:t>
      </w:r>
      <w:r w:rsidRPr="00351408" w:rsidR="00171E65">
        <w:rPr>
          <w:rStyle w:val="InitialStyle"/>
          <w:rFonts w:ascii="Times New Roman" w:hAnsi="Times New Roman"/>
          <w:b/>
          <w:bCs/>
          <w:i/>
          <w:iCs/>
        </w:rPr>
        <w:t>:</w:t>
      </w:r>
    </w:p>
    <w:p w:rsidR="00FC0082" w:rsidRPr="00687FD1" w:rsidP="00BE0BF2" w14:paraId="15B42147" w14:textId="0E09AE95">
      <w:pPr>
        <w:pStyle w:val="DefaultText"/>
        <w:numPr>
          <w:ilvl w:val="0"/>
          <w:numId w:val="42"/>
        </w:numPr>
        <w:rPr>
          <w:rStyle w:val="InitialStyle"/>
          <w:rFonts w:ascii="Times New Roman" w:hAnsi="Times New Roman"/>
        </w:rPr>
      </w:pPr>
      <w:r w:rsidRPr="00687FD1">
        <w:rPr>
          <w:rStyle w:val="InitialStyle"/>
          <w:rFonts w:ascii="Times New Roman" w:hAnsi="Times New Roman"/>
        </w:rPr>
        <w:t>The facility of origin participates in an ongoing T</w:t>
      </w:r>
      <w:r w:rsidRPr="00687FD1" w:rsidR="00171E65">
        <w:rPr>
          <w:rStyle w:val="InitialStyle"/>
          <w:rFonts w:ascii="Times New Roman" w:hAnsi="Times New Roman"/>
        </w:rPr>
        <w:t>i</w:t>
      </w:r>
      <w:r w:rsidRPr="00687FD1">
        <w:rPr>
          <w:rStyle w:val="InitialStyle"/>
          <w:rFonts w:ascii="Times New Roman" w:hAnsi="Times New Roman"/>
        </w:rPr>
        <w:t>LV monitoring program for species susceptible to T</w:t>
      </w:r>
      <w:r w:rsidRPr="00687FD1" w:rsidR="00171E65">
        <w:rPr>
          <w:rStyle w:val="InitialStyle"/>
          <w:rFonts w:ascii="Times New Roman" w:hAnsi="Times New Roman"/>
        </w:rPr>
        <w:t>i</w:t>
      </w:r>
      <w:r w:rsidRPr="00687FD1">
        <w:rPr>
          <w:rStyle w:val="InitialStyle"/>
          <w:rFonts w:ascii="Times New Roman" w:hAnsi="Times New Roman"/>
        </w:rPr>
        <w:t>LV, by testing negative twice annually for a minimum of 2 consecutive years, with at least 3 months between tests</w:t>
      </w:r>
      <w:r w:rsidR="00677699">
        <w:rPr>
          <w:rStyle w:val="InitialStyle"/>
          <w:rFonts w:ascii="Times New Roman" w:hAnsi="Times New Roman"/>
        </w:rPr>
        <w:t>.</w:t>
      </w:r>
    </w:p>
    <w:p w:rsidR="00687FD1" w:rsidRPr="00687FD1" w:rsidP="00BE0BF2" w14:paraId="216CA09A" w14:textId="77777777">
      <w:pPr>
        <w:pStyle w:val="DefaultText"/>
        <w:ind w:left="720"/>
        <w:rPr>
          <w:rStyle w:val="InitialStyle"/>
          <w:rFonts w:ascii="Times New Roman" w:hAnsi="Times New Roman"/>
        </w:rPr>
      </w:pPr>
    </w:p>
    <w:p w:rsidR="00FC0082" w:rsidRPr="00687FD1" w:rsidP="00BE0BF2" w14:paraId="3A6D66ED" w14:textId="7DD0CE2B">
      <w:pPr>
        <w:pStyle w:val="DefaultText"/>
        <w:numPr>
          <w:ilvl w:val="0"/>
          <w:numId w:val="42"/>
        </w:numPr>
        <w:rPr>
          <w:rStyle w:val="InitialStyle"/>
          <w:rFonts w:ascii="Times New Roman" w:hAnsi="Times New Roman"/>
        </w:rPr>
      </w:pPr>
      <w:r w:rsidRPr="00687FD1">
        <w:rPr>
          <w:rStyle w:val="InitialStyle"/>
          <w:rFonts w:ascii="Times New Roman" w:hAnsi="Times New Roman"/>
        </w:rPr>
        <w:t>The facility sampled p</w:t>
      </w:r>
      <w:r w:rsidRPr="00687FD1">
        <w:rPr>
          <w:rStyle w:val="InitialStyle"/>
          <w:rFonts w:ascii="Times New Roman" w:hAnsi="Times New Roman"/>
        </w:rPr>
        <w:t>opulations using an assumed pathogen prevalence of 2 percent, with a corresponding confidence level of 95 percent, and found negative for T</w:t>
      </w:r>
      <w:r w:rsidRPr="00687FD1" w:rsidR="00171E65">
        <w:rPr>
          <w:rStyle w:val="InitialStyle"/>
          <w:rFonts w:ascii="Times New Roman" w:hAnsi="Times New Roman"/>
        </w:rPr>
        <w:t>i</w:t>
      </w:r>
      <w:r w:rsidRPr="00687FD1">
        <w:rPr>
          <w:rStyle w:val="InitialStyle"/>
          <w:rFonts w:ascii="Times New Roman" w:hAnsi="Times New Roman"/>
        </w:rPr>
        <w:t>LV</w:t>
      </w:r>
      <w:r w:rsidR="00677699">
        <w:rPr>
          <w:rStyle w:val="InitialStyle"/>
          <w:rFonts w:ascii="Times New Roman" w:hAnsi="Times New Roman"/>
        </w:rPr>
        <w:t>.</w:t>
      </w:r>
    </w:p>
    <w:p w:rsidR="00687FD1" w:rsidRPr="00687FD1" w:rsidP="00BE0BF2" w14:paraId="5F5A01CB" w14:textId="77777777">
      <w:pPr>
        <w:pStyle w:val="DefaultText"/>
        <w:ind w:left="720"/>
        <w:rPr>
          <w:rStyle w:val="InitialStyle"/>
          <w:rFonts w:ascii="Times New Roman" w:hAnsi="Times New Roman"/>
        </w:rPr>
      </w:pPr>
    </w:p>
    <w:p w:rsidR="00FC0082" w:rsidRPr="00A9575A" w:rsidP="00BE0BF2" w14:paraId="67DAA6D3" w14:textId="6713560A">
      <w:pPr>
        <w:pStyle w:val="DefaultText"/>
        <w:numPr>
          <w:ilvl w:val="0"/>
          <w:numId w:val="42"/>
        </w:numPr>
        <w:rPr>
          <w:rStyle w:val="InitialStyle"/>
          <w:rFonts w:ascii="Times New Roman" w:hAnsi="Times New Roman"/>
        </w:rPr>
      </w:pPr>
      <w:r w:rsidRPr="00687FD1">
        <w:rPr>
          <w:rStyle w:val="InitialStyle"/>
          <w:rFonts w:ascii="Times New Roman" w:hAnsi="Times New Roman"/>
        </w:rPr>
        <w:t xml:space="preserve">Samples were collected by an official veterinarian or </w:t>
      </w:r>
      <w:r w:rsidRPr="00687FD1" w:rsidR="00340006">
        <w:rPr>
          <w:rStyle w:val="InitialStyle"/>
          <w:rFonts w:ascii="Times New Roman" w:hAnsi="Times New Roman"/>
        </w:rPr>
        <w:t xml:space="preserve">other </w:t>
      </w:r>
      <w:r w:rsidRPr="00687FD1">
        <w:rPr>
          <w:rStyle w:val="InitialStyle"/>
          <w:rFonts w:ascii="Times New Roman" w:hAnsi="Times New Roman"/>
        </w:rPr>
        <w:t xml:space="preserve">certifying official representing the </w:t>
      </w:r>
      <w:r w:rsidRPr="00687FD1" w:rsidR="00340006">
        <w:rPr>
          <w:rStyle w:val="InitialStyle"/>
          <w:rFonts w:ascii="Times New Roman" w:hAnsi="Times New Roman"/>
        </w:rPr>
        <w:t>c</w:t>
      </w:r>
      <w:r w:rsidRPr="00687FD1">
        <w:rPr>
          <w:rStyle w:val="InitialStyle"/>
          <w:rFonts w:ascii="Times New Roman" w:hAnsi="Times New Roman"/>
        </w:rPr>
        <w:t xml:space="preserve">ompetent </w:t>
      </w:r>
      <w:r w:rsidRPr="00687FD1" w:rsidR="00CA552C">
        <w:rPr>
          <w:rStyle w:val="InitialStyle"/>
          <w:rFonts w:ascii="Times New Roman" w:hAnsi="Times New Roman"/>
        </w:rPr>
        <w:t>authority and</w:t>
      </w:r>
      <w:r w:rsidRPr="00687FD1">
        <w:rPr>
          <w:rStyle w:val="InitialStyle"/>
          <w:rFonts w:ascii="Times New Roman" w:hAnsi="Times New Roman"/>
        </w:rPr>
        <w:t xml:space="preserve"> tested per </w:t>
      </w:r>
      <w:r w:rsidR="00557CC2">
        <w:rPr>
          <w:rStyle w:val="InitialStyle"/>
          <w:rFonts w:ascii="Times New Roman" w:hAnsi="Times New Roman"/>
        </w:rPr>
        <w:t xml:space="preserve">WOAH </w:t>
      </w:r>
      <w:r w:rsidRPr="00687FD1" w:rsidR="00564460">
        <w:rPr>
          <w:rStyle w:val="InitialStyle"/>
          <w:rFonts w:ascii="Times New Roman" w:hAnsi="Times New Roman"/>
        </w:rPr>
        <w:t>or</w:t>
      </w:r>
      <w:r w:rsidRPr="00687FD1">
        <w:rPr>
          <w:rStyle w:val="InitialStyle"/>
          <w:rFonts w:ascii="Times New Roman" w:hAnsi="Times New Roman"/>
        </w:rPr>
        <w:t xml:space="preserve"> a laboratory testing method reviewed and approved by </w:t>
      </w:r>
      <w:r w:rsidRPr="00687FD1" w:rsidR="00340006">
        <w:rPr>
          <w:rStyle w:val="InitialStyle"/>
          <w:rFonts w:ascii="Times New Roman" w:hAnsi="Times New Roman"/>
        </w:rPr>
        <w:t xml:space="preserve">APHIS </w:t>
      </w:r>
      <w:r w:rsidRPr="00687FD1">
        <w:rPr>
          <w:rStyle w:val="InitialStyle"/>
          <w:rFonts w:ascii="Times New Roman" w:hAnsi="Times New Roman"/>
        </w:rPr>
        <w:t>prior to export.</w:t>
      </w:r>
    </w:p>
    <w:p w:rsidR="00FC0082" w:rsidRPr="00687FD1" w:rsidP="00A9575A" w14:paraId="4A3ECB70" w14:textId="2B1DCD1A">
      <w:pPr>
        <w:pStyle w:val="DefaultText"/>
        <w:numPr>
          <w:ilvl w:val="0"/>
          <w:numId w:val="43"/>
        </w:numPr>
        <w:spacing w:before="240" w:after="120"/>
        <w:ind w:left="360"/>
        <w:rPr>
          <w:rStyle w:val="InitialStyle"/>
          <w:rFonts w:ascii="Times New Roman" w:hAnsi="Times New Roman"/>
        </w:rPr>
      </w:pPr>
      <w:r w:rsidRPr="00687FD1">
        <w:rPr>
          <w:rStyle w:val="InitialStyle"/>
          <w:rFonts w:ascii="Times New Roman" w:hAnsi="Times New Roman"/>
        </w:rPr>
        <w:t xml:space="preserve">No OIE-listed disease(s) affecting tilapia was/were reported at the premises of origin within </w:t>
      </w:r>
      <w:r w:rsidRPr="00687FD1" w:rsidR="00687FD1">
        <w:rPr>
          <w:rStyle w:val="InitialStyle"/>
          <w:rFonts w:ascii="Times New Roman" w:hAnsi="Times New Roman"/>
        </w:rPr>
        <w:t>60 days prior to export.</w:t>
      </w:r>
    </w:p>
    <w:p w:rsidR="00FC0082" w:rsidRPr="00687FD1" w:rsidP="00A20148" w14:paraId="660F58E8" w14:textId="41ACE99E">
      <w:pPr>
        <w:pStyle w:val="DefaultText"/>
        <w:numPr>
          <w:ilvl w:val="0"/>
          <w:numId w:val="43"/>
        </w:numPr>
        <w:spacing w:before="120" w:after="120"/>
        <w:ind w:left="360"/>
        <w:rPr>
          <w:rStyle w:val="InitialStyle"/>
          <w:rFonts w:ascii="Times New Roman" w:hAnsi="Times New Roman"/>
        </w:rPr>
      </w:pPr>
      <w:r w:rsidRPr="00687FD1">
        <w:rPr>
          <w:rStyle w:val="InitialStyle"/>
          <w:rFonts w:ascii="Times New Roman" w:hAnsi="Times New Roman"/>
        </w:rPr>
        <w:t>The tilapia originate</w:t>
      </w:r>
      <w:r w:rsidRPr="00687FD1" w:rsidR="00340006">
        <w:rPr>
          <w:rStyle w:val="InitialStyle"/>
          <w:rFonts w:ascii="Times New Roman" w:hAnsi="Times New Roman"/>
        </w:rPr>
        <w:t>d</w:t>
      </w:r>
      <w:r w:rsidRPr="00687FD1">
        <w:rPr>
          <w:rStyle w:val="InitialStyle"/>
          <w:rFonts w:ascii="Times New Roman" w:hAnsi="Times New Roman"/>
        </w:rPr>
        <w:t xml:space="preserve"> in the exporting country </w:t>
      </w:r>
      <w:r w:rsidRPr="00687FD1" w:rsidR="00564460">
        <w:rPr>
          <w:rStyle w:val="InitialStyle"/>
          <w:rFonts w:ascii="Times New Roman" w:hAnsi="Times New Roman"/>
        </w:rPr>
        <w:t>or</w:t>
      </w:r>
      <w:r w:rsidRPr="00687FD1">
        <w:rPr>
          <w:rStyle w:val="InitialStyle"/>
          <w:rFonts w:ascii="Times New Roman" w:hAnsi="Times New Roman"/>
        </w:rPr>
        <w:t xml:space="preserve"> were legally imported and verified to be of equal health status before entering the population for export.</w:t>
      </w:r>
    </w:p>
    <w:p w:rsidR="00FC0082" w:rsidRPr="00687FD1" w:rsidP="00A20148" w14:paraId="75D2B896" w14:textId="7B537421">
      <w:pPr>
        <w:pStyle w:val="DefaultText"/>
        <w:numPr>
          <w:ilvl w:val="0"/>
          <w:numId w:val="43"/>
        </w:numPr>
        <w:spacing w:before="120" w:after="120"/>
        <w:ind w:left="360"/>
        <w:rPr>
          <w:rStyle w:val="InitialStyle"/>
          <w:rFonts w:ascii="Times New Roman" w:hAnsi="Times New Roman"/>
        </w:rPr>
      </w:pPr>
      <w:r w:rsidRPr="00687FD1">
        <w:rPr>
          <w:rStyle w:val="InitialStyle"/>
          <w:rFonts w:ascii="Times New Roman" w:hAnsi="Times New Roman"/>
        </w:rPr>
        <w:t xml:space="preserve">The tilapia were inspected by an official veterinarian of the exporting country’s </w:t>
      </w:r>
      <w:r w:rsidRPr="00687FD1" w:rsidR="00340006">
        <w:rPr>
          <w:rStyle w:val="InitialStyle"/>
          <w:rFonts w:ascii="Times New Roman" w:hAnsi="Times New Roman"/>
        </w:rPr>
        <w:t>c</w:t>
      </w:r>
      <w:r w:rsidRPr="00687FD1">
        <w:rPr>
          <w:rStyle w:val="InitialStyle"/>
          <w:rFonts w:ascii="Times New Roman" w:hAnsi="Times New Roman"/>
        </w:rPr>
        <w:t xml:space="preserve">ompetent </w:t>
      </w:r>
      <w:r w:rsidRPr="00687FD1" w:rsidR="00340006">
        <w:rPr>
          <w:rStyle w:val="InitialStyle"/>
          <w:rFonts w:ascii="Times New Roman" w:hAnsi="Times New Roman"/>
        </w:rPr>
        <w:t>a</w:t>
      </w:r>
      <w:r w:rsidRPr="00687FD1">
        <w:rPr>
          <w:rStyle w:val="InitialStyle"/>
          <w:rFonts w:ascii="Times New Roman" w:hAnsi="Times New Roman"/>
        </w:rPr>
        <w:t xml:space="preserve">uthority within 72 hours prior to </w:t>
      </w:r>
      <w:r w:rsidRPr="00687FD1" w:rsidR="00A9575A">
        <w:rPr>
          <w:rStyle w:val="InitialStyle"/>
          <w:rFonts w:ascii="Times New Roman" w:hAnsi="Times New Roman"/>
        </w:rPr>
        <w:t>export and</w:t>
      </w:r>
      <w:r w:rsidRPr="00687FD1">
        <w:rPr>
          <w:rStyle w:val="InitialStyle"/>
          <w:rFonts w:ascii="Times New Roman" w:hAnsi="Times New Roman"/>
        </w:rPr>
        <w:t xml:space="preserve"> showed no clinical signs of disease. </w:t>
      </w:r>
    </w:p>
    <w:p w:rsidR="00FC0082" w:rsidRPr="00687FD1" w:rsidP="00A20148" w14:paraId="30003972" w14:textId="081AF141">
      <w:pPr>
        <w:pStyle w:val="DefaultText"/>
        <w:numPr>
          <w:ilvl w:val="0"/>
          <w:numId w:val="43"/>
        </w:numPr>
        <w:spacing w:before="120" w:after="120"/>
        <w:ind w:left="360"/>
        <w:rPr>
          <w:rStyle w:val="InitialStyle"/>
          <w:rFonts w:ascii="Times New Roman" w:hAnsi="Times New Roman"/>
        </w:rPr>
      </w:pPr>
      <w:r w:rsidRPr="00687FD1">
        <w:rPr>
          <w:rStyle w:val="InitialStyle"/>
          <w:rFonts w:ascii="Times New Roman" w:hAnsi="Times New Roman"/>
        </w:rPr>
        <w:t xml:space="preserve">All shipping containers are </w:t>
      </w:r>
      <w:r w:rsidRPr="00687FD1" w:rsidR="00A9575A">
        <w:rPr>
          <w:rStyle w:val="InitialStyle"/>
          <w:rFonts w:ascii="Times New Roman" w:hAnsi="Times New Roman"/>
        </w:rPr>
        <w:t>new or</w:t>
      </w:r>
      <w:r w:rsidRPr="00687FD1">
        <w:rPr>
          <w:rStyle w:val="InitialStyle"/>
          <w:rFonts w:ascii="Times New Roman" w:hAnsi="Times New Roman"/>
        </w:rPr>
        <w:t xml:space="preserve"> have been properly cleaned and disinfected prior to use to ensure removal of organic material and mitigation of diseases of concern the species is susceptible to.  </w:t>
      </w:r>
    </w:p>
    <w:p w:rsidR="00FC0082" w:rsidRPr="00687FD1" w:rsidP="00A20148" w14:paraId="13A89412" w14:textId="074F799B">
      <w:pPr>
        <w:pStyle w:val="DefaultText"/>
        <w:numPr>
          <w:ilvl w:val="0"/>
          <w:numId w:val="43"/>
        </w:numPr>
        <w:spacing w:before="120" w:after="120"/>
        <w:ind w:left="360"/>
        <w:rPr>
          <w:rStyle w:val="InitialStyle"/>
          <w:rFonts w:ascii="Times New Roman" w:hAnsi="Times New Roman"/>
        </w:rPr>
      </w:pPr>
      <w:r w:rsidRPr="00687FD1">
        <w:rPr>
          <w:rStyle w:val="InitialStyle"/>
          <w:rFonts w:ascii="Times New Roman" w:hAnsi="Times New Roman"/>
        </w:rPr>
        <w:t xml:space="preserve">The shipment will ship directly to the United States with no stops </w:t>
      </w:r>
      <w:r w:rsidRPr="00687FD1">
        <w:rPr>
          <w:rStyle w:val="InitialStyle"/>
          <w:rFonts w:ascii="Times New Roman" w:hAnsi="Times New Roman"/>
        </w:rPr>
        <w:t>en</w:t>
      </w:r>
      <w:r w:rsidRPr="00687FD1">
        <w:rPr>
          <w:rStyle w:val="InitialStyle"/>
          <w:rFonts w:ascii="Times New Roman" w:hAnsi="Times New Roman"/>
        </w:rPr>
        <w:t xml:space="preserve"> route other than those provided for on </w:t>
      </w:r>
      <w:r w:rsidRPr="00687FD1" w:rsidR="00340006">
        <w:rPr>
          <w:rStyle w:val="InitialStyle"/>
          <w:rFonts w:ascii="Times New Roman" w:hAnsi="Times New Roman"/>
        </w:rPr>
        <w:t xml:space="preserve">the APHIS </w:t>
      </w:r>
      <w:r w:rsidRPr="00687FD1">
        <w:rPr>
          <w:rStyle w:val="InitialStyle"/>
          <w:rFonts w:ascii="Times New Roman" w:hAnsi="Times New Roman"/>
        </w:rPr>
        <w:t xml:space="preserve">import permit. </w:t>
      </w:r>
    </w:p>
    <w:p w:rsidR="00FC0082" w:rsidP="00A20148" w14:paraId="45453F38" w14:textId="56EC49CE">
      <w:pPr>
        <w:pStyle w:val="DefaultText"/>
        <w:numPr>
          <w:ilvl w:val="0"/>
          <w:numId w:val="43"/>
        </w:numPr>
        <w:spacing w:before="120" w:after="120"/>
        <w:ind w:left="360"/>
        <w:rPr>
          <w:rStyle w:val="InitialStyle"/>
          <w:rFonts w:ascii="Times New Roman" w:hAnsi="Times New Roman"/>
        </w:rPr>
      </w:pPr>
      <w:r w:rsidRPr="00687FD1">
        <w:rPr>
          <w:rStyle w:val="InitialStyle"/>
          <w:rFonts w:ascii="Times New Roman" w:hAnsi="Times New Roman"/>
        </w:rPr>
        <w:t>After the animal inspection, the health certificate is valid for 72 hours prior to export.</w:t>
      </w:r>
    </w:p>
    <w:p w:rsidR="00FC0082" w:rsidRPr="00687FD1" w:rsidP="00F92D66" w14:paraId="1DFA8D13" w14:textId="5A644F16">
      <w:pPr>
        <w:pStyle w:val="DefaultText"/>
        <w:rPr>
          <w:rStyle w:val="InitialStyle"/>
          <w:rFonts w:ascii="Times New Roman" w:hAnsi="Times New Roman"/>
          <w:b/>
          <w:u w:val="single"/>
        </w:rPr>
      </w:pPr>
      <w:r w:rsidRPr="00687FD1">
        <w:rPr>
          <w:rStyle w:val="InitialStyle"/>
          <w:rFonts w:ascii="Times New Roman" w:hAnsi="Times New Roman"/>
          <w:b/>
          <w:u w:val="single"/>
        </w:rPr>
        <w:t>Inspection</w:t>
      </w:r>
      <w:r w:rsidR="00705FA7">
        <w:rPr>
          <w:rStyle w:val="InitialStyle"/>
          <w:rFonts w:ascii="Times New Roman" w:hAnsi="Times New Roman"/>
          <w:b/>
          <w:u w:val="single"/>
        </w:rPr>
        <w:t>;</w:t>
      </w:r>
      <w:r w:rsidRPr="00687FD1" w:rsidR="005D7059">
        <w:rPr>
          <w:rStyle w:val="InitialStyle"/>
          <w:rFonts w:ascii="Times New Roman" w:hAnsi="Times New Roman"/>
          <w:b/>
          <w:u w:val="single"/>
        </w:rPr>
        <w:t xml:space="preserve"> </w:t>
      </w:r>
      <w:r w:rsidRPr="00D71253" w:rsidR="00D71253">
        <w:rPr>
          <w:b/>
          <w:u w:val="single"/>
        </w:rPr>
        <w:t>Federal Order DA-2019</w:t>
      </w:r>
      <w:r w:rsidR="00D71253">
        <w:rPr>
          <w:b/>
          <w:u w:val="single"/>
        </w:rPr>
        <w:noBreakHyphen/>
      </w:r>
      <w:r w:rsidRPr="00D71253" w:rsidR="00D71253">
        <w:rPr>
          <w:b/>
          <w:u w:val="single"/>
        </w:rPr>
        <w:t>1</w:t>
      </w:r>
      <w:r w:rsidR="00D71253">
        <w:rPr>
          <w:b/>
          <w:u w:val="single"/>
        </w:rPr>
        <w:t>;</w:t>
      </w:r>
      <w:r w:rsidRPr="00D71253" w:rsidR="00D71253">
        <w:rPr>
          <w:b/>
          <w:u w:val="single"/>
        </w:rPr>
        <w:t xml:space="preserve"> </w:t>
      </w:r>
      <w:r w:rsidRPr="00687FD1" w:rsidR="00F8422D">
        <w:rPr>
          <w:rStyle w:val="InitialStyle"/>
          <w:rFonts w:ascii="Times New Roman" w:hAnsi="Times New Roman"/>
          <w:b/>
          <w:u w:val="single"/>
        </w:rPr>
        <w:t>(Business</w:t>
      </w:r>
      <w:r w:rsidRPr="00687FD1" w:rsidR="00687FD1">
        <w:rPr>
          <w:rStyle w:val="InitialStyle"/>
          <w:rFonts w:ascii="Times New Roman" w:hAnsi="Times New Roman"/>
          <w:b/>
          <w:u w:val="single"/>
        </w:rPr>
        <w:t>;</w:t>
      </w:r>
      <w:r w:rsidRPr="00687FD1" w:rsidR="005D7059">
        <w:rPr>
          <w:rStyle w:val="InitialStyle"/>
          <w:rFonts w:ascii="Times New Roman" w:hAnsi="Times New Roman"/>
          <w:b/>
          <w:u w:val="single"/>
        </w:rPr>
        <w:t xml:space="preserve"> </w:t>
      </w:r>
      <w:r w:rsidRPr="00687FD1" w:rsidR="00F8422D">
        <w:rPr>
          <w:rStyle w:val="InitialStyle"/>
          <w:rFonts w:ascii="Times New Roman" w:hAnsi="Times New Roman"/>
          <w:b/>
          <w:u w:val="single"/>
        </w:rPr>
        <w:t>State</w:t>
      </w:r>
      <w:r w:rsidRPr="00687FD1" w:rsidR="00687FD1">
        <w:rPr>
          <w:rStyle w:val="InitialStyle"/>
          <w:rFonts w:ascii="Times New Roman" w:hAnsi="Times New Roman"/>
          <w:b/>
          <w:u w:val="single"/>
        </w:rPr>
        <w:t>, Local, or Tribal Government</w:t>
      </w:r>
      <w:r w:rsidRPr="00687FD1" w:rsidR="00F8422D">
        <w:rPr>
          <w:rStyle w:val="InitialStyle"/>
          <w:rFonts w:ascii="Times New Roman" w:hAnsi="Times New Roman"/>
          <w:b/>
          <w:u w:val="single"/>
        </w:rPr>
        <w:t>)</w:t>
      </w:r>
    </w:p>
    <w:p w:rsidR="00F01CA1" w:rsidRPr="00687FD1" w:rsidP="00F01CA1" w14:paraId="3002D710" w14:textId="3E47955C">
      <w:pPr>
        <w:pStyle w:val="DefaultText"/>
        <w:rPr>
          <w:rStyle w:val="InitialStyle"/>
          <w:rFonts w:ascii="Times New Roman" w:hAnsi="Times New Roman"/>
        </w:rPr>
      </w:pPr>
      <w:r w:rsidRPr="00687FD1">
        <w:rPr>
          <w:rStyle w:val="InitialStyle"/>
          <w:rFonts w:ascii="Times New Roman" w:hAnsi="Times New Roman"/>
        </w:rPr>
        <w:t xml:space="preserve">On arrival at the designated port of entry, </w:t>
      </w:r>
      <w:r w:rsidRPr="00687FD1" w:rsidR="00C81C2D">
        <w:rPr>
          <w:rStyle w:val="InitialStyle"/>
          <w:rFonts w:ascii="Times New Roman" w:hAnsi="Times New Roman"/>
        </w:rPr>
        <w:t>t</w:t>
      </w:r>
      <w:r w:rsidRPr="00687FD1">
        <w:rPr>
          <w:rStyle w:val="InitialStyle"/>
          <w:rFonts w:ascii="Times New Roman" w:hAnsi="Times New Roman"/>
        </w:rPr>
        <w:t xml:space="preserve">he importer, or the importer's agent, must present the original official health certificate and the original </w:t>
      </w:r>
      <w:r w:rsidRPr="00687FD1" w:rsidR="00340006">
        <w:rPr>
          <w:rStyle w:val="InitialStyle"/>
          <w:rFonts w:ascii="Times New Roman" w:hAnsi="Times New Roman"/>
        </w:rPr>
        <w:t xml:space="preserve">APHIS </w:t>
      </w:r>
      <w:r w:rsidRPr="00687FD1">
        <w:rPr>
          <w:rStyle w:val="InitialStyle"/>
          <w:rFonts w:ascii="Times New Roman" w:hAnsi="Times New Roman"/>
        </w:rPr>
        <w:t xml:space="preserve">import permit for the live fish, fertilized eggs, and/or gametes to a VS </w:t>
      </w:r>
      <w:r w:rsidRPr="00687FD1" w:rsidR="00564460">
        <w:rPr>
          <w:rStyle w:val="InitialStyle"/>
          <w:rFonts w:ascii="Times New Roman" w:hAnsi="Times New Roman"/>
        </w:rPr>
        <w:t>p</w:t>
      </w:r>
      <w:r w:rsidRPr="00687FD1">
        <w:rPr>
          <w:rStyle w:val="InitialStyle"/>
          <w:rFonts w:ascii="Times New Roman" w:hAnsi="Times New Roman"/>
        </w:rPr>
        <w:t xml:space="preserve">ort </w:t>
      </w:r>
      <w:r w:rsidRPr="00687FD1" w:rsidR="00564460">
        <w:rPr>
          <w:rStyle w:val="InitialStyle"/>
          <w:rFonts w:ascii="Times New Roman" w:hAnsi="Times New Roman"/>
        </w:rPr>
        <w:t>o</w:t>
      </w:r>
      <w:r w:rsidRPr="00687FD1">
        <w:rPr>
          <w:rStyle w:val="InitialStyle"/>
          <w:rFonts w:ascii="Times New Roman" w:hAnsi="Times New Roman"/>
        </w:rPr>
        <w:t xml:space="preserve">fficial. </w:t>
      </w:r>
      <w:r w:rsidRPr="00687FD1" w:rsidR="00C81C2D">
        <w:rPr>
          <w:rStyle w:val="InitialStyle"/>
          <w:rFonts w:ascii="Times New Roman" w:hAnsi="Times New Roman"/>
        </w:rPr>
        <w:t xml:space="preserve">The port official </w:t>
      </w:r>
      <w:r w:rsidRPr="00687FD1" w:rsidR="002F368A">
        <w:rPr>
          <w:rStyle w:val="InitialStyle"/>
          <w:rFonts w:ascii="Times New Roman" w:hAnsi="Times New Roman"/>
        </w:rPr>
        <w:t>will inspect the shipping containers and the live fish, fertilized eggs, and/or gametes to ensure the accuracy of the information contained in the permit and health certificate. T</w:t>
      </w:r>
      <w:r w:rsidRPr="00687FD1">
        <w:rPr>
          <w:rStyle w:val="InitialStyle"/>
          <w:rFonts w:ascii="Times New Roman" w:hAnsi="Times New Roman"/>
        </w:rPr>
        <w:t xml:space="preserve">he importer, or the importer’s agent, must notify the VS </w:t>
      </w:r>
      <w:r w:rsidRPr="00687FD1" w:rsidR="00564460">
        <w:rPr>
          <w:rStyle w:val="InitialStyle"/>
          <w:rFonts w:ascii="Times New Roman" w:hAnsi="Times New Roman"/>
        </w:rPr>
        <w:t>p</w:t>
      </w:r>
      <w:r w:rsidRPr="00687FD1">
        <w:rPr>
          <w:rStyle w:val="InitialStyle"/>
          <w:rFonts w:ascii="Times New Roman" w:hAnsi="Times New Roman"/>
        </w:rPr>
        <w:t xml:space="preserve">ort </w:t>
      </w:r>
      <w:r w:rsidRPr="00687FD1" w:rsidR="00564460">
        <w:rPr>
          <w:rStyle w:val="InitialStyle"/>
          <w:rFonts w:ascii="Times New Roman" w:hAnsi="Times New Roman"/>
        </w:rPr>
        <w:t>o</w:t>
      </w:r>
      <w:r w:rsidRPr="00687FD1">
        <w:rPr>
          <w:rStyle w:val="InitialStyle"/>
          <w:rFonts w:ascii="Times New Roman" w:hAnsi="Times New Roman"/>
        </w:rPr>
        <w:t xml:space="preserve">fficial 72 hours in advance of the </w:t>
      </w:r>
      <w:r w:rsidRPr="00687FD1" w:rsidR="002F368A">
        <w:rPr>
          <w:rStyle w:val="InitialStyle"/>
          <w:rFonts w:ascii="Times New Roman" w:hAnsi="Times New Roman"/>
        </w:rPr>
        <w:t xml:space="preserve">shipment’s </w:t>
      </w:r>
      <w:r w:rsidRPr="00687FD1">
        <w:rPr>
          <w:rStyle w:val="InitialStyle"/>
          <w:rFonts w:ascii="Times New Roman" w:hAnsi="Times New Roman"/>
        </w:rPr>
        <w:t xml:space="preserve">expected arrival </w:t>
      </w:r>
      <w:r w:rsidRPr="00687FD1" w:rsidR="002F368A">
        <w:rPr>
          <w:rStyle w:val="InitialStyle"/>
          <w:rFonts w:ascii="Times New Roman" w:hAnsi="Times New Roman"/>
        </w:rPr>
        <w:t xml:space="preserve">to expedite the shipment’s inspection and </w:t>
      </w:r>
      <w:r w:rsidRPr="00687FD1">
        <w:rPr>
          <w:rStyle w:val="InitialStyle"/>
          <w:rFonts w:ascii="Times New Roman" w:hAnsi="Times New Roman"/>
        </w:rPr>
        <w:t>clearance.</w:t>
      </w:r>
      <w:r w:rsidRPr="00687FD1" w:rsidR="002F368A">
        <w:rPr>
          <w:rStyle w:val="InitialStyle"/>
          <w:rFonts w:ascii="Times New Roman" w:hAnsi="Times New Roman"/>
        </w:rPr>
        <w:t xml:space="preserve"> The shipment</w:t>
      </w:r>
      <w:r w:rsidRPr="00687FD1">
        <w:rPr>
          <w:rStyle w:val="InitialStyle"/>
          <w:rFonts w:ascii="Times New Roman" w:hAnsi="Times New Roman"/>
        </w:rPr>
        <w:t xml:space="preserve"> may not be removed until </w:t>
      </w:r>
      <w:r w:rsidRPr="00687FD1" w:rsidR="002F368A">
        <w:rPr>
          <w:rStyle w:val="InitialStyle"/>
          <w:rFonts w:ascii="Times New Roman" w:hAnsi="Times New Roman"/>
        </w:rPr>
        <w:t xml:space="preserve">the port official </w:t>
      </w:r>
      <w:r w:rsidRPr="00687FD1">
        <w:rPr>
          <w:rStyle w:val="InitialStyle"/>
          <w:rFonts w:ascii="Times New Roman" w:hAnsi="Times New Roman"/>
        </w:rPr>
        <w:t xml:space="preserve">determines that the shipment meets import requirements and releases the shipment. </w:t>
      </w:r>
    </w:p>
    <w:p w:rsidR="00FC0082" w:rsidP="00F92D66" w14:paraId="78014D63" w14:textId="77777777">
      <w:pPr>
        <w:pStyle w:val="DefaultText"/>
        <w:rPr>
          <w:rStyle w:val="InitialStyle"/>
          <w:rFonts w:ascii="Times New Roman" w:hAnsi="Times New Roman"/>
        </w:rPr>
      </w:pPr>
    </w:p>
    <w:p w:rsidR="002F368A" w:rsidRPr="00687FD1" w:rsidP="00F92D66" w14:paraId="6502C13B" w14:textId="77777777">
      <w:pPr>
        <w:pStyle w:val="DefaultText"/>
        <w:rPr>
          <w:rStyle w:val="InitialStyle"/>
          <w:rFonts w:ascii="Times New Roman" w:hAnsi="Times New Roman"/>
        </w:rPr>
      </w:pPr>
    </w:p>
    <w:p w:rsidR="00BE6F44" w:rsidRPr="00542947" w:rsidP="00F92D66" w14:paraId="35BBCE6C" w14:textId="77777777">
      <w:pPr>
        <w:pStyle w:val="DefaultText"/>
        <w:rPr>
          <w:rStyle w:val="InitialStyle"/>
          <w:rFonts w:ascii="Times New Roman" w:hAnsi="Times New Roman"/>
          <w:b/>
        </w:rPr>
      </w:pPr>
      <w:r w:rsidRPr="00542947">
        <w:rPr>
          <w:rStyle w:val="InitialStyle"/>
          <w:rFonts w:ascii="Times New Roman" w:hAnsi="Times New Roman"/>
          <w:b/>
        </w:rPr>
        <w:t>3.</w:t>
      </w:r>
      <w:r w:rsidRPr="00542947">
        <w:rPr>
          <w:rStyle w:val="InitialStyle"/>
          <w:rFonts w:ascii="Times New Roman" w:hAnsi="Times New Roman"/>
        </w:rPr>
        <w:t xml:space="preserve">  </w:t>
      </w:r>
      <w:r w:rsidRPr="00542947">
        <w:rPr>
          <w:rStyle w:val="InitialStyle"/>
          <w:rFonts w:ascii="Times New Roman" w:hAnsi="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77079" w:rsidRPr="00542947" w:rsidP="00F92D66" w14:paraId="00EAE4D9" w14:textId="77777777">
      <w:pPr>
        <w:pStyle w:val="DefaultText"/>
        <w:rPr>
          <w:rStyle w:val="InitialStyle"/>
          <w:rFonts w:ascii="Times New Roman" w:hAnsi="Times New Roman"/>
        </w:rPr>
      </w:pPr>
    </w:p>
    <w:p w:rsidR="009F1A75" w:rsidRPr="00542947" w:rsidP="00F92D66" w14:paraId="4E5A039E" w14:textId="3EA00EBF">
      <w:pPr>
        <w:pStyle w:val="DefaultText"/>
        <w:rPr>
          <w:rStyle w:val="InitialStyle"/>
          <w:rFonts w:ascii="Times New Roman" w:hAnsi="Times New Roman"/>
        </w:rPr>
      </w:pPr>
      <w:r w:rsidRPr="00542947">
        <w:rPr>
          <w:rStyle w:val="InitialStyle"/>
          <w:rFonts w:ascii="Times New Roman" w:hAnsi="Times New Roman"/>
        </w:rPr>
        <w:t>Electronic and automated</w:t>
      </w:r>
      <w:r w:rsidRPr="00542947" w:rsidR="00DA2AC3">
        <w:rPr>
          <w:rStyle w:val="InitialStyle"/>
          <w:rFonts w:ascii="Times New Roman" w:hAnsi="Times New Roman"/>
        </w:rPr>
        <w:t xml:space="preserve"> submission methods are minimal</w:t>
      </w:r>
      <w:r w:rsidRPr="00542947" w:rsidR="00340006">
        <w:rPr>
          <w:rStyle w:val="InitialStyle"/>
          <w:rFonts w:ascii="Times New Roman" w:hAnsi="Times New Roman"/>
        </w:rPr>
        <w:t>, although APHIS accepts electronic permit applications and issues import permits electronically via ePermits</w:t>
      </w:r>
      <w:r w:rsidRPr="00542947" w:rsidR="00DA2AC3">
        <w:rPr>
          <w:rStyle w:val="InitialStyle"/>
          <w:rFonts w:ascii="Times New Roman" w:hAnsi="Times New Roman"/>
        </w:rPr>
        <w:t xml:space="preserve">. </w:t>
      </w:r>
      <w:r w:rsidRPr="00542947" w:rsidR="007A0F06">
        <w:rPr>
          <w:rStyle w:val="InitialStyle"/>
          <w:rFonts w:ascii="Times New Roman" w:hAnsi="Times New Roman"/>
        </w:rPr>
        <w:t xml:space="preserve">Owners and contractors must provide original signature to the documents. </w:t>
      </w:r>
      <w:r w:rsidRPr="00542947" w:rsidR="00DA2AC3">
        <w:rPr>
          <w:rStyle w:val="InitialStyle"/>
          <w:rFonts w:ascii="Times New Roman" w:hAnsi="Times New Roman"/>
        </w:rPr>
        <w:t>In some situations electronic signatures may</w:t>
      </w:r>
      <w:r w:rsidRPr="00542947" w:rsidR="007A0F06">
        <w:rPr>
          <w:rStyle w:val="InitialStyle"/>
          <w:rFonts w:ascii="Times New Roman" w:hAnsi="Times New Roman"/>
        </w:rPr>
        <w:t xml:space="preserve"> </w:t>
      </w:r>
      <w:r w:rsidRPr="00542947" w:rsidR="00DA2AC3">
        <w:rPr>
          <w:rStyle w:val="InitialStyle"/>
          <w:rFonts w:ascii="Times New Roman" w:hAnsi="Times New Roman"/>
        </w:rPr>
        <w:t xml:space="preserve">be allowed and submitted via email. </w:t>
      </w:r>
    </w:p>
    <w:p w:rsidR="004155A7" w:rsidRPr="00542947" w:rsidP="00F92D66" w14:paraId="6E49935F" w14:textId="77777777">
      <w:pPr>
        <w:pStyle w:val="DefaultText"/>
        <w:rPr>
          <w:rStyle w:val="InitialStyle"/>
          <w:rFonts w:ascii="Times New Roman" w:hAnsi="Times New Roman"/>
        </w:rPr>
      </w:pPr>
    </w:p>
    <w:p w:rsidR="008A76EF" w:rsidRPr="00542947" w:rsidP="00F92D66" w14:paraId="17A79A0D" w14:textId="77777777">
      <w:pPr>
        <w:pStyle w:val="DefaultText"/>
        <w:rPr>
          <w:rStyle w:val="InitialStyle"/>
          <w:rFonts w:ascii="Times New Roman" w:hAnsi="Times New Roman"/>
        </w:rPr>
      </w:pPr>
    </w:p>
    <w:p w:rsidR="00BE6F44" w:rsidRPr="00542947" w:rsidP="00F92D66" w14:paraId="13CDA5FD" w14:textId="77777777">
      <w:pPr>
        <w:pStyle w:val="DefaultText"/>
        <w:rPr>
          <w:rStyle w:val="InitialStyle"/>
          <w:rFonts w:ascii="Times New Roman" w:hAnsi="Times New Roman"/>
          <w:b/>
        </w:rPr>
      </w:pPr>
      <w:r w:rsidRPr="00542947">
        <w:rPr>
          <w:rStyle w:val="InitialStyle"/>
          <w:rFonts w:ascii="Times New Roman" w:hAnsi="Times New Roman"/>
          <w:b/>
        </w:rPr>
        <w:t>4.  Describe efforts to identify duplication.  Show specifically why any similar information already available cannot be used or modified for use for the purpose described in item 2 above.</w:t>
      </w:r>
    </w:p>
    <w:p w:rsidR="00BE6F44" w:rsidRPr="00542947" w:rsidP="00F92D66" w14:paraId="53659667" w14:textId="77777777">
      <w:pPr>
        <w:pStyle w:val="DefaultText"/>
        <w:rPr>
          <w:rStyle w:val="InitialStyle"/>
          <w:rFonts w:ascii="Times New Roman" w:hAnsi="Times New Roman"/>
        </w:rPr>
      </w:pPr>
    </w:p>
    <w:p w:rsidR="00BE6F44" w:rsidRPr="00542947" w:rsidP="00F92D66" w14:paraId="7B47CFCC" w14:textId="77777777">
      <w:pPr>
        <w:pStyle w:val="DefaultText"/>
        <w:rPr>
          <w:rStyle w:val="InitialStyle"/>
          <w:rFonts w:ascii="Times New Roman" w:hAnsi="Times New Roman"/>
        </w:rPr>
      </w:pPr>
      <w:r w:rsidRPr="00542947">
        <w:rPr>
          <w:rStyle w:val="InitialStyle"/>
          <w:rFonts w:ascii="Times New Roman" w:hAnsi="Times New Roman"/>
        </w:rPr>
        <w:t>The information that APHIS collects</w:t>
      </w:r>
      <w:r w:rsidRPr="00542947" w:rsidR="00F35F66">
        <w:rPr>
          <w:rStyle w:val="InitialStyle"/>
          <w:rFonts w:ascii="Times New Roman" w:hAnsi="Times New Roman"/>
        </w:rPr>
        <w:t xml:space="preserve"> in connection with this </w:t>
      </w:r>
      <w:r w:rsidRPr="00542947" w:rsidR="002F368A">
        <w:rPr>
          <w:rStyle w:val="InitialStyle"/>
          <w:rFonts w:ascii="Times New Roman" w:hAnsi="Times New Roman"/>
        </w:rPr>
        <w:t xml:space="preserve">initiative </w:t>
      </w:r>
      <w:r w:rsidRPr="00542947">
        <w:rPr>
          <w:rStyle w:val="InitialStyle"/>
          <w:rFonts w:ascii="Times New Roman" w:hAnsi="Times New Roman"/>
        </w:rPr>
        <w:t xml:space="preserve">is not available from any other source. </w:t>
      </w:r>
      <w:r w:rsidRPr="00542947" w:rsidR="00B808CF">
        <w:rPr>
          <w:rStyle w:val="InitialStyle"/>
          <w:rFonts w:ascii="Times New Roman" w:hAnsi="Times New Roman"/>
        </w:rPr>
        <w:t>APHIS is</w:t>
      </w:r>
      <w:r w:rsidRPr="00542947">
        <w:rPr>
          <w:rStyle w:val="InitialStyle"/>
          <w:rFonts w:ascii="Times New Roman" w:hAnsi="Times New Roman"/>
        </w:rPr>
        <w:t xml:space="preserve"> the only Federal </w:t>
      </w:r>
      <w:r w:rsidRPr="00542947" w:rsidR="00066DA6">
        <w:rPr>
          <w:rStyle w:val="InitialStyle"/>
          <w:rFonts w:ascii="Times New Roman" w:hAnsi="Times New Roman"/>
        </w:rPr>
        <w:t>a</w:t>
      </w:r>
      <w:r w:rsidRPr="00542947">
        <w:rPr>
          <w:rStyle w:val="InitialStyle"/>
          <w:rFonts w:ascii="Times New Roman" w:hAnsi="Times New Roman"/>
        </w:rPr>
        <w:t xml:space="preserve">gency responsible for </w:t>
      </w:r>
      <w:r w:rsidRPr="00542947" w:rsidR="00F35F66">
        <w:rPr>
          <w:rStyle w:val="InitialStyle"/>
          <w:rFonts w:ascii="Times New Roman" w:hAnsi="Times New Roman"/>
        </w:rPr>
        <w:t xml:space="preserve">preventing, detecting, </w:t>
      </w:r>
      <w:r w:rsidRPr="00542947">
        <w:rPr>
          <w:rStyle w:val="InitialStyle"/>
          <w:rFonts w:ascii="Times New Roman" w:hAnsi="Times New Roman"/>
        </w:rPr>
        <w:t>controlling</w:t>
      </w:r>
      <w:r w:rsidRPr="00542947" w:rsidR="00997EC7">
        <w:rPr>
          <w:rStyle w:val="InitialStyle"/>
          <w:rFonts w:ascii="Times New Roman" w:hAnsi="Times New Roman"/>
        </w:rPr>
        <w:t>,</w:t>
      </w:r>
      <w:r w:rsidRPr="00542947">
        <w:rPr>
          <w:rStyle w:val="InitialStyle"/>
          <w:rFonts w:ascii="Times New Roman" w:hAnsi="Times New Roman"/>
        </w:rPr>
        <w:t xml:space="preserve"> and eliminating </w:t>
      </w:r>
      <w:r w:rsidRPr="00542947" w:rsidR="002F368A">
        <w:rPr>
          <w:rStyle w:val="InitialStyle"/>
          <w:rFonts w:ascii="Times New Roman" w:hAnsi="Times New Roman"/>
        </w:rPr>
        <w:t xml:space="preserve">animal </w:t>
      </w:r>
      <w:r w:rsidRPr="00542947" w:rsidR="00223784">
        <w:rPr>
          <w:rStyle w:val="InitialStyle"/>
          <w:rFonts w:ascii="Times New Roman" w:hAnsi="Times New Roman"/>
        </w:rPr>
        <w:t xml:space="preserve">diseases </w:t>
      </w:r>
      <w:r w:rsidRPr="00542947" w:rsidR="00F35F66">
        <w:rPr>
          <w:rStyle w:val="InitialStyle"/>
          <w:rFonts w:ascii="Times New Roman" w:hAnsi="Times New Roman"/>
        </w:rPr>
        <w:t>from the United States</w:t>
      </w:r>
      <w:r w:rsidRPr="00542947">
        <w:rPr>
          <w:rStyle w:val="InitialStyle"/>
          <w:rFonts w:ascii="Times New Roman" w:hAnsi="Times New Roman"/>
        </w:rPr>
        <w:t>.</w:t>
      </w:r>
      <w:r w:rsidRPr="00542947" w:rsidR="00223784">
        <w:rPr>
          <w:rStyle w:val="InitialStyle"/>
          <w:rFonts w:ascii="Times New Roman" w:hAnsi="Times New Roman"/>
        </w:rPr>
        <w:t xml:space="preserve"> </w:t>
      </w:r>
    </w:p>
    <w:p w:rsidR="00BE6F44" w:rsidRPr="00542947" w:rsidP="00F92D66" w14:paraId="0CFBB1E9" w14:textId="77777777">
      <w:pPr>
        <w:pStyle w:val="DefaultText"/>
        <w:rPr>
          <w:rStyle w:val="InitialStyle"/>
          <w:rFonts w:ascii="Times New Roman" w:hAnsi="Times New Roman"/>
        </w:rPr>
      </w:pPr>
    </w:p>
    <w:p w:rsidR="00BE6F44" w:rsidRPr="00542947" w:rsidP="00F92D66" w14:paraId="2EE4E13B" w14:textId="77777777">
      <w:pPr>
        <w:pStyle w:val="DefaultText"/>
        <w:rPr>
          <w:rStyle w:val="InitialStyle"/>
          <w:rFonts w:ascii="Times New Roman" w:hAnsi="Times New Roman"/>
        </w:rPr>
      </w:pPr>
    </w:p>
    <w:p w:rsidR="00BE6F44" w:rsidRPr="00542947" w:rsidP="00F92D66" w14:paraId="1DA16702" w14:textId="77777777">
      <w:pPr>
        <w:pStyle w:val="DefaultText"/>
        <w:rPr>
          <w:rStyle w:val="InitialStyle"/>
          <w:rFonts w:ascii="Times New Roman" w:hAnsi="Times New Roman"/>
        </w:rPr>
      </w:pPr>
      <w:r w:rsidRPr="00542947">
        <w:rPr>
          <w:rStyle w:val="InitialStyle"/>
          <w:rFonts w:ascii="Times New Roman" w:hAnsi="Times New Roman"/>
          <w:b/>
        </w:rPr>
        <w:t>5.  If the collection of information impacts small businesses or other small entities, describe any methods used to minimize burden.</w:t>
      </w:r>
    </w:p>
    <w:p w:rsidR="00BE6F44" w:rsidRPr="00542947" w:rsidP="00F92D66" w14:paraId="53F971A5" w14:textId="77777777">
      <w:pPr>
        <w:pStyle w:val="DefaultText"/>
        <w:rPr>
          <w:rStyle w:val="InitialStyle"/>
          <w:rFonts w:ascii="Times New Roman" w:hAnsi="Times New Roman"/>
        </w:rPr>
      </w:pPr>
    </w:p>
    <w:p w:rsidR="00BE6F44" w:rsidRPr="00542947" w:rsidP="00F92D66" w14:paraId="2389B071" w14:textId="55C99009">
      <w:pPr>
        <w:pStyle w:val="DefaultText"/>
        <w:rPr>
          <w:rStyle w:val="InitialStyle"/>
          <w:rFonts w:ascii="Times New Roman" w:hAnsi="Times New Roman"/>
        </w:rPr>
      </w:pPr>
      <w:r w:rsidRPr="00542947">
        <w:rPr>
          <w:rStyle w:val="InitialStyle"/>
          <w:rFonts w:ascii="Times New Roman" w:hAnsi="Times New Roman"/>
        </w:rPr>
        <w:t>APHIS estimates there are no small entities involved with this information collection.</w:t>
      </w:r>
      <w:r w:rsidRPr="00542947" w:rsidR="00921386">
        <w:rPr>
          <w:rStyle w:val="InitialStyle"/>
          <w:rFonts w:ascii="Times New Roman" w:hAnsi="Times New Roman"/>
        </w:rPr>
        <w:t xml:space="preserve"> </w:t>
      </w:r>
      <w:r w:rsidRPr="00542947" w:rsidR="00A00E9A">
        <w:rPr>
          <w:rStyle w:val="InitialStyle"/>
          <w:rFonts w:ascii="Times New Roman" w:hAnsi="Times New Roman"/>
        </w:rPr>
        <w:t xml:space="preserve">The information collected is the absolute minimum needed </w:t>
      </w:r>
      <w:r w:rsidRPr="00542947" w:rsidR="007A0F06">
        <w:rPr>
          <w:rStyle w:val="InitialStyle"/>
          <w:rFonts w:ascii="Times New Roman" w:hAnsi="Times New Roman"/>
        </w:rPr>
        <w:t xml:space="preserve">to prevent the spread of </w:t>
      </w:r>
      <w:r w:rsidRPr="00542947" w:rsidR="002F368A">
        <w:rPr>
          <w:rStyle w:val="InitialStyle"/>
          <w:rFonts w:ascii="Times New Roman" w:hAnsi="Times New Roman"/>
        </w:rPr>
        <w:t>TiLV</w:t>
      </w:r>
      <w:r w:rsidRPr="00542947" w:rsidR="00A00E9A">
        <w:rPr>
          <w:rStyle w:val="InitialStyle"/>
          <w:rFonts w:ascii="Times New Roman" w:hAnsi="Times New Roman"/>
        </w:rPr>
        <w:t xml:space="preserve">.  </w:t>
      </w:r>
    </w:p>
    <w:p w:rsidR="00330F4D" w:rsidRPr="00542947" w14:paraId="7442AF4C" w14:textId="77777777">
      <w:pPr>
        <w:overflowPunct/>
        <w:autoSpaceDE/>
        <w:autoSpaceDN/>
        <w:adjustRightInd/>
        <w:textAlignment w:val="auto"/>
        <w:rPr>
          <w:rStyle w:val="InitialStyle"/>
          <w:rFonts w:ascii="Times New Roman" w:hAnsi="Times New Roman"/>
        </w:rPr>
      </w:pPr>
    </w:p>
    <w:p w:rsidR="006C7266" w:rsidRPr="00542947" w14:paraId="3D4BE50E" w14:textId="77777777">
      <w:pPr>
        <w:overflowPunct/>
        <w:autoSpaceDE/>
        <w:autoSpaceDN/>
        <w:adjustRightInd/>
        <w:textAlignment w:val="auto"/>
        <w:rPr>
          <w:rStyle w:val="InitialStyle"/>
          <w:rFonts w:ascii="Times New Roman" w:hAnsi="Times New Roman"/>
        </w:rPr>
      </w:pPr>
    </w:p>
    <w:p w:rsidR="00BE6F44" w:rsidRPr="00542947" w:rsidP="00F92D66" w14:paraId="239F1A09" w14:textId="77777777">
      <w:pPr>
        <w:pStyle w:val="DefaultText"/>
        <w:rPr>
          <w:rStyle w:val="InitialStyle"/>
          <w:rFonts w:ascii="Times New Roman" w:hAnsi="Times New Roman"/>
          <w:b/>
        </w:rPr>
      </w:pPr>
      <w:r w:rsidRPr="00542947">
        <w:rPr>
          <w:rStyle w:val="InitialStyle"/>
          <w:rFonts w:ascii="Times New Roman" w:hAnsi="Times New Roman"/>
          <w:b/>
        </w:rPr>
        <w:t>6.  Describe the consequence to Federal program or policy activities if the collection is not conducted or is conducted less frequently, as well as any technical or legal obstacles to reducing burden.</w:t>
      </w:r>
    </w:p>
    <w:p w:rsidR="004A7CD6" w:rsidRPr="00542947" w:rsidP="00F92D66" w14:paraId="29B69DD8" w14:textId="77777777">
      <w:pPr>
        <w:pStyle w:val="DefaultText"/>
        <w:rPr>
          <w:rStyle w:val="InitialStyle"/>
          <w:rFonts w:ascii="Times New Roman" w:hAnsi="Times New Roman"/>
        </w:rPr>
      </w:pPr>
    </w:p>
    <w:p w:rsidR="00A17F4C" w:rsidP="00A17F4C" w14:paraId="02F50DB4" w14:textId="19B4CC2B">
      <w:pPr>
        <w:rPr>
          <w:rStyle w:val="InitialStyle"/>
          <w:rFonts w:ascii="Times New Roman" w:hAnsi="Times New Roman"/>
        </w:rPr>
      </w:pPr>
      <w:r w:rsidRPr="00542947">
        <w:rPr>
          <w:rStyle w:val="InitialStyle"/>
          <w:rFonts w:ascii="Times New Roman" w:hAnsi="Times New Roman"/>
        </w:rPr>
        <w:t>Collecting this information less frequently or failing to collect it would make it impossible for APHIS to contain and prevent TiLV outbreaks in the United States.</w:t>
      </w:r>
    </w:p>
    <w:p w:rsidR="00542947" w:rsidP="00A17F4C" w14:paraId="5081A057" w14:textId="77777777">
      <w:pPr>
        <w:rPr>
          <w:rStyle w:val="InitialStyle"/>
          <w:rFonts w:ascii="Times New Roman" w:hAnsi="Times New Roman"/>
        </w:rPr>
      </w:pPr>
    </w:p>
    <w:p w:rsidR="004A00B4" w:rsidRPr="00705FA7" w:rsidP="004A00B4" w14:paraId="26E861FA" w14:textId="4D0FA7E7">
      <w:pPr>
        <w:rPr>
          <w:sz w:val="24"/>
        </w:rPr>
      </w:pPr>
      <w:r w:rsidRPr="00542947">
        <w:rPr>
          <w:b/>
          <w:sz w:val="24"/>
        </w:rPr>
        <w:t>7.  Explain any special circumstances that require the collection to b</w:t>
      </w:r>
      <w:r w:rsidRPr="004A00B4">
        <w:rPr>
          <w:b/>
          <w:sz w:val="24"/>
        </w:rPr>
        <w:t>e conducted in a manner inconsistent with the general information collection guidelines in 5 CFR 1320.5, such as:</w:t>
      </w:r>
    </w:p>
    <w:p w:rsidR="004A00B4" w:rsidRPr="004A00B4" w:rsidP="00705FA7" w14:paraId="3C037588" w14:textId="77777777">
      <w:pPr>
        <w:numPr>
          <w:ilvl w:val="0"/>
          <w:numId w:val="29"/>
        </w:numPr>
        <w:overflowPunct/>
        <w:autoSpaceDE/>
        <w:autoSpaceDN/>
        <w:adjustRightInd/>
        <w:spacing w:before="120" w:after="120"/>
        <w:ind w:left="634" w:hanging="274"/>
        <w:textAlignment w:val="auto"/>
        <w:rPr>
          <w:b/>
          <w:sz w:val="24"/>
          <w:szCs w:val="24"/>
        </w:rPr>
      </w:pPr>
      <w:r w:rsidRPr="004A00B4">
        <w:rPr>
          <w:b/>
          <w:sz w:val="24"/>
          <w:szCs w:val="24"/>
        </w:rPr>
        <w:t>requiring respondents to report information to the agency more often than quarterly;</w:t>
      </w:r>
    </w:p>
    <w:p w:rsidR="004A00B4" w:rsidRPr="004A00B4" w:rsidP="00705FA7" w14:paraId="5DBA5AC5" w14:textId="77777777">
      <w:pPr>
        <w:numPr>
          <w:ilvl w:val="0"/>
          <w:numId w:val="29"/>
        </w:numPr>
        <w:overflowPunct/>
        <w:autoSpaceDE/>
        <w:autoSpaceDN/>
        <w:adjustRightInd/>
        <w:spacing w:before="120" w:after="120"/>
        <w:ind w:left="634" w:hanging="274"/>
        <w:textAlignment w:val="auto"/>
        <w:rPr>
          <w:b/>
          <w:sz w:val="24"/>
          <w:szCs w:val="24"/>
        </w:rPr>
      </w:pPr>
      <w:r w:rsidRPr="004A00B4">
        <w:rPr>
          <w:b/>
          <w:sz w:val="24"/>
          <w:szCs w:val="24"/>
        </w:rPr>
        <w:t>requiring respondents to prepare a written response to a collection of information in fewer than 30 days after receipt of it;</w:t>
      </w:r>
    </w:p>
    <w:p w:rsidR="004A00B4" w:rsidRPr="004A00B4" w:rsidP="00705FA7" w14:paraId="188DEFBA" w14:textId="77777777">
      <w:pPr>
        <w:numPr>
          <w:ilvl w:val="0"/>
          <w:numId w:val="30"/>
        </w:numPr>
        <w:overflowPunct/>
        <w:autoSpaceDE/>
        <w:autoSpaceDN/>
        <w:adjustRightInd/>
        <w:spacing w:before="120" w:after="120"/>
        <w:ind w:left="634" w:hanging="274"/>
        <w:textAlignment w:val="auto"/>
        <w:rPr>
          <w:b/>
          <w:sz w:val="24"/>
          <w:szCs w:val="24"/>
        </w:rPr>
      </w:pPr>
      <w:r w:rsidRPr="004A00B4">
        <w:rPr>
          <w:b/>
          <w:sz w:val="24"/>
          <w:szCs w:val="24"/>
        </w:rPr>
        <w:t>requiring respondents to submit more than an original and two copies of any document;</w:t>
      </w:r>
    </w:p>
    <w:p w:rsidR="004A00B4" w:rsidRPr="004A00B4" w:rsidP="00705FA7" w14:paraId="6344CC37" w14:textId="77777777">
      <w:pPr>
        <w:numPr>
          <w:ilvl w:val="0"/>
          <w:numId w:val="31"/>
        </w:numPr>
        <w:overflowPunct/>
        <w:autoSpaceDE/>
        <w:autoSpaceDN/>
        <w:adjustRightInd/>
        <w:spacing w:before="120" w:after="120"/>
        <w:ind w:left="634" w:hanging="274"/>
        <w:textAlignment w:val="auto"/>
        <w:rPr>
          <w:b/>
          <w:sz w:val="24"/>
          <w:szCs w:val="24"/>
        </w:rPr>
      </w:pPr>
      <w:r w:rsidRPr="004A00B4">
        <w:rPr>
          <w:b/>
          <w:sz w:val="24"/>
          <w:szCs w:val="24"/>
        </w:rPr>
        <w:t>requiring respondents to retain records, other than health, medical, government contract, grant-in-aid, or tax records for more than 3 years;</w:t>
      </w:r>
    </w:p>
    <w:p w:rsidR="004A00B4" w:rsidRPr="004A00B4" w:rsidP="00705FA7" w14:paraId="061BABB8" w14:textId="77777777">
      <w:pPr>
        <w:numPr>
          <w:ilvl w:val="0"/>
          <w:numId w:val="31"/>
        </w:numPr>
        <w:overflowPunct/>
        <w:autoSpaceDE/>
        <w:autoSpaceDN/>
        <w:adjustRightInd/>
        <w:spacing w:before="120" w:after="120"/>
        <w:ind w:left="634" w:hanging="274"/>
        <w:textAlignment w:val="auto"/>
        <w:rPr>
          <w:b/>
          <w:sz w:val="24"/>
          <w:szCs w:val="24"/>
        </w:rPr>
      </w:pPr>
      <w:r w:rsidRPr="004A00B4">
        <w:rPr>
          <w:b/>
          <w:sz w:val="24"/>
          <w:szCs w:val="24"/>
        </w:rPr>
        <w:t>in connection with a statistical survey, that is not designed to produce valid and reli</w:t>
      </w:r>
      <w:r w:rsidRPr="004A00B4">
        <w:rPr>
          <w:b/>
          <w:sz w:val="24"/>
          <w:szCs w:val="24"/>
        </w:rPr>
        <w:softHyphen/>
        <w:t>able results that can be generalized to the universe of study;</w:t>
      </w:r>
    </w:p>
    <w:p w:rsidR="004A00B4" w:rsidRPr="004A00B4" w:rsidP="00705FA7" w14:paraId="41618919" w14:textId="77777777">
      <w:pPr>
        <w:numPr>
          <w:ilvl w:val="0"/>
          <w:numId w:val="32"/>
        </w:numPr>
        <w:overflowPunct/>
        <w:autoSpaceDE/>
        <w:autoSpaceDN/>
        <w:adjustRightInd/>
        <w:spacing w:before="120" w:after="120"/>
        <w:ind w:left="634" w:hanging="274"/>
        <w:textAlignment w:val="auto"/>
        <w:rPr>
          <w:b/>
          <w:sz w:val="24"/>
          <w:szCs w:val="24"/>
        </w:rPr>
      </w:pPr>
      <w:r w:rsidRPr="004A00B4">
        <w:rPr>
          <w:b/>
          <w:sz w:val="24"/>
          <w:szCs w:val="24"/>
        </w:rPr>
        <w:t>requiring the use of a statistical data classification that has not been reviewed and approved by OMB;</w:t>
      </w:r>
    </w:p>
    <w:p w:rsidR="004A00B4" w:rsidRPr="004A00B4" w:rsidP="00705FA7" w14:paraId="76A06B78" w14:textId="77777777">
      <w:pPr>
        <w:numPr>
          <w:ilvl w:val="0"/>
          <w:numId w:val="33"/>
        </w:numPr>
        <w:overflowPunct/>
        <w:autoSpaceDE/>
        <w:autoSpaceDN/>
        <w:adjustRightInd/>
        <w:spacing w:before="120" w:after="120"/>
        <w:ind w:left="634" w:hanging="274"/>
        <w:textAlignment w:val="auto"/>
        <w:rPr>
          <w:b/>
          <w:sz w:val="24"/>
          <w:szCs w:val="24"/>
        </w:rPr>
      </w:pPr>
      <w:r w:rsidRPr="004A00B4">
        <w:rPr>
          <w:b/>
          <w:sz w:val="24"/>
          <w:szCs w:val="24"/>
        </w:rPr>
        <w:t>that includes a pledge of confidentiality that is not supported by authority estab</w:t>
      </w:r>
      <w:r w:rsidRPr="004A00B4">
        <w:rPr>
          <w:b/>
          <w:sz w:val="24"/>
          <w:szCs w:val="24"/>
        </w:rPr>
        <w:softHyphen/>
        <w:t>lished in statute or regulation, that is not supported by disclosure and data security policies that are consistent with the pledge, or which unnecessarily impedes sharing of data with other agencies for compatible confidential use; or</w:t>
      </w:r>
    </w:p>
    <w:p w:rsidR="004A00B4" w:rsidRPr="004A00B4" w:rsidP="00705FA7" w14:paraId="780BC58F" w14:textId="77777777">
      <w:pPr>
        <w:numPr>
          <w:ilvl w:val="0"/>
          <w:numId w:val="34"/>
        </w:numPr>
        <w:tabs>
          <w:tab w:val="num" w:pos="288"/>
        </w:tabs>
        <w:overflowPunct/>
        <w:autoSpaceDE/>
        <w:autoSpaceDN/>
        <w:adjustRightInd/>
        <w:spacing w:before="120" w:after="120"/>
        <w:ind w:left="634" w:hanging="274"/>
        <w:textAlignment w:val="auto"/>
        <w:rPr>
          <w:sz w:val="24"/>
          <w:szCs w:val="24"/>
        </w:rPr>
      </w:pPr>
      <w:r w:rsidRPr="004A00B4">
        <w:rPr>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4A00B4" w:rsidRPr="004A00B4" w:rsidP="004A00B4" w14:paraId="76A6F124" w14:textId="77777777">
      <w:pPr>
        <w:rPr>
          <w:sz w:val="24"/>
        </w:rPr>
      </w:pPr>
    </w:p>
    <w:p w:rsidR="004A00B4" w:rsidRPr="004A00B4" w:rsidP="004A00B4" w14:paraId="7D7DDC19" w14:textId="77777777">
      <w:pPr>
        <w:overflowPunct/>
        <w:textAlignment w:val="auto"/>
        <w:rPr>
          <w:rFonts w:cs="Courier New"/>
          <w:sz w:val="24"/>
          <w:szCs w:val="24"/>
        </w:rPr>
      </w:pPr>
      <w:r w:rsidRPr="004A00B4">
        <w:rPr>
          <w:rFonts w:cs="Courier New"/>
          <w:sz w:val="24"/>
          <w:szCs w:val="24"/>
        </w:rPr>
        <w:t>This information collection is conducted in a manner consistent with the guidelines established in 5 CFR 1320.5.</w:t>
      </w:r>
    </w:p>
    <w:p w:rsidR="004A00B4" w:rsidRPr="004A00B4" w:rsidP="004A00B4" w14:paraId="6071AC2F" w14:textId="77777777">
      <w:pPr>
        <w:overflowPunct/>
        <w:textAlignment w:val="auto"/>
        <w:rPr>
          <w:rFonts w:cs="Courier New"/>
          <w:sz w:val="24"/>
          <w:szCs w:val="24"/>
        </w:rPr>
      </w:pPr>
    </w:p>
    <w:p w:rsidR="004A00B4" w:rsidRPr="004A00B4" w:rsidP="004A00B4" w14:paraId="03E75FB8" w14:textId="77777777">
      <w:pPr>
        <w:overflowPunct/>
        <w:textAlignment w:val="auto"/>
        <w:rPr>
          <w:rFonts w:cs="Courier New"/>
          <w:sz w:val="24"/>
          <w:szCs w:val="24"/>
        </w:rPr>
      </w:pPr>
    </w:p>
    <w:p w:rsidR="00BE6F44" w:rsidRPr="004A00B4" w:rsidP="0028323D" w14:paraId="44F22089" w14:textId="77777777">
      <w:pPr>
        <w:pStyle w:val="DefaultText"/>
        <w:rPr>
          <w:rStyle w:val="InitialStyle"/>
          <w:rFonts w:ascii="Times New Roman" w:hAnsi="Times New Roman"/>
          <w:b/>
        </w:rPr>
      </w:pPr>
      <w:r w:rsidRPr="004A00B4">
        <w:rPr>
          <w:rStyle w:val="InitialStyle"/>
          <w:rFonts w:ascii="Times New Roman" w:hAnsi="Times New Roman"/>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00A17F4C" w:rsidRPr="004A00B4" w:rsidP="00A17F4C" w14:paraId="0B85360E" w14:textId="77777777">
      <w:pPr>
        <w:pStyle w:val="DefaultText"/>
        <w:rPr>
          <w:rStyle w:val="InitialStyle"/>
          <w:rFonts w:ascii="Times New Roman" w:hAnsi="Times New Roman"/>
        </w:rPr>
      </w:pPr>
    </w:p>
    <w:p w:rsidR="004A00B4" w:rsidRPr="004A00B4" w:rsidP="004A00B4" w14:paraId="1407AAFB" w14:textId="764231D8">
      <w:pPr>
        <w:rPr>
          <w:rStyle w:val="InitialStyle"/>
          <w:rFonts w:ascii="Times New Roman" w:hAnsi="Times New Roman"/>
          <w:szCs w:val="24"/>
        </w:rPr>
      </w:pPr>
      <w:r w:rsidRPr="004A00B4">
        <w:rPr>
          <w:rStyle w:val="InitialStyle"/>
          <w:rFonts w:ascii="Times New Roman" w:hAnsi="Times New Roman"/>
        </w:rPr>
        <w:t xml:space="preserve">APHIS engaged in productive consultations with the following individuals </w:t>
      </w:r>
      <w:r w:rsidR="005767ED">
        <w:rPr>
          <w:rStyle w:val="InitialStyle"/>
          <w:rFonts w:ascii="Times New Roman" w:hAnsi="Times New Roman"/>
        </w:rPr>
        <w:t xml:space="preserve">via email or phone </w:t>
      </w:r>
      <w:r w:rsidRPr="004A00B4">
        <w:rPr>
          <w:rStyle w:val="InitialStyle"/>
          <w:rFonts w:ascii="Times New Roman" w:hAnsi="Times New Roman"/>
        </w:rPr>
        <w:t>in connection with the information collection requirements associated with</w:t>
      </w:r>
      <w:r w:rsidR="009D011C">
        <w:rPr>
          <w:rStyle w:val="InitialStyle"/>
          <w:rFonts w:ascii="Times New Roman" w:hAnsi="Times New Roman"/>
        </w:rPr>
        <w:t xml:space="preserve"> this renewal</w:t>
      </w:r>
      <w:r w:rsidRPr="004A00B4">
        <w:rPr>
          <w:rStyle w:val="InitialStyle"/>
          <w:rFonts w:ascii="Times New Roman" w:hAnsi="Times New Roman"/>
        </w:rPr>
        <w:t xml:space="preserve">. </w:t>
      </w:r>
      <w:r w:rsidR="009D011C">
        <w:rPr>
          <w:rStyle w:val="InitialStyle"/>
          <w:rFonts w:ascii="Times New Roman" w:hAnsi="Times New Roman"/>
        </w:rPr>
        <w:t xml:space="preserve"> The discussions centered around the necessary information being collected by APHIS to administer the import requirements</w:t>
      </w:r>
      <w:r w:rsidR="005767ED">
        <w:rPr>
          <w:rStyle w:val="InitialStyle"/>
          <w:rFonts w:ascii="Times New Roman" w:hAnsi="Times New Roman"/>
        </w:rPr>
        <w:t xml:space="preserve">, </w:t>
      </w:r>
      <w:r w:rsidRPr="005767ED" w:rsidR="005767ED">
        <w:rPr>
          <w:rStyle w:val="InitialStyle"/>
          <w:rFonts w:ascii="Times New Roman" w:hAnsi="Times New Roman"/>
        </w:rPr>
        <w:t>how frequently the information is collected; how much data is available; the convenience and clarity of reporting formats and other collection instruments; and the clarity of, and necessity for, any recordkeeping requirements.</w:t>
      </w:r>
      <w:r w:rsidR="005767ED">
        <w:rPr>
          <w:rStyle w:val="InitialStyle"/>
          <w:rFonts w:ascii="Times New Roman" w:hAnsi="Times New Roman"/>
        </w:rPr>
        <w:t xml:space="preserve">  </w:t>
      </w:r>
      <w:r w:rsidRPr="004A00B4">
        <w:rPr>
          <w:rStyle w:val="InitialStyle"/>
          <w:rFonts w:ascii="Times New Roman" w:hAnsi="Times New Roman"/>
          <w:szCs w:val="24"/>
        </w:rPr>
        <w:t xml:space="preserve">The respondents </w:t>
      </w:r>
      <w:r w:rsidR="005767ED">
        <w:rPr>
          <w:rStyle w:val="InitialStyle"/>
          <w:rFonts w:ascii="Times New Roman" w:hAnsi="Times New Roman"/>
          <w:szCs w:val="24"/>
        </w:rPr>
        <w:t xml:space="preserve">expressed no concerns </w:t>
      </w:r>
      <w:r w:rsidRPr="004A00B4">
        <w:rPr>
          <w:rStyle w:val="InitialStyle"/>
          <w:rFonts w:ascii="Times New Roman" w:hAnsi="Times New Roman"/>
          <w:szCs w:val="24"/>
        </w:rPr>
        <w:t>with any of these items and had no further recommendations.</w:t>
      </w:r>
    </w:p>
    <w:p w:rsidR="004A00B4" w:rsidRPr="004A00B4" w:rsidP="004A00B4" w14:paraId="053723BF" w14:textId="77777777">
      <w:pPr>
        <w:rPr>
          <w:rStyle w:val="InitialStyle"/>
          <w:rFonts w:ascii="Times New Roman" w:hAnsi="Times New Roman"/>
          <w:szCs w:val="24"/>
        </w:rPr>
      </w:pPr>
    </w:p>
    <w:p w:rsidR="005A2FC5" w:rsidRPr="005A2FC5" w:rsidP="005A2FC5" w14:paraId="1004643F" w14:textId="77777777">
      <w:pPr>
        <w:pStyle w:val="DefaultText"/>
        <w:rPr>
          <w:szCs w:val="24"/>
        </w:rPr>
      </w:pPr>
      <w:r w:rsidRPr="005A2FC5">
        <w:rPr>
          <w:szCs w:val="24"/>
        </w:rPr>
        <w:t>Matt Rice</w:t>
      </w:r>
    </w:p>
    <w:p w:rsidR="005A2FC5" w:rsidRPr="005A2FC5" w:rsidP="005A2FC5" w14:paraId="13867DC3" w14:textId="77777777">
      <w:pPr>
        <w:pStyle w:val="DefaultText"/>
        <w:rPr>
          <w:szCs w:val="24"/>
        </w:rPr>
      </w:pPr>
      <w:r w:rsidRPr="005A2FC5">
        <w:rPr>
          <w:szCs w:val="24"/>
        </w:rPr>
        <w:t xml:space="preserve">CIS International Holding Corp. </w:t>
      </w:r>
    </w:p>
    <w:p w:rsidR="005A2FC5" w:rsidRPr="005A2FC5" w:rsidP="005A2FC5" w14:paraId="29935026" w14:textId="77777777">
      <w:pPr>
        <w:pStyle w:val="DefaultText"/>
        <w:rPr>
          <w:szCs w:val="24"/>
        </w:rPr>
      </w:pPr>
      <w:r w:rsidRPr="005A2FC5">
        <w:rPr>
          <w:szCs w:val="24"/>
        </w:rPr>
        <w:t>1405 W. 178</w:t>
      </w:r>
      <w:r w:rsidRPr="005A2FC5">
        <w:rPr>
          <w:szCs w:val="24"/>
          <w:vertAlign w:val="superscript"/>
        </w:rPr>
        <w:t>th</w:t>
      </w:r>
      <w:r w:rsidRPr="005A2FC5">
        <w:rPr>
          <w:szCs w:val="24"/>
        </w:rPr>
        <w:t xml:space="preserve"> Street</w:t>
      </w:r>
    </w:p>
    <w:p w:rsidR="005A2FC5" w:rsidRPr="005A2FC5" w:rsidP="005A2FC5" w14:paraId="13767F06" w14:textId="77777777">
      <w:pPr>
        <w:pStyle w:val="DefaultText"/>
        <w:rPr>
          <w:szCs w:val="24"/>
        </w:rPr>
      </w:pPr>
      <w:r w:rsidRPr="005A2FC5">
        <w:rPr>
          <w:szCs w:val="24"/>
        </w:rPr>
        <w:t>Gardena, CA 90248</w:t>
      </w:r>
    </w:p>
    <w:p w:rsidR="005A2FC5" w:rsidRPr="005A2FC5" w:rsidP="005A2FC5" w14:paraId="43F3CC04" w14:textId="7AE848D3">
      <w:pPr>
        <w:pStyle w:val="DefaultText"/>
        <w:rPr>
          <w:szCs w:val="24"/>
        </w:rPr>
      </w:pPr>
      <w:r>
        <w:rPr>
          <w:szCs w:val="24"/>
        </w:rPr>
        <w:t xml:space="preserve">Phone: </w:t>
      </w:r>
      <w:r w:rsidRPr="005A2FC5">
        <w:rPr>
          <w:szCs w:val="24"/>
        </w:rPr>
        <w:t>(310) 515-9469</w:t>
      </w:r>
    </w:p>
    <w:p w:rsidR="005A2FC5" w:rsidRPr="005A2FC5" w:rsidP="005A2FC5" w14:paraId="7AE69030" w14:textId="311A0D77">
      <w:pPr>
        <w:pStyle w:val="DefaultText"/>
        <w:rPr>
          <w:szCs w:val="24"/>
        </w:rPr>
      </w:pPr>
      <w:r>
        <w:rPr>
          <w:szCs w:val="24"/>
        </w:rPr>
        <w:t xml:space="preserve">Email: </w:t>
      </w:r>
      <w:r w:rsidRPr="00705FA7">
        <w:rPr>
          <w:szCs w:val="24"/>
        </w:rPr>
        <w:t>orderentry@etropicalfish.com</w:t>
      </w:r>
    </w:p>
    <w:p w:rsidR="005A2FC5" w:rsidRPr="005A2FC5" w:rsidP="005A2FC5" w14:paraId="7A36805D" w14:textId="77777777">
      <w:pPr>
        <w:pStyle w:val="DefaultText"/>
        <w:rPr>
          <w:szCs w:val="24"/>
        </w:rPr>
      </w:pPr>
    </w:p>
    <w:p w:rsidR="005A2FC5" w:rsidRPr="005A2FC5" w:rsidP="007476F1" w14:paraId="17E7649A" w14:textId="77777777">
      <w:pPr>
        <w:pStyle w:val="DefaultText"/>
        <w:rPr>
          <w:szCs w:val="24"/>
        </w:rPr>
      </w:pPr>
      <w:r w:rsidRPr="005A2FC5">
        <w:rPr>
          <w:szCs w:val="24"/>
        </w:rPr>
        <w:t>Lon Michael Baines</w:t>
      </w:r>
    </w:p>
    <w:p w:rsidR="005A2FC5" w:rsidRPr="005A2FC5" w:rsidP="005A2FC5" w14:paraId="230B2251" w14:textId="77777777">
      <w:pPr>
        <w:pStyle w:val="DefaultText"/>
        <w:rPr>
          <w:szCs w:val="24"/>
        </w:rPr>
      </w:pPr>
      <w:r w:rsidRPr="005A2FC5">
        <w:rPr>
          <w:szCs w:val="24"/>
        </w:rPr>
        <w:t>Exotic Pet Wholesale</w:t>
      </w:r>
    </w:p>
    <w:p w:rsidR="005A2FC5" w:rsidRPr="005A2FC5" w:rsidP="005A2FC5" w14:paraId="7D304401" w14:textId="77777777">
      <w:pPr>
        <w:pStyle w:val="DefaultText"/>
        <w:rPr>
          <w:szCs w:val="24"/>
        </w:rPr>
      </w:pPr>
      <w:r w:rsidRPr="005A2FC5">
        <w:rPr>
          <w:szCs w:val="24"/>
        </w:rPr>
        <w:t>12003 W. Pic Boulevard</w:t>
      </w:r>
    </w:p>
    <w:p w:rsidR="005A2FC5" w:rsidRPr="005A2FC5" w:rsidP="005A2FC5" w14:paraId="3FADDE9D" w14:textId="77777777">
      <w:pPr>
        <w:pStyle w:val="DefaultText"/>
        <w:rPr>
          <w:szCs w:val="24"/>
        </w:rPr>
      </w:pPr>
      <w:r w:rsidRPr="005A2FC5">
        <w:rPr>
          <w:szCs w:val="24"/>
        </w:rPr>
        <w:t>Los Angeles, CA 90064</w:t>
      </w:r>
    </w:p>
    <w:p w:rsidR="005A2FC5" w:rsidRPr="005A2FC5" w:rsidP="005A2FC5" w14:paraId="0C41F771" w14:textId="4034E14C">
      <w:pPr>
        <w:pStyle w:val="DefaultText"/>
        <w:rPr>
          <w:szCs w:val="24"/>
        </w:rPr>
      </w:pPr>
      <w:r>
        <w:rPr>
          <w:szCs w:val="24"/>
        </w:rPr>
        <w:t xml:space="preserve">Phone: </w:t>
      </w:r>
      <w:r w:rsidRPr="005A2FC5">
        <w:rPr>
          <w:szCs w:val="24"/>
        </w:rPr>
        <w:t>(310) 801-2235</w:t>
      </w:r>
    </w:p>
    <w:p w:rsidR="005A2FC5" w:rsidRPr="005A2FC5" w:rsidP="005A2FC5" w14:paraId="59BE6BB0" w14:textId="7FFFC36A">
      <w:pPr>
        <w:pStyle w:val="DefaultText"/>
        <w:rPr>
          <w:szCs w:val="24"/>
        </w:rPr>
      </w:pPr>
      <w:r>
        <w:rPr>
          <w:szCs w:val="24"/>
        </w:rPr>
        <w:t xml:space="preserve">Email: </w:t>
      </w:r>
      <w:r w:rsidRPr="00705FA7">
        <w:rPr>
          <w:szCs w:val="24"/>
        </w:rPr>
        <w:t>exoticpetwholesale@gmail.com</w:t>
      </w:r>
      <w:r w:rsidRPr="005A2FC5">
        <w:rPr>
          <w:szCs w:val="24"/>
        </w:rPr>
        <w:t xml:space="preserve"> </w:t>
      </w:r>
    </w:p>
    <w:p w:rsidR="005A2FC5" w:rsidRPr="005A2FC5" w:rsidP="005A2FC5" w14:paraId="79361D45" w14:textId="77777777">
      <w:pPr>
        <w:pStyle w:val="DefaultText"/>
        <w:rPr>
          <w:szCs w:val="24"/>
        </w:rPr>
      </w:pPr>
    </w:p>
    <w:p w:rsidR="005A2FC5" w:rsidRPr="005A2FC5" w:rsidP="007476F1" w14:paraId="2C0DD435" w14:textId="77777777">
      <w:pPr>
        <w:pStyle w:val="DefaultText"/>
        <w:rPr>
          <w:szCs w:val="24"/>
        </w:rPr>
      </w:pPr>
      <w:r w:rsidRPr="005A2FC5">
        <w:rPr>
          <w:szCs w:val="24"/>
        </w:rPr>
        <w:t xml:space="preserve">Mark Goral </w:t>
      </w:r>
    </w:p>
    <w:p w:rsidR="005A2FC5" w:rsidRPr="005A2FC5" w:rsidP="005A2FC5" w14:paraId="2992BDB6" w14:textId="77777777">
      <w:pPr>
        <w:pStyle w:val="DefaultText"/>
        <w:rPr>
          <w:szCs w:val="24"/>
        </w:rPr>
      </w:pPr>
      <w:r w:rsidRPr="005A2FC5">
        <w:rPr>
          <w:szCs w:val="24"/>
        </w:rPr>
        <w:t xml:space="preserve">Apet, Inc. </w:t>
      </w:r>
    </w:p>
    <w:p w:rsidR="005A2FC5" w:rsidRPr="005A2FC5" w:rsidP="005A2FC5" w14:paraId="7D84BB64" w14:textId="7843ABD2">
      <w:pPr>
        <w:pStyle w:val="DefaultText"/>
        <w:rPr>
          <w:szCs w:val="24"/>
        </w:rPr>
      </w:pPr>
      <w:r w:rsidRPr="005A2FC5">
        <w:rPr>
          <w:szCs w:val="24"/>
        </w:rPr>
        <w:t>195 Prairie Lake Road</w:t>
      </w:r>
    </w:p>
    <w:p w:rsidR="005A2FC5" w:rsidRPr="005A2FC5" w:rsidP="005A2FC5" w14:paraId="6815E815" w14:textId="39CD77ED">
      <w:pPr>
        <w:pStyle w:val="DefaultText"/>
        <w:rPr>
          <w:szCs w:val="24"/>
        </w:rPr>
      </w:pPr>
      <w:r w:rsidRPr="005A2FC5">
        <w:rPr>
          <w:szCs w:val="24"/>
        </w:rPr>
        <w:t>East Dundee, IL</w:t>
      </w:r>
      <w:r w:rsidR="00797AA3">
        <w:rPr>
          <w:szCs w:val="24"/>
        </w:rPr>
        <w:t xml:space="preserve"> 60118</w:t>
      </w:r>
    </w:p>
    <w:p w:rsidR="005A2FC5" w:rsidRPr="005A2FC5" w:rsidP="005A2FC5" w14:paraId="2B75581B" w14:textId="49F72211">
      <w:pPr>
        <w:pStyle w:val="DefaultText"/>
        <w:rPr>
          <w:szCs w:val="24"/>
        </w:rPr>
      </w:pPr>
      <w:r>
        <w:rPr>
          <w:szCs w:val="24"/>
        </w:rPr>
        <w:t xml:space="preserve">Phone: </w:t>
      </w:r>
      <w:r w:rsidRPr="005A2FC5">
        <w:rPr>
          <w:szCs w:val="24"/>
        </w:rPr>
        <w:t>(847) 586-5800</w:t>
      </w:r>
    </w:p>
    <w:p w:rsidR="005A2FC5" w:rsidP="005A2FC5" w14:paraId="4FC1BB8E" w14:textId="386ABE0D">
      <w:pPr>
        <w:pStyle w:val="DefaultText"/>
        <w:rPr>
          <w:szCs w:val="24"/>
        </w:rPr>
      </w:pPr>
      <w:r>
        <w:rPr>
          <w:szCs w:val="24"/>
        </w:rPr>
        <w:t xml:space="preserve">Email: </w:t>
      </w:r>
      <w:r w:rsidRPr="00A9575A" w:rsidR="00A20148">
        <w:rPr>
          <w:szCs w:val="24"/>
        </w:rPr>
        <w:t>mgoral@apetinc.com</w:t>
      </w:r>
    </w:p>
    <w:p w:rsidR="00A20148" w:rsidP="005A2FC5" w14:paraId="22802C1C" w14:textId="6206D4A6">
      <w:pPr>
        <w:pStyle w:val="DefaultText"/>
        <w:rPr>
          <w:szCs w:val="24"/>
        </w:rPr>
      </w:pPr>
    </w:p>
    <w:p w:rsidR="00A20148" w:rsidRPr="005A2FC5" w:rsidP="005A2FC5" w14:paraId="3B18CD5B" w14:textId="50BFA06A">
      <w:pPr>
        <w:pStyle w:val="DefaultText"/>
        <w:rPr>
          <w:szCs w:val="24"/>
        </w:rPr>
      </w:pPr>
      <w:r w:rsidRPr="00A20148">
        <w:rPr>
          <w:szCs w:val="24"/>
        </w:rPr>
        <w:t xml:space="preserve">On </w:t>
      </w:r>
      <w:r w:rsidR="006D67CD">
        <w:rPr>
          <w:szCs w:val="24"/>
        </w:rPr>
        <w:t>Friday, December 9, 2022</w:t>
      </w:r>
      <w:r w:rsidRPr="00A20148">
        <w:rPr>
          <w:szCs w:val="24"/>
        </w:rPr>
        <w:t xml:space="preserve">, APHIS published in the Federal Register </w:t>
      </w:r>
      <w:r w:rsidRPr="00870906" w:rsidR="00870906">
        <w:rPr>
          <w:szCs w:val="24"/>
        </w:rPr>
        <w:t>(87</w:t>
      </w:r>
      <w:r w:rsidRPr="00870906">
        <w:rPr>
          <w:szCs w:val="24"/>
        </w:rPr>
        <w:t xml:space="preserve"> FR </w:t>
      </w:r>
      <w:r w:rsidRPr="00870906" w:rsidR="00870906">
        <w:rPr>
          <w:szCs w:val="24"/>
        </w:rPr>
        <w:t>75586</w:t>
      </w:r>
      <w:r w:rsidRPr="00870906">
        <w:rPr>
          <w:szCs w:val="24"/>
        </w:rPr>
        <w:t>),</w:t>
      </w:r>
      <w:r w:rsidRPr="00A20148">
        <w:rPr>
          <w:szCs w:val="24"/>
        </w:rPr>
        <w:t xml:space="preserve"> a 60-day notice seeking public comments on its plans to request a 3-year approval of this collection of </w:t>
      </w:r>
      <w:r w:rsidRPr="00870906">
        <w:rPr>
          <w:szCs w:val="24"/>
        </w:rPr>
        <w:t xml:space="preserve">information.  APHIS </w:t>
      </w:r>
      <w:r w:rsidRPr="00870906" w:rsidR="000F0F06">
        <w:rPr>
          <w:szCs w:val="24"/>
        </w:rPr>
        <w:t xml:space="preserve">did not </w:t>
      </w:r>
      <w:r w:rsidRPr="00870906">
        <w:rPr>
          <w:szCs w:val="24"/>
        </w:rPr>
        <w:t>receive any public comments.</w:t>
      </w:r>
    </w:p>
    <w:p w:rsidR="002150FA" w:rsidRPr="00397B69" w:rsidP="00231282" w14:paraId="7D759002" w14:textId="77777777">
      <w:pPr>
        <w:rPr>
          <w:rStyle w:val="InitialStyle"/>
          <w:rFonts w:ascii="Times New Roman" w:hAnsi="Times New Roman"/>
          <w:szCs w:val="24"/>
        </w:rPr>
      </w:pPr>
    </w:p>
    <w:p w:rsidR="00D847AA" w:rsidRPr="00397B69" w:rsidP="00F92D66" w14:paraId="7F0871A7" w14:textId="77777777">
      <w:pPr>
        <w:pStyle w:val="DefaultText"/>
        <w:rPr>
          <w:szCs w:val="24"/>
        </w:rPr>
      </w:pPr>
    </w:p>
    <w:p w:rsidR="00BE6F44" w:rsidRPr="0007075F" w:rsidP="00F92D66" w14:paraId="10EF165E" w14:textId="77777777">
      <w:pPr>
        <w:pStyle w:val="DefaultText"/>
        <w:rPr>
          <w:rStyle w:val="InitialStyle"/>
          <w:rFonts w:ascii="Times New Roman" w:hAnsi="Times New Roman"/>
        </w:rPr>
      </w:pPr>
      <w:r w:rsidRPr="0007075F">
        <w:rPr>
          <w:rStyle w:val="InitialStyle"/>
          <w:rFonts w:ascii="Times New Roman" w:hAnsi="Times New Roman"/>
          <w:b/>
        </w:rPr>
        <w:t>9.  Explain any decision to provide any payment or gift to respondents, other than reenumeration of contractors or grantees.</w:t>
      </w:r>
    </w:p>
    <w:p w:rsidR="00BE6F44" w:rsidRPr="0007075F" w:rsidP="00F92D66" w14:paraId="3F39C959" w14:textId="77777777">
      <w:pPr>
        <w:pStyle w:val="DefaultText"/>
        <w:rPr>
          <w:rStyle w:val="InitialStyle"/>
          <w:rFonts w:ascii="Times New Roman" w:hAnsi="Times New Roman"/>
        </w:rPr>
      </w:pPr>
    </w:p>
    <w:p w:rsidR="00BE6F44" w:rsidRPr="0007075F" w:rsidP="00F92D66" w14:paraId="26EE33D3" w14:textId="77777777">
      <w:pPr>
        <w:pStyle w:val="DefaultText"/>
        <w:rPr>
          <w:rStyle w:val="InitialStyle"/>
          <w:rFonts w:ascii="Times New Roman" w:hAnsi="Times New Roman"/>
        </w:rPr>
      </w:pPr>
      <w:r w:rsidRPr="0007075F">
        <w:rPr>
          <w:rStyle w:val="InitialStyle"/>
          <w:rFonts w:ascii="Times New Roman" w:hAnsi="Times New Roman"/>
        </w:rPr>
        <w:t>This information collection activity involves no payments or gifts to respondents.</w:t>
      </w:r>
    </w:p>
    <w:p w:rsidR="00BE6F44" w:rsidRPr="0007075F" w:rsidP="00F92D66" w14:paraId="1B46ECFD" w14:textId="77777777">
      <w:pPr>
        <w:pStyle w:val="DefaultText"/>
        <w:rPr>
          <w:rStyle w:val="InitialStyle"/>
          <w:rFonts w:ascii="Times New Roman" w:hAnsi="Times New Roman"/>
        </w:rPr>
      </w:pPr>
    </w:p>
    <w:p w:rsidR="00FB427F" w:rsidRPr="0007075F" w:rsidP="00F92D66" w14:paraId="0AFE5664" w14:textId="77777777">
      <w:pPr>
        <w:pStyle w:val="DefaultText"/>
        <w:rPr>
          <w:rStyle w:val="InitialStyle"/>
          <w:rFonts w:ascii="Times New Roman" w:hAnsi="Times New Roman"/>
        </w:rPr>
      </w:pPr>
    </w:p>
    <w:p w:rsidR="00BE6F44" w:rsidRPr="0007075F" w:rsidP="00F92D66" w14:paraId="5A4501CF" w14:textId="77777777">
      <w:pPr>
        <w:pStyle w:val="DefaultText"/>
        <w:rPr>
          <w:rStyle w:val="InitialStyle"/>
          <w:rFonts w:ascii="Times New Roman" w:hAnsi="Times New Roman"/>
        </w:rPr>
      </w:pPr>
      <w:r w:rsidRPr="0007075F">
        <w:rPr>
          <w:rStyle w:val="InitialStyle"/>
          <w:rFonts w:ascii="Times New Roman" w:hAnsi="Times New Roman"/>
          <w:b/>
        </w:rPr>
        <w:t>10.  Describe any assurance of confidentiality provided to respondents and the basis for the assurance in statute, regulation, or agency policy.</w:t>
      </w:r>
    </w:p>
    <w:p w:rsidR="00BE6F44" w:rsidRPr="0007075F" w:rsidP="00F92D66" w14:paraId="246346FB" w14:textId="77777777">
      <w:pPr>
        <w:pStyle w:val="DefaultText"/>
        <w:rPr>
          <w:rStyle w:val="InitialStyle"/>
          <w:rFonts w:ascii="Times New Roman" w:hAnsi="Times New Roman"/>
        </w:rPr>
      </w:pPr>
    </w:p>
    <w:p w:rsidR="00BE6F44" w:rsidRPr="0007075F" w:rsidP="00BB1A57" w14:paraId="0FA6CA6D" w14:textId="77777777">
      <w:pPr>
        <w:rPr>
          <w:rStyle w:val="InitialStyle"/>
          <w:rFonts w:ascii="Times New Roman" w:hAnsi="Times New Roman"/>
        </w:rPr>
      </w:pPr>
      <w:r w:rsidRPr="0007075F">
        <w:rPr>
          <w:sz w:val="24"/>
          <w:szCs w:val="24"/>
        </w:rPr>
        <w:t>No additional assurance of confidentiality is provided with this information collection.</w:t>
      </w:r>
    </w:p>
    <w:p w:rsidR="00194394" w:rsidP="00F92D66" w14:paraId="177C874C" w14:textId="77777777">
      <w:pPr>
        <w:pStyle w:val="DefaultText"/>
        <w:rPr>
          <w:rStyle w:val="InitialStyle"/>
          <w:rFonts w:ascii="Times New Roman" w:hAnsi="Times New Roman"/>
        </w:rPr>
      </w:pPr>
    </w:p>
    <w:p w:rsidR="00194394" w:rsidRPr="0007075F" w:rsidP="00F92D66" w14:paraId="1F5F28C2" w14:textId="77777777">
      <w:pPr>
        <w:pStyle w:val="DefaultText"/>
        <w:rPr>
          <w:rStyle w:val="InitialStyle"/>
          <w:rFonts w:ascii="Times New Roman" w:hAnsi="Times New Roman"/>
        </w:rPr>
      </w:pPr>
    </w:p>
    <w:p w:rsidR="00BE6F44" w:rsidRPr="0007075F" w:rsidP="00F92D66" w14:paraId="007B2CBD" w14:textId="77777777">
      <w:pPr>
        <w:pStyle w:val="DefaultText"/>
        <w:rPr>
          <w:rStyle w:val="InitialStyle"/>
          <w:rFonts w:ascii="Times New Roman" w:hAnsi="Times New Roman"/>
          <w:b/>
        </w:rPr>
      </w:pPr>
      <w:r w:rsidRPr="0007075F">
        <w:rPr>
          <w:rStyle w:val="InitialStyle"/>
          <w:rFonts w:ascii="Times New Roman" w:hAnsi="Times New Roman"/>
          <w:b/>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E6F44" w:rsidRPr="0007075F" w:rsidP="00F92D66" w14:paraId="10700A9B" w14:textId="77777777">
      <w:pPr>
        <w:pStyle w:val="DefaultText"/>
        <w:rPr>
          <w:rStyle w:val="InitialStyle"/>
          <w:rFonts w:ascii="Times New Roman" w:hAnsi="Times New Roman"/>
        </w:rPr>
      </w:pPr>
    </w:p>
    <w:p w:rsidR="00BE6F44" w:rsidRPr="0007075F" w:rsidP="00F92D66" w14:paraId="35539BC6" w14:textId="77777777">
      <w:pPr>
        <w:pStyle w:val="DefaultText"/>
        <w:rPr>
          <w:rStyle w:val="InitialStyle"/>
          <w:rFonts w:ascii="Times New Roman" w:hAnsi="Times New Roman"/>
        </w:rPr>
      </w:pPr>
      <w:r w:rsidRPr="0007075F">
        <w:rPr>
          <w:rStyle w:val="InitialStyle"/>
          <w:rFonts w:ascii="Times New Roman" w:hAnsi="Times New Roman"/>
        </w:rPr>
        <w:t>This information collection activity will ask no questions of a personal or sensitive nature.</w:t>
      </w:r>
    </w:p>
    <w:p w:rsidR="00BE6F44" w:rsidRPr="0007075F" w:rsidP="00F92D66" w14:paraId="46B9B139" w14:textId="77777777">
      <w:pPr>
        <w:pStyle w:val="DefaultText"/>
        <w:rPr>
          <w:rStyle w:val="InitialStyle"/>
          <w:rFonts w:ascii="Times New Roman" w:hAnsi="Times New Roman"/>
          <w:b/>
        </w:rPr>
      </w:pPr>
      <w:r w:rsidRPr="0007075F">
        <w:rPr>
          <w:rStyle w:val="InitialStyle"/>
          <w:rFonts w:ascii="Times New Roman" w:hAnsi="Times New Roman"/>
          <w:b/>
        </w:rPr>
        <w:t>12.  Provide estimates of the hour burden of the collection of information.  Indicate the number of respondents, frequency of response, annual hour burden, and an explanation of how the burden was estimated.</w:t>
      </w:r>
    </w:p>
    <w:p w:rsidR="00BE6F44" w:rsidRPr="0007075F" w:rsidP="00F92D66" w14:paraId="5CD0B2E5" w14:textId="77777777">
      <w:pPr>
        <w:pStyle w:val="DefaultText"/>
        <w:rPr>
          <w:rStyle w:val="InitialStyle"/>
          <w:rFonts w:ascii="Times New Roman" w:hAnsi="Times New Roman"/>
        </w:rPr>
      </w:pPr>
    </w:p>
    <w:p w:rsidR="00BE6F44" w:rsidRPr="0007075F" w:rsidP="002150FA" w14:paraId="4D6BD734" w14:textId="1BBD866A">
      <w:pPr>
        <w:pStyle w:val="DefaultText"/>
        <w:ind w:left="630" w:hanging="180"/>
        <w:rPr>
          <w:rStyle w:val="InitialStyle"/>
          <w:rFonts w:ascii="Times New Roman" w:hAnsi="Times New Roman"/>
          <w:b/>
        </w:rPr>
      </w:pPr>
      <w:r w:rsidRPr="0007075F">
        <w:rPr>
          <w:rStyle w:val="InitialStyle"/>
          <w:rFonts w:ascii="Times New Roman" w:hAnsi="Times New Roman"/>
          <w:b/>
        </w:rPr>
        <w:t>•</w:t>
      </w:r>
      <w:r w:rsidRPr="0007075F" w:rsidR="00286ECC">
        <w:rPr>
          <w:rStyle w:val="InitialStyle"/>
          <w:rFonts w:ascii="Times New Roman" w:hAnsi="Times New Roman"/>
          <w:b/>
        </w:rPr>
        <w:t xml:space="preserve">  </w:t>
      </w:r>
      <w:r w:rsidRPr="0007075F">
        <w:rPr>
          <w:rStyle w:val="InitialStyle"/>
          <w:rFonts w:ascii="Times New Roman" w:hAnsi="Times New Roman"/>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BE6F44" w:rsidRPr="0007075F" w:rsidP="002150FA" w14:paraId="3D2BC1D4" w14:textId="77777777">
      <w:pPr>
        <w:pStyle w:val="DefaultText"/>
        <w:ind w:left="630" w:hanging="180"/>
        <w:rPr>
          <w:rStyle w:val="InitialStyle"/>
          <w:rFonts w:ascii="Times New Roman" w:hAnsi="Times New Roman"/>
        </w:rPr>
      </w:pPr>
    </w:p>
    <w:p w:rsidR="00007C9C" w:rsidRPr="0007075F" w:rsidP="002150FA" w14:paraId="52B7B6FC" w14:textId="38CFE248">
      <w:pPr>
        <w:pStyle w:val="DefaultText"/>
        <w:ind w:left="630"/>
        <w:rPr>
          <w:rStyle w:val="InitialStyle"/>
          <w:rFonts w:ascii="Times New Roman" w:hAnsi="Times New Roman"/>
          <w:szCs w:val="24"/>
        </w:rPr>
      </w:pPr>
      <w:r w:rsidRPr="0007075F">
        <w:rPr>
          <w:rStyle w:val="InitialStyle"/>
          <w:rFonts w:ascii="Times New Roman" w:hAnsi="Times New Roman"/>
        </w:rPr>
        <w:t xml:space="preserve">See APHIS </w:t>
      </w:r>
      <w:r w:rsidRPr="0007075F" w:rsidR="001E0B9F">
        <w:rPr>
          <w:rStyle w:val="InitialStyle"/>
          <w:rFonts w:ascii="Times New Roman" w:hAnsi="Times New Roman"/>
        </w:rPr>
        <w:t>7</w:t>
      </w:r>
      <w:r w:rsidRPr="0007075F">
        <w:rPr>
          <w:rStyle w:val="InitialStyle"/>
          <w:rFonts w:ascii="Times New Roman" w:hAnsi="Times New Roman"/>
        </w:rPr>
        <w:t>1.</w:t>
      </w:r>
    </w:p>
    <w:p w:rsidR="00BE6F44" w:rsidRPr="0007075F" w:rsidP="002150FA" w14:paraId="6CF3BAA2" w14:textId="2884B20B">
      <w:pPr>
        <w:pStyle w:val="DefaultText"/>
        <w:ind w:left="630" w:hanging="180"/>
        <w:rPr>
          <w:rStyle w:val="InitialStyle"/>
          <w:rFonts w:ascii="Times New Roman" w:hAnsi="Times New Roman"/>
        </w:rPr>
      </w:pPr>
    </w:p>
    <w:p w:rsidR="00BE6F44" w:rsidRPr="0007075F" w:rsidP="002150FA" w14:paraId="5D4BD7EE" w14:textId="483E5E89">
      <w:pPr>
        <w:pStyle w:val="DefaultText"/>
        <w:ind w:left="630" w:hanging="180"/>
        <w:rPr>
          <w:rStyle w:val="InitialStyle"/>
          <w:rFonts w:ascii="Times New Roman" w:hAnsi="Times New Roman"/>
          <w:b/>
        </w:rPr>
      </w:pPr>
      <w:r w:rsidRPr="0007075F">
        <w:rPr>
          <w:rStyle w:val="InitialStyle"/>
          <w:rFonts w:ascii="Times New Roman" w:hAnsi="Times New Roman"/>
          <w:b/>
        </w:rPr>
        <w:t>•</w:t>
      </w:r>
      <w:r w:rsidRPr="0007075F" w:rsidR="00286ECC">
        <w:rPr>
          <w:rStyle w:val="InitialStyle"/>
          <w:rFonts w:ascii="Times New Roman" w:hAnsi="Times New Roman"/>
          <w:b/>
        </w:rPr>
        <w:t xml:space="preserve">  </w:t>
      </w:r>
      <w:r w:rsidRPr="0007075F">
        <w:rPr>
          <w:rStyle w:val="InitialStyle"/>
          <w:rFonts w:ascii="Times New Roman" w:hAnsi="Times New Roman"/>
          <w:b/>
        </w:rPr>
        <w:t>Provide estimates of annualized cost to respondents for the hour burdens for collections of information, identifying and using appropriate wage rate categories.</w:t>
      </w:r>
    </w:p>
    <w:p w:rsidR="00BE6F44" w:rsidRPr="0007075F" w:rsidP="002150FA" w14:paraId="41A7A1B3" w14:textId="77777777">
      <w:pPr>
        <w:pStyle w:val="DefaultText"/>
        <w:ind w:left="630" w:hanging="180"/>
        <w:rPr>
          <w:rStyle w:val="InitialStyle"/>
          <w:rFonts w:ascii="Times New Roman" w:hAnsi="Times New Roman"/>
        </w:rPr>
      </w:pPr>
    </w:p>
    <w:p w:rsidR="001E0B9F" w:rsidRPr="0007075F" w:rsidP="001E0B9F" w14:paraId="70AE3E86" w14:textId="5A65A3AE">
      <w:pPr>
        <w:ind w:left="630"/>
        <w:rPr>
          <w:rStyle w:val="InitialStyle"/>
          <w:rFonts w:ascii="Times New Roman" w:hAnsi="Times New Roman"/>
          <w:szCs w:val="24"/>
        </w:rPr>
      </w:pPr>
      <w:r w:rsidRPr="0007075F">
        <w:rPr>
          <w:rStyle w:val="InitialStyle"/>
          <w:rFonts w:ascii="Times New Roman" w:hAnsi="Times New Roman"/>
          <w:szCs w:val="24"/>
        </w:rPr>
        <w:t>APHIS</w:t>
      </w:r>
      <w:r w:rsidRPr="0007075F" w:rsidR="00BE6F44">
        <w:rPr>
          <w:rStyle w:val="InitialStyle"/>
          <w:rFonts w:ascii="Times New Roman" w:hAnsi="Times New Roman"/>
          <w:szCs w:val="24"/>
        </w:rPr>
        <w:t xml:space="preserve"> estimate</w:t>
      </w:r>
      <w:r w:rsidRPr="0007075F">
        <w:rPr>
          <w:rStyle w:val="InitialStyle"/>
          <w:rFonts w:ascii="Times New Roman" w:hAnsi="Times New Roman"/>
          <w:szCs w:val="24"/>
        </w:rPr>
        <w:t>s</w:t>
      </w:r>
      <w:r w:rsidRPr="0007075F" w:rsidR="00BE6F44">
        <w:rPr>
          <w:rStyle w:val="InitialStyle"/>
          <w:rFonts w:ascii="Times New Roman" w:hAnsi="Times New Roman"/>
          <w:szCs w:val="24"/>
        </w:rPr>
        <w:t xml:space="preserve"> the total annualized cost to these respondents to be $</w:t>
      </w:r>
      <w:r w:rsidR="009223F6">
        <w:rPr>
          <w:rStyle w:val="InitialStyle"/>
          <w:rFonts w:ascii="Times New Roman" w:hAnsi="Times New Roman"/>
          <w:szCs w:val="24"/>
        </w:rPr>
        <w:t>5,126</w:t>
      </w:r>
      <w:r w:rsidRPr="0007075F" w:rsidR="00A8719E">
        <w:rPr>
          <w:rStyle w:val="InitialStyle"/>
          <w:rFonts w:ascii="Times New Roman" w:hAnsi="Times New Roman"/>
          <w:szCs w:val="24"/>
        </w:rPr>
        <w:t>.</w:t>
      </w:r>
      <w:r w:rsidRPr="0007075F" w:rsidR="00BE6F44">
        <w:rPr>
          <w:rStyle w:val="InitialStyle"/>
          <w:rFonts w:ascii="Times New Roman" w:hAnsi="Times New Roman"/>
          <w:szCs w:val="24"/>
        </w:rPr>
        <w:t xml:space="preserve"> </w:t>
      </w:r>
      <w:r w:rsidRPr="0007075F">
        <w:rPr>
          <w:rStyle w:val="InitialStyle"/>
          <w:rFonts w:ascii="Times New Roman" w:hAnsi="Times New Roman"/>
          <w:szCs w:val="24"/>
        </w:rPr>
        <w:t>APHIS</w:t>
      </w:r>
      <w:r w:rsidRPr="0007075F" w:rsidR="00BE6F44">
        <w:rPr>
          <w:rStyle w:val="InitialStyle"/>
          <w:rFonts w:ascii="Times New Roman" w:hAnsi="Times New Roman"/>
          <w:szCs w:val="24"/>
        </w:rPr>
        <w:t xml:space="preserve"> arrived at this figure by multiplying the hours of estimated response time (</w:t>
      </w:r>
      <w:r w:rsidR="00956A4F">
        <w:rPr>
          <w:rStyle w:val="InitialStyle"/>
          <w:rFonts w:ascii="Times New Roman" w:hAnsi="Times New Roman"/>
          <w:szCs w:val="24"/>
        </w:rPr>
        <w:t>98</w:t>
      </w:r>
      <w:r w:rsidRPr="0007075F" w:rsidR="005248BE">
        <w:rPr>
          <w:rStyle w:val="InitialStyle"/>
          <w:rFonts w:ascii="Times New Roman" w:hAnsi="Times New Roman"/>
          <w:szCs w:val="24"/>
        </w:rPr>
        <w:t xml:space="preserve"> </w:t>
      </w:r>
      <w:r w:rsidRPr="0007075F" w:rsidR="00BE6F44">
        <w:rPr>
          <w:rStyle w:val="InitialStyle"/>
          <w:rFonts w:ascii="Times New Roman" w:hAnsi="Times New Roman"/>
          <w:szCs w:val="24"/>
        </w:rPr>
        <w:t>hours) by the estimated average hourly wa</w:t>
      </w:r>
      <w:r w:rsidRPr="0007075F" w:rsidR="00BB1A57">
        <w:rPr>
          <w:rStyle w:val="InitialStyle"/>
          <w:rFonts w:ascii="Times New Roman" w:hAnsi="Times New Roman"/>
          <w:szCs w:val="24"/>
        </w:rPr>
        <w:t xml:space="preserve">ge of the </w:t>
      </w:r>
      <w:r w:rsidR="00B96B80">
        <w:rPr>
          <w:rStyle w:val="InitialStyle"/>
          <w:rFonts w:ascii="Times New Roman" w:hAnsi="Times New Roman"/>
          <w:szCs w:val="24"/>
        </w:rPr>
        <w:t xml:space="preserve">below </w:t>
      </w:r>
      <w:r w:rsidRPr="0007075F" w:rsidR="00BB1A57">
        <w:rPr>
          <w:rStyle w:val="InitialStyle"/>
          <w:rFonts w:ascii="Times New Roman" w:hAnsi="Times New Roman"/>
          <w:szCs w:val="24"/>
        </w:rPr>
        <w:t>respondents ($</w:t>
      </w:r>
      <w:r w:rsidR="0011579D">
        <w:rPr>
          <w:rStyle w:val="InitialStyle"/>
          <w:rFonts w:ascii="Times New Roman" w:hAnsi="Times New Roman"/>
          <w:szCs w:val="24"/>
        </w:rPr>
        <w:t>3</w:t>
      </w:r>
      <w:r w:rsidR="009223F6">
        <w:rPr>
          <w:rStyle w:val="InitialStyle"/>
          <w:rFonts w:ascii="Times New Roman" w:hAnsi="Times New Roman"/>
          <w:szCs w:val="24"/>
        </w:rPr>
        <w:t>6.10</w:t>
      </w:r>
      <w:r w:rsidRPr="0007075F" w:rsidR="00693A4F">
        <w:rPr>
          <w:rStyle w:val="InitialStyle"/>
          <w:rFonts w:ascii="Times New Roman" w:hAnsi="Times New Roman"/>
          <w:szCs w:val="24"/>
        </w:rPr>
        <w:t>)</w:t>
      </w:r>
      <w:r w:rsidRPr="0007075F" w:rsidR="00D341DD">
        <w:rPr>
          <w:rStyle w:val="InitialStyle"/>
          <w:rFonts w:ascii="Times New Roman" w:hAnsi="Times New Roman"/>
          <w:szCs w:val="24"/>
        </w:rPr>
        <w:t>, and then multiplying the result by 1.4</w:t>
      </w:r>
      <w:r w:rsidR="001D292C">
        <w:rPr>
          <w:rStyle w:val="InitialStyle"/>
          <w:rFonts w:ascii="Times New Roman" w:hAnsi="Times New Roman"/>
          <w:szCs w:val="24"/>
        </w:rPr>
        <w:t>49</w:t>
      </w:r>
      <w:r w:rsidRPr="0007075F" w:rsidR="00D341DD">
        <w:rPr>
          <w:rStyle w:val="InitialStyle"/>
          <w:rFonts w:ascii="Times New Roman" w:hAnsi="Times New Roman"/>
          <w:szCs w:val="24"/>
        </w:rPr>
        <w:t xml:space="preserve"> to capture benefit costs.</w:t>
      </w:r>
    </w:p>
    <w:p w:rsidR="001E0B9F" w:rsidRPr="0007075F" w:rsidP="001E0B9F" w14:paraId="3A8986D6" w14:textId="77777777">
      <w:pPr>
        <w:ind w:left="630"/>
        <w:rPr>
          <w:rStyle w:val="InitialStyle"/>
          <w:rFonts w:ascii="Times New Roman" w:hAnsi="Times New Roman"/>
          <w:szCs w:val="24"/>
        </w:rPr>
      </w:pPr>
    </w:p>
    <w:p w:rsidR="00166AEC" w:rsidP="00166AEC" w14:paraId="5FCD9669" w14:textId="75E961C1">
      <w:pPr>
        <w:ind w:left="630"/>
        <w:rPr>
          <w:rFonts w:cs="Courier New"/>
          <w:sz w:val="24"/>
          <w:szCs w:val="24"/>
        </w:rPr>
      </w:pPr>
      <w:r w:rsidRPr="00166AEC">
        <w:rPr>
          <w:rFonts w:cs="Courier New"/>
          <w:sz w:val="24"/>
          <w:szCs w:val="24"/>
        </w:rPr>
        <w:t>The average hourly rates used to calculate the estimates include the following:</w:t>
      </w:r>
    </w:p>
    <w:p w:rsidR="00166AEC" w:rsidP="00166AEC" w14:paraId="0A50B29A" w14:textId="54E06355">
      <w:pPr>
        <w:rPr>
          <w:rFonts w:cs="Courier New"/>
          <w:sz w:val="24"/>
          <w:szCs w:val="24"/>
        </w:rPr>
      </w:pPr>
    </w:p>
    <w:tbl>
      <w:tblPr>
        <w:tblStyle w:val="PlainTable2"/>
        <w:tblW w:w="0" w:type="auto"/>
        <w:tblInd w:w="719" w:type="dxa"/>
        <w:tblLook w:val="04A0"/>
      </w:tblPr>
      <w:tblGrid>
        <w:gridCol w:w="978"/>
        <w:gridCol w:w="1093"/>
        <w:gridCol w:w="5220"/>
      </w:tblGrid>
      <w:tr w14:paraId="641D3B9C" w14:textId="77777777" w:rsidTr="00166AEC">
        <w:tblPrEx>
          <w:tblW w:w="0" w:type="auto"/>
          <w:tblInd w:w="719" w:type="dxa"/>
          <w:tblLook w:val="04A0"/>
        </w:tblPrEx>
        <w:tc>
          <w:tcPr>
            <w:tcW w:w="978" w:type="dxa"/>
            <w:vAlign w:val="bottom"/>
            <w:hideMark/>
          </w:tcPr>
          <w:p w:rsidR="00166AEC" w:rsidRPr="00626122" w:rsidP="000715AD" w14:paraId="5E95327F" w14:textId="77777777">
            <w:pPr>
              <w:jc w:val="center"/>
              <w:rPr>
                <w:bCs w:val="0"/>
                <w:sz w:val="22"/>
                <w:szCs w:val="22"/>
              </w:rPr>
            </w:pPr>
            <w:r w:rsidRPr="00626122">
              <w:rPr>
                <w:bCs w:val="0"/>
                <w:sz w:val="22"/>
                <w:szCs w:val="22"/>
              </w:rPr>
              <w:t>SOCC Code</w:t>
            </w:r>
          </w:p>
        </w:tc>
        <w:tc>
          <w:tcPr>
            <w:tcW w:w="1093" w:type="dxa"/>
            <w:vAlign w:val="bottom"/>
            <w:hideMark/>
          </w:tcPr>
          <w:p w:rsidR="00166AEC" w:rsidRPr="009223F6" w:rsidP="000715AD" w14:paraId="1CBF23A8" w14:textId="77777777">
            <w:pPr>
              <w:jc w:val="center"/>
              <w:rPr>
                <w:bCs w:val="0"/>
                <w:sz w:val="22"/>
                <w:szCs w:val="22"/>
              </w:rPr>
            </w:pPr>
            <w:r w:rsidRPr="009223F6">
              <w:rPr>
                <w:bCs w:val="0"/>
                <w:sz w:val="22"/>
                <w:szCs w:val="22"/>
              </w:rPr>
              <w:t>Average Salary</w:t>
            </w:r>
          </w:p>
        </w:tc>
        <w:tc>
          <w:tcPr>
            <w:tcW w:w="5220" w:type="dxa"/>
            <w:vAlign w:val="bottom"/>
            <w:hideMark/>
          </w:tcPr>
          <w:p w:rsidR="00166AEC" w:rsidRPr="00626122" w:rsidP="000715AD" w14:paraId="6BC79E9F" w14:textId="77777777">
            <w:pPr>
              <w:rPr>
                <w:bCs w:val="0"/>
                <w:sz w:val="22"/>
                <w:szCs w:val="22"/>
              </w:rPr>
            </w:pPr>
            <w:r w:rsidRPr="00626122">
              <w:rPr>
                <w:bCs w:val="0"/>
                <w:sz w:val="22"/>
                <w:szCs w:val="22"/>
              </w:rPr>
              <w:t>Occupation Description</w:t>
            </w:r>
          </w:p>
        </w:tc>
      </w:tr>
      <w:tr w14:paraId="1601D4AC" w14:textId="77777777" w:rsidTr="009223F6">
        <w:tblPrEx>
          <w:tblW w:w="0" w:type="auto"/>
          <w:tblInd w:w="719" w:type="dxa"/>
          <w:tblLook w:val="04A0"/>
        </w:tblPrEx>
        <w:trPr>
          <w:trHeight w:val="288"/>
        </w:trPr>
        <w:tc>
          <w:tcPr>
            <w:tcW w:w="978" w:type="dxa"/>
            <w:vAlign w:val="center"/>
            <w:hideMark/>
          </w:tcPr>
          <w:p w:rsidR="009223F6" w:rsidRPr="009223F6" w:rsidP="009223F6" w14:paraId="5084C7A2" w14:textId="1A71F810">
            <w:pPr>
              <w:jc w:val="center"/>
              <w:rPr>
                <w:b w:val="0"/>
                <w:sz w:val="22"/>
                <w:szCs w:val="22"/>
              </w:rPr>
            </w:pPr>
            <w:r w:rsidRPr="009223F6">
              <w:rPr>
                <w:sz w:val="22"/>
                <w:szCs w:val="22"/>
              </w:rPr>
              <w:t>13-1020</w:t>
            </w:r>
          </w:p>
        </w:tc>
        <w:tc>
          <w:tcPr>
            <w:tcW w:w="1093" w:type="dxa"/>
            <w:vAlign w:val="center"/>
            <w:hideMark/>
          </w:tcPr>
          <w:p w:rsidR="009223F6" w:rsidRPr="009223F6" w:rsidP="009223F6" w14:paraId="10EB6447" w14:textId="2B20E03A">
            <w:pPr>
              <w:jc w:val="center"/>
              <w:rPr>
                <w:bCs/>
                <w:sz w:val="22"/>
                <w:szCs w:val="22"/>
              </w:rPr>
            </w:pPr>
            <w:r w:rsidRPr="009223F6">
              <w:rPr>
                <w:sz w:val="22"/>
                <w:szCs w:val="22"/>
              </w:rPr>
              <w:t>$36.13</w:t>
            </w:r>
          </w:p>
        </w:tc>
        <w:tc>
          <w:tcPr>
            <w:tcW w:w="5220" w:type="dxa"/>
            <w:vAlign w:val="center"/>
            <w:hideMark/>
          </w:tcPr>
          <w:p w:rsidR="009223F6" w:rsidRPr="009223F6" w:rsidP="009223F6" w14:paraId="3172A3C7" w14:textId="6CC6745B">
            <w:pPr>
              <w:rPr>
                <w:bCs/>
                <w:sz w:val="22"/>
                <w:szCs w:val="22"/>
              </w:rPr>
            </w:pPr>
            <w:r w:rsidRPr="009223F6">
              <w:rPr>
                <w:sz w:val="22"/>
                <w:szCs w:val="22"/>
              </w:rPr>
              <w:t>Buyers and Purchasing Agents</w:t>
            </w:r>
          </w:p>
        </w:tc>
      </w:tr>
      <w:tr w14:paraId="003F0D52" w14:textId="77777777" w:rsidTr="009223F6">
        <w:tblPrEx>
          <w:tblW w:w="0" w:type="auto"/>
          <w:tblInd w:w="719" w:type="dxa"/>
          <w:tblLook w:val="04A0"/>
        </w:tblPrEx>
        <w:trPr>
          <w:trHeight w:val="288"/>
        </w:trPr>
        <w:tc>
          <w:tcPr>
            <w:tcW w:w="978" w:type="dxa"/>
            <w:vAlign w:val="center"/>
            <w:hideMark/>
          </w:tcPr>
          <w:p w:rsidR="009223F6" w:rsidRPr="009223F6" w:rsidP="009223F6" w14:paraId="5F4899FB" w14:textId="03D7A287">
            <w:pPr>
              <w:jc w:val="center"/>
              <w:rPr>
                <w:bCs w:val="0"/>
                <w:sz w:val="22"/>
                <w:szCs w:val="22"/>
              </w:rPr>
            </w:pPr>
            <w:r w:rsidRPr="009223F6">
              <w:rPr>
                <w:sz w:val="22"/>
                <w:szCs w:val="22"/>
              </w:rPr>
              <w:t>19-1011</w:t>
            </w:r>
          </w:p>
        </w:tc>
        <w:tc>
          <w:tcPr>
            <w:tcW w:w="1093" w:type="dxa"/>
            <w:vAlign w:val="center"/>
            <w:hideMark/>
          </w:tcPr>
          <w:p w:rsidR="009223F6" w:rsidRPr="009223F6" w:rsidP="009223F6" w14:paraId="7F4827AB" w14:textId="65642D30">
            <w:pPr>
              <w:jc w:val="center"/>
              <w:rPr>
                <w:bCs/>
                <w:sz w:val="22"/>
                <w:szCs w:val="22"/>
              </w:rPr>
            </w:pPr>
            <w:r w:rsidRPr="009223F6">
              <w:rPr>
                <w:sz w:val="22"/>
                <w:szCs w:val="22"/>
              </w:rPr>
              <w:t>$41.28</w:t>
            </w:r>
          </w:p>
        </w:tc>
        <w:tc>
          <w:tcPr>
            <w:tcW w:w="5220" w:type="dxa"/>
            <w:vAlign w:val="center"/>
            <w:hideMark/>
          </w:tcPr>
          <w:p w:rsidR="009223F6" w:rsidRPr="009223F6" w:rsidP="009223F6" w14:paraId="0E26C422" w14:textId="5A636106">
            <w:pPr>
              <w:rPr>
                <w:bCs/>
                <w:sz w:val="22"/>
                <w:szCs w:val="22"/>
              </w:rPr>
            </w:pPr>
            <w:r w:rsidRPr="009223F6">
              <w:rPr>
                <w:sz w:val="22"/>
                <w:szCs w:val="22"/>
              </w:rPr>
              <w:t>Animal Scientists</w:t>
            </w:r>
          </w:p>
        </w:tc>
      </w:tr>
      <w:tr w14:paraId="1C701466" w14:textId="77777777" w:rsidTr="009223F6">
        <w:tblPrEx>
          <w:tblW w:w="0" w:type="auto"/>
          <w:tblInd w:w="719" w:type="dxa"/>
          <w:tblLook w:val="04A0"/>
        </w:tblPrEx>
        <w:trPr>
          <w:trHeight w:val="288"/>
        </w:trPr>
        <w:tc>
          <w:tcPr>
            <w:tcW w:w="978" w:type="dxa"/>
            <w:vAlign w:val="center"/>
            <w:hideMark/>
          </w:tcPr>
          <w:p w:rsidR="009223F6" w:rsidRPr="009223F6" w:rsidP="009223F6" w14:paraId="0DEEA26A" w14:textId="00F99370">
            <w:pPr>
              <w:jc w:val="center"/>
              <w:rPr>
                <w:bCs w:val="0"/>
                <w:sz w:val="22"/>
                <w:szCs w:val="22"/>
              </w:rPr>
            </w:pPr>
            <w:r w:rsidRPr="009223F6">
              <w:rPr>
                <w:sz w:val="22"/>
                <w:szCs w:val="22"/>
              </w:rPr>
              <w:t>29-1131</w:t>
            </w:r>
          </w:p>
        </w:tc>
        <w:tc>
          <w:tcPr>
            <w:tcW w:w="1093" w:type="dxa"/>
            <w:vAlign w:val="center"/>
            <w:hideMark/>
          </w:tcPr>
          <w:p w:rsidR="009223F6" w:rsidRPr="009223F6" w:rsidP="009223F6" w14:paraId="16D962A7" w14:textId="10D8D2D6">
            <w:pPr>
              <w:jc w:val="center"/>
              <w:rPr>
                <w:bCs/>
                <w:sz w:val="22"/>
                <w:szCs w:val="22"/>
              </w:rPr>
            </w:pPr>
            <w:r w:rsidRPr="009223F6">
              <w:rPr>
                <w:sz w:val="22"/>
                <w:szCs w:val="22"/>
              </w:rPr>
              <w:t>$62.07</w:t>
            </w:r>
          </w:p>
        </w:tc>
        <w:tc>
          <w:tcPr>
            <w:tcW w:w="5220" w:type="dxa"/>
            <w:vAlign w:val="center"/>
            <w:hideMark/>
          </w:tcPr>
          <w:p w:rsidR="009223F6" w:rsidRPr="009223F6" w:rsidP="009223F6" w14:paraId="2CAA4D9C" w14:textId="30E286F6">
            <w:pPr>
              <w:rPr>
                <w:rStyle w:val="InitialStyle"/>
                <w:rFonts w:ascii="Times New Roman" w:hAnsi="Times New Roman"/>
                <w:sz w:val="22"/>
                <w:szCs w:val="22"/>
              </w:rPr>
            </w:pPr>
            <w:r w:rsidRPr="009223F6">
              <w:rPr>
                <w:sz w:val="22"/>
                <w:szCs w:val="22"/>
              </w:rPr>
              <w:t>Veterinarians</w:t>
            </w:r>
          </w:p>
        </w:tc>
      </w:tr>
      <w:tr w14:paraId="16F5CDBA" w14:textId="77777777" w:rsidTr="009223F6">
        <w:tblPrEx>
          <w:tblW w:w="0" w:type="auto"/>
          <w:tblInd w:w="719" w:type="dxa"/>
          <w:tblLook w:val="04A0"/>
        </w:tblPrEx>
        <w:trPr>
          <w:trHeight w:val="288"/>
        </w:trPr>
        <w:tc>
          <w:tcPr>
            <w:tcW w:w="978" w:type="dxa"/>
            <w:vAlign w:val="center"/>
            <w:hideMark/>
          </w:tcPr>
          <w:p w:rsidR="009223F6" w:rsidRPr="009223F6" w:rsidP="009223F6" w14:paraId="12CB57FC" w14:textId="489D1938">
            <w:pPr>
              <w:jc w:val="center"/>
              <w:rPr>
                <w:sz w:val="22"/>
                <w:szCs w:val="22"/>
              </w:rPr>
            </w:pPr>
            <w:r w:rsidRPr="009223F6">
              <w:rPr>
                <w:sz w:val="22"/>
                <w:szCs w:val="22"/>
              </w:rPr>
              <w:t>45-2011</w:t>
            </w:r>
          </w:p>
        </w:tc>
        <w:tc>
          <w:tcPr>
            <w:tcW w:w="1093" w:type="dxa"/>
            <w:vAlign w:val="center"/>
            <w:hideMark/>
          </w:tcPr>
          <w:p w:rsidR="009223F6" w:rsidRPr="009223F6" w:rsidP="009223F6" w14:paraId="1DFB2A9A" w14:textId="1BF47C79">
            <w:pPr>
              <w:jc w:val="center"/>
              <w:rPr>
                <w:bCs/>
                <w:sz w:val="22"/>
                <w:szCs w:val="22"/>
              </w:rPr>
            </w:pPr>
            <w:r w:rsidRPr="009223F6">
              <w:rPr>
                <w:sz w:val="22"/>
                <w:szCs w:val="22"/>
              </w:rPr>
              <w:t>$23.57</w:t>
            </w:r>
          </w:p>
        </w:tc>
        <w:tc>
          <w:tcPr>
            <w:tcW w:w="5220" w:type="dxa"/>
            <w:vAlign w:val="center"/>
            <w:hideMark/>
          </w:tcPr>
          <w:p w:rsidR="009223F6" w:rsidRPr="009223F6" w:rsidP="009223F6" w14:paraId="479E176F" w14:textId="74C16350">
            <w:pPr>
              <w:rPr>
                <w:rStyle w:val="InitialStyle"/>
                <w:rFonts w:ascii="Times New Roman" w:hAnsi="Times New Roman"/>
                <w:sz w:val="22"/>
                <w:szCs w:val="22"/>
              </w:rPr>
            </w:pPr>
            <w:r w:rsidRPr="009223F6">
              <w:rPr>
                <w:sz w:val="22"/>
                <w:szCs w:val="22"/>
              </w:rPr>
              <w:t>Agricultural Inspectors</w:t>
            </w:r>
          </w:p>
        </w:tc>
      </w:tr>
      <w:tr w14:paraId="17772722" w14:textId="77777777" w:rsidTr="009223F6">
        <w:tblPrEx>
          <w:tblW w:w="0" w:type="auto"/>
          <w:tblInd w:w="719" w:type="dxa"/>
          <w:tblLook w:val="04A0"/>
        </w:tblPrEx>
        <w:trPr>
          <w:trHeight w:val="288"/>
        </w:trPr>
        <w:tc>
          <w:tcPr>
            <w:tcW w:w="978" w:type="dxa"/>
            <w:vAlign w:val="center"/>
          </w:tcPr>
          <w:p w:rsidR="009223F6" w:rsidRPr="009223F6" w:rsidP="009223F6" w14:paraId="4032C542" w14:textId="5FAB1EDC">
            <w:pPr>
              <w:jc w:val="center"/>
              <w:rPr>
                <w:sz w:val="22"/>
                <w:szCs w:val="22"/>
              </w:rPr>
            </w:pPr>
            <w:r w:rsidRPr="009223F6">
              <w:rPr>
                <w:sz w:val="22"/>
                <w:szCs w:val="22"/>
              </w:rPr>
              <w:t>45-2093</w:t>
            </w:r>
          </w:p>
        </w:tc>
        <w:tc>
          <w:tcPr>
            <w:tcW w:w="1093" w:type="dxa"/>
            <w:vAlign w:val="center"/>
          </w:tcPr>
          <w:p w:rsidR="009223F6" w:rsidRPr="009223F6" w:rsidP="009223F6" w14:paraId="76C65D33" w14:textId="02B4AB5E">
            <w:pPr>
              <w:jc w:val="center"/>
              <w:rPr>
                <w:bCs/>
                <w:sz w:val="22"/>
                <w:szCs w:val="22"/>
              </w:rPr>
            </w:pPr>
            <w:r w:rsidRPr="009223F6">
              <w:rPr>
                <w:sz w:val="22"/>
                <w:szCs w:val="22"/>
              </w:rPr>
              <w:t>$17.45</w:t>
            </w:r>
          </w:p>
        </w:tc>
        <w:tc>
          <w:tcPr>
            <w:tcW w:w="5220" w:type="dxa"/>
            <w:vAlign w:val="center"/>
          </w:tcPr>
          <w:p w:rsidR="009223F6" w:rsidRPr="009223F6" w:rsidP="009223F6" w14:paraId="32F260C5" w14:textId="3A0BEB93">
            <w:pPr>
              <w:rPr>
                <w:rStyle w:val="InitialStyle"/>
                <w:rFonts w:ascii="Times New Roman" w:hAnsi="Times New Roman"/>
                <w:sz w:val="22"/>
                <w:szCs w:val="22"/>
              </w:rPr>
            </w:pPr>
            <w:r w:rsidRPr="009223F6">
              <w:rPr>
                <w:sz w:val="22"/>
                <w:szCs w:val="22"/>
              </w:rPr>
              <w:t>Farmer</w:t>
            </w:r>
          </w:p>
        </w:tc>
      </w:tr>
      <w:tr w14:paraId="6FB3BD70" w14:textId="77777777" w:rsidTr="00166AEC">
        <w:tblPrEx>
          <w:tblW w:w="0" w:type="auto"/>
          <w:tblInd w:w="719" w:type="dxa"/>
          <w:tblLook w:val="04A0"/>
        </w:tblPrEx>
        <w:trPr>
          <w:trHeight w:val="288"/>
        </w:trPr>
        <w:tc>
          <w:tcPr>
            <w:tcW w:w="978" w:type="dxa"/>
            <w:vAlign w:val="center"/>
          </w:tcPr>
          <w:p w:rsidR="00166AEC" w:rsidRPr="00166AEC" w:rsidP="00166AEC" w14:paraId="6EE20839" w14:textId="77777777">
            <w:pPr>
              <w:rPr>
                <w:sz w:val="22"/>
                <w:szCs w:val="22"/>
              </w:rPr>
            </w:pPr>
          </w:p>
        </w:tc>
        <w:tc>
          <w:tcPr>
            <w:tcW w:w="1093" w:type="dxa"/>
            <w:vAlign w:val="center"/>
            <w:hideMark/>
          </w:tcPr>
          <w:p w:rsidR="00166AEC" w:rsidRPr="009223F6" w:rsidP="00166AEC" w14:paraId="706260A0" w14:textId="576B6062">
            <w:pPr>
              <w:jc w:val="center"/>
              <w:rPr>
                <w:b/>
                <w:sz w:val="22"/>
                <w:szCs w:val="22"/>
              </w:rPr>
            </w:pPr>
            <w:r w:rsidRPr="009223F6">
              <w:rPr>
                <w:b/>
                <w:sz w:val="22"/>
                <w:szCs w:val="22"/>
              </w:rPr>
              <w:t>$3</w:t>
            </w:r>
            <w:r w:rsidRPr="009223F6" w:rsidR="009223F6">
              <w:rPr>
                <w:b/>
                <w:sz w:val="22"/>
                <w:szCs w:val="22"/>
              </w:rPr>
              <w:t>6.10</w:t>
            </w:r>
          </w:p>
        </w:tc>
        <w:tc>
          <w:tcPr>
            <w:tcW w:w="5220" w:type="dxa"/>
            <w:vAlign w:val="center"/>
            <w:hideMark/>
          </w:tcPr>
          <w:p w:rsidR="00166AEC" w:rsidRPr="00166AEC" w:rsidP="00166AEC" w14:paraId="0921C5F3" w14:textId="77777777">
            <w:pPr>
              <w:rPr>
                <w:rStyle w:val="InitialStyle"/>
                <w:rFonts w:ascii="Times New Roman" w:hAnsi="Times New Roman"/>
                <w:sz w:val="22"/>
                <w:szCs w:val="22"/>
              </w:rPr>
            </w:pPr>
            <w:r w:rsidRPr="00166AEC">
              <w:rPr>
                <w:rStyle w:val="InitialStyle"/>
                <w:rFonts w:ascii="Times New Roman" w:hAnsi="Times New Roman"/>
                <w:b/>
                <w:sz w:val="22"/>
                <w:szCs w:val="22"/>
              </w:rPr>
              <w:t>Average Hourly Salary</w:t>
            </w:r>
          </w:p>
        </w:tc>
      </w:tr>
    </w:tbl>
    <w:p w:rsidR="00166AEC" w:rsidP="00166AEC" w14:paraId="3F4FA638" w14:textId="77777777">
      <w:pPr>
        <w:ind w:left="630"/>
        <w:rPr>
          <w:rFonts w:cs="Courier New"/>
          <w:sz w:val="24"/>
          <w:szCs w:val="24"/>
        </w:rPr>
      </w:pPr>
    </w:p>
    <w:p w:rsidR="00166AEC" w:rsidP="00166AEC" w14:paraId="1F6A0F8E" w14:textId="6002DE56">
      <w:pPr>
        <w:ind w:left="630"/>
        <w:rPr>
          <w:rFonts w:cs="Courier New"/>
          <w:sz w:val="24"/>
          <w:szCs w:val="24"/>
        </w:rPr>
      </w:pPr>
      <w:r w:rsidRPr="00166AEC">
        <w:rPr>
          <w:rFonts w:cs="Courier New"/>
          <w:sz w:val="24"/>
          <w:szCs w:val="24"/>
        </w:rPr>
        <w:t>APHIS derived the estimated wage by averaging the following figures from the U.S. Department of Labor; Bureau of Labor Statistics website https://www.bls.gov/oes/current/</w:t>
      </w:r>
      <w:r>
        <w:rPr>
          <w:rFonts w:cs="Courier New"/>
          <w:sz w:val="24"/>
          <w:szCs w:val="24"/>
        </w:rPr>
        <w:br/>
      </w:r>
      <w:r w:rsidRPr="00166AEC">
        <w:rPr>
          <w:rFonts w:cs="Courier New"/>
          <w:sz w:val="24"/>
          <w:szCs w:val="24"/>
        </w:rPr>
        <w:t>oes_stru.htm</w:t>
      </w:r>
      <w:r>
        <w:rPr>
          <w:rFonts w:cs="Courier New"/>
          <w:sz w:val="24"/>
          <w:szCs w:val="24"/>
        </w:rPr>
        <w:t>.</w:t>
      </w:r>
    </w:p>
    <w:p w:rsidR="00166AEC" w:rsidP="001E0B9F" w14:paraId="5150AF83" w14:textId="77777777">
      <w:pPr>
        <w:ind w:left="630"/>
        <w:rPr>
          <w:rFonts w:cs="Courier New"/>
          <w:sz w:val="24"/>
          <w:szCs w:val="24"/>
        </w:rPr>
      </w:pPr>
    </w:p>
    <w:p w:rsidR="00542947" w:rsidP="009223F6" w14:paraId="0C539489" w14:textId="0CE3C527">
      <w:pPr>
        <w:pStyle w:val="DefaultText"/>
        <w:ind w:left="630"/>
        <w:rPr>
          <w:rFonts w:cs="Courier New"/>
          <w:szCs w:val="24"/>
        </w:rPr>
      </w:pPr>
      <w:r w:rsidRPr="009223F6">
        <w:rPr>
          <w:rFonts w:cs="Courier New"/>
          <w:szCs w:val="24"/>
        </w:rPr>
        <w:t>According to DOL BLS news release USDL-23-0488 dated March 17, 2023 (see https://www.bls.gov/news.release/pdf/ecec.pdf), benefits account for 31 percent of employee costs, and wages account for the remaining 69 percent.  Mathematically, total costs can be calculated as a function of wages, resulting in a multiplier of 1.449.</w:t>
      </w:r>
    </w:p>
    <w:p w:rsidR="009223F6" w:rsidP="009223F6" w14:paraId="190F1BAC" w14:textId="77777777">
      <w:pPr>
        <w:pStyle w:val="DefaultText"/>
        <w:ind w:left="630"/>
        <w:rPr>
          <w:rStyle w:val="InitialStyle"/>
          <w:rFonts w:ascii="Times New Roman" w:hAnsi="Times New Roman"/>
          <w:szCs w:val="24"/>
        </w:rPr>
      </w:pPr>
    </w:p>
    <w:p w:rsidR="00166AEC" w:rsidRPr="0007075F" w:rsidP="0007075F" w14:paraId="1E0EA290" w14:textId="77777777">
      <w:pPr>
        <w:pStyle w:val="DefaultText"/>
        <w:rPr>
          <w:rStyle w:val="InitialStyle"/>
          <w:rFonts w:ascii="Times New Roman" w:hAnsi="Times New Roman"/>
          <w:szCs w:val="24"/>
        </w:rPr>
      </w:pPr>
    </w:p>
    <w:p w:rsidR="00BE6F44" w:rsidRPr="0007075F" w:rsidP="00F92D66" w14:paraId="6DBCD89D" w14:textId="77777777">
      <w:pPr>
        <w:pStyle w:val="DefaultText"/>
        <w:rPr>
          <w:rStyle w:val="InitialStyle"/>
          <w:rFonts w:ascii="Times New Roman" w:hAnsi="Times New Roman"/>
        </w:rPr>
      </w:pPr>
      <w:r w:rsidRPr="0007075F">
        <w:rPr>
          <w:rStyle w:val="InitialStyle"/>
          <w:rFonts w:ascii="Times New Roman" w:hAnsi="Times New Roman"/>
          <w:b/>
        </w:rPr>
        <w:t xml:space="preserve">13.  Provide estimates of the total annual cost burden to respondents or recordkeepers resulting from the collection of </w:t>
      </w:r>
      <w:r w:rsidRPr="0007075F" w:rsidR="00373EC2">
        <w:rPr>
          <w:rStyle w:val="InitialStyle"/>
          <w:rFonts w:ascii="Times New Roman" w:hAnsi="Times New Roman"/>
          <w:b/>
        </w:rPr>
        <w:t>information</w:t>
      </w:r>
      <w:r w:rsidRPr="0007075F">
        <w:rPr>
          <w:rStyle w:val="InitialStyle"/>
          <w:rFonts w:ascii="Times New Roman" w:hAnsi="Times New Roman"/>
          <w:b/>
        </w:rPr>
        <w:t xml:space="preserve"> (do not include the cost of any hour burden </w:t>
      </w:r>
      <w:r w:rsidRPr="000F0F06">
        <w:rPr>
          <w:rStyle w:val="InitialStyle"/>
          <w:rFonts w:ascii="Times New Roman" w:hAnsi="Times New Roman"/>
          <w:b/>
        </w:rPr>
        <w:t>shown in items 12 and 14).</w:t>
      </w:r>
      <w:r w:rsidRPr="0007075F">
        <w:rPr>
          <w:rStyle w:val="InitialStyle"/>
          <w:rFonts w:ascii="Times New Roman" w:hAnsi="Times New Roman"/>
          <w:b/>
        </w:rPr>
        <w:t xml:space="preserve">  The cost estimates should be split into two components: (a) a total capital and start-up cost component annualized over its expected useful life; and (b) a total operation and maintenance and purchase of services component.</w:t>
      </w:r>
    </w:p>
    <w:p w:rsidR="00BE6F44" w:rsidRPr="0007075F" w:rsidP="00F92D66" w14:paraId="00CEEAA3" w14:textId="77777777">
      <w:pPr>
        <w:pStyle w:val="DefaultText"/>
        <w:rPr>
          <w:rStyle w:val="InitialStyle"/>
          <w:rFonts w:ascii="Times New Roman" w:hAnsi="Times New Roman"/>
        </w:rPr>
      </w:pPr>
    </w:p>
    <w:p w:rsidR="00BE6F44" w:rsidP="00F92D66" w14:paraId="1D0C1C66" w14:textId="6578C005">
      <w:pPr>
        <w:pStyle w:val="DefaultText"/>
        <w:rPr>
          <w:rStyle w:val="InitialStyle"/>
          <w:rFonts w:ascii="Times New Roman" w:hAnsi="Times New Roman"/>
        </w:rPr>
      </w:pPr>
      <w:r w:rsidRPr="0007075F">
        <w:rPr>
          <w:rStyle w:val="InitialStyle"/>
          <w:rFonts w:ascii="Times New Roman" w:hAnsi="Times New Roman"/>
        </w:rPr>
        <w:t xml:space="preserve">No </w:t>
      </w:r>
      <w:r w:rsidRPr="0007075F">
        <w:rPr>
          <w:rStyle w:val="InitialStyle"/>
          <w:rFonts w:ascii="Times New Roman" w:hAnsi="Times New Roman"/>
        </w:rPr>
        <w:t xml:space="preserve">annual cost burden </w:t>
      </w:r>
      <w:r w:rsidRPr="0007075F">
        <w:rPr>
          <w:rStyle w:val="InitialStyle"/>
          <w:rFonts w:ascii="Times New Roman" w:hAnsi="Times New Roman"/>
        </w:rPr>
        <w:t xml:space="preserve">is </w:t>
      </w:r>
      <w:r w:rsidRPr="0007075F">
        <w:rPr>
          <w:rStyle w:val="InitialStyle"/>
          <w:rFonts w:ascii="Times New Roman" w:hAnsi="Times New Roman"/>
        </w:rPr>
        <w:t>associated with capital and startup costs, operation and maintenance expenditures, and purchase of services.</w:t>
      </w:r>
    </w:p>
    <w:p w:rsidR="00351408" w:rsidRPr="0007075F" w:rsidP="00F92D66" w14:paraId="646B62F2" w14:textId="77777777">
      <w:pPr>
        <w:pStyle w:val="DefaultText"/>
        <w:rPr>
          <w:rStyle w:val="InitialStyle"/>
          <w:rFonts w:ascii="Times New Roman" w:hAnsi="Times New Roman"/>
          <w:b/>
        </w:rPr>
      </w:pPr>
    </w:p>
    <w:p w:rsidR="00BE6F44" w:rsidRPr="0007075F" w:rsidP="00F92D66" w14:paraId="41ECC388" w14:textId="77777777">
      <w:pPr>
        <w:pStyle w:val="DefaultText"/>
        <w:rPr>
          <w:rStyle w:val="InitialStyle"/>
          <w:rFonts w:ascii="Times New Roman" w:hAnsi="Times New Roman"/>
        </w:rPr>
      </w:pPr>
    </w:p>
    <w:p w:rsidR="00BE6F44" w:rsidRPr="0007075F" w:rsidP="00F92D66" w14:paraId="33161C49" w14:textId="77777777">
      <w:pPr>
        <w:pStyle w:val="DefaultText"/>
        <w:rPr>
          <w:rStyle w:val="InitialStyle"/>
          <w:rFonts w:ascii="Times New Roman" w:hAnsi="Times New Roman"/>
          <w:b/>
        </w:rPr>
      </w:pPr>
      <w:r w:rsidRPr="0007075F">
        <w:rPr>
          <w:rStyle w:val="InitialStyle"/>
          <w:rFonts w:ascii="Times New Roman" w:hAnsi="Times New Roman"/>
          <w:b/>
        </w:rPr>
        <w:t>14.  Provide estimates of annualized cost to the Federal government</w:t>
      </w:r>
      <w:r w:rsidRPr="0007075F">
        <w:rPr>
          <w:rStyle w:val="InitialStyle"/>
          <w:rFonts w:ascii="Times New Roman" w:hAnsi="Times New Roman"/>
        </w:rPr>
        <w:t xml:space="preserve">.  </w:t>
      </w:r>
      <w:r w:rsidRPr="0007075F">
        <w:rPr>
          <w:rStyle w:val="InitialStyle"/>
          <w:rFonts w:ascii="Times New Roman" w:hAnsi="Times New Roman"/>
          <w:b/>
        </w:rPr>
        <w:t>Provide a description of the method used to estimate cost and any other expense that would not have been incurred without this collection of information.</w:t>
      </w:r>
    </w:p>
    <w:p w:rsidR="00BE6F44" w:rsidRPr="0007075F" w:rsidP="00F92D66" w14:paraId="7247FB3A" w14:textId="77777777">
      <w:pPr>
        <w:pStyle w:val="DefaultText"/>
        <w:rPr>
          <w:rStyle w:val="InitialStyle"/>
          <w:rFonts w:ascii="Times New Roman" w:hAnsi="Times New Roman"/>
        </w:rPr>
      </w:pPr>
    </w:p>
    <w:p w:rsidR="00E0346E" w:rsidRPr="0007075F" w:rsidP="00E062EA" w14:paraId="0F6997B4" w14:textId="2DAB37AD">
      <w:pPr>
        <w:rPr>
          <w:rStyle w:val="InitialStyle"/>
          <w:rFonts w:ascii="Times New Roman" w:hAnsi="Times New Roman"/>
        </w:rPr>
      </w:pPr>
      <w:r w:rsidRPr="0007075F">
        <w:rPr>
          <w:rStyle w:val="InitialStyle"/>
          <w:rFonts w:ascii="Times New Roman" w:hAnsi="Times New Roman"/>
        </w:rPr>
        <w:t xml:space="preserve">See APHIS Form 79. </w:t>
      </w:r>
      <w:r w:rsidRPr="0007075F" w:rsidR="00BE6F44">
        <w:rPr>
          <w:rStyle w:val="InitialStyle"/>
          <w:rFonts w:ascii="Times New Roman" w:hAnsi="Times New Roman"/>
        </w:rPr>
        <w:t xml:space="preserve">The annualized cost to the Federal government is estimated at </w:t>
      </w:r>
      <w:r w:rsidRPr="0007075F" w:rsidR="00BE6F44">
        <w:rPr>
          <w:rStyle w:val="InitialStyle"/>
          <w:rFonts w:ascii="Times New Roman" w:hAnsi="Times New Roman"/>
          <w:szCs w:val="24"/>
        </w:rPr>
        <w:t>$</w:t>
      </w:r>
      <w:r w:rsidR="00A64F8C">
        <w:rPr>
          <w:rStyle w:val="InitialStyle"/>
          <w:rFonts w:ascii="Times New Roman" w:hAnsi="Times New Roman"/>
          <w:szCs w:val="24"/>
        </w:rPr>
        <w:t>6,</w:t>
      </w:r>
      <w:r w:rsidR="00E01B37">
        <w:rPr>
          <w:rStyle w:val="InitialStyle"/>
          <w:rFonts w:ascii="Times New Roman" w:hAnsi="Times New Roman"/>
          <w:szCs w:val="24"/>
        </w:rPr>
        <w:t>885</w:t>
      </w:r>
      <w:r w:rsidRPr="0007075F" w:rsidR="00E062EA">
        <w:rPr>
          <w:rStyle w:val="InitialStyle"/>
          <w:rFonts w:ascii="Times New Roman" w:hAnsi="Times New Roman"/>
        </w:rPr>
        <w:t>.</w:t>
      </w:r>
    </w:p>
    <w:p w:rsidR="00330F4D" w:rsidRPr="0007075F" w14:paraId="17D08CAF" w14:textId="77777777">
      <w:pPr>
        <w:overflowPunct/>
        <w:autoSpaceDE/>
        <w:autoSpaceDN/>
        <w:adjustRightInd/>
        <w:textAlignment w:val="auto"/>
        <w:rPr>
          <w:rStyle w:val="InitialStyle"/>
          <w:rFonts w:ascii="Times New Roman" w:hAnsi="Times New Roman"/>
        </w:rPr>
      </w:pPr>
    </w:p>
    <w:p w:rsidR="00E0346E" w:rsidRPr="0007075F" w14:paraId="63428930" w14:textId="77777777">
      <w:pPr>
        <w:overflowPunct/>
        <w:autoSpaceDE/>
        <w:autoSpaceDN/>
        <w:adjustRightInd/>
        <w:textAlignment w:val="auto"/>
        <w:rPr>
          <w:rStyle w:val="InitialStyle"/>
          <w:rFonts w:ascii="Times New Roman" w:hAnsi="Times New Roman"/>
        </w:rPr>
      </w:pPr>
    </w:p>
    <w:p w:rsidR="00BE6F44" w:rsidP="00F92D66" w14:paraId="36B1E560" w14:textId="394268BB">
      <w:pPr>
        <w:pStyle w:val="DefaultText"/>
        <w:rPr>
          <w:rStyle w:val="InitialStyle"/>
          <w:rFonts w:ascii="Times New Roman" w:hAnsi="Times New Roman"/>
          <w:b/>
        </w:rPr>
      </w:pPr>
      <w:r w:rsidRPr="0007075F">
        <w:rPr>
          <w:rStyle w:val="InitialStyle"/>
          <w:rFonts w:ascii="Times New Roman" w:hAnsi="Times New Roman"/>
          <w:b/>
        </w:rPr>
        <w:t>15.  Explain the reasons for any program changes or adjustments reported in Items 13 or 14 of the OMB Form 83-1.</w:t>
      </w:r>
    </w:p>
    <w:p w:rsidR="00705FA7" w:rsidP="00F92D66" w14:paraId="43B8A59A" w14:textId="1DB5CC5B">
      <w:pPr>
        <w:pStyle w:val="DefaultText"/>
        <w:rPr>
          <w:rStyle w:val="InitialStyle"/>
          <w:rFonts w:ascii="Times New Roman" w:hAnsi="Times New Roman"/>
          <w:bCs/>
        </w:rPr>
      </w:pPr>
    </w:p>
    <w:tbl>
      <w:tblPr>
        <w:tblStyle w:val="GridTableLight"/>
        <w:tblW w:w="5053" w:type="pct"/>
        <w:tblInd w:w="85" w:type="dxa"/>
        <w:tblLook w:val="04A0"/>
      </w:tblPr>
      <w:tblGrid>
        <w:gridCol w:w="1174"/>
        <w:gridCol w:w="1377"/>
        <w:gridCol w:w="1380"/>
        <w:gridCol w:w="1380"/>
        <w:gridCol w:w="1380"/>
        <w:gridCol w:w="1380"/>
        <w:gridCol w:w="1378"/>
      </w:tblGrid>
      <w:tr w14:paraId="2165B79D" w14:textId="77777777" w:rsidTr="00A9575A">
        <w:tblPrEx>
          <w:tblW w:w="5053" w:type="pct"/>
          <w:tblInd w:w="85" w:type="dxa"/>
          <w:tblLook w:val="04A0"/>
        </w:tblPrEx>
        <w:trPr>
          <w:trHeight w:val="736"/>
        </w:trPr>
        <w:tc>
          <w:tcPr>
            <w:tcW w:w="622" w:type="pct"/>
            <w:vAlign w:val="bottom"/>
            <w:hideMark/>
          </w:tcPr>
          <w:p w:rsidR="00705FA7" w:rsidRPr="00B30BD7" w:rsidP="000715AD" w14:paraId="1C681C97" w14:textId="77777777">
            <w:pPr>
              <w:jc w:val="center"/>
              <w:rPr>
                <w:rFonts w:ascii="Arial" w:hAnsi="Arial" w:cs="Arial"/>
                <w:sz w:val="20"/>
                <w:szCs w:val="20"/>
              </w:rPr>
            </w:pPr>
          </w:p>
        </w:tc>
        <w:tc>
          <w:tcPr>
            <w:tcW w:w="729" w:type="pct"/>
            <w:vAlign w:val="bottom"/>
            <w:hideMark/>
          </w:tcPr>
          <w:p w:rsidR="00705FA7" w:rsidRPr="00E82FB9" w:rsidP="000715AD" w14:paraId="611D8BA5" w14:textId="77777777">
            <w:pPr>
              <w:jc w:val="center"/>
              <w:rPr>
                <w:rFonts w:ascii="Arial" w:hAnsi="Arial" w:cs="Arial"/>
                <w:b/>
                <w:bCs/>
                <w:sz w:val="16"/>
                <w:szCs w:val="16"/>
              </w:rPr>
            </w:pPr>
            <w:r w:rsidRPr="00E82FB9">
              <w:rPr>
                <w:rFonts w:ascii="Arial" w:hAnsi="Arial" w:cs="Arial"/>
                <w:b/>
                <w:bCs/>
                <w:sz w:val="16"/>
                <w:szCs w:val="16"/>
              </w:rPr>
              <w:t>Requested</w:t>
            </w:r>
          </w:p>
        </w:tc>
        <w:tc>
          <w:tcPr>
            <w:tcW w:w="730" w:type="pct"/>
            <w:vAlign w:val="bottom"/>
            <w:hideMark/>
          </w:tcPr>
          <w:p w:rsidR="00705FA7" w:rsidRPr="00E82FB9" w:rsidP="000715AD" w14:paraId="45831B06" w14:textId="77777777">
            <w:pPr>
              <w:jc w:val="center"/>
              <w:rPr>
                <w:rFonts w:ascii="Arial" w:hAnsi="Arial" w:cs="Arial"/>
                <w:b/>
                <w:bCs/>
                <w:sz w:val="16"/>
                <w:szCs w:val="16"/>
              </w:rPr>
            </w:pPr>
            <w:r w:rsidRPr="00E82FB9">
              <w:rPr>
                <w:rFonts w:ascii="Arial" w:hAnsi="Arial" w:cs="Arial"/>
                <w:b/>
                <w:bCs/>
                <w:sz w:val="16"/>
                <w:szCs w:val="16"/>
              </w:rPr>
              <w:t>Program Change Due to New Statute</w:t>
            </w:r>
          </w:p>
        </w:tc>
        <w:tc>
          <w:tcPr>
            <w:tcW w:w="730" w:type="pct"/>
            <w:vAlign w:val="bottom"/>
            <w:hideMark/>
          </w:tcPr>
          <w:p w:rsidR="00705FA7" w:rsidRPr="00E82FB9" w:rsidP="000715AD" w14:paraId="51B0861A" w14:textId="77777777">
            <w:pPr>
              <w:jc w:val="center"/>
              <w:rPr>
                <w:rFonts w:ascii="Arial" w:hAnsi="Arial" w:cs="Arial"/>
                <w:b/>
                <w:bCs/>
                <w:sz w:val="16"/>
                <w:szCs w:val="16"/>
              </w:rPr>
            </w:pPr>
            <w:r w:rsidRPr="00E82FB9">
              <w:rPr>
                <w:rFonts w:ascii="Arial" w:hAnsi="Arial" w:cs="Arial"/>
                <w:b/>
                <w:bCs/>
                <w:sz w:val="16"/>
                <w:szCs w:val="16"/>
              </w:rPr>
              <w:t>Program Change Due to Agency Discretion</w:t>
            </w:r>
          </w:p>
        </w:tc>
        <w:tc>
          <w:tcPr>
            <w:tcW w:w="730" w:type="pct"/>
            <w:vAlign w:val="bottom"/>
            <w:hideMark/>
          </w:tcPr>
          <w:p w:rsidR="00705FA7" w:rsidRPr="00E82FB9" w:rsidP="000715AD" w14:paraId="7C1573E0" w14:textId="77777777">
            <w:pPr>
              <w:jc w:val="center"/>
              <w:rPr>
                <w:rFonts w:ascii="Arial" w:hAnsi="Arial" w:cs="Arial"/>
                <w:b/>
                <w:bCs/>
                <w:sz w:val="16"/>
                <w:szCs w:val="16"/>
              </w:rPr>
            </w:pPr>
            <w:r w:rsidRPr="00E82FB9">
              <w:rPr>
                <w:rFonts w:ascii="Arial" w:hAnsi="Arial" w:cs="Arial"/>
                <w:b/>
                <w:bCs/>
                <w:sz w:val="16"/>
                <w:szCs w:val="16"/>
              </w:rPr>
              <w:t>Change Due to Adjustment in Agency Estimate</w:t>
            </w:r>
          </w:p>
        </w:tc>
        <w:tc>
          <w:tcPr>
            <w:tcW w:w="730" w:type="pct"/>
            <w:vAlign w:val="bottom"/>
            <w:hideMark/>
          </w:tcPr>
          <w:p w:rsidR="00705FA7" w:rsidRPr="00E82FB9" w:rsidP="000715AD" w14:paraId="5E0B4FCF" w14:textId="77777777">
            <w:pPr>
              <w:jc w:val="center"/>
              <w:rPr>
                <w:rFonts w:ascii="Arial" w:hAnsi="Arial" w:cs="Arial"/>
                <w:b/>
                <w:bCs/>
                <w:sz w:val="16"/>
                <w:szCs w:val="16"/>
              </w:rPr>
            </w:pPr>
            <w:r w:rsidRPr="00E82FB9">
              <w:rPr>
                <w:rFonts w:ascii="Arial" w:hAnsi="Arial" w:cs="Arial"/>
                <w:b/>
                <w:bCs/>
                <w:sz w:val="16"/>
                <w:szCs w:val="16"/>
              </w:rPr>
              <w:t xml:space="preserve">Change Due to Potential Violation </w:t>
            </w:r>
            <w:r>
              <w:rPr>
                <w:rFonts w:ascii="Arial" w:hAnsi="Arial" w:cs="Arial"/>
                <w:b/>
                <w:bCs/>
                <w:sz w:val="16"/>
                <w:szCs w:val="16"/>
              </w:rPr>
              <w:br/>
            </w:r>
            <w:r w:rsidRPr="00E82FB9">
              <w:rPr>
                <w:rFonts w:ascii="Arial" w:hAnsi="Arial" w:cs="Arial"/>
                <w:b/>
                <w:bCs/>
                <w:sz w:val="16"/>
                <w:szCs w:val="16"/>
              </w:rPr>
              <w:t>of the PRA</w:t>
            </w:r>
          </w:p>
        </w:tc>
        <w:tc>
          <w:tcPr>
            <w:tcW w:w="730" w:type="pct"/>
            <w:vAlign w:val="bottom"/>
            <w:hideMark/>
          </w:tcPr>
          <w:p w:rsidR="00705FA7" w:rsidRPr="00E82FB9" w:rsidP="000715AD" w14:paraId="7301A6B7" w14:textId="77777777">
            <w:pPr>
              <w:jc w:val="center"/>
              <w:rPr>
                <w:rFonts w:ascii="Arial" w:hAnsi="Arial" w:cs="Arial"/>
                <w:b/>
                <w:bCs/>
                <w:sz w:val="16"/>
                <w:szCs w:val="16"/>
              </w:rPr>
            </w:pPr>
            <w:r w:rsidRPr="00E82FB9">
              <w:rPr>
                <w:rFonts w:ascii="Arial" w:hAnsi="Arial" w:cs="Arial"/>
                <w:b/>
                <w:bCs/>
                <w:sz w:val="16"/>
                <w:szCs w:val="16"/>
              </w:rPr>
              <w:t>Previously Approved</w:t>
            </w:r>
          </w:p>
        </w:tc>
      </w:tr>
      <w:tr w14:paraId="0B9E609F" w14:textId="77777777" w:rsidTr="00A9575A">
        <w:tblPrEx>
          <w:tblW w:w="5053" w:type="pct"/>
          <w:tblInd w:w="85" w:type="dxa"/>
          <w:tblLook w:val="04A0"/>
        </w:tblPrEx>
        <w:trPr>
          <w:trHeight w:val="736"/>
        </w:trPr>
        <w:tc>
          <w:tcPr>
            <w:tcW w:w="622" w:type="pct"/>
            <w:vAlign w:val="center"/>
            <w:hideMark/>
          </w:tcPr>
          <w:p w:rsidR="00705FA7" w:rsidRPr="00E82FB9" w:rsidP="000715AD" w14:paraId="5641C2B2" w14:textId="77777777">
            <w:pPr>
              <w:rPr>
                <w:rFonts w:ascii="Arial" w:hAnsi="Arial" w:cs="Arial"/>
                <w:b/>
                <w:bCs/>
                <w:sz w:val="16"/>
                <w:szCs w:val="16"/>
              </w:rPr>
            </w:pPr>
            <w:r w:rsidRPr="00E82FB9">
              <w:rPr>
                <w:rFonts w:ascii="Arial" w:hAnsi="Arial" w:cs="Arial"/>
                <w:b/>
                <w:bCs/>
                <w:sz w:val="16"/>
                <w:szCs w:val="16"/>
              </w:rPr>
              <w:t>Annual Number of Responses</w:t>
            </w:r>
          </w:p>
        </w:tc>
        <w:tc>
          <w:tcPr>
            <w:tcW w:w="729" w:type="pct"/>
            <w:vAlign w:val="center"/>
            <w:hideMark/>
          </w:tcPr>
          <w:p w:rsidR="00705FA7" w:rsidRPr="00E82FB9" w:rsidP="000715AD" w14:paraId="33D71D80" w14:textId="22E05D7B">
            <w:pPr>
              <w:jc w:val="center"/>
              <w:rPr>
                <w:rFonts w:ascii="Times New Roman" w:hAnsi="Times New Roman"/>
              </w:rPr>
            </w:pPr>
            <w:r>
              <w:rPr>
                <w:rFonts w:ascii="Times New Roman" w:hAnsi="Times New Roman"/>
              </w:rPr>
              <w:t>114</w:t>
            </w:r>
          </w:p>
        </w:tc>
        <w:tc>
          <w:tcPr>
            <w:tcW w:w="730" w:type="pct"/>
            <w:vAlign w:val="center"/>
            <w:hideMark/>
          </w:tcPr>
          <w:p w:rsidR="00705FA7" w:rsidRPr="00E82FB9" w:rsidP="000715AD" w14:paraId="5E93947C" w14:textId="77777777">
            <w:pPr>
              <w:jc w:val="center"/>
              <w:rPr>
                <w:rFonts w:ascii="Times New Roman" w:hAnsi="Times New Roman"/>
              </w:rPr>
            </w:pPr>
            <w:r w:rsidRPr="00E82FB9">
              <w:rPr>
                <w:rFonts w:ascii="Times New Roman" w:hAnsi="Times New Roman"/>
              </w:rPr>
              <w:t>0</w:t>
            </w:r>
          </w:p>
        </w:tc>
        <w:tc>
          <w:tcPr>
            <w:tcW w:w="730" w:type="pct"/>
            <w:vAlign w:val="center"/>
            <w:hideMark/>
          </w:tcPr>
          <w:p w:rsidR="00705FA7" w:rsidRPr="00E82FB9" w:rsidP="000715AD" w14:paraId="5EB442D8" w14:textId="77777777">
            <w:pPr>
              <w:jc w:val="center"/>
              <w:rPr>
                <w:rFonts w:ascii="Times New Roman" w:hAnsi="Times New Roman"/>
              </w:rPr>
            </w:pPr>
            <w:r w:rsidRPr="00E82FB9">
              <w:rPr>
                <w:rFonts w:ascii="Times New Roman" w:hAnsi="Times New Roman"/>
              </w:rPr>
              <w:t>0</w:t>
            </w:r>
          </w:p>
        </w:tc>
        <w:tc>
          <w:tcPr>
            <w:tcW w:w="730" w:type="pct"/>
            <w:vAlign w:val="center"/>
            <w:hideMark/>
          </w:tcPr>
          <w:p w:rsidR="00705FA7" w:rsidRPr="00E82FB9" w:rsidP="000715AD" w14:paraId="44754497" w14:textId="02456746">
            <w:pPr>
              <w:jc w:val="center"/>
              <w:rPr>
                <w:rFonts w:ascii="Times New Roman" w:hAnsi="Times New Roman"/>
              </w:rPr>
            </w:pPr>
            <w:r>
              <w:rPr>
                <w:rFonts w:ascii="Times New Roman" w:hAnsi="Times New Roman"/>
              </w:rPr>
              <w:t>0</w:t>
            </w:r>
          </w:p>
        </w:tc>
        <w:tc>
          <w:tcPr>
            <w:tcW w:w="730" w:type="pct"/>
            <w:vAlign w:val="center"/>
            <w:hideMark/>
          </w:tcPr>
          <w:p w:rsidR="00705FA7" w:rsidRPr="00E82FB9" w:rsidP="000715AD" w14:paraId="61D532D0" w14:textId="77777777">
            <w:pPr>
              <w:jc w:val="center"/>
              <w:rPr>
                <w:rFonts w:ascii="Times New Roman" w:hAnsi="Times New Roman"/>
              </w:rPr>
            </w:pPr>
            <w:r w:rsidRPr="00E82FB9">
              <w:rPr>
                <w:rFonts w:ascii="Times New Roman" w:hAnsi="Times New Roman"/>
              </w:rPr>
              <w:t>0</w:t>
            </w:r>
          </w:p>
        </w:tc>
        <w:tc>
          <w:tcPr>
            <w:tcW w:w="730" w:type="pct"/>
            <w:vAlign w:val="center"/>
            <w:hideMark/>
          </w:tcPr>
          <w:p w:rsidR="00705FA7" w:rsidRPr="00E82FB9" w:rsidP="000715AD" w14:paraId="4B0B4D39" w14:textId="3E0FCEC4">
            <w:pPr>
              <w:jc w:val="center"/>
              <w:rPr>
                <w:rFonts w:ascii="Times New Roman" w:hAnsi="Times New Roman"/>
              </w:rPr>
            </w:pPr>
            <w:r>
              <w:rPr>
                <w:rFonts w:ascii="Times New Roman" w:hAnsi="Times New Roman"/>
              </w:rPr>
              <w:t>114</w:t>
            </w:r>
          </w:p>
        </w:tc>
      </w:tr>
      <w:tr w14:paraId="2A64F113" w14:textId="77777777" w:rsidTr="00A9575A">
        <w:tblPrEx>
          <w:tblW w:w="5053" w:type="pct"/>
          <w:tblInd w:w="85" w:type="dxa"/>
          <w:tblLook w:val="04A0"/>
        </w:tblPrEx>
        <w:trPr>
          <w:trHeight w:val="736"/>
        </w:trPr>
        <w:tc>
          <w:tcPr>
            <w:tcW w:w="622" w:type="pct"/>
            <w:vAlign w:val="center"/>
            <w:hideMark/>
          </w:tcPr>
          <w:p w:rsidR="00705FA7" w:rsidRPr="00E82FB9" w:rsidP="000715AD" w14:paraId="55ED703A" w14:textId="77777777">
            <w:pPr>
              <w:rPr>
                <w:rFonts w:ascii="Arial" w:hAnsi="Arial" w:cs="Arial"/>
                <w:b/>
                <w:bCs/>
                <w:sz w:val="16"/>
                <w:szCs w:val="16"/>
              </w:rPr>
            </w:pPr>
            <w:r w:rsidRPr="00E82FB9">
              <w:rPr>
                <w:rFonts w:ascii="Arial" w:hAnsi="Arial" w:cs="Arial"/>
                <w:b/>
                <w:bCs/>
                <w:sz w:val="16"/>
                <w:szCs w:val="16"/>
              </w:rPr>
              <w:t>Annual Time Burden (Hr)</w:t>
            </w:r>
          </w:p>
        </w:tc>
        <w:tc>
          <w:tcPr>
            <w:tcW w:w="729" w:type="pct"/>
            <w:vAlign w:val="center"/>
            <w:hideMark/>
          </w:tcPr>
          <w:p w:rsidR="00705FA7" w:rsidRPr="00E82FB9" w:rsidP="000715AD" w14:paraId="10F75151" w14:textId="1B43E331">
            <w:pPr>
              <w:jc w:val="center"/>
              <w:rPr>
                <w:rFonts w:ascii="Times New Roman" w:hAnsi="Times New Roman"/>
              </w:rPr>
            </w:pPr>
            <w:r>
              <w:rPr>
                <w:rFonts w:ascii="Times New Roman" w:hAnsi="Times New Roman"/>
              </w:rPr>
              <w:t>98</w:t>
            </w:r>
          </w:p>
        </w:tc>
        <w:tc>
          <w:tcPr>
            <w:tcW w:w="730" w:type="pct"/>
            <w:vAlign w:val="center"/>
            <w:hideMark/>
          </w:tcPr>
          <w:p w:rsidR="00705FA7" w:rsidRPr="00E82FB9" w:rsidP="000715AD" w14:paraId="7AF747A5" w14:textId="77777777">
            <w:pPr>
              <w:jc w:val="center"/>
              <w:rPr>
                <w:rFonts w:ascii="Times New Roman" w:hAnsi="Times New Roman"/>
              </w:rPr>
            </w:pPr>
            <w:r w:rsidRPr="00E82FB9">
              <w:rPr>
                <w:rFonts w:ascii="Times New Roman" w:hAnsi="Times New Roman"/>
              </w:rPr>
              <w:t>0</w:t>
            </w:r>
          </w:p>
        </w:tc>
        <w:tc>
          <w:tcPr>
            <w:tcW w:w="730" w:type="pct"/>
            <w:vAlign w:val="center"/>
            <w:hideMark/>
          </w:tcPr>
          <w:p w:rsidR="00705FA7" w:rsidRPr="00E82FB9" w:rsidP="000715AD" w14:paraId="7B84801F" w14:textId="77777777">
            <w:pPr>
              <w:jc w:val="center"/>
              <w:rPr>
                <w:rFonts w:ascii="Times New Roman" w:hAnsi="Times New Roman"/>
              </w:rPr>
            </w:pPr>
            <w:r w:rsidRPr="00E82FB9">
              <w:rPr>
                <w:rFonts w:ascii="Times New Roman" w:hAnsi="Times New Roman"/>
              </w:rPr>
              <w:t>0</w:t>
            </w:r>
          </w:p>
        </w:tc>
        <w:tc>
          <w:tcPr>
            <w:tcW w:w="730" w:type="pct"/>
            <w:vAlign w:val="center"/>
            <w:hideMark/>
          </w:tcPr>
          <w:p w:rsidR="00705FA7" w:rsidRPr="00E82FB9" w:rsidP="000715AD" w14:paraId="253416C8" w14:textId="50A8FB29">
            <w:pPr>
              <w:jc w:val="center"/>
              <w:rPr>
                <w:rFonts w:ascii="Times New Roman" w:hAnsi="Times New Roman"/>
              </w:rPr>
            </w:pPr>
            <w:r>
              <w:rPr>
                <w:rFonts w:ascii="Times New Roman" w:hAnsi="Times New Roman"/>
              </w:rPr>
              <w:t>2</w:t>
            </w:r>
          </w:p>
        </w:tc>
        <w:tc>
          <w:tcPr>
            <w:tcW w:w="730" w:type="pct"/>
            <w:vAlign w:val="center"/>
            <w:hideMark/>
          </w:tcPr>
          <w:p w:rsidR="00705FA7" w:rsidRPr="00E82FB9" w:rsidP="000715AD" w14:paraId="5A5AB153" w14:textId="77777777">
            <w:pPr>
              <w:jc w:val="center"/>
              <w:rPr>
                <w:rFonts w:ascii="Times New Roman" w:hAnsi="Times New Roman"/>
              </w:rPr>
            </w:pPr>
            <w:r w:rsidRPr="00E82FB9">
              <w:rPr>
                <w:rFonts w:ascii="Times New Roman" w:hAnsi="Times New Roman"/>
              </w:rPr>
              <w:t>0</w:t>
            </w:r>
          </w:p>
        </w:tc>
        <w:tc>
          <w:tcPr>
            <w:tcW w:w="730" w:type="pct"/>
            <w:vAlign w:val="center"/>
            <w:hideMark/>
          </w:tcPr>
          <w:p w:rsidR="00705FA7" w:rsidRPr="00E82FB9" w:rsidP="000715AD" w14:paraId="64519F9B" w14:textId="73CC50AB">
            <w:pPr>
              <w:jc w:val="center"/>
              <w:rPr>
                <w:rFonts w:ascii="Times New Roman" w:hAnsi="Times New Roman"/>
              </w:rPr>
            </w:pPr>
            <w:r>
              <w:rPr>
                <w:rFonts w:ascii="Times New Roman" w:hAnsi="Times New Roman"/>
              </w:rPr>
              <w:t>96</w:t>
            </w:r>
          </w:p>
        </w:tc>
      </w:tr>
    </w:tbl>
    <w:p w:rsidR="000172F4" w:rsidRPr="0007075F" w:rsidP="00F92D66" w14:paraId="61B95882" w14:textId="77777777">
      <w:pPr>
        <w:pStyle w:val="DefaultText"/>
        <w:rPr>
          <w:rStyle w:val="InitialStyle"/>
          <w:rFonts w:ascii="Times New Roman" w:hAnsi="Times New Roman"/>
        </w:rPr>
      </w:pPr>
    </w:p>
    <w:p w:rsidR="00705FA7" w:rsidP="00BE0BF2" w14:paraId="7D886E1B" w14:textId="7297319C">
      <w:pPr>
        <w:rPr>
          <w:sz w:val="24"/>
          <w:szCs w:val="24"/>
        </w:rPr>
      </w:pPr>
      <w:r w:rsidRPr="00A64F8C">
        <w:rPr>
          <w:sz w:val="24"/>
          <w:szCs w:val="24"/>
        </w:rPr>
        <w:t xml:space="preserve">This request for renewal is for </w:t>
      </w:r>
      <w:r w:rsidRPr="00A64F8C" w:rsidR="008E33E1">
        <w:rPr>
          <w:sz w:val="24"/>
          <w:szCs w:val="24"/>
        </w:rPr>
        <w:t xml:space="preserve">114 </w:t>
      </w:r>
      <w:r w:rsidRPr="00A64F8C">
        <w:rPr>
          <w:sz w:val="24"/>
          <w:szCs w:val="24"/>
        </w:rPr>
        <w:t xml:space="preserve">estimated annual responses and </w:t>
      </w:r>
      <w:r w:rsidRPr="00A64F8C" w:rsidR="008E33E1">
        <w:rPr>
          <w:sz w:val="24"/>
          <w:szCs w:val="24"/>
        </w:rPr>
        <w:t xml:space="preserve">98 </w:t>
      </w:r>
      <w:r w:rsidRPr="00A64F8C">
        <w:rPr>
          <w:sz w:val="24"/>
          <w:szCs w:val="24"/>
        </w:rPr>
        <w:t>estimated annual burden hours</w:t>
      </w:r>
      <w:r w:rsidRPr="00A64F8C" w:rsidR="00166AEC">
        <w:rPr>
          <w:sz w:val="24"/>
          <w:szCs w:val="24"/>
        </w:rPr>
        <w:t xml:space="preserve">.  </w:t>
      </w:r>
      <w:r w:rsidR="00BE0BF2">
        <w:rPr>
          <w:sz w:val="24"/>
          <w:szCs w:val="24"/>
        </w:rPr>
        <w:t xml:space="preserve">This renewal corrects the burden distribution </w:t>
      </w:r>
      <w:r w:rsidR="0076405A">
        <w:rPr>
          <w:sz w:val="24"/>
          <w:szCs w:val="24"/>
        </w:rPr>
        <w:t xml:space="preserve">for two activities (listed below) </w:t>
      </w:r>
      <w:r w:rsidR="00BE0BF2">
        <w:rPr>
          <w:sz w:val="24"/>
          <w:szCs w:val="24"/>
        </w:rPr>
        <w:t>by respondent type to include Busines</w:t>
      </w:r>
      <w:r w:rsidR="00B30109">
        <w:rPr>
          <w:sz w:val="24"/>
          <w:szCs w:val="24"/>
        </w:rPr>
        <w:t>s</w:t>
      </w:r>
      <w:r w:rsidR="00BE0BF2">
        <w:rPr>
          <w:sz w:val="24"/>
          <w:szCs w:val="24"/>
        </w:rPr>
        <w:t xml:space="preserve"> and </w:t>
      </w:r>
      <w:r w:rsidR="00B30109">
        <w:rPr>
          <w:sz w:val="24"/>
          <w:szCs w:val="24"/>
        </w:rPr>
        <w:t xml:space="preserve">State </w:t>
      </w:r>
      <w:r w:rsidR="00BE0BF2">
        <w:rPr>
          <w:sz w:val="24"/>
          <w:szCs w:val="24"/>
        </w:rPr>
        <w:t>and t</w:t>
      </w:r>
      <w:r w:rsidRPr="00A64F8C" w:rsidR="00A64F8C">
        <w:rPr>
          <w:sz w:val="24"/>
          <w:szCs w:val="24"/>
        </w:rPr>
        <w:t>he number of estimated responses remains unchanged. There is</w:t>
      </w:r>
      <w:r w:rsidRPr="00A64F8C" w:rsidR="00166AEC">
        <w:rPr>
          <w:sz w:val="24"/>
          <w:szCs w:val="24"/>
        </w:rPr>
        <w:t xml:space="preserve"> a </w:t>
      </w:r>
      <w:r w:rsidR="00A9575A">
        <w:rPr>
          <w:sz w:val="24"/>
          <w:szCs w:val="24"/>
        </w:rPr>
        <w:t xml:space="preserve">2 hour increase in the total burden hours </w:t>
      </w:r>
      <w:r w:rsidRPr="00A64F8C" w:rsidR="00166AEC">
        <w:rPr>
          <w:sz w:val="24"/>
          <w:szCs w:val="24"/>
        </w:rPr>
        <w:t>from the previous renewal request due to a change in the formula calculation</w:t>
      </w:r>
      <w:r w:rsidR="00A9575A">
        <w:rPr>
          <w:sz w:val="24"/>
          <w:szCs w:val="24"/>
        </w:rPr>
        <w:t>.</w:t>
      </w:r>
    </w:p>
    <w:p w:rsidR="0076405A" w:rsidP="00BE0BF2" w14:paraId="7C721962" w14:textId="4044CA80">
      <w:pPr>
        <w:rPr>
          <w:sz w:val="24"/>
          <w:szCs w:val="24"/>
        </w:rPr>
      </w:pPr>
    </w:p>
    <w:p w:rsidR="0076405A" w:rsidRPr="009C0248" w:rsidP="00BE0BF2" w14:paraId="2A195AC1" w14:textId="1B29A9AC">
      <w:pPr>
        <w:rPr>
          <w:sz w:val="24"/>
          <w:szCs w:val="24"/>
        </w:rPr>
      </w:pPr>
      <w:r w:rsidRPr="009C0248">
        <w:rPr>
          <w:sz w:val="24"/>
          <w:szCs w:val="24"/>
        </w:rPr>
        <w:t>Activities</w:t>
      </w:r>
      <w:r w:rsidRPr="009C0248" w:rsidR="009C0248">
        <w:rPr>
          <w:sz w:val="24"/>
          <w:szCs w:val="24"/>
        </w:rPr>
        <w:t>:</w:t>
      </w:r>
    </w:p>
    <w:p w:rsidR="0076405A" w:rsidRPr="00B30109" w:rsidP="0067338D" w14:paraId="73EB318C" w14:textId="6A9A4FC7">
      <w:pPr>
        <w:pStyle w:val="DefaultText"/>
        <w:numPr>
          <w:ilvl w:val="0"/>
          <w:numId w:val="49"/>
        </w:numPr>
        <w:spacing w:line="228" w:lineRule="auto"/>
        <w:rPr>
          <w:bCs/>
        </w:rPr>
      </w:pPr>
      <w:r w:rsidRPr="00B30109">
        <w:rPr>
          <w:bCs/>
        </w:rPr>
        <w:t>Inspection – Importer (Business)</w:t>
      </w:r>
      <w:r w:rsidRPr="00B30109" w:rsidR="00BE0BF2">
        <w:rPr>
          <w:bCs/>
        </w:rPr>
        <w:t>; Federal Order DA-2019</w:t>
      </w:r>
      <w:r w:rsidRPr="00B30109" w:rsidR="00BE0BF2">
        <w:rPr>
          <w:bCs/>
        </w:rPr>
        <w:noBreakHyphen/>
        <w:t>1</w:t>
      </w:r>
    </w:p>
    <w:p w:rsidR="00B30109" w:rsidP="00B30109" w14:paraId="795068A9" w14:textId="7AF60919">
      <w:pPr>
        <w:pStyle w:val="DefaultText"/>
        <w:numPr>
          <w:ilvl w:val="0"/>
          <w:numId w:val="49"/>
        </w:numPr>
        <w:spacing w:line="228" w:lineRule="auto"/>
        <w:rPr>
          <w:bCs/>
        </w:rPr>
      </w:pPr>
      <w:r w:rsidRPr="00B30109">
        <w:rPr>
          <w:bCs/>
        </w:rPr>
        <w:t>Inspection – Importer (</w:t>
      </w:r>
      <w:r>
        <w:rPr>
          <w:bCs/>
        </w:rPr>
        <w:t>State</w:t>
      </w:r>
      <w:r w:rsidRPr="00B30109">
        <w:rPr>
          <w:bCs/>
        </w:rPr>
        <w:t>); Federal Order DA-2019</w:t>
      </w:r>
      <w:r w:rsidRPr="00B30109">
        <w:rPr>
          <w:bCs/>
        </w:rPr>
        <w:noBreakHyphen/>
        <w:t>1</w:t>
      </w:r>
    </w:p>
    <w:p w:rsidR="007A03C9" w:rsidRPr="00B30109" w:rsidP="007A03C9" w14:paraId="7BB751BB" w14:textId="77777777">
      <w:pPr>
        <w:pStyle w:val="DefaultText"/>
        <w:spacing w:line="228" w:lineRule="auto"/>
        <w:rPr>
          <w:bCs/>
        </w:rPr>
      </w:pPr>
    </w:p>
    <w:p w:rsidR="00A7015F" w:rsidRPr="0007075F" w:rsidP="00F92D66" w14:paraId="78FBAECA" w14:textId="77777777">
      <w:pPr>
        <w:pStyle w:val="DefaultText"/>
        <w:rPr>
          <w:rStyle w:val="InitialStyle"/>
          <w:rFonts w:ascii="Times New Roman" w:hAnsi="Times New Roman"/>
        </w:rPr>
      </w:pPr>
    </w:p>
    <w:p w:rsidR="00BE6F44" w:rsidRPr="0007075F" w:rsidP="00F92D66" w14:paraId="6A6D6CBF" w14:textId="77777777">
      <w:pPr>
        <w:pStyle w:val="DefaultText"/>
        <w:rPr>
          <w:rStyle w:val="InitialStyle"/>
          <w:rFonts w:ascii="Times New Roman" w:hAnsi="Times New Roman"/>
        </w:rPr>
      </w:pPr>
      <w:r w:rsidRPr="0007075F">
        <w:rPr>
          <w:rStyle w:val="InitialStyle"/>
          <w:rFonts w:ascii="Times New Roman" w:hAnsi="Times New Roman"/>
          <w:b/>
        </w:rPr>
        <w:t>16.  For collections of information whose results are planned to be published, outline plans for tabulation and publication.</w:t>
      </w:r>
    </w:p>
    <w:p w:rsidR="00BE6F44" w:rsidRPr="0007075F" w:rsidP="00F92D66" w14:paraId="02F1D4D9" w14:textId="77777777">
      <w:pPr>
        <w:pStyle w:val="DefaultText"/>
        <w:rPr>
          <w:rStyle w:val="InitialStyle"/>
          <w:rFonts w:ascii="Times New Roman" w:hAnsi="Times New Roman"/>
        </w:rPr>
      </w:pPr>
    </w:p>
    <w:p w:rsidR="00BE6F44" w:rsidRPr="0007075F" w:rsidP="00F92D66" w14:paraId="127F4D2B" w14:textId="77777777">
      <w:pPr>
        <w:pStyle w:val="DefaultText"/>
        <w:rPr>
          <w:rStyle w:val="InitialStyle"/>
          <w:rFonts w:ascii="Times New Roman" w:hAnsi="Times New Roman"/>
        </w:rPr>
      </w:pPr>
      <w:r w:rsidRPr="0007075F">
        <w:rPr>
          <w:rStyle w:val="InitialStyle"/>
          <w:rFonts w:ascii="Times New Roman" w:hAnsi="Times New Roman"/>
        </w:rPr>
        <w:t>APHIS has</w:t>
      </w:r>
      <w:r w:rsidRPr="0007075F">
        <w:rPr>
          <w:rStyle w:val="InitialStyle"/>
          <w:rFonts w:ascii="Times New Roman" w:hAnsi="Times New Roman"/>
        </w:rPr>
        <w:t xml:space="preserve"> no plans to publish information </w:t>
      </w:r>
      <w:r w:rsidRPr="0007075F">
        <w:rPr>
          <w:rStyle w:val="InitialStyle"/>
          <w:rFonts w:ascii="Times New Roman" w:hAnsi="Times New Roman"/>
        </w:rPr>
        <w:t>it</w:t>
      </w:r>
      <w:r w:rsidRPr="0007075F">
        <w:rPr>
          <w:rStyle w:val="InitialStyle"/>
          <w:rFonts w:ascii="Times New Roman" w:hAnsi="Times New Roman"/>
        </w:rPr>
        <w:t xml:space="preserve"> collect</w:t>
      </w:r>
      <w:r w:rsidRPr="0007075F">
        <w:rPr>
          <w:rStyle w:val="InitialStyle"/>
          <w:rFonts w:ascii="Times New Roman" w:hAnsi="Times New Roman"/>
        </w:rPr>
        <w:t>s</w:t>
      </w:r>
      <w:r w:rsidRPr="0007075F">
        <w:rPr>
          <w:rStyle w:val="InitialStyle"/>
          <w:rFonts w:ascii="Times New Roman" w:hAnsi="Times New Roman"/>
        </w:rPr>
        <w:t xml:space="preserve"> in connection with this program.</w:t>
      </w:r>
    </w:p>
    <w:p w:rsidR="00367ACD" w:rsidRPr="0007075F" w:rsidP="00F92D66" w14:paraId="38C03747" w14:textId="77777777">
      <w:pPr>
        <w:pStyle w:val="DefaultText"/>
        <w:rPr>
          <w:rStyle w:val="InitialStyle"/>
          <w:rFonts w:ascii="Times New Roman" w:hAnsi="Times New Roman"/>
        </w:rPr>
      </w:pPr>
    </w:p>
    <w:p w:rsidR="00367ACD" w:rsidRPr="0007075F" w:rsidP="00F92D66" w14:paraId="4115624E" w14:textId="77777777">
      <w:pPr>
        <w:pStyle w:val="DefaultText"/>
        <w:rPr>
          <w:rStyle w:val="InitialStyle"/>
          <w:rFonts w:ascii="Times New Roman" w:hAnsi="Times New Roman"/>
        </w:rPr>
      </w:pPr>
    </w:p>
    <w:p w:rsidR="009C0248" w14:paraId="25F73BB4" w14:textId="77777777">
      <w:pPr>
        <w:overflowPunct/>
        <w:autoSpaceDE/>
        <w:autoSpaceDN/>
        <w:adjustRightInd/>
        <w:textAlignment w:val="auto"/>
        <w:rPr>
          <w:rStyle w:val="InitialStyle"/>
          <w:rFonts w:ascii="Times New Roman" w:hAnsi="Times New Roman"/>
          <w:b/>
        </w:rPr>
      </w:pPr>
      <w:r>
        <w:rPr>
          <w:rStyle w:val="InitialStyle"/>
          <w:rFonts w:ascii="Times New Roman" w:hAnsi="Times New Roman"/>
          <w:b/>
        </w:rPr>
        <w:br w:type="page"/>
      </w:r>
    </w:p>
    <w:p w:rsidR="00BE6F44" w:rsidRPr="0007075F" w:rsidP="00F92D66" w14:paraId="6C69170F" w14:textId="056244D4">
      <w:pPr>
        <w:pStyle w:val="DefaultText"/>
        <w:rPr>
          <w:rStyle w:val="InitialStyle"/>
          <w:rFonts w:ascii="Times New Roman" w:hAnsi="Times New Roman"/>
        </w:rPr>
      </w:pPr>
      <w:r w:rsidRPr="0007075F">
        <w:rPr>
          <w:rStyle w:val="InitialStyle"/>
          <w:rFonts w:ascii="Times New Roman" w:hAnsi="Times New Roman"/>
          <w:b/>
        </w:rPr>
        <w:t>17.  If seeking approval to not display the expiration date for OMB approval of the information collection, explain the reasons that display would be inappropriate.</w:t>
      </w:r>
    </w:p>
    <w:p w:rsidR="00CC4B9C" w:rsidRPr="00542947" w:rsidP="00F92D66" w14:paraId="1087CA6B" w14:textId="3F76E32D">
      <w:pPr>
        <w:pStyle w:val="DefaultText"/>
        <w:rPr>
          <w:rStyle w:val="InitialStyle"/>
          <w:rFonts w:ascii="Times New Roman" w:hAnsi="Times New Roman"/>
        </w:rPr>
      </w:pPr>
    </w:p>
    <w:p w:rsidR="000F0F06" w:rsidRPr="000F0F06" w:rsidP="00F92D66" w14:paraId="49A7418B" w14:textId="68D7DFE0">
      <w:pPr>
        <w:pStyle w:val="DefaultText"/>
        <w:rPr>
          <w:rStyle w:val="InitialStyle"/>
          <w:rFonts w:ascii="Times New Roman" w:hAnsi="Times New Roman"/>
        </w:rPr>
      </w:pPr>
      <w:r w:rsidRPr="00E25051">
        <w:rPr>
          <w:rStyle w:val="InitialStyle"/>
          <w:rFonts w:ascii="Times New Roman" w:hAnsi="Times New Roman"/>
        </w:rPr>
        <w:t xml:space="preserve">Form </w:t>
      </w:r>
      <w:r w:rsidRPr="00E25051" w:rsidR="00B738BA">
        <w:rPr>
          <w:rStyle w:val="InitialStyle"/>
          <w:rFonts w:ascii="Times New Roman" w:hAnsi="Times New Roman"/>
        </w:rPr>
        <w:t>VS 1</w:t>
      </w:r>
      <w:r w:rsidRPr="00E25051" w:rsidR="009B66B9">
        <w:rPr>
          <w:rStyle w:val="InitialStyle"/>
          <w:rFonts w:ascii="Times New Roman" w:hAnsi="Times New Roman"/>
        </w:rPr>
        <w:t>7</w:t>
      </w:r>
      <w:r w:rsidRPr="00E25051" w:rsidR="00B738BA">
        <w:rPr>
          <w:rStyle w:val="InitialStyle"/>
          <w:rFonts w:ascii="Times New Roman" w:hAnsi="Times New Roman"/>
        </w:rPr>
        <w:t>-</w:t>
      </w:r>
      <w:r w:rsidRPr="00E25051" w:rsidR="009B66B9">
        <w:rPr>
          <w:rStyle w:val="InitialStyle"/>
          <w:rFonts w:ascii="Times New Roman" w:hAnsi="Times New Roman"/>
        </w:rPr>
        <w:t>1</w:t>
      </w:r>
      <w:r w:rsidRPr="00E25051" w:rsidR="00B738BA">
        <w:rPr>
          <w:rStyle w:val="InitialStyle"/>
          <w:rFonts w:ascii="Times New Roman" w:hAnsi="Times New Roman"/>
        </w:rPr>
        <w:t>2</w:t>
      </w:r>
      <w:r w:rsidRPr="00E25051" w:rsidR="009B66B9">
        <w:rPr>
          <w:rStyle w:val="InitialStyle"/>
          <w:rFonts w:ascii="Times New Roman" w:hAnsi="Times New Roman"/>
        </w:rPr>
        <w:t>9</w:t>
      </w:r>
      <w:r w:rsidRPr="00E25051" w:rsidR="00B738BA">
        <w:rPr>
          <w:rStyle w:val="InitialStyle"/>
          <w:rFonts w:ascii="Times New Roman" w:hAnsi="Times New Roman"/>
        </w:rPr>
        <w:t xml:space="preserve"> </w:t>
      </w:r>
      <w:r w:rsidRPr="00E25051" w:rsidR="009B66B9">
        <w:rPr>
          <w:rStyle w:val="InitialStyle"/>
          <w:rFonts w:ascii="Times New Roman" w:hAnsi="Times New Roman"/>
        </w:rPr>
        <w:t xml:space="preserve">is </w:t>
      </w:r>
      <w:r w:rsidRPr="00E25051" w:rsidR="00B738BA">
        <w:rPr>
          <w:rStyle w:val="InitialStyle"/>
          <w:rFonts w:ascii="Times New Roman" w:hAnsi="Times New Roman"/>
        </w:rPr>
        <w:t>used in multiple information collections</w:t>
      </w:r>
      <w:r w:rsidRPr="00E25051" w:rsidR="00397B69">
        <w:rPr>
          <w:rStyle w:val="InitialStyle"/>
          <w:rFonts w:ascii="Times New Roman" w:hAnsi="Times New Roman"/>
        </w:rPr>
        <w:t xml:space="preserve"> with differ</w:t>
      </w:r>
      <w:r w:rsidRPr="00E25051">
        <w:rPr>
          <w:rStyle w:val="InitialStyle"/>
          <w:rFonts w:ascii="Times New Roman" w:hAnsi="Times New Roman"/>
        </w:rPr>
        <w:t xml:space="preserve">ent OMB approval expiration </w:t>
      </w:r>
      <w:r w:rsidRPr="00E25051" w:rsidR="00397B69">
        <w:rPr>
          <w:rStyle w:val="InitialStyle"/>
          <w:rFonts w:ascii="Times New Roman" w:hAnsi="Times New Roman"/>
        </w:rPr>
        <w:t xml:space="preserve">dates. </w:t>
      </w:r>
      <w:r w:rsidRPr="00E25051">
        <w:rPr>
          <w:rStyle w:val="InitialStyle"/>
          <w:rFonts w:ascii="Times New Roman" w:hAnsi="Times New Roman"/>
        </w:rPr>
        <w:t>It would not be practical to add an expiration date to this form at this time.  APHIS and OIRA are currently developing procedures for creating and maintaining a consolidated intra-Agency common form ICR.  Upon the forms’ inclusion in the common form ICR upon its approval, the form will be updated with the appropriate PRA banners, ICR control numbers, and OMB approval expiration dates.</w:t>
      </w:r>
    </w:p>
    <w:p w:rsidR="00BE6F44" w:rsidP="00F92D66" w14:paraId="7A3E123D" w14:textId="0E337805">
      <w:pPr>
        <w:pStyle w:val="DefaultText"/>
        <w:rPr>
          <w:rStyle w:val="InitialStyle"/>
          <w:rFonts w:ascii="Times New Roman" w:hAnsi="Times New Roman"/>
          <w:b/>
          <w:bCs/>
        </w:rPr>
      </w:pPr>
    </w:p>
    <w:p w:rsidR="00B738BA" w:rsidRPr="00542947" w:rsidP="00F92D66" w14:paraId="3A4E9CFB" w14:textId="77777777">
      <w:pPr>
        <w:pStyle w:val="DefaultText"/>
        <w:rPr>
          <w:rStyle w:val="InitialStyle"/>
          <w:rFonts w:ascii="Times New Roman" w:hAnsi="Times New Roman"/>
        </w:rPr>
      </w:pPr>
    </w:p>
    <w:p w:rsidR="00BE6F44" w:rsidRPr="00542947" w:rsidP="00F92D66" w14:paraId="74E91588" w14:textId="77777777">
      <w:pPr>
        <w:pStyle w:val="DefaultText"/>
        <w:rPr>
          <w:rStyle w:val="InitialStyle"/>
          <w:rFonts w:ascii="Times New Roman" w:hAnsi="Times New Roman"/>
        </w:rPr>
      </w:pPr>
      <w:r w:rsidRPr="00542947">
        <w:rPr>
          <w:rStyle w:val="InitialStyle"/>
          <w:rFonts w:ascii="Times New Roman" w:hAnsi="Times New Roman"/>
          <w:b/>
        </w:rPr>
        <w:t xml:space="preserve">18.  Explain each exception to the certification </w:t>
      </w:r>
      <w:r w:rsidRPr="00542947" w:rsidR="003B75E5">
        <w:rPr>
          <w:rStyle w:val="InitialStyle"/>
          <w:rFonts w:ascii="Times New Roman" w:hAnsi="Times New Roman"/>
          <w:b/>
        </w:rPr>
        <w:t>State</w:t>
      </w:r>
      <w:r w:rsidRPr="00542947">
        <w:rPr>
          <w:rStyle w:val="InitialStyle"/>
          <w:rFonts w:ascii="Times New Roman" w:hAnsi="Times New Roman"/>
          <w:b/>
        </w:rPr>
        <w:t>ment in the "Certification for Paperwork Reduction Act."</w:t>
      </w:r>
    </w:p>
    <w:p w:rsidR="00BE6F44" w:rsidRPr="00542947" w:rsidP="00F92D66" w14:paraId="2CEC0622" w14:textId="77777777">
      <w:pPr>
        <w:pStyle w:val="DefaultText"/>
        <w:rPr>
          <w:rStyle w:val="InitialStyle"/>
          <w:rFonts w:ascii="Times New Roman" w:hAnsi="Times New Roman"/>
        </w:rPr>
      </w:pPr>
    </w:p>
    <w:p w:rsidR="00BE6F44" w:rsidP="00F92D66" w14:paraId="75B4066A" w14:textId="5714C240">
      <w:pPr>
        <w:pStyle w:val="DefaultText"/>
        <w:rPr>
          <w:rStyle w:val="InitialStyle"/>
          <w:rFonts w:ascii="Times New Roman" w:hAnsi="Times New Roman"/>
        </w:rPr>
      </w:pPr>
      <w:r w:rsidRPr="00542947">
        <w:rPr>
          <w:rStyle w:val="InitialStyle"/>
          <w:rFonts w:ascii="Times New Roman" w:hAnsi="Times New Roman"/>
        </w:rPr>
        <w:t>APHIS</w:t>
      </w:r>
      <w:r w:rsidRPr="00542947">
        <w:rPr>
          <w:rStyle w:val="InitialStyle"/>
          <w:rFonts w:ascii="Times New Roman" w:hAnsi="Times New Roman"/>
        </w:rPr>
        <w:t xml:space="preserve"> can certify compliance with all provisions under the Act.</w:t>
      </w:r>
    </w:p>
    <w:p w:rsidR="000F0F06" w:rsidRPr="00542947" w:rsidP="00F92D66" w14:paraId="526CF1FB" w14:textId="77777777">
      <w:pPr>
        <w:pStyle w:val="DefaultText"/>
        <w:rPr>
          <w:rStyle w:val="InitialStyle"/>
          <w:rFonts w:ascii="Times New Roman" w:hAnsi="Times New Roman"/>
        </w:rPr>
      </w:pPr>
    </w:p>
    <w:p w:rsidR="00BE6F44" w:rsidRPr="00542947" w:rsidP="00F92D66" w14:paraId="1666F5F7" w14:textId="77777777">
      <w:pPr>
        <w:pStyle w:val="DefaultText"/>
        <w:rPr>
          <w:rStyle w:val="InitialStyle"/>
          <w:rFonts w:ascii="Times New Roman" w:hAnsi="Times New Roman"/>
        </w:rPr>
      </w:pPr>
    </w:p>
    <w:p w:rsidR="00BE6F44" w:rsidRPr="00542947" w:rsidP="00F92D66" w14:paraId="41B51E8C" w14:textId="77777777">
      <w:pPr>
        <w:pStyle w:val="DefaultText"/>
        <w:rPr>
          <w:rStyle w:val="InitialStyle"/>
          <w:rFonts w:ascii="Times New Roman" w:hAnsi="Times New Roman"/>
        </w:rPr>
      </w:pPr>
      <w:r w:rsidRPr="00542947">
        <w:rPr>
          <w:rStyle w:val="InitialStyle"/>
          <w:rFonts w:ascii="Times New Roman" w:hAnsi="Times New Roman"/>
          <w:b/>
        </w:rPr>
        <w:t>B.  Collections of Information Employing Statistical Methods</w:t>
      </w:r>
    </w:p>
    <w:p w:rsidR="00AD2D39" w:rsidRPr="00542947" w:rsidP="00F92D66" w14:paraId="5C61BA8C" w14:textId="77777777">
      <w:pPr>
        <w:pStyle w:val="DefaultText"/>
        <w:rPr>
          <w:rStyle w:val="InitialStyle"/>
          <w:rFonts w:ascii="Times New Roman" w:hAnsi="Times New Roman"/>
        </w:rPr>
      </w:pPr>
    </w:p>
    <w:p w:rsidR="00BE6F44" w:rsidRPr="00542947" w:rsidP="00F92D66" w14:paraId="2C3E76F6" w14:textId="77777777">
      <w:pPr>
        <w:pStyle w:val="DefaultText"/>
      </w:pPr>
      <w:r w:rsidRPr="00542947">
        <w:rPr>
          <w:rStyle w:val="InitialStyle"/>
          <w:rFonts w:ascii="Times New Roman" w:hAnsi="Times New Roman"/>
        </w:rPr>
        <w:t>There are no statistical methods associated with the information collection activities used in this program.</w:t>
      </w:r>
    </w:p>
    <w:sectPr w:rsidSect="00D71253">
      <w:footerReference w:type="default" r:id="rId6"/>
      <w:pgSz w:w="12240" w:h="15840"/>
      <w:pgMar w:top="1440" w:right="1440" w:bottom="1440" w:left="1440" w:header="1440" w:footer="432"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1189218"/>
      <w:docPartObj>
        <w:docPartGallery w:val="Page Numbers (Bottom of Page)"/>
        <w:docPartUnique/>
      </w:docPartObj>
    </w:sdtPr>
    <w:sdtEndPr>
      <w:rPr>
        <w:noProof/>
        <w:sz w:val="24"/>
        <w:szCs w:val="24"/>
      </w:rPr>
    </w:sdtEndPr>
    <w:sdtContent>
      <w:p w:rsidR="00730AEE" w:rsidRPr="00870906" w:rsidP="00870906" w14:paraId="0FC3B5ED" w14:textId="3B898E99">
        <w:pPr>
          <w:pStyle w:val="Footer"/>
          <w:jc w:val="center"/>
          <w:rPr>
            <w:sz w:val="24"/>
            <w:szCs w:val="24"/>
          </w:rPr>
        </w:pPr>
        <w:r w:rsidRPr="006F6923">
          <w:rPr>
            <w:sz w:val="24"/>
            <w:szCs w:val="24"/>
          </w:rPr>
          <w:fldChar w:fldCharType="begin"/>
        </w:r>
        <w:r w:rsidRPr="006F6923">
          <w:rPr>
            <w:sz w:val="24"/>
            <w:szCs w:val="24"/>
          </w:rPr>
          <w:instrText xml:space="preserve"> PAGE   \* MERGEFORMAT </w:instrText>
        </w:r>
        <w:r w:rsidRPr="006F6923">
          <w:rPr>
            <w:sz w:val="24"/>
            <w:szCs w:val="24"/>
          </w:rPr>
          <w:fldChar w:fldCharType="separate"/>
        </w:r>
        <w:r w:rsidR="00194394">
          <w:rPr>
            <w:noProof/>
            <w:sz w:val="24"/>
            <w:szCs w:val="24"/>
          </w:rPr>
          <w:t>8</w:t>
        </w:r>
        <w:r w:rsidRPr="006F6923">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C6C2C" w:rsidP="00AD2D39" w14:paraId="2AD4B378" w14:textId="77777777">
      <w:r>
        <w:separator/>
      </w:r>
    </w:p>
  </w:footnote>
  <w:footnote w:type="continuationSeparator" w:id="1">
    <w:p w:rsidR="00DC6C2C" w:rsidP="00AD2D39" w14:paraId="3E642804" w14:textId="77777777">
      <w:r>
        <w:continuationSeparator/>
      </w:r>
    </w:p>
  </w:footnote>
  <w:footnote w:id="2">
    <w:p w:rsidR="00557CC2" w14:paraId="5DF63DDB" w14:textId="6B4710D7">
      <w:pPr>
        <w:pStyle w:val="FootnoteText"/>
      </w:pPr>
      <w:r>
        <w:rPr>
          <w:rStyle w:val="FootnoteReference"/>
        </w:rPr>
        <w:footnoteRef/>
      </w:r>
      <w:r>
        <w:t xml:space="preserve"> The World Organization for Animal Health changed its official </w:t>
      </w:r>
      <w:r w:rsidR="00CA552C">
        <w:t>acronym from OIE to WOAH in June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21738"/>
    <w:multiLevelType w:val="hybridMultilevel"/>
    <w:tmpl w:val="E6BE9C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80524A"/>
    <w:multiLevelType w:val="hybridMultilevel"/>
    <w:tmpl w:val="41827F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660437"/>
    <w:multiLevelType w:val="hybridMultilevel"/>
    <w:tmpl w:val="CAFEE9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CA00271"/>
    <w:multiLevelType w:val="hybridMultilevel"/>
    <w:tmpl w:val="7542C7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72109C"/>
    <w:multiLevelType w:val="hybridMultilevel"/>
    <w:tmpl w:val="CC846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DC63D8"/>
    <w:multiLevelType w:val="hybridMultilevel"/>
    <w:tmpl w:val="3766CF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DF769AD"/>
    <w:multiLevelType w:val="hybridMultilevel"/>
    <w:tmpl w:val="9AEE0E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8F1E48"/>
    <w:multiLevelType w:val="hybridMultilevel"/>
    <w:tmpl w:val="EBCEF8CE"/>
    <w:lvl w:ilvl="0">
      <w:start w:val="1"/>
      <w:numFmt w:val="bullet"/>
      <w:lvlText w:val=""/>
      <w:lvlJc w:val="left"/>
      <w:pPr>
        <w:ind w:left="778" w:hanging="360"/>
      </w:pPr>
      <w:rPr>
        <w:rFonts w:ascii="Symbol" w:hAnsi="Symbol"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8">
    <w:nsid w:val="16F84E7A"/>
    <w:multiLevelType w:val="hybridMultilevel"/>
    <w:tmpl w:val="B8DEACB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F954A17"/>
    <w:multiLevelType w:val="hybridMultilevel"/>
    <w:tmpl w:val="45D6A3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FC27E33"/>
    <w:multiLevelType w:val="hybridMultilevel"/>
    <w:tmpl w:val="6456B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7035468"/>
    <w:multiLevelType w:val="hybridMultilevel"/>
    <w:tmpl w:val="DA7677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BF47C31"/>
    <w:multiLevelType w:val="hybridMultilevel"/>
    <w:tmpl w:val="80FA9DDA"/>
    <w:lvl w:ilvl="0">
      <w:start w:val="1"/>
      <w:numFmt w:val="bullet"/>
      <w:lvlText w:val=""/>
      <w:lvlJc w:val="left"/>
      <w:pPr>
        <w:ind w:left="825" w:hanging="360"/>
      </w:pPr>
      <w:rPr>
        <w:rFonts w:ascii="Symbol" w:hAnsi="Symbol" w:hint="default"/>
      </w:rPr>
    </w:lvl>
    <w:lvl w:ilvl="1" w:tentative="1">
      <w:start w:val="1"/>
      <w:numFmt w:val="bullet"/>
      <w:lvlText w:val="o"/>
      <w:lvlJc w:val="left"/>
      <w:pPr>
        <w:ind w:left="1545" w:hanging="360"/>
      </w:pPr>
      <w:rPr>
        <w:rFonts w:ascii="Courier New" w:hAnsi="Courier New" w:cs="Courier New" w:hint="default"/>
      </w:rPr>
    </w:lvl>
    <w:lvl w:ilvl="2" w:tentative="1">
      <w:start w:val="1"/>
      <w:numFmt w:val="bullet"/>
      <w:lvlText w:val=""/>
      <w:lvlJc w:val="left"/>
      <w:pPr>
        <w:ind w:left="2265" w:hanging="360"/>
      </w:pPr>
      <w:rPr>
        <w:rFonts w:ascii="Wingdings" w:hAnsi="Wingdings" w:hint="default"/>
      </w:rPr>
    </w:lvl>
    <w:lvl w:ilvl="3" w:tentative="1">
      <w:start w:val="1"/>
      <w:numFmt w:val="bullet"/>
      <w:lvlText w:val=""/>
      <w:lvlJc w:val="left"/>
      <w:pPr>
        <w:ind w:left="2985" w:hanging="360"/>
      </w:pPr>
      <w:rPr>
        <w:rFonts w:ascii="Symbol" w:hAnsi="Symbol" w:hint="default"/>
      </w:rPr>
    </w:lvl>
    <w:lvl w:ilvl="4" w:tentative="1">
      <w:start w:val="1"/>
      <w:numFmt w:val="bullet"/>
      <w:lvlText w:val="o"/>
      <w:lvlJc w:val="left"/>
      <w:pPr>
        <w:ind w:left="3705" w:hanging="360"/>
      </w:pPr>
      <w:rPr>
        <w:rFonts w:ascii="Courier New" w:hAnsi="Courier New" w:cs="Courier New" w:hint="default"/>
      </w:rPr>
    </w:lvl>
    <w:lvl w:ilvl="5" w:tentative="1">
      <w:start w:val="1"/>
      <w:numFmt w:val="bullet"/>
      <w:lvlText w:val=""/>
      <w:lvlJc w:val="left"/>
      <w:pPr>
        <w:ind w:left="4425" w:hanging="360"/>
      </w:pPr>
      <w:rPr>
        <w:rFonts w:ascii="Wingdings" w:hAnsi="Wingdings" w:hint="default"/>
      </w:rPr>
    </w:lvl>
    <w:lvl w:ilvl="6" w:tentative="1">
      <w:start w:val="1"/>
      <w:numFmt w:val="bullet"/>
      <w:lvlText w:val=""/>
      <w:lvlJc w:val="left"/>
      <w:pPr>
        <w:ind w:left="5145" w:hanging="360"/>
      </w:pPr>
      <w:rPr>
        <w:rFonts w:ascii="Symbol" w:hAnsi="Symbol" w:hint="default"/>
      </w:rPr>
    </w:lvl>
    <w:lvl w:ilvl="7" w:tentative="1">
      <w:start w:val="1"/>
      <w:numFmt w:val="bullet"/>
      <w:lvlText w:val="o"/>
      <w:lvlJc w:val="left"/>
      <w:pPr>
        <w:ind w:left="5865" w:hanging="360"/>
      </w:pPr>
      <w:rPr>
        <w:rFonts w:ascii="Courier New" w:hAnsi="Courier New" w:cs="Courier New" w:hint="default"/>
      </w:rPr>
    </w:lvl>
    <w:lvl w:ilvl="8" w:tentative="1">
      <w:start w:val="1"/>
      <w:numFmt w:val="bullet"/>
      <w:lvlText w:val=""/>
      <w:lvlJc w:val="left"/>
      <w:pPr>
        <w:ind w:left="6585" w:hanging="360"/>
      </w:pPr>
      <w:rPr>
        <w:rFonts w:ascii="Wingdings" w:hAnsi="Wingdings" w:hint="default"/>
      </w:rPr>
    </w:lvl>
  </w:abstractNum>
  <w:abstractNum w:abstractNumId="14">
    <w:nsid w:val="2C904013"/>
    <w:multiLevelType w:val="hybridMultilevel"/>
    <w:tmpl w:val="785E0F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59F570A"/>
    <w:multiLevelType w:val="hybridMultilevel"/>
    <w:tmpl w:val="00E255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92D2738"/>
    <w:multiLevelType w:val="hybridMultilevel"/>
    <w:tmpl w:val="E608886C"/>
    <w:lvl w:ilvl="0">
      <w:start w:val="1"/>
      <w:numFmt w:val="bullet"/>
      <w:lvlText w:val=""/>
      <w:lvlJc w:val="left"/>
      <w:pPr>
        <w:ind w:left="765" w:hanging="360"/>
      </w:pPr>
      <w:rPr>
        <w:rFonts w:ascii="Symbol" w:hAnsi="Symbol" w:hint="default"/>
      </w:rPr>
    </w:lvl>
    <w:lvl w:ilvl="1">
      <w:start w:val="1"/>
      <w:numFmt w:val="bullet"/>
      <w:lvlText w:val=""/>
      <w:lvlJc w:val="left"/>
      <w:pPr>
        <w:ind w:left="1485" w:hanging="360"/>
      </w:pPr>
      <w:rPr>
        <w:rFonts w:ascii="Symbol" w:hAnsi="Symbol" w:hint="default"/>
      </w:rPr>
    </w:lvl>
    <w:lvl w:ilvl="2">
      <w:start w:val="1"/>
      <w:numFmt w:val="bullet"/>
      <w:lvlText w:val="o"/>
      <w:lvlJc w:val="left"/>
      <w:pPr>
        <w:ind w:left="2205" w:hanging="360"/>
      </w:pPr>
      <w:rPr>
        <w:rFonts w:ascii="Courier New" w:hAnsi="Courier New" w:cs="Courier New"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7">
    <w:nsid w:val="3AA802C9"/>
    <w:multiLevelType w:val="hybridMultilevel"/>
    <w:tmpl w:val="17BA81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AA918B3"/>
    <w:multiLevelType w:val="hybridMultilevel"/>
    <w:tmpl w:val="A5BA84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D9838D1"/>
    <w:multiLevelType w:val="hybridMultilevel"/>
    <w:tmpl w:val="B2002B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ED77934"/>
    <w:multiLevelType w:val="hybridMultilevel"/>
    <w:tmpl w:val="E21AA0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1522AF0"/>
    <w:multiLevelType w:val="hybridMultilevel"/>
    <w:tmpl w:val="ED7679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2FD2037"/>
    <w:multiLevelType w:val="hybridMultilevel"/>
    <w:tmpl w:val="371C9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4F81113"/>
    <w:multiLevelType w:val="hybridMultilevel"/>
    <w:tmpl w:val="762E27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6AC0AAE"/>
    <w:multiLevelType w:val="hybridMultilevel"/>
    <w:tmpl w:val="C86A2D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7C91ED6"/>
    <w:multiLevelType w:val="hybridMultilevel"/>
    <w:tmpl w:val="5B1CCD1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BC87324"/>
    <w:multiLevelType w:val="hybridMultilevel"/>
    <w:tmpl w:val="DC16B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D16044E"/>
    <w:multiLevelType w:val="hybridMultilevel"/>
    <w:tmpl w:val="A2704D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FF24A55"/>
    <w:multiLevelType w:val="hybridMultilevel"/>
    <w:tmpl w:val="3648E6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01F71DA"/>
    <w:multiLevelType w:val="hybridMultilevel"/>
    <w:tmpl w:val="30046F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20F5D2B"/>
    <w:multiLevelType w:val="hybridMultilevel"/>
    <w:tmpl w:val="ECAC0F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3C03F3F"/>
    <w:multiLevelType w:val="hybridMultilevel"/>
    <w:tmpl w:val="A9360D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6071278F"/>
    <w:multiLevelType w:val="hybridMultilevel"/>
    <w:tmpl w:val="9F8406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32A0501"/>
    <w:multiLevelType w:val="hybridMultilevel"/>
    <w:tmpl w:val="52FC23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6FA565F"/>
    <w:multiLevelType w:val="hybridMultilevel"/>
    <w:tmpl w:val="9D762D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7E225CF"/>
    <w:multiLevelType w:val="hybridMultilevel"/>
    <w:tmpl w:val="66D46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BFC765F"/>
    <w:multiLevelType w:val="hybridMultilevel"/>
    <w:tmpl w:val="CFB4D4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6C2637BF"/>
    <w:multiLevelType w:val="hybridMultilevel"/>
    <w:tmpl w:val="393653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C664646"/>
    <w:multiLevelType w:val="hybridMultilevel"/>
    <w:tmpl w:val="718EC62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D256F84"/>
    <w:multiLevelType w:val="hybridMultilevel"/>
    <w:tmpl w:val="ED4888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76EC192E"/>
    <w:multiLevelType w:val="hybridMultilevel"/>
    <w:tmpl w:val="65D4DD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D515336"/>
    <w:multiLevelType w:val="hybridMultilevel"/>
    <w:tmpl w:val="2B3CF3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E6954EA"/>
    <w:multiLevelType w:val="hybridMultilevel"/>
    <w:tmpl w:val="D15E83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14973075">
    <w:abstractNumId w:val="0"/>
  </w:num>
  <w:num w:numId="2" w16cid:durableId="835460302">
    <w:abstractNumId w:val="36"/>
  </w:num>
  <w:num w:numId="3" w16cid:durableId="1709068152">
    <w:abstractNumId w:val="18"/>
  </w:num>
  <w:num w:numId="4" w16cid:durableId="2037459378">
    <w:abstractNumId w:val="45"/>
  </w:num>
  <w:num w:numId="5" w16cid:durableId="2029014947">
    <w:abstractNumId w:val="4"/>
  </w:num>
  <w:num w:numId="6" w16cid:durableId="1170366833">
    <w:abstractNumId w:val="12"/>
  </w:num>
  <w:num w:numId="7" w16cid:durableId="212548798">
    <w:abstractNumId w:val="31"/>
  </w:num>
  <w:num w:numId="8" w16cid:durableId="651063663">
    <w:abstractNumId w:val="44"/>
  </w:num>
  <w:num w:numId="9" w16cid:durableId="643001201">
    <w:abstractNumId w:val="38"/>
  </w:num>
  <w:num w:numId="10" w16cid:durableId="1731727733">
    <w:abstractNumId w:val="1"/>
  </w:num>
  <w:num w:numId="11" w16cid:durableId="347490279">
    <w:abstractNumId w:val="29"/>
  </w:num>
  <w:num w:numId="12" w16cid:durableId="2097438659">
    <w:abstractNumId w:val="35"/>
  </w:num>
  <w:num w:numId="13" w16cid:durableId="1668364499">
    <w:abstractNumId w:val="27"/>
  </w:num>
  <w:num w:numId="14" w16cid:durableId="353268665">
    <w:abstractNumId w:val="42"/>
  </w:num>
  <w:num w:numId="15" w16cid:durableId="287395993">
    <w:abstractNumId w:val="16"/>
  </w:num>
  <w:num w:numId="16" w16cid:durableId="1822192181">
    <w:abstractNumId w:val="30"/>
  </w:num>
  <w:num w:numId="17" w16cid:durableId="936331447">
    <w:abstractNumId w:val="10"/>
  </w:num>
  <w:num w:numId="18" w16cid:durableId="819035564">
    <w:abstractNumId w:val="9"/>
  </w:num>
  <w:num w:numId="19" w16cid:durableId="1495871703">
    <w:abstractNumId w:val="46"/>
  </w:num>
  <w:num w:numId="20" w16cid:durableId="2100637785">
    <w:abstractNumId w:val="5"/>
  </w:num>
  <w:num w:numId="21" w16cid:durableId="1703356504">
    <w:abstractNumId w:val="22"/>
  </w:num>
  <w:num w:numId="22" w16cid:durableId="1730961364">
    <w:abstractNumId w:val="13"/>
  </w:num>
  <w:num w:numId="23" w16cid:durableId="2105299377">
    <w:abstractNumId w:val="17"/>
  </w:num>
  <w:num w:numId="24" w16cid:durableId="189687829">
    <w:abstractNumId w:val="21"/>
  </w:num>
  <w:num w:numId="25" w16cid:durableId="1507792291">
    <w:abstractNumId w:val="24"/>
  </w:num>
  <w:num w:numId="26" w16cid:durableId="319695655">
    <w:abstractNumId w:val="14"/>
  </w:num>
  <w:num w:numId="27" w16cid:durableId="1691756963">
    <w:abstractNumId w:val="39"/>
  </w:num>
  <w:num w:numId="28" w16cid:durableId="1458140670">
    <w:abstractNumId w:val="19"/>
  </w:num>
  <w:num w:numId="29" w16cid:durableId="1860467186">
    <w:abstractNumId w:val="25"/>
  </w:num>
  <w:num w:numId="30" w16cid:durableId="1893493226">
    <w:abstractNumId w:val="47"/>
  </w:num>
  <w:num w:numId="31" w16cid:durableId="952596161">
    <w:abstractNumId w:val="43"/>
  </w:num>
  <w:num w:numId="32" w16cid:durableId="1149639928">
    <w:abstractNumId w:val="11"/>
  </w:num>
  <w:num w:numId="33" w16cid:durableId="1416828228">
    <w:abstractNumId w:val="28"/>
  </w:num>
  <w:num w:numId="34" w16cid:durableId="594215640">
    <w:abstractNumId w:val="34"/>
  </w:num>
  <w:num w:numId="35" w16cid:durableId="40979875">
    <w:abstractNumId w:val="6"/>
  </w:num>
  <w:num w:numId="36" w16cid:durableId="1939757050">
    <w:abstractNumId w:val="32"/>
  </w:num>
  <w:num w:numId="37" w16cid:durableId="137304020">
    <w:abstractNumId w:val="7"/>
  </w:num>
  <w:num w:numId="38" w16cid:durableId="13662554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36975956">
    <w:abstractNumId w:val="8"/>
  </w:num>
  <w:num w:numId="40" w16cid:durableId="189612524">
    <w:abstractNumId w:val="3"/>
  </w:num>
  <w:num w:numId="41" w16cid:durableId="459147760">
    <w:abstractNumId w:val="26"/>
  </w:num>
  <w:num w:numId="42" w16cid:durableId="762990068">
    <w:abstractNumId w:val="41"/>
  </w:num>
  <w:num w:numId="43" w16cid:durableId="1323505470">
    <w:abstractNumId w:val="23"/>
  </w:num>
  <w:num w:numId="44" w16cid:durableId="576866896">
    <w:abstractNumId w:val="40"/>
  </w:num>
  <w:num w:numId="45" w16cid:durableId="14665059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66151050">
    <w:abstractNumId w:val="33"/>
  </w:num>
  <w:num w:numId="47" w16cid:durableId="1965502462">
    <w:abstractNumId w:val="20"/>
  </w:num>
  <w:num w:numId="48" w16cid:durableId="2128117674">
    <w:abstractNumId w:val="2"/>
  </w:num>
  <w:num w:numId="49" w16cid:durableId="1987320272">
    <w:abstractNumId w:val="3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F0A"/>
    <w:rsid w:val="0000398B"/>
    <w:rsid w:val="00004D12"/>
    <w:rsid w:val="00007C9C"/>
    <w:rsid w:val="00007DC6"/>
    <w:rsid w:val="000160D7"/>
    <w:rsid w:val="000172F4"/>
    <w:rsid w:val="0002382D"/>
    <w:rsid w:val="00025F8E"/>
    <w:rsid w:val="00027FB1"/>
    <w:rsid w:val="00041B84"/>
    <w:rsid w:val="00044250"/>
    <w:rsid w:val="00055AC8"/>
    <w:rsid w:val="00060136"/>
    <w:rsid w:val="00060AEA"/>
    <w:rsid w:val="000644B0"/>
    <w:rsid w:val="00066DA6"/>
    <w:rsid w:val="0006709D"/>
    <w:rsid w:val="0007075F"/>
    <w:rsid w:val="000708BD"/>
    <w:rsid w:val="000715AD"/>
    <w:rsid w:val="00075681"/>
    <w:rsid w:val="00077AC1"/>
    <w:rsid w:val="000804D5"/>
    <w:rsid w:val="0008210B"/>
    <w:rsid w:val="00085373"/>
    <w:rsid w:val="00092787"/>
    <w:rsid w:val="00092849"/>
    <w:rsid w:val="00092EF5"/>
    <w:rsid w:val="00094E22"/>
    <w:rsid w:val="000964BB"/>
    <w:rsid w:val="000A0E92"/>
    <w:rsid w:val="000A187A"/>
    <w:rsid w:val="000A4AEA"/>
    <w:rsid w:val="000B2745"/>
    <w:rsid w:val="000C0003"/>
    <w:rsid w:val="000C3B1E"/>
    <w:rsid w:val="000D027C"/>
    <w:rsid w:val="000E1A00"/>
    <w:rsid w:val="000E1A1D"/>
    <w:rsid w:val="000E35BF"/>
    <w:rsid w:val="000E699F"/>
    <w:rsid w:val="000E7D3E"/>
    <w:rsid w:val="000F0F06"/>
    <w:rsid w:val="000F2798"/>
    <w:rsid w:val="000F45D5"/>
    <w:rsid w:val="000F7255"/>
    <w:rsid w:val="0010250C"/>
    <w:rsid w:val="00103CEF"/>
    <w:rsid w:val="001047EB"/>
    <w:rsid w:val="00111B0A"/>
    <w:rsid w:val="00114185"/>
    <w:rsid w:val="0011579D"/>
    <w:rsid w:val="00117D94"/>
    <w:rsid w:val="00131EF4"/>
    <w:rsid w:val="00134900"/>
    <w:rsid w:val="00134AC6"/>
    <w:rsid w:val="00137B51"/>
    <w:rsid w:val="00140695"/>
    <w:rsid w:val="00140FF2"/>
    <w:rsid w:val="0014551E"/>
    <w:rsid w:val="00151A33"/>
    <w:rsid w:val="00153AE4"/>
    <w:rsid w:val="00156BB2"/>
    <w:rsid w:val="001621C2"/>
    <w:rsid w:val="00162BC9"/>
    <w:rsid w:val="00166AEC"/>
    <w:rsid w:val="00167D62"/>
    <w:rsid w:val="00171E65"/>
    <w:rsid w:val="00173186"/>
    <w:rsid w:val="00175B87"/>
    <w:rsid w:val="0017793A"/>
    <w:rsid w:val="001805DC"/>
    <w:rsid w:val="00186D04"/>
    <w:rsid w:val="0019352A"/>
    <w:rsid w:val="00194394"/>
    <w:rsid w:val="001977F7"/>
    <w:rsid w:val="001A0616"/>
    <w:rsid w:val="001A0880"/>
    <w:rsid w:val="001A0F29"/>
    <w:rsid w:val="001A3D2B"/>
    <w:rsid w:val="001B026D"/>
    <w:rsid w:val="001B0AA3"/>
    <w:rsid w:val="001B32C0"/>
    <w:rsid w:val="001B6259"/>
    <w:rsid w:val="001B6BF9"/>
    <w:rsid w:val="001C1F21"/>
    <w:rsid w:val="001C5E8B"/>
    <w:rsid w:val="001D08F8"/>
    <w:rsid w:val="001D2843"/>
    <w:rsid w:val="001D292C"/>
    <w:rsid w:val="001D581D"/>
    <w:rsid w:val="001D6E0F"/>
    <w:rsid w:val="001E051B"/>
    <w:rsid w:val="001E0B9F"/>
    <w:rsid w:val="001E3743"/>
    <w:rsid w:val="001E5EFD"/>
    <w:rsid w:val="001F1E89"/>
    <w:rsid w:val="001F3883"/>
    <w:rsid w:val="001F5760"/>
    <w:rsid w:val="001F6A88"/>
    <w:rsid w:val="00210A76"/>
    <w:rsid w:val="00211484"/>
    <w:rsid w:val="002150FA"/>
    <w:rsid w:val="00217FFE"/>
    <w:rsid w:val="0022188D"/>
    <w:rsid w:val="002220BB"/>
    <w:rsid w:val="00223784"/>
    <w:rsid w:val="002251E7"/>
    <w:rsid w:val="00230894"/>
    <w:rsid w:val="00231282"/>
    <w:rsid w:val="0023355E"/>
    <w:rsid w:val="002367B5"/>
    <w:rsid w:val="0023768F"/>
    <w:rsid w:val="00237C51"/>
    <w:rsid w:val="002404F3"/>
    <w:rsid w:val="00245FC0"/>
    <w:rsid w:val="0025603B"/>
    <w:rsid w:val="00256B2C"/>
    <w:rsid w:val="00260415"/>
    <w:rsid w:val="00261219"/>
    <w:rsid w:val="00261615"/>
    <w:rsid w:val="00262BCF"/>
    <w:rsid w:val="00263519"/>
    <w:rsid w:val="00267B41"/>
    <w:rsid w:val="00270651"/>
    <w:rsid w:val="00276CA4"/>
    <w:rsid w:val="00280786"/>
    <w:rsid w:val="0028323D"/>
    <w:rsid w:val="00283F0A"/>
    <w:rsid w:val="0028507B"/>
    <w:rsid w:val="00286ECC"/>
    <w:rsid w:val="00290036"/>
    <w:rsid w:val="0029192B"/>
    <w:rsid w:val="00294AB5"/>
    <w:rsid w:val="00295F5E"/>
    <w:rsid w:val="002A104A"/>
    <w:rsid w:val="002B21A6"/>
    <w:rsid w:val="002B70F9"/>
    <w:rsid w:val="002C0A7F"/>
    <w:rsid w:val="002C0DB5"/>
    <w:rsid w:val="002C5D64"/>
    <w:rsid w:val="002D01A6"/>
    <w:rsid w:val="002E00E2"/>
    <w:rsid w:val="002E24FC"/>
    <w:rsid w:val="002E39AD"/>
    <w:rsid w:val="002E3FFE"/>
    <w:rsid w:val="002F07B0"/>
    <w:rsid w:val="002F2ECB"/>
    <w:rsid w:val="002F368A"/>
    <w:rsid w:val="002F7D81"/>
    <w:rsid w:val="003007C3"/>
    <w:rsid w:val="003059E6"/>
    <w:rsid w:val="00305B15"/>
    <w:rsid w:val="00324812"/>
    <w:rsid w:val="00330F4D"/>
    <w:rsid w:val="00335F47"/>
    <w:rsid w:val="00340006"/>
    <w:rsid w:val="00340DDA"/>
    <w:rsid w:val="00343D27"/>
    <w:rsid w:val="003454EA"/>
    <w:rsid w:val="0034698E"/>
    <w:rsid w:val="0034788F"/>
    <w:rsid w:val="00351408"/>
    <w:rsid w:val="00357647"/>
    <w:rsid w:val="003611F1"/>
    <w:rsid w:val="00367ACD"/>
    <w:rsid w:val="00371989"/>
    <w:rsid w:val="00371E65"/>
    <w:rsid w:val="00373634"/>
    <w:rsid w:val="00373EC2"/>
    <w:rsid w:val="003766EA"/>
    <w:rsid w:val="00383EC1"/>
    <w:rsid w:val="003845C4"/>
    <w:rsid w:val="00385149"/>
    <w:rsid w:val="00385205"/>
    <w:rsid w:val="00385424"/>
    <w:rsid w:val="003867EA"/>
    <w:rsid w:val="0039175E"/>
    <w:rsid w:val="0039297C"/>
    <w:rsid w:val="00395583"/>
    <w:rsid w:val="003955FA"/>
    <w:rsid w:val="0039764F"/>
    <w:rsid w:val="00397B69"/>
    <w:rsid w:val="003A0859"/>
    <w:rsid w:val="003A10D4"/>
    <w:rsid w:val="003A3050"/>
    <w:rsid w:val="003A3B3F"/>
    <w:rsid w:val="003A68C4"/>
    <w:rsid w:val="003A6AD9"/>
    <w:rsid w:val="003B0711"/>
    <w:rsid w:val="003B0D34"/>
    <w:rsid w:val="003B186B"/>
    <w:rsid w:val="003B4A98"/>
    <w:rsid w:val="003B642A"/>
    <w:rsid w:val="003B75E5"/>
    <w:rsid w:val="003C20D8"/>
    <w:rsid w:val="003C24CF"/>
    <w:rsid w:val="003C6DE9"/>
    <w:rsid w:val="003D44C1"/>
    <w:rsid w:val="003E52E1"/>
    <w:rsid w:val="003E5742"/>
    <w:rsid w:val="003F62C6"/>
    <w:rsid w:val="00401312"/>
    <w:rsid w:val="0040178D"/>
    <w:rsid w:val="0040204E"/>
    <w:rsid w:val="00402B55"/>
    <w:rsid w:val="004063A1"/>
    <w:rsid w:val="00412A60"/>
    <w:rsid w:val="00413A4A"/>
    <w:rsid w:val="00414DC6"/>
    <w:rsid w:val="004155A7"/>
    <w:rsid w:val="00423EA1"/>
    <w:rsid w:val="00427C55"/>
    <w:rsid w:val="00433994"/>
    <w:rsid w:val="00436A0B"/>
    <w:rsid w:val="004446CF"/>
    <w:rsid w:val="00444AF1"/>
    <w:rsid w:val="00451A81"/>
    <w:rsid w:val="00452D09"/>
    <w:rsid w:val="00453111"/>
    <w:rsid w:val="00453CB7"/>
    <w:rsid w:val="00456961"/>
    <w:rsid w:val="00471732"/>
    <w:rsid w:val="00472538"/>
    <w:rsid w:val="00472F4A"/>
    <w:rsid w:val="004740D3"/>
    <w:rsid w:val="00477079"/>
    <w:rsid w:val="00477375"/>
    <w:rsid w:val="00480D3D"/>
    <w:rsid w:val="004815A3"/>
    <w:rsid w:val="00482339"/>
    <w:rsid w:val="00485B0D"/>
    <w:rsid w:val="00486898"/>
    <w:rsid w:val="004908FA"/>
    <w:rsid w:val="00494847"/>
    <w:rsid w:val="0049635C"/>
    <w:rsid w:val="004A00B4"/>
    <w:rsid w:val="004A7CD6"/>
    <w:rsid w:val="004B46D4"/>
    <w:rsid w:val="004B5A03"/>
    <w:rsid w:val="004B6F7D"/>
    <w:rsid w:val="004C5B7A"/>
    <w:rsid w:val="004C628F"/>
    <w:rsid w:val="004C7B40"/>
    <w:rsid w:val="004D1884"/>
    <w:rsid w:val="004D2D23"/>
    <w:rsid w:val="004E4528"/>
    <w:rsid w:val="004F0AD7"/>
    <w:rsid w:val="004F5CD6"/>
    <w:rsid w:val="004F6DBD"/>
    <w:rsid w:val="0050150D"/>
    <w:rsid w:val="0050331B"/>
    <w:rsid w:val="00512395"/>
    <w:rsid w:val="00512827"/>
    <w:rsid w:val="005157DA"/>
    <w:rsid w:val="00520AA6"/>
    <w:rsid w:val="0052331F"/>
    <w:rsid w:val="005248BE"/>
    <w:rsid w:val="00524DA0"/>
    <w:rsid w:val="00531594"/>
    <w:rsid w:val="00533892"/>
    <w:rsid w:val="00533C5E"/>
    <w:rsid w:val="00534145"/>
    <w:rsid w:val="00534FF1"/>
    <w:rsid w:val="0054271C"/>
    <w:rsid w:val="00542947"/>
    <w:rsid w:val="005437C2"/>
    <w:rsid w:val="00545337"/>
    <w:rsid w:val="00550178"/>
    <w:rsid w:val="005516FB"/>
    <w:rsid w:val="00553E91"/>
    <w:rsid w:val="005556E3"/>
    <w:rsid w:val="00557CC2"/>
    <w:rsid w:val="00563EA3"/>
    <w:rsid w:val="00564460"/>
    <w:rsid w:val="005652C0"/>
    <w:rsid w:val="00573831"/>
    <w:rsid w:val="00576022"/>
    <w:rsid w:val="005767ED"/>
    <w:rsid w:val="00580E07"/>
    <w:rsid w:val="00582358"/>
    <w:rsid w:val="005900E9"/>
    <w:rsid w:val="005907EC"/>
    <w:rsid w:val="00591AA8"/>
    <w:rsid w:val="00591EF3"/>
    <w:rsid w:val="00592F0D"/>
    <w:rsid w:val="005A1492"/>
    <w:rsid w:val="005A1EAB"/>
    <w:rsid w:val="005A1F79"/>
    <w:rsid w:val="005A29C5"/>
    <w:rsid w:val="005A2FC5"/>
    <w:rsid w:val="005A70D2"/>
    <w:rsid w:val="005A7A68"/>
    <w:rsid w:val="005C1701"/>
    <w:rsid w:val="005D234F"/>
    <w:rsid w:val="005D268B"/>
    <w:rsid w:val="005D37FB"/>
    <w:rsid w:val="005D5EB6"/>
    <w:rsid w:val="005D6223"/>
    <w:rsid w:val="005D7059"/>
    <w:rsid w:val="005E2421"/>
    <w:rsid w:val="005F77B9"/>
    <w:rsid w:val="00603622"/>
    <w:rsid w:val="00604AF8"/>
    <w:rsid w:val="00606C4F"/>
    <w:rsid w:val="00617924"/>
    <w:rsid w:val="006209A8"/>
    <w:rsid w:val="006242D4"/>
    <w:rsid w:val="00625564"/>
    <w:rsid w:val="00626122"/>
    <w:rsid w:val="0062754B"/>
    <w:rsid w:val="00630EFD"/>
    <w:rsid w:val="00632412"/>
    <w:rsid w:val="00633DEB"/>
    <w:rsid w:val="00636A15"/>
    <w:rsid w:val="00641C20"/>
    <w:rsid w:val="00642D3C"/>
    <w:rsid w:val="00646EFF"/>
    <w:rsid w:val="00654307"/>
    <w:rsid w:val="00655DFD"/>
    <w:rsid w:val="00656817"/>
    <w:rsid w:val="00661777"/>
    <w:rsid w:val="00667EA0"/>
    <w:rsid w:val="00670074"/>
    <w:rsid w:val="00671DE1"/>
    <w:rsid w:val="0067338D"/>
    <w:rsid w:val="00675652"/>
    <w:rsid w:val="00675CAF"/>
    <w:rsid w:val="00677699"/>
    <w:rsid w:val="0068140F"/>
    <w:rsid w:val="00684F2E"/>
    <w:rsid w:val="006852AE"/>
    <w:rsid w:val="006859F1"/>
    <w:rsid w:val="00687E7B"/>
    <w:rsid w:val="00687FD1"/>
    <w:rsid w:val="00690EA1"/>
    <w:rsid w:val="00693A4F"/>
    <w:rsid w:val="006A3BB8"/>
    <w:rsid w:val="006B02FF"/>
    <w:rsid w:val="006B412E"/>
    <w:rsid w:val="006B4689"/>
    <w:rsid w:val="006B53F3"/>
    <w:rsid w:val="006B7173"/>
    <w:rsid w:val="006C43F6"/>
    <w:rsid w:val="006C57C2"/>
    <w:rsid w:val="006C7266"/>
    <w:rsid w:val="006D3329"/>
    <w:rsid w:val="006D3E01"/>
    <w:rsid w:val="006D67CD"/>
    <w:rsid w:val="006D6F2D"/>
    <w:rsid w:val="006E4EA8"/>
    <w:rsid w:val="006F118E"/>
    <w:rsid w:val="006F500B"/>
    <w:rsid w:val="006F57DD"/>
    <w:rsid w:val="006F6923"/>
    <w:rsid w:val="00702ABB"/>
    <w:rsid w:val="007059B9"/>
    <w:rsid w:val="00705FA7"/>
    <w:rsid w:val="00715511"/>
    <w:rsid w:val="0071608B"/>
    <w:rsid w:val="007171DC"/>
    <w:rsid w:val="007176D1"/>
    <w:rsid w:val="00720343"/>
    <w:rsid w:val="00722081"/>
    <w:rsid w:val="0072245A"/>
    <w:rsid w:val="00725530"/>
    <w:rsid w:val="007269EB"/>
    <w:rsid w:val="00730AEE"/>
    <w:rsid w:val="00745E1B"/>
    <w:rsid w:val="007476F1"/>
    <w:rsid w:val="00747C51"/>
    <w:rsid w:val="00750415"/>
    <w:rsid w:val="007530AE"/>
    <w:rsid w:val="007536A2"/>
    <w:rsid w:val="00755987"/>
    <w:rsid w:val="00756A1C"/>
    <w:rsid w:val="007621DA"/>
    <w:rsid w:val="007635F4"/>
    <w:rsid w:val="0076405A"/>
    <w:rsid w:val="00765CD8"/>
    <w:rsid w:val="007705B1"/>
    <w:rsid w:val="00771822"/>
    <w:rsid w:val="00772623"/>
    <w:rsid w:val="007745C9"/>
    <w:rsid w:val="00776719"/>
    <w:rsid w:val="0078083D"/>
    <w:rsid w:val="00783E91"/>
    <w:rsid w:val="00785FAF"/>
    <w:rsid w:val="0079576B"/>
    <w:rsid w:val="00797AA3"/>
    <w:rsid w:val="007A03C9"/>
    <w:rsid w:val="007A095F"/>
    <w:rsid w:val="007A0F06"/>
    <w:rsid w:val="007B0E88"/>
    <w:rsid w:val="007B2423"/>
    <w:rsid w:val="007B3575"/>
    <w:rsid w:val="007B3794"/>
    <w:rsid w:val="007B4C2F"/>
    <w:rsid w:val="007B66D4"/>
    <w:rsid w:val="007C54C3"/>
    <w:rsid w:val="007D2B5E"/>
    <w:rsid w:val="007D6AFB"/>
    <w:rsid w:val="007E1DC3"/>
    <w:rsid w:val="007E33C9"/>
    <w:rsid w:val="007E64C0"/>
    <w:rsid w:val="007F6719"/>
    <w:rsid w:val="0080540E"/>
    <w:rsid w:val="00810811"/>
    <w:rsid w:val="00810A90"/>
    <w:rsid w:val="00810CEA"/>
    <w:rsid w:val="00813A28"/>
    <w:rsid w:val="00814319"/>
    <w:rsid w:val="00816433"/>
    <w:rsid w:val="0082104B"/>
    <w:rsid w:val="00821E02"/>
    <w:rsid w:val="00821E5E"/>
    <w:rsid w:val="00822482"/>
    <w:rsid w:val="0082594F"/>
    <w:rsid w:val="00827A1D"/>
    <w:rsid w:val="00834819"/>
    <w:rsid w:val="00837544"/>
    <w:rsid w:val="00842AC2"/>
    <w:rsid w:val="008439A5"/>
    <w:rsid w:val="00843DCD"/>
    <w:rsid w:val="00853C3A"/>
    <w:rsid w:val="00855521"/>
    <w:rsid w:val="008560CF"/>
    <w:rsid w:val="008565A8"/>
    <w:rsid w:val="00856B47"/>
    <w:rsid w:val="00856BFF"/>
    <w:rsid w:val="00856C2C"/>
    <w:rsid w:val="00856CA0"/>
    <w:rsid w:val="008648D8"/>
    <w:rsid w:val="00870906"/>
    <w:rsid w:val="00872EF5"/>
    <w:rsid w:val="00875F9F"/>
    <w:rsid w:val="00876B06"/>
    <w:rsid w:val="008774F2"/>
    <w:rsid w:val="0089098C"/>
    <w:rsid w:val="00892D48"/>
    <w:rsid w:val="00895877"/>
    <w:rsid w:val="00896232"/>
    <w:rsid w:val="008A6CC6"/>
    <w:rsid w:val="008A76EF"/>
    <w:rsid w:val="008B0F02"/>
    <w:rsid w:val="008B31A3"/>
    <w:rsid w:val="008B6D36"/>
    <w:rsid w:val="008B775D"/>
    <w:rsid w:val="008C639A"/>
    <w:rsid w:val="008D2440"/>
    <w:rsid w:val="008D673B"/>
    <w:rsid w:val="008D7104"/>
    <w:rsid w:val="008D77DC"/>
    <w:rsid w:val="008E33E1"/>
    <w:rsid w:val="008E5CFE"/>
    <w:rsid w:val="008E75C7"/>
    <w:rsid w:val="008F0EDA"/>
    <w:rsid w:val="008F30F5"/>
    <w:rsid w:val="008F6BA3"/>
    <w:rsid w:val="009007E1"/>
    <w:rsid w:val="00900ACB"/>
    <w:rsid w:val="009011BD"/>
    <w:rsid w:val="00901EE0"/>
    <w:rsid w:val="00903E44"/>
    <w:rsid w:val="00904625"/>
    <w:rsid w:val="00905168"/>
    <w:rsid w:val="00906D82"/>
    <w:rsid w:val="0091251C"/>
    <w:rsid w:val="0091345A"/>
    <w:rsid w:val="00917688"/>
    <w:rsid w:val="009179AD"/>
    <w:rsid w:val="009203E8"/>
    <w:rsid w:val="00921386"/>
    <w:rsid w:val="0092150D"/>
    <w:rsid w:val="00922388"/>
    <w:rsid w:val="009223F6"/>
    <w:rsid w:val="00931F3A"/>
    <w:rsid w:val="00933E72"/>
    <w:rsid w:val="009355B0"/>
    <w:rsid w:val="00935CAF"/>
    <w:rsid w:val="00936747"/>
    <w:rsid w:val="00943D61"/>
    <w:rsid w:val="00943EE6"/>
    <w:rsid w:val="00943F7D"/>
    <w:rsid w:val="00944D21"/>
    <w:rsid w:val="009453A3"/>
    <w:rsid w:val="00946336"/>
    <w:rsid w:val="0094728B"/>
    <w:rsid w:val="009538FC"/>
    <w:rsid w:val="00953CD6"/>
    <w:rsid w:val="00956A4F"/>
    <w:rsid w:val="0096637B"/>
    <w:rsid w:val="009668C8"/>
    <w:rsid w:val="00966FBC"/>
    <w:rsid w:val="00967AEA"/>
    <w:rsid w:val="009707F2"/>
    <w:rsid w:val="00973163"/>
    <w:rsid w:val="00973BE1"/>
    <w:rsid w:val="00974990"/>
    <w:rsid w:val="00975965"/>
    <w:rsid w:val="00980DE7"/>
    <w:rsid w:val="009830AB"/>
    <w:rsid w:val="00985F54"/>
    <w:rsid w:val="009902ED"/>
    <w:rsid w:val="009907DA"/>
    <w:rsid w:val="0099303B"/>
    <w:rsid w:val="00997EC7"/>
    <w:rsid w:val="009A41D8"/>
    <w:rsid w:val="009A6374"/>
    <w:rsid w:val="009A64E9"/>
    <w:rsid w:val="009B66B9"/>
    <w:rsid w:val="009B7042"/>
    <w:rsid w:val="009B7432"/>
    <w:rsid w:val="009C0248"/>
    <w:rsid w:val="009C1517"/>
    <w:rsid w:val="009C1E17"/>
    <w:rsid w:val="009C363C"/>
    <w:rsid w:val="009C5EEB"/>
    <w:rsid w:val="009C5F93"/>
    <w:rsid w:val="009C68AF"/>
    <w:rsid w:val="009D011C"/>
    <w:rsid w:val="009D2276"/>
    <w:rsid w:val="009D789B"/>
    <w:rsid w:val="009E45BE"/>
    <w:rsid w:val="009F1A75"/>
    <w:rsid w:val="009F4E16"/>
    <w:rsid w:val="00A00E9A"/>
    <w:rsid w:val="00A020F2"/>
    <w:rsid w:val="00A026CB"/>
    <w:rsid w:val="00A043A7"/>
    <w:rsid w:val="00A047D5"/>
    <w:rsid w:val="00A05C5B"/>
    <w:rsid w:val="00A10959"/>
    <w:rsid w:val="00A10F9A"/>
    <w:rsid w:val="00A119F3"/>
    <w:rsid w:val="00A120BA"/>
    <w:rsid w:val="00A172A2"/>
    <w:rsid w:val="00A17F4C"/>
    <w:rsid w:val="00A20096"/>
    <w:rsid w:val="00A20148"/>
    <w:rsid w:val="00A215D4"/>
    <w:rsid w:val="00A21901"/>
    <w:rsid w:val="00A25FE3"/>
    <w:rsid w:val="00A26A04"/>
    <w:rsid w:val="00A32E74"/>
    <w:rsid w:val="00A343AE"/>
    <w:rsid w:val="00A36853"/>
    <w:rsid w:val="00A43EC9"/>
    <w:rsid w:val="00A440E3"/>
    <w:rsid w:val="00A44153"/>
    <w:rsid w:val="00A47FD2"/>
    <w:rsid w:val="00A555D3"/>
    <w:rsid w:val="00A628DE"/>
    <w:rsid w:val="00A646BD"/>
    <w:rsid w:val="00A64F8C"/>
    <w:rsid w:val="00A7015F"/>
    <w:rsid w:val="00A7309C"/>
    <w:rsid w:val="00A739B7"/>
    <w:rsid w:val="00A753EF"/>
    <w:rsid w:val="00A8719E"/>
    <w:rsid w:val="00A9032F"/>
    <w:rsid w:val="00A910B0"/>
    <w:rsid w:val="00A9575A"/>
    <w:rsid w:val="00A96D1C"/>
    <w:rsid w:val="00AA4EA4"/>
    <w:rsid w:val="00AA5975"/>
    <w:rsid w:val="00AA7943"/>
    <w:rsid w:val="00AA7EF6"/>
    <w:rsid w:val="00AB0E1E"/>
    <w:rsid w:val="00AB44D4"/>
    <w:rsid w:val="00AB7704"/>
    <w:rsid w:val="00AC24EE"/>
    <w:rsid w:val="00AC5217"/>
    <w:rsid w:val="00AC594D"/>
    <w:rsid w:val="00AC5AAD"/>
    <w:rsid w:val="00AD1628"/>
    <w:rsid w:val="00AD2D39"/>
    <w:rsid w:val="00AE0863"/>
    <w:rsid w:val="00AE1363"/>
    <w:rsid w:val="00AE33EC"/>
    <w:rsid w:val="00AE62C4"/>
    <w:rsid w:val="00AF1112"/>
    <w:rsid w:val="00AF2DD6"/>
    <w:rsid w:val="00AF7925"/>
    <w:rsid w:val="00B02F89"/>
    <w:rsid w:val="00B03D08"/>
    <w:rsid w:val="00B0460A"/>
    <w:rsid w:val="00B05DA0"/>
    <w:rsid w:val="00B06938"/>
    <w:rsid w:val="00B071D3"/>
    <w:rsid w:val="00B13804"/>
    <w:rsid w:val="00B143EB"/>
    <w:rsid w:val="00B30109"/>
    <w:rsid w:val="00B30BD7"/>
    <w:rsid w:val="00B36EC8"/>
    <w:rsid w:val="00B407DF"/>
    <w:rsid w:val="00B46A58"/>
    <w:rsid w:val="00B47F8D"/>
    <w:rsid w:val="00B513B8"/>
    <w:rsid w:val="00B53155"/>
    <w:rsid w:val="00B5528F"/>
    <w:rsid w:val="00B61D25"/>
    <w:rsid w:val="00B67C47"/>
    <w:rsid w:val="00B738BA"/>
    <w:rsid w:val="00B73A65"/>
    <w:rsid w:val="00B76B58"/>
    <w:rsid w:val="00B808CF"/>
    <w:rsid w:val="00B84E36"/>
    <w:rsid w:val="00B864D1"/>
    <w:rsid w:val="00B87CAF"/>
    <w:rsid w:val="00B91CC0"/>
    <w:rsid w:val="00B9358C"/>
    <w:rsid w:val="00B9687A"/>
    <w:rsid w:val="00B96B80"/>
    <w:rsid w:val="00B9782D"/>
    <w:rsid w:val="00B979F0"/>
    <w:rsid w:val="00BA5EF9"/>
    <w:rsid w:val="00BA62BA"/>
    <w:rsid w:val="00BB1A57"/>
    <w:rsid w:val="00BB657E"/>
    <w:rsid w:val="00BD0349"/>
    <w:rsid w:val="00BD04A5"/>
    <w:rsid w:val="00BD4888"/>
    <w:rsid w:val="00BE0BF2"/>
    <w:rsid w:val="00BE57C2"/>
    <w:rsid w:val="00BE5E50"/>
    <w:rsid w:val="00BE6CFD"/>
    <w:rsid w:val="00BE6EFF"/>
    <w:rsid w:val="00BE6F44"/>
    <w:rsid w:val="00BF21E0"/>
    <w:rsid w:val="00C01BF6"/>
    <w:rsid w:val="00C03357"/>
    <w:rsid w:val="00C05417"/>
    <w:rsid w:val="00C1372B"/>
    <w:rsid w:val="00C14C4B"/>
    <w:rsid w:val="00C16D72"/>
    <w:rsid w:val="00C1780D"/>
    <w:rsid w:val="00C22FEF"/>
    <w:rsid w:val="00C25BBD"/>
    <w:rsid w:val="00C30CEF"/>
    <w:rsid w:val="00C32A7C"/>
    <w:rsid w:val="00C3331F"/>
    <w:rsid w:val="00C33C96"/>
    <w:rsid w:val="00C36537"/>
    <w:rsid w:val="00C43F59"/>
    <w:rsid w:val="00C613DE"/>
    <w:rsid w:val="00C632E7"/>
    <w:rsid w:val="00C6360F"/>
    <w:rsid w:val="00C66B42"/>
    <w:rsid w:val="00C74BE5"/>
    <w:rsid w:val="00C76FD6"/>
    <w:rsid w:val="00C77F74"/>
    <w:rsid w:val="00C80F66"/>
    <w:rsid w:val="00C81C2D"/>
    <w:rsid w:val="00C830CF"/>
    <w:rsid w:val="00C876ED"/>
    <w:rsid w:val="00C97F1E"/>
    <w:rsid w:val="00CA0D9A"/>
    <w:rsid w:val="00CA2AF6"/>
    <w:rsid w:val="00CA2BCC"/>
    <w:rsid w:val="00CA552C"/>
    <w:rsid w:val="00CB1FE7"/>
    <w:rsid w:val="00CC41B5"/>
    <w:rsid w:val="00CC4B9C"/>
    <w:rsid w:val="00CC5782"/>
    <w:rsid w:val="00CC7140"/>
    <w:rsid w:val="00CD0C1A"/>
    <w:rsid w:val="00CD154E"/>
    <w:rsid w:val="00CD34C5"/>
    <w:rsid w:val="00CD7699"/>
    <w:rsid w:val="00CD7E36"/>
    <w:rsid w:val="00CE0094"/>
    <w:rsid w:val="00CE2740"/>
    <w:rsid w:val="00CE311A"/>
    <w:rsid w:val="00CE37EB"/>
    <w:rsid w:val="00CE6F3B"/>
    <w:rsid w:val="00CF2994"/>
    <w:rsid w:val="00CF7E7E"/>
    <w:rsid w:val="00D045E8"/>
    <w:rsid w:val="00D04918"/>
    <w:rsid w:val="00D04C07"/>
    <w:rsid w:val="00D06EF5"/>
    <w:rsid w:val="00D07A39"/>
    <w:rsid w:val="00D12D2D"/>
    <w:rsid w:val="00D20E6C"/>
    <w:rsid w:val="00D23925"/>
    <w:rsid w:val="00D3021C"/>
    <w:rsid w:val="00D316D6"/>
    <w:rsid w:val="00D341DD"/>
    <w:rsid w:val="00D35114"/>
    <w:rsid w:val="00D36BDB"/>
    <w:rsid w:val="00D36D88"/>
    <w:rsid w:val="00D456E2"/>
    <w:rsid w:val="00D5337B"/>
    <w:rsid w:val="00D549EE"/>
    <w:rsid w:val="00D566CD"/>
    <w:rsid w:val="00D61349"/>
    <w:rsid w:val="00D62F03"/>
    <w:rsid w:val="00D62F3E"/>
    <w:rsid w:val="00D6323A"/>
    <w:rsid w:val="00D71253"/>
    <w:rsid w:val="00D71857"/>
    <w:rsid w:val="00D73D68"/>
    <w:rsid w:val="00D82712"/>
    <w:rsid w:val="00D847AA"/>
    <w:rsid w:val="00D87C50"/>
    <w:rsid w:val="00D916C6"/>
    <w:rsid w:val="00D93082"/>
    <w:rsid w:val="00D97D01"/>
    <w:rsid w:val="00DA070A"/>
    <w:rsid w:val="00DA2AC3"/>
    <w:rsid w:val="00DB0B3C"/>
    <w:rsid w:val="00DC427E"/>
    <w:rsid w:val="00DC4782"/>
    <w:rsid w:val="00DC67DD"/>
    <w:rsid w:val="00DC6C2C"/>
    <w:rsid w:val="00DD3AEB"/>
    <w:rsid w:val="00DD6D5C"/>
    <w:rsid w:val="00DE2FFD"/>
    <w:rsid w:val="00DE684B"/>
    <w:rsid w:val="00DF4E00"/>
    <w:rsid w:val="00E01B37"/>
    <w:rsid w:val="00E022F7"/>
    <w:rsid w:val="00E023B8"/>
    <w:rsid w:val="00E0346E"/>
    <w:rsid w:val="00E054A8"/>
    <w:rsid w:val="00E062EA"/>
    <w:rsid w:val="00E102BF"/>
    <w:rsid w:val="00E105B5"/>
    <w:rsid w:val="00E15D22"/>
    <w:rsid w:val="00E17B51"/>
    <w:rsid w:val="00E21DFE"/>
    <w:rsid w:val="00E25051"/>
    <w:rsid w:val="00E274EC"/>
    <w:rsid w:val="00E331AD"/>
    <w:rsid w:val="00E36012"/>
    <w:rsid w:val="00E40467"/>
    <w:rsid w:val="00E40B7D"/>
    <w:rsid w:val="00E44D79"/>
    <w:rsid w:val="00E4593F"/>
    <w:rsid w:val="00E50141"/>
    <w:rsid w:val="00E64A96"/>
    <w:rsid w:val="00E710FF"/>
    <w:rsid w:val="00E7606F"/>
    <w:rsid w:val="00E82BF3"/>
    <w:rsid w:val="00E82FB9"/>
    <w:rsid w:val="00E92FB9"/>
    <w:rsid w:val="00EA3949"/>
    <w:rsid w:val="00EB05AB"/>
    <w:rsid w:val="00EB2477"/>
    <w:rsid w:val="00EB24F1"/>
    <w:rsid w:val="00EB269E"/>
    <w:rsid w:val="00EB3D28"/>
    <w:rsid w:val="00EB76E6"/>
    <w:rsid w:val="00EC1028"/>
    <w:rsid w:val="00EC1264"/>
    <w:rsid w:val="00EC4487"/>
    <w:rsid w:val="00ED0E59"/>
    <w:rsid w:val="00ED36BD"/>
    <w:rsid w:val="00ED4761"/>
    <w:rsid w:val="00ED4E4F"/>
    <w:rsid w:val="00EE0A59"/>
    <w:rsid w:val="00EE27A4"/>
    <w:rsid w:val="00EE47FA"/>
    <w:rsid w:val="00EF4466"/>
    <w:rsid w:val="00EF5E6A"/>
    <w:rsid w:val="00EF6A67"/>
    <w:rsid w:val="00F00991"/>
    <w:rsid w:val="00F01CA1"/>
    <w:rsid w:val="00F13318"/>
    <w:rsid w:val="00F1397F"/>
    <w:rsid w:val="00F13D3C"/>
    <w:rsid w:val="00F23E14"/>
    <w:rsid w:val="00F25208"/>
    <w:rsid w:val="00F253B1"/>
    <w:rsid w:val="00F26A0E"/>
    <w:rsid w:val="00F30864"/>
    <w:rsid w:val="00F33338"/>
    <w:rsid w:val="00F35F66"/>
    <w:rsid w:val="00F401D5"/>
    <w:rsid w:val="00F42426"/>
    <w:rsid w:val="00F44DD1"/>
    <w:rsid w:val="00F528A9"/>
    <w:rsid w:val="00F54B5F"/>
    <w:rsid w:val="00F6194D"/>
    <w:rsid w:val="00F6325F"/>
    <w:rsid w:val="00F64064"/>
    <w:rsid w:val="00F6418D"/>
    <w:rsid w:val="00F67F34"/>
    <w:rsid w:val="00F70ADD"/>
    <w:rsid w:val="00F80F5C"/>
    <w:rsid w:val="00F83022"/>
    <w:rsid w:val="00F8310F"/>
    <w:rsid w:val="00F8422D"/>
    <w:rsid w:val="00F8708B"/>
    <w:rsid w:val="00F92471"/>
    <w:rsid w:val="00F92D66"/>
    <w:rsid w:val="00F946D5"/>
    <w:rsid w:val="00FA04EA"/>
    <w:rsid w:val="00FA04FD"/>
    <w:rsid w:val="00FA3231"/>
    <w:rsid w:val="00FA36AE"/>
    <w:rsid w:val="00FA7F5B"/>
    <w:rsid w:val="00FB15CD"/>
    <w:rsid w:val="00FB1616"/>
    <w:rsid w:val="00FB1D14"/>
    <w:rsid w:val="00FB427F"/>
    <w:rsid w:val="00FB5CC7"/>
    <w:rsid w:val="00FB6491"/>
    <w:rsid w:val="00FB6950"/>
    <w:rsid w:val="00FC0082"/>
    <w:rsid w:val="00FC5905"/>
    <w:rsid w:val="00FD170A"/>
    <w:rsid w:val="00FD1765"/>
    <w:rsid w:val="00FD274A"/>
    <w:rsid w:val="00FD62F7"/>
    <w:rsid w:val="00FF30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DE96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A7A68"/>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5A7A68"/>
    <w:rPr>
      <w:sz w:val="24"/>
    </w:rPr>
  </w:style>
  <w:style w:type="paragraph" w:customStyle="1" w:styleId="DefaultText">
    <w:name w:val="Default Text"/>
    <w:basedOn w:val="Normal"/>
    <w:rsid w:val="005A7A68"/>
    <w:rPr>
      <w:sz w:val="24"/>
    </w:rPr>
  </w:style>
  <w:style w:type="character" w:customStyle="1" w:styleId="InitialStyle">
    <w:name w:val="InitialStyle"/>
    <w:rsid w:val="005A7A68"/>
    <w:rPr>
      <w:rFonts w:ascii="Courier New" w:hAnsi="Courier New"/>
      <w:color w:val="auto"/>
      <w:spacing w:val="0"/>
      <w:sz w:val="24"/>
    </w:rPr>
  </w:style>
  <w:style w:type="character" w:styleId="Strong">
    <w:name w:val="Strong"/>
    <w:basedOn w:val="DefaultParagraphFont"/>
    <w:qFormat/>
    <w:rsid w:val="005437C2"/>
    <w:rPr>
      <w:b/>
      <w:bCs/>
    </w:rPr>
  </w:style>
  <w:style w:type="character" w:styleId="CommentReference">
    <w:name w:val="annotation reference"/>
    <w:basedOn w:val="DefaultParagraphFont"/>
    <w:semiHidden/>
    <w:rsid w:val="00D045E8"/>
    <w:rPr>
      <w:sz w:val="16"/>
      <w:szCs w:val="16"/>
    </w:rPr>
  </w:style>
  <w:style w:type="paragraph" w:styleId="CommentText">
    <w:name w:val="annotation text"/>
    <w:basedOn w:val="Normal"/>
    <w:link w:val="CommentTextChar"/>
    <w:semiHidden/>
    <w:rsid w:val="00D045E8"/>
  </w:style>
  <w:style w:type="paragraph" w:styleId="CommentSubject">
    <w:name w:val="annotation subject"/>
    <w:basedOn w:val="CommentText"/>
    <w:next w:val="CommentText"/>
    <w:semiHidden/>
    <w:rsid w:val="00D045E8"/>
    <w:rPr>
      <w:b/>
      <w:bCs/>
    </w:rPr>
  </w:style>
  <w:style w:type="paragraph" w:styleId="BalloonText">
    <w:name w:val="Balloon Text"/>
    <w:basedOn w:val="Normal"/>
    <w:semiHidden/>
    <w:rsid w:val="00D045E8"/>
    <w:rPr>
      <w:rFonts w:ascii="Tahoma" w:hAnsi="Tahoma" w:cs="Tahoma"/>
      <w:sz w:val="16"/>
      <w:szCs w:val="16"/>
    </w:rPr>
  </w:style>
  <w:style w:type="paragraph" w:customStyle="1" w:styleId="300">
    <w:name w:val="300"/>
    <w:basedOn w:val="Normal"/>
    <w:rsid w:val="00944D21"/>
  </w:style>
  <w:style w:type="character" w:customStyle="1" w:styleId="301">
    <w:name w:val="301"/>
    <w:basedOn w:val="DefaultParagraphFont"/>
    <w:rsid w:val="00383EC1"/>
    <w:rPr>
      <w:color w:val="auto"/>
      <w:spacing w:val="0"/>
    </w:rPr>
  </w:style>
  <w:style w:type="paragraph" w:styleId="ListParagraph">
    <w:name w:val="List Paragraph"/>
    <w:basedOn w:val="Normal"/>
    <w:link w:val="ListParagraphChar"/>
    <w:uiPriority w:val="34"/>
    <w:qFormat/>
    <w:rsid w:val="0096637B"/>
    <w:pPr>
      <w:overflowPunct/>
      <w:autoSpaceDE/>
      <w:autoSpaceDN/>
      <w:adjustRightInd/>
      <w:ind w:left="720"/>
      <w:contextualSpacing/>
      <w:textAlignment w:val="auto"/>
    </w:pPr>
    <w:rPr>
      <w:sz w:val="24"/>
      <w:szCs w:val="24"/>
    </w:rPr>
  </w:style>
  <w:style w:type="character" w:styleId="Hyperlink">
    <w:name w:val="Hyperlink"/>
    <w:basedOn w:val="DefaultParagraphFont"/>
    <w:rsid w:val="00F42426"/>
    <w:rPr>
      <w:color w:val="0000FF" w:themeColor="hyperlink"/>
      <w:u w:val="single"/>
    </w:rPr>
  </w:style>
  <w:style w:type="character" w:styleId="FollowedHyperlink">
    <w:name w:val="FollowedHyperlink"/>
    <w:basedOn w:val="DefaultParagraphFont"/>
    <w:rsid w:val="00F42426"/>
    <w:rPr>
      <w:color w:val="800080" w:themeColor="followedHyperlink"/>
      <w:u w:val="single"/>
    </w:rPr>
  </w:style>
  <w:style w:type="paragraph" w:styleId="Header">
    <w:name w:val="header"/>
    <w:basedOn w:val="Normal"/>
    <w:link w:val="HeaderChar"/>
    <w:rsid w:val="00AD2D39"/>
    <w:pPr>
      <w:tabs>
        <w:tab w:val="center" w:pos="4680"/>
        <w:tab w:val="right" w:pos="9360"/>
      </w:tabs>
    </w:pPr>
  </w:style>
  <w:style w:type="character" w:customStyle="1" w:styleId="HeaderChar">
    <w:name w:val="Header Char"/>
    <w:basedOn w:val="DefaultParagraphFont"/>
    <w:link w:val="Header"/>
    <w:rsid w:val="00AD2D39"/>
  </w:style>
  <w:style w:type="paragraph" w:styleId="Footer">
    <w:name w:val="footer"/>
    <w:basedOn w:val="Normal"/>
    <w:link w:val="FooterChar"/>
    <w:uiPriority w:val="99"/>
    <w:rsid w:val="00AD2D39"/>
    <w:pPr>
      <w:tabs>
        <w:tab w:val="center" w:pos="4680"/>
        <w:tab w:val="right" w:pos="9360"/>
      </w:tabs>
    </w:pPr>
  </w:style>
  <w:style w:type="character" w:customStyle="1" w:styleId="FooterChar">
    <w:name w:val="Footer Char"/>
    <w:basedOn w:val="DefaultParagraphFont"/>
    <w:link w:val="Footer"/>
    <w:uiPriority w:val="99"/>
    <w:rsid w:val="00AD2D39"/>
  </w:style>
  <w:style w:type="character" w:customStyle="1" w:styleId="CommentTextChar">
    <w:name w:val="Comment Text Char"/>
    <w:basedOn w:val="DefaultParagraphFont"/>
    <w:link w:val="CommentText"/>
    <w:semiHidden/>
    <w:rsid w:val="00821E5E"/>
  </w:style>
  <w:style w:type="paragraph" w:customStyle="1" w:styleId="Default">
    <w:name w:val="Default"/>
    <w:rsid w:val="00055AC8"/>
    <w:pPr>
      <w:autoSpaceDE w:val="0"/>
      <w:autoSpaceDN w:val="0"/>
      <w:adjustRightInd w:val="0"/>
    </w:pPr>
    <w:rPr>
      <w:rFonts w:ascii="Arial" w:hAnsi="Arial" w:eastAsiaTheme="minorHAnsi" w:cs="Arial"/>
      <w:color w:val="000000"/>
      <w:sz w:val="24"/>
      <w:szCs w:val="24"/>
    </w:rPr>
  </w:style>
  <w:style w:type="paragraph" w:styleId="NoSpacing">
    <w:name w:val="No Spacing"/>
    <w:basedOn w:val="Normal"/>
    <w:uiPriority w:val="1"/>
    <w:qFormat/>
    <w:rsid w:val="005A70D2"/>
    <w:pPr>
      <w:overflowPunct/>
      <w:autoSpaceDE/>
      <w:autoSpaceDN/>
      <w:adjustRightInd/>
      <w:textAlignment w:val="auto"/>
    </w:pPr>
    <w:rPr>
      <w:rFonts w:ascii="Calibri" w:hAnsi="Calibri" w:eastAsiaTheme="minorHAnsi"/>
      <w:sz w:val="22"/>
      <w:szCs w:val="22"/>
    </w:rPr>
  </w:style>
  <w:style w:type="character" w:customStyle="1" w:styleId="ListParagraphChar">
    <w:name w:val="List Paragraph Char"/>
    <w:link w:val="ListParagraph"/>
    <w:uiPriority w:val="34"/>
    <w:locked/>
    <w:rsid w:val="002150FA"/>
    <w:rPr>
      <w:sz w:val="24"/>
      <w:szCs w:val="24"/>
    </w:rPr>
  </w:style>
  <w:style w:type="paragraph" w:styleId="FootnoteText">
    <w:name w:val="footnote text"/>
    <w:basedOn w:val="Normal"/>
    <w:link w:val="FootnoteTextChar"/>
    <w:semiHidden/>
    <w:unhideWhenUsed/>
    <w:rsid w:val="00557CC2"/>
  </w:style>
  <w:style w:type="character" w:customStyle="1" w:styleId="FootnoteTextChar">
    <w:name w:val="Footnote Text Char"/>
    <w:basedOn w:val="DefaultParagraphFont"/>
    <w:link w:val="FootnoteText"/>
    <w:semiHidden/>
    <w:rsid w:val="00557CC2"/>
  </w:style>
  <w:style w:type="character" w:styleId="FootnoteReference">
    <w:name w:val="footnote reference"/>
    <w:basedOn w:val="DefaultParagraphFont"/>
    <w:semiHidden/>
    <w:unhideWhenUsed/>
    <w:rsid w:val="00557CC2"/>
    <w:rPr>
      <w:vertAlign w:val="superscript"/>
    </w:rPr>
  </w:style>
  <w:style w:type="character" w:styleId="UnresolvedMention">
    <w:name w:val="Unresolved Mention"/>
    <w:basedOn w:val="DefaultParagraphFont"/>
    <w:uiPriority w:val="99"/>
    <w:semiHidden/>
    <w:unhideWhenUsed/>
    <w:rsid w:val="005A2FC5"/>
    <w:rPr>
      <w:color w:val="605E5C"/>
      <w:shd w:val="clear" w:color="auto" w:fill="E1DFDD"/>
    </w:rPr>
  </w:style>
  <w:style w:type="table" w:styleId="GridTableLight">
    <w:name w:val="Grid Table Light"/>
    <w:basedOn w:val="TableNormal"/>
    <w:uiPriority w:val="40"/>
    <w:rsid w:val="00705FA7"/>
    <w:rPr>
      <w:rFonts w:ascii="Calibri" w:eastAsia="Calibri" w:hAnsi="Calibri"/>
      <w:sz w:val="22"/>
      <w:szCs w:val="22"/>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2">
    <w:name w:val="Plain Table 2"/>
    <w:basedOn w:val="TableNormal"/>
    <w:uiPriority w:val="42"/>
    <w:rsid w:val="00166AEC"/>
    <w:rPr>
      <w:rFonts w:eastAsia="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292DD-AC6B-477C-9438-82F1836EF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3013</Words>
  <Characters>17015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2023-05-31T16:05:00Z</dcterms:created>
  <dcterms:modified xsi:type="dcterms:W3CDTF">2023-05-31T16:09:00Z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