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1FD1">
      <w:pPr>
        <w:pStyle w:val="Heading1"/>
        <w:ind w:left="0"/>
        <w:jc w:val="center"/>
      </w:pPr>
      <w:r>
        <w:t>SUPPORTING STATEMENT</w:t>
      </w:r>
    </w:p>
    <w:p w:rsidR="003D1FD1">
      <w:pPr>
        <w:spacing w:before="22" w:line="259" w:lineRule="auto"/>
        <w:ind w:firstLine="14"/>
        <w:jc w:val="center"/>
        <w:rPr>
          <w:b/>
        </w:rPr>
      </w:pPr>
      <w:r>
        <w:rPr>
          <w:b/>
        </w:rPr>
        <w:t>U.S. Department of Commerce</w:t>
      </w:r>
    </w:p>
    <w:p w:rsidR="003D1FD1">
      <w:pPr>
        <w:spacing w:before="22" w:line="259" w:lineRule="auto"/>
        <w:ind w:firstLine="14"/>
        <w:jc w:val="center"/>
        <w:rPr>
          <w:b/>
        </w:rPr>
      </w:pPr>
      <w:r>
        <w:rPr>
          <w:b/>
        </w:rPr>
        <w:t>National Oceanic &amp; Atmospheric Administration</w:t>
      </w:r>
    </w:p>
    <w:p w:rsidR="003D1FD1">
      <w:pPr>
        <w:spacing w:line="259" w:lineRule="auto"/>
        <w:ind w:hanging="6"/>
        <w:jc w:val="center"/>
        <w:rPr>
          <w:b/>
        </w:rPr>
      </w:pPr>
      <w:r w:rsidRPr="00837D60">
        <w:rPr>
          <w:b/>
        </w:rPr>
        <w:t>Fisheries Finance Program Requirements</w:t>
      </w:r>
    </w:p>
    <w:p w:rsidR="003D1FD1">
      <w:pPr>
        <w:spacing w:line="259" w:lineRule="auto"/>
        <w:ind w:hanging="6"/>
        <w:jc w:val="center"/>
        <w:rPr>
          <w:b/>
        </w:rPr>
      </w:pPr>
      <w:r>
        <w:rPr>
          <w:b/>
        </w:rPr>
        <w:t>OMB Control No. 0648-</w:t>
      </w:r>
      <w:r w:rsidR="00837D60">
        <w:rPr>
          <w:b/>
        </w:rPr>
        <w:t>0012</w:t>
      </w:r>
    </w:p>
    <w:p w:rsidR="003D1FD1">
      <w:pPr>
        <w:pBdr>
          <w:top w:val="nil"/>
          <w:left w:val="nil"/>
          <w:bottom w:val="nil"/>
          <w:right w:val="nil"/>
          <w:between w:val="nil"/>
        </w:pBdr>
        <w:spacing w:before="1"/>
        <w:jc w:val="center"/>
        <w:rPr>
          <w:b/>
          <w:color w:val="000000"/>
        </w:rPr>
      </w:pPr>
    </w:p>
    <w:p w:rsidR="003D1FD1">
      <w:pPr>
        <w:pStyle w:val="Heading1"/>
        <w:spacing w:before="199"/>
        <w:ind w:left="0"/>
      </w:pPr>
      <w:r>
        <w:t>Abstract</w:t>
      </w:r>
    </w:p>
    <w:p w:rsidR="00837D60" w:rsidRPr="002A23AA">
      <w:pPr>
        <w:pStyle w:val="Heading1"/>
        <w:spacing w:before="124"/>
        <w:ind w:left="0"/>
        <w:rPr>
          <w:b w:val="0"/>
          <w:bCs w:val="0"/>
        </w:rPr>
      </w:pPr>
      <w:r w:rsidRPr="002A23AA">
        <w:rPr>
          <w:b w:val="0"/>
          <w:bCs w:val="0"/>
        </w:rPr>
        <w:t>This request is for an extension of a currently approved information collection. The National Oceanic and Atmospheric Administration (NOAA) operates a direct loan program to assist in financing certain actions relating to commercial fishing vessels, shoreside fishery facilities, aquaculture operations, and individual fishing quotas.  Application information is required to determine loan eligibility pursuant to 50 CFR Part 253 and to determine the type and amount of financial assistance available to the applicant.  Applicants are required to submit NOAA FORM 88-1, and supporting financial documents.  An annual financial statement is required from the recipients to monitor the financial status of the loan.  Small stylistic changes have been made to the NOAA FORM 88-1 to make the form easier for the applicant to understand and to fill electronically.</w:t>
      </w:r>
    </w:p>
    <w:p w:rsidR="00837D60">
      <w:pPr>
        <w:pStyle w:val="Heading1"/>
        <w:spacing w:before="124"/>
        <w:ind w:left="0"/>
        <w:rPr>
          <w:b w:val="0"/>
          <w:bCs w:val="0"/>
          <w:color w:val="2F5496"/>
        </w:rPr>
      </w:pPr>
    </w:p>
    <w:p w:rsidR="003D1FD1">
      <w:pPr>
        <w:pStyle w:val="Heading1"/>
        <w:spacing w:before="124"/>
        <w:ind w:left="0"/>
      </w:pPr>
      <w:r>
        <w:t>Justification</w:t>
      </w:r>
    </w:p>
    <w:p w:rsidR="003D1FD1">
      <w:pPr>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Chapter 537 of the Shipping Act (formerly Title XI of the Merchant Marine Act), codified at 46 U.S.C. 53701,  authorizes the Fisheries Financing Program (FFP) to assist business in financing or refinancing commercial fishing vessels, fisheries shoreside facilities, aquaculture operations, and individual fishing quotas (IFQ).  All obligations involving any fishing vessel, fishery facility, aquaculture facility, or individual fishing quota issued subsequent to the Sustainable Fisheries Act are direct loan obligations.  These financings contribute to the stability of the fishing industry, which continues to be viewed by the Congress as in the national interest.  New regulations under the Shipping Act were enacted by Final Rule 0648-AY16, to allow crab IFQ loans (75 FR 78619), December 16, 2010. Relevant portions of the Shipping Act are codified at 50 CFR Part 253.</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 xml:space="preserve">The Fisheries Financing Program (FFP) application form, NOAA Form 88-1, is used by commercial applicants to apply for financing under the FFP. Annual reporting is also required by all current borrowers.  </w:t>
      </w:r>
    </w:p>
    <w:p w:rsidR="00837D60" w:rsidRPr="00837D60" w:rsidP="00837D60">
      <w:pPr>
        <w:pBdr>
          <w:top w:val="nil"/>
          <w:left w:val="nil"/>
          <w:bottom w:val="nil"/>
          <w:right w:val="nil"/>
          <w:between w:val="nil"/>
        </w:pBdr>
        <w:tabs>
          <w:tab w:val="left" w:pos="360"/>
        </w:tabs>
        <w:spacing w:before="182" w:line="259" w:lineRule="auto"/>
        <w:rPr>
          <w:color w:val="000000"/>
        </w:rPr>
      </w:pP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 xml:space="preserve">The Fisheries Finance Program involves providing three types of loans. </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a.  Direct</w:t>
      </w:r>
      <w:r w:rsidRPr="00837D60">
        <w:rPr>
          <w:color w:val="000000"/>
        </w:rPr>
        <w:t xml:space="preserve"> Loans for Vessels, Shoreside Facilities, and Aquaculture </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 xml:space="preserve">The loans requested under the Fisheries Finance Program (FFP) will provide the financial assistance authorized under the 1996 Sustainable Fisheries Act (SFA) (Public Law 104-297), as amended, Chapter 537 of the Shipping Act, and the Magnuson-Stevens Fishery Conservation and Management Act (Magnuson-Stevens Act) (16 U.S.C. 1801 et. </w:t>
      </w:r>
      <w:r w:rsidRPr="00837D60">
        <w:rPr>
          <w:color w:val="000000"/>
        </w:rPr>
        <w:t>seq</w:t>
      </w:r>
      <w:r w:rsidRPr="00837D60">
        <w:rPr>
          <w:color w:val="000000"/>
        </w:rPr>
        <w:t>).</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Traditional FFP direct loans financing offers the fishing industry slightly better interest rates and longer term loans than are available elsewhere.  The longer-term loans allow the industry to amortize their capital investment over the actual economic life of the fisheries asset.  Lower debt service reduces economic pressure, thus allowing the borrower to more easily accommodate more restrictive fishery management initiatives.  FFP regulations ensure that FFP traditional lending will not increase harvesting capacity in the fisheries but will simply permit the financing of the acquisition of existing vessels or the refinancing of existing debt for vessels already in the fishery.</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 xml:space="preserve">Shoreside processing loans are capacity neutral.  Aquaculture financing is an activity that National Oceanic and Atmospheric Administration (NOAA) is actively encouraging, because increases in </w:t>
      </w:r>
      <w:r w:rsidRPr="00837D60">
        <w:rPr>
          <w:color w:val="000000"/>
        </w:rPr>
        <w:t>aquacultural</w:t>
      </w:r>
      <w:r w:rsidRPr="00837D60">
        <w:rPr>
          <w:color w:val="000000"/>
        </w:rPr>
        <w:t>-grown fish remove pressure on wild stocks.</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b.  Mariculture</w:t>
      </w:r>
      <w:r w:rsidRPr="00837D60">
        <w:rPr>
          <w:color w:val="000000"/>
        </w:rPr>
        <w:t xml:space="preserve"> Fisheries Finance</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NOAA encourages the development of mariculture (growing seafood in salt waters beyond low tide) projects.  This technology is not as mature as traditional aquaculture activities and consequently has been assigned a higher risk.</w:t>
      </w:r>
    </w:p>
    <w:p w:rsidR="00837D60" w:rsidRPr="00837D60" w:rsidP="00837D60">
      <w:pPr>
        <w:pBdr>
          <w:top w:val="nil"/>
          <w:left w:val="nil"/>
          <w:bottom w:val="nil"/>
          <w:right w:val="nil"/>
          <w:between w:val="nil"/>
        </w:pBdr>
        <w:tabs>
          <w:tab w:val="left" w:pos="360"/>
        </w:tabs>
        <w:spacing w:before="182" w:line="259" w:lineRule="auto"/>
        <w:rPr>
          <w:color w:val="000000"/>
        </w:rPr>
      </w:pPr>
      <w:r w:rsidRPr="00837D60">
        <w:rPr>
          <w:color w:val="000000"/>
        </w:rPr>
        <w:t>c.  FFP</w:t>
      </w:r>
      <w:r w:rsidRPr="00837D60">
        <w:rPr>
          <w:color w:val="000000"/>
        </w:rPr>
        <w:t xml:space="preserve"> Halibut/Sablefish and Crab IFQ loans</w:t>
      </w:r>
    </w:p>
    <w:p w:rsidR="00837D60" w:rsidRPr="00837D60" w:rsidP="00837D60">
      <w:pPr>
        <w:pStyle w:val="BodyText2"/>
      </w:pPr>
      <w:r w:rsidRPr="00837D60">
        <w:t>The Sustainable Fisheries Act (SFA) amended Section 1104A (a)(7) of the Shipping Act and section 303(d)(4) of the Magnuson-Stevens Fishery Conservation and Management Act to authorize financing and refinancing the cost of entry-level fishermen and fishermen who fish from small boats purchasing individual fishing quota (IFQ).  SFA amendments to section 303(d)(4) and section 304(d)(2) of the Magnuson-Stevens Act authorize the Federal Credit Reform Act cost of IFQ lending to be funded by up to 25% of the IFQ and Community Development Quota (CDQ) fee revenue from the IFQ fishery involved.</w:t>
      </w:r>
    </w:p>
    <w:p w:rsidR="003D1FD1">
      <w:pPr>
        <w:pStyle w:val="Heading1"/>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837D60"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 xml:space="preserve">The application for FFP financing (NOAA Form 88-1) provides the information needed to determine whether the applicant is a good credit risk.    All applicants for FFP financing are requested to provide information such as the applicant’s identity and address, the amount of financing applied for, the purpose of loan, an appraisal of the vessel or facility involved, financial information including the last 3 tax returns, a list of creditors and buyers with relevant credit terms,  identification of authorized representatives (accountant, attorney, insurance agent), and legal history (status regarding bankruptcy, litigation, delinquency on and Federal debt, etc.). </w:t>
      </w: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Since 2020 all information is collected electronically. </w:t>
      </w: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This information is generally required by any commercial lending institution and provides a basis for evaluating credit-worthiness and repayment prospects.  The requirement is to ensure that the loan is for purposes authorized for this program.  Applicants with a history of credit problems, litigation or bankruptcy, lack of capital, etc. generally cannot meet the FFP’s stringent credit standards.   Applications are approved only for those loans with excellent repayment prospects.</w:t>
      </w: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7D60" w:rsidRPr="00E15363" w:rsidP="00837D60">
      <w:r w:rsidRPr="00E15363">
        <w:t xml:space="preserve">Annual financial statements are required of all borrowers.  These statements update the financial statement information presented with the original application and consist of </w:t>
      </w:r>
      <w:r w:rsidRPr="00E15363">
        <w:rPr>
          <w:shd w:val="clear" w:color="auto" w:fill="FFFFFF"/>
        </w:rPr>
        <w:t>a copy of their tax return along with a current balance sheet and income statement.</w:t>
      </w:r>
      <w:r w:rsidRPr="00E15363">
        <w:t xml:space="preserve">  The financial statements are used to monitor the borrower’s financial condition and to trigger servicing actions if indicated.</w:t>
      </w: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37D60" w:rsidRPr="00E15363" w:rsidP="00CA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 xml:space="preserve">NOAA Fisheries will retain control over the information and safeguard it from improper access, modification, and destruction, consistent with NOAA standards for confidentiality, privacy, and electronic information.  See response to Question 10 of the Supporting Statement for more information on confidentiality and privacy.  The information collection is designed to yield data that meet all applicable information quality guidelines.  There is no plan to disseminate this information, but if dissemination is warranted, the information will be subjected to quality </w:t>
      </w:r>
    </w:p>
    <w:p w:rsidR="00837D60" w:rsidRPr="00E15363" w:rsidP="0083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control</w:t>
      </w:r>
      <w:r w:rsidRPr="00E15363">
        <w:t xml:space="preserve"> measures and a pre-dissemination review pursuant to</w:t>
      </w:r>
      <w:r w:rsidRPr="00837D60">
        <w:rPr>
          <w14:shadow w14:blurRad="38100" w14:dist="19050" w14:dir="2700000" w14:sx="100000" w14:sy="100000" w14:kx="0" w14:ky="0" w14:algn="tl">
            <w14:schemeClr w14:val="dk1">
              <w14:alpha w14:val="60000"/>
            </w14:schemeClr>
          </w14:shadow>
          <w14:textOutline w14:w="0">
            <w14:noFill/>
            <w14:prstDash w14:val="solid"/>
            <w14:round/>
          </w14:textOutline>
        </w:rPr>
        <w:t xml:space="preserve"> </w:t>
      </w:r>
      <w:hyperlink r:id="rId5" w:history="1">
        <w:r w:rsidRPr="00CA5A7F">
          <w:rPr>
            <w:rStyle w:val="Hyperlink"/>
            <w:color w:val="auto"/>
            <w:u w:val="none"/>
            <w14:shadow w14:blurRad="38100" w14:dist="19050" w14:dir="2700000" w14:sx="100000" w14:sy="100000" w14:kx="0" w14:ky="0" w14:algn="tl">
              <w14:schemeClr w14:val="dk1">
                <w14:alpha w14:val="60000"/>
              </w14:schemeClr>
            </w14:shadow>
            <w14:textOutline w14:w="0">
              <w14:noFill/>
              <w14:prstDash w14:val="solid"/>
              <w14:round/>
            </w14:textOutline>
          </w:rPr>
          <w:t>Section 515 of Public Law 106-554</w:t>
        </w:r>
      </w:hyperlink>
      <w:r w:rsidRPr="00CA5A7F">
        <w:t>.</w:t>
      </w:r>
    </w:p>
    <w:p w:rsidR="003D1FD1">
      <w:pPr>
        <w:numPr>
          <w:ilvl w:val="0"/>
          <w:numId w:val="3"/>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1FD1" w:rsidP="00CA5A7F">
      <w:pPr>
        <w:spacing w:before="161"/>
      </w:pPr>
      <w:r w:rsidRPr="00CA5A7F">
        <w:t xml:space="preserve">Since 2020 all information is collected electronically. </w:t>
      </w:r>
    </w:p>
    <w:p w:rsidR="00CA5A7F">
      <w:pPr>
        <w:spacing w:before="161"/>
        <w:rPr>
          <w:b/>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CA5A7F" w:rsidP="00CA5A7F">
      <w:pPr>
        <w:pBdr>
          <w:top w:val="nil"/>
          <w:left w:val="nil"/>
          <w:bottom w:val="nil"/>
          <w:right w:val="nil"/>
          <w:between w:val="nil"/>
        </w:pBdr>
        <w:tabs>
          <w:tab w:val="left" w:pos="360"/>
        </w:tabs>
        <w:spacing w:before="80"/>
        <w:rPr>
          <w:b/>
          <w:color w:val="000000"/>
        </w:rPr>
      </w:pPr>
    </w:p>
    <w:p w:rsidR="00CA5A7F" w:rsidP="00CA5A7F">
      <w:pPr>
        <w:pBdr>
          <w:top w:val="nil"/>
          <w:left w:val="nil"/>
          <w:bottom w:val="nil"/>
          <w:right w:val="nil"/>
          <w:between w:val="nil"/>
        </w:pBdr>
        <w:tabs>
          <w:tab w:val="left" w:pos="360"/>
        </w:tabs>
        <w:spacing w:before="80"/>
        <w:rPr>
          <w:b/>
          <w:color w:val="000000"/>
        </w:rPr>
      </w:pPr>
      <w:r w:rsidRPr="00E15363">
        <w:t>Because NOAA is the sole Federal provider of FFP financing, there is no duplication of other information requests.</w:t>
      </w:r>
    </w:p>
    <w:p w:rsidR="00CA5A7F" w:rsidP="00CA5A7F">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CA5A7F" w:rsidP="00CA5A7F">
      <w:pPr>
        <w:pBdr>
          <w:top w:val="nil"/>
          <w:left w:val="nil"/>
          <w:bottom w:val="nil"/>
          <w:right w:val="nil"/>
          <w:between w:val="nil"/>
        </w:pBdr>
        <w:tabs>
          <w:tab w:val="left" w:pos="360"/>
        </w:tabs>
        <w:spacing w:before="80"/>
        <w:rPr>
          <w:b/>
          <w:color w:val="000000"/>
        </w:rPr>
      </w:pPr>
    </w:p>
    <w:p w:rsidR="00EC6440" w:rsidRPr="00E15363" w:rsidP="00EC64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does not involve small businesses or other small entities.</w:t>
      </w:r>
    </w:p>
    <w:p w:rsidR="00CA5A7F" w:rsidP="00CA5A7F">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A5A7F" w:rsidP="00CA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A5A7F" w:rsidRPr="00E15363" w:rsidP="00CA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Statutorily-mandated financial assistance could not be delivered without this information collection.</w:t>
      </w:r>
    </w:p>
    <w:p w:rsidR="00CA5A7F" w:rsidP="00CA5A7F">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CA5A7F" w:rsidP="00CA5A7F">
      <w:pPr>
        <w:pBdr>
          <w:top w:val="nil"/>
          <w:left w:val="nil"/>
          <w:bottom w:val="nil"/>
          <w:right w:val="nil"/>
          <w:between w:val="nil"/>
        </w:pBdr>
        <w:tabs>
          <w:tab w:val="left" w:pos="360"/>
        </w:tabs>
        <w:spacing w:before="80"/>
        <w:rPr>
          <w:b/>
          <w:color w:val="000000"/>
        </w:rPr>
      </w:pPr>
    </w:p>
    <w:p w:rsidR="00CA5A7F" w:rsidRPr="00E15363" w:rsidP="00CA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collection will be conducted in a manner that is consistent with OMB guidelines.</w:t>
      </w:r>
    </w:p>
    <w:p w:rsidR="00CA5A7F" w:rsidP="00CA5A7F">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A5A7F" w:rsidP="00CA5A7F">
      <w:pPr>
        <w:pBdr>
          <w:top w:val="nil"/>
          <w:left w:val="nil"/>
          <w:bottom w:val="nil"/>
          <w:right w:val="nil"/>
          <w:between w:val="nil"/>
        </w:pBdr>
        <w:tabs>
          <w:tab w:val="left" w:pos="360"/>
        </w:tabs>
        <w:spacing w:before="80"/>
        <w:rPr>
          <w:b/>
          <w:color w:val="000000"/>
        </w:rPr>
      </w:pPr>
    </w:p>
    <w:p w:rsidR="00CA5A7F" w:rsidP="00CA5A7F">
      <w:pPr>
        <w:pBdr>
          <w:top w:val="nil"/>
          <w:left w:val="nil"/>
          <w:bottom w:val="nil"/>
          <w:right w:val="nil"/>
          <w:between w:val="nil"/>
        </w:pBdr>
        <w:tabs>
          <w:tab w:val="left" w:pos="360"/>
        </w:tabs>
        <w:spacing w:before="80"/>
      </w:pPr>
      <w:r w:rsidRPr="00E15363">
        <w:t>A  Federal Register Notice, published</w:t>
      </w:r>
      <w:r>
        <w:t xml:space="preserve"> January 19, 2023</w:t>
      </w:r>
      <w:r w:rsidR="008151E8">
        <w:t xml:space="preserve"> (88 FR 3387)</w:t>
      </w:r>
      <w:bookmarkStart w:id="0" w:name="_GoBack"/>
      <w:bookmarkEnd w:id="0"/>
      <w:r w:rsidRPr="00E15363">
        <w:t xml:space="preserve"> solicited comments on this </w:t>
      </w:r>
      <w:r w:rsidRPr="00E15363">
        <w:t>collection. No applicable comments were received.</w:t>
      </w:r>
    </w:p>
    <w:p w:rsidR="00EC6440" w:rsidP="00CA5A7F">
      <w:pPr>
        <w:pBdr>
          <w:top w:val="nil"/>
          <w:left w:val="nil"/>
          <w:bottom w:val="nil"/>
          <w:right w:val="nil"/>
          <w:between w:val="nil"/>
        </w:pBdr>
        <w:tabs>
          <w:tab w:val="left" w:pos="360"/>
        </w:tabs>
        <w:spacing w:before="80"/>
      </w:pPr>
    </w:p>
    <w:p w:rsidR="00EC6440" w:rsidRPr="00EC6440" w:rsidP="00CA5A7F">
      <w:pPr>
        <w:pBdr>
          <w:top w:val="nil"/>
          <w:left w:val="nil"/>
          <w:bottom w:val="nil"/>
          <w:right w:val="nil"/>
          <w:between w:val="nil"/>
        </w:pBdr>
        <w:tabs>
          <w:tab w:val="left" w:pos="360"/>
        </w:tabs>
        <w:spacing w:before="80"/>
      </w:pPr>
      <w:r>
        <w:rPr>
          <w:color w:val="000000"/>
        </w:rPr>
        <w:t xml:space="preserve">Additionally, </w:t>
      </w:r>
      <w:r w:rsidRPr="00EC6440">
        <w:rPr>
          <w:color w:val="000000"/>
        </w:rPr>
        <w:t xml:space="preserve">NMFS reached out to several </w:t>
      </w:r>
      <w:r>
        <w:rPr>
          <w:color w:val="000000"/>
        </w:rPr>
        <w:t>stakeholders</w:t>
      </w:r>
      <w:r w:rsidRPr="00EC6440">
        <w:rPr>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p>
    <w:p w:rsidR="00CA5A7F" w:rsidP="00CA5A7F">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A0F32" w:rsidP="00EA0F32">
      <w:pPr>
        <w:pBdr>
          <w:top w:val="nil"/>
          <w:left w:val="nil"/>
          <w:bottom w:val="nil"/>
          <w:right w:val="nil"/>
          <w:between w:val="nil"/>
        </w:pBdr>
        <w:tabs>
          <w:tab w:val="left" w:pos="360"/>
        </w:tabs>
        <w:spacing w:before="80"/>
        <w:rPr>
          <w:b/>
          <w:color w:val="000000"/>
        </w:rPr>
      </w:pPr>
    </w:p>
    <w:p w:rsidR="00EC6440" w:rsidRPr="003742FD" w:rsidP="00EC644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742FD">
        <w:t>No payments or gifts are provided under this program at this time.</w:t>
      </w:r>
    </w:p>
    <w:p w:rsidR="00EA0F32" w:rsidP="00EA0F32">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A0F32" w:rsidP="00EA0F32">
      <w:pPr>
        <w:pBdr>
          <w:top w:val="nil"/>
          <w:left w:val="nil"/>
          <w:bottom w:val="nil"/>
          <w:right w:val="nil"/>
          <w:between w:val="nil"/>
        </w:pBdr>
        <w:tabs>
          <w:tab w:val="left" w:pos="360"/>
        </w:tabs>
        <w:spacing w:before="80"/>
        <w:rPr>
          <w:b/>
          <w:color w:val="000000"/>
        </w:rPr>
      </w:pPr>
    </w:p>
    <w:p w:rsidR="00EA0F32" w:rsidP="00EA0F3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 xml:space="preserve">The information collected is confidential under </w:t>
      </w:r>
      <w:hyperlink r:id="rId6" w:history="1">
        <w:r w:rsidRPr="00E15363">
          <w:rPr>
            <w:rStyle w:val="Hyperlink"/>
          </w:rPr>
          <w:t>NOAA Administrative Order 216-100</w:t>
        </w:r>
      </w:hyperlink>
      <w:r w:rsidRPr="00E15363">
        <w:t>, which sets, which “prescribes policies and procedures for protecting the confidentiality of data submitted to and collected by the National Oceanic and Atmospheric Administration (NOAA)/National Marine Fisheries Service (NMFS) as authorized or required by law.”</w:t>
      </w:r>
    </w:p>
    <w:p w:rsidR="00EC6440" w:rsidP="00EA0F3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6440" w:rsidRPr="00E15363" w:rsidP="00EA0F3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is also included in a Privacy Act System of Records</w:t>
      </w:r>
      <w:r w:rsidRPr="006E0D4A">
        <w:t xml:space="preserve">, </w:t>
      </w:r>
      <w:hyperlink r:id="rId7" w:history="1">
        <w:r w:rsidRPr="006E0D4A">
          <w:rPr>
            <w:rStyle w:val="Hyperlink"/>
          </w:rPr>
          <w:t>COMMERCE/NOAA-21</w:t>
        </w:r>
      </w:hyperlink>
      <w:r w:rsidRPr="006E0D4A">
        <w:t>,</w:t>
      </w:r>
      <w:r>
        <w:t xml:space="preserve"> </w:t>
      </w:r>
      <w:r>
        <w:t>Financial</w:t>
      </w:r>
      <w:r>
        <w:t xml:space="preserve"> Services Division. There is a Privacy Act Statement on the application form.</w:t>
      </w:r>
    </w:p>
    <w:p w:rsidR="00EA0F32" w:rsidP="00EA0F32">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0F32" w:rsidP="00EA0F32">
      <w:pPr>
        <w:pBdr>
          <w:top w:val="nil"/>
          <w:left w:val="nil"/>
          <w:bottom w:val="nil"/>
          <w:right w:val="nil"/>
          <w:between w:val="nil"/>
        </w:pBdr>
        <w:tabs>
          <w:tab w:val="left" w:pos="360"/>
        </w:tabs>
        <w:spacing w:before="80"/>
        <w:rPr>
          <w:b/>
          <w:color w:val="000000"/>
        </w:rPr>
      </w:pP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E15363">
        <w:t>No sensitive questions are asked.</w:t>
      </w:r>
    </w:p>
    <w:p w:rsidR="00EA0F32" w:rsidP="00EA0F32">
      <w:pPr>
        <w:pBdr>
          <w:top w:val="nil"/>
          <w:left w:val="nil"/>
          <w:bottom w:val="nil"/>
          <w:right w:val="nil"/>
          <w:between w:val="nil"/>
        </w:pBdr>
        <w:tabs>
          <w:tab w:val="left" w:pos="360"/>
        </w:tabs>
        <w:spacing w:before="80"/>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EA0F32" w:rsidP="00EA0F32">
      <w:pPr>
        <w:pBdr>
          <w:top w:val="nil"/>
          <w:left w:val="nil"/>
          <w:bottom w:val="nil"/>
          <w:right w:val="nil"/>
          <w:between w:val="nil"/>
        </w:pBdr>
        <w:tabs>
          <w:tab w:val="left" w:pos="360"/>
        </w:tabs>
        <w:spacing w:before="80"/>
        <w:rPr>
          <w:b/>
          <w:color w:val="000000"/>
        </w:rPr>
      </w:pPr>
    </w:p>
    <w:tbl>
      <w:tblPr>
        <w:tblW w:w="9810" w:type="dxa"/>
        <w:tblInd w:w="-280" w:type="dxa"/>
        <w:tblLook w:val="04A0"/>
      </w:tblPr>
      <w:tblGrid>
        <w:gridCol w:w="1233"/>
        <w:gridCol w:w="1115"/>
        <w:gridCol w:w="1080"/>
        <w:gridCol w:w="1016"/>
        <w:gridCol w:w="917"/>
        <w:gridCol w:w="956"/>
        <w:gridCol w:w="1035"/>
        <w:gridCol w:w="1066"/>
        <w:gridCol w:w="1400"/>
      </w:tblGrid>
      <w:tr w:rsidTr="00663EFB">
        <w:tblPrEx>
          <w:tblW w:w="9810" w:type="dxa"/>
          <w:tblInd w:w="-280" w:type="dxa"/>
          <w:tblLook w:val="04A0"/>
        </w:tblPrEx>
        <w:trPr>
          <w:trHeight w:val="860"/>
        </w:trPr>
        <w:tc>
          <w:tcPr>
            <w:tcW w:w="1233"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Information Collection</w:t>
            </w:r>
          </w:p>
        </w:tc>
        <w:tc>
          <w:tcPr>
            <w:tcW w:w="1115" w:type="dxa"/>
            <w:tcBorders>
              <w:top w:val="single" w:sz="8" w:space="0" w:color="auto"/>
              <w:left w:val="nil"/>
              <w:bottom w:val="single" w:sz="8" w:space="0" w:color="auto"/>
              <w:right w:val="single" w:sz="8" w:space="0" w:color="000000"/>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 of Respondents</w:t>
            </w:r>
          </w:p>
        </w:tc>
        <w:tc>
          <w:tcPr>
            <w:tcW w:w="1016"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 xml:space="preserve"> Total # of Annual Responses</w:t>
            </w:r>
          </w:p>
        </w:tc>
        <w:tc>
          <w:tcPr>
            <w:tcW w:w="956"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 xml:space="preserve">Burden </w:t>
            </w:r>
            <w:r w:rsidRPr="00B55CB7">
              <w:rPr>
                <w:rFonts w:ascii="Calibri" w:hAnsi="Calibri" w:cs="Calibri"/>
                <w:b/>
                <w:bCs/>
                <w:color w:val="000000"/>
                <w:sz w:val="16"/>
                <w:szCs w:val="16"/>
              </w:rPr>
              <w:t>Hrs</w:t>
            </w:r>
            <w:r w:rsidRPr="00B55CB7">
              <w:rPr>
                <w:rFonts w:ascii="Calibri" w:hAnsi="Calibri" w:cs="Calibri"/>
                <w:b/>
                <w:bCs/>
                <w:color w:val="000000"/>
                <w:sz w:val="16"/>
                <w:szCs w:val="16"/>
              </w:rPr>
              <w:t xml:space="preserve"> / Response</w:t>
            </w:r>
          </w:p>
        </w:tc>
        <w:tc>
          <w:tcPr>
            <w:tcW w:w="1035"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 xml:space="preserve">Total Annual Burden </w:t>
            </w:r>
            <w:r w:rsidRPr="00B55CB7">
              <w:rPr>
                <w:rFonts w:ascii="Calibri" w:hAnsi="Calibri" w:cs="Calibri"/>
                <w:b/>
                <w:bCs/>
                <w:color w:val="000000"/>
                <w:sz w:val="16"/>
                <w:szCs w:val="16"/>
              </w:rPr>
              <w:t>Hrs</w:t>
            </w:r>
          </w:p>
        </w:tc>
        <w:tc>
          <w:tcPr>
            <w:tcW w:w="1058"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Hourly Wage Rate  (for Type of Respondent)</w:t>
            </w:r>
          </w:p>
        </w:tc>
        <w:tc>
          <w:tcPr>
            <w:tcW w:w="1400" w:type="dxa"/>
            <w:tcBorders>
              <w:top w:val="single" w:sz="8" w:space="0" w:color="auto"/>
              <w:left w:val="nil"/>
              <w:bottom w:val="single" w:sz="8" w:space="0" w:color="auto"/>
              <w:right w:val="single" w:sz="8" w:space="0" w:color="auto"/>
            </w:tcBorders>
            <w:shd w:val="clear" w:color="000000" w:fill="BDD7EE"/>
            <w:vAlign w:val="center"/>
            <w:hideMark/>
          </w:tcPr>
          <w:p w:rsidR="00EC6440" w:rsidRPr="00B55CB7" w:rsidP="008C25EC">
            <w:pPr>
              <w:widowControl/>
              <w:jc w:val="center"/>
              <w:rPr>
                <w:rFonts w:ascii="Calibri" w:hAnsi="Calibri" w:cs="Calibri"/>
                <w:b/>
                <w:bCs/>
                <w:color w:val="000000"/>
                <w:sz w:val="16"/>
                <w:szCs w:val="16"/>
              </w:rPr>
            </w:pPr>
            <w:r w:rsidRPr="00B55CB7">
              <w:rPr>
                <w:rFonts w:ascii="Calibri" w:hAnsi="Calibri" w:cs="Calibri"/>
                <w:b/>
                <w:bCs/>
                <w:color w:val="000000"/>
                <w:sz w:val="16"/>
                <w:szCs w:val="16"/>
              </w:rPr>
              <w:t>Total Annual Wage Burden Costs</w:t>
            </w:r>
          </w:p>
        </w:tc>
      </w:tr>
      <w:tr w:rsidTr="00663EFB">
        <w:tblPrEx>
          <w:tblW w:w="9810" w:type="dxa"/>
          <w:tblInd w:w="-280" w:type="dxa"/>
          <w:tblLook w:val="04A0"/>
        </w:tblPrEx>
        <w:trPr>
          <w:trHeight w:val="293"/>
        </w:trPr>
        <w:tc>
          <w:tcPr>
            <w:tcW w:w="1233" w:type="dxa"/>
            <w:tcBorders>
              <w:top w:val="nil"/>
              <w:left w:val="single" w:sz="8" w:space="0" w:color="auto"/>
              <w:bottom w:val="single" w:sz="4" w:space="0" w:color="auto"/>
              <w:right w:val="single" w:sz="4" w:space="0" w:color="auto"/>
            </w:tcBorders>
            <w:shd w:val="clear" w:color="auto" w:fill="auto"/>
            <w:vAlign w:val="bottom"/>
            <w:hideMark/>
          </w:tcPr>
          <w:p w:rsidR="00EC6440" w:rsidRPr="00B55CB7" w:rsidP="008C25EC">
            <w:pPr>
              <w:widowControl/>
              <w:rPr>
                <w:rFonts w:asciiTheme="minorHAnsi" w:hAnsiTheme="minorHAnsi"/>
                <w:color w:val="000000"/>
                <w:sz w:val="16"/>
                <w:szCs w:val="16"/>
              </w:rPr>
            </w:pPr>
            <w:r w:rsidRPr="00B55CB7">
              <w:rPr>
                <w:rFonts w:asciiTheme="minorHAnsi" w:hAnsiTheme="minorHAnsi"/>
                <w:color w:val="000000"/>
                <w:sz w:val="16"/>
                <w:szCs w:val="16"/>
              </w:rPr>
              <w:t> </w:t>
            </w:r>
            <w:r w:rsidRPr="00B55CB7">
              <w:rPr>
                <w:rFonts w:asciiTheme="minorHAnsi" w:hAnsiTheme="minorHAnsi"/>
                <w:sz w:val="16"/>
                <w:szCs w:val="16"/>
              </w:rPr>
              <w:t>NOAA Form 88-1</w:t>
            </w:r>
          </w:p>
        </w:tc>
        <w:tc>
          <w:tcPr>
            <w:tcW w:w="1115"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center"/>
              <w:rPr>
                <w:rFonts w:asciiTheme="minorHAnsi" w:hAnsiTheme="minorHAnsi"/>
                <w:color w:val="000000"/>
                <w:sz w:val="16"/>
                <w:szCs w:val="16"/>
              </w:rPr>
            </w:pPr>
            <w:r>
              <w:rPr>
                <w:rFonts w:asciiTheme="minorHAnsi" w:hAnsiTheme="minorHAnsi"/>
                <w:color w:val="000000"/>
                <w:sz w:val="16"/>
                <w:szCs w:val="16"/>
              </w:rPr>
              <w:t>Fisherman (45-000)</w:t>
            </w:r>
          </w:p>
        </w:tc>
        <w:tc>
          <w:tcPr>
            <w:tcW w:w="1080"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1016"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sidRPr="00B55CB7">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956"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sidRPr="00B55CB7">
              <w:rPr>
                <w:rFonts w:asciiTheme="minorHAnsi" w:hAnsiTheme="minorHAnsi"/>
                <w:color w:val="000000"/>
                <w:sz w:val="16"/>
                <w:szCs w:val="16"/>
              </w:rPr>
              <w:t>10</w:t>
            </w:r>
          </w:p>
        </w:tc>
        <w:tc>
          <w:tcPr>
            <w:tcW w:w="1035"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640</w:t>
            </w:r>
          </w:p>
        </w:tc>
        <w:tc>
          <w:tcPr>
            <w:tcW w:w="1058" w:type="dxa"/>
            <w:tcBorders>
              <w:top w:val="nil"/>
              <w:left w:val="nil"/>
              <w:bottom w:val="single" w:sz="4" w:space="0" w:color="auto"/>
              <w:right w:val="single" w:sz="4" w:space="0" w:color="auto"/>
            </w:tcBorders>
            <w:shd w:val="clear" w:color="auto" w:fill="auto"/>
            <w:noWrap/>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16.70</w:t>
            </w:r>
            <w:r w:rsidRPr="00B55CB7">
              <w:rPr>
                <w:rFonts w:asciiTheme="minorHAnsi" w:hAnsiTheme="minorHAnsi"/>
                <w:color w:val="000000"/>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rsidR="00EC6440" w:rsidRPr="00B55CB7" w:rsidP="00663EFB">
            <w:pPr>
              <w:widowControl/>
              <w:jc w:val="right"/>
              <w:rPr>
                <w:rFonts w:asciiTheme="minorHAnsi" w:hAnsiTheme="minorHAnsi"/>
                <w:color w:val="000000"/>
                <w:sz w:val="16"/>
                <w:szCs w:val="16"/>
              </w:rPr>
            </w:pPr>
            <w:r>
              <w:rPr>
                <w:rFonts w:asciiTheme="minorHAnsi" w:hAnsiTheme="minorHAnsi"/>
                <w:color w:val="000000"/>
                <w:sz w:val="16"/>
                <w:szCs w:val="16"/>
              </w:rPr>
              <w:t>$</w:t>
            </w:r>
            <w:r w:rsidR="00663EFB">
              <w:rPr>
                <w:rFonts w:asciiTheme="minorHAnsi" w:hAnsiTheme="minorHAnsi"/>
                <w:color w:val="000000"/>
                <w:sz w:val="16"/>
                <w:szCs w:val="16"/>
              </w:rPr>
              <w:t>10,688</w:t>
            </w:r>
          </w:p>
        </w:tc>
      </w:tr>
      <w:tr w:rsidTr="00663EFB">
        <w:tblPrEx>
          <w:tblW w:w="9810" w:type="dxa"/>
          <w:tblInd w:w="-280" w:type="dxa"/>
          <w:tblLook w:val="04A0"/>
        </w:tblPrEx>
        <w:trPr>
          <w:trHeight w:val="293"/>
        </w:trPr>
        <w:tc>
          <w:tcPr>
            <w:tcW w:w="1233" w:type="dxa"/>
            <w:tcBorders>
              <w:top w:val="nil"/>
              <w:left w:val="single" w:sz="8" w:space="0" w:color="auto"/>
              <w:bottom w:val="single" w:sz="4" w:space="0" w:color="auto"/>
              <w:right w:val="single" w:sz="4" w:space="0" w:color="auto"/>
            </w:tcBorders>
            <w:shd w:val="clear" w:color="auto" w:fill="auto"/>
            <w:vAlign w:val="bottom"/>
          </w:tcPr>
          <w:p w:rsidR="00EC6440" w:rsidRPr="00B55CB7" w:rsidP="008C25EC">
            <w:pPr>
              <w:widowControl/>
              <w:rPr>
                <w:rFonts w:asciiTheme="minorHAnsi" w:hAnsiTheme="minorHAnsi"/>
                <w:color w:val="000000"/>
                <w:sz w:val="16"/>
                <w:szCs w:val="16"/>
              </w:rPr>
            </w:pPr>
            <w:r w:rsidRPr="00B55CB7">
              <w:rPr>
                <w:rFonts w:asciiTheme="minorHAnsi" w:hAnsiTheme="minorHAnsi"/>
                <w:color w:val="000000"/>
                <w:sz w:val="16"/>
                <w:szCs w:val="16"/>
              </w:rPr>
              <w:t>Guarantor Consent (Company)</w:t>
            </w:r>
          </w:p>
        </w:tc>
        <w:tc>
          <w:tcPr>
            <w:tcW w:w="1115"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center"/>
              <w:rPr>
                <w:rFonts w:asciiTheme="minorHAnsi" w:hAnsiTheme="minorHAnsi"/>
                <w:color w:val="000000"/>
                <w:sz w:val="16"/>
                <w:szCs w:val="16"/>
              </w:rPr>
            </w:pPr>
            <w:r>
              <w:rPr>
                <w:rFonts w:asciiTheme="minorHAnsi" w:hAnsiTheme="minorHAnsi"/>
                <w:color w:val="000000"/>
                <w:sz w:val="16"/>
                <w:szCs w:val="16"/>
              </w:rPr>
              <w:t>Fisherman (45-000)</w:t>
            </w:r>
          </w:p>
        </w:tc>
        <w:tc>
          <w:tcPr>
            <w:tcW w:w="1080"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1016"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956"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5 min</w:t>
            </w:r>
          </w:p>
        </w:tc>
        <w:tc>
          <w:tcPr>
            <w:tcW w:w="1035"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5</w:t>
            </w:r>
          </w:p>
        </w:tc>
        <w:tc>
          <w:tcPr>
            <w:tcW w:w="1058" w:type="dxa"/>
            <w:tcBorders>
              <w:top w:val="nil"/>
              <w:left w:val="nil"/>
              <w:bottom w:val="single" w:sz="4" w:space="0" w:color="auto"/>
              <w:right w:val="single" w:sz="4" w:space="0" w:color="auto"/>
            </w:tcBorders>
            <w:shd w:val="clear" w:color="auto" w:fill="auto"/>
            <w:noWrap/>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16.70</w:t>
            </w:r>
            <w:r w:rsidRPr="00B55CB7">
              <w:rPr>
                <w:rFonts w:asciiTheme="minorHAnsi" w:hAnsiTheme="minorHAnsi"/>
                <w:color w:val="000000"/>
                <w:sz w:val="16"/>
                <w:szCs w:val="16"/>
              </w:rPr>
              <w:t> </w:t>
            </w:r>
          </w:p>
        </w:tc>
        <w:tc>
          <w:tcPr>
            <w:tcW w:w="1400" w:type="dxa"/>
            <w:tcBorders>
              <w:top w:val="nil"/>
              <w:left w:val="nil"/>
              <w:bottom w:val="single" w:sz="4" w:space="0" w:color="auto"/>
              <w:right w:val="single" w:sz="8" w:space="0" w:color="auto"/>
            </w:tcBorders>
            <w:shd w:val="clear" w:color="auto" w:fill="auto"/>
            <w:noWrap/>
            <w:vAlign w:val="bottom"/>
          </w:tcPr>
          <w:p w:rsidR="00EC6440" w:rsidRPr="00B55CB7" w:rsidP="00663EFB">
            <w:pPr>
              <w:widowControl/>
              <w:jc w:val="right"/>
              <w:rPr>
                <w:rFonts w:asciiTheme="minorHAnsi" w:hAnsiTheme="minorHAnsi"/>
                <w:color w:val="000000"/>
                <w:sz w:val="16"/>
                <w:szCs w:val="16"/>
              </w:rPr>
            </w:pPr>
            <w:r>
              <w:rPr>
                <w:rFonts w:asciiTheme="minorHAnsi" w:hAnsiTheme="minorHAnsi"/>
                <w:color w:val="000000"/>
                <w:sz w:val="16"/>
                <w:szCs w:val="16"/>
              </w:rPr>
              <w:t>$</w:t>
            </w:r>
            <w:r w:rsidR="00663EFB">
              <w:rPr>
                <w:rFonts w:asciiTheme="minorHAnsi" w:hAnsiTheme="minorHAnsi"/>
                <w:color w:val="000000"/>
                <w:sz w:val="16"/>
                <w:szCs w:val="16"/>
              </w:rPr>
              <w:t>83.50</w:t>
            </w:r>
          </w:p>
        </w:tc>
      </w:tr>
      <w:tr w:rsidTr="00663EFB">
        <w:tblPrEx>
          <w:tblW w:w="9810" w:type="dxa"/>
          <w:tblInd w:w="-280" w:type="dxa"/>
          <w:tblLook w:val="04A0"/>
        </w:tblPrEx>
        <w:trPr>
          <w:trHeight w:val="293"/>
        </w:trPr>
        <w:tc>
          <w:tcPr>
            <w:tcW w:w="1233" w:type="dxa"/>
            <w:tcBorders>
              <w:top w:val="nil"/>
              <w:left w:val="single" w:sz="8" w:space="0" w:color="auto"/>
              <w:bottom w:val="single" w:sz="4" w:space="0" w:color="auto"/>
              <w:right w:val="single" w:sz="4" w:space="0" w:color="auto"/>
            </w:tcBorders>
            <w:shd w:val="clear" w:color="auto" w:fill="auto"/>
            <w:vAlign w:val="bottom"/>
          </w:tcPr>
          <w:p w:rsidR="00EC6440" w:rsidRPr="00B55CB7" w:rsidP="008C25EC">
            <w:pPr>
              <w:widowControl/>
              <w:rPr>
                <w:rFonts w:asciiTheme="minorHAnsi" w:hAnsiTheme="minorHAnsi"/>
                <w:color w:val="000000"/>
                <w:sz w:val="16"/>
                <w:szCs w:val="16"/>
              </w:rPr>
            </w:pPr>
            <w:r w:rsidRPr="00B55CB7">
              <w:rPr>
                <w:rFonts w:asciiTheme="minorHAnsi" w:hAnsiTheme="minorHAnsi"/>
                <w:color w:val="000000"/>
                <w:sz w:val="16"/>
                <w:szCs w:val="16"/>
              </w:rPr>
              <w:t>Guarantor Consent (Individual)</w:t>
            </w:r>
          </w:p>
        </w:tc>
        <w:tc>
          <w:tcPr>
            <w:tcW w:w="1115"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center"/>
              <w:rPr>
                <w:rFonts w:asciiTheme="minorHAnsi" w:hAnsiTheme="minorHAnsi"/>
                <w:color w:val="000000"/>
                <w:sz w:val="16"/>
                <w:szCs w:val="16"/>
              </w:rPr>
            </w:pPr>
            <w:r>
              <w:rPr>
                <w:rFonts w:asciiTheme="minorHAnsi" w:hAnsiTheme="minorHAnsi"/>
                <w:color w:val="000000"/>
                <w:sz w:val="16"/>
                <w:szCs w:val="16"/>
              </w:rPr>
              <w:t>Fisherman (45-000)</w:t>
            </w:r>
          </w:p>
        </w:tc>
        <w:tc>
          <w:tcPr>
            <w:tcW w:w="1080"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1016"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64</w:t>
            </w:r>
          </w:p>
        </w:tc>
        <w:tc>
          <w:tcPr>
            <w:tcW w:w="956"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5 min</w:t>
            </w:r>
          </w:p>
        </w:tc>
        <w:tc>
          <w:tcPr>
            <w:tcW w:w="1035" w:type="dxa"/>
            <w:tcBorders>
              <w:top w:val="nil"/>
              <w:left w:val="nil"/>
              <w:bottom w:val="single" w:sz="4" w:space="0" w:color="auto"/>
              <w:right w:val="single" w:sz="4" w:space="0" w:color="auto"/>
            </w:tcBorders>
            <w:shd w:val="clear" w:color="auto" w:fill="auto"/>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5</w:t>
            </w:r>
          </w:p>
        </w:tc>
        <w:tc>
          <w:tcPr>
            <w:tcW w:w="1058" w:type="dxa"/>
            <w:tcBorders>
              <w:top w:val="nil"/>
              <w:left w:val="nil"/>
              <w:bottom w:val="single" w:sz="4" w:space="0" w:color="auto"/>
              <w:right w:val="single" w:sz="4" w:space="0" w:color="auto"/>
            </w:tcBorders>
            <w:shd w:val="clear" w:color="auto" w:fill="auto"/>
            <w:noWrap/>
            <w:vAlign w:val="bottom"/>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16.70</w:t>
            </w:r>
            <w:r w:rsidRPr="00B55CB7">
              <w:rPr>
                <w:rFonts w:asciiTheme="minorHAnsi" w:hAnsiTheme="minorHAnsi"/>
                <w:color w:val="000000"/>
                <w:sz w:val="16"/>
                <w:szCs w:val="16"/>
              </w:rPr>
              <w:t> </w:t>
            </w:r>
          </w:p>
        </w:tc>
        <w:tc>
          <w:tcPr>
            <w:tcW w:w="1400" w:type="dxa"/>
            <w:tcBorders>
              <w:top w:val="nil"/>
              <w:left w:val="nil"/>
              <w:bottom w:val="single" w:sz="4" w:space="0" w:color="auto"/>
              <w:right w:val="single" w:sz="8" w:space="0" w:color="auto"/>
            </w:tcBorders>
            <w:shd w:val="clear" w:color="auto" w:fill="auto"/>
            <w:noWrap/>
            <w:vAlign w:val="bottom"/>
          </w:tcPr>
          <w:p w:rsidR="00EC6440" w:rsidRPr="00B55CB7" w:rsidP="00663EFB">
            <w:pPr>
              <w:widowControl/>
              <w:jc w:val="right"/>
              <w:rPr>
                <w:rFonts w:asciiTheme="minorHAnsi" w:hAnsiTheme="minorHAnsi"/>
                <w:color w:val="000000"/>
                <w:sz w:val="16"/>
                <w:szCs w:val="16"/>
              </w:rPr>
            </w:pPr>
            <w:r>
              <w:rPr>
                <w:rFonts w:asciiTheme="minorHAnsi" w:hAnsiTheme="minorHAnsi"/>
                <w:color w:val="000000"/>
                <w:sz w:val="16"/>
                <w:szCs w:val="16"/>
              </w:rPr>
              <w:t>$</w:t>
            </w:r>
            <w:r w:rsidR="00663EFB">
              <w:rPr>
                <w:rFonts w:asciiTheme="minorHAnsi" w:hAnsiTheme="minorHAnsi"/>
                <w:color w:val="000000"/>
                <w:sz w:val="16"/>
                <w:szCs w:val="16"/>
              </w:rPr>
              <w:t>83.50</w:t>
            </w:r>
          </w:p>
        </w:tc>
      </w:tr>
      <w:tr w:rsidTr="00663EFB">
        <w:tblPrEx>
          <w:tblW w:w="9810" w:type="dxa"/>
          <w:tblInd w:w="-280" w:type="dxa"/>
          <w:tblLook w:val="04A0"/>
        </w:tblPrEx>
        <w:trPr>
          <w:trHeight w:val="293"/>
        </w:trPr>
        <w:tc>
          <w:tcPr>
            <w:tcW w:w="1233" w:type="dxa"/>
            <w:tcBorders>
              <w:top w:val="nil"/>
              <w:left w:val="single" w:sz="8" w:space="0" w:color="auto"/>
              <w:bottom w:val="single" w:sz="4" w:space="0" w:color="auto"/>
              <w:right w:val="single" w:sz="4" w:space="0" w:color="auto"/>
            </w:tcBorders>
            <w:shd w:val="clear" w:color="auto" w:fill="auto"/>
            <w:vAlign w:val="bottom"/>
            <w:hideMark/>
          </w:tcPr>
          <w:p w:rsidR="00EC6440" w:rsidRPr="00B55CB7" w:rsidP="008C25EC">
            <w:pPr>
              <w:widowControl/>
              <w:rPr>
                <w:rFonts w:asciiTheme="minorHAnsi" w:hAnsiTheme="minorHAnsi"/>
                <w:color w:val="000000"/>
                <w:sz w:val="16"/>
                <w:szCs w:val="16"/>
              </w:rPr>
            </w:pPr>
            <w:r w:rsidRPr="00B55CB7">
              <w:rPr>
                <w:rFonts w:asciiTheme="minorHAnsi" w:hAnsiTheme="minorHAnsi"/>
                <w:color w:val="000000"/>
                <w:sz w:val="16"/>
                <w:szCs w:val="16"/>
              </w:rPr>
              <w:t>Annual Financial Statement </w:t>
            </w:r>
          </w:p>
        </w:tc>
        <w:tc>
          <w:tcPr>
            <w:tcW w:w="1115"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center"/>
              <w:rPr>
                <w:rFonts w:asciiTheme="minorHAnsi" w:hAnsiTheme="minorHAnsi"/>
                <w:color w:val="000000"/>
                <w:sz w:val="16"/>
                <w:szCs w:val="16"/>
              </w:rPr>
            </w:pPr>
            <w:r>
              <w:rPr>
                <w:rFonts w:asciiTheme="minorHAnsi" w:hAnsiTheme="minorHAnsi"/>
                <w:color w:val="000000"/>
                <w:sz w:val="16"/>
                <w:szCs w:val="16"/>
              </w:rPr>
              <w:t>Fisherman (45-000)</w:t>
            </w:r>
          </w:p>
        </w:tc>
        <w:tc>
          <w:tcPr>
            <w:tcW w:w="1080"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272</w:t>
            </w:r>
            <w:r w:rsidRPr="00B55CB7">
              <w:rPr>
                <w:rFonts w:asciiTheme="minorHAnsi" w:hAnsiTheme="minorHAnsi"/>
                <w:color w:val="000000"/>
                <w:sz w:val="16"/>
                <w:szCs w:val="16"/>
              </w:rPr>
              <w:t> </w:t>
            </w:r>
          </w:p>
        </w:tc>
        <w:tc>
          <w:tcPr>
            <w:tcW w:w="1016"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sidRPr="00B55CB7">
              <w:rPr>
                <w:rFonts w:asciiTheme="minorHAnsi" w:hAnsiTheme="minorHAns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EC6440" w:rsidRPr="00B55CB7" w:rsidP="00EC6440">
            <w:pPr>
              <w:widowControl/>
              <w:jc w:val="right"/>
              <w:rPr>
                <w:rFonts w:asciiTheme="minorHAnsi" w:hAnsiTheme="minorHAnsi"/>
                <w:color w:val="000000"/>
                <w:sz w:val="16"/>
                <w:szCs w:val="16"/>
              </w:rPr>
            </w:pPr>
            <w:r w:rsidRPr="00B55CB7">
              <w:rPr>
                <w:rFonts w:asciiTheme="minorHAnsi" w:hAnsiTheme="minorHAnsi"/>
                <w:color w:val="000000"/>
                <w:sz w:val="16"/>
                <w:szCs w:val="16"/>
              </w:rPr>
              <w:t>2</w:t>
            </w:r>
            <w:r>
              <w:rPr>
                <w:rFonts w:asciiTheme="minorHAnsi" w:hAnsiTheme="minorHAnsi"/>
                <w:color w:val="000000"/>
                <w:sz w:val="16"/>
                <w:szCs w:val="16"/>
              </w:rPr>
              <w:t>72</w:t>
            </w:r>
          </w:p>
        </w:tc>
        <w:tc>
          <w:tcPr>
            <w:tcW w:w="956" w:type="dxa"/>
            <w:tcBorders>
              <w:top w:val="nil"/>
              <w:left w:val="nil"/>
              <w:bottom w:val="single" w:sz="4" w:space="0" w:color="auto"/>
              <w:right w:val="single" w:sz="4" w:space="0" w:color="auto"/>
            </w:tcBorders>
            <w:shd w:val="clear" w:color="auto" w:fill="auto"/>
            <w:vAlign w:val="bottom"/>
            <w:hideMark/>
          </w:tcPr>
          <w:p w:rsidR="00EC6440" w:rsidRPr="00B55CB7" w:rsidP="008C25EC">
            <w:pPr>
              <w:widowControl/>
              <w:jc w:val="right"/>
              <w:rPr>
                <w:rFonts w:asciiTheme="minorHAnsi" w:hAnsiTheme="minorHAnsi"/>
                <w:color w:val="000000"/>
                <w:sz w:val="16"/>
                <w:szCs w:val="16"/>
              </w:rPr>
            </w:pPr>
            <w:r w:rsidRPr="00B55CB7">
              <w:rPr>
                <w:rFonts w:asciiTheme="minorHAnsi" w:hAnsiTheme="minorHAnsi"/>
                <w:color w:val="000000"/>
                <w:sz w:val="16"/>
                <w:szCs w:val="16"/>
              </w:rPr>
              <w:t>2</w:t>
            </w:r>
          </w:p>
        </w:tc>
        <w:tc>
          <w:tcPr>
            <w:tcW w:w="1035" w:type="dxa"/>
            <w:tcBorders>
              <w:top w:val="nil"/>
              <w:left w:val="nil"/>
              <w:bottom w:val="single" w:sz="4" w:space="0" w:color="auto"/>
              <w:right w:val="single" w:sz="4" w:space="0" w:color="auto"/>
            </w:tcBorders>
            <w:shd w:val="clear" w:color="auto" w:fill="auto"/>
            <w:vAlign w:val="bottom"/>
            <w:hideMark/>
          </w:tcPr>
          <w:p w:rsidR="00EC6440" w:rsidRPr="00B55CB7" w:rsidP="00EC6440">
            <w:pPr>
              <w:widowControl/>
              <w:jc w:val="right"/>
              <w:rPr>
                <w:rFonts w:asciiTheme="minorHAnsi" w:hAnsiTheme="minorHAnsi"/>
                <w:color w:val="000000"/>
                <w:sz w:val="16"/>
                <w:szCs w:val="16"/>
              </w:rPr>
            </w:pPr>
            <w:r w:rsidRPr="00B55CB7">
              <w:rPr>
                <w:rFonts w:asciiTheme="minorHAnsi" w:hAnsiTheme="minorHAnsi"/>
                <w:color w:val="000000"/>
                <w:sz w:val="16"/>
                <w:szCs w:val="16"/>
              </w:rPr>
              <w:t>5</w:t>
            </w:r>
            <w:r>
              <w:rPr>
                <w:rFonts w:asciiTheme="minorHAnsi" w:hAnsiTheme="minorHAnsi"/>
                <w:color w:val="000000"/>
                <w:sz w:val="16"/>
                <w:szCs w:val="16"/>
              </w:rPr>
              <w:t>44</w:t>
            </w:r>
          </w:p>
        </w:tc>
        <w:tc>
          <w:tcPr>
            <w:tcW w:w="1058" w:type="dxa"/>
            <w:tcBorders>
              <w:top w:val="nil"/>
              <w:left w:val="nil"/>
              <w:bottom w:val="single" w:sz="4" w:space="0" w:color="auto"/>
              <w:right w:val="single" w:sz="4" w:space="0" w:color="auto"/>
            </w:tcBorders>
            <w:shd w:val="clear" w:color="auto" w:fill="auto"/>
            <w:noWrap/>
            <w:vAlign w:val="bottom"/>
            <w:hideMark/>
          </w:tcPr>
          <w:p w:rsidR="00EC6440" w:rsidRPr="00B55CB7" w:rsidP="008C25EC">
            <w:pPr>
              <w:widowControl/>
              <w:jc w:val="right"/>
              <w:rPr>
                <w:rFonts w:asciiTheme="minorHAnsi" w:hAnsiTheme="minorHAnsi"/>
                <w:color w:val="000000"/>
                <w:sz w:val="16"/>
                <w:szCs w:val="16"/>
              </w:rPr>
            </w:pPr>
            <w:r>
              <w:rPr>
                <w:rFonts w:asciiTheme="minorHAnsi" w:hAnsiTheme="minorHAnsi"/>
                <w:color w:val="000000"/>
                <w:sz w:val="16"/>
                <w:szCs w:val="16"/>
              </w:rPr>
              <w:t>16.70</w:t>
            </w:r>
            <w:r w:rsidRPr="00B55CB7">
              <w:rPr>
                <w:rFonts w:asciiTheme="minorHAnsi" w:hAnsiTheme="minorHAnsi"/>
                <w:color w:val="000000"/>
                <w:sz w:val="16"/>
                <w:szCs w:val="16"/>
              </w:rPr>
              <w:t> </w:t>
            </w:r>
          </w:p>
        </w:tc>
        <w:tc>
          <w:tcPr>
            <w:tcW w:w="1400" w:type="dxa"/>
            <w:tcBorders>
              <w:top w:val="nil"/>
              <w:left w:val="nil"/>
              <w:bottom w:val="single" w:sz="4" w:space="0" w:color="auto"/>
              <w:right w:val="single" w:sz="8" w:space="0" w:color="auto"/>
            </w:tcBorders>
            <w:shd w:val="clear" w:color="auto" w:fill="auto"/>
            <w:noWrap/>
            <w:vAlign w:val="bottom"/>
            <w:hideMark/>
          </w:tcPr>
          <w:p w:rsidR="00EC6440" w:rsidRPr="00B55CB7" w:rsidP="00663EFB">
            <w:pPr>
              <w:widowControl/>
              <w:jc w:val="right"/>
              <w:rPr>
                <w:rFonts w:asciiTheme="minorHAnsi" w:hAnsiTheme="minorHAnsi"/>
                <w:color w:val="000000"/>
                <w:sz w:val="16"/>
                <w:szCs w:val="16"/>
              </w:rPr>
            </w:pPr>
            <w:r>
              <w:rPr>
                <w:rFonts w:asciiTheme="minorHAnsi" w:hAnsiTheme="minorHAnsi"/>
                <w:color w:val="000000"/>
                <w:sz w:val="16"/>
                <w:szCs w:val="16"/>
              </w:rPr>
              <w:t>$</w:t>
            </w:r>
            <w:r w:rsidR="00663EFB">
              <w:rPr>
                <w:rFonts w:asciiTheme="minorHAnsi" w:hAnsiTheme="minorHAnsi"/>
                <w:color w:val="000000"/>
                <w:sz w:val="16"/>
                <w:szCs w:val="16"/>
              </w:rPr>
              <w:t>9,084.80</w:t>
            </w:r>
          </w:p>
        </w:tc>
      </w:tr>
      <w:tr w:rsidTr="00663EFB">
        <w:tblPrEx>
          <w:tblW w:w="9810" w:type="dxa"/>
          <w:tblInd w:w="-280" w:type="dxa"/>
          <w:tblLook w:val="04A0"/>
        </w:tblPrEx>
        <w:trPr>
          <w:trHeight w:val="308"/>
        </w:trPr>
        <w:tc>
          <w:tcPr>
            <w:tcW w:w="1233" w:type="dxa"/>
            <w:tcBorders>
              <w:top w:val="nil"/>
              <w:left w:val="single" w:sz="8" w:space="0" w:color="auto"/>
              <w:bottom w:val="single" w:sz="8" w:space="0" w:color="auto"/>
              <w:right w:val="single" w:sz="8" w:space="0" w:color="auto"/>
            </w:tcBorders>
            <w:shd w:val="clear" w:color="000000" w:fill="DDEBF7"/>
            <w:noWrap/>
            <w:vAlign w:val="bottom"/>
            <w:hideMark/>
          </w:tcPr>
          <w:p w:rsidR="00EC6440" w:rsidRPr="00B55CB7" w:rsidP="008C25EC">
            <w:pPr>
              <w:widowControl/>
              <w:rPr>
                <w:rFonts w:asciiTheme="minorHAnsi" w:hAnsiTheme="minorHAnsi" w:cs="Calibri"/>
                <w:b/>
                <w:bCs/>
                <w:color w:val="000000"/>
                <w:sz w:val="16"/>
                <w:szCs w:val="16"/>
              </w:rPr>
            </w:pPr>
            <w:r w:rsidRPr="00B55CB7">
              <w:rPr>
                <w:rFonts w:asciiTheme="minorHAnsi" w:hAnsiTheme="minorHAnsi" w:cs="Calibri"/>
                <w:b/>
                <w:bCs/>
                <w:color w:val="000000"/>
                <w:sz w:val="16"/>
                <w:szCs w:val="16"/>
              </w:rPr>
              <w:t>Totals</w:t>
            </w:r>
          </w:p>
        </w:tc>
        <w:tc>
          <w:tcPr>
            <w:tcW w:w="1115"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080"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jc w:val="right"/>
              <w:rPr>
                <w:rFonts w:asciiTheme="minorHAnsi" w:hAnsiTheme="minorHAnsi"/>
                <w:b/>
                <w:bCs/>
                <w:color w:val="000000"/>
                <w:sz w:val="16"/>
                <w:szCs w:val="16"/>
              </w:rPr>
            </w:pPr>
            <w:r>
              <w:rPr>
                <w:rFonts w:asciiTheme="minorHAnsi" w:hAnsiTheme="minorHAnsi"/>
                <w:b/>
                <w:bCs/>
                <w:color w:val="000000"/>
                <w:sz w:val="16"/>
                <w:szCs w:val="16"/>
              </w:rPr>
              <w:t>464</w:t>
            </w:r>
          </w:p>
        </w:tc>
        <w:tc>
          <w:tcPr>
            <w:tcW w:w="1016"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917"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jc w:val="right"/>
              <w:rPr>
                <w:rFonts w:asciiTheme="minorHAnsi" w:hAnsiTheme="minorHAnsi"/>
                <w:b/>
                <w:bCs/>
                <w:color w:val="000000"/>
                <w:sz w:val="16"/>
                <w:szCs w:val="16"/>
              </w:rPr>
            </w:pPr>
            <w:r>
              <w:rPr>
                <w:rFonts w:asciiTheme="minorHAnsi" w:hAnsiTheme="minorHAnsi"/>
                <w:b/>
                <w:bCs/>
                <w:color w:val="000000"/>
                <w:sz w:val="16"/>
                <w:szCs w:val="16"/>
              </w:rPr>
              <w:t>464</w:t>
            </w:r>
          </w:p>
        </w:tc>
        <w:tc>
          <w:tcPr>
            <w:tcW w:w="956"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035"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663EFB">
            <w:pPr>
              <w:widowControl/>
              <w:jc w:val="right"/>
              <w:rPr>
                <w:rFonts w:asciiTheme="minorHAnsi" w:hAnsiTheme="minorHAnsi"/>
                <w:b/>
                <w:bCs/>
                <w:color w:val="000000"/>
                <w:sz w:val="16"/>
                <w:szCs w:val="16"/>
              </w:rPr>
            </w:pPr>
            <w:r w:rsidRPr="00B55CB7">
              <w:rPr>
                <w:rFonts w:asciiTheme="minorHAnsi" w:hAnsiTheme="minorHAnsi"/>
                <w:b/>
                <w:bCs/>
                <w:color w:val="000000"/>
                <w:sz w:val="16"/>
                <w:szCs w:val="16"/>
              </w:rPr>
              <w:t>1,1</w:t>
            </w:r>
            <w:r w:rsidR="00663EFB">
              <w:rPr>
                <w:rFonts w:asciiTheme="minorHAnsi" w:hAnsiTheme="minorHAnsi"/>
                <w:b/>
                <w:bCs/>
                <w:color w:val="000000"/>
                <w:sz w:val="16"/>
                <w:szCs w:val="16"/>
              </w:rPr>
              <w:t>94</w:t>
            </w:r>
          </w:p>
        </w:tc>
        <w:tc>
          <w:tcPr>
            <w:tcW w:w="1058"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8C25EC">
            <w:pPr>
              <w:widowControl/>
              <w:rPr>
                <w:rFonts w:asciiTheme="minorHAnsi" w:hAnsiTheme="minorHAnsi"/>
                <w:b/>
                <w:bCs/>
                <w:color w:val="000000"/>
                <w:sz w:val="16"/>
                <w:szCs w:val="16"/>
              </w:rPr>
            </w:pPr>
            <w:r w:rsidRPr="00B55CB7">
              <w:rPr>
                <w:rFonts w:asciiTheme="minorHAnsi" w:hAnsiTheme="minorHAnsi"/>
                <w:b/>
                <w:bCs/>
                <w:color w:val="000000"/>
                <w:sz w:val="16"/>
                <w:szCs w:val="16"/>
              </w:rPr>
              <w:t> </w:t>
            </w:r>
          </w:p>
        </w:tc>
        <w:tc>
          <w:tcPr>
            <w:tcW w:w="1400" w:type="dxa"/>
            <w:tcBorders>
              <w:top w:val="nil"/>
              <w:left w:val="nil"/>
              <w:bottom w:val="single" w:sz="8" w:space="0" w:color="auto"/>
              <w:right w:val="single" w:sz="8" w:space="0" w:color="auto"/>
            </w:tcBorders>
            <w:shd w:val="clear" w:color="auto" w:fill="DBE5F1" w:themeFill="accent1" w:themeFillTint="33"/>
            <w:noWrap/>
            <w:vAlign w:val="bottom"/>
            <w:hideMark/>
          </w:tcPr>
          <w:p w:rsidR="00EC6440" w:rsidRPr="00B55CB7" w:rsidP="00663EFB">
            <w:pPr>
              <w:widowControl/>
              <w:jc w:val="right"/>
              <w:rPr>
                <w:rFonts w:asciiTheme="minorHAnsi" w:hAnsiTheme="minorHAnsi"/>
                <w:b/>
                <w:bCs/>
                <w:color w:val="000000"/>
                <w:sz w:val="16"/>
                <w:szCs w:val="16"/>
              </w:rPr>
            </w:pPr>
            <w:r>
              <w:rPr>
                <w:rFonts w:asciiTheme="minorHAnsi" w:hAnsiTheme="minorHAnsi"/>
                <w:b/>
                <w:bCs/>
                <w:color w:val="000000"/>
                <w:sz w:val="16"/>
                <w:szCs w:val="16"/>
              </w:rPr>
              <w:t>$</w:t>
            </w:r>
            <w:r w:rsidRPr="00B55CB7">
              <w:rPr>
                <w:rFonts w:asciiTheme="minorHAnsi" w:hAnsiTheme="minorHAnsi"/>
                <w:b/>
                <w:bCs/>
                <w:color w:val="000000"/>
                <w:sz w:val="16"/>
                <w:szCs w:val="16"/>
              </w:rPr>
              <w:t> </w:t>
            </w:r>
            <w:r w:rsidR="00663EFB">
              <w:rPr>
                <w:rFonts w:asciiTheme="minorHAnsi" w:hAnsiTheme="minorHAnsi"/>
                <w:b/>
                <w:bCs/>
                <w:color w:val="000000"/>
                <w:sz w:val="16"/>
                <w:szCs w:val="16"/>
              </w:rPr>
              <w:t>19.939.80</w:t>
            </w:r>
          </w:p>
        </w:tc>
      </w:tr>
    </w:tbl>
    <w:p w:rsidR="00EC6440"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tab/>
      </w:r>
    </w:p>
    <w:p w:rsidR="00EC6440"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E15363">
        <w:t>6</w:t>
      </w:r>
      <w:r>
        <w:t>4</w:t>
      </w:r>
      <w:r w:rsidRPr="00E15363">
        <w:t xml:space="preserve"> FFP and IFQ respondents x 1 NOAA Form 88-1 x 10 </w:t>
      </w:r>
      <w:r w:rsidRPr="00E15363">
        <w:t>hrs</w:t>
      </w:r>
      <w:r w:rsidRPr="00E15363">
        <w:t>/application = 6</w:t>
      </w:r>
      <w:r>
        <w:t>4</w:t>
      </w:r>
      <w:r w:rsidRPr="00E15363">
        <w:t>0 hours.</w:t>
      </w: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E15363">
        <w:tab/>
        <w:t>2</w:t>
      </w:r>
      <w:r>
        <w:t>72</w:t>
      </w:r>
      <w:r w:rsidRPr="00E15363">
        <w:t xml:space="preserve"> respondents x 1 annual financial statement for current borrowers x 2 </w:t>
      </w:r>
      <w:r w:rsidRPr="00E15363">
        <w:t>hrs</w:t>
      </w:r>
      <w:r w:rsidRPr="00E15363">
        <w:t>/statement</w:t>
      </w: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15363">
        <w:tab/>
        <w:t xml:space="preserve"> = 5</w:t>
      </w:r>
      <w:r>
        <w:t>44</w:t>
      </w:r>
      <w:r w:rsidRPr="00E15363">
        <w:t xml:space="preserve"> hours.</w:t>
      </w: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A0F32" w:rsidRPr="00E15363" w:rsidP="00EA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E15363">
        <w:tab/>
        <w:t>Totals: 3</w:t>
      </w:r>
      <w:r>
        <w:t>36</w:t>
      </w:r>
      <w:r w:rsidRPr="00E15363">
        <w:t xml:space="preserve"> responses and 1,1</w:t>
      </w:r>
      <w:r>
        <w:t>84</w:t>
      </w:r>
      <w:r w:rsidRPr="00E15363">
        <w:t xml:space="preserve"> hours.</w:t>
      </w:r>
    </w:p>
    <w:p w:rsidR="00EA0F32" w:rsidP="00EA0F32">
      <w:pPr>
        <w:pBdr>
          <w:top w:val="nil"/>
          <w:left w:val="nil"/>
          <w:bottom w:val="nil"/>
          <w:right w:val="nil"/>
          <w:between w:val="nil"/>
        </w:pBdr>
        <w:tabs>
          <w:tab w:val="left" w:pos="360"/>
        </w:tabs>
        <w:spacing w:before="80"/>
        <w:rPr>
          <w:b/>
          <w:color w:val="000000"/>
        </w:rPr>
      </w:pPr>
    </w:p>
    <w:p w:rsidR="00EC6440" w:rsidP="00EC6440">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EC6440" w:rsidRPr="00EC6440" w:rsidP="00EC6440">
      <w:pPr>
        <w:pBdr>
          <w:top w:val="nil"/>
          <w:left w:val="nil"/>
          <w:bottom w:val="nil"/>
          <w:right w:val="nil"/>
          <w:between w:val="nil"/>
        </w:pBdr>
        <w:tabs>
          <w:tab w:val="left" w:pos="360"/>
        </w:tabs>
        <w:spacing w:before="80"/>
        <w:rPr>
          <w:b/>
          <w:color w:val="000000"/>
        </w:rPr>
      </w:pPr>
    </w:p>
    <w:p w:rsidR="00EA0F32" w:rsidRPr="00EA0F32" w:rsidP="00EA0F32">
      <w:pPr>
        <w:pBdr>
          <w:top w:val="nil"/>
          <w:left w:val="nil"/>
          <w:bottom w:val="nil"/>
          <w:right w:val="nil"/>
          <w:between w:val="nil"/>
        </w:pBdr>
        <w:tabs>
          <w:tab w:val="left" w:pos="360"/>
        </w:tabs>
        <w:spacing w:before="80"/>
        <w:rPr>
          <w:color w:val="000000"/>
        </w:rPr>
      </w:pPr>
      <w:r>
        <w:rPr>
          <w:color w:val="000000"/>
        </w:rPr>
        <w:t xml:space="preserve">In previous submissions the estimated cost to applicants was $9 to copy and mail a paper application.  Since 2020 all submissions have been electronic.  The estimated cost is $0.  </w:t>
      </w:r>
    </w:p>
    <w:p w:rsidR="003D1FD1">
      <w:pPr>
        <w:pBdr>
          <w:top w:val="nil"/>
          <w:left w:val="nil"/>
          <w:bottom w:val="nil"/>
          <w:right w:val="nil"/>
          <w:between w:val="nil"/>
        </w:pBdr>
        <w:spacing w:before="7"/>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63EFB" w:rsidP="00663EFB">
      <w:pPr>
        <w:pBdr>
          <w:top w:val="nil"/>
          <w:left w:val="nil"/>
          <w:bottom w:val="nil"/>
          <w:right w:val="nil"/>
          <w:between w:val="nil"/>
        </w:pBdr>
        <w:tabs>
          <w:tab w:val="left" w:pos="360"/>
        </w:tabs>
        <w:spacing w:before="80"/>
        <w:rPr>
          <w:b/>
          <w:color w:val="000000"/>
        </w:rPr>
      </w:pPr>
    </w:p>
    <w:p w:rsidR="00663EFB" w:rsidP="00663EFB">
      <w:pPr>
        <w:pBdr>
          <w:top w:val="nil"/>
          <w:left w:val="nil"/>
          <w:bottom w:val="nil"/>
          <w:right w:val="nil"/>
          <w:between w:val="nil"/>
        </w:pBdr>
        <w:tabs>
          <w:tab w:val="left" w:pos="360"/>
        </w:tabs>
        <w:spacing w:before="80"/>
        <w:rPr>
          <w:color w:val="000000"/>
        </w:rPr>
      </w:pPr>
      <w:r>
        <w:rPr>
          <w:color w:val="000000"/>
        </w:rPr>
        <w:t>Federal Oversight- Respondents: 6 hours per response x 64 responses = $22,068.48</w:t>
      </w:r>
    </w:p>
    <w:p w:rsidR="00663EFB" w:rsidRPr="00663EFB" w:rsidP="00663EFB">
      <w:pPr>
        <w:pBdr>
          <w:top w:val="nil"/>
          <w:left w:val="nil"/>
          <w:bottom w:val="nil"/>
          <w:right w:val="nil"/>
          <w:between w:val="nil"/>
        </w:pBdr>
        <w:tabs>
          <w:tab w:val="left" w:pos="360"/>
        </w:tabs>
        <w:spacing w:before="80"/>
        <w:rPr>
          <w:color w:val="000000"/>
        </w:rPr>
      </w:pPr>
      <w:r>
        <w:rPr>
          <w:color w:val="000000"/>
        </w:rPr>
        <w:t>Federal Oversight- Annual Financial Statement: 1 hour per response x 272 responses = $15,631.84</w:t>
      </w:r>
    </w:p>
    <w:p w:rsidR="003D1FD1">
      <w:pPr>
        <w:pBdr>
          <w:top w:val="nil"/>
          <w:left w:val="nil"/>
          <w:bottom w:val="nil"/>
          <w:right w:val="nil"/>
          <w:between w:val="nil"/>
        </w:pBdr>
        <w:spacing w:before="9" w:after="1"/>
        <w:rPr>
          <w:b/>
          <w:color w:val="000000"/>
        </w:rPr>
      </w:pPr>
    </w:p>
    <w:tbl>
      <w:tblPr>
        <w:tblStyle w:val="a2"/>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3D1FD1" w:rsidP="00F13AE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Average </w:t>
            </w:r>
            <w:r w:rsidR="00287AFB">
              <w:rPr>
                <w:rFonts w:ascii="Calibri" w:eastAsia="Calibri" w:hAnsi="Calibri" w:cs="Calibri"/>
                <w:b/>
                <w:color w:val="000000"/>
                <w:sz w:val="16"/>
                <w:szCs w:val="16"/>
              </w:rPr>
              <w:t>Salary /Cost</w:t>
            </w:r>
          </w:p>
        </w:tc>
        <w:tc>
          <w:tcPr>
            <w:tcW w:w="1120" w:type="dxa"/>
            <w:tcBorders>
              <w:top w:val="single" w:sz="8" w:space="0" w:color="000000"/>
              <w:left w:val="nil"/>
              <w:bottom w:val="nil"/>
              <w:right w:val="single" w:sz="8" w:space="0" w:color="000000"/>
            </w:tcBorders>
            <w:shd w:val="clear" w:color="auto" w:fill="BDD7EE"/>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3D1FD1" w:rsidP="00663EFB">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r w:rsidR="006A1DB3">
              <w:rPr>
                <w:rFonts w:ascii="Calibri" w:eastAsia="Calibri" w:hAnsi="Calibri" w:cs="Calibri"/>
                <w:b/>
                <w:color w:val="000000"/>
                <w:sz w:val="16"/>
                <w:szCs w:val="16"/>
              </w:rPr>
              <w:t xml:space="preserve"> </w:t>
            </w:r>
            <w:r w:rsidR="00663EFB">
              <w:rPr>
                <w:rFonts w:ascii="Calibri" w:eastAsia="Calibri" w:hAnsi="Calibri" w:cs="Calibri"/>
                <w:color w:val="000000"/>
                <w:sz w:val="16"/>
                <w:szCs w:val="16"/>
              </w:rPr>
              <w:t>Form 88-1</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D1FD1" w:rsidP="00663EF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63EFB">
              <w:rPr>
                <w:rFonts w:ascii="Calibri" w:eastAsia="Calibri" w:hAnsi="Calibri" w:cs="Calibri"/>
                <w:color w:val="000000"/>
                <w:sz w:val="16"/>
                <w:szCs w:val="16"/>
              </w:rPr>
              <w:t>ZP III / Step 3/4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6A1DB3">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120,114.63</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3D1FD1" w:rsidP="00663EF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63EFB">
              <w:rPr>
                <w:rFonts w:ascii="Calibri" w:eastAsia="Calibri" w:hAnsi="Calibri" w:cs="Calibri"/>
                <w:color w:val="000000"/>
                <w:sz w:val="16"/>
                <w:szCs w:val="16"/>
              </w:rPr>
              <w:t>18.4%</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22,068.48</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Annual Financial Statement</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ZP III / Step 3/4</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A1DB3">
              <w:rPr>
                <w:rFonts w:ascii="Calibri" w:eastAsia="Calibri" w:hAnsi="Calibri" w:cs="Calibri"/>
                <w:color w:val="000000"/>
                <w:sz w:val="16"/>
                <w:szCs w:val="16"/>
              </w:rPr>
              <w:t>120,114.63</w:t>
            </w:r>
          </w:p>
        </w:tc>
        <w:tc>
          <w:tcPr>
            <w:tcW w:w="1120" w:type="dxa"/>
            <w:tcBorders>
              <w:top w:val="nil"/>
              <w:left w:val="nil"/>
              <w:bottom w:val="single" w:sz="4" w:space="0" w:color="000000"/>
              <w:right w:val="single" w:sz="4" w:space="0" w:color="000000"/>
            </w:tcBorders>
            <w:shd w:val="clear" w:color="auto" w:fill="auto"/>
            <w:vAlign w:val="bottom"/>
          </w:tcPr>
          <w:p w:rsidR="003D1FD1" w:rsidP="00663EFB">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63EFB">
              <w:rPr>
                <w:rFonts w:ascii="Calibri" w:eastAsia="Calibri" w:hAnsi="Calibri" w:cs="Calibri"/>
                <w:color w:val="000000"/>
                <w:sz w:val="16"/>
                <w:szCs w:val="16"/>
              </w:rPr>
              <w:t>13%</w:t>
            </w:r>
          </w:p>
        </w:tc>
        <w:tc>
          <w:tcPr>
            <w:tcW w:w="128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6A1DB3">
              <w:rPr>
                <w:rFonts w:ascii="Calibri" w:eastAsia="Calibri" w:hAnsi="Calibri" w:cs="Calibri"/>
                <w:color w:val="000000"/>
                <w:sz w:val="16"/>
                <w:szCs w:val="16"/>
              </w:rPr>
              <w:t>15,631.84</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3D1FD1">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3D1FD1">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3D1FD1">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3D1FD1">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6A1DB3">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color w:val="000000"/>
                <w:sz w:val="16"/>
                <w:szCs w:val="16"/>
              </w:rPr>
              <w:t>37,700.32</w:t>
            </w:r>
          </w:p>
        </w:tc>
      </w:tr>
    </w:tbl>
    <w:p w:rsidR="003D1FD1">
      <w:pPr>
        <w:pBdr>
          <w:top w:val="nil"/>
          <w:left w:val="nil"/>
          <w:bottom w:val="nil"/>
          <w:right w:val="nil"/>
          <w:between w:val="nil"/>
        </w:pBdr>
        <w:spacing w:before="9" w:after="1"/>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3D1FD1">
      <w:pPr>
        <w:pBdr>
          <w:top w:val="nil"/>
          <w:left w:val="nil"/>
          <w:bottom w:val="nil"/>
          <w:right w:val="nil"/>
          <w:between w:val="nil"/>
        </w:pBdr>
        <w:spacing w:before="7"/>
        <w:rPr>
          <w:b/>
          <w:color w:val="000000"/>
        </w:rPr>
      </w:pPr>
    </w:p>
    <w:tbl>
      <w:tblPr>
        <w:tblStyle w:val="a3"/>
        <w:tblW w:w="14130" w:type="dxa"/>
        <w:tblInd w:w="-575" w:type="dxa"/>
        <w:tblLayout w:type="fixed"/>
        <w:tblLook w:val="0400"/>
      </w:tblPr>
      <w:tblGrid>
        <w:gridCol w:w="3330"/>
        <w:gridCol w:w="900"/>
        <w:gridCol w:w="900"/>
        <w:gridCol w:w="900"/>
        <w:gridCol w:w="900"/>
        <w:gridCol w:w="900"/>
        <w:gridCol w:w="919"/>
        <w:gridCol w:w="5381"/>
      </w:tblGrid>
      <w:tr>
        <w:tblPrEx>
          <w:tblW w:w="14130" w:type="dxa"/>
          <w:tblInd w:w="-575" w:type="dxa"/>
          <w:tblLayout w:type="fixed"/>
          <w:tblLook w:val="0400"/>
        </w:tblPrEx>
        <w:trPr>
          <w:trHeight w:val="315"/>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800" w:type="dxa"/>
            <w:gridSpan w:val="2"/>
            <w:tcBorders>
              <w:top w:val="single" w:sz="8" w:space="0" w:color="000000"/>
              <w:left w:val="nil"/>
              <w:bottom w:val="single" w:sz="8" w:space="0" w:color="000000"/>
              <w:right w:val="single" w:sz="8" w:space="0" w:color="000000"/>
            </w:tcBorders>
            <w:shd w:val="clear" w:color="auto" w:fill="5B9BD5"/>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819" w:type="dxa"/>
            <w:gridSpan w:val="2"/>
            <w:tcBorders>
              <w:top w:val="single" w:sz="8" w:space="0" w:color="000000"/>
              <w:left w:val="nil"/>
              <w:bottom w:val="single" w:sz="8" w:space="0" w:color="000000"/>
              <w:right w:val="single" w:sz="8" w:space="0" w:color="000000"/>
            </w:tcBorders>
            <w:shd w:val="clear" w:color="auto" w:fill="5B9BD5"/>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5381"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1FD1">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tblPrEx>
          <w:tblW w:w="14130" w:type="dxa"/>
          <w:tblInd w:w="-575" w:type="dxa"/>
          <w:tblLayout w:type="fixed"/>
          <w:tblLook w:val="0400"/>
        </w:tblPrEx>
        <w:trPr>
          <w:trHeight w:val="690"/>
        </w:trPr>
        <w:tc>
          <w:tcPr>
            <w:tcW w:w="33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1FD1">
            <w:pPr>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00" w:type="dxa"/>
            <w:tcBorders>
              <w:top w:val="nil"/>
              <w:left w:val="nil"/>
              <w:bottom w:val="single" w:sz="8" w:space="0" w:color="000000"/>
              <w:right w:val="dashed"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919" w:type="dxa"/>
            <w:tcBorders>
              <w:top w:val="nil"/>
              <w:left w:val="nil"/>
              <w:bottom w:val="single" w:sz="8" w:space="0" w:color="000000"/>
              <w:right w:val="single" w:sz="8" w:space="0" w:color="000000"/>
            </w:tcBorders>
            <w:shd w:val="clear" w:color="auto" w:fill="FBE4D5"/>
            <w:vAlign w:val="center"/>
          </w:tcPr>
          <w:p w:rsidR="003D1FD1">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5381"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1FD1">
            <w:pPr>
              <w:pBdr>
                <w:top w:val="nil"/>
                <w:left w:val="nil"/>
                <w:bottom w:val="nil"/>
                <w:right w:val="nil"/>
                <w:between w:val="nil"/>
              </w:pBdr>
              <w:spacing w:line="276" w:lineRule="auto"/>
              <w:rPr>
                <w:rFonts w:ascii="Calibri" w:eastAsia="Calibri" w:hAnsi="Calibri" w:cs="Calibri"/>
                <w:color w:val="000000"/>
                <w:sz w:val="16"/>
                <w:szCs w:val="16"/>
              </w:rPr>
            </w:pPr>
          </w:p>
        </w:tc>
      </w:tr>
      <w:tr w:rsidTr="00D01B49">
        <w:tblPrEx>
          <w:tblW w:w="14130"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shd w:val="clear" w:color="auto" w:fill="auto"/>
            <w:vAlign w:val="bottom"/>
          </w:tcPr>
          <w:p w:rsidR="00663EFB" w:rsidRPr="00B55CB7" w:rsidP="00663EFB">
            <w:pPr>
              <w:widowControl/>
              <w:rPr>
                <w:rFonts w:asciiTheme="minorHAnsi" w:hAnsiTheme="minorHAnsi"/>
                <w:color w:val="000000"/>
                <w:sz w:val="16"/>
                <w:szCs w:val="16"/>
              </w:rPr>
            </w:pPr>
            <w:r w:rsidRPr="00B55CB7">
              <w:rPr>
                <w:rFonts w:asciiTheme="minorHAnsi" w:hAnsiTheme="minorHAnsi"/>
                <w:color w:val="000000"/>
                <w:sz w:val="16"/>
                <w:szCs w:val="16"/>
              </w:rPr>
              <w:t> </w:t>
            </w:r>
            <w:r w:rsidRPr="00B55CB7">
              <w:rPr>
                <w:rFonts w:asciiTheme="minorHAnsi" w:hAnsiTheme="minorHAnsi"/>
                <w:sz w:val="16"/>
                <w:szCs w:val="16"/>
              </w:rPr>
              <w:t>NOAA Form 88-1</w:t>
            </w:r>
          </w:p>
        </w:tc>
        <w:tc>
          <w:tcPr>
            <w:tcW w:w="900" w:type="dxa"/>
            <w:tcBorders>
              <w:top w:val="nil"/>
              <w:left w:val="nil"/>
              <w:bottom w:val="dotted" w:sz="4" w:space="0" w:color="000000"/>
              <w:right w:val="dashed"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64 </w:t>
            </w:r>
          </w:p>
        </w:tc>
        <w:tc>
          <w:tcPr>
            <w:tcW w:w="900" w:type="dxa"/>
            <w:tcBorders>
              <w:top w:val="nil"/>
              <w:left w:val="nil"/>
              <w:bottom w:val="dotted" w:sz="4" w:space="0" w:color="000000"/>
              <w:right w:val="single"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60 </w:t>
            </w:r>
          </w:p>
        </w:tc>
        <w:tc>
          <w:tcPr>
            <w:tcW w:w="900" w:type="dxa"/>
            <w:tcBorders>
              <w:top w:val="nil"/>
              <w:left w:val="nil"/>
              <w:bottom w:val="dotted" w:sz="4" w:space="0" w:color="000000"/>
              <w:right w:val="dashed"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64</w:t>
            </w:r>
          </w:p>
        </w:tc>
        <w:tc>
          <w:tcPr>
            <w:tcW w:w="900" w:type="dxa"/>
            <w:tcBorders>
              <w:top w:val="nil"/>
              <w:left w:val="nil"/>
              <w:bottom w:val="dotted" w:sz="4" w:space="0" w:color="000000"/>
              <w:right w:val="single"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 60</w:t>
            </w:r>
          </w:p>
        </w:tc>
        <w:tc>
          <w:tcPr>
            <w:tcW w:w="900" w:type="dxa"/>
            <w:tcBorders>
              <w:top w:val="nil"/>
              <w:left w:val="nil"/>
              <w:bottom w:val="dotted" w:sz="4" w:space="0" w:color="000000"/>
              <w:right w:val="dashed"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640</w:t>
            </w:r>
          </w:p>
        </w:tc>
        <w:tc>
          <w:tcPr>
            <w:tcW w:w="919" w:type="dxa"/>
            <w:tcBorders>
              <w:top w:val="nil"/>
              <w:left w:val="nil"/>
              <w:bottom w:val="dotted" w:sz="4" w:space="0" w:color="000000"/>
              <w:right w:val="single" w:sz="8" w:space="0" w:color="000000"/>
            </w:tcBorders>
            <w:shd w:val="clear" w:color="auto" w:fill="auto"/>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600 </w:t>
            </w:r>
          </w:p>
        </w:tc>
        <w:tc>
          <w:tcPr>
            <w:tcW w:w="5381" w:type="dxa"/>
            <w:tcBorders>
              <w:top w:val="nil"/>
              <w:left w:val="nil"/>
              <w:bottom w:val="dotted" w:sz="4" w:space="0" w:color="000000"/>
              <w:right w:val="single" w:sz="8" w:space="0" w:color="000000"/>
            </w:tcBorders>
            <w:shd w:val="clear" w:color="auto" w:fill="auto"/>
            <w:vAlign w:val="center"/>
          </w:tcPr>
          <w:p w:rsidR="00663EFB" w:rsidP="00663EFB">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Adjustment –number of respondents </w:t>
            </w:r>
          </w:p>
        </w:tc>
      </w:tr>
      <w:tr w:rsidTr="00D01B49">
        <w:tblPrEx>
          <w:tblW w:w="14130"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Guarantor Consent (Company)</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64</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64</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19"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5381" w:type="dxa"/>
            <w:tcBorders>
              <w:top w:val="nil"/>
              <w:left w:val="nil"/>
              <w:bottom w:val="dotted" w:sz="4" w:space="0" w:color="000000"/>
              <w:right w:val="single" w:sz="8" w:space="0" w:color="000000"/>
            </w:tcBorders>
            <w:shd w:val="clear" w:color="auto" w:fill="auto"/>
            <w:vAlign w:val="center"/>
          </w:tcPr>
          <w:p w:rsidR="00DB4E57" w:rsidP="00DB4E5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Adjustment –number of respondents </w:t>
            </w:r>
          </w:p>
        </w:tc>
      </w:tr>
      <w:tr w:rsidTr="00D01B49">
        <w:tblPrEx>
          <w:tblW w:w="14130"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Guarantor Consent (Individual)</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64</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64</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60</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19"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5381" w:type="dxa"/>
            <w:tcBorders>
              <w:top w:val="nil"/>
              <w:left w:val="nil"/>
              <w:bottom w:val="dotted" w:sz="4" w:space="0" w:color="000000"/>
              <w:right w:val="single" w:sz="8" w:space="0" w:color="000000"/>
            </w:tcBorders>
            <w:shd w:val="clear" w:color="auto" w:fill="auto"/>
            <w:vAlign w:val="center"/>
          </w:tcPr>
          <w:p w:rsidR="00DB4E57" w:rsidP="00DB4E5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Adjustment –number of respondents </w:t>
            </w:r>
          </w:p>
        </w:tc>
      </w:tr>
      <w:tr w:rsidTr="00D01B49">
        <w:tblPrEx>
          <w:tblW w:w="14130" w:type="dxa"/>
          <w:tblInd w:w="-575" w:type="dxa"/>
          <w:tblLayout w:type="fixed"/>
          <w:tblLook w:val="0400"/>
        </w:tblPrEx>
        <w:trPr>
          <w:trHeight w:val="315"/>
        </w:trPr>
        <w:tc>
          <w:tcPr>
            <w:tcW w:w="3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Annual Financial Statement </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272 </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251 </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272 </w:t>
            </w:r>
          </w:p>
        </w:tc>
        <w:tc>
          <w:tcPr>
            <w:tcW w:w="90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251 </w:t>
            </w:r>
          </w:p>
        </w:tc>
        <w:tc>
          <w:tcPr>
            <w:tcW w:w="90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544 </w:t>
            </w:r>
          </w:p>
        </w:tc>
        <w:tc>
          <w:tcPr>
            <w:tcW w:w="919"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502 </w:t>
            </w:r>
          </w:p>
        </w:tc>
        <w:tc>
          <w:tcPr>
            <w:tcW w:w="5381" w:type="dxa"/>
            <w:tcBorders>
              <w:top w:val="nil"/>
              <w:left w:val="nil"/>
              <w:bottom w:val="dotted" w:sz="4" w:space="0" w:color="000000"/>
              <w:right w:val="single" w:sz="8" w:space="0" w:color="000000"/>
            </w:tcBorders>
            <w:shd w:val="clear" w:color="auto" w:fill="auto"/>
            <w:vAlign w:val="center"/>
          </w:tcPr>
          <w:p w:rsidR="00DB4E57" w:rsidP="00DB4E57">
            <w:pPr>
              <w:widowControl/>
              <w:rPr>
                <w:rFonts w:ascii="Calibri" w:eastAsia="Calibri" w:hAnsi="Calibri" w:cs="Calibri"/>
                <w:color w:val="000000"/>
                <w:sz w:val="16"/>
                <w:szCs w:val="16"/>
              </w:rPr>
            </w:pPr>
            <w:r>
              <w:rPr>
                <w:rFonts w:ascii="Calibri" w:eastAsia="Calibri" w:hAnsi="Calibri" w:cs="Calibri"/>
                <w:color w:val="000000"/>
                <w:sz w:val="16"/>
                <w:szCs w:val="16"/>
              </w:rPr>
              <w:t> </w:t>
            </w:r>
            <w:r w:rsidRPr="006A1DB3">
              <w:rPr>
                <w:rFonts w:ascii="Calibri" w:eastAsia="Calibri" w:hAnsi="Calibri" w:cs="Calibri"/>
                <w:color w:val="000000"/>
                <w:sz w:val="16"/>
                <w:szCs w:val="16"/>
              </w:rPr>
              <w:t>Adjustment –number of respondents</w:t>
            </w:r>
          </w:p>
        </w:tc>
      </w:tr>
      <w:tr>
        <w:tblPrEx>
          <w:tblW w:w="14130" w:type="dxa"/>
          <w:tblInd w:w="-575" w:type="dxa"/>
          <w:tblLayout w:type="fixed"/>
          <w:tblLook w:val="0400"/>
        </w:tblPrEx>
        <w:trPr>
          <w:trHeight w:val="465"/>
        </w:trPr>
        <w:tc>
          <w:tcPr>
            <w:tcW w:w="3330" w:type="dxa"/>
            <w:tcBorders>
              <w:top w:val="nil"/>
              <w:left w:val="single" w:sz="8" w:space="0" w:color="000000"/>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00" w:type="dxa"/>
            <w:tcBorders>
              <w:top w:val="nil"/>
              <w:left w:val="nil"/>
              <w:bottom w:val="nil"/>
              <w:right w:val="dashed"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336*</w:t>
            </w:r>
          </w:p>
        </w:tc>
        <w:tc>
          <w:tcPr>
            <w:tcW w:w="900" w:type="dxa"/>
            <w:tcBorders>
              <w:top w:val="nil"/>
              <w:left w:val="nil"/>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311*</w:t>
            </w:r>
          </w:p>
        </w:tc>
        <w:tc>
          <w:tcPr>
            <w:tcW w:w="900" w:type="dxa"/>
            <w:tcBorders>
              <w:top w:val="nil"/>
              <w:left w:val="nil"/>
              <w:bottom w:val="nil"/>
              <w:right w:val="dashed"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464</w:t>
            </w:r>
          </w:p>
        </w:tc>
        <w:tc>
          <w:tcPr>
            <w:tcW w:w="900" w:type="dxa"/>
            <w:tcBorders>
              <w:top w:val="nil"/>
              <w:left w:val="nil"/>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431</w:t>
            </w:r>
          </w:p>
        </w:tc>
        <w:tc>
          <w:tcPr>
            <w:tcW w:w="900" w:type="dxa"/>
            <w:tcBorders>
              <w:top w:val="nil"/>
              <w:left w:val="nil"/>
              <w:bottom w:val="nil"/>
              <w:right w:val="dashed"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1194</w:t>
            </w:r>
          </w:p>
        </w:tc>
        <w:tc>
          <w:tcPr>
            <w:tcW w:w="919" w:type="dxa"/>
            <w:tcBorders>
              <w:top w:val="nil"/>
              <w:left w:val="nil"/>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1112 </w:t>
            </w:r>
          </w:p>
        </w:tc>
        <w:tc>
          <w:tcPr>
            <w:tcW w:w="5381" w:type="dxa"/>
            <w:tcBorders>
              <w:top w:val="nil"/>
              <w:left w:val="nil"/>
              <w:bottom w:val="nil"/>
              <w:right w:val="single" w:sz="8" w:space="0" w:color="000000"/>
            </w:tcBorders>
            <w:shd w:val="clear" w:color="auto" w:fill="000000"/>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tblPrEx>
          <w:tblW w:w="14130" w:type="dxa"/>
          <w:tblInd w:w="-575" w:type="dxa"/>
          <w:tblLayout w:type="fixed"/>
          <w:tblLook w:val="0400"/>
        </w:tblPrEx>
        <w:trPr>
          <w:trHeight w:val="315"/>
        </w:trPr>
        <w:tc>
          <w:tcPr>
            <w:tcW w:w="3330" w:type="dxa"/>
            <w:tcBorders>
              <w:top w:val="single" w:sz="8" w:space="0" w:color="000000"/>
              <w:left w:val="single" w:sz="8" w:space="0" w:color="000000"/>
              <w:bottom w:val="single" w:sz="8" w:space="0" w:color="000000"/>
              <w:right w:val="nil"/>
            </w:tcBorders>
            <w:shd w:val="clear" w:color="auto" w:fill="FCE4D6"/>
            <w:vAlign w:val="bottom"/>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80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DB4E57" w:rsidP="00DB4E57">
            <w:pPr>
              <w:widowControl/>
              <w:jc w:val="center"/>
              <w:rPr>
                <w:rFonts w:ascii="Calibri" w:eastAsia="Calibri" w:hAnsi="Calibri" w:cs="Calibri"/>
                <w:color w:val="000000"/>
              </w:rPr>
            </w:pPr>
            <w:r>
              <w:rPr>
                <w:rFonts w:ascii="Calibri" w:eastAsia="Calibri" w:hAnsi="Calibri" w:cs="Calibri"/>
                <w:color w:val="000000"/>
              </w:rPr>
              <w:t>25 </w:t>
            </w:r>
          </w:p>
        </w:tc>
        <w:tc>
          <w:tcPr>
            <w:tcW w:w="1800" w:type="dxa"/>
            <w:gridSpan w:val="2"/>
            <w:tcBorders>
              <w:top w:val="single" w:sz="8" w:space="0" w:color="000000"/>
              <w:left w:val="nil"/>
              <w:bottom w:val="single" w:sz="8" w:space="0" w:color="000000"/>
              <w:right w:val="single" w:sz="8" w:space="0" w:color="000000"/>
            </w:tcBorders>
            <w:shd w:val="clear" w:color="auto" w:fill="FCE4D6"/>
            <w:vAlign w:val="bottom"/>
          </w:tcPr>
          <w:p w:rsidR="00DB4E57" w:rsidP="00DB4E57">
            <w:pPr>
              <w:widowControl/>
              <w:jc w:val="center"/>
              <w:rPr>
                <w:rFonts w:ascii="Calibri" w:eastAsia="Calibri" w:hAnsi="Calibri" w:cs="Calibri"/>
                <w:color w:val="000000"/>
              </w:rPr>
            </w:pPr>
            <w:r>
              <w:rPr>
                <w:rFonts w:ascii="Calibri" w:eastAsia="Calibri" w:hAnsi="Calibri" w:cs="Calibri"/>
                <w:color w:val="000000"/>
              </w:rPr>
              <w:t> 33</w:t>
            </w:r>
          </w:p>
        </w:tc>
        <w:tc>
          <w:tcPr>
            <w:tcW w:w="1819" w:type="dxa"/>
            <w:gridSpan w:val="2"/>
            <w:tcBorders>
              <w:top w:val="single" w:sz="8" w:space="0" w:color="000000"/>
              <w:left w:val="nil"/>
              <w:bottom w:val="single" w:sz="8" w:space="0" w:color="000000"/>
              <w:right w:val="single" w:sz="4" w:space="0" w:color="000000"/>
            </w:tcBorders>
            <w:shd w:val="clear" w:color="auto" w:fill="FCE4D6"/>
            <w:vAlign w:val="bottom"/>
          </w:tcPr>
          <w:p w:rsidR="00DB4E57" w:rsidP="00DB4E57">
            <w:pPr>
              <w:widowControl/>
              <w:jc w:val="center"/>
              <w:rPr>
                <w:rFonts w:ascii="Calibri" w:eastAsia="Calibri" w:hAnsi="Calibri" w:cs="Calibri"/>
                <w:color w:val="000000"/>
              </w:rPr>
            </w:pPr>
            <w:r>
              <w:rPr>
                <w:rFonts w:ascii="Calibri" w:eastAsia="Calibri" w:hAnsi="Calibri" w:cs="Calibri"/>
                <w:color w:val="000000"/>
              </w:rPr>
              <w:t>82 </w:t>
            </w:r>
          </w:p>
        </w:tc>
        <w:tc>
          <w:tcPr>
            <w:tcW w:w="5381" w:type="dxa"/>
            <w:tcBorders>
              <w:top w:val="single" w:sz="8" w:space="0" w:color="000000"/>
              <w:left w:val="nil"/>
              <w:bottom w:val="single" w:sz="8" w:space="0" w:color="000000"/>
              <w:right w:val="single" w:sz="8" w:space="0" w:color="000000"/>
            </w:tcBorders>
            <w:shd w:val="clear" w:color="auto" w:fill="000000"/>
            <w:vAlign w:val="bottom"/>
          </w:tcPr>
          <w:p w:rsidR="00DB4E57" w:rsidP="00DB4E57">
            <w:pPr>
              <w:widowControl/>
              <w:rPr>
                <w:rFonts w:ascii="Calibri" w:eastAsia="Calibri" w:hAnsi="Calibri" w:cs="Calibri"/>
                <w:color w:val="000000"/>
              </w:rPr>
            </w:pPr>
            <w:r>
              <w:rPr>
                <w:rFonts w:ascii="Calibri" w:eastAsia="Calibri" w:hAnsi="Calibri" w:cs="Calibri"/>
                <w:color w:val="000000"/>
              </w:rPr>
              <w:t> </w:t>
            </w:r>
          </w:p>
        </w:tc>
      </w:tr>
    </w:tbl>
    <w:p w:rsidR="003D1FD1">
      <w:pPr>
        <w:pBdr>
          <w:top w:val="nil"/>
          <w:left w:val="nil"/>
          <w:bottom w:val="nil"/>
          <w:right w:val="nil"/>
          <w:between w:val="nil"/>
        </w:pBdr>
        <w:spacing w:before="7"/>
        <w:rPr>
          <w:b/>
          <w:color w:val="000000"/>
        </w:rPr>
      </w:pPr>
    </w:p>
    <w:tbl>
      <w:tblPr>
        <w:tblStyle w:val="a4"/>
        <w:tblpPr w:leftFromText="180" w:rightFromText="180" w:vertAnchor="text" w:horzAnchor="page" w:tblpX="493" w:tblpY="59"/>
        <w:tblW w:w="11240" w:type="dxa"/>
        <w:tblLayout w:type="fixed"/>
        <w:tblLook w:val="0400"/>
      </w:tblPr>
      <w:tblGrid>
        <w:gridCol w:w="2330"/>
        <w:gridCol w:w="1080"/>
        <w:gridCol w:w="1170"/>
        <w:gridCol w:w="1350"/>
        <w:gridCol w:w="1260"/>
        <w:gridCol w:w="4050"/>
      </w:tblGrid>
      <w:tr w:rsidTr="00663EFB">
        <w:tblPrEx>
          <w:tblW w:w="11240" w:type="dxa"/>
          <w:tblLayout w:type="fixed"/>
          <w:tblLook w:val="0400"/>
        </w:tblPrEx>
        <w:trPr>
          <w:trHeight w:val="315"/>
        </w:trPr>
        <w:tc>
          <w:tcPr>
            <w:tcW w:w="23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63EFB" w:rsidP="00663EF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663EFB" w:rsidP="00663EF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Labor Costs</w:t>
            </w:r>
          </w:p>
        </w:tc>
        <w:tc>
          <w:tcPr>
            <w:tcW w:w="2610" w:type="dxa"/>
            <w:gridSpan w:val="2"/>
            <w:tcBorders>
              <w:top w:val="single" w:sz="8" w:space="0" w:color="000000"/>
              <w:left w:val="nil"/>
              <w:bottom w:val="single" w:sz="8" w:space="0" w:color="000000"/>
              <w:right w:val="single" w:sz="8" w:space="0" w:color="000000"/>
            </w:tcBorders>
            <w:shd w:val="clear" w:color="auto" w:fill="5B9BD5"/>
            <w:vAlign w:val="center"/>
          </w:tcPr>
          <w:p w:rsidR="00663EFB" w:rsidP="00663EF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405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63EFB" w:rsidP="00663EFB">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rsidTr="00663EFB">
        <w:tblPrEx>
          <w:tblW w:w="11240" w:type="dxa"/>
          <w:tblLayout w:type="fixed"/>
          <w:tblLook w:val="0400"/>
        </w:tblPrEx>
        <w:trPr>
          <w:trHeight w:val="690"/>
        </w:trPr>
        <w:tc>
          <w:tcPr>
            <w:tcW w:w="23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63EFB" w:rsidP="00663EFB">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auto" w:fill="FBE4D5"/>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1350" w:type="dxa"/>
            <w:tcBorders>
              <w:top w:val="nil"/>
              <w:left w:val="nil"/>
              <w:bottom w:val="single" w:sz="8" w:space="0" w:color="000000"/>
              <w:right w:val="dashed" w:sz="8" w:space="0" w:color="000000"/>
            </w:tcBorders>
            <w:shd w:val="clear" w:color="auto" w:fill="FBE4D5"/>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260" w:type="dxa"/>
            <w:tcBorders>
              <w:top w:val="nil"/>
              <w:left w:val="nil"/>
              <w:bottom w:val="single" w:sz="8" w:space="0" w:color="000000"/>
              <w:right w:val="single" w:sz="8" w:space="0" w:color="000000"/>
            </w:tcBorders>
            <w:shd w:val="clear" w:color="auto" w:fill="FBE4D5"/>
            <w:vAlign w:val="center"/>
          </w:tcPr>
          <w:p w:rsidR="00663EFB" w:rsidP="00663EFB">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05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63EFB" w:rsidP="00663EFB">
            <w:pPr>
              <w:pBdr>
                <w:top w:val="nil"/>
                <w:left w:val="nil"/>
                <w:bottom w:val="nil"/>
                <w:right w:val="nil"/>
                <w:between w:val="nil"/>
              </w:pBdr>
              <w:spacing w:line="276" w:lineRule="auto"/>
              <w:rPr>
                <w:rFonts w:ascii="Calibri" w:eastAsia="Calibri" w:hAnsi="Calibri" w:cs="Calibri"/>
                <w:color w:val="000000"/>
                <w:sz w:val="16"/>
                <w:szCs w:val="16"/>
              </w:rPr>
            </w:pPr>
          </w:p>
        </w:tc>
      </w:tr>
      <w:tr w:rsidTr="00161A68">
        <w:tblPrEx>
          <w:tblW w:w="1124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 </w:t>
            </w:r>
            <w:r w:rsidRPr="00B55CB7">
              <w:rPr>
                <w:rFonts w:asciiTheme="minorHAnsi" w:hAnsiTheme="minorHAnsi"/>
                <w:sz w:val="16"/>
                <w:szCs w:val="16"/>
              </w:rPr>
              <w:t>NOAA Form 88-1</w:t>
            </w:r>
          </w:p>
        </w:tc>
        <w:tc>
          <w:tcPr>
            <w:tcW w:w="1080" w:type="dxa"/>
            <w:tcBorders>
              <w:top w:val="nil"/>
              <w:left w:val="nil"/>
              <w:bottom w:val="dotted" w:sz="4" w:space="0" w:color="000000"/>
              <w:right w:val="dashed"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$10,688</w:t>
            </w:r>
          </w:p>
        </w:tc>
        <w:tc>
          <w:tcPr>
            <w:tcW w:w="1170" w:type="dxa"/>
            <w:tcBorders>
              <w:top w:val="nil"/>
              <w:left w:val="nil"/>
              <w:bottom w:val="dotted" w:sz="4" w:space="0" w:color="000000"/>
              <w:right w:val="single"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$14,652.00</w:t>
            </w:r>
          </w:p>
        </w:tc>
        <w:tc>
          <w:tcPr>
            <w:tcW w:w="135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26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$540 </w:t>
            </w:r>
          </w:p>
        </w:tc>
        <w:tc>
          <w:tcPr>
            <w:tcW w:w="4050" w:type="dxa"/>
            <w:vMerge w:val="restart"/>
            <w:tcBorders>
              <w:top w:val="nil"/>
              <w:left w:val="nil"/>
              <w:right w:val="single" w:sz="8" w:space="0" w:color="000000"/>
            </w:tcBorders>
            <w:shd w:val="clear" w:color="auto" w:fill="auto"/>
            <w:vAlign w:val="center"/>
          </w:tcPr>
          <w:p w:rsidR="00DB4E57" w:rsidP="00DB4E57">
            <w:pPr>
              <w:widowControl/>
              <w:rPr>
                <w:rFonts w:ascii="Calibri" w:eastAsia="Calibri" w:hAnsi="Calibri" w:cs="Calibri"/>
                <w:color w:val="000000"/>
                <w:sz w:val="16"/>
                <w:szCs w:val="16"/>
              </w:rPr>
            </w:pPr>
            <w:r>
              <w:rPr>
                <w:rFonts w:ascii="Calibri" w:eastAsia="Calibri" w:hAnsi="Calibri" w:cs="Calibri"/>
                <w:color w:val="000000"/>
                <w:sz w:val="16"/>
                <w:szCs w:val="16"/>
              </w:rPr>
              <w:t> Adjustment – elimination of copy/postage costs with electronic submission and a change to estimated respondent labor category </w:t>
            </w:r>
          </w:p>
          <w:p w:rsidR="00DB4E57" w:rsidP="00161A6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rsidTr="00161A68">
        <w:tblPrEx>
          <w:tblW w:w="1124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Guarantor Consent (Company)</w:t>
            </w:r>
          </w:p>
        </w:tc>
        <w:tc>
          <w:tcPr>
            <w:tcW w:w="1080" w:type="dxa"/>
            <w:tcBorders>
              <w:top w:val="nil"/>
              <w:left w:val="nil"/>
              <w:bottom w:val="dotted" w:sz="4" w:space="0" w:color="000000"/>
              <w:right w:val="dashed"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$83.50</w:t>
            </w:r>
          </w:p>
        </w:tc>
        <w:tc>
          <w:tcPr>
            <w:tcW w:w="1170" w:type="dxa"/>
            <w:tcBorders>
              <w:top w:val="nil"/>
              <w:left w:val="nil"/>
              <w:bottom w:val="dotted" w:sz="4" w:space="0" w:color="000000"/>
              <w:right w:val="single"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$122.10</w:t>
            </w:r>
          </w:p>
        </w:tc>
        <w:tc>
          <w:tcPr>
            <w:tcW w:w="135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26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4050" w:type="dxa"/>
            <w:vMerge/>
            <w:tcBorders>
              <w:left w:val="nil"/>
              <w:right w:val="single" w:sz="8" w:space="0" w:color="000000"/>
            </w:tcBorders>
            <w:shd w:val="clear" w:color="auto" w:fill="auto"/>
            <w:vAlign w:val="center"/>
          </w:tcPr>
          <w:p w:rsidR="00DB4E57" w:rsidP="00161A68">
            <w:pPr>
              <w:widowControl/>
              <w:rPr>
                <w:rFonts w:ascii="Calibri" w:eastAsia="Calibri" w:hAnsi="Calibri" w:cs="Calibri"/>
                <w:color w:val="000000"/>
                <w:sz w:val="16"/>
                <w:szCs w:val="16"/>
              </w:rPr>
            </w:pPr>
          </w:p>
        </w:tc>
      </w:tr>
      <w:tr w:rsidTr="00161A68">
        <w:tblPrEx>
          <w:tblW w:w="1124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Guarantor Consent (Individual)</w:t>
            </w:r>
          </w:p>
        </w:tc>
        <w:tc>
          <w:tcPr>
            <w:tcW w:w="1080" w:type="dxa"/>
            <w:tcBorders>
              <w:top w:val="nil"/>
              <w:left w:val="nil"/>
              <w:bottom w:val="dotted" w:sz="4" w:space="0" w:color="000000"/>
              <w:right w:val="dashed"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$83.50</w:t>
            </w:r>
          </w:p>
        </w:tc>
        <w:tc>
          <w:tcPr>
            <w:tcW w:w="1170" w:type="dxa"/>
            <w:tcBorders>
              <w:top w:val="nil"/>
              <w:left w:val="nil"/>
              <w:bottom w:val="dotted" w:sz="4" w:space="0" w:color="000000"/>
              <w:right w:val="single"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$122.10</w:t>
            </w:r>
          </w:p>
        </w:tc>
        <w:tc>
          <w:tcPr>
            <w:tcW w:w="135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26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4050" w:type="dxa"/>
            <w:vMerge/>
            <w:tcBorders>
              <w:left w:val="nil"/>
              <w:right w:val="single" w:sz="8" w:space="0" w:color="000000"/>
            </w:tcBorders>
            <w:shd w:val="clear" w:color="auto" w:fill="auto"/>
            <w:vAlign w:val="center"/>
          </w:tcPr>
          <w:p w:rsidR="00DB4E57" w:rsidP="00161A68">
            <w:pPr>
              <w:widowControl/>
              <w:rPr>
                <w:rFonts w:ascii="Calibri" w:eastAsia="Calibri" w:hAnsi="Calibri" w:cs="Calibri"/>
                <w:color w:val="000000"/>
                <w:sz w:val="16"/>
                <w:szCs w:val="16"/>
              </w:rPr>
            </w:pPr>
          </w:p>
        </w:tc>
      </w:tr>
      <w:tr w:rsidTr="00161A68">
        <w:tblPrEx>
          <w:tblW w:w="11240" w:type="dxa"/>
          <w:tblLayout w:type="fixed"/>
          <w:tblLook w:val="0400"/>
        </w:tblPrEx>
        <w:trPr>
          <w:trHeight w:val="315"/>
        </w:trPr>
        <w:tc>
          <w:tcPr>
            <w:tcW w:w="2330" w:type="dxa"/>
            <w:tcBorders>
              <w:top w:val="nil"/>
              <w:left w:val="single" w:sz="8" w:space="0" w:color="000000"/>
              <w:bottom w:val="single" w:sz="8" w:space="0" w:color="000000"/>
              <w:right w:val="single" w:sz="8" w:space="0" w:color="000000"/>
            </w:tcBorders>
            <w:shd w:val="clear" w:color="auto" w:fill="auto"/>
            <w:vAlign w:val="bottom"/>
          </w:tcPr>
          <w:p w:rsidR="00DB4E57" w:rsidRPr="00B55CB7" w:rsidP="00DB4E57">
            <w:pPr>
              <w:widowControl/>
              <w:rPr>
                <w:rFonts w:asciiTheme="minorHAnsi" w:hAnsiTheme="minorHAnsi"/>
                <w:color w:val="000000"/>
                <w:sz w:val="16"/>
                <w:szCs w:val="16"/>
              </w:rPr>
            </w:pPr>
            <w:r w:rsidRPr="00B55CB7">
              <w:rPr>
                <w:rFonts w:asciiTheme="minorHAnsi" w:hAnsiTheme="minorHAnsi"/>
                <w:color w:val="000000"/>
                <w:sz w:val="16"/>
                <w:szCs w:val="16"/>
              </w:rPr>
              <w:t>Annual Financial Statement </w:t>
            </w:r>
          </w:p>
        </w:tc>
        <w:tc>
          <w:tcPr>
            <w:tcW w:w="1080" w:type="dxa"/>
            <w:tcBorders>
              <w:top w:val="nil"/>
              <w:left w:val="nil"/>
              <w:bottom w:val="dotted" w:sz="4" w:space="0" w:color="000000"/>
              <w:right w:val="dashed"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$9,084.80</w:t>
            </w:r>
          </w:p>
        </w:tc>
        <w:tc>
          <w:tcPr>
            <w:tcW w:w="1170" w:type="dxa"/>
            <w:tcBorders>
              <w:top w:val="nil"/>
              <w:left w:val="nil"/>
              <w:bottom w:val="dotted" w:sz="4" w:space="0" w:color="000000"/>
              <w:right w:val="single" w:sz="8" w:space="0" w:color="000000"/>
            </w:tcBorders>
            <w:shd w:val="clear" w:color="auto" w:fill="auto"/>
            <w:vAlign w:val="bottom"/>
          </w:tcPr>
          <w:p w:rsidR="00DB4E57" w:rsidRPr="00B55CB7" w:rsidP="00DB4E57">
            <w:pPr>
              <w:widowControl/>
              <w:jc w:val="right"/>
              <w:rPr>
                <w:rFonts w:asciiTheme="minorHAnsi" w:hAnsiTheme="minorHAnsi"/>
                <w:color w:val="000000"/>
                <w:sz w:val="16"/>
                <w:szCs w:val="16"/>
              </w:rPr>
            </w:pPr>
            <w:r>
              <w:rPr>
                <w:rFonts w:asciiTheme="minorHAnsi" w:hAnsiTheme="minorHAnsi"/>
                <w:color w:val="000000"/>
                <w:sz w:val="16"/>
                <w:szCs w:val="16"/>
              </w:rPr>
              <w:t>$12,258.84</w:t>
            </w:r>
          </w:p>
        </w:tc>
        <w:tc>
          <w:tcPr>
            <w:tcW w:w="1350" w:type="dxa"/>
            <w:tcBorders>
              <w:top w:val="nil"/>
              <w:left w:val="nil"/>
              <w:bottom w:val="dotted" w:sz="4" w:space="0" w:color="000000"/>
              <w:right w:val="dashed"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0</w:t>
            </w:r>
          </w:p>
        </w:tc>
        <w:tc>
          <w:tcPr>
            <w:tcW w:w="1260" w:type="dxa"/>
            <w:tcBorders>
              <w:top w:val="nil"/>
              <w:left w:val="nil"/>
              <w:bottom w:val="dotted" w:sz="4" w:space="0" w:color="000000"/>
              <w:right w:val="single" w:sz="8" w:space="0" w:color="000000"/>
            </w:tcBorders>
            <w:shd w:val="clear" w:color="auto" w:fill="auto"/>
            <w:vAlign w:val="center"/>
          </w:tcPr>
          <w:p w:rsidR="00DB4E57" w:rsidP="00DB4E57">
            <w:pPr>
              <w:widowControl/>
              <w:jc w:val="center"/>
              <w:rPr>
                <w:rFonts w:ascii="Calibri" w:eastAsia="Calibri" w:hAnsi="Calibri" w:cs="Calibri"/>
                <w:color w:val="000000"/>
                <w:sz w:val="16"/>
                <w:szCs w:val="16"/>
              </w:rPr>
            </w:pPr>
            <w:r>
              <w:rPr>
                <w:rFonts w:ascii="Calibri" w:eastAsia="Calibri" w:hAnsi="Calibri" w:cs="Calibri"/>
                <w:color w:val="000000"/>
                <w:sz w:val="16"/>
                <w:szCs w:val="16"/>
              </w:rPr>
              <w:t> $2,259</w:t>
            </w:r>
          </w:p>
        </w:tc>
        <w:tc>
          <w:tcPr>
            <w:tcW w:w="4050" w:type="dxa"/>
            <w:vMerge/>
            <w:tcBorders>
              <w:left w:val="nil"/>
              <w:bottom w:val="dotted" w:sz="4" w:space="0" w:color="000000"/>
              <w:right w:val="single" w:sz="8" w:space="0" w:color="000000"/>
            </w:tcBorders>
            <w:shd w:val="clear" w:color="auto" w:fill="auto"/>
            <w:vAlign w:val="center"/>
          </w:tcPr>
          <w:p w:rsidR="00DB4E57" w:rsidP="00DB4E57">
            <w:pPr>
              <w:widowControl/>
              <w:rPr>
                <w:rFonts w:ascii="Calibri" w:eastAsia="Calibri" w:hAnsi="Calibri" w:cs="Calibri"/>
                <w:color w:val="000000"/>
                <w:sz w:val="16"/>
                <w:szCs w:val="16"/>
              </w:rPr>
            </w:pPr>
          </w:p>
        </w:tc>
      </w:tr>
      <w:tr w:rsidTr="00B57055">
        <w:tblPrEx>
          <w:tblW w:w="11240" w:type="dxa"/>
          <w:tblLayout w:type="fixed"/>
          <w:tblLook w:val="0400"/>
        </w:tblPrEx>
        <w:trPr>
          <w:trHeight w:val="465"/>
        </w:trPr>
        <w:tc>
          <w:tcPr>
            <w:tcW w:w="2330" w:type="dxa"/>
            <w:tcBorders>
              <w:top w:val="nil"/>
              <w:left w:val="single" w:sz="8" w:space="0" w:color="000000"/>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nil"/>
              <w:right w:val="dashed" w:sz="8" w:space="0" w:color="000000"/>
            </w:tcBorders>
            <w:shd w:val="clear" w:color="auto" w:fill="BDD6EE"/>
            <w:vAlign w:val="bottom"/>
          </w:tcPr>
          <w:p w:rsidR="00DB4E57" w:rsidRPr="00B55CB7" w:rsidP="00DB4E57">
            <w:pPr>
              <w:widowControl/>
              <w:jc w:val="right"/>
              <w:rPr>
                <w:rFonts w:asciiTheme="minorHAnsi" w:hAnsiTheme="minorHAnsi"/>
                <w:b/>
                <w:bCs/>
                <w:color w:val="000000"/>
                <w:sz w:val="16"/>
                <w:szCs w:val="16"/>
              </w:rPr>
            </w:pPr>
            <w:r>
              <w:rPr>
                <w:rFonts w:asciiTheme="minorHAnsi" w:hAnsiTheme="minorHAnsi"/>
                <w:b/>
                <w:bCs/>
                <w:color w:val="000000"/>
                <w:sz w:val="16"/>
                <w:szCs w:val="16"/>
              </w:rPr>
              <w:t>$</w:t>
            </w:r>
            <w:r w:rsidRPr="00B55CB7">
              <w:rPr>
                <w:rFonts w:asciiTheme="minorHAnsi" w:hAnsiTheme="minorHAnsi"/>
                <w:b/>
                <w:bCs/>
                <w:color w:val="000000"/>
                <w:sz w:val="16"/>
                <w:szCs w:val="16"/>
              </w:rPr>
              <w:t> </w:t>
            </w:r>
            <w:r>
              <w:rPr>
                <w:rFonts w:asciiTheme="minorHAnsi" w:hAnsiTheme="minorHAnsi"/>
                <w:b/>
                <w:bCs/>
                <w:color w:val="000000"/>
                <w:sz w:val="16"/>
                <w:szCs w:val="16"/>
              </w:rPr>
              <w:t>19.939.80</w:t>
            </w:r>
          </w:p>
        </w:tc>
        <w:tc>
          <w:tcPr>
            <w:tcW w:w="1170" w:type="dxa"/>
            <w:tcBorders>
              <w:top w:val="nil"/>
              <w:left w:val="nil"/>
              <w:bottom w:val="nil"/>
              <w:right w:val="single" w:sz="8" w:space="0" w:color="000000"/>
            </w:tcBorders>
            <w:shd w:val="clear" w:color="auto" w:fill="BDD6EE"/>
            <w:vAlign w:val="bottom"/>
          </w:tcPr>
          <w:p w:rsidR="00DB4E57" w:rsidRPr="00B55CB7" w:rsidP="00DB4E57">
            <w:pPr>
              <w:widowControl/>
              <w:jc w:val="right"/>
              <w:rPr>
                <w:rFonts w:asciiTheme="minorHAnsi" w:hAnsiTheme="minorHAnsi"/>
                <w:b/>
                <w:bCs/>
                <w:color w:val="000000"/>
                <w:sz w:val="16"/>
                <w:szCs w:val="16"/>
              </w:rPr>
            </w:pPr>
            <w:r>
              <w:rPr>
                <w:rFonts w:asciiTheme="minorHAnsi" w:hAnsiTheme="minorHAnsi"/>
                <w:b/>
                <w:bCs/>
                <w:color w:val="000000"/>
                <w:sz w:val="16"/>
                <w:szCs w:val="16"/>
              </w:rPr>
              <w:t>$</w:t>
            </w:r>
            <w:r w:rsidRPr="00B55CB7">
              <w:rPr>
                <w:rFonts w:asciiTheme="minorHAnsi" w:hAnsiTheme="minorHAnsi"/>
                <w:b/>
                <w:bCs/>
                <w:color w:val="000000"/>
                <w:sz w:val="16"/>
                <w:szCs w:val="16"/>
              </w:rPr>
              <w:t> </w:t>
            </w:r>
            <w:r>
              <w:rPr>
                <w:rFonts w:asciiTheme="minorHAnsi" w:hAnsiTheme="minorHAnsi"/>
                <w:b/>
                <w:bCs/>
                <w:color w:val="000000"/>
                <w:sz w:val="16"/>
                <w:szCs w:val="16"/>
              </w:rPr>
              <w:t>27,155.04</w:t>
            </w:r>
          </w:p>
        </w:tc>
        <w:tc>
          <w:tcPr>
            <w:tcW w:w="1350" w:type="dxa"/>
            <w:tcBorders>
              <w:top w:val="nil"/>
              <w:left w:val="nil"/>
              <w:bottom w:val="nil"/>
              <w:right w:val="dashed"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0</w:t>
            </w:r>
          </w:p>
        </w:tc>
        <w:tc>
          <w:tcPr>
            <w:tcW w:w="1260" w:type="dxa"/>
            <w:tcBorders>
              <w:top w:val="nil"/>
              <w:left w:val="nil"/>
              <w:bottom w:val="nil"/>
              <w:right w:val="single" w:sz="8" w:space="0" w:color="000000"/>
            </w:tcBorders>
            <w:shd w:val="clear" w:color="auto" w:fill="BDD6EE"/>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$2,799</w:t>
            </w:r>
          </w:p>
        </w:tc>
        <w:tc>
          <w:tcPr>
            <w:tcW w:w="4050" w:type="dxa"/>
            <w:tcBorders>
              <w:top w:val="nil"/>
              <w:left w:val="nil"/>
              <w:bottom w:val="nil"/>
              <w:right w:val="single" w:sz="8" w:space="0" w:color="000000"/>
            </w:tcBorders>
            <w:shd w:val="clear" w:color="auto" w:fill="000000"/>
            <w:vAlign w:val="center"/>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rsidTr="00663EFB">
        <w:tblPrEx>
          <w:tblW w:w="11240" w:type="dxa"/>
          <w:tblLayout w:type="fixed"/>
          <w:tblLook w:val="0400"/>
        </w:tblPrEx>
        <w:trPr>
          <w:trHeight w:val="315"/>
        </w:trPr>
        <w:tc>
          <w:tcPr>
            <w:tcW w:w="2330" w:type="dxa"/>
            <w:tcBorders>
              <w:top w:val="single" w:sz="8" w:space="0" w:color="000000"/>
              <w:left w:val="single" w:sz="8" w:space="0" w:color="000000"/>
              <w:bottom w:val="single" w:sz="8" w:space="0" w:color="000000"/>
              <w:right w:val="nil"/>
            </w:tcBorders>
            <w:shd w:val="clear" w:color="auto" w:fill="FCE4D6"/>
            <w:vAlign w:val="bottom"/>
          </w:tcPr>
          <w:p w:rsidR="00DB4E57" w:rsidP="00DB4E5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DB4E57" w:rsidP="00DB4E57">
            <w:pPr>
              <w:widowControl/>
              <w:jc w:val="center"/>
              <w:rPr>
                <w:rFonts w:ascii="Calibri" w:eastAsia="Calibri" w:hAnsi="Calibri" w:cs="Calibri"/>
                <w:color w:val="000000"/>
              </w:rPr>
            </w:pPr>
            <w:r>
              <w:rPr>
                <w:rFonts w:ascii="Calibri" w:eastAsia="Calibri" w:hAnsi="Calibri" w:cs="Calibri"/>
                <w:color w:val="000000"/>
              </w:rPr>
              <w:t> -7,215.44</w:t>
            </w:r>
          </w:p>
        </w:tc>
        <w:tc>
          <w:tcPr>
            <w:tcW w:w="2610" w:type="dxa"/>
            <w:gridSpan w:val="2"/>
            <w:tcBorders>
              <w:top w:val="single" w:sz="8" w:space="0" w:color="000000"/>
              <w:left w:val="nil"/>
              <w:bottom w:val="single" w:sz="8" w:space="0" w:color="000000"/>
              <w:right w:val="single" w:sz="4" w:space="0" w:color="000000"/>
            </w:tcBorders>
            <w:shd w:val="clear" w:color="auto" w:fill="FCE4D6"/>
            <w:vAlign w:val="bottom"/>
          </w:tcPr>
          <w:p w:rsidR="00DB4E57" w:rsidP="00DB4E57">
            <w:pPr>
              <w:widowControl/>
              <w:jc w:val="center"/>
              <w:rPr>
                <w:rFonts w:ascii="Calibri" w:eastAsia="Calibri" w:hAnsi="Calibri" w:cs="Calibri"/>
                <w:color w:val="000000"/>
              </w:rPr>
            </w:pPr>
            <w:r>
              <w:rPr>
                <w:rFonts w:ascii="Calibri" w:eastAsia="Calibri" w:hAnsi="Calibri" w:cs="Calibri"/>
                <w:color w:val="000000"/>
              </w:rPr>
              <w:t>-2,799 </w:t>
            </w:r>
          </w:p>
        </w:tc>
        <w:tc>
          <w:tcPr>
            <w:tcW w:w="4050" w:type="dxa"/>
            <w:tcBorders>
              <w:top w:val="single" w:sz="8" w:space="0" w:color="000000"/>
              <w:left w:val="nil"/>
              <w:bottom w:val="single" w:sz="8" w:space="0" w:color="000000"/>
              <w:right w:val="single" w:sz="8" w:space="0" w:color="000000"/>
            </w:tcBorders>
            <w:shd w:val="clear" w:color="auto" w:fill="000000"/>
            <w:vAlign w:val="bottom"/>
          </w:tcPr>
          <w:p w:rsidR="00DB4E57" w:rsidP="00DB4E57">
            <w:pPr>
              <w:widowControl/>
              <w:rPr>
                <w:rFonts w:ascii="Calibri" w:eastAsia="Calibri" w:hAnsi="Calibri" w:cs="Calibri"/>
                <w:color w:val="000000"/>
              </w:rPr>
            </w:pPr>
            <w:r>
              <w:rPr>
                <w:rFonts w:ascii="Calibri" w:eastAsia="Calibri" w:hAnsi="Calibri" w:cs="Calibri"/>
                <w:color w:val="000000"/>
              </w:rPr>
              <w:t> </w:t>
            </w:r>
          </w:p>
        </w:tc>
      </w:tr>
    </w:tbl>
    <w:p w:rsidR="003D1FD1">
      <w:pPr>
        <w:pBdr>
          <w:top w:val="nil"/>
          <w:left w:val="nil"/>
          <w:bottom w:val="nil"/>
          <w:right w:val="nil"/>
          <w:between w:val="nil"/>
        </w:pBdr>
        <w:spacing w:before="7"/>
        <w:rPr>
          <w:b/>
          <w:color w:val="000000"/>
        </w:rPr>
      </w:pPr>
    </w:p>
    <w:p w:rsidR="003D1FD1">
      <w:pPr>
        <w:pBdr>
          <w:top w:val="nil"/>
          <w:left w:val="nil"/>
          <w:bottom w:val="nil"/>
          <w:right w:val="nil"/>
          <w:between w:val="nil"/>
        </w:pBdr>
        <w:spacing w:before="7"/>
        <w:rPr>
          <w:b/>
          <w:color w:val="000000"/>
        </w:rPr>
      </w:pPr>
    </w:p>
    <w:p w:rsidR="003D1FD1">
      <w:pPr>
        <w:pBdr>
          <w:top w:val="nil"/>
          <w:left w:val="nil"/>
          <w:bottom w:val="nil"/>
          <w:right w:val="nil"/>
          <w:between w:val="nil"/>
        </w:pBdr>
        <w:spacing w:before="7"/>
        <w:rPr>
          <w:b/>
          <w:color w:val="000000"/>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C6440" w:rsidP="00EC6440">
      <w:pPr>
        <w:pBdr>
          <w:top w:val="nil"/>
          <w:left w:val="nil"/>
          <w:bottom w:val="nil"/>
          <w:right w:val="nil"/>
          <w:between w:val="nil"/>
        </w:pBdr>
        <w:tabs>
          <w:tab w:val="left" w:pos="360"/>
        </w:tabs>
        <w:spacing w:before="80"/>
      </w:pPr>
    </w:p>
    <w:p w:rsidR="00B625C2" w:rsidRPr="00B625C2" w:rsidP="00EC6440">
      <w:pPr>
        <w:pBdr>
          <w:top w:val="nil"/>
          <w:left w:val="nil"/>
          <w:bottom w:val="nil"/>
          <w:right w:val="nil"/>
          <w:between w:val="nil"/>
        </w:pBdr>
        <w:tabs>
          <w:tab w:val="left" w:pos="360"/>
        </w:tabs>
        <w:spacing w:before="80"/>
        <w:rPr>
          <w:b/>
          <w:color w:val="000000"/>
        </w:rPr>
      </w:pPr>
      <w:r w:rsidRPr="00B625C2">
        <w:t>Results will not be published.</w:t>
      </w:r>
    </w:p>
    <w:p w:rsidR="00B625C2" w:rsidRPr="00B625C2" w:rsidP="00B625C2">
      <w:pPr>
        <w:pBdr>
          <w:top w:val="nil"/>
          <w:left w:val="nil"/>
          <w:bottom w:val="nil"/>
          <w:right w:val="nil"/>
          <w:between w:val="nil"/>
        </w:pBdr>
        <w:tabs>
          <w:tab w:val="left" w:pos="360"/>
        </w:tabs>
        <w:spacing w:before="80"/>
        <w:rPr>
          <w:b/>
          <w:color w:val="000000"/>
        </w:rPr>
      </w:pPr>
    </w:p>
    <w:p w:rsidR="003D1FD1" w:rsidRPr="00B625C2" w:rsidP="00B625C2">
      <w:pPr>
        <w:numPr>
          <w:ilvl w:val="0"/>
          <w:numId w:val="3"/>
        </w:numPr>
        <w:pBdr>
          <w:top w:val="nil"/>
          <w:left w:val="nil"/>
          <w:bottom w:val="nil"/>
          <w:right w:val="nil"/>
          <w:between w:val="nil"/>
        </w:pBdr>
        <w:tabs>
          <w:tab w:val="left" w:pos="360"/>
        </w:tabs>
        <w:spacing w:before="80"/>
        <w:ind w:left="0" w:firstLine="0"/>
        <w:rPr>
          <w:b/>
          <w:color w:val="000000"/>
        </w:rPr>
      </w:pPr>
      <w:r w:rsidRPr="00B625C2">
        <w:rPr>
          <w:b/>
          <w:color w:val="000000"/>
        </w:rPr>
        <w:t>If seeking approval to not display the expiration date for OMB approval of the information collection, explain the reasons that display would be inappropriate.</w:t>
      </w:r>
    </w:p>
    <w:p w:rsidR="003D1FD1" w:rsidP="00B625C2">
      <w:pPr>
        <w:spacing w:before="161"/>
      </w:pPr>
      <w:r w:rsidRPr="00B625C2">
        <w:t>The expiration date will be displayed.</w:t>
      </w:r>
    </w:p>
    <w:p w:rsidR="00B625C2" w:rsidRPr="00B625C2">
      <w:pPr>
        <w:spacing w:before="161"/>
        <w:rPr>
          <w:i/>
        </w:rPr>
      </w:pPr>
    </w:p>
    <w:p w:rsidR="003D1FD1">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3D1FD1">
      <w:pPr>
        <w:spacing w:before="221" w:line="259" w:lineRule="auto"/>
        <w:jc w:val="both"/>
      </w:pPr>
      <w:r>
        <w:t xml:space="preserve">The agency certifies compliance with </w:t>
      </w:r>
      <w:hyperlink r:id="rId8">
        <w:r>
          <w:rPr>
            <w:color w:val="0563C1"/>
            <w:u w:val="single"/>
          </w:rPr>
          <w:t>5 CFR 1320.9</w:t>
        </w:r>
      </w:hyperlink>
      <w:hyperlink r:id="rId8">
        <w:r>
          <w:rPr>
            <w:color w:val="0563C1"/>
          </w:rPr>
          <w:t xml:space="preserve"> </w:t>
        </w:r>
      </w:hyperlink>
      <w:r>
        <w:t xml:space="preserve">and the related provisions of </w:t>
      </w:r>
      <w:hyperlink r:id="rId9">
        <w:r>
          <w:rPr>
            <w:color w:val="0563C1"/>
            <w:u w:val="single"/>
          </w:rPr>
          <w:t>5 CFR</w:t>
        </w:r>
      </w:hyperlink>
      <w:r>
        <w:rPr>
          <w:color w:val="0563C1"/>
        </w:rPr>
        <w:t xml:space="preserve"> </w:t>
      </w:r>
      <w:hyperlink r:id="rId9">
        <w:r>
          <w:rPr>
            <w:color w:val="0563C1"/>
            <w:u w:val="single"/>
          </w:rPr>
          <w:t>1320.8(b)(3)</w:t>
        </w:r>
      </w:hyperlink>
      <w:r>
        <w:t>.</w:t>
      </w:r>
    </w:p>
    <w:p w:rsidR="003D1FD1">
      <w:pPr>
        <w:spacing w:before="221" w:line="259" w:lineRule="auto"/>
        <w:jc w:val="both"/>
      </w:pPr>
    </w:p>
    <w:p w:rsidR="003D1FD1">
      <w:pPr>
        <w:spacing w:before="221" w:line="259" w:lineRule="auto"/>
        <w:jc w:val="both"/>
      </w:pPr>
    </w:p>
    <w:sectPr>
      <w:footerReference w:type="default" r:id="rId10"/>
      <w:pgSz w:w="12240" w:h="15840"/>
      <w:pgMar w:top="64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FD1">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A4438"/>
    <w:multiLevelType w:val="multilevel"/>
    <w:tmpl w:val="C48002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nsid w:val="32E533EE"/>
    <w:multiLevelType w:val="multilevel"/>
    <w:tmpl w:val="D864ED6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37377B89"/>
    <w:multiLevelType w:val="multilevel"/>
    <w:tmpl w:val="0150BB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D675A7C"/>
    <w:multiLevelType w:val="multilevel"/>
    <w:tmpl w:val="46A6D5E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4">
    <w:nsid w:val="40F07877"/>
    <w:multiLevelType w:val="multilevel"/>
    <w:tmpl w:val="6A32837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5">
    <w:nsid w:val="4576711C"/>
    <w:multiLevelType w:val="multilevel"/>
    <w:tmpl w:val="1D96690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5CB27260"/>
    <w:multiLevelType w:val="multilevel"/>
    <w:tmpl w:val="15A81F1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6A620852"/>
    <w:multiLevelType w:val="multilevel"/>
    <w:tmpl w:val="B7A2738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6D103C77"/>
    <w:multiLevelType w:val="multilevel"/>
    <w:tmpl w:val="A00C9DD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71923A23"/>
    <w:multiLevelType w:val="multilevel"/>
    <w:tmpl w:val="444CA95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0">
    <w:nsid w:val="76C0025B"/>
    <w:multiLevelType w:val="multilevel"/>
    <w:tmpl w:val="11AEAFA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4"/>
  </w:num>
  <w:num w:numId="2">
    <w:abstractNumId w:val="7"/>
  </w:num>
  <w:num w:numId="3">
    <w:abstractNumId w:val="5"/>
  </w:num>
  <w:num w:numId="4">
    <w:abstractNumId w:val="1"/>
  </w:num>
  <w:num w:numId="5">
    <w:abstractNumId w:val="6"/>
  </w:num>
  <w:num w:numId="6">
    <w:abstractNumId w:val="10"/>
  </w:num>
  <w:num w:numId="7">
    <w:abstractNumId w:val="8"/>
  </w:num>
  <w:num w:numId="8">
    <w:abstractNumId w:val="9"/>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D1"/>
    <w:rsid w:val="000A2050"/>
    <w:rsid w:val="00161A68"/>
    <w:rsid w:val="00287AFB"/>
    <w:rsid w:val="002A23AA"/>
    <w:rsid w:val="003742FD"/>
    <w:rsid w:val="003D1FD1"/>
    <w:rsid w:val="00663EFB"/>
    <w:rsid w:val="006A1DB3"/>
    <w:rsid w:val="006D7F72"/>
    <w:rsid w:val="006E0D4A"/>
    <w:rsid w:val="008151E8"/>
    <w:rsid w:val="00837D60"/>
    <w:rsid w:val="008C25EC"/>
    <w:rsid w:val="008D4106"/>
    <w:rsid w:val="00B55CB7"/>
    <w:rsid w:val="00B625C2"/>
    <w:rsid w:val="00C04CD1"/>
    <w:rsid w:val="00CA5A7F"/>
    <w:rsid w:val="00D54A69"/>
    <w:rsid w:val="00DB4E57"/>
    <w:rsid w:val="00E15363"/>
    <w:rsid w:val="00EA0F32"/>
    <w:rsid w:val="00EC6440"/>
    <w:rsid w:val="00F13A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4D9BB"/>
  <w15:docId w15:val="{9E23AC19-455C-4D4B-8667-E17894B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BodyText2">
    <w:name w:val="Body Text 2"/>
    <w:basedOn w:val="Normal"/>
    <w:link w:val="BodyText2Char"/>
    <w:uiPriority w:val="99"/>
    <w:unhideWhenUsed/>
    <w:rsid w:val="00837D60"/>
    <w:pPr>
      <w:pBdr>
        <w:top w:val="nil"/>
        <w:left w:val="nil"/>
        <w:bottom w:val="nil"/>
        <w:right w:val="nil"/>
        <w:between w:val="nil"/>
      </w:pBdr>
      <w:tabs>
        <w:tab w:val="left" w:pos="360"/>
      </w:tabs>
      <w:spacing w:before="182" w:line="259" w:lineRule="auto"/>
    </w:pPr>
    <w:rPr>
      <w:color w:val="000000"/>
    </w:rPr>
  </w:style>
  <w:style w:type="character" w:customStyle="1" w:styleId="BodyText2Char">
    <w:name w:val="Body Text 2 Char"/>
    <w:basedOn w:val="DefaultParagraphFont"/>
    <w:link w:val="BodyText2"/>
    <w:uiPriority w:val="99"/>
    <w:rsid w:val="00837D6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ws.gov/informationquality/section515.html" TargetMode="External" /><Relationship Id="rId6" Type="http://schemas.openxmlformats.org/officeDocument/2006/relationships/hyperlink" Target="http://www.corporateservices.noaa.gov/ames/administrative_orders/chapter_216/216-100.html" TargetMode="External" /><Relationship Id="rId7" Type="http://schemas.openxmlformats.org/officeDocument/2006/relationships/hyperlink" Target="http://www.osec.doc.gov/opog/PrivacyAct/SORNs/noaa-21.html"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AMUW2mVwVIA+FGlnlT9J3zujZyj/UOdB1/g2d3kLr7coeyNxf8dRgp5Zu/rcevQHsPM+bLCjy94OafW7sG+oV1sJf2sUFZpn8GHgrxmrGv7Um0Of+meoik0g1CpGEct+KeeOSMl9UwIb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8</cp:revision>
  <dcterms:created xsi:type="dcterms:W3CDTF">2023-03-22T18:27:00Z</dcterms:created>
  <dcterms:modified xsi:type="dcterms:W3CDTF">2023-04-17T19:51:00Z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