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6AD7" w:rsidP="0075430B" w14:paraId="13D83699" w14:textId="300546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djustRightInd/>
        <w:rPr>
          <w:noProof/>
          <w:sz w:val="24"/>
          <w:szCs w:val="32"/>
        </w:rPr>
      </w:pPr>
      <w:r>
        <w:rPr>
          <w:noProof/>
          <w:sz w:val="24"/>
          <w:szCs w:val="32"/>
        </w:rPr>
        <w:t xml:space="preserve">2019 APPROVED ICR TABLE FOR </w:t>
      </w:r>
      <w:bookmarkStart w:id="0" w:name="_Hlk131152092"/>
      <w:r w:rsidR="0075430B">
        <w:rPr>
          <w:noProof/>
          <w:sz w:val="24"/>
          <w:szCs w:val="32"/>
        </w:rPr>
        <w:t>RYAN WHITE HIV/AIDS PROGRAM (RWHAP)</w:t>
      </w:r>
      <w:r>
        <w:rPr>
          <w:noProof/>
          <w:sz w:val="24"/>
          <w:szCs w:val="32"/>
        </w:rPr>
        <w:t xml:space="preserve"> </w:t>
      </w:r>
      <w:bookmarkEnd w:id="0"/>
      <w:r>
        <w:rPr>
          <w:noProof/>
          <w:sz w:val="24"/>
          <w:szCs w:val="32"/>
        </w:rPr>
        <w:t>PART</w:t>
      </w:r>
      <w:r w:rsidR="0075430B">
        <w:rPr>
          <w:noProof/>
          <w:sz w:val="24"/>
          <w:szCs w:val="32"/>
        </w:rPr>
        <w:t xml:space="preserve"> </w:t>
      </w:r>
      <w:r>
        <w:rPr>
          <w:noProof/>
          <w:sz w:val="24"/>
          <w:szCs w:val="32"/>
        </w:rPr>
        <w:t>A:</w:t>
      </w:r>
    </w:p>
    <w:p w:rsidR="0075430B" w:rsidP="0075430B" w14:paraId="557347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djustRightInd/>
        <w:rPr>
          <w:noProof/>
          <w:sz w:val="24"/>
          <w:szCs w:val="32"/>
        </w:rPr>
      </w:pPr>
    </w:p>
    <w:tbl>
      <w:tblPr>
        <w:tblW w:w="5000" w:type="pct"/>
        <w:tblLook w:val="04A0"/>
      </w:tblPr>
      <w:tblGrid>
        <w:gridCol w:w="2548"/>
        <w:gridCol w:w="2288"/>
        <w:gridCol w:w="2565"/>
        <w:gridCol w:w="1939"/>
      </w:tblGrid>
      <w:tr w14:paraId="41C8BA20" w14:textId="77777777" w:rsidTr="006A6AD7">
        <w:tblPrEx>
          <w:tblW w:w="5000" w:type="pct"/>
          <w:tblLook w:val="04A0"/>
        </w:tblPrEx>
        <w:trPr>
          <w:cantSplit/>
          <w:trHeight w:val="142"/>
        </w:trPr>
        <w:tc>
          <w:tcPr>
            <w:tcW w:w="5000" w:type="pct"/>
            <w:gridSpan w:val="4"/>
            <w:tcBorders>
              <w:top w:val="single" w:sz="8" w:space="0" w:color="auto"/>
              <w:left w:val="single" w:sz="8" w:space="0" w:color="auto"/>
              <w:bottom w:val="single" w:sz="4" w:space="0" w:color="auto"/>
              <w:right w:val="single" w:sz="8" w:space="0" w:color="000000"/>
            </w:tcBorders>
            <w:noWrap/>
            <w:vAlign w:val="bottom"/>
            <w:hideMark/>
          </w:tcPr>
          <w:p w:rsidR="006A6AD7" w14:paraId="68B34E1E" w14:textId="77777777">
            <w:pPr>
              <w:widowControl/>
              <w:autoSpaceDE/>
              <w:adjustRightInd/>
              <w:spacing w:line="254" w:lineRule="auto"/>
              <w:rPr>
                <w:color w:val="000000"/>
                <w:sz w:val="24"/>
              </w:rPr>
            </w:pPr>
            <w:r>
              <w:rPr>
                <w:color w:val="000000"/>
                <w:sz w:val="24"/>
              </w:rPr>
              <w:t>Unobligated Balance (UOB) of Federal Funds by Subprogram</w:t>
            </w:r>
          </w:p>
        </w:tc>
      </w:tr>
      <w:tr w14:paraId="62A63FC1" w14:textId="77777777" w:rsidTr="006A6AD7">
        <w:tblPrEx>
          <w:tblW w:w="5000" w:type="pct"/>
          <w:tblLook w:val="04A0"/>
        </w:tblPrEx>
        <w:trPr>
          <w:cantSplit/>
          <w:trHeight w:val="548"/>
        </w:trPr>
        <w:tc>
          <w:tcPr>
            <w:tcW w:w="1364" w:type="pct"/>
            <w:tcBorders>
              <w:top w:val="nil"/>
              <w:left w:val="single" w:sz="8" w:space="0" w:color="auto"/>
              <w:bottom w:val="single" w:sz="4" w:space="0" w:color="auto"/>
              <w:right w:val="single" w:sz="4" w:space="0" w:color="auto"/>
            </w:tcBorders>
            <w:noWrap/>
            <w:vAlign w:val="bottom"/>
            <w:hideMark/>
          </w:tcPr>
          <w:p w:rsidR="006A6AD7" w14:paraId="4C9946AD" w14:textId="77777777">
            <w:pPr>
              <w:widowControl/>
              <w:autoSpaceDE/>
              <w:adjustRightInd/>
              <w:spacing w:line="254" w:lineRule="auto"/>
              <w:rPr>
                <w:color w:val="000000"/>
                <w:sz w:val="24"/>
              </w:rPr>
            </w:pPr>
            <w:r>
              <w:rPr>
                <w:color w:val="000000"/>
                <w:sz w:val="24"/>
              </w:rPr>
              <w:t>Category</w:t>
            </w:r>
          </w:p>
        </w:tc>
        <w:tc>
          <w:tcPr>
            <w:tcW w:w="1225" w:type="pct"/>
            <w:tcBorders>
              <w:top w:val="nil"/>
              <w:left w:val="nil"/>
              <w:bottom w:val="single" w:sz="4" w:space="0" w:color="auto"/>
              <w:right w:val="single" w:sz="4" w:space="0" w:color="auto"/>
            </w:tcBorders>
            <w:vAlign w:val="bottom"/>
            <w:hideMark/>
          </w:tcPr>
          <w:p w:rsidR="006A6AD7" w14:paraId="2F3927A7" w14:textId="77777777">
            <w:pPr>
              <w:widowControl/>
              <w:autoSpaceDE/>
              <w:adjustRightInd/>
              <w:spacing w:line="254" w:lineRule="auto"/>
              <w:rPr>
                <w:color w:val="000000"/>
                <w:sz w:val="24"/>
              </w:rPr>
            </w:pPr>
            <w:r>
              <w:rPr>
                <w:color w:val="000000"/>
                <w:sz w:val="24"/>
              </w:rPr>
              <w:t xml:space="preserve">Federal Funds Authorized </w:t>
            </w:r>
          </w:p>
        </w:tc>
        <w:tc>
          <w:tcPr>
            <w:tcW w:w="1373" w:type="pct"/>
            <w:tcBorders>
              <w:top w:val="nil"/>
              <w:left w:val="nil"/>
              <w:bottom w:val="single" w:sz="4" w:space="0" w:color="auto"/>
              <w:right w:val="single" w:sz="4" w:space="0" w:color="auto"/>
            </w:tcBorders>
            <w:vAlign w:val="bottom"/>
            <w:hideMark/>
          </w:tcPr>
          <w:p w:rsidR="006A6AD7" w14:paraId="3EB2EC1D" w14:textId="77777777">
            <w:pPr>
              <w:widowControl/>
              <w:autoSpaceDE/>
              <w:adjustRightInd/>
              <w:spacing w:line="254" w:lineRule="auto"/>
              <w:rPr>
                <w:color w:val="000000"/>
                <w:sz w:val="24"/>
              </w:rPr>
            </w:pPr>
            <w:r>
              <w:rPr>
                <w:color w:val="000000"/>
                <w:sz w:val="24"/>
              </w:rPr>
              <w:t>Unexpended Carryover</w:t>
            </w:r>
          </w:p>
        </w:tc>
        <w:tc>
          <w:tcPr>
            <w:tcW w:w="1038" w:type="pct"/>
            <w:tcBorders>
              <w:top w:val="nil"/>
              <w:left w:val="nil"/>
              <w:bottom w:val="single" w:sz="4" w:space="0" w:color="auto"/>
              <w:right w:val="single" w:sz="8" w:space="0" w:color="auto"/>
            </w:tcBorders>
            <w:vAlign w:val="bottom"/>
            <w:hideMark/>
          </w:tcPr>
          <w:p w:rsidR="006A6AD7" w14:paraId="7118E215" w14:textId="77777777">
            <w:pPr>
              <w:widowControl/>
              <w:autoSpaceDE/>
              <w:adjustRightInd/>
              <w:spacing w:line="254" w:lineRule="auto"/>
              <w:rPr>
                <w:color w:val="000000"/>
                <w:sz w:val="24"/>
              </w:rPr>
            </w:pPr>
            <w:r>
              <w:rPr>
                <w:color w:val="000000"/>
                <w:sz w:val="24"/>
              </w:rPr>
              <w:t>Current Year (FY 20XX)</w:t>
            </w:r>
          </w:p>
        </w:tc>
      </w:tr>
      <w:tr w14:paraId="04C6E508" w14:textId="77777777" w:rsidTr="006A6AD7">
        <w:tblPrEx>
          <w:tblW w:w="5000" w:type="pct"/>
          <w:tblLook w:val="04A0"/>
        </w:tblPrEx>
        <w:trPr>
          <w:cantSplit/>
          <w:trHeight w:val="332"/>
        </w:trPr>
        <w:tc>
          <w:tcPr>
            <w:tcW w:w="1364" w:type="pct"/>
            <w:tcBorders>
              <w:top w:val="nil"/>
              <w:left w:val="single" w:sz="8" w:space="0" w:color="auto"/>
              <w:bottom w:val="single" w:sz="4" w:space="0" w:color="auto"/>
              <w:right w:val="single" w:sz="4" w:space="0" w:color="auto"/>
            </w:tcBorders>
            <w:noWrap/>
            <w:vAlign w:val="bottom"/>
            <w:hideMark/>
          </w:tcPr>
          <w:p w:rsidR="006A6AD7" w14:paraId="1EE8C055" w14:textId="77777777">
            <w:pPr>
              <w:widowControl/>
              <w:autoSpaceDE/>
              <w:adjustRightInd/>
              <w:spacing w:line="254" w:lineRule="auto"/>
              <w:rPr>
                <w:color w:val="000000"/>
                <w:sz w:val="24"/>
              </w:rPr>
            </w:pPr>
            <w:r>
              <w:rPr>
                <w:color w:val="000000"/>
                <w:sz w:val="24"/>
              </w:rPr>
              <w:t>Part A Formula</w:t>
            </w:r>
          </w:p>
        </w:tc>
        <w:tc>
          <w:tcPr>
            <w:tcW w:w="1225" w:type="pct"/>
            <w:tcBorders>
              <w:top w:val="nil"/>
              <w:left w:val="nil"/>
              <w:bottom w:val="single" w:sz="4" w:space="0" w:color="auto"/>
              <w:right w:val="single" w:sz="4" w:space="0" w:color="auto"/>
            </w:tcBorders>
            <w:noWrap/>
            <w:vAlign w:val="bottom"/>
            <w:hideMark/>
          </w:tcPr>
          <w:p w:rsidR="006A6AD7" w14:paraId="622741F6" w14:textId="77777777">
            <w:pPr>
              <w:widowControl/>
              <w:autoSpaceDE/>
              <w:adjustRightInd/>
              <w:spacing w:line="254" w:lineRule="auto"/>
              <w:rPr>
                <w:color w:val="000000"/>
                <w:sz w:val="24"/>
              </w:rPr>
            </w:pPr>
            <w:r>
              <w:rPr>
                <w:color w:val="000000"/>
                <w:sz w:val="24"/>
              </w:rPr>
              <w:t> </w:t>
            </w:r>
          </w:p>
        </w:tc>
        <w:tc>
          <w:tcPr>
            <w:tcW w:w="1373" w:type="pct"/>
            <w:tcBorders>
              <w:top w:val="nil"/>
              <w:left w:val="nil"/>
              <w:bottom w:val="single" w:sz="4" w:space="0" w:color="auto"/>
              <w:right w:val="single" w:sz="4" w:space="0" w:color="auto"/>
            </w:tcBorders>
            <w:noWrap/>
            <w:vAlign w:val="bottom"/>
            <w:hideMark/>
          </w:tcPr>
          <w:p w:rsidR="006A6AD7" w14:paraId="171A6657" w14:textId="77777777">
            <w:pPr>
              <w:widowControl/>
              <w:autoSpaceDE/>
              <w:adjustRightInd/>
              <w:spacing w:line="254" w:lineRule="auto"/>
              <w:rPr>
                <w:color w:val="000000"/>
                <w:sz w:val="24"/>
              </w:rPr>
            </w:pPr>
            <w:r>
              <w:rPr>
                <w:color w:val="000000"/>
                <w:sz w:val="24"/>
              </w:rPr>
              <w:t> </w:t>
            </w:r>
          </w:p>
        </w:tc>
        <w:tc>
          <w:tcPr>
            <w:tcW w:w="1038" w:type="pct"/>
            <w:tcBorders>
              <w:top w:val="nil"/>
              <w:left w:val="nil"/>
              <w:bottom w:val="single" w:sz="4" w:space="0" w:color="auto"/>
              <w:right w:val="single" w:sz="8" w:space="0" w:color="auto"/>
            </w:tcBorders>
            <w:noWrap/>
            <w:vAlign w:val="bottom"/>
            <w:hideMark/>
          </w:tcPr>
          <w:p w:rsidR="006A6AD7" w14:paraId="6AD4E7A0" w14:textId="77777777">
            <w:pPr>
              <w:widowControl/>
              <w:autoSpaceDE/>
              <w:adjustRightInd/>
              <w:spacing w:line="254" w:lineRule="auto"/>
              <w:rPr>
                <w:color w:val="000000"/>
                <w:sz w:val="24"/>
              </w:rPr>
            </w:pPr>
            <w:r>
              <w:rPr>
                <w:color w:val="000000"/>
                <w:sz w:val="24"/>
              </w:rPr>
              <w:t> </w:t>
            </w:r>
          </w:p>
        </w:tc>
      </w:tr>
      <w:tr w14:paraId="720A9F62" w14:textId="77777777" w:rsidTr="006A6AD7">
        <w:tblPrEx>
          <w:tblW w:w="5000" w:type="pct"/>
          <w:tblLook w:val="04A0"/>
        </w:tblPrEx>
        <w:trPr>
          <w:cantSplit/>
          <w:trHeight w:val="315"/>
        </w:trPr>
        <w:tc>
          <w:tcPr>
            <w:tcW w:w="1364" w:type="pct"/>
            <w:tcBorders>
              <w:top w:val="nil"/>
              <w:left w:val="single" w:sz="8" w:space="0" w:color="auto"/>
              <w:bottom w:val="single" w:sz="4" w:space="0" w:color="auto"/>
              <w:right w:val="single" w:sz="4" w:space="0" w:color="auto"/>
            </w:tcBorders>
            <w:noWrap/>
            <w:vAlign w:val="bottom"/>
            <w:hideMark/>
          </w:tcPr>
          <w:p w:rsidR="006A6AD7" w14:paraId="5D4D19C7" w14:textId="77777777">
            <w:pPr>
              <w:widowControl/>
              <w:autoSpaceDE/>
              <w:adjustRightInd/>
              <w:spacing w:line="254" w:lineRule="auto"/>
              <w:rPr>
                <w:color w:val="000000"/>
                <w:sz w:val="24"/>
              </w:rPr>
            </w:pPr>
            <w:r>
              <w:rPr>
                <w:color w:val="000000"/>
                <w:sz w:val="24"/>
              </w:rPr>
              <w:t>Part A Supplemental</w:t>
            </w:r>
          </w:p>
        </w:tc>
        <w:tc>
          <w:tcPr>
            <w:tcW w:w="1225" w:type="pct"/>
            <w:tcBorders>
              <w:top w:val="nil"/>
              <w:left w:val="nil"/>
              <w:bottom w:val="single" w:sz="4" w:space="0" w:color="auto"/>
              <w:right w:val="single" w:sz="4" w:space="0" w:color="auto"/>
            </w:tcBorders>
            <w:noWrap/>
            <w:vAlign w:val="bottom"/>
            <w:hideMark/>
          </w:tcPr>
          <w:p w:rsidR="006A6AD7" w14:paraId="71E2D822" w14:textId="77777777">
            <w:pPr>
              <w:widowControl/>
              <w:autoSpaceDE/>
              <w:adjustRightInd/>
              <w:spacing w:line="254" w:lineRule="auto"/>
              <w:rPr>
                <w:color w:val="000000"/>
                <w:sz w:val="24"/>
              </w:rPr>
            </w:pPr>
            <w:r>
              <w:rPr>
                <w:color w:val="000000"/>
                <w:sz w:val="24"/>
              </w:rPr>
              <w:t> </w:t>
            </w:r>
          </w:p>
        </w:tc>
        <w:tc>
          <w:tcPr>
            <w:tcW w:w="1373" w:type="pct"/>
            <w:tcBorders>
              <w:top w:val="nil"/>
              <w:left w:val="nil"/>
              <w:bottom w:val="single" w:sz="4" w:space="0" w:color="auto"/>
              <w:right w:val="single" w:sz="4" w:space="0" w:color="auto"/>
            </w:tcBorders>
            <w:noWrap/>
            <w:vAlign w:val="bottom"/>
            <w:hideMark/>
          </w:tcPr>
          <w:p w:rsidR="006A6AD7" w14:paraId="268A7F52" w14:textId="77777777">
            <w:pPr>
              <w:widowControl/>
              <w:autoSpaceDE/>
              <w:adjustRightInd/>
              <w:spacing w:line="254" w:lineRule="auto"/>
              <w:rPr>
                <w:color w:val="000000"/>
                <w:sz w:val="24"/>
              </w:rPr>
            </w:pPr>
            <w:r>
              <w:rPr>
                <w:color w:val="000000"/>
                <w:sz w:val="24"/>
              </w:rPr>
              <w:t> </w:t>
            </w:r>
          </w:p>
        </w:tc>
        <w:tc>
          <w:tcPr>
            <w:tcW w:w="1038" w:type="pct"/>
            <w:tcBorders>
              <w:top w:val="nil"/>
              <w:left w:val="nil"/>
              <w:bottom w:val="single" w:sz="4" w:space="0" w:color="auto"/>
              <w:right w:val="single" w:sz="8" w:space="0" w:color="auto"/>
            </w:tcBorders>
            <w:noWrap/>
            <w:vAlign w:val="bottom"/>
            <w:hideMark/>
          </w:tcPr>
          <w:p w:rsidR="006A6AD7" w14:paraId="2A434714" w14:textId="77777777">
            <w:pPr>
              <w:widowControl/>
              <w:autoSpaceDE/>
              <w:adjustRightInd/>
              <w:spacing w:line="254" w:lineRule="auto"/>
              <w:rPr>
                <w:color w:val="000000"/>
                <w:sz w:val="24"/>
              </w:rPr>
            </w:pPr>
            <w:r>
              <w:rPr>
                <w:color w:val="000000"/>
                <w:sz w:val="24"/>
              </w:rPr>
              <w:t> </w:t>
            </w:r>
          </w:p>
        </w:tc>
      </w:tr>
      <w:tr w14:paraId="59358F19" w14:textId="77777777" w:rsidTr="006A6AD7">
        <w:tblPrEx>
          <w:tblW w:w="5000" w:type="pct"/>
          <w:tblLook w:val="04A0"/>
        </w:tblPrEx>
        <w:trPr>
          <w:cantSplit/>
          <w:trHeight w:val="330"/>
        </w:trPr>
        <w:tc>
          <w:tcPr>
            <w:tcW w:w="1364" w:type="pct"/>
            <w:tcBorders>
              <w:top w:val="nil"/>
              <w:left w:val="single" w:sz="8" w:space="0" w:color="auto"/>
              <w:bottom w:val="single" w:sz="8" w:space="0" w:color="auto"/>
              <w:right w:val="single" w:sz="4" w:space="0" w:color="auto"/>
            </w:tcBorders>
            <w:noWrap/>
            <w:vAlign w:val="bottom"/>
            <w:hideMark/>
          </w:tcPr>
          <w:p w:rsidR="006A6AD7" w14:paraId="1C9159A1" w14:textId="77777777">
            <w:pPr>
              <w:widowControl/>
              <w:autoSpaceDE/>
              <w:adjustRightInd/>
              <w:spacing w:line="254" w:lineRule="auto"/>
              <w:rPr>
                <w:color w:val="000000"/>
                <w:sz w:val="24"/>
              </w:rPr>
            </w:pPr>
            <w:r>
              <w:rPr>
                <w:color w:val="000000"/>
                <w:sz w:val="24"/>
              </w:rPr>
              <w:t>Part A MAI</w:t>
            </w:r>
          </w:p>
        </w:tc>
        <w:tc>
          <w:tcPr>
            <w:tcW w:w="1225" w:type="pct"/>
            <w:tcBorders>
              <w:top w:val="nil"/>
              <w:left w:val="nil"/>
              <w:bottom w:val="single" w:sz="8" w:space="0" w:color="auto"/>
              <w:right w:val="single" w:sz="4" w:space="0" w:color="auto"/>
            </w:tcBorders>
            <w:noWrap/>
            <w:vAlign w:val="bottom"/>
            <w:hideMark/>
          </w:tcPr>
          <w:p w:rsidR="006A6AD7" w14:paraId="0F28460A" w14:textId="77777777">
            <w:pPr>
              <w:widowControl/>
              <w:autoSpaceDE/>
              <w:adjustRightInd/>
              <w:spacing w:line="254" w:lineRule="auto"/>
              <w:rPr>
                <w:color w:val="000000"/>
                <w:sz w:val="24"/>
              </w:rPr>
            </w:pPr>
            <w:r>
              <w:rPr>
                <w:color w:val="000000"/>
                <w:sz w:val="24"/>
              </w:rPr>
              <w:t> </w:t>
            </w:r>
          </w:p>
        </w:tc>
        <w:tc>
          <w:tcPr>
            <w:tcW w:w="1373" w:type="pct"/>
            <w:tcBorders>
              <w:top w:val="nil"/>
              <w:left w:val="nil"/>
              <w:bottom w:val="single" w:sz="8" w:space="0" w:color="auto"/>
              <w:right w:val="single" w:sz="4" w:space="0" w:color="auto"/>
            </w:tcBorders>
            <w:noWrap/>
            <w:vAlign w:val="bottom"/>
            <w:hideMark/>
          </w:tcPr>
          <w:p w:rsidR="006A6AD7" w14:paraId="1713AB3A" w14:textId="77777777">
            <w:pPr>
              <w:widowControl/>
              <w:autoSpaceDE/>
              <w:adjustRightInd/>
              <w:spacing w:line="254" w:lineRule="auto"/>
              <w:rPr>
                <w:color w:val="000000"/>
                <w:sz w:val="24"/>
              </w:rPr>
            </w:pPr>
            <w:r>
              <w:rPr>
                <w:color w:val="000000"/>
                <w:sz w:val="24"/>
              </w:rPr>
              <w:t> </w:t>
            </w:r>
          </w:p>
        </w:tc>
        <w:tc>
          <w:tcPr>
            <w:tcW w:w="1038" w:type="pct"/>
            <w:tcBorders>
              <w:top w:val="nil"/>
              <w:left w:val="nil"/>
              <w:bottom w:val="single" w:sz="8" w:space="0" w:color="auto"/>
              <w:right w:val="single" w:sz="8" w:space="0" w:color="auto"/>
            </w:tcBorders>
            <w:noWrap/>
            <w:vAlign w:val="bottom"/>
            <w:hideMark/>
          </w:tcPr>
          <w:p w:rsidR="006A6AD7" w14:paraId="689C8F62" w14:textId="77777777">
            <w:pPr>
              <w:widowControl/>
              <w:autoSpaceDE/>
              <w:adjustRightInd/>
              <w:spacing w:line="254" w:lineRule="auto"/>
              <w:rPr>
                <w:color w:val="000000"/>
                <w:sz w:val="24"/>
              </w:rPr>
            </w:pPr>
            <w:r>
              <w:rPr>
                <w:color w:val="000000"/>
                <w:sz w:val="24"/>
              </w:rPr>
              <w:t> </w:t>
            </w:r>
          </w:p>
        </w:tc>
      </w:tr>
    </w:tbl>
    <w:p w:rsidR="006A6AD7" w:rsidP="006A6AD7" w14:paraId="76BF8C84" w14:textId="77777777">
      <w:pPr>
        <w:widowControl/>
        <w:autoSpaceDE/>
        <w:adjustRightInd/>
        <w:rPr>
          <w:sz w:val="24"/>
          <w:u w:val="single"/>
        </w:rPr>
      </w:pPr>
      <w:bookmarkStart w:id="1" w:name="_Hlk122341153"/>
    </w:p>
    <w:p w:rsidR="006A6AD7" w:rsidP="006A6AD7" w14:paraId="2D7EAD60" w14:textId="77777777">
      <w:pPr>
        <w:widowControl/>
        <w:autoSpaceDE/>
        <w:adjustRightInd/>
        <w:rPr>
          <w:sz w:val="24"/>
        </w:rPr>
      </w:pPr>
      <w:r>
        <w:rPr>
          <w:sz w:val="24"/>
        </w:rPr>
        <w:t>REVISED RWHAP PART A TABLE:</w:t>
      </w:r>
    </w:p>
    <w:bookmarkEnd w:id="1"/>
    <w:p w:rsidR="006A6AD7" w:rsidP="006A6AD7" w14:paraId="6FCDF471" w14:textId="77777777">
      <w:pPr>
        <w:widowControl/>
        <w:autoSpaceDE/>
        <w:adjustRightInd/>
        <w:rPr>
          <w:b/>
          <w:bCs/>
          <w:sz w:val="24"/>
          <w:u w:val="single"/>
        </w:rPr>
      </w:pPr>
    </w:p>
    <w:tbl>
      <w:tblPr>
        <w:tblW w:w="5000" w:type="pct"/>
        <w:tblLook w:val="04A0"/>
      </w:tblPr>
      <w:tblGrid>
        <w:gridCol w:w="2216"/>
        <w:gridCol w:w="1849"/>
        <w:gridCol w:w="1849"/>
        <w:gridCol w:w="1715"/>
        <w:gridCol w:w="1711"/>
      </w:tblGrid>
      <w:tr w14:paraId="49150D41" w14:textId="77777777" w:rsidTr="006A6AD7">
        <w:tblPrEx>
          <w:tblW w:w="5000" w:type="pct"/>
          <w:tblLook w:val="04A0"/>
        </w:tblPrEx>
        <w:trPr>
          <w:trHeight w:val="97"/>
        </w:trPr>
        <w:tc>
          <w:tcPr>
            <w:tcW w:w="5000" w:type="pct"/>
            <w:gridSpan w:val="5"/>
            <w:tcBorders>
              <w:top w:val="single" w:sz="8" w:space="0" w:color="auto"/>
              <w:left w:val="single" w:sz="8" w:space="0" w:color="auto"/>
              <w:bottom w:val="single" w:sz="4" w:space="0" w:color="auto"/>
              <w:right w:val="single" w:sz="8" w:space="0" w:color="000000"/>
            </w:tcBorders>
            <w:noWrap/>
            <w:vAlign w:val="bottom"/>
            <w:hideMark/>
          </w:tcPr>
          <w:p w:rsidR="006A6AD7" w14:paraId="4B279893" w14:textId="77777777">
            <w:pPr>
              <w:widowControl/>
              <w:autoSpaceDE/>
              <w:adjustRightInd/>
              <w:spacing w:line="254" w:lineRule="auto"/>
              <w:rPr>
                <w:color w:val="000000"/>
                <w:sz w:val="24"/>
              </w:rPr>
            </w:pPr>
            <w:r>
              <w:rPr>
                <w:color w:val="000000"/>
                <w:sz w:val="24"/>
              </w:rPr>
              <w:t>Unobligated Balance (UOB) of Federal Funds by Subprogram</w:t>
            </w:r>
          </w:p>
        </w:tc>
      </w:tr>
      <w:tr w14:paraId="0BA2C697" w14:textId="77777777" w:rsidTr="006A6AD7">
        <w:tblPrEx>
          <w:tblW w:w="5000" w:type="pct"/>
          <w:tblLook w:val="04A0"/>
        </w:tblPrEx>
        <w:trPr>
          <w:trHeight w:val="485"/>
        </w:trPr>
        <w:tc>
          <w:tcPr>
            <w:tcW w:w="1182" w:type="pct"/>
            <w:tcBorders>
              <w:top w:val="nil"/>
              <w:left w:val="single" w:sz="8" w:space="0" w:color="auto"/>
              <w:bottom w:val="single" w:sz="4" w:space="0" w:color="auto"/>
              <w:right w:val="single" w:sz="4" w:space="0" w:color="auto"/>
            </w:tcBorders>
            <w:noWrap/>
            <w:vAlign w:val="bottom"/>
            <w:hideMark/>
          </w:tcPr>
          <w:p w:rsidR="006A6AD7" w14:paraId="47AA45E3" w14:textId="77777777">
            <w:pPr>
              <w:widowControl/>
              <w:autoSpaceDE/>
              <w:adjustRightInd/>
              <w:spacing w:line="254" w:lineRule="auto"/>
              <w:rPr>
                <w:color w:val="000000"/>
                <w:sz w:val="24"/>
              </w:rPr>
            </w:pPr>
            <w:r>
              <w:rPr>
                <w:color w:val="000000"/>
                <w:sz w:val="24"/>
              </w:rPr>
              <w:t>Category</w:t>
            </w:r>
          </w:p>
        </w:tc>
        <w:tc>
          <w:tcPr>
            <w:tcW w:w="991" w:type="pct"/>
            <w:tcBorders>
              <w:top w:val="nil"/>
              <w:left w:val="nil"/>
              <w:bottom w:val="single" w:sz="4" w:space="0" w:color="auto"/>
              <w:right w:val="single" w:sz="4" w:space="0" w:color="auto"/>
            </w:tcBorders>
            <w:vAlign w:val="bottom"/>
            <w:hideMark/>
          </w:tcPr>
          <w:p w:rsidR="006A6AD7" w14:paraId="6A47F60C" w14:textId="77777777">
            <w:pPr>
              <w:widowControl/>
              <w:autoSpaceDE/>
              <w:adjustRightInd/>
              <w:spacing w:line="254" w:lineRule="auto"/>
              <w:rPr>
                <w:color w:val="000000"/>
                <w:sz w:val="24"/>
              </w:rPr>
            </w:pPr>
            <w:r>
              <w:rPr>
                <w:color w:val="000000"/>
                <w:sz w:val="24"/>
              </w:rPr>
              <w:t xml:space="preserve">Federal Funds Authorized </w:t>
            </w:r>
          </w:p>
        </w:tc>
        <w:tc>
          <w:tcPr>
            <w:tcW w:w="991" w:type="pct"/>
            <w:tcBorders>
              <w:top w:val="nil"/>
              <w:left w:val="nil"/>
              <w:bottom w:val="single" w:sz="4" w:space="0" w:color="auto"/>
              <w:right w:val="single" w:sz="4" w:space="0" w:color="auto"/>
            </w:tcBorders>
            <w:vAlign w:val="bottom"/>
            <w:hideMark/>
          </w:tcPr>
          <w:p w:rsidR="006A6AD7" w14:paraId="65B7095E" w14:textId="77777777">
            <w:pPr>
              <w:widowControl/>
              <w:autoSpaceDE/>
              <w:adjustRightInd/>
              <w:spacing w:line="254" w:lineRule="auto"/>
              <w:rPr>
                <w:color w:val="000000"/>
                <w:sz w:val="24"/>
              </w:rPr>
            </w:pPr>
            <w:r>
              <w:rPr>
                <w:color w:val="000000"/>
                <w:sz w:val="24"/>
              </w:rPr>
              <w:t>Unexpended Carryover</w:t>
            </w:r>
          </w:p>
        </w:tc>
        <w:tc>
          <w:tcPr>
            <w:tcW w:w="919" w:type="pct"/>
            <w:tcBorders>
              <w:top w:val="nil"/>
              <w:left w:val="nil"/>
              <w:bottom w:val="single" w:sz="4" w:space="0" w:color="auto"/>
              <w:right w:val="nil"/>
            </w:tcBorders>
            <w:vAlign w:val="bottom"/>
            <w:hideMark/>
          </w:tcPr>
          <w:p w:rsidR="006A6AD7" w14:paraId="39EF4147" w14:textId="77777777">
            <w:pPr>
              <w:widowControl/>
              <w:autoSpaceDE/>
              <w:adjustRightInd/>
              <w:spacing w:line="254" w:lineRule="auto"/>
              <w:rPr>
                <w:color w:val="000000"/>
                <w:sz w:val="24"/>
              </w:rPr>
            </w:pPr>
            <w:r>
              <w:rPr>
                <w:color w:val="000000"/>
                <w:sz w:val="24"/>
              </w:rPr>
              <w:t>Prior Year (FY20XX)</w:t>
            </w:r>
          </w:p>
        </w:tc>
        <w:tc>
          <w:tcPr>
            <w:tcW w:w="917" w:type="pct"/>
            <w:tcBorders>
              <w:top w:val="nil"/>
              <w:left w:val="single" w:sz="4" w:space="0" w:color="auto"/>
              <w:bottom w:val="single" w:sz="4" w:space="0" w:color="auto"/>
              <w:right w:val="single" w:sz="8" w:space="0" w:color="auto"/>
            </w:tcBorders>
            <w:vAlign w:val="bottom"/>
            <w:hideMark/>
          </w:tcPr>
          <w:p w:rsidR="006A6AD7" w14:paraId="2AA80A60" w14:textId="77777777">
            <w:pPr>
              <w:widowControl/>
              <w:autoSpaceDE/>
              <w:adjustRightInd/>
              <w:spacing w:line="254" w:lineRule="auto"/>
              <w:rPr>
                <w:color w:val="000000"/>
                <w:sz w:val="24"/>
              </w:rPr>
            </w:pPr>
            <w:r>
              <w:rPr>
                <w:color w:val="000000"/>
                <w:sz w:val="24"/>
              </w:rPr>
              <w:t>Current Year (FY 20XX)</w:t>
            </w:r>
          </w:p>
        </w:tc>
      </w:tr>
      <w:tr w14:paraId="5FF51695" w14:textId="77777777" w:rsidTr="006A6AD7">
        <w:tblPrEx>
          <w:tblW w:w="5000" w:type="pct"/>
          <w:tblLook w:val="04A0"/>
        </w:tblPrEx>
        <w:trPr>
          <w:trHeight w:val="315"/>
        </w:trPr>
        <w:tc>
          <w:tcPr>
            <w:tcW w:w="1182" w:type="pct"/>
            <w:tcBorders>
              <w:top w:val="nil"/>
              <w:left w:val="single" w:sz="8" w:space="0" w:color="auto"/>
              <w:bottom w:val="single" w:sz="4" w:space="0" w:color="auto"/>
              <w:right w:val="single" w:sz="4" w:space="0" w:color="auto"/>
            </w:tcBorders>
            <w:noWrap/>
            <w:vAlign w:val="bottom"/>
            <w:hideMark/>
          </w:tcPr>
          <w:p w:rsidR="006A6AD7" w14:paraId="7EA94DCB" w14:textId="77777777">
            <w:pPr>
              <w:widowControl/>
              <w:autoSpaceDE/>
              <w:adjustRightInd/>
              <w:spacing w:line="254" w:lineRule="auto"/>
              <w:rPr>
                <w:color w:val="000000"/>
                <w:sz w:val="24"/>
              </w:rPr>
            </w:pPr>
            <w:r>
              <w:rPr>
                <w:color w:val="000000"/>
                <w:sz w:val="24"/>
              </w:rPr>
              <w:t>Part A Formula</w:t>
            </w:r>
          </w:p>
        </w:tc>
        <w:tc>
          <w:tcPr>
            <w:tcW w:w="991" w:type="pct"/>
            <w:tcBorders>
              <w:top w:val="nil"/>
              <w:left w:val="nil"/>
              <w:bottom w:val="single" w:sz="4" w:space="0" w:color="auto"/>
              <w:right w:val="single" w:sz="4" w:space="0" w:color="auto"/>
            </w:tcBorders>
            <w:noWrap/>
            <w:vAlign w:val="bottom"/>
            <w:hideMark/>
          </w:tcPr>
          <w:p w:rsidR="006A6AD7" w14:paraId="401A54C4" w14:textId="77777777">
            <w:pPr>
              <w:widowControl/>
              <w:autoSpaceDE/>
              <w:adjustRightInd/>
              <w:spacing w:line="254" w:lineRule="auto"/>
              <w:rPr>
                <w:color w:val="000000"/>
                <w:sz w:val="24"/>
              </w:rPr>
            </w:pPr>
            <w:r>
              <w:rPr>
                <w:color w:val="000000"/>
                <w:sz w:val="24"/>
              </w:rPr>
              <w:t> </w:t>
            </w:r>
          </w:p>
        </w:tc>
        <w:tc>
          <w:tcPr>
            <w:tcW w:w="991" w:type="pct"/>
            <w:tcBorders>
              <w:top w:val="nil"/>
              <w:left w:val="nil"/>
              <w:bottom w:val="single" w:sz="4" w:space="0" w:color="auto"/>
              <w:right w:val="single" w:sz="4" w:space="0" w:color="auto"/>
            </w:tcBorders>
            <w:noWrap/>
            <w:vAlign w:val="bottom"/>
            <w:hideMark/>
          </w:tcPr>
          <w:p w:rsidR="006A6AD7" w14:paraId="4D32ABF5" w14:textId="77777777">
            <w:pPr>
              <w:widowControl/>
              <w:autoSpaceDE/>
              <w:adjustRightInd/>
              <w:spacing w:line="254" w:lineRule="auto"/>
              <w:rPr>
                <w:color w:val="000000"/>
                <w:sz w:val="24"/>
              </w:rPr>
            </w:pPr>
            <w:r>
              <w:rPr>
                <w:color w:val="000000"/>
                <w:sz w:val="24"/>
              </w:rPr>
              <w:t> </w:t>
            </w:r>
          </w:p>
        </w:tc>
        <w:tc>
          <w:tcPr>
            <w:tcW w:w="919" w:type="pct"/>
            <w:tcBorders>
              <w:top w:val="nil"/>
              <w:left w:val="nil"/>
              <w:bottom w:val="single" w:sz="4" w:space="0" w:color="auto"/>
              <w:right w:val="nil"/>
            </w:tcBorders>
            <w:noWrap/>
            <w:vAlign w:val="bottom"/>
            <w:hideMark/>
          </w:tcPr>
          <w:p w:rsidR="006A6AD7" w14:paraId="2BFBBE28" w14:textId="77777777">
            <w:pPr>
              <w:widowControl/>
              <w:autoSpaceDE/>
              <w:adjustRightInd/>
              <w:spacing w:line="254" w:lineRule="auto"/>
              <w:rPr>
                <w:color w:val="000000"/>
                <w:sz w:val="24"/>
              </w:rPr>
            </w:pPr>
            <w:r>
              <w:rPr>
                <w:color w:val="000000"/>
                <w:sz w:val="24"/>
              </w:rPr>
              <w:t> </w:t>
            </w:r>
          </w:p>
        </w:tc>
        <w:tc>
          <w:tcPr>
            <w:tcW w:w="917" w:type="pct"/>
            <w:tcBorders>
              <w:top w:val="nil"/>
              <w:left w:val="single" w:sz="4" w:space="0" w:color="auto"/>
              <w:bottom w:val="single" w:sz="4" w:space="0" w:color="auto"/>
              <w:right w:val="single" w:sz="8" w:space="0" w:color="auto"/>
            </w:tcBorders>
            <w:noWrap/>
            <w:vAlign w:val="bottom"/>
            <w:hideMark/>
          </w:tcPr>
          <w:p w:rsidR="006A6AD7" w14:paraId="73BACA70" w14:textId="77777777">
            <w:pPr>
              <w:widowControl/>
              <w:autoSpaceDE/>
              <w:adjustRightInd/>
              <w:spacing w:line="254" w:lineRule="auto"/>
              <w:rPr>
                <w:color w:val="000000"/>
                <w:sz w:val="24"/>
              </w:rPr>
            </w:pPr>
            <w:r>
              <w:rPr>
                <w:color w:val="000000"/>
                <w:sz w:val="24"/>
              </w:rPr>
              <w:t> </w:t>
            </w:r>
          </w:p>
        </w:tc>
      </w:tr>
      <w:tr w14:paraId="6B1A0EA7" w14:textId="77777777" w:rsidTr="006A6AD7">
        <w:tblPrEx>
          <w:tblW w:w="5000" w:type="pct"/>
          <w:tblLook w:val="04A0"/>
        </w:tblPrEx>
        <w:trPr>
          <w:trHeight w:val="315"/>
        </w:trPr>
        <w:tc>
          <w:tcPr>
            <w:tcW w:w="1182" w:type="pct"/>
            <w:tcBorders>
              <w:top w:val="nil"/>
              <w:left w:val="single" w:sz="8" w:space="0" w:color="auto"/>
              <w:bottom w:val="single" w:sz="4" w:space="0" w:color="auto"/>
              <w:right w:val="single" w:sz="4" w:space="0" w:color="auto"/>
            </w:tcBorders>
            <w:noWrap/>
            <w:vAlign w:val="bottom"/>
            <w:hideMark/>
          </w:tcPr>
          <w:p w:rsidR="006A6AD7" w14:paraId="5870418C" w14:textId="77777777">
            <w:pPr>
              <w:widowControl/>
              <w:autoSpaceDE/>
              <w:adjustRightInd/>
              <w:spacing w:line="254" w:lineRule="auto"/>
              <w:rPr>
                <w:color w:val="000000"/>
                <w:sz w:val="24"/>
              </w:rPr>
            </w:pPr>
            <w:r>
              <w:rPr>
                <w:color w:val="000000"/>
                <w:sz w:val="24"/>
              </w:rPr>
              <w:t>Part A Supplemental</w:t>
            </w:r>
          </w:p>
        </w:tc>
        <w:tc>
          <w:tcPr>
            <w:tcW w:w="991" w:type="pct"/>
            <w:tcBorders>
              <w:top w:val="nil"/>
              <w:left w:val="nil"/>
              <w:bottom w:val="single" w:sz="4" w:space="0" w:color="auto"/>
              <w:right w:val="single" w:sz="4" w:space="0" w:color="auto"/>
            </w:tcBorders>
            <w:noWrap/>
            <w:vAlign w:val="bottom"/>
            <w:hideMark/>
          </w:tcPr>
          <w:p w:rsidR="006A6AD7" w14:paraId="658F7585" w14:textId="77777777">
            <w:pPr>
              <w:widowControl/>
              <w:autoSpaceDE/>
              <w:adjustRightInd/>
              <w:spacing w:line="254" w:lineRule="auto"/>
              <w:rPr>
                <w:color w:val="000000"/>
                <w:sz w:val="24"/>
              </w:rPr>
            </w:pPr>
            <w:r>
              <w:rPr>
                <w:color w:val="000000"/>
                <w:sz w:val="24"/>
              </w:rPr>
              <w:t> </w:t>
            </w:r>
          </w:p>
        </w:tc>
        <w:tc>
          <w:tcPr>
            <w:tcW w:w="991" w:type="pct"/>
            <w:tcBorders>
              <w:top w:val="nil"/>
              <w:left w:val="nil"/>
              <w:bottom w:val="single" w:sz="4" w:space="0" w:color="auto"/>
              <w:right w:val="single" w:sz="4" w:space="0" w:color="auto"/>
            </w:tcBorders>
            <w:noWrap/>
            <w:vAlign w:val="bottom"/>
            <w:hideMark/>
          </w:tcPr>
          <w:p w:rsidR="006A6AD7" w14:paraId="4B9C4B1A" w14:textId="77777777">
            <w:pPr>
              <w:widowControl/>
              <w:autoSpaceDE/>
              <w:adjustRightInd/>
              <w:spacing w:line="254" w:lineRule="auto"/>
              <w:rPr>
                <w:color w:val="000000"/>
                <w:sz w:val="24"/>
              </w:rPr>
            </w:pPr>
            <w:r>
              <w:rPr>
                <w:color w:val="000000"/>
                <w:sz w:val="24"/>
              </w:rPr>
              <w:t> </w:t>
            </w:r>
          </w:p>
        </w:tc>
        <w:tc>
          <w:tcPr>
            <w:tcW w:w="919" w:type="pct"/>
            <w:tcBorders>
              <w:top w:val="nil"/>
              <w:left w:val="nil"/>
              <w:bottom w:val="single" w:sz="4" w:space="0" w:color="auto"/>
              <w:right w:val="nil"/>
            </w:tcBorders>
            <w:noWrap/>
            <w:vAlign w:val="bottom"/>
            <w:hideMark/>
          </w:tcPr>
          <w:p w:rsidR="006A6AD7" w14:paraId="45FA11D7" w14:textId="77777777">
            <w:pPr>
              <w:widowControl/>
              <w:autoSpaceDE/>
              <w:adjustRightInd/>
              <w:spacing w:line="254" w:lineRule="auto"/>
              <w:rPr>
                <w:color w:val="000000"/>
                <w:sz w:val="24"/>
              </w:rPr>
            </w:pPr>
            <w:r>
              <w:rPr>
                <w:color w:val="000000"/>
                <w:sz w:val="24"/>
              </w:rPr>
              <w:t> </w:t>
            </w:r>
          </w:p>
        </w:tc>
        <w:tc>
          <w:tcPr>
            <w:tcW w:w="917" w:type="pct"/>
            <w:tcBorders>
              <w:top w:val="nil"/>
              <w:left w:val="single" w:sz="4" w:space="0" w:color="auto"/>
              <w:bottom w:val="single" w:sz="4" w:space="0" w:color="auto"/>
              <w:right w:val="single" w:sz="8" w:space="0" w:color="auto"/>
            </w:tcBorders>
            <w:noWrap/>
            <w:vAlign w:val="bottom"/>
            <w:hideMark/>
          </w:tcPr>
          <w:p w:rsidR="006A6AD7" w14:paraId="258B4670" w14:textId="77777777">
            <w:pPr>
              <w:widowControl/>
              <w:autoSpaceDE/>
              <w:adjustRightInd/>
              <w:spacing w:line="254" w:lineRule="auto"/>
              <w:rPr>
                <w:color w:val="000000"/>
                <w:sz w:val="24"/>
              </w:rPr>
            </w:pPr>
            <w:r>
              <w:rPr>
                <w:color w:val="000000"/>
                <w:sz w:val="24"/>
              </w:rPr>
              <w:t> </w:t>
            </w:r>
          </w:p>
        </w:tc>
      </w:tr>
      <w:tr w14:paraId="7A8C48CE" w14:textId="77777777" w:rsidTr="006A6AD7">
        <w:tblPrEx>
          <w:tblW w:w="5000" w:type="pct"/>
          <w:tblLook w:val="04A0"/>
        </w:tblPrEx>
        <w:trPr>
          <w:trHeight w:val="330"/>
        </w:trPr>
        <w:tc>
          <w:tcPr>
            <w:tcW w:w="1182" w:type="pct"/>
            <w:tcBorders>
              <w:top w:val="nil"/>
              <w:left w:val="single" w:sz="8" w:space="0" w:color="auto"/>
              <w:bottom w:val="single" w:sz="8" w:space="0" w:color="auto"/>
              <w:right w:val="single" w:sz="4" w:space="0" w:color="auto"/>
            </w:tcBorders>
            <w:noWrap/>
            <w:vAlign w:val="bottom"/>
            <w:hideMark/>
          </w:tcPr>
          <w:p w:rsidR="006A6AD7" w14:paraId="61B0FFF2" w14:textId="77777777">
            <w:pPr>
              <w:widowControl/>
              <w:autoSpaceDE/>
              <w:adjustRightInd/>
              <w:spacing w:line="254" w:lineRule="auto"/>
              <w:rPr>
                <w:color w:val="000000"/>
                <w:sz w:val="24"/>
              </w:rPr>
            </w:pPr>
            <w:r>
              <w:rPr>
                <w:color w:val="000000"/>
                <w:sz w:val="24"/>
              </w:rPr>
              <w:t>Part A MAI</w:t>
            </w:r>
          </w:p>
        </w:tc>
        <w:tc>
          <w:tcPr>
            <w:tcW w:w="991" w:type="pct"/>
            <w:tcBorders>
              <w:top w:val="nil"/>
              <w:left w:val="nil"/>
              <w:bottom w:val="single" w:sz="8" w:space="0" w:color="auto"/>
              <w:right w:val="single" w:sz="4" w:space="0" w:color="auto"/>
            </w:tcBorders>
            <w:noWrap/>
            <w:vAlign w:val="bottom"/>
            <w:hideMark/>
          </w:tcPr>
          <w:p w:rsidR="006A6AD7" w14:paraId="5E57DAAD" w14:textId="77777777">
            <w:pPr>
              <w:widowControl/>
              <w:autoSpaceDE/>
              <w:adjustRightInd/>
              <w:spacing w:line="254" w:lineRule="auto"/>
              <w:rPr>
                <w:color w:val="000000"/>
                <w:sz w:val="24"/>
              </w:rPr>
            </w:pPr>
            <w:r>
              <w:rPr>
                <w:color w:val="000000"/>
                <w:sz w:val="24"/>
              </w:rPr>
              <w:t> </w:t>
            </w:r>
          </w:p>
        </w:tc>
        <w:tc>
          <w:tcPr>
            <w:tcW w:w="991" w:type="pct"/>
            <w:tcBorders>
              <w:top w:val="nil"/>
              <w:left w:val="nil"/>
              <w:bottom w:val="single" w:sz="8" w:space="0" w:color="auto"/>
              <w:right w:val="single" w:sz="4" w:space="0" w:color="auto"/>
            </w:tcBorders>
            <w:noWrap/>
            <w:vAlign w:val="bottom"/>
            <w:hideMark/>
          </w:tcPr>
          <w:p w:rsidR="006A6AD7" w14:paraId="6B6D1109" w14:textId="77777777">
            <w:pPr>
              <w:widowControl/>
              <w:autoSpaceDE/>
              <w:adjustRightInd/>
              <w:spacing w:line="254" w:lineRule="auto"/>
              <w:rPr>
                <w:color w:val="000000"/>
                <w:sz w:val="24"/>
              </w:rPr>
            </w:pPr>
            <w:r>
              <w:rPr>
                <w:color w:val="000000"/>
                <w:sz w:val="24"/>
              </w:rPr>
              <w:t> </w:t>
            </w:r>
          </w:p>
        </w:tc>
        <w:tc>
          <w:tcPr>
            <w:tcW w:w="919" w:type="pct"/>
            <w:tcBorders>
              <w:top w:val="nil"/>
              <w:left w:val="nil"/>
              <w:bottom w:val="single" w:sz="8" w:space="0" w:color="auto"/>
              <w:right w:val="nil"/>
            </w:tcBorders>
            <w:noWrap/>
            <w:vAlign w:val="bottom"/>
            <w:hideMark/>
          </w:tcPr>
          <w:p w:rsidR="006A6AD7" w14:paraId="52337F94" w14:textId="77777777">
            <w:pPr>
              <w:widowControl/>
              <w:autoSpaceDE/>
              <w:adjustRightInd/>
              <w:spacing w:line="254" w:lineRule="auto"/>
              <w:rPr>
                <w:color w:val="000000"/>
                <w:sz w:val="24"/>
              </w:rPr>
            </w:pPr>
            <w:r>
              <w:rPr>
                <w:color w:val="000000"/>
                <w:sz w:val="24"/>
              </w:rPr>
              <w:t> </w:t>
            </w:r>
          </w:p>
        </w:tc>
        <w:tc>
          <w:tcPr>
            <w:tcW w:w="917" w:type="pct"/>
            <w:tcBorders>
              <w:top w:val="nil"/>
              <w:left w:val="single" w:sz="4" w:space="0" w:color="auto"/>
              <w:bottom w:val="single" w:sz="8" w:space="0" w:color="auto"/>
              <w:right w:val="single" w:sz="8" w:space="0" w:color="auto"/>
            </w:tcBorders>
            <w:noWrap/>
            <w:vAlign w:val="bottom"/>
            <w:hideMark/>
          </w:tcPr>
          <w:p w:rsidR="006A6AD7" w14:paraId="1CB22D9B" w14:textId="77777777">
            <w:pPr>
              <w:widowControl/>
              <w:autoSpaceDE/>
              <w:adjustRightInd/>
              <w:spacing w:line="254" w:lineRule="auto"/>
              <w:rPr>
                <w:color w:val="000000"/>
                <w:sz w:val="24"/>
              </w:rPr>
            </w:pPr>
            <w:r>
              <w:rPr>
                <w:color w:val="000000"/>
                <w:sz w:val="24"/>
              </w:rPr>
              <w:t> </w:t>
            </w:r>
          </w:p>
        </w:tc>
      </w:tr>
    </w:tbl>
    <w:p w:rsidR="006A6AD7" w:rsidP="006A6AD7" w14:paraId="72D1FB32" w14:textId="1ABAB6E0">
      <w:pPr>
        <w:widowControl/>
        <w:autoSpaceDE/>
        <w:adjustRightInd/>
        <w:rPr>
          <w:b/>
          <w:bCs/>
          <w:sz w:val="24"/>
          <w:u w:val="single"/>
        </w:rPr>
      </w:pPr>
    </w:p>
    <w:p w:rsidR="00564C30" w:rsidP="006A6AD7" w14:paraId="08067AAF" w14:textId="4889A26E">
      <w:pPr>
        <w:widowControl/>
        <w:autoSpaceDE/>
        <w:adjustRightInd/>
        <w:rPr>
          <w:b/>
          <w:bCs/>
          <w:sz w:val="24"/>
        </w:rPr>
      </w:pPr>
      <w:r>
        <w:rPr>
          <w:b/>
          <w:bCs/>
          <w:sz w:val="24"/>
        </w:rPr>
        <w:t>Burden Statement</w:t>
      </w:r>
    </w:p>
    <w:p w:rsidR="00564C30" w:rsidP="006A6AD7" w14:paraId="63292DA0" w14:textId="77777777">
      <w:pPr>
        <w:widowControl/>
        <w:autoSpaceDE/>
        <w:adjustRightInd/>
        <w:rPr>
          <w:b/>
          <w:bCs/>
          <w:sz w:val="24"/>
        </w:rPr>
      </w:pPr>
    </w:p>
    <w:p w:rsidR="000B1EBD" w:rsidRPr="002D0D9C" w:rsidP="000B1EBD" w14:paraId="7B1BEB41" w14:textId="2B061999">
      <w:pPr>
        <w:widowControl/>
        <w:autoSpaceDE/>
        <w:adjustRightInd/>
      </w:pPr>
      <w:bookmarkStart w:id="2" w:name="_Hlk131151304"/>
      <w:r w:rsidRPr="000B1EBD">
        <w:rPr>
          <w:color w:val="000000"/>
          <w:sz w:val="24"/>
        </w:rPr>
        <w:t xml:space="preserve">The purpose of this collection is to collect UOB for Ryan White HIV/AIDS Program (RWHAP) Part A and Part B grant recipients. </w:t>
      </w:r>
      <w:r w:rsidRPr="000B1EBD" w:rsidR="00564C30">
        <w:rPr>
          <w:color w:val="000000"/>
          <w:sz w:val="24"/>
        </w:rPr>
        <w:t xml:space="preserve">An agency may not conduct or sponsor, and a person </w:t>
      </w:r>
      <w:r w:rsidRPr="000B1EBD" w:rsidR="00564C30">
        <w:rPr>
          <w:color w:val="000000"/>
          <w:sz w:val="24"/>
        </w:rPr>
        <w:t>is not required</w:t>
      </w:r>
      <w:r w:rsidRPr="000B1EBD" w:rsidR="00564C30">
        <w:rPr>
          <w:color w:val="000000"/>
          <w:sz w:val="24"/>
        </w:rPr>
        <w:t xml:space="preserve"> to respond to, a collection of information unless it displays a currently valid OMB control number. The OMB control number for this information collection is </w:t>
      </w:r>
      <w:r w:rsidRPr="000B1EBD" w:rsidR="00564C30">
        <w:rPr>
          <w:color w:val="000000"/>
          <w:sz w:val="24"/>
        </w:rPr>
        <w:t xml:space="preserve">0906-0047 </w:t>
      </w:r>
      <w:r w:rsidRPr="000B1EBD" w:rsidR="00564C30">
        <w:rPr>
          <w:color w:val="000000"/>
          <w:sz w:val="24"/>
        </w:rPr>
        <w:t xml:space="preserve">and it is valid until XX/XX/202X. This information collection is </w:t>
      </w:r>
      <w:r w:rsidRPr="000B1EBD">
        <w:rPr>
          <w:color w:val="000000"/>
          <w:sz w:val="24"/>
        </w:rPr>
        <w:t>mandatory</w:t>
      </w:r>
      <w:r w:rsidRPr="000B1EBD" w:rsidR="00ED449D">
        <w:rPr>
          <w:color w:val="000000"/>
          <w:sz w:val="24"/>
        </w:rPr>
        <w:t xml:space="preserve">, as required by the </w:t>
      </w:r>
      <w:r w:rsidRPr="000B1EBD" w:rsidR="003D296A">
        <w:rPr>
          <w:color w:val="000000"/>
          <w:sz w:val="24"/>
        </w:rPr>
        <w:t>RWHAP program legislation</w:t>
      </w:r>
      <w:r w:rsidRPr="000B1EBD">
        <w:rPr>
          <w:color w:val="000000"/>
          <w:sz w:val="24"/>
        </w:rPr>
        <w:t xml:space="preserve"> </w:t>
      </w:r>
      <w:r w:rsidRPr="000B1EBD">
        <w:rPr>
          <w:sz w:val="24"/>
        </w:rPr>
        <w:t>(§§ 2601–</w:t>
      </w:r>
      <w:r w:rsidRPr="000B1EBD">
        <w:rPr>
          <w:sz w:val="24"/>
        </w:rPr>
        <w:t>2623</w:t>
      </w:r>
      <w:r w:rsidRPr="000B1EBD">
        <w:rPr>
          <w:sz w:val="24"/>
        </w:rPr>
        <w:t xml:space="preserve"> and 2693 of the Public Health Service (PHS) Act</w:t>
      </w:r>
      <w:r w:rsidRPr="000B1EBD">
        <w:rPr>
          <w:sz w:val="24"/>
        </w:rPr>
        <w:t>)</w:t>
      </w:r>
      <w:r w:rsidRPr="000B1EBD">
        <w:rPr>
          <w:color w:val="000000"/>
          <w:sz w:val="24"/>
        </w:rPr>
        <w:t>.</w:t>
      </w:r>
      <w:r w:rsidRPr="000B1EBD" w:rsidR="00564C30">
        <w:rPr>
          <w:color w:val="000000"/>
          <w:sz w:val="24"/>
        </w:rPr>
        <w:t xml:space="preserve"> Public reporting burden for this collection of information </w:t>
      </w:r>
      <w:r w:rsidRPr="000B1EBD" w:rsidR="00564C30">
        <w:rPr>
          <w:color w:val="000000"/>
          <w:sz w:val="24"/>
        </w:rPr>
        <w:t>is estimated</w:t>
      </w:r>
      <w:r w:rsidRPr="000B1EBD" w:rsidR="00564C30">
        <w:rPr>
          <w:color w:val="000000"/>
          <w:sz w:val="24"/>
        </w:rPr>
        <w:t xml:space="preserve"> to average </w:t>
      </w:r>
      <w:r w:rsidRPr="000B1EBD">
        <w:rPr>
          <w:color w:val="000000"/>
          <w:sz w:val="24"/>
        </w:rPr>
        <w:t>0.5</w:t>
      </w:r>
      <w:r w:rsidRPr="000B1EBD" w:rsidR="00564C30">
        <w:rPr>
          <w:color w:val="000000"/>
          <w:sz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4" w:history="1">
        <w:r w:rsidRPr="000B1EBD">
          <w:rPr>
            <w:rStyle w:val="Hyperlink"/>
            <w:sz w:val="24"/>
          </w:rPr>
          <w:t>paperwork@hrsa.gov</w:t>
        </w:r>
      </w:hyperlink>
      <w:r w:rsidRPr="000B1EBD" w:rsidR="00564C30">
        <w:rPr>
          <w:color w:val="000000"/>
          <w:sz w:val="24"/>
        </w:rPr>
        <w:t>.</w:t>
      </w:r>
      <w:bookmarkEnd w:id="2"/>
    </w:p>
    <w:p w:rsidR="000B1EBD" w:rsidRPr="0075430B" w:rsidP="006A6AD7" w14:paraId="5B823949" w14:textId="77777777">
      <w:pPr>
        <w:widowControl/>
        <w:autoSpaceDE/>
        <w:adjustRightInd/>
        <w:rPr>
          <w:color w:val="000000"/>
          <w:sz w:val="27"/>
          <w:szCs w:val="27"/>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C30" w:rsidP="00564C30" w14:paraId="1E279B22" w14:textId="77777777">
    <w:pPr>
      <w:pStyle w:val="Header"/>
      <w:jc w:val="right"/>
    </w:pPr>
    <w:r w:rsidRPr="0056186C">
      <w:t>OMB No.</w:t>
    </w:r>
    <w:r>
      <w:t xml:space="preserve">: </w:t>
    </w:r>
    <w:r w:rsidRPr="0056186C">
      <w:t xml:space="preserve"> </w:t>
    </w:r>
    <w:r w:rsidRPr="00D13F21">
      <w:rPr>
        <w:bCs/>
      </w:rPr>
      <w:t>0906-</w:t>
    </w:r>
    <w:r>
      <w:rPr>
        <w:bCs/>
      </w:rPr>
      <w:t>0047</w:t>
    </w:r>
  </w:p>
  <w:p w:rsidR="00564C30" w:rsidRPr="00F4244E" w:rsidP="00564C30" w14:paraId="707725EA" w14:textId="77777777">
    <w:pPr>
      <w:pStyle w:val="Header"/>
      <w:jc w:val="right"/>
    </w:pPr>
    <w:r w:rsidRPr="0056186C">
      <w:t>Exp</w:t>
    </w:r>
    <w:r>
      <w:t>iration</w:t>
    </w:r>
    <w:r w:rsidRPr="0056186C">
      <w:t xml:space="preserve"> Date</w:t>
    </w:r>
    <w:r>
      <w:t xml:space="preserve">: </w:t>
    </w:r>
    <w:r w:rsidRPr="0056186C">
      <w:t xml:space="preserve"> </w:t>
    </w:r>
    <w:r>
      <w:t>MM/DD/YY</w:t>
    </w:r>
  </w:p>
  <w:p w:rsidR="00564C30" w:rsidRPr="0056186C" w:rsidP="00564C30" w14:paraId="25F6758D" w14:textId="77777777">
    <w:pPr>
      <w:pStyle w:val="Header"/>
    </w:pPr>
  </w:p>
  <w:p w:rsidR="00564C30" w:rsidP="00564C30" w14:paraId="7B0859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C789C"/>
    <w:multiLevelType w:val="hybridMultilevel"/>
    <w:tmpl w:val="390AC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190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D7"/>
    <w:rsid w:val="000B1EBD"/>
    <w:rsid w:val="002D0D9C"/>
    <w:rsid w:val="003D296A"/>
    <w:rsid w:val="0056186C"/>
    <w:rsid w:val="00564C30"/>
    <w:rsid w:val="006A6AD7"/>
    <w:rsid w:val="0075430B"/>
    <w:rsid w:val="00D13F21"/>
    <w:rsid w:val="00ED449D"/>
    <w:rsid w:val="00F4244E"/>
    <w:rsid w:val="00FD3B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853F10"/>
  <w15:chartTrackingRefBased/>
  <w15:docId w15:val="{BA414C7E-5B9A-4BF0-93C3-4A462937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AD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6A6AD7"/>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rsid w:val="006A6AD7"/>
    <w:rPr>
      <w:rFonts w:ascii="Baskerville Old Face" w:eastAsia="Times New Roman" w:hAnsi="Baskerville Old Face" w:cs="Times New Roman"/>
      <w:sz w:val="24"/>
      <w:szCs w:val="24"/>
    </w:rPr>
  </w:style>
  <w:style w:type="paragraph" w:styleId="Header">
    <w:name w:val="header"/>
    <w:basedOn w:val="Normal"/>
    <w:link w:val="HeaderChar"/>
    <w:uiPriority w:val="99"/>
    <w:unhideWhenUsed/>
    <w:rsid w:val="00564C30"/>
    <w:pPr>
      <w:tabs>
        <w:tab w:val="center" w:pos="4680"/>
        <w:tab w:val="right" w:pos="9360"/>
      </w:tabs>
    </w:pPr>
  </w:style>
  <w:style w:type="character" w:customStyle="1" w:styleId="HeaderChar">
    <w:name w:val="Header Char"/>
    <w:basedOn w:val="DefaultParagraphFont"/>
    <w:link w:val="Header"/>
    <w:uiPriority w:val="99"/>
    <w:rsid w:val="00564C3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64C30"/>
    <w:pPr>
      <w:tabs>
        <w:tab w:val="center" w:pos="4680"/>
        <w:tab w:val="right" w:pos="9360"/>
      </w:tabs>
    </w:pPr>
  </w:style>
  <w:style w:type="character" w:customStyle="1" w:styleId="FooterChar">
    <w:name w:val="Footer Char"/>
    <w:basedOn w:val="DefaultParagraphFont"/>
    <w:link w:val="Footer"/>
    <w:uiPriority w:val="99"/>
    <w:rsid w:val="00564C30"/>
    <w:rPr>
      <w:rFonts w:ascii="Times New Roman" w:eastAsia="Times New Roman" w:hAnsi="Times New Roman" w:cs="Times New Roman"/>
      <w:sz w:val="20"/>
      <w:szCs w:val="24"/>
    </w:rPr>
  </w:style>
  <w:style w:type="character" w:styleId="Hyperlink">
    <w:name w:val="Hyperlink"/>
    <w:basedOn w:val="DefaultParagraphFont"/>
    <w:uiPriority w:val="99"/>
    <w:unhideWhenUsed/>
    <w:rsid w:val="000B1EBD"/>
    <w:rPr>
      <w:color w:val="0563C1" w:themeColor="hyperlink"/>
      <w:u w:val="single"/>
    </w:rPr>
  </w:style>
  <w:style w:type="character" w:styleId="UnresolvedMention">
    <w:name w:val="Unresolved Mention"/>
    <w:basedOn w:val="DefaultParagraphFont"/>
    <w:uiPriority w:val="99"/>
    <w:semiHidden/>
    <w:unhideWhenUsed/>
    <w:rsid w:val="000B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2</cp:revision>
  <dcterms:created xsi:type="dcterms:W3CDTF">2023-03-31T14:29:00Z</dcterms:created>
  <dcterms:modified xsi:type="dcterms:W3CDTF">2023-03-31T15:13:00Z</dcterms:modified>
</cp:coreProperties>
</file>