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7C8A" w:rsidP="00357C8A" w14:paraId="5B351D51" w14:textId="77777777">
      <w:pPr>
        <w:jc w:val="center"/>
        <w:rPr>
          <w:rFonts w:eastAsia="Calibri"/>
        </w:rPr>
      </w:pPr>
      <w:r w:rsidRPr="00357C8A">
        <w:rPr>
          <w:rFonts w:eastAsia="Calibri"/>
        </w:rPr>
        <w:t>United States Food and Drug Administration</w:t>
      </w:r>
    </w:p>
    <w:p w:rsidR="00357C8A" w:rsidP="00357C8A" w14:paraId="1FB289DD" w14:textId="77777777">
      <w:pPr>
        <w:jc w:val="center"/>
        <w:rPr>
          <w:rFonts w:eastAsia="Calibri"/>
        </w:rPr>
      </w:pPr>
    </w:p>
    <w:p w:rsidR="00357C8A" w:rsidP="009A168B" w14:paraId="1F5FAA2B" w14:textId="77777777">
      <w:pPr>
        <w:tabs>
          <w:tab w:val="center" w:pos="4752"/>
          <w:tab w:val="left" w:pos="7092"/>
        </w:tabs>
        <w:rPr>
          <w:rFonts w:eastAsia="Calibri"/>
        </w:rPr>
      </w:pPr>
      <w:r>
        <w:rPr>
          <w:rFonts w:eastAsia="Calibri"/>
        </w:rPr>
        <w:tab/>
      </w:r>
      <w:r w:rsidRPr="00651FA7" w:rsidR="00651FA7">
        <w:rPr>
          <w:rFonts w:eastAsia="Calibri"/>
        </w:rPr>
        <w:t>Current Good Manufacturing Practice Regulations for Type A Medicated Articles</w:t>
      </w:r>
    </w:p>
    <w:p w:rsidR="00357C8A" w:rsidP="00357C8A" w14:paraId="34100704" w14:textId="77777777">
      <w:pPr>
        <w:jc w:val="center"/>
        <w:rPr>
          <w:rFonts w:eastAsia="Calibri"/>
        </w:rPr>
      </w:pPr>
    </w:p>
    <w:p w:rsidR="00357C8A" w:rsidP="00357C8A" w14:paraId="65EA04A9" w14:textId="77777777">
      <w:pPr>
        <w:jc w:val="center"/>
        <w:rPr>
          <w:rFonts w:eastAsia="Calibri"/>
        </w:rPr>
      </w:pPr>
      <w:r w:rsidRPr="00357C8A">
        <w:rPr>
          <w:rFonts w:eastAsia="Calibri"/>
        </w:rPr>
        <w:t>OMB Control No. 0910-</w:t>
      </w:r>
      <w:r w:rsidR="00651FA7">
        <w:rPr>
          <w:rFonts w:eastAsia="Calibri"/>
        </w:rPr>
        <w:t>0154</w:t>
      </w:r>
    </w:p>
    <w:p w:rsidR="00357C8A" w:rsidP="00357C8A" w14:paraId="5DC1A9EC" w14:textId="77777777">
      <w:pPr>
        <w:jc w:val="center"/>
        <w:rPr>
          <w:rFonts w:eastAsia="Calibri"/>
        </w:rPr>
      </w:pPr>
    </w:p>
    <w:p w:rsidR="00357C8A" w:rsidP="00357C8A" w14:paraId="69A0BD77" w14:textId="77777777">
      <w:pPr>
        <w:jc w:val="center"/>
        <w:rPr>
          <w:rFonts w:eastAsia="Calibri"/>
        </w:rPr>
      </w:pPr>
      <w:r w:rsidRPr="00357C8A">
        <w:rPr>
          <w:rFonts w:eastAsia="Calibri"/>
        </w:rPr>
        <w:t>SUPPORTING STATEMENT</w:t>
      </w:r>
    </w:p>
    <w:p w:rsidR="009B4DF2" w:rsidP="00357C8A" w14:paraId="56916C4D" w14:textId="77777777">
      <w:pPr>
        <w:jc w:val="center"/>
        <w:rPr>
          <w:rFonts w:eastAsia="Calibri"/>
        </w:rPr>
      </w:pPr>
    </w:p>
    <w:p w:rsidR="009B4DF2" w:rsidRPr="00357C8A" w:rsidP="009B4DF2" w14:paraId="23F4994C" w14:textId="77777777">
      <w:pPr>
        <w:rPr>
          <w:rFonts w:eastAsia="Calibri"/>
        </w:rPr>
      </w:pPr>
      <w:r w:rsidRPr="009122AE">
        <w:rPr>
          <w:rFonts w:eastAsia="Calibri"/>
          <w:u w:val="single"/>
        </w:rPr>
        <w:t>Terms of Clearance</w:t>
      </w:r>
      <w:r>
        <w:rPr>
          <w:rFonts w:eastAsia="Calibri"/>
        </w:rPr>
        <w:t xml:space="preserve">: </w:t>
      </w:r>
      <w:r w:rsidR="00651FA7">
        <w:rPr>
          <w:rFonts w:eastAsia="Calibri"/>
        </w:rPr>
        <w:t>None.</w:t>
      </w:r>
    </w:p>
    <w:p w:rsidR="00357C8A" w:rsidRPr="00357C8A" w:rsidP="00357C8A" w14:paraId="79A9AB7C" w14:textId="77777777">
      <w:pPr>
        <w:rPr>
          <w:rFonts w:eastAsia="Calibri"/>
          <w:b/>
        </w:rPr>
      </w:pPr>
    </w:p>
    <w:p w:rsidR="00357C8A" w:rsidP="000D79CC" w14:paraId="7D249AB2" w14:textId="77777777">
      <w:pPr>
        <w:rPr>
          <w:rFonts w:eastAsia="Calibri"/>
        </w:rPr>
      </w:pPr>
      <w:r w:rsidRPr="00357C8A">
        <w:rPr>
          <w:rFonts w:eastAsia="Calibri"/>
          <w:b/>
        </w:rPr>
        <w:t>Part A:  Justification</w:t>
      </w:r>
      <w:r w:rsidRPr="00357C8A">
        <w:rPr>
          <w:rFonts w:eastAsia="Calibri"/>
        </w:rPr>
        <w:t>:</w:t>
      </w:r>
    </w:p>
    <w:p w:rsidR="000D79CC" w:rsidRPr="00357C8A" w:rsidP="000D79CC" w14:paraId="004F992D" w14:textId="77777777">
      <w:pPr>
        <w:rPr>
          <w:rFonts w:eastAsia="Calibri"/>
        </w:rPr>
      </w:pPr>
    </w:p>
    <w:p w:rsidR="00357C8A" w:rsidRPr="00357C8A" w:rsidP="006705EA" w14:paraId="08B4063A"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1F416F" w:rsidRPr="00274CD9" w:rsidP="00274CD9" w14:paraId="7D5F9F5B" w14:textId="77777777">
      <w:pPr>
        <w:rPr>
          <w:rFonts w:eastAsia="Calibri"/>
        </w:rPr>
      </w:pPr>
      <w:r w:rsidRPr="005C71CA">
        <w:rPr>
          <w:rFonts w:eastAsia="Calibri"/>
        </w:rPr>
        <w:t xml:space="preserve">This information collection supports </w:t>
      </w:r>
      <w:r w:rsidR="00DB18EC">
        <w:rPr>
          <w:rFonts w:eastAsia="Calibri"/>
        </w:rPr>
        <w:t xml:space="preserve">the implementation of </w:t>
      </w:r>
      <w:r w:rsidRPr="005C71CA">
        <w:rPr>
          <w:rFonts w:eastAsia="Calibri"/>
        </w:rPr>
        <w:t xml:space="preserve">Food and Drug Administration (FDA, </w:t>
      </w:r>
      <w:r w:rsidRPr="005C71CA">
        <w:rPr>
          <w:rFonts w:eastAsia="Calibri"/>
        </w:rPr>
        <w:t>us</w:t>
      </w:r>
      <w:r w:rsidRPr="005C71CA">
        <w:rPr>
          <w:rFonts w:eastAsia="Calibri"/>
        </w:rPr>
        <w:t xml:space="preserve"> or we) </w:t>
      </w:r>
      <w:r w:rsidR="002B494B">
        <w:rPr>
          <w:rFonts w:eastAsia="Calibri"/>
        </w:rPr>
        <w:t xml:space="preserve">statutory and regulatory </w:t>
      </w:r>
      <w:r w:rsidR="00AE57A9">
        <w:rPr>
          <w:rFonts w:eastAsia="Calibri"/>
        </w:rPr>
        <w:t xml:space="preserve">requirements </w:t>
      </w:r>
      <w:r w:rsidR="002B494B">
        <w:rPr>
          <w:rFonts w:eastAsia="Calibri"/>
        </w:rPr>
        <w:t>that govern</w:t>
      </w:r>
      <w:r w:rsidRPr="00274CD9" w:rsidR="00274CD9">
        <w:rPr>
          <w:rFonts w:eastAsia="Calibri"/>
        </w:rPr>
        <w:t xml:space="preserve"> current good manufacturing practice (cGMP) for Type A medicated articles.  A Type A medicated article is a</w:t>
      </w:r>
      <w:r w:rsidR="001B5975">
        <w:rPr>
          <w:rFonts w:eastAsia="Calibri"/>
        </w:rPr>
        <w:t>n animal</w:t>
      </w:r>
      <w:r w:rsidRPr="00274CD9" w:rsidR="00274CD9">
        <w:rPr>
          <w:rFonts w:eastAsia="Calibri"/>
        </w:rPr>
        <w:t xml:space="preserve"> feed product containing a </w:t>
      </w:r>
      <w:r>
        <w:rPr>
          <w:rFonts w:eastAsia="Calibri"/>
        </w:rPr>
        <w:t>c</w:t>
      </w:r>
      <w:r w:rsidRPr="00274CD9" w:rsidR="00274CD9">
        <w:rPr>
          <w:rFonts w:eastAsia="Calibri"/>
        </w:rPr>
        <w:t xml:space="preserve">oncentrated drug diluted with a feed carrier substance.  A Type A medicated article is intended solely for use in the manufacture of another Type A medicated article or a Type B or Type C medicated feed. </w:t>
      </w:r>
      <w:r w:rsidR="00812FD5">
        <w:rPr>
          <w:rFonts w:eastAsia="Calibri"/>
        </w:rPr>
        <w:t xml:space="preserve"> </w:t>
      </w:r>
      <w:r w:rsidRPr="00274CD9" w:rsidR="00274CD9">
        <w:rPr>
          <w:rFonts w:eastAsia="Calibri"/>
        </w:rPr>
        <w:t>Medicated feeds are administered to animals for the prevention, cure, mitigation, or treatment of disease or for growth promotion and feed efficiency.</w:t>
      </w:r>
      <w:r w:rsidR="00DB18EC">
        <w:rPr>
          <w:rFonts w:eastAsia="Calibri"/>
        </w:rPr>
        <w:t xml:space="preserve"> Section </w:t>
      </w:r>
      <w:r w:rsidRPr="00274CD9" w:rsidR="00DB18EC">
        <w:rPr>
          <w:rFonts w:eastAsia="Calibri"/>
        </w:rPr>
        <w:t xml:space="preserve">501 of the Federal Food, Drug, and Cosmetic Act (the FD&amp;C Act) (21 U.S.C. 351), </w:t>
      </w:r>
      <w:r w:rsidR="00DB18EC">
        <w:rPr>
          <w:rFonts w:eastAsia="Calibri"/>
        </w:rPr>
        <w:t xml:space="preserve">governs </w:t>
      </w:r>
      <w:r w:rsidRPr="00274CD9" w:rsidR="00DB18EC">
        <w:rPr>
          <w:rFonts w:eastAsia="Calibri"/>
        </w:rPr>
        <w:t>current cGMP for drugs, including Type A medicated articles</w:t>
      </w:r>
      <w:r w:rsidR="001B5975">
        <w:rPr>
          <w:rFonts w:eastAsia="Calibri"/>
        </w:rPr>
        <w:t>,</w:t>
      </w:r>
      <w:r w:rsidR="00F771A7">
        <w:rPr>
          <w:rFonts w:eastAsia="Calibri"/>
        </w:rPr>
        <w:t xml:space="preserve"> and </w:t>
      </w:r>
      <w:r w:rsidR="001B5975">
        <w:rPr>
          <w:rFonts w:eastAsia="Calibri"/>
        </w:rPr>
        <w:t>these statutory requirements are codified in part 226 (21 CFR part 226)</w:t>
      </w:r>
      <w:r w:rsidRPr="00274CD9" w:rsidR="00DB18EC">
        <w:rPr>
          <w:rFonts w:eastAsia="Calibri"/>
        </w:rPr>
        <w:t xml:space="preserve">.  </w:t>
      </w:r>
    </w:p>
    <w:p w:rsidR="00DB18EC" w:rsidP="00274CD9" w14:paraId="58716ECB" w14:textId="77777777">
      <w:pPr>
        <w:rPr>
          <w:rFonts w:eastAsia="Calibri"/>
        </w:rPr>
      </w:pPr>
    </w:p>
    <w:p w:rsidR="00274CD9" w:rsidRPr="00274CD9" w:rsidP="00274CD9" w14:paraId="12B43F56" w14:textId="77777777">
      <w:pPr>
        <w:rPr>
          <w:rFonts w:eastAsia="Calibri"/>
        </w:rPr>
      </w:pPr>
      <w:r>
        <w:rPr>
          <w:rFonts w:eastAsia="Calibri"/>
        </w:rPr>
        <w:t xml:space="preserve">Manufacturers are </w:t>
      </w:r>
      <w:r w:rsidRPr="00274CD9">
        <w:rPr>
          <w:rFonts w:eastAsia="Calibri"/>
        </w:rPr>
        <w:t>required to establish, maintain, and retain records for Type A medicated articles</w:t>
      </w:r>
      <w:r w:rsidR="006E43E9">
        <w:rPr>
          <w:rFonts w:eastAsia="Calibri"/>
        </w:rPr>
        <w:t xml:space="preserve"> </w:t>
      </w:r>
      <w:r w:rsidRPr="00274CD9">
        <w:rPr>
          <w:rFonts w:eastAsia="Calibri"/>
        </w:rPr>
        <w:t>including records to document procedures required under the manufacturing process to assure that proper quality control is maintained</w:t>
      </w:r>
      <w:r w:rsidR="006E43E9">
        <w:rPr>
          <w:rFonts w:eastAsia="Calibri"/>
        </w:rPr>
        <w:t xml:space="preserve"> under part 226</w:t>
      </w:r>
      <w:r w:rsidRPr="00274CD9">
        <w:rPr>
          <w:rFonts w:eastAsia="Calibri"/>
        </w:rPr>
        <w:t xml:space="preserve">.  </w:t>
      </w:r>
      <w:r w:rsidRPr="00274CD9" w:rsidR="00A54954">
        <w:rPr>
          <w:rFonts w:eastAsia="Calibri"/>
        </w:rPr>
        <w:t>Type A medicated articles which are not manufactured in accordance with these regulations are considered adulterated under section 501(a)(2)(B) of the FD&amp;C Act (21 U.S.C. 351(a)(2)(B)</w:t>
      </w:r>
      <w:r w:rsidR="006A03ED">
        <w:rPr>
          <w:rFonts w:eastAsia="Calibri"/>
        </w:rPr>
        <w:t>)</w:t>
      </w:r>
      <w:r w:rsidRPr="00274CD9" w:rsidR="00A54954">
        <w:rPr>
          <w:rFonts w:eastAsia="Calibri"/>
        </w:rPr>
        <w:t xml:space="preserve">.  </w:t>
      </w:r>
    </w:p>
    <w:p w:rsidR="00651FA7" w:rsidRPr="00651FA7" w:rsidP="00274CD9" w14:paraId="27EE74B3" w14:textId="77777777">
      <w:pPr>
        <w:rPr>
          <w:rFonts w:eastAsia="Calibri"/>
        </w:rPr>
      </w:pPr>
    </w:p>
    <w:p w:rsidR="00651FA7" w:rsidP="00651FA7" w14:paraId="01FFC22F" w14:textId="77777777">
      <w:pPr>
        <w:rPr>
          <w:rFonts w:eastAsia="Calibri"/>
        </w:rPr>
      </w:pPr>
      <w:r w:rsidRPr="00651FA7">
        <w:rPr>
          <w:rFonts w:eastAsia="Calibri"/>
        </w:rPr>
        <w:t xml:space="preserve">We therefore request OMB extension of OMB approval </w:t>
      </w:r>
      <w:r w:rsidR="00812FD5">
        <w:rPr>
          <w:rFonts w:eastAsia="Calibri"/>
        </w:rPr>
        <w:t xml:space="preserve">for the information collection requirements contained </w:t>
      </w:r>
      <w:r w:rsidRPr="00651FA7">
        <w:rPr>
          <w:rFonts w:eastAsia="Calibri"/>
        </w:rPr>
        <w:t>in 21 CFR part 226</w:t>
      </w:r>
      <w:r w:rsidR="00612BBC">
        <w:rPr>
          <w:rFonts w:eastAsia="Calibri"/>
        </w:rPr>
        <w:t>,</w:t>
      </w:r>
      <w:r w:rsidRPr="00651FA7">
        <w:rPr>
          <w:rFonts w:eastAsia="Calibri"/>
        </w:rPr>
        <w:t xml:space="preserve"> as discussed in this supporting statement. </w:t>
      </w:r>
    </w:p>
    <w:p w:rsidR="00357C8A" w:rsidRPr="00357C8A" w:rsidP="0022425B" w14:paraId="4BC93FAB" w14:textId="77777777">
      <w:pPr>
        <w:spacing w:after="200"/>
        <w:rPr>
          <w:rFonts w:eastAsia="Calibri"/>
          <w:color w:val="FF0000"/>
        </w:rPr>
      </w:pPr>
    </w:p>
    <w:p w:rsidR="00357C8A" w:rsidRPr="00357C8A" w:rsidP="006705EA" w14:paraId="029C5E9D"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357C8A" w:rsidP="00274CD9" w14:paraId="43E66F32" w14:textId="77777777">
      <w:pPr>
        <w:rPr>
          <w:rFonts w:eastAsia="Calibri"/>
        </w:rPr>
      </w:pPr>
      <w:r w:rsidRPr="00274CD9">
        <w:rPr>
          <w:rFonts w:eastAsia="Calibri"/>
        </w:rPr>
        <w:t>The required records are used by both the respondents and the FDA.  The records are</w:t>
      </w:r>
      <w:r>
        <w:rPr>
          <w:rFonts w:eastAsia="Calibri"/>
        </w:rPr>
        <w:t xml:space="preserve"> </w:t>
      </w:r>
      <w:r w:rsidRPr="00274CD9">
        <w:rPr>
          <w:rFonts w:eastAsia="Calibri"/>
        </w:rPr>
        <w:t xml:space="preserve">used by manufacturers of Type A medicated articles to verify that appropriate control measures have been maintained, or that appropriate corrective actions were taken if the control measures were not maintained.  Such verification activities are essential to ensure that the cGMP system is working as planned.  We review the records during the conduct of periodic plant inspections. This information is needed so that we can monitor drug usage and possible </w:t>
      </w:r>
      <w:r w:rsidRPr="00274CD9">
        <w:rPr>
          <w:rFonts w:eastAsia="Calibri"/>
        </w:rPr>
        <w:t>misformulation</w:t>
      </w:r>
      <w:r w:rsidRPr="00274CD9">
        <w:rPr>
          <w:rFonts w:eastAsia="Calibri"/>
        </w:rPr>
        <w:t xml:space="preserve"> of Type A medicated articles.  The information could also prove useful to us in investigating product defects when a drug is recalled.  In addition, we use the cGMP criteria in part 226 to determine whether or not the systems used by manufacturers of Type A medicated articles are adequate to ensure that their medicated articles meet the requirements of the FD&amp;C </w:t>
      </w:r>
      <w:r w:rsidRPr="00274CD9">
        <w:rPr>
          <w:rFonts w:eastAsia="Calibri"/>
        </w:rPr>
        <w:t>Act as</w:t>
      </w:r>
      <w:r w:rsidRPr="00274CD9">
        <w:rPr>
          <w:rFonts w:eastAsia="Calibri"/>
        </w:rPr>
        <w:t xml:space="preserve"> to safety and also meet the article’s claimed identity, strength, quality, and purity, as required by section 501(a)(2)(B) of the FD&amp;C Act.</w:t>
      </w:r>
    </w:p>
    <w:p w:rsidR="00274CD9" w:rsidRPr="00357C8A" w:rsidP="00274CD9" w14:paraId="7A44B9EA" w14:textId="77777777">
      <w:pPr>
        <w:rPr>
          <w:rFonts w:eastAsia="Calibri"/>
          <w:color w:val="FF0000"/>
        </w:rPr>
      </w:pPr>
    </w:p>
    <w:p w:rsidR="00357C8A" w:rsidRPr="00357C8A" w:rsidP="006705EA" w14:paraId="399D344E"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357C8A" w:rsidP="0022425B" w14:paraId="5EEC5632" w14:textId="77777777">
      <w:pPr>
        <w:spacing w:after="200"/>
        <w:rPr>
          <w:rFonts w:eastAsia="Calibri"/>
        </w:rPr>
      </w:pPr>
      <w:r w:rsidRPr="00651FA7">
        <w:rPr>
          <w:rFonts w:eastAsia="Calibri"/>
        </w:rPr>
        <w:t>The regulation does not specifically prescribe the use of automated, electronic, mechanical, or other technological techniques or other forms of information technology as necessary for use by firms. Companies are free to use whatever forms of information technology may best assist them in retaining the appropriate records and making them available to regulatory officials. We estimate that about ninety percent (90%) of respondents will keep some of the required records electronically in the next 3 years.</w:t>
      </w:r>
    </w:p>
    <w:p w:rsidR="00357C8A" w:rsidRPr="00357C8A" w:rsidP="006705EA" w14:paraId="2BB3AF68"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651FA7" w:rsidP="0053380B" w14:paraId="275CEA32" w14:textId="77777777">
      <w:pPr>
        <w:spacing w:after="200"/>
      </w:pPr>
      <w:r w:rsidRPr="005C71CA">
        <w:t>We are unaware of duplicative information collection.</w:t>
      </w:r>
    </w:p>
    <w:p w:rsidR="00357C8A" w:rsidRPr="00357C8A" w:rsidP="006705EA" w14:paraId="32914998"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0AC1265C" w14:textId="77777777">
      <w:pPr>
        <w:spacing w:after="200"/>
        <w:rPr>
          <w:rFonts w:eastAsia="Calibri"/>
        </w:rPr>
      </w:pPr>
      <w:r w:rsidRPr="00651FA7">
        <w:rPr>
          <w:rFonts w:eastAsia="Calibri"/>
        </w:rPr>
        <w:t xml:space="preserve">Our best estimate is that approximately 65 firms </w:t>
      </w:r>
      <w:r w:rsidRPr="00651FA7">
        <w:rPr>
          <w:rFonts w:eastAsia="Calibri"/>
        </w:rPr>
        <w:t>are involved in</w:t>
      </w:r>
      <w:r w:rsidRPr="00651FA7">
        <w:rPr>
          <w:rFonts w:eastAsia="Calibri"/>
        </w:rPr>
        <w:t xml:space="preserve"> the manufacturing of Type A medicated articles. We estimate that 75 percent of these 65 firms, or 49 respondents, are small businesses, and we have kept their particular needs in mind during the development of these regulations. The recordkeeping is no more burdensome for small businesses than for large. The requirements are the minimum requirements for CGMPs. We aid small businesses in complying with our requirements through our Regional Small Business Representatives and through the scientific and administrative staffs within the agency. We have provided a Small Business Guide on our website at </w:t>
      </w:r>
      <w:hyperlink r:id="rId7" w:history="1">
        <w:r w:rsidRPr="005975FC" w:rsidR="005975FC">
          <w:rPr>
            <w:rStyle w:val="Hyperlink"/>
            <w:rFonts w:eastAsia="Calibri"/>
          </w:rPr>
          <w:t>https://www.fda.gov/animal-veterinary/resources-you/cvm-small-business-assistance</w:t>
        </w:r>
      </w:hyperlink>
      <w:r w:rsidR="005975FC">
        <w:rPr>
          <w:rFonts w:eastAsia="Calibri"/>
        </w:rPr>
        <w:t>.</w:t>
      </w:r>
    </w:p>
    <w:p w:rsidR="00357C8A" w:rsidRPr="00357C8A" w:rsidP="006705EA" w14:paraId="2EE95E9B"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357C8A" w:rsidP="00357C8A" w14:paraId="49DF2937" w14:textId="77777777">
      <w:pPr>
        <w:spacing w:after="200"/>
        <w:rPr>
          <w:rFonts w:eastAsia="Calibri"/>
          <w:color w:val="FF0000"/>
        </w:rPr>
      </w:pPr>
      <w:r w:rsidRPr="00651FA7">
        <w:rPr>
          <w:rFonts w:eastAsia="Calibri"/>
        </w:rPr>
        <w:t>Under a CGMP system, the frequency of data collection by each manufacturer would occur periodically during Type A medicated article manufacturing operations, but that frequency of observation and recording would vary considerably for different manufacturers and different Type A medicated articles. Less frequent recordkeeping would reduce or nullify the effectiveness of the regulation to provide assurance to both the Type A medicated article manufacturer and FDA that the Type A medicated article meets standards for safety and meets the claimed identity, strength, quality, and purity standards. We do not collect CGMP records as a routine matter. Records remain on file at each Type A medicated article manufacturing facility. We would examine the records during a periodic inspection or during an investigation.</w:t>
      </w:r>
    </w:p>
    <w:p w:rsidR="00357C8A" w:rsidRPr="00357C8A" w:rsidP="006705EA" w14:paraId="113CF2B5"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6A37C76B" w14:textId="77777777">
      <w:pPr>
        <w:spacing w:after="200"/>
        <w:rPr>
          <w:rFonts w:eastAsia="Calibri"/>
        </w:rPr>
      </w:pPr>
      <w:r>
        <w:rPr>
          <w:rFonts w:eastAsia="Calibri"/>
        </w:rPr>
        <w:t xml:space="preserve">There are no </w:t>
      </w:r>
      <w:r>
        <w:rPr>
          <w:rFonts w:eastAsia="Calibri"/>
        </w:rPr>
        <w:t>special circumstances</w:t>
      </w:r>
      <w:r>
        <w:rPr>
          <w:rFonts w:eastAsia="Calibri"/>
        </w:rPr>
        <w:t xml:space="preserve"> associated with this information collection.</w:t>
      </w:r>
    </w:p>
    <w:p w:rsidR="00357C8A" w:rsidRPr="00357C8A" w:rsidP="006705EA" w14:paraId="78EA4084"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274CD9" w:rsidP="00357C8A" w14:paraId="4DB9F054" w14:textId="77777777">
      <w:pPr>
        <w:spacing w:after="200"/>
        <w:rPr>
          <w:rFonts w:eastAsia="Calibri"/>
        </w:rPr>
      </w:pPr>
      <w:r>
        <w:rPr>
          <w:rFonts w:eastAsia="Calibri"/>
        </w:rPr>
        <w:t xml:space="preserve">FDA published a 60-day notice for public comment in the </w:t>
      </w:r>
      <w:r w:rsidRPr="009009E7">
        <w:rPr>
          <w:rFonts w:eastAsia="Calibri"/>
          <w:i/>
        </w:rPr>
        <w:t>Federal Register</w:t>
      </w:r>
      <w:r>
        <w:rPr>
          <w:rFonts w:eastAsia="Calibri"/>
        </w:rPr>
        <w:t xml:space="preserve"> of </w:t>
      </w:r>
      <w:r w:rsidR="005975FC">
        <w:rPr>
          <w:rFonts w:eastAsia="Calibri"/>
        </w:rPr>
        <w:t>January 31, 2023</w:t>
      </w:r>
      <w:r w:rsidR="009009E7">
        <w:rPr>
          <w:rFonts w:eastAsia="Calibri"/>
        </w:rPr>
        <w:t xml:space="preserve"> (</w:t>
      </w:r>
      <w:r w:rsidR="005975FC">
        <w:rPr>
          <w:rFonts w:eastAsia="Calibri"/>
        </w:rPr>
        <w:t xml:space="preserve">88 </w:t>
      </w:r>
      <w:r w:rsidR="009009E7">
        <w:rPr>
          <w:rFonts w:eastAsia="Calibri"/>
        </w:rPr>
        <w:t xml:space="preserve">FR </w:t>
      </w:r>
      <w:r w:rsidR="005975FC">
        <w:rPr>
          <w:rFonts w:eastAsia="Calibri"/>
        </w:rPr>
        <w:t>6281).  No comments were received.</w:t>
      </w:r>
    </w:p>
    <w:p w:rsidR="00357C8A" w:rsidRPr="00357C8A" w:rsidP="006705EA" w14:paraId="7145A167"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274CD9" w:rsidP="00357C8A" w14:paraId="174DD2EC" w14:textId="77777777">
      <w:pPr>
        <w:spacing w:after="200"/>
        <w:rPr>
          <w:rFonts w:eastAsia="Calibri"/>
          <w:i/>
        </w:rPr>
      </w:pPr>
      <w:r w:rsidRPr="002074FE">
        <w:rPr>
          <w:rFonts w:eastAsia="Calibri"/>
        </w:rPr>
        <w:t>There are no incentives, payments or gifts associated with this information collection.</w:t>
      </w:r>
    </w:p>
    <w:p w:rsidR="00357C8A" w:rsidRPr="00357C8A" w:rsidP="006705EA" w14:paraId="1FA16DCB"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A34E7F" w:rsidRPr="00A34E7F" w:rsidP="00A34E7F" w14:paraId="0EFDD838" w14:textId="77777777">
      <w:pPr>
        <w:spacing w:after="200"/>
        <w:rPr>
          <w:rFonts w:eastAsia="Calibri"/>
        </w:rPr>
      </w:pPr>
      <w:r w:rsidRPr="00A34E7F">
        <w:rPr>
          <w:rFonts w:eastAsia="Calibri"/>
        </w:rPr>
        <w:t xml:space="preserve">In preparing this Supporting Statement, we consulted with our Privacy Office to ensure appropriate handling of information collected.  </w:t>
      </w:r>
    </w:p>
    <w:p w:rsidR="00A34E7F" w:rsidRPr="00A34E7F" w:rsidP="00A34E7F" w14:paraId="3B5C9D28" w14:textId="77777777">
      <w:pPr>
        <w:spacing w:after="200"/>
        <w:rPr>
          <w:rFonts w:eastAsia="Calibri"/>
        </w:rPr>
      </w:pPr>
      <w:r w:rsidRPr="00A34E7F">
        <w:rPr>
          <w:rFonts w:eastAsia="Calibri"/>
        </w:rPr>
        <w:t xml:space="preserve">This (ICR) collects personally identifiable information (PII). PII is collected in the context of the individuals’ professional capacity and the FDA-related work they perform for their employer (e.g., point of contact at a regulated entity).  The PII submitted is name, email address, and phone number. While it has been determined that FDA does not use name or any other personal identifier to retrieve records from the information collected, information collected is maintained in a Privacy Act system of records as described in HHS/FDA System of Records Notice (SORN) 09-10-0002 for Regulated Industry Employee Enforcement Records. Through appropriate form and webpage design, FDA limited submission fields and minimized the PII collected to protect the privacy of the individuals. </w:t>
      </w:r>
    </w:p>
    <w:p w:rsidR="001075D3" w:rsidRPr="001075D3" w:rsidP="00A34E7F" w14:paraId="6B05E5F0" w14:textId="77777777">
      <w:pPr>
        <w:spacing w:after="200"/>
      </w:pPr>
      <w:r w:rsidRPr="00A34E7F">
        <w:rPr>
          <w:rFonts w:eastAsia="Calibri"/>
        </w:rPr>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357C8A" w:rsidRPr="00357C8A" w:rsidP="006705EA" w14:paraId="5C53234B"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274CD9" w:rsidP="0022425B" w14:paraId="7C7DDEDE" w14:textId="77777777">
      <w:pPr>
        <w:spacing w:after="200"/>
        <w:rPr>
          <w:rFonts w:eastAsia="Calibri"/>
          <w:iCs/>
        </w:rPr>
      </w:pPr>
      <w:r w:rsidRPr="00274CD9">
        <w:rPr>
          <w:rFonts w:eastAsia="Calibri"/>
          <w:iCs/>
        </w:rPr>
        <w:t>The collection of information does not involve sensitive questions.</w:t>
      </w:r>
    </w:p>
    <w:p w:rsidR="00357C8A" w:rsidP="006705EA" w14:paraId="03DBD6B3"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F07A34" w:rsidRPr="00357C8A" w:rsidP="008A551C" w14:paraId="23C841CF" w14:textId="77777777">
      <w:pPr>
        <w:spacing w:after="200" w:line="276" w:lineRule="auto"/>
        <w:ind w:left="360"/>
        <w:rPr>
          <w:rFonts w:eastAsia="Calibri"/>
          <w:u w:val="single"/>
        </w:rPr>
      </w:pPr>
      <w:r w:rsidRPr="008A551C">
        <w:rPr>
          <w:rFonts w:eastAsia="Calibri"/>
          <w:i/>
          <w:iCs/>
          <w:u w:val="single"/>
        </w:rPr>
        <w:t>Description of Respondents</w:t>
      </w:r>
      <w:r>
        <w:rPr>
          <w:rFonts w:eastAsia="Calibri"/>
          <w:u w:val="single"/>
        </w:rPr>
        <w:t xml:space="preserve">: </w:t>
      </w:r>
      <w:r w:rsidR="007012F6">
        <w:rPr>
          <w:rFonts w:eastAsia="Calibri"/>
          <w:u w:val="single"/>
        </w:rPr>
        <w:t xml:space="preserve"> </w:t>
      </w:r>
      <w:r w:rsidR="007012F6">
        <w:t>The respondents to this information collection are manufacturers of Type A medicated articles.</w:t>
      </w:r>
    </w:p>
    <w:p w:rsidR="00357C8A" w:rsidP="0022425B" w14:paraId="54915F31" w14:textId="77777777">
      <w:pPr>
        <w:spacing w:after="200"/>
        <w:ind w:left="360"/>
        <w:rPr>
          <w:rFonts w:eastAsia="Calibri"/>
        </w:rPr>
      </w:pPr>
      <w:r w:rsidRPr="005C71CA">
        <w:rPr>
          <w:rFonts w:eastAsia="Calibri"/>
        </w:rPr>
        <w:t>12a.  Annualized Hour Burden Estimate</w:t>
      </w:r>
    </w:p>
    <w:p w:rsidR="007012F6" w:rsidRPr="005C71CA" w:rsidP="008A551C" w14:paraId="67FDAF18" w14:textId="77777777">
      <w:pPr>
        <w:spacing w:line="192" w:lineRule="auto"/>
        <w:ind w:left="360"/>
        <w:jc w:val="center"/>
        <w:rPr>
          <w:rFonts w:eastAsia="Calibri"/>
        </w:rPr>
      </w:pPr>
      <w:r>
        <w:t>Table 1.--Estimated Annual R</w:t>
      </w:r>
      <w:r w:rsidR="000A7A6C">
        <w:t>ecordkeeping</w:t>
      </w:r>
      <w:r>
        <w:t xml:space="preserve"> Burden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81"/>
        <w:gridCol w:w="1261"/>
        <w:gridCol w:w="1259"/>
        <w:gridCol w:w="1215"/>
        <w:gridCol w:w="1120"/>
        <w:gridCol w:w="858"/>
      </w:tblGrid>
      <w:tr w14:paraId="0330327A" w14:textId="77777777" w:rsidTr="00286F31">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rPr>
        <w:tc>
          <w:tcPr>
            <w:tcW w:w="1991" w:type="pct"/>
            <w:shd w:val="clear" w:color="auto" w:fill="auto"/>
          </w:tcPr>
          <w:p w:rsidR="00DF305B" w:rsidRPr="00DF305B" w:rsidP="007012F6" w14:paraId="0A3312D3" w14:textId="77777777">
            <w:pPr>
              <w:jc w:val="center"/>
              <w:rPr>
                <w:sz w:val="20"/>
                <w:szCs w:val="20"/>
              </w:rPr>
            </w:pPr>
            <w:r w:rsidRPr="00DF305B">
              <w:rPr>
                <w:sz w:val="20"/>
                <w:szCs w:val="20"/>
              </w:rPr>
              <w:t>21 CFR Part; Activity</w:t>
            </w:r>
          </w:p>
          <w:p w:rsidR="00DF305B" w:rsidRPr="00DF305B" w:rsidP="007012F6" w14:paraId="6465D9BA" w14:textId="77777777">
            <w:pPr>
              <w:jc w:val="center"/>
              <w:rPr>
                <w:sz w:val="20"/>
                <w:szCs w:val="20"/>
              </w:rPr>
            </w:pPr>
          </w:p>
        </w:tc>
        <w:tc>
          <w:tcPr>
            <w:tcW w:w="664" w:type="pct"/>
            <w:shd w:val="clear" w:color="auto" w:fill="auto"/>
          </w:tcPr>
          <w:p w:rsidR="00DF305B" w:rsidRPr="00DF305B" w:rsidP="007012F6" w14:paraId="325EB3CD" w14:textId="77777777">
            <w:pPr>
              <w:jc w:val="center"/>
              <w:rPr>
                <w:sz w:val="20"/>
                <w:szCs w:val="20"/>
              </w:rPr>
            </w:pPr>
            <w:r w:rsidRPr="00DF305B">
              <w:rPr>
                <w:sz w:val="20"/>
                <w:szCs w:val="20"/>
              </w:rPr>
              <w:t>No. of Respondents</w:t>
            </w:r>
          </w:p>
        </w:tc>
        <w:tc>
          <w:tcPr>
            <w:tcW w:w="663" w:type="pct"/>
            <w:shd w:val="clear" w:color="auto" w:fill="auto"/>
          </w:tcPr>
          <w:p w:rsidR="00DF305B" w:rsidRPr="00DF305B" w:rsidP="007012F6" w14:paraId="76248348" w14:textId="77777777">
            <w:pPr>
              <w:jc w:val="center"/>
              <w:rPr>
                <w:sz w:val="20"/>
                <w:szCs w:val="20"/>
              </w:rPr>
            </w:pPr>
            <w:r w:rsidRPr="00DF305B">
              <w:rPr>
                <w:bCs/>
                <w:sz w:val="20"/>
                <w:szCs w:val="20"/>
              </w:rPr>
              <w:t>No. of Responses per Respondent</w:t>
            </w:r>
          </w:p>
        </w:tc>
        <w:tc>
          <w:tcPr>
            <w:tcW w:w="640" w:type="pct"/>
            <w:shd w:val="clear" w:color="auto" w:fill="auto"/>
          </w:tcPr>
          <w:p w:rsidR="00DF305B" w:rsidRPr="00DF305B" w:rsidP="007012F6" w14:paraId="71CD49C1" w14:textId="77777777">
            <w:pPr>
              <w:jc w:val="center"/>
              <w:rPr>
                <w:sz w:val="20"/>
                <w:szCs w:val="20"/>
              </w:rPr>
            </w:pPr>
            <w:r w:rsidRPr="00DF305B">
              <w:rPr>
                <w:sz w:val="20"/>
                <w:szCs w:val="20"/>
              </w:rPr>
              <w:t>Total Annual Responses</w:t>
            </w:r>
          </w:p>
        </w:tc>
        <w:tc>
          <w:tcPr>
            <w:tcW w:w="590" w:type="pct"/>
            <w:shd w:val="clear" w:color="auto" w:fill="auto"/>
          </w:tcPr>
          <w:p w:rsidR="00DF305B" w:rsidRPr="00DF305B" w:rsidP="007012F6" w14:paraId="6B9360D4" w14:textId="77777777">
            <w:pPr>
              <w:jc w:val="center"/>
              <w:rPr>
                <w:sz w:val="20"/>
                <w:szCs w:val="20"/>
              </w:rPr>
            </w:pPr>
            <w:r w:rsidRPr="00DF305B">
              <w:rPr>
                <w:bCs/>
                <w:sz w:val="20"/>
                <w:szCs w:val="20"/>
              </w:rPr>
              <w:t xml:space="preserve">Average Burden per </w:t>
            </w:r>
            <w:r w:rsidRPr="00DF305B" w:rsidR="008A551C">
              <w:rPr>
                <w:bCs/>
                <w:sz w:val="20"/>
                <w:szCs w:val="20"/>
              </w:rPr>
              <w:t>Response</w:t>
            </w:r>
            <w:r w:rsidR="008A551C">
              <w:rPr>
                <w:bCs/>
                <w:sz w:val="20"/>
                <w:szCs w:val="20"/>
                <w:vertAlign w:val="superscript"/>
              </w:rPr>
              <w:t>1</w:t>
            </w:r>
          </w:p>
        </w:tc>
        <w:tc>
          <w:tcPr>
            <w:tcW w:w="452" w:type="pct"/>
            <w:shd w:val="clear" w:color="auto" w:fill="auto"/>
          </w:tcPr>
          <w:p w:rsidR="00DF305B" w:rsidRPr="00DF305B" w:rsidP="007012F6" w14:paraId="0FF69EA1" w14:textId="77777777">
            <w:pPr>
              <w:jc w:val="center"/>
              <w:rPr>
                <w:sz w:val="20"/>
                <w:szCs w:val="20"/>
              </w:rPr>
            </w:pPr>
            <w:r w:rsidRPr="00DF305B">
              <w:rPr>
                <w:sz w:val="20"/>
                <w:szCs w:val="20"/>
              </w:rPr>
              <w:t>Total Hours</w:t>
            </w:r>
          </w:p>
        </w:tc>
      </w:tr>
      <w:tr w14:paraId="2D5CF196" w14:textId="77777777" w:rsidTr="00286F31">
        <w:tblPrEx>
          <w:tblW w:w="5000" w:type="pct"/>
          <w:tblInd w:w="-5" w:type="dxa"/>
          <w:tblLayout w:type="fixed"/>
          <w:tblLook w:val="01E0"/>
        </w:tblPrEx>
        <w:trPr>
          <w:cantSplit/>
          <w:trHeight w:val="20"/>
          <w:tblHeader/>
        </w:trPr>
        <w:tc>
          <w:tcPr>
            <w:tcW w:w="1991" w:type="pct"/>
            <w:shd w:val="clear" w:color="auto" w:fill="auto"/>
          </w:tcPr>
          <w:p w:rsidR="00497C34" w:rsidRPr="00DF305B" w:rsidP="00DF305B" w14:paraId="6B0D1755" w14:textId="77777777">
            <w:pPr>
              <w:rPr>
                <w:sz w:val="20"/>
                <w:szCs w:val="20"/>
              </w:rPr>
            </w:pPr>
            <w:r>
              <w:rPr>
                <w:sz w:val="20"/>
                <w:szCs w:val="20"/>
              </w:rPr>
              <w:t>226.42, 226.58, 226.80, 226.102, 226.110, and 226.115</w:t>
            </w:r>
            <w:r w:rsidR="00DE75C8">
              <w:rPr>
                <w:sz w:val="20"/>
                <w:szCs w:val="20"/>
              </w:rPr>
              <w:t xml:space="preserve">; </w:t>
            </w:r>
            <w:r w:rsidR="00663D0A">
              <w:rPr>
                <w:sz w:val="20"/>
                <w:szCs w:val="20"/>
              </w:rPr>
              <w:t>R</w:t>
            </w:r>
            <w:r w:rsidR="00DE75C8">
              <w:rPr>
                <w:sz w:val="20"/>
                <w:szCs w:val="20"/>
              </w:rPr>
              <w:t>ecordkeeping and m</w:t>
            </w:r>
            <w:r w:rsidR="001D799D">
              <w:rPr>
                <w:sz w:val="20"/>
                <w:szCs w:val="20"/>
              </w:rPr>
              <w:t>aintenance of records for components used in the manufacture of the medicated premixes</w:t>
            </w:r>
            <w:r w:rsidR="0019473D">
              <w:rPr>
                <w:sz w:val="20"/>
                <w:szCs w:val="20"/>
              </w:rPr>
              <w:t>,</w:t>
            </w:r>
            <w:r w:rsidR="00D929A5">
              <w:rPr>
                <w:sz w:val="20"/>
                <w:szCs w:val="20"/>
              </w:rPr>
              <w:t xml:space="preserve"> laboratory controls, packaging and labeling, master formula and batch-production, distribution records and complaint files</w:t>
            </w:r>
            <w:r w:rsidR="001D799D">
              <w:rPr>
                <w:sz w:val="20"/>
                <w:szCs w:val="20"/>
              </w:rPr>
              <w:t>.</w:t>
            </w:r>
          </w:p>
        </w:tc>
        <w:tc>
          <w:tcPr>
            <w:tcW w:w="664" w:type="pct"/>
            <w:shd w:val="clear" w:color="auto" w:fill="auto"/>
          </w:tcPr>
          <w:p w:rsidR="00497C34" w:rsidRPr="00DF305B" w:rsidP="00DF305B" w14:paraId="70450DBE" w14:textId="77777777">
            <w:pPr>
              <w:jc w:val="right"/>
              <w:rPr>
                <w:rFonts w:eastAsia="Calibri"/>
                <w:sz w:val="20"/>
                <w:szCs w:val="20"/>
              </w:rPr>
            </w:pPr>
            <w:r>
              <w:rPr>
                <w:rFonts w:eastAsia="Calibri"/>
                <w:sz w:val="20"/>
                <w:szCs w:val="20"/>
              </w:rPr>
              <w:t>65</w:t>
            </w:r>
          </w:p>
        </w:tc>
        <w:tc>
          <w:tcPr>
            <w:tcW w:w="663" w:type="pct"/>
            <w:shd w:val="clear" w:color="auto" w:fill="auto"/>
          </w:tcPr>
          <w:p w:rsidR="00497C34" w:rsidRPr="00DF305B" w:rsidP="00DF305B" w14:paraId="242D1827" w14:textId="77777777">
            <w:pPr>
              <w:jc w:val="right"/>
              <w:rPr>
                <w:rFonts w:eastAsia="Calibri"/>
                <w:sz w:val="20"/>
                <w:szCs w:val="20"/>
              </w:rPr>
            </w:pPr>
            <w:r>
              <w:rPr>
                <w:rFonts w:eastAsia="Calibri"/>
                <w:sz w:val="20"/>
                <w:szCs w:val="20"/>
              </w:rPr>
              <w:t>1,</w:t>
            </w:r>
            <w:r w:rsidR="00600FB3">
              <w:rPr>
                <w:rFonts w:eastAsia="Calibri"/>
                <w:sz w:val="20"/>
                <w:szCs w:val="20"/>
              </w:rPr>
              <w:t>370</w:t>
            </w:r>
          </w:p>
        </w:tc>
        <w:tc>
          <w:tcPr>
            <w:tcW w:w="640" w:type="pct"/>
            <w:shd w:val="clear" w:color="auto" w:fill="auto"/>
          </w:tcPr>
          <w:p w:rsidR="00497C34" w:rsidRPr="00DF305B" w:rsidP="00DF305B" w14:paraId="710459D2" w14:textId="77777777">
            <w:pPr>
              <w:jc w:val="right"/>
              <w:rPr>
                <w:rFonts w:eastAsia="Calibri"/>
                <w:sz w:val="20"/>
                <w:szCs w:val="20"/>
              </w:rPr>
            </w:pPr>
            <w:r>
              <w:rPr>
                <w:rFonts w:eastAsia="Calibri"/>
                <w:sz w:val="20"/>
                <w:szCs w:val="20"/>
              </w:rPr>
              <w:t>89</w:t>
            </w:r>
            <w:r w:rsidR="00EC66FD">
              <w:rPr>
                <w:rFonts w:eastAsia="Calibri"/>
                <w:sz w:val="20"/>
                <w:szCs w:val="20"/>
              </w:rPr>
              <w:t>,</w:t>
            </w:r>
            <w:r>
              <w:rPr>
                <w:rFonts w:eastAsia="Calibri"/>
                <w:sz w:val="20"/>
                <w:szCs w:val="20"/>
              </w:rPr>
              <w:t>050</w:t>
            </w:r>
          </w:p>
        </w:tc>
        <w:tc>
          <w:tcPr>
            <w:tcW w:w="590" w:type="pct"/>
            <w:shd w:val="clear" w:color="auto" w:fill="auto"/>
          </w:tcPr>
          <w:p w:rsidR="00497C34" w:rsidRPr="00DF305B" w:rsidP="00DF305B" w14:paraId="4EF6BC55" w14:textId="77777777">
            <w:pPr>
              <w:jc w:val="right"/>
              <w:rPr>
                <w:rFonts w:eastAsia="Calibri"/>
                <w:sz w:val="20"/>
                <w:szCs w:val="20"/>
              </w:rPr>
            </w:pPr>
            <w:r>
              <w:rPr>
                <w:rFonts w:eastAsia="Calibri"/>
                <w:sz w:val="20"/>
                <w:szCs w:val="20"/>
              </w:rPr>
              <w:t>~ 1 hour</w:t>
            </w:r>
          </w:p>
        </w:tc>
        <w:tc>
          <w:tcPr>
            <w:tcW w:w="452" w:type="pct"/>
            <w:shd w:val="clear" w:color="auto" w:fill="auto"/>
          </w:tcPr>
          <w:p w:rsidR="00497C34" w:rsidRPr="00DF305B" w:rsidP="003B71EF" w14:paraId="6AA3EA35" w14:textId="77777777">
            <w:pPr>
              <w:jc w:val="right"/>
              <w:rPr>
                <w:rFonts w:eastAsia="Calibri"/>
                <w:sz w:val="20"/>
                <w:szCs w:val="20"/>
              </w:rPr>
            </w:pPr>
            <w:r w:rsidRPr="008A551C">
              <w:rPr>
                <w:rFonts w:eastAsia="Calibri"/>
                <w:sz w:val="20"/>
                <w:szCs w:val="20"/>
              </w:rPr>
              <w:t>8</w:t>
            </w:r>
            <w:r>
              <w:rPr>
                <w:rFonts w:eastAsia="Calibri"/>
                <w:sz w:val="20"/>
                <w:szCs w:val="20"/>
              </w:rPr>
              <w:t>9</w:t>
            </w:r>
            <w:r w:rsidRPr="008A551C" w:rsidR="00912F17">
              <w:rPr>
                <w:rFonts w:eastAsia="Calibri"/>
                <w:sz w:val="20"/>
                <w:szCs w:val="20"/>
              </w:rPr>
              <w:t>,</w:t>
            </w:r>
            <w:r>
              <w:rPr>
                <w:rFonts w:eastAsia="Calibri"/>
                <w:sz w:val="20"/>
                <w:szCs w:val="20"/>
              </w:rPr>
              <w:t>0</w:t>
            </w:r>
            <w:r w:rsidRPr="008A551C">
              <w:rPr>
                <w:rFonts w:eastAsia="Calibri"/>
                <w:sz w:val="20"/>
                <w:szCs w:val="20"/>
              </w:rPr>
              <w:t>50</w:t>
            </w:r>
          </w:p>
        </w:tc>
      </w:tr>
    </w:tbl>
    <w:p w:rsidR="00F23CB4" w:rsidP="008A551C" w14:paraId="61ACC468" w14:textId="77777777">
      <w:pPr>
        <w:spacing w:after="200"/>
        <w:rPr>
          <w:rFonts w:eastAsia="Calibri"/>
        </w:rPr>
      </w:pPr>
      <w:r>
        <w:rPr>
          <w:rFonts w:eastAsia="Calibri"/>
          <w:sz w:val="22"/>
          <w:vertAlign w:val="superscript"/>
        </w:rPr>
        <w:t>1</w:t>
      </w:r>
      <w:r>
        <w:rPr>
          <w:rFonts w:eastAsia="Calibri"/>
        </w:rPr>
        <w:t xml:space="preserve"> </w:t>
      </w:r>
      <w:r w:rsidRPr="008D2FC0" w:rsidR="002E4EC4">
        <w:rPr>
          <w:rFonts w:eastAsia="Calibri"/>
          <w:sz w:val="20"/>
          <w:szCs w:val="20"/>
        </w:rPr>
        <w:t>Decimals rounded.</w:t>
      </w:r>
    </w:p>
    <w:p w:rsidR="00DF305B" w:rsidP="00DC371B" w14:paraId="3BF7BD79" w14:textId="77777777">
      <w:pPr>
        <w:spacing w:after="200"/>
        <w:ind w:left="360"/>
        <w:rPr>
          <w:rFonts w:eastAsia="Calibri"/>
        </w:rPr>
      </w:pPr>
      <w:bookmarkStart w:id="0" w:name="_Hlk133352408"/>
      <w:r>
        <w:rPr>
          <w:rFonts w:eastAsia="Calibri"/>
        </w:rPr>
        <w:t>The burden we</w:t>
      </w:r>
      <w:r w:rsidRPr="008A551C">
        <w:rPr>
          <w:rFonts w:eastAsia="Calibri"/>
        </w:rPr>
        <w:t xml:space="preserve"> </w:t>
      </w:r>
      <w:r w:rsidRPr="008A551C" w:rsidR="00F23CB4">
        <w:rPr>
          <w:rFonts w:eastAsia="Calibri"/>
        </w:rPr>
        <w:t>attribute</w:t>
      </w:r>
      <w:r w:rsidRPr="008A551C" w:rsidR="008A551C">
        <w:rPr>
          <w:rFonts w:eastAsia="Calibri"/>
        </w:rPr>
        <w:t xml:space="preserve"> </w:t>
      </w:r>
      <w:r w:rsidRPr="008A551C" w:rsidR="00F23CB4">
        <w:rPr>
          <w:rFonts w:eastAsia="Calibri"/>
        </w:rPr>
        <w:t>to recordkeeping activities associated with the provisions in 21 CFR part 226 are assumed to be distributed among the individual elements and averaged among respondents.</w:t>
      </w:r>
    </w:p>
    <w:bookmarkEnd w:id="0"/>
    <w:p w:rsidR="00286F31" w14:paraId="21B68A86" w14:textId="77777777">
      <w:pPr>
        <w:rPr>
          <w:rFonts w:eastAsia="Calibri"/>
        </w:rPr>
      </w:pPr>
      <w:r>
        <w:rPr>
          <w:rFonts w:eastAsia="Calibri"/>
        </w:rPr>
        <w:br w:type="page"/>
      </w:r>
    </w:p>
    <w:p w:rsidR="00357C8A" w:rsidRPr="005C71CA" w:rsidP="00DC371B" w14:paraId="2A2C8FD1" w14:textId="64EAE094">
      <w:pPr>
        <w:spacing w:after="200"/>
        <w:ind w:left="360"/>
        <w:rPr>
          <w:rFonts w:eastAsia="Calibri"/>
        </w:rPr>
      </w:pPr>
      <w:r w:rsidRPr="005C71CA">
        <w:rPr>
          <w:rFonts w:eastAsia="Calibri"/>
        </w:rPr>
        <w:t>12b.  Annualized Cost Burden Estimate</w:t>
      </w:r>
    </w:p>
    <w:p w:rsidR="00357C8A" w:rsidRPr="00357C8A" w:rsidP="00357C8A" w14:paraId="0A961BFF" w14:textId="77777777">
      <w:pPr>
        <w:ind w:left="720"/>
        <w:rPr>
          <w:rFonts w:eastAsia="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890"/>
        <w:gridCol w:w="1944"/>
        <w:gridCol w:w="1926"/>
      </w:tblGrid>
      <w:tr w14:paraId="1F5EB4EC" w14:textId="77777777" w:rsidTr="00312622">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20" w:type="dxa"/>
            <w:shd w:val="clear" w:color="auto" w:fill="auto"/>
          </w:tcPr>
          <w:p w:rsidR="00A707CC" w:rsidP="00312622" w14:paraId="3BBCBBA9" w14:textId="77777777">
            <w:pPr>
              <w:jc w:val="center"/>
            </w:pPr>
            <w:r w:rsidRPr="00355B62">
              <w:t>Type of Respondent</w:t>
            </w:r>
          </w:p>
        </w:tc>
        <w:tc>
          <w:tcPr>
            <w:tcW w:w="1890" w:type="dxa"/>
            <w:shd w:val="clear" w:color="auto" w:fill="auto"/>
          </w:tcPr>
          <w:p w:rsidR="00A707CC" w:rsidP="00312622" w14:paraId="52781ACF" w14:textId="77777777">
            <w:pPr>
              <w:jc w:val="center"/>
            </w:pPr>
            <w:r>
              <w:t>Total Burden Hours</w:t>
            </w:r>
          </w:p>
        </w:tc>
        <w:tc>
          <w:tcPr>
            <w:tcW w:w="1944" w:type="dxa"/>
            <w:shd w:val="clear" w:color="auto" w:fill="auto"/>
          </w:tcPr>
          <w:p w:rsidR="00A707CC" w:rsidP="00312622" w14:paraId="64A95DED" w14:textId="77777777">
            <w:pPr>
              <w:jc w:val="center"/>
            </w:pPr>
            <w:r>
              <w:t>Hourly Wage Rate</w:t>
            </w:r>
          </w:p>
        </w:tc>
        <w:tc>
          <w:tcPr>
            <w:tcW w:w="1926" w:type="dxa"/>
            <w:shd w:val="clear" w:color="auto" w:fill="auto"/>
          </w:tcPr>
          <w:p w:rsidR="00A707CC" w:rsidP="00312622" w14:paraId="5085280F" w14:textId="77777777">
            <w:pPr>
              <w:jc w:val="center"/>
            </w:pPr>
            <w:r>
              <w:t>Total Respondent Costs</w:t>
            </w:r>
          </w:p>
        </w:tc>
      </w:tr>
      <w:tr w14:paraId="6963D7BD" w14:textId="77777777" w:rsidTr="00312622">
        <w:tblPrEx>
          <w:tblW w:w="0" w:type="auto"/>
          <w:tblInd w:w="828" w:type="dxa"/>
          <w:tblLook w:val="01E0"/>
        </w:tblPrEx>
        <w:tc>
          <w:tcPr>
            <w:tcW w:w="2520" w:type="dxa"/>
            <w:shd w:val="clear" w:color="auto" w:fill="auto"/>
          </w:tcPr>
          <w:p w:rsidR="00A707CC" w:rsidRPr="00DF305B" w:rsidP="00312622" w14:paraId="0F4F83AD" w14:textId="77777777">
            <w:pPr>
              <w:rPr>
                <w:vertAlign w:val="superscript"/>
              </w:rPr>
            </w:pPr>
            <w:r>
              <w:t>Records Clerk</w:t>
            </w:r>
            <w:r>
              <w:rPr>
                <w:vertAlign w:val="superscript"/>
              </w:rPr>
              <w:t>1</w:t>
            </w:r>
          </w:p>
        </w:tc>
        <w:tc>
          <w:tcPr>
            <w:tcW w:w="1890" w:type="dxa"/>
            <w:shd w:val="clear" w:color="auto" w:fill="auto"/>
          </w:tcPr>
          <w:p w:rsidR="00A707CC" w:rsidP="00A34E7F" w14:paraId="787B3153" w14:textId="77777777">
            <w:pPr>
              <w:jc w:val="center"/>
            </w:pPr>
            <w:r>
              <w:t>89,</w:t>
            </w:r>
            <w:r w:rsidR="00CE5A9A">
              <w:t>0</w:t>
            </w:r>
            <w:r w:rsidR="00600FB3">
              <w:t>50</w:t>
            </w:r>
          </w:p>
        </w:tc>
        <w:tc>
          <w:tcPr>
            <w:tcW w:w="1944" w:type="dxa"/>
            <w:shd w:val="clear" w:color="auto" w:fill="auto"/>
          </w:tcPr>
          <w:p w:rsidR="00A707CC" w:rsidP="00A34E7F" w14:paraId="2920472C" w14:textId="77777777">
            <w:pPr>
              <w:jc w:val="center"/>
            </w:pPr>
            <w:r>
              <w:t>$</w:t>
            </w:r>
            <w:r w:rsidR="004577B6">
              <w:t>30</w:t>
            </w:r>
            <w:r w:rsidR="00DF305B">
              <w:t>.</w:t>
            </w:r>
            <w:r w:rsidR="004577B6">
              <w:t>24</w:t>
            </w:r>
          </w:p>
        </w:tc>
        <w:tc>
          <w:tcPr>
            <w:tcW w:w="1926" w:type="dxa"/>
            <w:shd w:val="clear" w:color="auto" w:fill="auto"/>
          </w:tcPr>
          <w:p w:rsidR="00A707CC" w:rsidP="00A34E7F" w14:paraId="56572CF0" w14:textId="77777777">
            <w:pPr>
              <w:jc w:val="center"/>
            </w:pPr>
            <w:r>
              <w:t>$2,</w:t>
            </w:r>
            <w:r w:rsidR="004577B6">
              <w:t>692,872</w:t>
            </w:r>
          </w:p>
        </w:tc>
      </w:tr>
    </w:tbl>
    <w:p w:rsidR="00DF305B" w:rsidP="00DF305B" w14:paraId="365864B9" w14:textId="77777777">
      <w:pPr>
        <w:pStyle w:val="Default"/>
        <w:rPr>
          <w:sz w:val="18"/>
          <w:szCs w:val="18"/>
        </w:rPr>
      </w:pPr>
      <w:r>
        <w:rPr>
          <w:rFonts w:eastAsia="Calibri"/>
        </w:rPr>
        <w:tab/>
      </w:r>
      <w:r w:rsidRPr="00DF305B">
        <w:rPr>
          <w:sz w:val="18"/>
          <w:szCs w:val="18"/>
          <w:vertAlign w:val="superscript"/>
        </w:rPr>
        <w:t>1</w:t>
      </w:r>
      <w:r w:rsidRPr="00DF305B">
        <w:rPr>
          <w:sz w:val="18"/>
          <w:szCs w:val="18"/>
        </w:rPr>
        <w:t>May</w:t>
      </w:r>
      <w:r>
        <w:rPr>
          <w:sz w:val="18"/>
          <w:szCs w:val="18"/>
        </w:rPr>
        <w:t xml:space="preserve"> 202</w:t>
      </w:r>
      <w:r w:rsidR="004577B6">
        <w:rPr>
          <w:sz w:val="18"/>
          <w:szCs w:val="18"/>
        </w:rPr>
        <w:t>2</w:t>
      </w:r>
      <w:r>
        <w:rPr>
          <w:sz w:val="18"/>
          <w:szCs w:val="18"/>
        </w:rPr>
        <w:t xml:space="preserve"> National Industry-Specific Occupational Employment and Wage Estimates, Bureau of Labor Statistics </w:t>
      </w:r>
    </w:p>
    <w:p w:rsidR="00357C8A" w:rsidP="00DF305B" w14:paraId="781CD8BB" w14:textId="77777777">
      <w:pPr>
        <w:ind w:firstLine="720"/>
        <w:rPr>
          <w:sz w:val="18"/>
          <w:szCs w:val="18"/>
        </w:rPr>
      </w:pPr>
      <w:r>
        <w:rPr>
          <w:sz w:val="18"/>
          <w:szCs w:val="18"/>
        </w:rPr>
        <w:t>and including 30% for benefits (</w:t>
      </w:r>
      <w:hyperlink r:id="rId8" w:history="1">
        <w:r w:rsidRPr="00B660EF">
          <w:rPr>
            <w:rStyle w:val="Hyperlink"/>
            <w:sz w:val="18"/>
            <w:szCs w:val="18"/>
          </w:rPr>
          <w:t>https://www.bls.gov/oes/current/oes434199.htm</w:t>
        </w:r>
      </w:hyperlink>
      <w:r>
        <w:rPr>
          <w:sz w:val="18"/>
          <w:szCs w:val="18"/>
        </w:rPr>
        <w:t>)</w:t>
      </w:r>
    </w:p>
    <w:p w:rsidR="00DF305B" w:rsidRPr="00357C8A" w:rsidP="00DF305B" w14:paraId="05B381BD" w14:textId="77777777">
      <w:pPr>
        <w:ind w:firstLine="720"/>
        <w:rPr>
          <w:rFonts w:eastAsia="Calibri"/>
        </w:rPr>
      </w:pPr>
    </w:p>
    <w:p w:rsidR="00357C8A" w:rsidRPr="00357C8A" w:rsidP="006705EA" w14:paraId="5284D041"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14:paraId="4C3627FA" w14:textId="77777777">
      <w:pPr>
        <w:spacing w:after="200" w:line="276" w:lineRule="auto"/>
        <w:rPr>
          <w:rFonts w:eastAsia="Calibri"/>
          <w:u w:val="single"/>
        </w:rPr>
      </w:pPr>
      <w:r w:rsidRPr="00DF305B">
        <w:rPr>
          <w:rFonts w:eastAsia="Calibri"/>
        </w:rPr>
        <w:t xml:space="preserve">There are no capital, start-up, </w:t>
      </w:r>
      <w:r w:rsidRPr="00DF305B">
        <w:rPr>
          <w:rFonts w:eastAsia="Calibri"/>
        </w:rPr>
        <w:t>operating</w:t>
      </w:r>
      <w:r w:rsidRPr="00DF305B">
        <w:rPr>
          <w:rFonts w:eastAsia="Calibri"/>
        </w:rPr>
        <w:t xml:space="preserve"> or maintenance costs associated with this information collection. </w:t>
      </w:r>
    </w:p>
    <w:p w:rsidR="00357C8A" w:rsidRPr="00357C8A" w:rsidP="006705EA" w14:paraId="54A87DE8"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357C8A" w14:paraId="5EF3102F" w14:textId="77777777">
      <w:pPr>
        <w:spacing w:after="200"/>
        <w:rPr>
          <w:rFonts w:eastAsia="Calibri"/>
        </w:rPr>
      </w:pPr>
      <w:r w:rsidRPr="004778CC">
        <w:rPr>
          <w:rFonts w:eastAsia="Calibri"/>
        </w:rPr>
        <w:t>We estimate the cost to the Federal government to be $3</w:t>
      </w:r>
      <w:r w:rsidR="00394243">
        <w:rPr>
          <w:rFonts w:eastAsia="Calibri"/>
        </w:rPr>
        <w:t>8</w:t>
      </w:r>
      <w:r w:rsidRPr="004778CC">
        <w:rPr>
          <w:rFonts w:eastAsia="Calibri"/>
        </w:rPr>
        <w:t>,</w:t>
      </w:r>
      <w:r w:rsidR="00394243">
        <w:rPr>
          <w:rFonts w:eastAsia="Calibri"/>
        </w:rPr>
        <w:t>669</w:t>
      </w:r>
      <w:r w:rsidRPr="004778CC">
        <w:rPr>
          <w:rFonts w:eastAsia="Calibri"/>
        </w:rPr>
        <w:t>.</w:t>
      </w:r>
      <w:r w:rsidR="00394243">
        <w:rPr>
          <w:rFonts w:eastAsia="Calibri"/>
        </w:rPr>
        <w:t>40</w:t>
      </w:r>
      <w:r w:rsidRPr="004778CC">
        <w:rPr>
          <w:rFonts w:eastAsia="Calibri"/>
        </w:rPr>
        <w:t>. This estimate is based on the salary of an FTE at the GS-12/Step 5 level in the locality pay area of Washington-Baltimore- Arlington</w:t>
      </w:r>
      <w:r>
        <w:rPr>
          <w:rFonts w:eastAsia="Calibri"/>
        </w:rPr>
        <w:t xml:space="preserve">, </w:t>
      </w:r>
      <w:r w:rsidR="00A21420">
        <w:rPr>
          <w:rFonts w:eastAsia="Calibri"/>
        </w:rPr>
        <w:t>DC-MD-VA-WV-PA</w:t>
      </w:r>
      <w:r w:rsidRPr="004778CC">
        <w:rPr>
          <w:rFonts w:eastAsia="Calibri"/>
        </w:rPr>
        <w:t xml:space="preserve"> in 202</w:t>
      </w:r>
      <w:r>
        <w:rPr>
          <w:rFonts w:eastAsia="Calibri"/>
        </w:rPr>
        <w:t>3</w:t>
      </w:r>
      <w:r w:rsidRPr="004778CC">
        <w:rPr>
          <w:rFonts w:eastAsia="Calibri"/>
        </w:rPr>
        <w:t xml:space="preserve"> ($</w:t>
      </w:r>
      <w:r>
        <w:rPr>
          <w:rFonts w:eastAsia="Calibri"/>
        </w:rPr>
        <w:t>51.15</w:t>
      </w:r>
      <w:r w:rsidRPr="004778CC">
        <w:rPr>
          <w:rFonts w:eastAsia="Calibri"/>
        </w:rPr>
        <w:t>/hour x 36 hours per inspection x 21 inspections = $3</w:t>
      </w:r>
      <w:r w:rsidR="00394243">
        <w:rPr>
          <w:rFonts w:eastAsia="Calibri"/>
        </w:rPr>
        <w:t>8</w:t>
      </w:r>
      <w:r w:rsidRPr="004778CC">
        <w:rPr>
          <w:rFonts w:eastAsia="Calibri"/>
        </w:rPr>
        <w:t>,</w:t>
      </w:r>
      <w:r w:rsidR="00394243">
        <w:rPr>
          <w:rFonts w:eastAsia="Calibri"/>
        </w:rPr>
        <w:t>669</w:t>
      </w:r>
      <w:r w:rsidRPr="004778CC">
        <w:rPr>
          <w:rFonts w:eastAsia="Calibri"/>
        </w:rPr>
        <w:t>.</w:t>
      </w:r>
      <w:r w:rsidR="00394243">
        <w:rPr>
          <w:rFonts w:eastAsia="Calibri"/>
        </w:rPr>
        <w:t>40</w:t>
      </w:r>
      <w:r w:rsidRPr="004778CC">
        <w:rPr>
          <w:rFonts w:eastAsia="Calibri"/>
        </w:rPr>
        <w:t xml:space="preserve">). </w:t>
      </w:r>
      <w:r w:rsidR="00A506DE">
        <w:rPr>
          <w:rFonts w:eastAsia="Calibri"/>
        </w:rPr>
        <w:t xml:space="preserve"> </w:t>
      </w:r>
    </w:p>
    <w:p w:rsidR="00357C8A" w:rsidP="006705EA" w14:paraId="2DC0D249"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00D929A5" w:rsidP="008A551C" w14:paraId="595013FC" w14:textId="77777777">
      <w:pPr>
        <w:spacing w:after="200" w:line="276" w:lineRule="auto"/>
        <w:rPr>
          <w:rFonts w:eastAsia="Calibri"/>
          <w:u w:val="single"/>
        </w:rPr>
      </w:pPr>
      <w:r>
        <w:t>Based on a review of the information collection since our last request for OMB approval, we have made no adjustments to our burden estimate.</w:t>
      </w:r>
    </w:p>
    <w:p w:rsidR="00357C8A" w:rsidRPr="00357C8A" w:rsidP="006705EA" w14:paraId="701B7FBD"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394243" w:rsidP="00357C8A" w14:paraId="6A0063A7" w14:textId="77777777">
      <w:pPr>
        <w:spacing w:after="200"/>
        <w:rPr>
          <w:rFonts w:eastAsia="Calibri"/>
        </w:rPr>
      </w:pPr>
      <w:r w:rsidRPr="005C71CA">
        <w:rPr>
          <w:rFonts w:eastAsia="Calibri"/>
        </w:rPr>
        <w:t>This information collected will not be published or tabulated.</w:t>
      </w:r>
    </w:p>
    <w:p w:rsidR="00357C8A" w:rsidRPr="00357C8A" w:rsidP="006705EA" w14:paraId="2BFBF062"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394243" w:rsidP="00357C8A" w14:paraId="7B41BCF5" w14:textId="77777777">
      <w:pPr>
        <w:spacing w:after="200"/>
        <w:rPr>
          <w:rFonts w:eastAsia="Calibri"/>
        </w:rPr>
      </w:pPr>
      <w:r>
        <w:rPr>
          <w:rFonts w:eastAsia="Calibri"/>
        </w:rPr>
        <w:t>The OMB expiration date will be displayed.</w:t>
      </w:r>
    </w:p>
    <w:p w:rsidR="00357C8A" w:rsidRPr="00357C8A" w:rsidP="006705EA" w14:paraId="23FB0FA5"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394243" w14:paraId="71940488" w14:textId="77777777">
      <w:pPr>
        <w:spacing w:after="200"/>
        <w:rPr>
          <w:rFonts w:eastAsia="Calibri"/>
        </w:rPr>
      </w:pPr>
      <w:r w:rsidRPr="007E59A8">
        <w:rPr>
          <w:rFonts w:eastAsia="Calibri"/>
        </w:rPr>
        <w:t>There are no exceptions to the certification</w:t>
      </w:r>
      <w:r>
        <w:rPr>
          <w:rFonts w:eastAsia="Calibri"/>
        </w:rPr>
        <w:t>.</w:t>
      </w:r>
    </w:p>
    <w:sectPr w:rsidSect="005C71CA">
      <w:footerReference w:type="even" r:id="rId9"/>
      <w:footerReference w:type="default" r:id="rId10"/>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3C42851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64C5">
      <w:rPr>
        <w:rStyle w:val="PageNumber"/>
        <w:noProof/>
      </w:rPr>
      <w:t>1</w:t>
    </w:r>
    <w:r>
      <w:rPr>
        <w:rStyle w:val="PageNumber"/>
      </w:rPr>
      <w:fldChar w:fldCharType="end"/>
    </w:r>
  </w:p>
  <w:p w:rsidR="00E63DE5" w14:paraId="5EF7F5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142BB07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6B1E569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915"/>
    <w:rsid w:val="000161E3"/>
    <w:rsid w:val="0003115F"/>
    <w:rsid w:val="00031A2C"/>
    <w:rsid w:val="00042B93"/>
    <w:rsid w:val="00043C7F"/>
    <w:rsid w:val="000467A8"/>
    <w:rsid w:val="0006570F"/>
    <w:rsid w:val="00075DE8"/>
    <w:rsid w:val="00087439"/>
    <w:rsid w:val="000A7A6C"/>
    <w:rsid w:val="000B73AC"/>
    <w:rsid w:val="000C1260"/>
    <w:rsid w:val="000C560C"/>
    <w:rsid w:val="000D080B"/>
    <w:rsid w:val="000D48FD"/>
    <w:rsid w:val="000D4C61"/>
    <w:rsid w:val="000D5F5F"/>
    <w:rsid w:val="000D79CC"/>
    <w:rsid w:val="000E1C64"/>
    <w:rsid w:val="000F7119"/>
    <w:rsid w:val="00100739"/>
    <w:rsid w:val="0010493E"/>
    <w:rsid w:val="001075D3"/>
    <w:rsid w:val="00107885"/>
    <w:rsid w:val="00114FC4"/>
    <w:rsid w:val="0012329C"/>
    <w:rsid w:val="00134FA7"/>
    <w:rsid w:val="00137950"/>
    <w:rsid w:val="00152F29"/>
    <w:rsid w:val="00174D54"/>
    <w:rsid w:val="0017702C"/>
    <w:rsid w:val="0018519F"/>
    <w:rsid w:val="00185270"/>
    <w:rsid w:val="0019473D"/>
    <w:rsid w:val="001A3B5A"/>
    <w:rsid w:val="001A458C"/>
    <w:rsid w:val="001B5975"/>
    <w:rsid w:val="001B7CE9"/>
    <w:rsid w:val="001D495A"/>
    <w:rsid w:val="001D799D"/>
    <w:rsid w:val="001E244C"/>
    <w:rsid w:val="001F1437"/>
    <w:rsid w:val="001F416F"/>
    <w:rsid w:val="00201269"/>
    <w:rsid w:val="00206799"/>
    <w:rsid w:val="002074FE"/>
    <w:rsid w:val="00220B20"/>
    <w:rsid w:val="0022425B"/>
    <w:rsid w:val="002259EF"/>
    <w:rsid w:val="00242ED1"/>
    <w:rsid w:val="002444BB"/>
    <w:rsid w:val="00254069"/>
    <w:rsid w:val="00270748"/>
    <w:rsid w:val="002734E5"/>
    <w:rsid w:val="002746DB"/>
    <w:rsid w:val="00274CD9"/>
    <w:rsid w:val="00280CAF"/>
    <w:rsid w:val="00282F09"/>
    <w:rsid w:val="00286F31"/>
    <w:rsid w:val="00291810"/>
    <w:rsid w:val="00294B0B"/>
    <w:rsid w:val="00294D62"/>
    <w:rsid w:val="00297532"/>
    <w:rsid w:val="00297FFD"/>
    <w:rsid w:val="002A1210"/>
    <w:rsid w:val="002A47D2"/>
    <w:rsid w:val="002A7FB5"/>
    <w:rsid w:val="002B2074"/>
    <w:rsid w:val="002B494B"/>
    <w:rsid w:val="002D0B88"/>
    <w:rsid w:val="002D14D8"/>
    <w:rsid w:val="002D4799"/>
    <w:rsid w:val="002E3FA4"/>
    <w:rsid w:val="002E4EC4"/>
    <w:rsid w:val="002E53A5"/>
    <w:rsid w:val="002E64B8"/>
    <w:rsid w:val="002E6834"/>
    <w:rsid w:val="003113FF"/>
    <w:rsid w:val="00312622"/>
    <w:rsid w:val="003143BA"/>
    <w:rsid w:val="0032277F"/>
    <w:rsid w:val="00336B69"/>
    <w:rsid w:val="0034302B"/>
    <w:rsid w:val="00350523"/>
    <w:rsid w:val="0035189D"/>
    <w:rsid w:val="003543B2"/>
    <w:rsid w:val="00355B62"/>
    <w:rsid w:val="00357C8A"/>
    <w:rsid w:val="003740BC"/>
    <w:rsid w:val="0037456B"/>
    <w:rsid w:val="003801A3"/>
    <w:rsid w:val="00383D90"/>
    <w:rsid w:val="003870AE"/>
    <w:rsid w:val="00394243"/>
    <w:rsid w:val="003A1A27"/>
    <w:rsid w:val="003A50CC"/>
    <w:rsid w:val="003B3B97"/>
    <w:rsid w:val="003B42B3"/>
    <w:rsid w:val="003B6384"/>
    <w:rsid w:val="003B71EF"/>
    <w:rsid w:val="003C0FE2"/>
    <w:rsid w:val="003C4EBB"/>
    <w:rsid w:val="003D1531"/>
    <w:rsid w:val="003E4EC6"/>
    <w:rsid w:val="003E527E"/>
    <w:rsid w:val="003E553E"/>
    <w:rsid w:val="003E7078"/>
    <w:rsid w:val="003F3DF5"/>
    <w:rsid w:val="003F73B8"/>
    <w:rsid w:val="0040297E"/>
    <w:rsid w:val="00411D11"/>
    <w:rsid w:val="00414494"/>
    <w:rsid w:val="00415E23"/>
    <w:rsid w:val="0041670D"/>
    <w:rsid w:val="00423272"/>
    <w:rsid w:val="00424061"/>
    <w:rsid w:val="00426F58"/>
    <w:rsid w:val="00442A3C"/>
    <w:rsid w:val="00443969"/>
    <w:rsid w:val="00447D74"/>
    <w:rsid w:val="00450A74"/>
    <w:rsid w:val="004546BF"/>
    <w:rsid w:val="004577B6"/>
    <w:rsid w:val="00465350"/>
    <w:rsid w:val="00476B91"/>
    <w:rsid w:val="004778CC"/>
    <w:rsid w:val="004846BF"/>
    <w:rsid w:val="00494912"/>
    <w:rsid w:val="00497C34"/>
    <w:rsid w:val="004A1971"/>
    <w:rsid w:val="004A5323"/>
    <w:rsid w:val="004A5A99"/>
    <w:rsid w:val="004C6979"/>
    <w:rsid w:val="004D13A2"/>
    <w:rsid w:val="004D3E7A"/>
    <w:rsid w:val="004F594B"/>
    <w:rsid w:val="004F61E1"/>
    <w:rsid w:val="00525678"/>
    <w:rsid w:val="0053380B"/>
    <w:rsid w:val="00543194"/>
    <w:rsid w:val="00544138"/>
    <w:rsid w:val="00554E34"/>
    <w:rsid w:val="00584583"/>
    <w:rsid w:val="00590E90"/>
    <w:rsid w:val="00590EEB"/>
    <w:rsid w:val="0059535E"/>
    <w:rsid w:val="005975FC"/>
    <w:rsid w:val="005A4099"/>
    <w:rsid w:val="005C38B2"/>
    <w:rsid w:val="005C5029"/>
    <w:rsid w:val="005C55C2"/>
    <w:rsid w:val="005C71CA"/>
    <w:rsid w:val="005C745C"/>
    <w:rsid w:val="005D4DF5"/>
    <w:rsid w:val="005E42BA"/>
    <w:rsid w:val="005E5F6B"/>
    <w:rsid w:val="005F2BC8"/>
    <w:rsid w:val="00600FB3"/>
    <w:rsid w:val="00611D6B"/>
    <w:rsid w:val="00612BBC"/>
    <w:rsid w:val="00625CFD"/>
    <w:rsid w:val="006326EC"/>
    <w:rsid w:val="00651FA7"/>
    <w:rsid w:val="00663A42"/>
    <w:rsid w:val="00663D0A"/>
    <w:rsid w:val="006641C7"/>
    <w:rsid w:val="00666686"/>
    <w:rsid w:val="00667094"/>
    <w:rsid w:val="006705EA"/>
    <w:rsid w:val="00670BE2"/>
    <w:rsid w:val="006916D9"/>
    <w:rsid w:val="006A03ED"/>
    <w:rsid w:val="006A0E05"/>
    <w:rsid w:val="006A26C6"/>
    <w:rsid w:val="006A465A"/>
    <w:rsid w:val="006A7D5D"/>
    <w:rsid w:val="006B7B3F"/>
    <w:rsid w:val="006D0C12"/>
    <w:rsid w:val="006D5D57"/>
    <w:rsid w:val="006E2538"/>
    <w:rsid w:val="006E302F"/>
    <w:rsid w:val="006E43E9"/>
    <w:rsid w:val="006F4D6D"/>
    <w:rsid w:val="007012F6"/>
    <w:rsid w:val="00705086"/>
    <w:rsid w:val="00705B3E"/>
    <w:rsid w:val="00722001"/>
    <w:rsid w:val="0074051C"/>
    <w:rsid w:val="00744525"/>
    <w:rsid w:val="00751E66"/>
    <w:rsid w:val="00754497"/>
    <w:rsid w:val="00773201"/>
    <w:rsid w:val="007815C6"/>
    <w:rsid w:val="00785157"/>
    <w:rsid w:val="00787C39"/>
    <w:rsid w:val="00792947"/>
    <w:rsid w:val="00794B56"/>
    <w:rsid w:val="00795DF3"/>
    <w:rsid w:val="00796881"/>
    <w:rsid w:val="007A373C"/>
    <w:rsid w:val="007B225C"/>
    <w:rsid w:val="007C75B1"/>
    <w:rsid w:val="007C7AB4"/>
    <w:rsid w:val="007D3DFC"/>
    <w:rsid w:val="007D4453"/>
    <w:rsid w:val="007E2F07"/>
    <w:rsid w:val="007E59A8"/>
    <w:rsid w:val="0080776D"/>
    <w:rsid w:val="00810145"/>
    <w:rsid w:val="008108FA"/>
    <w:rsid w:val="00810FF1"/>
    <w:rsid w:val="00812FD5"/>
    <w:rsid w:val="008165A6"/>
    <w:rsid w:val="00822336"/>
    <w:rsid w:val="00823DFA"/>
    <w:rsid w:val="00824DE0"/>
    <w:rsid w:val="00842DB7"/>
    <w:rsid w:val="00843752"/>
    <w:rsid w:val="0084479F"/>
    <w:rsid w:val="0085725E"/>
    <w:rsid w:val="00873D4F"/>
    <w:rsid w:val="0087509F"/>
    <w:rsid w:val="00885B09"/>
    <w:rsid w:val="00892400"/>
    <w:rsid w:val="008A209D"/>
    <w:rsid w:val="008A22BB"/>
    <w:rsid w:val="008A551C"/>
    <w:rsid w:val="008B035D"/>
    <w:rsid w:val="008B0E29"/>
    <w:rsid w:val="008B0EFA"/>
    <w:rsid w:val="008B30AB"/>
    <w:rsid w:val="008C3BB8"/>
    <w:rsid w:val="008C4B65"/>
    <w:rsid w:val="008D2E37"/>
    <w:rsid w:val="008D2FC0"/>
    <w:rsid w:val="008E5214"/>
    <w:rsid w:val="008E5F55"/>
    <w:rsid w:val="008E7E62"/>
    <w:rsid w:val="009009E7"/>
    <w:rsid w:val="00905B03"/>
    <w:rsid w:val="00905DEF"/>
    <w:rsid w:val="00906056"/>
    <w:rsid w:val="009122AE"/>
    <w:rsid w:val="00912F17"/>
    <w:rsid w:val="00913B43"/>
    <w:rsid w:val="00930203"/>
    <w:rsid w:val="009311D2"/>
    <w:rsid w:val="009311E6"/>
    <w:rsid w:val="00931275"/>
    <w:rsid w:val="009325F0"/>
    <w:rsid w:val="009342E9"/>
    <w:rsid w:val="00936AC7"/>
    <w:rsid w:val="00946352"/>
    <w:rsid w:val="00947761"/>
    <w:rsid w:val="00953B64"/>
    <w:rsid w:val="009646A7"/>
    <w:rsid w:val="00970A88"/>
    <w:rsid w:val="009818A1"/>
    <w:rsid w:val="009A1674"/>
    <w:rsid w:val="009A168B"/>
    <w:rsid w:val="009B38BE"/>
    <w:rsid w:val="009B4DF2"/>
    <w:rsid w:val="009C684F"/>
    <w:rsid w:val="009D074C"/>
    <w:rsid w:val="009D6E73"/>
    <w:rsid w:val="009E503B"/>
    <w:rsid w:val="009F1F1D"/>
    <w:rsid w:val="009F2B4F"/>
    <w:rsid w:val="009F3C63"/>
    <w:rsid w:val="009F66B5"/>
    <w:rsid w:val="00A02F10"/>
    <w:rsid w:val="00A1060C"/>
    <w:rsid w:val="00A16221"/>
    <w:rsid w:val="00A20A7D"/>
    <w:rsid w:val="00A21420"/>
    <w:rsid w:val="00A34E7F"/>
    <w:rsid w:val="00A35D42"/>
    <w:rsid w:val="00A464C5"/>
    <w:rsid w:val="00A46CCF"/>
    <w:rsid w:val="00A506DE"/>
    <w:rsid w:val="00A53451"/>
    <w:rsid w:val="00A54954"/>
    <w:rsid w:val="00A70426"/>
    <w:rsid w:val="00A707CC"/>
    <w:rsid w:val="00A71410"/>
    <w:rsid w:val="00A73102"/>
    <w:rsid w:val="00A91E9A"/>
    <w:rsid w:val="00A93ED9"/>
    <w:rsid w:val="00A96221"/>
    <w:rsid w:val="00AC2DBB"/>
    <w:rsid w:val="00AC6A99"/>
    <w:rsid w:val="00AD6048"/>
    <w:rsid w:val="00AE57A9"/>
    <w:rsid w:val="00AF0A45"/>
    <w:rsid w:val="00AF5CC5"/>
    <w:rsid w:val="00AF6A41"/>
    <w:rsid w:val="00B01487"/>
    <w:rsid w:val="00B055EF"/>
    <w:rsid w:val="00B06B5B"/>
    <w:rsid w:val="00B22EC5"/>
    <w:rsid w:val="00B23769"/>
    <w:rsid w:val="00B41789"/>
    <w:rsid w:val="00B660EF"/>
    <w:rsid w:val="00B81808"/>
    <w:rsid w:val="00B85FAB"/>
    <w:rsid w:val="00B86DFA"/>
    <w:rsid w:val="00B936D0"/>
    <w:rsid w:val="00BB15FB"/>
    <w:rsid w:val="00BD3D5B"/>
    <w:rsid w:val="00BE3600"/>
    <w:rsid w:val="00C01F6F"/>
    <w:rsid w:val="00C041EA"/>
    <w:rsid w:val="00C13BBD"/>
    <w:rsid w:val="00C149AB"/>
    <w:rsid w:val="00C16929"/>
    <w:rsid w:val="00C20690"/>
    <w:rsid w:val="00C36020"/>
    <w:rsid w:val="00C40694"/>
    <w:rsid w:val="00C40A0D"/>
    <w:rsid w:val="00C479BF"/>
    <w:rsid w:val="00C5124B"/>
    <w:rsid w:val="00C54349"/>
    <w:rsid w:val="00C70542"/>
    <w:rsid w:val="00C75CBF"/>
    <w:rsid w:val="00CB2E5D"/>
    <w:rsid w:val="00CC2894"/>
    <w:rsid w:val="00CC3955"/>
    <w:rsid w:val="00CD77C3"/>
    <w:rsid w:val="00CE112C"/>
    <w:rsid w:val="00CE5A9A"/>
    <w:rsid w:val="00CF55D4"/>
    <w:rsid w:val="00D0402C"/>
    <w:rsid w:val="00D068C0"/>
    <w:rsid w:val="00D541D9"/>
    <w:rsid w:val="00D54C82"/>
    <w:rsid w:val="00D608DA"/>
    <w:rsid w:val="00D730BF"/>
    <w:rsid w:val="00D852F4"/>
    <w:rsid w:val="00D85697"/>
    <w:rsid w:val="00D929A5"/>
    <w:rsid w:val="00DB1110"/>
    <w:rsid w:val="00DB18EC"/>
    <w:rsid w:val="00DB3730"/>
    <w:rsid w:val="00DB4D44"/>
    <w:rsid w:val="00DC371B"/>
    <w:rsid w:val="00DC3788"/>
    <w:rsid w:val="00DC76C7"/>
    <w:rsid w:val="00DD09F5"/>
    <w:rsid w:val="00DD0E02"/>
    <w:rsid w:val="00DD1A39"/>
    <w:rsid w:val="00DD4201"/>
    <w:rsid w:val="00DD5E9F"/>
    <w:rsid w:val="00DE5711"/>
    <w:rsid w:val="00DE75C8"/>
    <w:rsid w:val="00DF305B"/>
    <w:rsid w:val="00E00EA0"/>
    <w:rsid w:val="00E021CB"/>
    <w:rsid w:val="00E138F1"/>
    <w:rsid w:val="00E173DD"/>
    <w:rsid w:val="00E2309D"/>
    <w:rsid w:val="00E26758"/>
    <w:rsid w:val="00E36ED4"/>
    <w:rsid w:val="00E4357B"/>
    <w:rsid w:val="00E443A7"/>
    <w:rsid w:val="00E45904"/>
    <w:rsid w:val="00E63DE5"/>
    <w:rsid w:val="00E647AF"/>
    <w:rsid w:val="00E647C7"/>
    <w:rsid w:val="00E65A37"/>
    <w:rsid w:val="00E65EF7"/>
    <w:rsid w:val="00E77B48"/>
    <w:rsid w:val="00E81111"/>
    <w:rsid w:val="00E857FB"/>
    <w:rsid w:val="00E91799"/>
    <w:rsid w:val="00E97DF8"/>
    <w:rsid w:val="00EA21FE"/>
    <w:rsid w:val="00EA34E3"/>
    <w:rsid w:val="00EB7538"/>
    <w:rsid w:val="00EC1868"/>
    <w:rsid w:val="00EC66FD"/>
    <w:rsid w:val="00EC7844"/>
    <w:rsid w:val="00ED0DE3"/>
    <w:rsid w:val="00EE6468"/>
    <w:rsid w:val="00EF7E29"/>
    <w:rsid w:val="00F07A34"/>
    <w:rsid w:val="00F1299B"/>
    <w:rsid w:val="00F207A4"/>
    <w:rsid w:val="00F23CB4"/>
    <w:rsid w:val="00F25173"/>
    <w:rsid w:val="00F355AC"/>
    <w:rsid w:val="00F40CF7"/>
    <w:rsid w:val="00F44194"/>
    <w:rsid w:val="00F71A5A"/>
    <w:rsid w:val="00F73A1A"/>
    <w:rsid w:val="00F769E0"/>
    <w:rsid w:val="00F771A7"/>
    <w:rsid w:val="00FA4A46"/>
    <w:rsid w:val="00FA75FE"/>
    <w:rsid w:val="00FB1032"/>
    <w:rsid w:val="00FB39BC"/>
    <w:rsid w:val="00FB6A53"/>
    <w:rsid w:val="00FC11CA"/>
    <w:rsid w:val="00FC6BDE"/>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B622F4"/>
  <w15:chartTrackingRefBased/>
  <w15:docId w15:val="{4A1DA4C4-3DF1-42EF-B621-0F261D91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5975FC"/>
    <w:rPr>
      <w:sz w:val="16"/>
      <w:szCs w:val="16"/>
    </w:rPr>
  </w:style>
  <w:style w:type="paragraph" w:styleId="CommentText">
    <w:name w:val="annotation text"/>
    <w:basedOn w:val="Normal"/>
    <w:link w:val="CommentTextChar"/>
    <w:rsid w:val="005975FC"/>
    <w:rPr>
      <w:sz w:val="20"/>
      <w:szCs w:val="20"/>
    </w:rPr>
  </w:style>
  <w:style w:type="character" w:customStyle="1" w:styleId="CommentTextChar">
    <w:name w:val="Comment Text Char"/>
    <w:basedOn w:val="DefaultParagraphFont"/>
    <w:link w:val="CommentText"/>
    <w:rsid w:val="005975FC"/>
  </w:style>
  <w:style w:type="paragraph" w:styleId="CommentSubject">
    <w:name w:val="annotation subject"/>
    <w:basedOn w:val="CommentText"/>
    <w:next w:val="CommentText"/>
    <w:link w:val="CommentSubjectChar"/>
    <w:rsid w:val="005975FC"/>
    <w:rPr>
      <w:b/>
      <w:bCs/>
    </w:rPr>
  </w:style>
  <w:style w:type="character" w:customStyle="1" w:styleId="CommentSubjectChar">
    <w:name w:val="Comment Subject Char"/>
    <w:link w:val="CommentSubject"/>
    <w:rsid w:val="005975FC"/>
    <w:rPr>
      <w:b/>
      <w:bCs/>
    </w:rPr>
  </w:style>
  <w:style w:type="paragraph" w:styleId="Revision">
    <w:name w:val="Revision"/>
    <w:hidden/>
    <w:uiPriority w:val="99"/>
    <w:semiHidden/>
    <w:rsid w:val="004A19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da.gov/animal-veterinary/resources-you/cvm-small-business-assistance" TargetMode="External" /><Relationship Id="rId8" Type="http://schemas.openxmlformats.org/officeDocument/2006/relationships/hyperlink" Target="https://www.bls.gov/oes/current/oes434199.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BeforeICRFlag xmlns="7389913f-922f-4e80-b417-8e04b3f2c4f9">false</BeforeICRFla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0FC6E1A17FC941A2344FC05EA6CD14" ma:contentTypeVersion="9" ma:contentTypeDescription="Create a new document." ma:contentTypeScope="" ma:versionID="e8cd38d480bf7931c26d041bbf58878a">
  <xsd:schema xmlns:xsd="http://www.w3.org/2001/XMLSchema" xmlns:xs="http://www.w3.org/2001/XMLSchema" xmlns:p="http://schemas.microsoft.com/office/2006/metadata/properties" xmlns:ns2="7389913f-922f-4e80-b417-8e04b3f2c4f9" xmlns:ns3="dc5bc271-7e60-4bc3-821c-602e6e911f84" targetNamespace="http://schemas.microsoft.com/office/2006/metadata/properties" ma:root="true" ma:fieldsID="c9aaf33921065e7eb5ee35dcaafa0944" ns2:_="" ns3:_="">
    <xsd:import namespace="7389913f-922f-4e80-b417-8e04b3f2c4f9"/>
    <xsd:import namespace="dc5bc271-7e60-4bc3-821c-602e6e911f84"/>
    <xsd:element name="properties">
      <xsd:complexType>
        <xsd:sequence>
          <xsd:element name="documentManagement">
            <xsd:complexType>
              <xsd:all>
                <xsd:element ref="ns2:MediaServiceMetadata" minOccurs="0"/>
                <xsd:element ref="ns2:MediaServiceFastMetadata" minOccurs="0"/>
                <xsd:element ref="ns2:BeforeICRFlag"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9913f-922f-4e80-b417-8e04b3f2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foreICRFlag" ma:index="10" nillable="true" ma:displayName="Before ICR Flag" ma:default="0" ma:description="To flag if the document should be displayed on Before Submitting Your ICR page" ma:format="Dropdown" ma:internalName="BeforeICRFlag">
      <xsd:simpleType>
        <xsd:restriction base="dms:Boolea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5bc271-7e60-4bc3-821c-602e6e911f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0E5068-024E-4229-871A-AF46F7749C18}">
  <ds:schemaRefs>
    <ds:schemaRef ds:uri="http://schemas.microsoft.com/office/2006/metadata/properties"/>
    <ds:schemaRef ds:uri="http://schemas.microsoft.com/office/infopath/2007/PartnerControls"/>
    <ds:schemaRef ds:uri="7389913f-922f-4e80-b417-8e04b3f2c4f9"/>
  </ds:schemaRefs>
</ds:datastoreItem>
</file>

<file path=customXml/itemProps2.xml><?xml version="1.0" encoding="utf-8"?>
<ds:datastoreItem xmlns:ds="http://schemas.openxmlformats.org/officeDocument/2006/customXml" ds:itemID="{84513AC8-C8ED-45DA-AF31-B6BDB5C6D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9913f-922f-4e80-b417-8e04b3f2c4f9"/>
    <ds:schemaRef ds:uri="dc5bc271-7e60-4bc3-821c-602e6e911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B79619-0FC4-40E9-AB0D-65C47D5DD1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1425</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Showalter, Rachel</cp:lastModifiedBy>
  <cp:revision>2</cp:revision>
  <cp:lastPrinted>2019-07-03T16:25:00Z</cp:lastPrinted>
  <dcterms:created xsi:type="dcterms:W3CDTF">2023-06-13T18:11:00Z</dcterms:created>
  <dcterms:modified xsi:type="dcterms:W3CDTF">2023-06-13T18:11:00Z</dcterms:modified>
</cp:coreProperties>
</file>