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1357" w:rsidP="6C00F014" w14:paraId="66EB5B1F" w14:textId="05967BED">
      <w:pPr>
        <w:jc w:val="center"/>
        <w:rPr>
          <w:rFonts w:eastAsia="Times New Roman"/>
          <w:b/>
          <w:bCs/>
          <w:szCs w:val="24"/>
        </w:rPr>
      </w:pPr>
      <w:r w:rsidRPr="6C00F014">
        <w:rPr>
          <w:rFonts w:eastAsia="Times New Roman"/>
          <w:b/>
          <w:bCs/>
          <w:szCs w:val="24"/>
        </w:rPr>
        <w:t>U.S. Food and Drug Administration</w:t>
      </w:r>
    </w:p>
    <w:p w:rsidR="005078DD" w:rsidP="6C00F014" w14:paraId="791CD7BC" w14:textId="77777777">
      <w:pPr>
        <w:jc w:val="center"/>
        <w:rPr>
          <w:rFonts w:eastAsia="Times New Roman"/>
          <w:b/>
          <w:bCs/>
          <w:szCs w:val="24"/>
        </w:rPr>
      </w:pPr>
    </w:p>
    <w:p w:rsidR="00DC1357" w:rsidP="6C00F014" w14:paraId="6E13A746" w14:textId="5D8849CF">
      <w:pPr>
        <w:jc w:val="center"/>
        <w:rPr>
          <w:rFonts w:eastAsia="Times New Roman"/>
          <w:b/>
          <w:bCs/>
          <w:szCs w:val="24"/>
        </w:rPr>
      </w:pPr>
      <w:r w:rsidRPr="6C00F014">
        <w:rPr>
          <w:rFonts w:eastAsia="Times New Roman"/>
          <w:b/>
          <w:bCs/>
          <w:szCs w:val="24"/>
        </w:rPr>
        <w:t>Center for Tobacco Products</w:t>
      </w:r>
    </w:p>
    <w:p w:rsidR="005078DD" w:rsidP="6C00F014" w14:paraId="50847C04" w14:textId="77777777">
      <w:pPr>
        <w:jc w:val="center"/>
        <w:rPr>
          <w:rFonts w:eastAsia="Times New Roman"/>
          <w:b/>
          <w:bCs/>
          <w:szCs w:val="24"/>
        </w:rPr>
      </w:pPr>
    </w:p>
    <w:p w:rsidR="005078DD" w:rsidRPr="005078DD" w:rsidP="6C00F014" w14:paraId="6E0C00D1" w14:textId="77777777">
      <w:pPr>
        <w:rPr>
          <w:rFonts w:eastAsia="Times New Roman"/>
          <w:szCs w:val="24"/>
          <w:lang w:eastAsia="en-US"/>
        </w:rPr>
      </w:pPr>
      <w:r w:rsidRPr="6C00F014">
        <w:rPr>
          <w:rFonts w:eastAsia="Times New Roman"/>
          <w:szCs w:val="24"/>
          <w:shd w:val="clear" w:color="auto" w:fill="FFFFFF"/>
          <w:lang w:eastAsia="en-US"/>
        </w:rPr>
        <w:t>Assessing Physiological, Neural and Self-Reported Response to Tobacco Education Messages</w:t>
      </w:r>
    </w:p>
    <w:p w:rsidR="00DC1357" w:rsidRPr="0022482A" w:rsidP="6C00F014" w14:paraId="76E94CB3" w14:textId="77777777">
      <w:pPr>
        <w:rPr>
          <w:rFonts w:eastAsia="Times New Roman"/>
          <w:b/>
          <w:bCs/>
          <w:szCs w:val="24"/>
        </w:rPr>
      </w:pPr>
    </w:p>
    <w:p w:rsidR="00DC1357" w:rsidRPr="0022482A" w:rsidP="5C8241EF" w14:paraId="6F3055FB" w14:textId="1208D3E0">
      <w:pPr>
        <w:jc w:val="center"/>
        <w:rPr>
          <w:rFonts w:eastAsia="Times New Roman"/>
          <w:b/>
          <w:bCs/>
        </w:rPr>
      </w:pPr>
      <w:r w:rsidRPr="5C8241EF">
        <w:rPr>
          <w:rFonts w:eastAsia="Times New Roman"/>
          <w:b/>
          <w:bCs/>
        </w:rPr>
        <w:t xml:space="preserve">OMB Control Number </w:t>
      </w:r>
      <w:r w:rsidRPr="003E0B9E">
        <w:rPr>
          <w:rFonts w:eastAsia="Times New Roman"/>
          <w:b/>
          <w:bCs/>
        </w:rPr>
        <w:t>0910-</w:t>
      </w:r>
      <w:r w:rsidRPr="003E0B9E" w:rsidR="00331ED5">
        <w:rPr>
          <w:rFonts w:eastAsia="Times New Roman"/>
          <w:b/>
          <w:bCs/>
        </w:rPr>
        <w:t>NEW</w:t>
      </w:r>
    </w:p>
    <w:p w:rsidR="00DC1357" w:rsidRPr="0022482A" w:rsidP="6C00F014" w14:paraId="2C5F5EC5" w14:textId="77777777">
      <w:pPr>
        <w:jc w:val="center"/>
        <w:rPr>
          <w:rFonts w:eastAsia="Times New Roman"/>
          <w:b/>
          <w:bCs/>
          <w:szCs w:val="24"/>
        </w:rPr>
      </w:pPr>
    </w:p>
    <w:p w:rsidR="004D1BF8" w:rsidP="6C00F014" w14:paraId="18516EEB" w14:textId="5A017440">
      <w:pPr>
        <w:jc w:val="center"/>
        <w:rPr>
          <w:rFonts w:eastAsia="Times New Roman"/>
          <w:b/>
          <w:bCs/>
          <w:szCs w:val="24"/>
        </w:rPr>
      </w:pPr>
      <w:r w:rsidRPr="6C00F014">
        <w:rPr>
          <w:rFonts w:eastAsia="Times New Roman"/>
          <w:b/>
          <w:bCs/>
          <w:szCs w:val="24"/>
        </w:rPr>
        <w:t>SUPPORTING STATEMENT A</w:t>
      </w:r>
    </w:p>
    <w:p w:rsidR="00DC1357" w:rsidRPr="00850940" w:rsidP="6C00F014" w14:paraId="1CDB3FDC" w14:textId="1DA216CC">
      <w:pPr>
        <w:pStyle w:val="Heading2"/>
      </w:pPr>
      <w:r w:rsidRPr="6C00F014">
        <w:t xml:space="preserve">Part </w:t>
      </w:r>
      <w:r w:rsidRPr="6C00F014">
        <w:t>A</w:t>
      </w:r>
      <w:r w:rsidRPr="6C00F014">
        <w:t>:</w:t>
      </w:r>
      <w:r w:rsidRPr="6C00F014">
        <w:t xml:space="preserve"> Justification</w:t>
      </w:r>
      <w:r w:rsidRPr="6C00F014">
        <w:t>:</w:t>
      </w:r>
    </w:p>
    <w:p w:rsidR="00DC1357" w:rsidRPr="00850940" w:rsidP="6C00F014" w14:paraId="222D9D03" w14:textId="77777777">
      <w:pPr>
        <w:pStyle w:val="Heading3"/>
      </w:pPr>
      <w:r w:rsidRPr="6C00F014">
        <w:t>Circumstances Making the Collection of Information Necessary</w:t>
      </w:r>
    </w:p>
    <w:p w:rsidR="0038259D" w:rsidP="62407F7B" w14:paraId="5D85A108" w14:textId="75C6BB08">
      <w:pPr>
        <w:pStyle w:val="BodyText"/>
        <w:ind w:firstLine="0"/>
        <w:rPr>
          <w:rFonts w:eastAsia="Times New Roman"/>
        </w:rPr>
      </w:pPr>
      <w:r w:rsidRPr="62407F7B">
        <w:rPr>
          <w:rFonts w:eastAsia="Times New Roman"/>
        </w:rPr>
        <w:t>Th</w:t>
      </w:r>
      <w:r w:rsidRPr="62407F7B" w:rsidR="002D4A29">
        <w:rPr>
          <w:rFonts w:eastAsia="Times New Roman"/>
        </w:rPr>
        <w:t xml:space="preserve">is collection of information </w:t>
      </w:r>
      <w:r w:rsidRPr="62407F7B" w:rsidR="00DE5A92">
        <w:rPr>
          <w:rFonts w:eastAsia="Times New Roman"/>
        </w:rPr>
        <w:t>supports Food and Drug A</w:t>
      </w:r>
      <w:r w:rsidRPr="62407F7B" w:rsidR="00D1130A">
        <w:rPr>
          <w:rFonts w:eastAsia="Times New Roman"/>
        </w:rPr>
        <w:t>d</w:t>
      </w:r>
      <w:r w:rsidRPr="62407F7B" w:rsidR="00DE5A92">
        <w:rPr>
          <w:rFonts w:eastAsia="Times New Roman"/>
        </w:rPr>
        <w:t xml:space="preserve">ministration </w:t>
      </w:r>
      <w:r w:rsidRPr="62407F7B" w:rsidR="00803CE8">
        <w:rPr>
          <w:rFonts w:eastAsia="Times New Roman"/>
        </w:rPr>
        <w:t xml:space="preserve">(FDA) </w:t>
      </w:r>
      <w:r w:rsidRPr="62407F7B" w:rsidR="00CF28B0">
        <w:rPr>
          <w:rFonts w:eastAsia="Times New Roman"/>
        </w:rPr>
        <w:t>programs.</w:t>
      </w:r>
      <w:r w:rsidRPr="62407F7B">
        <w:rPr>
          <w:rFonts w:eastAsia="Times New Roman"/>
        </w:rPr>
        <w:t xml:space="preserve"> </w:t>
      </w:r>
      <w:r w:rsidRPr="62407F7B" w:rsidR="00173839">
        <w:rPr>
          <w:rFonts w:eastAsia="Times New Roman"/>
        </w:rPr>
        <w:t>FDA</w:t>
      </w:r>
      <w:r w:rsidRPr="62407F7B" w:rsidR="00BB2E2F">
        <w:rPr>
          <w:rFonts w:eastAsia="Times New Roman"/>
        </w:rPr>
        <w:t xml:space="preserve"> uses tobacco education campaigns to educate citizens about the risks and harms of tobacco. To identify effective message strategies, </w:t>
      </w:r>
      <w:r w:rsidRPr="62407F7B" w:rsidR="007C034D">
        <w:rPr>
          <w:rFonts w:eastAsia="Times New Roman"/>
        </w:rPr>
        <w:t xml:space="preserve">research </w:t>
      </w:r>
      <w:r w:rsidRPr="62407F7B" w:rsidR="00140ADB">
        <w:rPr>
          <w:rFonts w:eastAsia="Times New Roman"/>
        </w:rPr>
        <w:t>on the self-reported, physiological, and neural response</w:t>
      </w:r>
      <w:r w:rsidRPr="62407F7B" w:rsidR="003A6DFF">
        <w:rPr>
          <w:rFonts w:eastAsia="Times New Roman"/>
        </w:rPr>
        <w:t xml:space="preserve"> to these education messages is needed. Our research will be used to identify effective tobacco prevention and education message strategies. </w:t>
      </w:r>
      <w:r w:rsidRPr="62407F7B" w:rsidR="00DF092B">
        <w:rPr>
          <w:rFonts w:eastAsia="Times New Roman"/>
        </w:rPr>
        <w:t xml:space="preserve">Additionally, there is a need to triangulate data collected through physiological and neuroimaging-based approaches with self-reported measures to better understand how self-reported measures </w:t>
      </w:r>
      <w:r w:rsidRPr="62407F7B" w:rsidR="00D97A7F">
        <w:rPr>
          <w:rFonts w:eastAsia="Times New Roman"/>
        </w:rPr>
        <w:t xml:space="preserve">can be implemented to predict behavior change more accurately. </w:t>
      </w:r>
      <w:r w:rsidRPr="62407F7B" w:rsidR="000E394B">
        <w:rPr>
          <w:rFonts w:eastAsia="Times New Roman"/>
        </w:rPr>
        <w:t>Ultimately, this</w:t>
      </w:r>
      <w:r w:rsidRPr="62407F7B" w:rsidR="002B3477">
        <w:rPr>
          <w:rFonts w:eastAsia="Times New Roman"/>
        </w:rPr>
        <w:t xml:space="preserve"> research </w:t>
      </w:r>
      <w:r w:rsidRPr="62407F7B" w:rsidR="0064237C">
        <w:rPr>
          <w:rFonts w:eastAsia="Times New Roman"/>
        </w:rPr>
        <w:t xml:space="preserve">is necessary </w:t>
      </w:r>
      <w:r w:rsidRPr="62407F7B" w:rsidR="00AF557C">
        <w:rPr>
          <w:rFonts w:eastAsia="Times New Roman"/>
        </w:rPr>
        <w:t xml:space="preserve">for the FDA to best understand how to </w:t>
      </w:r>
      <w:r w:rsidRPr="62407F7B" w:rsidR="0064237C">
        <w:rPr>
          <w:rFonts w:eastAsia="Times New Roman"/>
        </w:rPr>
        <w:t>improve the public</w:t>
      </w:r>
      <w:r w:rsidRPr="62407F7B" w:rsidR="00F76B4E">
        <w:rPr>
          <w:rFonts w:eastAsia="Times New Roman"/>
        </w:rPr>
        <w:t>’s health and minimize tobacco use in the US.</w:t>
      </w:r>
    </w:p>
    <w:p w:rsidR="00DC1357" w:rsidP="6C00F014" w14:paraId="097751A5" w14:textId="77777777">
      <w:pPr>
        <w:pStyle w:val="Heading3"/>
      </w:pPr>
      <w:r w:rsidRPr="6C00F014">
        <w:t>Purpose and Use of the Information Collection</w:t>
      </w:r>
    </w:p>
    <w:p w:rsidR="5C8241EF" w:rsidRPr="009D3C9F" w:rsidP="5C8241EF" w14:paraId="45FB7571" w14:textId="751ACC68">
      <w:pPr>
        <w:pStyle w:val="BodyText"/>
        <w:ind w:firstLine="0"/>
        <w:rPr>
          <w:rFonts w:eastAsia="Times New Roman"/>
        </w:rPr>
      </w:pPr>
      <w:r w:rsidRPr="5A01A865">
        <w:rPr>
          <w:rFonts w:eastAsia="Times New Roman"/>
        </w:rPr>
        <w:t xml:space="preserve">The FDA’s Center for Tobacco Products provided funding to Johns Hopkins Bloomberg School of Public Health (JHSPH) </w:t>
      </w:r>
      <w:r w:rsidRPr="5A01A865" w:rsidR="0021129C">
        <w:rPr>
          <w:rFonts w:eastAsia="Times New Roman"/>
        </w:rPr>
        <w:t>via</w:t>
      </w:r>
      <w:r w:rsidRPr="5A01A865" w:rsidR="003F263F">
        <w:rPr>
          <w:rFonts w:eastAsia="Times New Roman"/>
        </w:rPr>
        <w:t xml:space="preserve"> </w:t>
      </w:r>
      <w:r w:rsidRPr="5A01A865" w:rsidR="00742637">
        <w:rPr>
          <w:rFonts w:eastAsia="Times New Roman"/>
        </w:rPr>
        <w:t>Johns Hopkins Center for Excellence in Regulatory Science</w:t>
      </w:r>
      <w:r w:rsidRPr="5A01A865" w:rsidR="00280304">
        <w:rPr>
          <w:rFonts w:eastAsia="Times New Roman"/>
        </w:rPr>
        <w:t xml:space="preserve"> and Innovation</w:t>
      </w:r>
      <w:r w:rsidRPr="5A01A865" w:rsidR="0057049B">
        <w:rPr>
          <w:rFonts w:eastAsia="Times New Roman"/>
        </w:rPr>
        <w:t xml:space="preserve"> to conduct </w:t>
      </w:r>
      <w:r w:rsidRPr="5A01A865" w:rsidR="006443C0">
        <w:rPr>
          <w:rFonts w:eastAsia="Times New Roman"/>
        </w:rPr>
        <w:t>an in-person study</w:t>
      </w:r>
      <w:r w:rsidRPr="5A01A865" w:rsidR="00DE14AB">
        <w:rPr>
          <w:rFonts w:eastAsia="Times New Roman"/>
        </w:rPr>
        <w:t xml:space="preserve"> </w:t>
      </w:r>
      <w:r w:rsidRPr="5A01A865" w:rsidR="001C5480">
        <w:rPr>
          <w:rFonts w:eastAsia="Times New Roman"/>
        </w:rPr>
        <w:t xml:space="preserve">with </w:t>
      </w:r>
      <w:r w:rsidRPr="5A01A865" w:rsidR="005B39BB">
        <w:rPr>
          <w:rFonts w:eastAsia="Times New Roman"/>
        </w:rPr>
        <w:t xml:space="preserve">a sample size of </w:t>
      </w:r>
      <w:r w:rsidRPr="5A01A865" w:rsidR="005D496F">
        <w:rPr>
          <w:rFonts w:eastAsia="Times New Roman"/>
        </w:rPr>
        <w:t>1</w:t>
      </w:r>
      <w:r w:rsidR="00D32990">
        <w:rPr>
          <w:rFonts w:eastAsia="Times New Roman"/>
        </w:rPr>
        <w:t>0</w:t>
      </w:r>
      <w:r w:rsidRPr="5A01A865" w:rsidR="005D496F">
        <w:rPr>
          <w:rFonts w:eastAsia="Times New Roman"/>
        </w:rPr>
        <w:t>0 youth and young adults age</w:t>
      </w:r>
      <w:r w:rsidRPr="5A01A865" w:rsidR="00EB4558">
        <w:rPr>
          <w:rFonts w:eastAsia="Times New Roman"/>
        </w:rPr>
        <w:t>d</w:t>
      </w:r>
      <w:r w:rsidRPr="5A01A865" w:rsidR="005D496F">
        <w:rPr>
          <w:rFonts w:eastAsia="Times New Roman"/>
        </w:rPr>
        <w:t xml:space="preserve"> 13-24</w:t>
      </w:r>
      <w:r w:rsidRPr="5A01A865" w:rsidR="00F97B44">
        <w:rPr>
          <w:rFonts w:eastAsia="Times New Roman"/>
        </w:rPr>
        <w:t xml:space="preserve">. </w:t>
      </w:r>
      <w:r w:rsidRPr="5A01A865" w:rsidR="00D355DF">
        <w:rPr>
          <w:rFonts w:eastAsia="Times New Roman"/>
        </w:rPr>
        <w:t xml:space="preserve">Participants will </w:t>
      </w:r>
      <w:r w:rsidRPr="5A01A865" w:rsidR="00DE14AB">
        <w:rPr>
          <w:rFonts w:eastAsia="Times New Roman"/>
        </w:rPr>
        <w:t xml:space="preserve">complete one study visit </w:t>
      </w:r>
      <w:r w:rsidRPr="5A01A865" w:rsidR="007620F0">
        <w:rPr>
          <w:rFonts w:eastAsia="Times New Roman"/>
        </w:rPr>
        <w:t>(</w:t>
      </w:r>
      <w:r w:rsidRPr="5A01A865" w:rsidR="00DE14AB">
        <w:rPr>
          <w:rFonts w:eastAsia="Times New Roman"/>
        </w:rPr>
        <w:t>about 90 minutes</w:t>
      </w:r>
      <w:r w:rsidRPr="5A01A865" w:rsidR="007620F0">
        <w:rPr>
          <w:rFonts w:eastAsia="Times New Roman"/>
        </w:rPr>
        <w:t xml:space="preserve">) in which self-reported, </w:t>
      </w:r>
      <w:r w:rsidRPr="5A01A865" w:rsidR="00EC017E">
        <w:rPr>
          <w:rFonts w:eastAsia="Times New Roman"/>
        </w:rPr>
        <w:t>physiological,</w:t>
      </w:r>
      <w:r w:rsidRPr="5A01A865" w:rsidR="007620F0">
        <w:rPr>
          <w:rFonts w:eastAsia="Times New Roman"/>
        </w:rPr>
        <w:t xml:space="preserve"> and neural response to FDA tobacco education </w:t>
      </w:r>
      <w:r w:rsidRPr="5A01A865" w:rsidR="00450A54">
        <w:rPr>
          <w:rFonts w:eastAsia="Times New Roman"/>
        </w:rPr>
        <w:t>and prevention messages will be assessed.</w:t>
      </w:r>
    </w:p>
    <w:p w:rsidR="5C8241EF" w14:paraId="59865C3C" w14:textId="242A579E">
      <w:r w:rsidRPr="5C8241EF">
        <w:rPr>
          <w:rFonts w:eastAsia="Times New Roman"/>
          <w:szCs w:val="24"/>
        </w:rPr>
        <w:t>The results of this survey will be used to inform specific recommendations around FDA’s public education programs’ impact and effectiveness in reducing tobacco-related death and disease. Information gathered will not be used for the purpose of substantially informing influential policy decisions. The information gathered is also not intended to yield results that are statistically projectable, nationally representative, or precise estimates of population parameters.</w:t>
      </w:r>
    </w:p>
    <w:p w:rsidR="004D3FD0" w:rsidP="6C00F014" w14:paraId="47AEC555" w14:textId="16B5A6A6">
      <w:pPr>
        <w:pStyle w:val="BodyText"/>
        <w:ind w:firstLine="0"/>
        <w:rPr>
          <w:rFonts w:eastAsia="Times New Roman"/>
          <w:szCs w:val="24"/>
        </w:rPr>
      </w:pPr>
      <w:r w:rsidRPr="6C00F014">
        <w:rPr>
          <w:rFonts w:eastAsia="Times New Roman"/>
          <w:szCs w:val="24"/>
        </w:rPr>
        <w:t xml:space="preserve">The information collected in this study will be used to </w:t>
      </w:r>
      <w:r w:rsidRPr="6C00F014" w:rsidR="00E0318D">
        <w:rPr>
          <w:rFonts w:eastAsia="Times New Roman"/>
          <w:szCs w:val="24"/>
        </w:rPr>
        <w:t>target</w:t>
      </w:r>
      <w:r w:rsidRPr="6C00F014" w:rsidR="00FE3C1E">
        <w:rPr>
          <w:rFonts w:eastAsia="Times New Roman"/>
          <w:szCs w:val="24"/>
        </w:rPr>
        <w:t xml:space="preserve"> these aims</w:t>
      </w:r>
      <w:r w:rsidRPr="6C00F014" w:rsidR="00E0318D">
        <w:rPr>
          <w:rFonts w:eastAsia="Times New Roman"/>
          <w:szCs w:val="24"/>
        </w:rPr>
        <w:t xml:space="preserve"> and </w:t>
      </w:r>
      <w:r w:rsidRPr="6C00F014">
        <w:rPr>
          <w:rFonts w:eastAsia="Times New Roman"/>
          <w:szCs w:val="24"/>
        </w:rPr>
        <w:t xml:space="preserve">answer </w:t>
      </w:r>
      <w:r w:rsidRPr="6C00F014" w:rsidR="00E97B4F">
        <w:rPr>
          <w:rFonts w:eastAsia="Times New Roman"/>
          <w:szCs w:val="24"/>
        </w:rPr>
        <w:t xml:space="preserve">the </w:t>
      </w:r>
      <w:r w:rsidRPr="6C00F014" w:rsidR="00FE3C1E">
        <w:rPr>
          <w:rFonts w:eastAsia="Times New Roman"/>
          <w:szCs w:val="24"/>
        </w:rPr>
        <w:t>associated</w:t>
      </w:r>
      <w:r w:rsidRPr="6C00F014" w:rsidR="00E97B4F">
        <w:rPr>
          <w:rFonts w:eastAsia="Times New Roman"/>
          <w:szCs w:val="24"/>
        </w:rPr>
        <w:t xml:space="preserve"> </w:t>
      </w:r>
      <w:r w:rsidRPr="6C00F014" w:rsidR="00EA2657">
        <w:rPr>
          <w:rFonts w:eastAsia="Times New Roman"/>
          <w:szCs w:val="24"/>
        </w:rPr>
        <w:t>research questions:</w:t>
      </w:r>
    </w:p>
    <w:p w:rsidR="00E0318D" w:rsidP="6C00F014" w14:paraId="2AFE9919" w14:textId="2BEEEDFC">
      <w:pPr>
        <w:pStyle w:val="BodyText"/>
        <w:numPr>
          <w:ilvl w:val="0"/>
          <w:numId w:val="10"/>
        </w:numPr>
        <w:rPr>
          <w:rFonts w:eastAsia="Times New Roman"/>
          <w:i/>
          <w:iCs/>
          <w:szCs w:val="24"/>
        </w:rPr>
      </w:pPr>
      <w:r w:rsidRPr="6C00F014">
        <w:rPr>
          <w:rFonts w:eastAsia="Times New Roman"/>
          <w:szCs w:val="24"/>
        </w:rPr>
        <w:t xml:space="preserve">Assess physiological response to FDA’s tobacco prevention and education messages using galvanic skin response, facial </w:t>
      </w:r>
      <w:r w:rsidRPr="6C00F014" w:rsidR="002E50B2">
        <w:rPr>
          <w:rFonts w:eastAsia="Times New Roman"/>
          <w:szCs w:val="24"/>
        </w:rPr>
        <w:t>electromyography</w:t>
      </w:r>
      <w:r w:rsidRPr="6C00F014">
        <w:rPr>
          <w:rFonts w:eastAsia="Times New Roman"/>
          <w:szCs w:val="24"/>
        </w:rPr>
        <w:t xml:space="preserve"> </w:t>
      </w:r>
      <w:r w:rsidRPr="6C00F014" w:rsidR="003162D7">
        <w:rPr>
          <w:rFonts w:eastAsia="Times New Roman"/>
          <w:szCs w:val="24"/>
        </w:rPr>
        <w:t xml:space="preserve">and heart rate variability. </w:t>
      </w:r>
      <w:r w:rsidRPr="6C00F014" w:rsidR="003162D7">
        <w:rPr>
          <w:rFonts w:eastAsia="Times New Roman"/>
          <w:i/>
          <w:iCs/>
          <w:szCs w:val="24"/>
        </w:rPr>
        <w:t>RQ1: How does (a) arousal and (b) positive or negative emotional response vary in response to different tobacco prevention and education messages?</w:t>
      </w:r>
    </w:p>
    <w:p w:rsidR="003162D7" w:rsidP="6C00F014" w14:paraId="2D532866" w14:textId="4D68CDE5">
      <w:pPr>
        <w:pStyle w:val="BodyText"/>
        <w:numPr>
          <w:ilvl w:val="0"/>
          <w:numId w:val="10"/>
        </w:numPr>
        <w:rPr>
          <w:rFonts w:eastAsia="Times New Roman"/>
          <w:i/>
          <w:iCs/>
          <w:szCs w:val="24"/>
        </w:rPr>
      </w:pPr>
      <w:r w:rsidRPr="6C00F014">
        <w:rPr>
          <w:rFonts w:eastAsia="Times New Roman"/>
          <w:szCs w:val="24"/>
        </w:rPr>
        <w:t xml:space="preserve">Assess cognitive response to FDA tobacco education and prevention messages using eye tracking and neuroimaging (fNIRS: functional near-infrared spectroscopy). </w:t>
      </w:r>
      <w:r w:rsidRPr="6C00F014">
        <w:rPr>
          <w:rFonts w:eastAsia="Times New Roman"/>
          <w:i/>
          <w:iCs/>
          <w:szCs w:val="24"/>
        </w:rPr>
        <w:t xml:space="preserve">RQ2: How </w:t>
      </w:r>
      <w:r w:rsidRPr="6C00F014">
        <w:rPr>
          <w:rFonts w:eastAsia="Times New Roman"/>
          <w:i/>
          <w:iCs/>
          <w:szCs w:val="24"/>
        </w:rPr>
        <w:t xml:space="preserve">does </w:t>
      </w:r>
      <w:r w:rsidRPr="6C00F014" w:rsidR="0014353F">
        <w:rPr>
          <w:rFonts w:eastAsia="Times New Roman"/>
          <w:i/>
          <w:iCs/>
          <w:szCs w:val="24"/>
        </w:rPr>
        <w:t>(a) message attention and (b) neural response vary in response to different tobacco prevention and education messages?</w:t>
      </w:r>
    </w:p>
    <w:p w:rsidR="003D1DCE" w:rsidP="6C00F014" w14:paraId="711BE9A2" w14:textId="7E4327E4">
      <w:pPr>
        <w:pStyle w:val="BodyText"/>
        <w:numPr>
          <w:ilvl w:val="0"/>
          <w:numId w:val="10"/>
        </w:numPr>
        <w:rPr>
          <w:rFonts w:eastAsia="Times New Roman"/>
          <w:szCs w:val="24"/>
        </w:rPr>
      </w:pPr>
      <w:r w:rsidRPr="6C00F014">
        <w:rPr>
          <w:rFonts w:eastAsia="Times New Roman"/>
          <w:szCs w:val="24"/>
        </w:rPr>
        <w:t xml:space="preserve">Compare different self-reported measures of message response by triangulating self-report data with physiological and neural response. </w:t>
      </w:r>
      <w:r w:rsidRPr="6C00F014">
        <w:rPr>
          <w:rFonts w:eastAsia="Times New Roman"/>
          <w:i/>
          <w:iCs/>
          <w:szCs w:val="24"/>
        </w:rPr>
        <w:t>RQ3:</w:t>
      </w:r>
      <w:r w:rsidRPr="6C00F014" w:rsidR="00806B33">
        <w:rPr>
          <w:rFonts w:eastAsia="Times New Roman"/>
          <w:i/>
          <w:iCs/>
          <w:szCs w:val="24"/>
        </w:rPr>
        <w:t xml:space="preserve"> Which self-report measures of message response correlate most strongly with (a) physiological and (b) </w:t>
      </w:r>
      <w:r w:rsidRPr="6C00F014" w:rsidR="0015746A">
        <w:rPr>
          <w:rFonts w:eastAsia="Times New Roman"/>
          <w:i/>
          <w:iCs/>
          <w:szCs w:val="24"/>
        </w:rPr>
        <w:t>neural response</w:t>
      </w:r>
      <w:r w:rsidRPr="6C00F014" w:rsidR="0015746A">
        <w:rPr>
          <w:rFonts w:eastAsia="Times New Roman"/>
          <w:szCs w:val="24"/>
        </w:rPr>
        <w:t>?</w:t>
      </w:r>
    </w:p>
    <w:p w:rsidR="00007641" w:rsidP="6C00F014" w14:paraId="2B05401A" w14:textId="56BD407C">
      <w:pPr>
        <w:pStyle w:val="BodyText"/>
        <w:numPr>
          <w:ilvl w:val="0"/>
          <w:numId w:val="10"/>
        </w:numPr>
        <w:rPr>
          <w:rFonts w:eastAsia="Times New Roman"/>
          <w:szCs w:val="24"/>
        </w:rPr>
      </w:pPr>
      <w:r w:rsidRPr="6C00F014">
        <w:rPr>
          <w:rFonts w:eastAsia="Times New Roman"/>
          <w:szCs w:val="24"/>
        </w:rPr>
        <w:t xml:space="preserve">Exploratory aim: Describe the mechanisms underlying effective messages. </w:t>
      </w:r>
      <w:r w:rsidRPr="6C00F014">
        <w:rPr>
          <w:rFonts w:eastAsia="Times New Roman"/>
          <w:i/>
          <w:iCs/>
          <w:szCs w:val="24"/>
        </w:rPr>
        <w:t xml:space="preserve">RQ4: What </w:t>
      </w:r>
      <w:r w:rsidRPr="6C00F014" w:rsidR="00880738">
        <w:rPr>
          <w:rFonts w:eastAsia="Times New Roman"/>
          <w:i/>
          <w:iCs/>
          <w:szCs w:val="24"/>
        </w:rPr>
        <w:t>physiological and neural responses are associated with message effects (i.e.</w:t>
      </w:r>
      <w:r w:rsidRPr="6C00F014" w:rsidR="002E50B2">
        <w:rPr>
          <w:rFonts w:eastAsia="Times New Roman"/>
          <w:i/>
          <w:iCs/>
          <w:szCs w:val="24"/>
        </w:rPr>
        <w:t>,</w:t>
      </w:r>
      <w:r w:rsidRPr="6C00F014" w:rsidR="00880738">
        <w:rPr>
          <w:rFonts w:eastAsia="Times New Roman"/>
          <w:i/>
          <w:iCs/>
          <w:szCs w:val="24"/>
        </w:rPr>
        <w:t xml:space="preserve"> message comprehension, belief change, attitude change)?</w:t>
      </w:r>
      <w:r w:rsidRPr="6C00F014" w:rsidR="00F11B9E">
        <w:rPr>
          <w:rFonts w:eastAsia="Times New Roman"/>
          <w:i/>
          <w:iCs/>
          <w:szCs w:val="24"/>
        </w:rPr>
        <w:t xml:space="preserve"> </w:t>
      </w:r>
    </w:p>
    <w:p w:rsidR="00DC1357" w:rsidP="6C00F014" w14:paraId="42481ACD" w14:textId="77777777">
      <w:pPr>
        <w:pStyle w:val="Heading3"/>
      </w:pPr>
      <w:r w:rsidRPr="6C00F014">
        <w:t>Use of Improved Information Technology and Burden Reduction</w:t>
      </w:r>
    </w:p>
    <w:p w:rsidR="00DC1357" w:rsidRPr="0029641C" w:rsidP="5C8241EF" w14:paraId="6338F879" w14:textId="78F8C567">
      <w:pPr>
        <w:pStyle w:val="BodyText"/>
        <w:ind w:firstLine="0"/>
        <w:rPr>
          <w:rFonts w:eastAsia="Times New Roman"/>
        </w:rPr>
      </w:pPr>
      <w:r w:rsidRPr="62407F7B">
        <w:rPr>
          <w:rFonts w:eastAsia="Times New Roman"/>
        </w:rPr>
        <w:t xml:space="preserve">This study collects data using web-based surveys, a functional near infrared spectroscopy (fNIRS) device placed on the participant’s head, and electronic sensors placed on the participant’s skin. All participants will have data collected using these data collection methods. Interested participants may complete an </w:t>
      </w:r>
      <w:r w:rsidRPr="62407F7B" w:rsidR="00275351">
        <w:rPr>
          <w:rFonts w:eastAsia="Times New Roman"/>
        </w:rPr>
        <w:t xml:space="preserve">online eligibility screener. Participants who are eligible and enroll in the study will visit the study lab at JHSPH where data will be collected via the fNIRS device, electronic sensors, and a second web-based survey. These data collection techniques are necessary to fulfill the aims of the study. Data collection via fNIRS is an efficient way to assess participants’ neural responses. The fNIRS device is akin to a headband that wraps around the participant’s head. This device allows participants to be mobile and is expected to be more comfortable and less burdensome than a similar data collection technique, such as fMRI (functional magnetic resonance imaging). The electronic sensors used to collect data are non-invasive, placed on participant’s skin, and are wireless, similarly allowing the participant to be mobile, which maximizes participant comfort. </w:t>
      </w:r>
    </w:p>
    <w:p w:rsidR="00DC1357" w:rsidRPr="009D3C9F" w:rsidP="6C00F014" w14:paraId="1BA1172C" w14:textId="77777777">
      <w:pPr>
        <w:pStyle w:val="Heading3"/>
      </w:pPr>
      <w:r w:rsidRPr="009D3C9F">
        <w:t>Efforts to Identify Duplication and Use of Similar Information</w:t>
      </w:r>
    </w:p>
    <w:p w:rsidR="00695B19" w:rsidRPr="009D3C9F" w:rsidP="62407F7B" w14:paraId="77488845" w14:textId="4BAF7AF9">
      <w:pPr>
        <w:pStyle w:val="BodyText"/>
        <w:ind w:firstLine="0"/>
        <w:rPr>
          <w:rFonts w:eastAsia="Times New Roman"/>
        </w:rPr>
      </w:pPr>
      <w:r w:rsidRPr="009D3C9F">
        <w:rPr>
          <w:rFonts w:eastAsia="Times New Roman"/>
        </w:rPr>
        <w:t>We are unaware of duplicative information collection.</w:t>
      </w:r>
    </w:p>
    <w:p w:rsidR="00DC1357" w:rsidRPr="0087609A" w:rsidP="6C00F014" w14:paraId="167F5121" w14:textId="77777777">
      <w:pPr>
        <w:pStyle w:val="Heading3"/>
      </w:pPr>
      <w:r w:rsidRPr="6C00F014">
        <w:t>Impact on Small Businesses or Other Small Entities</w:t>
      </w:r>
    </w:p>
    <w:p w:rsidR="006079CB" w:rsidP="00E5084D" w14:paraId="691376C2" w14:textId="1786F1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szCs w:val="24"/>
        </w:rPr>
      </w:pPr>
      <w:r w:rsidRPr="5C8241EF">
        <w:rPr>
          <w:rFonts w:eastAsia="Times New Roman"/>
          <w:szCs w:val="24"/>
        </w:rPr>
        <w:t>Respondents in this study will be members of the general public, specific subpopulations or specific professions, not business entities. No impact on small businesses or other small entities is anticipated</w:t>
      </w:r>
      <w:r w:rsidR="00E5084D">
        <w:rPr>
          <w:rFonts w:eastAsia="Times New Roman"/>
          <w:szCs w:val="24"/>
        </w:rPr>
        <w:t xml:space="preserve">. </w:t>
      </w:r>
    </w:p>
    <w:p w:rsidR="006079CB" w:rsidP="006079CB" w14:paraId="1DCC540D" w14:textId="4FC4BC3F">
      <w:pPr>
        <w:pStyle w:val="Heading3"/>
      </w:pPr>
      <w:r>
        <w:t>Consequences of Collecting the Information Less Frequently</w:t>
      </w:r>
    </w:p>
    <w:p w:rsidR="006079CB" w:rsidRPr="006079CB" w:rsidP="006079CB" w14:paraId="4976A509" w14:textId="6CE13A50">
      <w:pPr>
        <w:rPr>
          <w:lang w:eastAsia="en-US"/>
        </w:rPr>
      </w:pPr>
      <w:r>
        <w:rPr>
          <w:lang w:eastAsia="en-US"/>
        </w:rPr>
        <w:t xml:space="preserve">Respondents </w:t>
      </w:r>
      <w:r w:rsidRPr="006079CB">
        <w:rPr>
          <w:lang w:eastAsia="en-US"/>
        </w:rPr>
        <w:t>to this data collection will answer only once to ensure the participant burden is as low as possible. Failing to collect data in this frequency could prevent us from fully understanding the target audience's response to the messages, and maximizing the impact of these messages, and could therefore reduce the benefit of the messages for youth and young adults in the United States. There are no legal obstacles to reduce the burden.</w:t>
      </w:r>
    </w:p>
    <w:p w:rsidR="6EE54396" w:rsidRPr="009D3C9F" w:rsidP="006079CB" w14:paraId="5A83B16D" w14:textId="38F1FE26">
      <w:pPr>
        <w:pStyle w:val="Heading3"/>
      </w:pPr>
      <w:r w:rsidRPr="009D3C9F">
        <w:t>Special Circumstances Relating to the Guidelines of 5 CFR 1320.5</w:t>
      </w:r>
    </w:p>
    <w:p w:rsidR="6EE54396" w:rsidRPr="009D3C9F" w:rsidP="6C00F014" w14:paraId="53D9EAD9" w14:textId="794A5832">
      <w:pPr>
        <w:pStyle w:val="Heading3"/>
        <w:numPr>
          <w:ilvl w:val="0"/>
          <w:numId w:val="0"/>
        </w:numPr>
        <w:rPr>
          <w:b w:val="0"/>
          <w:u w:val="none"/>
        </w:rPr>
      </w:pPr>
      <w:r w:rsidRPr="009D3C9F">
        <w:rPr>
          <w:b w:val="0"/>
          <w:u w:val="none"/>
        </w:rPr>
        <w:t>This information collection fully complies with 5 CFR 1320.5(d)(2). No special circumstances are associated with this information collection that would be inconsistent with the regulation.</w:t>
      </w:r>
    </w:p>
    <w:p w:rsidR="00DC1357" w:rsidRPr="003E0B9E" w:rsidP="6C00F014" w14:paraId="327AA064" w14:textId="109C667C">
      <w:pPr>
        <w:pStyle w:val="Heading3"/>
      </w:pPr>
      <w:r w:rsidRPr="003E0B9E">
        <w:t>Comments in Response to the Federal Register Notice and Efforts to Consult Outside the Agency</w:t>
      </w:r>
    </w:p>
    <w:p w:rsidR="00834923" w:rsidP="5C8241EF" w14:paraId="6B90BF4E" w14:textId="7B341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szCs w:val="24"/>
        </w:rPr>
      </w:pPr>
      <w:r w:rsidRPr="00834923">
        <w:rPr>
          <w:rFonts w:eastAsia="Times New Roman"/>
          <w:szCs w:val="24"/>
        </w:rPr>
        <w:t>In accordance with 5 CFR 1320.8(d), FDA published a 60-day notice for public comment in the FEDERAL REGISTER of November 22, 2022 (87 FR 71335). One non-PRA related comment was received.</w:t>
      </w:r>
    </w:p>
    <w:p w:rsidR="00834923" w:rsidP="5C8241EF" w14:paraId="6D16A7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szCs w:val="24"/>
        </w:rPr>
      </w:pPr>
    </w:p>
    <w:p w:rsidR="5C8241EF" w:rsidP="5C8241EF" w14:paraId="234DED01" w14:textId="2B080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5C8241EF">
        <w:rPr>
          <w:rFonts w:eastAsia="Times New Roman"/>
          <w:szCs w:val="24"/>
        </w:rPr>
        <w:t>The following individuals inside the agency have been consulted on the design of the study, instrument development, or intra-agency coordination of information collection efforts:</w:t>
      </w:r>
    </w:p>
    <w:p w:rsidR="5C8241EF" w:rsidP="5C8241EF" w14:paraId="6D95025E" w14:textId="7FE009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5C8241EF">
        <w:rPr>
          <w:rFonts w:eastAsia="Times New Roman"/>
          <w:szCs w:val="24"/>
        </w:rPr>
        <w:t xml:space="preserve"> </w:t>
      </w:r>
    </w:p>
    <w:p w:rsidR="5C8241EF" w14:paraId="0C5638B4" w14:textId="5874D713">
      <w:r w:rsidRPr="5C8241EF">
        <w:rPr>
          <w:rFonts w:eastAsia="Times New Roman"/>
          <w:szCs w:val="24"/>
        </w:rPr>
        <w:t>Emily Peterson, PhD</w:t>
      </w:r>
    </w:p>
    <w:p w:rsidR="5C8241EF" w14:paraId="660FC3E7" w14:textId="57835F3A">
      <w:r w:rsidRPr="5C8241EF">
        <w:rPr>
          <w:rFonts w:eastAsia="Times New Roman"/>
          <w:szCs w:val="24"/>
        </w:rPr>
        <w:t>Office of Health Communication &amp; Education</w:t>
      </w:r>
    </w:p>
    <w:p w:rsidR="5C8241EF" w14:paraId="158B33C4" w14:textId="672F0CB2">
      <w:r w:rsidRPr="5C8241EF">
        <w:rPr>
          <w:rFonts w:eastAsia="Times New Roman"/>
          <w:szCs w:val="24"/>
        </w:rPr>
        <w:t>Center for Tobacco Products</w:t>
      </w:r>
    </w:p>
    <w:p w:rsidR="5C8241EF" w14:paraId="4A200607" w14:textId="3BFC496B">
      <w:r w:rsidRPr="5C8241EF">
        <w:rPr>
          <w:rFonts w:eastAsia="Times New Roman"/>
          <w:szCs w:val="24"/>
        </w:rPr>
        <w:t>Food and Drug Administration</w:t>
      </w:r>
    </w:p>
    <w:p w:rsidR="00FF61BB" w:rsidP="00FF61BB" w14:paraId="0A0EC838" w14:textId="77777777">
      <w:pPr>
        <w:rPr>
          <w:rFonts w:eastAsia="Times New Roman"/>
          <w:szCs w:val="24"/>
        </w:rPr>
      </w:pPr>
      <w:r>
        <w:rPr>
          <w:rFonts w:eastAsia="Times New Roman"/>
          <w:szCs w:val="24"/>
        </w:rPr>
        <w:t>10903 New Hampshire Ave</w:t>
      </w:r>
    </w:p>
    <w:p w:rsidR="00FF61BB" w:rsidP="00FF61BB" w14:paraId="7423BF4B" w14:textId="77777777">
      <w:pPr>
        <w:rPr>
          <w:rFonts w:eastAsia="Times New Roman"/>
          <w:szCs w:val="24"/>
        </w:rPr>
      </w:pPr>
      <w:r>
        <w:rPr>
          <w:rFonts w:eastAsia="Times New Roman"/>
          <w:szCs w:val="24"/>
        </w:rPr>
        <w:t>Silver Spring, MD 20993</w:t>
      </w:r>
    </w:p>
    <w:p w:rsidR="5C8241EF" w14:paraId="66AEDB84" w14:textId="2F52B31C">
      <w:r w:rsidRPr="5C8241EF">
        <w:rPr>
          <w:rFonts w:eastAsia="Times New Roman"/>
          <w:szCs w:val="24"/>
        </w:rPr>
        <w:t>Phone: 301-633-4223</w:t>
      </w:r>
    </w:p>
    <w:p w:rsidR="5C8241EF" w:rsidRPr="00227FE9" w14:paraId="588AF97A" w14:textId="76DE489D">
      <w:pPr>
        <w:rPr>
          <w:rFonts w:eastAsia="Times New Roman"/>
          <w:szCs w:val="24"/>
        </w:rPr>
      </w:pPr>
      <w:r w:rsidRPr="00227FE9">
        <w:rPr>
          <w:rFonts w:eastAsia="Times New Roman"/>
          <w:szCs w:val="24"/>
        </w:rPr>
        <w:t xml:space="preserve">E-mail: </w:t>
      </w:r>
      <w:r w:rsidRPr="009D3C9F" w:rsidR="00D674EB">
        <w:rPr>
          <w:rFonts w:eastAsia="Franklin Gothic Book"/>
          <w:szCs w:val="24"/>
        </w:rPr>
        <w:t>E</w:t>
      </w:r>
      <w:r w:rsidRPr="00227FE9" w:rsidR="00D674EB">
        <w:rPr>
          <w:rFonts w:eastAsia="Times New Roman"/>
          <w:szCs w:val="24"/>
        </w:rPr>
        <w:t>mily.</w:t>
      </w:r>
      <w:r w:rsidRPr="009D3C9F" w:rsidR="00D674EB">
        <w:rPr>
          <w:rFonts w:eastAsia="Franklin Gothic Book"/>
          <w:szCs w:val="24"/>
        </w:rPr>
        <w:t>P</w:t>
      </w:r>
      <w:r w:rsidRPr="00D674EB" w:rsidR="00D674EB">
        <w:rPr>
          <w:szCs w:val="24"/>
        </w:rPr>
        <w:t>eterson@fda.hhs.gov</w:t>
      </w:r>
      <w:r w:rsidRPr="00227FE9">
        <w:rPr>
          <w:rFonts w:eastAsia="Times New Roman"/>
          <w:szCs w:val="24"/>
        </w:rPr>
        <w:t xml:space="preserve"> </w:t>
      </w:r>
    </w:p>
    <w:p w:rsidR="004813E3" w14:paraId="27978D26" w14:textId="77777777">
      <w:pPr>
        <w:rPr>
          <w:rFonts w:eastAsia="Times New Roman"/>
          <w:szCs w:val="24"/>
        </w:rPr>
      </w:pPr>
    </w:p>
    <w:p w:rsidR="004813E3" w14:paraId="58A9F884" w14:textId="73C31CFC">
      <w:pPr>
        <w:rPr>
          <w:rFonts w:eastAsia="Times New Roman"/>
          <w:szCs w:val="24"/>
        </w:rPr>
      </w:pPr>
      <w:r>
        <w:rPr>
          <w:rFonts w:eastAsia="Times New Roman"/>
          <w:szCs w:val="24"/>
        </w:rPr>
        <w:t>Megan Wall, MPH</w:t>
      </w:r>
    </w:p>
    <w:p w:rsidR="004813E3" w14:paraId="56670D28" w14:textId="5B0C426E">
      <w:pPr>
        <w:rPr>
          <w:rFonts w:eastAsia="Times New Roman"/>
          <w:szCs w:val="24"/>
        </w:rPr>
      </w:pPr>
      <w:r>
        <w:rPr>
          <w:rFonts w:eastAsia="Times New Roman"/>
          <w:szCs w:val="24"/>
        </w:rPr>
        <w:t>Office of Health Communication &amp; Education</w:t>
      </w:r>
    </w:p>
    <w:p w:rsidR="004813E3" w14:paraId="16D0FCE4" w14:textId="16E185F1">
      <w:pPr>
        <w:rPr>
          <w:rFonts w:eastAsia="Times New Roman"/>
          <w:szCs w:val="24"/>
        </w:rPr>
      </w:pPr>
      <w:r>
        <w:rPr>
          <w:rFonts w:eastAsia="Times New Roman"/>
          <w:szCs w:val="24"/>
        </w:rPr>
        <w:t>Center for Tobacco Products</w:t>
      </w:r>
    </w:p>
    <w:p w:rsidR="004813E3" w14:paraId="6EEC575D" w14:textId="71FEF085">
      <w:pPr>
        <w:rPr>
          <w:rFonts w:eastAsia="Times New Roman"/>
          <w:szCs w:val="24"/>
        </w:rPr>
      </w:pPr>
      <w:r>
        <w:rPr>
          <w:rFonts w:eastAsia="Times New Roman"/>
          <w:szCs w:val="24"/>
        </w:rPr>
        <w:t>Food and Drug Administration</w:t>
      </w:r>
    </w:p>
    <w:p w:rsidR="00254887" w14:paraId="0B229F83" w14:textId="18884AB5">
      <w:pPr>
        <w:rPr>
          <w:rFonts w:eastAsia="Times New Roman"/>
          <w:szCs w:val="24"/>
        </w:rPr>
      </w:pPr>
      <w:r>
        <w:rPr>
          <w:rFonts w:eastAsia="Times New Roman"/>
          <w:szCs w:val="24"/>
        </w:rPr>
        <w:t>10903 New Hampshire Ave</w:t>
      </w:r>
    </w:p>
    <w:p w:rsidR="00254887" w14:paraId="7A412191" w14:textId="1C6792E1">
      <w:pPr>
        <w:rPr>
          <w:rFonts w:eastAsia="Times New Roman"/>
          <w:szCs w:val="24"/>
        </w:rPr>
      </w:pPr>
      <w:r>
        <w:rPr>
          <w:rFonts w:eastAsia="Times New Roman"/>
          <w:szCs w:val="24"/>
        </w:rPr>
        <w:t>Silver Spring, MD 20993</w:t>
      </w:r>
    </w:p>
    <w:p w:rsidR="00254887" w14:paraId="12BB7BF7" w14:textId="766C318B">
      <w:pPr>
        <w:rPr>
          <w:rFonts w:eastAsia="Times New Roman"/>
          <w:szCs w:val="24"/>
        </w:rPr>
      </w:pPr>
      <w:r>
        <w:rPr>
          <w:rFonts w:eastAsia="Times New Roman"/>
          <w:szCs w:val="24"/>
        </w:rPr>
        <w:t>Phone: 240-750-5844</w:t>
      </w:r>
    </w:p>
    <w:p w:rsidR="004813E3" w14:paraId="200DD9ED" w14:textId="11BD33B9">
      <w:r>
        <w:rPr>
          <w:rFonts w:eastAsia="Times New Roman"/>
          <w:szCs w:val="24"/>
        </w:rPr>
        <w:t xml:space="preserve">Email: </w:t>
      </w:r>
      <w:hyperlink r:id="rId8" w:history="1">
        <w:r w:rsidRPr="00AD4EC9" w:rsidR="00D674EB">
          <w:rPr>
            <w:rStyle w:val="Hyperlink"/>
            <w:rFonts w:eastAsia="Times New Roman"/>
            <w:szCs w:val="24"/>
          </w:rPr>
          <w:t>Megan.Wall@fda.hhs.gov</w:t>
        </w:r>
      </w:hyperlink>
      <w:r w:rsidR="00D674EB">
        <w:rPr>
          <w:rFonts w:eastAsia="Times New Roman"/>
          <w:szCs w:val="24"/>
        </w:rPr>
        <w:t xml:space="preserve"> </w:t>
      </w:r>
    </w:p>
    <w:p w:rsidR="5C8241EF" w14:paraId="3B567B53" w14:textId="6FD6A8BA">
      <w:r w:rsidRPr="5C8241EF">
        <w:rPr>
          <w:rFonts w:eastAsia="Times New Roman"/>
          <w:szCs w:val="24"/>
        </w:rPr>
        <w:t xml:space="preserve"> </w:t>
      </w:r>
    </w:p>
    <w:p w:rsidR="5C8241EF" w:rsidP="5C8241EF" w14:paraId="1D0F86FB" w14:textId="6B0AE7F7">
      <w:pPr>
        <w:rPr>
          <w:rFonts w:eastAsia="Times New Roman"/>
          <w:szCs w:val="24"/>
        </w:rPr>
      </w:pPr>
      <w:r>
        <w:rPr>
          <w:rFonts w:eastAsia="Times New Roman"/>
          <w:szCs w:val="24"/>
        </w:rPr>
        <w:t xml:space="preserve">Additionally, </w:t>
      </w:r>
      <w:r w:rsidRPr="5C8241EF">
        <w:rPr>
          <w:rFonts w:eastAsia="Times New Roman"/>
          <w:szCs w:val="24"/>
        </w:rPr>
        <w:t>FDA collaborates with other federal government agencies that sponsor or endorse health communication projects, such as the Centers for Disease Control and Prevention, Office on Smoking and Health (CDC/OSH), the Substance Abuse and Mental Health Services Administration (SAMHSA) and the National Institutes of Health National Cancer Institute (NIH/NCI). These affiliations serve as information channels, help prevent redundancy, and promote use of consistent measures of effectiveness. Coordination activities include:</w:t>
      </w:r>
    </w:p>
    <w:p w:rsidR="5C8241EF" w:rsidP="009D3C9F" w14:paraId="54C4C39D" w14:textId="5F871575">
      <w:pPr>
        <w:pStyle w:val="ListParagraph"/>
        <w:numPr>
          <w:ilvl w:val="0"/>
          <w:numId w:val="1"/>
        </w:numPr>
        <w:rPr>
          <w:rFonts w:asciiTheme="minorHAnsi" w:eastAsiaTheme="minorEastAsia" w:hAnsiTheme="minorHAnsi" w:cstheme="minorBidi"/>
          <w:szCs w:val="24"/>
        </w:rPr>
      </w:pPr>
      <w:r w:rsidRPr="5C8241EF">
        <w:rPr>
          <w:rFonts w:eastAsia="Times New Roman"/>
          <w:szCs w:val="24"/>
        </w:rPr>
        <w:t>Review of proposed messages for advertisements;</w:t>
      </w:r>
    </w:p>
    <w:p w:rsidR="5C8241EF" w:rsidP="009D3C9F" w14:paraId="600CC03B" w14:textId="557FF229">
      <w:pPr>
        <w:pStyle w:val="ListParagraph"/>
        <w:numPr>
          <w:ilvl w:val="0"/>
          <w:numId w:val="1"/>
        </w:numPr>
        <w:rPr>
          <w:rFonts w:asciiTheme="minorHAnsi" w:eastAsiaTheme="minorEastAsia" w:hAnsiTheme="minorHAnsi" w:cstheme="minorBidi"/>
          <w:szCs w:val="24"/>
        </w:rPr>
      </w:pPr>
      <w:r w:rsidRPr="5C8241EF">
        <w:rPr>
          <w:rFonts w:eastAsia="Times New Roman"/>
          <w:szCs w:val="24"/>
        </w:rPr>
        <w:t>Review of surveys for testing purposes;</w:t>
      </w:r>
    </w:p>
    <w:p w:rsidR="5C8241EF" w:rsidP="009D3C9F" w14:paraId="0295943F" w14:textId="03E4CC5F">
      <w:pPr>
        <w:pStyle w:val="ListParagraph"/>
        <w:numPr>
          <w:ilvl w:val="0"/>
          <w:numId w:val="1"/>
        </w:numPr>
        <w:rPr>
          <w:rFonts w:asciiTheme="minorHAnsi" w:eastAsiaTheme="minorEastAsia" w:hAnsiTheme="minorHAnsi" w:cstheme="minorBidi"/>
          <w:szCs w:val="24"/>
        </w:rPr>
      </w:pPr>
      <w:r w:rsidRPr="5C8241EF">
        <w:rPr>
          <w:rFonts w:eastAsia="Times New Roman"/>
          <w:szCs w:val="24"/>
        </w:rPr>
        <w:t>Sharing data; and</w:t>
      </w:r>
    </w:p>
    <w:p w:rsidR="006079CB" w:rsidP="009D3C9F" w14:paraId="2F7B7B0C" w14:textId="2322C9C1">
      <w:pPr>
        <w:pStyle w:val="ListParagraph"/>
        <w:numPr>
          <w:ilvl w:val="0"/>
          <w:numId w:val="1"/>
        </w:numPr>
        <w:rPr>
          <w:rFonts w:eastAsia="Times New Roman"/>
          <w:szCs w:val="24"/>
        </w:rPr>
      </w:pPr>
      <w:r w:rsidRPr="5C8241EF">
        <w:rPr>
          <w:rFonts w:eastAsia="Times New Roman"/>
          <w:szCs w:val="24"/>
        </w:rPr>
        <w:t xml:space="preserve">Standardizing survey tools where at all possible. </w:t>
      </w:r>
    </w:p>
    <w:p w:rsidR="006079CB" w14:paraId="08A2AE2F" w14:textId="77777777">
      <w:pPr>
        <w:rPr>
          <w:rFonts w:eastAsia="Times New Roman"/>
          <w:szCs w:val="24"/>
        </w:rPr>
      </w:pPr>
      <w:r>
        <w:rPr>
          <w:rFonts w:eastAsia="Times New Roman"/>
          <w:szCs w:val="24"/>
        </w:rPr>
        <w:br w:type="page"/>
      </w:r>
    </w:p>
    <w:p w:rsidR="5C8241EF" w14:paraId="7E714C03" w14:textId="1E1513B0">
      <w:r w:rsidRPr="5C8241EF">
        <w:rPr>
          <w:rFonts w:eastAsia="Times New Roman"/>
          <w:szCs w:val="24"/>
        </w:rPr>
        <w:t xml:space="preserve">The following individuals outside of the agency have been consulted on survey development. </w:t>
      </w:r>
    </w:p>
    <w:p w:rsidR="5C8241EF" w14:paraId="4B980E5B" w14:textId="00565509">
      <w:r w:rsidRPr="5C8241EF">
        <w:rPr>
          <w:rFonts w:ascii="Franklin Gothic Book" w:eastAsia="Franklin Gothic Book" w:hAnsi="Franklin Gothic Book" w:cs="Franklin Gothic Book"/>
          <w:szCs w:val="24"/>
        </w:rPr>
        <w:t xml:space="preserve"> </w:t>
      </w:r>
    </w:p>
    <w:p w:rsidR="00361ADE" w:rsidRPr="000E6EDA" w:rsidP="5C8241EF" w14:paraId="105A2093" w14:textId="76085AA5">
      <w:pPr>
        <w:rPr>
          <w:rFonts w:eastAsia="Times New Roman"/>
          <w:szCs w:val="24"/>
        </w:rPr>
      </w:pPr>
      <w:r w:rsidRPr="000E6EDA">
        <w:rPr>
          <w:rFonts w:eastAsia="Times New Roman"/>
          <w:szCs w:val="24"/>
        </w:rPr>
        <w:t>Meghan Moran, PhD</w:t>
      </w:r>
    </w:p>
    <w:p w:rsidR="00361ADE" w:rsidRPr="000E6EDA" w:rsidP="5C8241EF" w14:paraId="21ABD919" w14:textId="010D0571">
      <w:pPr>
        <w:rPr>
          <w:rFonts w:eastAsia="Times New Roman"/>
          <w:szCs w:val="24"/>
        </w:rPr>
      </w:pPr>
      <w:r w:rsidRPr="000E6EDA">
        <w:rPr>
          <w:rFonts w:eastAsia="Times New Roman"/>
          <w:szCs w:val="24"/>
        </w:rPr>
        <w:t>Department of Health, Behavior &amp; Society</w:t>
      </w:r>
    </w:p>
    <w:p w:rsidR="00361ADE" w:rsidRPr="000E6EDA" w:rsidP="5C8241EF" w14:paraId="488E0C48" w14:textId="55BC193E">
      <w:pPr>
        <w:rPr>
          <w:rFonts w:eastAsia="Times New Roman"/>
          <w:szCs w:val="24"/>
        </w:rPr>
      </w:pPr>
      <w:r w:rsidRPr="000E6EDA">
        <w:rPr>
          <w:rFonts w:eastAsia="Times New Roman"/>
          <w:szCs w:val="24"/>
        </w:rPr>
        <w:t>Johns Hopkins Bloomberg School of Public Health</w:t>
      </w:r>
    </w:p>
    <w:p w:rsidR="00361ADE" w:rsidRPr="000E6EDA" w:rsidP="5C8241EF" w14:paraId="00AF0920" w14:textId="67F9EBB6">
      <w:pPr>
        <w:rPr>
          <w:rFonts w:eastAsia="Times New Roman"/>
          <w:szCs w:val="24"/>
        </w:rPr>
      </w:pPr>
      <w:r w:rsidRPr="000E6EDA">
        <w:rPr>
          <w:rFonts w:eastAsia="Times New Roman"/>
          <w:szCs w:val="24"/>
        </w:rPr>
        <w:t>624 North Broadway, Room 729</w:t>
      </w:r>
    </w:p>
    <w:p w:rsidR="00361ADE" w:rsidRPr="000E6EDA" w:rsidP="5C8241EF" w14:paraId="45827C58" w14:textId="45C3B4C2">
      <w:pPr>
        <w:rPr>
          <w:rFonts w:eastAsia="Times New Roman"/>
          <w:szCs w:val="24"/>
        </w:rPr>
      </w:pPr>
      <w:r w:rsidRPr="000E6EDA">
        <w:rPr>
          <w:rFonts w:eastAsia="Times New Roman"/>
          <w:szCs w:val="24"/>
        </w:rPr>
        <w:t>Baltimore, MD 21205</w:t>
      </w:r>
    </w:p>
    <w:p w:rsidR="00361ADE" w:rsidRPr="000E6EDA" w:rsidP="5C8241EF" w14:paraId="03D99C7E" w14:textId="5A4BFE6A">
      <w:pPr>
        <w:rPr>
          <w:rFonts w:eastAsia="Times New Roman"/>
          <w:szCs w:val="24"/>
        </w:rPr>
      </w:pPr>
      <w:r w:rsidRPr="000E6EDA">
        <w:rPr>
          <w:rFonts w:eastAsia="Times New Roman"/>
          <w:szCs w:val="24"/>
        </w:rPr>
        <w:t>Phone: 410-614-6872</w:t>
      </w:r>
    </w:p>
    <w:p w:rsidR="5C8241EF" w:rsidRPr="000E6EDA" w:rsidP="00361ADE" w14:paraId="001ADEF4" w14:textId="1CC48F1A">
      <w:pPr>
        <w:rPr>
          <w:rFonts w:eastAsia="Times New Roman"/>
          <w:szCs w:val="24"/>
        </w:rPr>
      </w:pPr>
      <w:r w:rsidRPr="000E6EDA">
        <w:rPr>
          <w:rFonts w:eastAsia="Times New Roman"/>
          <w:szCs w:val="24"/>
        </w:rPr>
        <w:t>Email:mmoran22@jhu.</w:t>
      </w:r>
      <w:r w:rsidRPr="000E6EDA">
        <w:rPr>
          <w:rFonts w:eastAsia="Times New Roman"/>
          <w:szCs w:val="24"/>
        </w:rPr>
        <w:t>e</w:t>
      </w:r>
      <w:r w:rsidRPr="000E6EDA">
        <w:rPr>
          <w:rFonts w:eastAsia="Times New Roman"/>
          <w:szCs w:val="24"/>
        </w:rPr>
        <w:t>du</w:t>
      </w:r>
    </w:p>
    <w:p w:rsidR="001B37ED" w:rsidP="6C00F014" w14:paraId="6B7AA78F" w14:textId="290C7C2A">
      <w:pPr>
        <w:pStyle w:val="Heading3"/>
      </w:pPr>
      <w:r>
        <w:t>Explanation of Any Payment or Gift to Respondents</w:t>
      </w:r>
    </w:p>
    <w:p w:rsidR="00BC379F" w:rsidRPr="000E6EDA" w:rsidP="000E6EDA" w14:paraId="55166B2A" w14:textId="5BFE4858">
      <w:pPr>
        <w:pStyle w:val="BodyText"/>
        <w:ind w:firstLine="0"/>
        <w:rPr>
          <w:rFonts w:eastAsia="Times New Roman"/>
        </w:rPr>
      </w:pPr>
      <w:r w:rsidRPr="5C8241EF">
        <w:rPr>
          <w:rFonts w:eastAsia="Times New Roman"/>
        </w:rPr>
        <w:t>There is no token of appreciation for solely completing the screener.</w:t>
      </w:r>
      <w:r w:rsidR="000E6EDA">
        <w:rPr>
          <w:rFonts w:eastAsia="Times New Roman"/>
        </w:rPr>
        <w:t xml:space="preserve"> </w:t>
      </w:r>
      <w:r w:rsidRPr="62407F7B" w:rsidR="006B6DA9">
        <w:rPr>
          <w:rFonts w:eastAsia="Times New Roman"/>
        </w:rPr>
        <w:t>A $</w:t>
      </w:r>
      <w:r w:rsidR="002A3D67">
        <w:rPr>
          <w:rFonts w:eastAsia="Times New Roman"/>
        </w:rPr>
        <w:t>50</w:t>
      </w:r>
      <w:r w:rsidRPr="62407F7B" w:rsidR="006B6DA9">
        <w:rPr>
          <w:rFonts w:eastAsia="Times New Roman"/>
        </w:rPr>
        <w:t xml:space="preserve"> Visa gift card will be </w:t>
      </w:r>
      <w:r w:rsidRPr="62407F7B" w:rsidR="00992EFF">
        <w:rPr>
          <w:rFonts w:eastAsia="Times New Roman"/>
        </w:rPr>
        <w:t xml:space="preserve">distributed to </w:t>
      </w:r>
      <w:r w:rsidR="000E6EDA">
        <w:rPr>
          <w:rFonts w:eastAsia="Times New Roman"/>
        </w:rPr>
        <w:t xml:space="preserve">all </w:t>
      </w:r>
      <w:r w:rsidRPr="62407F7B" w:rsidR="00992EFF">
        <w:rPr>
          <w:rFonts w:eastAsia="Times New Roman"/>
        </w:rPr>
        <w:t xml:space="preserve">participants at the end of their </w:t>
      </w:r>
      <w:r w:rsidRPr="62407F7B" w:rsidR="00A7119D">
        <w:rPr>
          <w:rFonts w:eastAsia="Times New Roman"/>
        </w:rPr>
        <w:t>90</w:t>
      </w:r>
      <w:r w:rsidRPr="62407F7B" w:rsidR="003A1EF6">
        <w:rPr>
          <w:rFonts w:eastAsia="Times New Roman"/>
        </w:rPr>
        <w:t>-</w:t>
      </w:r>
      <w:r w:rsidRPr="62407F7B" w:rsidR="00A7119D">
        <w:rPr>
          <w:rFonts w:eastAsia="Times New Roman"/>
        </w:rPr>
        <w:t xml:space="preserve">minute </w:t>
      </w:r>
      <w:r w:rsidRPr="62407F7B" w:rsidR="00992EFF">
        <w:rPr>
          <w:rFonts w:eastAsia="Times New Roman"/>
        </w:rPr>
        <w:t>in-person study</w:t>
      </w:r>
      <w:r w:rsidR="002A3D67">
        <w:rPr>
          <w:rFonts w:eastAsia="Times New Roman"/>
        </w:rPr>
        <w:t xml:space="preserve"> as a token of appreciation</w:t>
      </w:r>
      <w:r w:rsidR="000E6EDA">
        <w:rPr>
          <w:rFonts w:eastAsia="Times New Roman"/>
        </w:rPr>
        <w:t xml:space="preserve"> for their participation in the study. Additionally, a separate </w:t>
      </w:r>
      <w:r w:rsidR="002A3D67">
        <w:rPr>
          <w:rFonts w:eastAsia="Times New Roman"/>
        </w:rPr>
        <w:t>$25 Visa gift card will be distributed to</w:t>
      </w:r>
      <w:r w:rsidR="000E6EDA">
        <w:rPr>
          <w:rFonts w:eastAsia="Times New Roman"/>
        </w:rPr>
        <w:t xml:space="preserve"> </w:t>
      </w:r>
      <w:r w:rsidR="002A3D67">
        <w:rPr>
          <w:rFonts w:eastAsia="Times New Roman"/>
        </w:rPr>
        <w:t>participants</w:t>
      </w:r>
      <w:r w:rsidR="000E6EDA">
        <w:rPr>
          <w:rFonts w:eastAsia="Times New Roman"/>
        </w:rPr>
        <w:t xml:space="preserve"> aged 1</w:t>
      </w:r>
      <w:r w:rsidR="0095397C">
        <w:rPr>
          <w:rFonts w:eastAsia="Times New Roman"/>
        </w:rPr>
        <w:t>6</w:t>
      </w:r>
      <w:r w:rsidR="000E6EDA">
        <w:rPr>
          <w:rFonts w:eastAsia="Times New Roman"/>
        </w:rPr>
        <w:t>-24</w:t>
      </w:r>
      <w:r w:rsidR="002A3D67">
        <w:rPr>
          <w:rFonts w:eastAsia="Times New Roman"/>
        </w:rPr>
        <w:t xml:space="preserve"> to cover the direct costs of their participation (e.g., gas, parking, public transportation)</w:t>
      </w:r>
      <w:r w:rsidRPr="62407F7B" w:rsidR="00992EFF">
        <w:rPr>
          <w:rFonts w:eastAsia="Times New Roman"/>
        </w:rPr>
        <w:t>.</w:t>
      </w:r>
      <w:r w:rsidRPr="62407F7B" w:rsidR="00E15DA3">
        <w:rPr>
          <w:rFonts w:eastAsia="Times New Roman"/>
        </w:rPr>
        <w:t xml:space="preserve"> </w:t>
      </w:r>
      <w:r w:rsidR="000E6EDA">
        <w:rPr>
          <w:rFonts w:eastAsia="Times New Roman"/>
        </w:rPr>
        <w:t>For youth ages 13-1</w:t>
      </w:r>
      <w:r w:rsidR="0095397C">
        <w:rPr>
          <w:rFonts w:eastAsia="Times New Roman"/>
        </w:rPr>
        <w:t>5</w:t>
      </w:r>
      <w:r w:rsidR="000E6EDA">
        <w:rPr>
          <w:rFonts w:eastAsia="Times New Roman"/>
        </w:rPr>
        <w:t xml:space="preserve">, the $25 Visa gift card will be given to the adult who accompanies them to the study to cover the adult’s direct costs of bringing the youth participant to the study. </w:t>
      </w:r>
      <w:r w:rsidR="00092DC4">
        <w:t>The</w:t>
      </w:r>
      <w:r w:rsidR="002A3D67">
        <w:t>se</w:t>
      </w:r>
      <w:r w:rsidR="00092DC4">
        <w:t xml:space="preserve"> amount</w:t>
      </w:r>
      <w:r w:rsidR="002A3D67">
        <w:t>s</w:t>
      </w:r>
      <w:r w:rsidR="00092DC4">
        <w:t xml:space="preserve"> not only reflect the burden of time to participate, but it will also ensure that the respondent pool is recruited within a tight timeframe. </w:t>
      </w:r>
    </w:p>
    <w:p w:rsidR="00092DC4" w:rsidP="000E6EDA" w14:paraId="16BD9279" w14:textId="2914549C">
      <w:pPr>
        <w:pStyle w:val="BodyText"/>
        <w:ind w:firstLine="0"/>
        <w:rPr>
          <w:rFonts w:eastAsia="Times New Roman"/>
        </w:rPr>
      </w:pPr>
      <w:r>
        <w:t>Additionally, t</w:t>
      </w:r>
      <w:r w:rsidRPr="00BC379F">
        <w:t>okens of appreciation are important to recruit at-risk populations</w:t>
      </w:r>
      <w:r>
        <w:t xml:space="preserve">. </w:t>
      </w:r>
      <w:r w:rsidRPr="00AD38F8" w:rsidR="00AD38F8">
        <w:t xml:space="preserve">Such populations are important to this research because of the risk factors for tobacco use; those population are also historically difficult to recruit and retain in health research (Hooven et al., 2011; Murthy et al., 2004; Post et al., 2012; Siddiqui et al., 1996; Zand et al., 2006). </w:t>
      </w:r>
      <w:r w:rsidRPr="5C8241EF" w:rsidR="00E87092">
        <w:rPr>
          <w:rFonts w:eastAsia="Times New Roman"/>
        </w:rPr>
        <w:t>A token of appreciation is necessary to minimize non-response bias, complete data collection goals in a timely manner, reduce overall burden, and reduce costs</w:t>
      </w:r>
      <w:r w:rsidR="00E87092">
        <w:rPr>
          <w:rFonts w:eastAsia="Times New Roman"/>
        </w:rPr>
        <w:t>.</w:t>
      </w:r>
      <w:r w:rsidR="000E6EDA">
        <w:rPr>
          <w:rFonts w:eastAsia="Times New Roman"/>
        </w:rPr>
        <w:t xml:space="preserve"> </w:t>
      </w:r>
      <w:r w:rsidR="000E6EDA">
        <w:t xml:space="preserve">Smaller token amounts are associated with slower movement on recruitment. </w:t>
      </w:r>
      <w:r w:rsidR="000E6EDA">
        <w:rPr>
          <w:rFonts w:eastAsia="Times New Roman"/>
        </w:rPr>
        <w:t>These token of appreciation amounts are in line with in-person studies previously approved by OMB with similar burden, topic area, and at-risk populations, such as a AI/AN youth focus groups and 90-minute focus groups with young adult ENDS users (both under OMB Control Number 0910-0796).</w:t>
      </w:r>
    </w:p>
    <w:p w:rsidR="6EE54396" w:rsidP="5C8241EF" w14:paraId="27CAF8D6" w14:textId="14C8FB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rPr>
      </w:pPr>
      <w:r>
        <w:rPr>
          <w:rFonts w:eastAsia="Times New Roman"/>
        </w:rPr>
        <w:t>Finally, t</w:t>
      </w:r>
      <w:r w:rsidRPr="5C8241EF">
        <w:rPr>
          <w:rFonts w:eastAsia="Times New Roman"/>
        </w:rPr>
        <w:t>he token of appreciation allows us to treat participants justly and with respect by acknowledging competing demands for their time and the effort they spend participating</w:t>
      </w:r>
      <w:r w:rsidR="003C7209">
        <w:rPr>
          <w:rFonts w:eastAsia="Times New Roman"/>
        </w:rPr>
        <w:t xml:space="preserve"> and </w:t>
      </w:r>
      <w:r w:rsidR="003C7209">
        <w:rPr>
          <w:szCs w:val="24"/>
        </w:rPr>
        <w:t>reflects our human subjects’ commitment to equity in research participation</w:t>
      </w:r>
      <w:r w:rsidR="008310A6">
        <w:rPr>
          <w:szCs w:val="24"/>
        </w:rPr>
        <w:t>.</w:t>
      </w:r>
      <w:r w:rsidR="004225AA">
        <w:rPr>
          <w:rFonts w:eastAsia="Times New Roman"/>
        </w:rPr>
        <w:t xml:space="preserve"> </w:t>
      </w:r>
      <w:r w:rsidR="008B6BDD">
        <w:rPr>
          <w:rFonts w:eastAsia="Times New Roman"/>
        </w:rPr>
        <w:t>A</w:t>
      </w:r>
      <w:r w:rsidR="004225AA">
        <w:t xml:space="preserve">dditional logistical challenges </w:t>
      </w:r>
      <w:r w:rsidR="002638DC">
        <w:t xml:space="preserve">related to an in-person study </w:t>
      </w:r>
      <w:r w:rsidR="004225AA">
        <w:t>merit consideration in determining incentive amounts</w:t>
      </w:r>
      <w:r w:rsidR="008B6BDD">
        <w:t>; specifically that</w:t>
      </w:r>
      <w:r w:rsidRPr="008B6BDD" w:rsidR="008B6BDD">
        <w:t xml:space="preserve"> </w:t>
      </w:r>
      <w:r w:rsidR="00D5087C">
        <w:t xml:space="preserve">childcare considerations, </w:t>
      </w:r>
      <w:r w:rsidR="008B6BDD">
        <w:t>transportation and parking may be challenging and expensive</w:t>
      </w:r>
      <w:r w:rsidR="002638DC">
        <w:t xml:space="preserve"> for participants and the adults who accompany them</w:t>
      </w:r>
      <w:r w:rsidR="008B6BDD">
        <w:t xml:space="preserve">. </w:t>
      </w:r>
    </w:p>
    <w:p w:rsidR="00DC1357" w:rsidRPr="002D1C87" w:rsidP="6C00F014" w14:paraId="0BBA06AC" w14:textId="77777777">
      <w:pPr>
        <w:pStyle w:val="Heading3"/>
      </w:pPr>
      <w:r>
        <w:t>Assurance of Confidentiality Provided to Respondents</w:t>
      </w:r>
    </w:p>
    <w:p w:rsidR="003E0B9E" w:rsidRPr="009660BD" w:rsidP="003E0B9E" w14:paraId="64C5C1C1" w14:textId="139C45AD">
      <w:pPr>
        <w:pStyle w:val="CommentText"/>
        <w:rPr>
          <w:sz w:val="24"/>
          <w:szCs w:val="24"/>
        </w:rPr>
      </w:pPr>
      <w:r w:rsidRPr="009660BD">
        <w:rPr>
          <w:sz w:val="24"/>
          <w:szCs w:val="24"/>
        </w:rPr>
        <w:t>OMB Control Number 0910-</w:t>
      </w:r>
      <w:r>
        <w:rPr>
          <w:sz w:val="24"/>
          <w:szCs w:val="24"/>
        </w:rPr>
        <w:t>NEW</w:t>
      </w:r>
      <w:r w:rsidRPr="009660BD">
        <w:rPr>
          <w:sz w:val="24"/>
          <w:szCs w:val="24"/>
        </w:rPr>
        <w:t xml:space="preserve"> is covered underneath a Privacy Impact Assessment that has been approved by the Department of Health and Human Services </w:t>
      </w:r>
      <w:r>
        <w:rPr>
          <w:sz w:val="24"/>
          <w:szCs w:val="24"/>
        </w:rPr>
        <w:t>on February 15, 2023</w:t>
      </w:r>
      <w:r w:rsidRPr="009660BD">
        <w:rPr>
          <w:sz w:val="24"/>
          <w:szCs w:val="24"/>
        </w:rPr>
        <w:t>.</w:t>
      </w:r>
    </w:p>
    <w:p w:rsidR="00834F50" w14:paraId="59A66797" w14:textId="77777777">
      <w:pPr>
        <w:rPr>
          <w:rFonts w:eastAsia="Times New Roman"/>
        </w:rPr>
      </w:pPr>
    </w:p>
    <w:p w:rsidR="5C8241EF" w:rsidP="002638DC" w14:paraId="3EA71026" w14:textId="23649A0C">
      <w:pPr>
        <w:rPr>
          <w:highlight w:val="yellow"/>
        </w:rPr>
      </w:pPr>
      <w:r w:rsidRPr="5C8241EF">
        <w:rPr>
          <w:rFonts w:eastAsia="Times New Roman"/>
          <w:szCs w:val="24"/>
        </w:rPr>
        <w:t xml:space="preserve">Concern for privacy and protection of respondents’ rights will play a central role in the study implementation, storage and handling of data, and data analysis and reporting. The Institutional Review Board (IRB) of Johns Hopkins </w:t>
      </w:r>
      <w:r w:rsidR="0019486F">
        <w:rPr>
          <w:rFonts w:eastAsia="Times New Roman"/>
          <w:szCs w:val="24"/>
        </w:rPr>
        <w:t>Bloomberg School of Public Health</w:t>
      </w:r>
      <w:r w:rsidRPr="5C8241EF">
        <w:rPr>
          <w:rFonts w:eastAsia="Times New Roman"/>
          <w:szCs w:val="24"/>
        </w:rPr>
        <w:t xml:space="preserve">, the research organization contracted to manage data collection, reviewed and approved the protocols for the </w:t>
      </w:r>
      <w:r w:rsidRPr="5C8241EF">
        <w:rPr>
          <w:rFonts w:eastAsia="Times New Roman"/>
          <w:szCs w:val="24"/>
        </w:rPr>
        <w:t>survey. The primary concern of IRB is protecting respondents’ rights, one of which is maintaining the privacy of respondent information.</w:t>
      </w:r>
    </w:p>
    <w:p w:rsidR="008E3C81" w:rsidP="6C00F014" w14:paraId="4ACF8ACE" w14:textId="7DEE284B">
      <w:pPr>
        <w:pStyle w:val="BodyText"/>
        <w:ind w:firstLine="0"/>
        <w:rPr>
          <w:rFonts w:eastAsia="Times New Roman"/>
          <w:szCs w:val="24"/>
        </w:rPr>
      </w:pPr>
      <w:r w:rsidRPr="6C00F014">
        <w:rPr>
          <w:rFonts w:eastAsia="Times New Roman"/>
          <w:szCs w:val="24"/>
        </w:rPr>
        <w:t>As part of this study</w:t>
      </w:r>
      <w:r w:rsidRPr="6C00F014" w:rsidR="00165E84">
        <w:rPr>
          <w:rFonts w:eastAsia="Times New Roman"/>
          <w:szCs w:val="24"/>
        </w:rPr>
        <w:t xml:space="preserve">, JHSPH </w:t>
      </w:r>
      <w:r w:rsidRPr="6C00F014" w:rsidR="00740145">
        <w:rPr>
          <w:rFonts w:eastAsia="Times New Roman"/>
          <w:szCs w:val="24"/>
        </w:rPr>
        <w:t xml:space="preserve">will collect and </w:t>
      </w:r>
      <w:r w:rsidR="00C76439">
        <w:rPr>
          <w:rFonts w:eastAsia="Times New Roman"/>
          <w:szCs w:val="24"/>
        </w:rPr>
        <w:t xml:space="preserve">temporarily </w:t>
      </w:r>
      <w:r w:rsidRPr="6C00F014" w:rsidR="00740145">
        <w:rPr>
          <w:rFonts w:eastAsia="Times New Roman"/>
          <w:szCs w:val="24"/>
        </w:rPr>
        <w:t>maintain personally identifiable information (PII</w:t>
      </w:r>
      <w:r w:rsidRPr="6C00F014" w:rsidR="0011707F">
        <w:rPr>
          <w:rFonts w:eastAsia="Times New Roman"/>
          <w:szCs w:val="24"/>
        </w:rPr>
        <w:t>)</w:t>
      </w:r>
      <w:r w:rsidRPr="6C00F014" w:rsidR="00D27B59">
        <w:rPr>
          <w:rFonts w:eastAsia="Times New Roman"/>
          <w:szCs w:val="24"/>
        </w:rPr>
        <w:t xml:space="preserve">. During various stages of the study, </w:t>
      </w:r>
      <w:r w:rsidRPr="6C00F014" w:rsidR="00754F82">
        <w:rPr>
          <w:rFonts w:eastAsia="Times New Roman"/>
          <w:szCs w:val="24"/>
        </w:rPr>
        <w:t xml:space="preserve">the PII collected </w:t>
      </w:r>
      <w:r w:rsidR="002638DC">
        <w:rPr>
          <w:rFonts w:eastAsia="Times New Roman"/>
          <w:szCs w:val="24"/>
        </w:rPr>
        <w:t>for</w:t>
      </w:r>
      <w:r w:rsidRPr="6C00F014" w:rsidR="00754F82">
        <w:rPr>
          <w:rFonts w:eastAsia="Times New Roman"/>
          <w:szCs w:val="24"/>
        </w:rPr>
        <w:t xml:space="preserve"> each</w:t>
      </w:r>
      <w:r w:rsidRPr="6C00F014" w:rsidR="00AF6093">
        <w:rPr>
          <w:rFonts w:eastAsia="Times New Roman"/>
          <w:szCs w:val="24"/>
        </w:rPr>
        <w:t xml:space="preserve"> potential</w:t>
      </w:r>
      <w:r w:rsidRPr="6C00F014" w:rsidR="00754F82">
        <w:rPr>
          <w:rFonts w:eastAsia="Times New Roman"/>
          <w:szCs w:val="24"/>
        </w:rPr>
        <w:t xml:space="preserve"> participant </w:t>
      </w:r>
      <w:r w:rsidR="002638DC">
        <w:rPr>
          <w:rFonts w:eastAsia="Times New Roman"/>
          <w:szCs w:val="24"/>
        </w:rPr>
        <w:t>includes</w:t>
      </w:r>
      <w:r w:rsidRPr="6C00F014" w:rsidR="00754F82">
        <w:rPr>
          <w:rFonts w:eastAsia="Times New Roman"/>
          <w:szCs w:val="24"/>
        </w:rPr>
        <w:t xml:space="preserve"> their</w:t>
      </w:r>
      <w:r w:rsidRPr="6C00F014" w:rsidR="00AF6093">
        <w:rPr>
          <w:rFonts w:eastAsia="Times New Roman"/>
          <w:szCs w:val="24"/>
        </w:rPr>
        <w:t xml:space="preserve"> </w:t>
      </w:r>
      <w:r w:rsidRPr="6C00F014" w:rsidR="00754F82">
        <w:rPr>
          <w:rFonts w:eastAsia="Times New Roman"/>
          <w:szCs w:val="24"/>
        </w:rPr>
        <w:t>name</w:t>
      </w:r>
      <w:r w:rsidRPr="6C00F014" w:rsidR="005B5649">
        <w:rPr>
          <w:rFonts w:eastAsia="Times New Roman"/>
          <w:szCs w:val="24"/>
        </w:rPr>
        <w:t xml:space="preserve"> and contact information</w:t>
      </w:r>
      <w:r w:rsidRPr="6C00F014" w:rsidR="00AF6093">
        <w:rPr>
          <w:rFonts w:eastAsia="Times New Roman"/>
          <w:szCs w:val="24"/>
        </w:rPr>
        <w:t xml:space="preserve"> (phone number and email address)</w:t>
      </w:r>
      <w:r w:rsidR="00C76439">
        <w:rPr>
          <w:rFonts w:eastAsia="Times New Roman"/>
          <w:szCs w:val="24"/>
        </w:rPr>
        <w:t xml:space="preserve"> used for study scheduling</w:t>
      </w:r>
      <w:r w:rsidR="002638DC">
        <w:rPr>
          <w:rFonts w:eastAsia="Times New Roman"/>
          <w:szCs w:val="24"/>
        </w:rPr>
        <w:t xml:space="preserve">, </w:t>
      </w:r>
      <w:r w:rsidR="00C76439">
        <w:rPr>
          <w:rFonts w:eastAsia="Times New Roman"/>
          <w:szCs w:val="24"/>
        </w:rPr>
        <w:t>and a</w:t>
      </w:r>
      <w:r w:rsidR="002638DC">
        <w:rPr>
          <w:rFonts w:eastAsia="Times New Roman"/>
          <w:szCs w:val="24"/>
        </w:rPr>
        <w:t xml:space="preserve"> physical form </w:t>
      </w:r>
      <w:r w:rsidR="00C76439">
        <w:rPr>
          <w:rFonts w:eastAsia="Times New Roman"/>
          <w:szCs w:val="24"/>
        </w:rPr>
        <w:t>with some PII collected at the study for gift card distribution.</w:t>
      </w:r>
      <w:r w:rsidRPr="6C00F014" w:rsidR="00AF6093">
        <w:rPr>
          <w:rFonts w:eastAsia="Times New Roman"/>
          <w:szCs w:val="24"/>
        </w:rPr>
        <w:t xml:space="preserve"> If the</w:t>
      </w:r>
      <w:r w:rsidRPr="6C00F014" w:rsidR="00004D80">
        <w:rPr>
          <w:rFonts w:eastAsia="Times New Roman"/>
          <w:szCs w:val="24"/>
        </w:rPr>
        <w:t xml:space="preserve"> individual is younger than 18 years old, </w:t>
      </w:r>
      <w:r w:rsidRPr="6C00F014" w:rsidR="005D5CF9">
        <w:rPr>
          <w:rFonts w:eastAsia="Times New Roman"/>
          <w:szCs w:val="24"/>
        </w:rPr>
        <w:t>the parent’s first name is also collected.</w:t>
      </w:r>
      <w:r w:rsidRPr="6C00F014" w:rsidR="008222EB">
        <w:rPr>
          <w:rFonts w:eastAsia="Times New Roman"/>
          <w:szCs w:val="24"/>
        </w:rPr>
        <w:t xml:space="preserve"> These identifiers will be retained until the participant’s study visit is complete.</w:t>
      </w:r>
      <w:r w:rsidRPr="6C00F014" w:rsidR="00691437">
        <w:rPr>
          <w:rFonts w:eastAsia="Times New Roman"/>
          <w:szCs w:val="24"/>
        </w:rPr>
        <w:t xml:space="preserve"> </w:t>
      </w:r>
      <w:bookmarkStart w:id="0" w:name="_Hlk110326595"/>
      <w:r w:rsidRPr="6C00F014" w:rsidR="00691437">
        <w:rPr>
          <w:rFonts w:eastAsia="Times New Roman"/>
          <w:szCs w:val="24"/>
        </w:rPr>
        <w:t xml:space="preserve">Once the study visit is complete, </w:t>
      </w:r>
      <w:r w:rsidR="00C76439">
        <w:rPr>
          <w:rFonts w:eastAsia="Times New Roman"/>
          <w:szCs w:val="24"/>
        </w:rPr>
        <w:t xml:space="preserve">electronic </w:t>
      </w:r>
      <w:r w:rsidRPr="6C00F014" w:rsidR="00595EAD">
        <w:rPr>
          <w:rFonts w:eastAsia="Times New Roman"/>
          <w:szCs w:val="24"/>
        </w:rPr>
        <w:t>participant identifiers</w:t>
      </w:r>
      <w:r w:rsidR="00C76439">
        <w:rPr>
          <w:rFonts w:eastAsia="Times New Roman"/>
          <w:szCs w:val="24"/>
        </w:rPr>
        <w:t xml:space="preserve"> used for scheduling</w:t>
      </w:r>
      <w:r w:rsidRPr="6C00F014" w:rsidR="00595EAD">
        <w:rPr>
          <w:rFonts w:eastAsia="Times New Roman"/>
          <w:szCs w:val="24"/>
        </w:rPr>
        <w:t xml:space="preserve"> will </w:t>
      </w:r>
      <w:r w:rsidR="002638DC">
        <w:rPr>
          <w:rFonts w:eastAsia="Times New Roman"/>
          <w:szCs w:val="24"/>
        </w:rPr>
        <w:t xml:space="preserve">be destroyed by </w:t>
      </w:r>
      <w:r w:rsidR="00C76439">
        <w:rPr>
          <w:rFonts w:eastAsia="Times New Roman"/>
          <w:szCs w:val="24"/>
        </w:rPr>
        <w:t xml:space="preserve">deletion. At the conclusion of the study, all physical PII forms for gift card distribution will be submitted to the JHU Finance Department for processing. </w:t>
      </w:r>
    </w:p>
    <w:bookmarkEnd w:id="0"/>
    <w:p w:rsidR="6EE54396" w:rsidP="6C00F014" w14:paraId="08381A7F" w14:textId="24380C06">
      <w:pPr>
        <w:pStyle w:val="BodyText"/>
        <w:ind w:firstLine="0"/>
        <w:rPr>
          <w:rFonts w:eastAsia="Times New Roman"/>
          <w:szCs w:val="24"/>
        </w:rPr>
      </w:pPr>
      <w:r w:rsidRPr="6C00F014">
        <w:rPr>
          <w:rFonts w:eastAsia="Times New Roman"/>
          <w:szCs w:val="24"/>
        </w:rPr>
        <w:t>Privacy will be ensured in several ways:</w:t>
      </w:r>
    </w:p>
    <w:p w:rsidR="6C00F014" w:rsidP="6C00F014" w14:paraId="49950112" w14:textId="55928B55">
      <w:pPr>
        <w:pStyle w:val="BodyText"/>
        <w:numPr>
          <w:ilvl w:val="0"/>
          <w:numId w:val="2"/>
        </w:numPr>
        <w:rPr>
          <w:rFonts w:eastAsia="Times New Roman"/>
          <w:szCs w:val="24"/>
        </w:rPr>
      </w:pPr>
      <w:r w:rsidRPr="6C00F014">
        <w:rPr>
          <w:rFonts w:eastAsia="Times New Roman"/>
          <w:szCs w:val="24"/>
        </w:rPr>
        <w:t>Survey data will be downloaded from Qualtrics and stored on JHSPH SharePoint and File Shares. These systems provide a managed and secure platform for research projects. They also provide a built-in encrypted backup solution.</w:t>
      </w:r>
      <w:r w:rsidRPr="6C00F014" w:rsidR="00B27ED5">
        <w:rPr>
          <w:rFonts w:eastAsia="Times New Roman"/>
          <w:szCs w:val="24"/>
        </w:rPr>
        <w:t xml:space="preserve"> </w:t>
      </w:r>
    </w:p>
    <w:p w:rsidR="6C00F014" w:rsidP="6C00F014" w14:paraId="51C28152" w14:textId="55125185">
      <w:pPr>
        <w:pStyle w:val="BodyText"/>
        <w:numPr>
          <w:ilvl w:val="0"/>
          <w:numId w:val="2"/>
        </w:numPr>
        <w:rPr>
          <w:rFonts w:eastAsia="Times New Roman"/>
          <w:szCs w:val="24"/>
        </w:rPr>
      </w:pPr>
      <w:r w:rsidRPr="6C00F014">
        <w:rPr>
          <w:rFonts w:eastAsia="Times New Roman"/>
          <w:szCs w:val="24"/>
        </w:rPr>
        <w:t xml:space="preserve">Qualtrics will use a unique alphanumeric ID for each survey participant. Only JHSPH maintains a link between alphanumeric IDs, PII, and screener responses. JHSPH will use this information for fraud detection, and the link between PII and study responses will not be maintained once </w:t>
      </w:r>
      <w:r w:rsidR="00C76439">
        <w:rPr>
          <w:rFonts w:eastAsia="Times New Roman"/>
          <w:szCs w:val="24"/>
        </w:rPr>
        <w:t>the participant’s in-person data has been collected</w:t>
      </w:r>
      <w:r w:rsidRPr="6C00F014">
        <w:rPr>
          <w:rFonts w:eastAsia="Times New Roman"/>
          <w:szCs w:val="24"/>
        </w:rPr>
        <w:t xml:space="preserve">. Only JHSPH maintains a link between code numbers and PII; FDA will not receive data containing the link between code numbers and the PII. </w:t>
      </w:r>
    </w:p>
    <w:p w:rsidR="6C00F014" w:rsidP="6C00F014" w14:paraId="7ADD7863" w14:textId="5F78B4AE">
      <w:pPr>
        <w:pStyle w:val="BodyText"/>
        <w:numPr>
          <w:ilvl w:val="0"/>
          <w:numId w:val="2"/>
        </w:numPr>
        <w:rPr>
          <w:rFonts w:eastAsia="Times New Roman"/>
          <w:szCs w:val="24"/>
        </w:rPr>
      </w:pPr>
      <w:r w:rsidRPr="6C00F014">
        <w:rPr>
          <w:rFonts w:eastAsia="Times New Roman"/>
          <w:szCs w:val="24"/>
        </w:rPr>
        <w:t xml:space="preserve">To provide participants with gift cards, JHSPH requires participants to fill out a </w:t>
      </w:r>
      <w:r w:rsidR="002638DC">
        <w:rPr>
          <w:rFonts w:eastAsia="Times New Roman"/>
          <w:szCs w:val="24"/>
        </w:rPr>
        <w:t xml:space="preserve">physical </w:t>
      </w:r>
      <w:r w:rsidRPr="6C00F014">
        <w:rPr>
          <w:rFonts w:eastAsia="Times New Roman"/>
          <w:szCs w:val="24"/>
        </w:rPr>
        <w:t xml:space="preserve">form with PII (name, address, </w:t>
      </w:r>
      <w:r w:rsidR="00C76439">
        <w:rPr>
          <w:rFonts w:eastAsia="Times New Roman"/>
          <w:szCs w:val="24"/>
        </w:rPr>
        <w:t>and phone number</w:t>
      </w:r>
      <w:r w:rsidRPr="6C00F014">
        <w:rPr>
          <w:rFonts w:eastAsia="Times New Roman"/>
          <w:szCs w:val="24"/>
        </w:rPr>
        <w:t>). These forms will be kept in a locked filing cabinet in the study lab, which is locked when not in use. These forms will not in any way be linked to participant data.</w:t>
      </w:r>
    </w:p>
    <w:p w:rsidR="6C00F014" w:rsidP="6C00F014" w14:paraId="16F26591" w14:textId="7393620F">
      <w:pPr>
        <w:pStyle w:val="BodyText"/>
        <w:numPr>
          <w:ilvl w:val="0"/>
          <w:numId w:val="2"/>
        </w:numPr>
        <w:rPr>
          <w:rFonts w:eastAsia="Times New Roman"/>
          <w:szCs w:val="24"/>
        </w:rPr>
      </w:pPr>
      <w:r w:rsidRPr="6C00F014">
        <w:rPr>
          <w:rFonts w:eastAsia="Times New Roman"/>
          <w:szCs w:val="24"/>
        </w:rPr>
        <w:t xml:space="preserve">The resulting deidentified dataset will not include any PII. Each respondent will only be known by a unique alphanumeric ID variable. </w:t>
      </w:r>
      <w:r w:rsidRPr="6C00F014" w:rsidR="00B27ED5">
        <w:rPr>
          <w:rFonts w:eastAsia="Times New Roman"/>
          <w:szCs w:val="24"/>
        </w:rPr>
        <w:t>During the analysis portion of the study</w:t>
      </w:r>
      <w:r w:rsidRPr="6C00F014" w:rsidR="008E3C81">
        <w:rPr>
          <w:rFonts w:eastAsia="Times New Roman"/>
          <w:szCs w:val="24"/>
        </w:rPr>
        <w:t xml:space="preserve">, </w:t>
      </w:r>
      <w:r w:rsidRPr="6C00F014" w:rsidR="00805D1E">
        <w:rPr>
          <w:rFonts w:eastAsia="Times New Roman"/>
          <w:szCs w:val="24"/>
        </w:rPr>
        <w:t xml:space="preserve">deidentified data may be analyzed on personal computers. </w:t>
      </w:r>
      <w:r w:rsidRPr="6C00F014">
        <w:rPr>
          <w:rFonts w:eastAsia="Times New Roman"/>
          <w:szCs w:val="24"/>
        </w:rPr>
        <w:t>Deidentified data may be shared via Dropbox.</w:t>
      </w:r>
    </w:p>
    <w:p w:rsidR="00C76439" w:rsidP="00C76439" w14:paraId="30AE3FAA" w14:textId="77777777">
      <w:pPr>
        <w:pStyle w:val="BodyText"/>
        <w:numPr>
          <w:ilvl w:val="0"/>
          <w:numId w:val="2"/>
        </w:numPr>
        <w:rPr>
          <w:rFonts w:eastAsia="Times New Roman"/>
          <w:szCs w:val="24"/>
        </w:rPr>
      </w:pPr>
      <w:bookmarkStart w:id="1" w:name="_Hlk110326866"/>
      <w:r>
        <w:rPr>
          <w:rFonts w:eastAsia="Times New Roman"/>
          <w:szCs w:val="24"/>
        </w:rPr>
        <w:t>When taking the screener on-line, r</w:t>
      </w:r>
      <w:r w:rsidRPr="6C00F014" w:rsidR="6C00F014">
        <w:rPr>
          <w:rFonts w:eastAsia="Times New Roman"/>
          <w:szCs w:val="24"/>
        </w:rPr>
        <w:t xml:space="preserve">espondents are not able to back up in the survey to view previous responses. For example, if a youth were to leave the survey part of the way through, the parent could not view previously entered responses. JHSPH will confirm this prior to publishing the survey. </w:t>
      </w:r>
      <w:bookmarkEnd w:id="1"/>
    </w:p>
    <w:p w:rsidR="6C00F014" w:rsidRPr="00C76439" w:rsidP="00C76439" w14:paraId="1701A18E" w14:textId="5368F576">
      <w:pPr>
        <w:pStyle w:val="BodyText"/>
        <w:numPr>
          <w:ilvl w:val="0"/>
          <w:numId w:val="2"/>
        </w:numPr>
        <w:rPr>
          <w:rFonts w:eastAsia="Times New Roman"/>
          <w:szCs w:val="24"/>
        </w:rPr>
      </w:pPr>
      <w:r w:rsidRPr="00C76439">
        <w:rPr>
          <w:rFonts w:eastAsia="Times New Roman"/>
        </w:rPr>
        <w:t xml:space="preserve">When data collection is complete, the deidentified data file will be transmitted from JHSPH to FDA via a website with an SSL certificate applied. The data file, which contains no PII, will be stored by JHSPH and FDA on a restricted-access folder on a shared network drive, and only authorized project members will have access. JHSPH and FDA will store </w:t>
      </w:r>
      <w:r w:rsidR="00C76439">
        <w:rPr>
          <w:rFonts w:eastAsia="Times New Roman"/>
        </w:rPr>
        <w:t xml:space="preserve">deidentified </w:t>
      </w:r>
      <w:r w:rsidRPr="00C76439">
        <w:rPr>
          <w:rFonts w:eastAsia="Times New Roman"/>
        </w:rPr>
        <w:t xml:space="preserve">data for </w:t>
      </w:r>
      <w:r w:rsidRPr="00C76439" w:rsidR="002B0404">
        <w:rPr>
          <w:rFonts w:eastAsia="Times New Roman"/>
        </w:rPr>
        <w:t>3</w:t>
      </w:r>
      <w:r w:rsidRPr="00C76439">
        <w:rPr>
          <w:rFonts w:eastAsia="Times New Roman"/>
        </w:rPr>
        <w:t xml:space="preserve"> years before deletion.</w:t>
      </w:r>
    </w:p>
    <w:p w:rsidR="00DC1357" w:rsidRPr="00F43757" w:rsidP="6C00F014" w14:paraId="0AD004BC" w14:textId="77777777">
      <w:pPr>
        <w:pStyle w:val="Heading3"/>
      </w:pPr>
      <w:r>
        <w:t>Justification for Sensitive Questions</w:t>
      </w:r>
    </w:p>
    <w:p w:rsidR="002638DC" w14:paraId="257268EA" w14:textId="319B561A">
      <w:pPr>
        <w:pStyle w:val="BodyText"/>
        <w:ind w:firstLine="0"/>
        <w:rPr>
          <w:rFonts w:eastAsia="Times New Roman"/>
          <w:szCs w:val="24"/>
        </w:rPr>
      </w:pPr>
      <w:r w:rsidRPr="6C00F014">
        <w:rPr>
          <w:rFonts w:eastAsia="Times New Roman"/>
          <w:szCs w:val="24"/>
        </w:rPr>
        <w:t>Most questions in this study are not of a sensitive nature. However, t</w:t>
      </w:r>
      <w:r w:rsidRPr="6C00F014" w:rsidR="00104BB2">
        <w:rPr>
          <w:rFonts w:eastAsia="Times New Roman"/>
          <w:szCs w:val="24"/>
        </w:rPr>
        <w:t xml:space="preserve">his study does ask questions that may be considered sensitive in order </w:t>
      </w:r>
      <w:r w:rsidRPr="6C00F014" w:rsidR="00C86A4E">
        <w:rPr>
          <w:rFonts w:eastAsia="Times New Roman"/>
          <w:szCs w:val="24"/>
        </w:rPr>
        <w:t>to screen for study eligibility and to assess study outcomes related to tobacco.</w:t>
      </w:r>
      <w:r w:rsidRPr="6C00F014" w:rsidR="005671E2">
        <w:rPr>
          <w:rFonts w:eastAsia="Times New Roman"/>
          <w:szCs w:val="24"/>
        </w:rPr>
        <w:t xml:space="preserve"> It is necessary that these questions are asked </w:t>
      </w:r>
      <w:r w:rsidRPr="6C00F014" w:rsidR="00DB4F85">
        <w:rPr>
          <w:rFonts w:eastAsia="Times New Roman"/>
          <w:szCs w:val="24"/>
        </w:rPr>
        <w:t>to</w:t>
      </w:r>
      <w:r w:rsidRPr="6C00F014" w:rsidR="002C0CBF">
        <w:rPr>
          <w:rFonts w:eastAsia="Times New Roman"/>
          <w:szCs w:val="24"/>
        </w:rPr>
        <w:t xml:space="preserve"> </w:t>
      </w:r>
      <w:r w:rsidRPr="6C00F014" w:rsidR="005F1A3D">
        <w:rPr>
          <w:rFonts w:eastAsia="Times New Roman"/>
          <w:szCs w:val="24"/>
        </w:rPr>
        <w:t xml:space="preserve">achieve the </w:t>
      </w:r>
      <w:r w:rsidRPr="6C00F014" w:rsidR="005F1A3D">
        <w:rPr>
          <w:rFonts w:eastAsia="Times New Roman"/>
          <w:szCs w:val="24"/>
        </w:rPr>
        <w:t xml:space="preserve">objectives of this information collection: namely, to assess how different audiences respond to FDA tobacco education messages </w:t>
      </w:r>
      <w:r w:rsidRPr="6C00F014" w:rsidR="00B357BB">
        <w:rPr>
          <w:rFonts w:eastAsia="Times New Roman"/>
          <w:szCs w:val="24"/>
        </w:rPr>
        <w:t>in regard to</w:t>
      </w:r>
      <w:r w:rsidRPr="6C00F014" w:rsidR="005F1A3D">
        <w:rPr>
          <w:rFonts w:eastAsia="Times New Roman"/>
          <w:szCs w:val="24"/>
        </w:rPr>
        <w:t xml:space="preserve"> their perceptions of tobacco</w:t>
      </w:r>
      <w:r w:rsidRPr="6C00F014" w:rsidR="000226B9">
        <w:rPr>
          <w:rFonts w:eastAsia="Times New Roman"/>
          <w:szCs w:val="24"/>
        </w:rPr>
        <w:t>.</w:t>
      </w:r>
    </w:p>
    <w:p w:rsidR="006B561A" w:rsidRPr="008A2194" w:rsidP="002638DC" w14:paraId="014F3178" w14:textId="6519397A">
      <w:pPr>
        <w:pStyle w:val="BodyText"/>
        <w:ind w:firstLine="0"/>
        <w:rPr>
          <w:rFonts w:eastAsia="Times New Roman"/>
          <w:szCs w:val="24"/>
        </w:rPr>
      </w:pPr>
      <w:r w:rsidRPr="62407F7B">
        <w:rPr>
          <w:rFonts w:eastAsia="Times New Roman"/>
        </w:rPr>
        <w:t xml:space="preserve">There are questions regarding </w:t>
      </w:r>
      <w:r w:rsidRPr="62407F7B" w:rsidR="00740688">
        <w:rPr>
          <w:rFonts w:eastAsia="Times New Roman"/>
        </w:rPr>
        <w:t>tobacco</w:t>
      </w:r>
      <w:r w:rsidRPr="62407F7B" w:rsidR="00C0236E">
        <w:rPr>
          <w:rFonts w:eastAsia="Times New Roman"/>
        </w:rPr>
        <w:t xml:space="preserve"> use which may be sensitive question</w:t>
      </w:r>
      <w:r w:rsidRPr="62407F7B" w:rsidR="00F34C06">
        <w:rPr>
          <w:rFonts w:eastAsia="Times New Roman"/>
        </w:rPr>
        <w:t>s</w:t>
      </w:r>
      <w:r w:rsidRPr="62407F7B" w:rsidR="00C0236E">
        <w:rPr>
          <w:rFonts w:eastAsia="Times New Roman"/>
        </w:rPr>
        <w:t xml:space="preserve"> to participants under the age of 21 as sales of tobacco to individuals under age 21 are illegal nationwide. </w:t>
      </w:r>
      <w:r w:rsidRPr="62407F7B" w:rsidR="00986D76">
        <w:rPr>
          <w:rFonts w:eastAsia="Times New Roman"/>
        </w:rPr>
        <w:t xml:space="preserve">However, it is critical for us to assess </w:t>
      </w:r>
      <w:r w:rsidRPr="62407F7B" w:rsidR="00901372">
        <w:rPr>
          <w:rFonts w:eastAsia="Times New Roman"/>
        </w:rPr>
        <w:t>the participant’s tobacco use in order to ensure the sample of study participants accurately reflects the target audience of FDA’s messages.</w:t>
      </w:r>
      <w:r w:rsidRPr="62407F7B" w:rsidR="00FC70C3">
        <w:rPr>
          <w:rFonts w:eastAsia="Times New Roman"/>
        </w:rPr>
        <w:t xml:space="preserve"> There are</w:t>
      </w:r>
      <w:r w:rsidRPr="62407F7B" w:rsidR="008D24AE">
        <w:rPr>
          <w:rFonts w:eastAsia="Times New Roman"/>
        </w:rPr>
        <w:t xml:space="preserve"> </w:t>
      </w:r>
      <w:r w:rsidRPr="62407F7B" w:rsidR="006378C3">
        <w:rPr>
          <w:rFonts w:eastAsia="Times New Roman"/>
        </w:rPr>
        <w:t xml:space="preserve">also </w:t>
      </w:r>
      <w:r w:rsidRPr="62407F7B" w:rsidR="008D24AE">
        <w:rPr>
          <w:rFonts w:eastAsia="Times New Roman"/>
        </w:rPr>
        <w:t xml:space="preserve">questions regarding participant’s </w:t>
      </w:r>
      <w:r w:rsidRPr="62407F7B" w:rsidR="00833E81">
        <w:rPr>
          <w:rFonts w:eastAsia="Times New Roman"/>
        </w:rPr>
        <w:t>race/ethnicity,</w:t>
      </w:r>
      <w:r w:rsidRPr="62407F7B" w:rsidR="006378C3">
        <w:rPr>
          <w:rFonts w:eastAsia="Times New Roman"/>
        </w:rPr>
        <w:t xml:space="preserve"> age, sex,</w:t>
      </w:r>
      <w:r w:rsidRPr="62407F7B" w:rsidR="00833E81">
        <w:rPr>
          <w:rFonts w:eastAsia="Times New Roman"/>
        </w:rPr>
        <w:t xml:space="preserve"> </w:t>
      </w:r>
      <w:r w:rsidRPr="62407F7B" w:rsidR="00960632">
        <w:rPr>
          <w:rFonts w:eastAsia="Times New Roman"/>
        </w:rPr>
        <w:t xml:space="preserve">gender, </w:t>
      </w:r>
      <w:r w:rsidRPr="62407F7B" w:rsidR="006378C3">
        <w:rPr>
          <w:rFonts w:eastAsia="Times New Roman"/>
        </w:rPr>
        <w:t xml:space="preserve">and </w:t>
      </w:r>
      <w:r w:rsidRPr="62407F7B" w:rsidR="008D24AE">
        <w:rPr>
          <w:rFonts w:eastAsia="Times New Roman"/>
        </w:rPr>
        <w:t xml:space="preserve">sexual </w:t>
      </w:r>
      <w:r w:rsidRPr="62407F7B" w:rsidR="00A73966">
        <w:rPr>
          <w:rFonts w:eastAsia="Times New Roman"/>
        </w:rPr>
        <w:t>orientation</w:t>
      </w:r>
      <w:r w:rsidRPr="62407F7B" w:rsidR="00D542A8">
        <w:rPr>
          <w:rFonts w:eastAsia="Times New Roman"/>
        </w:rPr>
        <w:t xml:space="preserve"> that </w:t>
      </w:r>
      <w:r w:rsidRPr="62407F7B" w:rsidR="00550ADB">
        <w:rPr>
          <w:rFonts w:eastAsia="Times New Roman"/>
        </w:rPr>
        <w:t>may be considered sensitive questions. These questions are present because both tobacco use and response to FDA’s messages may vary along these demographics.</w:t>
      </w:r>
      <w:r w:rsidRPr="62407F7B" w:rsidR="00512A89">
        <w:rPr>
          <w:rFonts w:eastAsia="Times New Roman"/>
        </w:rPr>
        <w:t xml:space="preserve"> </w:t>
      </w:r>
      <w:r w:rsidRPr="62407F7B" w:rsidR="00643308">
        <w:rPr>
          <w:rFonts w:eastAsia="Times New Roman"/>
        </w:rPr>
        <w:t>These questions are essential to address the</w:t>
      </w:r>
      <w:r w:rsidRPr="62407F7B" w:rsidR="00B64A10">
        <w:rPr>
          <w:rFonts w:eastAsia="Times New Roman"/>
        </w:rPr>
        <w:t xml:space="preserve"> aims and</w:t>
      </w:r>
      <w:r w:rsidRPr="62407F7B" w:rsidR="00643308">
        <w:rPr>
          <w:rFonts w:eastAsia="Times New Roman"/>
        </w:rPr>
        <w:t xml:space="preserve"> research questions presented by this study.</w:t>
      </w:r>
      <w:r w:rsidRPr="62407F7B">
        <w:rPr>
          <w:rFonts w:eastAsia="Times New Roman"/>
        </w:rPr>
        <w:t xml:space="preserve"> </w:t>
      </w:r>
      <w:r>
        <w:t xml:space="preserve">Decades of research has shown significant disparities in tobacco use by race/ethnicity (e.g., Harlow et al., 2019; Odani et al, 2018), gender identity (e.g., Johnson et al, 2019; Delahanty et al, 2019), and sexual orientation (e.g., Johnson et al, 2019; McCabe et al., 2018). Therefore, collecting detailed information on these demographic characteristics will allow us to understand these differences with the goal of reducing these disparities. As multiple studies of youth and young adults have reported approximately 12-15% of the sample identified as gender non-conforming/non-binary (e.g., The Human Rights Campaign 2018 LGBTQ+ Youth Report; The Trevor Project 2020 National Survey on LGBT Youth Mental Health; CTP’s evaluation of </w:t>
      </w:r>
      <w:r w:rsidRPr="62407F7B">
        <w:rPr>
          <w:i/>
          <w:iCs/>
        </w:rPr>
        <w:t xml:space="preserve">This Free Life </w:t>
      </w:r>
      <w:r>
        <w:t>campaign), including gender non-conforming/non-binary response options is necessary to identify and assess tobacco use and campaign effectiveness among this population. Gender identity questions with genderqueer/gender non-conforming/non-binary response options as well as sexual orientation questions have been approved by OMB for ExPECTT FU3 and for RESPECT (0910-0808) as well as for ExPECTT 0910-0753. The project team will not conduct or report on statistical analysis for demographic groups for which there is insufficient statistical power.</w:t>
      </w:r>
    </w:p>
    <w:p w:rsidR="00DC1357" w:rsidRPr="00EB6BBC" w:rsidP="6C00F014" w14:paraId="10E2E679" w14:textId="3BD634E2">
      <w:pPr>
        <w:pStyle w:val="BodyText"/>
        <w:ind w:firstLine="0"/>
        <w:rPr>
          <w:rFonts w:eastAsia="Times New Roman"/>
          <w:szCs w:val="24"/>
        </w:rPr>
      </w:pPr>
      <w:r w:rsidRPr="6C00F014">
        <w:rPr>
          <w:rFonts w:eastAsia="Times New Roman"/>
          <w:szCs w:val="24"/>
        </w:rPr>
        <w:t>The</w:t>
      </w:r>
      <w:r w:rsidRPr="6C00F014" w:rsidR="00E44703">
        <w:rPr>
          <w:rFonts w:eastAsia="Times New Roman"/>
          <w:szCs w:val="24"/>
        </w:rPr>
        <w:t xml:space="preserve">re are several </w:t>
      </w:r>
      <w:r w:rsidRPr="6C00F014" w:rsidR="00065166">
        <w:rPr>
          <w:rFonts w:eastAsia="Times New Roman"/>
          <w:szCs w:val="24"/>
        </w:rPr>
        <w:t xml:space="preserve">tactics used throughout the process of the study to minimize </w:t>
      </w:r>
      <w:r w:rsidRPr="6C00F014" w:rsidR="000156AF">
        <w:rPr>
          <w:rFonts w:eastAsia="Times New Roman"/>
          <w:szCs w:val="24"/>
        </w:rPr>
        <w:t xml:space="preserve">the </w:t>
      </w:r>
      <w:r w:rsidRPr="6C00F014" w:rsidR="006E5646">
        <w:rPr>
          <w:rFonts w:eastAsia="Times New Roman"/>
          <w:szCs w:val="24"/>
        </w:rPr>
        <w:t>possible</w:t>
      </w:r>
      <w:r w:rsidRPr="6C00F014" w:rsidR="003821F6">
        <w:rPr>
          <w:rFonts w:eastAsia="Times New Roman"/>
          <w:szCs w:val="24"/>
        </w:rPr>
        <w:t xml:space="preserve"> negative </w:t>
      </w:r>
      <w:r w:rsidRPr="6C00F014" w:rsidR="006E5646">
        <w:rPr>
          <w:rFonts w:eastAsia="Times New Roman"/>
          <w:szCs w:val="24"/>
        </w:rPr>
        <w:t>impact of</w:t>
      </w:r>
      <w:r w:rsidRPr="6C00F014" w:rsidR="00B27DAB">
        <w:rPr>
          <w:rFonts w:eastAsia="Times New Roman"/>
          <w:szCs w:val="24"/>
        </w:rPr>
        <w:t xml:space="preserve"> these questions, including:</w:t>
      </w:r>
      <w:r w:rsidRPr="6C00F014" w:rsidR="00830A52">
        <w:rPr>
          <w:rFonts w:eastAsia="Times New Roman"/>
          <w:szCs w:val="24"/>
        </w:rPr>
        <w:t xml:space="preserve"> </w:t>
      </w:r>
    </w:p>
    <w:p w:rsidR="00DC1357" w:rsidRPr="00EB6BBC" w:rsidP="6C00F014" w14:paraId="49CF5757" w14:textId="29F1E3C3">
      <w:pPr>
        <w:pStyle w:val="BodyText"/>
        <w:numPr>
          <w:ilvl w:val="0"/>
          <w:numId w:val="3"/>
        </w:numPr>
        <w:rPr>
          <w:rFonts w:eastAsia="Times New Roman"/>
          <w:szCs w:val="24"/>
        </w:rPr>
      </w:pPr>
      <w:r w:rsidRPr="6C00F014">
        <w:rPr>
          <w:rFonts w:eastAsia="Times New Roman"/>
          <w:szCs w:val="24"/>
        </w:rPr>
        <w:t xml:space="preserve">During the consent process, participants are told about the study procedures, including </w:t>
      </w:r>
      <w:r w:rsidRPr="6C00F014" w:rsidR="00F13270">
        <w:rPr>
          <w:rFonts w:eastAsia="Times New Roman"/>
          <w:szCs w:val="24"/>
        </w:rPr>
        <w:t xml:space="preserve"> the types of questions asked in the survey.</w:t>
      </w:r>
      <w:r w:rsidRPr="6C00F014" w:rsidR="00567E18">
        <w:rPr>
          <w:rFonts w:eastAsia="Times New Roman"/>
          <w:szCs w:val="24"/>
        </w:rPr>
        <w:t xml:space="preserve"> </w:t>
      </w:r>
    </w:p>
    <w:p w:rsidR="00DC1357" w:rsidRPr="00EB6BBC" w:rsidP="6C00F014" w14:paraId="3A8B8479" w14:textId="75648895">
      <w:pPr>
        <w:pStyle w:val="BodyText"/>
        <w:numPr>
          <w:ilvl w:val="0"/>
          <w:numId w:val="3"/>
        </w:numPr>
        <w:rPr>
          <w:rFonts w:eastAsia="Times New Roman"/>
          <w:szCs w:val="24"/>
        </w:rPr>
      </w:pPr>
      <w:r w:rsidRPr="6C00F014">
        <w:rPr>
          <w:rFonts w:eastAsia="Times New Roman"/>
          <w:szCs w:val="24"/>
        </w:rPr>
        <w:t xml:space="preserve">Participants </w:t>
      </w:r>
      <w:r w:rsidRPr="6C00F014" w:rsidR="009F071B">
        <w:rPr>
          <w:rFonts w:eastAsia="Times New Roman"/>
          <w:szCs w:val="24"/>
        </w:rPr>
        <w:t>are also informed that the</w:t>
      </w:r>
      <w:r w:rsidRPr="6C00F014" w:rsidR="00910408">
        <w:rPr>
          <w:rFonts w:eastAsia="Times New Roman"/>
          <w:szCs w:val="24"/>
        </w:rPr>
        <w:t xml:space="preserve">y do not have to answer all questions in the </w:t>
      </w:r>
      <w:r w:rsidRPr="6C00F014" w:rsidR="00B61DDB">
        <w:rPr>
          <w:rFonts w:eastAsia="Times New Roman"/>
          <w:szCs w:val="24"/>
        </w:rPr>
        <w:t>survey,</w:t>
      </w:r>
      <w:r w:rsidRPr="6C00F014" w:rsidR="00910408">
        <w:rPr>
          <w:rFonts w:eastAsia="Times New Roman"/>
          <w:szCs w:val="24"/>
        </w:rPr>
        <w:t xml:space="preserve"> and they may stop at any time.</w:t>
      </w:r>
      <w:r w:rsidRPr="6C00F014">
        <w:rPr>
          <w:rFonts w:eastAsia="Times New Roman"/>
          <w:szCs w:val="24"/>
        </w:rPr>
        <w:t xml:space="preserve"> </w:t>
      </w:r>
    </w:p>
    <w:p w:rsidR="00DC1357" w:rsidRPr="00EB6BBC" w:rsidP="5C8241EF" w14:paraId="128DF86D" w14:textId="13BEF476">
      <w:pPr>
        <w:pStyle w:val="BodyText"/>
        <w:numPr>
          <w:ilvl w:val="0"/>
          <w:numId w:val="3"/>
        </w:numPr>
        <w:rPr>
          <w:rFonts w:eastAsia="Times New Roman"/>
        </w:rPr>
      </w:pPr>
      <w:r w:rsidRPr="5C8241EF">
        <w:rPr>
          <w:rFonts w:eastAsia="Times New Roman"/>
        </w:rPr>
        <w:t>After receiving</w:t>
      </w:r>
      <w:r w:rsidRPr="5C8241EF" w:rsidR="00E67E0F">
        <w:rPr>
          <w:rFonts w:eastAsia="Times New Roman"/>
        </w:rPr>
        <w:t xml:space="preserve"> this information, participants </w:t>
      </w:r>
      <w:r w:rsidRPr="5C8241EF">
        <w:rPr>
          <w:rFonts w:eastAsia="Times New Roman"/>
        </w:rPr>
        <w:t>can</w:t>
      </w:r>
      <w:r w:rsidRPr="5C8241EF" w:rsidR="00567E18">
        <w:rPr>
          <w:rFonts w:eastAsia="Times New Roman"/>
        </w:rPr>
        <w:t xml:space="preserve"> choose not to join the study</w:t>
      </w:r>
      <w:r w:rsidRPr="5C8241EF" w:rsidR="00E67E0F">
        <w:rPr>
          <w:rFonts w:eastAsia="Times New Roman"/>
        </w:rPr>
        <w:t>.</w:t>
      </w:r>
    </w:p>
    <w:p w:rsidR="00DC1357" w:rsidRPr="00EB6BBC" w:rsidP="6C00F014" w14:paraId="14DA7907" w14:textId="17AED455">
      <w:pPr>
        <w:pStyle w:val="BodyText"/>
        <w:numPr>
          <w:ilvl w:val="0"/>
          <w:numId w:val="3"/>
        </w:numPr>
        <w:rPr>
          <w:rFonts w:eastAsia="Times New Roman"/>
          <w:szCs w:val="24"/>
        </w:rPr>
      </w:pPr>
      <w:r w:rsidRPr="6C00F014">
        <w:rPr>
          <w:rFonts w:eastAsia="Times New Roman"/>
          <w:szCs w:val="24"/>
        </w:rPr>
        <w:t>At the start of the in-person portion of the study this information is reiterated to the participant</w:t>
      </w:r>
      <w:r w:rsidRPr="6C00F014" w:rsidR="00B0785F">
        <w:rPr>
          <w:rFonts w:eastAsia="Times New Roman"/>
          <w:szCs w:val="24"/>
        </w:rPr>
        <w:t>s</w:t>
      </w:r>
      <w:r w:rsidRPr="6C00F014">
        <w:rPr>
          <w:rFonts w:eastAsia="Times New Roman"/>
          <w:szCs w:val="24"/>
        </w:rPr>
        <w:t>, and again, they have the option not to continue.</w:t>
      </w:r>
    </w:p>
    <w:p w:rsidR="008A2194" w:rsidP="008A2194" w14:paraId="3BEC5350" w14:textId="77777777">
      <w:pPr>
        <w:pStyle w:val="BodyText"/>
        <w:numPr>
          <w:ilvl w:val="0"/>
          <w:numId w:val="3"/>
        </w:numPr>
        <w:rPr>
          <w:rFonts w:eastAsia="Times New Roman"/>
          <w:szCs w:val="24"/>
        </w:rPr>
      </w:pPr>
      <w:r w:rsidRPr="6C00F014">
        <w:rPr>
          <w:rFonts w:eastAsia="Times New Roman"/>
          <w:szCs w:val="24"/>
        </w:rPr>
        <w:t>The web-based surveys are self-administered, to maximize participant privacy without the need to verbalize responses.</w:t>
      </w:r>
    </w:p>
    <w:p w:rsidR="008A2194" w:rsidRPr="008A2194" w:rsidP="008A2194" w14:paraId="62AD56E6" w14:textId="77777777">
      <w:pPr>
        <w:pStyle w:val="BodyText"/>
        <w:numPr>
          <w:ilvl w:val="0"/>
          <w:numId w:val="3"/>
        </w:numPr>
        <w:rPr>
          <w:rFonts w:eastAsia="Times New Roman"/>
          <w:szCs w:val="24"/>
        </w:rPr>
      </w:pPr>
      <w:r w:rsidRPr="008A2194">
        <w:rPr>
          <w:rFonts w:eastAsia="Times New Roman"/>
        </w:rPr>
        <w:t>Participants will be provided with contact information for the JHSPH Institutional Review Board in case they have a question or concern about the sensitive issue.</w:t>
      </w:r>
    </w:p>
    <w:p w:rsidR="00DC1357" w:rsidRPr="008A2194" w:rsidP="006A44A5" w14:paraId="1C61B1A6" w14:textId="720761DD">
      <w:pPr>
        <w:pStyle w:val="Heading3"/>
        <w:numPr>
          <w:ilvl w:val="0"/>
          <w:numId w:val="15"/>
        </w:numPr>
      </w:pPr>
      <w:r w:rsidRPr="00A54E05">
        <w:t>Estimates</w:t>
      </w:r>
      <w:r w:rsidRPr="00A54E05">
        <w:t xml:space="preserve"> of Annualized Burden Hours and Costs</w:t>
      </w:r>
    </w:p>
    <w:p w:rsidR="00DC1357" w:rsidRPr="007B510D" w:rsidP="6C00F014" w14:paraId="6AE8F84E" w14:textId="77777777">
      <w:pPr>
        <w:pStyle w:val="Heading4"/>
        <w:rPr>
          <w:rFonts w:eastAsia="Times New Roman"/>
          <w:szCs w:val="24"/>
        </w:rPr>
      </w:pPr>
      <w:r w:rsidRPr="6C00F014">
        <w:rPr>
          <w:rFonts w:eastAsia="Times New Roman"/>
          <w:szCs w:val="24"/>
        </w:rPr>
        <w:t>12a. Annualized Hour Burden Estimate</w:t>
      </w:r>
    </w:p>
    <w:p w:rsidR="00DC1357" w:rsidP="00F81DB0" w14:paraId="14369394" w14:textId="19FA39B9">
      <w:pPr>
        <w:pStyle w:val="BodyText"/>
        <w:ind w:left="450" w:firstLine="0"/>
        <w:rPr>
          <w:rFonts w:eastAsia="Times New Roman"/>
        </w:rPr>
      </w:pPr>
      <w:bookmarkStart w:id="2" w:name="_Hlk511986403"/>
      <w:bookmarkStart w:id="3" w:name="_Hlk110333723"/>
      <w:r w:rsidRPr="000C0095">
        <w:rPr>
          <w:rFonts w:eastAsia="Times New Roman"/>
        </w:rPr>
        <w:t xml:space="preserve">FDA’s burden estimate is based on prior experience with research that is similar to this proposed study.  Applying assumptions from previous experience in conducting similar studies, approximately </w:t>
      </w:r>
      <w:r w:rsidR="00971C6A">
        <w:rPr>
          <w:rFonts w:eastAsia="Times New Roman"/>
        </w:rPr>
        <w:t>1</w:t>
      </w:r>
      <w:r w:rsidR="000573DF">
        <w:rPr>
          <w:rFonts w:eastAsia="Times New Roman"/>
        </w:rPr>
        <w:t>50</w:t>
      </w:r>
      <w:r w:rsidRPr="000C0095">
        <w:rPr>
          <w:rFonts w:eastAsia="Times New Roman"/>
        </w:rPr>
        <w:t xml:space="preserve"> youth and </w:t>
      </w:r>
      <w:r w:rsidR="00971C6A">
        <w:rPr>
          <w:rFonts w:eastAsia="Times New Roman"/>
        </w:rPr>
        <w:t>1</w:t>
      </w:r>
      <w:r w:rsidR="000573DF">
        <w:rPr>
          <w:rFonts w:eastAsia="Times New Roman"/>
        </w:rPr>
        <w:t>50</w:t>
      </w:r>
      <w:r w:rsidRPr="000C0095">
        <w:rPr>
          <w:rFonts w:eastAsia="Times New Roman"/>
        </w:rPr>
        <w:t xml:space="preserve"> young adults would take the eligibility screener, </w:t>
      </w:r>
      <w:r w:rsidRPr="000C0095">
        <w:rPr>
          <w:rFonts w:eastAsia="Times New Roman"/>
        </w:rPr>
        <w:t xml:space="preserve">which is estimated to take 5 minutes to read and respond.  An estimated </w:t>
      </w:r>
      <w:r w:rsidR="000573DF">
        <w:rPr>
          <w:rFonts w:eastAsia="Times New Roman"/>
        </w:rPr>
        <w:t>75</w:t>
      </w:r>
      <w:r w:rsidRPr="000C0095">
        <w:rPr>
          <w:rFonts w:eastAsia="Times New Roman"/>
        </w:rPr>
        <w:t xml:space="preserve"> parents of youth participants will provide parental permission and schedule a site visit (10 minutes total); and an estimated </w:t>
      </w:r>
      <w:r w:rsidR="003C4E49">
        <w:rPr>
          <w:rFonts w:eastAsia="Times New Roman"/>
        </w:rPr>
        <w:t>50</w:t>
      </w:r>
      <w:r w:rsidRPr="000C0095">
        <w:rPr>
          <w:rFonts w:eastAsia="Times New Roman"/>
        </w:rPr>
        <w:t xml:space="preserve"> young adults will schedule a site visit (5 minutes). Finally, approximately </w:t>
      </w:r>
      <w:r w:rsidR="00007D1B">
        <w:rPr>
          <w:rFonts w:eastAsia="Times New Roman"/>
        </w:rPr>
        <w:t>50</w:t>
      </w:r>
      <w:r w:rsidRPr="000C0095">
        <w:rPr>
          <w:rFonts w:eastAsia="Times New Roman"/>
        </w:rPr>
        <w:t xml:space="preserve"> youth and </w:t>
      </w:r>
      <w:r w:rsidR="00007D1B">
        <w:rPr>
          <w:rFonts w:eastAsia="Times New Roman"/>
        </w:rPr>
        <w:t>50</w:t>
      </w:r>
      <w:r w:rsidRPr="000C0095">
        <w:rPr>
          <w:rFonts w:eastAsia="Times New Roman"/>
        </w:rPr>
        <w:t xml:space="preserve"> young adults will complete</w:t>
      </w:r>
      <w:r w:rsidR="00097966">
        <w:rPr>
          <w:rFonts w:eastAsia="Times New Roman"/>
        </w:rPr>
        <w:t xml:space="preserve"> an in-person study visit that consists of</w:t>
      </w:r>
      <w:r w:rsidRPr="000C0095">
        <w:rPr>
          <w:rFonts w:eastAsia="Times New Roman"/>
        </w:rPr>
        <w:t xml:space="preserve"> the consent/assent </w:t>
      </w:r>
      <w:r w:rsidR="00097966">
        <w:rPr>
          <w:rFonts w:eastAsia="Times New Roman"/>
        </w:rPr>
        <w:t>(5 minutes)</w:t>
      </w:r>
      <w:r w:rsidRPr="000C0095">
        <w:rPr>
          <w:rFonts w:eastAsia="Times New Roman"/>
        </w:rPr>
        <w:t xml:space="preserve"> and complete the main study </w:t>
      </w:r>
      <w:r w:rsidR="00097966">
        <w:rPr>
          <w:rFonts w:eastAsia="Times New Roman"/>
        </w:rPr>
        <w:t xml:space="preserve">(85 minutes) </w:t>
      </w:r>
      <w:r w:rsidRPr="000C0095">
        <w:rPr>
          <w:rFonts w:eastAsia="Times New Roman"/>
        </w:rPr>
        <w:t>to yield the desired sample size of 1</w:t>
      </w:r>
      <w:r w:rsidR="00007D1B">
        <w:rPr>
          <w:rFonts w:eastAsia="Times New Roman"/>
        </w:rPr>
        <w:t>0</w:t>
      </w:r>
      <w:r w:rsidRPr="000C0095">
        <w:rPr>
          <w:rFonts w:eastAsia="Times New Roman"/>
        </w:rPr>
        <w:t xml:space="preserve">0 total. The total estimated burden for the data collection is </w:t>
      </w:r>
      <w:r w:rsidR="008A2194">
        <w:rPr>
          <w:rFonts w:eastAsia="Times New Roman"/>
        </w:rPr>
        <w:t>1</w:t>
      </w:r>
      <w:r w:rsidR="000573DF">
        <w:rPr>
          <w:rFonts w:eastAsia="Times New Roman"/>
        </w:rPr>
        <w:t>9</w:t>
      </w:r>
      <w:r w:rsidR="00331ED5">
        <w:rPr>
          <w:rFonts w:eastAsia="Times New Roman"/>
        </w:rPr>
        <w:t>3</w:t>
      </w:r>
      <w:r w:rsidRPr="000C0095">
        <w:rPr>
          <w:rFonts w:eastAsia="Times New Roman"/>
        </w:rPr>
        <w:t xml:space="preserve"> hours</w:t>
      </w:r>
      <w:r w:rsidR="008041B4">
        <w:rPr>
          <w:rFonts w:eastAsia="Times New Roman"/>
        </w:rPr>
        <w:t xml:space="preserve">. </w:t>
      </w:r>
      <w:r w:rsidRPr="5C8241EF" w:rsidR="00805127">
        <w:rPr>
          <w:rFonts w:eastAsia="Times New Roman"/>
        </w:rPr>
        <w:t>Table 1</w:t>
      </w:r>
      <w:r w:rsidR="008A2194">
        <w:rPr>
          <w:rFonts w:eastAsia="Times New Roman"/>
        </w:rPr>
        <w:t xml:space="preserve"> </w:t>
      </w:r>
      <w:r w:rsidRPr="5C8241EF" w:rsidR="00805127">
        <w:rPr>
          <w:rFonts w:eastAsia="Times New Roman"/>
        </w:rPr>
        <w:t>details these estimates.</w:t>
      </w:r>
    </w:p>
    <w:bookmarkEnd w:id="2"/>
    <w:bookmarkEnd w:id="3"/>
    <w:p w:rsidR="00250CFF" w:rsidRPr="009413B9" w:rsidP="00250CFF" w14:paraId="2C18A962" w14:textId="4D761ED1">
      <w:pPr>
        <w:contextualSpacing/>
        <w:jc w:val="center"/>
        <w:rPr>
          <w:vertAlign w:val="superscript"/>
        </w:rPr>
      </w:pPr>
      <w:r w:rsidRPr="009413B9">
        <w:t>Table 1.--Estimated Annual Reporting Burden</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98"/>
        <w:gridCol w:w="1510"/>
        <w:gridCol w:w="1414"/>
        <w:gridCol w:w="1225"/>
        <w:gridCol w:w="1324"/>
        <w:gridCol w:w="1041"/>
      </w:tblGrid>
      <w:tr w14:paraId="4E0B5A01" w14:textId="77777777" w:rsidTr="00CF3445">
        <w:tblPrEx>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16"/>
          <w:jc w:val="center"/>
        </w:trPr>
        <w:tc>
          <w:tcPr>
            <w:tcW w:w="3198" w:type="dxa"/>
            <w:shd w:val="clear" w:color="auto" w:fill="auto"/>
            <w:tcMar>
              <w:top w:w="0" w:type="dxa"/>
              <w:left w:w="108" w:type="dxa"/>
              <w:bottom w:w="0" w:type="dxa"/>
              <w:right w:w="108" w:type="dxa"/>
            </w:tcMar>
            <w:vAlign w:val="bottom"/>
            <w:hideMark/>
          </w:tcPr>
          <w:p w:rsidR="00250CFF" w:rsidRPr="00925621" w:rsidP="00CF3445" w14:paraId="4926E30D" w14:textId="77777777">
            <w:pPr>
              <w:contextualSpacing/>
              <w:jc w:val="center"/>
              <w:rPr>
                <w:bCs/>
                <w:szCs w:val="24"/>
                <w:lang w:bidi="he-IL"/>
              </w:rPr>
            </w:pPr>
            <w:r w:rsidRPr="00925621">
              <w:rPr>
                <w:bCs/>
                <w:szCs w:val="24"/>
                <w:lang w:bidi="he-IL"/>
              </w:rPr>
              <w:t>Participant Subgroup</w:t>
            </w:r>
          </w:p>
        </w:tc>
        <w:tc>
          <w:tcPr>
            <w:tcW w:w="1510" w:type="dxa"/>
            <w:shd w:val="clear" w:color="auto" w:fill="auto"/>
            <w:tcMar>
              <w:top w:w="0" w:type="dxa"/>
              <w:left w:w="108" w:type="dxa"/>
              <w:bottom w:w="0" w:type="dxa"/>
              <w:right w:w="108" w:type="dxa"/>
            </w:tcMar>
            <w:hideMark/>
          </w:tcPr>
          <w:p w:rsidR="00250CFF" w:rsidRPr="00925621" w:rsidP="00CF3445" w14:paraId="73E14A61" w14:textId="77777777">
            <w:pPr>
              <w:ind w:right="-16"/>
              <w:contextualSpacing/>
              <w:jc w:val="center"/>
              <w:rPr>
                <w:color w:val="000000" w:themeColor="text1"/>
                <w:szCs w:val="24"/>
                <w:lang w:bidi="he-IL"/>
              </w:rPr>
            </w:pPr>
            <w:r w:rsidRPr="00925621">
              <w:rPr>
                <w:color w:val="000000" w:themeColor="text1"/>
                <w:szCs w:val="24"/>
                <w:lang w:bidi="he-IL"/>
              </w:rPr>
              <w:t>No. of Respondents</w:t>
            </w:r>
          </w:p>
        </w:tc>
        <w:tc>
          <w:tcPr>
            <w:tcW w:w="1414" w:type="dxa"/>
            <w:shd w:val="clear" w:color="auto" w:fill="auto"/>
            <w:hideMark/>
          </w:tcPr>
          <w:p w:rsidR="00250CFF" w:rsidRPr="00925621" w:rsidP="00CF3445" w14:paraId="24EF5138" w14:textId="77777777">
            <w:pPr>
              <w:ind w:right="78"/>
              <w:contextualSpacing/>
              <w:jc w:val="center"/>
              <w:rPr>
                <w:color w:val="000000" w:themeColor="text1"/>
                <w:szCs w:val="24"/>
                <w:lang w:bidi="he-IL"/>
              </w:rPr>
            </w:pPr>
            <w:r w:rsidRPr="00925621">
              <w:rPr>
                <w:color w:val="000000" w:themeColor="text1"/>
                <w:szCs w:val="24"/>
                <w:lang w:bidi="he-IL"/>
              </w:rPr>
              <w:t>No. of Responses per Respondent</w:t>
            </w:r>
          </w:p>
        </w:tc>
        <w:tc>
          <w:tcPr>
            <w:tcW w:w="1225" w:type="dxa"/>
            <w:shd w:val="clear" w:color="auto" w:fill="auto"/>
            <w:hideMark/>
          </w:tcPr>
          <w:p w:rsidR="00250CFF" w:rsidRPr="00925621" w:rsidP="00CF3445" w14:paraId="0C0B8D11" w14:textId="77777777">
            <w:pPr>
              <w:ind w:right="78"/>
              <w:contextualSpacing/>
              <w:jc w:val="center"/>
              <w:rPr>
                <w:color w:val="000000" w:themeColor="text1"/>
                <w:szCs w:val="24"/>
                <w:lang w:bidi="he-IL"/>
              </w:rPr>
            </w:pPr>
            <w:r w:rsidRPr="00925621">
              <w:rPr>
                <w:color w:val="000000" w:themeColor="text1"/>
                <w:szCs w:val="24"/>
                <w:lang w:bidi="he-IL"/>
              </w:rPr>
              <w:t>Total Annual Responses</w:t>
            </w:r>
          </w:p>
        </w:tc>
        <w:tc>
          <w:tcPr>
            <w:tcW w:w="1324" w:type="dxa"/>
            <w:shd w:val="clear" w:color="auto" w:fill="auto"/>
            <w:tcMar>
              <w:top w:w="0" w:type="dxa"/>
              <w:left w:w="108" w:type="dxa"/>
              <w:bottom w:w="0" w:type="dxa"/>
              <w:right w:w="108" w:type="dxa"/>
            </w:tcMar>
            <w:hideMark/>
          </w:tcPr>
          <w:p w:rsidR="00250CFF" w:rsidRPr="00925621" w:rsidP="00CF3445" w14:paraId="322F6FBC" w14:textId="77777777">
            <w:pPr>
              <w:ind w:right="78"/>
              <w:contextualSpacing/>
              <w:jc w:val="center"/>
              <w:rPr>
                <w:color w:val="000000" w:themeColor="text1"/>
                <w:szCs w:val="24"/>
                <w:lang w:bidi="he-IL"/>
              </w:rPr>
            </w:pPr>
            <w:r w:rsidRPr="00925621">
              <w:rPr>
                <w:color w:val="000000" w:themeColor="text1"/>
                <w:szCs w:val="24"/>
                <w:lang w:bidi="he-IL"/>
              </w:rPr>
              <w:t>Average Burden per Response</w:t>
            </w:r>
          </w:p>
        </w:tc>
        <w:tc>
          <w:tcPr>
            <w:tcW w:w="1041" w:type="dxa"/>
            <w:shd w:val="clear" w:color="auto" w:fill="auto"/>
            <w:tcMar>
              <w:top w:w="0" w:type="dxa"/>
              <w:left w:w="108" w:type="dxa"/>
              <w:bottom w:w="0" w:type="dxa"/>
              <w:right w:w="108" w:type="dxa"/>
            </w:tcMar>
            <w:hideMark/>
          </w:tcPr>
          <w:p w:rsidR="00250CFF" w:rsidRPr="00925621" w:rsidP="00CF3445" w14:paraId="60DE5FBA" w14:textId="5716E5BB">
            <w:pPr>
              <w:ind w:right="78"/>
              <w:contextualSpacing/>
              <w:jc w:val="center"/>
              <w:rPr>
                <w:color w:val="000000" w:themeColor="text1"/>
                <w:szCs w:val="24"/>
                <w:lang w:bidi="he-IL"/>
              </w:rPr>
            </w:pPr>
            <w:r w:rsidRPr="00925621">
              <w:rPr>
                <w:color w:val="000000" w:themeColor="text1"/>
                <w:szCs w:val="24"/>
                <w:lang w:bidi="he-IL"/>
              </w:rPr>
              <w:t>Total Hours</w:t>
            </w:r>
          </w:p>
        </w:tc>
      </w:tr>
      <w:tr w14:paraId="2E3CE321" w14:textId="77777777" w:rsidTr="00CF3445">
        <w:tblPrEx>
          <w:tblW w:w="9712" w:type="dxa"/>
          <w:jc w:val="center"/>
          <w:tblCellMar>
            <w:left w:w="0" w:type="dxa"/>
            <w:right w:w="0" w:type="dxa"/>
          </w:tblCellMar>
          <w:tblLook w:val="04A0"/>
        </w:tblPrEx>
        <w:trPr>
          <w:trHeight w:val="216"/>
          <w:jc w:val="center"/>
        </w:trPr>
        <w:tc>
          <w:tcPr>
            <w:tcW w:w="9712" w:type="dxa"/>
            <w:gridSpan w:val="6"/>
            <w:shd w:val="clear" w:color="auto" w:fill="auto"/>
            <w:tcMar>
              <w:top w:w="0" w:type="dxa"/>
              <w:left w:w="108" w:type="dxa"/>
              <w:bottom w:w="0" w:type="dxa"/>
              <w:right w:w="108" w:type="dxa"/>
            </w:tcMar>
            <w:vAlign w:val="center"/>
            <w:hideMark/>
          </w:tcPr>
          <w:p w:rsidR="00250CFF" w:rsidRPr="00925621" w:rsidP="00CF3445" w14:paraId="2488C6BC" w14:textId="77777777">
            <w:pPr>
              <w:ind w:right="78"/>
              <w:contextualSpacing/>
              <w:jc w:val="center"/>
              <w:rPr>
                <w:szCs w:val="24"/>
                <w:lang w:bidi="he-IL"/>
              </w:rPr>
            </w:pPr>
            <w:r w:rsidRPr="00925621">
              <w:rPr>
                <w:szCs w:val="24"/>
                <w:lang w:bidi="he-IL"/>
              </w:rPr>
              <w:t>Number to take the eligibility screener</w:t>
            </w:r>
          </w:p>
        </w:tc>
      </w:tr>
      <w:tr w14:paraId="03F59825" w14:textId="77777777" w:rsidTr="00CF3445">
        <w:tblPrEx>
          <w:tblW w:w="9712" w:type="dxa"/>
          <w:jc w:val="center"/>
          <w:tblCellMar>
            <w:left w:w="0" w:type="dxa"/>
            <w:right w:w="0" w:type="dxa"/>
          </w:tblCellMar>
          <w:tblLook w:val="04A0"/>
        </w:tblPrEx>
        <w:trPr>
          <w:trHeight w:val="216"/>
          <w:jc w:val="center"/>
        </w:trPr>
        <w:tc>
          <w:tcPr>
            <w:tcW w:w="3198" w:type="dxa"/>
            <w:tcMar>
              <w:top w:w="0" w:type="dxa"/>
              <w:left w:w="108" w:type="dxa"/>
              <w:bottom w:w="0" w:type="dxa"/>
              <w:right w:w="108" w:type="dxa"/>
            </w:tcMar>
            <w:vAlign w:val="center"/>
          </w:tcPr>
          <w:p w:rsidR="00250CFF" w:rsidRPr="00925621" w:rsidP="00CF3445" w14:paraId="70E231BE" w14:textId="77777777">
            <w:pPr>
              <w:pStyle w:val="TableTextIndent1"/>
              <w:spacing w:before="0" w:after="0"/>
              <w:contextualSpacing/>
              <w:rPr>
                <w:rFonts w:ascii="Times New Roman" w:hAnsi="Times New Roman"/>
                <w:sz w:val="24"/>
                <w:szCs w:val="24"/>
                <w:lang w:bidi="he-IL"/>
              </w:rPr>
            </w:pPr>
            <w:r w:rsidRPr="00925621">
              <w:rPr>
                <w:rFonts w:ascii="Times New Roman" w:hAnsi="Times New Roman"/>
                <w:sz w:val="24"/>
                <w:szCs w:val="24"/>
                <w:lang w:bidi="he-IL"/>
              </w:rPr>
              <w:t>Youth (aged 13-17)</w:t>
            </w:r>
          </w:p>
        </w:tc>
        <w:tc>
          <w:tcPr>
            <w:tcW w:w="1510" w:type="dxa"/>
            <w:tcMar>
              <w:top w:w="0" w:type="dxa"/>
              <w:left w:w="108" w:type="dxa"/>
              <w:bottom w:w="0" w:type="dxa"/>
              <w:right w:w="108" w:type="dxa"/>
            </w:tcMar>
            <w:vAlign w:val="center"/>
          </w:tcPr>
          <w:p w:rsidR="00250CFF" w:rsidRPr="00925621" w:rsidP="00CF3445" w14:paraId="309B2E2D" w14:textId="448BEC09">
            <w:pPr>
              <w:pStyle w:val="TableText"/>
              <w:spacing w:before="0" w:after="0"/>
              <w:ind w:right="78"/>
              <w:contextualSpacing/>
              <w:jc w:val="center"/>
              <w:rPr>
                <w:rFonts w:ascii="Times New Roman" w:hAnsi="Times New Roman" w:cs="Times New Roman"/>
                <w:sz w:val="24"/>
                <w:szCs w:val="24"/>
                <w:lang w:bidi="he-IL"/>
              </w:rPr>
            </w:pPr>
            <w:r w:rsidRPr="00925621">
              <w:rPr>
                <w:rFonts w:ascii="Times New Roman" w:hAnsi="Times New Roman" w:cs="Times New Roman"/>
                <w:sz w:val="24"/>
                <w:szCs w:val="24"/>
                <w:lang w:bidi="he-IL"/>
              </w:rPr>
              <w:t>1</w:t>
            </w:r>
            <w:r w:rsidRPr="00925621" w:rsidR="000573DF">
              <w:rPr>
                <w:rFonts w:ascii="Times New Roman" w:hAnsi="Times New Roman" w:cs="Times New Roman"/>
                <w:sz w:val="24"/>
                <w:szCs w:val="24"/>
                <w:lang w:bidi="he-IL"/>
              </w:rPr>
              <w:t>50</w:t>
            </w:r>
          </w:p>
        </w:tc>
        <w:tc>
          <w:tcPr>
            <w:tcW w:w="1414" w:type="dxa"/>
            <w:vAlign w:val="center"/>
          </w:tcPr>
          <w:p w:rsidR="00250CFF" w:rsidRPr="00925621" w:rsidP="00CF3445" w14:paraId="4C473A68" w14:textId="77777777">
            <w:pPr>
              <w:ind w:right="78"/>
              <w:contextualSpacing/>
              <w:jc w:val="center"/>
              <w:rPr>
                <w:szCs w:val="24"/>
                <w:lang w:bidi="he-IL"/>
              </w:rPr>
            </w:pPr>
            <w:r w:rsidRPr="00925621">
              <w:rPr>
                <w:szCs w:val="24"/>
                <w:lang w:bidi="he-IL"/>
              </w:rPr>
              <w:t>1</w:t>
            </w:r>
          </w:p>
        </w:tc>
        <w:tc>
          <w:tcPr>
            <w:tcW w:w="1225" w:type="dxa"/>
            <w:vAlign w:val="center"/>
          </w:tcPr>
          <w:p w:rsidR="00250CFF" w:rsidRPr="00925621" w:rsidP="00CF3445" w14:paraId="63987B40" w14:textId="1238F12B">
            <w:pPr>
              <w:ind w:right="78"/>
              <w:contextualSpacing/>
              <w:jc w:val="center"/>
              <w:rPr>
                <w:szCs w:val="24"/>
                <w:lang w:bidi="he-IL"/>
              </w:rPr>
            </w:pPr>
            <w:r w:rsidRPr="00925621">
              <w:rPr>
                <w:szCs w:val="24"/>
                <w:lang w:bidi="he-IL"/>
              </w:rPr>
              <w:t>1</w:t>
            </w:r>
            <w:r w:rsidRPr="00925621" w:rsidR="000573DF">
              <w:rPr>
                <w:szCs w:val="24"/>
                <w:lang w:bidi="he-IL"/>
              </w:rPr>
              <w:t>50</w:t>
            </w:r>
          </w:p>
        </w:tc>
        <w:tc>
          <w:tcPr>
            <w:tcW w:w="1324" w:type="dxa"/>
            <w:tcMar>
              <w:top w:w="0" w:type="dxa"/>
              <w:left w:w="108" w:type="dxa"/>
              <w:bottom w:w="0" w:type="dxa"/>
              <w:right w:w="108" w:type="dxa"/>
            </w:tcMar>
            <w:vAlign w:val="center"/>
          </w:tcPr>
          <w:p w:rsidR="00250CFF" w:rsidRPr="00925621" w:rsidP="00CF3445" w14:paraId="6BBD2D6D" w14:textId="77777777">
            <w:pPr>
              <w:ind w:right="78"/>
              <w:contextualSpacing/>
              <w:jc w:val="center"/>
              <w:rPr>
                <w:color w:val="000000" w:themeColor="text1"/>
                <w:szCs w:val="24"/>
                <w:lang w:bidi="he-IL"/>
              </w:rPr>
            </w:pPr>
            <w:r w:rsidRPr="00925621">
              <w:rPr>
                <w:color w:val="000000" w:themeColor="text1"/>
                <w:szCs w:val="24"/>
                <w:lang w:bidi="he-IL"/>
              </w:rPr>
              <w:t>0.083</w:t>
            </w:r>
          </w:p>
          <w:p w:rsidR="00250CFF" w:rsidRPr="00925621" w:rsidP="00CF3445" w14:paraId="53848D02" w14:textId="77777777">
            <w:pPr>
              <w:ind w:right="78"/>
              <w:contextualSpacing/>
              <w:jc w:val="center"/>
              <w:rPr>
                <w:color w:val="000000" w:themeColor="text1"/>
                <w:szCs w:val="24"/>
                <w:lang w:bidi="he-IL"/>
              </w:rPr>
            </w:pPr>
            <w:r w:rsidRPr="002853A8">
              <w:rPr>
                <w:color w:val="000000" w:themeColor="text1"/>
                <w:sz w:val="20"/>
                <w:szCs w:val="20"/>
                <w:lang w:bidi="he-IL"/>
              </w:rPr>
              <w:t>(5 minutes)</w:t>
            </w:r>
          </w:p>
        </w:tc>
        <w:tc>
          <w:tcPr>
            <w:tcW w:w="1041" w:type="dxa"/>
            <w:tcMar>
              <w:top w:w="0" w:type="dxa"/>
              <w:left w:w="108" w:type="dxa"/>
              <w:bottom w:w="0" w:type="dxa"/>
              <w:right w:w="108" w:type="dxa"/>
            </w:tcMar>
            <w:vAlign w:val="center"/>
          </w:tcPr>
          <w:p w:rsidR="00250CFF" w:rsidRPr="00925621" w:rsidP="00CF3445" w14:paraId="1F225A79" w14:textId="24782322">
            <w:pPr>
              <w:ind w:right="78"/>
              <w:contextualSpacing/>
              <w:jc w:val="center"/>
              <w:rPr>
                <w:szCs w:val="24"/>
                <w:lang w:bidi="he-IL"/>
              </w:rPr>
            </w:pPr>
            <w:r w:rsidRPr="00925621">
              <w:rPr>
                <w:szCs w:val="24"/>
                <w:lang w:bidi="he-IL"/>
              </w:rPr>
              <w:t>1</w:t>
            </w:r>
            <w:r w:rsidRPr="00925621" w:rsidR="00331ED5">
              <w:rPr>
                <w:szCs w:val="24"/>
                <w:lang w:bidi="he-IL"/>
              </w:rPr>
              <w:t>3</w:t>
            </w:r>
          </w:p>
        </w:tc>
      </w:tr>
      <w:tr w14:paraId="4D71579D" w14:textId="77777777" w:rsidTr="00CF3445">
        <w:tblPrEx>
          <w:tblW w:w="9712" w:type="dxa"/>
          <w:jc w:val="center"/>
          <w:tblCellMar>
            <w:left w:w="0" w:type="dxa"/>
            <w:right w:w="0" w:type="dxa"/>
          </w:tblCellMar>
          <w:tblLook w:val="04A0"/>
        </w:tblPrEx>
        <w:trPr>
          <w:trHeight w:val="216"/>
          <w:jc w:val="center"/>
        </w:trPr>
        <w:tc>
          <w:tcPr>
            <w:tcW w:w="3198" w:type="dxa"/>
            <w:tcMar>
              <w:top w:w="0" w:type="dxa"/>
              <w:left w:w="108" w:type="dxa"/>
              <w:bottom w:w="0" w:type="dxa"/>
              <w:right w:w="108" w:type="dxa"/>
            </w:tcMar>
            <w:vAlign w:val="center"/>
          </w:tcPr>
          <w:p w:rsidR="00250CFF" w:rsidRPr="00925621" w:rsidP="00CF3445" w14:paraId="7FDA8227" w14:textId="77777777">
            <w:pPr>
              <w:pStyle w:val="TableTextIndent1"/>
              <w:spacing w:before="0" w:after="0"/>
              <w:contextualSpacing/>
              <w:rPr>
                <w:rFonts w:ascii="Times New Roman" w:hAnsi="Times New Roman"/>
                <w:sz w:val="24"/>
                <w:szCs w:val="24"/>
                <w:lang w:bidi="he-IL"/>
              </w:rPr>
            </w:pPr>
            <w:r w:rsidRPr="00925621">
              <w:rPr>
                <w:rFonts w:ascii="Times New Roman" w:hAnsi="Times New Roman"/>
                <w:sz w:val="24"/>
                <w:szCs w:val="24"/>
                <w:lang w:bidi="he-IL"/>
              </w:rPr>
              <w:t>Young adults (aged 18-24)</w:t>
            </w:r>
          </w:p>
        </w:tc>
        <w:tc>
          <w:tcPr>
            <w:tcW w:w="1510" w:type="dxa"/>
            <w:tcMar>
              <w:top w:w="0" w:type="dxa"/>
              <w:left w:w="108" w:type="dxa"/>
              <w:bottom w:w="0" w:type="dxa"/>
              <w:right w:w="108" w:type="dxa"/>
            </w:tcMar>
            <w:vAlign w:val="center"/>
          </w:tcPr>
          <w:p w:rsidR="00250CFF" w:rsidRPr="00925621" w:rsidP="00CF3445" w14:paraId="7CC013A4" w14:textId="699C0B33">
            <w:pPr>
              <w:pStyle w:val="TableText"/>
              <w:spacing w:before="0" w:after="0"/>
              <w:ind w:right="78"/>
              <w:contextualSpacing/>
              <w:jc w:val="center"/>
              <w:rPr>
                <w:rFonts w:ascii="Times New Roman" w:hAnsi="Times New Roman" w:cs="Times New Roman"/>
                <w:sz w:val="24"/>
                <w:szCs w:val="24"/>
                <w:lang w:bidi="he-IL"/>
              </w:rPr>
            </w:pPr>
            <w:r w:rsidRPr="00925621">
              <w:rPr>
                <w:rFonts w:ascii="Times New Roman" w:hAnsi="Times New Roman" w:cs="Times New Roman"/>
                <w:sz w:val="24"/>
                <w:szCs w:val="24"/>
                <w:lang w:bidi="he-IL"/>
              </w:rPr>
              <w:t>1</w:t>
            </w:r>
            <w:r w:rsidRPr="00925621" w:rsidR="000573DF">
              <w:rPr>
                <w:rFonts w:ascii="Times New Roman" w:hAnsi="Times New Roman" w:cs="Times New Roman"/>
                <w:sz w:val="24"/>
                <w:szCs w:val="24"/>
                <w:lang w:bidi="he-IL"/>
              </w:rPr>
              <w:t>50</w:t>
            </w:r>
          </w:p>
        </w:tc>
        <w:tc>
          <w:tcPr>
            <w:tcW w:w="1414" w:type="dxa"/>
            <w:vAlign w:val="center"/>
          </w:tcPr>
          <w:p w:rsidR="00250CFF" w:rsidRPr="00925621" w:rsidP="00CF3445" w14:paraId="6FBE75FC" w14:textId="77777777">
            <w:pPr>
              <w:ind w:right="78"/>
              <w:contextualSpacing/>
              <w:jc w:val="center"/>
              <w:rPr>
                <w:szCs w:val="24"/>
                <w:lang w:bidi="he-IL"/>
              </w:rPr>
            </w:pPr>
            <w:r w:rsidRPr="00925621">
              <w:rPr>
                <w:szCs w:val="24"/>
                <w:lang w:bidi="he-IL"/>
              </w:rPr>
              <w:t>1</w:t>
            </w:r>
          </w:p>
        </w:tc>
        <w:tc>
          <w:tcPr>
            <w:tcW w:w="1225" w:type="dxa"/>
            <w:vAlign w:val="center"/>
          </w:tcPr>
          <w:p w:rsidR="00250CFF" w:rsidRPr="00925621" w:rsidP="00CF3445" w14:paraId="78C124AD" w14:textId="2B0410D2">
            <w:pPr>
              <w:ind w:right="78"/>
              <w:contextualSpacing/>
              <w:jc w:val="center"/>
              <w:rPr>
                <w:szCs w:val="24"/>
                <w:lang w:bidi="he-IL"/>
              </w:rPr>
            </w:pPr>
            <w:r w:rsidRPr="00925621">
              <w:rPr>
                <w:szCs w:val="24"/>
                <w:lang w:bidi="he-IL"/>
              </w:rPr>
              <w:t>1</w:t>
            </w:r>
            <w:r w:rsidRPr="00925621" w:rsidR="000573DF">
              <w:rPr>
                <w:szCs w:val="24"/>
                <w:lang w:bidi="he-IL"/>
              </w:rPr>
              <w:t>50</w:t>
            </w:r>
          </w:p>
        </w:tc>
        <w:tc>
          <w:tcPr>
            <w:tcW w:w="1324" w:type="dxa"/>
            <w:tcMar>
              <w:top w:w="0" w:type="dxa"/>
              <w:left w:w="108" w:type="dxa"/>
              <w:bottom w:w="0" w:type="dxa"/>
              <w:right w:w="108" w:type="dxa"/>
            </w:tcMar>
            <w:vAlign w:val="center"/>
          </w:tcPr>
          <w:p w:rsidR="00250CFF" w:rsidRPr="00925621" w:rsidP="00CF3445" w14:paraId="24A902DA" w14:textId="77777777">
            <w:pPr>
              <w:ind w:right="78"/>
              <w:contextualSpacing/>
              <w:jc w:val="center"/>
              <w:rPr>
                <w:color w:val="000000" w:themeColor="text1"/>
                <w:szCs w:val="24"/>
                <w:lang w:bidi="he-IL"/>
              </w:rPr>
            </w:pPr>
            <w:r w:rsidRPr="00925621">
              <w:rPr>
                <w:color w:val="000000" w:themeColor="text1"/>
                <w:szCs w:val="24"/>
                <w:lang w:bidi="he-IL"/>
              </w:rPr>
              <w:t>0.083</w:t>
            </w:r>
          </w:p>
          <w:p w:rsidR="00250CFF" w:rsidRPr="00925621" w:rsidP="00CF3445" w14:paraId="02DF1E5F" w14:textId="77777777">
            <w:pPr>
              <w:ind w:right="78"/>
              <w:contextualSpacing/>
              <w:jc w:val="center"/>
              <w:rPr>
                <w:color w:val="000000" w:themeColor="text1"/>
                <w:szCs w:val="24"/>
                <w:lang w:bidi="he-IL"/>
              </w:rPr>
            </w:pPr>
            <w:r w:rsidRPr="002853A8">
              <w:rPr>
                <w:color w:val="000000" w:themeColor="text1"/>
                <w:sz w:val="20"/>
                <w:szCs w:val="20"/>
                <w:lang w:bidi="he-IL"/>
              </w:rPr>
              <w:t>(5 minutes)</w:t>
            </w:r>
          </w:p>
        </w:tc>
        <w:tc>
          <w:tcPr>
            <w:tcW w:w="1041" w:type="dxa"/>
            <w:tcMar>
              <w:top w:w="0" w:type="dxa"/>
              <w:left w:w="108" w:type="dxa"/>
              <w:bottom w:w="0" w:type="dxa"/>
              <w:right w:w="108" w:type="dxa"/>
            </w:tcMar>
            <w:vAlign w:val="center"/>
          </w:tcPr>
          <w:p w:rsidR="00250CFF" w:rsidRPr="00925621" w:rsidP="00CF3445" w14:paraId="449CC654" w14:textId="2FE88DEB">
            <w:pPr>
              <w:ind w:right="78"/>
              <w:contextualSpacing/>
              <w:jc w:val="center"/>
              <w:rPr>
                <w:szCs w:val="24"/>
                <w:lang w:bidi="he-IL"/>
              </w:rPr>
            </w:pPr>
            <w:r w:rsidRPr="00925621">
              <w:rPr>
                <w:szCs w:val="24"/>
                <w:lang w:bidi="he-IL"/>
              </w:rPr>
              <w:t>1</w:t>
            </w:r>
            <w:r w:rsidRPr="00925621" w:rsidR="00331ED5">
              <w:rPr>
                <w:szCs w:val="24"/>
                <w:lang w:bidi="he-IL"/>
              </w:rPr>
              <w:t>3</w:t>
            </w:r>
          </w:p>
        </w:tc>
      </w:tr>
      <w:tr w14:paraId="273AA436" w14:textId="77777777" w:rsidTr="00CF3445">
        <w:tblPrEx>
          <w:tblW w:w="9712" w:type="dxa"/>
          <w:jc w:val="center"/>
          <w:tblCellMar>
            <w:left w:w="0" w:type="dxa"/>
            <w:right w:w="0" w:type="dxa"/>
          </w:tblCellMar>
          <w:tblLook w:val="04A0"/>
        </w:tblPrEx>
        <w:trPr>
          <w:trHeight w:val="216"/>
          <w:jc w:val="center"/>
        </w:trPr>
        <w:tc>
          <w:tcPr>
            <w:tcW w:w="3198" w:type="dxa"/>
            <w:tcMar>
              <w:top w:w="0" w:type="dxa"/>
              <w:left w:w="108" w:type="dxa"/>
              <w:bottom w:w="0" w:type="dxa"/>
              <w:right w:w="108" w:type="dxa"/>
            </w:tcMar>
            <w:vAlign w:val="center"/>
          </w:tcPr>
          <w:p w:rsidR="00250CFF" w:rsidRPr="00925621" w:rsidP="00CF3445" w14:paraId="103AFD60" w14:textId="77777777">
            <w:pPr>
              <w:pStyle w:val="TableTextIndent1"/>
              <w:spacing w:before="0" w:after="0"/>
              <w:contextualSpacing/>
              <w:rPr>
                <w:rFonts w:ascii="Times New Roman" w:hAnsi="Times New Roman"/>
                <w:sz w:val="24"/>
                <w:szCs w:val="24"/>
                <w:lang w:bidi="he-IL"/>
              </w:rPr>
            </w:pPr>
            <w:r w:rsidRPr="00925621">
              <w:rPr>
                <w:rFonts w:ascii="Times New Roman" w:hAnsi="Times New Roman"/>
                <w:sz w:val="24"/>
                <w:szCs w:val="24"/>
                <w:lang w:bidi="he-IL"/>
              </w:rPr>
              <w:t>Total</w:t>
            </w:r>
          </w:p>
        </w:tc>
        <w:tc>
          <w:tcPr>
            <w:tcW w:w="1510" w:type="dxa"/>
            <w:tcMar>
              <w:top w:w="0" w:type="dxa"/>
              <w:left w:w="108" w:type="dxa"/>
              <w:bottom w:w="0" w:type="dxa"/>
              <w:right w:w="108" w:type="dxa"/>
            </w:tcMar>
            <w:vAlign w:val="center"/>
          </w:tcPr>
          <w:p w:rsidR="00250CFF" w:rsidRPr="00925621" w:rsidP="00CF3445" w14:paraId="42170F76" w14:textId="77777777">
            <w:pPr>
              <w:pStyle w:val="TableText"/>
              <w:spacing w:before="0" w:after="0"/>
              <w:ind w:right="78"/>
              <w:contextualSpacing/>
              <w:jc w:val="center"/>
              <w:rPr>
                <w:rFonts w:ascii="Times New Roman" w:hAnsi="Times New Roman" w:cs="Times New Roman"/>
                <w:sz w:val="24"/>
                <w:szCs w:val="24"/>
                <w:lang w:bidi="he-IL"/>
              </w:rPr>
            </w:pPr>
          </w:p>
        </w:tc>
        <w:tc>
          <w:tcPr>
            <w:tcW w:w="1414" w:type="dxa"/>
            <w:vAlign w:val="center"/>
          </w:tcPr>
          <w:p w:rsidR="00250CFF" w:rsidRPr="00925621" w:rsidP="00CF3445" w14:paraId="09B8F591" w14:textId="77777777">
            <w:pPr>
              <w:ind w:right="78"/>
              <w:contextualSpacing/>
              <w:jc w:val="center"/>
              <w:rPr>
                <w:szCs w:val="24"/>
                <w:lang w:bidi="he-IL"/>
              </w:rPr>
            </w:pPr>
          </w:p>
        </w:tc>
        <w:tc>
          <w:tcPr>
            <w:tcW w:w="1225" w:type="dxa"/>
            <w:vAlign w:val="center"/>
          </w:tcPr>
          <w:p w:rsidR="00250CFF" w:rsidRPr="00925621" w:rsidP="00CF3445" w14:paraId="17B16B09" w14:textId="77777777">
            <w:pPr>
              <w:ind w:right="78"/>
              <w:contextualSpacing/>
              <w:jc w:val="center"/>
              <w:rPr>
                <w:szCs w:val="24"/>
                <w:lang w:bidi="he-IL"/>
              </w:rPr>
            </w:pPr>
          </w:p>
        </w:tc>
        <w:tc>
          <w:tcPr>
            <w:tcW w:w="1324" w:type="dxa"/>
            <w:tcMar>
              <w:top w:w="0" w:type="dxa"/>
              <w:left w:w="108" w:type="dxa"/>
              <w:bottom w:w="0" w:type="dxa"/>
              <w:right w:w="108" w:type="dxa"/>
            </w:tcMar>
            <w:vAlign w:val="center"/>
          </w:tcPr>
          <w:p w:rsidR="00250CFF" w:rsidRPr="00925621" w:rsidP="00CF3445" w14:paraId="0C63E3F5" w14:textId="77777777">
            <w:pPr>
              <w:ind w:right="78"/>
              <w:contextualSpacing/>
              <w:jc w:val="center"/>
              <w:rPr>
                <w:color w:val="000000" w:themeColor="text1"/>
                <w:szCs w:val="24"/>
                <w:lang w:bidi="he-IL"/>
              </w:rPr>
            </w:pPr>
          </w:p>
        </w:tc>
        <w:tc>
          <w:tcPr>
            <w:tcW w:w="1041" w:type="dxa"/>
            <w:tcMar>
              <w:top w:w="0" w:type="dxa"/>
              <w:left w:w="108" w:type="dxa"/>
              <w:bottom w:w="0" w:type="dxa"/>
              <w:right w:w="108" w:type="dxa"/>
            </w:tcMar>
            <w:vAlign w:val="center"/>
          </w:tcPr>
          <w:p w:rsidR="00250CFF" w:rsidRPr="00925621" w:rsidP="00CF3445" w14:paraId="6F2CDD82" w14:textId="07993D8D">
            <w:pPr>
              <w:ind w:right="78"/>
              <w:contextualSpacing/>
              <w:jc w:val="center"/>
              <w:rPr>
                <w:szCs w:val="24"/>
                <w:lang w:bidi="he-IL"/>
              </w:rPr>
            </w:pPr>
            <w:r w:rsidRPr="00925621">
              <w:rPr>
                <w:szCs w:val="24"/>
                <w:lang w:bidi="he-IL"/>
              </w:rPr>
              <w:t>2</w:t>
            </w:r>
            <w:r w:rsidRPr="00925621" w:rsidR="00331ED5">
              <w:rPr>
                <w:szCs w:val="24"/>
                <w:lang w:bidi="he-IL"/>
              </w:rPr>
              <w:t>6</w:t>
            </w:r>
          </w:p>
        </w:tc>
      </w:tr>
      <w:tr w14:paraId="7FCD001F" w14:textId="77777777" w:rsidTr="00CF3445">
        <w:tblPrEx>
          <w:tblW w:w="9712" w:type="dxa"/>
          <w:jc w:val="center"/>
          <w:tblCellMar>
            <w:left w:w="0" w:type="dxa"/>
            <w:right w:w="0" w:type="dxa"/>
          </w:tblCellMar>
          <w:tblLook w:val="04A0"/>
        </w:tblPrEx>
        <w:trPr>
          <w:trHeight w:val="216"/>
          <w:jc w:val="center"/>
        </w:trPr>
        <w:tc>
          <w:tcPr>
            <w:tcW w:w="9712" w:type="dxa"/>
            <w:gridSpan w:val="6"/>
            <w:shd w:val="clear" w:color="auto" w:fill="auto"/>
            <w:tcMar>
              <w:top w:w="0" w:type="dxa"/>
              <w:left w:w="108" w:type="dxa"/>
              <w:bottom w:w="0" w:type="dxa"/>
              <w:right w:w="108" w:type="dxa"/>
            </w:tcMar>
            <w:vAlign w:val="center"/>
            <w:hideMark/>
          </w:tcPr>
          <w:p w:rsidR="00250CFF" w:rsidRPr="00925621" w:rsidP="00CF3445" w14:paraId="0FBA7952" w14:textId="77777777">
            <w:pPr>
              <w:ind w:right="78"/>
              <w:contextualSpacing/>
              <w:jc w:val="center"/>
              <w:rPr>
                <w:szCs w:val="24"/>
                <w:lang w:bidi="he-IL"/>
              </w:rPr>
            </w:pPr>
            <w:r w:rsidRPr="00925621">
              <w:rPr>
                <w:szCs w:val="24"/>
                <w:lang w:bidi="he-IL"/>
              </w:rPr>
              <w:t>Number to obtain parental permission process (for parents of youth only) and schedule site visit</w:t>
            </w:r>
          </w:p>
        </w:tc>
      </w:tr>
      <w:tr w14:paraId="7CDFFEBD" w14:textId="77777777" w:rsidTr="00CF3445">
        <w:tblPrEx>
          <w:tblW w:w="9712" w:type="dxa"/>
          <w:jc w:val="center"/>
          <w:tblCellMar>
            <w:left w:w="0" w:type="dxa"/>
            <w:right w:w="0" w:type="dxa"/>
          </w:tblCellMar>
          <w:tblLook w:val="04A0"/>
        </w:tblPrEx>
        <w:trPr>
          <w:trHeight w:val="216"/>
          <w:jc w:val="center"/>
        </w:trPr>
        <w:tc>
          <w:tcPr>
            <w:tcW w:w="3198" w:type="dxa"/>
            <w:tcMar>
              <w:top w:w="0" w:type="dxa"/>
              <w:left w:w="108" w:type="dxa"/>
              <w:bottom w:w="0" w:type="dxa"/>
              <w:right w:w="108" w:type="dxa"/>
            </w:tcMar>
            <w:vAlign w:val="center"/>
            <w:hideMark/>
          </w:tcPr>
          <w:p w:rsidR="00250CFF" w:rsidRPr="00925621" w:rsidP="00CF3445" w14:paraId="768AB472" w14:textId="77777777">
            <w:pPr>
              <w:pStyle w:val="TableTextIndent1"/>
              <w:spacing w:before="0" w:after="0"/>
              <w:contextualSpacing/>
              <w:rPr>
                <w:rFonts w:ascii="Times New Roman" w:hAnsi="Times New Roman"/>
                <w:sz w:val="24"/>
                <w:szCs w:val="24"/>
                <w:lang w:bidi="he-IL"/>
              </w:rPr>
            </w:pPr>
            <w:r w:rsidRPr="00925621">
              <w:rPr>
                <w:rFonts w:ascii="Times New Roman" w:hAnsi="Times New Roman"/>
                <w:sz w:val="24"/>
                <w:szCs w:val="24"/>
                <w:lang w:bidi="he-IL"/>
              </w:rPr>
              <w:t>Parents of youth participants</w:t>
            </w:r>
          </w:p>
        </w:tc>
        <w:tc>
          <w:tcPr>
            <w:tcW w:w="1510" w:type="dxa"/>
            <w:tcMar>
              <w:top w:w="0" w:type="dxa"/>
              <w:left w:w="108" w:type="dxa"/>
              <w:bottom w:w="0" w:type="dxa"/>
              <w:right w:w="108" w:type="dxa"/>
            </w:tcMar>
            <w:vAlign w:val="center"/>
          </w:tcPr>
          <w:p w:rsidR="00250CFF" w:rsidRPr="00925621" w:rsidP="00CF3445" w14:paraId="42397E1D" w14:textId="34EB681C">
            <w:pPr>
              <w:pStyle w:val="TableText"/>
              <w:spacing w:before="0" w:after="0"/>
              <w:ind w:right="78"/>
              <w:contextualSpacing/>
              <w:jc w:val="center"/>
              <w:rPr>
                <w:rFonts w:ascii="Times New Roman" w:hAnsi="Times New Roman" w:cs="Times New Roman"/>
                <w:sz w:val="24"/>
                <w:szCs w:val="24"/>
                <w:lang w:bidi="he-IL"/>
              </w:rPr>
            </w:pPr>
            <w:r w:rsidRPr="00925621">
              <w:rPr>
                <w:rFonts w:ascii="Times New Roman" w:hAnsi="Times New Roman" w:cs="Times New Roman"/>
                <w:sz w:val="24"/>
                <w:szCs w:val="24"/>
                <w:lang w:bidi="he-IL"/>
              </w:rPr>
              <w:t>75</w:t>
            </w:r>
          </w:p>
        </w:tc>
        <w:tc>
          <w:tcPr>
            <w:tcW w:w="1414" w:type="dxa"/>
            <w:vAlign w:val="center"/>
            <w:hideMark/>
          </w:tcPr>
          <w:p w:rsidR="00250CFF" w:rsidRPr="00925621" w:rsidP="00CF3445" w14:paraId="32A7EC63" w14:textId="77777777">
            <w:pPr>
              <w:ind w:right="78"/>
              <w:contextualSpacing/>
              <w:jc w:val="center"/>
              <w:rPr>
                <w:szCs w:val="24"/>
                <w:lang w:bidi="he-IL"/>
              </w:rPr>
            </w:pPr>
            <w:r w:rsidRPr="00925621">
              <w:rPr>
                <w:szCs w:val="24"/>
                <w:lang w:bidi="he-IL"/>
              </w:rPr>
              <w:t>1</w:t>
            </w:r>
          </w:p>
        </w:tc>
        <w:tc>
          <w:tcPr>
            <w:tcW w:w="1225" w:type="dxa"/>
            <w:vAlign w:val="center"/>
            <w:hideMark/>
          </w:tcPr>
          <w:p w:rsidR="00250CFF" w:rsidRPr="00925621" w:rsidP="00CF3445" w14:paraId="6F24613D" w14:textId="0E1AF6D0">
            <w:pPr>
              <w:ind w:right="78"/>
              <w:contextualSpacing/>
              <w:jc w:val="center"/>
              <w:rPr>
                <w:szCs w:val="24"/>
                <w:lang w:bidi="he-IL"/>
              </w:rPr>
            </w:pPr>
            <w:r w:rsidRPr="00925621">
              <w:rPr>
                <w:szCs w:val="24"/>
                <w:lang w:bidi="he-IL"/>
              </w:rPr>
              <w:t>75</w:t>
            </w:r>
          </w:p>
        </w:tc>
        <w:tc>
          <w:tcPr>
            <w:tcW w:w="1324" w:type="dxa"/>
            <w:tcMar>
              <w:top w:w="0" w:type="dxa"/>
              <w:left w:w="108" w:type="dxa"/>
              <w:bottom w:w="0" w:type="dxa"/>
              <w:right w:w="108" w:type="dxa"/>
            </w:tcMar>
            <w:vAlign w:val="center"/>
            <w:hideMark/>
          </w:tcPr>
          <w:p w:rsidR="00250CFF" w:rsidRPr="00925621" w:rsidP="00CF3445" w14:paraId="61B341BE" w14:textId="77777777">
            <w:pPr>
              <w:ind w:right="78"/>
              <w:contextualSpacing/>
              <w:jc w:val="center"/>
              <w:rPr>
                <w:color w:val="000000" w:themeColor="text1"/>
                <w:szCs w:val="24"/>
                <w:lang w:bidi="he-IL"/>
              </w:rPr>
            </w:pPr>
            <w:r w:rsidRPr="00925621">
              <w:rPr>
                <w:color w:val="000000" w:themeColor="text1"/>
                <w:szCs w:val="24"/>
                <w:lang w:bidi="he-IL"/>
              </w:rPr>
              <w:t>0.167</w:t>
            </w:r>
          </w:p>
          <w:p w:rsidR="00250CFF" w:rsidRPr="00925621" w:rsidP="00CF3445" w14:paraId="34EDF51C" w14:textId="77777777">
            <w:pPr>
              <w:ind w:right="78"/>
              <w:contextualSpacing/>
              <w:jc w:val="center"/>
              <w:rPr>
                <w:color w:val="000000" w:themeColor="text1"/>
                <w:szCs w:val="24"/>
                <w:lang w:bidi="he-IL"/>
              </w:rPr>
            </w:pPr>
            <w:r w:rsidRPr="002853A8">
              <w:rPr>
                <w:color w:val="000000" w:themeColor="text1"/>
                <w:sz w:val="20"/>
                <w:szCs w:val="20"/>
                <w:lang w:bidi="he-IL"/>
              </w:rPr>
              <w:t>(10 minutes)</w:t>
            </w:r>
          </w:p>
        </w:tc>
        <w:tc>
          <w:tcPr>
            <w:tcW w:w="1041" w:type="dxa"/>
            <w:tcMar>
              <w:top w:w="0" w:type="dxa"/>
              <w:left w:w="108" w:type="dxa"/>
              <w:bottom w:w="0" w:type="dxa"/>
              <w:right w:w="108" w:type="dxa"/>
            </w:tcMar>
            <w:vAlign w:val="center"/>
          </w:tcPr>
          <w:p w:rsidR="00250CFF" w:rsidRPr="00925621" w:rsidP="00CF3445" w14:paraId="27E0F9E8" w14:textId="65149384">
            <w:pPr>
              <w:ind w:right="78"/>
              <w:contextualSpacing/>
              <w:jc w:val="center"/>
              <w:rPr>
                <w:szCs w:val="24"/>
                <w:lang w:bidi="he-IL"/>
              </w:rPr>
            </w:pPr>
            <w:r w:rsidRPr="00925621">
              <w:rPr>
                <w:szCs w:val="24"/>
                <w:lang w:bidi="he-IL"/>
              </w:rPr>
              <w:t>13</w:t>
            </w:r>
          </w:p>
        </w:tc>
      </w:tr>
      <w:tr w14:paraId="01582A18" w14:textId="77777777" w:rsidTr="00CF3445">
        <w:tblPrEx>
          <w:tblW w:w="9712" w:type="dxa"/>
          <w:jc w:val="center"/>
          <w:tblCellMar>
            <w:left w:w="0" w:type="dxa"/>
            <w:right w:w="0" w:type="dxa"/>
          </w:tblCellMar>
          <w:tblLook w:val="04A0"/>
        </w:tblPrEx>
        <w:trPr>
          <w:trHeight w:val="216"/>
          <w:jc w:val="center"/>
        </w:trPr>
        <w:tc>
          <w:tcPr>
            <w:tcW w:w="3198" w:type="dxa"/>
            <w:tcMar>
              <w:top w:w="0" w:type="dxa"/>
              <w:left w:w="108" w:type="dxa"/>
              <w:bottom w:w="0" w:type="dxa"/>
              <w:right w:w="108" w:type="dxa"/>
            </w:tcMar>
            <w:vAlign w:val="center"/>
            <w:hideMark/>
          </w:tcPr>
          <w:p w:rsidR="00250CFF" w:rsidRPr="00925621" w:rsidP="00CF3445" w14:paraId="383C811C" w14:textId="77777777">
            <w:pPr>
              <w:pStyle w:val="TableTextIndent1"/>
              <w:spacing w:before="0" w:after="0"/>
              <w:contextualSpacing/>
              <w:rPr>
                <w:rFonts w:ascii="Times New Roman" w:hAnsi="Times New Roman"/>
                <w:sz w:val="24"/>
                <w:szCs w:val="24"/>
                <w:lang w:bidi="he-IL"/>
              </w:rPr>
            </w:pPr>
            <w:r w:rsidRPr="00925621">
              <w:rPr>
                <w:rFonts w:ascii="Times New Roman" w:hAnsi="Times New Roman"/>
                <w:sz w:val="24"/>
                <w:szCs w:val="24"/>
                <w:lang w:bidi="he-IL"/>
              </w:rPr>
              <w:t>Young adults (aged 18-24)</w:t>
            </w:r>
          </w:p>
        </w:tc>
        <w:tc>
          <w:tcPr>
            <w:tcW w:w="1510" w:type="dxa"/>
            <w:tcMar>
              <w:top w:w="0" w:type="dxa"/>
              <w:left w:w="108" w:type="dxa"/>
              <w:bottom w:w="0" w:type="dxa"/>
              <w:right w:w="108" w:type="dxa"/>
            </w:tcMar>
            <w:vAlign w:val="center"/>
          </w:tcPr>
          <w:p w:rsidR="00250CFF" w:rsidRPr="00925621" w:rsidP="00CF3445" w14:paraId="0431F11B" w14:textId="066D367C">
            <w:pPr>
              <w:pStyle w:val="TableText"/>
              <w:spacing w:before="0" w:after="0"/>
              <w:ind w:right="78"/>
              <w:contextualSpacing/>
              <w:jc w:val="center"/>
              <w:rPr>
                <w:rFonts w:ascii="Times New Roman" w:hAnsi="Times New Roman" w:cs="Times New Roman"/>
                <w:sz w:val="24"/>
                <w:szCs w:val="24"/>
                <w:lang w:bidi="he-IL"/>
              </w:rPr>
            </w:pPr>
            <w:r w:rsidRPr="00925621">
              <w:rPr>
                <w:rFonts w:ascii="Times New Roman" w:hAnsi="Times New Roman" w:cs="Times New Roman"/>
                <w:sz w:val="24"/>
                <w:szCs w:val="24"/>
                <w:lang w:bidi="he-IL"/>
              </w:rPr>
              <w:t>50</w:t>
            </w:r>
          </w:p>
        </w:tc>
        <w:tc>
          <w:tcPr>
            <w:tcW w:w="1414" w:type="dxa"/>
            <w:vAlign w:val="center"/>
            <w:hideMark/>
          </w:tcPr>
          <w:p w:rsidR="00250CFF" w:rsidRPr="00925621" w:rsidP="00CF3445" w14:paraId="0AFB5BCC" w14:textId="77777777">
            <w:pPr>
              <w:ind w:right="78"/>
              <w:contextualSpacing/>
              <w:jc w:val="center"/>
              <w:rPr>
                <w:szCs w:val="24"/>
                <w:lang w:bidi="he-IL"/>
              </w:rPr>
            </w:pPr>
            <w:r w:rsidRPr="00925621">
              <w:rPr>
                <w:szCs w:val="24"/>
                <w:lang w:bidi="he-IL"/>
              </w:rPr>
              <w:t>1</w:t>
            </w:r>
          </w:p>
        </w:tc>
        <w:tc>
          <w:tcPr>
            <w:tcW w:w="1225" w:type="dxa"/>
            <w:vAlign w:val="center"/>
            <w:hideMark/>
          </w:tcPr>
          <w:p w:rsidR="00250CFF" w:rsidRPr="00925621" w:rsidP="00CF3445" w14:paraId="67FD636B" w14:textId="56248CA7">
            <w:pPr>
              <w:ind w:right="78"/>
              <w:contextualSpacing/>
              <w:jc w:val="center"/>
              <w:rPr>
                <w:szCs w:val="24"/>
                <w:lang w:bidi="he-IL"/>
              </w:rPr>
            </w:pPr>
            <w:r w:rsidRPr="00925621">
              <w:rPr>
                <w:szCs w:val="24"/>
                <w:lang w:bidi="he-IL"/>
              </w:rPr>
              <w:t>50</w:t>
            </w:r>
          </w:p>
        </w:tc>
        <w:tc>
          <w:tcPr>
            <w:tcW w:w="1324" w:type="dxa"/>
            <w:tcMar>
              <w:top w:w="0" w:type="dxa"/>
              <w:left w:w="108" w:type="dxa"/>
              <w:bottom w:w="0" w:type="dxa"/>
              <w:right w:w="108" w:type="dxa"/>
            </w:tcMar>
            <w:vAlign w:val="center"/>
            <w:hideMark/>
          </w:tcPr>
          <w:p w:rsidR="00250CFF" w:rsidRPr="00925621" w:rsidP="00CF3445" w14:paraId="7EDBF68E" w14:textId="77777777">
            <w:pPr>
              <w:ind w:right="78"/>
              <w:contextualSpacing/>
              <w:jc w:val="center"/>
              <w:rPr>
                <w:color w:val="000000" w:themeColor="text1"/>
                <w:szCs w:val="24"/>
                <w:lang w:bidi="he-IL"/>
              </w:rPr>
            </w:pPr>
            <w:r w:rsidRPr="00925621">
              <w:rPr>
                <w:color w:val="000000" w:themeColor="text1"/>
                <w:szCs w:val="24"/>
                <w:lang w:bidi="he-IL"/>
              </w:rPr>
              <w:t>0.083</w:t>
            </w:r>
          </w:p>
          <w:p w:rsidR="00250CFF" w:rsidRPr="00925621" w:rsidP="00CF3445" w14:paraId="578E9AFF" w14:textId="77777777">
            <w:pPr>
              <w:ind w:right="78"/>
              <w:contextualSpacing/>
              <w:jc w:val="center"/>
              <w:rPr>
                <w:color w:val="000000" w:themeColor="text1"/>
                <w:szCs w:val="24"/>
                <w:lang w:bidi="he-IL"/>
              </w:rPr>
            </w:pPr>
            <w:r w:rsidRPr="002853A8">
              <w:rPr>
                <w:color w:val="000000" w:themeColor="text1"/>
                <w:sz w:val="20"/>
                <w:szCs w:val="20"/>
                <w:lang w:bidi="he-IL"/>
              </w:rPr>
              <w:t>(5 minutes)</w:t>
            </w:r>
          </w:p>
        </w:tc>
        <w:tc>
          <w:tcPr>
            <w:tcW w:w="1041" w:type="dxa"/>
            <w:tcMar>
              <w:top w:w="0" w:type="dxa"/>
              <w:left w:w="108" w:type="dxa"/>
              <w:bottom w:w="0" w:type="dxa"/>
              <w:right w:w="108" w:type="dxa"/>
            </w:tcMar>
            <w:vAlign w:val="center"/>
          </w:tcPr>
          <w:p w:rsidR="00250CFF" w:rsidRPr="00925621" w:rsidP="00CF3445" w14:paraId="14DD1AC1" w14:textId="786C12D1">
            <w:pPr>
              <w:ind w:right="78"/>
              <w:contextualSpacing/>
              <w:jc w:val="center"/>
              <w:rPr>
                <w:szCs w:val="24"/>
                <w:lang w:bidi="he-IL"/>
              </w:rPr>
            </w:pPr>
            <w:r w:rsidRPr="00925621">
              <w:rPr>
                <w:szCs w:val="24"/>
                <w:lang w:bidi="he-IL"/>
              </w:rPr>
              <w:t>4</w:t>
            </w:r>
          </w:p>
        </w:tc>
      </w:tr>
      <w:tr w14:paraId="16C138AC" w14:textId="77777777" w:rsidTr="00CF3445">
        <w:tblPrEx>
          <w:tblW w:w="9712" w:type="dxa"/>
          <w:jc w:val="center"/>
          <w:tblCellMar>
            <w:left w:w="0" w:type="dxa"/>
            <w:right w:w="0" w:type="dxa"/>
          </w:tblCellMar>
          <w:tblLook w:val="04A0"/>
        </w:tblPrEx>
        <w:trPr>
          <w:trHeight w:val="216"/>
          <w:jc w:val="center"/>
        </w:trPr>
        <w:tc>
          <w:tcPr>
            <w:tcW w:w="3198" w:type="dxa"/>
            <w:tcMar>
              <w:top w:w="0" w:type="dxa"/>
              <w:left w:w="108" w:type="dxa"/>
              <w:bottom w:w="0" w:type="dxa"/>
              <w:right w:w="108" w:type="dxa"/>
            </w:tcMar>
            <w:vAlign w:val="center"/>
            <w:hideMark/>
          </w:tcPr>
          <w:p w:rsidR="00250CFF" w:rsidRPr="00925621" w:rsidP="00CF3445" w14:paraId="2E53953D" w14:textId="77777777">
            <w:pPr>
              <w:pStyle w:val="TableTextIndent1"/>
              <w:spacing w:before="0" w:after="0"/>
              <w:contextualSpacing/>
              <w:rPr>
                <w:rFonts w:ascii="Times New Roman" w:hAnsi="Times New Roman"/>
                <w:sz w:val="24"/>
                <w:szCs w:val="24"/>
                <w:lang w:bidi="he-IL"/>
              </w:rPr>
            </w:pPr>
            <w:r w:rsidRPr="00925621">
              <w:rPr>
                <w:rFonts w:ascii="Times New Roman" w:hAnsi="Times New Roman"/>
                <w:sz w:val="24"/>
                <w:szCs w:val="24"/>
                <w:lang w:bidi="he-IL"/>
              </w:rPr>
              <w:t>Total</w:t>
            </w:r>
          </w:p>
        </w:tc>
        <w:tc>
          <w:tcPr>
            <w:tcW w:w="1510" w:type="dxa"/>
            <w:tcMar>
              <w:top w:w="0" w:type="dxa"/>
              <w:left w:w="108" w:type="dxa"/>
              <w:bottom w:w="0" w:type="dxa"/>
              <w:right w:w="108" w:type="dxa"/>
            </w:tcMar>
            <w:vAlign w:val="center"/>
          </w:tcPr>
          <w:p w:rsidR="00250CFF" w:rsidRPr="00925621" w:rsidP="00CF3445" w14:paraId="579119AE" w14:textId="77777777">
            <w:pPr>
              <w:pStyle w:val="TableText"/>
              <w:spacing w:before="0" w:after="0"/>
              <w:ind w:right="78"/>
              <w:contextualSpacing/>
              <w:jc w:val="center"/>
              <w:rPr>
                <w:rFonts w:ascii="Times New Roman" w:hAnsi="Times New Roman" w:cs="Times New Roman"/>
                <w:sz w:val="24"/>
                <w:szCs w:val="24"/>
                <w:lang w:bidi="he-IL"/>
              </w:rPr>
            </w:pPr>
          </w:p>
        </w:tc>
        <w:tc>
          <w:tcPr>
            <w:tcW w:w="1414" w:type="dxa"/>
            <w:vAlign w:val="center"/>
          </w:tcPr>
          <w:p w:rsidR="00250CFF" w:rsidRPr="00925621" w:rsidP="00CF3445" w14:paraId="7493095A" w14:textId="77777777">
            <w:pPr>
              <w:ind w:right="78"/>
              <w:contextualSpacing/>
              <w:jc w:val="center"/>
              <w:rPr>
                <w:szCs w:val="24"/>
                <w:lang w:bidi="he-IL"/>
              </w:rPr>
            </w:pPr>
          </w:p>
        </w:tc>
        <w:tc>
          <w:tcPr>
            <w:tcW w:w="1225" w:type="dxa"/>
            <w:vAlign w:val="center"/>
          </w:tcPr>
          <w:p w:rsidR="00250CFF" w:rsidRPr="00925621" w:rsidP="00CF3445" w14:paraId="47DAC1D3" w14:textId="77777777">
            <w:pPr>
              <w:ind w:right="78"/>
              <w:contextualSpacing/>
              <w:jc w:val="center"/>
              <w:rPr>
                <w:szCs w:val="24"/>
                <w:lang w:bidi="he-IL"/>
              </w:rPr>
            </w:pPr>
          </w:p>
        </w:tc>
        <w:tc>
          <w:tcPr>
            <w:tcW w:w="1324" w:type="dxa"/>
            <w:tcMar>
              <w:top w:w="0" w:type="dxa"/>
              <w:left w:w="108" w:type="dxa"/>
              <w:bottom w:w="0" w:type="dxa"/>
              <w:right w:w="108" w:type="dxa"/>
            </w:tcMar>
            <w:vAlign w:val="center"/>
          </w:tcPr>
          <w:p w:rsidR="00250CFF" w:rsidRPr="00925621" w:rsidP="00CF3445" w14:paraId="2E4A8682" w14:textId="77777777">
            <w:pPr>
              <w:ind w:right="78"/>
              <w:contextualSpacing/>
              <w:jc w:val="center"/>
              <w:rPr>
                <w:color w:val="000000" w:themeColor="text1"/>
                <w:szCs w:val="24"/>
                <w:lang w:bidi="he-IL"/>
              </w:rPr>
            </w:pPr>
          </w:p>
        </w:tc>
        <w:tc>
          <w:tcPr>
            <w:tcW w:w="1041" w:type="dxa"/>
            <w:tcMar>
              <w:top w:w="0" w:type="dxa"/>
              <w:left w:w="108" w:type="dxa"/>
              <w:bottom w:w="0" w:type="dxa"/>
              <w:right w:w="108" w:type="dxa"/>
            </w:tcMar>
            <w:vAlign w:val="center"/>
          </w:tcPr>
          <w:p w:rsidR="00250CFF" w:rsidRPr="00925621" w:rsidP="00CF3445" w14:paraId="7C16EE4F" w14:textId="09D93711">
            <w:pPr>
              <w:ind w:right="78"/>
              <w:contextualSpacing/>
              <w:jc w:val="center"/>
              <w:rPr>
                <w:szCs w:val="24"/>
                <w:lang w:bidi="he-IL"/>
              </w:rPr>
            </w:pPr>
            <w:r w:rsidRPr="00925621">
              <w:rPr>
                <w:szCs w:val="24"/>
                <w:lang w:bidi="he-IL"/>
              </w:rPr>
              <w:t>1</w:t>
            </w:r>
            <w:r w:rsidRPr="00925621" w:rsidR="000573DF">
              <w:rPr>
                <w:szCs w:val="24"/>
                <w:lang w:bidi="he-IL"/>
              </w:rPr>
              <w:t>7</w:t>
            </w:r>
          </w:p>
        </w:tc>
      </w:tr>
      <w:tr w14:paraId="7E78AAA2" w14:textId="77777777" w:rsidTr="00CF3445">
        <w:tblPrEx>
          <w:tblW w:w="9712" w:type="dxa"/>
          <w:jc w:val="center"/>
          <w:tblCellMar>
            <w:left w:w="0" w:type="dxa"/>
            <w:right w:w="0" w:type="dxa"/>
          </w:tblCellMar>
          <w:tblLook w:val="04A0"/>
        </w:tblPrEx>
        <w:trPr>
          <w:trHeight w:val="216"/>
          <w:jc w:val="center"/>
        </w:trPr>
        <w:tc>
          <w:tcPr>
            <w:tcW w:w="9712" w:type="dxa"/>
            <w:gridSpan w:val="6"/>
            <w:shd w:val="clear" w:color="auto" w:fill="auto"/>
            <w:tcMar>
              <w:top w:w="0" w:type="dxa"/>
              <w:left w:w="108" w:type="dxa"/>
              <w:bottom w:w="0" w:type="dxa"/>
              <w:right w:w="108" w:type="dxa"/>
            </w:tcMar>
            <w:vAlign w:val="center"/>
            <w:hideMark/>
          </w:tcPr>
          <w:p w:rsidR="00250CFF" w:rsidRPr="00925621" w:rsidP="00CF3445" w14:paraId="0DA7EE96" w14:textId="18D308E6">
            <w:pPr>
              <w:ind w:right="78"/>
              <w:contextualSpacing/>
              <w:jc w:val="center"/>
              <w:rPr>
                <w:szCs w:val="24"/>
                <w:lang w:bidi="he-IL"/>
              </w:rPr>
            </w:pPr>
            <w:r w:rsidRPr="00925621">
              <w:rPr>
                <w:szCs w:val="24"/>
                <w:lang w:bidi="he-IL"/>
              </w:rPr>
              <w:t>Number to complete consent</w:t>
            </w:r>
            <w:r w:rsidRPr="00925621" w:rsidR="00DC471B">
              <w:rPr>
                <w:szCs w:val="24"/>
                <w:lang w:bidi="he-IL"/>
              </w:rPr>
              <w:t xml:space="preserve"> (5 min)</w:t>
            </w:r>
            <w:r w:rsidRPr="00925621">
              <w:rPr>
                <w:szCs w:val="24"/>
                <w:lang w:bidi="he-IL"/>
              </w:rPr>
              <w:t xml:space="preserve"> and main study</w:t>
            </w:r>
            <w:r w:rsidRPr="00925621" w:rsidR="00DC471B">
              <w:rPr>
                <w:szCs w:val="24"/>
                <w:lang w:bidi="he-IL"/>
              </w:rPr>
              <w:t xml:space="preserve"> (85 min)</w:t>
            </w:r>
          </w:p>
        </w:tc>
      </w:tr>
      <w:tr w14:paraId="0DDAAADF" w14:textId="77777777" w:rsidTr="008A2194">
        <w:tblPrEx>
          <w:tblW w:w="9712" w:type="dxa"/>
          <w:jc w:val="center"/>
          <w:tblCellMar>
            <w:left w:w="0" w:type="dxa"/>
            <w:right w:w="0" w:type="dxa"/>
          </w:tblCellMar>
          <w:tblLook w:val="04A0"/>
        </w:tblPrEx>
        <w:trPr>
          <w:trHeight w:val="216"/>
          <w:jc w:val="center"/>
        </w:trPr>
        <w:tc>
          <w:tcPr>
            <w:tcW w:w="3198" w:type="dxa"/>
            <w:tcMar>
              <w:top w:w="0" w:type="dxa"/>
              <w:left w:w="108" w:type="dxa"/>
              <w:bottom w:w="0" w:type="dxa"/>
              <w:right w:w="108" w:type="dxa"/>
            </w:tcMar>
            <w:vAlign w:val="center"/>
            <w:hideMark/>
          </w:tcPr>
          <w:p w:rsidR="00250CFF" w:rsidRPr="00925621" w:rsidP="00CF3445" w14:paraId="76370741" w14:textId="77777777">
            <w:pPr>
              <w:pStyle w:val="TableTextIndent1"/>
              <w:spacing w:before="0" w:after="0"/>
              <w:contextualSpacing/>
              <w:rPr>
                <w:rFonts w:ascii="Times New Roman" w:hAnsi="Times New Roman"/>
                <w:sz w:val="24"/>
                <w:szCs w:val="24"/>
                <w:lang w:bidi="he-IL"/>
              </w:rPr>
            </w:pPr>
            <w:r w:rsidRPr="00925621">
              <w:rPr>
                <w:rFonts w:ascii="Times New Roman" w:hAnsi="Times New Roman"/>
                <w:sz w:val="24"/>
                <w:szCs w:val="24"/>
                <w:lang w:bidi="he-IL"/>
              </w:rPr>
              <w:t>Youth (aged 13-17)</w:t>
            </w:r>
          </w:p>
        </w:tc>
        <w:tc>
          <w:tcPr>
            <w:tcW w:w="1510" w:type="dxa"/>
            <w:tcMar>
              <w:top w:w="0" w:type="dxa"/>
              <w:left w:w="108" w:type="dxa"/>
              <w:bottom w:w="0" w:type="dxa"/>
              <w:right w:w="108" w:type="dxa"/>
            </w:tcMar>
            <w:vAlign w:val="center"/>
            <w:hideMark/>
          </w:tcPr>
          <w:p w:rsidR="00250CFF" w:rsidRPr="00925621" w:rsidP="00CF3445" w14:paraId="381E32F0" w14:textId="6221D553">
            <w:pPr>
              <w:pStyle w:val="TableText"/>
              <w:spacing w:before="0" w:after="0"/>
              <w:ind w:right="78"/>
              <w:contextualSpacing/>
              <w:jc w:val="center"/>
              <w:rPr>
                <w:rFonts w:ascii="Times New Roman" w:hAnsi="Times New Roman" w:cs="Times New Roman"/>
                <w:sz w:val="24"/>
                <w:szCs w:val="24"/>
                <w:lang w:bidi="he-IL"/>
              </w:rPr>
            </w:pPr>
            <w:r w:rsidRPr="00925621">
              <w:rPr>
                <w:rFonts w:ascii="Times New Roman" w:hAnsi="Times New Roman" w:cs="Times New Roman"/>
                <w:sz w:val="24"/>
                <w:szCs w:val="24"/>
                <w:lang w:bidi="he-IL"/>
              </w:rPr>
              <w:t>50</w:t>
            </w:r>
          </w:p>
        </w:tc>
        <w:tc>
          <w:tcPr>
            <w:tcW w:w="1414" w:type="dxa"/>
            <w:vAlign w:val="center"/>
            <w:hideMark/>
          </w:tcPr>
          <w:p w:rsidR="00250CFF" w:rsidRPr="00925621" w:rsidP="00CF3445" w14:paraId="7994F16F" w14:textId="77777777">
            <w:pPr>
              <w:ind w:right="78"/>
              <w:contextualSpacing/>
              <w:jc w:val="center"/>
              <w:rPr>
                <w:szCs w:val="24"/>
                <w:lang w:bidi="he-IL"/>
              </w:rPr>
            </w:pPr>
            <w:r w:rsidRPr="00925621">
              <w:rPr>
                <w:szCs w:val="24"/>
                <w:lang w:bidi="he-IL"/>
              </w:rPr>
              <w:t>1</w:t>
            </w:r>
          </w:p>
        </w:tc>
        <w:tc>
          <w:tcPr>
            <w:tcW w:w="1225" w:type="dxa"/>
            <w:vAlign w:val="center"/>
            <w:hideMark/>
          </w:tcPr>
          <w:p w:rsidR="00250CFF" w:rsidRPr="00925621" w:rsidP="00CF3445" w14:paraId="61FF1DC4" w14:textId="4F338247">
            <w:pPr>
              <w:ind w:right="78"/>
              <w:contextualSpacing/>
              <w:jc w:val="center"/>
              <w:rPr>
                <w:szCs w:val="24"/>
                <w:lang w:bidi="he-IL"/>
              </w:rPr>
            </w:pPr>
            <w:r w:rsidRPr="00925621">
              <w:rPr>
                <w:szCs w:val="24"/>
                <w:lang w:bidi="he-IL"/>
              </w:rPr>
              <w:t>50</w:t>
            </w:r>
          </w:p>
        </w:tc>
        <w:tc>
          <w:tcPr>
            <w:tcW w:w="1324" w:type="dxa"/>
            <w:tcMar>
              <w:top w:w="0" w:type="dxa"/>
              <w:left w:w="108" w:type="dxa"/>
              <w:bottom w:w="0" w:type="dxa"/>
              <w:right w:w="108" w:type="dxa"/>
            </w:tcMar>
            <w:vAlign w:val="center"/>
            <w:hideMark/>
          </w:tcPr>
          <w:p w:rsidR="00250CFF" w:rsidRPr="00925621" w:rsidP="00CF3445" w14:paraId="1325DE85" w14:textId="77777777">
            <w:pPr>
              <w:ind w:right="78"/>
              <w:contextualSpacing/>
              <w:jc w:val="center"/>
              <w:rPr>
                <w:color w:val="000000" w:themeColor="text1"/>
                <w:szCs w:val="24"/>
                <w:lang w:bidi="he-IL"/>
              </w:rPr>
            </w:pPr>
            <w:r w:rsidRPr="00925621">
              <w:rPr>
                <w:color w:val="000000" w:themeColor="text1"/>
                <w:szCs w:val="24"/>
                <w:lang w:bidi="he-IL"/>
              </w:rPr>
              <w:t>1.50</w:t>
            </w:r>
          </w:p>
          <w:p w:rsidR="00250CFF" w:rsidRPr="00925621" w:rsidP="00CF3445" w14:paraId="2ED64087" w14:textId="77777777">
            <w:pPr>
              <w:ind w:right="78"/>
              <w:contextualSpacing/>
              <w:jc w:val="center"/>
              <w:rPr>
                <w:color w:val="000000" w:themeColor="text1"/>
                <w:szCs w:val="24"/>
                <w:lang w:bidi="he-IL"/>
              </w:rPr>
            </w:pPr>
            <w:r w:rsidRPr="002853A8">
              <w:rPr>
                <w:color w:val="000000" w:themeColor="text1"/>
                <w:sz w:val="20"/>
                <w:szCs w:val="20"/>
                <w:lang w:bidi="he-IL"/>
              </w:rPr>
              <w:t>(90 minutes)</w:t>
            </w:r>
          </w:p>
        </w:tc>
        <w:tc>
          <w:tcPr>
            <w:tcW w:w="1041" w:type="dxa"/>
            <w:tcMar>
              <w:top w:w="0" w:type="dxa"/>
              <w:left w:w="108" w:type="dxa"/>
              <w:bottom w:w="0" w:type="dxa"/>
              <w:right w:w="108" w:type="dxa"/>
            </w:tcMar>
            <w:vAlign w:val="center"/>
          </w:tcPr>
          <w:p w:rsidR="00250CFF" w:rsidRPr="00925621" w:rsidP="00CF3445" w14:paraId="6C7634F6" w14:textId="70CA6777">
            <w:pPr>
              <w:ind w:right="78"/>
              <w:contextualSpacing/>
              <w:jc w:val="center"/>
              <w:rPr>
                <w:szCs w:val="24"/>
                <w:lang w:bidi="he-IL"/>
              </w:rPr>
            </w:pPr>
            <w:r w:rsidRPr="00925621">
              <w:rPr>
                <w:szCs w:val="24"/>
                <w:lang w:bidi="he-IL"/>
              </w:rPr>
              <w:t>75</w:t>
            </w:r>
          </w:p>
        </w:tc>
      </w:tr>
      <w:tr w14:paraId="65ACDC26" w14:textId="77777777" w:rsidTr="008A2194">
        <w:tblPrEx>
          <w:tblW w:w="9712" w:type="dxa"/>
          <w:jc w:val="center"/>
          <w:tblCellMar>
            <w:left w:w="0" w:type="dxa"/>
            <w:right w:w="0" w:type="dxa"/>
          </w:tblCellMar>
          <w:tblLook w:val="04A0"/>
        </w:tblPrEx>
        <w:trPr>
          <w:trHeight w:val="216"/>
          <w:jc w:val="center"/>
        </w:trPr>
        <w:tc>
          <w:tcPr>
            <w:tcW w:w="3198" w:type="dxa"/>
            <w:tcMar>
              <w:top w:w="0" w:type="dxa"/>
              <w:left w:w="108" w:type="dxa"/>
              <w:bottom w:w="0" w:type="dxa"/>
              <w:right w:w="108" w:type="dxa"/>
            </w:tcMar>
            <w:vAlign w:val="center"/>
            <w:hideMark/>
          </w:tcPr>
          <w:p w:rsidR="00250CFF" w:rsidRPr="00925621" w:rsidP="00CF3445" w14:paraId="18D9D6E6" w14:textId="77777777">
            <w:pPr>
              <w:pStyle w:val="TableTextIndent1"/>
              <w:spacing w:before="0" w:after="0"/>
              <w:contextualSpacing/>
              <w:rPr>
                <w:rFonts w:ascii="Times New Roman" w:hAnsi="Times New Roman"/>
                <w:sz w:val="24"/>
                <w:szCs w:val="24"/>
                <w:lang w:bidi="he-IL"/>
              </w:rPr>
            </w:pPr>
            <w:r w:rsidRPr="00925621">
              <w:rPr>
                <w:rFonts w:ascii="Times New Roman" w:hAnsi="Times New Roman"/>
                <w:sz w:val="24"/>
                <w:szCs w:val="24"/>
                <w:lang w:bidi="he-IL"/>
              </w:rPr>
              <w:t>Young adults (aged 18-24)</w:t>
            </w:r>
          </w:p>
        </w:tc>
        <w:tc>
          <w:tcPr>
            <w:tcW w:w="1510" w:type="dxa"/>
            <w:tcMar>
              <w:top w:w="0" w:type="dxa"/>
              <w:left w:w="108" w:type="dxa"/>
              <w:bottom w:w="0" w:type="dxa"/>
              <w:right w:w="108" w:type="dxa"/>
            </w:tcMar>
            <w:vAlign w:val="center"/>
            <w:hideMark/>
          </w:tcPr>
          <w:p w:rsidR="00250CFF" w:rsidRPr="00925621" w:rsidP="00CF3445" w14:paraId="7815FDA2" w14:textId="5209F8E7">
            <w:pPr>
              <w:pStyle w:val="TableText"/>
              <w:spacing w:before="0" w:after="0"/>
              <w:ind w:right="78"/>
              <w:contextualSpacing/>
              <w:jc w:val="center"/>
              <w:rPr>
                <w:rFonts w:ascii="Times New Roman" w:hAnsi="Times New Roman" w:cs="Times New Roman"/>
                <w:sz w:val="24"/>
                <w:szCs w:val="24"/>
                <w:lang w:bidi="he-IL"/>
              </w:rPr>
            </w:pPr>
            <w:r w:rsidRPr="00925621">
              <w:rPr>
                <w:rFonts w:ascii="Times New Roman" w:hAnsi="Times New Roman" w:cs="Times New Roman"/>
                <w:sz w:val="24"/>
                <w:szCs w:val="24"/>
                <w:lang w:bidi="he-IL"/>
              </w:rPr>
              <w:t>50</w:t>
            </w:r>
          </w:p>
        </w:tc>
        <w:tc>
          <w:tcPr>
            <w:tcW w:w="1414" w:type="dxa"/>
            <w:vAlign w:val="center"/>
            <w:hideMark/>
          </w:tcPr>
          <w:p w:rsidR="00250CFF" w:rsidRPr="00925621" w:rsidP="00CF3445" w14:paraId="7EB02603" w14:textId="77777777">
            <w:pPr>
              <w:ind w:right="78"/>
              <w:contextualSpacing/>
              <w:jc w:val="center"/>
              <w:rPr>
                <w:szCs w:val="24"/>
                <w:lang w:bidi="he-IL"/>
              </w:rPr>
            </w:pPr>
            <w:r w:rsidRPr="00925621">
              <w:rPr>
                <w:szCs w:val="24"/>
                <w:lang w:bidi="he-IL"/>
              </w:rPr>
              <w:t>1</w:t>
            </w:r>
          </w:p>
        </w:tc>
        <w:tc>
          <w:tcPr>
            <w:tcW w:w="1225" w:type="dxa"/>
            <w:vAlign w:val="center"/>
            <w:hideMark/>
          </w:tcPr>
          <w:p w:rsidR="00250CFF" w:rsidRPr="00925621" w:rsidP="00CF3445" w14:paraId="46AF2C2A" w14:textId="5EC476E3">
            <w:pPr>
              <w:ind w:right="78"/>
              <w:contextualSpacing/>
              <w:jc w:val="center"/>
              <w:rPr>
                <w:szCs w:val="24"/>
                <w:lang w:bidi="he-IL"/>
              </w:rPr>
            </w:pPr>
            <w:r w:rsidRPr="00925621">
              <w:rPr>
                <w:szCs w:val="24"/>
                <w:lang w:bidi="he-IL"/>
              </w:rPr>
              <w:t>50</w:t>
            </w:r>
          </w:p>
        </w:tc>
        <w:tc>
          <w:tcPr>
            <w:tcW w:w="1324" w:type="dxa"/>
            <w:tcMar>
              <w:top w:w="0" w:type="dxa"/>
              <w:left w:w="108" w:type="dxa"/>
              <w:bottom w:w="0" w:type="dxa"/>
              <w:right w:w="108" w:type="dxa"/>
            </w:tcMar>
            <w:vAlign w:val="center"/>
            <w:hideMark/>
          </w:tcPr>
          <w:p w:rsidR="00250CFF" w:rsidRPr="00925621" w:rsidP="00CF3445" w14:paraId="493E1076" w14:textId="77777777">
            <w:pPr>
              <w:ind w:right="78"/>
              <w:contextualSpacing/>
              <w:jc w:val="center"/>
              <w:rPr>
                <w:color w:val="000000" w:themeColor="text1"/>
                <w:szCs w:val="24"/>
                <w:lang w:bidi="he-IL"/>
              </w:rPr>
            </w:pPr>
            <w:r w:rsidRPr="00925621">
              <w:rPr>
                <w:color w:val="000000" w:themeColor="text1"/>
                <w:szCs w:val="24"/>
                <w:lang w:bidi="he-IL"/>
              </w:rPr>
              <w:t>1.50</w:t>
            </w:r>
          </w:p>
          <w:p w:rsidR="00250CFF" w:rsidRPr="00925621" w:rsidP="00CF3445" w14:paraId="6D0A6A76" w14:textId="77777777">
            <w:pPr>
              <w:ind w:right="78"/>
              <w:contextualSpacing/>
              <w:jc w:val="center"/>
              <w:rPr>
                <w:color w:val="000000" w:themeColor="text1"/>
                <w:szCs w:val="24"/>
                <w:lang w:bidi="he-IL"/>
              </w:rPr>
            </w:pPr>
            <w:r w:rsidRPr="002853A8">
              <w:rPr>
                <w:color w:val="000000" w:themeColor="text1"/>
                <w:sz w:val="20"/>
                <w:szCs w:val="20"/>
                <w:lang w:bidi="he-IL"/>
              </w:rPr>
              <w:t>(90 minutes)</w:t>
            </w:r>
          </w:p>
        </w:tc>
        <w:tc>
          <w:tcPr>
            <w:tcW w:w="1041" w:type="dxa"/>
            <w:tcMar>
              <w:top w:w="0" w:type="dxa"/>
              <w:left w:w="108" w:type="dxa"/>
              <w:bottom w:w="0" w:type="dxa"/>
              <w:right w:w="108" w:type="dxa"/>
            </w:tcMar>
            <w:vAlign w:val="center"/>
          </w:tcPr>
          <w:p w:rsidR="00250CFF" w:rsidRPr="00925621" w:rsidP="00CF3445" w14:paraId="43A32AC7" w14:textId="5EC2359F">
            <w:pPr>
              <w:ind w:right="78"/>
              <w:contextualSpacing/>
              <w:jc w:val="center"/>
              <w:rPr>
                <w:szCs w:val="24"/>
                <w:lang w:bidi="he-IL"/>
              </w:rPr>
            </w:pPr>
            <w:r w:rsidRPr="00925621">
              <w:rPr>
                <w:szCs w:val="24"/>
                <w:lang w:bidi="he-IL"/>
              </w:rPr>
              <w:t>75</w:t>
            </w:r>
          </w:p>
        </w:tc>
      </w:tr>
      <w:tr w14:paraId="32EA16A7" w14:textId="77777777" w:rsidTr="00CF3445">
        <w:tblPrEx>
          <w:tblW w:w="9712" w:type="dxa"/>
          <w:jc w:val="center"/>
          <w:tblCellMar>
            <w:left w:w="0" w:type="dxa"/>
            <w:right w:w="0" w:type="dxa"/>
          </w:tblCellMar>
          <w:tblLook w:val="04A0"/>
        </w:tblPrEx>
        <w:trPr>
          <w:trHeight w:val="216"/>
          <w:jc w:val="center"/>
        </w:trPr>
        <w:tc>
          <w:tcPr>
            <w:tcW w:w="3198" w:type="dxa"/>
            <w:tcMar>
              <w:top w:w="0" w:type="dxa"/>
              <w:left w:w="108" w:type="dxa"/>
              <w:bottom w:w="0" w:type="dxa"/>
              <w:right w:w="108" w:type="dxa"/>
            </w:tcMar>
            <w:vAlign w:val="center"/>
            <w:hideMark/>
          </w:tcPr>
          <w:p w:rsidR="00250CFF" w:rsidRPr="00925621" w:rsidP="00CF3445" w14:paraId="33867F10" w14:textId="77777777">
            <w:pPr>
              <w:pStyle w:val="TableTextIndent1"/>
              <w:spacing w:before="0" w:after="0"/>
              <w:contextualSpacing/>
              <w:rPr>
                <w:rFonts w:ascii="Times New Roman" w:hAnsi="Times New Roman"/>
                <w:sz w:val="24"/>
                <w:szCs w:val="24"/>
                <w:lang w:bidi="he-IL"/>
              </w:rPr>
            </w:pPr>
            <w:r w:rsidRPr="00925621">
              <w:rPr>
                <w:rFonts w:ascii="Times New Roman" w:hAnsi="Times New Roman"/>
                <w:sz w:val="24"/>
                <w:szCs w:val="24"/>
                <w:lang w:bidi="he-IL"/>
              </w:rPr>
              <w:t>Total</w:t>
            </w:r>
          </w:p>
        </w:tc>
        <w:tc>
          <w:tcPr>
            <w:tcW w:w="1510" w:type="dxa"/>
            <w:tcMar>
              <w:top w:w="0" w:type="dxa"/>
              <w:left w:w="108" w:type="dxa"/>
              <w:bottom w:w="0" w:type="dxa"/>
              <w:right w:w="108" w:type="dxa"/>
            </w:tcMar>
            <w:vAlign w:val="center"/>
            <w:hideMark/>
          </w:tcPr>
          <w:p w:rsidR="00250CFF" w:rsidRPr="00925621" w:rsidP="00CF3445" w14:paraId="49C559CF" w14:textId="77777777">
            <w:pPr>
              <w:pStyle w:val="TableText"/>
              <w:spacing w:before="0" w:after="0"/>
              <w:ind w:right="78"/>
              <w:contextualSpacing/>
              <w:jc w:val="center"/>
              <w:rPr>
                <w:rFonts w:ascii="Times New Roman" w:hAnsi="Times New Roman" w:cs="Times New Roman"/>
                <w:sz w:val="24"/>
                <w:szCs w:val="24"/>
                <w:lang w:bidi="he-IL"/>
              </w:rPr>
            </w:pPr>
          </w:p>
        </w:tc>
        <w:tc>
          <w:tcPr>
            <w:tcW w:w="1414" w:type="dxa"/>
            <w:vAlign w:val="center"/>
          </w:tcPr>
          <w:p w:rsidR="00250CFF" w:rsidRPr="00925621" w:rsidP="00CF3445" w14:paraId="3313419A" w14:textId="77777777">
            <w:pPr>
              <w:ind w:right="78"/>
              <w:contextualSpacing/>
              <w:jc w:val="center"/>
              <w:rPr>
                <w:szCs w:val="24"/>
                <w:lang w:bidi="he-IL"/>
              </w:rPr>
            </w:pPr>
          </w:p>
        </w:tc>
        <w:tc>
          <w:tcPr>
            <w:tcW w:w="1225" w:type="dxa"/>
            <w:vAlign w:val="center"/>
          </w:tcPr>
          <w:p w:rsidR="00250CFF" w:rsidRPr="00925621" w:rsidP="00CF3445" w14:paraId="04C87DE7" w14:textId="77777777">
            <w:pPr>
              <w:ind w:right="78"/>
              <w:contextualSpacing/>
              <w:jc w:val="center"/>
              <w:rPr>
                <w:szCs w:val="24"/>
                <w:lang w:bidi="he-IL"/>
              </w:rPr>
            </w:pPr>
          </w:p>
        </w:tc>
        <w:tc>
          <w:tcPr>
            <w:tcW w:w="1324" w:type="dxa"/>
            <w:tcMar>
              <w:top w:w="0" w:type="dxa"/>
              <w:left w:w="108" w:type="dxa"/>
              <w:bottom w:w="0" w:type="dxa"/>
              <w:right w:w="108" w:type="dxa"/>
            </w:tcMar>
            <w:vAlign w:val="center"/>
          </w:tcPr>
          <w:p w:rsidR="00250CFF" w:rsidRPr="00925621" w:rsidP="00CF3445" w14:paraId="1A92A8F0" w14:textId="77777777">
            <w:pPr>
              <w:ind w:right="78"/>
              <w:contextualSpacing/>
              <w:jc w:val="center"/>
              <w:rPr>
                <w:color w:val="000000" w:themeColor="text1"/>
                <w:szCs w:val="24"/>
                <w:lang w:bidi="he-IL"/>
              </w:rPr>
            </w:pPr>
          </w:p>
        </w:tc>
        <w:tc>
          <w:tcPr>
            <w:tcW w:w="1041" w:type="dxa"/>
            <w:tcMar>
              <w:top w:w="0" w:type="dxa"/>
              <w:left w:w="108" w:type="dxa"/>
              <w:bottom w:w="0" w:type="dxa"/>
              <w:right w:w="108" w:type="dxa"/>
            </w:tcMar>
            <w:vAlign w:val="center"/>
            <w:hideMark/>
          </w:tcPr>
          <w:p w:rsidR="00250CFF" w:rsidRPr="00925621" w:rsidP="00CF3445" w14:paraId="0767C480" w14:textId="3E87CA18">
            <w:pPr>
              <w:ind w:right="78"/>
              <w:contextualSpacing/>
              <w:jc w:val="center"/>
              <w:rPr>
                <w:szCs w:val="24"/>
                <w:lang w:bidi="he-IL"/>
              </w:rPr>
            </w:pPr>
            <w:r w:rsidRPr="00925621">
              <w:rPr>
                <w:szCs w:val="24"/>
                <w:lang w:bidi="he-IL"/>
              </w:rPr>
              <w:t>150</w:t>
            </w:r>
          </w:p>
        </w:tc>
      </w:tr>
      <w:tr w14:paraId="28A7CB4F" w14:textId="77777777" w:rsidTr="00CF3445">
        <w:tblPrEx>
          <w:tblW w:w="9712" w:type="dxa"/>
          <w:jc w:val="center"/>
          <w:tblCellMar>
            <w:left w:w="0" w:type="dxa"/>
            <w:right w:w="0" w:type="dxa"/>
          </w:tblCellMar>
          <w:tblLook w:val="04A0"/>
        </w:tblPrEx>
        <w:trPr>
          <w:trHeight w:val="216"/>
          <w:jc w:val="center"/>
        </w:trPr>
        <w:tc>
          <w:tcPr>
            <w:tcW w:w="8671" w:type="dxa"/>
            <w:gridSpan w:val="5"/>
            <w:tcMar>
              <w:top w:w="0" w:type="dxa"/>
              <w:left w:w="108" w:type="dxa"/>
              <w:bottom w:w="0" w:type="dxa"/>
              <w:right w:w="108" w:type="dxa"/>
            </w:tcMar>
            <w:vAlign w:val="center"/>
            <w:hideMark/>
          </w:tcPr>
          <w:p w:rsidR="00250CFF" w:rsidRPr="00925621" w:rsidP="00CF3445" w14:paraId="5973C854" w14:textId="77777777">
            <w:pPr>
              <w:ind w:right="78"/>
              <w:contextualSpacing/>
              <w:rPr>
                <w:szCs w:val="24"/>
                <w:lang w:bidi="he-IL"/>
              </w:rPr>
            </w:pPr>
            <w:r w:rsidRPr="00925621">
              <w:rPr>
                <w:szCs w:val="24"/>
                <w:lang w:bidi="he-IL"/>
              </w:rPr>
              <w:t xml:space="preserve">Total                                                                                                                   </w:t>
            </w:r>
          </w:p>
        </w:tc>
        <w:tc>
          <w:tcPr>
            <w:tcW w:w="1041" w:type="dxa"/>
            <w:vAlign w:val="bottom"/>
          </w:tcPr>
          <w:p w:rsidR="00250CFF" w:rsidRPr="00925621" w:rsidP="00CF3445" w14:paraId="49D9192E" w14:textId="1CDB0126">
            <w:pPr>
              <w:ind w:right="78"/>
              <w:contextualSpacing/>
              <w:jc w:val="center"/>
              <w:rPr>
                <w:b/>
                <w:bCs/>
                <w:szCs w:val="24"/>
                <w:lang w:bidi="he-IL"/>
              </w:rPr>
            </w:pPr>
            <w:r w:rsidRPr="00925621">
              <w:rPr>
                <w:b/>
                <w:bCs/>
                <w:szCs w:val="24"/>
                <w:lang w:bidi="he-IL"/>
              </w:rPr>
              <w:t>1</w:t>
            </w:r>
            <w:r w:rsidRPr="00925621" w:rsidR="000573DF">
              <w:rPr>
                <w:b/>
                <w:bCs/>
                <w:szCs w:val="24"/>
                <w:lang w:bidi="he-IL"/>
              </w:rPr>
              <w:t>9</w:t>
            </w:r>
            <w:r w:rsidRPr="00925621" w:rsidR="00331ED5">
              <w:rPr>
                <w:b/>
                <w:bCs/>
                <w:szCs w:val="24"/>
                <w:lang w:bidi="he-IL"/>
              </w:rPr>
              <w:t>3</w:t>
            </w:r>
          </w:p>
        </w:tc>
      </w:tr>
    </w:tbl>
    <w:p w:rsidR="00DC1357" w:rsidP="62407F7B" w14:paraId="710BF23E" w14:textId="162FDE58">
      <w:pPr>
        <w:pStyle w:val="Heading4"/>
        <w:rPr>
          <w:rFonts w:eastAsia="Times New Roman"/>
        </w:rPr>
      </w:pPr>
      <w:r>
        <w:rPr>
          <w:rFonts w:eastAsia="Times New Roman"/>
        </w:rPr>
        <w:br/>
      </w:r>
      <w:r w:rsidRPr="62407F7B">
        <w:rPr>
          <w:rFonts w:eastAsia="Times New Roman"/>
        </w:rPr>
        <w:t>12b. Annualized Cost Burden Estimate</w:t>
      </w:r>
    </w:p>
    <w:p w:rsidR="00122CCC" w:rsidRPr="00122CCC" w:rsidP="6C00F014" w14:paraId="12D42B57" w14:textId="77777777">
      <w:pPr>
        <w:rPr>
          <w:rFonts w:eastAsia="Times New Roman"/>
          <w:szCs w:val="24"/>
        </w:rPr>
      </w:pPr>
    </w:p>
    <w:p w:rsidR="006079CB" w:rsidP="00B203A8" w14:paraId="74E7CA51" w14:textId="74211E34">
      <w:pPr>
        <w:autoSpaceDE w:val="0"/>
        <w:autoSpaceDN w:val="0"/>
        <w:adjustRightInd w:val="0"/>
        <w:ind w:left="360"/>
      </w:pPr>
      <w:r w:rsidRPr="008265FC">
        <w:t xml:space="preserve">To calculate </w:t>
      </w:r>
      <w:r w:rsidRPr="008A72B9">
        <w:t>the estimate</w:t>
      </w:r>
      <w:r>
        <w:t>d</w:t>
      </w:r>
      <w:r w:rsidRPr="008A72B9">
        <w:t xml:space="preserve"> annual </w:t>
      </w:r>
      <w:r w:rsidRPr="008265FC">
        <w:t>cost, the mean hourly wage of $7.25 was used for youth</w:t>
      </w:r>
      <w:r>
        <w:t xml:space="preserve"> and </w:t>
      </w:r>
      <w:r w:rsidRPr="00427FC4">
        <w:t>$</w:t>
      </w:r>
      <w:r w:rsidR="00293827">
        <w:t xml:space="preserve">28.01 </w:t>
      </w:r>
      <w:r w:rsidRPr="00427FC4">
        <w:t xml:space="preserve">was used for </w:t>
      </w:r>
      <w:r>
        <w:t>young adults</w:t>
      </w:r>
      <w:r w:rsidR="00277AAB">
        <w:t xml:space="preserve"> and parents of youth</w:t>
      </w:r>
      <w:r>
        <w:t xml:space="preserve">. </w:t>
      </w:r>
      <w:r w:rsidRPr="00C44863">
        <w:t xml:space="preserve">The youth price represents the minimum wage, and the </w:t>
      </w:r>
      <w:r>
        <w:t>young adult</w:t>
      </w:r>
      <w:r w:rsidRPr="00C44863">
        <w:t xml:space="preserve"> costs represent the mean hourly wage for </w:t>
      </w:r>
      <w:r>
        <w:t>other</w:t>
      </w:r>
      <w:r w:rsidRPr="00C44863">
        <w:t xml:space="preserve"> occupation</w:t>
      </w:r>
      <w:r>
        <w:t xml:space="preserve"> earning</w:t>
      </w:r>
      <w:r w:rsidRPr="00C44863">
        <w:t xml:space="preserve">s from the </w:t>
      </w:r>
      <w:r w:rsidRPr="005E3BBC">
        <w:t>U.S. Department of Labor Bureau of Labor Statistics</w:t>
      </w:r>
      <w:r w:rsidRPr="00C44863">
        <w:t xml:space="preserve"> (May 20</w:t>
      </w:r>
      <w:r>
        <w:t>2</w:t>
      </w:r>
      <w:r w:rsidR="001D7FA5">
        <w:t>1</w:t>
      </w:r>
      <w:r>
        <w:t xml:space="preserve"> </w:t>
      </w:r>
      <w:r w:rsidRPr="00C44863">
        <w:t xml:space="preserve">data). </w:t>
      </w:r>
      <w:r w:rsidRPr="008265FC">
        <w:t>There are no direct costs to respondents associated with participation i</w:t>
      </w:r>
      <w:r>
        <w:t xml:space="preserve">n this information collection. </w:t>
      </w:r>
      <w:r w:rsidRPr="008265FC">
        <w:t>Thus, assuming an average hourly wage of $7.25 and $</w:t>
      </w:r>
      <w:r w:rsidR="004C7FA9">
        <w:t>28.01</w:t>
      </w:r>
      <w:r w:rsidRPr="004C0C3A">
        <w:t xml:space="preserve"> </w:t>
      </w:r>
      <w:r w:rsidRPr="008265FC">
        <w:t xml:space="preserve">(youth and </w:t>
      </w:r>
      <w:r>
        <w:t>young adult</w:t>
      </w:r>
      <w:r w:rsidRPr="008265FC">
        <w:t>), the estimated one-year annualized cost to participants will be</w:t>
      </w:r>
      <w:r w:rsidR="007579AB">
        <w:rPr>
          <w:sz w:val="22"/>
        </w:rPr>
        <w:t xml:space="preserve"> $</w:t>
      </w:r>
      <w:r w:rsidR="002C693F">
        <w:rPr>
          <w:sz w:val="22"/>
        </w:rPr>
        <w:t>3,579.05</w:t>
      </w:r>
      <w:r w:rsidRPr="004F0C26">
        <w:t>.</w:t>
      </w:r>
      <w:r w:rsidRPr="008265FC">
        <w:t xml:space="preserve"> The estimated value of respondents’ time for participating in the information collection is summarized in </w:t>
      </w:r>
      <w:r>
        <w:t>Exhibit 2</w:t>
      </w:r>
      <w:r w:rsidRPr="008265FC">
        <w:t>.</w:t>
      </w:r>
      <w:r>
        <w:t xml:space="preserve"> </w:t>
      </w:r>
    </w:p>
    <w:p w:rsidR="006079CB" w14:paraId="3590ACE6" w14:textId="77777777">
      <w:r>
        <w:br w:type="page"/>
      </w:r>
    </w:p>
    <w:p w:rsidR="004C5DAF" w:rsidP="62407F7B" w14:paraId="7B496A20" w14:textId="77777777">
      <w:pPr>
        <w:keepNext/>
        <w:keepLines/>
        <w:spacing w:before="240" w:after="240"/>
        <w:ind w:left="720"/>
        <w:rPr>
          <w:b/>
          <w:bCs/>
          <w:color w:val="000000" w:themeColor="text1"/>
        </w:rPr>
      </w:pPr>
      <w:r w:rsidRPr="62407F7B">
        <w:rPr>
          <w:b/>
          <w:bCs/>
          <w:color w:val="000000" w:themeColor="text1"/>
        </w:rPr>
        <w:t>Exhibit 2. Estimated Annual Cost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394"/>
        <w:gridCol w:w="1926"/>
      </w:tblGrid>
      <w:tr w14:paraId="6BAF4C98" w14:textId="77777777" w:rsidTr="00CF3445">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60" w:type="dxa"/>
            <w:shd w:val="clear" w:color="auto" w:fill="auto"/>
          </w:tcPr>
          <w:p w:rsidR="004C5DAF" w:rsidRPr="00925621" w:rsidP="00CF3445" w14:paraId="4A79529F" w14:textId="77777777">
            <w:pPr>
              <w:rPr>
                <w:szCs w:val="24"/>
              </w:rPr>
            </w:pPr>
            <w:r w:rsidRPr="00925621">
              <w:rPr>
                <w:szCs w:val="24"/>
              </w:rPr>
              <w:t>Type of Respondent</w:t>
            </w:r>
          </w:p>
        </w:tc>
        <w:tc>
          <w:tcPr>
            <w:tcW w:w="1800" w:type="dxa"/>
            <w:shd w:val="clear" w:color="auto" w:fill="auto"/>
          </w:tcPr>
          <w:p w:rsidR="004C5DAF" w:rsidRPr="00925621" w:rsidP="00CF3445" w14:paraId="2B63877D" w14:textId="77777777">
            <w:pPr>
              <w:jc w:val="center"/>
              <w:rPr>
                <w:szCs w:val="24"/>
              </w:rPr>
            </w:pPr>
            <w:r w:rsidRPr="00925621">
              <w:rPr>
                <w:szCs w:val="24"/>
              </w:rPr>
              <w:t>Total Burden Hours</w:t>
            </w:r>
          </w:p>
        </w:tc>
        <w:tc>
          <w:tcPr>
            <w:tcW w:w="2394" w:type="dxa"/>
            <w:shd w:val="clear" w:color="auto" w:fill="auto"/>
          </w:tcPr>
          <w:p w:rsidR="004C5DAF" w:rsidRPr="00925621" w:rsidP="00CF3445" w14:paraId="24518534" w14:textId="77777777">
            <w:pPr>
              <w:jc w:val="center"/>
              <w:rPr>
                <w:szCs w:val="24"/>
              </w:rPr>
            </w:pPr>
            <w:r w:rsidRPr="00925621">
              <w:rPr>
                <w:szCs w:val="24"/>
              </w:rPr>
              <w:t>Hourly Wage Rate</w:t>
            </w:r>
          </w:p>
        </w:tc>
        <w:tc>
          <w:tcPr>
            <w:tcW w:w="1926" w:type="dxa"/>
            <w:shd w:val="clear" w:color="auto" w:fill="auto"/>
          </w:tcPr>
          <w:p w:rsidR="004C5DAF" w:rsidRPr="00925621" w:rsidP="00CF3445" w14:paraId="666FD79B" w14:textId="77777777">
            <w:pPr>
              <w:jc w:val="center"/>
              <w:rPr>
                <w:szCs w:val="24"/>
              </w:rPr>
            </w:pPr>
            <w:r w:rsidRPr="00925621">
              <w:rPr>
                <w:szCs w:val="24"/>
              </w:rPr>
              <w:t>Total Respondent Costs</w:t>
            </w:r>
          </w:p>
        </w:tc>
      </w:tr>
      <w:tr w14:paraId="0F4D495E" w14:textId="77777777" w:rsidTr="00CF3445">
        <w:tblPrEx>
          <w:tblW w:w="0" w:type="auto"/>
          <w:tblInd w:w="828" w:type="dxa"/>
          <w:tblLook w:val="01E0"/>
        </w:tblPrEx>
        <w:tc>
          <w:tcPr>
            <w:tcW w:w="2160" w:type="dxa"/>
            <w:shd w:val="clear" w:color="auto" w:fill="auto"/>
          </w:tcPr>
          <w:p w:rsidR="004C5DAF" w:rsidRPr="00925621" w:rsidP="00CF3445" w14:paraId="3F1A43A7" w14:textId="77777777">
            <w:pPr>
              <w:rPr>
                <w:szCs w:val="24"/>
              </w:rPr>
            </w:pPr>
            <w:r w:rsidRPr="00925621">
              <w:rPr>
                <w:szCs w:val="24"/>
              </w:rPr>
              <w:t>Youth</w:t>
            </w:r>
          </w:p>
        </w:tc>
        <w:tc>
          <w:tcPr>
            <w:tcW w:w="1800" w:type="dxa"/>
            <w:shd w:val="clear" w:color="auto" w:fill="auto"/>
            <w:vAlign w:val="center"/>
          </w:tcPr>
          <w:p w:rsidR="004C5DAF" w:rsidRPr="00925621" w:rsidP="00CF3445" w14:paraId="6DA22ED0" w14:textId="05A42A7D">
            <w:pPr>
              <w:jc w:val="center"/>
              <w:rPr>
                <w:szCs w:val="24"/>
              </w:rPr>
            </w:pPr>
            <w:r w:rsidRPr="00925621">
              <w:rPr>
                <w:szCs w:val="24"/>
              </w:rPr>
              <w:t>8</w:t>
            </w:r>
            <w:r w:rsidRPr="00925621" w:rsidR="00331ED5">
              <w:rPr>
                <w:szCs w:val="24"/>
              </w:rPr>
              <w:t>8</w:t>
            </w:r>
          </w:p>
        </w:tc>
        <w:tc>
          <w:tcPr>
            <w:tcW w:w="2394" w:type="dxa"/>
            <w:shd w:val="clear" w:color="auto" w:fill="auto"/>
            <w:vAlign w:val="center"/>
          </w:tcPr>
          <w:p w:rsidR="004C5DAF" w:rsidRPr="00925621" w:rsidP="00CF3445" w14:paraId="01EAD6E8" w14:textId="77777777">
            <w:pPr>
              <w:jc w:val="center"/>
              <w:rPr>
                <w:szCs w:val="24"/>
              </w:rPr>
            </w:pPr>
            <w:r w:rsidRPr="00925621">
              <w:rPr>
                <w:szCs w:val="24"/>
              </w:rPr>
              <w:t>$7.25</w:t>
            </w:r>
          </w:p>
        </w:tc>
        <w:tc>
          <w:tcPr>
            <w:tcW w:w="1926" w:type="dxa"/>
            <w:shd w:val="clear" w:color="auto" w:fill="auto"/>
          </w:tcPr>
          <w:p w:rsidR="004C5DAF" w:rsidRPr="00925621" w:rsidP="00CF3445" w14:paraId="294320C7" w14:textId="14E37C83">
            <w:pPr>
              <w:jc w:val="center"/>
              <w:rPr>
                <w:szCs w:val="24"/>
              </w:rPr>
            </w:pPr>
            <w:r w:rsidRPr="00925621">
              <w:rPr>
                <w:szCs w:val="24"/>
              </w:rPr>
              <w:t>$</w:t>
            </w:r>
            <w:r w:rsidRPr="00925621" w:rsidR="00CF7EBC">
              <w:rPr>
                <w:szCs w:val="24"/>
              </w:rPr>
              <w:t>638.00</w:t>
            </w:r>
          </w:p>
        </w:tc>
      </w:tr>
      <w:tr w14:paraId="0C96250F" w14:textId="77777777" w:rsidTr="00CF3445">
        <w:tblPrEx>
          <w:tblW w:w="0" w:type="auto"/>
          <w:tblInd w:w="828" w:type="dxa"/>
          <w:tblLook w:val="01E0"/>
        </w:tblPrEx>
        <w:tc>
          <w:tcPr>
            <w:tcW w:w="2160" w:type="dxa"/>
            <w:shd w:val="clear" w:color="auto" w:fill="auto"/>
          </w:tcPr>
          <w:p w:rsidR="00731895" w:rsidRPr="00925621" w:rsidP="00CF3445" w14:paraId="3DC95F34" w14:textId="5B5EF968">
            <w:pPr>
              <w:rPr>
                <w:szCs w:val="24"/>
              </w:rPr>
            </w:pPr>
            <w:r w:rsidRPr="00925621">
              <w:rPr>
                <w:szCs w:val="24"/>
              </w:rPr>
              <w:t>Parents of youth</w:t>
            </w:r>
          </w:p>
        </w:tc>
        <w:tc>
          <w:tcPr>
            <w:tcW w:w="1800" w:type="dxa"/>
            <w:shd w:val="clear" w:color="auto" w:fill="auto"/>
            <w:vAlign w:val="center"/>
          </w:tcPr>
          <w:p w:rsidR="00731895" w:rsidRPr="00925621" w:rsidP="00CF3445" w14:paraId="715625DB" w14:textId="721B2D44">
            <w:pPr>
              <w:jc w:val="center"/>
              <w:rPr>
                <w:szCs w:val="24"/>
              </w:rPr>
            </w:pPr>
            <w:r w:rsidRPr="00925621">
              <w:rPr>
                <w:szCs w:val="24"/>
                <w:lang w:bidi="he-IL"/>
              </w:rPr>
              <w:t>13</w:t>
            </w:r>
          </w:p>
        </w:tc>
        <w:tc>
          <w:tcPr>
            <w:tcW w:w="2394" w:type="dxa"/>
            <w:shd w:val="clear" w:color="auto" w:fill="auto"/>
            <w:vAlign w:val="center"/>
          </w:tcPr>
          <w:p w:rsidR="00731895" w:rsidRPr="00925621" w:rsidP="00CF3445" w14:paraId="10F725D7" w14:textId="762C7704">
            <w:pPr>
              <w:jc w:val="center"/>
              <w:rPr>
                <w:szCs w:val="24"/>
              </w:rPr>
            </w:pPr>
            <w:r w:rsidRPr="00925621">
              <w:rPr>
                <w:szCs w:val="24"/>
              </w:rPr>
              <w:t>$</w:t>
            </w:r>
            <w:r w:rsidRPr="00925621" w:rsidR="004C7FA9">
              <w:rPr>
                <w:szCs w:val="24"/>
              </w:rPr>
              <w:t>28.01</w:t>
            </w:r>
          </w:p>
        </w:tc>
        <w:tc>
          <w:tcPr>
            <w:tcW w:w="1926" w:type="dxa"/>
            <w:shd w:val="clear" w:color="auto" w:fill="auto"/>
          </w:tcPr>
          <w:p w:rsidR="00731895" w:rsidRPr="00925621" w:rsidP="00CF3445" w14:paraId="74737681" w14:textId="22DED4F5">
            <w:pPr>
              <w:jc w:val="center"/>
              <w:rPr>
                <w:szCs w:val="24"/>
              </w:rPr>
            </w:pPr>
            <w:r w:rsidRPr="00925621">
              <w:rPr>
                <w:szCs w:val="24"/>
              </w:rPr>
              <w:t>$</w:t>
            </w:r>
            <w:r w:rsidRPr="00925621" w:rsidR="00A03FB7">
              <w:rPr>
                <w:szCs w:val="24"/>
              </w:rPr>
              <w:t>364.13</w:t>
            </w:r>
          </w:p>
        </w:tc>
      </w:tr>
      <w:tr w14:paraId="2910C2F8" w14:textId="77777777" w:rsidTr="00CF3445">
        <w:tblPrEx>
          <w:tblW w:w="0" w:type="auto"/>
          <w:tblInd w:w="828" w:type="dxa"/>
          <w:tblLook w:val="01E0"/>
        </w:tblPrEx>
        <w:tc>
          <w:tcPr>
            <w:tcW w:w="2160" w:type="dxa"/>
            <w:shd w:val="clear" w:color="auto" w:fill="auto"/>
          </w:tcPr>
          <w:p w:rsidR="004C5DAF" w:rsidRPr="00925621" w:rsidP="00CF3445" w14:paraId="230441D0" w14:textId="77777777">
            <w:pPr>
              <w:rPr>
                <w:szCs w:val="24"/>
              </w:rPr>
            </w:pPr>
            <w:r w:rsidRPr="00925621">
              <w:rPr>
                <w:szCs w:val="24"/>
              </w:rPr>
              <w:t>Young adults</w:t>
            </w:r>
          </w:p>
        </w:tc>
        <w:tc>
          <w:tcPr>
            <w:tcW w:w="1800" w:type="dxa"/>
            <w:shd w:val="clear" w:color="auto" w:fill="auto"/>
            <w:vAlign w:val="center"/>
          </w:tcPr>
          <w:p w:rsidR="004C5DAF" w:rsidRPr="00925621" w:rsidP="00CF3445" w14:paraId="755D97E9" w14:textId="599C8242">
            <w:pPr>
              <w:jc w:val="center"/>
              <w:rPr>
                <w:szCs w:val="24"/>
              </w:rPr>
            </w:pPr>
            <w:r w:rsidRPr="00925621">
              <w:rPr>
                <w:szCs w:val="24"/>
              </w:rPr>
              <w:t>9</w:t>
            </w:r>
            <w:r w:rsidRPr="00925621" w:rsidR="00331ED5">
              <w:rPr>
                <w:szCs w:val="24"/>
              </w:rPr>
              <w:t>2</w:t>
            </w:r>
          </w:p>
        </w:tc>
        <w:tc>
          <w:tcPr>
            <w:tcW w:w="2394" w:type="dxa"/>
            <w:shd w:val="clear" w:color="auto" w:fill="auto"/>
            <w:vAlign w:val="center"/>
          </w:tcPr>
          <w:p w:rsidR="004C5DAF" w:rsidRPr="00925621" w:rsidP="00CF3445" w14:paraId="2299AD33" w14:textId="643E1436">
            <w:pPr>
              <w:jc w:val="center"/>
              <w:rPr>
                <w:szCs w:val="24"/>
              </w:rPr>
            </w:pPr>
            <w:r w:rsidRPr="00925621">
              <w:rPr>
                <w:szCs w:val="24"/>
              </w:rPr>
              <w:t>$</w:t>
            </w:r>
            <w:r w:rsidRPr="00925621" w:rsidR="004C7FA9">
              <w:rPr>
                <w:szCs w:val="24"/>
              </w:rPr>
              <w:t>28.01</w:t>
            </w:r>
          </w:p>
        </w:tc>
        <w:tc>
          <w:tcPr>
            <w:tcW w:w="1926" w:type="dxa"/>
            <w:shd w:val="clear" w:color="auto" w:fill="auto"/>
          </w:tcPr>
          <w:p w:rsidR="004C5DAF" w:rsidRPr="00925621" w:rsidP="00CF3445" w14:paraId="7C963233" w14:textId="3C9A4D95">
            <w:pPr>
              <w:jc w:val="center"/>
              <w:rPr>
                <w:szCs w:val="24"/>
              </w:rPr>
            </w:pPr>
            <w:r w:rsidRPr="00925621">
              <w:rPr>
                <w:szCs w:val="24"/>
              </w:rPr>
              <w:t>$</w:t>
            </w:r>
            <w:r w:rsidRPr="00925621" w:rsidR="00A03FB7">
              <w:rPr>
                <w:szCs w:val="24"/>
              </w:rPr>
              <w:t>2</w:t>
            </w:r>
            <w:r w:rsidRPr="00925621" w:rsidR="00061895">
              <w:rPr>
                <w:szCs w:val="24"/>
              </w:rPr>
              <w:t>,</w:t>
            </w:r>
            <w:r w:rsidRPr="00925621" w:rsidR="00A03FB7">
              <w:rPr>
                <w:szCs w:val="24"/>
              </w:rPr>
              <w:t>576.92</w:t>
            </w:r>
          </w:p>
        </w:tc>
      </w:tr>
      <w:tr w14:paraId="43E40134" w14:textId="77777777" w:rsidTr="00CF3445">
        <w:tblPrEx>
          <w:tblW w:w="0" w:type="auto"/>
          <w:tblInd w:w="828" w:type="dxa"/>
          <w:tblLook w:val="01E0"/>
        </w:tblPrEx>
        <w:tc>
          <w:tcPr>
            <w:tcW w:w="6354" w:type="dxa"/>
            <w:gridSpan w:val="3"/>
            <w:shd w:val="clear" w:color="auto" w:fill="auto"/>
          </w:tcPr>
          <w:p w:rsidR="004C5DAF" w:rsidRPr="00925621" w:rsidP="00CF3445" w14:paraId="03146210" w14:textId="77777777">
            <w:pPr>
              <w:rPr>
                <w:szCs w:val="24"/>
              </w:rPr>
            </w:pPr>
            <w:r w:rsidRPr="00925621">
              <w:rPr>
                <w:szCs w:val="24"/>
              </w:rPr>
              <w:t>Total</w:t>
            </w:r>
          </w:p>
        </w:tc>
        <w:tc>
          <w:tcPr>
            <w:tcW w:w="1926" w:type="dxa"/>
            <w:shd w:val="clear" w:color="auto" w:fill="auto"/>
          </w:tcPr>
          <w:p w:rsidR="004C5DAF" w:rsidRPr="00925621" w:rsidP="00CF3445" w14:paraId="4002BB9B" w14:textId="34340268">
            <w:pPr>
              <w:jc w:val="center"/>
              <w:rPr>
                <w:b/>
                <w:bCs/>
                <w:szCs w:val="24"/>
              </w:rPr>
            </w:pPr>
            <w:r w:rsidRPr="00925621">
              <w:rPr>
                <w:b/>
                <w:bCs/>
                <w:szCs w:val="24"/>
              </w:rPr>
              <w:t>$</w:t>
            </w:r>
            <w:r w:rsidRPr="00925621" w:rsidR="00061895">
              <w:rPr>
                <w:b/>
                <w:bCs/>
                <w:szCs w:val="24"/>
              </w:rPr>
              <w:t>3,579.05</w:t>
            </w:r>
          </w:p>
        </w:tc>
      </w:tr>
    </w:tbl>
    <w:p w:rsidR="000E5A7E" w:rsidP="006A44A5" w14:paraId="086DC9E9" w14:textId="5A9B62F3">
      <w:pPr>
        <w:pStyle w:val="Heading3"/>
        <w:numPr>
          <w:ilvl w:val="0"/>
          <w:numId w:val="16"/>
        </w:numPr>
        <w:rPr>
          <w:rStyle w:val="eop"/>
          <w:color w:val="000000"/>
          <w:shd w:val="clear" w:color="auto" w:fill="FFFFFF"/>
        </w:rPr>
      </w:pPr>
      <w:r>
        <w:rPr>
          <w:rStyle w:val="normaltextrun"/>
          <w:rFonts w:eastAsia="SimSun"/>
          <w:color w:val="000000"/>
          <w:shd w:val="clear" w:color="auto" w:fill="FFFFFF"/>
        </w:rPr>
        <w:t>Estimates of Other Total Annual Costs to Respondents/Recordkeepers or Capital Costs </w:t>
      </w:r>
    </w:p>
    <w:p w:rsidR="00D67A2D" w:rsidP="00F81DB0" w14:paraId="7C457AA5" w14:textId="77777777">
      <w:pPr>
        <w:rPr>
          <w:bCs/>
        </w:rPr>
      </w:pPr>
      <w:bookmarkStart w:id="4" w:name="_Hlk16069954"/>
      <w:r w:rsidRPr="00EF34D3">
        <w:t>There are no capital costs or operating and maintenance costs associated with this collection of information.</w:t>
      </w:r>
    </w:p>
    <w:bookmarkEnd w:id="4"/>
    <w:p w:rsidR="5C8241EF" w:rsidRPr="007579AB" w:rsidP="006A44A5" w14:paraId="7F9318B7" w14:textId="72642F0C">
      <w:pPr>
        <w:pStyle w:val="Heading3"/>
        <w:numPr>
          <w:ilvl w:val="0"/>
          <w:numId w:val="16"/>
        </w:numPr>
      </w:pPr>
      <w:r w:rsidRPr="007579AB">
        <w:t>Annualized Cost to the Federal Government</w:t>
      </w:r>
    </w:p>
    <w:p w:rsidR="5C8241EF" w:rsidP="00F81DB0" w14:paraId="6E7A8359" w14:textId="0C16AE83">
      <w:pPr>
        <w:rPr>
          <w:rFonts w:eastAsia="Times New Roman"/>
          <w:szCs w:val="24"/>
        </w:rPr>
      </w:pPr>
      <w:r w:rsidRPr="5C8241EF">
        <w:rPr>
          <w:rFonts w:eastAsia="Times New Roman"/>
          <w:szCs w:val="24"/>
        </w:rPr>
        <w:t xml:space="preserve">This information collection is funded through a collaborative agreement with Johns Hopkins University. The estimated costs attributable to this data </w:t>
      </w:r>
      <w:r w:rsidRPr="0095397C">
        <w:rPr>
          <w:rFonts w:eastAsia="Times New Roman"/>
          <w:szCs w:val="24"/>
        </w:rPr>
        <w:t>collection are $</w:t>
      </w:r>
      <w:r w:rsidR="008C2A32">
        <w:rPr>
          <w:rFonts w:eastAsia="Times New Roman"/>
          <w:szCs w:val="24"/>
        </w:rPr>
        <w:t>178,313</w:t>
      </w:r>
      <w:r w:rsidRPr="0095397C">
        <w:rPr>
          <w:rFonts w:eastAsia="Times New Roman"/>
          <w:szCs w:val="24"/>
        </w:rPr>
        <w:t xml:space="preserve"> per year</w:t>
      </w:r>
      <w:r w:rsidRPr="5C8241EF">
        <w:rPr>
          <w:rFonts w:eastAsia="Times New Roman"/>
          <w:szCs w:val="24"/>
        </w:rPr>
        <w:t xml:space="preserve">. (Table 3). There are additional </w:t>
      </w:r>
      <w:r w:rsidR="00567E65">
        <w:rPr>
          <w:rFonts w:eastAsia="Times New Roman"/>
          <w:szCs w:val="24"/>
        </w:rPr>
        <w:t>grant</w:t>
      </w:r>
      <w:r w:rsidRPr="5C8241EF">
        <w:rPr>
          <w:rFonts w:eastAsia="Times New Roman"/>
          <w:szCs w:val="24"/>
        </w:rPr>
        <w:t xml:space="preserve">-funded activities occurring before and after this data collection that include project planning and data analysis. Other activities outside this data collection include coordination with FDA, instrument development, reporting, IRB, project management and progress reporting. This information collection will occur for </w:t>
      </w:r>
      <w:r w:rsidR="007579AB">
        <w:rPr>
          <w:rFonts w:eastAsia="Times New Roman"/>
          <w:szCs w:val="24"/>
        </w:rPr>
        <w:t>one</w:t>
      </w:r>
      <w:r w:rsidRPr="5C8241EF">
        <w:rPr>
          <w:rFonts w:eastAsia="Times New Roman"/>
          <w:szCs w:val="24"/>
        </w:rPr>
        <w:t xml:space="preserve"> year. </w:t>
      </w:r>
    </w:p>
    <w:p w:rsidR="00EB5DA5" w:rsidP="5C8241EF" w14:paraId="5D3188F7" w14:textId="6941FC6F">
      <w:pPr>
        <w:rPr>
          <w:rFonts w:eastAsia="Times New Roman"/>
          <w:szCs w:val="24"/>
        </w:rPr>
      </w:pPr>
    </w:p>
    <w:p w:rsidR="5C8241EF" w:rsidP="00F81DB0" w14:paraId="5D72250B" w14:textId="49ED6D4E">
      <w:r w:rsidRPr="5C8241EF">
        <w:rPr>
          <w:rFonts w:eastAsia="Times New Roman"/>
          <w:b/>
          <w:bCs/>
          <w:szCs w:val="24"/>
        </w:rPr>
        <w:t>Table 3. Itemized Cost to the Federal Government</w:t>
      </w:r>
      <w:r w:rsidR="00892FF0">
        <w:rPr>
          <w:rFonts w:eastAsia="Times New Roman"/>
          <w:b/>
          <w:bCs/>
          <w:szCs w:val="24"/>
        </w:rPr>
        <w:br/>
      </w:r>
    </w:p>
    <w:tbl>
      <w:tblPr>
        <w:tblW w:w="8730" w:type="dxa"/>
        <w:tblInd w:w="720" w:type="dxa"/>
        <w:tblLayout w:type="fixed"/>
        <w:tblLook w:val="04A0"/>
      </w:tblPr>
      <w:tblGrid>
        <w:gridCol w:w="2355"/>
        <w:gridCol w:w="1995"/>
        <w:gridCol w:w="2685"/>
        <w:gridCol w:w="1695"/>
      </w:tblGrid>
      <w:tr w14:paraId="3DB133B5" w14:textId="77777777" w:rsidTr="00C76439">
        <w:tblPrEx>
          <w:tblW w:w="8730" w:type="dxa"/>
          <w:tblInd w:w="720" w:type="dxa"/>
          <w:tblLayout w:type="fixed"/>
          <w:tblLook w:val="04A0"/>
        </w:tblPrEx>
        <w:trPr>
          <w:trHeight w:val="105"/>
        </w:trPr>
        <w:tc>
          <w:tcPr>
            <w:tcW w:w="2355" w:type="dxa"/>
            <w:tcBorders>
              <w:top w:val="single" w:sz="12" w:space="0" w:color="auto"/>
              <w:left w:val="nil"/>
              <w:bottom w:val="single" w:sz="8" w:space="0" w:color="auto"/>
              <w:right w:val="single" w:sz="8" w:space="0" w:color="auto"/>
            </w:tcBorders>
            <w:vAlign w:val="center"/>
          </w:tcPr>
          <w:p w:rsidR="5C8241EF" w:rsidRPr="00925621" w:rsidP="007579AB" w14:paraId="0AE4C9EF" w14:textId="61F1EFF0">
            <w:pPr>
              <w:jc w:val="center"/>
              <w:rPr>
                <w:rFonts w:eastAsia="Times New Roman"/>
                <w:b/>
                <w:bCs/>
                <w:szCs w:val="24"/>
              </w:rPr>
            </w:pPr>
            <w:r w:rsidRPr="00925621">
              <w:rPr>
                <w:rFonts w:eastAsia="Times New Roman"/>
                <w:b/>
                <w:bCs/>
                <w:szCs w:val="24"/>
              </w:rPr>
              <w:t>Government Personnel</w:t>
            </w:r>
          </w:p>
        </w:tc>
        <w:tc>
          <w:tcPr>
            <w:tcW w:w="1995" w:type="dxa"/>
            <w:tcBorders>
              <w:top w:val="single" w:sz="12" w:space="0" w:color="auto"/>
              <w:left w:val="single" w:sz="8" w:space="0" w:color="auto"/>
              <w:bottom w:val="single" w:sz="8" w:space="0" w:color="auto"/>
              <w:right w:val="single" w:sz="8" w:space="0" w:color="auto"/>
            </w:tcBorders>
            <w:vAlign w:val="center"/>
          </w:tcPr>
          <w:p w:rsidR="5C8241EF" w:rsidRPr="00925621" w:rsidP="007579AB" w14:paraId="41A6332A" w14:textId="5E4DCF98">
            <w:pPr>
              <w:jc w:val="center"/>
              <w:rPr>
                <w:rFonts w:eastAsia="Times New Roman"/>
                <w:b/>
                <w:bCs/>
                <w:szCs w:val="24"/>
              </w:rPr>
            </w:pPr>
            <w:r w:rsidRPr="00925621">
              <w:rPr>
                <w:rFonts w:eastAsia="Times New Roman"/>
                <w:b/>
                <w:bCs/>
                <w:szCs w:val="24"/>
              </w:rPr>
              <w:t>Time Commitment</w:t>
            </w:r>
          </w:p>
        </w:tc>
        <w:tc>
          <w:tcPr>
            <w:tcW w:w="2685" w:type="dxa"/>
            <w:tcBorders>
              <w:top w:val="single" w:sz="12" w:space="0" w:color="auto"/>
              <w:left w:val="single" w:sz="8" w:space="0" w:color="auto"/>
              <w:bottom w:val="single" w:sz="8" w:space="0" w:color="auto"/>
              <w:right w:val="single" w:sz="8" w:space="0" w:color="auto"/>
            </w:tcBorders>
            <w:vAlign w:val="center"/>
          </w:tcPr>
          <w:p w:rsidR="5C8241EF" w:rsidRPr="00925621" w:rsidP="007579AB" w14:paraId="068D56EA" w14:textId="06F35B84">
            <w:pPr>
              <w:jc w:val="right"/>
              <w:rPr>
                <w:rFonts w:eastAsia="Times New Roman"/>
                <w:b/>
                <w:bCs/>
                <w:szCs w:val="24"/>
              </w:rPr>
            </w:pPr>
            <w:r w:rsidRPr="00925621">
              <w:rPr>
                <w:rFonts w:eastAsia="Times New Roman"/>
                <w:b/>
                <w:bCs/>
                <w:szCs w:val="24"/>
              </w:rPr>
              <w:t>Average Annual Salary</w:t>
            </w:r>
          </w:p>
        </w:tc>
        <w:tc>
          <w:tcPr>
            <w:tcW w:w="1695" w:type="dxa"/>
            <w:tcBorders>
              <w:top w:val="single" w:sz="12" w:space="0" w:color="auto"/>
              <w:left w:val="single" w:sz="8" w:space="0" w:color="auto"/>
              <w:bottom w:val="single" w:sz="8" w:space="0" w:color="auto"/>
              <w:right w:val="nil"/>
            </w:tcBorders>
            <w:vAlign w:val="center"/>
          </w:tcPr>
          <w:p w:rsidR="5C8241EF" w:rsidRPr="00925621" w:rsidP="007579AB" w14:paraId="6AFE24FD" w14:textId="1D46E510">
            <w:pPr>
              <w:jc w:val="center"/>
              <w:rPr>
                <w:rFonts w:eastAsia="Times New Roman"/>
                <w:b/>
                <w:bCs/>
                <w:szCs w:val="24"/>
                <w:vertAlign w:val="superscript"/>
              </w:rPr>
            </w:pPr>
            <w:r w:rsidRPr="00925621">
              <w:rPr>
                <w:rFonts w:eastAsia="Times New Roman"/>
                <w:b/>
                <w:bCs/>
                <w:szCs w:val="24"/>
              </w:rPr>
              <w:t>Total</w:t>
            </w:r>
            <w:r w:rsidRPr="00925621">
              <w:rPr>
                <w:rFonts w:eastAsia="Times New Roman"/>
                <w:b/>
                <w:bCs/>
                <w:szCs w:val="24"/>
                <w:vertAlign w:val="superscript"/>
              </w:rPr>
              <w:t>1</w:t>
            </w:r>
          </w:p>
        </w:tc>
      </w:tr>
      <w:tr w14:paraId="00D454CC" w14:textId="77777777" w:rsidTr="00C76439">
        <w:tblPrEx>
          <w:tblW w:w="8730" w:type="dxa"/>
          <w:tblInd w:w="720" w:type="dxa"/>
          <w:tblLayout w:type="fixed"/>
          <w:tblLook w:val="04A0"/>
        </w:tblPrEx>
        <w:trPr>
          <w:trHeight w:val="375"/>
        </w:trPr>
        <w:tc>
          <w:tcPr>
            <w:tcW w:w="2355" w:type="dxa"/>
            <w:tcBorders>
              <w:top w:val="single" w:sz="8" w:space="0" w:color="auto"/>
              <w:left w:val="nil"/>
              <w:bottom w:val="single" w:sz="8" w:space="0" w:color="auto"/>
              <w:right w:val="single" w:sz="8" w:space="0" w:color="auto"/>
            </w:tcBorders>
            <w:vAlign w:val="center"/>
          </w:tcPr>
          <w:p w:rsidR="5C8241EF" w:rsidRPr="00925621" w:rsidP="007579AB" w14:paraId="02D2B351" w14:textId="60534A8D">
            <w:pPr>
              <w:jc w:val="center"/>
              <w:rPr>
                <w:rFonts w:eastAsia="Times New Roman"/>
                <w:szCs w:val="24"/>
              </w:rPr>
            </w:pPr>
            <w:r w:rsidRPr="00925621">
              <w:rPr>
                <w:rFonts w:eastAsia="Times New Roman"/>
                <w:szCs w:val="24"/>
              </w:rPr>
              <w:t>GS-12</w:t>
            </w:r>
          </w:p>
        </w:tc>
        <w:tc>
          <w:tcPr>
            <w:tcW w:w="1995" w:type="dxa"/>
            <w:tcBorders>
              <w:top w:val="single" w:sz="8" w:space="0" w:color="auto"/>
              <w:left w:val="single" w:sz="8" w:space="0" w:color="auto"/>
              <w:bottom w:val="single" w:sz="8" w:space="0" w:color="auto"/>
              <w:right w:val="single" w:sz="8" w:space="0" w:color="auto"/>
            </w:tcBorders>
            <w:vAlign w:val="center"/>
          </w:tcPr>
          <w:p w:rsidR="5C8241EF" w:rsidRPr="00925621" w:rsidP="007579AB" w14:paraId="18767204" w14:textId="019349FB">
            <w:pPr>
              <w:jc w:val="center"/>
              <w:rPr>
                <w:rFonts w:eastAsia="Times New Roman"/>
                <w:szCs w:val="24"/>
              </w:rPr>
            </w:pPr>
            <w:r w:rsidRPr="00925621">
              <w:rPr>
                <w:rFonts w:eastAsia="Times New Roman"/>
                <w:szCs w:val="24"/>
              </w:rPr>
              <w:t>5%</w:t>
            </w:r>
          </w:p>
        </w:tc>
        <w:tc>
          <w:tcPr>
            <w:tcW w:w="2685" w:type="dxa"/>
            <w:tcBorders>
              <w:top w:val="single" w:sz="8" w:space="0" w:color="auto"/>
              <w:left w:val="single" w:sz="8" w:space="0" w:color="auto"/>
              <w:bottom w:val="single" w:sz="8" w:space="0" w:color="auto"/>
              <w:right w:val="single" w:sz="8" w:space="0" w:color="auto"/>
            </w:tcBorders>
            <w:vAlign w:val="center"/>
          </w:tcPr>
          <w:p w:rsidR="5C8241EF" w:rsidRPr="00925621" w:rsidP="007579AB" w14:paraId="72BFAA84" w14:textId="2777586D">
            <w:pPr>
              <w:jc w:val="right"/>
              <w:rPr>
                <w:rFonts w:eastAsia="Times New Roman"/>
                <w:szCs w:val="24"/>
              </w:rPr>
            </w:pPr>
            <w:r w:rsidRPr="00925621">
              <w:rPr>
                <w:rFonts w:eastAsia="Times New Roman"/>
                <w:szCs w:val="24"/>
              </w:rPr>
              <w:t>$86,335</w:t>
            </w:r>
          </w:p>
        </w:tc>
        <w:tc>
          <w:tcPr>
            <w:tcW w:w="1695" w:type="dxa"/>
            <w:tcBorders>
              <w:top w:val="single" w:sz="8" w:space="0" w:color="auto"/>
              <w:left w:val="single" w:sz="8" w:space="0" w:color="auto"/>
              <w:bottom w:val="single" w:sz="8" w:space="0" w:color="auto"/>
              <w:right w:val="nil"/>
            </w:tcBorders>
            <w:vAlign w:val="center"/>
          </w:tcPr>
          <w:p w:rsidR="5C8241EF" w:rsidRPr="00925621" w:rsidP="007579AB" w14:paraId="43E5616E" w14:textId="2F48FD08">
            <w:pPr>
              <w:jc w:val="right"/>
              <w:rPr>
                <w:rFonts w:eastAsia="Times New Roman"/>
                <w:szCs w:val="24"/>
              </w:rPr>
            </w:pPr>
            <w:r w:rsidRPr="00925621">
              <w:rPr>
                <w:rFonts w:eastAsia="Times New Roman"/>
                <w:szCs w:val="24"/>
              </w:rPr>
              <w:t>$4,317</w:t>
            </w:r>
          </w:p>
        </w:tc>
      </w:tr>
      <w:tr w14:paraId="1B34DC35" w14:textId="77777777" w:rsidTr="00C76439">
        <w:tblPrEx>
          <w:tblW w:w="8730" w:type="dxa"/>
          <w:tblInd w:w="720" w:type="dxa"/>
          <w:tblLayout w:type="fixed"/>
          <w:tblLook w:val="04A0"/>
        </w:tblPrEx>
        <w:trPr>
          <w:trHeight w:val="255"/>
        </w:trPr>
        <w:tc>
          <w:tcPr>
            <w:tcW w:w="2355" w:type="dxa"/>
            <w:tcBorders>
              <w:top w:val="single" w:sz="8" w:space="0" w:color="auto"/>
              <w:left w:val="nil"/>
              <w:bottom w:val="single" w:sz="8" w:space="0" w:color="auto"/>
              <w:right w:val="single" w:sz="8" w:space="0" w:color="auto"/>
            </w:tcBorders>
            <w:vAlign w:val="center"/>
          </w:tcPr>
          <w:p w:rsidR="5C8241EF" w:rsidRPr="00925621" w:rsidP="007579AB" w14:paraId="28EA6AD2" w14:textId="49A70D28">
            <w:pPr>
              <w:jc w:val="center"/>
              <w:rPr>
                <w:rFonts w:eastAsia="Times New Roman"/>
                <w:szCs w:val="24"/>
              </w:rPr>
            </w:pPr>
            <w:r w:rsidRPr="00925621">
              <w:rPr>
                <w:rFonts w:eastAsia="Times New Roman"/>
                <w:szCs w:val="24"/>
              </w:rPr>
              <w:t>GS-13</w:t>
            </w:r>
          </w:p>
        </w:tc>
        <w:tc>
          <w:tcPr>
            <w:tcW w:w="1995" w:type="dxa"/>
            <w:tcBorders>
              <w:top w:val="single" w:sz="8" w:space="0" w:color="auto"/>
              <w:left w:val="single" w:sz="8" w:space="0" w:color="auto"/>
              <w:bottom w:val="single" w:sz="8" w:space="0" w:color="auto"/>
              <w:right w:val="single" w:sz="8" w:space="0" w:color="auto"/>
            </w:tcBorders>
            <w:vAlign w:val="center"/>
          </w:tcPr>
          <w:p w:rsidR="5C8241EF" w:rsidRPr="00925621" w:rsidP="007579AB" w14:paraId="1926E856" w14:textId="0E45D5B5">
            <w:pPr>
              <w:jc w:val="center"/>
              <w:rPr>
                <w:rFonts w:eastAsia="Times New Roman"/>
                <w:szCs w:val="24"/>
              </w:rPr>
            </w:pPr>
            <w:r w:rsidRPr="00925621">
              <w:rPr>
                <w:rFonts w:eastAsia="Times New Roman"/>
                <w:szCs w:val="24"/>
              </w:rPr>
              <w:t>10%</w:t>
            </w:r>
          </w:p>
        </w:tc>
        <w:tc>
          <w:tcPr>
            <w:tcW w:w="2685" w:type="dxa"/>
            <w:tcBorders>
              <w:top w:val="single" w:sz="8" w:space="0" w:color="auto"/>
              <w:left w:val="single" w:sz="8" w:space="0" w:color="auto"/>
              <w:bottom w:val="single" w:sz="8" w:space="0" w:color="auto"/>
              <w:right w:val="single" w:sz="8" w:space="0" w:color="auto"/>
            </w:tcBorders>
            <w:vAlign w:val="center"/>
          </w:tcPr>
          <w:p w:rsidR="5C8241EF" w:rsidRPr="00925621" w:rsidP="007579AB" w14:paraId="102CD104" w14:textId="2DFB3E13">
            <w:pPr>
              <w:jc w:val="right"/>
              <w:rPr>
                <w:rFonts w:eastAsia="Times New Roman"/>
                <w:szCs w:val="24"/>
              </w:rPr>
            </w:pPr>
            <w:r w:rsidRPr="00925621">
              <w:rPr>
                <w:rFonts w:eastAsia="Times New Roman"/>
                <w:szCs w:val="24"/>
              </w:rPr>
              <w:t>$102,663</w:t>
            </w:r>
          </w:p>
        </w:tc>
        <w:tc>
          <w:tcPr>
            <w:tcW w:w="1695" w:type="dxa"/>
            <w:tcBorders>
              <w:top w:val="single" w:sz="8" w:space="0" w:color="auto"/>
              <w:left w:val="single" w:sz="8" w:space="0" w:color="auto"/>
              <w:bottom w:val="single" w:sz="8" w:space="0" w:color="auto"/>
              <w:right w:val="nil"/>
            </w:tcBorders>
            <w:vAlign w:val="center"/>
          </w:tcPr>
          <w:p w:rsidR="5C8241EF" w:rsidRPr="00925621" w:rsidP="007579AB" w14:paraId="4A8EA83C" w14:textId="00F0B36E">
            <w:pPr>
              <w:jc w:val="right"/>
              <w:rPr>
                <w:rFonts w:eastAsia="Times New Roman"/>
                <w:szCs w:val="24"/>
              </w:rPr>
            </w:pPr>
            <w:r w:rsidRPr="00925621">
              <w:rPr>
                <w:rFonts w:eastAsia="Times New Roman"/>
                <w:szCs w:val="24"/>
              </w:rPr>
              <w:t>$10,266</w:t>
            </w:r>
          </w:p>
        </w:tc>
      </w:tr>
      <w:tr w14:paraId="4DBD4BAE" w14:textId="77777777" w:rsidTr="00C76439">
        <w:tblPrEx>
          <w:tblW w:w="8730" w:type="dxa"/>
          <w:tblInd w:w="720" w:type="dxa"/>
          <w:tblLayout w:type="fixed"/>
          <w:tblLook w:val="04A0"/>
        </w:tblPrEx>
        <w:trPr>
          <w:trHeight w:val="255"/>
        </w:trPr>
        <w:tc>
          <w:tcPr>
            <w:tcW w:w="2355" w:type="dxa"/>
            <w:tcBorders>
              <w:top w:val="single" w:sz="8" w:space="0" w:color="auto"/>
              <w:left w:val="nil"/>
              <w:bottom w:val="single" w:sz="8" w:space="0" w:color="auto"/>
              <w:right w:val="single" w:sz="8" w:space="0" w:color="auto"/>
            </w:tcBorders>
          </w:tcPr>
          <w:p w:rsidR="5C8241EF" w:rsidRPr="00925621" w:rsidP="007579AB" w14:paraId="3D8ADE51" w14:textId="3E930514">
            <w:pPr>
              <w:jc w:val="center"/>
              <w:rPr>
                <w:rFonts w:eastAsia="Times New Roman"/>
                <w:szCs w:val="24"/>
              </w:rPr>
            </w:pPr>
            <w:r w:rsidRPr="00925621">
              <w:rPr>
                <w:rFonts w:eastAsia="Times New Roman"/>
                <w:szCs w:val="24"/>
              </w:rPr>
              <w:t xml:space="preserve"> </w:t>
            </w:r>
          </w:p>
        </w:tc>
        <w:tc>
          <w:tcPr>
            <w:tcW w:w="1995" w:type="dxa"/>
            <w:tcBorders>
              <w:top w:val="single" w:sz="8" w:space="0" w:color="auto"/>
              <w:left w:val="single" w:sz="8" w:space="0" w:color="auto"/>
              <w:bottom w:val="single" w:sz="8" w:space="0" w:color="auto"/>
              <w:right w:val="single" w:sz="8" w:space="0" w:color="auto"/>
            </w:tcBorders>
          </w:tcPr>
          <w:p w:rsidR="5C8241EF" w:rsidRPr="00925621" w:rsidP="007579AB" w14:paraId="034E33CD" w14:textId="40793C51">
            <w:pPr>
              <w:jc w:val="center"/>
              <w:rPr>
                <w:rFonts w:eastAsia="Times New Roman"/>
                <w:szCs w:val="24"/>
              </w:rPr>
            </w:pPr>
            <w:r w:rsidRPr="00925621">
              <w:rPr>
                <w:rFonts w:eastAsia="Times New Roman"/>
                <w:szCs w:val="24"/>
              </w:rPr>
              <w:t xml:space="preserve"> </w:t>
            </w:r>
          </w:p>
        </w:tc>
        <w:tc>
          <w:tcPr>
            <w:tcW w:w="2685" w:type="dxa"/>
            <w:tcBorders>
              <w:top w:val="single" w:sz="8" w:space="0" w:color="auto"/>
              <w:left w:val="single" w:sz="8" w:space="0" w:color="auto"/>
              <w:bottom w:val="single" w:sz="8" w:space="0" w:color="auto"/>
              <w:right w:val="single" w:sz="8" w:space="0" w:color="auto"/>
            </w:tcBorders>
            <w:vAlign w:val="center"/>
          </w:tcPr>
          <w:p w:rsidR="5C8241EF" w:rsidRPr="00925621" w:rsidP="007579AB" w14:paraId="6AF97215" w14:textId="68D0EE99">
            <w:pPr>
              <w:jc w:val="right"/>
              <w:rPr>
                <w:rFonts w:eastAsia="Times New Roman"/>
                <w:b/>
                <w:bCs/>
                <w:szCs w:val="24"/>
              </w:rPr>
            </w:pPr>
            <w:r w:rsidRPr="00925621">
              <w:rPr>
                <w:rFonts w:eastAsia="Times New Roman"/>
                <w:b/>
                <w:bCs/>
                <w:szCs w:val="24"/>
              </w:rPr>
              <w:t>Total Annual Salary Costs</w:t>
            </w:r>
          </w:p>
        </w:tc>
        <w:tc>
          <w:tcPr>
            <w:tcW w:w="1695" w:type="dxa"/>
            <w:tcBorders>
              <w:top w:val="single" w:sz="8" w:space="0" w:color="auto"/>
              <w:left w:val="single" w:sz="8" w:space="0" w:color="auto"/>
              <w:bottom w:val="single" w:sz="8" w:space="0" w:color="auto"/>
              <w:right w:val="nil"/>
            </w:tcBorders>
            <w:vAlign w:val="center"/>
          </w:tcPr>
          <w:p w:rsidR="5C8241EF" w:rsidRPr="00925621" w:rsidP="007579AB" w14:paraId="174014BE" w14:textId="21D4481C">
            <w:pPr>
              <w:jc w:val="right"/>
              <w:rPr>
                <w:rFonts w:eastAsia="Times New Roman"/>
                <w:szCs w:val="24"/>
              </w:rPr>
            </w:pPr>
            <w:r w:rsidRPr="00925621">
              <w:rPr>
                <w:rFonts w:eastAsia="Times New Roman"/>
                <w:szCs w:val="24"/>
              </w:rPr>
              <w:t>$</w:t>
            </w:r>
            <w:r w:rsidRPr="00925621" w:rsidR="00C76439">
              <w:rPr>
                <w:rFonts w:eastAsia="Times New Roman"/>
                <w:szCs w:val="24"/>
              </w:rPr>
              <w:t>14,583</w:t>
            </w:r>
          </w:p>
        </w:tc>
      </w:tr>
      <w:tr w14:paraId="6F2F1473" w14:textId="77777777" w:rsidTr="00C76439">
        <w:tblPrEx>
          <w:tblW w:w="8730" w:type="dxa"/>
          <w:tblInd w:w="720" w:type="dxa"/>
          <w:tblLayout w:type="fixed"/>
          <w:tblLook w:val="04A0"/>
        </w:tblPrEx>
        <w:trPr>
          <w:trHeight w:val="465"/>
        </w:trPr>
        <w:tc>
          <w:tcPr>
            <w:tcW w:w="7035" w:type="dxa"/>
            <w:gridSpan w:val="3"/>
            <w:tcBorders>
              <w:top w:val="single" w:sz="8" w:space="0" w:color="auto"/>
              <w:left w:val="nil"/>
              <w:bottom w:val="single" w:sz="12" w:space="0" w:color="auto"/>
              <w:right w:val="single" w:sz="8" w:space="0" w:color="auto"/>
            </w:tcBorders>
            <w:vAlign w:val="center"/>
          </w:tcPr>
          <w:p w:rsidR="5C8241EF" w:rsidRPr="00925621" w:rsidP="007579AB" w14:paraId="0D368203" w14:textId="1BF53143">
            <w:pPr>
              <w:jc w:val="right"/>
              <w:rPr>
                <w:rFonts w:eastAsia="Times New Roman"/>
                <w:b/>
                <w:bCs/>
                <w:szCs w:val="24"/>
              </w:rPr>
            </w:pPr>
            <w:r w:rsidRPr="00925621">
              <w:rPr>
                <w:rFonts w:eastAsia="Times New Roman"/>
                <w:b/>
                <w:bCs/>
                <w:szCs w:val="24"/>
              </w:rPr>
              <w:t>Annual Collaborative Agreement Cost</w:t>
            </w:r>
          </w:p>
        </w:tc>
        <w:tc>
          <w:tcPr>
            <w:tcW w:w="1695" w:type="dxa"/>
            <w:tcBorders>
              <w:top w:val="single" w:sz="8" w:space="0" w:color="auto"/>
              <w:left w:val="nil"/>
              <w:bottom w:val="single" w:sz="12" w:space="0" w:color="auto"/>
              <w:right w:val="nil"/>
            </w:tcBorders>
            <w:vAlign w:val="center"/>
          </w:tcPr>
          <w:p w:rsidR="5C8241EF" w:rsidRPr="00925621" w:rsidP="007579AB" w14:paraId="6AADEE8C" w14:textId="469E8E2E">
            <w:pPr>
              <w:jc w:val="right"/>
              <w:rPr>
                <w:rFonts w:eastAsia="Times New Roman"/>
                <w:szCs w:val="24"/>
              </w:rPr>
            </w:pPr>
            <w:r w:rsidRPr="00925621">
              <w:rPr>
                <w:rFonts w:eastAsia="Times New Roman"/>
                <w:szCs w:val="24"/>
              </w:rPr>
              <w:t>$</w:t>
            </w:r>
            <w:r w:rsidRPr="00925621" w:rsidR="00885AB1">
              <w:rPr>
                <w:rFonts w:eastAsia="Times New Roman"/>
                <w:szCs w:val="24"/>
              </w:rPr>
              <w:t>163,73</w:t>
            </w:r>
            <w:r w:rsidRPr="00925621" w:rsidR="00C76439">
              <w:rPr>
                <w:rFonts w:eastAsia="Times New Roman"/>
                <w:szCs w:val="24"/>
              </w:rPr>
              <w:t>0</w:t>
            </w:r>
          </w:p>
        </w:tc>
      </w:tr>
      <w:tr w14:paraId="54EAAFED" w14:textId="77777777" w:rsidTr="00C76439">
        <w:tblPrEx>
          <w:tblW w:w="8730" w:type="dxa"/>
          <w:tblInd w:w="720" w:type="dxa"/>
          <w:tblLayout w:type="fixed"/>
          <w:tblLook w:val="04A0"/>
        </w:tblPrEx>
        <w:trPr>
          <w:trHeight w:val="465"/>
        </w:trPr>
        <w:tc>
          <w:tcPr>
            <w:tcW w:w="7035" w:type="dxa"/>
            <w:gridSpan w:val="3"/>
            <w:tcBorders>
              <w:top w:val="single" w:sz="12" w:space="0" w:color="auto"/>
              <w:left w:val="nil"/>
              <w:bottom w:val="single" w:sz="12" w:space="0" w:color="auto"/>
              <w:right w:val="single" w:sz="8" w:space="0" w:color="auto"/>
            </w:tcBorders>
            <w:vAlign w:val="center"/>
          </w:tcPr>
          <w:p w:rsidR="5C8241EF" w:rsidRPr="00925621" w:rsidP="007579AB" w14:paraId="1298B097" w14:textId="381FA059">
            <w:pPr>
              <w:jc w:val="right"/>
              <w:rPr>
                <w:rFonts w:eastAsia="Times New Roman"/>
                <w:b/>
                <w:bCs/>
                <w:szCs w:val="24"/>
              </w:rPr>
            </w:pPr>
            <w:r w:rsidRPr="00925621">
              <w:rPr>
                <w:rFonts w:eastAsia="Times New Roman"/>
                <w:b/>
                <w:bCs/>
                <w:szCs w:val="24"/>
              </w:rPr>
              <w:t>Total Annual Cost</w:t>
            </w:r>
          </w:p>
        </w:tc>
        <w:tc>
          <w:tcPr>
            <w:tcW w:w="1695" w:type="dxa"/>
            <w:tcBorders>
              <w:top w:val="single" w:sz="12" w:space="0" w:color="auto"/>
              <w:left w:val="nil"/>
              <w:bottom w:val="single" w:sz="12" w:space="0" w:color="auto"/>
              <w:right w:val="nil"/>
            </w:tcBorders>
            <w:vAlign w:val="center"/>
          </w:tcPr>
          <w:p w:rsidR="5C8241EF" w:rsidRPr="00925621" w:rsidP="007579AB" w14:paraId="3A0C65E2" w14:textId="4BC14CC2">
            <w:pPr>
              <w:jc w:val="right"/>
              <w:rPr>
                <w:rFonts w:eastAsia="Times New Roman"/>
                <w:b/>
                <w:bCs/>
                <w:szCs w:val="24"/>
              </w:rPr>
            </w:pPr>
            <w:r w:rsidRPr="00925621">
              <w:rPr>
                <w:rFonts w:eastAsia="Times New Roman"/>
                <w:b/>
                <w:bCs/>
                <w:szCs w:val="24"/>
              </w:rPr>
              <w:t>$</w:t>
            </w:r>
            <w:r w:rsidRPr="00925621" w:rsidR="00885AB1">
              <w:rPr>
                <w:rFonts w:eastAsia="Times New Roman"/>
                <w:b/>
                <w:bCs/>
                <w:szCs w:val="24"/>
              </w:rPr>
              <w:t>178,313</w:t>
            </w:r>
          </w:p>
        </w:tc>
      </w:tr>
    </w:tbl>
    <w:p w:rsidR="5C8241EF" w:rsidP="5C8241EF" w14:paraId="3FE31912" w14:textId="2D372B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5C8241EF">
        <w:rPr>
          <w:rFonts w:eastAsia="Times New Roman"/>
          <w:color w:val="000000" w:themeColor="text1"/>
          <w:sz w:val="16"/>
          <w:szCs w:val="16"/>
          <w:vertAlign w:val="superscript"/>
        </w:rPr>
        <w:t xml:space="preserve">                      1</w:t>
      </w:r>
      <w:r w:rsidRPr="5C8241EF">
        <w:rPr>
          <w:rFonts w:eastAsia="Times New Roman"/>
          <w:sz w:val="12"/>
          <w:szCs w:val="12"/>
        </w:rPr>
        <w:t xml:space="preserve"> </w:t>
      </w:r>
      <w:r w:rsidRPr="5C8241EF">
        <w:rPr>
          <w:rFonts w:eastAsia="Times New Roman"/>
          <w:color w:val="000000" w:themeColor="text1"/>
          <w:sz w:val="16"/>
          <w:szCs w:val="16"/>
        </w:rPr>
        <w:t>Cost was rounded up to the next dollar.</w:t>
      </w:r>
    </w:p>
    <w:p w:rsidR="00DC1357" w:rsidRPr="000A6CE6" w:rsidP="6C00F014" w14:paraId="242913EF" w14:textId="77777777">
      <w:pPr>
        <w:pStyle w:val="Heading3"/>
      </w:pPr>
      <w:r>
        <w:t>Explanation for Program Changes or Adjustments</w:t>
      </w:r>
    </w:p>
    <w:p w:rsidR="007172CB" w:rsidP="6C00F014" w14:paraId="0510FC4F" w14:textId="0BB9C5E1">
      <w:pPr>
        <w:pStyle w:val="BodyText"/>
        <w:ind w:firstLine="0"/>
        <w:rPr>
          <w:rFonts w:eastAsia="Times New Roman"/>
          <w:szCs w:val="24"/>
        </w:rPr>
      </w:pPr>
      <w:r w:rsidRPr="6C00F014">
        <w:rPr>
          <w:rFonts w:eastAsia="Times New Roman"/>
          <w:szCs w:val="24"/>
        </w:rPr>
        <w:t>This is a new information collection.</w:t>
      </w:r>
    </w:p>
    <w:p w:rsidR="00A85C6F" w:rsidRPr="00A85C6F" w:rsidP="006F4C82" w14:paraId="529DFBB0" w14:textId="3BA1CF1A">
      <w:pPr>
        <w:pStyle w:val="Heading3"/>
      </w:pPr>
      <w:r>
        <w:t>Plans for Tabulation and Publication and Project Time Schedule</w:t>
      </w:r>
    </w:p>
    <w:p w:rsidR="00E5084D" w:rsidP="6C00F014" w14:paraId="59CBC4D1" w14:textId="77777777">
      <w:pPr>
        <w:rPr>
          <w:rFonts w:eastAsia="Times New Roman"/>
          <w:szCs w:val="24"/>
        </w:rPr>
      </w:pPr>
      <w:r w:rsidRPr="5C8241EF">
        <w:rPr>
          <w:rFonts w:eastAsia="Times New Roman"/>
          <w:szCs w:val="24"/>
        </w:rPr>
        <w:t xml:space="preserve">Data from this information collection will enable the FDA to gain insight into youth and young adults’ perceptions of ENDS and cigarettes and reactions to advertising concepts. This activity will allow the FDA to develop and refine messaging related to preventing ENDS and cigarette use among youth aged 13 to 17 who are at risk of initiating or who have experimented with </w:t>
      </w:r>
      <w:r w:rsidRPr="5C8241EF">
        <w:rPr>
          <w:rFonts w:eastAsia="Times New Roman"/>
          <w:szCs w:val="24"/>
        </w:rPr>
        <w:t>tobacco products. Findings from these analyses will be used to inform FDA CTP health communication strategy and messaging.</w:t>
      </w:r>
    </w:p>
    <w:p w:rsidR="00E5084D" w:rsidP="6C00F014" w14:paraId="39FA3DD1" w14:textId="77777777">
      <w:pPr>
        <w:rPr>
          <w:rFonts w:eastAsia="Times New Roman"/>
          <w:szCs w:val="24"/>
        </w:rPr>
      </w:pPr>
    </w:p>
    <w:p w:rsidR="00A85C6F" w:rsidRPr="00A85C6F" w:rsidP="6C00F014" w14:paraId="028066FF" w14:textId="794A7F15">
      <w:r w:rsidRPr="5C8241EF">
        <w:rPr>
          <w:rFonts w:eastAsia="Times New Roman"/>
          <w:szCs w:val="24"/>
          <w:u w:val="single"/>
        </w:rPr>
        <w:t>Reporting</w:t>
      </w:r>
    </w:p>
    <w:p w:rsidR="00A85C6F" w:rsidRPr="00A85C6F" w:rsidP="6C00F014" w14:paraId="63094476" w14:textId="24199EF0">
      <w:r w:rsidRPr="5C8241EF">
        <w:rPr>
          <w:rFonts w:eastAsia="Times New Roman"/>
          <w:szCs w:val="24"/>
        </w:rPr>
        <w:t>At the end of the study, a final report containing background information on the project objectives, scope and methodology, and key findings and conclusions will be completed. The approximate dates for completing project tasks are listed in Table 4.</w:t>
      </w:r>
    </w:p>
    <w:p w:rsidR="00A85C6F" w:rsidRPr="00A85C6F" w:rsidP="5C8241EF" w14:paraId="7B2E23F3" w14:textId="0102379E">
      <w:pPr>
        <w:rPr>
          <w:lang w:eastAsia="en-US"/>
        </w:rPr>
      </w:pPr>
    </w:p>
    <w:p w:rsidR="5C8241EF" w14:paraId="254FDFDF" w14:textId="3484EBDF">
      <w:r w:rsidRPr="5C8241EF">
        <w:rPr>
          <w:rFonts w:eastAsia="Times New Roman"/>
          <w:b/>
          <w:bCs/>
          <w:szCs w:val="24"/>
        </w:rPr>
        <w:t>Table 4. Approximate Project Schedule</w:t>
      </w:r>
    </w:p>
    <w:p w:rsidR="5C8241EF" w14:paraId="529C8C43" w14:textId="3897D10D">
      <w:r w:rsidRPr="5C8241EF">
        <w:rPr>
          <w:rFonts w:ascii="Franklin Gothic Book" w:eastAsia="Franklin Gothic Book" w:hAnsi="Franklin Gothic Book" w:cs="Franklin Gothic Book"/>
          <w:b/>
          <w:bCs/>
          <w:szCs w:val="24"/>
        </w:rPr>
        <w:t xml:space="preserve"> </w:t>
      </w:r>
    </w:p>
    <w:p w:rsidR="5C8241EF" w14:paraId="006C8586" w14:textId="1F93577E">
      <w:r w:rsidRPr="5C8241EF">
        <w:rPr>
          <w:rFonts w:eastAsia="Times New Roman"/>
          <w:szCs w:val="24"/>
        </w:rPr>
        <w:t xml:space="preserve">The project schedule is shown in Table 4. Future development </w:t>
      </w:r>
      <w:r w:rsidRPr="5C8241EF">
        <w:rPr>
          <w:rFonts w:eastAsia="Times New Roman"/>
          <w:color w:val="000000" w:themeColor="text1"/>
          <w:szCs w:val="24"/>
        </w:rPr>
        <w:t>and</w:t>
      </w:r>
      <w:r w:rsidRPr="5C8241EF">
        <w:rPr>
          <w:rFonts w:eastAsia="Times New Roman"/>
          <w:szCs w:val="24"/>
        </w:rPr>
        <w:t xml:space="preserve"> research activities are dependent on the timely completion of the present study.</w:t>
      </w:r>
    </w:p>
    <w:p w:rsidR="5C8241EF" w14:paraId="35B185B4" w14:textId="30B5DA09">
      <w:r w:rsidRPr="5C8241EF">
        <w:rPr>
          <w:rFonts w:ascii="Franklin Gothic Book" w:eastAsia="Franklin Gothic Book" w:hAnsi="Franklin Gothic Book" w:cs="Franklin Gothic Book"/>
          <w:b/>
          <w:bCs/>
          <w:szCs w:val="24"/>
        </w:rPr>
        <w:t xml:space="preserve"> </w:t>
      </w:r>
      <w:r w:rsidRPr="5C8241EF">
        <w:rPr>
          <w:rFonts w:ascii="Franklin Gothic Book" w:eastAsia="Franklin Gothic Book" w:hAnsi="Franklin Gothic Book" w:cs="Franklin Gothic Book"/>
          <w:sz w:val="20"/>
          <w:szCs w:val="20"/>
        </w:rPr>
        <w:t xml:space="preserve"> </w:t>
      </w:r>
    </w:p>
    <w:p w:rsidR="5C8241EF" w14:paraId="612EBBBA" w14:textId="51406828">
      <w:r w:rsidRPr="5C8241EF">
        <w:rPr>
          <w:rFonts w:eastAsia="Times New Roman"/>
          <w:b/>
          <w:bCs/>
          <w:szCs w:val="24"/>
        </w:rPr>
        <w:t>Table 4. Project Schedule</w:t>
      </w:r>
    </w:p>
    <w:tbl>
      <w:tblPr>
        <w:tblW w:w="0" w:type="auto"/>
        <w:tblLayout w:type="fixed"/>
        <w:tblLook w:val="06A0"/>
      </w:tblPr>
      <w:tblGrid>
        <w:gridCol w:w="4950"/>
        <w:gridCol w:w="3510"/>
      </w:tblGrid>
      <w:tr w14:paraId="08A67DB3" w14:textId="77777777" w:rsidTr="5C8241EF">
        <w:tblPrEx>
          <w:tblW w:w="0" w:type="auto"/>
          <w:tblLayout w:type="fixed"/>
          <w:tblLook w:val="06A0"/>
        </w:tblPrEx>
        <w:trPr>
          <w:trHeight w:val="405"/>
        </w:trPr>
        <w:tc>
          <w:tcPr>
            <w:tcW w:w="4950" w:type="dxa"/>
            <w:tcBorders>
              <w:top w:val="single" w:sz="12" w:space="0" w:color="000000" w:themeColor="text1"/>
              <w:left w:val="nil"/>
              <w:bottom w:val="single" w:sz="8" w:space="0" w:color="000000" w:themeColor="text1"/>
              <w:right w:val="nil"/>
            </w:tcBorders>
            <w:vAlign w:val="bottom"/>
          </w:tcPr>
          <w:p w:rsidR="5C8241EF" w:rsidRPr="00892FF0" w14:paraId="38221C11" w14:textId="2E5E2BAB">
            <w:pPr>
              <w:rPr>
                <w:szCs w:val="24"/>
              </w:rPr>
            </w:pPr>
            <w:r w:rsidRPr="00925621">
              <w:rPr>
                <w:rFonts w:eastAsia="Times New Roman"/>
                <w:b/>
                <w:bCs/>
                <w:szCs w:val="24"/>
              </w:rPr>
              <w:t>Project Activity</w:t>
            </w:r>
          </w:p>
        </w:tc>
        <w:tc>
          <w:tcPr>
            <w:tcW w:w="3510" w:type="dxa"/>
            <w:tcBorders>
              <w:top w:val="single" w:sz="12" w:space="0" w:color="000000" w:themeColor="text1"/>
              <w:left w:val="nil"/>
              <w:bottom w:val="single" w:sz="8" w:space="0" w:color="000000" w:themeColor="text1"/>
              <w:right w:val="nil"/>
            </w:tcBorders>
          </w:tcPr>
          <w:p w:rsidR="5C8241EF" w:rsidRPr="00892FF0" w14:paraId="35FB90AF" w14:textId="2816C023">
            <w:pPr>
              <w:rPr>
                <w:szCs w:val="24"/>
              </w:rPr>
            </w:pPr>
            <w:r w:rsidRPr="00925621">
              <w:rPr>
                <w:rFonts w:eastAsia="Times New Roman"/>
                <w:b/>
                <w:bCs/>
                <w:szCs w:val="24"/>
              </w:rPr>
              <w:t>Approximate Date</w:t>
            </w:r>
          </w:p>
        </w:tc>
      </w:tr>
      <w:tr w14:paraId="29CDC2E1" w14:textId="77777777" w:rsidTr="5C8241EF">
        <w:tblPrEx>
          <w:tblW w:w="0" w:type="auto"/>
          <w:tblLayout w:type="fixed"/>
          <w:tblLook w:val="06A0"/>
        </w:tblPrEx>
        <w:tc>
          <w:tcPr>
            <w:tcW w:w="4950" w:type="dxa"/>
            <w:tcBorders>
              <w:top w:val="single" w:sz="8" w:space="0" w:color="000000" w:themeColor="text1"/>
              <w:left w:val="nil"/>
              <w:bottom w:val="single" w:sz="8" w:space="0" w:color="000000" w:themeColor="text1"/>
              <w:right w:val="nil"/>
            </w:tcBorders>
            <w:vAlign w:val="center"/>
          </w:tcPr>
          <w:p w:rsidR="5C8241EF" w:rsidRPr="00892FF0" w14:paraId="03F0F9CD" w14:textId="37EFB76A">
            <w:pPr>
              <w:rPr>
                <w:szCs w:val="24"/>
              </w:rPr>
            </w:pPr>
            <w:r w:rsidRPr="00925621">
              <w:rPr>
                <w:rFonts w:eastAsia="Times New Roman"/>
                <w:szCs w:val="24"/>
              </w:rPr>
              <w:t xml:space="preserve">Data Collection </w:t>
            </w:r>
          </w:p>
        </w:tc>
        <w:tc>
          <w:tcPr>
            <w:tcW w:w="3510" w:type="dxa"/>
            <w:tcBorders>
              <w:top w:val="single" w:sz="8" w:space="0" w:color="000000" w:themeColor="text1"/>
              <w:left w:val="nil"/>
              <w:bottom w:val="single" w:sz="8" w:space="0" w:color="000000" w:themeColor="text1"/>
              <w:right w:val="nil"/>
            </w:tcBorders>
          </w:tcPr>
          <w:p w:rsidR="5C8241EF" w:rsidRPr="00925621" w:rsidP="5C8241EF" w14:paraId="35F79173" w14:textId="0C341463">
            <w:pPr>
              <w:rPr>
                <w:rFonts w:eastAsia="Times New Roman"/>
                <w:szCs w:val="24"/>
              </w:rPr>
            </w:pPr>
            <w:r w:rsidRPr="00925621">
              <w:rPr>
                <w:rFonts w:eastAsia="Times New Roman"/>
                <w:szCs w:val="24"/>
              </w:rPr>
              <w:t>September 2023-July 2024</w:t>
            </w:r>
          </w:p>
        </w:tc>
      </w:tr>
      <w:tr w14:paraId="23C93F05" w14:textId="77777777" w:rsidTr="5C8241EF">
        <w:tblPrEx>
          <w:tblW w:w="0" w:type="auto"/>
          <w:tblLayout w:type="fixed"/>
          <w:tblLook w:val="06A0"/>
        </w:tblPrEx>
        <w:tc>
          <w:tcPr>
            <w:tcW w:w="4950" w:type="dxa"/>
            <w:tcBorders>
              <w:top w:val="single" w:sz="8" w:space="0" w:color="000000" w:themeColor="text1"/>
              <w:left w:val="nil"/>
              <w:bottom w:val="single" w:sz="8" w:space="0" w:color="000000" w:themeColor="text1"/>
              <w:right w:val="nil"/>
            </w:tcBorders>
            <w:vAlign w:val="center"/>
          </w:tcPr>
          <w:p w:rsidR="5C8241EF" w:rsidRPr="00892FF0" w14:paraId="554F28EC" w14:textId="2299713D">
            <w:pPr>
              <w:rPr>
                <w:szCs w:val="24"/>
              </w:rPr>
            </w:pPr>
            <w:r w:rsidRPr="00925621">
              <w:rPr>
                <w:rFonts w:eastAsia="Times New Roman"/>
                <w:szCs w:val="24"/>
              </w:rPr>
              <w:t xml:space="preserve">Summary Report </w:t>
            </w:r>
          </w:p>
        </w:tc>
        <w:tc>
          <w:tcPr>
            <w:tcW w:w="3510" w:type="dxa"/>
            <w:tcBorders>
              <w:top w:val="single" w:sz="8" w:space="0" w:color="000000" w:themeColor="text1"/>
              <w:left w:val="nil"/>
              <w:bottom w:val="single" w:sz="8" w:space="0" w:color="000000" w:themeColor="text1"/>
              <w:right w:val="nil"/>
            </w:tcBorders>
          </w:tcPr>
          <w:p w:rsidR="5C8241EF" w:rsidRPr="00925621" w:rsidP="5C8241EF" w14:paraId="3995A73E" w14:textId="4BBB0CA1">
            <w:pPr>
              <w:rPr>
                <w:rFonts w:eastAsia="Times New Roman"/>
                <w:szCs w:val="24"/>
              </w:rPr>
            </w:pPr>
            <w:r w:rsidRPr="00925621">
              <w:rPr>
                <w:rFonts w:eastAsia="Times New Roman"/>
                <w:szCs w:val="24"/>
              </w:rPr>
              <w:t xml:space="preserve">February </w:t>
            </w:r>
            <w:r w:rsidRPr="00925621" w:rsidR="00A5357F">
              <w:rPr>
                <w:rFonts w:eastAsia="Times New Roman"/>
                <w:szCs w:val="24"/>
              </w:rPr>
              <w:t>202</w:t>
            </w:r>
            <w:r w:rsidRPr="00925621" w:rsidR="007C319F">
              <w:rPr>
                <w:rFonts w:eastAsia="Times New Roman"/>
                <w:szCs w:val="24"/>
              </w:rPr>
              <w:t>5</w:t>
            </w:r>
          </w:p>
        </w:tc>
      </w:tr>
    </w:tbl>
    <w:p w:rsidR="00DC1357" w:rsidRPr="005C5A50" w:rsidP="6C00F014" w14:paraId="72B44CB8" w14:textId="77777777">
      <w:pPr>
        <w:pStyle w:val="Heading3"/>
      </w:pPr>
      <w:r>
        <w:t>Reason(s) Display of OMB Expiration Date is Inappropriate</w:t>
      </w:r>
    </w:p>
    <w:p w:rsidR="00DC1357" w:rsidRPr="008A2194" w:rsidP="5C8241EF" w14:paraId="09F030EC" w14:textId="77777777">
      <w:pPr>
        <w:pStyle w:val="BodyText"/>
        <w:ind w:firstLine="0"/>
        <w:rPr>
          <w:rFonts w:eastAsia="Times New Roman"/>
        </w:rPr>
      </w:pPr>
      <w:r w:rsidRPr="008A2194">
        <w:rPr>
          <w:rFonts w:eastAsia="Times New Roman"/>
        </w:rPr>
        <w:t>FDA is not requesting an exemption for display of the OMB expiration date and is also not seeking OMB approval to exclude the expiration date for this information collection. The OMB approval and expiration date will be displayed on the relevant materials associated with the study.</w:t>
      </w:r>
    </w:p>
    <w:p w:rsidR="00DC1357" w:rsidRPr="005C5A50" w:rsidP="6C00F014" w14:paraId="5E918DCC" w14:textId="77777777">
      <w:pPr>
        <w:pStyle w:val="Heading3"/>
      </w:pPr>
      <w:r>
        <w:t>Exceptions to Certification for Paperwork Reduction Act Submissions</w:t>
      </w:r>
    </w:p>
    <w:p w:rsidR="00DC1357" w:rsidRPr="008A2194" w:rsidP="5C8241EF" w14:paraId="55F75BE7" w14:textId="672A2B75">
      <w:pPr>
        <w:pStyle w:val="BodyText"/>
        <w:ind w:firstLine="0"/>
        <w:rPr>
          <w:rFonts w:eastAsia="Times New Roman"/>
        </w:rPr>
      </w:pPr>
      <w:r w:rsidRPr="008A2194">
        <w:rPr>
          <w:rFonts w:eastAsia="Times New Roman"/>
        </w:rPr>
        <w:t>There are no exceptions to the certification.</w:t>
      </w:r>
    </w:p>
    <w:p w:rsidR="00DC1357" w:rsidRPr="004C6979" w:rsidP="6C00F014" w14:paraId="0D8D93B9" w14:textId="77777777">
      <w:pPr>
        <w:pStyle w:val="BodyText"/>
        <w:rPr>
          <w:rFonts w:eastAsia="Times New Roman"/>
          <w:szCs w:val="24"/>
        </w:rPr>
      </w:pPr>
      <w:r>
        <w:rPr>
          <w:color w:val="2B579A"/>
          <w:shd w:val="clear" w:color="auto" w:fill="E6E6E6"/>
        </w:rPr>
        <w:fldChar w:fldCharType="begin"/>
      </w:r>
      <w:r>
        <w:instrText>ADDIN EN.REFLIST</w:instrText>
      </w:r>
      <w:r>
        <w:rPr>
          <w:color w:val="2B579A"/>
          <w:shd w:val="clear" w:color="auto" w:fill="E6E6E6"/>
        </w:rPr>
        <w:fldChar w:fldCharType="separate"/>
      </w:r>
      <w:r>
        <w:rPr>
          <w:color w:val="2B579A"/>
          <w:shd w:val="clear" w:color="auto" w:fill="E6E6E6"/>
        </w:rPr>
        <w:fldChar w:fldCharType="end"/>
      </w:r>
    </w:p>
    <w:p w:rsidR="006672B3" w:rsidP="6C00F014" w14:paraId="33C0E7F6" w14:textId="77777777">
      <w:pPr>
        <w:rPr>
          <w:rFonts w:eastAsia="Times New Roman"/>
          <w:szCs w:val="24"/>
        </w:rPr>
      </w:pPr>
    </w:p>
    <w:sectPr w:rsidSect="00E5084D">
      <w:footerReference w:type="even" r:id="rId9"/>
      <w:footerReference w:type="default" r:id="rId10"/>
      <w:pgSz w:w="12240" w:h="15840" w:code="1"/>
      <w:pgMar w:top="1440" w:right="1440" w:bottom="1008"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D53" w:rsidP="003F3DF5" w14:paraId="0FB0A07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43D53" w14:paraId="0608EB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D53" w:rsidP="00850940" w14:paraId="43F2ABE9" w14:textId="77777777">
    <w:pPr>
      <w:pStyle w:val="Footer"/>
      <w:numPr>
        <w:ilvl w:val="0"/>
        <w:numId w:val="0"/>
      </w:num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633F9"/>
    <w:multiLevelType w:val="hybridMultilevel"/>
    <w:tmpl w:val="F3D86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D96C4E"/>
    <w:multiLevelType w:val="hybridMultilevel"/>
    <w:tmpl w:val="20C2063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444301"/>
    <w:multiLevelType w:val="hybridMultilevel"/>
    <w:tmpl w:val="82FED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1855DF"/>
    <w:multiLevelType w:val="hybridMultilevel"/>
    <w:tmpl w:val="DDE2B548"/>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0BD06A"/>
    <w:multiLevelType w:val="hybridMultilevel"/>
    <w:tmpl w:val="8814D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E016939"/>
    <w:multiLevelType w:val="hybridMultilevel"/>
    <w:tmpl w:val="A1D03FBC"/>
    <w:lvl w:ilvl="0">
      <w:start w:val="1"/>
      <w:numFmt w:val="bullet"/>
      <w:pStyle w:val="Footer"/>
      <w:lvlText w:val="•"/>
      <w:lvlJc w:val="left"/>
      <w:pPr>
        <w:ind w:left="576" w:hanging="288"/>
      </w:pPr>
      <w:rPr>
        <w:rFonts w:ascii="Times New Roman" w:hAnsi="Times New Roman" w:cs="Times New Roman" w:hint="default"/>
        <w:sz w:val="24"/>
        <w:szCs w:val="24"/>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6">
    <w:nsid w:val="19313358"/>
    <w:multiLevelType w:val="hybridMultilevel"/>
    <w:tmpl w:val="DFFE9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586F50"/>
    <w:multiLevelType w:val="hybridMultilevel"/>
    <w:tmpl w:val="28A6E964"/>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7F239A6"/>
    <w:multiLevelType w:val="hybridMultilevel"/>
    <w:tmpl w:val="4C34D968"/>
    <w:lvl w:ilvl="0">
      <w:start w:val="0"/>
      <w:numFmt w:val="bullet"/>
      <w:lvlText w:val="-"/>
      <w:lvlJc w:val="left"/>
      <w:pPr>
        <w:ind w:left="720" w:hanging="360"/>
      </w:pPr>
      <w:rPr>
        <w:rFonts w:ascii="Times New Roman" w:eastAsia="SimSu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EF3052"/>
    <w:multiLevelType w:val="hybridMultilevel"/>
    <w:tmpl w:val="6DD4C3C0"/>
    <w:lvl w:ilvl="0">
      <w:start w:val="5"/>
      <w:numFmt w:val="bullet"/>
      <w:lvlText w:val="-"/>
      <w:lvlJc w:val="left"/>
      <w:pPr>
        <w:ind w:left="720" w:hanging="360"/>
      </w:pPr>
      <w:rPr>
        <w:rFonts w:ascii="Times New Roman" w:eastAsia="SimSu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9D09AB"/>
    <w:multiLevelType w:val="multilevel"/>
    <w:tmpl w:val="B546B73C"/>
    <w:lvl w:ilvl="0">
      <w:start w:val="1"/>
      <w:numFmt w:val="decimal"/>
      <w:pStyle w:val="Heading3"/>
      <w:lvlText w:val="%1."/>
      <w:lvlJc w:val="left"/>
      <w:pPr>
        <w:tabs>
          <w:tab w:val="num" w:pos="360"/>
        </w:tabs>
        <w:ind w:left="360" w:hanging="360"/>
      </w:pPr>
      <w:rPr>
        <w:rFonts w:hint="default"/>
        <w:b w:val="0"/>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nsid w:val="453D75A5"/>
    <w:multiLevelType w:val="hybridMultilevel"/>
    <w:tmpl w:val="21669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D2044D"/>
    <w:multiLevelType w:val="hybridMultilevel"/>
    <w:tmpl w:val="78501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D251E1C"/>
    <w:multiLevelType w:val="hybridMultilevel"/>
    <w:tmpl w:val="9668A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4D877C3"/>
    <w:multiLevelType w:val="hybridMultilevel"/>
    <w:tmpl w:val="7DDCC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5039136">
    <w:abstractNumId w:val="12"/>
  </w:num>
  <w:num w:numId="2" w16cid:durableId="268701087">
    <w:abstractNumId w:val="4"/>
  </w:num>
  <w:num w:numId="3" w16cid:durableId="2145150782">
    <w:abstractNumId w:val="0"/>
  </w:num>
  <w:num w:numId="4" w16cid:durableId="1520195162">
    <w:abstractNumId w:val="10"/>
  </w:num>
  <w:num w:numId="5" w16cid:durableId="1203590362">
    <w:abstractNumId w:val="3"/>
  </w:num>
  <w:num w:numId="6" w16cid:durableId="368409024">
    <w:abstractNumId w:val="5"/>
  </w:num>
  <w:num w:numId="7" w16cid:durableId="555313447">
    <w:abstractNumId w:val="13"/>
  </w:num>
  <w:num w:numId="8" w16cid:durableId="679234457">
    <w:abstractNumId w:val="11"/>
  </w:num>
  <w:num w:numId="9" w16cid:durableId="207835996">
    <w:abstractNumId w:val="14"/>
  </w:num>
  <w:num w:numId="10" w16cid:durableId="1696157456">
    <w:abstractNumId w:val="2"/>
  </w:num>
  <w:num w:numId="11" w16cid:durableId="1110323775">
    <w:abstractNumId w:val="8"/>
  </w:num>
  <w:num w:numId="12" w16cid:durableId="500511827">
    <w:abstractNumId w:val="9"/>
  </w:num>
  <w:num w:numId="13" w16cid:durableId="1099594606">
    <w:abstractNumId w:val="6"/>
  </w:num>
  <w:num w:numId="14" w16cid:durableId="1165708027">
    <w:abstractNumId w:val="1"/>
  </w:num>
  <w:num w:numId="15" w16cid:durableId="1798526722">
    <w:abstractNumId w:val="7"/>
  </w:num>
  <w:num w:numId="16" w16cid:durableId="119769278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57"/>
    <w:rsid w:val="00004D80"/>
    <w:rsid w:val="00007641"/>
    <w:rsid w:val="00007D1B"/>
    <w:rsid w:val="000148B1"/>
    <w:rsid w:val="000156AF"/>
    <w:rsid w:val="000169E0"/>
    <w:rsid w:val="000226B9"/>
    <w:rsid w:val="00031DC7"/>
    <w:rsid w:val="000348B4"/>
    <w:rsid w:val="00054743"/>
    <w:rsid w:val="000573DF"/>
    <w:rsid w:val="00060DC0"/>
    <w:rsid w:val="00061895"/>
    <w:rsid w:val="00064EC4"/>
    <w:rsid w:val="00065166"/>
    <w:rsid w:val="00074A61"/>
    <w:rsid w:val="00074ECD"/>
    <w:rsid w:val="0008279B"/>
    <w:rsid w:val="000836DB"/>
    <w:rsid w:val="0008394A"/>
    <w:rsid w:val="00087FE7"/>
    <w:rsid w:val="00092DC4"/>
    <w:rsid w:val="00097966"/>
    <w:rsid w:val="000A6CE6"/>
    <w:rsid w:val="000B470A"/>
    <w:rsid w:val="000B4DBF"/>
    <w:rsid w:val="000B7108"/>
    <w:rsid w:val="000C0095"/>
    <w:rsid w:val="000C6A5D"/>
    <w:rsid w:val="000D1CB0"/>
    <w:rsid w:val="000D6F2A"/>
    <w:rsid w:val="000E394B"/>
    <w:rsid w:val="000E5A7E"/>
    <w:rsid w:val="000E6EDA"/>
    <w:rsid w:val="000F31E4"/>
    <w:rsid w:val="00104BB2"/>
    <w:rsid w:val="00105A56"/>
    <w:rsid w:val="00105AF7"/>
    <w:rsid w:val="0010730D"/>
    <w:rsid w:val="001129CC"/>
    <w:rsid w:val="0011707F"/>
    <w:rsid w:val="00122CCC"/>
    <w:rsid w:val="00127476"/>
    <w:rsid w:val="00136160"/>
    <w:rsid w:val="00140ADB"/>
    <w:rsid w:val="001424AA"/>
    <w:rsid w:val="0014353F"/>
    <w:rsid w:val="00145B87"/>
    <w:rsid w:val="0015746A"/>
    <w:rsid w:val="00162E23"/>
    <w:rsid w:val="00165E84"/>
    <w:rsid w:val="0017098C"/>
    <w:rsid w:val="00173839"/>
    <w:rsid w:val="001743DE"/>
    <w:rsid w:val="001745C7"/>
    <w:rsid w:val="00177C69"/>
    <w:rsid w:val="00190717"/>
    <w:rsid w:val="0019151C"/>
    <w:rsid w:val="0019486F"/>
    <w:rsid w:val="00197E25"/>
    <w:rsid w:val="001A0BD8"/>
    <w:rsid w:val="001A11EF"/>
    <w:rsid w:val="001A4B01"/>
    <w:rsid w:val="001A5DBA"/>
    <w:rsid w:val="001B3718"/>
    <w:rsid w:val="001B37ED"/>
    <w:rsid w:val="001B68F3"/>
    <w:rsid w:val="001C230D"/>
    <w:rsid w:val="001C5480"/>
    <w:rsid w:val="001C6530"/>
    <w:rsid w:val="001D5B45"/>
    <w:rsid w:val="001D7FA5"/>
    <w:rsid w:val="001F1B16"/>
    <w:rsid w:val="001F393E"/>
    <w:rsid w:val="001F542B"/>
    <w:rsid w:val="00203867"/>
    <w:rsid w:val="0021129C"/>
    <w:rsid w:val="002206C3"/>
    <w:rsid w:val="0022482A"/>
    <w:rsid w:val="00227FE9"/>
    <w:rsid w:val="00250887"/>
    <w:rsid w:val="002509FE"/>
    <w:rsid w:val="00250CFF"/>
    <w:rsid w:val="00254887"/>
    <w:rsid w:val="00255C65"/>
    <w:rsid w:val="002638DC"/>
    <w:rsid w:val="00273096"/>
    <w:rsid w:val="00275351"/>
    <w:rsid w:val="00277AAB"/>
    <w:rsid w:val="00280304"/>
    <w:rsid w:val="0028246B"/>
    <w:rsid w:val="002853A8"/>
    <w:rsid w:val="00293827"/>
    <w:rsid w:val="00294B18"/>
    <w:rsid w:val="0029641C"/>
    <w:rsid w:val="002974A0"/>
    <w:rsid w:val="002A3D67"/>
    <w:rsid w:val="002A463B"/>
    <w:rsid w:val="002B0404"/>
    <w:rsid w:val="002B3477"/>
    <w:rsid w:val="002C0CBF"/>
    <w:rsid w:val="002C493D"/>
    <w:rsid w:val="002C693F"/>
    <w:rsid w:val="002D1C87"/>
    <w:rsid w:val="002D2E27"/>
    <w:rsid w:val="002D4A29"/>
    <w:rsid w:val="002D6719"/>
    <w:rsid w:val="002E403C"/>
    <w:rsid w:val="002E50B2"/>
    <w:rsid w:val="002E5FA5"/>
    <w:rsid w:val="002E7CB7"/>
    <w:rsid w:val="0030562F"/>
    <w:rsid w:val="00305B8C"/>
    <w:rsid w:val="00310D07"/>
    <w:rsid w:val="003162D7"/>
    <w:rsid w:val="00322A47"/>
    <w:rsid w:val="00331ED5"/>
    <w:rsid w:val="003402CB"/>
    <w:rsid w:val="00361ADE"/>
    <w:rsid w:val="00362215"/>
    <w:rsid w:val="003821F6"/>
    <w:rsid w:val="0038259D"/>
    <w:rsid w:val="00382CC6"/>
    <w:rsid w:val="00387B81"/>
    <w:rsid w:val="0039181B"/>
    <w:rsid w:val="003A1523"/>
    <w:rsid w:val="003A1EF6"/>
    <w:rsid w:val="003A338D"/>
    <w:rsid w:val="003A6DFF"/>
    <w:rsid w:val="003A6FF6"/>
    <w:rsid w:val="003B3E09"/>
    <w:rsid w:val="003C252B"/>
    <w:rsid w:val="003C4E49"/>
    <w:rsid w:val="003C7209"/>
    <w:rsid w:val="003D1DCE"/>
    <w:rsid w:val="003D31AE"/>
    <w:rsid w:val="003D7578"/>
    <w:rsid w:val="003E0B9E"/>
    <w:rsid w:val="003F0698"/>
    <w:rsid w:val="003F263F"/>
    <w:rsid w:val="003F3DF5"/>
    <w:rsid w:val="004143D8"/>
    <w:rsid w:val="004225AA"/>
    <w:rsid w:val="00424DDD"/>
    <w:rsid w:val="00427FC4"/>
    <w:rsid w:val="00450A54"/>
    <w:rsid w:val="00451C7A"/>
    <w:rsid w:val="00453DF1"/>
    <w:rsid w:val="004603DE"/>
    <w:rsid w:val="004667C3"/>
    <w:rsid w:val="004813E3"/>
    <w:rsid w:val="00484EEF"/>
    <w:rsid w:val="004852B7"/>
    <w:rsid w:val="004C0C3A"/>
    <w:rsid w:val="004C3E23"/>
    <w:rsid w:val="004C5683"/>
    <w:rsid w:val="004C5DAF"/>
    <w:rsid w:val="004C6979"/>
    <w:rsid w:val="004C6FFF"/>
    <w:rsid w:val="004C7FA9"/>
    <w:rsid w:val="004D1BF8"/>
    <w:rsid w:val="004D3FD0"/>
    <w:rsid w:val="004D555D"/>
    <w:rsid w:val="004E01E8"/>
    <w:rsid w:val="004F0C26"/>
    <w:rsid w:val="004F0C96"/>
    <w:rsid w:val="004F546A"/>
    <w:rsid w:val="00502F38"/>
    <w:rsid w:val="005078DD"/>
    <w:rsid w:val="005129E4"/>
    <w:rsid w:val="00512A89"/>
    <w:rsid w:val="00526FCB"/>
    <w:rsid w:val="00536049"/>
    <w:rsid w:val="00550ADB"/>
    <w:rsid w:val="00552F6D"/>
    <w:rsid w:val="005576DD"/>
    <w:rsid w:val="005671E2"/>
    <w:rsid w:val="00567E18"/>
    <w:rsid w:val="00567E65"/>
    <w:rsid w:val="0057049B"/>
    <w:rsid w:val="005708E9"/>
    <w:rsid w:val="00571B5C"/>
    <w:rsid w:val="0057307A"/>
    <w:rsid w:val="00595EAD"/>
    <w:rsid w:val="005B141A"/>
    <w:rsid w:val="005B39BB"/>
    <w:rsid w:val="005B5649"/>
    <w:rsid w:val="005C04F7"/>
    <w:rsid w:val="005C5A50"/>
    <w:rsid w:val="005D496F"/>
    <w:rsid w:val="005D5695"/>
    <w:rsid w:val="005D5CF9"/>
    <w:rsid w:val="005E3BBC"/>
    <w:rsid w:val="005F1A3D"/>
    <w:rsid w:val="0060152E"/>
    <w:rsid w:val="0060327E"/>
    <w:rsid w:val="006079CB"/>
    <w:rsid w:val="0062047A"/>
    <w:rsid w:val="00621F00"/>
    <w:rsid w:val="006229B0"/>
    <w:rsid w:val="00624B66"/>
    <w:rsid w:val="006357D6"/>
    <w:rsid w:val="006378C3"/>
    <w:rsid w:val="0064237C"/>
    <w:rsid w:val="00643308"/>
    <w:rsid w:val="006443C0"/>
    <w:rsid w:val="006448A5"/>
    <w:rsid w:val="00645C91"/>
    <w:rsid w:val="00657BA3"/>
    <w:rsid w:val="00660375"/>
    <w:rsid w:val="006672B3"/>
    <w:rsid w:val="006836D6"/>
    <w:rsid w:val="00684241"/>
    <w:rsid w:val="00684951"/>
    <w:rsid w:val="00691437"/>
    <w:rsid w:val="00695B19"/>
    <w:rsid w:val="006A07EB"/>
    <w:rsid w:val="006A44A5"/>
    <w:rsid w:val="006A7574"/>
    <w:rsid w:val="006B2063"/>
    <w:rsid w:val="006B561A"/>
    <w:rsid w:val="006B6DA9"/>
    <w:rsid w:val="006C2654"/>
    <w:rsid w:val="006C3A3A"/>
    <w:rsid w:val="006C7BCB"/>
    <w:rsid w:val="006E1D6F"/>
    <w:rsid w:val="006E5646"/>
    <w:rsid w:val="006E6CBD"/>
    <w:rsid w:val="006E6D4A"/>
    <w:rsid w:val="006E6FE2"/>
    <w:rsid w:val="006E7E2A"/>
    <w:rsid w:val="006F4C82"/>
    <w:rsid w:val="006F5642"/>
    <w:rsid w:val="00714B1B"/>
    <w:rsid w:val="007172CB"/>
    <w:rsid w:val="00724538"/>
    <w:rsid w:val="00731895"/>
    <w:rsid w:val="00736835"/>
    <w:rsid w:val="00737346"/>
    <w:rsid w:val="00740145"/>
    <w:rsid w:val="00740688"/>
    <w:rsid w:val="00742637"/>
    <w:rsid w:val="00742D9A"/>
    <w:rsid w:val="00746D47"/>
    <w:rsid w:val="00754F82"/>
    <w:rsid w:val="00756065"/>
    <w:rsid w:val="007579AB"/>
    <w:rsid w:val="007620F0"/>
    <w:rsid w:val="00777B4C"/>
    <w:rsid w:val="00780902"/>
    <w:rsid w:val="007820B8"/>
    <w:rsid w:val="00786159"/>
    <w:rsid w:val="007912F7"/>
    <w:rsid w:val="0079644F"/>
    <w:rsid w:val="007A465E"/>
    <w:rsid w:val="007B4096"/>
    <w:rsid w:val="007B510D"/>
    <w:rsid w:val="007B7627"/>
    <w:rsid w:val="007C0332"/>
    <w:rsid w:val="007C034D"/>
    <w:rsid w:val="007C319F"/>
    <w:rsid w:val="007D16C2"/>
    <w:rsid w:val="007D733A"/>
    <w:rsid w:val="007E61FC"/>
    <w:rsid w:val="007E784E"/>
    <w:rsid w:val="007F604B"/>
    <w:rsid w:val="00800254"/>
    <w:rsid w:val="00803CE8"/>
    <w:rsid w:val="008041B4"/>
    <w:rsid w:val="00805127"/>
    <w:rsid w:val="00805D1E"/>
    <w:rsid w:val="00806B33"/>
    <w:rsid w:val="0081316F"/>
    <w:rsid w:val="0081394D"/>
    <w:rsid w:val="00813A14"/>
    <w:rsid w:val="00821103"/>
    <w:rsid w:val="008222EB"/>
    <w:rsid w:val="008265FC"/>
    <w:rsid w:val="00830A52"/>
    <w:rsid w:val="008310A6"/>
    <w:rsid w:val="00833E81"/>
    <w:rsid w:val="00833FC7"/>
    <w:rsid w:val="00834923"/>
    <w:rsid w:val="00834F50"/>
    <w:rsid w:val="0083532E"/>
    <w:rsid w:val="00843D6B"/>
    <w:rsid w:val="008467CD"/>
    <w:rsid w:val="00850940"/>
    <w:rsid w:val="008547E8"/>
    <w:rsid w:val="00861DF7"/>
    <w:rsid w:val="0087609A"/>
    <w:rsid w:val="0088054A"/>
    <w:rsid w:val="00880738"/>
    <w:rsid w:val="00885AB1"/>
    <w:rsid w:val="00892FF0"/>
    <w:rsid w:val="008A2194"/>
    <w:rsid w:val="008A72B9"/>
    <w:rsid w:val="008B3384"/>
    <w:rsid w:val="008B6BDD"/>
    <w:rsid w:val="008C2A32"/>
    <w:rsid w:val="008C368F"/>
    <w:rsid w:val="008C3DBC"/>
    <w:rsid w:val="008D24AE"/>
    <w:rsid w:val="008D3116"/>
    <w:rsid w:val="008E1C11"/>
    <w:rsid w:val="008E3C81"/>
    <w:rsid w:val="008F01CA"/>
    <w:rsid w:val="008F7460"/>
    <w:rsid w:val="00901372"/>
    <w:rsid w:val="0090174A"/>
    <w:rsid w:val="00910408"/>
    <w:rsid w:val="00910FB0"/>
    <w:rsid w:val="00914AF7"/>
    <w:rsid w:val="00925621"/>
    <w:rsid w:val="009376FD"/>
    <w:rsid w:val="009413B9"/>
    <w:rsid w:val="00945645"/>
    <w:rsid w:val="0095397C"/>
    <w:rsid w:val="009603B3"/>
    <w:rsid w:val="00960632"/>
    <w:rsid w:val="009630E4"/>
    <w:rsid w:val="009660BD"/>
    <w:rsid w:val="00970F78"/>
    <w:rsid w:val="00971C6A"/>
    <w:rsid w:val="00977698"/>
    <w:rsid w:val="00986D76"/>
    <w:rsid w:val="00992EFF"/>
    <w:rsid w:val="009936DC"/>
    <w:rsid w:val="00993F65"/>
    <w:rsid w:val="0099791A"/>
    <w:rsid w:val="009B71FD"/>
    <w:rsid w:val="009C15B3"/>
    <w:rsid w:val="009C225E"/>
    <w:rsid w:val="009C7106"/>
    <w:rsid w:val="009D096B"/>
    <w:rsid w:val="009D3C9F"/>
    <w:rsid w:val="009D5A71"/>
    <w:rsid w:val="009D70A3"/>
    <w:rsid w:val="009E4D04"/>
    <w:rsid w:val="009E52F1"/>
    <w:rsid w:val="009F071B"/>
    <w:rsid w:val="00A03FB7"/>
    <w:rsid w:val="00A12C40"/>
    <w:rsid w:val="00A14865"/>
    <w:rsid w:val="00A15D92"/>
    <w:rsid w:val="00A230ED"/>
    <w:rsid w:val="00A26DD8"/>
    <w:rsid w:val="00A5357F"/>
    <w:rsid w:val="00A54E05"/>
    <w:rsid w:val="00A57A00"/>
    <w:rsid w:val="00A7119D"/>
    <w:rsid w:val="00A73966"/>
    <w:rsid w:val="00A7620E"/>
    <w:rsid w:val="00A85C6F"/>
    <w:rsid w:val="00A92157"/>
    <w:rsid w:val="00AA19DD"/>
    <w:rsid w:val="00AA43C5"/>
    <w:rsid w:val="00AA5CC3"/>
    <w:rsid w:val="00AA7113"/>
    <w:rsid w:val="00AB61C6"/>
    <w:rsid w:val="00AC0A0A"/>
    <w:rsid w:val="00AD20CC"/>
    <w:rsid w:val="00AD38F8"/>
    <w:rsid w:val="00AD4EC9"/>
    <w:rsid w:val="00AE084D"/>
    <w:rsid w:val="00AE33D7"/>
    <w:rsid w:val="00AE76EE"/>
    <w:rsid w:val="00AE7CCA"/>
    <w:rsid w:val="00AF09FC"/>
    <w:rsid w:val="00AF2863"/>
    <w:rsid w:val="00AF557C"/>
    <w:rsid w:val="00AF6093"/>
    <w:rsid w:val="00B0321E"/>
    <w:rsid w:val="00B06283"/>
    <w:rsid w:val="00B0785F"/>
    <w:rsid w:val="00B114F2"/>
    <w:rsid w:val="00B123BB"/>
    <w:rsid w:val="00B161B0"/>
    <w:rsid w:val="00B203A8"/>
    <w:rsid w:val="00B23E92"/>
    <w:rsid w:val="00B27DAB"/>
    <w:rsid w:val="00B27ED5"/>
    <w:rsid w:val="00B35365"/>
    <w:rsid w:val="00B357BB"/>
    <w:rsid w:val="00B40B5C"/>
    <w:rsid w:val="00B42B3D"/>
    <w:rsid w:val="00B4471F"/>
    <w:rsid w:val="00B61C4D"/>
    <w:rsid w:val="00B61DDB"/>
    <w:rsid w:val="00B64A10"/>
    <w:rsid w:val="00B7288D"/>
    <w:rsid w:val="00B7547C"/>
    <w:rsid w:val="00B8256F"/>
    <w:rsid w:val="00B8579A"/>
    <w:rsid w:val="00B8619E"/>
    <w:rsid w:val="00B93265"/>
    <w:rsid w:val="00B97349"/>
    <w:rsid w:val="00BA1812"/>
    <w:rsid w:val="00BA60F3"/>
    <w:rsid w:val="00BB2E2F"/>
    <w:rsid w:val="00BB6FD7"/>
    <w:rsid w:val="00BC2AD6"/>
    <w:rsid w:val="00BC379F"/>
    <w:rsid w:val="00BD49C3"/>
    <w:rsid w:val="00BE568C"/>
    <w:rsid w:val="00BE68C9"/>
    <w:rsid w:val="00BE6E87"/>
    <w:rsid w:val="00BF5FB7"/>
    <w:rsid w:val="00BF7077"/>
    <w:rsid w:val="00C0236E"/>
    <w:rsid w:val="00C07B67"/>
    <w:rsid w:val="00C12063"/>
    <w:rsid w:val="00C27E80"/>
    <w:rsid w:val="00C43D53"/>
    <w:rsid w:val="00C4459A"/>
    <w:rsid w:val="00C44863"/>
    <w:rsid w:val="00C4683D"/>
    <w:rsid w:val="00C56585"/>
    <w:rsid w:val="00C76439"/>
    <w:rsid w:val="00C86A4E"/>
    <w:rsid w:val="00C86EFB"/>
    <w:rsid w:val="00C96424"/>
    <w:rsid w:val="00C969AB"/>
    <w:rsid w:val="00C97832"/>
    <w:rsid w:val="00CA2F9E"/>
    <w:rsid w:val="00CC660A"/>
    <w:rsid w:val="00CD70D3"/>
    <w:rsid w:val="00CF28B0"/>
    <w:rsid w:val="00CF3445"/>
    <w:rsid w:val="00CF7EBC"/>
    <w:rsid w:val="00D05196"/>
    <w:rsid w:val="00D1130A"/>
    <w:rsid w:val="00D21A6B"/>
    <w:rsid w:val="00D224CB"/>
    <w:rsid w:val="00D27B59"/>
    <w:rsid w:val="00D27FF3"/>
    <w:rsid w:val="00D32990"/>
    <w:rsid w:val="00D3445C"/>
    <w:rsid w:val="00D355DF"/>
    <w:rsid w:val="00D46742"/>
    <w:rsid w:val="00D502B0"/>
    <w:rsid w:val="00D5087C"/>
    <w:rsid w:val="00D5191E"/>
    <w:rsid w:val="00D542A8"/>
    <w:rsid w:val="00D674EB"/>
    <w:rsid w:val="00D67A2D"/>
    <w:rsid w:val="00D81148"/>
    <w:rsid w:val="00D83225"/>
    <w:rsid w:val="00D862AF"/>
    <w:rsid w:val="00D8724C"/>
    <w:rsid w:val="00D94AD5"/>
    <w:rsid w:val="00D97A7F"/>
    <w:rsid w:val="00D97AF0"/>
    <w:rsid w:val="00DA05EA"/>
    <w:rsid w:val="00DA3627"/>
    <w:rsid w:val="00DA56E0"/>
    <w:rsid w:val="00DA6EB2"/>
    <w:rsid w:val="00DB4F85"/>
    <w:rsid w:val="00DC1357"/>
    <w:rsid w:val="00DC471B"/>
    <w:rsid w:val="00DE079C"/>
    <w:rsid w:val="00DE14AB"/>
    <w:rsid w:val="00DE5A92"/>
    <w:rsid w:val="00DF092B"/>
    <w:rsid w:val="00E014C9"/>
    <w:rsid w:val="00E015FB"/>
    <w:rsid w:val="00E02643"/>
    <w:rsid w:val="00E0318D"/>
    <w:rsid w:val="00E04097"/>
    <w:rsid w:val="00E04EEE"/>
    <w:rsid w:val="00E06535"/>
    <w:rsid w:val="00E07F65"/>
    <w:rsid w:val="00E11FA2"/>
    <w:rsid w:val="00E15DA3"/>
    <w:rsid w:val="00E20C2A"/>
    <w:rsid w:val="00E25ADF"/>
    <w:rsid w:val="00E44703"/>
    <w:rsid w:val="00E460DE"/>
    <w:rsid w:val="00E5084D"/>
    <w:rsid w:val="00E6453E"/>
    <w:rsid w:val="00E665F2"/>
    <w:rsid w:val="00E67E0F"/>
    <w:rsid w:val="00E85D47"/>
    <w:rsid w:val="00E87092"/>
    <w:rsid w:val="00E94773"/>
    <w:rsid w:val="00E96F93"/>
    <w:rsid w:val="00E97B4F"/>
    <w:rsid w:val="00EA2657"/>
    <w:rsid w:val="00EB4558"/>
    <w:rsid w:val="00EB5DA5"/>
    <w:rsid w:val="00EB6BBC"/>
    <w:rsid w:val="00EC017E"/>
    <w:rsid w:val="00EC338A"/>
    <w:rsid w:val="00ED67C9"/>
    <w:rsid w:val="00EF34D3"/>
    <w:rsid w:val="00F11B9E"/>
    <w:rsid w:val="00F13270"/>
    <w:rsid w:val="00F2614B"/>
    <w:rsid w:val="00F277EB"/>
    <w:rsid w:val="00F34C06"/>
    <w:rsid w:val="00F35EBF"/>
    <w:rsid w:val="00F43757"/>
    <w:rsid w:val="00F437DD"/>
    <w:rsid w:val="00F53B19"/>
    <w:rsid w:val="00F57C25"/>
    <w:rsid w:val="00F60E42"/>
    <w:rsid w:val="00F76B4E"/>
    <w:rsid w:val="00F8083D"/>
    <w:rsid w:val="00F81DB0"/>
    <w:rsid w:val="00F82B8B"/>
    <w:rsid w:val="00F90A24"/>
    <w:rsid w:val="00F90E0E"/>
    <w:rsid w:val="00F97B44"/>
    <w:rsid w:val="00FA4C91"/>
    <w:rsid w:val="00FB76E3"/>
    <w:rsid w:val="00FC0A47"/>
    <w:rsid w:val="00FC70C3"/>
    <w:rsid w:val="00FD346A"/>
    <w:rsid w:val="00FD3FCB"/>
    <w:rsid w:val="00FD692D"/>
    <w:rsid w:val="00FD75E4"/>
    <w:rsid w:val="00FE3B3B"/>
    <w:rsid w:val="00FE3C1E"/>
    <w:rsid w:val="00FF1DA0"/>
    <w:rsid w:val="00FF61BB"/>
    <w:rsid w:val="0193D78E"/>
    <w:rsid w:val="01DF496D"/>
    <w:rsid w:val="0231EF5E"/>
    <w:rsid w:val="026482C3"/>
    <w:rsid w:val="02F4C669"/>
    <w:rsid w:val="03D3A974"/>
    <w:rsid w:val="0AABBEB1"/>
    <w:rsid w:val="0BAC499E"/>
    <w:rsid w:val="0D4819FF"/>
    <w:rsid w:val="0E740591"/>
    <w:rsid w:val="0FA7BA79"/>
    <w:rsid w:val="107FBAC1"/>
    <w:rsid w:val="10A2F719"/>
    <w:rsid w:val="1162A335"/>
    <w:rsid w:val="11999DC9"/>
    <w:rsid w:val="138DD901"/>
    <w:rsid w:val="13BD1ACE"/>
    <w:rsid w:val="13DD8B88"/>
    <w:rsid w:val="13E9CD3E"/>
    <w:rsid w:val="1434EA50"/>
    <w:rsid w:val="149D6D43"/>
    <w:rsid w:val="1576683C"/>
    <w:rsid w:val="16A2D144"/>
    <w:rsid w:val="16FCA916"/>
    <w:rsid w:val="187AFF45"/>
    <w:rsid w:val="18BD3E61"/>
    <w:rsid w:val="1BAC2194"/>
    <w:rsid w:val="1BE5A9C0"/>
    <w:rsid w:val="1C7DF820"/>
    <w:rsid w:val="1D817A21"/>
    <w:rsid w:val="1EE3C256"/>
    <w:rsid w:val="1FB598E2"/>
    <w:rsid w:val="20E08621"/>
    <w:rsid w:val="20F94DC7"/>
    <w:rsid w:val="21516943"/>
    <w:rsid w:val="22207415"/>
    <w:rsid w:val="227C5682"/>
    <w:rsid w:val="2322FB30"/>
    <w:rsid w:val="232B312A"/>
    <w:rsid w:val="234E9A8D"/>
    <w:rsid w:val="23F8A92B"/>
    <w:rsid w:val="242608B6"/>
    <w:rsid w:val="24B5DF4E"/>
    <w:rsid w:val="24DA8B9E"/>
    <w:rsid w:val="24FD7F2F"/>
    <w:rsid w:val="255814D7"/>
    <w:rsid w:val="2576FC7F"/>
    <w:rsid w:val="25F97B13"/>
    <w:rsid w:val="2683D830"/>
    <w:rsid w:val="27DFBAA5"/>
    <w:rsid w:val="281FA891"/>
    <w:rsid w:val="28CC1A4E"/>
    <w:rsid w:val="28F979D9"/>
    <w:rsid w:val="290CFB2C"/>
    <w:rsid w:val="2A1B2BD5"/>
    <w:rsid w:val="2B49CD22"/>
    <w:rsid w:val="2CCC7526"/>
    <w:rsid w:val="2D9F8B71"/>
    <w:rsid w:val="2DAA785F"/>
    <w:rsid w:val="2DCD0ED0"/>
    <w:rsid w:val="2F68BB5D"/>
    <w:rsid w:val="2F694742"/>
    <w:rsid w:val="2FA1DA87"/>
    <w:rsid w:val="2FCDD99D"/>
    <w:rsid w:val="311CFAA7"/>
    <w:rsid w:val="3215CC31"/>
    <w:rsid w:val="3260FF9D"/>
    <w:rsid w:val="3345A9A4"/>
    <w:rsid w:val="335CF3CB"/>
    <w:rsid w:val="34009186"/>
    <w:rsid w:val="3419B9E3"/>
    <w:rsid w:val="34D3F09E"/>
    <w:rsid w:val="34D7870B"/>
    <w:rsid w:val="38533141"/>
    <w:rsid w:val="38766532"/>
    <w:rsid w:val="3902EAC0"/>
    <w:rsid w:val="3909A956"/>
    <w:rsid w:val="3B3341A8"/>
    <w:rsid w:val="3B433222"/>
    <w:rsid w:val="3C414A18"/>
    <w:rsid w:val="3C4807B3"/>
    <w:rsid w:val="3D7F880D"/>
    <w:rsid w:val="3E59A467"/>
    <w:rsid w:val="3EACFB65"/>
    <w:rsid w:val="3F427ADF"/>
    <w:rsid w:val="3F78EADA"/>
    <w:rsid w:val="3FEFB57D"/>
    <w:rsid w:val="3FF574C8"/>
    <w:rsid w:val="403F7E6D"/>
    <w:rsid w:val="4101A66F"/>
    <w:rsid w:val="416D4C84"/>
    <w:rsid w:val="41914529"/>
    <w:rsid w:val="428F4681"/>
    <w:rsid w:val="4359C7FA"/>
    <w:rsid w:val="43A3DE55"/>
    <w:rsid w:val="442B16E2"/>
    <w:rsid w:val="444206FA"/>
    <w:rsid w:val="447E8773"/>
    <w:rsid w:val="44C8E5EB"/>
    <w:rsid w:val="44FF8B55"/>
    <w:rsid w:val="45C9B3B2"/>
    <w:rsid w:val="472C9C09"/>
    <w:rsid w:val="47D9FBB4"/>
    <w:rsid w:val="480086AD"/>
    <w:rsid w:val="481A2D46"/>
    <w:rsid w:val="48421905"/>
    <w:rsid w:val="492E5EAC"/>
    <w:rsid w:val="4A973D3E"/>
    <w:rsid w:val="4C330D9F"/>
    <w:rsid w:val="4C3628C7"/>
    <w:rsid w:val="4CDBE556"/>
    <w:rsid w:val="4D506BAE"/>
    <w:rsid w:val="4DFE602D"/>
    <w:rsid w:val="4F747D87"/>
    <w:rsid w:val="4F9DB9C5"/>
    <w:rsid w:val="50778B0D"/>
    <w:rsid w:val="51288125"/>
    <w:rsid w:val="53A149FC"/>
    <w:rsid w:val="53AF2BCF"/>
    <w:rsid w:val="559546FF"/>
    <w:rsid w:val="56B2481E"/>
    <w:rsid w:val="5782271C"/>
    <w:rsid w:val="58829CF2"/>
    <w:rsid w:val="594AA12D"/>
    <w:rsid w:val="59554A02"/>
    <w:rsid w:val="5A01A865"/>
    <w:rsid w:val="5B75EBE6"/>
    <w:rsid w:val="5BADF216"/>
    <w:rsid w:val="5BBA3DB4"/>
    <w:rsid w:val="5BD2AC9D"/>
    <w:rsid w:val="5C6EC09C"/>
    <w:rsid w:val="5C7E4F26"/>
    <w:rsid w:val="5C8241EF"/>
    <w:rsid w:val="5E0A90FD"/>
    <w:rsid w:val="5E674E88"/>
    <w:rsid w:val="5EB6437C"/>
    <w:rsid w:val="5EEAE277"/>
    <w:rsid w:val="5EF26A5B"/>
    <w:rsid w:val="5F8D3901"/>
    <w:rsid w:val="605213DD"/>
    <w:rsid w:val="606B3C3A"/>
    <w:rsid w:val="60A61DC0"/>
    <w:rsid w:val="62407F7B"/>
    <w:rsid w:val="6389B49F"/>
    <w:rsid w:val="643BE53A"/>
    <w:rsid w:val="65860EF5"/>
    <w:rsid w:val="66066D7F"/>
    <w:rsid w:val="67292632"/>
    <w:rsid w:val="679A26AD"/>
    <w:rsid w:val="67D78AF1"/>
    <w:rsid w:val="68EFEF02"/>
    <w:rsid w:val="69D10A64"/>
    <w:rsid w:val="6A0331EA"/>
    <w:rsid w:val="6A651FB3"/>
    <w:rsid w:val="6AA3B774"/>
    <w:rsid w:val="6AA56773"/>
    <w:rsid w:val="6AAB26BE"/>
    <w:rsid w:val="6B8F11D1"/>
    <w:rsid w:val="6B93FD36"/>
    <w:rsid w:val="6BD12ACC"/>
    <w:rsid w:val="6C00F014"/>
    <w:rsid w:val="6C226464"/>
    <w:rsid w:val="6CBDCFC1"/>
    <w:rsid w:val="6D449132"/>
    <w:rsid w:val="6D497335"/>
    <w:rsid w:val="6ECB9DF8"/>
    <w:rsid w:val="6EE0C8D8"/>
    <w:rsid w:val="6EE54396"/>
    <w:rsid w:val="6F0ED0B0"/>
    <w:rsid w:val="6F78D896"/>
    <w:rsid w:val="702C75C8"/>
    <w:rsid w:val="708AC988"/>
    <w:rsid w:val="7114A8F7"/>
    <w:rsid w:val="711A6842"/>
    <w:rsid w:val="71DBC32D"/>
    <w:rsid w:val="72DF5E43"/>
    <w:rsid w:val="731A3D98"/>
    <w:rsid w:val="73291295"/>
    <w:rsid w:val="73B439FB"/>
    <w:rsid w:val="74520904"/>
    <w:rsid w:val="746F8611"/>
    <w:rsid w:val="7520BB00"/>
    <w:rsid w:val="75500A5C"/>
    <w:rsid w:val="764AE25B"/>
    <w:rsid w:val="767057F9"/>
    <w:rsid w:val="76BC8B61"/>
    <w:rsid w:val="76EBDABD"/>
    <w:rsid w:val="7887AB1E"/>
    <w:rsid w:val="79257A27"/>
    <w:rsid w:val="7A24D9A7"/>
    <w:rsid w:val="7A399DE4"/>
    <w:rsid w:val="7A9ABF8F"/>
    <w:rsid w:val="7CC55C67"/>
    <w:rsid w:val="7E215545"/>
    <w:rsid w:val="7E5C36CB"/>
    <w:rsid w:val="7E7CE70C"/>
    <w:rsid w:val="7F2F637F"/>
    <w:rsid w:val="7FD04DB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068FE4B"/>
  <w15:chartTrackingRefBased/>
  <w15:docId w15:val="{7B40D5B6-3498-4643-A2BA-D711804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C1357"/>
    <w:rPr>
      <w:rFonts w:ascii="Times New Roman" w:eastAsia="SimSun" w:hAnsi="Times New Roman" w:cs="Times New Roman"/>
      <w:szCs w:val="22"/>
      <w:lang w:eastAsia="zh-CN"/>
    </w:rPr>
  </w:style>
  <w:style w:type="paragraph" w:styleId="Heading2">
    <w:name w:val="heading 2"/>
    <w:basedOn w:val="Normal"/>
    <w:next w:val="Normal"/>
    <w:link w:val="Heading2Char"/>
    <w:unhideWhenUsed/>
    <w:qFormat/>
    <w:rsid w:val="00DC1357"/>
    <w:pPr>
      <w:keepNext/>
      <w:keepLines/>
      <w:spacing w:before="100" w:beforeAutospacing="1" w:after="100" w:afterAutospacing="1"/>
      <w:outlineLvl w:val="1"/>
    </w:pPr>
    <w:rPr>
      <w:rFonts w:eastAsia="Times New Roman"/>
      <w:b/>
      <w:bCs/>
      <w:szCs w:val="24"/>
      <w:lang w:eastAsia="en-US"/>
    </w:rPr>
  </w:style>
  <w:style w:type="paragraph" w:styleId="Heading3">
    <w:name w:val="heading 3"/>
    <w:basedOn w:val="Normal"/>
    <w:next w:val="Normal"/>
    <w:link w:val="Heading3Char"/>
    <w:uiPriority w:val="9"/>
    <w:unhideWhenUsed/>
    <w:qFormat/>
    <w:rsid w:val="00DC1357"/>
    <w:pPr>
      <w:keepNext/>
      <w:keepLines/>
      <w:numPr>
        <w:numId w:val="4"/>
      </w:numPr>
      <w:spacing w:before="100" w:beforeAutospacing="1" w:after="100" w:afterAutospacing="1"/>
      <w:outlineLvl w:val="2"/>
    </w:pPr>
    <w:rPr>
      <w:rFonts w:eastAsia="Times New Roman"/>
      <w:b/>
      <w:szCs w:val="24"/>
      <w:u w:val="single"/>
      <w:lang w:eastAsia="en-US"/>
    </w:rPr>
  </w:style>
  <w:style w:type="paragraph" w:styleId="Heading4">
    <w:name w:val="heading 4"/>
    <w:basedOn w:val="Normal"/>
    <w:next w:val="Normal"/>
    <w:link w:val="Heading4Char"/>
    <w:uiPriority w:val="9"/>
    <w:unhideWhenUsed/>
    <w:qFormat/>
    <w:rsid w:val="00DC1357"/>
    <w:pPr>
      <w:keepNext/>
      <w:keepLines/>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1357"/>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DC1357"/>
    <w:rPr>
      <w:rFonts w:ascii="Times New Roman" w:eastAsia="Times New Roman" w:hAnsi="Times New Roman" w:cs="Times New Roman"/>
      <w:b/>
      <w:u w:val="single"/>
    </w:rPr>
  </w:style>
  <w:style w:type="character" w:customStyle="1" w:styleId="Heading4Char">
    <w:name w:val="Heading 4 Char"/>
    <w:basedOn w:val="DefaultParagraphFont"/>
    <w:link w:val="Heading4"/>
    <w:uiPriority w:val="9"/>
    <w:rsid w:val="00DC1357"/>
    <w:rPr>
      <w:rFonts w:ascii="Times New Roman" w:eastAsia="SimSun" w:hAnsi="Times New Roman" w:cs="Times New Roman"/>
      <w:b/>
      <w:szCs w:val="22"/>
      <w:lang w:eastAsia="zh-CN"/>
    </w:rPr>
  </w:style>
  <w:style w:type="paragraph" w:styleId="Footer">
    <w:name w:val="footer"/>
    <w:basedOn w:val="Normal"/>
    <w:link w:val="FooterChar"/>
    <w:uiPriority w:val="99"/>
    <w:unhideWhenUsed/>
    <w:rsid w:val="00DC1357"/>
    <w:pPr>
      <w:numPr>
        <w:numId w:val="6"/>
      </w:numPr>
      <w:tabs>
        <w:tab w:val="center" w:pos="4680"/>
        <w:tab w:val="right" w:pos="9360"/>
      </w:tabs>
      <w:jc w:val="center"/>
    </w:pPr>
  </w:style>
  <w:style w:type="character" w:customStyle="1" w:styleId="FooterChar">
    <w:name w:val="Footer Char"/>
    <w:basedOn w:val="DefaultParagraphFont"/>
    <w:link w:val="Footer"/>
    <w:uiPriority w:val="99"/>
    <w:rsid w:val="00DC1357"/>
    <w:rPr>
      <w:rFonts w:ascii="Times New Roman" w:eastAsia="SimSun" w:hAnsi="Times New Roman" w:cs="Times New Roman"/>
      <w:szCs w:val="22"/>
      <w:lang w:eastAsia="zh-CN"/>
    </w:rPr>
  </w:style>
  <w:style w:type="character" w:styleId="PageNumber">
    <w:name w:val="page number"/>
    <w:unhideWhenUsed/>
    <w:rsid w:val="00DC1357"/>
    <w:rPr>
      <w:rFonts w:ascii="Times New Roman" w:hAnsi="Times New Roman"/>
      <w:b w:val="0"/>
      <w:sz w:val="24"/>
    </w:rPr>
  </w:style>
  <w:style w:type="paragraph" w:styleId="ListParagraph">
    <w:name w:val="List Paragraph"/>
    <w:basedOn w:val="Normal"/>
    <w:uiPriority w:val="34"/>
    <w:qFormat/>
    <w:rsid w:val="00DC1357"/>
    <w:pPr>
      <w:ind w:left="720"/>
    </w:pPr>
  </w:style>
  <w:style w:type="paragraph" w:styleId="FootnoteText">
    <w:name w:val="footnote text"/>
    <w:basedOn w:val="Normal"/>
    <w:link w:val="FootnoteTextChar"/>
    <w:uiPriority w:val="99"/>
    <w:unhideWhenUsed/>
    <w:rsid w:val="00DC1357"/>
    <w:pPr>
      <w:ind w:left="274" w:hanging="274"/>
    </w:pPr>
    <w:rPr>
      <w:sz w:val="20"/>
      <w:szCs w:val="20"/>
    </w:rPr>
  </w:style>
  <w:style w:type="character" w:customStyle="1" w:styleId="FootnoteTextChar">
    <w:name w:val="Footnote Text Char"/>
    <w:basedOn w:val="DefaultParagraphFont"/>
    <w:link w:val="FootnoteText"/>
    <w:uiPriority w:val="99"/>
    <w:rsid w:val="00DC1357"/>
    <w:rPr>
      <w:rFonts w:ascii="Times New Roman" w:eastAsia="SimSun" w:hAnsi="Times New Roman" w:cs="Times New Roman"/>
      <w:sz w:val="20"/>
      <w:szCs w:val="20"/>
      <w:lang w:eastAsia="zh-CN"/>
    </w:rPr>
  </w:style>
  <w:style w:type="character" w:styleId="FootnoteReference">
    <w:name w:val="footnote reference"/>
    <w:uiPriority w:val="99"/>
    <w:unhideWhenUsed/>
    <w:rsid w:val="00DC1357"/>
    <w:rPr>
      <w:rFonts w:ascii="Times New Roman" w:hAnsi="Times New Roman"/>
      <w:spacing w:val="0"/>
      <w:w w:val="100"/>
      <w:kern w:val="0"/>
      <w:position w:val="0"/>
      <w:vertAlign w:val="superscript"/>
    </w:rPr>
  </w:style>
  <w:style w:type="character" w:styleId="Hyperlink">
    <w:name w:val="Hyperlink"/>
    <w:uiPriority w:val="99"/>
    <w:unhideWhenUsed/>
    <w:rsid w:val="00DC1357"/>
    <w:rPr>
      <w:rFonts w:ascii="Times New Roman" w:hAnsi="Times New Roman"/>
      <w:color w:val="3333FF"/>
      <w:u w:val="single"/>
      <w:lang w:val="en-US"/>
    </w:rPr>
  </w:style>
  <w:style w:type="paragraph" w:styleId="BodyText">
    <w:name w:val="Body Text"/>
    <w:basedOn w:val="Normal"/>
    <w:link w:val="BodyTextChar"/>
    <w:uiPriority w:val="99"/>
    <w:rsid w:val="00DC1357"/>
    <w:pPr>
      <w:spacing w:before="120" w:after="120"/>
      <w:ind w:firstLine="720"/>
    </w:pPr>
  </w:style>
  <w:style w:type="character" w:customStyle="1" w:styleId="BodyTextChar">
    <w:name w:val="Body Text Char"/>
    <w:basedOn w:val="DefaultParagraphFont"/>
    <w:link w:val="BodyText"/>
    <w:uiPriority w:val="99"/>
    <w:rsid w:val="00DC1357"/>
    <w:rPr>
      <w:rFonts w:ascii="Times New Roman" w:eastAsia="SimSun" w:hAnsi="Times New Roman" w:cs="Times New Roman"/>
      <w:szCs w:val="22"/>
      <w:lang w:eastAsia="zh-CN"/>
    </w:rPr>
  </w:style>
  <w:style w:type="paragraph" w:customStyle="1" w:styleId="table-headers">
    <w:name w:val="table-headers"/>
    <w:basedOn w:val="Normal"/>
    <w:rsid w:val="00DC1357"/>
    <w:pPr>
      <w:keepNext/>
      <w:spacing w:before="80" w:after="80"/>
      <w:jc w:val="center"/>
    </w:pPr>
    <w:rPr>
      <w:b/>
      <w:sz w:val="22"/>
    </w:rPr>
  </w:style>
  <w:style w:type="paragraph" w:customStyle="1" w:styleId="table-text">
    <w:name w:val="table-text"/>
    <w:basedOn w:val="Normal"/>
    <w:rsid w:val="00DC1357"/>
    <w:pPr>
      <w:spacing w:before="80" w:after="80"/>
    </w:pPr>
    <w:rPr>
      <w:sz w:val="22"/>
    </w:rPr>
  </w:style>
  <w:style w:type="paragraph" w:customStyle="1" w:styleId="table-title">
    <w:name w:val="table-title"/>
    <w:basedOn w:val="Normal"/>
    <w:rsid w:val="00DC1357"/>
    <w:pPr>
      <w:keepNext/>
      <w:keepLines/>
      <w:spacing w:before="240" w:after="240"/>
    </w:pPr>
    <w:rPr>
      <w:b/>
    </w:rPr>
  </w:style>
  <w:style w:type="paragraph" w:customStyle="1" w:styleId="table-sourcestd">
    <w:name w:val="table-source_std"/>
    <w:basedOn w:val="Normal"/>
    <w:rsid w:val="00DC1357"/>
    <w:pPr>
      <w:keepLines/>
      <w:spacing w:before="120" w:after="400"/>
      <w:ind w:left="187" w:hanging="187"/>
    </w:pPr>
    <w:rPr>
      <w:sz w:val="20"/>
    </w:rPr>
  </w:style>
  <w:style w:type="paragraph" w:styleId="ListBullet">
    <w:name w:val="List Bullet"/>
    <w:basedOn w:val="Normal"/>
    <w:unhideWhenUsed/>
    <w:rsid w:val="00DC1357"/>
    <w:pPr>
      <w:numPr>
        <w:numId w:val="5"/>
      </w:numPr>
      <w:autoSpaceDE w:val="0"/>
      <w:autoSpaceDN w:val="0"/>
      <w:adjustRightInd w:val="0"/>
      <w:spacing w:before="120" w:after="120"/>
    </w:pPr>
    <w:rPr>
      <w:rFonts w:eastAsia="Times New Roman" w:cs="Verdana"/>
      <w:szCs w:val="24"/>
      <w:lang w:eastAsia="en-US"/>
    </w:rPr>
  </w:style>
  <w:style w:type="character" w:customStyle="1" w:styleId="normaltextrun">
    <w:name w:val="normaltextrun"/>
    <w:basedOn w:val="DefaultParagraphFont"/>
    <w:rsid w:val="005078DD"/>
  </w:style>
  <w:style w:type="character" w:styleId="CommentReference">
    <w:name w:val="annotation reference"/>
    <w:basedOn w:val="DefaultParagraphFont"/>
    <w:uiPriority w:val="99"/>
    <w:semiHidden/>
    <w:unhideWhenUsed/>
    <w:rsid w:val="000836DB"/>
    <w:rPr>
      <w:sz w:val="16"/>
      <w:szCs w:val="16"/>
    </w:rPr>
  </w:style>
  <w:style w:type="paragraph" w:styleId="CommentText">
    <w:name w:val="annotation text"/>
    <w:basedOn w:val="Normal"/>
    <w:link w:val="CommentTextChar"/>
    <w:uiPriority w:val="99"/>
    <w:unhideWhenUsed/>
    <w:rsid w:val="000836DB"/>
    <w:rPr>
      <w:sz w:val="20"/>
      <w:szCs w:val="20"/>
    </w:rPr>
  </w:style>
  <w:style w:type="character" w:customStyle="1" w:styleId="CommentTextChar">
    <w:name w:val="Comment Text Char"/>
    <w:basedOn w:val="DefaultParagraphFont"/>
    <w:link w:val="CommentText"/>
    <w:uiPriority w:val="99"/>
    <w:rsid w:val="000836DB"/>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836DB"/>
    <w:rPr>
      <w:b/>
      <w:bCs/>
    </w:rPr>
  </w:style>
  <w:style w:type="character" w:customStyle="1" w:styleId="CommentSubjectChar">
    <w:name w:val="Comment Subject Char"/>
    <w:basedOn w:val="CommentTextChar"/>
    <w:link w:val="CommentSubject"/>
    <w:uiPriority w:val="99"/>
    <w:semiHidden/>
    <w:rsid w:val="000836DB"/>
    <w:rPr>
      <w:rFonts w:ascii="Times New Roman" w:eastAsia="SimSun" w:hAnsi="Times New Roman" w:cs="Times New Roman"/>
      <w:b/>
      <w:bCs/>
      <w:sz w:val="20"/>
      <w:szCs w:val="20"/>
      <w:lang w:eastAsia="zh-CN"/>
    </w:rPr>
  </w:style>
  <w:style w:type="character" w:styleId="UnresolvedMention">
    <w:name w:val="Unresolved Mention"/>
    <w:basedOn w:val="DefaultParagraphFont"/>
    <w:uiPriority w:val="99"/>
    <w:semiHidden/>
    <w:unhideWhenUsed/>
    <w:rsid w:val="00F8083D"/>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250CFF"/>
    <w:pPr>
      <w:spacing w:before="60" w:after="60"/>
    </w:pPr>
    <w:rPr>
      <w:rFonts w:ascii="Verdana" w:hAnsi="Verdana" w:eastAsiaTheme="minorHAnsi" w:cs="Calibri"/>
      <w:sz w:val="18"/>
      <w:szCs w:val="18"/>
      <w:lang w:eastAsia="en-US"/>
    </w:rPr>
  </w:style>
  <w:style w:type="paragraph" w:customStyle="1" w:styleId="TableTextIndent1">
    <w:name w:val="Table Text Indent1"/>
    <w:basedOn w:val="Normal"/>
    <w:qFormat/>
    <w:rsid w:val="00250CFF"/>
    <w:pPr>
      <w:spacing w:before="60" w:after="60"/>
      <w:ind w:left="245"/>
    </w:pPr>
    <w:rPr>
      <w:rFonts w:ascii="Verdana" w:eastAsia="MS Mincho" w:hAnsi="Verdana"/>
      <w:sz w:val="18"/>
      <w:szCs w:val="20"/>
      <w:lang w:eastAsia="en-US"/>
    </w:rPr>
  </w:style>
  <w:style w:type="character" w:styleId="FollowedHyperlink">
    <w:name w:val="FollowedHyperlink"/>
    <w:basedOn w:val="DefaultParagraphFont"/>
    <w:uiPriority w:val="99"/>
    <w:semiHidden/>
    <w:unhideWhenUsed/>
    <w:rsid w:val="007912F7"/>
    <w:rPr>
      <w:color w:val="954F72" w:themeColor="followedHyperlink"/>
      <w:u w:val="single"/>
    </w:rPr>
  </w:style>
  <w:style w:type="paragraph" w:styleId="Revision">
    <w:name w:val="Revision"/>
    <w:hidden/>
    <w:uiPriority w:val="99"/>
    <w:semiHidden/>
    <w:rsid w:val="00684241"/>
    <w:rPr>
      <w:rFonts w:ascii="Times New Roman" w:eastAsia="SimSun" w:hAnsi="Times New Roman" w:cs="Times New Roman"/>
      <w:szCs w:val="22"/>
      <w:lang w:eastAsia="zh-CN"/>
    </w:rPr>
  </w:style>
  <w:style w:type="paragraph" w:styleId="Header">
    <w:name w:val="header"/>
    <w:basedOn w:val="Normal"/>
    <w:link w:val="HeaderChar"/>
    <w:uiPriority w:val="99"/>
    <w:semiHidden/>
    <w:unhideWhenUsed/>
    <w:rsid w:val="00E06535"/>
    <w:pPr>
      <w:tabs>
        <w:tab w:val="center" w:pos="4680"/>
        <w:tab w:val="right" w:pos="9360"/>
      </w:tabs>
    </w:pPr>
  </w:style>
  <w:style w:type="character" w:customStyle="1" w:styleId="HeaderChar">
    <w:name w:val="Header Char"/>
    <w:basedOn w:val="DefaultParagraphFont"/>
    <w:link w:val="Header"/>
    <w:uiPriority w:val="99"/>
    <w:semiHidden/>
    <w:rsid w:val="00E06535"/>
    <w:rPr>
      <w:rFonts w:ascii="Times New Roman" w:eastAsia="SimSun" w:hAnsi="Times New Roman" w:cs="Times New Roman"/>
      <w:szCs w:val="22"/>
      <w:lang w:eastAsia="zh-CN"/>
    </w:rPr>
  </w:style>
  <w:style w:type="character" w:customStyle="1" w:styleId="eop">
    <w:name w:val="eop"/>
    <w:basedOn w:val="DefaultParagraphFont"/>
    <w:rsid w:val="00D6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gan.Wall@fda.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867c8d-1cc9-4acd-a073-94634f6a764f" xsi:nil="true"/>
    <lcf76f155ced4ddcb4097134ff3c332f xmlns="0037f5e8-f564-458e-82b2-b94b3c080508">
      <Terms xmlns="http://schemas.microsoft.com/office/infopath/2007/PartnerControls"/>
    </lcf76f155ced4ddcb4097134ff3c332f>
    <Category xmlns="0037f5e8-f564-458e-82b2-b94b3c080508">Planning</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9C7D369671DE42AE71F6AA97FD90A3" ma:contentTypeVersion="8" ma:contentTypeDescription="Create a new document." ma:contentTypeScope="" ma:versionID="c2d674647bb99f93ce30ec6de5f49bcf">
  <xsd:schema xmlns:xsd="http://www.w3.org/2001/XMLSchema" xmlns:xs="http://www.w3.org/2001/XMLSchema" xmlns:p="http://schemas.microsoft.com/office/2006/metadata/properties" xmlns:ns2="0037f5e8-f564-458e-82b2-b94b3c080508" xmlns:ns3="20867c8d-1cc9-4acd-a073-94634f6a764f" targetNamespace="http://schemas.microsoft.com/office/2006/metadata/properties" ma:root="true" ma:fieldsID="cdbb9190ddf9d6ce1d30bab72031457c" ns2:_="" ns3:_="">
    <xsd:import namespace="0037f5e8-f564-458e-82b2-b94b3c080508"/>
    <xsd:import namespace="20867c8d-1cc9-4acd-a073-94634f6a764f"/>
    <xsd:element name="properties">
      <xsd:complexType>
        <xsd:sequence>
          <xsd:element name="documentManagement">
            <xsd:complexType>
              <xsd:all>
                <xsd:element ref="ns2:Category"/>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7f5e8-f564-458e-82b2-b94b3c080508"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Planning"/>
              <xsd:enumeration value="Meeting Agenda/Notes"/>
              <xsd:enumeration value="Deliverables "/>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17d098a-f611-4fc4-9fb4-dec5e33be4ca}" ma:internalName="TaxCatchAll" ma:showField="CatchAllData" ma:web="c291c8b6-0c7a-4bff-b38f-93ee833b2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D74D3-BDCB-440D-A3FE-D87C3442B929}">
  <ds:schemaRefs>
    <ds:schemaRef ds:uri="http://schemas.microsoft.com/office/2006/metadata/properties"/>
    <ds:schemaRef ds:uri="http://schemas.microsoft.com/office/infopath/2007/PartnerControls"/>
    <ds:schemaRef ds:uri="20867c8d-1cc9-4acd-a073-94634f6a764f"/>
    <ds:schemaRef ds:uri="0037f5e8-f564-458e-82b2-b94b3c080508"/>
  </ds:schemaRefs>
</ds:datastoreItem>
</file>

<file path=customXml/itemProps2.xml><?xml version="1.0" encoding="utf-8"?>
<ds:datastoreItem xmlns:ds="http://schemas.openxmlformats.org/officeDocument/2006/customXml" ds:itemID="{F6295CF7-2F53-4324-BF29-CF8A19DBB315}">
  <ds:schemaRefs>
    <ds:schemaRef ds:uri="http://schemas.microsoft.com/sharepoint/v3/contenttype/forms"/>
  </ds:schemaRefs>
</ds:datastoreItem>
</file>

<file path=customXml/itemProps3.xml><?xml version="1.0" encoding="utf-8"?>
<ds:datastoreItem xmlns:ds="http://schemas.openxmlformats.org/officeDocument/2006/customXml" ds:itemID="{AEA1180F-2B41-461D-803F-7A39EECC4B06}">
  <ds:schemaRefs>
    <ds:schemaRef ds:uri="http://schemas.openxmlformats.org/officeDocument/2006/bibliography"/>
  </ds:schemaRefs>
</ds:datastoreItem>
</file>

<file path=customXml/itemProps4.xml><?xml version="1.0" encoding="utf-8"?>
<ds:datastoreItem xmlns:ds="http://schemas.openxmlformats.org/officeDocument/2006/customXml" ds:itemID="{F0853A29-513D-45EA-A233-45FFCB003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7f5e8-f564-458e-82b2-b94b3c080508"/>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Ibrahim</dc:creator>
  <cp:lastModifiedBy>Capezzuto, JonnaLynn</cp:lastModifiedBy>
  <cp:revision>5</cp:revision>
  <dcterms:created xsi:type="dcterms:W3CDTF">2023-04-12T19:58:00Z</dcterms:created>
  <dcterms:modified xsi:type="dcterms:W3CDTF">2023-04-12T20:11:00Z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0x010100169C7D369671DE42AE71F6AA97FD90A3</vt:lpwstr>
  </property>
  <property fmtid="{D5CDD505-2E9C-101B-9397-08002B2CF9AE}" pid="3" name="MediaServiceImageTags">
    <vt:lpwstr/>
  </property>
</Properties>
</file>