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CD0401" w14:paraId="3F3B4324" w14:textId="77777777">
      <w:pPr>
        <w:jc w:val="center"/>
        <w:rPr>
          <w:rFonts w:eastAsia="Calibri"/>
        </w:rPr>
      </w:pPr>
      <w:r w:rsidRPr="00357C8A">
        <w:rPr>
          <w:rFonts w:eastAsia="Calibri"/>
        </w:rPr>
        <w:t>United States Food and Drug Administration</w:t>
      </w:r>
    </w:p>
    <w:p w:rsidR="00357C8A" w:rsidP="00357C8A" w14:paraId="5F8BA221" w14:textId="77777777">
      <w:pPr>
        <w:jc w:val="center"/>
        <w:rPr>
          <w:rFonts w:eastAsia="Calibri"/>
        </w:rPr>
      </w:pPr>
    </w:p>
    <w:p w:rsidR="00355623" w:rsidRPr="00E42E29" w:rsidP="00355623" w14:paraId="0AD7B4F7" w14:textId="77777777">
      <w:pPr>
        <w:jc w:val="center"/>
        <w:rPr>
          <w:rFonts w:eastAsia="Calibri"/>
        </w:rPr>
      </w:pPr>
      <w:r w:rsidRPr="00E42E29">
        <w:rPr>
          <w:rFonts w:eastAsia="Calibri"/>
        </w:rPr>
        <w:t>Color Additive Certification</w:t>
      </w:r>
    </w:p>
    <w:p w:rsidR="00357C8A" w:rsidP="00357C8A" w14:paraId="10462D91" w14:textId="77777777">
      <w:pPr>
        <w:jc w:val="center"/>
        <w:rPr>
          <w:rFonts w:eastAsia="Calibri"/>
        </w:rPr>
      </w:pPr>
    </w:p>
    <w:p w:rsidR="00357C8A" w:rsidP="00357C8A" w14:paraId="6F4ED23D" w14:textId="77777777">
      <w:pPr>
        <w:jc w:val="center"/>
        <w:rPr>
          <w:rFonts w:eastAsia="Calibri"/>
        </w:rPr>
      </w:pPr>
      <w:r w:rsidRPr="00357C8A">
        <w:rPr>
          <w:rFonts w:eastAsia="Calibri"/>
        </w:rPr>
        <w:t>OMB Control No. 0910-</w:t>
      </w:r>
      <w:r w:rsidR="00355623">
        <w:rPr>
          <w:rFonts w:eastAsia="Calibri"/>
        </w:rPr>
        <w:t>0216</w:t>
      </w:r>
    </w:p>
    <w:p w:rsidR="00357C8A" w:rsidP="00357C8A" w14:paraId="3DE461B3" w14:textId="77777777">
      <w:pPr>
        <w:jc w:val="center"/>
        <w:rPr>
          <w:rFonts w:eastAsia="Calibri"/>
        </w:rPr>
      </w:pPr>
    </w:p>
    <w:p w:rsidR="00357C8A" w:rsidP="00357C8A" w14:paraId="7D84ED76" w14:textId="77777777">
      <w:pPr>
        <w:jc w:val="center"/>
        <w:rPr>
          <w:rFonts w:eastAsia="Calibri"/>
        </w:rPr>
      </w:pPr>
      <w:r w:rsidRPr="00357C8A">
        <w:rPr>
          <w:rFonts w:eastAsia="Calibri"/>
        </w:rPr>
        <w:t>SUPPORTING STATEMENT</w:t>
      </w:r>
    </w:p>
    <w:p w:rsidR="009B4DF2" w:rsidP="00357C8A" w14:paraId="6F96B51C" w14:textId="77777777">
      <w:pPr>
        <w:jc w:val="center"/>
        <w:rPr>
          <w:rFonts w:eastAsia="Calibri"/>
        </w:rPr>
      </w:pPr>
    </w:p>
    <w:p w:rsidR="00182154" w:rsidP="000D79CC" w14:paraId="7574ECCB" w14:textId="77777777">
      <w:pPr>
        <w:rPr>
          <w:rFonts w:eastAsia="Calibri"/>
          <w:b/>
        </w:rPr>
      </w:pPr>
    </w:p>
    <w:p w:rsidR="00182154" w:rsidP="000D79CC" w14:paraId="0A586D3C" w14:textId="319653BE">
      <w:pPr>
        <w:rPr>
          <w:rFonts w:eastAsia="Calibri"/>
          <w:b/>
        </w:rPr>
      </w:pPr>
      <w:r>
        <w:rPr>
          <w:rFonts w:eastAsia="Calibri"/>
          <w:b/>
        </w:rPr>
        <w:t>EXTENSION</w:t>
      </w:r>
    </w:p>
    <w:p w:rsidR="00182154" w:rsidP="000D79CC" w14:paraId="6F175F56" w14:textId="77777777">
      <w:pPr>
        <w:rPr>
          <w:rFonts w:eastAsia="Calibri"/>
          <w:b/>
        </w:rPr>
      </w:pPr>
    </w:p>
    <w:p w:rsidR="00357C8A" w:rsidP="000D79CC" w14:paraId="03AEED16" w14:textId="21AD245B">
      <w:pPr>
        <w:rPr>
          <w:rFonts w:eastAsia="Calibri"/>
        </w:rPr>
      </w:pPr>
      <w:r w:rsidRPr="00357C8A">
        <w:rPr>
          <w:rFonts w:eastAsia="Calibri"/>
          <w:b/>
        </w:rPr>
        <w:t>Part A:  Justification</w:t>
      </w:r>
      <w:r w:rsidRPr="00357C8A">
        <w:rPr>
          <w:rFonts w:eastAsia="Calibri"/>
        </w:rPr>
        <w:t>:</w:t>
      </w:r>
    </w:p>
    <w:p w:rsidR="000D79CC" w:rsidRPr="00357C8A" w:rsidP="000D79CC" w14:paraId="68CA067C" w14:textId="77777777">
      <w:pPr>
        <w:rPr>
          <w:rFonts w:eastAsia="Calibri"/>
        </w:rPr>
      </w:pPr>
    </w:p>
    <w:p w:rsidR="00357C8A" w:rsidRPr="00357C8A" w:rsidP="006705EA" w14:paraId="2967A44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A7722" w:rsidP="00355623" w14:paraId="08171556" w14:textId="6D19996C">
      <w:pPr>
        <w:rPr>
          <w:rFonts w:eastAsia="Calibri"/>
        </w:rPr>
      </w:pPr>
      <w:r w:rsidRPr="00355623">
        <w:rPr>
          <w:rFonts w:eastAsia="Calibri"/>
        </w:rPr>
        <w:t xml:space="preserve">This information collection supports Food and Drug Administration (FDA, </w:t>
      </w:r>
      <w:r w:rsidRPr="00355623">
        <w:rPr>
          <w:rFonts w:eastAsia="Calibri"/>
        </w:rPr>
        <w:t>us</w:t>
      </w:r>
      <w:r w:rsidRPr="00355623">
        <w:rPr>
          <w:rFonts w:eastAsia="Calibri"/>
        </w:rPr>
        <w:t xml:space="preserve"> or we) regulations</w:t>
      </w:r>
      <w:r w:rsidR="002C108F">
        <w:rPr>
          <w:rFonts w:eastAsia="Calibri"/>
        </w:rPr>
        <w:t xml:space="preserve"> governing certification for color additives used in foods, drugs, cosmetics, and medical devices.</w:t>
      </w:r>
      <w:r w:rsidR="00CD0401">
        <w:rPr>
          <w:rFonts w:eastAsia="Calibri"/>
        </w:rPr>
        <w:t xml:space="preserve">  </w:t>
      </w:r>
      <w:r w:rsidRPr="002C108F" w:rsidR="002C108F">
        <w:rPr>
          <w:rFonts w:eastAsia="Calibri"/>
        </w:rPr>
        <w:t>All color additives must have FDA-approval for their intended use and be listed in the color additive regulations before they are permitted for use in food, drugs, cosmetics, and many medical devices.  Some color additives have an additional requirement: they are permitted only if they are from batches that FDA has certified under section 721(a) of the Federal Food, Drug and Cosmetic Act (FD&amp;C Act) (21 U.S.C. 379</w:t>
      </w:r>
      <w:r w:rsidR="00024B58">
        <w:rPr>
          <w:rFonts w:eastAsia="Calibri"/>
        </w:rPr>
        <w:t>e</w:t>
      </w:r>
      <w:r w:rsidRPr="002C108F" w:rsidR="002C108F">
        <w:rPr>
          <w:rFonts w:eastAsia="Calibri"/>
        </w:rPr>
        <w:t>(</w:t>
      </w:r>
      <w:r w:rsidR="00024B58">
        <w:rPr>
          <w:rFonts w:eastAsia="Calibri"/>
        </w:rPr>
        <w:t>a</w:t>
      </w:r>
      <w:r w:rsidRPr="002C108F" w:rsidR="002C108F">
        <w:rPr>
          <w:rFonts w:eastAsia="Calibri"/>
        </w:rPr>
        <w:t>)).  This means that FDA chemists have analyzed a sample from the batch and have found that it meets the requirements for composition and purity stated in the regulation, called a “listing regulation,” for that color additive</w:t>
      </w:r>
      <w:r w:rsidR="002C108F">
        <w:rPr>
          <w:rFonts w:eastAsia="Calibri"/>
        </w:rPr>
        <w:t>.</w:t>
      </w:r>
      <w:r w:rsidRPr="00024B58" w:rsidR="00024B58">
        <w:t xml:space="preserve"> </w:t>
      </w:r>
      <w:r w:rsidR="00024B58">
        <w:t xml:space="preserve"> </w:t>
      </w:r>
      <w:r w:rsidRPr="00024B58" w:rsidR="00024B58">
        <w:rPr>
          <w:rFonts w:eastAsia="Calibri"/>
        </w:rPr>
        <w:t>We list color additives that have been shown to be safe for their intended uses in Title 21 of the Code of Federal Regulations (CFR).  We require batch certification for all color additives listed in 21 CFR part 74 and for all color additives provisionally listed in 21 CFR part 82.  Color additives listed in 21 CFR part 73 are exempted from certification.</w:t>
      </w:r>
      <w:r w:rsidR="002C108F">
        <w:rPr>
          <w:rFonts w:eastAsia="Calibri"/>
        </w:rPr>
        <w:t xml:space="preserve">  </w:t>
      </w:r>
    </w:p>
    <w:p w:rsidR="005A7722" w:rsidP="00355623" w14:paraId="789A4547" w14:textId="77777777">
      <w:pPr>
        <w:rPr>
          <w:rFonts w:eastAsia="Calibri"/>
        </w:rPr>
      </w:pPr>
    </w:p>
    <w:p w:rsidR="00870A05" w:rsidP="004421AB" w14:paraId="78D541F9" w14:textId="620F1C20">
      <w:pPr>
        <w:rPr>
          <w:rFonts w:eastAsia="Calibri"/>
        </w:rPr>
      </w:pPr>
      <w:r w:rsidRPr="00355623">
        <w:rPr>
          <w:rFonts w:eastAsia="Calibri"/>
        </w:rPr>
        <w:t xml:space="preserve">The requirements for color additive certification are </w:t>
      </w:r>
      <w:r w:rsidR="00024B58">
        <w:rPr>
          <w:rFonts w:eastAsia="Calibri"/>
        </w:rPr>
        <w:t>established</w:t>
      </w:r>
      <w:r w:rsidRPr="00355623" w:rsidR="00024B58">
        <w:rPr>
          <w:rFonts w:eastAsia="Calibri"/>
        </w:rPr>
        <w:t xml:space="preserve"> </w:t>
      </w:r>
      <w:r w:rsidRPr="00355623">
        <w:rPr>
          <w:rFonts w:eastAsia="Calibri"/>
        </w:rPr>
        <w:t xml:space="preserve">in 21 CFR part 80.  </w:t>
      </w:r>
      <w:r w:rsidRPr="00BE6224" w:rsidR="00BE6224">
        <w:rPr>
          <w:rFonts w:eastAsia="Calibri"/>
        </w:rPr>
        <w:t>Procedures for color additive certification are set forth in part 80, subpart B (§§ 80.21 through 80.39) and communicate required data elements for requests for certification, limitations of certificates, exemptions from certification for color additive mixtures, treatment of batches pending and after certification, and recordkeeping requirements for respondents to whom a certificate is issued.</w:t>
      </w:r>
      <w:r w:rsidR="00BE6224">
        <w:rPr>
          <w:rFonts w:eastAsia="Calibri"/>
        </w:rPr>
        <w:t xml:space="preserve">  </w:t>
      </w:r>
      <w:r w:rsidR="005A7722">
        <w:rPr>
          <w:rFonts w:eastAsia="Calibri"/>
        </w:rPr>
        <w:t xml:space="preserve">During </w:t>
      </w:r>
      <w:r w:rsidRPr="00355623">
        <w:rPr>
          <w:rFonts w:eastAsia="Calibri"/>
        </w:rPr>
        <w:t xml:space="preserve">the </w:t>
      </w:r>
      <w:r w:rsidR="005A7722">
        <w:rPr>
          <w:rFonts w:eastAsia="Calibri"/>
        </w:rPr>
        <w:t xml:space="preserve">batch </w:t>
      </w:r>
      <w:r w:rsidRPr="00355623">
        <w:rPr>
          <w:rFonts w:eastAsia="Calibri"/>
        </w:rPr>
        <w:t xml:space="preserve">certification procedure, a </w:t>
      </w:r>
      <w:r w:rsidR="005A7722">
        <w:rPr>
          <w:rFonts w:eastAsia="Calibri"/>
        </w:rPr>
        <w:t xml:space="preserve">manufacturer of color additives must submit </w:t>
      </w:r>
      <w:r w:rsidRPr="00355623">
        <w:rPr>
          <w:rFonts w:eastAsia="Calibri"/>
        </w:rPr>
        <w:t xml:space="preserve">a “request for certification” that provides information about the batch, </w:t>
      </w:r>
      <w:r w:rsidR="005A7722">
        <w:rPr>
          <w:rFonts w:eastAsia="Calibri"/>
        </w:rPr>
        <w:t xml:space="preserve">accompanied by a representative sample of a new batch of color additive, </w:t>
      </w:r>
      <w:r w:rsidRPr="00355623">
        <w:rPr>
          <w:rFonts w:eastAsia="Calibri"/>
        </w:rPr>
        <w:t>to FDA’s Office of Cosmetics and Colors.  FDA personnel perform chemical and other analyses of the representative sample and, providing the sample satisfies all certification requirements, issue a certificat</w:t>
      </w:r>
      <w:r w:rsidR="005A7722">
        <w:rPr>
          <w:rFonts w:eastAsia="Calibri"/>
        </w:rPr>
        <w:t xml:space="preserve">e </w:t>
      </w:r>
      <w:r w:rsidR="00BE6224">
        <w:rPr>
          <w:rFonts w:eastAsia="Calibri"/>
        </w:rPr>
        <w:t xml:space="preserve">that contains </w:t>
      </w:r>
      <w:r w:rsidR="005A7722">
        <w:rPr>
          <w:rFonts w:eastAsia="Calibri"/>
        </w:rPr>
        <w:t>a certificat</w:t>
      </w:r>
      <w:r w:rsidRPr="00355623">
        <w:rPr>
          <w:rFonts w:eastAsia="Calibri"/>
        </w:rPr>
        <w:t xml:space="preserve">ion lot number for the batch.  </w:t>
      </w:r>
      <w:r w:rsidRPr="005A7722" w:rsidR="005A7722">
        <w:rPr>
          <w:rFonts w:eastAsia="Calibri"/>
        </w:rPr>
        <w:t xml:space="preserve">The batch can then be used in FDA-regulated products marketed in the United States, in compliance with the uses and restrictions in that color additive’s listing regulation.  If the sample doesn’t meet the requirements, we reject the batch.  We require manufacturers to keep complete records showing disposal of all of the color additive covered by the certification.  </w:t>
      </w:r>
    </w:p>
    <w:p w:rsidR="00870A05" w:rsidP="004421AB" w14:paraId="7C7CEFE7" w14:textId="77777777">
      <w:pPr>
        <w:rPr>
          <w:rFonts w:eastAsia="Calibri"/>
        </w:rPr>
      </w:pPr>
    </w:p>
    <w:p w:rsidR="004421AB" w:rsidP="004421AB" w14:paraId="5160A81B" w14:textId="173AD30A">
      <w:pPr>
        <w:rPr>
          <w:rFonts w:eastAsia="Calibri"/>
        </w:rPr>
      </w:pPr>
      <w:r w:rsidRPr="00355623">
        <w:rPr>
          <w:rFonts w:eastAsia="Calibri"/>
        </w:rPr>
        <w:t>We charge a fee for certification based on the batch weight and require manufacturers to keep records of the batch pending and after certification.</w:t>
      </w:r>
      <w:r>
        <w:rPr>
          <w:rFonts w:eastAsia="Calibri"/>
        </w:rPr>
        <w:t xml:space="preserve">  </w:t>
      </w:r>
      <w:r w:rsidRPr="004421AB">
        <w:rPr>
          <w:rFonts w:eastAsia="Calibri"/>
        </w:rPr>
        <w:t xml:space="preserve">The user fees support FDA’s color certification program.  </w:t>
      </w:r>
      <w:r w:rsidRPr="00870A05" w:rsidR="00870A05">
        <w:rPr>
          <w:rFonts w:eastAsia="Calibri"/>
        </w:rPr>
        <w:t>Additional information about color additive certification is available at:</w:t>
      </w:r>
      <w:r w:rsidRPr="004421AB">
        <w:rPr>
          <w:rFonts w:eastAsia="Calibri"/>
        </w:rPr>
        <w:t xml:space="preserve"> </w:t>
      </w:r>
      <w:hyperlink r:id="rId5" w:history="1">
        <w:r w:rsidRPr="004421AB">
          <w:rPr>
            <w:rStyle w:val="Hyperlink"/>
            <w:rFonts w:eastAsia="Calibri"/>
          </w:rPr>
          <w:t>https://www.fda.gov/industry/color-additives/color-certification</w:t>
        </w:r>
      </w:hyperlink>
      <w:r w:rsidRPr="004421AB">
        <w:rPr>
          <w:rFonts w:eastAsia="Calibri"/>
        </w:rPr>
        <w:t>.</w:t>
      </w:r>
    </w:p>
    <w:p w:rsidR="004421AB" w:rsidRPr="004421AB" w:rsidP="004421AB" w14:paraId="041E02A2" w14:textId="77777777">
      <w:pPr>
        <w:rPr>
          <w:rFonts w:eastAsia="Calibri"/>
        </w:rPr>
      </w:pPr>
    </w:p>
    <w:p w:rsidR="00355623" w:rsidP="004421AB" w14:paraId="0E57A6C5" w14:textId="0A56CD1E">
      <w:pPr>
        <w:rPr>
          <w:rFonts w:eastAsia="Calibri"/>
        </w:rPr>
      </w:pPr>
      <w:r>
        <w:rPr>
          <w:rFonts w:eastAsia="Calibri"/>
        </w:rPr>
        <w:t>A</w:t>
      </w:r>
      <w:r w:rsidRPr="004421AB" w:rsidR="004421AB">
        <w:rPr>
          <w:rFonts w:eastAsia="Calibri"/>
        </w:rPr>
        <w:t xml:space="preserve"> request for certification must include</w:t>
      </w:r>
      <w:r w:rsidR="00E00678">
        <w:rPr>
          <w:rFonts w:eastAsia="Calibri"/>
        </w:rPr>
        <w:t xml:space="preserve"> information such as the </w:t>
      </w:r>
      <w:r w:rsidRPr="004421AB" w:rsidR="004421AB">
        <w:rPr>
          <w:rFonts w:eastAsia="Calibri"/>
        </w:rPr>
        <w:t xml:space="preserve">name of color additive, manufacturer’s batch number and weight in pounds, name and address of manufacturer, storage conditions, statement of use(s), certification fee, and signature of person requesting certification.  </w:t>
      </w:r>
      <w:r w:rsidR="00E00678">
        <w:rPr>
          <w:rFonts w:eastAsia="Calibri"/>
        </w:rPr>
        <w:t>A</w:t>
      </w:r>
      <w:r w:rsidRPr="004421AB" w:rsidR="004421AB">
        <w:rPr>
          <w:rFonts w:eastAsia="Calibri"/>
        </w:rPr>
        <w:t xml:space="preserve"> request for certification must </w:t>
      </w:r>
      <w:r w:rsidR="00E00678">
        <w:rPr>
          <w:rFonts w:eastAsia="Calibri"/>
        </w:rPr>
        <w:t xml:space="preserve">also </w:t>
      </w:r>
      <w:r w:rsidRPr="004421AB" w:rsidR="004421AB">
        <w:rPr>
          <w:rFonts w:eastAsia="Calibri"/>
        </w:rPr>
        <w:t xml:space="preserve">include a sample of the batch of color additive that is the subject of the request.  The sample must be labeled to show name of color additive, manufacturer’s batch number and quantity, and name and address of person requesting certification.  </w:t>
      </w:r>
      <w:r w:rsidR="002607C1">
        <w:rPr>
          <w:rFonts w:eastAsia="Calibri"/>
        </w:rPr>
        <w:t xml:space="preserve">In addition, </w:t>
      </w:r>
      <w:r w:rsidRPr="004421AB" w:rsidR="004421AB">
        <w:rPr>
          <w:rFonts w:eastAsia="Calibri"/>
        </w:rPr>
        <w:t>the person to whom a certificate is issued must keep complete records showing the disposal of all of the color additive covered by the certificate.  Such records are to be made available upon request to any accredited representative of FDA until at least 2 years after disposal of all of the color additive</w:t>
      </w:r>
    </w:p>
    <w:p w:rsidR="00355623" w:rsidRPr="00355623" w:rsidP="00355623" w14:paraId="53A58398" w14:textId="77777777">
      <w:pPr>
        <w:rPr>
          <w:rFonts w:eastAsia="Calibri"/>
        </w:rPr>
      </w:pPr>
    </w:p>
    <w:p w:rsidR="00355623" w:rsidP="00355623" w14:paraId="0FB6489F" w14:textId="77777777">
      <w:pPr>
        <w:rPr>
          <w:rFonts w:eastAsia="Calibri"/>
        </w:rPr>
      </w:pPr>
      <w:r w:rsidRPr="00355623">
        <w:rPr>
          <w:rFonts w:eastAsia="Calibri"/>
        </w:rPr>
        <w:t>We therefore request extension of OMB approval of the information collection provisions found in 21 CFR §§ 80.21, 80.22, and 80.39, as discussed in this supporting statement.</w:t>
      </w:r>
    </w:p>
    <w:p w:rsidR="00357C8A" w:rsidRPr="001150CD" w:rsidP="0076095E" w14:paraId="5F0CAC8A" w14:textId="77777777">
      <w:pPr>
        <w:rPr>
          <w:rFonts w:eastAsia="Calibri"/>
          <w:color w:val="000000"/>
        </w:rPr>
      </w:pPr>
    </w:p>
    <w:p w:rsidR="00357C8A" w:rsidRPr="00357C8A" w:rsidP="006705EA" w14:paraId="04440D7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5623" w:rsidRPr="00E42E29" w:rsidP="00355623" w14:paraId="41C648B4" w14:textId="6A3E6893">
      <w:pPr>
        <w:spacing w:after="200"/>
        <w:rPr>
          <w:rFonts w:eastAsia="Calibri"/>
        </w:rPr>
      </w:pPr>
      <w:r w:rsidRPr="005A7722">
        <w:rPr>
          <w:rFonts w:eastAsia="Calibri"/>
        </w:rPr>
        <w:t xml:space="preserve">The purpose for collecting this information is to help us assure that only safe color additives will be used in foods, drugs, cosmetics, and medical devices sold in the United States.  </w:t>
      </w:r>
      <w:r w:rsidRPr="00E42E29">
        <w:rPr>
          <w:rFonts w:eastAsia="Calibri"/>
        </w:rPr>
        <w:t xml:space="preserve">As described above, </w:t>
      </w:r>
      <w:r>
        <w:rPr>
          <w:rFonts w:eastAsia="Calibri"/>
        </w:rPr>
        <w:t xml:space="preserve">our </w:t>
      </w:r>
      <w:r w:rsidRPr="00E42E29">
        <w:rPr>
          <w:rFonts w:eastAsia="Calibri"/>
        </w:rPr>
        <w:t>regulations require that a representative sample of each new batch of color additive, accompanied by a “</w:t>
      </w:r>
      <w:r w:rsidRPr="002A2CB5">
        <w:rPr>
          <w:rFonts w:eastAsia="Calibri"/>
          <w:i/>
        </w:rPr>
        <w:t>request for certification</w:t>
      </w:r>
      <w:r w:rsidRPr="00E42E29">
        <w:rPr>
          <w:rFonts w:eastAsia="Calibri"/>
        </w:rPr>
        <w:t xml:space="preserve">” that provides information about the batch be submitted to FDA’s Office of Cosmetics and Colors.  FDA personnel perform chemical and other analyses of the representative sample and, providing the sample satisfies all certification requirements, issue a certification lot number for the batch.   </w:t>
      </w:r>
    </w:p>
    <w:p w:rsidR="00355623" w:rsidRPr="00E42E29" w:rsidP="00355623" w14:paraId="6EE0087D" w14:textId="3C090903">
      <w:pPr>
        <w:spacing w:after="200"/>
        <w:rPr>
          <w:rFonts w:eastAsia="Calibri"/>
        </w:rPr>
      </w:pPr>
      <w:r w:rsidRPr="00E42E29">
        <w:rPr>
          <w:rFonts w:eastAsia="Calibri"/>
        </w:rPr>
        <w:t xml:space="preserve">The manufacturer’s batch number is used for temporarily identifying a batch of color additive until </w:t>
      </w:r>
      <w:r>
        <w:rPr>
          <w:rFonts w:eastAsia="Calibri"/>
        </w:rPr>
        <w:t>we</w:t>
      </w:r>
      <w:r w:rsidRPr="00E42E29">
        <w:rPr>
          <w:rFonts w:eastAsia="Calibri"/>
        </w:rPr>
        <w:t xml:space="preserve"> issue a certification lot number and for identifying a certified batch during inspections.  The manufacturer</w:t>
      </w:r>
      <w:r w:rsidR="00725DC2">
        <w:rPr>
          <w:rFonts w:eastAsia="Calibri"/>
        </w:rPr>
        <w:t>’</w:t>
      </w:r>
      <w:r w:rsidRPr="00E42E29">
        <w:rPr>
          <w:rFonts w:eastAsia="Calibri"/>
        </w:rPr>
        <w:t>s batch number also aids in tracing the disposal of a certified batch or a batch that has been refused certification for noncompliance with the color additive regulations.  The manufacturer</w:t>
      </w:r>
      <w:r w:rsidR="00F76FD8">
        <w:rPr>
          <w:rFonts w:eastAsia="Calibri"/>
        </w:rPr>
        <w:t>’</w:t>
      </w:r>
      <w:r w:rsidRPr="00E42E29">
        <w:rPr>
          <w:rFonts w:eastAsia="Calibri"/>
        </w:rPr>
        <w:t>s batch weight is used for assessing the certification fee.  The batch weight also is used to account for the disposal of a batch of certified or certification-rejected color additive.  The batch weight can be used in a recall to determine whether all unused color additive in the batch has been recalled.  The manufacturer’s name and address and the name and address of the person requesting certification are used to contact the person responsible should a question arise concerning compliance with the color additive regulations.</w:t>
      </w:r>
    </w:p>
    <w:p w:rsidR="00355623" w:rsidRPr="00E42E29" w:rsidP="00355623" w14:paraId="23B2A138" w14:textId="77777777">
      <w:pPr>
        <w:spacing w:after="200"/>
        <w:rPr>
          <w:rFonts w:eastAsia="Calibri"/>
        </w:rPr>
      </w:pPr>
      <w:r w:rsidRPr="00E42E29">
        <w:rPr>
          <w:rFonts w:eastAsia="Calibri"/>
        </w:rPr>
        <w:t xml:space="preserve">Information on storage conditions pending certification is used to evaluate whether a batch of certified color additive is inadvertently or intentionally altered in a manner that would make the sample submitted for certification analysis unrepresentative of the batch.  </w:t>
      </w:r>
      <w:r>
        <w:rPr>
          <w:rFonts w:eastAsia="Calibri"/>
        </w:rPr>
        <w:t>We</w:t>
      </w:r>
      <w:r w:rsidRPr="00E42E29">
        <w:rPr>
          <w:rFonts w:eastAsia="Calibri"/>
        </w:rPr>
        <w:t xml:space="preserve"> check storage information during inspections.  Information on intended uses for a batch of color additive is used to assure that a batch of certified color additive will be used in accordance with the requirements of its listing regulation.  The statement of the fee on a certification request is used for accounting purposes so that a person requesting certification can be notified promptly of any discrepancies.</w:t>
      </w:r>
    </w:p>
    <w:p w:rsidR="00357C8A" w:rsidRPr="001150CD" w:rsidP="0022425B" w14:paraId="16DF93EC" w14:textId="77777777">
      <w:pPr>
        <w:spacing w:after="200"/>
        <w:rPr>
          <w:rFonts w:eastAsia="Calibri"/>
          <w:color w:val="000000"/>
        </w:rPr>
      </w:pPr>
      <w:r w:rsidRPr="00E42E29">
        <w:rPr>
          <w:rFonts w:eastAsia="Calibri"/>
          <w:i/>
        </w:rPr>
        <w:t>Description of Respondents</w:t>
      </w:r>
      <w:r w:rsidRPr="00E42E29">
        <w:rPr>
          <w:rFonts w:eastAsia="Calibri"/>
        </w:rPr>
        <w:t>:  The respondents include businesses engaged in the manufacture of color additives used in FDA-regulated foods, drugs, cosmetics, and medical devices.  Respondents are from the private sector (for-profit businesses)</w:t>
      </w:r>
      <w:r>
        <w:rPr>
          <w:rFonts w:eastAsia="Calibri"/>
        </w:rPr>
        <w:t>.</w:t>
      </w:r>
    </w:p>
    <w:p w:rsidR="00357C8A" w:rsidRPr="00357C8A" w:rsidP="006705EA" w14:paraId="1A3A8F8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P="0022425B" w14:paraId="53A07911" w14:textId="09B88EAF">
      <w:pPr>
        <w:spacing w:after="200"/>
        <w:rPr>
          <w:rFonts w:eastAsia="Calibri"/>
        </w:rPr>
      </w:pPr>
      <w:r w:rsidRPr="00355623">
        <w:rPr>
          <w:rFonts w:eastAsia="Calibri"/>
        </w:rPr>
        <w:t xml:space="preserve">FDA’s web-based Color Certification information system is available for respondents to request color certification online, track their submissions, and obtain account status information.  </w:t>
      </w:r>
      <w:r w:rsidRPr="007B02E7" w:rsidR="007B02E7">
        <w:rPr>
          <w:rFonts w:eastAsia="Calibri"/>
        </w:rPr>
        <w:t xml:space="preserve">Prior to </w:t>
      </w:r>
      <w:r w:rsidRPr="007B02E7" w:rsidR="007B02E7">
        <w:rPr>
          <w:rFonts w:eastAsia="Calibri"/>
        </w:rPr>
        <w:t xml:space="preserve">submitting a request for certification, the manufacturer must open a color certification account by sending a letter, as an email attachment, signed by responsible company representative, to FDA’s Office of Cosmetics and Colors at </w:t>
      </w:r>
      <w:hyperlink r:id="rId6" w:history="1">
        <w:r w:rsidRPr="007F386A" w:rsidR="007B02E7">
          <w:rPr>
            <w:rStyle w:val="Hyperlink"/>
            <w:rFonts w:eastAsia="Calibri"/>
          </w:rPr>
          <w:t>color.cert@fda.hhs.gov</w:t>
        </w:r>
      </w:hyperlink>
      <w:r w:rsidRPr="007B02E7" w:rsidR="007B02E7">
        <w:rPr>
          <w:rFonts w:eastAsia="Calibri"/>
        </w:rPr>
        <w:t>.</w:t>
      </w:r>
      <w:r w:rsidR="007B02E7">
        <w:rPr>
          <w:rFonts w:eastAsia="Calibri"/>
        </w:rPr>
        <w:t xml:space="preserve">  </w:t>
      </w:r>
      <w:r w:rsidRPr="00355623">
        <w:rPr>
          <w:rFonts w:eastAsia="Calibri"/>
        </w:rPr>
        <w:t>System certification results are returned electronically, allowing submitters to sell their certified color before receiving hard copy certificates.  Any delays in the system result are only from shipment of color additive samples to FDA’s Office of Cosmetics and Colors for analysis.  The agency estimates that about ninety-five percent (95%) of the “</w:t>
      </w:r>
      <w:r w:rsidRPr="00E8388E">
        <w:rPr>
          <w:rFonts w:eastAsia="Calibri"/>
          <w:i/>
          <w:iCs/>
        </w:rPr>
        <w:t>requests for certification</w:t>
      </w:r>
      <w:r w:rsidRPr="00355623">
        <w:rPr>
          <w:rFonts w:eastAsia="Calibri"/>
        </w:rPr>
        <w:t>” will be submitted electronically in the next three years.</w:t>
      </w:r>
    </w:p>
    <w:p w:rsidR="007B5DB1" w:rsidRPr="001150CD" w:rsidP="0022425B" w14:paraId="422F011C" w14:textId="77777777">
      <w:pPr>
        <w:spacing w:after="200"/>
        <w:rPr>
          <w:rFonts w:eastAsia="Calibri"/>
          <w:color w:val="000000"/>
        </w:rPr>
      </w:pPr>
    </w:p>
    <w:p w:rsidR="00357C8A" w:rsidRPr="00357C8A" w:rsidP="006705EA" w14:paraId="4E51714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1150CD" w:rsidP="0053380B" w14:paraId="257333B8" w14:textId="77777777">
      <w:pPr>
        <w:spacing w:after="200"/>
        <w:rPr>
          <w:rFonts w:eastAsia="Calibri"/>
          <w:color w:val="000000"/>
        </w:rPr>
      </w:pPr>
      <w:r w:rsidRPr="00C9260F">
        <w:t>We are unaware of duplicative information collection</w:t>
      </w:r>
      <w:r w:rsidRPr="001150CD">
        <w:rPr>
          <w:color w:val="000000"/>
        </w:rPr>
        <w:t>.</w:t>
      </w:r>
    </w:p>
    <w:p w:rsidR="00357C8A" w:rsidRPr="00357C8A" w:rsidP="006705EA" w14:paraId="4F93D08A"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74B42EE6" w14:textId="6C0B113B">
      <w:pPr>
        <w:spacing w:after="200"/>
        <w:rPr>
          <w:rFonts w:eastAsia="Calibri"/>
        </w:rPr>
      </w:pPr>
      <w:r>
        <w:rPr>
          <w:rFonts w:eastAsia="Calibri"/>
        </w:rPr>
        <w:t>We</w:t>
      </w:r>
      <w:r w:rsidRPr="00C9260F">
        <w:rPr>
          <w:rFonts w:eastAsia="Calibri"/>
        </w:rPr>
        <w:t xml:space="preserve"> estimate that ten percent (10% or 4 total) of respondents are small businesses.  The reporting and recordkeeping requirements of these regulations are mandated by the FD&amp;C Act</w:t>
      </w:r>
      <w:r>
        <w:rPr>
          <w:rFonts w:eastAsia="Calibri"/>
        </w:rPr>
        <w:t>,</w:t>
      </w:r>
      <w:r w:rsidRPr="00C9260F">
        <w:rPr>
          <w:rFonts w:eastAsia="Calibri"/>
        </w:rPr>
        <w:t xml:space="preserve"> and there is no statutory exception for small businesses.  </w:t>
      </w:r>
      <w:r>
        <w:rPr>
          <w:rFonts w:eastAsia="Calibri"/>
        </w:rPr>
        <w:t>We</w:t>
      </w:r>
      <w:r w:rsidRPr="00C9260F">
        <w:rPr>
          <w:rFonts w:eastAsia="Calibri"/>
        </w:rPr>
        <w:t xml:space="preserve"> aid small businesses in complying with </w:t>
      </w:r>
      <w:r>
        <w:rPr>
          <w:rFonts w:eastAsia="Calibri"/>
        </w:rPr>
        <w:t>FDA</w:t>
      </w:r>
      <w:r w:rsidRPr="00C9260F">
        <w:rPr>
          <w:rFonts w:eastAsia="Calibri"/>
        </w:rPr>
        <w:t xml:space="preserve"> requirements through the agency’s Regional Small Business Representatives and through the scientific and administrative staffs within the agency.  </w:t>
      </w:r>
      <w:r>
        <w:rPr>
          <w:rFonts w:eastAsia="Calibri"/>
        </w:rPr>
        <w:t xml:space="preserve">We </w:t>
      </w:r>
      <w:r w:rsidR="00697BFD">
        <w:rPr>
          <w:rFonts w:eastAsia="Calibri"/>
        </w:rPr>
        <w:t xml:space="preserve">also </w:t>
      </w:r>
      <w:r>
        <w:rPr>
          <w:rFonts w:eastAsia="Calibri"/>
        </w:rPr>
        <w:t xml:space="preserve">provide </w:t>
      </w:r>
      <w:r w:rsidRPr="00C9260F">
        <w:rPr>
          <w:rFonts w:eastAsia="Calibri"/>
        </w:rPr>
        <w:t>assistance</w:t>
      </w:r>
      <w:r w:rsidR="003F387B">
        <w:rPr>
          <w:rFonts w:eastAsia="Calibri"/>
        </w:rPr>
        <w:t xml:space="preserve"> via our</w:t>
      </w:r>
      <w:r w:rsidRPr="00C9260F">
        <w:rPr>
          <w:rFonts w:eastAsia="Calibri"/>
        </w:rPr>
        <w:t xml:space="preserve"> </w:t>
      </w:r>
      <w:r w:rsidRPr="00C9260F" w:rsidR="003F387B">
        <w:rPr>
          <w:rFonts w:eastAsia="Calibri"/>
        </w:rPr>
        <w:t xml:space="preserve">Small Business </w:t>
      </w:r>
      <w:r w:rsidR="00CB689E">
        <w:rPr>
          <w:rFonts w:eastAsia="Calibri"/>
        </w:rPr>
        <w:t>Assistance</w:t>
      </w:r>
      <w:r>
        <w:rPr>
          <w:rFonts w:eastAsia="Calibri"/>
        </w:rPr>
        <w:t xml:space="preserve"> </w:t>
      </w:r>
      <w:r w:rsidRPr="00C9260F">
        <w:rPr>
          <w:rFonts w:eastAsia="Calibri"/>
        </w:rPr>
        <w:t>web</w:t>
      </w:r>
      <w:r w:rsidR="00697BFD">
        <w:rPr>
          <w:rFonts w:eastAsia="Calibri"/>
        </w:rPr>
        <w:t>page</w:t>
      </w:r>
      <w:r w:rsidRPr="00C9260F">
        <w:rPr>
          <w:rFonts w:eastAsia="Calibri"/>
        </w:rPr>
        <w:t xml:space="preserve"> at </w:t>
      </w:r>
      <w:hyperlink r:id="rId7" w:history="1">
        <w:r w:rsidRPr="00C9260F">
          <w:rPr>
            <w:rStyle w:val="Hyperlink"/>
            <w:rFonts w:eastAsia="Calibri"/>
          </w:rPr>
          <w:t>https://www.fda.gov/industry/small-business-assistance</w:t>
        </w:r>
      </w:hyperlink>
      <w:r w:rsidRPr="00C9260F">
        <w:rPr>
          <w:rFonts w:eastAsia="Calibri"/>
        </w:rPr>
        <w:t>.</w:t>
      </w:r>
    </w:p>
    <w:p w:rsidR="00357C8A" w:rsidRPr="00357C8A" w:rsidP="006705EA" w14:paraId="3F78158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B11EB2" w:rsidP="00B11EB2" w14:paraId="7CDFC6EB" w14:textId="06FDD74C">
      <w:pPr>
        <w:spacing w:after="200"/>
        <w:rPr>
          <w:rFonts w:eastAsia="Calibri"/>
          <w:color w:val="000000"/>
        </w:rPr>
      </w:pPr>
      <w:r w:rsidRPr="00B11EB2">
        <w:rPr>
          <w:rFonts w:eastAsia="Calibri"/>
        </w:rPr>
        <w:t xml:space="preserve">The information collection schedule is consistent with statutory and regulatory requirements. </w:t>
      </w:r>
      <w:r w:rsidRPr="00B11EB2" w:rsidR="00355623">
        <w:rPr>
          <w:rFonts w:eastAsia="Calibri"/>
        </w:rPr>
        <w:t>Without this information, we could not assure the safety of batches of color additives</w:t>
      </w:r>
      <w:r>
        <w:rPr>
          <w:rFonts w:eastAsia="Calibri"/>
        </w:rPr>
        <w:t>.</w:t>
      </w:r>
    </w:p>
    <w:p w:rsidR="00357C8A" w:rsidRPr="00357C8A" w:rsidP="006705EA" w14:paraId="2FDF198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CE27F0C" w14:textId="77777777">
      <w:pPr>
        <w:spacing w:after="200"/>
        <w:rPr>
          <w:rFonts w:eastAsia="Calibri"/>
        </w:rPr>
      </w:pPr>
      <w:r w:rsidRPr="00C9260F">
        <w:rPr>
          <w:rFonts w:eastAsia="Calibri"/>
        </w:rPr>
        <w:t>There are no special circumstances associated with this collection of information.</w:t>
      </w:r>
    </w:p>
    <w:p w:rsidR="00357C8A" w:rsidRPr="00357C8A" w:rsidP="006705EA" w14:paraId="3830BBA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1150CD" w:rsidP="00357C8A" w14:paraId="409B329C" w14:textId="77777777">
      <w:pPr>
        <w:spacing w:after="200"/>
        <w:rPr>
          <w:rFonts w:eastAsia="Calibri"/>
          <w:color w:val="000000"/>
        </w:rPr>
      </w:pPr>
      <w:r w:rsidRPr="00891A77">
        <w:rPr>
          <w:rFonts w:eastAsia="Calibri"/>
        </w:rPr>
        <w:t>In accordance with 5 CFR 1320.8(d),</w:t>
      </w:r>
      <w:r>
        <w:rPr>
          <w:rFonts w:eastAsia="Calibri"/>
        </w:rPr>
        <w:t xml:space="preserve"> we published a 60-day notice for public comment in the </w:t>
      </w:r>
      <w:r w:rsidRPr="009009E7">
        <w:rPr>
          <w:rFonts w:eastAsia="Calibri"/>
          <w:i/>
        </w:rPr>
        <w:t>Federal Register</w:t>
      </w:r>
      <w:r>
        <w:rPr>
          <w:rFonts w:eastAsia="Calibri"/>
        </w:rPr>
        <w:t xml:space="preserve"> of </w:t>
      </w:r>
      <w:r w:rsidR="00610078">
        <w:rPr>
          <w:rFonts w:eastAsia="Calibri"/>
        </w:rPr>
        <w:t>August 10</w:t>
      </w:r>
      <w:r>
        <w:rPr>
          <w:rFonts w:eastAsia="Calibri"/>
        </w:rPr>
        <w:t>, 202</w:t>
      </w:r>
      <w:r w:rsidR="00610078">
        <w:rPr>
          <w:rFonts w:eastAsia="Calibri"/>
        </w:rPr>
        <w:t>3</w:t>
      </w:r>
      <w:r>
        <w:rPr>
          <w:rFonts w:eastAsia="Calibri"/>
        </w:rPr>
        <w:t xml:space="preserve"> (8</w:t>
      </w:r>
      <w:r w:rsidR="00610078">
        <w:rPr>
          <w:rFonts w:eastAsia="Calibri"/>
        </w:rPr>
        <w:t>8</w:t>
      </w:r>
      <w:r>
        <w:rPr>
          <w:rFonts w:eastAsia="Calibri"/>
        </w:rPr>
        <w:t xml:space="preserve"> FR </w:t>
      </w:r>
      <w:r w:rsidR="00610078">
        <w:rPr>
          <w:rFonts w:eastAsia="Calibri"/>
        </w:rPr>
        <w:t>54329</w:t>
      </w:r>
      <w:r>
        <w:rPr>
          <w:rFonts w:eastAsia="Calibri"/>
        </w:rPr>
        <w:t xml:space="preserve">).  </w:t>
      </w:r>
      <w:r w:rsidRPr="008735DE">
        <w:rPr>
          <w:rFonts w:eastAsia="Calibri"/>
        </w:rPr>
        <w:t>No comments were received</w:t>
      </w:r>
      <w:r w:rsidRPr="008735DE">
        <w:rPr>
          <w:rFonts w:eastAsia="Calibri"/>
          <w:color w:val="000000"/>
        </w:rPr>
        <w:t>.</w:t>
      </w:r>
    </w:p>
    <w:p w:rsidR="00357C8A" w:rsidRPr="00357C8A" w:rsidP="006705EA" w14:paraId="1CF14EB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1150CD" w:rsidP="00357C8A" w14:paraId="70654CE5" w14:textId="77777777">
      <w:pPr>
        <w:spacing w:after="200"/>
        <w:rPr>
          <w:rFonts w:eastAsia="Calibri"/>
          <w:color w:val="000000"/>
        </w:rPr>
      </w:pPr>
      <w:r>
        <w:rPr>
          <w:rFonts w:eastAsia="Calibri"/>
        </w:rPr>
        <w:t>We</w:t>
      </w:r>
      <w:r w:rsidRPr="00DD5C52">
        <w:rPr>
          <w:rFonts w:eastAsia="Calibri"/>
        </w:rPr>
        <w:t xml:space="preserve"> do not provide any payments or gifts to respondents</w:t>
      </w:r>
      <w:r w:rsidRPr="001150CD">
        <w:rPr>
          <w:rFonts w:eastAsia="Calibri"/>
          <w:color w:val="000000"/>
        </w:rPr>
        <w:t xml:space="preserve">.  </w:t>
      </w:r>
    </w:p>
    <w:p w:rsidR="00357C8A" w:rsidRPr="00357C8A" w:rsidP="006705EA" w14:paraId="7943D08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61A04" w:rsidRPr="00482E20" w:rsidP="002A6906" w14:paraId="591C24F5" w14:textId="0614C810">
      <w:pPr>
        <w:spacing w:after="200"/>
        <w:rPr>
          <w:rFonts w:eastAsia="Calibri"/>
          <w:i/>
          <w:iCs/>
        </w:rPr>
      </w:pPr>
      <w:r w:rsidRPr="00482E20">
        <w:rPr>
          <w:rFonts w:eastAsia="Calibri"/>
          <w:i/>
          <w:iCs/>
        </w:rPr>
        <w:t>The Freedom of Information Act</w:t>
      </w:r>
    </w:p>
    <w:p w:rsidR="00D31A75" w:rsidP="00D31A75" w14:paraId="39A45F4E" w14:textId="6B313070">
      <w:pPr>
        <w:spacing w:after="200"/>
        <w:rPr>
          <w:rFonts w:eastAsia="Calibri"/>
        </w:rPr>
      </w:pPr>
      <w:r w:rsidRPr="00891A77">
        <w:rPr>
          <w:rFonts w:eastAsia="Calibri"/>
        </w:rPr>
        <w:t xml:space="preserve">Sections 80.21, 80.22, and 80.39 do not specify confidentiality.  However, </w:t>
      </w:r>
      <w:r>
        <w:rPr>
          <w:rFonts w:eastAsia="Calibri"/>
        </w:rPr>
        <w:t>we</w:t>
      </w:r>
      <w:r w:rsidRPr="00891A77">
        <w:rPr>
          <w:rFonts w:eastAsia="Calibri"/>
        </w:rPr>
        <w:t xml:space="preserve"> consider the information collected in the requests for color additive certification to be privileged commercial information exempt from release under the provisions of the Freedom of Information Act (FOIA) to the maximum extent permitted by that statute and FDA regulations.  Confidentiality of the information submitted is protected from disclosure under FOIA under sections 552(a) and (b) (5 U.S.C. 552(a) and (b)), and by part 20 of the agency’s regulations (21 CFR part 20).  The </w:t>
      </w:r>
      <w:r w:rsidRPr="00891A77">
        <w:rPr>
          <w:rFonts w:eastAsia="Calibri"/>
        </w:rPr>
        <w:t xml:space="preserve">information also is safeguarded by </w:t>
      </w:r>
      <w:r>
        <w:rPr>
          <w:rFonts w:eastAsia="Calibri"/>
        </w:rPr>
        <w:t>s</w:t>
      </w:r>
      <w:r w:rsidRPr="00891A77">
        <w:rPr>
          <w:rFonts w:eastAsia="Calibri"/>
        </w:rPr>
        <w:t>ection 301(j) of the FD&amp;C Act (21 U.S.C. 331(j)</w:t>
      </w:r>
      <w:r>
        <w:rPr>
          <w:rFonts w:eastAsia="Calibri"/>
        </w:rPr>
        <w:t>)</w:t>
      </w:r>
      <w:r w:rsidRPr="00891A77">
        <w:rPr>
          <w:rFonts w:eastAsia="Calibri"/>
        </w:rPr>
        <w:t>.  Accordingly, all color additive certification files are maintained in a secured area.</w:t>
      </w:r>
    </w:p>
    <w:p w:rsidR="00D31A75" w:rsidRPr="002A2CB5" w:rsidP="002A6906" w14:paraId="71E90215" w14:textId="164198E5">
      <w:pPr>
        <w:spacing w:after="200"/>
        <w:rPr>
          <w:rFonts w:eastAsia="Calibri"/>
          <w:i/>
        </w:rPr>
      </w:pPr>
      <w:r>
        <w:rPr>
          <w:rFonts w:eastAsia="Calibri"/>
          <w:i/>
        </w:rPr>
        <w:t xml:space="preserve">The </w:t>
      </w:r>
      <w:r w:rsidRPr="003F64D9">
        <w:rPr>
          <w:rFonts w:eastAsia="Calibri"/>
          <w:i/>
        </w:rPr>
        <w:t>Privacy Act</w:t>
      </w:r>
      <w:r>
        <w:rPr>
          <w:rFonts w:eastAsia="Calibri"/>
          <w:i/>
        </w:rPr>
        <w:t xml:space="preserve"> of 1974</w:t>
      </w:r>
    </w:p>
    <w:p w:rsidR="001F6E49" w:rsidP="00D31A75" w14:paraId="318683E5" w14:textId="106E2F10">
      <w:pPr>
        <w:spacing w:after="200"/>
        <w:rPr>
          <w:rFonts w:eastAsia="Calibri"/>
        </w:rPr>
      </w:pPr>
      <w:r w:rsidRPr="00BD3D32">
        <w:rPr>
          <w:rFonts w:eastAsia="Calibri"/>
        </w:rPr>
        <w:t xml:space="preserve">In preparing this supporting statement, </w:t>
      </w:r>
      <w:r>
        <w:rPr>
          <w:rFonts w:eastAsia="Calibri"/>
        </w:rPr>
        <w:t xml:space="preserve">we </w:t>
      </w:r>
      <w:r w:rsidRPr="00BD3D32">
        <w:rPr>
          <w:rFonts w:eastAsia="Calibri"/>
        </w:rPr>
        <w:t xml:space="preserve">consulted </w:t>
      </w:r>
      <w:r>
        <w:rPr>
          <w:rFonts w:eastAsia="Calibri"/>
        </w:rPr>
        <w:t xml:space="preserve">our </w:t>
      </w:r>
      <w:r w:rsidRPr="00BD3D32">
        <w:rPr>
          <w:rFonts w:eastAsia="Calibri"/>
        </w:rPr>
        <w:t>Privacy Office to ensure appropriate</w:t>
      </w:r>
      <w:r w:rsidRPr="00246854" w:rsidR="00246854">
        <w:t xml:space="preserve"> </w:t>
      </w:r>
      <w:r w:rsidRPr="00246854" w:rsidR="00246854">
        <w:rPr>
          <w:rFonts w:eastAsia="Calibri"/>
        </w:rPr>
        <w:t>identification and</w:t>
      </w:r>
      <w:r w:rsidRPr="00BD3D32">
        <w:rPr>
          <w:rFonts w:eastAsia="Calibri"/>
        </w:rPr>
        <w:t xml:space="preserve"> handling of information collected.</w:t>
      </w:r>
      <w:r w:rsidRPr="00186ADF">
        <w:rPr>
          <w:rFonts w:eastAsia="Calibri"/>
        </w:rPr>
        <w:t xml:space="preserve"> </w:t>
      </w:r>
      <w:r w:rsidR="00246854">
        <w:rPr>
          <w:rFonts w:eastAsia="Calibri"/>
        </w:rPr>
        <w:t xml:space="preserve"> </w:t>
      </w:r>
    </w:p>
    <w:p w:rsidR="00D625C5" w:rsidRPr="00D625C5" w:rsidP="00D625C5" w14:paraId="15475BA7" w14:textId="0144947F">
      <w:pPr>
        <w:spacing w:after="200"/>
        <w:rPr>
          <w:rFonts w:eastAsia="Calibri"/>
        </w:rPr>
      </w:pPr>
      <w:r w:rsidRPr="00186ADF">
        <w:rPr>
          <w:rFonts w:eastAsia="Calibri"/>
        </w:rPr>
        <w:t>This information collection request (ICR) collect</w:t>
      </w:r>
      <w:r w:rsidR="00687D6C">
        <w:rPr>
          <w:rFonts w:eastAsia="Calibri"/>
        </w:rPr>
        <w:t>s</w:t>
      </w:r>
      <w:r w:rsidRPr="00186ADF">
        <w:rPr>
          <w:rFonts w:eastAsia="Calibri"/>
        </w:rPr>
        <w:t xml:space="preserve"> personally identifiable information (PII). </w:t>
      </w:r>
      <w:r>
        <w:rPr>
          <w:rFonts w:eastAsia="Calibri"/>
        </w:rPr>
        <w:t xml:space="preserve"> </w:t>
      </w:r>
      <w:r w:rsidRPr="00D625C5">
        <w:rPr>
          <w:rFonts w:eastAsia="Calibri"/>
        </w:rPr>
        <w:t xml:space="preserve">PII is collected in the context of the subject individuals’ professional capacity and the FDA-related work they perform for their employer (e.g., point of contact at a regulated entity). </w:t>
      </w:r>
      <w:r>
        <w:rPr>
          <w:rFonts w:eastAsia="Calibri"/>
        </w:rPr>
        <w:t xml:space="preserve"> </w:t>
      </w:r>
      <w:r w:rsidRPr="00D625C5">
        <w:rPr>
          <w:rFonts w:eastAsia="Calibri"/>
        </w:rPr>
        <w:t xml:space="preserve">The PII submitted via </w:t>
      </w:r>
      <w:r w:rsidR="008C364F">
        <w:rPr>
          <w:rFonts w:eastAsia="Calibri"/>
        </w:rPr>
        <w:t xml:space="preserve">the </w:t>
      </w:r>
      <w:r w:rsidRPr="00D625C5">
        <w:rPr>
          <w:rFonts w:eastAsia="Calibri"/>
        </w:rPr>
        <w:t xml:space="preserve">Color Additive Certificate includes point of contact name and business address. </w:t>
      </w:r>
      <w:r w:rsidR="00103443">
        <w:rPr>
          <w:rFonts w:eastAsia="Calibri"/>
        </w:rPr>
        <w:t xml:space="preserve"> </w:t>
      </w:r>
      <w:r w:rsidRPr="00D625C5">
        <w:rPr>
          <w:rFonts w:eastAsia="Calibri"/>
        </w:rPr>
        <w:t>The PII submitted for electronic request for certification includes point of contact name, business email address, and business telephone number</w:t>
      </w:r>
      <w:r w:rsidR="00B535D2">
        <w:rPr>
          <w:rFonts w:eastAsia="Calibri"/>
        </w:rPr>
        <w:t>.</w:t>
      </w:r>
      <w:r w:rsidRPr="00D625C5">
        <w:rPr>
          <w:rFonts w:eastAsia="Calibri"/>
        </w:rPr>
        <w:t xml:space="preserve"> </w:t>
      </w:r>
      <w:r w:rsidR="00B535D2">
        <w:rPr>
          <w:rFonts w:eastAsia="Calibri"/>
        </w:rPr>
        <w:t xml:space="preserve"> </w:t>
      </w:r>
      <w:r w:rsidRPr="00D625C5">
        <w:rPr>
          <w:rFonts w:eastAsia="Calibri"/>
        </w:rPr>
        <w:t>FDA determined that although PII is collected, the collection is not subject to the Privacy Act of 1974</w:t>
      </w:r>
      <w:r w:rsidR="006B338A">
        <w:rPr>
          <w:rFonts w:eastAsia="Calibri"/>
        </w:rPr>
        <w:t>,</w:t>
      </w:r>
      <w:r w:rsidRPr="00D625C5">
        <w:rPr>
          <w:rFonts w:eastAsia="Calibri"/>
        </w:rPr>
        <w:t xml:space="preserve"> and the particular notice and other requirements of the Act do not apply. </w:t>
      </w:r>
      <w:r w:rsidR="006B338A">
        <w:rPr>
          <w:rFonts w:eastAsia="Calibri"/>
        </w:rPr>
        <w:t xml:space="preserve"> </w:t>
      </w:r>
      <w:r w:rsidRPr="00D625C5">
        <w:rPr>
          <w:rFonts w:eastAsia="Calibri"/>
        </w:rPr>
        <w:t xml:space="preserve">Specifically, the contractor or FDA does not use name or any other personal identifier to retrieve records from the information collected. </w:t>
      </w:r>
      <w:r w:rsidR="001F21C0">
        <w:rPr>
          <w:rFonts w:eastAsia="Calibri"/>
        </w:rPr>
        <w:t xml:space="preserve"> </w:t>
      </w:r>
      <w:r w:rsidRPr="00D625C5">
        <w:rPr>
          <w:rFonts w:eastAsia="Calibri"/>
        </w:rPr>
        <w:t>Through appropriate form and webpage design, FDA limited submission fields and minimized the PII collected to protect the privacy of the individuals.</w:t>
      </w:r>
    </w:p>
    <w:p w:rsidR="001075D3" w:rsidRPr="001075D3" w:rsidP="00E8388E" w14:paraId="32040736" w14:textId="5DD8769B">
      <w:pPr>
        <w:spacing w:after="200"/>
      </w:pPr>
      <w:r w:rsidRPr="00D625C5">
        <w:rPr>
          <w:rFonts w:eastAsia="Calibri"/>
        </w:rPr>
        <w:t xml:space="preserve">Under FOIA, the public has broad access to government documents. </w:t>
      </w:r>
      <w:r w:rsidR="00FD276D">
        <w:rPr>
          <w:rFonts w:eastAsia="Calibri"/>
        </w:rPr>
        <w:t xml:space="preserve"> </w:t>
      </w:r>
      <w:r w:rsidRPr="00D625C5">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Pr="001150CD" w:rsidR="00D31A75">
        <w:rPr>
          <w:rFonts w:eastAsia="Calibri"/>
          <w:color w:val="000000"/>
        </w:rPr>
        <w:t>.</w:t>
      </w:r>
    </w:p>
    <w:p w:rsidR="00357C8A" w:rsidRPr="00357C8A" w:rsidP="006705EA" w14:paraId="5F957C9B"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1150CD" w:rsidP="0022425B" w14:paraId="04DA25EC" w14:textId="77777777">
      <w:pPr>
        <w:spacing w:after="200"/>
        <w:rPr>
          <w:rFonts w:eastAsia="Calibri"/>
          <w:color w:val="000000"/>
        </w:rPr>
      </w:pPr>
      <w:r w:rsidRPr="00DD5C52">
        <w:rPr>
          <w:rFonts w:eastAsia="Calibri"/>
        </w:rPr>
        <w:t>This information collection does not involve questions that are of a personally sensitive nature.</w:t>
      </w:r>
    </w:p>
    <w:p w:rsidR="00357C8A" w:rsidRPr="00357C8A" w:rsidP="006705EA" w14:paraId="3FED7985"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145BB24B" w14:textId="77777777">
      <w:pPr>
        <w:spacing w:after="200"/>
        <w:ind w:left="360"/>
        <w:rPr>
          <w:rFonts w:eastAsia="Calibri"/>
        </w:rPr>
      </w:pPr>
      <w:r w:rsidRPr="005C71CA">
        <w:rPr>
          <w:rFonts w:eastAsia="Calibri"/>
        </w:rPr>
        <w:t>12a.  Annualized Hour Burden Estimate</w:t>
      </w:r>
    </w:p>
    <w:p w:rsidR="00D31A75" w:rsidRPr="00D31A75" w:rsidP="00870A05" w14:paraId="7F789F21" w14:textId="06309D8D">
      <w:pPr>
        <w:spacing w:after="200"/>
        <w:ind w:left="360"/>
        <w:rPr>
          <w:rFonts w:eastAsia="Calibri"/>
        </w:rPr>
      </w:pPr>
      <w:r w:rsidRPr="00D31A75">
        <w:rPr>
          <w:rFonts w:eastAsia="Calibri"/>
        </w:rPr>
        <w:t>We estimate the burden of this collection of information as follows:</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517"/>
        <w:gridCol w:w="1193"/>
        <w:gridCol w:w="67"/>
        <w:gridCol w:w="1733"/>
        <w:gridCol w:w="337"/>
        <w:gridCol w:w="1193"/>
        <w:gridCol w:w="157"/>
        <w:gridCol w:w="1553"/>
        <w:gridCol w:w="157"/>
        <w:gridCol w:w="1103"/>
        <w:gridCol w:w="30"/>
      </w:tblGrid>
      <w:tr w14:paraId="603AD7EC" w14:textId="77777777" w:rsidTr="00E8388E">
        <w:tblPrEx>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69"/>
        </w:trPr>
        <w:tc>
          <w:tcPr>
            <w:tcW w:w="9948" w:type="dxa"/>
            <w:gridSpan w:val="12"/>
          </w:tcPr>
          <w:p w:rsidR="00D31A75" w:rsidRPr="00E8388E" w:rsidP="00E8388E" w14:paraId="517DBFFB" w14:textId="1218F022">
            <w:pPr>
              <w:ind w:left="360"/>
              <w:jc w:val="center"/>
              <w:rPr>
                <w:rFonts w:eastAsia="Calibri"/>
                <w:sz w:val="20"/>
                <w:szCs w:val="20"/>
                <w:vertAlign w:val="superscript"/>
              </w:rPr>
            </w:pPr>
            <w:r w:rsidRPr="00E8388E">
              <w:rPr>
                <w:rFonts w:eastAsia="Calibri"/>
                <w:sz w:val="20"/>
                <w:szCs w:val="20"/>
              </w:rPr>
              <w:t xml:space="preserve">Table </w:t>
            </w:r>
            <w:r w:rsidRPr="00E8388E" w:rsidR="004421AB">
              <w:rPr>
                <w:rFonts w:eastAsia="Calibri"/>
                <w:sz w:val="20"/>
                <w:szCs w:val="20"/>
              </w:rPr>
              <w:t>1.--</w:t>
            </w:r>
            <w:r w:rsidRPr="00E8388E">
              <w:rPr>
                <w:rFonts w:eastAsia="Calibri"/>
                <w:sz w:val="20"/>
                <w:szCs w:val="20"/>
              </w:rPr>
              <w:t>Estimated Annual Reporting Burden</w:t>
            </w:r>
            <w:r w:rsidRPr="00E8388E">
              <w:rPr>
                <w:rFonts w:eastAsia="Calibri"/>
                <w:sz w:val="20"/>
                <w:szCs w:val="20"/>
                <w:vertAlign w:val="superscript"/>
              </w:rPr>
              <w:t>1</w:t>
            </w:r>
          </w:p>
        </w:tc>
      </w:tr>
      <w:tr w14:paraId="2B5ABFDE" w14:textId="77777777" w:rsidTr="00E8388E">
        <w:tblPrEx>
          <w:tblW w:w="9948" w:type="dxa"/>
          <w:tblLayout w:type="fixed"/>
          <w:tblLook w:val="0000"/>
        </w:tblPrEx>
        <w:trPr>
          <w:trHeight w:val="530"/>
        </w:trPr>
        <w:tc>
          <w:tcPr>
            <w:tcW w:w="2425" w:type="dxa"/>
            <w:gridSpan w:val="2"/>
            <w:tcBorders>
              <w:bottom w:val="single" w:sz="4" w:space="0" w:color="auto"/>
            </w:tcBorders>
          </w:tcPr>
          <w:p w:rsidR="00D31A75" w:rsidRPr="00E8388E" w:rsidP="00610078" w14:paraId="4C7A6D79" w14:textId="77777777">
            <w:pPr>
              <w:rPr>
                <w:rFonts w:eastAsia="Calibri"/>
                <w:sz w:val="20"/>
                <w:szCs w:val="20"/>
              </w:rPr>
            </w:pPr>
            <w:r w:rsidRPr="00E8388E">
              <w:rPr>
                <w:rFonts w:eastAsia="Calibri"/>
                <w:sz w:val="20"/>
                <w:szCs w:val="20"/>
              </w:rPr>
              <w:t>21 CFR Section; Activity</w:t>
            </w:r>
          </w:p>
        </w:tc>
        <w:tc>
          <w:tcPr>
            <w:tcW w:w="1260" w:type="dxa"/>
            <w:gridSpan w:val="2"/>
            <w:tcBorders>
              <w:bottom w:val="single" w:sz="4" w:space="0" w:color="auto"/>
            </w:tcBorders>
          </w:tcPr>
          <w:p w:rsidR="00D31A75" w:rsidRPr="00E8388E" w:rsidP="00610078" w14:paraId="0FC694A6" w14:textId="77777777">
            <w:pPr>
              <w:jc w:val="center"/>
              <w:rPr>
                <w:rFonts w:eastAsia="Calibri"/>
                <w:sz w:val="20"/>
                <w:szCs w:val="20"/>
              </w:rPr>
            </w:pPr>
            <w:r w:rsidRPr="00E8388E">
              <w:rPr>
                <w:rFonts w:eastAsia="Calibri"/>
                <w:sz w:val="20"/>
                <w:szCs w:val="20"/>
              </w:rPr>
              <w:t>Number of Respondents</w:t>
            </w:r>
          </w:p>
        </w:tc>
        <w:tc>
          <w:tcPr>
            <w:tcW w:w="2070" w:type="dxa"/>
            <w:gridSpan w:val="2"/>
            <w:tcBorders>
              <w:bottom w:val="single" w:sz="4" w:space="0" w:color="auto"/>
            </w:tcBorders>
          </w:tcPr>
          <w:p w:rsidR="00D31A75" w:rsidRPr="00E8388E" w:rsidP="00610078" w14:paraId="5041680A" w14:textId="77777777">
            <w:pPr>
              <w:jc w:val="center"/>
              <w:rPr>
                <w:rFonts w:eastAsia="Calibri"/>
                <w:sz w:val="20"/>
                <w:szCs w:val="20"/>
              </w:rPr>
            </w:pPr>
            <w:r w:rsidRPr="00E8388E">
              <w:rPr>
                <w:rFonts w:eastAsia="Calibri"/>
                <w:sz w:val="20"/>
                <w:szCs w:val="20"/>
              </w:rPr>
              <w:t>Number of Responses per Respondent</w:t>
            </w:r>
          </w:p>
        </w:tc>
        <w:tc>
          <w:tcPr>
            <w:tcW w:w="1350" w:type="dxa"/>
            <w:gridSpan w:val="2"/>
            <w:tcBorders>
              <w:bottom w:val="single" w:sz="4" w:space="0" w:color="auto"/>
            </w:tcBorders>
          </w:tcPr>
          <w:p w:rsidR="00D31A75" w:rsidRPr="00E8388E" w:rsidP="00610078" w14:paraId="78412943" w14:textId="77777777">
            <w:pPr>
              <w:ind w:left="-14"/>
              <w:jc w:val="center"/>
              <w:rPr>
                <w:rFonts w:eastAsia="Calibri"/>
                <w:sz w:val="20"/>
                <w:szCs w:val="20"/>
              </w:rPr>
            </w:pPr>
            <w:r w:rsidRPr="00E8388E">
              <w:rPr>
                <w:rFonts w:eastAsia="Calibri"/>
                <w:sz w:val="20"/>
                <w:szCs w:val="20"/>
              </w:rPr>
              <w:t>Total Annual Responses</w:t>
            </w:r>
          </w:p>
        </w:tc>
        <w:tc>
          <w:tcPr>
            <w:tcW w:w="1710" w:type="dxa"/>
            <w:gridSpan w:val="2"/>
            <w:tcBorders>
              <w:bottom w:val="single" w:sz="4" w:space="0" w:color="auto"/>
            </w:tcBorders>
          </w:tcPr>
          <w:p w:rsidR="00D31A75" w:rsidRPr="00E8388E" w:rsidP="00610078" w14:paraId="76D8E32D" w14:textId="77777777">
            <w:pPr>
              <w:jc w:val="center"/>
              <w:rPr>
                <w:rFonts w:eastAsia="Calibri"/>
                <w:sz w:val="20"/>
                <w:szCs w:val="20"/>
              </w:rPr>
            </w:pPr>
            <w:r w:rsidRPr="00E8388E">
              <w:rPr>
                <w:rFonts w:eastAsia="Calibri"/>
                <w:sz w:val="20"/>
                <w:szCs w:val="20"/>
              </w:rPr>
              <w:t>Average Burden per Response</w:t>
            </w:r>
          </w:p>
        </w:tc>
        <w:tc>
          <w:tcPr>
            <w:tcW w:w="1133" w:type="dxa"/>
            <w:gridSpan w:val="2"/>
            <w:tcBorders>
              <w:bottom w:val="single" w:sz="4" w:space="0" w:color="auto"/>
            </w:tcBorders>
          </w:tcPr>
          <w:p w:rsidR="00D31A75" w:rsidRPr="00E8388E" w:rsidP="00610078" w14:paraId="79902EA7" w14:textId="77777777">
            <w:pPr>
              <w:ind w:left="76"/>
              <w:jc w:val="center"/>
              <w:rPr>
                <w:rFonts w:eastAsia="Calibri"/>
                <w:sz w:val="20"/>
                <w:szCs w:val="20"/>
              </w:rPr>
            </w:pPr>
            <w:r w:rsidRPr="00E8388E">
              <w:rPr>
                <w:rFonts w:eastAsia="Calibri"/>
                <w:sz w:val="20"/>
                <w:szCs w:val="20"/>
              </w:rPr>
              <w:t>Total Hours</w:t>
            </w:r>
          </w:p>
        </w:tc>
      </w:tr>
      <w:tr w14:paraId="05980954" w14:textId="77777777" w:rsidTr="00E8388E">
        <w:tblPrEx>
          <w:tblW w:w="9948" w:type="dxa"/>
          <w:tblLayout w:type="fixed"/>
          <w:tblLook w:val="0000"/>
        </w:tblPrEx>
        <w:trPr>
          <w:trHeight w:val="710"/>
        </w:trPr>
        <w:tc>
          <w:tcPr>
            <w:tcW w:w="2425" w:type="dxa"/>
            <w:gridSpan w:val="2"/>
            <w:tcBorders>
              <w:bottom w:val="single" w:sz="4" w:space="0" w:color="auto"/>
            </w:tcBorders>
          </w:tcPr>
          <w:p w:rsidR="00D31A75" w:rsidRPr="00E8388E" w:rsidP="00610078" w14:paraId="537F8396" w14:textId="77777777">
            <w:pPr>
              <w:rPr>
                <w:rFonts w:eastAsia="Calibri"/>
                <w:sz w:val="20"/>
                <w:szCs w:val="20"/>
              </w:rPr>
            </w:pPr>
            <w:r w:rsidRPr="00E8388E">
              <w:rPr>
                <w:rFonts w:eastAsia="Calibri"/>
                <w:sz w:val="20"/>
                <w:szCs w:val="20"/>
              </w:rPr>
              <w:t>80.21</w:t>
            </w:r>
            <w:r w:rsidRPr="00E8388E" w:rsidR="004421AB">
              <w:rPr>
                <w:rFonts w:eastAsia="Calibri"/>
                <w:sz w:val="20"/>
                <w:szCs w:val="20"/>
              </w:rPr>
              <w:t xml:space="preserve"> and 8022; </w:t>
            </w:r>
            <w:r w:rsidRPr="00E8388E">
              <w:rPr>
                <w:rFonts w:eastAsia="Calibri"/>
                <w:sz w:val="20"/>
                <w:szCs w:val="20"/>
              </w:rPr>
              <w:t>Request for certification</w:t>
            </w:r>
            <w:r w:rsidRPr="00E8388E" w:rsidR="004421AB">
              <w:rPr>
                <w:rFonts w:eastAsia="Calibri"/>
                <w:sz w:val="20"/>
                <w:szCs w:val="20"/>
              </w:rPr>
              <w:t xml:space="preserve"> accompanied by sample</w:t>
            </w:r>
          </w:p>
        </w:tc>
        <w:tc>
          <w:tcPr>
            <w:tcW w:w="1260" w:type="dxa"/>
            <w:gridSpan w:val="2"/>
            <w:tcBorders>
              <w:bottom w:val="single" w:sz="4" w:space="0" w:color="auto"/>
            </w:tcBorders>
          </w:tcPr>
          <w:p w:rsidR="00D31A75" w:rsidRPr="00E8388E" w:rsidP="00E8388E" w14:paraId="5DE7E676" w14:textId="77777777">
            <w:pPr>
              <w:jc w:val="right"/>
              <w:rPr>
                <w:rFonts w:eastAsia="Calibri"/>
                <w:sz w:val="20"/>
                <w:szCs w:val="20"/>
              </w:rPr>
            </w:pPr>
            <w:r w:rsidRPr="00E8388E">
              <w:rPr>
                <w:rFonts w:eastAsia="Calibri"/>
                <w:sz w:val="20"/>
                <w:szCs w:val="20"/>
              </w:rPr>
              <w:t>67</w:t>
            </w:r>
          </w:p>
        </w:tc>
        <w:tc>
          <w:tcPr>
            <w:tcW w:w="2070" w:type="dxa"/>
            <w:gridSpan w:val="2"/>
            <w:tcBorders>
              <w:bottom w:val="single" w:sz="4" w:space="0" w:color="auto"/>
            </w:tcBorders>
          </w:tcPr>
          <w:p w:rsidR="00D31A75" w:rsidRPr="00E8388E" w:rsidP="00E8388E" w14:paraId="248115F5" w14:textId="77777777">
            <w:pPr>
              <w:jc w:val="right"/>
              <w:rPr>
                <w:rFonts w:eastAsia="Calibri"/>
                <w:sz w:val="20"/>
                <w:szCs w:val="20"/>
              </w:rPr>
            </w:pPr>
            <w:r w:rsidRPr="00E8388E">
              <w:rPr>
                <w:rFonts w:eastAsia="Calibri"/>
                <w:sz w:val="20"/>
                <w:szCs w:val="20"/>
              </w:rPr>
              <w:t>112</w:t>
            </w:r>
          </w:p>
        </w:tc>
        <w:tc>
          <w:tcPr>
            <w:tcW w:w="1350" w:type="dxa"/>
            <w:gridSpan w:val="2"/>
            <w:tcBorders>
              <w:bottom w:val="single" w:sz="4" w:space="0" w:color="auto"/>
            </w:tcBorders>
          </w:tcPr>
          <w:p w:rsidR="00D31A75" w:rsidRPr="00E8388E" w:rsidP="00E8388E" w14:paraId="073430B9" w14:textId="77777777">
            <w:pPr>
              <w:ind w:left="-14"/>
              <w:jc w:val="right"/>
              <w:rPr>
                <w:rFonts w:eastAsia="Calibri"/>
                <w:sz w:val="20"/>
                <w:szCs w:val="20"/>
              </w:rPr>
            </w:pPr>
            <w:r w:rsidRPr="00E8388E">
              <w:rPr>
                <w:rFonts w:eastAsia="Calibri"/>
                <w:sz w:val="20"/>
                <w:szCs w:val="20"/>
              </w:rPr>
              <w:t>7,5</w:t>
            </w:r>
            <w:r w:rsidRPr="00E8388E" w:rsidR="004421AB">
              <w:rPr>
                <w:rFonts w:eastAsia="Calibri"/>
                <w:sz w:val="20"/>
                <w:szCs w:val="20"/>
              </w:rPr>
              <w:t>04</w:t>
            </w:r>
          </w:p>
        </w:tc>
        <w:tc>
          <w:tcPr>
            <w:tcW w:w="1710" w:type="dxa"/>
            <w:gridSpan w:val="2"/>
            <w:tcBorders>
              <w:bottom w:val="single" w:sz="4" w:space="0" w:color="auto"/>
            </w:tcBorders>
          </w:tcPr>
          <w:p w:rsidR="00D31A75" w:rsidRPr="00E8388E" w:rsidP="00E8388E" w14:paraId="783DDF14" w14:textId="77777777">
            <w:pPr>
              <w:jc w:val="right"/>
              <w:rPr>
                <w:rFonts w:eastAsia="Calibri"/>
                <w:sz w:val="20"/>
                <w:szCs w:val="20"/>
              </w:rPr>
            </w:pPr>
            <w:r w:rsidRPr="00E8388E">
              <w:rPr>
                <w:rFonts w:eastAsia="Calibri"/>
                <w:sz w:val="20"/>
                <w:szCs w:val="20"/>
              </w:rPr>
              <w:t>0.</w:t>
            </w:r>
            <w:r w:rsidRPr="00E8388E" w:rsidR="004421AB">
              <w:rPr>
                <w:rFonts w:eastAsia="Calibri"/>
                <w:sz w:val="20"/>
                <w:szCs w:val="20"/>
              </w:rPr>
              <w:t>22</w:t>
            </w:r>
          </w:p>
          <w:p w:rsidR="00D31A75" w:rsidRPr="00E8388E" w:rsidP="00E8388E" w14:paraId="78A3F31B" w14:textId="77777777">
            <w:pPr>
              <w:jc w:val="right"/>
              <w:rPr>
                <w:rFonts w:eastAsia="Calibri"/>
                <w:sz w:val="20"/>
                <w:szCs w:val="20"/>
              </w:rPr>
            </w:pPr>
            <w:r w:rsidRPr="00E8388E">
              <w:rPr>
                <w:rFonts w:eastAsia="Calibri"/>
                <w:sz w:val="20"/>
                <w:szCs w:val="20"/>
              </w:rPr>
              <w:t>(1</w:t>
            </w:r>
            <w:r w:rsidRPr="00E8388E" w:rsidR="004421AB">
              <w:rPr>
                <w:rFonts w:eastAsia="Calibri"/>
                <w:sz w:val="20"/>
                <w:szCs w:val="20"/>
              </w:rPr>
              <w:t>3</w:t>
            </w:r>
            <w:r w:rsidRPr="00E8388E">
              <w:rPr>
                <w:rFonts w:eastAsia="Calibri"/>
                <w:sz w:val="20"/>
                <w:szCs w:val="20"/>
              </w:rPr>
              <w:t xml:space="preserve"> minutes)</w:t>
            </w:r>
          </w:p>
        </w:tc>
        <w:tc>
          <w:tcPr>
            <w:tcW w:w="1133" w:type="dxa"/>
            <w:gridSpan w:val="2"/>
            <w:tcBorders>
              <w:bottom w:val="single" w:sz="4" w:space="0" w:color="auto"/>
            </w:tcBorders>
          </w:tcPr>
          <w:p w:rsidR="00D31A75" w:rsidRPr="00E8388E" w:rsidP="00E8388E" w14:paraId="44B241ED" w14:textId="77777777">
            <w:pPr>
              <w:ind w:left="76"/>
              <w:jc w:val="right"/>
              <w:rPr>
                <w:rFonts w:eastAsia="Calibri"/>
                <w:sz w:val="20"/>
                <w:szCs w:val="20"/>
              </w:rPr>
            </w:pPr>
            <w:r w:rsidRPr="00E8388E">
              <w:rPr>
                <w:rFonts w:eastAsia="Calibri"/>
                <w:sz w:val="20"/>
                <w:szCs w:val="20"/>
              </w:rPr>
              <w:t>1,</w:t>
            </w:r>
            <w:r w:rsidRPr="00E8388E" w:rsidR="004421AB">
              <w:rPr>
                <w:rFonts w:eastAsia="Calibri"/>
                <w:sz w:val="20"/>
                <w:szCs w:val="20"/>
              </w:rPr>
              <w:t>651</w:t>
            </w:r>
          </w:p>
        </w:tc>
      </w:tr>
      <w:tr w14:paraId="0C4B2E52" w14:textId="77777777" w:rsidTr="00E8388E">
        <w:tblPrEx>
          <w:tblW w:w="9948" w:type="dxa"/>
          <w:tblLayout w:type="fixed"/>
          <w:tblLook w:val="0000"/>
        </w:tblPrEx>
        <w:trPr>
          <w:cantSplit/>
        </w:trPr>
        <w:tc>
          <w:tcPr>
            <w:tcW w:w="9948" w:type="dxa"/>
            <w:gridSpan w:val="12"/>
            <w:tcBorders>
              <w:top w:val="single" w:sz="4" w:space="0" w:color="auto"/>
              <w:left w:val="nil"/>
              <w:bottom w:val="nil"/>
              <w:right w:val="nil"/>
            </w:tcBorders>
          </w:tcPr>
          <w:p w:rsidR="00D31A75" w:rsidRPr="00E8388E" w:rsidP="00D31A75" w14:paraId="34AA8208" w14:textId="77777777">
            <w:pPr>
              <w:spacing w:after="200"/>
              <w:ind w:left="360"/>
              <w:rPr>
                <w:rFonts w:eastAsia="Calibri"/>
                <w:sz w:val="20"/>
                <w:szCs w:val="20"/>
              </w:rPr>
            </w:pPr>
            <w:r w:rsidRPr="00E8388E">
              <w:rPr>
                <w:rFonts w:eastAsia="Calibri"/>
                <w:sz w:val="20"/>
                <w:szCs w:val="20"/>
                <w:vertAlign w:val="superscript"/>
              </w:rPr>
              <w:t>1</w:t>
            </w:r>
            <w:r w:rsidRPr="00E8388E">
              <w:rPr>
                <w:rFonts w:eastAsia="Calibri"/>
                <w:sz w:val="20"/>
                <w:szCs w:val="20"/>
              </w:rPr>
              <w:t xml:space="preserve"> There are no capital costs or operating and maintenance costs associated with this collection of information.</w:t>
            </w:r>
          </w:p>
        </w:tc>
      </w:tr>
      <w:tr w14:paraId="7329B33A" w14:textId="77777777" w:rsidTr="00E8388E">
        <w:tblPrEx>
          <w:tblW w:w="9948" w:type="dxa"/>
          <w:tblLayout w:type="fixed"/>
          <w:tblLook w:val="0000"/>
        </w:tblPrEx>
        <w:trPr>
          <w:gridAfter w:val="1"/>
          <w:wAfter w:w="30" w:type="dxa"/>
          <w:trHeight w:val="296"/>
        </w:trPr>
        <w:tc>
          <w:tcPr>
            <w:tcW w:w="9918" w:type="dxa"/>
            <w:gridSpan w:val="11"/>
          </w:tcPr>
          <w:p w:rsidR="00D31A75" w:rsidRPr="00E8388E" w:rsidP="00E8388E" w14:paraId="2600437C" w14:textId="67BB79FA">
            <w:pPr>
              <w:ind w:left="360"/>
              <w:jc w:val="center"/>
              <w:rPr>
                <w:rFonts w:eastAsia="Calibri"/>
                <w:sz w:val="20"/>
                <w:szCs w:val="20"/>
                <w:vertAlign w:val="superscript"/>
              </w:rPr>
            </w:pPr>
            <w:r w:rsidRPr="00E8388E">
              <w:rPr>
                <w:rFonts w:eastAsia="Calibri"/>
                <w:sz w:val="20"/>
                <w:szCs w:val="20"/>
              </w:rPr>
              <w:t xml:space="preserve">Table </w:t>
            </w:r>
            <w:r w:rsidRPr="00E8388E" w:rsidR="004421AB">
              <w:rPr>
                <w:rFonts w:eastAsia="Calibri"/>
                <w:sz w:val="20"/>
                <w:szCs w:val="20"/>
              </w:rPr>
              <w:t>2.--</w:t>
            </w:r>
            <w:r w:rsidRPr="00E8388E">
              <w:rPr>
                <w:rFonts w:eastAsia="Calibri"/>
                <w:sz w:val="20"/>
                <w:szCs w:val="20"/>
              </w:rPr>
              <w:t>Estimated Annual Recordkeeping Burden</w:t>
            </w:r>
            <w:r w:rsidRPr="00E8388E">
              <w:rPr>
                <w:rFonts w:eastAsia="Calibri"/>
                <w:sz w:val="20"/>
                <w:szCs w:val="20"/>
                <w:vertAlign w:val="superscript"/>
              </w:rPr>
              <w:t>1</w:t>
            </w:r>
          </w:p>
        </w:tc>
      </w:tr>
      <w:tr w14:paraId="43158715" w14:textId="77777777" w:rsidTr="00E8388E">
        <w:tblPrEx>
          <w:tblW w:w="9948" w:type="dxa"/>
          <w:tblLayout w:type="fixed"/>
          <w:tblLook w:val="0000"/>
        </w:tblPrEx>
        <w:trPr>
          <w:gridAfter w:val="1"/>
          <w:wAfter w:w="30" w:type="dxa"/>
          <w:trHeight w:val="710"/>
        </w:trPr>
        <w:tc>
          <w:tcPr>
            <w:tcW w:w="1908" w:type="dxa"/>
            <w:tcBorders>
              <w:bottom w:val="single" w:sz="4" w:space="0" w:color="auto"/>
            </w:tcBorders>
          </w:tcPr>
          <w:p w:rsidR="00D31A75" w:rsidRPr="00E8388E" w:rsidP="00610078" w14:paraId="21CDA757" w14:textId="77777777">
            <w:pPr>
              <w:spacing w:after="200"/>
              <w:rPr>
                <w:rFonts w:eastAsia="Calibri"/>
                <w:sz w:val="20"/>
                <w:szCs w:val="20"/>
              </w:rPr>
            </w:pPr>
            <w:r w:rsidRPr="00E8388E">
              <w:rPr>
                <w:rFonts w:eastAsia="Calibri"/>
                <w:sz w:val="20"/>
                <w:szCs w:val="20"/>
              </w:rPr>
              <w:t>21 CFR Section; Activity</w:t>
            </w:r>
          </w:p>
        </w:tc>
        <w:tc>
          <w:tcPr>
            <w:tcW w:w="1710" w:type="dxa"/>
            <w:gridSpan w:val="2"/>
            <w:tcBorders>
              <w:bottom w:val="single" w:sz="4" w:space="0" w:color="auto"/>
            </w:tcBorders>
          </w:tcPr>
          <w:p w:rsidR="00D31A75" w:rsidRPr="00E8388E" w:rsidP="00610078" w14:paraId="69998467" w14:textId="77777777">
            <w:pPr>
              <w:spacing w:after="200"/>
              <w:ind w:left="-14"/>
              <w:jc w:val="center"/>
              <w:rPr>
                <w:rFonts w:eastAsia="Calibri"/>
                <w:sz w:val="20"/>
                <w:szCs w:val="20"/>
              </w:rPr>
            </w:pPr>
            <w:r w:rsidRPr="00E8388E">
              <w:rPr>
                <w:rFonts w:eastAsia="Calibri"/>
                <w:sz w:val="20"/>
                <w:szCs w:val="20"/>
              </w:rPr>
              <w:t>Number of Recordkeepers</w:t>
            </w:r>
          </w:p>
        </w:tc>
        <w:tc>
          <w:tcPr>
            <w:tcW w:w="1800" w:type="dxa"/>
            <w:gridSpan w:val="2"/>
            <w:tcBorders>
              <w:bottom w:val="single" w:sz="4" w:space="0" w:color="auto"/>
            </w:tcBorders>
          </w:tcPr>
          <w:p w:rsidR="00D31A75" w:rsidRPr="00E8388E" w:rsidP="00610078" w14:paraId="41794E6A" w14:textId="77777777">
            <w:pPr>
              <w:spacing w:after="200"/>
              <w:ind w:left="-14"/>
              <w:jc w:val="center"/>
              <w:rPr>
                <w:rFonts w:eastAsia="Calibri"/>
                <w:sz w:val="20"/>
                <w:szCs w:val="20"/>
              </w:rPr>
            </w:pPr>
            <w:r w:rsidRPr="00E8388E">
              <w:rPr>
                <w:rFonts w:eastAsia="Calibri"/>
                <w:sz w:val="20"/>
                <w:szCs w:val="20"/>
              </w:rPr>
              <w:t>Number of Records per Recordkeeping</w:t>
            </w:r>
          </w:p>
        </w:tc>
        <w:tc>
          <w:tcPr>
            <w:tcW w:w="1530" w:type="dxa"/>
            <w:gridSpan w:val="2"/>
            <w:tcBorders>
              <w:bottom w:val="single" w:sz="4" w:space="0" w:color="auto"/>
            </w:tcBorders>
          </w:tcPr>
          <w:p w:rsidR="00D31A75" w:rsidRPr="00E8388E" w:rsidP="00610078" w14:paraId="65C22108" w14:textId="77777777">
            <w:pPr>
              <w:spacing w:after="200"/>
              <w:jc w:val="center"/>
              <w:rPr>
                <w:rFonts w:eastAsia="Calibri"/>
                <w:sz w:val="20"/>
                <w:szCs w:val="20"/>
              </w:rPr>
            </w:pPr>
            <w:r w:rsidRPr="00E8388E">
              <w:rPr>
                <w:rFonts w:eastAsia="Calibri"/>
                <w:sz w:val="20"/>
                <w:szCs w:val="20"/>
              </w:rPr>
              <w:t>Total Annual Records</w:t>
            </w:r>
          </w:p>
        </w:tc>
        <w:tc>
          <w:tcPr>
            <w:tcW w:w="1710" w:type="dxa"/>
            <w:gridSpan w:val="2"/>
            <w:tcBorders>
              <w:bottom w:val="single" w:sz="4" w:space="0" w:color="auto"/>
            </w:tcBorders>
          </w:tcPr>
          <w:p w:rsidR="00D31A75" w:rsidRPr="00E8388E" w:rsidP="00E8388E" w14:paraId="637A18A7" w14:textId="77777777">
            <w:pPr>
              <w:jc w:val="center"/>
              <w:rPr>
                <w:rFonts w:eastAsia="Calibri"/>
                <w:sz w:val="20"/>
                <w:szCs w:val="20"/>
              </w:rPr>
            </w:pPr>
            <w:r w:rsidRPr="00E8388E">
              <w:rPr>
                <w:rFonts w:eastAsia="Calibri"/>
                <w:sz w:val="20"/>
                <w:szCs w:val="20"/>
              </w:rPr>
              <w:t>Average Burden per Recordkeeping</w:t>
            </w:r>
          </w:p>
        </w:tc>
        <w:tc>
          <w:tcPr>
            <w:tcW w:w="1260" w:type="dxa"/>
            <w:gridSpan w:val="2"/>
            <w:tcBorders>
              <w:bottom w:val="single" w:sz="4" w:space="0" w:color="auto"/>
            </w:tcBorders>
          </w:tcPr>
          <w:p w:rsidR="00D31A75" w:rsidRPr="00E8388E" w:rsidP="00610078" w14:paraId="5E10BC52" w14:textId="77777777">
            <w:pPr>
              <w:spacing w:after="200"/>
              <w:jc w:val="center"/>
              <w:rPr>
                <w:rFonts w:eastAsia="Calibri"/>
                <w:sz w:val="20"/>
                <w:szCs w:val="20"/>
              </w:rPr>
            </w:pPr>
            <w:r w:rsidRPr="00E8388E">
              <w:rPr>
                <w:rFonts w:eastAsia="Calibri"/>
                <w:sz w:val="20"/>
                <w:szCs w:val="20"/>
              </w:rPr>
              <w:t>Total Hours</w:t>
            </w:r>
          </w:p>
        </w:tc>
      </w:tr>
      <w:tr w14:paraId="3A8D1129" w14:textId="77777777" w:rsidTr="00E8388E">
        <w:tblPrEx>
          <w:tblW w:w="9948" w:type="dxa"/>
          <w:tblLayout w:type="fixed"/>
          <w:tblLook w:val="0000"/>
        </w:tblPrEx>
        <w:trPr>
          <w:gridAfter w:val="1"/>
          <w:wAfter w:w="30" w:type="dxa"/>
          <w:trHeight w:val="521"/>
        </w:trPr>
        <w:tc>
          <w:tcPr>
            <w:tcW w:w="1908" w:type="dxa"/>
            <w:tcBorders>
              <w:bottom w:val="single" w:sz="4" w:space="0" w:color="auto"/>
            </w:tcBorders>
          </w:tcPr>
          <w:p w:rsidR="00D31A75" w:rsidRPr="00E8388E" w:rsidP="00E8388E" w14:paraId="2BEBFCAF" w14:textId="77777777">
            <w:pPr>
              <w:rPr>
                <w:rFonts w:eastAsia="Calibri"/>
                <w:sz w:val="20"/>
                <w:szCs w:val="20"/>
              </w:rPr>
            </w:pPr>
            <w:r w:rsidRPr="00E8388E">
              <w:rPr>
                <w:rFonts w:eastAsia="Calibri"/>
                <w:sz w:val="20"/>
                <w:szCs w:val="20"/>
              </w:rPr>
              <w:t>80.39; Records of distribution</w:t>
            </w:r>
          </w:p>
        </w:tc>
        <w:tc>
          <w:tcPr>
            <w:tcW w:w="1710" w:type="dxa"/>
            <w:gridSpan w:val="2"/>
            <w:tcBorders>
              <w:bottom w:val="single" w:sz="4" w:space="0" w:color="auto"/>
            </w:tcBorders>
          </w:tcPr>
          <w:p w:rsidR="00D31A75" w:rsidRPr="00E8388E" w:rsidP="00E8388E" w14:paraId="17498710" w14:textId="77777777">
            <w:pPr>
              <w:spacing w:after="200"/>
              <w:ind w:left="-14"/>
              <w:jc w:val="right"/>
              <w:rPr>
                <w:rFonts w:eastAsia="Calibri"/>
                <w:sz w:val="20"/>
                <w:szCs w:val="20"/>
              </w:rPr>
            </w:pPr>
            <w:r w:rsidRPr="00E8388E">
              <w:rPr>
                <w:rFonts w:eastAsia="Calibri"/>
                <w:sz w:val="20"/>
                <w:szCs w:val="20"/>
              </w:rPr>
              <w:t>67</w:t>
            </w:r>
          </w:p>
        </w:tc>
        <w:tc>
          <w:tcPr>
            <w:tcW w:w="1800" w:type="dxa"/>
            <w:gridSpan w:val="2"/>
            <w:tcBorders>
              <w:bottom w:val="single" w:sz="4" w:space="0" w:color="auto"/>
            </w:tcBorders>
          </w:tcPr>
          <w:p w:rsidR="00D31A75" w:rsidRPr="00E8388E" w:rsidP="00E8388E" w14:paraId="7ACF4135" w14:textId="77777777">
            <w:pPr>
              <w:spacing w:after="200"/>
              <w:ind w:left="-14"/>
              <w:jc w:val="right"/>
              <w:rPr>
                <w:rFonts w:eastAsia="Calibri"/>
                <w:sz w:val="20"/>
                <w:szCs w:val="20"/>
              </w:rPr>
            </w:pPr>
            <w:r w:rsidRPr="00E8388E">
              <w:rPr>
                <w:rFonts w:eastAsia="Calibri"/>
                <w:sz w:val="20"/>
                <w:szCs w:val="20"/>
              </w:rPr>
              <w:t>112</w:t>
            </w:r>
          </w:p>
        </w:tc>
        <w:tc>
          <w:tcPr>
            <w:tcW w:w="1530" w:type="dxa"/>
            <w:gridSpan w:val="2"/>
            <w:tcBorders>
              <w:bottom w:val="single" w:sz="4" w:space="0" w:color="auto"/>
            </w:tcBorders>
          </w:tcPr>
          <w:p w:rsidR="00D31A75" w:rsidRPr="00E8388E" w:rsidP="00E8388E" w14:paraId="7C058AA2" w14:textId="77777777">
            <w:pPr>
              <w:spacing w:after="200"/>
              <w:jc w:val="right"/>
              <w:rPr>
                <w:rFonts w:eastAsia="Calibri"/>
                <w:sz w:val="20"/>
                <w:szCs w:val="20"/>
              </w:rPr>
            </w:pPr>
            <w:r w:rsidRPr="00E8388E">
              <w:rPr>
                <w:rFonts w:eastAsia="Calibri"/>
                <w:sz w:val="20"/>
                <w:szCs w:val="20"/>
              </w:rPr>
              <w:t>7,5</w:t>
            </w:r>
            <w:r w:rsidRPr="00E8388E" w:rsidR="004421AB">
              <w:rPr>
                <w:rFonts w:eastAsia="Calibri"/>
                <w:sz w:val="20"/>
                <w:szCs w:val="20"/>
              </w:rPr>
              <w:t>04</w:t>
            </w:r>
          </w:p>
        </w:tc>
        <w:tc>
          <w:tcPr>
            <w:tcW w:w="1710" w:type="dxa"/>
            <w:gridSpan w:val="2"/>
            <w:tcBorders>
              <w:bottom w:val="single" w:sz="4" w:space="0" w:color="auto"/>
            </w:tcBorders>
          </w:tcPr>
          <w:p w:rsidR="00D31A75" w:rsidRPr="00E8388E" w:rsidP="00E8388E" w14:paraId="7BA456C5" w14:textId="77777777">
            <w:pPr>
              <w:jc w:val="right"/>
              <w:rPr>
                <w:rFonts w:eastAsia="Calibri"/>
                <w:sz w:val="20"/>
                <w:szCs w:val="20"/>
              </w:rPr>
            </w:pPr>
            <w:r w:rsidRPr="00E8388E">
              <w:rPr>
                <w:rFonts w:eastAsia="Calibri"/>
                <w:sz w:val="20"/>
                <w:szCs w:val="20"/>
              </w:rPr>
              <w:t>0.25</w:t>
            </w:r>
          </w:p>
          <w:p w:rsidR="00D31A75" w:rsidRPr="00E8388E" w:rsidP="00E8388E" w14:paraId="6AA1AF63" w14:textId="77777777">
            <w:pPr>
              <w:jc w:val="right"/>
              <w:rPr>
                <w:rFonts w:eastAsia="Calibri"/>
                <w:sz w:val="20"/>
                <w:szCs w:val="20"/>
              </w:rPr>
            </w:pPr>
            <w:r w:rsidRPr="00E8388E">
              <w:rPr>
                <w:rFonts w:eastAsia="Calibri"/>
                <w:sz w:val="20"/>
                <w:szCs w:val="20"/>
              </w:rPr>
              <w:t>(15 minutes)</w:t>
            </w:r>
          </w:p>
        </w:tc>
        <w:tc>
          <w:tcPr>
            <w:tcW w:w="1260" w:type="dxa"/>
            <w:gridSpan w:val="2"/>
            <w:tcBorders>
              <w:bottom w:val="single" w:sz="4" w:space="0" w:color="auto"/>
            </w:tcBorders>
          </w:tcPr>
          <w:p w:rsidR="00D31A75" w:rsidRPr="00E8388E" w:rsidP="00E8388E" w14:paraId="57D2517D" w14:textId="77777777">
            <w:pPr>
              <w:spacing w:after="200"/>
              <w:jc w:val="right"/>
              <w:rPr>
                <w:rFonts w:eastAsia="Calibri"/>
                <w:sz w:val="20"/>
                <w:szCs w:val="20"/>
              </w:rPr>
            </w:pPr>
            <w:r w:rsidRPr="00E8388E">
              <w:rPr>
                <w:rFonts w:eastAsia="Calibri"/>
                <w:sz w:val="20"/>
                <w:szCs w:val="20"/>
              </w:rPr>
              <w:t>1,8</w:t>
            </w:r>
            <w:r w:rsidRPr="00E8388E" w:rsidR="004421AB">
              <w:rPr>
                <w:rFonts w:eastAsia="Calibri"/>
                <w:sz w:val="20"/>
                <w:szCs w:val="20"/>
              </w:rPr>
              <w:t>76</w:t>
            </w:r>
          </w:p>
        </w:tc>
      </w:tr>
      <w:tr w14:paraId="0FB0E15E" w14:textId="77777777" w:rsidTr="001150CD">
        <w:tblPrEx>
          <w:tblW w:w="9948" w:type="dxa"/>
          <w:tblLayout w:type="fixed"/>
          <w:tblLook w:val="0000"/>
        </w:tblPrEx>
        <w:trPr>
          <w:gridAfter w:val="1"/>
          <w:wAfter w:w="30" w:type="dxa"/>
          <w:cantSplit/>
        </w:trPr>
        <w:tc>
          <w:tcPr>
            <w:tcW w:w="9918" w:type="dxa"/>
            <w:gridSpan w:val="11"/>
            <w:tcBorders>
              <w:top w:val="single" w:sz="4" w:space="0" w:color="auto"/>
              <w:left w:val="nil"/>
              <w:bottom w:val="nil"/>
              <w:right w:val="nil"/>
            </w:tcBorders>
          </w:tcPr>
          <w:p w:rsidR="00D31A75" w:rsidRPr="00E8388E" w:rsidP="00D31A75" w14:paraId="50D8292F" w14:textId="77777777">
            <w:pPr>
              <w:spacing w:after="200"/>
              <w:ind w:left="360"/>
              <w:rPr>
                <w:rFonts w:eastAsia="Calibri"/>
                <w:sz w:val="20"/>
                <w:szCs w:val="20"/>
              </w:rPr>
            </w:pPr>
            <w:r w:rsidRPr="00E8388E">
              <w:rPr>
                <w:rFonts w:eastAsia="Calibri"/>
                <w:sz w:val="20"/>
                <w:szCs w:val="20"/>
                <w:vertAlign w:val="superscript"/>
              </w:rPr>
              <w:t>1</w:t>
            </w:r>
            <w:r w:rsidRPr="00E8388E">
              <w:rPr>
                <w:rFonts w:eastAsia="Calibri"/>
                <w:sz w:val="20"/>
                <w:szCs w:val="20"/>
              </w:rPr>
              <w:t xml:space="preserve"> There are no capital costs or operating and maintenance costs associated with this collection of information.</w:t>
            </w:r>
          </w:p>
        </w:tc>
      </w:tr>
    </w:tbl>
    <w:p w:rsidR="00BF1470" w:rsidP="00D31A75" w14:paraId="7E332782" w14:textId="77777777">
      <w:pPr>
        <w:spacing w:after="200"/>
        <w:ind w:left="360"/>
        <w:rPr>
          <w:rFonts w:eastAsia="Calibri"/>
        </w:rPr>
      </w:pPr>
      <w:r w:rsidRPr="00BF1470">
        <w:rPr>
          <w:rFonts w:eastAsia="Calibri"/>
        </w:rPr>
        <w:t xml:space="preserve">Under § 80.21 (21 CFR 80.21), a request for certification must include: name of color additive, manufacturer’s batch number and weight in pounds, name and address of manufacturer, </w:t>
      </w:r>
      <w:r w:rsidRPr="00BF1470">
        <w:rPr>
          <w:rFonts w:eastAsia="Calibri"/>
        </w:rPr>
        <w:t xml:space="preserve">storage conditions, statement of use(s), certification fee, and signature of person requesting certification.  Under § 80.22 (21 CFR 80.22), a request for certification must include a sample of the batch of color additive that is the subject of the request.  The sample must be labeled to show name of color additive, manufacturer’s batch number and quantity, and name and address of person requesting certification.  Under § 80.39 (21 CFR 80.39), the person to whom a certificate is issued must keep complete records showing the disposal of all of the color additive covered by the certificate.  Such records are to be made available upon request to any accredited representative of FDA until at least 2 years after disposal of all of the color additive </w:t>
      </w:r>
    </w:p>
    <w:p w:rsidR="00AA62C3" w:rsidP="00D31A75" w14:paraId="53243F23" w14:textId="1648B422">
      <w:pPr>
        <w:spacing w:after="200"/>
        <w:ind w:left="360"/>
        <w:rPr>
          <w:rFonts w:eastAsia="Calibri"/>
        </w:rPr>
      </w:pPr>
      <w:r w:rsidRPr="004421AB">
        <w:rPr>
          <w:rFonts w:eastAsia="Calibri"/>
        </w:rPr>
        <w:t>We base our estimate on our review of the certification requests received over the past 3 years.  Using information from industry personnel, we estimate that an average of 0.22 hour per response is required for reporting (preparing certification requests and accompanying samples) and an average of 0.25 hour per response is required for recordkeeping.</w:t>
      </w:r>
    </w:p>
    <w:p w:rsidR="00FA78F8" w:rsidRPr="00D31A75" w:rsidP="00063F52" w14:paraId="33107754" w14:textId="2B34C69E">
      <w:pPr>
        <w:spacing w:after="200"/>
        <w:rPr>
          <w:rFonts w:eastAsia="Calibri"/>
        </w:rPr>
      </w:pPr>
      <w:r w:rsidRPr="008E6249">
        <w:rPr>
          <w:rFonts w:eastAsia="Calibri"/>
        </w:rPr>
        <w:t xml:space="preserve">The burden hour total for this ICR is </w:t>
      </w:r>
      <w:r w:rsidR="00E34E5A">
        <w:rPr>
          <w:rFonts w:eastAsia="Calibri"/>
        </w:rPr>
        <w:t xml:space="preserve">3,527 </w:t>
      </w:r>
      <w:r w:rsidRPr="008E6249">
        <w:rPr>
          <w:rFonts w:eastAsia="Calibri"/>
        </w:rPr>
        <w:t>hours (</w:t>
      </w:r>
      <w:r w:rsidR="00E34E5A">
        <w:rPr>
          <w:rFonts w:eastAsia="Calibri"/>
        </w:rPr>
        <w:t xml:space="preserve">1,651 </w:t>
      </w:r>
      <w:r w:rsidRPr="008E6249">
        <w:rPr>
          <w:rFonts w:eastAsia="Calibri"/>
        </w:rPr>
        <w:t xml:space="preserve">reporting hours </w:t>
      </w:r>
      <w:r w:rsidRPr="008E6249" w:rsidR="00063F52">
        <w:rPr>
          <w:rFonts w:eastAsia="Calibri"/>
        </w:rPr>
        <w:t>+ 1,876</w:t>
      </w:r>
      <w:r w:rsidR="00E34E5A">
        <w:rPr>
          <w:rFonts w:eastAsia="Calibri"/>
        </w:rPr>
        <w:t xml:space="preserve"> </w:t>
      </w:r>
      <w:r w:rsidRPr="008E6249">
        <w:rPr>
          <w:rFonts w:eastAsia="Calibri"/>
        </w:rPr>
        <w:t>recordkeeping hours)</w:t>
      </w:r>
      <w:r w:rsidR="00CB6A74">
        <w:rPr>
          <w:rFonts w:eastAsia="Calibri"/>
        </w:rPr>
        <w:t>.</w:t>
      </w:r>
    </w:p>
    <w:p w:rsidR="00357C8A" w:rsidRPr="005C71CA" w:rsidP="00DC371B" w14:paraId="38624F61" w14:textId="77777777">
      <w:pPr>
        <w:spacing w:after="200"/>
        <w:ind w:left="360"/>
        <w:rPr>
          <w:rFonts w:eastAsia="Calibri"/>
        </w:rPr>
      </w:pPr>
      <w:r w:rsidRPr="005C71CA">
        <w:rPr>
          <w:rFonts w:eastAsia="Calibri"/>
        </w:rPr>
        <w:t>12b.  Annualized Cost Burden Estimate</w:t>
      </w:r>
    </w:p>
    <w:p w:rsidR="00D31A75" w:rsidRPr="00D31A75" w:rsidP="00D31A75" w14:paraId="2E8C0CA3" w14:textId="77777777">
      <w:pPr>
        <w:spacing w:after="200"/>
        <w:ind w:left="360"/>
        <w:rPr>
          <w:rFonts w:eastAsia="Calibri"/>
        </w:rPr>
      </w:pPr>
      <w:r w:rsidRPr="00D31A75">
        <w:rPr>
          <w:rFonts w:eastAsia="Calibri"/>
        </w:rPr>
        <w:t>The annual hour cost burden to respondents is $</w:t>
      </w:r>
      <w:r w:rsidR="00BD4A54">
        <w:rPr>
          <w:rFonts w:eastAsia="Calibri"/>
        </w:rPr>
        <w:t>318</w:t>
      </w:r>
      <w:r w:rsidRPr="00D31A75">
        <w:rPr>
          <w:rFonts w:eastAsia="Calibri"/>
        </w:rPr>
        <w:t>,</w:t>
      </w:r>
      <w:r w:rsidR="00BD4A54">
        <w:rPr>
          <w:rFonts w:eastAsia="Calibri"/>
        </w:rPr>
        <w:t>417</w:t>
      </w:r>
      <w:r w:rsidRPr="00D31A75">
        <w:rPr>
          <w:rFonts w:eastAsia="Calibri"/>
        </w:rPr>
        <w:t>.</w:t>
      </w:r>
      <w:r w:rsidR="00BD4A54">
        <w:rPr>
          <w:rFonts w:eastAsia="Calibri"/>
        </w:rPr>
        <w:t>56</w:t>
      </w:r>
      <w:r w:rsidRPr="00D31A75" w:rsidR="00BD4A54">
        <w:rPr>
          <w:rFonts w:eastAsia="Calibri"/>
        </w:rPr>
        <w:t xml:space="preserve"> </w:t>
      </w:r>
      <w:r w:rsidRPr="00D31A75">
        <w:rPr>
          <w:rFonts w:eastAsia="Calibri"/>
        </w:rPr>
        <w:t>per year.  We estimate that the average hourly wage for the employee preparing and submitting the request for certification would be equivalent to a GS-12/Step-1 level in the locality pay area of Washington-Baltimore in 202</w:t>
      </w:r>
      <w:r w:rsidR="00503D0D">
        <w:rPr>
          <w:rFonts w:eastAsia="Calibri"/>
        </w:rPr>
        <w:t>3</w:t>
      </w:r>
      <w:r w:rsidRPr="00D31A75">
        <w:rPr>
          <w:rFonts w:eastAsia="Calibri"/>
        </w:rPr>
        <w:t>, $</w:t>
      </w:r>
      <w:r w:rsidR="00503D0D">
        <w:rPr>
          <w:rFonts w:eastAsia="Calibri"/>
        </w:rPr>
        <w:t>45</w:t>
      </w:r>
      <w:r w:rsidRPr="00D31A75">
        <w:rPr>
          <w:rFonts w:eastAsia="Calibri"/>
        </w:rPr>
        <w:t>.</w:t>
      </w:r>
      <w:r w:rsidR="00503D0D">
        <w:rPr>
          <w:rFonts w:eastAsia="Calibri"/>
        </w:rPr>
        <w:t>14</w:t>
      </w:r>
      <w:r w:rsidRPr="00D31A75">
        <w:rPr>
          <w:rFonts w:eastAsia="Calibri"/>
        </w:rPr>
        <w:t>/hour.  Doubling this wage to account for overhead costs, we estimate the average hourly cost to respondents to be $</w:t>
      </w:r>
      <w:r w:rsidR="00503D0D">
        <w:rPr>
          <w:rFonts w:eastAsia="Calibri"/>
        </w:rPr>
        <w:t>90</w:t>
      </w:r>
      <w:r w:rsidRPr="00D31A75">
        <w:rPr>
          <w:rFonts w:eastAsia="Calibri"/>
        </w:rPr>
        <w:t>.</w:t>
      </w:r>
      <w:r w:rsidR="00503D0D">
        <w:rPr>
          <w:rFonts w:eastAsia="Calibri"/>
        </w:rPr>
        <w:t>28</w:t>
      </w:r>
      <w:r w:rsidRPr="00D31A75">
        <w:rPr>
          <w:rFonts w:eastAsia="Calibri"/>
        </w:rPr>
        <w:t>/hour.  Thus, the overall estimated cost incurred by the respondents is $</w:t>
      </w:r>
      <w:r w:rsidR="00503D0D">
        <w:rPr>
          <w:rFonts w:eastAsia="Calibri"/>
        </w:rPr>
        <w:t>318</w:t>
      </w:r>
      <w:r w:rsidRPr="00D31A75">
        <w:rPr>
          <w:rFonts w:eastAsia="Calibri"/>
        </w:rPr>
        <w:t>,</w:t>
      </w:r>
      <w:r w:rsidR="00503D0D">
        <w:rPr>
          <w:rFonts w:eastAsia="Calibri"/>
        </w:rPr>
        <w:t>417</w:t>
      </w:r>
      <w:r w:rsidRPr="00D31A75">
        <w:rPr>
          <w:rFonts w:eastAsia="Calibri"/>
        </w:rPr>
        <w:t>.</w:t>
      </w:r>
      <w:r w:rsidR="00503D0D">
        <w:rPr>
          <w:rFonts w:eastAsia="Calibri"/>
        </w:rPr>
        <w:t>56</w:t>
      </w:r>
      <w:r w:rsidRPr="00D31A75" w:rsidR="00503D0D">
        <w:rPr>
          <w:rFonts w:eastAsia="Calibri"/>
        </w:rPr>
        <w:t xml:space="preserve"> </w:t>
      </w:r>
      <w:r w:rsidRPr="00D31A75">
        <w:rPr>
          <w:rFonts w:eastAsia="Calibri"/>
        </w:rPr>
        <w:t>(3,5</w:t>
      </w:r>
      <w:r w:rsidR="00503D0D">
        <w:rPr>
          <w:rFonts w:eastAsia="Calibri"/>
        </w:rPr>
        <w:t>27</w:t>
      </w:r>
      <w:r w:rsidRPr="00D31A75">
        <w:rPr>
          <w:rFonts w:eastAsia="Calibri"/>
        </w:rPr>
        <w:t xml:space="preserve"> burden hours x $</w:t>
      </w:r>
      <w:r w:rsidR="00503D0D">
        <w:rPr>
          <w:rFonts w:eastAsia="Calibri"/>
        </w:rPr>
        <w:t>90</w:t>
      </w:r>
      <w:r w:rsidRPr="00D31A75">
        <w:rPr>
          <w:rFonts w:eastAsia="Calibri"/>
        </w:rPr>
        <w:t>.</w:t>
      </w:r>
      <w:r w:rsidR="00503D0D">
        <w:rPr>
          <w:rFonts w:eastAsia="Calibri"/>
        </w:rPr>
        <w:t>28</w:t>
      </w:r>
      <w:r w:rsidRPr="00D31A75">
        <w:rPr>
          <w:rFonts w:eastAsia="Calibri"/>
        </w:rPr>
        <w:t>/hour).</w:t>
      </w:r>
    </w:p>
    <w:p w:rsidR="00D31A75" w:rsidRPr="00E8388E" w:rsidP="00E8388E" w14:paraId="4DCD9F3B" w14:textId="199023F7">
      <w:pPr>
        <w:jc w:val="center"/>
        <w:rPr>
          <w:rFonts w:eastAsia="Calibri"/>
          <w:sz w:val="20"/>
          <w:szCs w:val="20"/>
        </w:rPr>
      </w:pPr>
      <w:r w:rsidRPr="00E8388E">
        <w:rPr>
          <w:rFonts w:eastAsia="Calibri"/>
          <w:sz w:val="20"/>
          <w:szCs w:val="20"/>
        </w:rPr>
        <w:t>Table 3.--Estimated Annual Reporting Cost Burden</w:t>
      </w:r>
    </w:p>
    <w:tbl>
      <w:tblPr>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1890"/>
        <w:gridCol w:w="1710"/>
        <w:gridCol w:w="2160"/>
      </w:tblGrid>
      <w:tr w14:paraId="5D9EDCBC" w14:textId="77777777" w:rsidTr="00E8388E">
        <w:tblPrEx>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8"/>
        </w:trPr>
        <w:tc>
          <w:tcPr>
            <w:tcW w:w="3870" w:type="dxa"/>
            <w:shd w:val="clear" w:color="auto" w:fill="auto"/>
          </w:tcPr>
          <w:p w:rsidR="00D31A75" w:rsidRPr="00E8388E" w:rsidP="00E8388E" w14:paraId="6462885A" w14:textId="77777777">
            <w:pPr>
              <w:rPr>
                <w:rFonts w:eastAsia="Calibri"/>
                <w:sz w:val="20"/>
                <w:szCs w:val="20"/>
              </w:rPr>
            </w:pPr>
            <w:r w:rsidRPr="00E8388E">
              <w:rPr>
                <w:rFonts w:eastAsia="Calibri"/>
                <w:sz w:val="20"/>
                <w:szCs w:val="20"/>
              </w:rPr>
              <w:t>21 CFR Section; Activity</w:t>
            </w:r>
          </w:p>
        </w:tc>
        <w:tc>
          <w:tcPr>
            <w:tcW w:w="1890" w:type="dxa"/>
            <w:shd w:val="clear" w:color="auto" w:fill="auto"/>
          </w:tcPr>
          <w:p w:rsidR="00D31A75" w:rsidRPr="00E8388E" w:rsidP="00E8388E" w14:paraId="3315D071" w14:textId="77777777">
            <w:pPr>
              <w:jc w:val="center"/>
              <w:rPr>
                <w:rFonts w:eastAsia="Calibri"/>
                <w:sz w:val="20"/>
                <w:szCs w:val="20"/>
              </w:rPr>
            </w:pPr>
            <w:r w:rsidRPr="00E8388E">
              <w:rPr>
                <w:rFonts w:eastAsia="Calibri"/>
                <w:sz w:val="20"/>
                <w:szCs w:val="20"/>
              </w:rPr>
              <w:t>Total Burden Hours</w:t>
            </w:r>
          </w:p>
        </w:tc>
        <w:tc>
          <w:tcPr>
            <w:tcW w:w="1710" w:type="dxa"/>
            <w:shd w:val="clear" w:color="auto" w:fill="auto"/>
          </w:tcPr>
          <w:p w:rsidR="00D31A75" w:rsidRPr="00E8388E" w:rsidP="00E8388E" w14:paraId="66EA6088" w14:textId="77777777">
            <w:pPr>
              <w:ind w:left="-14"/>
              <w:jc w:val="center"/>
              <w:rPr>
                <w:rFonts w:eastAsia="Calibri"/>
                <w:sz w:val="20"/>
                <w:szCs w:val="20"/>
              </w:rPr>
            </w:pPr>
            <w:r w:rsidRPr="00E8388E">
              <w:rPr>
                <w:rFonts w:eastAsia="Calibri"/>
                <w:sz w:val="20"/>
                <w:szCs w:val="20"/>
              </w:rPr>
              <w:t>Hourly Wage Rate</w:t>
            </w:r>
          </w:p>
        </w:tc>
        <w:tc>
          <w:tcPr>
            <w:tcW w:w="2160" w:type="dxa"/>
            <w:shd w:val="clear" w:color="auto" w:fill="auto"/>
          </w:tcPr>
          <w:p w:rsidR="00D31A75" w:rsidRPr="00E8388E" w:rsidP="00E8388E" w14:paraId="4886274F" w14:textId="77777777">
            <w:pPr>
              <w:jc w:val="center"/>
              <w:rPr>
                <w:rFonts w:eastAsia="Calibri"/>
                <w:sz w:val="20"/>
                <w:szCs w:val="20"/>
              </w:rPr>
            </w:pPr>
            <w:r w:rsidRPr="00E8388E">
              <w:rPr>
                <w:rFonts w:eastAsia="Calibri"/>
                <w:sz w:val="20"/>
                <w:szCs w:val="20"/>
              </w:rPr>
              <w:t>Total Respondent Costs</w:t>
            </w:r>
          </w:p>
        </w:tc>
      </w:tr>
      <w:tr w14:paraId="7AD6D144" w14:textId="77777777" w:rsidTr="00E8388E">
        <w:tblPrEx>
          <w:tblW w:w="9630" w:type="dxa"/>
          <w:tblInd w:w="355" w:type="dxa"/>
          <w:tblLook w:val="01E0"/>
        </w:tblPrEx>
        <w:trPr>
          <w:trHeight w:val="530"/>
        </w:trPr>
        <w:tc>
          <w:tcPr>
            <w:tcW w:w="3870" w:type="dxa"/>
            <w:shd w:val="clear" w:color="auto" w:fill="auto"/>
          </w:tcPr>
          <w:p w:rsidR="00D31A75" w:rsidRPr="00E8388E" w:rsidP="00E8388E" w14:paraId="32870CBD" w14:textId="77777777">
            <w:pPr>
              <w:rPr>
                <w:rFonts w:eastAsia="Calibri"/>
                <w:sz w:val="20"/>
                <w:szCs w:val="20"/>
              </w:rPr>
            </w:pPr>
            <w:r w:rsidRPr="00E8388E">
              <w:rPr>
                <w:rFonts w:eastAsia="Calibri"/>
                <w:sz w:val="20"/>
                <w:szCs w:val="20"/>
              </w:rPr>
              <w:t>80.21</w:t>
            </w:r>
            <w:r w:rsidRPr="00E8388E" w:rsidR="00503D0D">
              <w:rPr>
                <w:rFonts w:eastAsia="Calibri"/>
                <w:sz w:val="20"/>
                <w:szCs w:val="20"/>
              </w:rPr>
              <w:t xml:space="preserve"> and 80.22</w:t>
            </w:r>
            <w:r w:rsidRPr="00E8388E">
              <w:rPr>
                <w:rFonts w:eastAsia="Calibri"/>
                <w:sz w:val="20"/>
                <w:szCs w:val="20"/>
              </w:rPr>
              <w:t xml:space="preserve">; Requesting </w:t>
            </w:r>
            <w:r w:rsidRPr="00E8388E" w:rsidR="00610078">
              <w:rPr>
                <w:rFonts w:eastAsia="Calibri"/>
                <w:sz w:val="20"/>
                <w:szCs w:val="20"/>
              </w:rPr>
              <w:t>certification accompanied</w:t>
            </w:r>
            <w:r w:rsidRPr="00E8388E" w:rsidR="00503D0D">
              <w:rPr>
                <w:rFonts w:eastAsia="Calibri"/>
                <w:sz w:val="20"/>
                <w:szCs w:val="20"/>
              </w:rPr>
              <w:t xml:space="preserve"> by a sample</w:t>
            </w:r>
          </w:p>
        </w:tc>
        <w:tc>
          <w:tcPr>
            <w:tcW w:w="1890" w:type="dxa"/>
            <w:shd w:val="clear" w:color="auto" w:fill="auto"/>
          </w:tcPr>
          <w:p w:rsidR="00D31A75" w:rsidRPr="00E8388E" w:rsidP="00E8388E" w14:paraId="02006C7B" w14:textId="77777777">
            <w:pPr>
              <w:spacing w:after="200"/>
              <w:jc w:val="right"/>
              <w:rPr>
                <w:rFonts w:eastAsia="Calibri"/>
                <w:sz w:val="20"/>
                <w:szCs w:val="20"/>
              </w:rPr>
            </w:pPr>
            <w:r w:rsidRPr="00E8388E">
              <w:rPr>
                <w:rFonts w:eastAsia="Calibri"/>
                <w:sz w:val="20"/>
                <w:szCs w:val="20"/>
              </w:rPr>
              <w:t>1,</w:t>
            </w:r>
            <w:r w:rsidRPr="00E8388E" w:rsidR="00503D0D">
              <w:rPr>
                <w:rFonts w:eastAsia="Calibri"/>
                <w:sz w:val="20"/>
                <w:szCs w:val="20"/>
              </w:rPr>
              <w:t>651</w:t>
            </w:r>
          </w:p>
        </w:tc>
        <w:tc>
          <w:tcPr>
            <w:tcW w:w="1710" w:type="dxa"/>
            <w:shd w:val="clear" w:color="auto" w:fill="auto"/>
          </w:tcPr>
          <w:p w:rsidR="00D31A75" w:rsidRPr="00E8388E" w:rsidP="00E8388E" w14:paraId="654E588A" w14:textId="77777777">
            <w:pPr>
              <w:spacing w:after="200"/>
              <w:ind w:left="-14"/>
              <w:jc w:val="right"/>
              <w:rPr>
                <w:rFonts w:eastAsia="Calibri"/>
                <w:sz w:val="20"/>
                <w:szCs w:val="20"/>
              </w:rPr>
            </w:pPr>
            <w:r w:rsidRPr="00E8388E">
              <w:rPr>
                <w:rFonts w:eastAsia="Calibri"/>
                <w:sz w:val="20"/>
                <w:szCs w:val="20"/>
              </w:rPr>
              <w:t>$</w:t>
            </w:r>
            <w:r w:rsidRPr="00E8388E" w:rsidR="00503D0D">
              <w:rPr>
                <w:rFonts w:eastAsia="Calibri"/>
                <w:sz w:val="20"/>
                <w:szCs w:val="20"/>
              </w:rPr>
              <w:t>90</w:t>
            </w:r>
            <w:r w:rsidRPr="00E8388E">
              <w:rPr>
                <w:rFonts w:eastAsia="Calibri"/>
                <w:sz w:val="20"/>
                <w:szCs w:val="20"/>
              </w:rPr>
              <w:t>.</w:t>
            </w:r>
            <w:r w:rsidRPr="00E8388E" w:rsidR="00503D0D">
              <w:rPr>
                <w:rFonts w:eastAsia="Calibri"/>
                <w:sz w:val="20"/>
                <w:szCs w:val="20"/>
              </w:rPr>
              <w:t>28</w:t>
            </w:r>
          </w:p>
        </w:tc>
        <w:tc>
          <w:tcPr>
            <w:tcW w:w="2160" w:type="dxa"/>
            <w:shd w:val="clear" w:color="auto" w:fill="auto"/>
          </w:tcPr>
          <w:p w:rsidR="00D31A75" w:rsidRPr="00E8388E" w:rsidP="00E8388E" w14:paraId="09A78646" w14:textId="77777777">
            <w:pPr>
              <w:spacing w:after="200"/>
              <w:jc w:val="right"/>
              <w:rPr>
                <w:rFonts w:eastAsia="Calibri"/>
                <w:sz w:val="20"/>
                <w:szCs w:val="20"/>
              </w:rPr>
            </w:pPr>
            <w:r w:rsidRPr="00E8388E">
              <w:rPr>
                <w:rFonts w:eastAsia="Calibri"/>
                <w:sz w:val="20"/>
                <w:szCs w:val="20"/>
              </w:rPr>
              <w:t>$</w:t>
            </w:r>
            <w:r w:rsidRPr="00E8388E" w:rsidR="00BD4A54">
              <w:rPr>
                <w:rFonts w:eastAsia="Calibri"/>
                <w:sz w:val="20"/>
                <w:szCs w:val="20"/>
              </w:rPr>
              <w:t>149</w:t>
            </w:r>
            <w:r w:rsidRPr="00E8388E">
              <w:rPr>
                <w:rFonts w:eastAsia="Calibri"/>
                <w:sz w:val="20"/>
                <w:szCs w:val="20"/>
              </w:rPr>
              <w:t>,</w:t>
            </w:r>
            <w:r w:rsidRPr="00E8388E" w:rsidR="00BD4A54">
              <w:rPr>
                <w:rFonts w:eastAsia="Calibri"/>
                <w:sz w:val="20"/>
                <w:szCs w:val="20"/>
              </w:rPr>
              <w:t>052</w:t>
            </w:r>
            <w:r w:rsidRPr="00E8388E">
              <w:rPr>
                <w:rFonts w:eastAsia="Calibri"/>
                <w:sz w:val="20"/>
                <w:szCs w:val="20"/>
              </w:rPr>
              <w:t>.</w:t>
            </w:r>
            <w:r w:rsidRPr="00E8388E" w:rsidR="00503D0D">
              <w:rPr>
                <w:rFonts w:eastAsia="Calibri"/>
                <w:sz w:val="20"/>
                <w:szCs w:val="20"/>
              </w:rPr>
              <w:t>28</w:t>
            </w:r>
          </w:p>
        </w:tc>
      </w:tr>
      <w:tr w14:paraId="52F720D0" w14:textId="77777777" w:rsidTr="00E8388E">
        <w:tblPrEx>
          <w:tblW w:w="9630" w:type="dxa"/>
          <w:tblInd w:w="355" w:type="dxa"/>
          <w:tblLook w:val="01E0"/>
        </w:tblPrEx>
        <w:trPr>
          <w:trHeight w:val="350"/>
        </w:trPr>
        <w:tc>
          <w:tcPr>
            <w:tcW w:w="3870" w:type="dxa"/>
            <w:shd w:val="clear" w:color="auto" w:fill="auto"/>
          </w:tcPr>
          <w:p w:rsidR="00D31A75" w:rsidRPr="00E8388E" w:rsidP="00E8388E" w14:paraId="1E27137E" w14:textId="77777777">
            <w:pPr>
              <w:rPr>
                <w:rFonts w:eastAsia="Calibri"/>
                <w:sz w:val="20"/>
                <w:szCs w:val="20"/>
              </w:rPr>
            </w:pPr>
            <w:r w:rsidRPr="00E8388E">
              <w:rPr>
                <w:rFonts w:eastAsia="Calibri"/>
                <w:sz w:val="20"/>
                <w:szCs w:val="20"/>
              </w:rPr>
              <w:t xml:space="preserve">80.39; Record of distribution </w:t>
            </w:r>
          </w:p>
        </w:tc>
        <w:tc>
          <w:tcPr>
            <w:tcW w:w="1890" w:type="dxa"/>
            <w:shd w:val="clear" w:color="auto" w:fill="auto"/>
          </w:tcPr>
          <w:p w:rsidR="00D31A75" w:rsidRPr="00E8388E" w:rsidP="00E8388E" w14:paraId="5C2390EE" w14:textId="77777777">
            <w:pPr>
              <w:jc w:val="right"/>
              <w:rPr>
                <w:rFonts w:eastAsia="Calibri"/>
                <w:sz w:val="20"/>
                <w:szCs w:val="20"/>
              </w:rPr>
            </w:pPr>
            <w:r w:rsidRPr="00E8388E">
              <w:rPr>
                <w:rFonts w:eastAsia="Calibri"/>
                <w:sz w:val="20"/>
                <w:szCs w:val="20"/>
              </w:rPr>
              <w:t>1,</w:t>
            </w:r>
            <w:r w:rsidRPr="00E8388E" w:rsidR="00503D0D">
              <w:rPr>
                <w:rFonts w:eastAsia="Calibri"/>
                <w:sz w:val="20"/>
                <w:szCs w:val="20"/>
              </w:rPr>
              <w:t>876</w:t>
            </w:r>
          </w:p>
        </w:tc>
        <w:tc>
          <w:tcPr>
            <w:tcW w:w="1710" w:type="dxa"/>
            <w:shd w:val="clear" w:color="auto" w:fill="auto"/>
          </w:tcPr>
          <w:p w:rsidR="00D31A75" w:rsidRPr="00E8388E" w:rsidP="00E8388E" w14:paraId="5B7BD13A" w14:textId="77777777">
            <w:pPr>
              <w:ind w:left="-14"/>
              <w:jc w:val="right"/>
              <w:rPr>
                <w:rFonts w:eastAsia="Calibri"/>
                <w:sz w:val="20"/>
                <w:szCs w:val="20"/>
              </w:rPr>
            </w:pPr>
            <w:r w:rsidRPr="00E8388E">
              <w:rPr>
                <w:rFonts w:eastAsia="Calibri"/>
                <w:sz w:val="20"/>
                <w:szCs w:val="20"/>
              </w:rPr>
              <w:t>$</w:t>
            </w:r>
            <w:r w:rsidRPr="00E8388E" w:rsidR="00503D0D">
              <w:rPr>
                <w:rFonts w:eastAsia="Calibri"/>
                <w:sz w:val="20"/>
                <w:szCs w:val="20"/>
              </w:rPr>
              <w:t>90</w:t>
            </w:r>
            <w:r w:rsidRPr="00E8388E">
              <w:rPr>
                <w:rFonts w:eastAsia="Calibri"/>
                <w:sz w:val="20"/>
                <w:szCs w:val="20"/>
              </w:rPr>
              <w:t>.</w:t>
            </w:r>
            <w:r w:rsidRPr="00E8388E" w:rsidR="00503D0D">
              <w:rPr>
                <w:rFonts w:eastAsia="Calibri"/>
                <w:sz w:val="20"/>
                <w:szCs w:val="20"/>
              </w:rPr>
              <w:t>28</w:t>
            </w:r>
          </w:p>
        </w:tc>
        <w:tc>
          <w:tcPr>
            <w:tcW w:w="2160" w:type="dxa"/>
            <w:shd w:val="clear" w:color="auto" w:fill="auto"/>
          </w:tcPr>
          <w:p w:rsidR="00D31A75" w:rsidRPr="00E8388E" w:rsidP="00E8388E" w14:paraId="381684F3" w14:textId="77777777">
            <w:pPr>
              <w:jc w:val="right"/>
              <w:rPr>
                <w:rFonts w:eastAsia="Calibri"/>
                <w:sz w:val="20"/>
                <w:szCs w:val="20"/>
              </w:rPr>
            </w:pPr>
            <w:r w:rsidRPr="00E8388E">
              <w:rPr>
                <w:rFonts w:eastAsia="Calibri"/>
                <w:sz w:val="20"/>
                <w:szCs w:val="20"/>
              </w:rPr>
              <w:t>$</w:t>
            </w:r>
            <w:r w:rsidRPr="00E8388E" w:rsidR="00BD4A54">
              <w:rPr>
                <w:rFonts w:eastAsia="Calibri"/>
                <w:sz w:val="20"/>
                <w:szCs w:val="20"/>
              </w:rPr>
              <w:t>169</w:t>
            </w:r>
            <w:r w:rsidRPr="00E8388E">
              <w:rPr>
                <w:rFonts w:eastAsia="Calibri"/>
                <w:sz w:val="20"/>
                <w:szCs w:val="20"/>
              </w:rPr>
              <w:t>,</w:t>
            </w:r>
            <w:r w:rsidRPr="00E8388E" w:rsidR="00BD4A54">
              <w:rPr>
                <w:rFonts w:eastAsia="Calibri"/>
                <w:sz w:val="20"/>
                <w:szCs w:val="20"/>
              </w:rPr>
              <w:t>365</w:t>
            </w:r>
            <w:r w:rsidRPr="00E8388E">
              <w:rPr>
                <w:rFonts w:eastAsia="Calibri"/>
                <w:sz w:val="20"/>
                <w:szCs w:val="20"/>
              </w:rPr>
              <w:t>.</w:t>
            </w:r>
            <w:r w:rsidRPr="00E8388E" w:rsidR="00BD4A54">
              <w:rPr>
                <w:rFonts w:eastAsia="Calibri"/>
                <w:sz w:val="20"/>
                <w:szCs w:val="20"/>
              </w:rPr>
              <w:t>28</w:t>
            </w:r>
          </w:p>
        </w:tc>
      </w:tr>
      <w:tr w14:paraId="3FDD5547" w14:textId="77777777" w:rsidTr="00E8388E">
        <w:tblPrEx>
          <w:tblW w:w="9630" w:type="dxa"/>
          <w:tblInd w:w="355" w:type="dxa"/>
          <w:tblLook w:val="01E0"/>
        </w:tblPrEx>
        <w:trPr>
          <w:trHeight w:val="260"/>
        </w:trPr>
        <w:tc>
          <w:tcPr>
            <w:tcW w:w="7470" w:type="dxa"/>
            <w:gridSpan w:val="3"/>
            <w:shd w:val="clear" w:color="auto" w:fill="auto"/>
          </w:tcPr>
          <w:p w:rsidR="00D31A75" w:rsidRPr="00E8388E" w:rsidP="00E8388E" w14:paraId="6DB2B0CA" w14:textId="77777777">
            <w:pPr>
              <w:rPr>
                <w:rFonts w:eastAsia="Calibri"/>
                <w:sz w:val="20"/>
                <w:szCs w:val="20"/>
              </w:rPr>
            </w:pPr>
            <w:r w:rsidRPr="00E8388E">
              <w:rPr>
                <w:rFonts w:eastAsia="Calibri"/>
                <w:sz w:val="20"/>
                <w:szCs w:val="20"/>
              </w:rPr>
              <w:t>Total</w:t>
            </w:r>
          </w:p>
        </w:tc>
        <w:tc>
          <w:tcPr>
            <w:tcW w:w="2160" w:type="dxa"/>
            <w:shd w:val="clear" w:color="auto" w:fill="auto"/>
          </w:tcPr>
          <w:p w:rsidR="00D31A75" w:rsidRPr="00E8388E" w:rsidP="00E8388E" w14:paraId="7B351E6E" w14:textId="77777777">
            <w:pPr>
              <w:jc w:val="right"/>
              <w:rPr>
                <w:rFonts w:eastAsia="Calibri"/>
                <w:sz w:val="20"/>
                <w:szCs w:val="20"/>
              </w:rPr>
            </w:pPr>
            <w:r w:rsidRPr="00E8388E">
              <w:rPr>
                <w:rFonts w:eastAsia="Calibri"/>
                <w:sz w:val="20"/>
                <w:szCs w:val="20"/>
              </w:rPr>
              <w:t>$</w:t>
            </w:r>
            <w:r w:rsidRPr="00E8388E" w:rsidR="00BD4A54">
              <w:rPr>
                <w:rFonts w:eastAsia="Calibri"/>
                <w:sz w:val="20"/>
                <w:szCs w:val="20"/>
              </w:rPr>
              <w:t>318</w:t>
            </w:r>
            <w:r w:rsidRPr="00E8388E">
              <w:rPr>
                <w:rFonts w:eastAsia="Calibri"/>
                <w:sz w:val="20"/>
                <w:szCs w:val="20"/>
              </w:rPr>
              <w:t>,</w:t>
            </w:r>
            <w:r w:rsidRPr="00E8388E" w:rsidR="00BD4A54">
              <w:rPr>
                <w:rFonts w:eastAsia="Calibri"/>
                <w:sz w:val="20"/>
                <w:szCs w:val="20"/>
              </w:rPr>
              <w:t>417</w:t>
            </w:r>
            <w:r w:rsidRPr="00E8388E">
              <w:rPr>
                <w:rFonts w:eastAsia="Calibri"/>
                <w:sz w:val="20"/>
                <w:szCs w:val="20"/>
              </w:rPr>
              <w:t>.</w:t>
            </w:r>
            <w:r w:rsidRPr="00E8388E" w:rsidR="00BD4A54">
              <w:rPr>
                <w:rFonts w:eastAsia="Calibri"/>
                <w:sz w:val="20"/>
                <w:szCs w:val="20"/>
              </w:rPr>
              <w:t>56</w:t>
            </w:r>
          </w:p>
        </w:tc>
      </w:tr>
    </w:tbl>
    <w:p w:rsidR="00357C8A" w:rsidRPr="00357C8A" w:rsidP="00357C8A" w14:paraId="291D4D40" w14:textId="77777777">
      <w:pPr>
        <w:rPr>
          <w:rFonts w:eastAsia="Calibri"/>
        </w:rPr>
      </w:pPr>
    </w:p>
    <w:p w:rsidR="00357C8A" w:rsidRPr="00357C8A" w:rsidP="006705EA" w14:paraId="64295C8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21CF7D70" w14:textId="77777777">
      <w:pPr>
        <w:spacing w:after="200" w:line="276" w:lineRule="auto"/>
        <w:rPr>
          <w:rFonts w:eastAsia="Calibri"/>
          <w:u w:val="single"/>
        </w:rPr>
      </w:pPr>
      <w:r w:rsidRPr="00385516">
        <w:rPr>
          <w:rFonts w:eastAsia="Calibri"/>
        </w:rPr>
        <w:t xml:space="preserve">There </w:t>
      </w:r>
      <w:r w:rsidRPr="00385516">
        <w:rPr>
          <w:rFonts w:eastAsia="Calibri"/>
        </w:rPr>
        <w:t>are</w:t>
      </w:r>
      <w:r w:rsidRPr="00385516">
        <w:rPr>
          <w:rFonts w:eastAsia="Calibri"/>
        </w:rPr>
        <w:t xml:space="preserve"> no capital, start-up, operating, or maintenance costs associated with this collection.</w:t>
      </w:r>
    </w:p>
    <w:p w:rsidR="00357C8A" w:rsidRPr="00357C8A" w:rsidP="006705EA" w14:paraId="300BF5B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357C8A" w14:paraId="55DE9159" w14:textId="35A9F79D">
      <w:pPr>
        <w:spacing w:after="200"/>
        <w:rPr>
          <w:rFonts w:eastAsia="Calibri"/>
        </w:rPr>
      </w:pPr>
      <w:r w:rsidRPr="00385516">
        <w:rPr>
          <w:rFonts w:eastAsia="Calibri"/>
        </w:rPr>
        <w:t xml:space="preserve">Section 721(e) of the FD&amp;C Act (21 U.S.C. 379e(e)) provides that fees must be charged for color additive certification “as may be necessary to provide, maintain, and equip an adequate service for such purposes.”  Thus, it is required by law that there be no cost to the federal government for color additive certification.  As noted above, </w:t>
      </w:r>
      <w:r>
        <w:rPr>
          <w:rFonts w:eastAsia="Calibri"/>
        </w:rPr>
        <w:t>we</w:t>
      </w:r>
      <w:r w:rsidRPr="00385516">
        <w:rPr>
          <w:rFonts w:eastAsia="Calibri"/>
        </w:rPr>
        <w:t xml:space="preserve"> charge a fee for certification based on the batch weight in accordance with § 80.10 (21 CFR 80.10).</w:t>
      </w:r>
    </w:p>
    <w:p w:rsidR="00777C3E" w:rsidP="00357C8A" w14:paraId="548D186D" w14:textId="6DF5B679">
      <w:pPr>
        <w:spacing w:after="200"/>
        <w:rPr>
          <w:rFonts w:eastAsia="Calibri"/>
        </w:rPr>
      </w:pPr>
      <w:r w:rsidRPr="00777C3E">
        <w:rPr>
          <w:rFonts w:eastAsia="Calibri"/>
        </w:rPr>
        <w:t>Based on recent budget appropriation information, we assume annual costs of $10.9 million to administer the color certification program regulated under 21 CFR part 80, although costs of administration are expected to be offset by mandated respondent user fees.</w:t>
      </w:r>
    </w:p>
    <w:p w:rsidR="00777C3E" w:rsidP="00357C8A" w14:paraId="06664123" w14:textId="1BDD94E3">
      <w:pPr>
        <w:spacing w:after="200"/>
        <w:rPr>
          <w:rFonts w:eastAsia="Calibri"/>
        </w:rPr>
      </w:pPr>
    </w:p>
    <w:p w:rsidR="00777C3E" w:rsidP="00357C8A" w14:paraId="1EA592A5" w14:textId="77777777">
      <w:pPr>
        <w:spacing w:after="200"/>
        <w:rPr>
          <w:rFonts w:eastAsia="Calibri"/>
        </w:rPr>
      </w:pPr>
    </w:p>
    <w:p w:rsidR="00357C8A" w:rsidP="006705EA" w14:paraId="567AE6B0" w14:textId="1E43479C">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1150CD" w:rsidP="00357C8A" w14:paraId="43F0C23B" w14:textId="161EF2B5">
      <w:pPr>
        <w:spacing w:after="200"/>
        <w:rPr>
          <w:rFonts w:eastAsia="Calibri"/>
          <w:color w:val="000000"/>
        </w:rPr>
      </w:pPr>
      <w:r w:rsidRPr="00503D0D">
        <w:rPr>
          <w:rFonts w:eastAsia="Calibri"/>
          <w:color w:val="000000"/>
        </w:rPr>
        <w:t>Based on a review of the information collection since our last request for OMB approval, we have slightly decreased our burden estimate based on our experience with this program.  Although the number of respondents increased, the number of responses per respondent decreased.</w:t>
      </w:r>
    </w:p>
    <w:p w:rsidR="00357C8A" w:rsidRPr="00357C8A" w:rsidP="006705EA" w14:paraId="0658388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150CD" w:rsidP="00357C8A" w14:paraId="017DB737" w14:textId="77777777">
      <w:pPr>
        <w:spacing w:after="200"/>
        <w:rPr>
          <w:rFonts w:eastAsia="Calibri"/>
          <w:color w:val="000000"/>
        </w:rPr>
      </w:pPr>
      <w:r w:rsidRPr="005C71CA">
        <w:rPr>
          <w:rFonts w:eastAsia="Calibri"/>
        </w:rPr>
        <w:t>This information collected will not be published or tabulated.</w:t>
      </w:r>
      <w:r>
        <w:rPr>
          <w:rFonts w:eastAsia="Calibri"/>
        </w:rPr>
        <w:t xml:space="preserve">  </w:t>
      </w:r>
      <w:r w:rsidRPr="00567E23">
        <w:rPr>
          <w:rFonts w:eastAsia="Calibri"/>
        </w:rPr>
        <w:t>No comprehensive tabulation of the data is planned or anticipated.</w:t>
      </w:r>
    </w:p>
    <w:p w:rsidR="00357C8A" w:rsidRPr="00357C8A" w:rsidP="006705EA" w14:paraId="4EEA6B7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150CD" w:rsidP="00357C8A" w14:paraId="122A37DC" w14:textId="77777777">
      <w:pPr>
        <w:spacing w:after="200"/>
        <w:rPr>
          <w:rFonts w:eastAsia="Calibri"/>
          <w:color w:val="000000"/>
        </w:rPr>
      </w:pPr>
      <w:r>
        <w:rPr>
          <w:rFonts w:eastAsia="Calibri"/>
        </w:rPr>
        <w:t>We have</w:t>
      </w:r>
      <w:r w:rsidRPr="00567E23">
        <w:rPr>
          <w:rFonts w:eastAsia="Calibri"/>
        </w:rPr>
        <w:t xml:space="preserve"> no reason for not displaying the OMB approval date</w:t>
      </w:r>
      <w:r w:rsidRPr="001150CD">
        <w:rPr>
          <w:rFonts w:eastAsia="Calibri"/>
          <w:color w:val="000000"/>
        </w:rPr>
        <w:t>.</w:t>
      </w:r>
    </w:p>
    <w:p w:rsidR="00357C8A" w:rsidRPr="00357C8A" w:rsidP="006705EA" w14:paraId="78ADC09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D31A75" w14:paraId="3CC37B77" w14:textId="77777777">
      <w:pPr>
        <w:spacing w:after="200"/>
        <w:rPr>
          <w:rFonts w:eastAsia="Calibri"/>
        </w:rPr>
      </w:pPr>
      <w:r w:rsidRPr="00567E23">
        <w:rPr>
          <w:rFonts w:eastAsia="Calibri"/>
        </w:rPr>
        <w:t>There are no exceptions to the certification.</w:t>
      </w:r>
    </w:p>
    <w:sectPr w:rsidSect="005C71CA">
      <w:headerReference w:type="default" r:id="rId8"/>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2353E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FA035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49C3D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8F465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14:paraId="35A62907"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00593328">
    <w:abstractNumId w:val="5"/>
  </w:num>
  <w:num w:numId="2" w16cid:durableId="2043901121">
    <w:abstractNumId w:val="1"/>
  </w:num>
  <w:num w:numId="3" w16cid:durableId="1849249400">
    <w:abstractNumId w:val="6"/>
  </w:num>
  <w:num w:numId="4" w16cid:durableId="106434428">
    <w:abstractNumId w:val="3"/>
  </w:num>
  <w:num w:numId="5" w16cid:durableId="1090083156">
    <w:abstractNumId w:val="7"/>
  </w:num>
  <w:num w:numId="6" w16cid:durableId="1004092311">
    <w:abstractNumId w:val="0"/>
  </w:num>
  <w:num w:numId="7" w16cid:durableId="1379628079">
    <w:abstractNumId w:val="2"/>
  </w:num>
  <w:num w:numId="8" w16cid:durableId="20556960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B03"/>
    <w:rsid w:val="00024B58"/>
    <w:rsid w:val="00031A2C"/>
    <w:rsid w:val="00042B93"/>
    <w:rsid w:val="00043C7F"/>
    <w:rsid w:val="000467A8"/>
    <w:rsid w:val="00063F52"/>
    <w:rsid w:val="00064BBE"/>
    <w:rsid w:val="0006570F"/>
    <w:rsid w:val="00075DE8"/>
    <w:rsid w:val="00087439"/>
    <w:rsid w:val="000C1260"/>
    <w:rsid w:val="000C560C"/>
    <w:rsid w:val="000D080B"/>
    <w:rsid w:val="000D48FD"/>
    <w:rsid w:val="000D79CC"/>
    <w:rsid w:val="000E07BD"/>
    <w:rsid w:val="000E0F3B"/>
    <w:rsid w:val="000E1C64"/>
    <w:rsid w:val="000F7119"/>
    <w:rsid w:val="001006D6"/>
    <w:rsid w:val="00100739"/>
    <w:rsid w:val="00103443"/>
    <w:rsid w:val="0010493E"/>
    <w:rsid w:val="0010648C"/>
    <w:rsid w:val="001075D3"/>
    <w:rsid w:val="00107885"/>
    <w:rsid w:val="00112CDC"/>
    <w:rsid w:val="00113A15"/>
    <w:rsid w:val="00114FC4"/>
    <w:rsid w:val="001150CD"/>
    <w:rsid w:val="0012329C"/>
    <w:rsid w:val="00134FA7"/>
    <w:rsid w:val="00137950"/>
    <w:rsid w:val="00152F29"/>
    <w:rsid w:val="00171607"/>
    <w:rsid w:val="00174D54"/>
    <w:rsid w:val="0017702C"/>
    <w:rsid w:val="00182154"/>
    <w:rsid w:val="00185270"/>
    <w:rsid w:val="00186ADF"/>
    <w:rsid w:val="001A3B5A"/>
    <w:rsid w:val="001A458C"/>
    <w:rsid w:val="001B0162"/>
    <w:rsid w:val="001B7CE9"/>
    <w:rsid w:val="001B7FD9"/>
    <w:rsid w:val="001D495A"/>
    <w:rsid w:val="001E244C"/>
    <w:rsid w:val="001F1437"/>
    <w:rsid w:val="001F21C0"/>
    <w:rsid w:val="001F6E49"/>
    <w:rsid w:val="00206799"/>
    <w:rsid w:val="002074FE"/>
    <w:rsid w:val="002104D0"/>
    <w:rsid w:val="00216C71"/>
    <w:rsid w:val="0022425B"/>
    <w:rsid w:val="002259EF"/>
    <w:rsid w:val="00241616"/>
    <w:rsid w:val="00241755"/>
    <w:rsid w:val="00242DD6"/>
    <w:rsid w:val="00242ED1"/>
    <w:rsid w:val="002444BB"/>
    <w:rsid w:val="00246854"/>
    <w:rsid w:val="00254069"/>
    <w:rsid w:val="002607C1"/>
    <w:rsid w:val="00270748"/>
    <w:rsid w:val="002734E5"/>
    <w:rsid w:val="002746DB"/>
    <w:rsid w:val="00280CAF"/>
    <w:rsid w:val="00280F45"/>
    <w:rsid w:val="0028267B"/>
    <w:rsid w:val="00282F09"/>
    <w:rsid w:val="00291810"/>
    <w:rsid w:val="00294D62"/>
    <w:rsid w:val="002971AD"/>
    <w:rsid w:val="00297532"/>
    <w:rsid w:val="00297FFD"/>
    <w:rsid w:val="002A1210"/>
    <w:rsid w:val="002A2CB5"/>
    <w:rsid w:val="002A47D2"/>
    <w:rsid w:val="002A6906"/>
    <w:rsid w:val="002A7FB5"/>
    <w:rsid w:val="002B0B13"/>
    <w:rsid w:val="002B2074"/>
    <w:rsid w:val="002B2254"/>
    <w:rsid w:val="002B39BD"/>
    <w:rsid w:val="002C108F"/>
    <w:rsid w:val="002C48E8"/>
    <w:rsid w:val="002D14D8"/>
    <w:rsid w:val="002D4799"/>
    <w:rsid w:val="002D704E"/>
    <w:rsid w:val="002E3FA4"/>
    <w:rsid w:val="002E53A5"/>
    <w:rsid w:val="002E64B8"/>
    <w:rsid w:val="002E6834"/>
    <w:rsid w:val="00305CE1"/>
    <w:rsid w:val="003113FF"/>
    <w:rsid w:val="00312622"/>
    <w:rsid w:val="0032277F"/>
    <w:rsid w:val="0032797E"/>
    <w:rsid w:val="00336B69"/>
    <w:rsid w:val="0034302B"/>
    <w:rsid w:val="00350523"/>
    <w:rsid w:val="0035105E"/>
    <w:rsid w:val="0035189D"/>
    <w:rsid w:val="00351EF8"/>
    <w:rsid w:val="00355623"/>
    <w:rsid w:val="00355B62"/>
    <w:rsid w:val="00357C8A"/>
    <w:rsid w:val="003740BC"/>
    <w:rsid w:val="0037456B"/>
    <w:rsid w:val="0037628E"/>
    <w:rsid w:val="003801A3"/>
    <w:rsid w:val="00383D90"/>
    <w:rsid w:val="00385516"/>
    <w:rsid w:val="003870AE"/>
    <w:rsid w:val="003A0141"/>
    <w:rsid w:val="003A1A27"/>
    <w:rsid w:val="003A270B"/>
    <w:rsid w:val="003A50CC"/>
    <w:rsid w:val="003B3A97"/>
    <w:rsid w:val="003B42B3"/>
    <w:rsid w:val="003B6384"/>
    <w:rsid w:val="003C0FE2"/>
    <w:rsid w:val="003C4EBB"/>
    <w:rsid w:val="003D1531"/>
    <w:rsid w:val="003E4EC6"/>
    <w:rsid w:val="003E527E"/>
    <w:rsid w:val="003E553E"/>
    <w:rsid w:val="003E7078"/>
    <w:rsid w:val="003F387B"/>
    <w:rsid w:val="003F3DF5"/>
    <w:rsid w:val="003F64D9"/>
    <w:rsid w:val="003F73B8"/>
    <w:rsid w:val="0040297E"/>
    <w:rsid w:val="004108BE"/>
    <w:rsid w:val="00411D11"/>
    <w:rsid w:val="00414494"/>
    <w:rsid w:val="00415C2D"/>
    <w:rsid w:val="00415E23"/>
    <w:rsid w:val="0041670D"/>
    <w:rsid w:val="00423272"/>
    <w:rsid w:val="00424061"/>
    <w:rsid w:val="004421AB"/>
    <w:rsid w:val="00442A3C"/>
    <w:rsid w:val="00443969"/>
    <w:rsid w:val="00447D74"/>
    <w:rsid w:val="00450A74"/>
    <w:rsid w:val="004521F9"/>
    <w:rsid w:val="004546BF"/>
    <w:rsid w:val="00456CC4"/>
    <w:rsid w:val="0046032B"/>
    <w:rsid w:val="00465350"/>
    <w:rsid w:val="00476B91"/>
    <w:rsid w:val="00482E20"/>
    <w:rsid w:val="004846BF"/>
    <w:rsid w:val="00494912"/>
    <w:rsid w:val="004A5323"/>
    <w:rsid w:val="004A5A99"/>
    <w:rsid w:val="004C44A9"/>
    <w:rsid w:val="004C6979"/>
    <w:rsid w:val="004D13A2"/>
    <w:rsid w:val="004D265B"/>
    <w:rsid w:val="004D3E7A"/>
    <w:rsid w:val="004F594B"/>
    <w:rsid w:val="004F61E1"/>
    <w:rsid w:val="00503D0D"/>
    <w:rsid w:val="005139D7"/>
    <w:rsid w:val="005241B9"/>
    <w:rsid w:val="00527E98"/>
    <w:rsid w:val="0053380B"/>
    <w:rsid w:val="00543194"/>
    <w:rsid w:val="00544138"/>
    <w:rsid w:val="005532A1"/>
    <w:rsid w:val="00554E34"/>
    <w:rsid w:val="00567E23"/>
    <w:rsid w:val="005729EF"/>
    <w:rsid w:val="00584583"/>
    <w:rsid w:val="00590E90"/>
    <w:rsid w:val="00590EEB"/>
    <w:rsid w:val="005966CF"/>
    <w:rsid w:val="005A4099"/>
    <w:rsid w:val="005A7722"/>
    <w:rsid w:val="005B4CB9"/>
    <w:rsid w:val="005C15E5"/>
    <w:rsid w:val="005C38B2"/>
    <w:rsid w:val="005C5029"/>
    <w:rsid w:val="005C55C2"/>
    <w:rsid w:val="005C71CA"/>
    <w:rsid w:val="005C745C"/>
    <w:rsid w:val="005D4DF5"/>
    <w:rsid w:val="005E252D"/>
    <w:rsid w:val="005E42BA"/>
    <w:rsid w:val="00610078"/>
    <w:rsid w:val="00611D6B"/>
    <w:rsid w:val="00612585"/>
    <w:rsid w:val="00625CFD"/>
    <w:rsid w:val="006326BD"/>
    <w:rsid w:val="006326EC"/>
    <w:rsid w:val="00637029"/>
    <w:rsid w:val="0064125E"/>
    <w:rsid w:val="00643240"/>
    <w:rsid w:val="006501C6"/>
    <w:rsid w:val="00663A42"/>
    <w:rsid w:val="006641C7"/>
    <w:rsid w:val="006705EA"/>
    <w:rsid w:val="00670BE2"/>
    <w:rsid w:val="00671213"/>
    <w:rsid w:val="00687D6C"/>
    <w:rsid w:val="006916D9"/>
    <w:rsid w:val="00697BFD"/>
    <w:rsid w:val="006A0E05"/>
    <w:rsid w:val="006A1AE4"/>
    <w:rsid w:val="006A26C6"/>
    <w:rsid w:val="006A465A"/>
    <w:rsid w:val="006A7D5D"/>
    <w:rsid w:val="006B338A"/>
    <w:rsid w:val="006D0C12"/>
    <w:rsid w:val="006D5D57"/>
    <w:rsid w:val="006D7859"/>
    <w:rsid w:val="006E2538"/>
    <w:rsid w:val="006E302F"/>
    <w:rsid w:val="006F1A55"/>
    <w:rsid w:val="006F4D6D"/>
    <w:rsid w:val="00705086"/>
    <w:rsid w:val="00707C73"/>
    <w:rsid w:val="00711A91"/>
    <w:rsid w:val="00722001"/>
    <w:rsid w:val="00725DC2"/>
    <w:rsid w:val="00744525"/>
    <w:rsid w:val="00751E66"/>
    <w:rsid w:val="00754497"/>
    <w:rsid w:val="007574D1"/>
    <w:rsid w:val="0076095E"/>
    <w:rsid w:val="00773201"/>
    <w:rsid w:val="00777C3E"/>
    <w:rsid w:val="0078568B"/>
    <w:rsid w:val="00787C39"/>
    <w:rsid w:val="00792947"/>
    <w:rsid w:val="0079394A"/>
    <w:rsid w:val="00795DF3"/>
    <w:rsid w:val="007A373C"/>
    <w:rsid w:val="007B02E7"/>
    <w:rsid w:val="007B225C"/>
    <w:rsid w:val="007B5DB1"/>
    <w:rsid w:val="007C740C"/>
    <w:rsid w:val="007C75B1"/>
    <w:rsid w:val="007D3DFC"/>
    <w:rsid w:val="007D4C45"/>
    <w:rsid w:val="007D6DEE"/>
    <w:rsid w:val="007D7482"/>
    <w:rsid w:val="007E1ED6"/>
    <w:rsid w:val="007E2F07"/>
    <w:rsid w:val="007E59A8"/>
    <w:rsid w:val="007F386A"/>
    <w:rsid w:val="007F644A"/>
    <w:rsid w:val="0080776D"/>
    <w:rsid w:val="00810145"/>
    <w:rsid w:val="008108FA"/>
    <w:rsid w:val="00810FF1"/>
    <w:rsid w:val="00822336"/>
    <w:rsid w:val="00823DFA"/>
    <w:rsid w:val="00842DB7"/>
    <w:rsid w:val="00843752"/>
    <w:rsid w:val="0084479F"/>
    <w:rsid w:val="0085725E"/>
    <w:rsid w:val="00870A05"/>
    <w:rsid w:val="008735DE"/>
    <w:rsid w:val="00873D4F"/>
    <w:rsid w:val="0087509F"/>
    <w:rsid w:val="00885B09"/>
    <w:rsid w:val="00887104"/>
    <w:rsid w:val="00891A77"/>
    <w:rsid w:val="00892400"/>
    <w:rsid w:val="008944CB"/>
    <w:rsid w:val="0089764C"/>
    <w:rsid w:val="008A066D"/>
    <w:rsid w:val="008A10E4"/>
    <w:rsid w:val="008A209D"/>
    <w:rsid w:val="008A22BB"/>
    <w:rsid w:val="008A7BBB"/>
    <w:rsid w:val="008B035D"/>
    <w:rsid w:val="008B0E29"/>
    <w:rsid w:val="008B0EFA"/>
    <w:rsid w:val="008B30AB"/>
    <w:rsid w:val="008B6AC6"/>
    <w:rsid w:val="008C364F"/>
    <w:rsid w:val="008C3BB8"/>
    <w:rsid w:val="008C4B65"/>
    <w:rsid w:val="008E39E1"/>
    <w:rsid w:val="008E5F55"/>
    <w:rsid w:val="008E6249"/>
    <w:rsid w:val="009009E7"/>
    <w:rsid w:val="00905DEF"/>
    <w:rsid w:val="00906056"/>
    <w:rsid w:val="009122AE"/>
    <w:rsid w:val="00913B43"/>
    <w:rsid w:val="00921A8F"/>
    <w:rsid w:val="0092604B"/>
    <w:rsid w:val="00930203"/>
    <w:rsid w:val="009311D2"/>
    <w:rsid w:val="009311E6"/>
    <w:rsid w:val="00931275"/>
    <w:rsid w:val="009352C2"/>
    <w:rsid w:val="00936AC7"/>
    <w:rsid w:val="00953B64"/>
    <w:rsid w:val="00961A04"/>
    <w:rsid w:val="009646A7"/>
    <w:rsid w:val="00970A88"/>
    <w:rsid w:val="009818A1"/>
    <w:rsid w:val="009A1674"/>
    <w:rsid w:val="009B38BE"/>
    <w:rsid w:val="009B4DF2"/>
    <w:rsid w:val="009C3552"/>
    <w:rsid w:val="009C684F"/>
    <w:rsid w:val="009D074C"/>
    <w:rsid w:val="009D6E73"/>
    <w:rsid w:val="009E2FAC"/>
    <w:rsid w:val="009F1F1D"/>
    <w:rsid w:val="009F2B4F"/>
    <w:rsid w:val="009F3C63"/>
    <w:rsid w:val="009F66B5"/>
    <w:rsid w:val="00A02F10"/>
    <w:rsid w:val="00A1060C"/>
    <w:rsid w:val="00A16221"/>
    <w:rsid w:val="00A16FD8"/>
    <w:rsid w:val="00A20A7D"/>
    <w:rsid w:val="00A35D42"/>
    <w:rsid w:val="00A44A4B"/>
    <w:rsid w:val="00A46CCF"/>
    <w:rsid w:val="00A50077"/>
    <w:rsid w:val="00A506DE"/>
    <w:rsid w:val="00A53451"/>
    <w:rsid w:val="00A70426"/>
    <w:rsid w:val="00A707CC"/>
    <w:rsid w:val="00A71410"/>
    <w:rsid w:val="00A85BC4"/>
    <w:rsid w:val="00A91E9A"/>
    <w:rsid w:val="00A93ED9"/>
    <w:rsid w:val="00A96221"/>
    <w:rsid w:val="00AA62C3"/>
    <w:rsid w:val="00AB17E0"/>
    <w:rsid w:val="00AC1C66"/>
    <w:rsid w:val="00AC2DBB"/>
    <w:rsid w:val="00AC6A99"/>
    <w:rsid w:val="00AD6048"/>
    <w:rsid w:val="00B055EF"/>
    <w:rsid w:val="00B06B5B"/>
    <w:rsid w:val="00B11EB2"/>
    <w:rsid w:val="00B23769"/>
    <w:rsid w:val="00B31605"/>
    <w:rsid w:val="00B3413A"/>
    <w:rsid w:val="00B41789"/>
    <w:rsid w:val="00B50F62"/>
    <w:rsid w:val="00B535D2"/>
    <w:rsid w:val="00B81808"/>
    <w:rsid w:val="00B850F1"/>
    <w:rsid w:val="00B863DE"/>
    <w:rsid w:val="00B86DFA"/>
    <w:rsid w:val="00B936D0"/>
    <w:rsid w:val="00BA45D3"/>
    <w:rsid w:val="00BA741B"/>
    <w:rsid w:val="00BB15FB"/>
    <w:rsid w:val="00BD3D32"/>
    <w:rsid w:val="00BD3D5B"/>
    <w:rsid w:val="00BD4786"/>
    <w:rsid w:val="00BD4A54"/>
    <w:rsid w:val="00BE3600"/>
    <w:rsid w:val="00BE6224"/>
    <w:rsid w:val="00BF1470"/>
    <w:rsid w:val="00C01F6F"/>
    <w:rsid w:val="00C041EA"/>
    <w:rsid w:val="00C13BBD"/>
    <w:rsid w:val="00C149AB"/>
    <w:rsid w:val="00C16929"/>
    <w:rsid w:val="00C20690"/>
    <w:rsid w:val="00C36020"/>
    <w:rsid w:val="00C40694"/>
    <w:rsid w:val="00C465E7"/>
    <w:rsid w:val="00C472AF"/>
    <w:rsid w:val="00C479BF"/>
    <w:rsid w:val="00C5124B"/>
    <w:rsid w:val="00C70542"/>
    <w:rsid w:val="00C75CBF"/>
    <w:rsid w:val="00C81AA6"/>
    <w:rsid w:val="00C9260F"/>
    <w:rsid w:val="00CB10FE"/>
    <w:rsid w:val="00CB689E"/>
    <w:rsid w:val="00CB6A74"/>
    <w:rsid w:val="00CC2894"/>
    <w:rsid w:val="00CD0401"/>
    <w:rsid w:val="00CD4C80"/>
    <w:rsid w:val="00CD77C3"/>
    <w:rsid w:val="00CE112C"/>
    <w:rsid w:val="00CF55D4"/>
    <w:rsid w:val="00D11B0A"/>
    <w:rsid w:val="00D154FF"/>
    <w:rsid w:val="00D23CB6"/>
    <w:rsid w:val="00D31A75"/>
    <w:rsid w:val="00D50063"/>
    <w:rsid w:val="00D52E6B"/>
    <w:rsid w:val="00D574AC"/>
    <w:rsid w:val="00D608DA"/>
    <w:rsid w:val="00D625C5"/>
    <w:rsid w:val="00D730BF"/>
    <w:rsid w:val="00D76B46"/>
    <w:rsid w:val="00D852F4"/>
    <w:rsid w:val="00D946BE"/>
    <w:rsid w:val="00DA52EF"/>
    <w:rsid w:val="00DB1110"/>
    <w:rsid w:val="00DB35C9"/>
    <w:rsid w:val="00DB3730"/>
    <w:rsid w:val="00DC371B"/>
    <w:rsid w:val="00DC3788"/>
    <w:rsid w:val="00DC76C7"/>
    <w:rsid w:val="00DD09F5"/>
    <w:rsid w:val="00DD0E02"/>
    <w:rsid w:val="00DD4201"/>
    <w:rsid w:val="00DD5C52"/>
    <w:rsid w:val="00DD5E2B"/>
    <w:rsid w:val="00DD5E9F"/>
    <w:rsid w:val="00DE5711"/>
    <w:rsid w:val="00DF36C6"/>
    <w:rsid w:val="00E00678"/>
    <w:rsid w:val="00E00EA0"/>
    <w:rsid w:val="00E021CB"/>
    <w:rsid w:val="00E138F1"/>
    <w:rsid w:val="00E16964"/>
    <w:rsid w:val="00E2309D"/>
    <w:rsid w:val="00E26758"/>
    <w:rsid w:val="00E34E5A"/>
    <w:rsid w:val="00E42E29"/>
    <w:rsid w:val="00E4357B"/>
    <w:rsid w:val="00E443A7"/>
    <w:rsid w:val="00E45904"/>
    <w:rsid w:val="00E63DE5"/>
    <w:rsid w:val="00E647AF"/>
    <w:rsid w:val="00E647C7"/>
    <w:rsid w:val="00E65A37"/>
    <w:rsid w:val="00E65EF7"/>
    <w:rsid w:val="00E77B48"/>
    <w:rsid w:val="00E8388E"/>
    <w:rsid w:val="00E857FB"/>
    <w:rsid w:val="00E86ED0"/>
    <w:rsid w:val="00E91799"/>
    <w:rsid w:val="00E97DF8"/>
    <w:rsid w:val="00EA21FE"/>
    <w:rsid w:val="00EA34E3"/>
    <w:rsid w:val="00EB5C4F"/>
    <w:rsid w:val="00EB7538"/>
    <w:rsid w:val="00EC1868"/>
    <w:rsid w:val="00ED3019"/>
    <w:rsid w:val="00ED7D3A"/>
    <w:rsid w:val="00EE6468"/>
    <w:rsid w:val="00EF1469"/>
    <w:rsid w:val="00F1299B"/>
    <w:rsid w:val="00F207A4"/>
    <w:rsid w:val="00F25173"/>
    <w:rsid w:val="00F34975"/>
    <w:rsid w:val="00F355AC"/>
    <w:rsid w:val="00F40CF7"/>
    <w:rsid w:val="00F44194"/>
    <w:rsid w:val="00F71A5A"/>
    <w:rsid w:val="00F73A1A"/>
    <w:rsid w:val="00F769E0"/>
    <w:rsid w:val="00F76FD8"/>
    <w:rsid w:val="00F8635F"/>
    <w:rsid w:val="00FA4A46"/>
    <w:rsid w:val="00FA75FE"/>
    <w:rsid w:val="00FA78F8"/>
    <w:rsid w:val="00FB1032"/>
    <w:rsid w:val="00FB39BC"/>
    <w:rsid w:val="00FB6A53"/>
    <w:rsid w:val="00FC11CA"/>
    <w:rsid w:val="00FC6BDE"/>
    <w:rsid w:val="00FD276D"/>
    <w:rsid w:val="00FE3218"/>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CF3B89"/>
  <w15:chartTrackingRefBased/>
  <w15:docId w15:val="{FEFA780E-A1D9-4983-B551-5FE6E338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31A75"/>
    <w:rPr>
      <w:sz w:val="24"/>
      <w:szCs w:val="24"/>
    </w:rPr>
  </w:style>
  <w:style w:type="character" w:styleId="CommentReference">
    <w:name w:val="annotation reference"/>
    <w:basedOn w:val="DefaultParagraphFont"/>
    <w:rsid w:val="00EF1469"/>
    <w:rPr>
      <w:sz w:val="16"/>
      <w:szCs w:val="16"/>
    </w:rPr>
  </w:style>
  <w:style w:type="paragraph" w:styleId="CommentText">
    <w:name w:val="annotation text"/>
    <w:basedOn w:val="Normal"/>
    <w:link w:val="CommentTextChar"/>
    <w:rsid w:val="00EF1469"/>
    <w:rPr>
      <w:sz w:val="20"/>
      <w:szCs w:val="20"/>
    </w:rPr>
  </w:style>
  <w:style w:type="character" w:customStyle="1" w:styleId="CommentTextChar">
    <w:name w:val="Comment Text Char"/>
    <w:basedOn w:val="DefaultParagraphFont"/>
    <w:link w:val="CommentText"/>
    <w:rsid w:val="00EF1469"/>
  </w:style>
  <w:style w:type="paragraph" w:styleId="CommentSubject">
    <w:name w:val="annotation subject"/>
    <w:basedOn w:val="CommentText"/>
    <w:next w:val="CommentText"/>
    <w:link w:val="CommentSubjectChar"/>
    <w:rsid w:val="00EF1469"/>
    <w:rPr>
      <w:b/>
      <w:bCs/>
    </w:rPr>
  </w:style>
  <w:style w:type="character" w:customStyle="1" w:styleId="CommentSubjectChar">
    <w:name w:val="Comment Subject Char"/>
    <w:basedOn w:val="CommentTextChar"/>
    <w:link w:val="CommentSubject"/>
    <w:rsid w:val="00EF1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color-additives/color-certification" TargetMode="External" /><Relationship Id="rId6" Type="http://schemas.openxmlformats.org/officeDocument/2006/relationships/hyperlink" Target="mailto:color.cert@fda.hhs.gov" TargetMode="External" /><Relationship Id="rId7" Type="http://schemas.openxmlformats.org/officeDocument/2006/relationships/hyperlink" Target="https://www.fda.gov/industry/small-business-assistanc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F4AD-CD37-435A-B7ED-E7E14BCC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2480</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4</cp:revision>
  <cp:lastPrinted>2019-07-03T16:25:00Z</cp:lastPrinted>
  <dcterms:created xsi:type="dcterms:W3CDTF">2023-10-20T14:23:00Z</dcterms:created>
  <dcterms:modified xsi:type="dcterms:W3CDTF">2023-10-20T17:36:00Z</dcterms:modified>
</cp:coreProperties>
</file>